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8486" w14:textId="77777777" w:rsidR="00681D65" w:rsidRPr="00681D65" w:rsidRDefault="00681D65" w:rsidP="00681D65">
      <w:pPr>
        <w:tabs>
          <w:tab w:val="left" w:pos="284"/>
        </w:tabs>
        <w:spacing w:after="480" w:line="240" w:lineRule="auto"/>
        <w:rPr>
          <w:rFonts w:ascii="Cambria" w:eastAsia="Calibri" w:hAnsi="Cambria" w:cs="Times New Roman"/>
        </w:rPr>
      </w:pPr>
      <w:r w:rsidRPr="00681D65">
        <w:rPr>
          <w:rFonts w:ascii="Calibri" w:eastAsia="Calibri" w:hAnsi="Calibri" w:cs="Times New Roman"/>
          <w:noProof/>
        </w:rPr>
        <mc:AlternateContent>
          <mc:Choice Requires="wps">
            <w:drawing>
              <wp:inline distT="0" distB="0" distL="0" distR="0" wp14:anchorId="4A40D82E" wp14:editId="34B22BD6">
                <wp:extent cx="252095" cy="252095"/>
                <wp:effectExtent l="0" t="0" r="0" b="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22169" w14:textId="77777777" w:rsidR="00681D65" w:rsidRDefault="00681D65" w:rsidP="00681D65">
                            <w:pPr>
                              <w:spacing w:after="0"/>
                              <w:rPr>
                                <w:rFonts w:ascii="Wingdings 3" w:hAnsi="Wingdings 3"/>
                                <w:sz w:val="24"/>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4A40D82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Ak+umX2AQAA3gMAAA4AAAAAAAAAAAAAAAAALgIAAGRycy9l&#10;Mm9Eb2MueG1sUEsBAi0AFAAGAAgAAAAhAGP1TgzZAAAAAwEAAA8AAAAAAAAAAAAAAAAAUAQAAGRy&#10;cy9kb3ducmV2LnhtbFBLBQYAAAAABAAEAPMAAABWBQAAAAA=&#10;" stroked="f">
                <v:textbox inset="0,0,0,0">
                  <w:txbxContent>
                    <w:p w14:paraId="49322169" w14:textId="77777777" w:rsidR="00681D65" w:rsidRDefault="00681D65" w:rsidP="00681D65">
                      <w:pPr>
                        <w:spacing w:after="0"/>
                        <w:rPr>
                          <w:rFonts w:ascii="Wingdings 3" w:hAnsi="Wingdings 3"/>
                          <w:sz w:val="24"/>
                        </w:rPr>
                      </w:pPr>
                      <w:r>
                        <w:rPr>
                          <w:rFonts w:ascii="SimSun" w:eastAsia="SimSun" w:hAnsi="SimSun" w:cs="Arial" w:hint="eastAsia"/>
                          <w:sz w:val="40"/>
                          <w:lang w:val="en-US"/>
                        </w:rPr>
                        <w:t>▼</w:t>
                      </w:r>
                    </w:p>
                  </w:txbxContent>
                </v:textbox>
                <w10:anchorlock/>
              </v:shape>
            </w:pict>
          </mc:Fallback>
        </mc:AlternateContent>
      </w:r>
      <w:r w:rsidRPr="00681D65">
        <w:rPr>
          <w:rFonts w:ascii="Cambria" w:eastAsia="Calibri" w:hAnsi="Cambria" w:cs="Times New Roman"/>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681D65">
          <w:rPr>
            <w:rFonts w:ascii="Cambria" w:eastAsia="Calibri" w:hAnsi="Cambria" w:cs="Times New Roman"/>
            <w:color w:val="0000FF" w:themeColor="hyperlink"/>
            <w:u w:val="single"/>
          </w:rPr>
          <w:t>https://www.tga.gov.au/reporting-problems</w:t>
        </w:r>
      </w:hyperlink>
      <w:r w:rsidRPr="00681D65">
        <w:rPr>
          <w:rFonts w:ascii="Cambria" w:eastAsia="Calibri" w:hAnsi="Cambria" w:cs="Times New Roman"/>
        </w:rPr>
        <w:t>.</w:t>
      </w:r>
    </w:p>
    <w:p w14:paraId="3622950A" w14:textId="28D0B001" w:rsidR="00D8548B" w:rsidRDefault="00900C08" w:rsidP="00712D77">
      <w:pPr>
        <w:pStyle w:val="Heading1"/>
        <w:numPr>
          <w:ilvl w:val="0"/>
          <w:numId w:val="0"/>
        </w:numPr>
        <w:spacing w:after="240"/>
        <w:rPr>
          <w:rFonts w:eastAsia="SimSun" w:cstheme="minorHAnsi"/>
        </w:rPr>
      </w:pPr>
      <w:r>
        <w:rPr>
          <w:rFonts w:eastAsia="SimSun" w:cstheme="minorHAnsi"/>
        </w:rPr>
        <w:t>Australian PRODUCT INFORMATION</w:t>
      </w:r>
    </w:p>
    <w:p w14:paraId="35C2BC82" w14:textId="1ACC9952" w:rsidR="004032BD" w:rsidRPr="00497C85" w:rsidRDefault="00D637F8" w:rsidP="00712D77">
      <w:pPr>
        <w:pStyle w:val="Heading1"/>
        <w:numPr>
          <w:ilvl w:val="0"/>
          <w:numId w:val="0"/>
        </w:numPr>
        <w:spacing w:after="240"/>
        <w:rPr>
          <w:rFonts w:eastAsia="SimSun" w:cstheme="minorHAnsi"/>
        </w:rPr>
      </w:pPr>
      <w:r>
        <w:rPr>
          <w:rFonts w:eastAsia="SimSun" w:cstheme="minorHAnsi"/>
        </w:rPr>
        <w:t>Eligard</w:t>
      </w:r>
      <w:r w:rsidRPr="00DD5B62">
        <w:rPr>
          <w:rFonts w:eastAsia="SimSun" w:cstheme="minorHAnsi"/>
          <w:vertAlign w:val="superscript"/>
        </w:rPr>
        <w:t>®</w:t>
      </w:r>
      <w:r w:rsidR="007E693C" w:rsidRPr="00497C85">
        <w:rPr>
          <w:rFonts w:eastAsia="SimSun" w:cstheme="minorHAnsi"/>
        </w:rPr>
        <w:t xml:space="preserve"> </w:t>
      </w:r>
      <w:r w:rsidR="004032BD" w:rsidRPr="00497C85">
        <w:rPr>
          <w:rFonts w:eastAsia="SimSun" w:cstheme="minorHAnsi"/>
        </w:rPr>
        <w:t>(</w:t>
      </w:r>
      <w:r w:rsidR="00AC7F37">
        <w:rPr>
          <w:rFonts w:eastAsia="SimSun" w:cstheme="minorHAnsi"/>
        </w:rPr>
        <w:t>leuprorelin acetate</w:t>
      </w:r>
      <w:r w:rsidR="004032BD" w:rsidRPr="00497C85">
        <w:rPr>
          <w:rFonts w:eastAsia="SimSun" w:cstheme="minorHAnsi"/>
        </w:rPr>
        <w:t>)</w:t>
      </w:r>
      <w:r w:rsidR="00497C85" w:rsidRPr="00497C85">
        <w:rPr>
          <w:rFonts w:eastAsia="SimSun" w:cstheme="minorHAnsi"/>
        </w:rPr>
        <w:t xml:space="preserve"> </w:t>
      </w:r>
      <w:r w:rsidR="00AC7F37">
        <w:rPr>
          <w:rFonts w:eastAsia="SimSun" w:cstheme="minorHAnsi"/>
        </w:rPr>
        <w:t>modified release injection syringe</w:t>
      </w:r>
    </w:p>
    <w:p w14:paraId="0AC69E12" w14:textId="77777777" w:rsidR="006B1ACA" w:rsidRPr="000E39BC" w:rsidRDefault="001A3992" w:rsidP="00EC5963">
      <w:pPr>
        <w:pStyle w:val="Heading1"/>
        <w:spacing w:before="0" w:after="120"/>
        <w:ind w:left="431" w:hanging="431"/>
      </w:pPr>
      <w:r w:rsidRPr="00EC5963">
        <w:rPr>
          <w:rFonts w:cstheme="minorHAnsi"/>
        </w:rPr>
        <w:t>Name of the medicine</w:t>
      </w:r>
    </w:p>
    <w:p w14:paraId="36610499" w14:textId="0BBA6B2D" w:rsidR="00E04BAC" w:rsidRPr="00E26BA5" w:rsidRDefault="00E04BAC" w:rsidP="00EC0139">
      <w:pPr>
        <w:pStyle w:val="BodyText"/>
        <w:spacing w:after="240"/>
        <w:ind w:left="0" w:right="68"/>
        <w:rPr>
          <w:rFonts w:ascii="Cambria" w:hAnsi="Cambria"/>
          <w:w w:val="99"/>
          <w:sz w:val="22"/>
          <w:szCs w:val="22"/>
        </w:rPr>
      </w:pPr>
      <w:r w:rsidRPr="00E26BA5">
        <w:rPr>
          <w:rFonts w:ascii="Cambria" w:hAnsi="Cambria"/>
          <w:sz w:val="22"/>
          <w:szCs w:val="22"/>
        </w:rPr>
        <w:t>Leuprorelin</w:t>
      </w:r>
      <w:r w:rsidRPr="00E26BA5">
        <w:rPr>
          <w:rFonts w:ascii="Cambria" w:hAnsi="Cambria"/>
          <w:spacing w:val="-20"/>
          <w:sz w:val="22"/>
          <w:szCs w:val="22"/>
        </w:rPr>
        <w:t xml:space="preserve"> </w:t>
      </w:r>
      <w:r w:rsidRPr="00E26BA5">
        <w:rPr>
          <w:rFonts w:ascii="Cambria" w:hAnsi="Cambria"/>
          <w:sz w:val="22"/>
          <w:szCs w:val="22"/>
        </w:rPr>
        <w:t>acetate</w:t>
      </w:r>
      <w:r w:rsidR="00E26BA5">
        <w:rPr>
          <w:rFonts w:ascii="Cambria" w:hAnsi="Cambria"/>
          <w:w w:val="99"/>
          <w:sz w:val="22"/>
          <w:szCs w:val="22"/>
        </w:rPr>
        <w:t xml:space="preserve"> </w:t>
      </w:r>
    </w:p>
    <w:p w14:paraId="42FA20D3" w14:textId="77777777" w:rsidR="001A3992" w:rsidRPr="00EC5963" w:rsidRDefault="001A3992" w:rsidP="00EC5963">
      <w:pPr>
        <w:pStyle w:val="Heading1"/>
        <w:spacing w:before="0" w:after="120"/>
        <w:ind w:left="431" w:hanging="431"/>
        <w:rPr>
          <w:rFonts w:cstheme="minorHAnsi"/>
        </w:rPr>
      </w:pPr>
      <w:r w:rsidRPr="00EC5963">
        <w:rPr>
          <w:rFonts w:cstheme="minorHAnsi"/>
        </w:rPr>
        <w:t>Qualitative and quantitative composition</w:t>
      </w:r>
    </w:p>
    <w:p w14:paraId="10CA0949" w14:textId="695FD43B" w:rsidR="00E04BAC" w:rsidRPr="00E26BA5" w:rsidRDefault="006B0477" w:rsidP="00AE7E6C">
      <w:pPr>
        <w:pStyle w:val="BodyText"/>
        <w:spacing w:after="240" w:line="276" w:lineRule="auto"/>
        <w:ind w:left="0" w:right="68"/>
        <w:rPr>
          <w:rFonts w:ascii="Cambria" w:hAnsi="Cambria"/>
          <w:sz w:val="22"/>
          <w:szCs w:val="22"/>
        </w:rPr>
      </w:pPr>
      <w:r>
        <w:rPr>
          <w:rFonts w:ascii="Cambria" w:hAnsi="Cambria"/>
          <w:sz w:val="22"/>
          <w:szCs w:val="22"/>
        </w:rPr>
        <w:t>ELIGARD</w:t>
      </w:r>
      <w:r w:rsidR="00E04BAC" w:rsidRPr="00E26BA5">
        <w:rPr>
          <w:rFonts w:ascii="Cambria" w:hAnsi="Cambria"/>
          <w:sz w:val="22"/>
          <w:szCs w:val="22"/>
        </w:rPr>
        <w:t xml:space="preserve"> is a sterile polymeric matrix formulation of leuprorelin acetate for subcutaneous injection. It is designed to deliver leuprorelin acetate at a controlled rate over a therapeutic period.</w:t>
      </w:r>
    </w:p>
    <w:p w14:paraId="02C2D601" w14:textId="38F7BCA0" w:rsidR="00E04BAC" w:rsidRPr="00E26BA5" w:rsidRDefault="00E04BAC" w:rsidP="00AE7E6C">
      <w:pPr>
        <w:pStyle w:val="BodyText"/>
        <w:spacing w:after="240" w:line="276" w:lineRule="auto"/>
        <w:ind w:left="0" w:right="68"/>
        <w:rPr>
          <w:rFonts w:ascii="Cambria" w:hAnsi="Cambria"/>
          <w:sz w:val="22"/>
          <w:szCs w:val="22"/>
        </w:rPr>
      </w:pPr>
      <w:r w:rsidRPr="00E26BA5">
        <w:rPr>
          <w:rFonts w:ascii="Cambria" w:hAnsi="Cambria"/>
          <w:sz w:val="22"/>
          <w:szCs w:val="22"/>
        </w:rPr>
        <w:t xml:space="preserve">Leuprorelin acetate is a synthetic nonapeptide analogue of naturally occurring gonadotropin releasing hormone (GnRH or LH-RH) that, when given continuously, inhibits pituitary gonadotropin secretion and suppresses testicular steroidogenesis. The analogue possesses greater potency than the natural hormone. </w:t>
      </w:r>
    </w:p>
    <w:p w14:paraId="5B033963" w14:textId="5CAC01C9" w:rsidR="00E04BAC" w:rsidRPr="00E26BA5" w:rsidRDefault="00B37EF3" w:rsidP="00AE7E6C">
      <w:pPr>
        <w:pStyle w:val="BodyText"/>
        <w:spacing w:after="240" w:line="276" w:lineRule="auto"/>
        <w:ind w:left="0" w:right="68"/>
        <w:rPr>
          <w:rFonts w:ascii="Cambria" w:hAnsi="Cambria"/>
          <w:sz w:val="22"/>
          <w:szCs w:val="22"/>
        </w:rPr>
      </w:pPr>
      <w:r>
        <w:rPr>
          <w:rFonts w:ascii="Cambria" w:hAnsi="Cambria"/>
          <w:sz w:val="22"/>
          <w:szCs w:val="22"/>
        </w:rPr>
        <w:t>ELIGARD</w:t>
      </w:r>
      <w:r w:rsidR="00E04BAC" w:rsidRPr="00E26BA5">
        <w:rPr>
          <w:rFonts w:ascii="Cambria" w:hAnsi="Cambria"/>
          <w:sz w:val="22"/>
          <w:szCs w:val="22"/>
        </w:rPr>
        <w:t xml:space="preserve"> 1 month contains 10.6 mg of </w:t>
      </w:r>
      <w:proofErr w:type="spellStart"/>
      <w:r w:rsidR="00E04BAC" w:rsidRPr="00E26BA5">
        <w:rPr>
          <w:rFonts w:ascii="Cambria" w:hAnsi="Cambria"/>
          <w:sz w:val="22"/>
          <w:szCs w:val="22"/>
        </w:rPr>
        <w:t>lyophilised</w:t>
      </w:r>
      <w:proofErr w:type="spellEnd"/>
      <w:r w:rsidR="00E04BAC" w:rsidRPr="00E26BA5">
        <w:rPr>
          <w:rFonts w:ascii="Cambria" w:hAnsi="Cambria"/>
          <w:sz w:val="22"/>
          <w:szCs w:val="22"/>
        </w:rPr>
        <w:t xml:space="preserve"> leuprorelin acetate. </w:t>
      </w:r>
      <w:r>
        <w:rPr>
          <w:rFonts w:ascii="Cambria" w:hAnsi="Cambria"/>
          <w:sz w:val="22"/>
          <w:szCs w:val="22"/>
        </w:rPr>
        <w:t>ELIGARD</w:t>
      </w:r>
      <w:r w:rsidR="00E04BAC" w:rsidRPr="00E26BA5">
        <w:rPr>
          <w:rFonts w:ascii="Cambria" w:hAnsi="Cambria"/>
          <w:sz w:val="22"/>
          <w:szCs w:val="22"/>
        </w:rPr>
        <w:t xml:space="preserve"> 1 month delivers 7.5 mg of leuprorelin acetate (equivalent to approximately 7.0 mg leuprorelin free base) dissolved in 160 mg N-methyl-2-pyrrolidone and 82.5 mg polyglactin. The approximate weight of the administered formulation is 250 mg. It is designed to deliver 7.5 mg of leuprorelin acetate at a</w:t>
      </w:r>
      <w:r w:rsidR="007D5780">
        <w:rPr>
          <w:rFonts w:ascii="Cambria" w:hAnsi="Cambria"/>
          <w:sz w:val="22"/>
          <w:szCs w:val="22"/>
        </w:rPr>
        <w:t xml:space="preserve"> </w:t>
      </w:r>
      <w:r w:rsidR="00E04BAC" w:rsidRPr="00E26BA5">
        <w:rPr>
          <w:rFonts w:ascii="Cambria" w:hAnsi="Cambria"/>
          <w:sz w:val="22"/>
          <w:szCs w:val="22"/>
        </w:rPr>
        <w:t xml:space="preserve">controlled rate over a </w:t>
      </w:r>
      <w:proofErr w:type="gramStart"/>
      <w:r w:rsidR="00E04BAC" w:rsidRPr="00E26BA5">
        <w:rPr>
          <w:rFonts w:ascii="Cambria" w:hAnsi="Cambria"/>
          <w:sz w:val="22"/>
          <w:szCs w:val="22"/>
        </w:rPr>
        <w:t>1 month</w:t>
      </w:r>
      <w:proofErr w:type="gramEnd"/>
      <w:r w:rsidR="00E04BAC" w:rsidRPr="00E26BA5">
        <w:rPr>
          <w:rFonts w:ascii="Cambria" w:hAnsi="Cambria"/>
          <w:sz w:val="22"/>
          <w:szCs w:val="22"/>
        </w:rPr>
        <w:t xml:space="preserve"> therapeutic period.</w:t>
      </w:r>
    </w:p>
    <w:p w14:paraId="25BD74FE" w14:textId="6C55C9B9" w:rsidR="00E04BAC" w:rsidRPr="00E26BA5" w:rsidRDefault="00B37EF3" w:rsidP="00AE7E6C">
      <w:pPr>
        <w:pStyle w:val="BodyText"/>
        <w:spacing w:after="240" w:line="276" w:lineRule="auto"/>
        <w:ind w:left="0" w:right="68"/>
        <w:rPr>
          <w:rFonts w:ascii="Cambria" w:hAnsi="Cambria"/>
          <w:sz w:val="22"/>
          <w:szCs w:val="22"/>
        </w:rPr>
      </w:pPr>
      <w:r>
        <w:rPr>
          <w:rFonts w:ascii="Cambria" w:hAnsi="Cambria"/>
          <w:sz w:val="22"/>
          <w:szCs w:val="22"/>
        </w:rPr>
        <w:t>ELIGARD</w:t>
      </w:r>
      <w:r w:rsidR="00E04BAC" w:rsidRPr="00E26BA5">
        <w:rPr>
          <w:rFonts w:ascii="Cambria" w:hAnsi="Cambria"/>
          <w:sz w:val="22"/>
          <w:szCs w:val="22"/>
        </w:rPr>
        <w:t xml:space="preserve"> 3 month contains 29.2 mg </w:t>
      </w:r>
      <w:proofErr w:type="spellStart"/>
      <w:r w:rsidR="00E04BAC" w:rsidRPr="00E26BA5">
        <w:rPr>
          <w:rFonts w:ascii="Cambria" w:hAnsi="Cambria"/>
          <w:sz w:val="22"/>
          <w:szCs w:val="22"/>
        </w:rPr>
        <w:t>lyophilised</w:t>
      </w:r>
      <w:proofErr w:type="spellEnd"/>
      <w:r w:rsidR="00E04BAC" w:rsidRPr="00E26BA5">
        <w:rPr>
          <w:rFonts w:ascii="Cambria" w:hAnsi="Cambria"/>
          <w:sz w:val="22"/>
          <w:szCs w:val="22"/>
        </w:rPr>
        <w:t xml:space="preserve"> leuprorelin acetate. </w:t>
      </w:r>
      <w:r>
        <w:rPr>
          <w:rFonts w:ascii="Cambria" w:hAnsi="Cambria"/>
          <w:sz w:val="22"/>
          <w:szCs w:val="22"/>
        </w:rPr>
        <w:t>ELIGARD</w:t>
      </w:r>
      <w:r w:rsidR="00E04BAC" w:rsidRPr="00E26BA5">
        <w:rPr>
          <w:rFonts w:ascii="Cambria" w:hAnsi="Cambria"/>
          <w:sz w:val="22"/>
          <w:szCs w:val="22"/>
        </w:rPr>
        <w:t xml:space="preserve"> 3 month delivers 22.5 mg of leuprorelin acetate (equivalent to approximately 21 mg leuprorelin free base) dissolved in 193.9 mg N-methyl-2-pyrrolidone and 158.6 mg polyglactin. The approximate weight of the administered formulation is 375 mg. It is designed to deliver 22.5 mg of leuprorelin acetate at a controlled rate over a </w:t>
      </w:r>
      <w:proofErr w:type="gramStart"/>
      <w:r w:rsidR="00E04BAC" w:rsidRPr="00E26BA5">
        <w:rPr>
          <w:rFonts w:ascii="Cambria" w:hAnsi="Cambria"/>
          <w:sz w:val="22"/>
          <w:szCs w:val="22"/>
        </w:rPr>
        <w:t>3 month</w:t>
      </w:r>
      <w:proofErr w:type="gramEnd"/>
      <w:r w:rsidR="00E04BAC" w:rsidRPr="00E26BA5">
        <w:rPr>
          <w:rFonts w:ascii="Cambria" w:hAnsi="Cambria"/>
          <w:sz w:val="22"/>
          <w:szCs w:val="22"/>
        </w:rPr>
        <w:t xml:space="preserve"> therapeutic period.</w:t>
      </w:r>
    </w:p>
    <w:p w14:paraId="703DE892" w14:textId="75E900D9" w:rsidR="00E04BAC" w:rsidRPr="00E26BA5" w:rsidRDefault="00B37EF3" w:rsidP="00AE7E6C">
      <w:pPr>
        <w:pStyle w:val="BodyText"/>
        <w:spacing w:after="240" w:line="276" w:lineRule="auto"/>
        <w:ind w:left="0" w:right="68"/>
        <w:rPr>
          <w:rFonts w:ascii="Cambria" w:hAnsi="Cambria"/>
          <w:sz w:val="22"/>
          <w:szCs w:val="22"/>
        </w:rPr>
      </w:pPr>
      <w:r>
        <w:rPr>
          <w:rFonts w:ascii="Cambria" w:hAnsi="Cambria"/>
          <w:sz w:val="22"/>
          <w:szCs w:val="22"/>
        </w:rPr>
        <w:t>ELIGARD</w:t>
      </w:r>
      <w:r w:rsidR="00E04BAC" w:rsidRPr="00E26BA5">
        <w:rPr>
          <w:rFonts w:ascii="Cambria" w:hAnsi="Cambria"/>
          <w:sz w:val="22"/>
          <w:szCs w:val="22"/>
        </w:rPr>
        <w:t xml:space="preserve"> 4 month contains 37.2 mg </w:t>
      </w:r>
      <w:proofErr w:type="spellStart"/>
      <w:r w:rsidR="00E04BAC" w:rsidRPr="00E26BA5">
        <w:rPr>
          <w:rFonts w:ascii="Cambria" w:hAnsi="Cambria"/>
          <w:sz w:val="22"/>
          <w:szCs w:val="22"/>
        </w:rPr>
        <w:t>lyophilised</w:t>
      </w:r>
      <w:proofErr w:type="spellEnd"/>
      <w:r w:rsidR="00E04BAC" w:rsidRPr="00E26BA5">
        <w:rPr>
          <w:rFonts w:ascii="Cambria" w:hAnsi="Cambria"/>
          <w:sz w:val="22"/>
          <w:szCs w:val="22"/>
        </w:rPr>
        <w:t xml:space="preserve"> leuprorelin acetate. </w:t>
      </w:r>
      <w:r>
        <w:rPr>
          <w:rFonts w:ascii="Cambria" w:hAnsi="Cambria"/>
          <w:sz w:val="22"/>
          <w:szCs w:val="22"/>
        </w:rPr>
        <w:t>ELIGARD</w:t>
      </w:r>
      <w:r w:rsidR="00E04BAC" w:rsidRPr="00E26BA5">
        <w:rPr>
          <w:rFonts w:ascii="Cambria" w:hAnsi="Cambria"/>
          <w:sz w:val="22"/>
          <w:szCs w:val="22"/>
        </w:rPr>
        <w:t xml:space="preserve"> 4 month delivers 30 mg of leuprorelin acetate (equivalent to approximately 28 mg leuprorelin free base) dissolved in 258.5 mg N-methyl-2-pyrrolidone and 211.5 mg polyglactin. The approximate weight of the administered formulation is 500 mg. It is designed to deliver 30 mg of leuprorelin acetate at a controlled rate over a </w:t>
      </w:r>
      <w:proofErr w:type="gramStart"/>
      <w:r w:rsidR="00E04BAC" w:rsidRPr="00E26BA5">
        <w:rPr>
          <w:rFonts w:ascii="Cambria" w:hAnsi="Cambria"/>
          <w:sz w:val="22"/>
          <w:szCs w:val="22"/>
        </w:rPr>
        <w:t>4 month</w:t>
      </w:r>
      <w:proofErr w:type="gramEnd"/>
      <w:r w:rsidR="00E04BAC" w:rsidRPr="00E26BA5">
        <w:rPr>
          <w:rFonts w:ascii="Cambria" w:hAnsi="Cambria"/>
          <w:sz w:val="22"/>
          <w:szCs w:val="22"/>
        </w:rPr>
        <w:t xml:space="preserve"> therapeutic period.</w:t>
      </w:r>
    </w:p>
    <w:p w14:paraId="0FCECF80" w14:textId="04B427E3" w:rsidR="00E04BAC" w:rsidRDefault="00B37EF3" w:rsidP="00AE7E6C">
      <w:pPr>
        <w:pStyle w:val="BodyText"/>
        <w:spacing w:after="240" w:line="276" w:lineRule="auto"/>
        <w:ind w:left="0" w:right="68"/>
        <w:rPr>
          <w:rFonts w:ascii="Cambria" w:hAnsi="Cambria"/>
          <w:sz w:val="22"/>
          <w:szCs w:val="22"/>
        </w:rPr>
      </w:pPr>
      <w:r>
        <w:rPr>
          <w:rFonts w:ascii="Cambria" w:hAnsi="Cambria"/>
          <w:sz w:val="22"/>
          <w:szCs w:val="22"/>
        </w:rPr>
        <w:t>ELIGARD</w:t>
      </w:r>
      <w:r w:rsidR="00E04BAC" w:rsidRPr="00E26BA5">
        <w:rPr>
          <w:rFonts w:ascii="Cambria" w:hAnsi="Cambria"/>
          <w:sz w:val="22"/>
          <w:szCs w:val="22"/>
        </w:rPr>
        <w:t xml:space="preserve"> 6 month contains 59.2 mg of </w:t>
      </w:r>
      <w:proofErr w:type="spellStart"/>
      <w:r w:rsidR="00E04BAC" w:rsidRPr="00E26BA5">
        <w:rPr>
          <w:rFonts w:ascii="Cambria" w:hAnsi="Cambria"/>
          <w:sz w:val="22"/>
          <w:szCs w:val="22"/>
        </w:rPr>
        <w:t>lyophilised</w:t>
      </w:r>
      <w:proofErr w:type="spellEnd"/>
      <w:r w:rsidR="00E04BAC" w:rsidRPr="00E26BA5">
        <w:rPr>
          <w:rFonts w:ascii="Cambria" w:hAnsi="Cambria"/>
          <w:sz w:val="22"/>
          <w:szCs w:val="22"/>
        </w:rPr>
        <w:t xml:space="preserve"> leuprorelin acetate. </w:t>
      </w:r>
      <w:r>
        <w:rPr>
          <w:rFonts w:ascii="Cambria" w:hAnsi="Cambria"/>
          <w:sz w:val="22"/>
          <w:szCs w:val="22"/>
        </w:rPr>
        <w:t>ELIGARD</w:t>
      </w:r>
      <w:r w:rsidR="00E04BAC" w:rsidRPr="00E26BA5">
        <w:rPr>
          <w:rFonts w:ascii="Cambria" w:hAnsi="Cambria"/>
          <w:sz w:val="22"/>
          <w:szCs w:val="22"/>
        </w:rPr>
        <w:t xml:space="preserve"> 6 month </w:t>
      </w:r>
      <w:r w:rsidR="00E04BAC" w:rsidRPr="00E26BA5">
        <w:rPr>
          <w:rFonts w:ascii="Cambria" w:hAnsi="Cambria"/>
          <w:sz w:val="22"/>
          <w:szCs w:val="22"/>
        </w:rPr>
        <w:lastRenderedPageBreak/>
        <w:t xml:space="preserve">delivers 45 mg of leuprorelin acetate (equivalent to approximately 42 mg leuprorelin free base) dissolved in 165 mg N-methyl-2-pyrrolidone and 165 mg polyglactin. The approximate weight of the administered formulation is 375 mg. It is designed to deliver 45 mg of leuprorelin acetate at a controlled rate over a </w:t>
      </w:r>
      <w:proofErr w:type="gramStart"/>
      <w:r w:rsidR="00E04BAC" w:rsidRPr="00E26BA5">
        <w:rPr>
          <w:rFonts w:ascii="Cambria" w:hAnsi="Cambria"/>
          <w:sz w:val="22"/>
          <w:szCs w:val="22"/>
        </w:rPr>
        <w:t>6 month</w:t>
      </w:r>
      <w:proofErr w:type="gramEnd"/>
      <w:r w:rsidR="00E04BAC" w:rsidRPr="00E26BA5">
        <w:rPr>
          <w:rFonts w:ascii="Cambria" w:hAnsi="Cambria"/>
          <w:sz w:val="22"/>
          <w:szCs w:val="22"/>
        </w:rPr>
        <w:t xml:space="preserve"> therapeutic </w:t>
      </w:r>
      <w:r w:rsidR="00E26BA5">
        <w:rPr>
          <w:rFonts w:ascii="Cambria" w:hAnsi="Cambria"/>
          <w:sz w:val="22"/>
          <w:szCs w:val="22"/>
        </w:rPr>
        <w:t>period.</w:t>
      </w:r>
    </w:p>
    <w:p w14:paraId="5F157C79" w14:textId="77777777" w:rsidR="00792074" w:rsidRPr="00E26BA5" w:rsidRDefault="00792074" w:rsidP="00792074">
      <w:pPr>
        <w:pStyle w:val="BodyText"/>
        <w:spacing w:after="240" w:line="276" w:lineRule="auto"/>
        <w:ind w:left="0" w:right="68"/>
        <w:rPr>
          <w:rFonts w:ascii="Cambria" w:hAnsi="Cambria"/>
          <w:sz w:val="22"/>
          <w:szCs w:val="22"/>
        </w:rPr>
      </w:pPr>
      <w:r w:rsidRPr="00E26BA5">
        <w:rPr>
          <w:rFonts w:ascii="Cambria" w:hAnsi="Cambria"/>
          <w:sz w:val="22"/>
          <w:szCs w:val="22"/>
        </w:rPr>
        <w:t xml:space="preserve">The </w:t>
      </w:r>
      <w:proofErr w:type="spellStart"/>
      <w:r w:rsidRPr="00E26BA5">
        <w:rPr>
          <w:rFonts w:ascii="Cambria" w:hAnsi="Cambria"/>
          <w:sz w:val="22"/>
          <w:szCs w:val="22"/>
        </w:rPr>
        <w:t>Atrigel</w:t>
      </w:r>
      <w:proofErr w:type="spellEnd"/>
      <w:r w:rsidRPr="00D8548B">
        <w:rPr>
          <w:rFonts w:ascii="Cambria" w:hAnsi="Cambria"/>
          <w:sz w:val="22"/>
          <w:szCs w:val="22"/>
          <w:vertAlign w:val="superscript"/>
        </w:rPr>
        <w:t>®</w:t>
      </w:r>
      <w:r w:rsidRPr="00E26BA5">
        <w:rPr>
          <w:rFonts w:ascii="Cambria" w:hAnsi="Cambria"/>
          <w:sz w:val="22"/>
          <w:szCs w:val="22"/>
        </w:rPr>
        <w:t xml:space="preserve"> Delivery System is a polymeric (non-gelatin containing) delivery system consisting of a biodegradable polyglactin. The polymer is dissolved in a biocompatible solvent, N-methyl-2-pyrrolidone. The polyglactin mixture and volume differ with each presentation of </w:t>
      </w:r>
      <w:r>
        <w:rPr>
          <w:rFonts w:ascii="Cambria" w:hAnsi="Cambria"/>
          <w:sz w:val="22"/>
          <w:szCs w:val="22"/>
        </w:rPr>
        <w:t>ELIGARD</w:t>
      </w:r>
      <w:r w:rsidRPr="00E26BA5">
        <w:rPr>
          <w:rFonts w:ascii="Cambria" w:hAnsi="Cambria"/>
          <w:sz w:val="22"/>
          <w:szCs w:val="22"/>
        </w:rPr>
        <w:t>.</w:t>
      </w:r>
    </w:p>
    <w:p w14:paraId="78AC7757" w14:textId="2B2FEE2E" w:rsidR="00D8548B" w:rsidRPr="00E26BA5" w:rsidRDefault="00D8548B" w:rsidP="00AE7E6C">
      <w:pPr>
        <w:pStyle w:val="BodyText"/>
        <w:spacing w:after="240" w:line="276" w:lineRule="auto"/>
        <w:ind w:left="0" w:right="68"/>
        <w:rPr>
          <w:rFonts w:ascii="Cambria" w:hAnsi="Cambria"/>
          <w:sz w:val="22"/>
          <w:szCs w:val="22"/>
        </w:rPr>
      </w:pPr>
      <w:r>
        <w:rPr>
          <w:rFonts w:ascii="Cambria" w:hAnsi="Cambria"/>
          <w:sz w:val="22"/>
          <w:szCs w:val="22"/>
        </w:rPr>
        <w:t>ELIGARD</w:t>
      </w:r>
      <w:r w:rsidRPr="00E26BA5">
        <w:rPr>
          <w:rFonts w:ascii="Cambria" w:hAnsi="Cambria"/>
          <w:sz w:val="22"/>
          <w:szCs w:val="22"/>
        </w:rPr>
        <w:t xml:space="preserve"> contains no anti-microbial agent. </w:t>
      </w:r>
      <w:r>
        <w:rPr>
          <w:rFonts w:ascii="Cambria" w:hAnsi="Cambria"/>
          <w:sz w:val="22"/>
          <w:szCs w:val="22"/>
        </w:rPr>
        <w:t>ELIGARD</w:t>
      </w:r>
      <w:r w:rsidRPr="00E26BA5">
        <w:rPr>
          <w:rFonts w:ascii="Cambria" w:hAnsi="Cambria"/>
          <w:sz w:val="22"/>
          <w:szCs w:val="22"/>
        </w:rPr>
        <w:t xml:space="preserve"> does not </w:t>
      </w:r>
      <w:proofErr w:type="gramStart"/>
      <w:r w:rsidRPr="00E26BA5">
        <w:rPr>
          <w:rFonts w:ascii="Cambria" w:hAnsi="Cambria"/>
          <w:sz w:val="22"/>
          <w:szCs w:val="22"/>
        </w:rPr>
        <w:t>contain:</w:t>
      </w:r>
      <w:proofErr w:type="gramEnd"/>
      <w:r w:rsidRPr="00E26BA5">
        <w:rPr>
          <w:rFonts w:ascii="Cambria" w:hAnsi="Cambria"/>
          <w:sz w:val="22"/>
          <w:szCs w:val="22"/>
        </w:rPr>
        <w:t xml:space="preserve"> lactose, sucrose, gluten, tartrazine, or any other azo dyes.</w:t>
      </w:r>
    </w:p>
    <w:p w14:paraId="0BFB1474" w14:textId="77777777" w:rsidR="001A3992" w:rsidRPr="00EC5963" w:rsidRDefault="001A3992" w:rsidP="00EC5963">
      <w:pPr>
        <w:pStyle w:val="Heading1"/>
        <w:spacing w:before="0" w:after="120"/>
        <w:ind w:left="431" w:hanging="431"/>
        <w:rPr>
          <w:rFonts w:cstheme="minorHAnsi"/>
        </w:rPr>
      </w:pPr>
      <w:r w:rsidRPr="00EC5963">
        <w:rPr>
          <w:rFonts w:cstheme="minorHAnsi"/>
        </w:rPr>
        <w:t>Pharmaceutical form</w:t>
      </w:r>
    </w:p>
    <w:p w14:paraId="3A4C6D66" w14:textId="7505ABBF" w:rsidR="003A2592" w:rsidRPr="00E26BA5" w:rsidRDefault="007D1561" w:rsidP="00AE7E6C">
      <w:pPr>
        <w:pStyle w:val="BodyText"/>
        <w:spacing w:after="240" w:line="276" w:lineRule="auto"/>
        <w:ind w:left="0" w:right="68"/>
        <w:rPr>
          <w:rFonts w:ascii="Cambria" w:hAnsi="Cambria"/>
          <w:sz w:val="22"/>
          <w:szCs w:val="22"/>
        </w:rPr>
      </w:pPr>
      <w:r>
        <w:rPr>
          <w:rFonts w:ascii="Cambria" w:hAnsi="Cambria"/>
          <w:sz w:val="22"/>
          <w:szCs w:val="22"/>
        </w:rPr>
        <w:t>ELIGARD is a modified release suspension syringe</w:t>
      </w:r>
      <w:r w:rsidR="00710887">
        <w:rPr>
          <w:rFonts w:ascii="Cambria" w:hAnsi="Cambria"/>
          <w:sz w:val="22"/>
          <w:szCs w:val="22"/>
        </w:rPr>
        <w:t>,</w:t>
      </w:r>
      <w:r w:rsidR="00710887" w:rsidRPr="00710887">
        <w:rPr>
          <w:rFonts w:ascii="Cambria" w:hAnsi="Cambria"/>
          <w:sz w:val="22"/>
          <w:szCs w:val="22"/>
        </w:rPr>
        <w:t xml:space="preserve"> </w:t>
      </w:r>
      <w:r w:rsidR="00710887" w:rsidRPr="00E26BA5">
        <w:rPr>
          <w:rFonts w:ascii="Cambria" w:hAnsi="Cambria"/>
          <w:sz w:val="22"/>
          <w:szCs w:val="22"/>
        </w:rPr>
        <w:t>available in a single use kit</w:t>
      </w:r>
      <w:r>
        <w:rPr>
          <w:rFonts w:ascii="Cambria" w:hAnsi="Cambria"/>
          <w:sz w:val="22"/>
          <w:szCs w:val="22"/>
        </w:rPr>
        <w:t>.</w:t>
      </w:r>
    </w:p>
    <w:p w14:paraId="5AAE82EA" w14:textId="77A4C0DB" w:rsidR="00710887" w:rsidRPr="00E26BA5" w:rsidRDefault="00710887" w:rsidP="00710887">
      <w:pPr>
        <w:pStyle w:val="BodyText"/>
        <w:spacing w:after="240" w:line="276" w:lineRule="auto"/>
        <w:ind w:left="0" w:right="68"/>
        <w:rPr>
          <w:rFonts w:ascii="Cambria" w:hAnsi="Cambria"/>
          <w:sz w:val="22"/>
          <w:szCs w:val="22"/>
        </w:rPr>
      </w:pPr>
      <w:r>
        <w:rPr>
          <w:rFonts w:ascii="Cambria" w:hAnsi="Cambria"/>
          <w:sz w:val="22"/>
          <w:szCs w:val="22"/>
        </w:rPr>
        <w:t>ELIGARD</w:t>
      </w:r>
      <w:r w:rsidRPr="00E26BA5">
        <w:rPr>
          <w:rFonts w:ascii="Cambria" w:hAnsi="Cambria"/>
          <w:sz w:val="22"/>
          <w:szCs w:val="22"/>
        </w:rPr>
        <w:t xml:space="preserve"> is prefilled and supplied in two separate, sterile syringes whose contents are mixed immediately prior to administration. The two syringes are </w:t>
      </w:r>
      <w:proofErr w:type="gramStart"/>
      <w:r w:rsidRPr="00E26BA5">
        <w:rPr>
          <w:rFonts w:ascii="Cambria" w:hAnsi="Cambria"/>
          <w:sz w:val="22"/>
          <w:szCs w:val="22"/>
        </w:rPr>
        <w:t>joined</w:t>
      </w:r>
      <w:proofErr w:type="gramEnd"/>
      <w:r w:rsidRPr="00E26BA5">
        <w:rPr>
          <w:rFonts w:ascii="Cambria" w:hAnsi="Cambria"/>
          <w:sz w:val="22"/>
          <w:szCs w:val="22"/>
        </w:rPr>
        <w:t xml:space="preserve"> and the single dose product is mixed until it is homogenous. </w:t>
      </w:r>
      <w:r>
        <w:rPr>
          <w:rFonts w:ascii="Cambria" w:hAnsi="Cambria"/>
          <w:sz w:val="22"/>
          <w:szCs w:val="22"/>
        </w:rPr>
        <w:t>ELIGARD</w:t>
      </w:r>
      <w:r w:rsidRPr="00E26BA5">
        <w:rPr>
          <w:rFonts w:ascii="Cambria" w:hAnsi="Cambria"/>
          <w:sz w:val="22"/>
          <w:szCs w:val="22"/>
        </w:rPr>
        <w:t xml:space="preserve"> is administered subcutaneously where it forms a solid drug delivery </w:t>
      </w:r>
      <w:r>
        <w:rPr>
          <w:rFonts w:ascii="Cambria" w:hAnsi="Cambria"/>
          <w:sz w:val="22"/>
          <w:szCs w:val="22"/>
        </w:rPr>
        <w:t>depot.</w:t>
      </w:r>
    </w:p>
    <w:p w14:paraId="3390C455" w14:textId="77777777" w:rsidR="001A3992" w:rsidRPr="00EC5963" w:rsidRDefault="001A3992" w:rsidP="00EC5963">
      <w:pPr>
        <w:pStyle w:val="Heading1"/>
        <w:spacing w:before="0" w:after="120"/>
        <w:ind w:left="431" w:hanging="431"/>
        <w:rPr>
          <w:rFonts w:cstheme="minorHAnsi"/>
        </w:rPr>
      </w:pPr>
      <w:r w:rsidRPr="00EC5963">
        <w:rPr>
          <w:rFonts w:cstheme="minorHAnsi"/>
        </w:rPr>
        <w:t>Clinical particulars</w:t>
      </w:r>
    </w:p>
    <w:p w14:paraId="53C8D069" w14:textId="77777777" w:rsidR="001A3992" w:rsidRPr="00EC5963" w:rsidRDefault="001A3992" w:rsidP="006315BA">
      <w:pPr>
        <w:pStyle w:val="Heading2"/>
      </w:pPr>
      <w:r w:rsidRPr="00EC5963">
        <w:t xml:space="preserve">Therapeutic indications </w:t>
      </w:r>
    </w:p>
    <w:p w14:paraId="5BB55EF1" w14:textId="69DC7E0A" w:rsidR="000F211E" w:rsidRPr="00B35205" w:rsidRDefault="000F211E" w:rsidP="00BC74BC">
      <w:pPr>
        <w:pStyle w:val="Heading3"/>
        <w:numPr>
          <w:ilvl w:val="0"/>
          <w:numId w:val="0"/>
        </w:numPr>
      </w:pPr>
      <w:r w:rsidRPr="00BC74BC">
        <w:t>Prostate cancer</w:t>
      </w:r>
    </w:p>
    <w:p w14:paraId="7C3CF0B5" w14:textId="30054F8C" w:rsidR="00E26BA5"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E26BA5">
        <w:rPr>
          <w:rFonts w:ascii="Cambria" w:hAnsi="Cambria"/>
          <w:sz w:val="22"/>
          <w:szCs w:val="22"/>
        </w:rPr>
        <w:t xml:space="preserve"> </w:t>
      </w:r>
      <w:r w:rsidR="00771522">
        <w:rPr>
          <w:rFonts w:ascii="Cambria" w:hAnsi="Cambria"/>
          <w:sz w:val="22"/>
          <w:szCs w:val="22"/>
        </w:rPr>
        <w:t xml:space="preserve">7.5mg </w:t>
      </w:r>
      <w:r w:rsidR="002F20B6" w:rsidRPr="002F20B6">
        <w:rPr>
          <w:rFonts w:ascii="Cambria" w:hAnsi="Cambria"/>
          <w:sz w:val="22"/>
          <w:szCs w:val="22"/>
          <w:lang w:val="en-AU"/>
        </w:rPr>
        <w:t xml:space="preserve">1 month, ELIGARD </w:t>
      </w:r>
      <w:r w:rsidR="00771522">
        <w:rPr>
          <w:rFonts w:ascii="Cambria" w:hAnsi="Cambria"/>
          <w:sz w:val="22"/>
          <w:szCs w:val="22"/>
          <w:lang w:val="en-AU"/>
        </w:rPr>
        <w:t xml:space="preserve">22.5mg </w:t>
      </w:r>
      <w:r w:rsidR="002F20B6" w:rsidRPr="002F20B6">
        <w:rPr>
          <w:rFonts w:ascii="Cambria" w:hAnsi="Cambria"/>
          <w:sz w:val="22"/>
          <w:szCs w:val="22"/>
          <w:lang w:val="en-AU"/>
        </w:rPr>
        <w:t>3 month</w:t>
      </w:r>
      <w:r w:rsidR="0085438A">
        <w:rPr>
          <w:rFonts w:ascii="Cambria" w:hAnsi="Cambria"/>
          <w:sz w:val="22"/>
          <w:szCs w:val="22"/>
          <w:lang w:val="en-AU"/>
        </w:rPr>
        <w:t xml:space="preserve">, </w:t>
      </w:r>
      <w:r w:rsidR="0085438A" w:rsidRPr="002F20B6">
        <w:rPr>
          <w:rFonts w:ascii="Cambria" w:hAnsi="Cambria"/>
          <w:sz w:val="22"/>
          <w:szCs w:val="22"/>
          <w:lang w:val="en-AU"/>
        </w:rPr>
        <w:t xml:space="preserve">ELIGARD </w:t>
      </w:r>
      <w:r w:rsidR="00771522">
        <w:rPr>
          <w:rFonts w:ascii="Cambria" w:hAnsi="Cambria"/>
          <w:sz w:val="22"/>
          <w:szCs w:val="22"/>
          <w:lang w:val="en-AU"/>
        </w:rPr>
        <w:t xml:space="preserve">30mg </w:t>
      </w:r>
      <w:r w:rsidR="0085438A">
        <w:rPr>
          <w:rFonts w:ascii="Cambria" w:hAnsi="Cambria"/>
          <w:sz w:val="22"/>
          <w:szCs w:val="22"/>
          <w:lang w:val="en-AU"/>
        </w:rPr>
        <w:t>4</w:t>
      </w:r>
      <w:r w:rsidR="0085438A" w:rsidRPr="002F20B6">
        <w:rPr>
          <w:rFonts w:ascii="Cambria" w:hAnsi="Cambria"/>
          <w:sz w:val="22"/>
          <w:szCs w:val="22"/>
          <w:lang w:val="en-AU"/>
        </w:rPr>
        <w:t xml:space="preserve"> month</w:t>
      </w:r>
      <w:r w:rsidR="002F20B6" w:rsidRPr="002F20B6">
        <w:rPr>
          <w:rFonts w:ascii="Cambria" w:hAnsi="Cambria"/>
          <w:sz w:val="22"/>
          <w:szCs w:val="22"/>
          <w:lang w:val="en-AU"/>
        </w:rPr>
        <w:t xml:space="preserve"> and ELIGARD </w:t>
      </w:r>
      <w:r w:rsidR="00771522">
        <w:rPr>
          <w:rFonts w:ascii="Cambria" w:hAnsi="Cambria"/>
          <w:sz w:val="22"/>
          <w:szCs w:val="22"/>
          <w:lang w:val="en-AU"/>
        </w:rPr>
        <w:t xml:space="preserve">45mg </w:t>
      </w:r>
      <w:r w:rsidR="0085438A">
        <w:rPr>
          <w:rFonts w:ascii="Cambria" w:hAnsi="Cambria"/>
          <w:sz w:val="22"/>
          <w:szCs w:val="22"/>
          <w:lang w:val="en-AU"/>
        </w:rPr>
        <w:t>6</w:t>
      </w:r>
      <w:r w:rsidR="002F20B6" w:rsidRPr="002F20B6">
        <w:rPr>
          <w:rFonts w:ascii="Cambria" w:hAnsi="Cambria"/>
          <w:sz w:val="22"/>
          <w:szCs w:val="22"/>
          <w:lang w:val="en-AU"/>
        </w:rPr>
        <w:t xml:space="preserve"> </w:t>
      </w:r>
      <w:proofErr w:type="gramStart"/>
      <w:r w:rsidR="002F20B6" w:rsidRPr="002F20B6">
        <w:rPr>
          <w:rFonts w:ascii="Cambria" w:hAnsi="Cambria"/>
          <w:sz w:val="22"/>
          <w:szCs w:val="22"/>
          <w:lang w:val="en-AU"/>
        </w:rPr>
        <w:t xml:space="preserve">month </w:t>
      </w:r>
      <w:r w:rsidR="00364BB3">
        <w:rPr>
          <w:rFonts w:ascii="Cambria" w:hAnsi="Cambria"/>
          <w:sz w:val="22"/>
          <w:szCs w:val="22"/>
        </w:rPr>
        <w:t xml:space="preserve"> are</w:t>
      </w:r>
      <w:proofErr w:type="gramEnd"/>
      <w:r w:rsidR="005A4B67" w:rsidRPr="00E26BA5">
        <w:rPr>
          <w:rFonts w:ascii="Cambria" w:hAnsi="Cambria"/>
          <w:sz w:val="22"/>
          <w:szCs w:val="22"/>
        </w:rPr>
        <w:t xml:space="preserve"> indicated for the:</w:t>
      </w:r>
    </w:p>
    <w:p w14:paraId="2763A97E" w14:textId="40D66712" w:rsidR="005A4B67" w:rsidRPr="00E26BA5" w:rsidRDefault="005A4B67" w:rsidP="007355BB">
      <w:pPr>
        <w:pStyle w:val="BodyText"/>
        <w:numPr>
          <w:ilvl w:val="0"/>
          <w:numId w:val="2"/>
        </w:numPr>
        <w:spacing w:after="240" w:line="276" w:lineRule="auto"/>
        <w:ind w:left="714" w:right="68" w:hanging="357"/>
        <w:contextualSpacing/>
        <w:rPr>
          <w:rFonts w:ascii="Cambria" w:hAnsi="Cambria"/>
          <w:sz w:val="22"/>
          <w:szCs w:val="22"/>
        </w:rPr>
      </w:pPr>
      <w:r w:rsidRPr="00E26BA5">
        <w:rPr>
          <w:rFonts w:ascii="Cambria" w:hAnsi="Cambria"/>
          <w:sz w:val="22"/>
          <w:szCs w:val="22"/>
        </w:rPr>
        <w:t>Palliative treatment of advanced prostate cancer.</w:t>
      </w:r>
    </w:p>
    <w:p w14:paraId="4F4ED6E1" w14:textId="3C12706F" w:rsidR="005A4B67" w:rsidRDefault="005A4B67" w:rsidP="007355BB">
      <w:pPr>
        <w:pStyle w:val="BodyText"/>
        <w:numPr>
          <w:ilvl w:val="0"/>
          <w:numId w:val="2"/>
        </w:numPr>
        <w:spacing w:after="240" w:line="276" w:lineRule="auto"/>
        <w:ind w:right="68"/>
        <w:rPr>
          <w:rFonts w:ascii="Cambria" w:hAnsi="Cambria"/>
          <w:sz w:val="22"/>
          <w:szCs w:val="22"/>
        </w:rPr>
      </w:pPr>
      <w:r w:rsidRPr="00E26BA5">
        <w:rPr>
          <w:rFonts w:ascii="Cambria" w:hAnsi="Cambria"/>
          <w:sz w:val="22"/>
          <w:szCs w:val="22"/>
        </w:rPr>
        <w:t xml:space="preserve">Treatment of high-risk </w:t>
      </w:r>
      <w:proofErr w:type="spellStart"/>
      <w:r w:rsidRPr="00E26BA5">
        <w:rPr>
          <w:rFonts w:ascii="Cambria" w:hAnsi="Cambria"/>
          <w:sz w:val="22"/>
          <w:szCs w:val="22"/>
        </w:rPr>
        <w:t>localised</w:t>
      </w:r>
      <w:proofErr w:type="spellEnd"/>
      <w:r w:rsidRPr="00E26BA5">
        <w:rPr>
          <w:rFonts w:ascii="Cambria" w:hAnsi="Cambria"/>
          <w:sz w:val="22"/>
          <w:szCs w:val="22"/>
        </w:rPr>
        <w:t xml:space="preserve"> and locally advanced hormone-dependent prostate cancer in combination with radiotherapy.</w:t>
      </w:r>
      <w:r w:rsidRPr="0059466D">
        <w:rPr>
          <w:rFonts w:ascii="Cambria" w:hAnsi="Cambria"/>
          <w:sz w:val="22"/>
          <w:szCs w:val="22"/>
          <w:vertAlign w:val="superscript"/>
        </w:rPr>
        <w:footnoteReference w:id="2"/>
      </w:r>
    </w:p>
    <w:p w14:paraId="7A0C4CEE" w14:textId="29E17AF5" w:rsidR="000F211E" w:rsidRPr="00B35205" w:rsidRDefault="000F211E" w:rsidP="00BC74BC">
      <w:pPr>
        <w:pStyle w:val="Heading3"/>
        <w:numPr>
          <w:ilvl w:val="0"/>
          <w:numId w:val="0"/>
        </w:numPr>
      </w:pPr>
      <w:r w:rsidRPr="00BC74BC">
        <w:t>Central precocious puberty (CPP)</w:t>
      </w:r>
    </w:p>
    <w:p w14:paraId="4792EBB5" w14:textId="33E88392" w:rsidR="00CB5587" w:rsidRPr="00AE7E6C" w:rsidRDefault="006010AB" w:rsidP="00110804">
      <w:pPr>
        <w:pStyle w:val="BodyText"/>
        <w:spacing w:after="240" w:line="276" w:lineRule="auto"/>
        <w:ind w:left="0" w:right="68"/>
        <w:contextualSpacing/>
        <w:rPr>
          <w:rFonts w:ascii="Cambria" w:hAnsi="Cambria"/>
          <w:sz w:val="22"/>
          <w:szCs w:val="22"/>
        </w:rPr>
      </w:pPr>
      <w:r>
        <w:rPr>
          <w:rFonts w:ascii="Cambria" w:hAnsi="Cambria"/>
          <w:sz w:val="22"/>
          <w:szCs w:val="22"/>
        </w:rPr>
        <w:t>ELIGARD</w:t>
      </w:r>
      <w:r w:rsidRPr="00E26BA5">
        <w:rPr>
          <w:rFonts w:ascii="Cambria" w:hAnsi="Cambria"/>
          <w:sz w:val="22"/>
          <w:szCs w:val="22"/>
        </w:rPr>
        <w:t xml:space="preserve"> </w:t>
      </w:r>
      <w:r w:rsidR="00B604C3">
        <w:rPr>
          <w:rFonts w:ascii="Cambria" w:hAnsi="Cambria"/>
          <w:sz w:val="22"/>
          <w:szCs w:val="22"/>
          <w:lang w:val="en-AU"/>
        </w:rPr>
        <w:t>45mg</w:t>
      </w:r>
      <w:r w:rsidR="00B604C3">
        <w:rPr>
          <w:rFonts w:ascii="Cambria" w:hAnsi="Cambria"/>
          <w:sz w:val="22"/>
          <w:szCs w:val="22"/>
        </w:rPr>
        <w:t xml:space="preserve"> </w:t>
      </w:r>
      <w:r>
        <w:rPr>
          <w:rFonts w:ascii="Cambria" w:hAnsi="Cambria"/>
          <w:sz w:val="22"/>
          <w:szCs w:val="22"/>
        </w:rPr>
        <w:t>6</w:t>
      </w:r>
      <w:r w:rsidRPr="002F20B6">
        <w:rPr>
          <w:rFonts w:ascii="Cambria" w:hAnsi="Cambria"/>
          <w:sz w:val="22"/>
          <w:szCs w:val="22"/>
          <w:lang w:val="en-AU"/>
        </w:rPr>
        <w:t xml:space="preserve"> </w:t>
      </w:r>
      <w:r w:rsidR="005640D9" w:rsidRPr="002F20B6">
        <w:rPr>
          <w:rFonts w:ascii="Cambria" w:hAnsi="Cambria"/>
          <w:sz w:val="22"/>
          <w:szCs w:val="22"/>
          <w:lang w:val="en-AU"/>
        </w:rPr>
        <w:t xml:space="preserve">month </w:t>
      </w:r>
      <w:r w:rsidR="005640D9">
        <w:rPr>
          <w:rFonts w:ascii="Cambria" w:hAnsi="Cambria"/>
          <w:sz w:val="22"/>
          <w:szCs w:val="22"/>
          <w:lang w:val="en-AU"/>
        </w:rPr>
        <w:t>is</w:t>
      </w:r>
      <w:r w:rsidRPr="00E26BA5">
        <w:rPr>
          <w:rFonts w:ascii="Cambria" w:hAnsi="Cambria"/>
          <w:sz w:val="22"/>
          <w:szCs w:val="22"/>
        </w:rPr>
        <w:t xml:space="preserve"> indicated for the</w:t>
      </w:r>
      <w:r w:rsidR="0085438A">
        <w:rPr>
          <w:rFonts w:ascii="Cambria" w:hAnsi="Cambria"/>
          <w:sz w:val="22"/>
          <w:szCs w:val="22"/>
        </w:rPr>
        <w:t xml:space="preserve"> </w:t>
      </w:r>
      <w:r w:rsidR="00935EA7">
        <w:rPr>
          <w:rFonts w:ascii="Cambria" w:hAnsi="Cambria"/>
          <w:sz w:val="22"/>
          <w:szCs w:val="22"/>
        </w:rPr>
        <w:t>t</w:t>
      </w:r>
      <w:r w:rsidR="00CB5587" w:rsidRPr="003207B6">
        <w:rPr>
          <w:rFonts w:ascii="Cambria" w:hAnsi="Cambria"/>
          <w:sz w:val="22"/>
          <w:szCs w:val="22"/>
        </w:rPr>
        <w:t xml:space="preserve">reatment of </w:t>
      </w:r>
      <w:r w:rsidR="00C42272">
        <w:rPr>
          <w:rFonts w:ascii="Cambria" w:hAnsi="Cambria"/>
          <w:sz w:val="22"/>
          <w:szCs w:val="22"/>
        </w:rPr>
        <w:t>children</w:t>
      </w:r>
      <w:r w:rsidR="00CB5587" w:rsidRPr="003207B6">
        <w:rPr>
          <w:rFonts w:ascii="Cambria" w:hAnsi="Cambria"/>
          <w:sz w:val="22"/>
          <w:szCs w:val="22"/>
        </w:rPr>
        <w:t xml:space="preserve"> </w:t>
      </w:r>
      <w:r w:rsidR="001E4B50" w:rsidRPr="001E4B50">
        <w:rPr>
          <w:rFonts w:ascii="Cambria" w:hAnsi="Cambria"/>
          <w:sz w:val="22"/>
          <w:szCs w:val="22"/>
          <w:lang w:val="en-AU"/>
        </w:rPr>
        <w:t xml:space="preserve">2 years of </w:t>
      </w:r>
      <w:r w:rsidR="00B6338E">
        <w:rPr>
          <w:rFonts w:ascii="Cambria" w:hAnsi="Cambria"/>
          <w:sz w:val="22"/>
          <w:szCs w:val="22"/>
          <w:lang w:val="en-AU"/>
        </w:rPr>
        <w:t xml:space="preserve">age </w:t>
      </w:r>
      <w:r w:rsidR="001E4B50" w:rsidRPr="001E4B50">
        <w:rPr>
          <w:rFonts w:ascii="Cambria" w:hAnsi="Cambria"/>
          <w:sz w:val="22"/>
          <w:szCs w:val="22"/>
          <w:lang w:val="en-AU"/>
        </w:rPr>
        <w:t>and older</w:t>
      </w:r>
      <w:r w:rsidR="001E4B50" w:rsidRPr="001E4B50">
        <w:rPr>
          <w:rFonts w:ascii="Cambria" w:hAnsi="Cambria"/>
          <w:i/>
          <w:iCs/>
          <w:sz w:val="22"/>
          <w:szCs w:val="22"/>
          <w:lang w:val="en-AU"/>
        </w:rPr>
        <w:t xml:space="preserve"> </w:t>
      </w:r>
      <w:r w:rsidR="00CB5587" w:rsidRPr="003207B6">
        <w:rPr>
          <w:rFonts w:ascii="Cambria" w:hAnsi="Cambria"/>
          <w:sz w:val="22"/>
          <w:szCs w:val="22"/>
        </w:rPr>
        <w:t>with central precocious puberty</w:t>
      </w:r>
      <w:r w:rsidR="001C5FA6">
        <w:rPr>
          <w:rFonts w:ascii="Cambria" w:hAnsi="Cambria"/>
          <w:sz w:val="22"/>
          <w:szCs w:val="22"/>
        </w:rPr>
        <w:t xml:space="preserve"> (CPP)</w:t>
      </w:r>
      <w:r w:rsidR="00CB5587" w:rsidRPr="003207B6">
        <w:rPr>
          <w:rFonts w:ascii="Cambria" w:hAnsi="Cambria"/>
          <w:sz w:val="22"/>
          <w:szCs w:val="22"/>
        </w:rPr>
        <w:t>.</w:t>
      </w:r>
    </w:p>
    <w:p w14:paraId="71CE49C5" w14:textId="42712B59" w:rsidR="005A4B67" w:rsidRPr="000E39BC" w:rsidRDefault="001A3992" w:rsidP="000E39BC">
      <w:pPr>
        <w:pStyle w:val="Heading2"/>
      </w:pPr>
      <w:r w:rsidRPr="000E39BC">
        <w:t xml:space="preserve">Dose and method of administration </w:t>
      </w:r>
    </w:p>
    <w:p w14:paraId="65C900D2" w14:textId="29E85445" w:rsidR="005A4B67" w:rsidRDefault="005A4B67" w:rsidP="00AE7E6C">
      <w:pPr>
        <w:pStyle w:val="BodyText"/>
        <w:spacing w:after="240" w:line="276" w:lineRule="auto"/>
        <w:ind w:left="0" w:right="68"/>
        <w:rPr>
          <w:rFonts w:ascii="Cambria" w:hAnsi="Cambria"/>
          <w:sz w:val="22"/>
          <w:szCs w:val="22"/>
        </w:rPr>
      </w:pPr>
      <w:r w:rsidRPr="00AE7E6C">
        <w:rPr>
          <w:rFonts w:ascii="Cambria" w:hAnsi="Cambria"/>
          <w:b/>
          <w:sz w:val="22"/>
          <w:szCs w:val="22"/>
        </w:rPr>
        <w:t>IMPORTANT:</w:t>
      </w:r>
      <w:r w:rsidRPr="00AE7E6C">
        <w:rPr>
          <w:rFonts w:ascii="Cambria" w:hAnsi="Cambria"/>
          <w:sz w:val="22"/>
          <w:szCs w:val="22"/>
        </w:rPr>
        <w:t xml:space="preserve"> Allow the product to reach room temperature before using. </w:t>
      </w:r>
      <w:r w:rsidRPr="00AE7E6C">
        <w:rPr>
          <w:rFonts w:ascii="Cambria" w:hAnsi="Cambria"/>
          <w:b/>
          <w:sz w:val="22"/>
          <w:szCs w:val="22"/>
        </w:rPr>
        <w:t xml:space="preserve">Once mixed, </w:t>
      </w:r>
      <w:r w:rsidR="00496210">
        <w:rPr>
          <w:rFonts w:ascii="Cambria" w:hAnsi="Cambria"/>
          <w:b/>
          <w:sz w:val="22"/>
          <w:szCs w:val="22"/>
        </w:rPr>
        <w:t>ELIGARD</w:t>
      </w:r>
      <w:r w:rsidRPr="00AE7E6C">
        <w:rPr>
          <w:rFonts w:ascii="Cambria" w:hAnsi="Cambria"/>
          <w:b/>
          <w:sz w:val="22"/>
          <w:szCs w:val="22"/>
        </w:rPr>
        <w:t xml:space="preserve"> must be administered within 30 minutes.</w:t>
      </w:r>
      <w:r w:rsidRPr="00AE7E6C">
        <w:rPr>
          <w:rFonts w:ascii="Cambria" w:hAnsi="Cambria"/>
          <w:sz w:val="22"/>
          <w:szCs w:val="22"/>
        </w:rPr>
        <w:t xml:space="preserve"> Discard the constituted product if not </w:t>
      </w:r>
      <w:r w:rsidRPr="00AE7E6C">
        <w:rPr>
          <w:rFonts w:ascii="Cambria" w:hAnsi="Cambria"/>
          <w:sz w:val="22"/>
          <w:szCs w:val="22"/>
        </w:rPr>
        <w:lastRenderedPageBreak/>
        <w:t>administered within 30 minutes.</w:t>
      </w:r>
    </w:p>
    <w:p w14:paraId="60A0F135" w14:textId="20BA8A4A" w:rsidR="005A4B67" w:rsidRDefault="005A4B67"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The two syringes are </w:t>
      </w:r>
      <w:proofErr w:type="gramStart"/>
      <w:r w:rsidRPr="00AE7E6C">
        <w:rPr>
          <w:rFonts w:ascii="Cambria" w:hAnsi="Cambria"/>
          <w:sz w:val="22"/>
          <w:szCs w:val="22"/>
        </w:rPr>
        <w:t>coupled</w:t>
      </w:r>
      <w:proofErr w:type="gramEnd"/>
      <w:r w:rsidRPr="00AE7E6C">
        <w:rPr>
          <w:rFonts w:ascii="Cambria" w:hAnsi="Cambria"/>
          <w:sz w:val="22"/>
          <w:szCs w:val="22"/>
        </w:rPr>
        <w:t xml:space="preserve"> and the product is mixed by transferring the contents from syringe to syringe immediately before administration to the patient. Refer to the </w:t>
      </w:r>
      <w:r w:rsidR="006A4753" w:rsidRPr="006A4753">
        <w:rPr>
          <w:rFonts w:ascii="Cambria" w:hAnsi="Cambria"/>
          <w:sz w:val="22"/>
          <w:szCs w:val="22"/>
          <w:lang w:val="en-AU"/>
        </w:rPr>
        <w:t>instruction leaflet contained in the packaging</w:t>
      </w:r>
      <w:r w:rsidRPr="00AE7E6C">
        <w:rPr>
          <w:rFonts w:ascii="Cambria" w:hAnsi="Cambria"/>
          <w:sz w:val="22"/>
          <w:szCs w:val="22"/>
        </w:rPr>
        <w:t xml:space="preserve"> titled </w:t>
      </w:r>
      <w:r w:rsidR="00496210">
        <w:rPr>
          <w:rFonts w:ascii="Cambria" w:hAnsi="Cambria"/>
          <w:sz w:val="22"/>
          <w:szCs w:val="22"/>
        </w:rPr>
        <w:t>ELIGARD</w:t>
      </w:r>
      <w:r w:rsidRPr="00AE7E6C">
        <w:rPr>
          <w:rFonts w:ascii="Cambria" w:hAnsi="Cambria"/>
          <w:sz w:val="22"/>
          <w:szCs w:val="22"/>
        </w:rPr>
        <w:t xml:space="preserve"> Mixing Procedure. The syringes are </w:t>
      </w:r>
      <w:proofErr w:type="gramStart"/>
      <w:r w:rsidRPr="00AE7E6C">
        <w:rPr>
          <w:rFonts w:ascii="Cambria" w:hAnsi="Cambria"/>
          <w:sz w:val="22"/>
          <w:szCs w:val="22"/>
        </w:rPr>
        <w:t>uncoupled</w:t>
      </w:r>
      <w:proofErr w:type="gramEnd"/>
      <w:r w:rsidRPr="00AE7E6C">
        <w:rPr>
          <w:rFonts w:ascii="Cambria" w:hAnsi="Cambria"/>
          <w:sz w:val="22"/>
          <w:szCs w:val="22"/>
        </w:rPr>
        <w:t xml:space="preserve"> and the needle is attached prior to injection. The product is injected subcutaneously into areas with adequate amounts of subcutaneous tissue (such as the abdomen) and that do not have excessive pigment, nodules, lesions, or hair. As with other drugs administered by subcutaneous injection, the injection site should be varied periodically.</w:t>
      </w:r>
    </w:p>
    <w:p w14:paraId="40794E93" w14:textId="26A6A60A" w:rsidR="00727924" w:rsidRDefault="31B6B643" w:rsidP="00727924">
      <w:pPr>
        <w:pStyle w:val="BodyText"/>
        <w:spacing w:after="240" w:line="276" w:lineRule="auto"/>
        <w:ind w:left="0" w:right="68"/>
        <w:rPr>
          <w:rFonts w:ascii="Cambria" w:hAnsi="Cambria"/>
          <w:sz w:val="22"/>
          <w:szCs w:val="22"/>
        </w:rPr>
      </w:pPr>
      <w:r w:rsidRPr="776C969C">
        <w:rPr>
          <w:rFonts w:ascii="Cambria" w:hAnsi="Cambria"/>
          <w:sz w:val="22"/>
          <w:szCs w:val="22"/>
        </w:rPr>
        <w:t>ELIGARD</w:t>
      </w:r>
      <w:r w:rsidRPr="776C969C">
        <w:rPr>
          <w:rFonts w:ascii="Cambria" w:hAnsi="Cambria"/>
          <w:sz w:val="22"/>
          <w:szCs w:val="22"/>
          <w:lang w:val="en-AU"/>
        </w:rPr>
        <w:t xml:space="preserve"> must be administered by healthcare professional</w:t>
      </w:r>
      <w:r w:rsidR="3D6E45CE" w:rsidRPr="776C969C">
        <w:rPr>
          <w:rFonts w:ascii="Cambria" w:hAnsi="Cambria"/>
          <w:sz w:val="22"/>
          <w:szCs w:val="22"/>
          <w:lang w:val="en-AU"/>
        </w:rPr>
        <w:t>.</w:t>
      </w:r>
    </w:p>
    <w:p w14:paraId="6E674C1A" w14:textId="6B683237" w:rsidR="00727924" w:rsidRPr="00050D03" w:rsidRDefault="00727924" w:rsidP="00BC74BC">
      <w:pPr>
        <w:pStyle w:val="Heading3"/>
        <w:numPr>
          <w:ilvl w:val="0"/>
          <w:numId w:val="0"/>
        </w:numPr>
      </w:pPr>
      <w:r w:rsidRPr="00BC74BC">
        <w:t>Prostate Cancer</w:t>
      </w:r>
    </w:p>
    <w:p w14:paraId="6F94259F" w14:textId="77777777" w:rsidR="0077502F" w:rsidRDefault="005A4B67"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When thoroughly mixed, the suspension will appear a light tan to tan </w:t>
      </w:r>
      <w:proofErr w:type="spellStart"/>
      <w:r w:rsidRPr="00AE7E6C">
        <w:rPr>
          <w:rFonts w:ascii="Cambria" w:hAnsi="Cambria"/>
          <w:sz w:val="22"/>
          <w:szCs w:val="22"/>
        </w:rPr>
        <w:t>colour</w:t>
      </w:r>
      <w:proofErr w:type="spellEnd"/>
      <w:r w:rsidRPr="00AE7E6C">
        <w:rPr>
          <w:rFonts w:ascii="Cambria" w:hAnsi="Cambria"/>
          <w:sz w:val="22"/>
          <w:szCs w:val="22"/>
        </w:rPr>
        <w:t xml:space="preserve"> (</w:t>
      </w:r>
      <w:r w:rsidR="00496210">
        <w:rPr>
          <w:rFonts w:ascii="Cambria" w:hAnsi="Cambria"/>
          <w:sz w:val="22"/>
          <w:szCs w:val="22"/>
        </w:rPr>
        <w:t>ELIGARD</w:t>
      </w:r>
      <w:r w:rsidRPr="00AE7E6C">
        <w:rPr>
          <w:rFonts w:ascii="Cambria" w:hAnsi="Cambria"/>
          <w:sz w:val="22"/>
          <w:szCs w:val="22"/>
        </w:rPr>
        <w:t xml:space="preserve"> 1 month) or a </w:t>
      </w:r>
      <w:proofErr w:type="spellStart"/>
      <w:r w:rsidRPr="00AE7E6C">
        <w:rPr>
          <w:rFonts w:ascii="Cambria" w:hAnsi="Cambria"/>
          <w:sz w:val="22"/>
          <w:szCs w:val="22"/>
        </w:rPr>
        <w:t>colourless</w:t>
      </w:r>
      <w:proofErr w:type="spellEnd"/>
      <w:r w:rsidRPr="00AE7E6C">
        <w:rPr>
          <w:rFonts w:ascii="Cambria" w:hAnsi="Cambria"/>
          <w:sz w:val="22"/>
          <w:szCs w:val="22"/>
        </w:rPr>
        <w:t xml:space="preserve"> to pale yellow </w:t>
      </w:r>
      <w:proofErr w:type="spellStart"/>
      <w:r w:rsidRPr="00AE7E6C">
        <w:rPr>
          <w:rFonts w:ascii="Cambria" w:hAnsi="Cambria"/>
          <w:sz w:val="22"/>
          <w:szCs w:val="22"/>
        </w:rPr>
        <w:t>colour</w:t>
      </w:r>
      <w:proofErr w:type="spellEnd"/>
      <w:r w:rsidRPr="00AE7E6C">
        <w:rPr>
          <w:rFonts w:ascii="Cambria" w:hAnsi="Cambria"/>
          <w:sz w:val="22"/>
          <w:szCs w:val="22"/>
        </w:rPr>
        <w:t xml:space="preserve"> (</w:t>
      </w:r>
      <w:r w:rsidR="00496210">
        <w:rPr>
          <w:rFonts w:ascii="Cambria" w:hAnsi="Cambria"/>
          <w:sz w:val="22"/>
          <w:szCs w:val="22"/>
        </w:rPr>
        <w:t>ELIGARD</w:t>
      </w:r>
      <w:r w:rsidRPr="00AE7E6C">
        <w:rPr>
          <w:rFonts w:ascii="Cambria" w:hAnsi="Cambria"/>
          <w:sz w:val="22"/>
          <w:szCs w:val="22"/>
        </w:rPr>
        <w:t xml:space="preserve"> 3 month, </w:t>
      </w:r>
      <w:r w:rsidR="00496210">
        <w:rPr>
          <w:rFonts w:ascii="Cambria" w:hAnsi="Cambria"/>
          <w:sz w:val="22"/>
          <w:szCs w:val="22"/>
        </w:rPr>
        <w:t>ELIGARD</w:t>
      </w:r>
      <w:r w:rsidRPr="00AE7E6C">
        <w:rPr>
          <w:rFonts w:ascii="Cambria" w:hAnsi="Cambria"/>
          <w:sz w:val="22"/>
          <w:szCs w:val="22"/>
        </w:rPr>
        <w:t xml:space="preserve"> 4 month and </w:t>
      </w:r>
      <w:r w:rsidR="00496210">
        <w:rPr>
          <w:rFonts w:ascii="Cambria" w:hAnsi="Cambria"/>
          <w:sz w:val="22"/>
          <w:szCs w:val="22"/>
        </w:rPr>
        <w:t>ELIGARD</w:t>
      </w:r>
      <w:r w:rsidRPr="00AE7E6C">
        <w:rPr>
          <w:rFonts w:ascii="Cambria" w:hAnsi="Cambria"/>
          <w:sz w:val="22"/>
          <w:szCs w:val="22"/>
        </w:rPr>
        <w:t xml:space="preserve"> 6 month). The mixed solution </w:t>
      </w:r>
      <w:proofErr w:type="spellStart"/>
      <w:r w:rsidRPr="00AE7E6C">
        <w:rPr>
          <w:rFonts w:ascii="Cambria" w:hAnsi="Cambria"/>
          <w:sz w:val="22"/>
          <w:szCs w:val="22"/>
        </w:rPr>
        <w:t>colour</w:t>
      </w:r>
      <w:proofErr w:type="spellEnd"/>
      <w:r w:rsidRPr="00AE7E6C">
        <w:rPr>
          <w:rFonts w:ascii="Cambria" w:hAnsi="Cambria"/>
          <w:sz w:val="22"/>
          <w:szCs w:val="22"/>
        </w:rPr>
        <w:t xml:space="preserve"> is not representative of product quality. An occasional slightly grey appearance of the mixed solution may be due to tiny air bubbles and will not affect the product q</w:t>
      </w:r>
      <w:r w:rsidR="0077502F">
        <w:rPr>
          <w:rFonts w:ascii="Cambria" w:hAnsi="Cambria"/>
          <w:sz w:val="22"/>
          <w:szCs w:val="22"/>
        </w:rPr>
        <w:t>uality.</w:t>
      </w:r>
    </w:p>
    <w:p w14:paraId="091B4A99" w14:textId="4324A329" w:rsidR="005A4B67" w:rsidRPr="00AE7E6C"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AE7E6C">
        <w:rPr>
          <w:rFonts w:ascii="Cambria" w:hAnsi="Cambria"/>
          <w:sz w:val="22"/>
          <w:szCs w:val="22"/>
        </w:rPr>
        <w:t xml:space="preserve"> should not be injected in the arm.</w:t>
      </w:r>
    </w:p>
    <w:p w14:paraId="77098B99" w14:textId="2B7F6130" w:rsidR="005A4B67" w:rsidRPr="00AE7E6C" w:rsidRDefault="005A4B67" w:rsidP="0059466D">
      <w:pPr>
        <w:pStyle w:val="BodyText"/>
        <w:spacing w:after="240" w:line="276" w:lineRule="auto"/>
        <w:ind w:left="0" w:right="68"/>
        <w:contextualSpacing/>
        <w:rPr>
          <w:rFonts w:ascii="Cambria" w:hAnsi="Cambria"/>
          <w:sz w:val="22"/>
          <w:szCs w:val="22"/>
        </w:rPr>
      </w:pPr>
      <w:r w:rsidRPr="00AE7E6C">
        <w:rPr>
          <w:rFonts w:ascii="Cambria" w:hAnsi="Cambria"/>
          <w:sz w:val="22"/>
          <w:szCs w:val="22"/>
        </w:rPr>
        <w:t xml:space="preserve">The recommended dose of </w:t>
      </w:r>
      <w:r w:rsidR="00496210">
        <w:rPr>
          <w:rFonts w:ascii="Cambria" w:hAnsi="Cambria"/>
          <w:sz w:val="22"/>
          <w:szCs w:val="22"/>
        </w:rPr>
        <w:t>ELIGARD</w:t>
      </w:r>
      <w:r w:rsidRPr="00AE7E6C">
        <w:rPr>
          <w:rFonts w:ascii="Cambria" w:hAnsi="Cambria"/>
          <w:sz w:val="22"/>
          <w:szCs w:val="22"/>
        </w:rPr>
        <w:t xml:space="preserve"> </w:t>
      </w:r>
      <w:r w:rsidR="00C6299B">
        <w:rPr>
          <w:rFonts w:ascii="Cambria" w:hAnsi="Cambria"/>
          <w:sz w:val="22"/>
          <w:szCs w:val="22"/>
        </w:rPr>
        <w:t xml:space="preserve">7.5mg </w:t>
      </w:r>
      <w:r w:rsidRPr="00AE7E6C">
        <w:rPr>
          <w:rFonts w:ascii="Cambria" w:hAnsi="Cambria"/>
          <w:sz w:val="22"/>
          <w:szCs w:val="22"/>
        </w:rPr>
        <w:t>1 month is one injection every month.</w:t>
      </w:r>
    </w:p>
    <w:p w14:paraId="0C7E0AAE" w14:textId="635A0BA4" w:rsidR="00AE7E6C" w:rsidRDefault="005A4B67" w:rsidP="0059466D">
      <w:pPr>
        <w:pStyle w:val="BodyText"/>
        <w:spacing w:after="240" w:line="276" w:lineRule="auto"/>
        <w:ind w:left="0" w:right="68"/>
        <w:contextualSpacing/>
        <w:rPr>
          <w:rFonts w:ascii="Cambria" w:hAnsi="Cambria"/>
          <w:sz w:val="22"/>
          <w:szCs w:val="22"/>
        </w:rPr>
      </w:pPr>
      <w:r w:rsidRPr="00AE7E6C">
        <w:rPr>
          <w:rFonts w:ascii="Cambria" w:hAnsi="Cambria"/>
          <w:sz w:val="22"/>
          <w:szCs w:val="22"/>
        </w:rPr>
        <w:t xml:space="preserve">The recommended dose of </w:t>
      </w:r>
      <w:r w:rsidR="00496210">
        <w:rPr>
          <w:rFonts w:ascii="Cambria" w:hAnsi="Cambria"/>
          <w:sz w:val="22"/>
          <w:szCs w:val="22"/>
        </w:rPr>
        <w:t>ELIGARD</w:t>
      </w:r>
      <w:r w:rsidRPr="00AE7E6C">
        <w:rPr>
          <w:rFonts w:ascii="Cambria" w:hAnsi="Cambria"/>
          <w:sz w:val="22"/>
          <w:szCs w:val="22"/>
        </w:rPr>
        <w:t xml:space="preserve"> </w:t>
      </w:r>
      <w:r w:rsidR="00C6299B">
        <w:rPr>
          <w:rFonts w:ascii="Cambria" w:hAnsi="Cambria"/>
          <w:sz w:val="22"/>
          <w:szCs w:val="22"/>
        </w:rPr>
        <w:t xml:space="preserve">22.5mg </w:t>
      </w:r>
      <w:r w:rsidRPr="00AE7E6C">
        <w:rPr>
          <w:rFonts w:ascii="Cambria" w:hAnsi="Cambria"/>
          <w:sz w:val="22"/>
          <w:szCs w:val="22"/>
        </w:rPr>
        <w:t xml:space="preserve">3 month is one injection every three months. </w:t>
      </w:r>
    </w:p>
    <w:p w14:paraId="443D5961" w14:textId="0B538B0A" w:rsidR="005A4B67" w:rsidRPr="00AE7E6C" w:rsidRDefault="005A4B67" w:rsidP="0059466D">
      <w:pPr>
        <w:pStyle w:val="BodyText"/>
        <w:spacing w:after="240" w:line="276" w:lineRule="auto"/>
        <w:ind w:left="0" w:right="68"/>
        <w:contextualSpacing/>
        <w:rPr>
          <w:rFonts w:ascii="Cambria" w:hAnsi="Cambria"/>
          <w:sz w:val="22"/>
          <w:szCs w:val="22"/>
        </w:rPr>
      </w:pPr>
      <w:r w:rsidRPr="00AE7E6C">
        <w:rPr>
          <w:rFonts w:ascii="Cambria" w:hAnsi="Cambria"/>
          <w:sz w:val="22"/>
          <w:szCs w:val="22"/>
        </w:rPr>
        <w:t xml:space="preserve">The recommended dose of </w:t>
      </w:r>
      <w:r w:rsidR="00496210">
        <w:rPr>
          <w:rFonts w:ascii="Cambria" w:hAnsi="Cambria"/>
          <w:sz w:val="22"/>
          <w:szCs w:val="22"/>
        </w:rPr>
        <w:t>ELIGARD</w:t>
      </w:r>
      <w:r w:rsidRPr="00AE7E6C">
        <w:rPr>
          <w:rFonts w:ascii="Cambria" w:hAnsi="Cambria"/>
          <w:sz w:val="22"/>
          <w:szCs w:val="22"/>
        </w:rPr>
        <w:t xml:space="preserve"> </w:t>
      </w:r>
      <w:r w:rsidR="00C6299B">
        <w:rPr>
          <w:rFonts w:ascii="Cambria" w:hAnsi="Cambria"/>
          <w:sz w:val="22"/>
          <w:szCs w:val="22"/>
        </w:rPr>
        <w:t xml:space="preserve">30mg </w:t>
      </w:r>
      <w:r w:rsidRPr="00AE7E6C">
        <w:rPr>
          <w:rFonts w:ascii="Cambria" w:hAnsi="Cambria"/>
          <w:sz w:val="22"/>
          <w:szCs w:val="22"/>
        </w:rPr>
        <w:t xml:space="preserve">4 month is one injection every four months. </w:t>
      </w:r>
    </w:p>
    <w:p w14:paraId="009AAE31" w14:textId="10112CAA" w:rsidR="005A4B67" w:rsidRPr="00AE7E6C" w:rsidRDefault="005A4B67" w:rsidP="0059466D">
      <w:pPr>
        <w:pStyle w:val="BodyText"/>
        <w:spacing w:after="240" w:line="276" w:lineRule="auto"/>
        <w:ind w:left="0" w:right="68"/>
        <w:rPr>
          <w:rFonts w:ascii="Cambria" w:hAnsi="Cambria"/>
          <w:sz w:val="22"/>
          <w:szCs w:val="22"/>
        </w:rPr>
      </w:pPr>
      <w:r w:rsidRPr="00AE7E6C">
        <w:rPr>
          <w:rFonts w:ascii="Cambria" w:hAnsi="Cambria"/>
          <w:sz w:val="22"/>
          <w:szCs w:val="22"/>
        </w:rPr>
        <w:t xml:space="preserve">The recommended dose of </w:t>
      </w:r>
      <w:r w:rsidR="00496210">
        <w:rPr>
          <w:rFonts w:ascii="Cambria" w:hAnsi="Cambria"/>
          <w:sz w:val="22"/>
          <w:szCs w:val="22"/>
        </w:rPr>
        <w:t>ELIGARD</w:t>
      </w:r>
      <w:r w:rsidRPr="00AE7E6C">
        <w:rPr>
          <w:rFonts w:ascii="Cambria" w:hAnsi="Cambria"/>
          <w:sz w:val="22"/>
          <w:szCs w:val="22"/>
        </w:rPr>
        <w:t xml:space="preserve"> </w:t>
      </w:r>
      <w:r w:rsidR="00C6299B">
        <w:rPr>
          <w:rFonts w:ascii="Cambria" w:hAnsi="Cambria"/>
          <w:sz w:val="22"/>
          <w:szCs w:val="22"/>
        </w:rPr>
        <w:t xml:space="preserve">45mg </w:t>
      </w:r>
      <w:r w:rsidRPr="00AE7E6C">
        <w:rPr>
          <w:rFonts w:ascii="Cambria" w:hAnsi="Cambria"/>
          <w:sz w:val="22"/>
          <w:szCs w:val="22"/>
        </w:rPr>
        <w:t>6 month is one injection every six months.</w:t>
      </w:r>
    </w:p>
    <w:p w14:paraId="49193A02" w14:textId="2F57F6A0" w:rsidR="005A4B67" w:rsidRPr="00AE7E6C" w:rsidRDefault="00496210" w:rsidP="00754503">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AE7E6C">
        <w:rPr>
          <w:rFonts w:ascii="Cambria" w:hAnsi="Cambria"/>
          <w:sz w:val="22"/>
          <w:szCs w:val="22"/>
        </w:rPr>
        <w:t xml:space="preserve"> </w:t>
      </w:r>
      <w:r w:rsidR="00754503" w:rsidRPr="00754503">
        <w:rPr>
          <w:rFonts w:ascii="Cambria" w:hAnsi="Cambria"/>
          <w:sz w:val="22"/>
          <w:szCs w:val="22"/>
        </w:rPr>
        <w:t xml:space="preserve">7.5mg 1 Month,22.5mg 3 Month, 30mg 4 </w:t>
      </w:r>
      <w:proofErr w:type="gramStart"/>
      <w:r w:rsidR="00754503" w:rsidRPr="00754503">
        <w:rPr>
          <w:rFonts w:ascii="Cambria" w:hAnsi="Cambria"/>
          <w:sz w:val="22"/>
          <w:szCs w:val="22"/>
        </w:rPr>
        <w:t xml:space="preserve">Month </w:t>
      </w:r>
      <w:r w:rsidR="005A4B67" w:rsidRPr="00AE7E6C">
        <w:rPr>
          <w:rFonts w:ascii="Cambria" w:hAnsi="Cambria"/>
          <w:sz w:val="22"/>
          <w:szCs w:val="22"/>
        </w:rPr>
        <w:t xml:space="preserve"> and</w:t>
      </w:r>
      <w:proofErr w:type="gramEnd"/>
      <w:r w:rsidR="005A4B67" w:rsidRPr="00AE7E6C">
        <w:rPr>
          <w:rFonts w:ascii="Cambria" w:hAnsi="Cambria"/>
          <w:sz w:val="22"/>
          <w:szCs w:val="22"/>
        </w:rPr>
        <w:t xml:space="preserve"> </w:t>
      </w:r>
      <w:r w:rsidR="00754503" w:rsidRPr="00754503">
        <w:rPr>
          <w:rFonts w:ascii="Cambria" w:hAnsi="Cambria"/>
          <w:sz w:val="22"/>
          <w:szCs w:val="22"/>
        </w:rPr>
        <w:t>45mg</w:t>
      </w:r>
      <w:r w:rsidR="00754503" w:rsidRPr="00AE7E6C">
        <w:rPr>
          <w:rFonts w:ascii="Cambria" w:hAnsi="Cambria"/>
          <w:sz w:val="22"/>
          <w:szCs w:val="22"/>
        </w:rPr>
        <w:t xml:space="preserve"> </w:t>
      </w:r>
      <w:r w:rsidR="005A4B67" w:rsidRPr="00AE7E6C">
        <w:rPr>
          <w:rFonts w:ascii="Cambria" w:hAnsi="Cambria"/>
          <w:sz w:val="22"/>
          <w:szCs w:val="22"/>
        </w:rPr>
        <w:t>6 month presentations have different release characteristics and therefore, fractional, multiple and/or combinational doses are not equivalent to each other and should not be given.</w:t>
      </w:r>
    </w:p>
    <w:p w14:paraId="43BE6A90" w14:textId="04466F33" w:rsidR="005A4B67" w:rsidRPr="00AE7E6C"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AE7E6C">
        <w:rPr>
          <w:rFonts w:ascii="Cambria" w:hAnsi="Cambria"/>
          <w:sz w:val="22"/>
          <w:szCs w:val="22"/>
        </w:rPr>
        <w:t xml:space="preserve"> contains no antimicrobial agent and is for single use in one patient only. Discard any </w:t>
      </w:r>
      <w:r w:rsidR="00AE7E6C">
        <w:rPr>
          <w:rFonts w:ascii="Cambria" w:hAnsi="Cambria"/>
          <w:sz w:val="22"/>
          <w:szCs w:val="22"/>
        </w:rPr>
        <w:t>residue.</w:t>
      </w:r>
    </w:p>
    <w:p w14:paraId="50B9D924" w14:textId="4210CE7E" w:rsidR="005A4B67" w:rsidRDefault="005A4B67"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The injection delivers leuprorelin acetate, incorporated in a polymer formulation. It is administered subcutaneously and provides continuous release of leuprorelin for one month for </w:t>
      </w:r>
      <w:r w:rsidR="00496210">
        <w:rPr>
          <w:rFonts w:ascii="Cambria" w:hAnsi="Cambria"/>
          <w:sz w:val="22"/>
          <w:szCs w:val="22"/>
        </w:rPr>
        <w:t>ELIGARD</w:t>
      </w:r>
      <w:r w:rsidRPr="00AE7E6C">
        <w:rPr>
          <w:rFonts w:ascii="Cambria" w:hAnsi="Cambria"/>
          <w:sz w:val="22"/>
          <w:szCs w:val="22"/>
        </w:rPr>
        <w:t xml:space="preserve"> </w:t>
      </w:r>
      <w:r w:rsidR="00567BFA">
        <w:rPr>
          <w:rFonts w:ascii="Cambria" w:hAnsi="Cambria"/>
          <w:sz w:val="22"/>
          <w:szCs w:val="22"/>
        </w:rPr>
        <w:t xml:space="preserve">7.5mg </w:t>
      </w:r>
      <w:r w:rsidRPr="00AE7E6C">
        <w:rPr>
          <w:rFonts w:ascii="Cambria" w:hAnsi="Cambria"/>
          <w:sz w:val="22"/>
          <w:szCs w:val="22"/>
        </w:rPr>
        <w:t xml:space="preserve">1 month, three months for </w:t>
      </w:r>
      <w:r w:rsidR="00496210">
        <w:rPr>
          <w:rFonts w:ascii="Cambria" w:hAnsi="Cambria"/>
          <w:sz w:val="22"/>
          <w:szCs w:val="22"/>
        </w:rPr>
        <w:t>ELIGARD</w:t>
      </w:r>
      <w:r w:rsidRPr="00AE7E6C">
        <w:rPr>
          <w:rFonts w:ascii="Cambria" w:hAnsi="Cambria"/>
          <w:sz w:val="22"/>
          <w:szCs w:val="22"/>
        </w:rPr>
        <w:t xml:space="preserve"> </w:t>
      </w:r>
      <w:r w:rsidR="00567BFA">
        <w:rPr>
          <w:rFonts w:ascii="Cambria" w:hAnsi="Cambria"/>
          <w:sz w:val="22"/>
          <w:szCs w:val="22"/>
        </w:rPr>
        <w:t xml:space="preserve">22.5mg </w:t>
      </w:r>
      <w:r w:rsidRPr="00AE7E6C">
        <w:rPr>
          <w:rFonts w:ascii="Cambria" w:hAnsi="Cambria"/>
          <w:sz w:val="22"/>
          <w:szCs w:val="22"/>
        </w:rPr>
        <w:t xml:space="preserve">3 month, four months for </w:t>
      </w:r>
      <w:r w:rsidR="00496210">
        <w:rPr>
          <w:rFonts w:ascii="Cambria" w:hAnsi="Cambria"/>
          <w:sz w:val="22"/>
          <w:szCs w:val="22"/>
        </w:rPr>
        <w:t>ELIGARD</w:t>
      </w:r>
      <w:r w:rsidRPr="00AE7E6C">
        <w:rPr>
          <w:rFonts w:ascii="Cambria" w:hAnsi="Cambria"/>
          <w:sz w:val="22"/>
          <w:szCs w:val="22"/>
        </w:rPr>
        <w:t xml:space="preserve"> </w:t>
      </w:r>
      <w:r w:rsidR="00567BFA">
        <w:rPr>
          <w:rFonts w:ascii="Cambria" w:hAnsi="Cambria"/>
          <w:sz w:val="22"/>
          <w:szCs w:val="22"/>
        </w:rPr>
        <w:t xml:space="preserve">30mg </w:t>
      </w:r>
      <w:r w:rsidRPr="00AE7E6C">
        <w:rPr>
          <w:rFonts w:ascii="Cambria" w:hAnsi="Cambria"/>
          <w:sz w:val="22"/>
          <w:szCs w:val="22"/>
        </w:rPr>
        <w:t xml:space="preserve">4 month and six months for </w:t>
      </w:r>
      <w:r w:rsidR="00496210">
        <w:rPr>
          <w:rFonts w:ascii="Cambria" w:hAnsi="Cambria"/>
          <w:sz w:val="22"/>
          <w:szCs w:val="22"/>
        </w:rPr>
        <w:t>ELIGARD</w:t>
      </w:r>
      <w:r w:rsidRPr="00AE7E6C">
        <w:rPr>
          <w:rFonts w:ascii="Cambria" w:hAnsi="Cambria"/>
          <w:sz w:val="22"/>
          <w:szCs w:val="22"/>
        </w:rPr>
        <w:t xml:space="preserve"> </w:t>
      </w:r>
      <w:r w:rsidR="00567BFA">
        <w:rPr>
          <w:rFonts w:ascii="Cambria" w:hAnsi="Cambria"/>
          <w:sz w:val="22"/>
          <w:szCs w:val="22"/>
        </w:rPr>
        <w:t xml:space="preserve">45mg </w:t>
      </w:r>
      <w:r w:rsidRPr="00AE7E6C">
        <w:rPr>
          <w:rFonts w:ascii="Cambria" w:hAnsi="Cambria"/>
          <w:sz w:val="22"/>
          <w:szCs w:val="22"/>
        </w:rPr>
        <w:t xml:space="preserve">6 </w:t>
      </w:r>
      <w:r w:rsidR="00AE7E6C">
        <w:rPr>
          <w:rFonts w:ascii="Cambria" w:hAnsi="Cambria"/>
          <w:sz w:val="22"/>
          <w:szCs w:val="22"/>
        </w:rPr>
        <w:t>month.</w:t>
      </w:r>
    </w:p>
    <w:p w14:paraId="794833B8" w14:textId="0497245D" w:rsidR="00567F40" w:rsidRPr="004523A2" w:rsidRDefault="00F60F04" w:rsidP="00BC74BC">
      <w:pPr>
        <w:pStyle w:val="Heading3"/>
        <w:numPr>
          <w:ilvl w:val="0"/>
          <w:numId w:val="0"/>
        </w:numPr>
      </w:pPr>
      <w:r w:rsidRPr="00BC74BC">
        <w:t>Central Precocious Puberty</w:t>
      </w:r>
    </w:p>
    <w:p w14:paraId="306A3DA6" w14:textId="65FB6B80" w:rsidR="003D194C" w:rsidRDefault="003D194C" w:rsidP="009A3CD8">
      <w:pPr>
        <w:pStyle w:val="BodyText"/>
        <w:spacing w:after="240" w:line="276" w:lineRule="auto"/>
        <w:ind w:left="0" w:right="68"/>
        <w:rPr>
          <w:rFonts w:ascii="Cambria" w:hAnsi="Cambria"/>
          <w:sz w:val="22"/>
          <w:szCs w:val="22"/>
        </w:rPr>
      </w:pPr>
      <w:r w:rsidRPr="003D194C">
        <w:rPr>
          <w:rFonts w:ascii="Cambria" w:hAnsi="Cambria"/>
          <w:sz w:val="22"/>
          <w:szCs w:val="22"/>
        </w:rPr>
        <w:t xml:space="preserve">Clinical evidence of onset of breast development in girls &lt; 8 years or bilateral testicular enlargement &gt;4ml in boys &lt;9 years plus raised LH/FSH, </w:t>
      </w:r>
      <w:proofErr w:type="spellStart"/>
      <w:r w:rsidRPr="003D194C">
        <w:rPr>
          <w:rFonts w:ascii="Cambria" w:hAnsi="Cambria"/>
          <w:sz w:val="22"/>
          <w:szCs w:val="22"/>
        </w:rPr>
        <w:t>oestradiol</w:t>
      </w:r>
      <w:proofErr w:type="spellEnd"/>
      <w:r w:rsidRPr="003D194C">
        <w:rPr>
          <w:rFonts w:ascii="Cambria" w:hAnsi="Cambria"/>
          <w:sz w:val="22"/>
          <w:szCs w:val="22"/>
        </w:rPr>
        <w:t xml:space="preserve"> or testosterone</w:t>
      </w:r>
      <w:r w:rsidR="00B1792C">
        <w:rPr>
          <w:rFonts w:ascii="Cambria" w:hAnsi="Cambria"/>
          <w:sz w:val="22"/>
          <w:szCs w:val="22"/>
        </w:rPr>
        <w:t>.</w:t>
      </w:r>
      <w:r w:rsidRPr="003D194C">
        <w:rPr>
          <w:rFonts w:ascii="Cambria" w:hAnsi="Cambria"/>
          <w:sz w:val="22"/>
          <w:szCs w:val="22"/>
        </w:rPr>
        <w:t xml:space="preserve"> </w:t>
      </w:r>
    </w:p>
    <w:p w14:paraId="2AE14558" w14:textId="06922A37" w:rsidR="004A0E51" w:rsidRPr="00AE7E6C" w:rsidRDefault="204A1585" w:rsidP="009A3CD8">
      <w:pPr>
        <w:pStyle w:val="BodyText"/>
        <w:spacing w:after="240" w:line="276" w:lineRule="auto"/>
        <w:ind w:left="0" w:right="68"/>
        <w:rPr>
          <w:rFonts w:ascii="Cambria" w:hAnsi="Cambria"/>
          <w:sz w:val="22"/>
          <w:szCs w:val="22"/>
        </w:rPr>
      </w:pPr>
      <w:r w:rsidRPr="776C969C">
        <w:rPr>
          <w:rFonts w:ascii="Cambria" w:hAnsi="Cambria"/>
          <w:sz w:val="22"/>
          <w:szCs w:val="22"/>
        </w:rPr>
        <w:t xml:space="preserve">In </w:t>
      </w:r>
      <w:proofErr w:type="spellStart"/>
      <w:r w:rsidRPr="776C969C">
        <w:rPr>
          <w:rFonts w:ascii="Cambria" w:hAnsi="Cambria"/>
          <w:sz w:val="22"/>
          <w:szCs w:val="22"/>
        </w:rPr>
        <w:t>paediatric</w:t>
      </w:r>
      <w:proofErr w:type="spellEnd"/>
      <w:r w:rsidRPr="776C969C">
        <w:rPr>
          <w:rFonts w:ascii="Cambria" w:hAnsi="Cambria"/>
          <w:sz w:val="22"/>
          <w:szCs w:val="22"/>
        </w:rPr>
        <w:t xml:space="preserve"> </w:t>
      </w:r>
      <w:r w:rsidR="50EE8D5F" w:rsidRPr="776C969C">
        <w:rPr>
          <w:rFonts w:ascii="Cambria" w:hAnsi="Cambria"/>
          <w:sz w:val="22"/>
          <w:szCs w:val="22"/>
          <w:lang w:val="en-AU"/>
        </w:rPr>
        <w:t>patients</w:t>
      </w:r>
      <w:r w:rsidRPr="776C969C">
        <w:rPr>
          <w:rFonts w:ascii="Cambria" w:hAnsi="Cambria"/>
          <w:sz w:val="22"/>
          <w:szCs w:val="22"/>
        </w:rPr>
        <w:t xml:space="preserve"> m</w:t>
      </w:r>
      <w:r w:rsidR="6253F19A" w:rsidRPr="776C969C">
        <w:rPr>
          <w:rFonts w:ascii="Cambria" w:hAnsi="Cambria"/>
          <w:sz w:val="22"/>
          <w:szCs w:val="22"/>
        </w:rPr>
        <w:t xml:space="preserve">onitor response to </w:t>
      </w:r>
      <w:bookmarkStart w:id="0" w:name="_Hlk64892994"/>
      <w:r w:rsidR="61B3B776" w:rsidRPr="776C969C">
        <w:rPr>
          <w:rFonts w:ascii="Cambria" w:hAnsi="Cambria"/>
          <w:sz w:val="22"/>
          <w:szCs w:val="22"/>
        </w:rPr>
        <w:t xml:space="preserve">ELIGARD </w:t>
      </w:r>
      <w:bookmarkEnd w:id="0"/>
      <w:r w:rsidR="6253F19A" w:rsidRPr="776C969C">
        <w:rPr>
          <w:rFonts w:ascii="Cambria" w:hAnsi="Cambria"/>
          <w:sz w:val="22"/>
          <w:szCs w:val="22"/>
        </w:rPr>
        <w:t xml:space="preserve">with a GnRH agonist stimulation test, basal serum luteinizing hormone (LH) levels or serum concentration of sex steroid levels at 1 to 2 months following initiation of therapy and as needed to confirm adequate suppression of </w:t>
      </w:r>
      <w:r w:rsidR="6253F19A" w:rsidRPr="776C969C">
        <w:rPr>
          <w:rFonts w:ascii="Cambria" w:hAnsi="Cambria"/>
          <w:sz w:val="22"/>
          <w:szCs w:val="22"/>
        </w:rPr>
        <w:lastRenderedPageBreak/>
        <w:t>pituitary gonadotropins, sex steroids, and progression of secondary sexual characteristics. Measure height (for calculation of growth velocity) every 3 to 6 months and monitor bone age periodically</w:t>
      </w:r>
      <w:r w:rsidR="6B1849EF" w:rsidRPr="776C969C">
        <w:rPr>
          <w:rFonts w:ascii="Cambria" w:hAnsi="Cambria"/>
          <w:sz w:val="22"/>
          <w:szCs w:val="22"/>
        </w:rPr>
        <w:t>. N</w:t>
      </w:r>
      <w:r w:rsidR="6253F19A" w:rsidRPr="776C969C">
        <w:rPr>
          <w:rFonts w:ascii="Cambria" w:hAnsi="Cambria"/>
          <w:sz w:val="22"/>
          <w:szCs w:val="22"/>
        </w:rPr>
        <w:t xml:space="preserve">oncompliance with drug regimen or inadequate dosing may lead to gonadotropins and/or sex steroids increasing above prepubertal levels resulting in inadequate control of the pubertal process. If the dose of </w:t>
      </w:r>
      <w:r w:rsidR="7B74B785" w:rsidRPr="776C969C">
        <w:rPr>
          <w:rFonts w:ascii="Cambria" w:hAnsi="Cambria"/>
          <w:sz w:val="22"/>
          <w:szCs w:val="22"/>
        </w:rPr>
        <w:t xml:space="preserve">ELIGARD </w:t>
      </w:r>
      <w:r w:rsidR="6253F19A" w:rsidRPr="776C969C">
        <w:rPr>
          <w:rFonts w:ascii="Cambria" w:hAnsi="Cambria"/>
          <w:sz w:val="22"/>
          <w:szCs w:val="22"/>
        </w:rPr>
        <w:t>is not adequate, switching to an alternative GnRH agonist for the treatment of CPP with the ability for dose adjustment may be necessary</w:t>
      </w:r>
      <w:r w:rsidR="6253F19A" w:rsidRPr="776C969C">
        <w:rPr>
          <w:rFonts w:ascii="Cambria" w:hAnsi="Cambria"/>
          <w:sz w:val="22"/>
          <w:szCs w:val="22"/>
          <w:lang w:val="en-AU"/>
        </w:rPr>
        <w:t>.</w:t>
      </w:r>
    </w:p>
    <w:p w14:paraId="7054FF08" w14:textId="77777777" w:rsidR="001A3992" w:rsidRPr="000E39BC" w:rsidRDefault="001A3992" w:rsidP="000E39BC">
      <w:pPr>
        <w:pStyle w:val="Heading2"/>
      </w:pPr>
      <w:r w:rsidRPr="000E39BC">
        <w:t>Contraindications</w:t>
      </w:r>
    </w:p>
    <w:p w14:paraId="5EAA0335" w14:textId="77777777" w:rsidR="00F54A55" w:rsidRPr="004879F9" w:rsidRDefault="00F54A55" w:rsidP="00E051DD">
      <w:pPr>
        <w:pStyle w:val="Heading3"/>
        <w:numPr>
          <w:ilvl w:val="0"/>
          <w:numId w:val="0"/>
        </w:numPr>
      </w:pPr>
      <w:r w:rsidRPr="00E051DD">
        <w:t>Prostate Cancer</w:t>
      </w:r>
    </w:p>
    <w:p w14:paraId="732CC403" w14:textId="45C3E71A" w:rsidR="005A4B67" w:rsidRPr="00AE7E6C"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AE7E6C">
        <w:rPr>
          <w:rFonts w:ascii="Cambria" w:hAnsi="Cambria"/>
          <w:sz w:val="22"/>
          <w:szCs w:val="22"/>
        </w:rPr>
        <w:t xml:space="preserve"> is contraindicated in patients with hypersensitivity to GnRH, GnRH agonist analogues or any of the components of </w:t>
      </w:r>
      <w:r>
        <w:rPr>
          <w:rFonts w:ascii="Cambria" w:hAnsi="Cambria"/>
          <w:sz w:val="22"/>
          <w:szCs w:val="22"/>
        </w:rPr>
        <w:t>ELIGARD</w:t>
      </w:r>
      <w:r w:rsidR="005A4B67" w:rsidRPr="00AE7E6C">
        <w:rPr>
          <w:rFonts w:ascii="Cambria" w:hAnsi="Cambria"/>
          <w:sz w:val="22"/>
          <w:szCs w:val="22"/>
        </w:rPr>
        <w:t xml:space="preserve">. Anaphylactic reactions to synthetic GnRH or GnRH agonist analogues have been reported in the </w:t>
      </w:r>
      <w:r w:rsidR="00AE7E6C">
        <w:rPr>
          <w:rFonts w:ascii="Cambria" w:hAnsi="Cambria"/>
          <w:sz w:val="22"/>
          <w:szCs w:val="22"/>
        </w:rPr>
        <w:t>literature.</w:t>
      </w:r>
    </w:p>
    <w:p w14:paraId="21DE9CEA" w14:textId="4CFA9EBE" w:rsidR="005A4B67" w:rsidRPr="00AE7E6C" w:rsidRDefault="00496210" w:rsidP="00AE7E6C">
      <w:pPr>
        <w:pStyle w:val="BodyText"/>
        <w:spacing w:after="240" w:line="276" w:lineRule="auto"/>
        <w:ind w:left="0" w:right="68"/>
        <w:rPr>
          <w:rFonts w:ascii="Cambria" w:hAnsi="Cambria"/>
          <w:sz w:val="22"/>
          <w:szCs w:val="22"/>
        </w:rPr>
      </w:pPr>
      <w:r w:rsidRPr="4951395D">
        <w:rPr>
          <w:rFonts w:ascii="Cambria" w:hAnsi="Cambria"/>
          <w:sz w:val="22"/>
          <w:szCs w:val="22"/>
        </w:rPr>
        <w:t>ELIGARD</w:t>
      </w:r>
      <w:r w:rsidR="005A4B67" w:rsidRPr="4951395D">
        <w:rPr>
          <w:rFonts w:ascii="Cambria" w:hAnsi="Cambria"/>
          <w:sz w:val="22"/>
          <w:szCs w:val="22"/>
        </w:rPr>
        <w:t xml:space="preserve"> is </w:t>
      </w:r>
      <w:bookmarkStart w:id="1" w:name="_Hlk94007633"/>
      <w:r w:rsidR="005A4B67" w:rsidRPr="4951395D">
        <w:rPr>
          <w:rFonts w:ascii="Cambria" w:hAnsi="Cambria"/>
          <w:sz w:val="22"/>
          <w:szCs w:val="22"/>
        </w:rPr>
        <w:t>contraindicated</w:t>
      </w:r>
      <w:bookmarkEnd w:id="1"/>
      <w:r w:rsidR="005A4B67" w:rsidRPr="4951395D">
        <w:rPr>
          <w:rFonts w:ascii="Cambria" w:hAnsi="Cambria"/>
          <w:sz w:val="22"/>
          <w:szCs w:val="22"/>
        </w:rPr>
        <w:t xml:space="preserve"> in women who are breastfeeding, pregnant or intending to become pregnant </w:t>
      </w:r>
      <w:r w:rsidRPr="4951395D">
        <w:rPr>
          <w:rFonts w:ascii="Cambria" w:hAnsi="Cambria"/>
          <w:sz w:val="22"/>
          <w:szCs w:val="22"/>
        </w:rPr>
        <w:t xml:space="preserve">and </w:t>
      </w:r>
      <w:r w:rsidR="005A4B67" w:rsidRPr="4951395D">
        <w:rPr>
          <w:rFonts w:ascii="Cambria" w:hAnsi="Cambria"/>
          <w:sz w:val="22"/>
          <w:szCs w:val="22"/>
        </w:rPr>
        <w:t xml:space="preserve">in </w:t>
      </w:r>
      <w:proofErr w:type="spellStart"/>
      <w:r w:rsidR="005A4B67" w:rsidRPr="4951395D">
        <w:rPr>
          <w:rFonts w:ascii="Cambria" w:hAnsi="Cambria"/>
          <w:sz w:val="22"/>
          <w:szCs w:val="22"/>
        </w:rPr>
        <w:t>paediatric</w:t>
      </w:r>
      <w:proofErr w:type="spellEnd"/>
      <w:r w:rsidR="005A4B67" w:rsidRPr="4951395D">
        <w:rPr>
          <w:rFonts w:ascii="Cambria" w:hAnsi="Cambria"/>
          <w:sz w:val="22"/>
          <w:szCs w:val="22"/>
        </w:rPr>
        <w:t xml:space="preserve"> patients. </w:t>
      </w:r>
      <w:r w:rsidRPr="4951395D">
        <w:rPr>
          <w:rFonts w:ascii="Cambria" w:hAnsi="Cambria"/>
          <w:sz w:val="22"/>
          <w:szCs w:val="22"/>
        </w:rPr>
        <w:t>ELIGARD</w:t>
      </w:r>
      <w:r w:rsidR="005A4B67" w:rsidRPr="4951395D">
        <w:rPr>
          <w:rFonts w:ascii="Cambria" w:hAnsi="Cambria"/>
          <w:sz w:val="22"/>
          <w:szCs w:val="22"/>
        </w:rPr>
        <w:t xml:space="preserve"> was not studied in women</w:t>
      </w:r>
      <w:r w:rsidRPr="4951395D">
        <w:rPr>
          <w:rFonts w:ascii="Cambria" w:hAnsi="Cambria"/>
          <w:sz w:val="22"/>
          <w:szCs w:val="22"/>
        </w:rPr>
        <w:t xml:space="preserve"> or children</w:t>
      </w:r>
      <w:r w:rsidR="005A4B67" w:rsidRPr="4951395D">
        <w:rPr>
          <w:rFonts w:ascii="Cambria" w:hAnsi="Cambria"/>
          <w:sz w:val="22"/>
          <w:szCs w:val="22"/>
        </w:rPr>
        <w:t xml:space="preserve">. Moreover, leuprorelin acetate can cause </w:t>
      </w:r>
      <w:proofErr w:type="spellStart"/>
      <w:r w:rsidR="005A4B67" w:rsidRPr="4951395D">
        <w:rPr>
          <w:rFonts w:ascii="Cambria" w:hAnsi="Cambria"/>
          <w:sz w:val="22"/>
          <w:szCs w:val="22"/>
        </w:rPr>
        <w:t>foetal</w:t>
      </w:r>
      <w:proofErr w:type="spellEnd"/>
      <w:r w:rsidR="005A4B67" w:rsidRPr="4951395D">
        <w:rPr>
          <w:rFonts w:ascii="Cambria" w:hAnsi="Cambria"/>
          <w:sz w:val="22"/>
          <w:szCs w:val="22"/>
        </w:rPr>
        <w:t xml:space="preserve"> harm when administered to a pregnant woman. Major </w:t>
      </w:r>
      <w:proofErr w:type="spellStart"/>
      <w:r w:rsidR="005A4B67" w:rsidRPr="4951395D">
        <w:rPr>
          <w:rFonts w:ascii="Cambria" w:hAnsi="Cambria"/>
          <w:sz w:val="22"/>
          <w:szCs w:val="22"/>
        </w:rPr>
        <w:t>foetal</w:t>
      </w:r>
      <w:proofErr w:type="spellEnd"/>
      <w:r w:rsidR="005A4B67" w:rsidRPr="4951395D">
        <w:rPr>
          <w:rFonts w:ascii="Cambria" w:hAnsi="Cambria"/>
          <w:sz w:val="22"/>
          <w:szCs w:val="22"/>
        </w:rPr>
        <w:t xml:space="preserve"> abnormalities were observed in rabbits but not in rats after administration of leuprorelin acetate throughout gestation. There were increased </w:t>
      </w:r>
      <w:proofErr w:type="spellStart"/>
      <w:r w:rsidR="005A4B67" w:rsidRPr="4951395D">
        <w:rPr>
          <w:rFonts w:ascii="Cambria" w:hAnsi="Cambria"/>
          <w:sz w:val="22"/>
          <w:szCs w:val="22"/>
        </w:rPr>
        <w:t>foetal</w:t>
      </w:r>
      <w:proofErr w:type="spellEnd"/>
      <w:r w:rsidR="005A4B67" w:rsidRPr="4951395D">
        <w:rPr>
          <w:rFonts w:ascii="Cambria" w:hAnsi="Cambria"/>
          <w:sz w:val="22"/>
          <w:szCs w:val="22"/>
        </w:rPr>
        <w:t xml:space="preserve"> mortality and decreased </w:t>
      </w:r>
      <w:proofErr w:type="spellStart"/>
      <w:r w:rsidR="005A4B67" w:rsidRPr="4951395D">
        <w:rPr>
          <w:rFonts w:ascii="Cambria" w:hAnsi="Cambria"/>
          <w:sz w:val="22"/>
          <w:szCs w:val="22"/>
        </w:rPr>
        <w:t>foetal</w:t>
      </w:r>
      <w:proofErr w:type="spellEnd"/>
      <w:r w:rsidR="005A4B67" w:rsidRPr="4951395D">
        <w:rPr>
          <w:rFonts w:ascii="Cambria" w:hAnsi="Cambria"/>
          <w:sz w:val="22"/>
          <w:szCs w:val="22"/>
        </w:rPr>
        <w:t xml:space="preserve"> weights in rats and rabbits. The effects on </w:t>
      </w:r>
      <w:proofErr w:type="spellStart"/>
      <w:r w:rsidR="005A4B67" w:rsidRPr="4951395D">
        <w:rPr>
          <w:rFonts w:ascii="Cambria" w:hAnsi="Cambria"/>
          <w:sz w:val="22"/>
          <w:szCs w:val="22"/>
        </w:rPr>
        <w:t>foetal</w:t>
      </w:r>
      <w:proofErr w:type="spellEnd"/>
      <w:r w:rsidR="005A4B67" w:rsidRPr="4951395D">
        <w:rPr>
          <w:rFonts w:ascii="Cambria" w:hAnsi="Cambria"/>
          <w:sz w:val="22"/>
          <w:szCs w:val="22"/>
        </w:rPr>
        <w:t xml:space="preserve"> mortality are expected consequences of the alterations in hormonal levels brought about by this drug. The possibility exists that spontaneous abortion may </w:t>
      </w:r>
      <w:r w:rsidR="00AE7E6C" w:rsidRPr="4951395D">
        <w:rPr>
          <w:rFonts w:ascii="Cambria" w:hAnsi="Cambria"/>
          <w:sz w:val="22"/>
          <w:szCs w:val="22"/>
        </w:rPr>
        <w:t>occur.</w:t>
      </w:r>
    </w:p>
    <w:p w14:paraId="6885EB35" w14:textId="25F8ACDA" w:rsidR="005A4B67"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5A4B67" w:rsidRPr="00AE7E6C">
        <w:rPr>
          <w:rFonts w:ascii="Cambria" w:hAnsi="Cambria"/>
          <w:sz w:val="22"/>
          <w:szCs w:val="22"/>
        </w:rPr>
        <w:t xml:space="preserve"> is contraindicated in patients who previously underwent orchiectomy (as with other GnRH agonists, </w:t>
      </w:r>
      <w:r>
        <w:rPr>
          <w:rFonts w:ascii="Cambria" w:hAnsi="Cambria"/>
          <w:sz w:val="22"/>
          <w:szCs w:val="22"/>
        </w:rPr>
        <w:t>ELIGARD</w:t>
      </w:r>
      <w:r w:rsidR="005A4B67" w:rsidRPr="00AE7E6C">
        <w:rPr>
          <w:rFonts w:ascii="Cambria" w:hAnsi="Cambria"/>
          <w:sz w:val="22"/>
          <w:szCs w:val="22"/>
        </w:rPr>
        <w:t xml:space="preserve"> does not result in further decrease of serum testosterone in case of surgical castration). </w:t>
      </w:r>
      <w:r>
        <w:rPr>
          <w:rFonts w:ascii="Cambria" w:hAnsi="Cambria"/>
          <w:sz w:val="22"/>
          <w:szCs w:val="22"/>
        </w:rPr>
        <w:t>ELIGARD</w:t>
      </w:r>
      <w:r w:rsidR="005A4B67" w:rsidRPr="00AE7E6C">
        <w:rPr>
          <w:rFonts w:ascii="Cambria" w:hAnsi="Cambria"/>
          <w:sz w:val="22"/>
          <w:szCs w:val="22"/>
        </w:rPr>
        <w:t xml:space="preserve"> is contraindicated as a sole treatment in prostate cancer patients with spinal cord compression or evidence of spinal me</w:t>
      </w:r>
      <w:r w:rsidR="00AE7E6C">
        <w:rPr>
          <w:rFonts w:ascii="Cambria" w:hAnsi="Cambria"/>
          <w:sz w:val="22"/>
          <w:szCs w:val="22"/>
        </w:rPr>
        <w:t>tastases.</w:t>
      </w:r>
    </w:p>
    <w:p w14:paraId="500BF053" w14:textId="3C5F09D6" w:rsidR="00F54A55" w:rsidRPr="00C547DA" w:rsidRDefault="00F54A55" w:rsidP="00802837">
      <w:pPr>
        <w:pStyle w:val="Heading3"/>
        <w:numPr>
          <w:ilvl w:val="0"/>
          <w:numId w:val="0"/>
        </w:numPr>
      </w:pPr>
      <w:r w:rsidRPr="00802837">
        <w:t>Central Precocious Puberty</w:t>
      </w:r>
    </w:p>
    <w:p w14:paraId="05F87EFC" w14:textId="59C33623" w:rsidR="00F54A55" w:rsidRDefault="00F54A55" w:rsidP="00F54A55">
      <w:pPr>
        <w:pStyle w:val="BodyText"/>
        <w:spacing w:after="240" w:line="276" w:lineRule="auto"/>
        <w:ind w:left="0" w:right="68"/>
        <w:rPr>
          <w:rFonts w:ascii="Cambria" w:hAnsi="Cambria"/>
          <w:sz w:val="22"/>
          <w:szCs w:val="22"/>
        </w:rPr>
      </w:pPr>
      <w:r>
        <w:rPr>
          <w:rFonts w:ascii="Cambria" w:hAnsi="Cambria"/>
          <w:sz w:val="22"/>
          <w:szCs w:val="22"/>
        </w:rPr>
        <w:t>ELIGARD</w:t>
      </w:r>
      <w:r w:rsidRPr="00AE7E6C">
        <w:rPr>
          <w:rFonts w:ascii="Cambria" w:hAnsi="Cambria"/>
          <w:sz w:val="22"/>
          <w:szCs w:val="22"/>
        </w:rPr>
        <w:t xml:space="preserve"> is contraindicated in patients with hypersensitivity to GnRH, GnRH agonist analogues or any of the components of </w:t>
      </w:r>
      <w:r>
        <w:rPr>
          <w:rFonts w:ascii="Cambria" w:hAnsi="Cambria"/>
          <w:sz w:val="22"/>
          <w:szCs w:val="22"/>
        </w:rPr>
        <w:t>ELIGARD</w:t>
      </w:r>
      <w:r w:rsidRPr="00AE7E6C">
        <w:rPr>
          <w:rFonts w:ascii="Cambria" w:hAnsi="Cambria"/>
          <w:sz w:val="22"/>
          <w:szCs w:val="22"/>
        </w:rPr>
        <w:t xml:space="preserve">. Anaphylactic reactions to synthetic GnRH or GnRH agonist analogues have been reported in the </w:t>
      </w:r>
      <w:r>
        <w:rPr>
          <w:rFonts w:ascii="Cambria" w:hAnsi="Cambria"/>
          <w:sz w:val="22"/>
          <w:szCs w:val="22"/>
        </w:rPr>
        <w:t>literature.</w:t>
      </w:r>
    </w:p>
    <w:p w14:paraId="3100BB80" w14:textId="0FC84C35" w:rsidR="00B26B7E" w:rsidRPr="00AE7E6C" w:rsidRDefault="00B26B7E" w:rsidP="00F54A55">
      <w:pPr>
        <w:pStyle w:val="BodyText"/>
        <w:spacing w:after="240" w:line="276" w:lineRule="auto"/>
        <w:ind w:left="0" w:right="68"/>
        <w:rPr>
          <w:rFonts w:ascii="Cambria" w:hAnsi="Cambria"/>
          <w:sz w:val="22"/>
          <w:szCs w:val="22"/>
        </w:rPr>
      </w:pPr>
      <w:r w:rsidRPr="00B26B7E">
        <w:rPr>
          <w:rFonts w:ascii="Cambria" w:hAnsi="Cambria"/>
          <w:sz w:val="22"/>
          <w:szCs w:val="22"/>
        </w:rPr>
        <w:t>ELIGARD is contraindicated in pregnancy (See Section 4.6 Fertility, Pregnancy and Lactation).</w:t>
      </w:r>
    </w:p>
    <w:p w14:paraId="07C8C09C" w14:textId="77777777" w:rsidR="001A3992" w:rsidRPr="000E39BC" w:rsidRDefault="00E74A56" w:rsidP="000E39BC">
      <w:pPr>
        <w:pStyle w:val="Heading2"/>
      </w:pPr>
      <w:r w:rsidRPr="000E39BC">
        <w:t>Special warnings and p</w:t>
      </w:r>
      <w:r w:rsidR="001A3992" w:rsidRPr="000E39BC">
        <w:t xml:space="preserve">recautions </w:t>
      </w:r>
      <w:r w:rsidRPr="000E39BC">
        <w:t>for use</w:t>
      </w:r>
    </w:p>
    <w:p w14:paraId="6333D385" w14:textId="77777777" w:rsidR="00AB01A1" w:rsidRPr="00D452E2" w:rsidRDefault="00AB01A1" w:rsidP="00D452E2">
      <w:pPr>
        <w:pStyle w:val="Heading3"/>
        <w:numPr>
          <w:ilvl w:val="0"/>
          <w:numId w:val="0"/>
        </w:numPr>
      </w:pPr>
      <w:r w:rsidRPr="00D452E2">
        <w:t xml:space="preserve">Prostate Cancer </w:t>
      </w:r>
    </w:p>
    <w:p w14:paraId="0E7E6737" w14:textId="455EDC3C" w:rsidR="00985EB1" w:rsidRPr="00AE7E6C" w:rsidRDefault="00496210" w:rsidP="00AE7E6C">
      <w:pPr>
        <w:pStyle w:val="BodyText"/>
        <w:spacing w:after="240" w:line="276" w:lineRule="auto"/>
        <w:ind w:left="0" w:right="68"/>
        <w:rPr>
          <w:rFonts w:ascii="Cambria" w:hAnsi="Cambria"/>
          <w:sz w:val="22"/>
          <w:szCs w:val="22"/>
        </w:rPr>
      </w:pPr>
      <w:r>
        <w:rPr>
          <w:rFonts w:ascii="Cambria" w:hAnsi="Cambria"/>
          <w:sz w:val="22"/>
          <w:szCs w:val="22"/>
        </w:rPr>
        <w:t>ELIGARD</w:t>
      </w:r>
      <w:r w:rsidR="00985EB1" w:rsidRPr="00AE7E6C">
        <w:rPr>
          <w:rFonts w:ascii="Cambria" w:hAnsi="Cambria"/>
          <w:sz w:val="22"/>
          <w:szCs w:val="22"/>
        </w:rPr>
        <w:t xml:space="preserve">, like other LH-RH agonists, causes a transient increase in serum concentrations of testosterone during the first week of treatment. Patients may experience worsening of symptoms or onset of new signs and symptoms during the first few weeks of treatment, including bone pain, neuropathy, </w:t>
      </w:r>
      <w:proofErr w:type="spellStart"/>
      <w:r w:rsidR="00985EB1" w:rsidRPr="00AE7E6C">
        <w:rPr>
          <w:rFonts w:ascii="Cambria" w:hAnsi="Cambria"/>
          <w:sz w:val="22"/>
          <w:szCs w:val="22"/>
        </w:rPr>
        <w:t>haematuria</w:t>
      </w:r>
      <w:proofErr w:type="spellEnd"/>
      <w:r w:rsidR="00985EB1" w:rsidRPr="00AE7E6C">
        <w:rPr>
          <w:rFonts w:ascii="Cambria" w:hAnsi="Cambria"/>
          <w:sz w:val="22"/>
          <w:szCs w:val="22"/>
        </w:rPr>
        <w:t xml:space="preserve">, or bladder outlet obstruction. Isolated cases of ureteral obstruction and/or spinal cord compression, which may contribute to paralysis with or without fatal complications, have been observed in the palliative treatment of advanced </w:t>
      </w:r>
      <w:r w:rsidR="00985EB1" w:rsidRPr="00AE7E6C">
        <w:rPr>
          <w:rFonts w:ascii="Cambria" w:hAnsi="Cambria"/>
          <w:sz w:val="22"/>
          <w:szCs w:val="22"/>
        </w:rPr>
        <w:lastRenderedPageBreak/>
        <w:t xml:space="preserve">prostate cancer using LH-RH </w:t>
      </w:r>
      <w:r w:rsidR="00AE7E6C">
        <w:rPr>
          <w:rFonts w:ascii="Cambria" w:hAnsi="Cambria"/>
          <w:sz w:val="22"/>
          <w:szCs w:val="22"/>
        </w:rPr>
        <w:t>agonists.</w:t>
      </w:r>
    </w:p>
    <w:p w14:paraId="6B22A000" w14:textId="1150E913"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Initiating therapy with a non-steroidal anti-androgen at the same time as leuprorelin acetate therapy has proven benefit in reducing flare reactions in 'at risk' patients (</w:t>
      </w:r>
      <w:proofErr w:type="gramStart"/>
      <w:r w:rsidRPr="00AE7E6C">
        <w:rPr>
          <w:rFonts w:ascii="Cambria" w:hAnsi="Cambria"/>
          <w:sz w:val="22"/>
          <w:szCs w:val="22"/>
        </w:rPr>
        <w:t>e.g.</w:t>
      </w:r>
      <w:proofErr w:type="gramEnd"/>
      <w:r w:rsidRPr="00AE7E6C">
        <w:rPr>
          <w:rFonts w:ascii="Cambria" w:hAnsi="Cambria"/>
          <w:sz w:val="22"/>
          <w:szCs w:val="22"/>
        </w:rPr>
        <w:t xml:space="preserve"> those with thecal indentation, or at risk of cord compression, and patients with bladder neck obstruction). Additional administration of an appropriate antiandrogen should be considered beginning 3 days prior to leuprorelin therapy and continuing for the first two to three weeks of treatment. This has been reported to prevent the sequelae of an initial rise in serum testosterone.</w:t>
      </w:r>
    </w:p>
    <w:p w14:paraId="66C4CE9C" w14:textId="39D337BE"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If spinal cord compression or renal impairment develops, standard treatment of these complications should be </w:t>
      </w:r>
      <w:r w:rsidR="00AE7E6C">
        <w:rPr>
          <w:rFonts w:ascii="Cambria" w:hAnsi="Cambria"/>
          <w:sz w:val="22"/>
          <w:szCs w:val="22"/>
        </w:rPr>
        <w:t>instituted.</w:t>
      </w:r>
    </w:p>
    <w:p w14:paraId="09BA3E26" w14:textId="33711909"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Long-term administration of leuprorelin will cause suppression of pituitary gonadotropins and gonadal hormone production with clinical symptoms of hypogonadism. These changes have been observed to reverse on discontinuation of therapy. However, whether the clinical symptoms of induced hypogonadism will reverse in all patients has not yet been established.</w:t>
      </w:r>
    </w:p>
    <w:p w14:paraId="11ADD05B" w14:textId="4EDE7207" w:rsidR="00985EB1" w:rsidRPr="000E39BC" w:rsidRDefault="00985EB1" w:rsidP="006315BA">
      <w:pPr>
        <w:pStyle w:val="Heading3"/>
        <w:numPr>
          <w:ilvl w:val="0"/>
          <w:numId w:val="0"/>
        </w:numPr>
      </w:pPr>
      <w:r w:rsidRPr="000E39BC">
        <w:t>General</w:t>
      </w:r>
    </w:p>
    <w:p w14:paraId="541EF18C" w14:textId="77777777"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Patients with metastatic vertebral lesions and/or with urinary tract obstruction should be closely observed during the first few weeks of therapy.</w:t>
      </w:r>
    </w:p>
    <w:p w14:paraId="31F0815E" w14:textId="5A7FCD3F"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Response to </w:t>
      </w:r>
      <w:r w:rsidR="00496210">
        <w:rPr>
          <w:rFonts w:ascii="Cambria" w:hAnsi="Cambria"/>
          <w:sz w:val="22"/>
          <w:szCs w:val="22"/>
        </w:rPr>
        <w:t>ELIGARD</w:t>
      </w:r>
      <w:r w:rsidRPr="00AE7E6C">
        <w:rPr>
          <w:rFonts w:ascii="Cambria" w:hAnsi="Cambria"/>
          <w:sz w:val="22"/>
          <w:szCs w:val="22"/>
        </w:rPr>
        <w:t xml:space="preserve"> should be monitored by measuring serum concentrations of testosterone and prostate-specific antigen periodically.</w:t>
      </w:r>
    </w:p>
    <w:p w14:paraId="784B4EC9" w14:textId="2AE1F157"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Results of testosterone determinations are dependent on assay methodology. It is advisable to be aware of the type and precision of the assay methodology to make appropriate clinical and therapeutic </w:t>
      </w:r>
      <w:r w:rsidR="00AE7E6C">
        <w:rPr>
          <w:rFonts w:ascii="Cambria" w:hAnsi="Cambria"/>
          <w:sz w:val="22"/>
          <w:szCs w:val="22"/>
        </w:rPr>
        <w:t>decisions.</w:t>
      </w:r>
    </w:p>
    <w:p w14:paraId="1C43F226" w14:textId="1FC2E7A8"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Following surgical castration, </w:t>
      </w:r>
      <w:r w:rsidR="00496210">
        <w:rPr>
          <w:rFonts w:ascii="Cambria" w:hAnsi="Cambria"/>
          <w:sz w:val="22"/>
          <w:szCs w:val="22"/>
        </w:rPr>
        <w:t>ELIGARD</w:t>
      </w:r>
      <w:r w:rsidRPr="00AE7E6C">
        <w:rPr>
          <w:rFonts w:ascii="Cambria" w:hAnsi="Cambria"/>
          <w:sz w:val="22"/>
          <w:szCs w:val="22"/>
        </w:rPr>
        <w:t xml:space="preserve"> does not lead to a further decrease in serum testosterone levels in male patients. </w:t>
      </w:r>
    </w:p>
    <w:p w14:paraId="16D83709" w14:textId="3DC9C34A"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A proportion of patients will have tumors which are not sensitive to hormone manipulation. This is termed castrate-resistant prostate cancer. Signs and/or symptoms of tumor progression despite adequate testosterone suppression are diagnostic of this condition. Current treatment paradigms recommend continued GnRH therapy along with other therapeutic regimes for this circumstance.</w:t>
      </w:r>
    </w:p>
    <w:p w14:paraId="6AF04FF3" w14:textId="77777777" w:rsidR="00AE7E6C" w:rsidRPr="000E39BC" w:rsidRDefault="00985EB1" w:rsidP="006315BA">
      <w:pPr>
        <w:pStyle w:val="Heading3"/>
        <w:numPr>
          <w:ilvl w:val="0"/>
          <w:numId w:val="0"/>
        </w:numPr>
      </w:pPr>
      <w:proofErr w:type="spellStart"/>
      <w:r w:rsidRPr="000E39BC">
        <w:t>Hyperglycemia</w:t>
      </w:r>
      <w:proofErr w:type="spellEnd"/>
      <w:r w:rsidRPr="000E39BC">
        <w:t xml:space="preserve"> and Diabetes</w:t>
      </w:r>
    </w:p>
    <w:p w14:paraId="5015B198" w14:textId="1F6E6E4C" w:rsidR="00985EB1" w:rsidRPr="00AE7E6C" w:rsidRDefault="00985EB1" w:rsidP="00AE7E6C">
      <w:pPr>
        <w:pStyle w:val="BodyText"/>
        <w:spacing w:after="240" w:line="276" w:lineRule="auto"/>
        <w:ind w:left="0" w:right="68"/>
        <w:rPr>
          <w:rFonts w:ascii="Cambria" w:hAnsi="Cambria"/>
          <w:sz w:val="22"/>
          <w:szCs w:val="22"/>
        </w:rPr>
      </w:pPr>
      <w:r w:rsidRPr="00AE7E6C">
        <w:rPr>
          <w:rFonts w:ascii="Cambria" w:hAnsi="Cambria"/>
          <w:sz w:val="22"/>
          <w:szCs w:val="22"/>
        </w:rPr>
        <w:t xml:space="preserve">Hyperglycemia and an increased risk of developing diabetes have been reported in men receiving GnRH agonists. Hyperglycemia may represent development of diabetes mellitus or worsening of glycemic control in patients with diabetes. Monitor blood glucose and/or glycosylated hemoglobin (HbA1c) periodically in patients receiving a GnRH agonist and manage with current practice for treatment of hyperglycemia or diabetes. </w:t>
      </w:r>
    </w:p>
    <w:p w14:paraId="0610DEA7" w14:textId="4D7B12C9" w:rsidR="0081249D" w:rsidRPr="000E39BC" w:rsidRDefault="00985EB1" w:rsidP="006315BA">
      <w:pPr>
        <w:pStyle w:val="Heading3"/>
        <w:numPr>
          <w:ilvl w:val="0"/>
          <w:numId w:val="0"/>
        </w:numPr>
      </w:pPr>
      <w:r w:rsidRPr="000E39BC">
        <w:lastRenderedPageBreak/>
        <w:t>Cardiovascular Diseases</w:t>
      </w:r>
    </w:p>
    <w:p w14:paraId="5DCFA1F7" w14:textId="232E3BA9" w:rsidR="00985EB1" w:rsidRPr="00393D0B" w:rsidRDefault="00985EB1" w:rsidP="00393D0B">
      <w:pPr>
        <w:pStyle w:val="BodyText"/>
        <w:spacing w:after="240" w:line="276" w:lineRule="auto"/>
        <w:ind w:left="0" w:right="68"/>
        <w:rPr>
          <w:rFonts w:ascii="Cambria" w:hAnsi="Cambria"/>
          <w:sz w:val="22"/>
          <w:szCs w:val="22"/>
        </w:rPr>
      </w:pPr>
      <w:r w:rsidRPr="00393D0B">
        <w:rPr>
          <w:rFonts w:ascii="Cambria" w:hAnsi="Cambria"/>
          <w:sz w:val="22"/>
          <w:szCs w:val="22"/>
        </w:rPr>
        <w:t xml:space="preserve">Increased risk of developing myocardial infarction, sudden cardiac death and stroke has been reported in association with use of GnRH agonists in men. The risk appears low based on the reported </w:t>
      </w:r>
      <w:proofErr w:type="gramStart"/>
      <w:r w:rsidRPr="00393D0B">
        <w:rPr>
          <w:rFonts w:ascii="Cambria" w:hAnsi="Cambria"/>
          <w:sz w:val="22"/>
          <w:szCs w:val="22"/>
        </w:rPr>
        <w:t>odds ratios, and</w:t>
      </w:r>
      <w:proofErr w:type="gramEnd"/>
      <w:r w:rsidRPr="00393D0B">
        <w:rPr>
          <w:rFonts w:ascii="Cambria" w:hAnsi="Cambria"/>
          <w:sz w:val="22"/>
          <w:szCs w:val="22"/>
        </w:rPr>
        <w:t xml:space="preserve"> should be evaluated carefully along with cardiovascular risk factors when determining a treatment for patients with prostate cancer. Patients receiving a GnRH agonist should be monitored for symptoms and signs suggestive of development of cardiovascular disease and be managed according to current clinical practice.</w:t>
      </w:r>
    </w:p>
    <w:p w14:paraId="76A245AB" w14:textId="54F54548" w:rsidR="00985EB1" w:rsidRPr="000E39BC" w:rsidRDefault="00985EB1" w:rsidP="006315BA">
      <w:pPr>
        <w:pStyle w:val="Heading3"/>
        <w:numPr>
          <w:ilvl w:val="0"/>
          <w:numId w:val="0"/>
        </w:numPr>
      </w:pPr>
      <w:r w:rsidRPr="000E39BC">
        <w:t>Effect on QT/QTc Interval</w:t>
      </w:r>
    </w:p>
    <w:p w14:paraId="4A57B944" w14:textId="77777777" w:rsidR="00985EB1" w:rsidRPr="00393D0B" w:rsidRDefault="00985EB1" w:rsidP="00393D0B">
      <w:pPr>
        <w:pStyle w:val="BodyText"/>
        <w:spacing w:after="240" w:line="276" w:lineRule="auto"/>
        <w:ind w:left="0" w:right="68"/>
        <w:rPr>
          <w:rFonts w:ascii="Cambria" w:hAnsi="Cambria"/>
          <w:sz w:val="22"/>
          <w:szCs w:val="22"/>
        </w:rPr>
      </w:pPr>
      <w:r w:rsidRPr="00393D0B">
        <w:rPr>
          <w:rFonts w:ascii="Cambria" w:hAnsi="Cambria"/>
          <w:sz w:val="22"/>
          <w:szCs w:val="22"/>
        </w:rPr>
        <w:t xml:space="preserve">Androgen deprivation therapy may prolong the QT interval. Physicians should consider whether the benefits of androgen deprivation therapy outweigh the potential risks in patients with congenital long QT syndrome, congestive heart failure, frequent electrolyte abnormalities, and in patients taking drugs known to prolong the QT interval. Electrolyte abnormities should be corrected. Consider periodic monitoring of electrocardiograms and electrolytes. </w:t>
      </w:r>
    </w:p>
    <w:p w14:paraId="1CEB6167" w14:textId="77777777" w:rsidR="00C92FFD" w:rsidRPr="000E39BC" w:rsidRDefault="00985EB1" w:rsidP="006315BA">
      <w:pPr>
        <w:pStyle w:val="Heading3"/>
        <w:numPr>
          <w:ilvl w:val="0"/>
          <w:numId w:val="0"/>
        </w:numPr>
      </w:pPr>
      <w:r w:rsidRPr="000E39BC">
        <w:t>Changes in Bone Density</w:t>
      </w:r>
    </w:p>
    <w:p w14:paraId="096B7269" w14:textId="19062CA4" w:rsidR="00985EB1" w:rsidRPr="00C92FFD" w:rsidRDefault="00985EB1" w:rsidP="00C92FFD">
      <w:pPr>
        <w:pStyle w:val="BodyText"/>
        <w:spacing w:after="240" w:line="276" w:lineRule="auto"/>
        <w:ind w:left="0" w:right="68"/>
        <w:rPr>
          <w:rFonts w:ascii="Cambria" w:hAnsi="Cambria"/>
          <w:sz w:val="22"/>
          <w:szCs w:val="22"/>
        </w:rPr>
      </w:pPr>
      <w:r w:rsidRPr="00393D0B">
        <w:rPr>
          <w:rFonts w:ascii="Cambria" w:hAnsi="Cambria"/>
          <w:sz w:val="22"/>
          <w:szCs w:val="22"/>
        </w:rPr>
        <w:t>Bone loss can be expected as part of natural aging and can also be anticipated during the hypo-androgenic state caused by long-term use of leuprorelin acetate. In patients with significant risk factors for decreased bone mineral content and/or bone mass such as family history of osteoporosis, chronic use of corticosteroids or anticonvulsants or chronic abuse of alcohol or tobacco, leuprorelin acetate may pose additional risk. In these patients, risk versus benefit must be weighed carefully before initiation of leuprorelin acetate therapy.</w:t>
      </w:r>
    </w:p>
    <w:p w14:paraId="52D17B88" w14:textId="5A6C6AF3" w:rsidR="00F53E4D" w:rsidRPr="000E39BC" w:rsidRDefault="00985EB1" w:rsidP="006315BA">
      <w:pPr>
        <w:pStyle w:val="Heading3"/>
        <w:numPr>
          <w:ilvl w:val="0"/>
          <w:numId w:val="0"/>
        </w:numPr>
      </w:pPr>
      <w:r w:rsidRPr="000E39BC">
        <w:t>Convulsions</w:t>
      </w:r>
    </w:p>
    <w:p w14:paraId="20D80D4A" w14:textId="56FF6213" w:rsidR="00BF60E9" w:rsidRDefault="00985EB1" w:rsidP="00393D0B">
      <w:pPr>
        <w:pStyle w:val="BodyText"/>
        <w:spacing w:after="240" w:line="276" w:lineRule="auto"/>
        <w:ind w:left="0" w:right="68"/>
        <w:rPr>
          <w:rFonts w:ascii="Cambria" w:hAnsi="Cambria"/>
          <w:sz w:val="22"/>
          <w:szCs w:val="22"/>
        </w:rPr>
      </w:pPr>
      <w:r w:rsidRPr="00393D0B">
        <w:rPr>
          <w:rFonts w:ascii="Cambria" w:hAnsi="Cambria"/>
          <w:sz w:val="22"/>
          <w:szCs w:val="22"/>
        </w:rPr>
        <w:t xml:space="preserve">Post marketing reports of convulsions have been observed in patients on leuprorelin acetate therapy with or without a history of predisposing factors. These included patients in the female and </w:t>
      </w:r>
      <w:proofErr w:type="spellStart"/>
      <w:r w:rsidRPr="00393D0B">
        <w:rPr>
          <w:rFonts w:ascii="Cambria" w:hAnsi="Cambria"/>
          <w:sz w:val="22"/>
          <w:szCs w:val="22"/>
        </w:rPr>
        <w:t>paediatric</w:t>
      </w:r>
      <w:proofErr w:type="spellEnd"/>
      <w:r w:rsidRPr="00393D0B">
        <w:rPr>
          <w:rFonts w:ascii="Cambria" w:hAnsi="Cambria"/>
          <w:sz w:val="22"/>
          <w:szCs w:val="22"/>
        </w:rPr>
        <w:t xml:space="preserve"> populations, patients with a history of seizures, epilepsy, cerebrovascular disorders, central nervous system anomalies or </w:t>
      </w:r>
      <w:proofErr w:type="spellStart"/>
      <w:r w:rsidRPr="00393D0B">
        <w:rPr>
          <w:rFonts w:ascii="Cambria" w:hAnsi="Cambria"/>
          <w:sz w:val="22"/>
          <w:szCs w:val="22"/>
        </w:rPr>
        <w:t>tumours</w:t>
      </w:r>
      <w:proofErr w:type="spellEnd"/>
      <w:r w:rsidRPr="00393D0B">
        <w:rPr>
          <w:rFonts w:ascii="Cambria" w:hAnsi="Cambria"/>
          <w:sz w:val="22"/>
          <w:szCs w:val="22"/>
        </w:rPr>
        <w:t>, and in patients on concomitant medications that have been associated with convulsions such as bupropion and SSRIs. Convulsions have also been reported in patients in the absence of any of the conditions mentioned above. Convulsions are to be managed according to</w:t>
      </w:r>
      <w:r w:rsidR="00393D0B">
        <w:rPr>
          <w:rFonts w:ascii="Cambria" w:hAnsi="Cambria"/>
          <w:sz w:val="22"/>
          <w:szCs w:val="22"/>
        </w:rPr>
        <w:t xml:space="preserve"> the current clinical practice.</w:t>
      </w:r>
    </w:p>
    <w:p w14:paraId="353CACC3" w14:textId="539D8873" w:rsidR="00CB52EC" w:rsidRPr="00CB52EC" w:rsidRDefault="00CB52EC" w:rsidP="00CB52EC">
      <w:pPr>
        <w:pStyle w:val="Heading3"/>
        <w:numPr>
          <w:ilvl w:val="0"/>
          <w:numId w:val="0"/>
        </w:numPr>
      </w:pPr>
      <w:r w:rsidRPr="00CB52EC">
        <w:t>Respiratory</w:t>
      </w:r>
    </w:p>
    <w:p w14:paraId="5D888C60" w14:textId="38B80C1E" w:rsidR="00CB52EC" w:rsidRPr="00CB52EC" w:rsidRDefault="00CB52EC" w:rsidP="00CB52EC">
      <w:pPr>
        <w:pStyle w:val="BodyText"/>
        <w:spacing w:after="240" w:line="276" w:lineRule="auto"/>
        <w:ind w:left="0" w:right="68"/>
        <w:rPr>
          <w:rFonts w:ascii="Cambria" w:hAnsi="Cambria"/>
          <w:sz w:val="22"/>
          <w:szCs w:val="22"/>
        </w:rPr>
      </w:pPr>
      <w:r w:rsidRPr="00CB52EC">
        <w:rPr>
          <w:rFonts w:ascii="Cambria" w:hAnsi="Cambria"/>
          <w:sz w:val="22"/>
          <w:szCs w:val="22"/>
        </w:rPr>
        <w:t>There have been post-marketing reports of interstitial pneumonitis associated with leuprorelin use. Treatment should be discontinued immediately if the patient develops any signs or symptoms suggestive of interstitial lung disease.</w:t>
      </w:r>
    </w:p>
    <w:p w14:paraId="628A9E3C" w14:textId="689C3979" w:rsidR="001A3992" w:rsidRPr="000E39BC" w:rsidRDefault="001A3992" w:rsidP="006315BA">
      <w:pPr>
        <w:pStyle w:val="Heading3"/>
        <w:numPr>
          <w:ilvl w:val="0"/>
          <w:numId w:val="0"/>
        </w:numPr>
      </w:pPr>
      <w:r w:rsidRPr="000E39BC">
        <w:t xml:space="preserve">Use in hepatic impairment </w:t>
      </w:r>
    </w:p>
    <w:p w14:paraId="06E892AB" w14:textId="44421112" w:rsidR="0081249D" w:rsidRPr="00C92FFD" w:rsidRDefault="00496210" w:rsidP="00C92FFD">
      <w:pPr>
        <w:pStyle w:val="BodyText"/>
        <w:spacing w:after="240" w:line="276" w:lineRule="auto"/>
        <w:ind w:left="0" w:right="68"/>
        <w:rPr>
          <w:rFonts w:ascii="Cambria" w:hAnsi="Cambria"/>
          <w:sz w:val="22"/>
          <w:szCs w:val="22"/>
        </w:rPr>
      </w:pPr>
      <w:r>
        <w:rPr>
          <w:rFonts w:ascii="Cambria" w:hAnsi="Cambria"/>
          <w:sz w:val="22"/>
          <w:szCs w:val="22"/>
        </w:rPr>
        <w:t>ELIGARD</w:t>
      </w:r>
      <w:r w:rsidR="00641435" w:rsidRPr="00C92FFD">
        <w:rPr>
          <w:rFonts w:ascii="Cambria" w:hAnsi="Cambria"/>
          <w:sz w:val="22"/>
          <w:szCs w:val="22"/>
        </w:rPr>
        <w:t xml:space="preserve"> was not studied in hepatically and renally impaired patients.</w:t>
      </w:r>
    </w:p>
    <w:p w14:paraId="7AE55FF3" w14:textId="6EEFF721" w:rsidR="001A3992" w:rsidRPr="009A4D45" w:rsidRDefault="00641435" w:rsidP="006315BA">
      <w:pPr>
        <w:pStyle w:val="Heading3"/>
        <w:numPr>
          <w:ilvl w:val="0"/>
          <w:numId w:val="0"/>
        </w:numPr>
      </w:pPr>
      <w:r w:rsidRPr="009A4D45">
        <w:t>Use in renal impairment</w:t>
      </w:r>
    </w:p>
    <w:p w14:paraId="43594344" w14:textId="4D993D07" w:rsidR="0081249D" w:rsidRDefault="00496210" w:rsidP="00C92FFD">
      <w:pPr>
        <w:pStyle w:val="BodyText"/>
        <w:spacing w:after="240" w:line="276" w:lineRule="auto"/>
        <w:ind w:left="0" w:right="68"/>
        <w:rPr>
          <w:rFonts w:ascii="Cambria" w:hAnsi="Cambria"/>
          <w:sz w:val="22"/>
          <w:szCs w:val="22"/>
        </w:rPr>
      </w:pPr>
      <w:r>
        <w:rPr>
          <w:rFonts w:ascii="Cambria" w:hAnsi="Cambria"/>
          <w:sz w:val="22"/>
          <w:szCs w:val="22"/>
        </w:rPr>
        <w:t>ELIGARD</w:t>
      </w:r>
      <w:r w:rsidR="00641435" w:rsidRPr="00C92FFD">
        <w:rPr>
          <w:rFonts w:ascii="Cambria" w:hAnsi="Cambria"/>
          <w:sz w:val="22"/>
          <w:szCs w:val="22"/>
        </w:rPr>
        <w:t xml:space="preserve"> was not studied in hepatically and renally impaired </w:t>
      </w:r>
      <w:r w:rsidR="0081249D" w:rsidRPr="00C92FFD">
        <w:rPr>
          <w:rFonts w:ascii="Cambria" w:hAnsi="Cambria"/>
          <w:sz w:val="22"/>
          <w:szCs w:val="22"/>
        </w:rPr>
        <w:t>patients.</w:t>
      </w:r>
    </w:p>
    <w:p w14:paraId="4C9EECA8" w14:textId="77777777" w:rsidR="001A3992" w:rsidRPr="000E39BC" w:rsidRDefault="001A3992" w:rsidP="006315BA">
      <w:pPr>
        <w:pStyle w:val="Heading3"/>
        <w:numPr>
          <w:ilvl w:val="0"/>
          <w:numId w:val="0"/>
        </w:numPr>
      </w:pPr>
      <w:r w:rsidRPr="000E39BC">
        <w:lastRenderedPageBreak/>
        <w:t>Use in the elderly</w:t>
      </w:r>
    </w:p>
    <w:p w14:paraId="10595D6C" w14:textId="62B7DF2B" w:rsidR="0081249D" w:rsidRPr="00DD645D" w:rsidRDefault="0081249D" w:rsidP="00DD645D">
      <w:pPr>
        <w:pStyle w:val="BodyText"/>
        <w:spacing w:after="240" w:line="276" w:lineRule="auto"/>
        <w:ind w:left="0" w:right="68"/>
        <w:rPr>
          <w:rFonts w:ascii="Cambria" w:hAnsi="Cambria"/>
          <w:sz w:val="22"/>
          <w:szCs w:val="22"/>
        </w:rPr>
      </w:pPr>
      <w:proofErr w:type="gramStart"/>
      <w:r w:rsidRPr="00DD645D">
        <w:rPr>
          <w:rFonts w:ascii="Cambria" w:hAnsi="Cambria"/>
          <w:sz w:val="22"/>
          <w:szCs w:val="22"/>
        </w:rPr>
        <w:t>The majority of</w:t>
      </w:r>
      <w:proofErr w:type="gramEnd"/>
      <w:r w:rsidRPr="00DD645D">
        <w:rPr>
          <w:rFonts w:ascii="Cambria" w:hAnsi="Cambria"/>
          <w:sz w:val="22"/>
          <w:szCs w:val="22"/>
        </w:rPr>
        <w:t xml:space="preserve"> the patients (approximately 70%) studied in the clinical trials were age 70 and older.</w:t>
      </w:r>
    </w:p>
    <w:p w14:paraId="07E9BAC8" w14:textId="28F3E502" w:rsidR="001A3992" w:rsidRPr="00A837ED" w:rsidRDefault="001A3992" w:rsidP="006315BA">
      <w:pPr>
        <w:pStyle w:val="Heading3"/>
        <w:numPr>
          <w:ilvl w:val="0"/>
          <w:numId w:val="0"/>
        </w:numPr>
      </w:pPr>
      <w:r w:rsidRPr="00A837ED">
        <w:t>Paediatric use</w:t>
      </w:r>
    </w:p>
    <w:p w14:paraId="711B1FEE" w14:textId="5C526D9E" w:rsidR="00A837ED" w:rsidRDefault="00A837ED" w:rsidP="00A837ED">
      <w:pPr>
        <w:pStyle w:val="BodyText"/>
        <w:spacing w:after="240" w:line="276" w:lineRule="auto"/>
        <w:ind w:left="0" w:right="68"/>
        <w:rPr>
          <w:rFonts w:ascii="Cambria" w:hAnsi="Cambria"/>
          <w:sz w:val="22"/>
          <w:szCs w:val="22"/>
        </w:rPr>
      </w:pPr>
      <w:r w:rsidRPr="00A837ED">
        <w:rPr>
          <w:rFonts w:ascii="Cambria" w:hAnsi="Cambria"/>
          <w:sz w:val="22"/>
          <w:szCs w:val="22"/>
        </w:rPr>
        <w:t xml:space="preserve">The safety and effectiveness of </w:t>
      </w:r>
      <w:bookmarkStart w:id="2" w:name="_Hlk64900070"/>
      <w:r w:rsidR="00496210">
        <w:rPr>
          <w:rFonts w:ascii="Cambria" w:hAnsi="Cambria"/>
          <w:sz w:val="22"/>
          <w:szCs w:val="22"/>
        </w:rPr>
        <w:t>ELIGARD</w:t>
      </w:r>
      <w:r w:rsidRPr="00A837ED">
        <w:rPr>
          <w:rFonts w:ascii="Cambria" w:hAnsi="Cambria"/>
          <w:sz w:val="22"/>
          <w:szCs w:val="22"/>
        </w:rPr>
        <w:t xml:space="preserve"> </w:t>
      </w:r>
      <w:r w:rsidR="00A730A1">
        <w:rPr>
          <w:rFonts w:ascii="Cambria" w:hAnsi="Cambria"/>
          <w:sz w:val="22"/>
          <w:szCs w:val="22"/>
        </w:rPr>
        <w:t xml:space="preserve">7.5mg </w:t>
      </w:r>
      <w:r w:rsidR="00AE0311" w:rsidRPr="00952DE2">
        <w:rPr>
          <w:rFonts w:ascii="Cambria" w:hAnsi="Cambria"/>
          <w:sz w:val="22"/>
          <w:szCs w:val="22"/>
          <w:lang w:val="en-AU"/>
        </w:rPr>
        <w:t>1</w:t>
      </w:r>
      <w:r w:rsidR="00A730A1">
        <w:rPr>
          <w:rFonts w:ascii="Cambria" w:hAnsi="Cambria"/>
          <w:sz w:val="22"/>
          <w:szCs w:val="22"/>
          <w:lang w:val="en-AU"/>
        </w:rPr>
        <w:t>month</w:t>
      </w:r>
      <w:r w:rsidR="00AE0311" w:rsidRPr="00952DE2">
        <w:rPr>
          <w:rFonts w:ascii="Cambria" w:hAnsi="Cambria"/>
          <w:sz w:val="22"/>
          <w:szCs w:val="22"/>
          <w:lang w:val="en-AU"/>
        </w:rPr>
        <w:t xml:space="preserve">, </w:t>
      </w:r>
      <w:bookmarkEnd w:id="2"/>
      <w:r w:rsidR="00A730A1" w:rsidRPr="00A730A1">
        <w:rPr>
          <w:rFonts w:ascii="Cambria" w:hAnsi="Cambria"/>
          <w:sz w:val="22"/>
          <w:szCs w:val="22"/>
          <w:lang w:val="en-AU"/>
        </w:rPr>
        <w:t>22.5mg 3 Month</w:t>
      </w:r>
      <w:r w:rsidR="00A730A1">
        <w:rPr>
          <w:rFonts w:ascii="Cambria" w:hAnsi="Cambria"/>
          <w:sz w:val="22"/>
          <w:szCs w:val="22"/>
          <w:lang w:val="en-AU"/>
        </w:rPr>
        <w:t xml:space="preserve"> and </w:t>
      </w:r>
      <w:r w:rsidR="00A730A1" w:rsidRPr="00A730A1">
        <w:rPr>
          <w:rFonts w:ascii="Cambria" w:hAnsi="Cambria"/>
          <w:sz w:val="22"/>
          <w:szCs w:val="22"/>
          <w:lang w:val="en-AU"/>
        </w:rPr>
        <w:t>30mg 4 Month</w:t>
      </w:r>
      <w:r w:rsidR="00A730A1">
        <w:rPr>
          <w:rFonts w:ascii="Cambria" w:hAnsi="Cambria"/>
          <w:sz w:val="22"/>
          <w:szCs w:val="22"/>
          <w:lang w:val="en-AU"/>
        </w:rPr>
        <w:t xml:space="preserve"> </w:t>
      </w:r>
      <w:r w:rsidRPr="00A837ED">
        <w:rPr>
          <w:rFonts w:ascii="Cambria" w:hAnsi="Cambria"/>
          <w:sz w:val="22"/>
          <w:szCs w:val="22"/>
        </w:rPr>
        <w:t xml:space="preserve">in </w:t>
      </w:r>
      <w:proofErr w:type="spellStart"/>
      <w:r w:rsidRPr="00A837ED">
        <w:rPr>
          <w:rFonts w:ascii="Cambria" w:hAnsi="Cambria"/>
          <w:sz w:val="22"/>
          <w:szCs w:val="22"/>
        </w:rPr>
        <w:t>paediatric</w:t>
      </w:r>
      <w:proofErr w:type="spellEnd"/>
      <w:r w:rsidRPr="00A837ED">
        <w:rPr>
          <w:rFonts w:ascii="Cambria" w:hAnsi="Cambria"/>
          <w:sz w:val="22"/>
          <w:szCs w:val="22"/>
        </w:rPr>
        <w:t xml:space="preserve"> patients have not been established (see </w:t>
      </w:r>
      <w:r w:rsidR="007D5780">
        <w:rPr>
          <w:rFonts w:ascii="Cambria" w:hAnsi="Cambria"/>
          <w:sz w:val="22"/>
          <w:szCs w:val="22"/>
        </w:rPr>
        <w:t>Section 4.3 - Contraindications</w:t>
      </w:r>
      <w:r w:rsidRPr="00A837ED">
        <w:rPr>
          <w:rFonts w:ascii="Cambria" w:hAnsi="Cambria"/>
          <w:sz w:val="22"/>
          <w:szCs w:val="22"/>
        </w:rPr>
        <w:t>).</w:t>
      </w:r>
    </w:p>
    <w:p w14:paraId="6144227C" w14:textId="3F9B4126" w:rsidR="00F06AE3" w:rsidRDefault="00F06AE3" w:rsidP="00A837ED">
      <w:pPr>
        <w:pStyle w:val="BodyText"/>
        <w:spacing w:after="240" w:line="276" w:lineRule="auto"/>
        <w:ind w:left="0" w:right="68"/>
        <w:rPr>
          <w:rFonts w:ascii="Cambria" w:hAnsi="Cambria"/>
          <w:sz w:val="22"/>
          <w:szCs w:val="22"/>
        </w:rPr>
      </w:pPr>
      <w:r w:rsidRPr="00E04C05">
        <w:rPr>
          <w:rFonts w:asciiTheme="majorHAnsi" w:hAnsiTheme="majorHAnsi"/>
          <w:sz w:val="22"/>
          <w:szCs w:val="22"/>
          <w:lang w:val="en-AU"/>
        </w:rPr>
        <w:t>The management of CPP is in the specialist field of paediatric endocrinology</w:t>
      </w:r>
    </w:p>
    <w:p w14:paraId="5B76CDEF" w14:textId="01686EE7" w:rsidR="00AB01A1" w:rsidRPr="00445AC2" w:rsidRDefault="00AB01A1" w:rsidP="00445AC2">
      <w:pPr>
        <w:pStyle w:val="Heading3"/>
        <w:numPr>
          <w:ilvl w:val="0"/>
          <w:numId w:val="0"/>
        </w:numPr>
      </w:pPr>
      <w:r w:rsidRPr="00445AC2">
        <w:t>Central Precocious Puberty</w:t>
      </w:r>
    </w:p>
    <w:p w14:paraId="223B38E8" w14:textId="355AB264" w:rsidR="001B4252" w:rsidRDefault="001B4252" w:rsidP="00A837ED">
      <w:pPr>
        <w:pStyle w:val="BodyText"/>
        <w:spacing w:after="240" w:line="276" w:lineRule="auto"/>
        <w:ind w:left="0" w:right="68"/>
        <w:rPr>
          <w:rFonts w:ascii="Cambria" w:hAnsi="Cambria"/>
          <w:sz w:val="22"/>
          <w:szCs w:val="22"/>
          <w:lang w:val="en-AU"/>
        </w:rPr>
      </w:pPr>
      <w:r w:rsidRPr="001B4252">
        <w:rPr>
          <w:rFonts w:ascii="Cambria" w:hAnsi="Cambria"/>
          <w:sz w:val="22"/>
          <w:szCs w:val="22"/>
          <w:lang w:val="en-AU"/>
        </w:rPr>
        <w:t xml:space="preserve">The safety and effectiveness of ELIGARD </w:t>
      </w:r>
      <w:r w:rsidR="00AB01A1">
        <w:rPr>
          <w:rFonts w:ascii="Cambria" w:hAnsi="Cambria"/>
          <w:sz w:val="22"/>
          <w:szCs w:val="22"/>
          <w:lang w:val="en-AU"/>
        </w:rPr>
        <w:t xml:space="preserve">45mg </w:t>
      </w:r>
      <w:r w:rsidR="00952D30">
        <w:rPr>
          <w:rFonts w:ascii="Cambria" w:hAnsi="Cambria"/>
          <w:sz w:val="22"/>
          <w:szCs w:val="22"/>
          <w:lang w:val="en-AU"/>
        </w:rPr>
        <w:t xml:space="preserve">6 month </w:t>
      </w:r>
      <w:r w:rsidRPr="001B4252">
        <w:rPr>
          <w:rFonts w:ascii="Cambria" w:hAnsi="Cambria"/>
          <w:sz w:val="22"/>
          <w:szCs w:val="22"/>
          <w:lang w:val="en-AU"/>
        </w:rPr>
        <w:t>for the treatment of CPP has been established in p</w:t>
      </w:r>
      <w:r>
        <w:rPr>
          <w:rFonts w:ascii="Cambria" w:hAnsi="Cambria"/>
          <w:sz w:val="22"/>
          <w:szCs w:val="22"/>
          <w:lang w:val="en-AU"/>
        </w:rPr>
        <w:t>a</w:t>
      </w:r>
      <w:r w:rsidRPr="001B4252">
        <w:rPr>
          <w:rFonts w:ascii="Cambria" w:hAnsi="Cambria"/>
          <w:sz w:val="22"/>
          <w:szCs w:val="22"/>
          <w:lang w:val="en-AU"/>
        </w:rPr>
        <w:t>ediatric patients 2 years of age and older.</w:t>
      </w:r>
    </w:p>
    <w:p w14:paraId="72E113F9" w14:textId="42CA83FF" w:rsidR="006A6C6F" w:rsidRPr="00CE313E" w:rsidRDefault="006A6C6F" w:rsidP="004879F9">
      <w:pPr>
        <w:pStyle w:val="Heading4"/>
        <w:numPr>
          <w:ilvl w:val="0"/>
          <w:numId w:val="0"/>
        </w:numPr>
        <w:spacing w:before="120"/>
      </w:pPr>
      <w:r w:rsidRPr="00CE313E">
        <w:t>Psychiatric events</w:t>
      </w:r>
      <w:r w:rsidR="00AF50DC" w:rsidRPr="00CE313E">
        <w:t>:</w:t>
      </w:r>
      <w:r w:rsidRPr="00CE313E">
        <w:t xml:space="preserve"> </w:t>
      </w:r>
    </w:p>
    <w:p w14:paraId="4F256ACE" w14:textId="737B0980" w:rsidR="00BB1125" w:rsidRPr="005F6BD5" w:rsidRDefault="00BB1125" w:rsidP="00A837ED">
      <w:pPr>
        <w:pStyle w:val="BodyText"/>
        <w:spacing w:after="240" w:line="276" w:lineRule="auto"/>
        <w:ind w:left="0" w:right="68"/>
        <w:rPr>
          <w:rFonts w:asciiTheme="majorHAnsi" w:hAnsiTheme="majorHAnsi"/>
          <w:sz w:val="22"/>
          <w:szCs w:val="22"/>
          <w:lang w:val="en-AU"/>
        </w:rPr>
      </w:pPr>
      <w:r w:rsidRPr="005C4C9C">
        <w:rPr>
          <w:rFonts w:ascii="Cambria" w:hAnsi="Cambria"/>
          <w:sz w:val="22"/>
          <w:szCs w:val="22"/>
        </w:rPr>
        <w:t xml:space="preserve">Psychiatric events have been reported in patients taking GnRH agonists, including </w:t>
      </w:r>
      <w:r w:rsidR="0020656D">
        <w:rPr>
          <w:rFonts w:ascii="Cambria" w:hAnsi="Cambria"/>
          <w:sz w:val="22"/>
          <w:szCs w:val="22"/>
        </w:rPr>
        <w:t>leuprorelin</w:t>
      </w:r>
      <w:r w:rsidRPr="005F6BD5">
        <w:rPr>
          <w:rFonts w:asciiTheme="majorHAnsi" w:hAnsiTheme="majorHAnsi"/>
          <w:sz w:val="22"/>
          <w:szCs w:val="22"/>
          <w:lang w:val="en-AU"/>
        </w:rPr>
        <w:t xml:space="preserve"> acetate. </w:t>
      </w:r>
      <w:proofErr w:type="spellStart"/>
      <w:r w:rsidRPr="005F6BD5">
        <w:rPr>
          <w:rFonts w:asciiTheme="majorHAnsi" w:hAnsiTheme="majorHAnsi"/>
          <w:sz w:val="22"/>
          <w:szCs w:val="22"/>
          <w:lang w:val="en-AU"/>
        </w:rPr>
        <w:t>Postmarketing</w:t>
      </w:r>
      <w:proofErr w:type="spellEnd"/>
      <w:r w:rsidRPr="005F6BD5">
        <w:rPr>
          <w:rFonts w:asciiTheme="majorHAnsi" w:hAnsiTheme="majorHAnsi"/>
          <w:sz w:val="22"/>
          <w:szCs w:val="22"/>
          <w:lang w:val="en-AU"/>
        </w:rPr>
        <w:t xml:space="preserve"> reports with this class of drugs include symptoms of emotional lability, such as crying, irritability, impatience, anger, and aggression. Monitor for development or worsening of psychiatric symptoms during treatment with </w:t>
      </w:r>
      <w:r w:rsidR="00F14603" w:rsidRPr="002022DA">
        <w:rPr>
          <w:rFonts w:asciiTheme="majorHAnsi" w:hAnsiTheme="majorHAnsi"/>
          <w:sz w:val="22"/>
          <w:szCs w:val="22"/>
        </w:rPr>
        <w:t>ELIGARD</w:t>
      </w:r>
      <w:r w:rsidRPr="002022DA">
        <w:rPr>
          <w:rFonts w:asciiTheme="majorHAnsi" w:hAnsiTheme="majorHAnsi"/>
          <w:sz w:val="22"/>
          <w:szCs w:val="22"/>
          <w:lang w:val="en-AU"/>
        </w:rPr>
        <w:t>.</w:t>
      </w:r>
    </w:p>
    <w:p w14:paraId="47002D59" w14:textId="256FD408" w:rsidR="00BB1125" w:rsidRPr="007F4803" w:rsidRDefault="00BB1125" w:rsidP="00251839">
      <w:pPr>
        <w:pStyle w:val="Heading3"/>
        <w:numPr>
          <w:ilvl w:val="0"/>
          <w:numId w:val="0"/>
        </w:numPr>
        <w:rPr>
          <w:b w:val="0"/>
          <w:bCs w:val="0"/>
          <w:i/>
          <w:iCs/>
        </w:rPr>
      </w:pPr>
      <w:r w:rsidRPr="007F4803">
        <w:rPr>
          <w:b w:val="0"/>
          <w:bCs w:val="0"/>
          <w:i/>
          <w:iCs/>
        </w:rPr>
        <w:t>Initial Rise of Gonadotropins and Sex Steroid Levels</w:t>
      </w:r>
      <w:r w:rsidR="00AF50DC">
        <w:rPr>
          <w:b w:val="0"/>
          <w:bCs w:val="0"/>
          <w:i/>
          <w:iCs/>
        </w:rPr>
        <w:t>:</w:t>
      </w:r>
      <w:r w:rsidRPr="007F4803">
        <w:rPr>
          <w:b w:val="0"/>
          <w:bCs w:val="0"/>
          <w:i/>
          <w:iCs/>
        </w:rPr>
        <w:t xml:space="preserve"> </w:t>
      </w:r>
    </w:p>
    <w:p w14:paraId="28600445" w14:textId="35D92BA0" w:rsidR="00BB1125" w:rsidRDefault="00BB1125" w:rsidP="00BB1125">
      <w:pPr>
        <w:pStyle w:val="BodyText"/>
        <w:spacing w:after="240" w:line="276" w:lineRule="auto"/>
        <w:ind w:left="0" w:right="68"/>
        <w:rPr>
          <w:rFonts w:asciiTheme="majorHAnsi" w:hAnsiTheme="majorHAnsi"/>
          <w:sz w:val="22"/>
          <w:szCs w:val="22"/>
          <w:lang w:val="en-AU"/>
        </w:rPr>
      </w:pPr>
      <w:r w:rsidRPr="005C4C9C">
        <w:rPr>
          <w:rFonts w:ascii="Cambria" w:hAnsi="Cambria"/>
          <w:sz w:val="22"/>
          <w:szCs w:val="22"/>
        </w:rPr>
        <w:t>During the early phase of therapy, gonadotropins and sex steroids rise above baseline because</w:t>
      </w:r>
      <w:r w:rsidRPr="005F6BD5">
        <w:rPr>
          <w:rFonts w:asciiTheme="majorHAnsi" w:hAnsiTheme="majorHAnsi"/>
          <w:sz w:val="22"/>
          <w:szCs w:val="22"/>
          <w:lang w:val="en-AU"/>
        </w:rPr>
        <w:t xml:space="preserve"> of the initial stimulatory effect of the drug. Therefore, an increase in clinical signs and symptoms of puberty including vaginal bleeding may be observed during the first weeks of therapy or after subsequent doses. Instruct patients and caregivers to notify the physician if these symptoms continue beyond the second month after </w:t>
      </w:r>
      <w:r w:rsidR="00610597" w:rsidRPr="002022DA">
        <w:rPr>
          <w:rFonts w:asciiTheme="majorHAnsi" w:hAnsiTheme="majorHAnsi"/>
          <w:sz w:val="22"/>
          <w:szCs w:val="22"/>
        </w:rPr>
        <w:t xml:space="preserve">ELIGARD </w:t>
      </w:r>
      <w:r w:rsidRPr="005F6BD5">
        <w:rPr>
          <w:rFonts w:asciiTheme="majorHAnsi" w:hAnsiTheme="majorHAnsi"/>
          <w:sz w:val="22"/>
          <w:szCs w:val="22"/>
          <w:lang w:val="en-AU"/>
        </w:rPr>
        <w:t>administration</w:t>
      </w:r>
      <w:r w:rsidR="00973D58">
        <w:rPr>
          <w:rFonts w:asciiTheme="majorHAnsi" w:hAnsiTheme="majorHAnsi"/>
          <w:sz w:val="22"/>
          <w:szCs w:val="22"/>
          <w:lang w:val="en-AU"/>
        </w:rPr>
        <w:t>.</w:t>
      </w:r>
    </w:p>
    <w:p w14:paraId="22A57CE6" w14:textId="77777777" w:rsidR="00E043CD" w:rsidRPr="00E043CD" w:rsidRDefault="00E043CD" w:rsidP="00E043CD">
      <w:pPr>
        <w:pStyle w:val="Heading4"/>
        <w:numPr>
          <w:ilvl w:val="0"/>
          <w:numId w:val="0"/>
        </w:numPr>
        <w:spacing w:before="120"/>
      </w:pPr>
      <w:r w:rsidRPr="00E043CD">
        <w:t xml:space="preserve">Convulsions </w:t>
      </w:r>
    </w:p>
    <w:p w14:paraId="38B6F4D1" w14:textId="2DA6DA6B" w:rsidR="0079197F" w:rsidRDefault="00E043CD" w:rsidP="00BB1125">
      <w:pPr>
        <w:pStyle w:val="BodyText"/>
        <w:spacing w:after="240" w:line="276" w:lineRule="auto"/>
        <w:ind w:left="0" w:right="68"/>
        <w:rPr>
          <w:rFonts w:asciiTheme="majorHAnsi" w:hAnsiTheme="majorHAnsi"/>
          <w:sz w:val="22"/>
          <w:szCs w:val="22"/>
          <w:lang w:val="en-AU"/>
        </w:rPr>
      </w:pPr>
      <w:proofErr w:type="spellStart"/>
      <w:r w:rsidRPr="00E043CD">
        <w:rPr>
          <w:rFonts w:asciiTheme="majorHAnsi" w:hAnsiTheme="majorHAnsi"/>
          <w:sz w:val="22"/>
          <w:szCs w:val="22"/>
          <w:lang w:val="en-AU"/>
        </w:rPr>
        <w:t>Postmarketing</w:t>
      </w:r>
      <w:proofErr w:type="spellEnd"/>
      <w:r w:rsidRPr="00E043CD">
        <w:rPr>
          <w:rFonts w:asciiTheme="majorHAnsi" w:hAnsiTheme="majorHAnsi"/>
          <w:sz w:val="22"/>
          <w:szCs w:val="22"/>
          <w:lang w:val="en-AU"/>
        </w:rPr>
        <w:t xml:space="preserve"> reports of convulsions have been observed in patients receiving GnRH agonists, including </w:t>
      </w:r>
      <w:r w:rsidR="0079197F" w:rsidRPr="00393D0B">
        <w:rPr>
          <w:rFonts w:ascii="Cambria" w:hAnsi="Cambria"/>
          <w:sz w:val="22"/>
          <w:szCs w:val="22"/>
        </w:rPr>
        <w:t>leuprorelin</w:t>
      </w:r>
      <w:r w:rsidRPr="00E043CD">
        <w:rPr>
          <w:rFonts w:asciiTheme="majorHAnsi" w:hAnsiTheme="majorHAnsi"/>
          <w:sz w:val="22"/>
          <w:szCs w:val="22"/>
          <w:lang w:val="en-AU"/>
        </w:rPr>
        <w:t xml:space="preserve"> acetate. These included patients with a history of seizures, epilepsy, cerebrovascular disorders, central nervous system anomalies or tumo</w:t>
      </w:r>
      <w:r w:rsidR="00C767AE">
        <w:rPr>
          <w:rFonts w:asciiTheme="majorHAnsi" w:hAnsiTheme="majorHAnsi"/>
          <w:sz w:val="22"/>
          <w:szCs w:val="22"/>
          <w:lang w:val="en-AU"/>
        </w:rPr>
        <w:t>u</w:t>
      </w:r>
      <w:r w:rsidRPr="00E043CD">
        <w:rPr>
          <w:rFonts w:asciiTheme="majorHAnsi" w:hAnsiTheme="majorHAnsi"/>
          <w:sz w:val="22"/>
          <w:szCs w:val="22"/>
          <w:lang w:val="en-AU"/>
        </w:rPr>
        <w:t>rs, and patients on concomitant medications that have been associated with convulsions such as bupropion and SSRIs. Convulsions have also been reported in patients in the absence of any of the conditions mentioned above</w:t>
      </w:r>
      <w:r w:rsidR="00E5247A">
        <w:rPr>
          <w:rFonts w:asciiTheme="majorHAnsi" w:hAnsiTheme="majorHAnsi"/>
          <w:sz w:val="22"/>
          <w:szCs w:val="22"/>
          <w:lang w:val="en-AU"/>
        </w:rPr>
        <w:t>.</w:t>
      </w:r>
    </w:p>
    <w:p w14:paraId="49220C38" w14:textId="77777777" w:rsidR="00B96DB1" w:rsidRPr="00B96DB1" w:rsidRDefault="00B96DB1" w:rsidP="00B96DB1">
      <w:pPr>
        <w:keepNext/>
        <w:keepLines/>
        <w:spacing w:before="120" w:after="0"/>
        <w:outlineLvl w:val="3"/>
        <w:rPr>
          <w:rFonts w:asciiTheme="majorHAnsi" w:eastAsiaTheme="majorEastAsia" w:hAnsiTheme="majorHAnsi" w:cstheme="majorBidi"/>
          <w:bCs/>
          <w:i/>
          <w:iCs/>
        </w:rPr>
      </w:pPr>
      <w:r w:rsidRPr="00B96DB1">
        <w:rPr>
          <w:rFonts w:asciiTheme="majorHAnsi" w:eastAsiaTheme="majorEastAsia" w:hAnsiTheme="majorHAnsi" w:cstheme="majorBidi"/>
          <w:bCs/>
          <w:i/>
          <w:iCs/>
        </w:rPr>
        <w:t>Pseudotumor Cerebri (Idiopathic Intracranial Hypertension)</w:t>
      </w:r>
    </w:p>
    <w:p w14:paraId="3A3B99E2" w14:textId="77777777" w:rsidR="00B96DB1" w:rsidRPr="00B96DB1" w:rsidRDefault="00B96DB1" w:rsidP="00B96DB1">
      <w:pPr>
        <w:widowControl w:val="0"/>
        <w:spacing w:after="240"/>
        <w:ind w:right="68"/>
        <w:rPr>
          <w:rFonts w:asciiTheme="majorHAnsi" w:eastAsia="Times New Roman" w:hAnsiTheme="majorHAnsi"/>
        </w:rPr>
      </w:pPr>
      <w:r w:rsidRPr="00B96DB1">
        <w:rPr>
          <w:rFonts w:asciiTheme="majorHAnsi" w:eastAsia="Times New Roman" w:hAnsiTheme="majorHAnsi"/>
        </w:rPr>
        <w:t>Pseudotumor cerebri (idiopathic intracranial hypertension) have been reported in paediatric patients receiving GnRH agonists, including leuprorelin acetate. Monitor patients for signs and symptoms of pseudotumor cerebri, including headache, papilledema, blurred vision, diplopia, loss of vision, pain behind the eye or pain with eye movement, tinnitus, dizziness, and nausea.</w:t>
      </w:r>
    </w:p>
    <w:p w14:paraId="6C7A0F36" w14:textId="013B04AD" w:rsidR="0081249D" w:rsidRPr="00A837ED" w:rsidRDefault="001A3992" w:rsidP="006315BA">
      <w:pPr>
        <w:pStyle w:val="Heading3"/>
        <w:numPr>
          <w:ilvl w:val="0"/>
          <w:numId w:val="0"/>
        </w:numPr>
      </w:pPr>
      <w:r w:rsidRPr="00A837ED">
        <w:t>Effects on laboratory tests</w:t>
      </w:r>
    </w:p>
    <w:p w14:paraId="0AFAC521" w14:textId="72F8A3CD" w:rsidR="0081249D" w:rsidRPr="00DD645D" w:rsidRDefault="0081249D" w:rsidP="00DD645D">
      <w:pPr>
        <w:pStyle w:val="BodyText"/>
        <w:spacing w:after="240" w:line="276" w:lineRule="auto"/>
        <w:ind w:left="0" w:right="68"/>
        <w:rPr>
          <w:rFonts w:ascii="Cambria" w:hAnsi="Cambria"/>
          <w:sz w:val="22"/>
          <w:szCs w:val="22"/>
        </w:rPr>
      </w:pPr>
      <w:r w:rsidRPr="00DD645D">
        <w:rPr>
          <w:rFonts w:ascii="Cambria" w:hAnsi="Cambria"/>
          <w:sz w:val="22"/>
          <w:szCs w:val="22"/>
        </w:rPr>
        <w:t>In the majority of non-</w:t>
      </w:r>
      <w:proofErr w:type="spellStart"/>
      <w:r w:rsidRPr="00DD645D">
        <w:rPr>
          <w:rFonts w:ascii="Cambria" w:hAnsi="Cambria"/>
          <w:sz w:val="22"/>
          <w:szCs w:val="22"/>
        </w:rPr>
        <w:t>orchiectomised</w:t>
      </w:r>
      <w:proofErr w:type="spellEnd"/>
      <w:r w:rsidRPr="00DD645D">
        <w:rPr>
          <w:rFonts w:ascii="Cambria" w:hAnsi="Cambria"/>
          <w:sz w:val="22"/>
          <w:szCs w:val="22"/>
        </w:rPr>
        <w:t xml:space="preserve"> patients, testosterone levels increased during the first week of treatment. They then decreased and by day 14 had returned to baseline levels or </w:t>
      </w:r>
      <w:r w:rsidRPr="00DD645D">
        <w:rPr>
          <w:rFonts w:ascii="Cambria" w:hAnsi="Cambria"/>
          <w:sz w:val="22"/>
          <w:szCs w:val="22"/>
        </w:rPr>
        <w:lastRenderedPageBreak/>
        <w:t xml:space="preserve">below. Castrate levels were reached in 2 to 4 weeks. Once achieved, castrate levels were maintained </w:t>
      </w:r>
      <w:proofErr w:type="gramStart"/>
      <w:r w:rsidRPr="00DD645D">
        <w:rPr>
          <w:rFonts w:ascii="Cambria" w:hAnsi="Cambria"/>
          <w:sz w:val="22"/>
          <w:szCs w:val="22"/>
        </w:rPr>
        <w:t>as long as</w:t>
      </w:r>
      <w:proofErr w:type="gramEnd"/>
      <w:r w:rsidRPr="00DD645D">
        <w:rPr>
          <w:rFonts w:ascii="Cambria" w:hAnsi="Cambria"/>
          <w:sz w:val="22"/>
          <w:szCs w:val="22"/>
        </w:rPr>
        <w:t xml:space="preserve"> the patient received their injections. Transient increases in acid phosphatase levels may occur early in the treatment period; however, by the fourth week the elevated levels usually decreased to values at or near normal. Therapy with leuprorelin results in suppression of the pituitary-gonadal system. Results of diagnostic tests of pituitary gonadotropic and gonadal functions conducted during and after leuprorelin therapy may be </w:t>
      </w:r>
      <w:r w:rsidR="00DD645D">
        <w:rPr>
          <w:rFonts w:ascii="Cambria" w:hAnsi="Cambria"/>
          <w:sz w:val="22"/>
          <w:szCs w:val="22"/>
        </w:rPr>
        <w:t>affected.</w:t>
      </w:r>
    </w:p>
    <w:p w14:paraId="501CA6CA" w14:textId="50701EF2" w:rsidR="002D23FF" w:rsidRPr="000E39BC" w:rsidRDefault="001A3992" w:rsidP="000E39BC">
      <w:pPr>
        <w:pStyle w:val="Heading2"/>
      </w:pPr>
      <w:r w:rsidRPr="000E39BC">
        <w:t>Interactions with other medicines and other forms of interactions</w:t>
      </w:r>
    </w:p>
    <w:p w14:paraId="47C4D11C" w14:textId="15013978" w:rsidR="002D23FF" w:rsidRPr="00FF793B" w:rsidRDefault="002D23FF" w:rsidP="00FF793B">
      <w:pPr>
        <w:pStyle w:val="BodyText"/>
        <w:spacing w:after="240" w:line="276" w:lineRule="auto"/>
        <w:ind w:left="0" w:right="68"/>
        <w:rPr>
          <w:rFonts w:ascii="Cambria" w:hAnsi="Cambria"/>
          <w:sz w:val="22"/>
          <w:szCs w:val="22"/>
        </w:rPr>
      </w:pPr>
      <w:r w:rsidRPr="00FF793B">
        <w:rPr>
          <w:rFonts w:ascii="Cambria" w:hAnsi="Cambria"/>
          <w:sz w:val="22"/>
          <w:szCs w:val="22"/>
        </w:rPr>
        <w:t>There are no reports of drug interactions with leuprorelin acetate to date.</w:t>
      </w:r>
    </w:p>
    <w:p w14:paraId="116B1C47" w14:textId="69F7B2E5" w:rsidR="002D23FF" w:rsidRDefault="002D23FF" w:rsidP="00FF793B">
      <w:pPr>
        <w:pStyle w:val="BodyText"/>
        <w:spacing w:after="240" w:line="276" w:lineRule="auto"/>
        <w:ind w:left="0" w:right="68"/>
        <w:rPr>
          <w:rFonts w:ascii="Cambria" w:hAnsi="Cambria"/>
          <w:sz w:val="22"/>
          <w:szCs w:val="22"/>
        </w:rPr>
      </w:pPr>
      <w:r w:rsidRPr="00FF793B">
        <w:rPr>
          <w:rFonts w:ascii="Cambria" w:hAnsi="Cambria"/>
          <w:sz w:val="22"/>
          <w:szCs w:val="22"/>
        </w:rPr>
        <w:t xml:space="preserve">Since androgen deprivation treatment may prolong the QT interval, the concomitant use of </w:t>
      </w:r>
      <w:r w:rsidR="00496210">
        <w:rPr>
          <w:rFonts w:ascii="Cambria" w:hAnsi="Cambria"/>
          <w:sz w:val="22"/>
          <w:szCs w:val="22"/>
        </w:rPr>
        <w:t>ELIGARD</w:t>
      </w:r>
      <w:r w:rsidRPr="00FF793B">
        <w:rPr>
          <w:rFonts w:ascii="Cambria" w:hAnsi="Cambria"/>
          <w:sz w:val="22"/>
          <w:szCs w:val="22"/>
        </w:rPr>
        <w:t xml:space="preserve"> with medicinal products known to prolong the QT interval or medicinal products able to induce Torsade de Pointes such as Class IA (</w:t>
      </w:r>
      <w:proofErr w:type="gramStart"/>
      <w:r w:rsidRPr="00FF793B">
        <w:rPr>
          <w:rFonts w:ascii="Cambria" w:hAnsi="Cambria"/>
          <w:sz w:val="22"/>
          <w:szCs w:val="22"/>
        </w:rPr>
        <w:t>e.g.</w:t>
      </w:r>
      <w:proofErr w:type="gramEnd"/>
      <w:r w:rsidRPr="00FF793B">
        <w:rPr>
          <w:rFonts w:ascii="Cambria" w:hAnsi="Cambria"/>
          <w:sz w:val="22"/>
          <w:szCs w:val="22"/>
        </w:rPr>
        <w:t xml:space="preserve"> quinidine, disopyramide) or Class III (e.g.</w:t>
      </w:r>
      <w:r w:rsidR="00FF793B">
        <w:rPr>
          <w:rFonts w:ascii="Cambria" w:hAnsi="Cambria"/>
          <w:sz w:val="22"/>
          <w:szCs w:val="22"/>
        </w:rPr>
        <w:t xml:space="preserve"> </w:t>
      </w:r>
      <w:r w:rsidRPr="00FF793B">
        <w:rPr>
          <w:rFonts w:ascii="Cambria" w:hAnsi="Cambria"/>
          <w:sz w:val="22"/>
          <w:szCs w:val="22"/>
        </w:rPr>
        <w:t xml:space="preserve">amiodarone, sotalol) antiarrhythmic medicinal products, methadone, moxifloxacin, antipsychotics, etc. should be carefully evaluated (see </w:t>
      </w:r>
      <w:r w:rsidR="001244C1">
        <w:rPr>
          <w:rFonts w:ascii="Cambria" w:hAnsi="Cambria"/>
          <w:sz w:val="22"/>
          <w:szCs w:val="22"/>
        </w:rPr>
        <w:t>Section 4.4 Special warnings and precautions</w:t>
      </w:r>
      <w:r w:rsidR="00511ACF">
        <w:rPr>
          <w:rFonts w:ascii="Cambria" w:hAnsi="Cambria"/>
          <w:sz w:val="22"/>
          <w:szCs w:val="22"/>
        </w:rPr>
        <w:t xml:space="preserve"> for use</w:t>
      </w:r>
      <w:r w:rsidRPr="00FF793B">
        <w:rPr>
          <w:rFonts w:ascii="Cambria" w:hAnsi="Cambria"/>
          <w:sz w:val="22"/>
          <w:szCs w:val="22"/>
        </w:rPr>
        <w:t>).</w:t>
      </w:r>
    </w:p>
    <w:p w14:paraId="5E96EA4F" w14:textId="701F93BF" w:rsidR="007E6BA8" w:rsidRPr="001267F8" w:rsidRDefault="007E6BA8" w:rsidP="00FF793B">
      <w:pPr>
        <w:pStyle w:val="BodyText"/>
        <w:spacing w:after="240" w:line="276" w:lineRule="auto"/>
        <w:ind w:left="0" w:right="68"/>
        <w:rPr>
          <w:rFonts w:ascii="Cambria" w:hAnsi="Cambria"/>
          <w:sz w:val="22"/>
          <w:szCs w:val="22"/>
        </w:rPr>
      </w:pPr>
      <w:r>
        <w:rPr>
          <w:rFonts w:ascii="Cambria" w:hAnsi="Cambria"/>
          <w:sz w:val="22"/>
          <w:szCs w:val="22"/>
          <w:lang w:val="en-AU"/>
        </w:rPr>
        <w:t>In paed</w:t>
      </w:r>
      <w:r w:rsidR="008F7822">
        <w:rPr>
          <w:rFonts w:ascii="Cambria" w:hAnsi="Cambria"/>
          <w:sz w:val="22"/>
          <w:szCs w:val="22"/>
          <w:lang w:val="en-AU"/>
        </w:rPr>
        <w:t>iat</w:t>
      </w:r>
      <w:r>
        <w:rPr>
          <w:rFonts w:ascii="Cambria" w:hAnsi="Cambria"/>
          <w:sz w:val="22"/>
          <w:szCs w:val="22"/>
          <w:lang w:val="en-AU"/>
        </w:rPr>
        <w:t>ric use</w:t>
      </w:r>
      <w:r w:rsidR="00E224B7">
        <w:rPr>
          <w:rFonts w:ascii="Cambria" w:hAnsi="Cambria"/>
          <w:sz w:val="22"/>
          <w:szCs w:val="22"/>
          <w:lang w:val="en-AU"/>
        </w:rPr>
        <w:t xml:space="preserve"> </w:t>
      </w:r>
      <w:r>
        <w:rPr>
          <w:rFonts w:ascii="Cambria" w:hAnsi="Cambria"/>
          <w:sz w:val="22"/>
          <w:szCs w:val="22"/>
          <w:lang w:val="en-AU"/>
        </w:rPr>
        <w:t>n</w:t>
      </w:r>
      <w:r w:rsidRPr="007E6BA8">
        <w:rPr>
          <w:rFonts w:ascii="Cambria" w:hAnsi="Cambria"/>
          <w:sz w:val="22"/>
          <w:szCs w:val="22"/>
          <w:lang w:val="en-AU"/>
        </w:rPr>
        <w:t xml:space="preserve">o pharmacokinetic drug-drug interaction studies have been conducted with </w:t>
      </w:r>
      <w:r w:rsidR="008B624F" w:rsidRPr="001267F8">
        <w:rPr>
          <w:rFonts w:ascii="Cambria" w:hAnsi="Cambria"/>
          <w:sz w:val="22"/>
          <w:szCs w:val="22"/>
        </w:rPr>
        <w:t>ELIGARD</w:t>
      </w:r>
      <w:r w:rsidR="00350C4B" w:rsidRPr="001267F8">
        <w:rPr>
          <w:rFonts w:ascii="Cambria" w:hAnsi="Cambria"/>
          <w:sz w:val="22"/>
          <w:szCs w:val="22"/>
        </w:rPr>
        <w:t>.</w:t>
      </w:r>
    </w:p>
    <w:p w14:paraId="4B976C0E" w14:textId="77777777" w:rsidR="001A3992" w:rsidRPr="000E39BC" w:rsidRDefault="001A3992" w:rsidP="000E39BC">
      <w:pPr>
        <w:pStyle w:val="Heading2"/>
      </w:pPr>
      <w:r w:rsidRPr="000E39BC">
        <w:t xml:space="preserve">Fertility, pregnancy and lactation </w:t>
      </w:r>
    </w:p>
    <w:p w14:paraId="0B1943E9" w14:textId="77777777" w:rsidR="001A3992" w:rsidRPr="000E39BC" w:rsidRDefault="001A3992" w:rsidP="00FE45B8">
      <w:pPr>
        <w:pStyle w:val="Heading3"/>
        <w:numPr>
          <w:ilvl w:val="0"/>
          <w:numId w:val="0"/>
        </w:numPr>
      </w:pPr>
      <w:r w:rsidRPr="000E39BC">
        <w:t>Effects on fertility</w:t>
      </w:r>
    </w:p>
    <w:p w14:paraId="36C1D3D8" w14:textId="55D427EF" w:rsidR="00F53E4D" w:rsidRPr="00FF793B" w:rsidRDefault="00F53E4D" w:rsidP="00FF793B">
      <w:pPr>
        <w:pStyle w:val="BodyText"/>
        <w:spacing w:after="240" w:line="276" w:lineRule="auto"/>
        <w:ind w:left="0" w:right="68"/>
        <w:rPr>
          <w:rFonts w:ascii="Cambria" w:hAnsi="Cambria"/>
          <w:sz w:val="22"/>
          <w:szCs w:val="22"/>
        </w:rPr>
      </w:pPr>
      <w:r w:rsidRPr="00FF793B">
        <w:rPr>
          <w:rFonts w:ascii="Cambria" w:hAnsi="Cambria"/>
          <w:sz w:val="22"/>
          <w:szCs w:val="22"/>
        </w:rPr>
        <w:t>Preclinical studies with leuprorelin acetate in rats demonstrated reversible, expected effects (given that leuprorelin acetate has known pharmacological effects on reproductive endocrinology) on the rep</w:t>
      </w:r>
      <w:r w:rsidR="00FF793B">
        <w:rPr>
          <w:rFonts w:ascii="Cambria" w:hAnsi="Cambria"/>
          <w:sz w:val="22"/>
          <w:szCs w:val="22"/>
        </w:rPr>
        <w:t>roductive system of both sexes.</w:t>
      </w:r>
    </w:p>
    <w:p w14:paraId="360ABD04" w14:textId="0E523DD2" w:rsidR="00F53E4D" w:rsidRPr="00FF793B" w:rsidRDefault="00F53E4D" w:rsidP="00FF793B">
      <w:pPr>
        <w:pStyle w:val="BodyText"/>
        <w:spacing w:after="240" w:line="276" w:lineRule="auto"/>
        <w:ind w:left="0" w:right="68"/>
        <w:rPr>
          <w:rFonts w:ascii="Cambria" w:hAnsi="Cambria"/>
          <w:sz w:val="22"/>
          <w:szCs w:val="22"/>
        </w:rPr>
      </w:pPr>
      <w:r w:rsidRPr="00FF793B">
        <w:rPr>
          <w:rFonts w:ascii="Cambria" w:hAnsi="Cambria"/>
          <w:sz w:val="22"/>
          <w:szCs w:val="22"/>
        </w:rPr>
        <w:t>Leuprorelin acetate did not show teratogenicity in rats.</w:t>
      </w:r>
    </w:p>
    <w:p w14:paraId="0AF46468" w14:textId="3D489BF3" w:rsidR="00E673BE" w:rsidRPr="00295361" w:rsidRDefault="00F53E4D" w:rsidP="006548A6">
      <w:pPr>
        <w:pStyle w:val="BodyText"/>
        <w:spacing w:after="240" w:line="276" w:lineRule="auto"/>
        <w:ind w:left="0" w:right="68"/>
        <w:rPr>
          <w:rFonts w:ascii="Cambria" w:hAnsi="Cambria"/>
          <w:sz w:val="22"/>
          <w:szCs w:val="22"/>
        </w:rPr>
      </w:pPr>
      <w:r w:rsidRPr="00FF793B">
        <w:rPr>
          <w:rFonts w:ascii="Cambria" w:hAnsi="Cambria"/>
          <w:sz w:val="22"/>
          <w:szCs w:val="22"/>
        </w:rPr>
        <w:t xml:space="preserve">Clinical and pharmacological studies in adults </w:t>
      </w:r>
      <w:r w:rsidR="00CB2DF5" w:rsidRPr="00295361">
        <w:rPr>
          <w:rFonts w:ascii="Cambria" w:hAnsi="Cambria"/>
          <w:sz w:val="22"/>
          <w:szCs w:val="22"/>
        </w:rPr>
        <w:t xml:space="preserve">(&gt;18 years) </w:t>
      </w:r>
      <w:r w:rsidRPr="00FF793B">
        <w:rPr>
          <w:rFonts w:ascii="Cambria" w:hAnsi="Cambria"/>
          <w:sz w:val="22"/>
          <w:szCs w:val="22"/>
        </w:rPr>
        <w:t>with leuprorelin acetate and similar analogues have shown full reversibility of fertility suppression when the drug is discontinued after continuous administration</w:t>
      </w:r>
      <w:r w:rsidR="00FF793B">
        <w:rPr>
          <w:rFonts w:ascii="Cambria" w:hAnsi="Cambria"/>
          <w:sz w:val="22"/>
          <w:szCs w:val="22"/>
        </w:rPr>
        <w:t xml:space="preserve"> for periods of up to 24 weeks.</w:t>
      </w:r>
    </w:p>
    <w:p w14:paraId="634EE78E" w14:textId="5B4B8945" w:rsidR="001A3992" w:rsidRPr="000E39BC" w:rsidRDefault="001A3992" w:rsidP="000956EF">
      <w:pPr>
        <w:pStyle w:val="Heading3"/>
        <w:numPr>
          <w:ilvl w:val="0"/>
          <w:numId w:val="0"/>
        </w:numPr>
      </w:pPr>
      <w:r w:rsidRPr="000E39BC">
        <w:t xml:space="preserve">Use in pregnancy </w:t>
      </w:r>
      <w:r w:rsidR="00497C85" w:rsidRPr="000E39BC">
        <w:t xml:space="preserve">– Pregnancy Category </w:t>
      </w:r>
      <w:r w:rsidR="00F53E4D" w:rsidRPr="000E39BC">
        <w:t>D</w:t>
      </w:r>
    </w:p>
    <w:p w14:paraId="3CF1ADF6" w14:textId="4D741FFD" w:rsidR="00F53E4D" w:rsidRPr="001B1ED4" w:rsidRDefault="00F53E4D" w:rsidP="001B1ED4">
      <w:pPr>
        <w:pStyle w:val="BodyText"/>
        <w:spacing w:after="240" w:line="276" w:lineRule="auto"/>
        <w:ind w:left="0" w:right="68"/>
        <w:rPr>
          <w:rFonts w:ascii="Cambria" w:hAnsi="Cambria"/>
          <w:sz w:val="22"/>
          <w:szCs w:val="22"/>
        </w:rPr>
      </w:pPr>
      <w:r w:rsidRPr="000E39BC">
        <w:rPr>
          <w:rFonts w:ascii="Cambria" w:hAnsi="Cambria"/>
          <w:sz w:val="22"/>
          <w:szCs w:val="22"/>
        </w:rPr>
        <w:t>(Se</w:t>
      </w:r>
      <w:r w:rsidRPr="001B1ED4">
        <w:rPr>
          <w:rFonts w:ascii="Cambria" w:hAnsi="Cambria"/>
          <w:sz w:val="22"/>
          <w:szCs w:val="22"/>
        </w:rPr>
        <w:t xml:space="preserve">e </w:t>
      </w:r>
      <w:r w:rsidR="00511ACF">
        <w:rPr>
          <w:rFonts w:ascii="Cambria" w:hAnsi="Cambria"/>
          <w:sz w:val="22"/>
          <w:szCs w:val="22"/>
        </w:rPr>
        <w:t>Section 4.3 Contraindications</w:t>
      </w:r>
      <w:r w:rsidR="001B1ED4">
        <w:rPr>
          <w:rFonts w:ascii="Cambria" w:hAnsi="Cambria"/>
          <w:sz w:val="22"/>
          <w:szCs w:val="22"/>
        </w:rPr>
        <w:t>).</w:t>
      </w:r>
    </w:p>
    <w:p w14:paraId="78180545" w14:textId="2A6D34C7" w:rsidR="00F53E4D" w:rsidRDefault="001E1016" w:rsidP="001B1ED4">
      <w:pPr>
        <w:pStyle w:val="BodyText"/>
        <w:spacing w:after="240" w:line="276" w:lineRule="auto"/>
        <w:ind w:left="0" w:right="68"/>
        <w:rPr>
          <w:rFonts w:ascii="Cambria" w:hAnsi="Cambria"/>
          <w:sz w:val="22"/>
          <w:szCs w:val="22"/>
        </w:rPr>
      </w:pPr>
      <w:r>
        <w:rPr>
          <w:rFonts w:ascii="Cambria" w:hAnsi="Cambria"/>
          <w:sz w:val="22"/>
          <w:szCs w:val="22"/>
        </w:rPr>
        <w:t>L</w:t>
      </w:r>
      <w:r w:rsidR="00F53E4D" w:rsidRPr="001B1ED4">
        <w:rPr>
          <w:rFonts w:ascii="Cambria" w:hAnsi="Cambria"/>
          <w:sz w:val="22"/>
          <w:szCs w:val="22"/>
        </w:rPr>
        <w:t xml:space="preserve">euprorelin acetate is contraindicated in pregnancy due to its embryotoxic </w:t>
      </w:r>
      <w:r w:rsidR="001B1ED4">
        <w:rPr>
          <w:rFonts w:ascii="Cambria" w:hAnsi="Cambria"/>
          <w:sz w:val="22"/>
          <w:szCs w:val="22"/>
        </w:rPr>
        <w:t>effects.</w:t>
      </w:r>
    </w:p>
    <w:p w14:paraId="65162F57" w14:textId="1773D150" w:rsidR="001A3992" w:rsidRPr="000E39BC" w:rsidRDefault="00F53E4D" w:rsidP="00FE45B8">
      <w:pPr>
        <w:pStyle w:val="Heading3"/>
        <w:numPr>
          <w:ilvl w:val="0"/>
          <w:numId w:val="0"/>
        </w:numPr>
      </w:pPr>
      <w:r w:rsidRPr="000E39BC">
        <w:t>Use in lactation</w:t>
      </w:r>
    </w:p>
    <w:p w14:paraId="4E746EBA" w14:textId="09845712" w:rsidR="00446213" w:rsidRPr="00A92261" w:rsidRDefault="00496210" w:rsidP="001B1ED4">
      <w:pPr>
        <w:pStyle w:val="BodyText"/>
        <w:spacing w:after="240" w:line="276" w:lineRule="auto"/>
        <w:ind w:left="0" w:right="68"/>
        <w:rPr>
          <w:rFonts w:asciiTheme="majorHAnsi" w:hAnsiTheme="majorHAnsi"/>
          <w:sz w:val="22"/>
          <w:szCs w:val="22"/>
        </w:rPr>
      </w:pPr>
      <w:r w:rsidRPr="00A92261">
        <w:rPr>
          <w:rFonts w:ascii="Cambria" w:hAnsi="Cambria"/>
          <w:sz w:val="22"/>
          <w:szCs w:val="22"/>
        </w:rPr>
        <w:t>ELIGARD</w:t>
      </w:r>
      <w:r w:rsidR="00F53E4D" w:rsidRPr="00A92261">
        <w:rPr>
          <w:rFonts w:ascii="Cambria" w:hAnsi="Cambria"/>
          <w:sz w:val="22"/>
          <w:szCs w:val="22"/>
        </w:rPr>
        <w:t xml:space="preserve"> is contraindicated for use in breastfeeding </w:t>
      </w:r>
      <w:r w:rsidR="001B1ED4" w:rsidRPr="00A92261">
        <w:rPr>
          <w:rFonts w:ascii="Cambria" w:hAnsi="Cambria"/>
          <w:sz w:val="22"/>
          <w:szCs w:val="22"/>
        </w:rPr>
        <w:t>women.</w:t>
      </w:r>
    </w:p>
    <w:p w14:paraId="1F230702" w14:textId="77777777" w:rsidR="001A3992" w:rsidRPr="000E39BC" w:rsidRDefault="001A3992" w:rsidP="000E39BC">
      <w:pPr>
        <w:pStyle w:val="Heading2"/>
      </w:pPr>
      <w:r w:rsidRPr="000E39BC">
        <w:t xml:space="preserve">Effects on ability to drive and use machines </w:t>
      </w:r>
    </w:p>
    <w:p w14:paraId="7C0F5F8C" w14:textId="39E70964" w:rsidR="00F53E4D" w:rsidRPr="001B1ED4" w:rsidRDefault="00F53E4D"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No studies on the effects of </w:t>
      </w:r>
      <w:r w:rsidR="00496210">
        <w:rPr>
          <w:rFonts w:ascii="Cambria" w:hAnsi="Cambria"/>
          <w:sz w:val="22"/>
          <w:szCs w:val="22"/>
        </w:rPr>
        <w:t>ELIGARD</w:t>
      </w:r>
      <w:r w:rsidRPr="001B1ED4">
        <w:rPr>
          <w:rFonts w:ascii="Cambria" w:hAnsi="Cambria"/>
          <w:sz w:val="22"/>
          <w:szCs w:val="22"/>
        </w:rPr>
        <w:t xml:space="preserve"> on the ability to drive and use machines have been </w:t>
      </w:r>
      <w:r w:rsidRPr="001B1ED4">
        <w:rPr>
          <w:rFonts w:ascii="Cambria" w:hAnsi="Cambria"/>
          <w:sz w:val="22"/>
          <w:szCs w:val="22"/>
        </w:rPr>
        <w:lastRenderedPageBreak/>
        <w:t>performed. The ability to drive and operate machines may be impaired due to fatigue, dizziness and visual disturbances being possible side effects of treatment or resulti</w:t>
      </w:r>
      <w:r w:rsidR="001B1ED4">
        <w:rPr>
          <w:rFonts w:ascii="Cambria" w:hAnsi="Cambria"/>
          <w:sz w:val="22"/>
          <w:szCs w:val="22"/>
        </w:rPr>
        <w:t>ng from the underlying disease.</w:t>
      </w:r>
    </w:p>
    <w:p w14:paraId="6411A037" w14:textId="77777777" w:rsidR="001A3992" w:rsidRPr="000E39BC" w:rsidRDefault="001A3992" w:rsidP="000E39BC">
      <w:pPr>
        <w:pStyle w:val="Heading2"/>
      </w:pPr>
      <w:r w:rsidRPr="000E39BC">
        <w:t>Adverse effects (Undesirable effects)</w:t>
      </w:r>
    </w:p>
    <w:p w14:paraId="13390E42" w14:textId="77777777" w:rsidR="00AE6F07" w:rsidRPr="00AE6F07" w:rsidRDefault="00AE6F07" w:rsidP="00AE6F07">
      <w:pPr>
        <w:pStyle w:val="Heading3"/>
        <w:numPr>
          <w:ilvl w:val="0"/>
          <w:numId w:val="0"/>
        </w:numPr>
      </w:pPr>
      <w:r w:rsidRPr="00AE6F07">
        <w:t xml:space="preserve">Prostate Cancer  </w:t>
      </w:r>
    </w:p>
    <w:p w14:paraId="55F708DC" w14:textId="18E7E496" w:rsidR="002D23FF" w:rsidRDefault="00496210" w:rsidP="000E39BC">
      <w:pPr>
        <w:pStyle w:val="BodyText"/>
        <w:spacing w:after="240" w:line="276" w:lineRule="auto"/>
        <w:ind w:left="0" w:right="68"/>
      </w:pPr>
      <w:r>
        <w:rPr>
          <w:rFonts w:ascii="Cambria" w:hAnsi="Cambria"/>
          <w:sz w:val="22"/>
          <w:szCs w:val="22"/>
        </w:rPr>
        <w:t>ELIGARD</w:t>
      </w:r>
      <w:r w:rsidR="002D23FF" w:rsidRPr="001B1ED4">
        <w:rPr>
          <w:rFonts w:ascii="Cambria" w:hAnsi="Cambria"/>
          <w:sz w:val="22"/>
          <w:szCs w:val="22"/>
        </w:rPr>
        <w:t xml:space="preserve">, like other LH-RH analogues, caused a transient increase in serum testosterone concentrations during the first two weeks of treatment. Therefore, potential exacerbations of signs and symptoms of the disease during the first few weeks of treatment are of concern in patients with vertebral metastases and/or urinary obstruction or </w:t>
      </w:r>
      <w:proofErr w:type="spellStart"/>
      <w:r w:rsidR="002D23FF" w:rsidRPr="001B1ED4">
        <w:rPr>
          <w:rFonts w:ascii="Cambria" w:hAnsi="Cambria"/>
          <w:sz w:val="22"/>
          <w:szCs w:val="22"/>
        </w:rPr>
        <w:t>haematuria</w:t>
      </w:r>
      <w:proofErr w:type="spellEnd"/>
      <w:r w:rsidR="002D23FF" w:rsidRPr="001B1ED4">
        <w:rPr>
          <w:rFonts w:ascii="Cambria" w:hAnsi="Cambria"/>
          <w:sz w:val="22"/>
          <w:szCs w:val="22"/>
        </w:rPr>
        <w:t xml:space="preserve">. If these conditions are aggravated, it may lead to neurological problems such as weakness and/or </w:t>
      </w:r>
      <w:proofErr w:type="spellStart"/>
      <w:r w:rsidR="002D23FF" w:rsidRPr="001B1ED4">
        <w:rPr>
          <w:rFonts w:ascii="Cambria" w:hAnsi="Cambria"/>
          <w:sz w:val="22"/>
          <w:szCs w:val="22"/>
        </w:rPr>
        <w:t>paraesthesia</w:t>
      </w:r>
      <w:proofErr w:type="spellEnd"/>
      <w:r w:rsidR="002D23FF" w:rsidRPr="001B1ED4">
        <w:rPr>
          <w:rFonts w:ascii="Cambria" w:hAnsi="Cambria"/>
          <w:sz w:val="22"/>
          <w:szCs w:val="22"/>
        </w:rPr>
        <w:t xml:space="preserve"> of the lower limbs or wors</w:t>
      </w:r>
      <w:r w:rsidR="00511ACF">
        <w:rPr>
          <w:rFonts w:ascii="Cambria" w:hAnsi="Cambria"/>
          <w:sz w:val="22"/>
          <w:szCs w:val="22"/>
        </w:rPr>
        <w:t>ening of urinary symptoms (see Section 4.4 Special warnings and precautions for use</w:t>
      </w:r>
      <w:r w:rsidR="002D23FF" w:rsidRPr="001B1ED4">
        <w:rPr>
          <w:rFonts w:ascii="Cambria" w:hAnsi="Cambria"/>
          <w:sz w:val="22"/>
          <w:szCs w:val="22"/>
        </w:rPr>
        <w:t>).</w:t>
      </w:r>
    </w:p>
    <w:p w14:paraId="219249EB" w14:textId="0B155445"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'Flare' Phenomenon: The initial increase in circulating levels of pituitary gonadotropins and gonadal steroids leads in some patients to a transient exacerbation of symptoms and signs ('flare' phenomenon). The exacerbation may include worsened bone pain, ureteric </w:t>
      </w:r>
      <w:proofErr w:type="gramStart"/>
      <w:r w:rsidRPr="001B1ED4">
        <w:rPr>
          <w:rFonts w:ascii="Cambria" w:hAnsi="Cambria"/>
          <w:sz w:val="22"/>
          <w:szCs w:val="22"/>
        </w:rPr>
        <w:t>obstruction</w:t>
      </w:r>
      <w:proofErr w:type="gramEnd"/>
      <w:r w:rsidRPr="001B1ED4">
        <w:rPr>
          <w:rFonts w:ascii="Cambria" w:hAnsi="Cambria"/>
          <w:sz w:val="22"/>
          <w:szCs w:val="22"/>
        </w:rPr>
        <w:t xml:space="preserve"> and spinal cord compression. This possibility should be </w:t>
      </w:r>
      <w:proofErr w:type="gramStart"/>
      <w:r w:rsidRPr="001B1ED4">
        <w:rPr>
          <w:rFonts w:ascii="Cambria" w:hAnsi="Cambria"/>
          <w:sz w:val="22"/>
          <w:szCs w:val="22"/>
        </w:rPr>
        <w:t>taken into account</w:t>
      </w:r>
      <w:proofErr w:type="gramEnd"/>
      <w:r w:rsidRPr="001B1ED4">
        <w:rPr>
          <w:rFonts w:ascii="Cambria" w:hAnsi="Cambria"/>
          <w:sz w:val="22"/>
          <w:szCs w:val="22"/>
        </w:rPr>
        <w:t xml:space="preserve"> in deciding to initiate leuprorelin acetate therapy in patients with existing obstructive uropathy or vertebral metastases. Early symptoms of spinal cord compression such as </w:t>
      </w:r>
      <w:proofErr w:type="spellStart"/>
      <w:r w:rsidRPr="001B1ED4">
        <w:rPr>
          <w:rFonts w:ascii="Cambria" w:hAnsi="Cambria"/>
          <w:sz w:val="22"/>
          <w:szCs w:val="22"/>
        </w:rPr>
        <w:t>paraesthesia</w:t>
      </w:r>
      <w:proofErr w:type="spellEnd"/>
      <w:r w:rsidRPr="001B1ED4">
        <w:rPr>
          <w:rFonts w:ascii="Cambria" w:hAnsi="Cambria"/>
          <w:sz w:val="22"/>
          <w:szCs w:val="22"/>
        </w:rPr>
        <w:t xml:space="preserve"> should alert the physician to the need for intensive monitoring and possible treatment.</w:t>
      </w:r>
    </w:p>
    <w:p w14:paraId="6B5991C5" w14:textId="7C26E305"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There is no information available on the clinical effects of interrupting leuprorelin acetate therapy and whether this will produce a withdrawal 'flare'.</w:t>
      </w:r>
    </w:p>
    <w:p w14:paraId="663A26AA" w14:textId="77777777"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Initiating therapy with a non-steroidal anti-androgen at the same time as leuprorelin acetate therapy has proven benefit in reducing flare reactions in 'at risk' patients.</w:t>
      </w:r>
    </w:p>
    <w:p w14:paraId="46934E8A" w14:textId="2304F3AE" w:rsidR="002D23FF" w:rsidRPr="000418CA" w:rsidRDefault="002D23FF" w:rsidP="000418CA">
      <w:pPr>
        <w:pStyle w:val="BodyText"/>
        <w:spacing w:after="240" w:line="276" w:lineRule="auto"/>
        <w:ind w:left="0" w:right="68"/>
        <w:rPr>
          <w:rFonts w:ascii="Cambria" w:hAnsi="Cambria"/>
          <w:sz w:val="22"/>
          <w:szCs w:val="22"/>
        </w:rPr>
      </w:pPr>
      <w:r w:rsidRPr="001B1ED4">
        <w:rPr>
          <w:rFonts w:ascii="Cambria" w:hAnsi="Cambria"/>
          <w:sz w:val="22"/>
          <w:szCs w:val="22"/>
        </w:rPr>
        <w:t xml:space="preserve">The safety of </w:t>
      </w:r>
      <w:r w:rsidR="00496210">
        <w:rPr>
          <w:rFonts w:ascii="Cambria" w:hAnsi="Cambria"/>
          <w:sz w:val="22"/>
          <w:szCs w:val="22"/>
        </w:rPr>
        <w:t>ELIGARD</w:t>
      </w:r>
      <w:r w:rsidRPr="001B1ED4">
        <w:rPr>
          <w:rFonts w:ascii="Cambria" w:hAnsi="Cambria"/>
          <w:sz w:val="22"/>
          <w:szCs w:val="22"/>
        </w:rPr>
        <w:t xml:space="preserve"> was evaluated in open-label, </w:t>
      </w:r>
      <w:proofErr w:type="spellStart"/>
      <w:r w:rsidRPr="001B1ED4">
        <w:rPr>
          <w:rFonts w:ascii="Cambria" w:hAnsi="Cambria"/>
          <w:sz w:val="22"/>
          <w:szCs w:val="22"/>
        </w:rPr>
        <w:t>multicentre</w:t>
      </w:r>
      <w:proofErr w:type="spellEnd"/>
      <w:r w:rsidRPr="001B1ED4">
        <w:rPr>
          <w:rFonts w:ascii="Cambria" w:hAnsi="Cambria"/>
          <w:sz w:val="22"/>
          <w:szCs w:val="22"/>
        </w:rPr>
        <w:t xml:space="preserve"> studies. In </w:t>
      </w:r>
      <w:r w:rsidR="00496210">
        <w:rPr>
          <w:rFonts w:ascii="Cambria" w:hAnsi="Cambria"/>
          <w:sz w:val="22"/>
          <w:szCs w:val="22"/>
        </w:rPr>
        <w:t>ELIGARD</w:t>
      </w:r>
      <w:r w:rsidRPr="001B1ED4">
        <w:rPr>
          <w:rFonts w:ascii="Cambria" w:hAnsi="Cambria"/>
          <w:sz w:val="22"/>
          <w:szCs w:val="22"/>
        </w:rPr>
        <w:t xml:space="preserve"> clinical studies conducted, patient injection sites were closely monitored. The adverse reactions from injections sites are</w:t>
      </w:r>
      <w:r w:rsidRPr="00C62174">
        <w:rPr>
          <w:rFonts w:ascii="Cambria" w:hAnsi="Cambria"/>
          <w:sz w:val="22"/>
          <w:szCs w:val="22"/>
          <w:lang w:val="en-AU"/>
        </w:rPr>
        <w:t xml:space="preserve"> summarised</w:t>
      </w:r>
      <w:r w:rsidRPr="001B1ED4">
        <w:rPr>
          <w:rFonts w:ascii="Cambria" w:hAnsi="Cambria"/>
          <w:sz w:val="22"/>
          <w:szCs w:val="22"/>
        </w:rPr>
        <w:t xml:space="preserve"> in</w:t>
      </w:r>
      <w:r w:rsidR="00C62174">
        <w:rPr>
          <w:rFonts w:ascii="Cambria" w:hAnsi="Cambria"/>
          <w:sz w:val="22"/>
          <w:szCs w:val="22"/>
        </w:rPr>
        <w:t xml:space="preserve"> Table 1</w:t>
      </w:r>
      <w:r w:rsidR="001B1ED4">
        <w:rPr>
          <w:rFonts w:ascii="Cambria" w:hAnsi="Cambria"/>
          <w:sz w:val="22"/>
          <w:szCs w:val="22"/>
        </w:rPr>
        <w:t>.</w:t>
      </w:r>
    </w:p>
    <w:p w14:paraId="05BE7396" w14:textId="00930BEC" w:rsidR="00E1159D" w:rsidRPr="00E1159D" w:rsidRDefault="000418CA" w:rsidP="00E1159D">
      <w:pPr>
        <w:pStyle w:val="Caption"/>
        <w:keepNext/>
        <w:jc w:val="center"/>
        <w:rPr>
          <w:rFonts w:ascii="Cambria" w:hAnsi="Cambria"/>
          <w:i w:val="0"/>
          <w:color w:val="auto"/>
          <w:sz w:val="20"/>
          <w:szCs w:val="20"/>
        </w:rPr>
      </w:pPr>
      <w:bookmarkStart w:id="3" w:name="_Ref515889743"/>
      <w:bookmarkStart w:id="4" w:name="_Ref515889730"/>
      <w:r w:rsidRPr="00B3363C">
        <w:rPr>
          <w:rFonts w:ascii="Cambria" w:hAnsi="Cambria"/>
          <w:b/>
          <w:i w:val="0"/>
          <w:color w:val="auto"/>
          <w:sz w:val="20"/>
          <w:szCs w:val="20"/>
        </w:rPr>
        <w:t xml:space="preserve">Table </w:t>
      </w:r>
      <w:r w:rsidRPr="00B3363C">
        <w:rPr>
          <w:rFonts w:ascii="Cambria" w:hAnsi="Cambria"/>
          <w:b/>
          <w:i w:val="0"/>
          <w:color w:val="auto"/>
          <w:sz w:val="20"/>
          <w:szCs w:val="20"/>
        </w:rPr>
        <w:fldChar w:fldCharType="begin"/>
      </w:r>
      <w:r w:rsidRPr="00B3363C">
        <w:rPr>
          <w:rFonts w:ascii="Cambria" w:hAnsi="Cambria"/>
          <w:b/>
          <w:i w:val="0"/>
          <w:color w:val="auto"/>
          <w:sz w:val="20"/>
          <w:szCs w:val="20"/>
        </w:rPr>
        <w:instrText xml:space="preserve"> SEQ Table \* ARABIC </w:instrText>
      </w:r>
      <w:r w:rsidRPr="00B3363C">
        <w:rPr>
          <w:rFonts w:ascii="Cambria" w:hAnsi="Cambria"/>
          <w:b/>
          <w:i w:val="0"/>
          <w:color w:val="auto"/>
          <w:sz w:val="20"/>
          <w:szCs w:val="20"/>
        </w:rPr>
        <w:fldChar w:fldCharType="separate"/>
      </w:r>
      <w:r w:rsidR="00C16B5F">
        <w:rPr>
          <w:rFonts w:ascii="Cambria" w:hAnsi="Cambria"/>
          <w:b/>
          <w:i w:val="0"/>
          <w:noProof/>
          <w:color w:val="auto"/>
          <w:sz w:val="20"/>
          <w:szCs w:val="20"/>
        </w:rPr>
        <w:t>1</w:t>
      </w:r>
      <w:r w:rsidRPr="00B3363C">
        <w:rPr>
          <w:rFonts w:ascii="Cambria" w:hAnsi="Cambria"/>
          <w:b/>
          <w:i w:val="0"/>
          <w:color w:val="auto"/>
          <w:sz w:val="20"/>
          <w:szCs w:val="20"/>
        </w:rPr>
        <w:fldChar w:fldCharType="end"/>
      </w:r>
      <w:bookmarkEnd w:id="3"/>
      <w:r w:rsidRPr="00B3363C">
        <w:rPr>
          <w:rFonts w:ascii="Cambria" w:hAnsi="Cambria"/>
          <w:b/>
          <w:i w:val="0"/>
          <w:color w:val="auto"/>
          <w:sz w:val="20"/>
          <w:szCs w:val="20"/>
        </w:rPr>
        <w:t>:</w:t>
      </w:r>
      <w:r w:rsidRPr="00B3363C">
        <w:rPr>
          <w:rFonts w:ascii="Cambria" w:hAnsi="Cambria"/>
          <w:i w:val="0"/>
          <w:color w:val="auto"/>
          <w:sz w:val="20"/>
          <w:szCs w:val="20"/>
        </w:rPr>
        <w:t xml:space="preserve"> Summary of adverse reactions from </w:t>
      </w:r>
      <w:r w:rsidR="00C62174">
        <w:rPr>
          <w:rFonts w:ascii="Cambria" w:hAnsi="Cambria"/>
          <w:i w:val="0"/>
          <w:color w:val="auto"/>
          <w:sz w:val="20"/>
          <w:szCs w:val="20"/>
        </w:rPr>
        <w:t>ELIGARD</w:t>
      </w:r>
      <w:r w:rsidRPr="00B3363C">
        <w:rPr>
          <w:rFonts w:ascii="Cambria" w:hAnsi="Cambria"/>
          <w:i w:val="0"/>
          <w:color w:val="auto"/>
          <w:sz w:val="20"/>
          <w:szCs w:val="20"/>
        </w:rPr>
        <w:t xml:space="preserve"> injection sites</w:t>
      </w:r>
      <w:bookmarkEnd w:id="4"/>
    </w:p>
    <w:tbl>
      <w:tblPr>
        <w:tblW w:w="9215" w:type="dxa"/>
        <w:tblInd w:w="106" w:type="dxa"/>
        <w:tblLayout w:type="fixed"/>
        <w:tblCellMar>
          <w:left w:w="0" w:type="dxa"/>
          <w:right w:w="0" w:type="dxa"/>
        </w:tblCellMar>
        <w:tblLook w:val="01E0" w:firstRow="1" w:lastRow="1" w:firstColumn="1" w:lastColumn="1" w:noHBand="0" w:noVBand="0"/>
      </w:tblPr>
      <w:tblGrid>
        <w:gridCol w:w="1843"/>
        <w:gridCol w:w="1843"/>
        <w:gridCol w:w="1843"/>
        <w:gridCol w:w="1842"/>
        <w:gridCol w:w="1844"/>
      </w:tblGrid>
      <w:tr w:rsidR="002D23FF" w:rsidRPr="001B1ED4" w14:paraId="17B45C63" w14:textId="77777777" w:rsidTr="00496210">
        <w:trPr>
          <w:trHeight w:hRule="exact" w:val="451"/>
        </w:trPr>
        <w:tc>
          <w:tcPr>
            <w:tcW w:w="1843" w:type="dxa"/>
            <w:tcBorders>
              <w:top w:val="single" w:sz="5" w:space="0" w:color="000000"/>
              <w:left w:val="single" w:sz="5" w:space="0" w:color="000000"/>
              <w:bottom w:val="single" w:sz="5" w:space="0" w:color="000000"/>
              <w:right w:val="single" w:sz="5" w:space="0" w:color="000000"/>
            </w:tcBorders>
          </w:tcPr>
          <w:p w14:paraId="1C38D7AE" w14:textId="77777777" w:rsidR="002D23FF" w:rsidRPr="001B1ED4" w:rsidRDefault="002D23FF" w:rsidP="00C60D10">
            <w:pPr>
              <w:pStyle w:val="TableParagraph"/>
              <w:spacing w:line="228" w:lineRule="exact"/>
              <w:ind w:left="102"/>
              <w:rPr>
                <w:rFonts w:asciiTheme="majorHAnsi" w:eastAsia="Times New Roman" w:hAnsiTheme="majorHAnsi" w:cs="Times New Roman"/>
                <w:sz w:val="20"/>
                <w:szCs w:val="20"/>
              </w:rPr>
            </w:pPr>
            <w:r w:rsidRPr="001B1ED4">
              <w:rPr>
                <w:rFonts w:asciiTheme="majorHAnsi" w:hAnsiTheme="majorHAnsi"/>
                <w:b/>
                <w:spacing w:val="-2"/>
                <w:sz w:val="20"/>
              </w:rPr>
              <w:t>Presentation</w:t>
            </w:r>
          </w:p>
        </w:tc>
        <w:tc>
          <w:tcPr>
            <w:tcW w:w="1843" w:type="dxa"/>
            <w:tcBorders>
              <w:top w:val="single" w:sz="5" w:space="0" w:color="000000"/>
              <w:left w:val="single" w:sz="5" w:space="0" w:color="000000"/>
              <w:bottom w:val="single" w:sz="5" w:space="0" w:color="000000"/>
              <w:right w:val="single" w:sz="5" w:space="0" w:color="000000"/>
            </w:tcBorders>
          </w:tcPr>
          <w:p w14:paraId="4BB6F5FE" w14:textId="6209ECD3" w:rsidR="002D23FF" w:rsidRPr="001B1ED4" w:rsidRDefault="00496210" w:rsidP="00496210">
            <w:pPr>
              <w:pStyle w:val="TableParagraph"/>
              <w:spacing w:line="228" w:lineRule="exact"/>
              <w:ind w:left="102"/>
              <w:rPr>
                <w:rFonts w:asciiTheme="majorHAnsi" w:eastAsia="Times New Roman" w:hAnsiTheme="majorHAnsi" w:cs="Times New Roman"/>
                <w:sz w:val="20"/>
                <w:szCs w:val="20"/>
              </w:rPr>
            </w:pPr>
            <w:r>
              <w:rPr>
                <w:rFonts w:asciiTheme="majorHAnsi" w:hAnsiTheme="majorHAnsi"/>
                <w:b/>
                <w:spacing w:val="-1"/>
                <w:sz w:val="20"/>
              </w:rPr>
              <w:t>ELIGARD</w:t>
            </w:r>
            <w:r w:rsidR="002D23FF" w:rsidRPr="001B1ED4">
              <w:rPr>
                <w:rFonts w:asciiTheme="majorHAnsi" w:hAnsiTheme="majorHAnsi"/>
                <w:b/>
                <w:spacing w:val="16"/>
                <w:position w:val="9"/>
                <w:sz w:val="13"/>
              </w:rPr>
              <w:t xml:space="preserve"> </w:t>
            </w:r>
            <w:r w:rsidR="002D23FF" w:rsidRPr="001B1ED4">
              <w:rPr>
                <w:rFonts w:asciiTheme="majorHAnsi" w:hAnsiTheme="majorHAnsi"/>
                <w:b/>
                <w:sz w:val="20"/>
              </w:rPr>
              <w:t>1</w:t>
            </w:r>
            <w:r w:rsidR="002D23FF" w:rsidRPr="001B1ED4">
              <w:rPr>
                <w:rFonts w:asciiTheme="majorHAnsi" w:hAnsiTheme="majorHAnsi"/>
                <w:b/>
                <w:spacing w:val="-1"/>
                <w:sz w:val="20"/>
              </w:rPr>
              <w:t xml:space="preserve"> month</w:t>
            </w:r>
          </w:p>
        </w:tc>
        <w:tc>
          <w:tcPr>
            <w:tcW w:w="1843" w:type="dxa"/>
            <w:tcBorders>
              <w:top w:val="single" w:sz="5" w:space="0" w:color="000000"/>
              <w:left w:val="single" w:sz="5" w:space="0" w:color="000000"/>
              <w:bottom w:val="single" w:sz="5" w:space="0" w:color="000000"/>
              <w:right w:val="single" w:sz="5" w:space="0" w:color="000000"/>
            </w:tcBorders>
          </w:tcPr>
          <w:p w14:paraId="4507EB90" w14:textId="7A61BACA" w:rsidR="002D23FF" w:rsidRPr="001B1ED4" w:rsidRDefault="00496210" w:rsidP="00496210">
            <w:pPr>
              <w:pStyle w:val="TableParagraph"/>
              <w:spacing w:line="228" w:lineRule="exact"/>
              <w:ind w:left="102"/>
              <w:rPr>
                <w:rFonts w:asciiTheme="majorHAnsi" w:eastAsia="Times New Roman" w:hAnsiTheme="majorHAnsi" w:cs="Times New Roman"/>
                <w:sz w:val="20"/>
                <w:szCs w:val="20"/>
              </w:rPr>
            </w:pPr>
            <w:r>
              <w:rPr>
                <w:rFonts w:asciiTheme="majorHAnsi" w:hAnsiTheme="majorHAnsi"/>
                <w:b/>
                <w:spacing w:val="-1"/>
                <w:sz w:val="20"/>
              </w:rPr>
              <w:t>ELIGARD</w:t>
            </w:r>
            <w:r w:rsidR="002D23FF" w:rsidRPr="001B1ED4">
              <w:rPr>
                <w:rFonts w:asciiTheme="majorHAnsi" w:hAnsiTheme="majorHAnsi"/>
                <w:b/>
                <w:spacing w:val="16"/>
                <w:position w:val="9"/>
                <w:sz w:val="13"/>
              </w:rPr>
              <w:t xml:space="preserve"> </w:t>
            </w:r>
            <w:r w:rsidR="002D23FF" w:rsidRPr="001B1ED4">
              <w:rPr>
                <w:rFonts w:asciiTheme="majorHAnsi" w:hAnsiTheme="majorHAnsi"/>
                <w:b/>
                <w:sz w:val="20"/>
              </w:rPr>
              <w:t>3</w:t>
            </w:r>
            <w:r w:rsidR="002D23FF" w:rsidRPr="001B1ED4">
              <w:rPr>
                <w:rFonts w:asciiTheme="majorHAnsi" w:hAnsiTheme="majorHAnsi"/>
                <w:b/>
                <w:spacing w:val="-1"/>
                <w:sz w:val="20"/>
              </w:rPr>
              <w:t xml:space="preserve"> month</w:t>
            </w:r>
          </w:p>
        </w:tc>
        <w:tc>
          <w:tcPr>
            <w:tcW w:w="1842" w:type="dxa"/>
            <w:tcBorders>
              <w:top w:val="single" w:sz="5" w:space="0" w:color="000000"/>
              <w:left w:val="single" w:sz="5" w:space="0" w:color="000000"/>
              <w:bottom w:val="single" w:sz="5" w:space="0" w:color="000000"/>
              <w:right w:val="single" w:sz="5" w:space="0" w:color="000000"/>
            </w:tcBorders>
          </w:tcPr>
          <w:p w14:paraId="5BE4C86E" w14:textId="66E4A14E" w:rsidR="002D23FF" w:rsidRPr="001B1ED4" w:rsidRDefault="00496210" w:rsidP="00496210">
            <w:pPr>
              <w:pStyle w:val="TableParagraph"/>
              <w:spacing w:line="228" w:lineRule="exact"/>
              <w:ind w:left="100"/>
              <w:rPr>
                <w:rFonts w:asciiTheme="majorHAnsi" w:eastAsia="Times New Roman" w:hAnsiTheme="majorHAnsi" w:cs="Times New Roman"/>
                <w:sz w:val="20"/>
                <w:szCs w:val="20"/>
              </w:rPr>
            </w:pPr>
            <w:r>
              <w:rPr>
                <w:rFonts w:asciiTheme="majorHAnsi" w:hAnsiTheme="majorHAnsi"/>
                <w:b/>
                <w:spacing w:val="-1"/>
                <w:sz w:val="20"/>
              </w:rPr>
              <w:t>ELIGARD</w:t>
            </w:r>
            <w:r w:rsidR="002D23FF" w:rsidRPr="001B1ED4">
              <w:rPr>
                <w:rFonts w:asciiTheme="majorHAnsi" w:hAnsiTheme="majorHAnsi"/>
                <w:b/>
                <w:spacing w:val="16"/>
                <w:position w:val="9"/>
                <w:sz w:val="13"/>
              </w:rPr>
              <w:t xml:space="preserve"> </w:t>
            </w:r>
            <w:r w:rsidR="002D23FF" w:rsidRPr="001B1ED4">
              <w:rPr>
                <w:rFonts w:asciiTheme="majorHAnsi" w:hAnsiTheme="majorHAnsi"/>
                <w:b/>
                <w:sz w:val="20"/>
              </w:rPr>
              <w:t>4</w:t>
            </w:r>
            <w:r w:rsidR="002D23FF" w:rsidRPr="001B1ED4">
              <w:rPr>
                <w:rFonts w:asciiTheme="majorHAnsi" w:hAnsiTheme="majorHAnsi"/>
                <w:b/>
                <w:spacing w:val="-1"/>
                <w:sz w:val="20"/>
              </w:rPr>
              <w:t xml:space="preserve"> month</w:t>
            </w:r>
          </w:p>
        </w:tc>
        <w:tc>
          <w:tcPr>
            <w:tcW w:w="1844" w:type="dxa"/>
            <w:tcBorders>
              <w:top w:val="single" w:sz="5" w:space="0" w:color="000000"/>
              <w:left w:val="single" w:sz="5" w:space="0" w:color="000000"/>
              <w:bottom w:val="single" w:sz="5" w:space="0" w:color="000000"/>
              <w:right w:val="single" w:sz="5" w:space="0" w:color="000000"/>
            </w:tcBorders>
          </w:tcPr>
          <w:p w14:paraId="72EA0AFC" w14:textId="50457C8E" w:rsidR="002D23FF" w:rsidRPr="001B1ED4" w:rsidRDefault="00496210" w:rsidP="00496210">
            <w:pPr>
              <w:pStyle w:val="TableParagraph"/>
              <w:spacing w:line="228" w:lineRule="exact"/>
              <w:ind w:left="102"/>
              <w:rPr>
                <w:rFonts w:asciiTheme="majorHAnsi" w:eastAsia="Times New Roman" w:hAnsiTheme="majorHAnsi" w:cs="Times New Roman"/>
                <w:sz w:val="20"/>
                <w:szCs w:val="20"/>
              </w:rPr>
            </w:pPr>
            <w:r>
              <w:rPr>
                <w:rFonts w:asciiTheme="majorHAnsi" w:hAnsiTheme="majorHAnsi"/>
                <w:b/>
                <w:spacing w:val="-1"/>
                <w:sz w:val="20"/>
              </w:rPr>
              <w:t>ELIGARD</w:t>
            </w:r>
            <w:r w:rsidR="002D23FF" w:rsidRPr="001B1ED4">
              <w:rPr>
                <w:rFonts w:asciiTheme="majorHAnsi" w:hAnsiTheme="majorHAnsi"/>
                <w:b/>
                <w:spacing w:val="16"/>
                <w:position w:val="9"/>
                <w:sz w:val="13"/>
              </w:rPr>
              <w:t xml:space="preserve"> </w:t>
            </w:r>
            <w:r w:rsidR="002D23FF" w:rsidRPr="001B1ED4">
              <w:rPr>
                <w:rFonts w:asciiTheme="majorHAnsi" w:hAnsiTheme="majorHAnsi"/>
                <w:b/>
                <w:sz w:val="20"/>
              </w:rPr>
              <w:t>6</w:t>
            </w:r>
            <w:r w:rsidR="002D23FF" w:rsidRPr="001B1ED4">
              <w:rPr>
                <w:rFonts w:asciiTheme="majorHAnsi" w:hAnsiTheme="majorHAnsi"/>
                <w:b/>
                <w:spacing w:val="-1"/>
                <w:sz w:val="20"/>
              </w:rPr>
              <w:t xml:space="preserve"> month</w:t>
            </w:r>
          </w:p>
        </w:tc>
      </w:tr>
      <w:tr w:rsidR="002D23FF" w:rsidRPr="001B1ED4" w14:paraId="5866B4F2" w14:textId="77777777" w:rsidTr="000418CA">
        <w:trPr>
          <w:trHeight w:hRule="exact" w:val="530"/>
        </w:trPr>
        <w:tc>
          <w:tcPr>
            <w:tcW w:w="1843" w:type="dxa"/>
            <w:tcBorders>
              <w:top w:val="single" w:sz="5" w:space="0" w:color="000000"/>
              <w:left w:val="single" w:sz="5" w:space="0" w:color="000000"/>
              <w:bottom w:val="single" w:sz="5" w:space="0" w:color="000000"/>
              <w:right w:val="single" w:sz="5" w:space="0" w:color="000000"/>
            </w:tcBorders>
          </w:tcPr>
          <w:p w14:paraId="7D48F8BC" w14:textId="77777777" w:rsidR="002D23FF" w:rsidRPr="001B1ED4" w:rsidRDefault="002D23FF" w:rsidP="00C60D10">
            <w:pPr>
              <w:pStyle w:val="TableParagraph"/>
              <w:ind w:left="102" w:right="87"/>
              <w:rPr>
                <w:rFonts w:asciiTheme="majorHAnsi" w:eastAsia="Times New Roman" w:hAnsiTheme="majorHAnsi" w:cs="Times New Roman"/>
                <w:sz w:val="20"/>
                <w:szCs w:val="20"/>
              </w:rPr>
            </w:pPr>
            <w:r w:rsidRPr="001B1ED4">
              <w:rPr>
                <w:rFonts w:asciiTheme="majorHAnsi" w:hAnsiTheme="majorHAnsi"/>
                <w:spacing w:val="-1"/>
                <w:sz w:val="20"/>
              </w:rPr>
              <w:t>Total</w:t>
            </w:r>
            <w:r w:rsidRPr="001B1ED4">
              <w:rPr>
                <w:rFonts w:asciiTheme="majorHAnsi" w:hAnsiTheme="majorHAnsi"/>
                <w:sz w:val="20"/>
              </w:rPr>
              <w:t xml:space="preserve"> </w:t>
            </w:r>
            <w:r w:rsidRPr="001B1ED4">
              <w:rPr>
                <w:rFonts w:asciiTheme="majorHAnsi" w:hAnsiTheme="majorHAnsi"/>
                <w:spacing w:val="-1"/>
                <w:sz w:val="20"/>
              </w:rPr>
              <w:t>number</w:t>
            </w:r>
            <w:r w:rsidRPr="001B1ED4">
              <w:rPr>
                <w:rFonts w:asciiTheme="majorHAnsi" w:hAnsiTheme="majorHAnsi"/>
                <w:spacing w:val="-2"/>
                <w:sz w:val="20"/>
              </w:rPr>
              <w:t xml:space="preserve"> </w:t>
            </w:r>
            <w:r w:rsidRPr="001B1ED4">
              <w:rPr>
                <w:rFonts w:asciiTheme="majorHAnsi" w:hAnsiTheme="majorHAnsi"/>
                <w:sz w:val="20"/>
              </w:rPr>
              <w:t>of</w:t>
            </w:r>
            <w:r w:rsidRPr="001B1ED4">
              <w:rPr>
                <w:rFonts w:asciiTheme="majorHAnsi" w:hAnsiTheme="majorHAnsi"/>
                <w:spacing w:val="24"/>
                <w:sz w:val="20"/>
              </w:rPr>
              <w:t xml:space="preserve"> </w:t>
            </w:r>
            <w:r w:rsidRPr="001B1ED4">
              <w:rPr>
                <w:rFonts w:asciiTheme="majorHAnsi" w:hAnsiTheme="majorHAnsi"/>
                <w:spacing w:val="-1"/>
                <w:sz w:val="20"/>
              </w:rPr>
              <w:t>injections (N=)</w:t>
            </w:r>
          </w:p>
        </w:tc>
        <w:tc>
          <w:tcPr>
            <w:tcW w:w="1843" w:type="dxa"/>
            <w:tcBorders>
              <w:top w:val="single" w:sz="5" w:space="0" w:color="000000"/>
              <w:left w:val="single" w:sz="5" w:space="0" w:color="000000"/>
              <w:bottom w:val="single" w:sz="5" w:space="0" w:color="000000"/>
              <w:right w:val="single" w:sz="5" w:space="0" w:color="000000"/>
            </w:tcBorders>
          </w:tcPr>
          <w:p w14:paraId="737B3C0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716</w:t>
            </w:r>
          </w:p>
        </w:tc>
        <w:tc>
          <w:tcPr>
            <w:tcW w:w="1843" w:type="dxa"/>
            <w:tcBorders>
              <w:top w:val="single" w:sz="5" w:space="0" w:color="000000"/>
              <w:left w:val="single" w:sz="5" w:space="0" w:color="000000"/>
              <w:bottom w:val="single" w:sz="5" w:space="0" w:color="000000"/>
              <w:right w:val="single" w:sz="5" w:space="0" w:color="000000"/>
            </w:tcBorders>
          </w:tcPr>
          <w:p w14:paraId="59BAE2EF"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230</w:t>
            </w:r>
          </w:p>
        </w:tc>
        <w:tc>
          <w:tcPr>
            <w:tcW w:w="1842" w:type="dxa"/>
            <w:tcBorders>
              <w:top w:val="single" w:sz="5" w:space="0" w:color="000000"/>
              <w:left w:val="single" w:sz="5" w:space="0" w:color="000000"/>
              <w:bottom w:val="single" w:sz="5" w:space="0" w:color="000000"/>
              <w:right w:val="single" w:sz="5" w:space="0" w:color="000000"/>
            </w:tcBorders>
          </w:tcPr>
          <w:p w14:paraId="71A0D78B"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hAnsiTheme="majorHAnsi"/>
                <w:spacing w:val="-1"/>
                <w:sz w:val="20"/>
              </w:rPr>
              <w:t>175</w:t>
            </w:r>
          </w:p>
        </w:tc>
        <w:tc>
          <w:tcPr>
            <w:tcW w:w="1844" w:type="dxa"/>
            <w:tcBorders>
              <w:top w:val="single" w:sz="5" w:space="0" w:color="000000"/>
              <w:left w:val="single" w:sz="5" w:space="0" w:color="000000"/>
              <w:bottom w:val="single" w:sz="5" w:space="0" w:color="000000"/>
              <w:right w:val="single" w:sz="5" w:space="0" w:color="000000"/>
            </w:tcBorders>
          </w:tcPr>
          <w:p w14:paraId="4279DED7"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217</w:t>
            </w:r>
          </w:p>
        </w:tc>
      </w:tr>
      <w:tr w:rsidR="002D23FF" w:rsidRPr="001B1ED4" w14:paraId="7417E8E6" w14:textId="77777777" w:rsidTr="000418CA">
        <w:trPr>
          <w:trHeight w:hRule="exact" w:val="529"/>
        </w:trPr>
        <w:tc>
          <w:tcPr>
            <w:tcW w:w="1843" w:type="dxa"/>
            <w:tcBorders>
              <w:top w:val="single" w:sz="5" w:space="0" w:color="000000"/>
              <w:left w:val="single" w:sz="5" w:space="0" w:color="000000"/>
              <w:bottom w:val="single" w:sz="5" w:space="0" w:color="000000"/>
              <w:right w:val="single" w:sz="5" w:space="0" w:color="000000"/>
            </w:tcBorders>
          </w:tcPr>
          <w:p w14:paraId="773895C2" w14:textId="77777777" w:rsidR="002D23FF" w:rsidRPr="001B1ED4" w:rsidRDefault="002D23FF" w:rsidP="00C60D10">
            <w:pPr>
              <w:pStyle w:val="TableParagraph"/>
              <w:spacing w:line="239" w:lineRule="auto"/>
              <w:ind w:left="102" w:right="87"/>
              <w:rPr>
                <w:rFonts w:asciiTheme="majorHAnsi" w:eastAsia="Times New Roman" w:hAnsiTheme="majorHAnsi" w:cs="Times New Roman"/>
                <w:sz w:val="20"/>
                <w:szCs w:val="20"/>
              </w:rPr>
            </w:pPr>
            <w:r w:rsidRPr="001B1ED4">
              <w:rPr>
                <w:rFonts w:asciiTheme="majorHAnsi" w:hAnsiTheme="majorHAnsi"/>
                <w:spacing w:val="-1"/>
                <w:sz w:val="20"/>
              </w:rPr>
              <w:t xml:space="preserve">Adverse </w:t>
            </w:r>
            <w:r w:rsidRPr="001B1ED4">
              <w:rPr>
                <w:rFonts w:asciiTheme="majorHAnsi" w:hAnsiTheme="majorHAnsi"/>
                <w:sz w:val="20"/>
              </w:rPr>
              <w:t>reactions</w:t>
            </w:r>
            <w:r w:rsidRPr="001B1ED4">
              <w:rPr>
                <w:rFonts w:asciiTheme="majorHAnsi" w:hAnsiTheme="majorHAnsi"/>
                <w:spacing w:val="25"/>
                <w:sz w:val="20"/>
              </w:rPr>
              <w:t xml:space="preserve"> </w:t>
            </w:r>
            <w:r w:rsidRPr="001B1ED4">
              <w:rPr>
                <w:rFonts w:asciiTheme="majorHAnsi" w:hAnsiTheme="majorHAnsi"/>
                <w:spacing w:val="-1"/>
                <w:sz w:val="20"/>
              </w:rPr>
              <w:t>(%</w:t>
            </w:r>
            <w:r w:rsidRPr="001B1ED4">
              <w:rPr>
                <w:rFonts w:asciiTheme="majorHAnsi" w:hAnsiTheme="majorHAnsi"/>
                <w:spacing w:val="-2"/>
                <w:sz w:val="20"/>
              </w:rPr>
              <w:t xml:space="preserve"> </w:t>
            </w:r>
            <w:r w:rsidRPr="001B1ED4">
              <w:rPr>
                <w:rFonts w:asciiTheme="majorHAnsi" w:hAnsiTheme="majorHAnsi"/>
                <w:sz w:val="20"/>
              </w:rPr>
              <w:t>of</w:t>
            </w:r>
            <w:r w:rsidRPr="001B1ED4">
              <w:rPr>
                <w:rFonts w:asciiTheme="majorHAnsi" w:hAnsiTheme="majorHAnsi"/>
                <w:spacing w:val="-1"/>
                <w:sz w:val="20"/>
              </w:rPr>
              <w:t xml:space="preserve"> injections)</w:t>
            </w:r>
          </w:p>
        </w:tc>
        <w:tc>
          <w:tcPr>
            <w:tcW w:w="1843" w:type="dxa"/>
            <w:tcBorders>
              <w:top w:val="single" w:sz="5" w:space="0" w:color="000000"/>
              <w:left w:val="single" w:sz="5" w:space="0" w:color="000000"/>
              <w:bottom w:val="single" w:sz="5" w:space="0" w:color="000000"/>
              <w:right w:val="single" w:sz="5" w:space="0" w:color="000000"/>
            </w:tcBorders>
          </w:tcPr>
          <w:p w14:paraId="50D61841" w14:textId="77777777" w:rsidR="002D23FF" w:rsidRPr="001B1ED4" w:rsidRDefault="002D23FF" w:rsidP="00C60D10">
            <w:pPr>
              <w:rPr>
                <w:rFonts w:asciiTheme="majorHAnsi" w:hAnsiTheme="majorHAnsi"/>
              </w:rPr>
            </w:pPr>
          </w:p>
        </w:tc>
        <w:tc>
          <w:tcPr>
            <w:tcW w:w="1843" w:type="dxa"/>
            <w:tcBorders>
              <w:top w:val="single" w:sz="5" w:space="0" w:color="000000"/>
              <w:left w:val="single" w:sz="5" w:space="0" w:color="000000"/>
              <w:bottom w:val="single" w:sz="5" w:space="0" w:color="000000"/>
              <w:right w:val="single" w:sz="5" w:space="0" w:color="000000"/>
            </w:tcBorders>
          </w:tcPr>
          <w:p w14:paraId="406D5B4B" w14:textId="77777777" w:rsidR="002D23FF" w:rsidRPr="001B1ED4" w:rsidRDefault="002D23FF" w:rsidP="00C60D10">
            <w:pPr>
              <w:rPr>
                <w:rFonts w:asciiTheme="majorHAnsi" w:hAnsiTheme="majorHAnsi"/>
              </w:rPr>
            </w:pPr>
          </w:p>
        </w:tc>
        <w:tc>
          <w:tcPr>
            <w:tcW w:w="1842" w:type="dxa"/>
            <w:tcBorders>
              <w:top w:val="single" w:sz="5" w:space="0" w:color="000000"/>
              <w:left w:val="single" w:sz="5" w:space="0" w:color="000000"/>
              <w:bottom w:val="single" w:sz="5" w:space="0" w:color="000000"/>
              <w:right w:val="single" w:sz="5" w:space="0" w:color="000000"/>
            </w:tcBorders>
          </w:tcPr>
          <w:p w14:paraId="3E541261" w14:textId="77777777" w:rsidR="002D23FF" w:rsidRPr="001B1ED4" w:rsidRDefault="002D23FF" w:rsidP="00C60D10">
            <w:pPr>
              <w:rPr>
                <w:rFonts w:asciiTheme="majorHAnsi" w:hAnsiTheme="majorHAnsi"/>
              </w:rPr>
            </w:pPr>
          </w:p>
        </w:tc>
        <w:tc>
          <w:tcPr>
            <w:tcW w:w="1844" w:type="dxa"/>
            <w:tcBorders>
              <w:top w:val="single" w:sz="5" w:space="0" w:color="000000"/>
              <w:left w:val="single" w:sz="5" w:space="0" w:color="000000"/>
              <w:bottom w:val="single" w:sz="5" w:space="0" w:color="000000"/>
              <w:right w:val="single" w:sz="5" w:space="0" w:color="000000"/>
            </w:tcBorders>
          </w:tcPr>
          <w:p w14:paraId="3A51EDAD" w14:textId="77777777" w:rsidR="002D23FF" w:rsidRPr="001B1ED4" w:rsidRDefault="002D23FF" w:rsidP="00C60D10">
            <w:pPr>
              <w:rPr>
                <w:rFonts w:asciiTheme="majorHAnsi" w:hAnsiTheme="majorHAnsi"/>
              </w:rPr>
            </w:pPr>
          </w:p>
        </w:tc>
      </w:tr>
      <w:tr w:rsidR="002D23FF" w:rsidRPr="001B1ED4" w14:paraId="07F2EAC0" w14:textId="77777777" w:rsidTr="000418CA">
        <w:trPr>
          <w:trHeight w:hRule="exact" w:val="530"/>
        </w:trPr>
        <w:tc>
          <w:tcPr>
            <w:tcW w:w="1843" w:type="dxa"/>
            <w:tcBorders>
              <w:top w:val="single" w:sz="5" w:space="0" w:color="000000"/>
              <w:left w:val="single" w:sz="5" w:space="0" w:color="000000"/>
              <w:bottom w:val="single" w:sz="5" w:space="0" w:color="000000"/>
              <w:right w:val="single" w:sz="5" w:space="0" w:color="000000"/>
            </w:tcBorders>
          </w:tcPr>
          <w:p w14:paraId="544EC4B4" w14:textId="77777777" w:rsidR="002D23FF" w:rsidRPr="001B1ED4" w:rsidRDefault="002D23FF" w:rsidP="00C60D10">
            <w:pPr>
              <w:pStyle w:val="TableParagraph"/>
              <w:ind w:left="102"/>
              <w:rPr>
                <w:rFonts w:asciiTheme="majorHAnsi" w:eastAsia="Times New Roman" w:hAnsiTheme="majorHAnsi" w:cs="Times New Roman"/>
                <w:sz w:val="20"/>
                <w:szCs w:val="20"/>
              </w:rPr>
            </w:pPr>
            <w:r w:rsidRPr="001B1ED4">
              <w:rPr>
                <w:rFonts w:asciiTheme="majorHAnsi" w:hAnsiTheme="majorHAnsi"/>
                <w:spacing w:val="-1"/>
                <w:sz w:val="20"/>
              </w:rPr>
              <w:t>Transient</w:t>
            </w:r>
            <w:r w:rsidRPr="001B1ED4">
              <w:rPr>
                <w:rFonts w:asciiTheme="majorHAnsi" w:hAnsiTheme="majorHAnsi"/>
                <w:spacing w:val="20"/>
                <w:sz w:val="20"/>
              </w:rPr>
              <w:t xml:space="preserve"> </w:t>
            </w:r>
            <w:r w:rsidRPr="001B1ED4">
              <w:rPr>
                <w:rFonts w:asciiTheme="majorHAnsi" w:hAnsiTheme="majorHAnsi"/>
                <w:spacing w:val="-1"/>
                <w:sz w:val="20"/>
              </w:rPr>
              <w:t>burning/stinging</w:t>
            </w:r>
          </w:p>
        </w:tc>
        <w:tc>
          <w:tcPr>
            <w:tcW w:w="1843" w:type="dxa"/>
            <w:tcBorders>
              <w:top w:val="single" w:sz="5" w:space="0" w:color="000000"/>
              <w:left w:val="single" w:sz="5" w:space="0" w:color="000000"/>
              <w:bottom w:val="single" w:sz="5" w:space="0" w:color="000000"/>
              <w:right w:val="single" w:sz="5" w:space="0" w:color="000000"/>
            </w:tcBorders>
          </w:tcPr>
          <w:p w14:paraId="6CDCFEAF"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34.6</w:t>
            </w:r>
          </w:p>
        </w:tc>
        <w:tc>
          <w:tcPr>
            <w:tcW w:w="1843" w:type="dxa"/>
            <w:tcBorders>
              <w:top w:val="single" w:sz="5" w:space="0" w:color="000000"/>
              <w:left w:val="single" w:sz="5" w:space="0" w:color="000000"/>
              <w:bottom w:val="single" w:sz="5" w:space="0" w:color="000000"/>
              <w:right w:val="single" w:sz="5" w:space="0" w:color="000000"/>
            </w:tcBorders>
          </w:tcPr>
          <w:p w14:paraId="752382D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21.7</w:t>
            </w:r>
          </w:p>
        </w:tc>
        <w:tc>
          <w:tcPr>
            <w:tcW w:w="1842" w:type="dxa"/>
            <w:tcBorders>
              <w:top w:val="single" w:sz="5" w:space="0" w:color="000000"/>
              <w:left w:val="single" w:sz="5" w:space="0" w:color="000000"/>
              <w:bottom w:val="single" w:sz="5" w:space="0" w:color="000000"/>
              <w:right w:val="single" w:sz="5" w:space="0" w:color="000000"/>
            </w:tcBorders>
          </w:tcPr>
          <w:p w14:paraId="6E5FA1A9" w14:textId="77777777" w:rsidR="002D23FF" w:rsidRPr="001B1ED4" w:rsidRDefault="002D23FF" w:rsidP="00C60D10">
            <w:pPr>
              <w:pStyle w:val="TableParagraph"/>
              <w:spacing w:line="226" w:lineRule="exact"/>
              <w:ind w:left="101" w:right="87"/>
              <w:rPr>
                <w:rFonts w:asciiTheme="majorHAnsi" w:eastAsia="Times New Roman" w:hAnsiTheme="majorHAnsi" w:cs="Times New Roman"/>
                <w:sz w:val="20"/>
                <w:szCs w:val="20"/>
              </w:rPr>
            </w:pPr>
            <w:r w:rsidRPr="001B1ED4">
              <w:rPr>
                <w:rFonts w:asciiTheme="majorHAnsi" w:hAnsiTheme="majorHAnsi"/>
                <w:sz w:val="20"/>
              </w:rPr>
              <w:t>20</w:t>
            </w:r>
          </w:p>
        </w:tc>
        <w:tc>
          <w:tcPr>
            <w:tcW w:w="1844" w:type="dxa"/>
            <w:tcBorders>
              <w:top w:val="single" w:sz="5" w:space="0" w:color="000000"/>
              <w:left w:val="single" w:sz="5" w:space="0" w:color="000000"/>
              <w:bottom w:val="single" w:sz="5" w:space="0" w:color="000000"/>
              <w:right w:val="single" w:sz="5" w:space="0" w:color="000000"/>
            </w:tcBorders>
          </w:tcPr>
          <w:p w14:paraId="65C9C0B6"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z w:val="20"/>
              </w:rPr>
              <w:t>16</w:t>
            </w:r>
          </w:p>
        </w:tc>
      </w:tr>
      <w:tr w:rsidR="002D23FF" w:rsidRPr="001B1ED4" w14:paraId="1A770D6B"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0D24790E"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Pain</w:t>
            </w:r>
          </w:p>
        </w:tc>
        <w:tc>
          <w:tcPr>
            <w:tcW w:w="1843" w:type="dxa"/>
            <w:tcBorders>
              <w:top w:val="single" w:sz="5" w:space="0" w:color="000000"/>
              <w:left w:val="single" w:sz="5" w:space="0" w:color="000000"/>
              <w:bottom w:val="single" w:sz="5" w:space="0" w:color="000000"/>
              <w:right w:val="single" w:sz="5" w:space="0" w:color="000000"/>
            </w:tcBorders>
          </w:tcPr>
          <w:p w14:paraId="4B44D57E" w14:textId="77777777" w:rsidR="002D23FF" w:rsidRPr="001B1ED4" w:rsidRDefault="002D23FF" w:rsidP="00C60D10">
            <w:pPr>
              <w:pStyle w:val="TableParagraph"/>
              <w:spacing w:line="226" w:lineRule="exact"/>
              <w:ind w:left="103"/>
              <w:rPr>
                <w:rFonts w:asciiTheme="majorHAnsi" w:eastAsia="Times New Roman" w:hAnsiTheme="majorHAnsi" w:cs="Times New Roman"/>
                <w:sz w:val="20"/>
                <w:szCs w:val="20"/>
              </w:rPr>
            </w:pPr>
            <w:r w:rsidRPr="001B1ED4">
              <w:rPr>
                <w:rFonts w:asciiTheme="majorHAnsi" w:hAnsiTheme="majorHAnsi"/>
                <w:spacing w:val="-1"/>
                <w:sz w:val="20"/>
              </w:rPr>
              <w:t>4.3</w:t>
            </w:r>
          </w:p>
        </w:tc>
        <w:tc>
          <w:tcPr>
            <w:tcW w:w="1843" w:type="dxa"/>
            <w:tcBorders>
              <w:top w:val="single" w:sz="5" w:space="0" w:color="000000"/>
              <w:left w:val="single" w:sz="5" w:space="0" w:color="000000"/>
              <w:bottom w:val="single" w:sz="5" w:space="0" w:color="000000"/>
              <w:right w:val="single" w:sz="5" w:space="0" w:color="000000"/>
            </w:tcBorders>
          </w:tcPr>
          <w:p w14:paraId="2ABF2096" w14:textId="77777777" w:rsidR="002D23FF" w:rsidRPr="001B1ED4" w:rsidRDefault="002D23FF" w:rsidP="00C60D10">
            <w:pPr>
              <w:pStyle w:val="TableParagraph"/>
              <w:spacing w:line="226" w:lineRule="exact"/>
              <w:ind w:left="103"/>
              <w:rPr>
                <w:rFonts w:asciiTheme="majorHAnsi" w:eastAsia="Times New Roman" w:hAnsiTheme="majorHAnsi" w:cs="Times New Roman"/>
                <w:sz w:val="20"/>
                <w:szCs w:val="20"/>
              </w:rPr>
            </w:pPr>
            <w:r w:rsidRPr="001B1ED4">
              <w:rPr>
                <w:rFonts w:asciiTheme="majorHAnsi" w:hAnsiTheme="majorHAnsi"/>
                <w:spacing w:val="-1"/>
                <w:sz w:val="20"/>
              </w:rPr>
              <w:t>3.5</w:t>
            </w:r>
          </w:p>
        </w:tc>
        <w:tc>
          <w:tcPr>
            <w:tcW w:w="1842" w:type="dxa"/>
            <w:tcBorders>
              <w:top w:val="single" w:sz="5" w:space="0" w:color="000000"/>
              <w:left w:val="single" w:sz="5" w:space="0" w:color="000000"/>
              <w:bottom w:val="single" w:sz="5" w:space="0" w:color="000000"/>
              <w:right w:val="single" w:sz="5" w:space="0" w:color="000000"/>
            </w:tcBorders>
          </w:tcPr>
          <w:p w14:paraId="0151DDDB"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2.3</w:t>
            </w:r>
          </w:p>
        </w:tc>
        <w:tc>
          <w:tcPr>
            <w:tcW w:w="1844" w:type="dxa"/>
            <w:tcBorders>
              <w:top w:val="single" w:sz="5" w:space="0" w:color="000000"/>
              <w:left w:val="single" w:sz="5" w:space="0" w:color="000000"/>
              <w:bottom w:val="single" w:sz="5" w:space="0" w:color="000000"/>
              <w:right w:val="single" w:sz="5" w:space="0" w:color="000000"/>
            </w:tcBorders>
          </w:tcPr>
          <w:p w14:paraId="3CB8D959" w14:textId="77777777" w:rsidR="002D23FF" w:rsidRPr="001B1ED4" w:rsidRDefault="002D23FF" w:rsidP="00C60D10">
            <w:pPr>
              <w:pStyle w:val="TableParagraph"/>
              <w:spacing w:line="226" w:lineRule="exact"/>
              <w:ind w:left="103"/>
              <w:rPr>
                <w:rFonts w:asciiTheme="majorHAnsi" w:eastAsia="Times New Roman" w:hAnsiTheme="majorHAnsi" w:cs="Times New Roman"/>
                <w:sz w:val="20"/>
                <w:szCs w:val="20"/>
              </w:rPr>
            </w:pPr>
            <w:r w:rsidRPr="001B1ED4">
              <w:rPr>
                <w:rFonts w:asciiTheme="majorHAnsi" w:hAnsiTheme="majorHAnsi"/>
                <w:spacing w:val="-1"/>
                <w:sz w:val="20"/>
              </w:rPr>
              <w:t>4.6</w:t>
            </w:r>
          </w:p>
        </w:tc>
      </w:tr>
      <w:tr w:rsidR="002D23FF" w:rsidRPr="001B1ED4" w14:paraId="5D9096F5"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644A77E4"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Erythema</w:t>
            </w:r>
          </w:p>
        </w:tc>
        <w:tc>
          <w:tcPr>
            <w:tcW w:w="1843" w:type="dxa"/>
            <w:tcBorders>
              <w:top w:val="single" w:sz="5" w:space="0" w:color="000000"/>
              <w:left w:val="single" w:sz="5" w:space="0" w:color="000000"/>
              <w:bottom w:val="single" w:sz="5" w:space="0" w:color="000000"/>
              <w:right w:val="single" w:sz="5" w:space="0" w:color="000000"/>
            </w:tcBorders>
          </w:tcPr>
          <w:p w14:paraId="17E6649C"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2.6</w:t>
            </w:r>
          </w:p>
        </w:tc>
        <w:tc>
          <w:tcPr>
            <w:tcW w:w="1843" w:type="dxa"/>
            <w:tcBorders>
              <w:top w:val="single" w:sz="5" w:space="0" w:color="000000"/>
              <w:left w:val="single" w:sz="5" w:space="0" w:color="000000"/>
              <w:bottom w:val="single" w:sz="5" w:space="0" w:color="000000"/>
              <w:right w:val="single" w:sz="5" w:space="0" w:color="000000"/>
            </w:tcBorders>
          </w:tcPr>
          <w:p w14:paraId="7CAE750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0.9</w:t>
            </w:r>
          </w:p>
        </w:tc>
        <w:tc>
          <w:tcPr>
            <w:tcW w:w="1842" w:type="dxa"/>
            <w:tcBorders>
              <w:top w:val="single" w:sz="5" w:space="0" w:color="000000"/>
              <w:left w:val="single" w:sz="5" w:space="0" w:color="000000"/>
              <w:bottom w:val="single" w:sz="5" w:space="0" w:color="000000"/>
              <w:right w:val="single" w:sz="5" w:space="0" w:color="000000"/>
            </w:tcBorders>
          </w:tcPr>
          <w:p w14:paraId="4BCCB53B"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hAnsiTheme="majorHAnsi"/>
                <w:spacing w:val="-1"/>
                <w:sz w:val="20"/>
              </w:rPr>
              <w:t>1.1</w:t>
            </w:r>
          </w:p>
        </w:tc>
        <w:tc>
          <w:tcPr>
            <w:tcW w:w="1844" w:type="dxa"/>
            <w:tcBorders>
              <w:top w:val="single" w:sz="5" w:space="0" w:color="000000"/>
              <w:left w:val="single" w:sz="5" w:space="0" w:color="000000"/>
              <w:bottom w:val="single" w:sz="5" w:space="0" w:color="000000"/>
              <w:right w:val="single" w:sz="5" w:space="0" w:color="000000"/>
            </w:tcBorders>
          </w:tcPr>
          <w:p w14:paraId="0751860F"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r>
      <w:tr w:rsidR="002D23FF" w:rsidRPr="001B1ED4" w14:paraId="4552E4BD"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0EFC26F9"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Mild</w:t>
            </w:r>
            <w:r w:rsidRPr="001B1ED4">
              <w:rPr>
                <w:rFonts w:asciiTheme="majorHAnsi" w:hAnsiTheme="majorHAnsi"/>
                <w:spacing w:val="1"/>
                <w:sz w:val="20"/>
              </w:rPr>
              <w:t xml:space="preserve"> </w:t>
            </w:r>
            <w:r w:rsidRPr="001B1ED4">
              <w:rPr>
                <w:rFonts w:asciiTheme="majorHAnsi" w:hAnsiTheme="majorHAnsi"/>
                <w:spacing w:val="-1"/>
                <w:sz w:val="20"/>
              </w:rPr>
              <w:t>bruising</w:t>
            </w:r>
          </w:p>
        </w:tc>
        <w:tc>
          <w:tcPr>
            <w:tcW w:w="1843" w:type="dxa"/>
            <w:tcBorders>
              <w:top w:val="single" w:sz="5" w:space="0" w:color="000000"/>
              <w:left w:val="single" w:sz="5" w:space="0" w:color="000000"/>
              <w:bottom w:val="single" w:sz="5" w:space="0" w:color="000000"/>
              <w:right w:val="single" w:sz="5" w:space="0" w:color="000000"/>
            </w:tcBorders>
          </w:tcPr>
          <w:p w14:paraId="7A6FDC7F"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2.5</w:t>
            </w:r>
          </w:p>
        </w:tc>
        <w:tc>
          <w:tcPr>
            <w:tcW w:w="1843" w:type="dxa"/>
            <w:tcBorders>
              <w:top w:val="single" w:sz="5" w:space="0" w:color="000000"/>
              <w:left w:val="single" w:sz="5" w:space="0" w:color="000000"/>
              <w:bottom w:val="single" w:sz="5" w:space="0" w:color="000000"/>
              <w:right w:val="single" w:sz="5" w:space="0" w:color="000000"/>
            </w:tcBorders>
          </w:tcPr>
          <w:p w14:paraId="306ADD43" w14:textId="77777777" w:rsidR="002D23FF" w:rsidRPr="001B1ED4" w:rsidRDefault="002D23FF" w:rsidP="00C60D10">
            <w:pPr>
              <w:pStyle w:val="TableParagraph"/>
              <w:spacing w:line="226" w:lineRule="exact"/>
              <w:ind w:left="101" w:right="87"/>
              <w:rPr>
                <w:rFonts w:asciiTheme="majorHAnsi" w:eastAsia="Times New Roman" w:hAnsiTheme="majorHAnsi" w:cs="Times New Roman"/>
                <w:sz w:val="20"/>
                <w:szCs w:val="20"/>
              </w:rPr>
            </w:pPr>
            <w:r w:rsidRPr="001B1ED4">
              <w:rPr>
                <w:rFonts w:asciiTheme="majorHAnsi" w:hAnsiTheme="majorHAnsi"/>
                <w:spacing w:val="-1"/>
                <w:sz w:val="20"/>
              </w:rPr>
              <w:t>1.7</w:t>
            </w:r>
          </w:p>
        </w:tc>
        <w:tc>
          <w:tcPr>
            <w:tcW w:w="1842" w:type="dxa"/>
            <w:tcBorders>
              <w:top w:val="single" w:sz="5" w:space="0" w:color="000000"/>
              <w:left w:val="single" w:sz="5" w:space="0" w:color="000000"/>
              <w:bottom w:val="single" w:sz="5" w:space="0" w:color="000000"/>
              <w:right w:val="single" w:sz="5" w:space="0" w:color="000000"/>
            </w:tcBorders>
          </w:tcPr>
          <w:p w14:paraId="0EB72730"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236719BB"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2.3</w:t>
            </w:r>
          </w:p>
        </w:tc>
      </w:tr>
      <w:tr w:rsidR="002D23FF" w:rsidRPr="001B1ED4" w14:paraId="67532E87"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181DFD4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lastRenderedPageBreak/>
              <w:t>Pruritis</w:t>
            </w:r>
          </w:p>
        </w:tc>
        <w:tc>
          <w:tcPr>
            <w:tcW w:w="1843" w:type="dxa"/>
            <w:tcBorders>
              <w:top w:val="single" w:sz="5" w:space="0" w:color="000000"/>
              <w:left w:val="single" w:sz="5" w:space="0" w:color="000000"/>
              <w:bottom w:val="single" w:sz="5" w:space="0" w:color="000000"/>
              <w:right w:val="single" w:sz="5" w:space="0" w:color="000000"/>
            </w:tcBorders>
          </w:tcPr>
          <w:p w14:paraId="518A65BB"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hAnsiTheme="majorHAnsi"/>
                <w:spacing w:val="-1"/>
                <w:sz w:val="20"/>
              </w:rPr>
              <w:t>1.4</w:t>
            </w:r>
          </w:p>
        </w:tc>
        <w:tc>
          <w:tcPr>
            <w:tcW w:w="1843" w:type="dxa"/>
            <w:tcBorders>
              <w:top w:val="single" w:sz="5" w:space="0" w:color="000000"/>
              <w:left w:val="single" w:sz="5" w:space="0" w:color="000000"/>
              <w:bottom w:val="single" w:sz="5" w:space="0" w:color="000000"/>
              <w:right w:val="single" w:sz="5" w:space="0" w:color="000000"/>
            </w:tcBorders>
          </w:tcPr>
          <w:p w14:paraId="456DA813"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hAnsiTheme="majorHAnsi"/>
                <w:spacing w:val="-1"/>
                <w:sz w:val="20"/>
              </w:rPr>
              <w:t>0.4</w:t>
            </w:r>
          </w:p>
        </w:tc>
        <w:tc>
          <w:tcPr>
            <w:tcW w:w="1842" w:type="dxa"/>
            <w:tcBorders>
              <w:top w:val="single" w:sz="5" w:space="0" w:color="000000"/>
              <w:left w:val="single" w:sz="5" w:space="0" w:color="000000"/>
              <w:bottom w:val="single" w:sz="5" w:space="0" w:color="000000"/>
              <w:right w:val="single" w:sz="5" w:space="0" w:color="000000"/>
            </w:tcBorders>
          </w:tcPr>
          <w:p w14:paraId="1AD5C562" w14:textId="77777777" w:rsidR="002D23FF" w:rsidRPr="001B1ED4" w:rsidRDefault="002D23FF" w:rsidP="00C60D10">
            <w:pPr>
              <w:pStyle w:val="TableParagraph"/>
              <w:spacing w:line="226" w:lineRule="exact"/>
              <w:ind w:left="99" w:right="87"/>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16020A55"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r>
      <w:tr w:rsidR="002D23FF" w:rsidRPr="001B1ED4" w14:paraId="18E74D6A"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7D2CCE1A"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Induration</w:t>
            </w:r>
          </w:p>
        </w:tc>
        <w:tc>
          <w:tcPr>
            <w:tcW w:w="1843" w:type="dxa"/>
            <w:tcBorders>
              <w:top w:val="single" w:sz="5" w:space="0" w:color="000000"/>
              <w:left w:val="single" w:sz="5" w:space="0" w:color="000000"/>
              <w:bottom w:val="single" w:sz="5" w:space="0" w:color="000000"/>
              <w:right w:val="single" w:sz="5" w:space="0" w:color="000000"/>
            </w:tcBorders>
          </w:tcPr>
          <w:p w14:paraId="3AEBAC37"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0.4</w:t>
            </w:r>
          </w:p>
        </w:tc>
        <w:tc>
          <w:tcPr>
            <w:tcW w:w="1843" w:type="dxa"/>
            <w:tcBorders>
              <w:top w:val="single" w:sz="5" w:space="0" w:color="000000"/>
              <w:left w:val="single" w:sz="5" w:space="0" w:color="000000"/>
              <w:bottom w:val="single" w:sz="5" w:space="0" w:color="000000"/>
              <w:right w:val="single" w:sz="5" w:space="0" w:color="000000"/>
            </w:tcBorders>
          </w:tcPr>
          <w:p w14:paraId="7E3A7BB0"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2" w:type="dxa"/>
            <w:tcBorders>
              <w:top w:val="single" w:sz="5" w:space="0" w:color="000000"/>
              <w:left w:val="single" w:sz="5" w:space="0" w:color="000000"/>
              <w:bottom w:val="single" w:sz="5" w:space="0" w:color="000000"/>
              <w:right w:val="single" w:sz="5" w:space="0" w:color="000000"/>
            </w:tcBorders>
          </w:tcPr>
          <w:p w14:paraId="24A81A9B"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601175F6"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r>
      <w:tr w:rsidR="002D23FF" w:rsidRPr="001B1ED4" w14:paraId="65D54AE4" w14:textId="77777777" w:rsidTr="000418CA">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7C919653"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Ulceration</w:t>
            </w:r>
          </w:p>
        </w:tc>
        <w:tc>
          <w:tcPr>
            <w:tcW w:w="1843" w:type="dxa"/>
            <w:tcBorders>
              <w:top w:val="single" w:sz="5" w:space="0" w:color="000000"/>
              <w:left w:val="single" w:sz="5" w:space="0" w:color="000000"/>
              <w:bottom w:val="single" w:sz="5" w:space="0" w:color="000000"/>
              <w:right w:val="single" w:sz="5" w:space="0" w:color="000000"/>
            </w:tcBorders>
          </w:tcPr>
          <w:p w14:paraId="7840DE8B"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0.1</w:t>
            </w:r>
          </w:p>
        </w:tc>
        <w:tc>
          <w:tcPr>
            <w:tcW w:w="1843" w:type="dxa"/>
            <w:tcBorders>
              <w:top w:val="single" w:sz="5" w:space="0" w:color="000000"/>
              <w:left w:val="single" w:sz="5" w:space="0" w:color="000000"/>
              <w:bottom w:val="single" w:sz="5" w:space="0" w:color="000000"/>
              <w:right w:val="single" w:sz="5" w:space="0" w:color="000000"/>
            </w:tcBorders>
          </w:tcPr>
          <w:p w14:paraId="6BA66604"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2" w:type="dxa"/>
            <w:tcBorders>
              <w:top w:val="single" w:sz="5" w:space="0" w:color="000000"/>
              <w:left w:val="single" w:sz="5" w:space="0" w:color="000000"/>
              <w:bottom w:val="single" w:sz="5" w:space="0" w:color="000000"/>
              <w:right w:val="single" w:sz="5" w:space="0" w:color="000000"/>
            </w:tcBorders>
          </w:tcPr>
          <w:p w14:paraId="69A49A77" w14:textId="77777777" w:rsidR="002D23FF" w:rsidRPr="001B1ED4" w:rsidRDefault="002D23FF" w:rsidP="00C60D10">
            <w:pPr>
              <w:pStyle w:val="TableParagraph"/>
              <w:spacing w:line="226" w:lineRule="exact"/>
              <w:ind w:left="100"/>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6AC6C089"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eastAsia="Times New Roman" w:hAnsiTheme="majorHAnsi" w:cs="Times New Roman"/>
                <w:sz w:val="20"/>
                <w:szCs w:val="20"/>
              </w:rPr>
              <w:t>–</w:t>
            </w:r>
          </w:p>
        </w:tc>
      </w:tr>
    </w:tbl>
    <w:p w14:paraId="42A7083C" w14:textId="77777777" w:rsidR="002D23FF" w:rsidRPr="001B1ED4" w:rsidRDefault="002D23FF" w:rsidP="002D23FF">
      <w:pPr>
        <w:spacing w:before="7" w:line="190" w:lineRule="exact"/>
        <w:rPr>
          <w:rFonts w:asciiTheme="majorHAnsi" w:hAnsiTheme="majorHAnsi"/>
          <w:sz w:val="19"/>
          <w:szCs w:val="19"/>
        </w:rPr>
      </w:pPr>
    </w:p>
    <w:p w14:paraId="1CF3C5DB" w14:textId="5F1EB949"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The majority (84%) of transient burning/stinging events for </w:t>
      </w:r>
      <w:r w:rsidR="00496210">
        <w:rPr>
          <w:rFonts w:ascii="Cambria" w:hAnsi="Cambria"/>
          <w:sz w:val="22"/>
          <w:szCs w:val="22"/>
        </w:rPr>
        <w:t>ELIGARD</w:t>
      </w:r>
      <w:r w:rsidRPr="001B1ED4">
        <w:rPr>
          <w:rFonts w:ascii="Cambria" w:hAnsi="Cambria"/>
          <w:sz w:val="22"/>
          <w:szCs w:val="22"/>
        </w:rPr>
        <w:t xml:space="preserve"> 1 month were reported as mild. Pain was generally reported as </w:t>
      </w:r>
      <w:proofErr w:type="gramStart"/>
      <w:r w:rsidRPr="001B1ED4">
        <w:rPr>
          <w:rFonts w:ascii="Cambria" w:hAnsi="Cambria"/>
          <w:sz w:val="22"/>
          <w:szCs w:val="22"/>
        </w:rPr>
        <w:t>brief in duration</w:t>
      </w:r>
      <w:proofErr w:type="gramEnd"/>
      <w:r w:rsidRPr="001B1ED4">
        <w:rPr>
          <w:rFonts w:ascii="Cambria" w:hAnsi="Cambria"/>
          <w:sz w:val="22"/>
          <w:szCs w:val="22"/>
        </w:rPr>
        <w:t xml:space="preserve"> and mild in intensity. Erythema were all reported as mild and generally resolved within a few days post-injection.</w:t>
      </w:r>
    </w:p>
    <w:p w14:paraId="4EFA3727" w14:textId="608331AD" w:rsidR="002D23FF" w:rsidRPr="001B1ED4" w:rsidRDefault="002D23FF" w:rsidP="0077502F">
      <w:pPr>
        <w:pStyle w:val="BodyText"/>
        <w:spacing w:after="240" w:line="276" w:lineRule="auto"/>
        <w:ind w:left="0" w:right="-188"/>
        <w:rPr>
          <w:rFonts w:ascii="Cambria" w:hAnsi="Cambria"/>
          <w:sz w:val="22"/>
          <w:szCs w:val="22"/>
        </w:rPr>
      </w:pPr>
      <w:r w:rsidRPr="001B1ED4">
        <w:rPr>
          <w:rFonts w:ascii="Cambria" w:hAnsi="Cambria"/>
          <w:sz w:val="22"/>
          <w:szCs w:val="22"/>
        </w:rPr>
        <w:t xml:space="preserve">The majority (86%) of transient burning/stinging events for </w:t>
      </w:r>
      <w:r w:rsidR="00496210">
        <w:rPr>
          <w:rFonts w:ascii="Cambria" w:hAnsi="Cambria"/>
          <w:sz w:val="22"/>
          <w:szCs w:val="22"/>
        </w:rPr>
        <w:t>ELIGARD</w:t>
      </w:r>
      <w:r w:rsidRPr="001B1ED4">
        <w:rPr>
          <w:rFonts w:ascii="Cambria" w:hAnsi="Cambria"/>
          <w:sz w:val="22"/>
          <w:szCs w:val="22"/>
        </w:rPr>
        <w:t xml:space="preserve"> 3 month were reported as mild. Pain was generally reported as </w:t>
      </w:r>
      <w:proofErr w:type="gramStart"/>
      <w:r w:rsidRPr="001B1ED4">
        <w:rPr>
          <w:rFonts w:ascii="Cambria" w:hAnsi="Cambria"/>
          <w:sz w:val="22"/>
          <w:szCs w:val="22"/>
        </w:rPr>
        <w:t>brief in duration</w:t>
      </w:r>
      <w:proofErr w:type="gramEnd"/>
      <w:r w:rsidRPr="001B1ED4">
        <w:rPr>
          <w:rFonts w:ascii="Cambria" w:hAnsi="Cambria"/>
          <w:sz w:val="22"/>
          <w:szCs w:val="22"/>
        </w:rPr>
        <w:t xml:space="preserve"> and mild in intensity. One of the reports characterized the erythema as mild and resolved within 7 days. The other was moderate and resolved within 15 days. Neither patient experienced erythema at multiple injections.</w:t>
      </w:r>
    </w:p>
    <w:p w14:paraId="7022AFC7" w14:textId="6EB22BDC"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All (100%) of transient burning/stinging events for </w:t>
      </w:r>
      <w:r w:rsidR="00496210">
        <w:rPr>
          <w:rFonts w:ascii="Cambria" w:hAnsi="Cambria"/>
          <w:sz w:val="22"/>
          <w:szCs w:val="22"/>
        </w:rPr>
        <w:t>ELIGARD</w:t>
      </w:r>
      <w:r w:rsidRPr="001B1ED4">
        <w:rPr>
          <w:rFonts w:ascii="Cambria" w:hAnsi="Cambria"/>
          <w:sz w:val="22"/>
          <w:szCs w:val="22"/>
        </w:rPr>
        <w:t xml:space="preserve"> 4 month were reported as mild. Pain was generally reported as </w:t>
      </w:r>
      <w:proofErr w:type="gramStart"/>
      <w:r w:rsidRPr="001B1ED4">
        <w:rPr>
          <w:rFonts w:ascii="Cambria" w:hAnsi="Cambria"/>
          <w:sz w:val="22"/>
          <w:szCs w:val="22"/>
        </w:rPr>
        <w:t>brief in duration</w:t>
      </w:r>
      <w:proofErr w:type="gramEnd"/>
      <w:r w:rsidRPr="001B1ED4">
        <w:rPr>
          <w:rFonts w:ascii="Cambria" w:hAnsi="Cambria"/>
          <w:sz w:val="22"/>
          <w:szCs w:val="22"/>
        </w:rPr>
        <w:t xml:space="preserve"> and mild in intensity. Erythema was reported as mild in all cases and generally resolved within a few days post-injection.</w:t>
      </w:r>
    </w:p>
    <w:p w14:paraId="09742B7A" w14:textId="552F0445"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The majority (91%) of transient burning/stinging events for </w:t>
      </w:r>
      <w:r w:rsidR="00496210">
        <w:rPr>
          <w:rFonts w:ascii="Cambria" w:hAnsi="Cambria"/>
          <w:sz w:val="22"/>
          <w:szCs w:val="22"/>
        </w:rPr>
        <w:t>ELIGARD</w:t>
      </w:r>
      <w:r w:rsidRPr="001B1ED4">
        <w:rPr>
          <w:rFonts w:ascii="Cambria" w:hAnsi="Cambria"/>
          <w:sz w:val="22"/>
          <w:szCs w:val="22"/>
        </w:rPr>
        <w:t xml:space="preserve"> 6 month were reported as mild. Pain was generally reported as </w:t>
      </w:r>
      <w:proofErr w:type="gramStart"/>
      <w:r w:rsidRPr="001B1ED4">
        <w:rPr>
          <w:rFonts w:ascii="Cambria" w:hAnsi="Cambria"/>
          <w:sz w:val="22"/>
          <w:szCs w:val="22"/>
        </w:rPr>
        <w:t>brief in duration</w:t>
      </w:r>
      <w:proofErr w:type="gramEnd"/>
      <w:r w:rsidRPr="001B1ED4">
        <w:rPr>
          <w:rFonts w:ascii="Cambria" w:hAnsi="Cambria"/>
          <w:sz w:val="22"/>
          <w:szCs w:val="22"/>
        </w:rPr>
        <w:t xml:space="preserve"> and mild in intensity. Mild bruising was reported following five (2.3%) study injections and moderate bruising was reported following two (&lt;1%) study </w:t>
      </w:r>
      <w:r w:rsidR="001B1ED4" w:rsidRPr="001B1ED4">
        <w:rPr>
          <w:rFonts w:ascii="Cambria" w:hAnsi="Cambria"/>
          <w:sz w:val="22"/>
          <w:szCs w:val="22"/>
        </w:rPr>
        <w:t>injections.</w:t>
      </w:r>
    </w:p>
    <w:p w14:paraId="5507C5BE" w14:textId="40145D24"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The following possibly or probably related systemic adverse events occurred during clinical trials of up to six months of treatment with </w:t>
      </w:r>
      <w:r w:rsidR="00CA0019">
        <w:rPr>
          <w:rFonts w:ascii="Cambria" w:hAnsi="Cambria"/>
          <w:sz w:val="22"/>
          <w:szCs w:val="22"/>
        </w:rPr>
        <w:t>ELIGARD</w:t>
      </w:r>
      <w:r w:rsidRPr="001B1ED4">
        <w:rPr>
          <w:rFonts w:ascii="Cambria" w:hAnsi="Cambria"/>
          <w:sz w:val="22"/>
          <w:szCs w:val="22"/>
        </w:rPr>
        <w:t xml:space="preserve"> 1 month and </w:t>
      </w:r>
      <w:r w:rsidR="00CA0019">
        <w:rPr>
          <w:rFonts w:ascii="Cambria" w:hAnsi="Cambria"/>
          <w:sz w:val="22"/>
          <w:szCs w:val="22"/>
        </w:rPr>
        <w:t>ELIGARD</w:t>
      </w:r>
      <w:r w:rsidRPr="001B1ED4">
        <w:rPr>
          <w:rFonts w:ascii="Cambria" w:hAnsi="Cambria"/>
          <w:sz w:val="22"/>
          <w:szCs w:val="22"/>
        </w:rPr>
        <w:t xml:space="preserve"> 3 month, up to eight months of treatment with </w:t>
      </w:r>
      <w:r w:rsidR="00CA0019">
        <w:rPr>
          <w:rFonts w:ascii="Cambria" w:hAnsi="Cambria"/>
          <w:sz w:val="22"/>
          <w:szCs w:val="22"/>
        </w:rPr>
        <w:t>ELIGARD</w:t>
      </w:r>
      <w:r w:rsidRPr="001B1ED4">
        <w:rPr>
          <w:rFonts w:ascii="Cambria" w:hAnsi="Cambria"/>
          <w:sz w:val="22"/>
          <w:szCs w:val="22"/>
        </w:rPr>
        <w:t xml:space="preserve"> 4 month and up to 12 months of treatment with </w:t>
      </w:r>
      <w:r w:rsidR="00CA0019">
        <w:rPr>
          <w:rFonts w:ascii="Cambria" w:hAnsi="Cambria"/>
          <w:sz w:val="22"/>
          <w:szCs w:val="22"/>
        </w:rPr>
        <w:t>ELIGARD</w:t>
      </w:r>
      <w:r w:rsidRPr="001B1ED4">
        <w:rPr>
          <w:rFonts w:ascii="Cambria" w:hAnsi="Cambria"/>
          <w:sz w:val="22"/>
          <w:szCs w:val="22"/>
        </w:rPr>
        <w:t xml:space="preserve"> 6 </w:t>
      </w:r>
      <w:proofErr w:type="gramStart"/>
      <w:r w:rsidRPr="001B1ED4">
        <w:rPr>
          <w:rFonts w:ascii="Cambria" w:hAnsi="Cambria"/>
          <w:sz w:val="22"/>
          <w:szCs w:val="22"/>
        </w:rPr>
        <w:t>month, and</w:t>
      </w:r>
      <w:proofErr w:type="gramEnd"/>
      <w:r w:rsidRPr="001B1ED4">
        <w:rPr>
          <w:rFonts w:ascii="Cambria" w:hAnsi="Cambria"/>
          <w:sz w:val="22"/>
          <w:szCs w:val="22"/>
        </w:rPr>
        <w:t xml:space="preserve"> were reported in </w:t>
      </w:r>
      <w:r w:rsidR="00CA0019">
        <w:rPr>
          <w:rFonts w:ascii="Cambria" w:hAnsi="Cambria"/>
          <w:sz w:val="22"/>
          <w:szCs w:val="22"/>
        </w:rPr>
        <w:t xml:space="preserve">≥ </w:t>
      </w:r>
      <w:r w:rsidRPr="001B1ED4">
        <w:rPr>
          <w:rFonts w:ascii="Cambria" w:hAnsi="Cambria"/>
          <w:sz w:val="22"/>
          <w:szCs w:val="22"/>
        </w:rPr>
        <w:t xml:space="preserve">2% and &lt; 2% of patients </w:t>
      </w:r>
      <w:r w:rsidRPr="00BF5351">
        <w:rPr>
          <w:rFonts w:ascii="Cambria" w:hAnsi="Cambria"/>
          <w:sz w:val="22"/>
          <w:szCs w:val="22"/>
        </w:rPr>
        <w:t>(T</w:t>
      </w:r>
      <w:r w:rsidR="009B599A" w:rsidRPr="00BF5351">
        <w:rPr>
          <w:rFonts w:ascii="Cambria" w:hAnsi="Cambria"/>
          <w:sz w:val="22"/>
          <w:szCs w:val="22"/>
        </w:rPr>
        <w:t>ables 2 and 3</w:t>
      </w:r>
      <w:r w:rsidRPr="00BF5351">
        <w:rPr>
          <w:rFonts w:ascii="Cambria" w:hAnsi="Cambria"/>
          <w:sz w:val="22"/>
          <w:szCs w:val="22"/>
        </w:rPr>
        <w:t>, respectively).</w:t>
      </w:r>
      <w:r w:rsidRPr="001B1ED4">
        <w:rPr>
          <w:rFonts w:ascii="Cambria" w:hAnsi="Cambria"/>
          <w:sz w:val="22"/>
          <w:szCs w:val="22"/>
        </w:rPr>
        <w:t xml:space="preserve"> Often, causality is difficult to assess in patients with metastatic prostate cancer. Reactions considered not drug- related were </w:t>
      </w:r>
      <w:r w:rsidR="001B1ED4">
        <w:rPr>
          <w:rFonts w:ascii="Cambria" w:hAnsi="Cambria"/>
          <w:sz w:val="22"/>
          <w:szCs w:val="22"/>
        </w:rPr>
        <w:t>excluded.</w:t>
      </w:r>
    </w:p>
    <w:p w14:paraId="716AFC5E" w14:textId="1E8AE15E" w:rsidR="00BF5351" w:rsidRPr="00BF5351" w:rsidRDefault="002D23FF" w:rsidP="00FE45B8">
      <w:pPr>
        <w:pStyle w:val="Heading3"/>
        <w:numPr>
          <w:ilvl w:val="0"/>
          <w:numId w:val="0"/>
        </w:numPr>
        <w:spacing w:after="240"/>
      </w:pPr>
      <w:r w:rsidRPr="003A1FCD">
        <w:t>More Common Reactions (incidence ≥ 2%)</w:t>
      </w:r>
    </w:p>
    <w:p w14:paraId="3B771500" w14:textId="29BF415D" w:rsidR="002D23FF" w:rsidRPr="00E1159D" w:rsidRDefault="009B599A" w:rsidP="00E1159D">
      <w:pPr>
        <w:pStyle w:val="Caption"/>
        <w:keepNext/>
        <w:jc w:val="center"/>
        <w:rPr>
          <w:rFonts w:asciiTheme="majorHAnsi" w:hAnsiTheme="majorHAnsi"/>
          <w:i w:val="0"/>
          <w:color w:val="auto"/>
          <w:sz w:val="20"/>
          <w:szCs w:val="20"/>
        </w:rPr>
      </w:pPr>
      <w:r w:rsidRPr="00BF5351">
        <w:rPr>
          <w:rFonts w:asciiTheme="majorHAnsi" w:hAnsiTheme="majorHAnsi"/>
          <w:b/>
          <w:i w:val="0"/>
          <w:color w:val="auto"/>
          <w:sz w:val="20"/>
          <w:szCs w:val="20"/>
        </w:rPr>
        <w:t xml:space="preserve">Table </w:t>
      </w:r>
      <w:r w:rsidRPr="00BF5351">
        <w:rPr>
          <w:rFonts w:asciiTheme="majorHAnsi" w:hAnsiTheme="majorHAnsi"/>
          <w:b/>
          <w:i w:val="0"/>
          <w:color w:val="auto"/>
          <w:sz w:val="20"/>
          <w:szCs w:val="20"/>
        </w:rPr>
        <w:fldChar w:fldCharType="begin"/>
      </w:r>
      <w:r w:rsidRPr="00BF5351">
        <w:rPr>
          <w:rFonts w:asciiTheme="majorHAnsi" w:hAnsiTheme="majorHAnsi"/>
          <w:b/>
          <w:i w:val="0"/>
          <w:color w:val="auto"/>
          <w:sz w:val="20"/>
          <w:szCs w:val="20"/>
        </w:rPr>
        <w:instrText xml:space="preserve"> SEQ Table \* ARABIC </w:instrText>
      </w:r>
      <w:r w:rsidRPr="00BF5351">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2</w:t>
      </w:r>
      <w:r w:rsidRPr="00BF5351">
        <w:rPr>
          <w:rFonts w:asciiTheme="majorHAnsi" w:hAnsiTheme="majorHAnsi"/>
          <w:b/>
          <w:i w:val="0"/>
          <w:color w:val="auto"/>
          <w:sz w:val="20"/>
          <w:szCs w:val="20"/>
        </w:rPr>
        <w:fldChar w:fldCharType="end"/>
      </w:r>
      <w:r w:rsidRPr="00BF5351">
        <w:rPr>
          <w:rFonts w:asciiTheme="majorHAnsi" w:hAnsiTheme="majorHAnsi"/>
          <w:b/>
          <w:i w:val="0"/>
          <w:color w:val="auto"/>
          <w:sz w:val="20"/>
          <w:szCs w:val="20"/>
        </w:rPr>
        <w:t>:</w:t>
      </w:r>
      <w:r w:rsidRPr="00BF5351">
        <w:rPr>
          <w:rFonts w:asciiTheme="majorHAnsi" w:hAnsiTheme="majorHAnsi"/>
          <w:i w:val="0"/>
          <w:color w:val="auto"/>
          <w:sz w:val="20"/>
          <w:szCs w:val="20"/>
        </w:rPr>
        <w:t xml:space="preserve"> Incidence (%) of Possibly Related Systemic Adverse Events Reported by ≥ 2% of Patients Treated with </w:t>
      </w:r>
      <w:r w:rsidR="00CA0019">
        <w:rPr>
          <w:rFonts w:asciiTheme="majorHAnsi" w:hAnsiTheme="majorHAnsi"/>
          <w:i w:val="0"/>
          <w:color w:val="auto"/>
          <w:sz w:val="20"/>
          <w:szCs w:val="20"/>
        </w:rPr>
        <w:t>ELIGARD</w:t>
      </w:r>
      <w:r w:rsidRPr="00BF5351">
        <w:rPr>
          <w:rFonts w:asciiTheme="majorHAnsi" w:hAnsiTheme="majorHAnsi"/>
          <w:i w:val="0"/>
          <w:color w:val="auto"/>
          <w:sz w:val="20"/>
          <w:szCs w:val="20"/>
        </w:rPr>
        <w:t xml:space="preserve"> 1 month and </w:t>
      </w:r>
      <w:r w:rsidR="00CA0019">
        <w:rPr>
          <w:rFonts w:asciiTheme="majorHAnsi" w:hAnsiTheme="majorHAnsi"/>
          <w:i w:val="0"/>
          <w:color w:val="auto"/>
          <w:sz w:val="20"/>
          <w:szCs w:val="20"/>
        </w:rPr>
        <w:t>ELIGARD</w:t>
      </w:r>
      <w:r w:rsidRPr="00BF5351">
        <w:rPr>
          <w:rFonts w:asciiTheme="majorHAnsi" w:hAnsiTheme="majorHAnsi"/>
          <w:i w:val="0"/>
          <w:color w:val="auto"/>
          <w:sz w:val="20"/>
          <w:szCs w:val="20"/>
        </w:rPr>
        <w:t xml:space="preserve"> 3 month for up to six months, </w:t>
      </w:r>
      <w:r w:rsidR="00CA0019">
        <w:rPr>
          <w:rFonts w:asciiTheme="majorHAnsi" w:hAnsiTheme="majorHAnsi"/>
          <w:i w:val="0"/>
          <w:color w:val="auto"/>
          <w:sz w:val="20"/>
          <w:szCs w:val="20"/>
        </w:rPr>
        <w:t>ELIGARD</w:t>
      </w:r>
      <w:r w:rsidRPr="00BF5351">
        <w:rPr>
          <w:rFonts w:asciiTheme="majorHAnsi" w:hAnsiTheme="majorHAnsi"/>
          <w:i w:val="0"/>
          <w:color w:val="auto"/>
          <w:sz w:val="20"/>
          <w:szCs w:val="20"/>
        </w:rPr>
        <w:t xml:space="preserve"> 4 month up to eight months and </w:t>
      </w:r>
      <w:r w:rsidR="00CA0019">
        <w:rPr>
          <w:rFonts w:asciiTheme="majorHAnsi" w:hAnsiTheme="majorHAnsi"/>
          <w:i w:val="0"/>
          <w:color w:val="auto"/>
          <w:sz w:val="20"/>
          <w:szCs w:val="20"/>
        </w:rPr>
        <w:t>ELIGARD</w:t>
      </w:r>
      <w:r w:rsidRPr="00BF5351">
        <w:rPr>
          <w:rFonts w:asciiTheme="majorHAnsi" w:hAnsiTheme="majorHAnsi"/>
          <w:i w:val="0"/>
          <w:color w:val="auto"/>
          <w:sz w:val="20"/>
          <w:szCs w:val="20"/>
        </w:rPr>
        <w:t xml:space="preserve"> 6 month up to 12 months</w:t>
      </w:r>
    </w:p>
    <w:tbl>
      <w:tblPr>
        <w:tblW w:w="9216" w:type="dxa"/>
        <w:tblInd w:w="106" w:type="dxa"/>
        <w:tblLayout w:type="fixed"/>
        <w:tblCellMar>
          <w:left w:w="0" w:type="dxa"/>
          <w:right w:w="0" w:type="dxa"/>
        </w:tblCellMar>
        <w:tblLook w:val="01E0" w:firstRow="1" w:lastRow="1" w:firstColumn="1" w:lastColumn="1" w:noHBand="0" w:noVBand="0"/>
      </w:tblPr>
      <w:tblGrid>
        <w:gridCol w:w="1536"/>
        <w:gridCol w:w="2192"/>
        <w:gridCol w:w="1372"/>
        <w:gridCol w:w="1372"/>
        <w:gridCol w:w="1372"/>
        <w:gridCol w:w="1372"/>
      </w:tblGrid>
      <w:tr w:rsidR="002D23FF" w:rsidRPr="001B1ED4" w14:paraId="17CA4AEC" w14:textId="77777777" w:rsidTr="0077502F">
        <w:trPr>
          <w:trHeight w:hRule="exact" w:val="842"/>
          <w:tblHeader/>
        </w:trPr>
        <w:tc>
          <w:tcPr>
            <w:tcW w:w="1536" w:type="dxa"/>
            <w:tcBorders>
              <w:top w:val="single" w:sz="5" w:space="0" w:color="000000"/>
              <w:left w:val="single" w:sz="5" w:space="0" w:color="000000"/>
              <w:bottom w:val="single" w:sz="5" w:space="0" w:color="000000"/>
              <w:right w:val="single" w:sz="5" w:space="0" w:color="000000"/>
            </w:tcBorders>
          </w:tcPr>
          <w:p w14:paraId="626D7C43"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1D44F953" w14:textId="77777777" w:rsidR="002D23FF" w:rsidRPr="001B1ED4" w:rsidRDefault="002D23FF" w:rsidP="00C60D10">
            <w:pPr>
              <w:pStyle w:val="TableParagraph"/>
              <w:spacing w:line="228" w:lineRule="exact"/>
              <w:ind w:left="102"/>
              <w:rPr>
                <w:rFonts w:ascii="Cambria" w:eastAsia="Times New Roman" w:hAnsi="Cambria" w:cs="Times New Roman"/>
                <w:sz w:val="20"/>
                <w:szCs w:val="20"/>
              </w:rPr>
            </w:pPr>
            <w:r w:rsidRPr="001B1ED4">
              <w:rPr>
                <w:rFonts w:ascii="Cambria" w:hAnsi="Cambria"/>
                <w:b/>
                <w:spacing w:val="-1"/>
                <w:sz w:val="20"/>
              </w:rPr>
              <w:t>Adverse</w:t>
            </w:r>
            <w:r w:rsidRPr="001B1ED4">
              <w:rPr>
                <w:rFonts w:ascii="Cambria" w:hAnsi="Cambria"/>
                <w:b/>
                <w:sz w:val="20"/>
              </w:rPr>
              <w:t xml:space="preserve"> </w:t>
            </w:r>
            <w:r w:rsidRPr="001B1ED4">
              <w:rPr>
                <w:rFonts w:ascii="Cambria" w:hAnsi="Cambria"/>
                <w:b/>
                <w:spacing w:val="-1"/>
                <w:sz w:val="20"/>
              </w:rPr>
              <w:t>Event</w:t>
            </w:r>
          </w:p>
        </w:tc>
        <w:tc>
          <w:tcPr>
            <w:tcW w:w="1372" w:type="dxa"/>
            <w:tcBorders>
              <w:top w:val="single" w:sz="5" w:space="0" w:color="000000"/>
              <w:left w:val="single" w:sz="5" w:space="0" w:color="000000"/>
              <w:bottom w:val="single" w:sz="5" w:space="0" w:color="000000"/>
              <w:right w:val="single" w:sz="5" w:space="0" w:color="000000"/>
            </w:tcBorders>
          </w:tcPr>
          <w:p w14:paraId="7A1D969A" w14:textId="223B445C" w:rsidR="002D23FF" w:rsidRPr="001B1ED4" w:rsidRDefault="00CA0019" w:rsidP="00C60D10">
            <w:pPr>
              <w:pStyle w:val="TableParagraph"/>
              <w:spacing w:line="237" w:lineRule="exact"/>
              <w:ind w:left="102"/>
              <w:rPr>
                <w:rFonts w:ascii="Cambria" w:eastAsia="Times New Roman" w:hAnsi="Cambria" w:cs="Times New Roman"/>
                <w:sz w:val="20"/>
                <w:szCs w:val="20"/>
              </w:rPr>
            </w:pPr>
            <w:r>
              <w:rPr>
                <w:rFonts w:ascii="Cambria" w:hAnsi="Cambria"/>
                <w:b/>
                <w:spacing w:val="-1"/>
                <w:sz w:val="20"/>
              </w:rPr>
              <w:t>ELIGARD</w:t>
            </w:r>
            <w:r w:rsidR="002D23FF" w:rsidRPr="001B1ED4">
              <w:rPr>
                <w:rFonts w:ascii="Cambria" w:hAnsi="Cambria"/>
                <w:b/>
                <w:spacing w:val="13"/>
                <w:position w:val="10"/>
                <w:sz w:val="14"/>
              </w:rPr>
              <w:t xml:space="preserve"> </w:t>
            </w:r>
            <w:r w:rsidR="002D23FF" w:rsidRPr="001B1ED4">
              <w:rPr>
                <w:rFonts w:ascii="Cambria" w:hAnsi="Cambria"/>
                <w:b/>
                <w:sz w:val="20"/>
              </w:rPr>
              <w:t>1</w:t>
            </w:r>
          </w:p>
          <w:p w14:paraId="5C278DA7" w14:textId="77777777" w:rsidR="002D23FF" w:rsidRPr="001B1ED4" w:rsidRDefault="002D23FF" w:rsidP="00C60D10">
            <w:pPr>
              <w:pStyle w:val="TableParagraph"/>
              <w:spacing w:line="245" w:lineRule="exact"/>
              <w:ind w:left="102"/>
              <w:rPr>
                <w:rFonts w:ascii="Cambria" w:eastAsia="Times New Roman" w:hAnsi="Cambria" w:cs="Times New Roman"/>
                <w:sz w:val="13"/>
                <w:szCs w:val="13"/>
              </w:rPr>
            </w:pPr>
            <w:r w:rsidRPr="001B1ED4">
              <w:rPr>
                <w:rFonts w:ascii="Cambria" w:hAnsi="Cambria"/>
                <w:b/>
                <w:sz w:val="20"/>
              </w:rPr>
              <w:t>month</w:t>
            </w:r>
            <w:r w:rsidRPr="001B1ED4">
              <w:rPr>
                <w:rFonts w:ascii="Cambria" w:hAnsi="Cambria"/>
                <w:b/>
                <w:spacing w:val="-1"/>
                <w:sz w:val="20"/>
              </w:rPr>
              <w:t xml:space="preserve"> </w:t>
            </w:r>
            <w:r w:rsidRPr="001B1ED4">
              <w:rPr>
                <w:rFonts w:ascii="Cambria" w:hAnsi="Cambria"/>
                <w:b/>
                <w:position w:val="9"/>
                <w:sz w:val="13"/>
              </w:rPr>
              <w:t>1</w:t>
            </w:r>
          </w:p>
          <w:p w14:paraId="7472154F" w14:textId="77777777" w:rsidR="002D23FF" w:rsidRPr="001B1ED4" w:rsidRDefault="002D23FF" w:rsidP="00C60D10">
            <w:pPr>
              <w:pStyle w:val="TableParagraph"/>
              <w:spacing w:before="60"/>
              <w:ind w:left="102"/>
              <w:rPr>
                <w:rFonts w:ascii="Cambria" w:eastAsia="Times New Roman" w:hAnsi="Cambria" w:cs="Times New Roman"/>
                <w:sz w:val="20"/>
                <w:szCs w:val="20"/>
              </w:rPr>
            </w:pPr>
            <w:r w:rsidRPr="001B1ED4">
              <w:rPr>
                <w:rFonts w:ascii="Cambria" w:hAnsi="Cambria"/>
                <w:b/>
                <w:sz w:val="20"/>
              </w:rPr>
              <w:t xml:space="preserve">N </w:t>
            </w:r>
            <w:r w:rsidRPr="001B1ED4">
              <w:rPr>
                <w:rFonts w:ascii="Cambria" w:hAnsi="Cambria"/>
                <w:b/>
                <w:spacing w:val="-2"/>
                <w:sz w:val="20"/>
              </w:rPr>
              <w:t>(%)</w:t>
            </w:r>
          </w:p>
        </w:tc>
        <w:tc>
          <w:tcPr>
            <w:tcW w:w="1372" w:type="dxa"/>
            <w:tcBorders>
              <w:top w:val="single" w:sz="5" w:space="0" w:color="000000"/>
              <w:left w:val="single" w:sz="5" w:space="0" w:color="000000"/>
              <w:bottom w:val="single" w:sz="5" w:space="0" w:color="000000"/>
              <w:right w:val="single" w:sz="5" w:space="0" w:color="000000"/>
            </w:tcBorders>
          </w:tcPr>
          <w:p w14:paraId="57A86924" w14:textId="44D520F8" w:rsidR="002D23FF" w:rsidRPr="001B1ED4" w:rsidRDefault="00CA0019" w:rsidP="00C60D10">
            <w:pPr>
              <w:pStyle w:val="TableParagraph"/>
              <w:spacing w:line="237" w:lineRule="exact"/>
              <w:ind w:left="102"/>
              <w:rPr>
                <w:rFonts w:ascii="Cambria" w:eastAsia="Times New Roman" w:hAnsi="Cambria" w:cs="Times New Roman"/>
                <w:sz w:val="20"/>
                <w:szCs w:val="20"/>
              </w:rPr>
            </w:pPr>
            <w:r>
              <w:rPr>
                <w:rFonts w:ascii="Cambria" w:hAnsi="Cambria"/>
                <w:b/>
                <w:spacing w:val="-1"/>
                <w:sz w:val="20"/>
              </w:rPr>
              <w:t>ELIGARD</w:t>
            </w:r>
            <w:r w:rsidR="002D23FF" w:rsidRPr="001B1ED4">
              <w:rPr>
                <w:rFonts w:ascii="Cambria" w:hAnsi="Cambria"/>
                <w:b/>
                <w:spacing w:val="13"/>
                <w:position w:val="10"/>
                <w:sz w:val="14"/>
              </w:rPr>
              <w:t xml:space="preserve"> </w:t>
            </w:r>
            <w:r w:rsidR="002D23FF" w:rsidRPr="001B1ED4">
              <w:rPr>
                <w:rFonts w:ascii="Cambria" w:hAnsi="Cambria"/>
                <w:b/>
                <w:sz w:val="20"/>
              </w:rPr>
              <w:t>3</w:t>
            </w:r>
          </w:p>
          <w:p w14:paraId="72D66437" w14:textId="77777777" w:rsidR="002D23FF" w:rsidRPr="001B1ED4" w:rsidRDefault="002D23FF" w:rsidP="00C60D10">
            <w:pPr>
              <w:pStyle w:val="TableParagraph"/>
              <w:spacing w:line="245" w:lineRule="exact"/>
              <w:ind w:left="102"/>
              <w:rPr>
                <w:rFonts w:ascii="Cambria" w:eastAsia="Times New Roman" w:hAnsi="Cambria" w:cs="Times New Roman"/>
                <w:sz w:val="13"/>
                <w:szCs w:val="13"/>
              </w:rPr>
            </w:pPr>
            <w:r w:rsidRPr="001B1ED4">
              <w:rPr>
                <w:rFonts w:ascii="Cambria" w:hAnsi="Cambria"/>
                <w:b/>
                <w:sz w:val="20"/>
              </w:rPr>
              <w:t>month</w:t>
            </w:r>
            <w:r w:rsidRPr="001B1ED4">
              <w:rPr>
                <w:rFonts w:ascii="Cambria" w:hAnsi="Cambria"/>
                <w:b/>
                <w:spacing w:val="-1"/>
                <w:sz w:val="20"/>
              </w:rPr>
              <w:t xml:space="preserve"> </w:t>
            </w:r>
            <w:r w:rsidRPr="001B1ED4">
              <w:rPr>
                <w:rFonts w:ascii="Cambria" w:hAnsi="Cambria"/>
                <w:b/>
                <w:position w:val="9"/>
                <w:sz w:val="13"/>
              </w:rPr>
              <w:t>2</w:t>
            </w:r>
          </w:p>
          <w:p w14:paraId="25CF7F87" w14:textId="77777777" w:rsidR="002D23FF" w:rsidRPr="001B1ED4" w:rsidRDefault="002D23FF" w:rsidP="00C60D10">
            <w:pPr>
              <w:pStyle w:val="TableParagraph"/>
              <w:spacing w:before="60"/>
              <w:ind w:left="102"/>
              <w:rPr>
                <w:rFonts w:ascii="Cambria" w:eastAsia="Times New Roman" w:hAnsi="Cambria" w:cs="Times New Roman"/>
                <w:sz w:val="20"/>
                <w:szCs w:val="20"/>
              </w:rPr>
            </w:pPr>
            <w:r w:rsidRPr="001B1ED4">
              <w:rPr>
                <w:rFonts w:ascii="Cambria" w:hAnsi="Cambria"/>
                <w:b/>
                <w:sz w:val="20"/>
              </w:rPr>
              <w:t xml:space="preserve">N </w:t>
            </w:r>
            <w:r w:rsidRPr="001B1ED4">
              <w:rPr>
                <w:rFonts w:ascii="Cambria" w:hAnsi="Cambria"/>
                <w:b/>
                <w:spacing w:val="-2"/>
                <w:sz w:val="20"/>
              </w:rPr>
              <w:t>(%)</w:t>
            </w:r>
          </w:p>
        </w:tc>
        <w:tc>
          <w:tcPr>
            <w:tcW w:w="1372" w:type="dxa"/>
            <w:tcBorders>
              <w:top w:val="single" w:sz="5" w:space="0" w:color="000000"/>
              <w:left w:val="single" w:sz="5" w:space="0" w:color="000000"/>
              <w:bottom w:val="single" w:sz="5" w:space="0" w:color="000000"/>
              <w:right w:val="single" w:sz="5" w:space="0" w:color="000000"/>
            </w:tcBorders>
          </w:tcPr>
          <w:p w14:paraId="245C271A" w14:textId="2E42284C" w:rsidR="002D23FF" w:rsidRPr="001B1ED4" w:rsidRDefault="00CA0019" w:rsidP="00C60D10">
            <w:pPr>
              <w:pStyle w:val="TableParagraph"/>
              <w:spacing w:line="237" w:lineRule="exact"/>
              <w:ind w:left="102"/>
              <w:rPr>
                <w:rFonts w:ascii="Cambria" w:eastAsia="Times New Roman" w:hAnsi="Cambria" w:cs="Times New Roman"/>
                <w:sz w:val="20"/>
                <w:szCs w:val="20"/>
              </w:rPr>
            </w:pPr>
            <w:r>
              <w:rPr>
                <w:rFonts w:ascii="Cambria" w:hAnsi="Cambria"/>
                <w:b/>
                <w:spacing w:val="-1"/>
                <w:sz w:val="20"/>
              </w:rPr>
              <w:t>ELIGARD</w:t>
            </w:r>
            <w:r w:rsidR="002D23FF" w:rsidRPr="001B1ED4">
              <w:rPr>
                <w:rFonts w:ascii="Cambria" w:hAnsi="Cambria"/>
                <w:b/>
                <w:spacing w:val="13"/>
                <w:position w:val="10"/>
                <w:sz w:val="14"/>
              </w:rPr>
              <w:t xml:space="preserve"> </w:t>
            </w:r>
            <w:r w:rsidR="002D23FF" w:rsidRPr="001B1ED4">
              <w:rPr>
                <w:rFonts w:ascii="Cambria" w:hAnsi="Cambria"/>
                <w:b/>
                <w:sz w:val="20"/>
              </w:rPr>
              <w:t>4</w:t>
            </w:r>
          </w:p>
          <w:p w14:paraId="7E54C7BD" w14:textId="77777777" w:rsidR="002D23FF" w:rsidRPr="001B1ED4" w:rsidRDefault="002D23FF" w:rsidP="00C60D10">
            <w:pPr>
              <w:pStyle w:val="TableParagraph"/>
              <w:spacing w:line="245" w:lineRule="exact"/>
              <w:ind w:left="102"/>
              <w:rPr>
                <w:rFonts w:ascii="Cambria" w:eastAsia="Times New Roman" w:hAnsi="Cambria" w:cs="Times New Roman"/>
                <w:sz w:val="13"/>
                <w:szCs w:val="13"/>
              </w:rPr>
            </w:pPr>
            <w:r w:rsidRPr="001B1ED4">
              <w:rPr>
                <w:rFonts w:ascii="Cambria" w:hAnsi="Cambria"/>
                <w:b/>
                <w:sz w:val="20"/>
              </w:rPr>
              <w:t>month</w:t>
            </w:r>
            <w:r w:rsidRPr="001B1ED4">
              <w:rPr>
                <w:rFonts w:ascii="Cambria" w:hAnsi="Cambria"/>
                <w:b/>
                <w:spacing w:val="-1"/>
                <w:sz w:val="20"/>
              </w:rPr>
              <w:t xml:space="preserve"> </w:t>
            </w:r>
            <w:r w:rsidRPr="001B1ED4">
              <w:rPr>
                <w:rFonts w:ascii="Cambria" w:hAnsi="Cambria"/>
                <w:b/>
                <w:position w:val="9"/>
                <w:sz w:val="13"/>
              </w:rPr>
              <w:t>2</w:t>
            </w:r>
          </w:p>
          <w:p w14:paraId="157F9FD0" w14:textId="77777777" w:rsidR="002D23FF" w:rsidRPr="001B1ED4" w:rsidRDefault="002D23FF" w:rsidP="00C60D10">
            <w:pPr>
              <w:pStyle w:val="TableParagraph"/>
              <w:spacing w:before="60"/>
              <w:ind w:left="102"/>
              <w:rPr>
                <w:rFonts w:ascii="Cambria" w:eastAsia="Times New Roman" w:hAnsi="Cambria" w:cs="Times New Roman"/>
                <w:sz w:val="20"/>
                <w:szCs w:val="20"/>
              </w:rPr>
            </w:pPr>
            <w:r w:rsidRPr="001B1ED4">
              <w:rPr>
                <w:rFonts w:ascii="Cambria" w:hAnsi="Cambria"/>
                <w:b/>
                <w:sz w:val="20"/>
              </w:rPr>
              <w:t xml:space="preserve">N </w:t>
            </w:r>
            <w:r w:rsidRPr="001B1ED4">
              <w:rPr>
                <w:rFonts w:ascii="Cambria" w:hAnsi="Cambria"/>
                <w:b/>
                <w:spacing w:val="-2"/>
                <w:sz w:val="20"/>
              </w:rPr>
              <w:t>(%)</w:t>
            </w:r>
          </w:p>
        </w:tc>
        <w:tc>
          <w:tcPr>
            <w:tcW w:w="1372" w:type="dxa"/>
            <w:tcBorders>
              <w:top w:val="single" w:sz="5" w:space="0" w:color="000000"/>
              <w:left w:val="single" w:sz="5" w:space="0" w:color="000000"/>
              <w:bottom w:val="single" w:sz="5" w:space="0" w:color="000000"/>
              <w:right w:val="single" w:sz="5" w:space="0" w:color="000000"/>
            </w:tcBorders>
          </w:tcPr>
          <w:p w14:paraId="5C22B5AB" w14:textId="0BBBD23D" w:rsidR="002D23FF" w:rsidRPr="001B1ED4" w:rsidRDefault="00CA0019" w:rsidP="00C60D10">
            <w:pPr>
              <w:pStyle w:val="TableParagraph"/>
              <w:spacing w:line="237" w:lineRule="exact"/>
              <w:ind w:left="101"/>
              <w:rPr>
                <w:rFonts w:ascii="Cambria" w:eastAsia="Times New Roman" w:hAnsi="Cambria" w:cs="Times New Roman"/>
                <w:sz w:val="20"/>
                <w:szCs w:val="20"/>
              </w:rPr>
            </w:pPr>
            <w:r>
              <w:rPr>
                <w:rFonts w:ascii="Cambria" w:hAnsi="Cambria"/>
                <w:b/>
                <w:spacing w:val="-1"/>
                <w:sz w:val="20"/>
              </w:rPr>
              <w:t>ELIGARD</w:t>
            </w:r>
            <w:r w:rsidR="002D23FF" w:rsidRPr="001B1ED4">
              <w:rPr>
                <w:rFonts w:ascii="Cambria" w:hAnsi="Cambria"/>
                <w:b/>
                <w:spacing w:val="13"/>
                <w:position w:val="10"/>
                <w:sz w:val="14"/>
              </w:rPr>
              <w:t xml:space="preserve"> </w:t>
            </w:r>
            <w:r w:rsidR="002D23FF" w:rsidRPr="001B1ED4">
              <w:rPr>
                <w:rFonts w:ascii="Cambria" w:hAnsi="Cambria"/>
                <w:b/>
                <w:sz w:val="20"/>
              </w:rPr>
              <w:t>6</w:t>
            </w:r>
          </w:p>
          <w:p w14:paraId="3AA0496C" w14:textId="77777777" w:rsidR="002D23FF" w:rsidRPr="001B1ED4" w:rsidRDefault="002D23FF" w:rsidP="00C60D10">
            <w:pPr>
              <w:pStyle w:val="TableParagraph"/>
              <w:spacing w:line="245" w:lineRule="exact"/>
              <w:ind w:left="101"/>
              <w:rPr>
                <w:rFonts w:ascii="Cambria" w:eastAsia="Times New Roman" w:hAnsi="Cambria" w:cs="Times New Roman"/>
                <w:sz w:val="13"/>
                <w:szCs w:val="13"/>
              </w:rPr>
            </w:pPr>
            <w:r w:rsidRPr="001B1ED4">
              <w:rPr>
                <w:rFonts w:ascii="Cambria" w:hAnsi="Cambria"/>
                <w:b/>
                <w:sz w:val="20"/>
              </w:rPr>
              <w:t>month</w:t>
            </w:r>
            <w:r w:rsidRPr="001B1ED4">
              <w:rPr>
                <w:rFonts w:ascii="Cambria" w:hAnsi="Cambria"/>
                <w:b/>
                <w:spacing w:val="-1"/>
                <w:sz w:val="20"/>
              </w:rPr>
              <w:t xml:space="preserve"> </w:t>
            </w:r>
            <w:r w:rsidRPr="001B1ED4">
              <w:rPr>
                <w:rFonts w:ascii="Cambria" w:hAnsi="Cambria"/>
                <w:b/>
                <w:position w:val="9"/>
                <w:sz w:val="13"/>
              </w:rPr>
              <w:t>2</w:t>
            </w:r>
          </w:p>
          <w:p w14:paraId="322D8815" w14:textId="77777777" w:rsidR="002D23FF" w:rsidRPr="001B1ED4" w:rsidRDefault="002D23FF" w:rsidP="00C60D10">
            <w:pPr>
              <w:pStyle w:val="TableParagraph"/>
              <w:spacing w:before="60"/>
              <w:ind w:left="101"/>
              <w:rPr>
                <w:rFonts w:ascii="Cambria" w:eastAsia="Times New Roman" w:hAnsi="Cambria" w:cs="Times New Roman"/>
                <w:sz w:val="20"/>
                <w:szCs w:val="20"/>
              </w:rPr>
            </w:pPr>
            <w:r w:rsidRPr="001B1ED4">
              <w:rPr>
                <w:rFonts w:ascii="Cambria" w:hAnsi="Cambria"/>
                <w:b/>
                <w:sz w:val="20"/>
              </w:rPr>
              <w:t xml:space="preserve">N </w:t>
            </w:r>
            <w:r w:rsidRPr="001B1ED4">
              <w:rPr>
                <w:rFonts w:ascii="Cambria" w:hAnsi="Cambria"/>
                <w:b/>
                <w:spacing w:val="-2"/>
                <w:sz w:val="20"/>
              </w:rPr>
              <w:t>(%)</w:t>
            </w:r>
          </w:p>
        </w:tc>
      </w:tr>
      <w:tr w:rsidR="002D23FF" w:rsidRPr="001B1ED4" w14:paraId="5DB12A54" w14:textId="77777777" w:rsidTr="0077502F">
        <w:trPr>
          <w:trHeight w:hRule="exact" w:val="251"/>
        </w:trPr>
        <w:tc>
          <w:tcPr>
            <w:tcW w:w="1536" w:type="dxa"/>
            <w:vMerge w:val="restart"/>
            <w:tcBorders>
              <w:top w:val="single" w:sz="5" w:space="0" w:color="000000"/>
              <w:left w:val="single" w:sz="5" w:space="0" w:color="000000"/>
              <w:right w:val="single" w:sz="5" w:space="0" w:color="000000"/>
            </w:tcBorders>
          </w:tcPr>
          <w:p w14:paraId="46A9098A" w14:textId="77777777" w:rsidR="002D23FF" w:rsidRPr="001B1ED4" w:rsidRDefault="002D23FF" w:rsidP="00C60D10">
            <w:pPr>
              <w:pStyle w:val="TableParagraph"/>
              <w:spacing w:line="230" w:lineRule="exact"/>
              <w:ind w:left="102" w:right="632"/>
              <w:rPr>
                <w:rFonts w:ascii="Cambria" w:eastAsia="Times New Roman" w:hAnsi="Cambria" w:cs="Times New Roman"/>
                <w:sz w:val="20"/>
                <w:szCs w:val="20"/>
              </w:rPr>
            </w:pPr>
            <w:r w:rsidRPr="001B1ED4">
              <w:rPr>
                <w:rFonts w:ascii="Cambria" w:hAnsi="Cambria"/>
                <w:sz w:val="20"/>
              </w:rPr>
              <w:t>Body as</w:t>
            </w:r>
            <w:r w:rsidRPr="001B1ED4">
              <w:rPr>
                <w:rFonts w:ascii="Cambria" w:hAnsi="Cambria"/>
                <w:spacing w:val="-1"/>
                <w:sz w:val="20"/>
              </w:rPr>
              <w:t xml:space="preserve"> </w:t>
            </w:r>
            <w:r w:rsidRPr="001B1ED4">
              <w:rPr>
                <w:rFonts w:ascii="Cambria" w:hAnsi="Cambria"/>
                <w:sz w:val="20"/>
              </w:rPr>
              <w:t xml:space="preserve">a </w:t>
            </w:r>
            <w:r w:rsidRPr="001B1ED4">
              <w:rPr>
                <w:rFonts w:ascii="Cambria" w:hAnsi="Cambria"/>
                <w:spacing w:val="-1"/>
                <w:sz w:val="20"/>
              </w:rPr>
              <w:t>Whole</w:t>
            </w:r>
          </w:p>
        </w:tc>
        <w:tc>
          <w:tcPr>
            <w:tcW w:w="2192" w:type="dxa"/>
            <w:tcBorders>
              <w:top w:val="single" w:sz="5" w:space="0" w:color="000000"/>
              <w:left w:val="single" w:sz="5" w:space="0" w:color="000000"/>
              <w:bottom w:val="single" w:sz="5" w:space="0" w:color="000000"/>
              <w:right w:val="single" w:sz="5" w:space="0" w:color="000000"/>
            </w:tcBorders>
          </w:tcPr>
          <w:p w14:paraId="5DDFC9C0" w14:textId="77777777" w:rsidR="002D23FF" w:rsidRPr="001B1ED4" w:rsidRDefault="002D23FF" w:rsidP="00C60D10">
            <w:pPr>
              <w:pStyle w:val="TableParagraph"/>
              <w:spacing w:line="230" w:lineRule="exact"/>
              <w:ind w:left="102" w:right="163"/>
              <w:rPr>
                <w:rFonts w:ascii="Cambria" w:eastAsia="Times New Roman" w:hAnsi="Cambria" w:cs="Times New Roman"/>
                <w:sz w:val="20"/>
                <w:szCs w:val="20"/>
              </w:rPr>
            </w:pPr>
            <w:r w:rsidRPr="001B1ED4">
              <w:rPr>
                <w:rFonts w:ascii="Cambria" w:hAnsi="Cambria"/>
                <w:spacing w:val="-1"/>
                <w:sz w:val="20"/>
              </w:rPr>
              <w:t>Malaise</w:t>
            </w:r>
            <w:r w:rsidRPr="001B1ED4">
              <w:rPr>
                <w:rFonts w:ascii="Cambria" w:hAnsi="Cambria"/>
                <w:sz w:val="20"/>
              </w:rPr>
              <w:t xml:space="preserve"> </w:t>
            </w:r>
            <w:r w:rsidRPr="001B1ED4">
              <w:rPr>
                <w:rFonts w:ascii="Cambria" w:hAnsi="Cambria"/>
                <w:spacing w:val="-1"/>
                <w:sz w:val="20"/>
              </w:rPr>
              <w:t>and</w:t>
            </w:r>
            <w:r w:rsidRPr="001B1ED4">
              <w:rPr>
                <w:rFonts w:ascii="Cambria" w:hAnsi="Cambria"/>
                <w:spacing w:val="24"/>
                <w:sz w:val="20"/>
              </w:rPr>
              <w:t xml:space="preserve"> </w:t>
            </w:r>
            <w:r w:rsidRPr="001B1ED4">
              <w:rPr>
                <w:rFonts w:ascii="Cambria" w:hAnsi="Cambria"/>
                <w:spacing w:val="-1"/>
                <w:sz w:val="20"/>
              </w:rPr>
              <w:t>Fatigue *</w:t>
            </w:r>
          </w:p>
        </w:tc>
        <w:tc>
          <w:tcPr>
            <w:tcW w:w="1372" w:type="dxa"/>
            <w:tcBorders>
              <w:top w:val="single" w:sz="5" w:space="0" w:color="000000"/>
              <w:left w:val="single" w:sz="5" w:space="0" w:color="000000"/>
              <w:bottom w:val="single" w:sz="5" w:space="0" w:color="000000"/>
              <w:right w:val="single" w:sz="5" w:space="0" w:color="000000"/>
            </w:tcBorders>
          </w:tcPr>
          <w:p w14:paraId="6D4BA3B0"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21</w:t>
            </w:r>
            <w:r w:rsidRPr="001B1ED4">
              <w:rPr>
                <w:rFonts w:ascii="Cambria" w:hAnsi="Cambria"/>
                <w:spacing w:val="-1"/>
                <w:sz w:val="20"/>
              </w:rPr>
              <w:t xml:space="preserve"> (17.5%)</w:t>
            </w:r>
          </w:p>
        </w:tc>
        <w:tc>
          <w:tcPr>
            <w:tcW w:w="1372" w:type="dxa"/>
            <w:tcBorders>
              <w:top w:val="single" w:sz="5" w:space="0" w:color="000000"/>
              <w:left w:val="single" w:sz="5" w:space="0" w:color="000000"/>
              <w:bottom w:val="single" w:sz="5" w:space="0" w:color="000000"/>
              <w:right w:val="single" w:sz="5" w:space="0" w:color="000000"/>
            </w:tcBorders>
          </w:tcPr>
          <w:p w14:paraId="09D38815"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7</w:t>
            </w:r>
            <w:r w:rsidRPr="001B1ED4">
              <w:rPr>
                <w:rFonts w:ascii="Cambria" w:hAnsi="Cambria"/>
                <w:spacing w:val="-1"/>
                <w:sz w:val="20"/>
              </w:rPr>
              <w:t xml:space="preserve"> (6.0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13184BE6"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12</w:t>
            </w:r>
            <w:r w:rsidRPr="001B1ED4">
              <w:rPr>
                <w:rFonts w:ascii="Cambria" w:hAnsi="Cambria"/>
                <w:spacing w:val="-1"/>
                <w:sz w:val="20"/>
              </w:rPr>
              <w:t xml:space="preserve"> (13.3%)</w:t>
            </w:r>
          </w:p>
        </w:tc>
        <w:tc>
          <w:tcPr>
            <w:tcW w:w="1372" w:type="dxa"/>
            <w:tcBorders>
              <w:top w:val="single" w:sz="5" w:space="0" w:color="000000"/>
              <w:left w:val="single" w:sz="5" w:space="0" w:color="000000"/>
              <w:bottom w:val="single" w:sz="5" w:space="0" w:color="000000"/>
              <w:right w:val="single" w:sz="5" w:space="0" w:color="000000"/>
            </w:tcBorders>
          </w:tcPr>
          <w:p w14:paraId="262467DC" w14:textId="77777777" w:rsidR="002D23FF" w:rsidRPr="001B1ED4" w:rsidRDefault="002D23FF" w:rsidP="00C60D10">
            <w:pPr>
              <w:pStyle w:val="TableParagraph"/>
              <w:spacing w:line="227" w:lineRule="exact"/>
              <w:ind w:left="101"/>
              <w:rPr>
                <w:rFonts w:ascii="Cambria" w:eastAsia="Times New Roman" w:hAnsi="Cambria" w:cs="Times New Roman"/>
                <w:sz w:val="20"/>
                <w:szCs w:val="20"/>
              </w:rPr>
            </w:pPr>
            <w:r w:rsidRPr="001B1ED4">
              <w:rPr>
                <w:rFonts w:ascii="Cambria" w:hAnsi="Cambria"/>
                <w:sz w:val="20"/>
              </w:rPr>
              <w:t>13</w:t>
            </w:r>
            <w:r w:rsidRPr="001B1ED4">
              <w:rPr>
                <w:rFonts w:ascii="Cambria" w:hAnsi="Cambria"/>
                <w:spacing w:val="-1"/>
                <w:sz w:val="20"/>
              </w:rPr>
              <w:t xml:space="preserve"> (11.7)</w:t>
            </w:r>
          </w:p>
        </w:tc>
      </w:tr>
      <w:tr w:rsidR="002D23FF" w:rsidRPr="001B1ED4" w14:paraId="409752F7" w14:textId="77777777" w:rsidTr="0077502F">
        <w:trPr>
          <w:trHeight w:hRule="exact" w:val="300"/>
        </w:trPr>
        <w:tc>
          <w:tcPr>
            <w:tcW w:w="1536" w:type="dxa"/>
            <w:vMerge/>
            <w:tcBorders>
              <w:left w:val="single" w:sz="5" w:space="0" w:color="000000"/>
              <w:right w:val="single" w:sz="5" w:space="0" w:color="000000"/>
            </w:tcBorders>
          </w:tcPr>
          <w:p w14:paraId="70B1B653"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6CAC77E0"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Weakness</w:t>
            </w:r>
          </w:p>
        </w:tc>
        <w:tc>
          <w:tcPr>
            <w:tcW w:w="1372" w:type="dxa"/>
            <w:tcBorders>
              <w:top w:val="single" w:sz="5" w:space="0" w:color="000000"/>
              <w:left w:val="single" w:sz="5" w:space="0" w:color="000000"/>
              <w:bottom w:val="single" w:sz="5" w:space="0" w:color="000000"/>
              <w:right w:val="single" w:sz="5" w:space="0" w:color="000000"/>
            </w:tcBorders>
          </w:tcPr>
          <w:p w14:paraId="2F7FB19B"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50CD4A12"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6E9F684E"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74717B6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(3.6%)</w:t>
            </w:r>
          </w:p>
        </w:tc>
      </w:tr>
      <w:tr w:rsidR="002D23FF" w:rsidRPr="001B1ED4" w14:paraId="6C50DCCF" w14:textId="77777777" w:rsidTr="0077502F">
        <w:trPr>
          <w:trHeight w:hRule="exact" w:val="300"/>
        </w:trPr>
        <w:tc>
          <w:tcPr>
            <w:tcW w:w="1536" w:type="dxa"/>
            <w:vMerge/>
            <w:tcBorders>
              <w:left w:val="single" w:sz="5" w:space="0" w:color="000000"/>
              <w:bottom w:val="single" w:sz="5" w:space="0" w:color="000000"/>
              <w:right w:val="single" w:sz="5" w:space="0" w:color="000000"/>
            </w:tcBorders>
          </w:tcPr>
          <w:p w14:paraId="0856AB05"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7FEB97C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Dizziness</w:t>
            </w:r>
          </w:p>
        </w:tc>
        <w:tc>
          <w:tcPr>
            <w:tcW w:w="1372" w:type="dxa"/>
            <w:tcBorders>
              <w:top w:val="single" w:sz="5" w:space="0" w:color="000000"/>
              <w:left w:val="single" w:sz="5" w:space="0" w:color="000000"/>
              <w:bottom w:val="single" w:sz="5" w:space="0" w:color="000000"/>
              <w:right w:val="single" w:sz="5" w:space="0" w:color="000000"/>
            </w:tcBorders>
          </w:tcPr>
          <w:p w14:paraId="0C29EF7B"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(3.3%)</w:t>
            </w:r>
          </w:p>
        </w:tc>
        <w:tc>
          <w:tcPr>
            <w:tcW w:w="1372" w:type="dxa"/>
            <w:tcBorders>
              <w:top w:val="single" w:sz="5" w:space="0" w:color="000000"/>
              <w:left w:val="single" w:sz="5" w:space="0" w:color="000000"/>
              <w:bottom w:val="single" w:sz="5" w:space="0" w:color="000000"/>
              <w:right w:val="single" w:sz="5" w:space="0" w:color="000000"/>
            </w:tcBorders>
          </w:tcPr>
          <w:p w14:paraId="3FD4FADB"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68A86DBC"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(4.4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2086BEC2"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r>
      <w:tr w:rsidR="002D23FF" w:rsidRPr="001B1ED4" w14:paraId="04C1C2B2" w14:textId="77777777" w:rsidTr="0077502F">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7533E436"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2"/>
                <w:sz w:val="20"/>
              </w:rPr>
              <w:t>Cardiovascular</w:t>
            </w:r>
          </w:p>
        </w:tc>
        <w:tc>
          <w:tcPr>
            <w:tcW w:w="2192" w:type="dxa"/>
            <w:tcBorders>
              <w:top w:val="single" w:sz="5" w:space="0" w:color="000000"/>
              <w:left w:val="single" w:sz="5" w:space="0" w:color="000000"/>
              <w:bottom w:val="single" w:sz="5" w:space="0" w:color="000000"/>
              <w:right w:val="single" w:sz="5" w:space="0" w:color="000000"/>
            </w:tcBorders>
          </w:tcPr>
          <w:p w14:paraId="62C6E4ED" w14:textId="77777777" w:rsidR="002D23FF" w:rsidRPr="001B1ED4" w:rsidRDefault="002D23FF" w:rsidP="00C60D10">
            <w:pPr>
              <w:pStyle w:val="TableParagraph"/>
              <w:ind w:left="102"/>
              <w:rPr>
                <w:rFonts w:ascii="Cambria" w:eastAsia="Times New Roman" w:hAnsi="Cambria" w:cs="Times New Roman"/>
                <w:sz w:val="20"/>
                <w:szCs w:val="20"/>
              </w:rPr>
            </w:pPr>
            <w:r w:rsidRPr="001B1ED4">
              <w:rPr>
                <w:rFonts w:ascii="Cambria" w:hAnsi="Cambria"/>
                <w:spacing w:val="-1"/>
                <w:sz w:val="20"/>
              </w:rPr>
              <w:t xml:space="preserve">Hot </w:t>
            </w:r>
            <w:r w:rsidRPr="001B1ED4">
              <w:rPr>
                <w:rFonts w:ascii="Cambria" w:hAnsi="Cambria"/>
                <w:spacing w:val="-2"/>
                <w:sz w:val="20"/>
              </w:rPr>
              <w:t>flashes/sweats</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034934F0"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68</w:t>
            </w:r>
            <w:r w:rsidRPr="001B1ED4">
              <w:rPr>
                <w:rFonts w:ascii="Cambria" w:hAnsi="Cambria"/>
                <w:spacing w:val="-1"/>
                <w:sz w:val="20"/>
              </w:rPr>
              <w:t xml:space="preserve"> (56.7%)</w:t>
            </w:r>
          </w:p>
        </w:tc>
        <w:tc>
          <w:tcPr>
            <w:tcW w:w="1372" w:type="dxa"/>
            <w:tcBorders>
              <w:top w:val="single" w:sz="5" w:space="0" w:color="000000"/>
              <w:left w:val="single" w:sz="5" w:space="0" w:color="000000"/>
              <w:bottom w:val="single" w:sz="5" w:space="0" w:color="000000"/>
              <w:right w:val="single" w:sz="5" w:space="0" w:color="000000"/>
            </w:tcBorders>
          </w:tcPr>
          <w:p w14:paraId="2A8090B0"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66</w:t>
            </w:r>
            <w:r w:rsidRPr="001B1ED4">
              <w:rPr>
                <w:rFonts w:ascii="Cambria" w:hAnsi="Cambria"/>
                <w:spacing w:val="-1"/>
                <w:sz w:val="20"/>
              </w:rPr>
              <w:t xml:space="preserve"> (56.4%)</w:t>
            </w:r>
          </w:p>
        </w:tc>
        <w:tc>
          <w:tcPr>
            <w:tcW w:w="1372" w:type="dxa"/>
            <w:tcBorders>
              <w:top w:val="single" w:sz="5" w:space="0" w:color="000000"/>
              <w:left w:val="single" w:sz="5" w:space="0" w:color="000000"/>
              <w:bottom w:val="single" w:sz="5" w:space="0" w:color="000000"/>
              <w:right w:val="single" w:sz="5" w:space="0" w:color="000000"/>
            </w:tcBorders>
          </w:tcPr>
          <w:p w14:paraId="213B7DF1"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66</w:t>
            </w:r>
            <w:r w:rsidRPr="001B1ED4">
              <w:rPr>
                <w:rFonts w:ascii="Cambria" w:hAnsi="Cambria"/>
                <w:spacing w:val="-1"/>
                <w:sz w:val="20"/>
              </w:rPr>
              <w:t xml:space="preserve"> (73.3%)</w:t>
            </w:r>
          </w:p>
        </w:tc>
        <w:tc>
          <w:tcPr>
            <w:tcW w:w="1372" w:type="dxa"/>
            <w:tcBorders>
              <w:top w:val="single" w:sz="5" w:space="0" w:color="000000"/>
              <w:left w:val="single" w:sz="5" w:space="0" w:color="000000"/>
              <w:bottom w:val="single" w:sz="5" w:space="0" w:color="000000"/>
              <w:right w:val="single" w:sz="5" w:space="0" w:color="000000"/>
            </w:tcBorders>
          </w:tcPr>
          <w:p w14:paraId="025B5468"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64</w:t>
            </w:r>
            <w:r w:rsidRPr="001B1ED4">
              <w:rPr>
                <w:rFonts w:ascii="Cambria" w:hAnsi="Cambria"/>
                <w:spacing w:val="-1"/>
                <w:sz w:val="20"/>
              </w:rPr>
              <w:t xml:space="preserve"> (57.7)</w:t>
            </w:r>
          </w:p>
        </w:tc>
      </w:tr>
      <w:tr w:rsidR="002D23FF" w:rsidRPr="001B1ED4" w14:paraId="339DBA78" w14:textId="77777777" w:rsidTr="0077502F">
        <w:trPr>
          <w:trHeight w:hRule="exact" w:val="300"/>
        </w:trPr>
        <w:tc>
          <w:tcPr>
            <w:tcW w:w="1536" w:type="dxa"/>
            <w:vMerge w:val="restart"/>
            <w:tcBorders>
              <w:top w:val="single" w:sz="5" w:space="0" w:color="000000"/>
              <w:left w:val="single" w:sz="5" w:space="0" w:color="000000"/>
              <w:right w:val="single" w:sz="5" w:space="0" w:color="000000"/>
            </w:tcBorders>
          </w:tcPr>
          <w:p w14:paraId="1856E0E3"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Genitourinary</w:t>
            </w:r>
          </w:p>
        </w:tc>
        <w:tc>
          <w:tcPr>
            <w:tcW w:w="2192" w:type="dxa"/>
            <w:tcBorders>
              <w:top w:val="single" w:sz="5" w:space="0" w:color="000000"/>
              <w:left w:val="single" w:sz="5" w:space="0" w:color="000000"/>
              <w:bottom w:val="single" w:sz="5" w:space="0" w:color="000000"/>
              <w:right w:val="single" w:sz="5" w:space="0" w:color="000000"/>
            </w:tcBorders>
          </w:tcPr>
          <w:p w14:paraId="57FE341A"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Atrophy</w:t>
            </w:r>
            <w:r w:rsidRPr="001B1ED4">
              <w:rPr>
                <w:rFonts w:ascii="Cambria" w:hAnsi="Cambria"/>
                <w:spacing w:val="-2"/>
                <w:sz w:val="20"/>
              </w:rPr>
              <w:t xml:space="preserve"> </w:t>
            </w:r>
            <w:r w:rsidRPr="001B1ED4">
              <w:rPr>
                <w:rFonts w:ascii="Cambria" w:hAnsi="Cambria"/>
                <w:sz w:val="20"/>
              </w:rPr>
              <w:t>of</w:t>
            </w:r>
            <w:r w:rsidRPr="001B1ED4">
              <w:rPr>
                <w:rFonts w:ascii="Cambria" w:hAnsi="Cambria"/>
                <w:spacing w:val="-1"/>
                <w:sz w:val="20"/>
              </w:rPr>
              <w:t xml:space="preserve"> Testes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E21BD9F"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6</w:t>
            </w:r>
            <w:r w:rsidRPr="001B1ED4">
              <w:rPr>
                <w:rFonts w:ascii="Cambria" w:hAnsi="Cambria"/>
                <w:spacing w:val="-1"/>
                <w:sz w:val="20"/>
              </w:rPr>
              <w:t xml:space="preserve"> (5.0%)</w:t>
            </w:r>
          </w:p>
        </w:tc>
        <w:tc>
          <w:tcPr>
            <w:tcW w:w="1372" w:type="dxa"/>
            <w:tcBorders>
              <w:top w:val="single" w:sz="5" w:space="0" w:color="000000"/>
              <w:left w:val="single" w:sz="5" w:space="0" w:color="000000"/>
              <w:bottom w:val="single" w:sz="5" w:space="0" w:color="000000"/>
              <w:right w:val="single" w:sz="5" w:space="0" w:color="000000"/>
            </w:tcBorders>
          </w:tcPr>
          <w:p w14:paraId="7F745BC4"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2DF17AB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(4.4%)</w:t>
            </w:r>
          </w:p>
        </w:tc>
        <w:tc>
          <w:tcPr>
            <w:tcW w:w="1372" w:type="dxa"/>
            <w:tcBorders>
              <w:top w:val="single" w:sz="5" w:space="0" w:color="000000"/>
              <w:left w:val="single" w:sz="5" w:space="0" w:color="000000"/>
              <w:bottom w:val="single" w:sz="5" w:space="0" w:color="000000"/>
              <w:right w:val="single" w:sz="5" w:space="0" w:color="000000"/>
            </w:tcBorders>
          </w:tcPr>
          <w:p w14:paraId="23FCC85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8</w:t>
            </w:r>
            <w:r w:rsidRPr="001B1ED4">
              <w:rPr>
                <w:rFonts w:ascii="Cambria" w:hAnsi="Cambria"/>
                <w:spacing w:val="-1"/>
                <w:sz w:val="20"/>
              </w:rPr>
              <w:t xml:space="preserve"> (7.2)</w:t>
            </w:r>
          </w:p>
        </w:tc>
      </w:tr>
      <w:tr w:rsidR="002D23FF" w:rsidRPr="001B1ED4" w14:paraId="3C32E139" w14:textId="77777777" w:rsidTr="0077502F">
        <w:trPr>
          <w:trHeight w:hRule="exact" w:val="300"/>
        </w:trPr>
        <w:tc>
          <w:tcPr>
            <w:tcW w:w="1536" w:type="dxa"/>
            <w:vMerge/>
            <w:tcBorders>
              <w:left w:val="single" w:sz="5" w:space="0" w:color="000000"/>
              <w:right w:val="single" w:sz="5" w:space="0" w:color="000000"/>
            </w:tcBorders>
          </w:tcPr>
          <w:p w14:paraId="45076EC7"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4931925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Nocturia</w:t>
            </w:r>
          </w:p>
        </w:tc>
        <w:tc>
          <w:tcPr>
            <w:tcW w:w="1372" w:type="dxa"/>
            <w:tcBorders>
              <w:top w:val="single" w:sz="5" w:space="0" w:color="000000"/>
              <w:left w:val="single" w:sz="5" w:space="0" w:color="000000"/>
              <w:bottom w:val="single" w:sz="5" w:space="0" w:color="000000"/>
              <w:right w:val="single" w:sz="5" w:space="0" w:color="000000"/>
            </w:tcBorders>
          </w:tcPr>
          <w:p w14:paraId="0DC73F51"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2FD4ACA4"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0CEFDB7C"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68C3D798"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r>
      <w:tr w:rsidR="002D23FF" w:rsidRPr="001B1ED4" w14:paraId="4F07053C" w14:textId="77777777" w:rsidTr="0077502F">
        <w:trPr>
          <w:trHeight w:hRule="exact" w:val="299"/>
        </w:trPr>
        <w:tc>
          <w:tcPr>
            <w:tcW w:w="1536" w:type="dxa"/>
            <w:vMerge/>
            <w:tcBorders>
              <w:left w:val="single" w:sz="5" w:space="0" w:color="000000"/>
              <w:bottom w:val="single" w:sz="5" w:space="0" w:color="000000"/>
              <w:right w:val="single" w:sz="5" w:space="0" w:color="000000"/>
            </w:tcBorders>
          </w:tcPr>
          <w:p w14:paraId="06F71CFB"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511F716B"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Urinary</w:t>
            </w:r>
            <w:r w:rsidRPr="001B1ED4">
              <w:rPr>
                <w:rFonts w:ascii="Cambria" w:hAnsi="Cambria"/>
                <w:spacing w:val="-2"/>
                <w:sz w:val="20"/>
              </w:rPr>
              <w:t xml:space="preserve"> </w:t>
            </w:r>
            <w:r w:rsidRPr="001B1ED4">
              <w:rPr>
                <w:rFonts w:ascii="Cambria" w:hAnsi="Cambria"/>
                <w:spacing w:val="-1"/>
                <w:sz w:val="20"/>
              </w:rPr>
              <w:t>frequency</w:t>
            </w:r>
          </w:p>
        </w:tc>
        <w:tc>
          <w:tcPr>
            <w:tcW w:w="1372" w:type="dxa"/>
            <w:tcBorders>
              <w:top w:val="single" w:sz="5" w:space="0" w:color="000000"/>
              <w:left w:val="single" w:sz="5" w:space="0" w:color="000000"/>
              <w:bottom w:val="single" w:sz="5" w:space="0" w:color="000000"/>
              <w:right w:val="single" w:sz="5" w:space="0" w:color="000000"/>
            </w:tcBorders>
          </w:tcPr>
          <w:p w14:paraId="3E4F0477"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786B26F6"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(2.6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1C2B47C"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6592E278"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r>
      <w:tr w:rsidR="002D23FF" w:rsidRPr="001B1ED4" w14:paraId="4AB6A322" w14:textId="77777777" w:rsidTr="0077502F">
        <w:trPr>
          <w:trHeight w:hRule="exact" w:val="530"/>
        </w:trPr>
        <w:tc>
          <w:tcPr>
            <w:tcW w:w="1536" w:type="dxa"/>
            <w:vMerge w:val="restart"/>
            <w:tcBorders>
              <w:top w:val="single" w:sz="5" w:space="0" w:color="000000"/>
              <w:left w:val="single" w:sz="5" w:space="0" w:color="000000"/>
              <w:right w:val="single" w:sz="5" w:space="0" w:color="000000"/>
            </w:tcBorders>
          </w:tcPr>
          <w:p w14:paraId="5B60C15C"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pacing w:val="-1"/>
                <w:sz w:val="20"/>
              </w:rPr>
              <w:t>Digestive</w:t>
            </w:r>
          </w:p>
        </w:tc>
        <w:tc>
          <w:tcPr>
            <w:tcW w:w="2192" w:type="dxa"/>
            <w:tcBorders>
              <w:top w:val="single" w:sz="5" w:space="0" w:color="000000"/>
              <w:left w:val="single" w:sz="5" w:space="0" w:color="000000"/>
              <w:bottom w:val="single" w:sz="5" w:space="0" w:color="000000"/>
              <w:right w:val="single" w:sz="5" w:space="0" w:color="000000"/>
            </w:tcBorders>
          </w:tcPr>
          <w:p w14:paraId="29E6DC36" w14:textId="77777777" w:rsidR="002D23FF" w:rsidRPr="001B1ED4" w:rsidRDefault="002D23FF" w:rsidP="00C60D10">
            <w:pPr>
              <w:pStyle w:val="TableParagraph"/>
              <w:spacing w:line="230" w:lineRule="exact"/>
              <w:ind w:left="102" w:right="163"/>
              <w:rPr>
                <w:rFonts w:ascii="Cambria" w:eastAsia="Times New Roman" w:hAnsi="Cambria" w:cs="Times New Roman"/>
                <w:sz w:val="20"/>
                <w:szCs w:val="20"/>
              </w:rPr>
            </w:pPr>
            <w:r w:rsidRPr="001B1ED4">
              <w:rPr>
                <w:rFonts w:ascii="Cambria" w:hAnsi="Cambria"/>
                <w:spacing w:val="-1"/>
                <w:sz w:val="20"/>
              </w:rPr>
              <w:t>Gastroenteritis/</w:t>
            </w:r>
            <w:r w:rsidRPr="001B1ED4">
              <w:rPr>
                <w:rFonts w:ascii="Cambria" w:hAnsi="Cambria"/>
                <w:spacing w:val="22"/>
                <w:sz w:val="20"/>
              </w:rPr>
              <w:t xml:space="preserve"> </w:t>
            </w:r>
            <w:r w:rsidRPr="001B1ED4">
              <w:rPr>
                <w:rFonts w:ascii="Cambria" w:hAnsi="Cambria"/>
                <w:spacing w:val="-1"/>
                <w:sz w:val="20"/>
              </w:rPr>
              <w:t>Colitis</w:t>
            </w:r>
          </w:p>
        </w:tc>
        <w:tc>
          <w:tcPr>
            <w:tcW w:w="1372" w:type="dxa"/>
            <w:tcBorders>
              <w:top w:val="single" w:sz="5" w:space="0" w:color="000000"/>
              <w:left w:val="single" w:sz="5" w:space="0" w:color="000000"/>
              <w:bottom w:val="single" w:sz="5" w:space="0" w:color="000000"/>
              <w:right w:val="single" w:sz="5" w:space="0" w:color="000000"/>
            </w:tcBorders>
          </w:tcPr>
          <w:p w14:paraId="189ACBC7"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(2.5%)</w:t>
            </w:r>
          </w:p>
        </w:tc>
        <w:tc>
          <w:tcPr>
            <w:tcW w:w="1372" w:type="dxa"/>
            <w:tcBorders>
              <w:top w:val="single" w:sz="5" w:space="0" w:color="000000"/>
              <w:left w:val="single" w:sz="5" w:space="0" w:color="000000"/>
              <w:bottom w:val="single" w:sz="5" w:space="0" w:color="000000"/>
              <w:right w:val="single" w:sz="5" w:space="0" w:color="000000"/>
            </w:tcBorders>
          </w:tcPr>
          <w:p w14:paraId="058841B3"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574D308A" w14:textId="77777777" w:rsidR="002D23FF" w:rsidRPr="001B1ED4" w:rsidRDefault="002D23FF" w:rsidP="00C60D10">
            <w:pPr>
              <w:pStyle w:val="TableParagraph"/>
              <w:spacing w:line="227" w:lineRule="exact"/>
              <w:ind w:left="102"/>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74C0708" w14:textId="77777777" w:rsidR="002D23FF" w:rsidRPr="001B1ED4" w:rsidRDefault="002D23FF" w:rsidP="00C60D10">
            <w:pPr>
              <w:pStyle w:val="TableParagraph"/>
              <w:spacing w:line="227" w:lineRule="exact"/>
              <w:ind w:left="101"/>
              <w:rPr>
                <w:rFonts w:ascii="Cambria" w:eastAsia="Times New Roman" w:hAnsi="Cambria" w:cs="Times New Roman"/>
                <w:sz w:val="20"/>
                <w:szCs w:val="20"/>
              </w:rPr>
            </w:pPr>
            <w:r w:rsidRPr="001B1ED4">
              <w:rPr>
                <w:rFonts w:ascii="Cambria" w:hAnsi="Cambria"/>
                <w:sz w:val="20"/>
              </w:rPr>
              <w:t>-</w:t>
            </w:r>
          </w:p>
        </w:tc>
      </w:tr>
      <w:tr w:rsidR="002D23FF" w:rsidRPr="001B1ED4" w14:paraId="49D3A747" w14:textId="77777777" w:rsidTr="0077502F">
        <w:trPr>
          <w:trHeight w:hRule="exact" w:val="300"/>
        </w:trPr>
        <w:tc>
          <w:tcPr>
            <w:tcW w:w="1536" w:type="dxa"/>
            <w:vMerge/>
            <w:tcBorders>
              <w:left w:val="single" w:sz="5" w:space="0" w:color="000000"/>
              <w:bottom w:val="single" w:sz="5" w:space="0" w:color="000000"/>
              <w:right w:val="single" w:sz="5" w:space="0" w:color="000000"/>
            </w:tcBorders>
          </w:tcPr>
          <w:p w14:paraId="5B9D3866"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39899438"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Nausea</w:t>
            </w:r>
          </w:p>
        </w:tc>
        <w:tc>
          <w:tcPr>
            <w:tcW w:w="1372" w:type="dxa"/>
            <w:tcBorders>
              <w:top w:val="single" w:sz="5" w:space="0" w:color="000000"/>
              <w:left w:val="single" w:sz="5" w:space="0" w:color="000000"/>
              <w:bottom w:val="single" w:sz="5" w:space="0" w:color="000000"/>
              <w:right w:val="single" w:sz="5" w:space="0" w:color="000000"/>
            </w:tcBorders>
          </w:tcPr>
          <w:p w14:paraId="6E080926"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553EAB8"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(3.4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3F606EAF"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7183013E"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r>
      <w:tr w:rsidR="002D23FF" w:rsidRPr="001B1ED4" w14:paraId="7552DC0F" w14:textId="77777777" w:rsidTr="0077502F">
        <w:trPr>
          <w:trHeight w:hRule="exact" w:val="300"/>
        </w:trPr>
        <w:tc>
          <w:tcPr>
            <w:tcW w:w="1536" w:type="dxa"/>
            <w:vMerge w:val="restart"/>
            <w:tcBorders>
              <w:top w:val="single" w:sz="5" w:space="0" w:color="000000"/>
              <w:left w:val="single" w:sz="5" w:space="0" w:color="000000"/>
              <w:right w:val="single" w:sz="5" w:space="0" w:color="000000"/>
            </w:tcBorders>
          </w:tcPr>
          <w:p w14:paraId="57C51D18"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Reproductive</w:t>
            </w:r>
          </w:p>
        </w:tc>
        <w:tc>
          <w:tcPr>
            <w:tcW w:w="2192" w:type="dxa"/>
            <w:tcBorders>
              <w:top w:val="single" w:sz="5" w:space="0" w:color="000000"/>
              <w:left w:val="single" w:sz="5" w:space="0" w:color="000000"/>
              <w:bottom w:val="single" w:sz="5" w:space="0" w:color="000000"/>
              <w:right w:val="single" w:sz="5" w:space="0" w:color="000000"/>
            </w:tcBorders>
          </w:tcPr>
          <w:p w14:paraId="3FF9F471"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proofErr w:type="spellStart"/>
            <w:r w:rsidRPr="001B1ED4">
              <w:rPr>
                <w:rFonts w:ascii="Cambria" w:hAnsi="Cambria"/>
                <w:spacing w:val="-1"/>
                <w:sz w:val="20"/>
              </w:rPr>
              <w:t>Gynaecomastia</w:t>
            </w:r>
            <w:proofErr w:type="spellEnd"/>
            <w:r w:rsidRPr="001B1ED4">
              <w:rPr>
                <w:rFonts w:ascii="Cambria" w:hAnsi="Cambria"/>
                <w:sz w:val="20"/>
              </w:rPr>
              <w:t xml:space="preserve"> *</w:t>
            </w:r>
          </w:p>
        </w:tc>
        <w:tc>
          <w:tcPr>
            <w:tcW w:w="1372" w:type="dxa"/>
            <w:tcBorders>
              <w:top w:val="single" w:sz="5" w:space="0" w:color="000000"/>
              <w:left w:val="single" w:sz="5" w:space="0" w:color="000000"/>
              <w:bottom w:val="single" w:sz="5" w:space="0" w:color="000000"/>
              <w:right w:val="single" w:sz="5" w:space="0" w:color="000000"/>
            </w:tcBorders>
          </w:tcPr>
          <w:p w14:paraId="73235AE7"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2E63578A"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34221A48"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1B570B2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(3.6)</w:t>
            </w:r>
          </w:p>
        </w:tc>
      </w:tr>
      <w:tr w:rsidR="002D23FF" w:rsidRPr="001B1ED4" w14:paraId="5467991C" w14:textId="77777777" w:rsidTr="0077502F">
        <w:trPr>
          <w:trHeight w:hRule="exact" w:val="300"/>
        </w:trPr>
        <w:tc>
          <w:tcPr>
            <w:tcW w:w="1536" w:type="dxa"/>
            <w:vMerge/>
            <w:tcBorders>
              <w:left w:val="single" w:sz="5" w:space="0" w:color="000000"/>
              <w:bottom w:val="single" w:sz="5" w:space="0" w:color="000000"/>
              <w:right w:val="single" w:sz="5" w:space="0" w:color="000000"/>
            </w:tcBorders>
          </w:tcPr>
          <w:p w14:paraId="06D11AF2"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1F03742F"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Testicular pain</w:t>
            </w:r>
          </w:p>
        </w:tc>
        <w:tc>
          <w:tcPr>
            <w:tcW w:w="1372" w:type="dxa"/>
            <w:tcBorders>
              <w:top w:val="single" w:sz="5" w:space="0" w:color="000000"/>
              <w:left w:val="single" w:sz="5" w:space="0" w:color="000000"/>
              <w:bottom w:val="single" w:sz="5" w:space="0" w:color="000000"/>
              <w:right w:val="single" w:sz="5" w:space="0" w:color="000000"/>
            </w:tcBorders>
          </w:tcPr>
          <w:p w14:paraId="628CE060"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5188B0A5"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03ED87C1"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A7DBA79"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r>
      <w:tr w:rsidR="002D23FF" w:rsidRPr="001B1ED4" w14:paraId="136FC288" w14:textId="77777777" w:rsidTr="0077502F">
        <w:trPr>
          <w:trHeight w:hRule="exact" w:val="300"/>
        </w:trPr>
        <w:tc>
          <w:tcPr>
            <w:tcW w:w="1536" w:type="dxa"/>
            <w:vMerge w:val="restart"/>
            <w:tcBorders>
              <w:top w:val="single" w:sz="5" w:space="0" w:color="000000"/>
              <w:left w:val="single" w:sz="5" w:space="0" w:color="000000"/>
              <w:right w:val="single" w:sz="5" w:space="0" w:color="000000"/>
            </w:tcBorders>
          </w:tcPr>
          <w:p w14:paraId="2569A941"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Skin</w:t>
            </w:r>
          </w:p>
        </w:tc>
        <w:tc>
          <w:tcPr>
            <w:tcW w:w="2192" w:type="dxa"/>
            <w:tcBorders>
              <w:top w:val="single" w:sz="5" w:space="0" w:color="000000"/>
              <w:left w:val="single" w:sz="5" w:space="0" w:color="000000"/>
              <w:bottom w:val="single" w:sz="5" w:space="0" w:color="000000"/>
              <w:right w:val="single" w:sz="5" w:space="0" w:color="000000"/>
            </w:tcBorders>
          </w:tcPr>
          <w:p w14:paraId="618EF389"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pacing w:val="-1"/>
                <w:sz w:val="20"/>
              </w:rPr>
              <w:t xml:space="preserve">Clamminess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4421AF34"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5B4B2EF6"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6E5581BC"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(4.4 %)</w:t>
            </w:r>
          </w:p>
        </w:tc>
        <w:tc>
          <w:tcPr>
            <w:tcW w:w="1372" w:type="dxa"/>
            <w:tcBorders>
              <w:top w:val="single" w:sz="5" w:space="0" w:color="000000"/>
              <w:left w:val="single" w:sz="5" w:space="0" w:color="000000"/>
              <w:bottom w:val="single" w:sz="5" w:space="0" w:color="000000"/>
              <w:right w:val="single" w:sz="5" w:space="0" w:color="000000"/>
            </w:tcBorders>
          </w:tcPr>
          <w:p w14:paraId="615EF87D"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r>
      <w:tr w:rsidR="002D23FF" w:rsidRPr="001B1ED4" w14:paraId="7C3A63B4" w14:textId="77777777" w:rsidTr="0077502F">
        <w:trPr>
          <w:trHeight w:hRule="exact" w:val="300"/>
        </w:trPr>
        <w:tc>
          <w:tcPr>
            <w:tcW w:w="1536" w:type="dxa"/>
            <w:vMerge/>
            <w:tcBorders>
              <w:left w:val="single" w:sz="5" w:space="0" w:color="000000"/>
              <w:right w:val="single" w:sz="5" w:space="0" w:color="000000"/>
            </w:tcBorders>
          </w:tcPr>
          <w:p w14:paraId="41869D32"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64494D12"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Night</w:t>
            </w:r>
            <w:r w:rsidRPr="001B1ED4">
              <w:rPr>
                <w:rFonts w:ascii="Cambria" w:hAnsi="Cambria"/>
                <w:sz w:val="20"/>
              </w:rPr>
              <w:t xml:space="preserve"> </w:t>
            </w:r>
            <w:r w:rsidRPr="001B1ED4">
              <w:rPr>
                <w:rFonts w:ascii="Cambria" w:hAnsi="Cambria"/>
                <w:spacing w:val="-1"/>
                <w:sz w:val="20"/>
              </w:rPr>
              <w:t>sweats</w:t>
            </w:r>
            <w:r w:rsidRPr="001B1ED4">
              <w:rPr>
                <w:rFonts w:ascii="Cambria" w:hAnsi="Cambria"/>
                <w:sz w:val="20"/>
              </w:rPr>
              <w:t xml:space="preserve"> *</w:t>
            </w:r>
          </w:p>
        </w:tc>
        <w:tc>
          <w:tcPr>
            <w:tcW w:w="1372" w:type="dxa"/>
            <w:tcBorders>
              <w:top w:val="single" w:sz="5" w:space="0" w:color="000000"/>
              <w:left w:val="single" w:sz="5" w:space="0" w:color="000000"/>
              <w:bottom w:val="single" w:sz="5" w:space="0" w:color="000000"/>
              <w:right w:val="single" w:sz="5" w:space="0" w:color="000000"/>
            </w:tcBorders>
          </w:tcPr>
          <w:p w14:paraId="6B1E976F"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0FA46CBF"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31EC92C3"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(3.3</w:t>
            </w:r>
            <w:r w:rsidRPr="001B1ED4">
              <w:rPr>
                <w:rFonts w:ascii="Cambria" w:hAnsi="Cambria"/>
                <w:sz w:val="20"/>
              </w:rPr>
              <w:t xml:space="preserve"> </w:t>
            </w:r>
            <w:r w:rsidRPr="001B1ED4">
              <w:rPr>
                <w:rFonts w:ascii="Cambria" w:hAnsi="Cambria"/>
                <w:spacing w:val="-1"/>
                <w:sz w:val="20"/>
              </w:rPr>
              <w:t>%)</w:t>
            </w:r>
          </w:p>
        </w:tc>
        <w:tc>
          <w:tcPr>
            <w:tcW w:w="1372" w:type="dxa"/>
            <w:tcBorders>
              <w:top w:val="single" w:sz="5" w:space="0" w:color="000000"/>
              <w:left w:val="single" w:sz="5" w:space="0" w:color="000000"/>
              <w:bottom w:val="single" w:sz="5" w:space="0" w:color="000000"/>
              <w:right w:val="single" w:sz="5" w:space="0" w:color="000000"/>
            </w:tcBorders>
          </w:tcPr>
          <w:p w14:paraId="5BC6FF3B"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(2.7)</w:t>
            </w:r>
          </w:p>
        </w:tc>
      </w:tr>
      <w:tr w:rsidR="002D23FF" w:rsidRPr="001B1ED4" w14:paraId="4A57D74F" w14:textId="77777777" w:rsidTr="0077502F">
        <w:trPr>
          <w:trHeight w:hRule="exact" w:val="300"/>
        </w:trPr>
        <w:tc>
          <w:tcPr>
            <w:tcW w:w="1536" w:type="dxa"/>
            <w:vMerge/>
            <w:tcBorders>
              <w:left w:val="single" w:sz="5" w:space="0" w:color="000000"/>
              <w:right w:val="single" w:sz="5" w:space="0" w:color="000000"/>
            </w:tcBorders>
          </w:tcPr>
          <w:p w14:paraId="670FF875"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6ABB9B4F"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Alopecia</w:t>
            </w:r>
          </w:p>
        </w:tc>
        <w:tc>
          <w:tcPr>
            <w:tcW w:w="1372" w:type="dxa"/>
            <w:tcBorders>
              <w:top w:val="single" w:sz="5" w:space="0" w:color="000000"/>
              <w:left w:val="single" w:sz="5" w:space="0" w:color="000000"/>
              <w:bottom w:val="single" w:sz="5" w:space="0" w:color="000000"/>
              <w:right w:val="single" w:sz="5" w:space="0" w:color="000000"/>
            </w:tcBorders>
          </w:tcPr>
          <w:p w14:paraId="3A421ABD"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150893DD"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051D388A"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w:t>
            </w:r>
            <w:r w:rsidRPr="001B1ED4">
              <w:rPr>
                <w:rFonts w:ascii="Cambria" w:hAnsi="Cambria"/>
                <w:sz w:val="20"/>
              </w:rPr>
              <w:t xml:space="preserve"> </w:t>
            </w:r>
            <w:r w:rsidRPr="001B1ED4">
              <w:rPr>
                <w:rFonts w:ascii="Cambria" w:hAnsi="Cambria"/>
                <w:spacing w:val="-1"/>
                <w:sz w:val="20"/>
              </w:rPr>
              <w:t>%)</w:t>
            </w:r>
          </w:p>
        </w:tc>
        <w:tc>
          <w:tcPr>
            <w:tcW w:w="1372" w:type="dxa"/>
            <w:tcBorders>
              <w:top w:val="single" w:sz="5" w:space="0" w:color="000000"/>
              <w:left w:val="single" w:sz="5" w:space="0" w:color="000000"/>
              <w:bottom w:val="single" w:sz="5" w:space="0" w:color="000000"/>
              <w:right w:val="single" w:sz="5" w:space="0" w:color="000000"/>
            </w:tcBorders>
          </w:tcPr>
          <w:p w14:paraId="4D0EC2E6"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r>
      <w:tr w:rsidR="002D23FF" w:rsidRPr="001B1ED4" w14:paraId="09246E78" w14:textId="77777777" w:rsidTr="0077502F">
        <w:trPr>
          <w:trHeight w:hRule="exact" w:val="300"/>
        </w:trPr>
        <w:tc>
          <w:tcPr>
            <w:tcW w:w="1536" w:type="dxa"/>
            <w:vMerge/>
            <w:tcBorders>
              <w:left w:val="single" w:sz="5" w:space="0" w:color="000000"/>
              <w:bottom w:val="single" w:sz="5" w:space="0" w:color="000000"/>
              <w:right w:val="single" w:sz="5" w:space="0" w:color="000000"/>
            </w:tcBorders>
          </w:tcPr>
          <w:p w14:paraId="26EBBECD"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3D0394CA"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Pruritis</w:t>
            </w:r>
          </w:p>
        </w:tc>
        <w:tc>
          <w:tcPr>
            <w:tcW w:w="1372" w:type="dxa"/>
            <w:tcBorders>
              <w:top w:val="single" w:sz="5" w:space="0" w:color="000000"/>
              <w:left w:val="single" w:sz="5" w:space="0" w:color="000000"/>
              <w:bottom w:val="single" w:sz="5" w:space="0" w:color="000000"/>
              <w:right w:val="single" w:sz="5" w:space="0" w:color="000000"/>
            </w:tcBorders>
          </w:tcPr>
          <w:p w14:paraId="4D6FECD0"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59DCC2D3"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(2.6</w:t>
            </w:r>
            <w:r w:rsidRPr="001B1ED4">
              <w:rPr>
                <w:rFonts w:ascii="Cambria" w:hAnsi="Cambria"/>
                <w:sz w:val="20"/>
              </w:rPr>
              <w:t xml:space="preserve"> </w:t>
            </w:r>
            <w:r w:rsidRPr="001B1ED4">
              <w:rPr>
                <w:rFonts w:ascii="Cambria" w:hAnsi="Cambria"/>
                <w:spacing w:val="-1"/>
                <w:sz w:val="20"/>
              </w:rPr>
              <w:t>%)</w:t>
            </w:r>
          </w:p>
        </w:tc>
        <w:tc>
          <w:tcPr>
            <w:tcW w:w="1372" w:type="dxa"/>
            <w:tcBorders>
              <w:top w:val="single" w:sz="5" w:space="0" w:color="000000"/>
              <w:left w:val="single" w:sz="5" w:space="0" w:color="000000"/>
              <w:bottom w:val="single" w:sz="5" w:space="0" w:color="000000"/>
              <w:right w:val="single" w:sz="5" w:space="0" w:color="000000"/>
            </w:tcBorders>
          </w:tcPr>
          <w:p w14:paraId="052AFBA3"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5D044DAB" w14:textId="77777777" w:rsidR="002D23FF" w:rsidRPr="001B1ED4" w:rsidRDefault="002D23FF" w:rsidP="00C60D10">
            <w:pPr>
              <w:pStyle w:val="TableParagraph"/>
              <w:spacing w:line="226" w:lineRule="exact"/>
              <w:ind w:left="99"/>
              <w:rPr>
                <w:rFonts w:ascii="Cambria" w:eastAsia="Times New Roman" w:hAnsi="Cambria" w:cs="Times New Roman"/>
                <w:sz w:val="20"/>
                <w:szCs w:val="20"/>
              </w:rPr>
            </w:pPr>
            <w:r w:rsidRPr="001B1ED4">
              <w:rPr>
                <w:rFonts w:ascii="Cambria" w:hAnsi="Cambria"/>
                <w:sz w:val="20"/>
              </w:rPr>
              <w:t>-</w:t>
            </w:r>
          </w:p>
        </w:tc>
      </w:tr>
      <w:tr w:rsidR="002D23FF" w:rsidRPr="001B1ED4" w14:paraId="24743A63" w14:textId="77777777" w:rsidTr="0077502F">
        <w:trPr>
          <w:trHeight w:hRule="exact" w:val="300"/>
        </w:trPr>
        <w:tc>
          <w:tcPr>
            <w:tcW w:w="1536" w:type="dxa"/>
            <w:tcBorders>
              <w:top w:val="single" w:sz="5" w:space="0" w:color="000000"/>
              <w:left w:val="single" w:sz="5" w:space="0" w:color="000000"/>
              <w:bottom w:val="single" w:sz="5" w:space="0" w:color="000000"/>
              <w:right w:val="single" w:sz="5" w:space="0" w:color="000000"/>
            </w:tcBorders>
          </w:tcPr>
          <w:p w14:paraId="55AEA0CC"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Psychiatric</w:t>
            </w:r>
          </w:p>
        </w:tc>
        <w:tc>
          <w:tcPr>
            <w:tcW w:w="2192" w:type="dxa"/>
            <w:tcBorders>
              <w:top w:val="single" w:sz="5" w:space="0" w:color="000000"/>
              <w:left w:val="single" w:sz="5" w:space="0" w:color="000000"/>
              <w:bottom w:val="single" w:sz="5" w:space="0" w:color="000000"/>
              <w:right w:val="single" w:sz="5" w:space="0" w:color="000000"/>
            </w:tcBorders>
          </w:tcPr>
          <w:p w14:paraId="275B9C96"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pacing w:val="-1"/>
                <w:sz w:val="20"/>
              </w:rPr>
              <w:t>Decreased</w:t>
            </w:r>
            <w:r w:rsidRPr="001B1ED4">
              <w:rPr>
                <w:rFonts w:ascii="Cambria" w:hAnsi="Cambria"/>
                <w:spacing w:val="1"/>
                <w:sz w:val="20"/>
              </w:rPr>
              <w:t xml:space="preserve"> </w:t>
            </w:r>
            <w:r w:rsidRPr="001B1ED4">
              <w:rPr>
                <w:rFonts w:ascii="Cambria" w:hAnsi="Cambria"/>
                <w:spacing w:val="-1"/>
                <w:sz w:val="20"/>
              </w:rPr>
              <w:t>libido</w:t>
            </w:r>
            <w:r w:rsidRPr="001B1ED4">
              <w:rPr>
                <w:rFonts w:ascii="Cambria" w:hAnsi="Cambria"/>
                <w:sz w:val="20"/>
              </w:rPr>
              <w:t xml:space="preserve"> *</w:t>
            </w:r>
          </w:p>
        </w:tc>
        <w:tc>
          <w:tcPr>
            <w:tcW w:w="1372" w:type="dxa"/>
            <w:tcBorders>
              <w:top w:val="single" w:sz="5" w:space="0" w:color="000000"/>
              <w:left w:val="single" w:sz="5" w:space="0" w:color="000000"/>
              <w:bottom w:val="single" w:sz="5" w:space="0" w:color="000000"/>
              <w:right w:val="single" w:sz="5" w:space="0" w:color="000000"/>
            </w:tcBorders>
          </w:tcPr>
          <w:p w14:paraId="0092DE3E"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1D64A965"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39C35C5D"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(3.3</w:t>
            </w:r>
            <w:r w:rsidRPr="001B1ED4">
              <w:rPr>
                <w:rFonts w:ascii="Cambria" w:hAnsi="Cambria"/>
                <w:sz w:val="20"/>
              </w:rPr>
              <w:t xml:space="preserve"> </w:t>
            </w:r>
            <w:r w:rsidRPr="001B1ED4">
              <w:rPr>
                <w:rFonts w:ascii="Cambria" w:hAnsi="Cambria"/>
                <w:spacing w:val="-1"/>
                <w:sz w:val="20"/>
              </w:rPr>
              <w:t>%)</w:t>
            </w:r>
          </w:p>
        </w:tc>
        <w:tc>
          <w:tcPr>
            <w:tcW w:w="1372" w:type="dxa"/>
            <w:tcBorders>
              <w:top w:val="single" w:sz="5" w:space="0" w:color="000000"/>
              <w:left w:val="single" w:sz="5" w:space="0" w:color="000000"/>
              <w:bottom w:val="single" w:sz="5" w:space="0" w:color="000000"/>
              <w:right w:val="single" w:sz="5" w:space="0" w:color="000000"/>
            </w:tcBorders>
          </w:tcPr>
          <w:p w14:paraId="16BB2482" w14:textId="77777777" w:rsidR="002D23FF" w:rsidRPr="001B1ED4" w:rsidRDefault="002D23FF" w:rsidP="00C60D10">
            <w:pPr>
              <w:pStyle w:val="TableParagraph"/>
              <w:spacing w:line="226" w:lineRule="exact"/>
              <w:ind w:left="100"/>
              <w:rPr>
                <w:rFonts w:ascii="Cambria" w:eastAsia="Times New Roman" w:hAnsi="Cambria" w:cs="Times New Roman"/>
                <w:sz w:val="20"/>
                <w:szCs w:val="20"/>
              </w:rPr>
            </w:pPr>
            <w:r w:rsidRPr="001B1ED4">
              <w:rPr>
                <w:rFonts w:ascii="Cambria" w:hAnsi="Cambria"/>
                <w:sz w:val="20"/>
              </w:rPr>
              <w:t>-</w:t>
            </w:r>
          </w:p>
        </w:tc>
      </w:tr>
      <w:tr w:rsidR="002D23FF" w:rsidRPr="001B1ED4" w14:paraId="5A4337B5" w14:textId="77777777" w:rsidTr="0077502F">
        <w:trPr>
          <w:trHeight w:hRule="exact" w:val="300"/>
        </w:trPr>
        <w:tc>
          <w:tcPr>
            <w:tcW w:w="1536" w:type="dxa"/>
            <w:vMerge w:val="restart"/>
            <w:tcBorders>
              <w:top w:val="single" w:sz="5" w:space="0" w:color="000000"/>
              <w:left w:val="single" w:sz="5" w:space="0" w:color="000000"/>
              <w:right w:val="single" w:sz="5" w:space="0" w:color="000000"/>
            </w:tcBorders>
          </w:tcPr>
          <w:p w14:paraId="19F0B36C"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Musculoskeletal</w:t>
            </w:r>
          </w:p>
        </w:tc>
        <w:tc>
          <w:tcPr>
            <w:tcW w:w="2192" w:type="dxa"/>
            <w:tcBorders>
              <w:top w:val="single" w:sz="5" w:space="0" w:color="000000"/>
              <w:left w:val="single" w:sz="5" w:space="0" w:color="000000"/>
              <w:bottom w:val="single" w:sz="5" w:space="0" w:color="000000"/>
              <w:right w:val="single" w:sz="5" w:space="0" w:color="000000"/>
            </w:tcBorders>
          </w:tcPr>
          <w:p w14:paraId="421FE657"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Myalgia</w:t>
            </w:r>
          </w:p>
        </w:tc>
        <w:tc>
          <w:tcPr>
            <w:tcW w:w="1372" w:type="dxa"/>
            <w:tcBorders>
              <w:top w:val="single" w:sz="5" w:space="0" w:color="000000"/>
              <w:left w:val="single" w:sz="5" w:space="0" w:color="000000"/>
              <w:bottom w:val="single" w:sz="5" w:space="0" w:color="000000"/>
              <w:right w:val="single" w:sz="5" w:space="0" w:color="000000"/>
            </w:tcBorders>
          </w:tcPr>
          <w:p w14:paraId="5CD4629B"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5AD7CDB1"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23FAE308" w14:textId="77777777" w:rsidR="002D23FF" w:rsidRPr="001B1ED4" w:rsidRDefault="002D23FF" w:rsidP="00C60D10">
            <w:pPr>
              <w:pStyle w:val="TableParagraph"/>
              <w:spacing w:line="226" w:lineRule="exact"/>
              <w:ind w:left="103"/>
              <w:rPr>
                <w:rFonts w:ascii="Cambria" w:eastAsia="Times New Roman" w:hAnsi="Cambria" w:cs="Times New Roman"/>
                <w:sz w:val="20"/>
                <w:szCs w:val="20"/>
              </w:rPr>
            </w:pPr>
            <w:r w:rsidRPr="001B1ED4">
              <w:rPr>
                <w:rFonts w:ascii="Cambria" w:hAnsi="Cambria"/>
                <w:sz w:val="20"/>
              </w:rPr>
              <w:t>2</w:t>
            </w:r>
            <w:r w:rsidRPr="001B1ED4">
              <w:rPr>
                <w:rFonts w:ascii="Cambria" w:hAnsi="Cambria"/>
                <w:spacing w:val="-1"/>
                <w:sz w:val="20"/>
              </w:rPr>
              <w:t xml:space="preserve"> (2.2 </w:t>
            </w: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6AE47AAD"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z w:val="20"/>
              </w:rPr>
              <w:t>5</w:t>
            </w:r>
            <w:r w:rsidRPr="001B1ED4">
              <w:rPr>
                <w:rFonts w:ascii="Cambria" w:hAnsi="Cambria"/>
                <w:spacing w:val="-1"/>
                <w:sz w:val="20"/>
              </w:rPr>
              <w:t xml:space="preserve"> (4.5)</w:t>
            </w:r>
          </w:p>
        </w:tc>
      </w:tr>
      <w:tr w:rsidR="002D23FF" w:rsidRPr="001B1ED4" w14:paraId="5FCFFA1B" w14:textId="77777777" w:rsidTr="0077502F">
        <w:trPr>
          <w:trHeight w:hRule="exact" w:val="300"/>
        </w:trPr>
        <w:tc>
          <w:tcPr>
            <w:tcW w:w="1536" w:type="dxa"/>
            <w:vMerge/>
            <w:tcBorders>
              <w:left w:val="single" w:sz="5" w:space="0" w:color="000000"/>
              <w:right w:val="single" w:sz="5" w:space="0" w:color="000000"/>
            </w:tcBorders>
          </w:tcPr>
          <w:p w14:paraId="5FBCF424"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6EEEFDAA"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Arthralgia</w:t>
            </w:r>
          </w:p>
        </w:tc>
        <w:tc>
          <w:tcPr>
            <w:tcW w:w="1372" w:type="dxa"/>
            <w:tcBorders>
              <w:top w:val="single" w:sz="5" w:space="0" w:color="000000"/>
              <w:left w:val="single" w:sz="5" w:space="0" w:color="000000"/>
              <w:bottom w:val="single" w:sz="5" w:space="0" w:color="000000"/>
              <w:right w:val="single" w:sz="5" w:space="0" w:color="000000"/>
            </w:tcBorders>
          </w:tcPr>
          <w:p w14:paraId="618654DF"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w:t>
            </w:r>
          </w:p>
        </w:tc>
        <w:tc>
          <w:tcPr>
            <w:tcW w:w="1372" w:type="dxa"/>
            <w:tcBorders>
              <w:top w:val="single" w:sz="5" w:space="0" w:color="000000"/>
              <w:left w:val="single" w:sz="5" w:space="0" w:color="000000"/>
              <w:bottom w:val="single" w:sz="5" w:space="0" w:color="000000"/>
              <w:right w:val="single" w:sz="5" w:space="0" w:color="000000"/>
            </w:tcBorders>
          </w:tcPr>
          <w:p w14:paraId="7972E16D"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4</w:t>
            </w:r>
            <w:r w:rsidRPr="001B1ED4">
              <w:rPr>
                <w:rFonts w:ascii="Cambria" w:hAnsi="Cambria"/>
                <w:spacing w:val="-1"/>
                <w:sz w:val="20"/>
              </w:rPr>
              <w:t xml:space="preserve"> (3.4</w:t>
            </w:r>
            <w:r w:rsidRPr="001B1ED4">
              <w:rPr>
                <w:rFonts w:ascii="Cambria" w:hAnsi="Cambria"/>
                <w:sz w:val="20"/>
              </w:rPr>
              <w:t xml:space="preserve"> </w:t>
            </w:r>
            <w:r w:rsidRPr="001B1ED4">
              <w:rPr>
                <w:rFonts w:ascii="Cambria" w:hAnsi="Cambria"/>
                <w:spacing w:val="-1"/>
                <w:sz w:val="20"/>
              </w:rPr>
              <w:t>%)</w:t>
            </w:r>
          </w:p>
        </w:tc>
        <w:tc>
          <w:tcPr>
            <w:tcW w:w="1372" w:type="dxa"/>
            <w:tcBorders>
              <w:top w:val="single" w:sz="5" w:space="0" w:color="000000"/>
              <w:left w:val="single" w:sz="5" w:space="0" w:color="000000"/>
              <w:bottom w:val="single" w:sz="5" w:space="0" w:color="000000"/>
              <w:right w:val="single" w:sz="5" w:space="0" w:color="000000"/>
            </w:tcBorders>
          </w:tcPr>
          <w:p w14:paraId="473EFA73"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eastAsia="Times New Roman" w:hAnsi="Cambria" w:cs="Times New Roman"/>
                <w:sz w:val="20"/>
                <w:szCs w:val="20"/>
              </w:rPr>
              <w:t>–</w:t>
            </w:r>
          </w:p>
        </w:tc>
        <w:tc>
          <w:tcPr>
            <w:tcW w:w="1372" w:type="dxa"/>
            <w:tcBorders>
              <w:top w:val="single" w:sz="5" w:space="0" w:color="000000"/>
              <w:left w:val="single" w:sz="5" w:space="0" w:color="000000"/>
              <w:bottom w:val="single" w:sz="5" w:space="0" w:color="000000"/>
              <w:right w:val="single" w:sz="5" w:space="0" w:color="000000"/>
            </w:tcBorders>
          </w:tcPr>
          <w:p w14:paraId="561ADE53" w14:textId="77777777" w:rsidR="002D23FF" w:rsidRPr="001B1ED4" w:rsidRDefault="002D23FF" w:rsidP="00C60D10">
            <w:pPr>
              <w:rPr>
                <w:rFonts w:ascii="Cambria" w:hAnsi="Cambria"/>
              </w:rPr>
            </w:pPr>
          </w:p>
        </w:tc>
      </w:tr>
      <w:tr w:rsidR="002D23FF" w:rsidRPr="001B1ED4" w14:paraId="23526FDD" w14:textId="77777777" w:rsidTr="0077502F">
        <w:trPr>
          <w:trHeight w:hRule="exact" w:val="300"/>
        </w:trPr>
        <w:tc>
          <w:tcPr>
            <w:tcW w:w="1536" w:type="dxa"/>
            <w:vMerge/>
            <w:tcBorders>
              <w:left w:val="single" w:sz="5" w:space="0" w:color="000000"/>
              <w:bottom w:val="single" w:sz="5" w:space="0" w:color="000000"/>
              <w:right w:val="single" w:sz="5" w:space="0" w:color="000000"/>
            </w:tcBorders>
          </w:tcPr>
          <w:p w14:paraId="48BAC37C" w14:textId="77777777" w:rsidR="002D23FF" w:rsidRPr="001B1ED4" w:rsidRDefault="002D23FF" w:rsidP="00C60D10">
            <w:pPr>
              <w:rPr>
                <w:rFonts w:ascii="Cambria" w:hAnsi="Cambria"/>
              </w:rPr>
            </w:pPr>
          </w:p>
        </w:tc>
        <w:tc>
          <w:tcPr>
            <w:tcW w:w="2192" w:type="dxa"/>
            <w:tcBorders>
              <w:top w:val="single" w:sz="5" w:space="0" w:color="000000"/>
              <w:left w:val="single" w:sz="5" w:space="0" w:color="000000"/>
              <w:bottom w:val="single" w:sz="5" w:space="0" w:color="000000"/>
              <w:right w:val="single" w:sz="5" w:space="0" w:color="000000"/>
            </w:tcBorders>
          </w:tcPr>
          <w:p w14:paraId="3FEA588B" w14:textId="77777777" w:rsidR="002D23FF" w:rsidRPr="001B1ED4" w:rsidRDefault="002D23FF" w:rsidP="00C60D10">
            <w:pPr>
              <w:pStyle w:val="TableParagraph"/>
              <w:spacing w:line="226" w:lineRule="exact"/>
              <w:ind w:left="102"/>
              <w:rPr>
                <w:rFonts w:ascii="Cambria" w:eastAsia="Times New Roman" w:hAnsi="Cambria" w:cs="Times New Roman"/>
                <w:sz w:val="20"/>
                <w:szCs w:val="20"/>
              </w:rPr>
            </w:pPr>
            <w:r w:rsidRPr="001B1ED4">
              <w:rPr>
                <w:rFonts w:ascii="Cambria" w:hAnsi="Cambria"/>
                <w:spacing w:val="-1"/>
                <w:sz w:val="20"/>
              </w:rPr>
              <w:t>Pain</w:t>
            </w:r>
            <w:r w:rsidRPr="001B1ED4">
              <w:rPr>
                <w:rFonts w:ascii="Cambria" w:hAnsi="Cambria"/>
                <w:spacing w:val="1"/>
                <w:sz w:val="20"/>
              </w:rPr>
              <w:t xml:space="preserve"> </w:t>
            </w:r>
            <w:r w:rsidRPr="001B1ED4">
              <w:rPr>
                <w:rFonts w:ascii="Cambria" w:hAnsi="Cambria"/>
                <w:spacing w:val="-1"/>
                <w:sz w:val="20"/>
              </w:rPr>
              <w:t>in</w:t>
            </w:r>
            <w:r w:rsidRPr="001B1ED4">
              <w:rPr>
                <w:rFonts w:ascii="Cambria" w:hAnsi="Cambria"/>
                <w:sz w:val="20"/>
              </w:rPr>
              <w:t xml:space="preserve"> </w:t>
            </w:r>
            <w:r w:rsidRPr="001B1ED4">
              <w:rPr>
                <w:rFonts w:ascii="Cambria" w:hAnsi="Cambria"/>
                <w:spacing w:val="-2"/>
                <w:sz w:val="20"/>
              </w:rPr>
              <w:t>limb</w:t>
            </w:r>
          </w:p>
        </w:tc>
        <w:tc>
          <w:tcPr>
            <w:tcW w:w="1372" w:type="dxa"/>
            <w:tcBorders>
              <w:top w:val="single" w:sz="5" w:space="0" w:color="000000"/>
              <w:left w:val="single" w:sz="5" w:space="0" w:color="000000"/>
              <w:bottom w:val="single" w:sz="5" w:space="0" w:color="000000"/>
              <w:right w:val="single" w:sz="5" w:space="0" w:color="000000"/>
            </w:tcBorders>
          </w:tcPr>
          <w:p w14:paraId="1C53A6F0"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503801E1"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0FACF387" w14:textId="77777777" w:rsidR="002D23FF" w:rsidRPr="001B1ED4" w:rsidRDefault="002D23FF" w:rsidP="00C60D10">
            <w:pPr>
              <w:rPr>
                <w:rFonts w:ascii="Cambria" w:hAnsi="Cambria"/>
              </w:rPr>
            </w:pPr>
          </w:p>
        </w:tc>
        <w:tc>
          <w:tcPr>
            <w:tcW w:w="1372" w:type="dxa"/>
            <w:tcBorders>
              <w:top w:val="single" w:sz="5" w:space="0" w:color="000000"/>
              <w:left w:val="single" w:sz="5" w:space="0" w:color="000000"/>
              <w:bottom w:val="single" w:sz="5" w:space="0" w:color="000000"/>
              <w:right w:val="single" w:sz="5" w:space="0" w:color="000000"/>
            </w:tcBorders>
          </w:tcPr>
          <w:p w14:paraId="79072CE6" w14:textId="77777777" w:rsidR="002D23FF" w:rsidRPr="001B1ED4" w:rsidRDefault="002D23FF" w:rsidP="00C60D10">
            <w:pPr>
              <w:pStyle w:val="TableParagraph"/>
              <w:spacing w:line="226" w:lineRule="exact"/>
              <w:ind w:left="101"/>
              <w:rPr>
                <w:rFonts w:ascii="Cambria" w:eastAsia="Times New Roman" w:hAnsi="Cambria" w:cs="Times New Roman"/>
                <w:sz w:val="20"/>
                <w:szCs w:val="20"/>
              </w:rPr>
            </w:pPr>
            <w:r w:rsidRPr="001B1ED4">
              <w:rPr>
                <w:rFonts w:ascii="Cambria" w:hAnsi="Cambria"/>
                <w:sz w:val="20"/>
              </w:rPr>
              <w:t>3</w:t>
            </w:r>
            <w:r w:rsidRPr="001B1ED4">
              <w:rPr>
                <w:rFonts w:ascii="Cambria" w:hAnsi="Cambria"/>
                <w:spacing w:val="-1"/>
                <w:sz w:val="20"/>
              </w:rPr>
              <w:t xml:space="preserve"> (2.7)</w:t>
            </w:r>
          </w:p>
        </w:tc>
      </w:tr>
    </w:tbl>
    <w:p w14:paraId="2C9A31F3" w14:textId="20D1971C" w:rsidR="002D23FF" w:rsidRPr="00B3363C" w:rsidRDefault="00090D1E" w:rsidP="00090D1E">
      <w:pPr>
        <w:widowControl w:val="0"/>
        <w:tabs>
          <w:tab w:val="left" w:pos="402"/>
        </w:tabs>
        <w:spacing w:after="0" w:line="226" w:lineRule="exact"/>
        <w:ind w:left="220"/>
        <w:rPr>
          <w:rFonts w:ascii="Cambria" w:eastAsia="Times New Roman" w:hAnsi="Cambria" w:cs="Times New Roman"/>
          <w:sz w:val="20"/>
          <w:szCs w:val="20"/>
        </w:rPr>
      </w:pPr>
      <w:r w:rsidRPr="00090D1E">
        <w:rPr>
          <w:rFonts w:ascii="Cambria" w:eastAsia="Times New Roman" w:hAnsi="Cambria" w:cs="Times New Roman"/>
          <w:spacing w:val="-1"/>
          <w:sz w:val="20"/>
          <w:szCs w:val="20"/>
          <w:vertAlign w:val="superscript"/>
        </w:rPr>
        <w:t>1</w:t>
      </w:r>
      <w:r>
        <w:rPr>
          <w:rFonts w:ascii="Cambria" w:eastAsia="Times New Roman" w:hAnsi="Cambria" w:cs="Times New Roman"/>
          <w:spacing w:val="-1"/>
          <w:sz w:val="20"/>
          <w:szCs w:val="20"/>
        </w:rPr>
        <w:t xml:space="preserve"> </w:t>
      </w:r>
      <w:r w:rsidR="002D23FF" w:rsidRPr="00B3363C">
        <w:rPr>
          <w:rFonts w:ascii="Cambria" w:eastAsia="Times New Roman" w:hAnsi="Cambria" w:cs="Times New Roman"/>
          <w:spacing w:val="-1"/>
          <w:sz w:val="20"/>
          <w:szCs w:val="20"/>
        </w:rPr>
        <w:t>adverse</w:t>
      </w:r>
      <w:r w:rsidR="002D23FF" w:rsidRPr="00B3363C">
        <w:rPr>
          <w:rFonts w:ascii="Cambria" w:eastAsia="Times New Roman" w:hAnsi="Cambria" w:cs="Times New Roman"/>
          <w:sz w:val="20"/>
          <w:szCs w:val="20"/>
        </w:rPr>
        <w:t xml:space="preserve"> </w:t>
      </w:r>
      <w:proofErr w:type="gramStart"/>
      <w:r w:rsidR="002D23FF" w:rsidRPr="00B3363C">
        <w:rPr>
          <w:rFonts w:ascii="Cambria" w:eastAsia="Times New Roman" w:hAnsi="Cambria" w:cs="Times New Roman"/>
          <w:spacing w:val="-1"/>
          <w:sz w:val="20"/>
          <w:szCs w:val="20"/>
        </w:rPr>
        <w:t>events</w:t>
      </w:r>
      <w:proofErr w:type="gramEnd"/>
      <w:r w:rsidR="002D23FF" w:rsidRPr="00B3363C">
        <w:rPr>
          <w:rFonts w:ascii="Cambria" w:eastAsia="Times New Roman" w:hAnsi="Cambria" w:cs="Times New Roman"/>
          <w:sz w:val="20"/>
          <w:szCs w:val="20"/>
        </w:rPr>
        <w:t xml:space="preserve"> are </w:t>
      </w:r>
      <w:r w:rsidR="002D23FF" w:rsidRPr="00B3363C">
        <w:rPr>
          <w:rFonts w:ascii="Cambria" w:eastAsia="Times New Roman" w:hAnsi="Cambria" w:cs="Times New Roman"/>
          <w:spacing w:val="-1"/>
          <w:sz w:val="20"/>
          <w:szCs w:val="20"/>
        </w:rPr>
        <w:t xml:space="preserve">classified </w:t>
      </w:r>
      <w:r w:rsidR="002D23FF" w:rsidRPr="00B3363C">
        <w:rPr>
          <w:rFonts w:ascii="Cambria" w:eastAsia="Times New Roman" w:hAnsi="Cambria" w:cs="Times New Roman"/>
          <w:sz w:val="20"/>
          <w:szCs w:val="20"/>
        </w:rPr>
        <w:t>using</w:t>
      </w:r>
      <w:r w:rsidR="002D23FF" w:rsidRPr="00B3363C">
        <w:rPr>
          <w:rFonts w:ascii="Cambria" w:eastAsia="Times New Roman" w:hAnsi="Cambria" w:cs="Times New Roman"/>
          <w:spacing w:val="-1"/>
          <w:sz w:val="20"/>
          <w:szCs w:val="20"/>
        </w:rPr>
        <w:t xml:space="preserve"> </w:t>
      </w:r>
      <w:r w:rsidR="002D23FF" w:rsidRPr="00B3363C">
        <w:rPr>
          <w:rFonts w:ascii="Cambria" w:eastAsia="Times New Roman" w:hAnsi="Cambria" w:cs="Times New Roman"/>
          <w:sz w:val="20"/>
          <w:szCs w:val="20"/>
        </w:rPr>
        <w:t>ICD–9</w:t>
      </w:r>
      <w:r w:rsidR="002D23FF" w:rsidRPr="00B3363C">
        <w:rPr>
          <w:rFonts w:ascii="Cambria" w:eastAsia="Times New Roman" w:hAnsi="Cambria" w:cs="Times New Roman"/>
          <w:spacing w:val="-1"/>
          <w:sz w:val="20"/>
          <w:szCs w:val="20"/>
        </w:rPr>
        <w:t xml:space="preserve"> terms</w:t>
      </w:r>
    </w:p>
    <w:p w14:paraId="327B07C0" w14:textId="2CCC50C4" w:rsidR="002D23FF" w:rsidRPr="00B3363C" w:rsidRDefault="00090D1E" w:rsidP="00090D1E">
      <w:pPr>
        <w:widowControl w:val="0"/>
        <w:tabs>
          <w:tab w:val="left" w:pos="406"/>
        </w:tabs>
        <w:spacing w:before="60" w:after="0" w:line="240" w:lineRule="auto"/>
        <w:ind w:left="220"/>
        <w:rPr>
          <w:rFonts w:ascii="Cambria" w:eastAsia="Times New Roman" w:hAnsi="Cambria" w:cs="Times New Roman"/>
          <w:sz w:val="20"/>
          <w:szCs w:val="20"/>
        </w:rPr>
      </w:pPr>
      <w:r w:rsidRPr="00090D1E">
        <w:rPr>
          <w:rFonts w:ascii="Cambria" w:hAnsi="Cambria"/>
          <w:spacing w:val="-1"/>
          <w:sz w:val="20"/>
          <w:szCs w:val="20"/>
          <w:vertAlign w:val="superscript"/>
        </w:rPr>
        <w:t>2</w:t>
      </w:r>
      <w:r>
        <w:rPr>
          <w:rFonts w:ascii="Cambria" w:hAnsi="Cambria"/>
          <w:spacing w:val="-1"/>
          <w:sz w:val="20"/>
          <w:szCs w:val="20"/>
        </w:rPr>
        <w:t xml:space="preserve"> </w:t>
      </w:r>
      <w:r w:rsidR="002D23FF" w:rsidRPr="00B3363C">
        <w:rPr>
          <w:rFonts w:ascii="Cambria" w:hAnsi="Cambria"/>
          <w:spacing w:val="-1"/>
          <w:sz w:val="20"/>
          <w:szCs w:val="20"/>
        </w:rPr>
        <w:t>adverse</w:t>
      </w:r>
      <w:r w:rsidR="002D23FF" w:rsidRPr="00B3363C">
        <w:rPr>
          <w:rFonts w:ascii="Cambria" w:hAnsi="Cambria"/>
          <w:sz w:val="20"/>
          <w:szCs w:val="20"/>
        </w:rPr>
        <w:t xml:space="preserve"> </w:t>
      </w:r>
      <w:r w:rsidR="002D23FF" w:rsidRPr="00B3363C">
        <w:rPr>
          <w:rFonts w:ascii="Cambria" w:hAnsi="Cambria"/>
          <w:spacing w:val="-1"/>
          <w:sz w:val="20"/>
          <w:szCs w:val="20"/>
        </w:rPr>
        <w:t>events</w:t>
      </w:r>
      <w:r w:rsidR="002D23FF" w:rsidRPr="00B3363C">
        <w:rPr>
          <w:rFonts w:ascii="Cambria" w:hAnsi="Cambria"/>
          <w:sz w:val="20"/>
          <w:szCs w:val="20"/>
        </w:rPr>
        <w:t xml:space="preserve"> are </w:t>
      </w:r>
      <w:r w:rsidR="002D23FF" w:rsidRPr="00B3363C">
        <w:rPr>
          <w:rFonts w:ascii="Cambria" w:hAnsi="Cambria"/>
          <w:spacing w:val="-1"/>
          <w:sz w:val="20"/>
          <w:szCs w:val="20"/>
        </w:rPr>
        <w:t xml:space="preserve">classified </w:t>
      </w:r>
      <w:r w:rsidR="002D23FF" w:rsidRPr="00B3363C">
        <w:rPr>
          <w:rFonts w:ascii="Cambria" w:hAnsi="Cambria"/>
          <w:sz w:val="20"/>
          <w:szCs w:val="20"/>
        </w:rPr>
        <w:t xml:space="preserve">using </w:t>
      </w:r>
      <w:r w:rsidR="002D23FF" w:rsidRPr="00B3363C">
        <w:rPr>
          <w:rFonts w:ascii="Cambria" w:hAnsi="Cambria"/>
          <w:spacing w:val="-1"/>
          <w:sz w:val="20"/>
          <w:szCs w:val="20"/>
        </w:rPr>
        <w:t>MedDRA</w:t>
      </w:r>
      <w:r w:rsidR="002D23FF" w:rsidRPr="00B3363C">
        <w:rPr>
          <w:rFonts w:ascii="Cambria" w:hAnsi="Cambria"/>
          <w:sz w:val="20"/>
          <w:szCs w:val="20"/>
        </w:rPr>
        <w:t xml:space="preserve"> </w:t>
      </w:r>
      <w:r w:rsidR="002D23FF" w:rsidRPr="00B3363C">
        <w:rPr>
          <w:rFonts w:ascii="Cambria" w:hAnsi="Cambria"/>
          <w:spacing w:val="-1"/>
          <w:sz w:val="20"/>
          <w:szCs w:val="20"/>
        </w:rPr>
        <w:t>terms</w:t>
      </w:r>
    </w:p>
    <w:p w14:paraId="19370325" w14:textId="28FDE257" w:rsidR="00FE49D0" w:rsidRPr="00B3363C" w:rsidRDefault="002D23FF" w:rsidP="00A837ED">
      <w:pPr>
        <w:spacing w:before="58"/>
        <w:ind w:left="220" w:right="346"/>
        <w:rPr>
          <w:rFonts w:ascii="Cambria" w:hAnsi="Cambria"/>
          <w:spacing w:val="-1"/>
          <w:sz w:val="20"/>
          <w:szCs w:val="20"/>
        </w:rPr>
      </w:pPr>
      <w:r w:rsidRPr="00B3363C">
        <w:rPr>
          <w:rFonts w:ascii="Cambria" w:hAnsi="Cambria"/>
          <w:sz w:val="20"/>
          <w:szCs w:val="20"/>
        </w:rPr>
        <w:t>*</w:t>
      </w:r>
      <w:r w:rsidRPr="00B3363C">
        <w:rPr>
          <w:rFonts w:ascii="Cambria" w:hAnsi="Cambria"/>
          <w:spacing w:val="35"/>
          <w:sz w:val="20"/>
          <w:szCs w:val="20"/>
        </w:rPr>
        <w:t xml:space="preserve"> </w:t>
      </w:r>
      <w:r w:rsidRPr="00B3363C">
        <w:rPr>
          <w:rFonts w:ascii="Cambria" w:hAnsi="Cambria"/>
          <w:spacing w:val="-1"/>
          <w:sz w:val="20"/>
          <w:szCs w:val="20"/>
        </w:rPr>
        <w:t>Expected</w:t>
      </w:r>
      <w:r w:rsidRPr="00B3363C">
        <w:rPr>
          <w:rFonts w:ascii="Cambria" w:hAnsi="Cambria"/>
          <w:spacing w:val="-6"/>
          <w:sz w:val="20"/>
          <w:szCs w:val="20"/>
        </w:rPr>
        <w:t xml:space="preserve"> </w:t>
      </w:r>
      <w:r w:rsidRPr="00B3363C">
        <w:rPr>
          <w:rFonts w:ascii="Cambria" w:hAnsi="Cambria"/>
          <w:spacing w:val="-1"/>
          <w:sz w:val="20"/>
          <w:szCs w:val="20"/>
        </w:rPr>
        <w:t>pharmacological</w:t>
      </w:r>
      <w:r w:rsidRPr="00B3363C">
        <w:rPr>
          <w:rFonts w:ascii="Cambria" w:hAnsi="Cambria"/>
          <w:spacing w:val="-5"/>
          <w:sz w:val="20"/>
          <w:szCs w:val="20"/>
        </w:rPr>
        <w:t xml:space="preserve"> </w:t>
      </w:r>
      <w:r w:rsidRPr="00B3363C">
        <w:rPr>
          <w:rFonts w:ascii="Cambria" w:hAnsi="Cambria"/>
          <w:spacing w:val="-1"/>
          <w:sz w:val="20"/>
          <w:szCs w:val="20"/>
        </w:rPr>
        <w:t>consequences</w:t>
      </w:r>
      <w:r w:rsidRPr="00B3363C">
        <w:rPr>
          <w:rFonts w:ascii="Cambria" w:hAnsi="Cambria"/>
          <w:spacing w:val="-6"/>
          <w:sz w:val="20"/>
          <w:szCs w:val="20"/>
        </w:rPr>
        <w:t xml:space="preserve"> </w:t>
      </w:r>
      <w:r w:rsidRPr="00B3363C">
        <w:rPr>
          <w:rFonts w:ascii="Cambria" w:hAnsi="Cambria"/>
          <w:spacing w:val="-1"/>
          <w:sz w:val="20"/>
          <w:szCs w:val="20"/>
        </w:rPr>
        <w:t>of</w:t>
      </w:r>
      <w:r w:rsidRPr="00B3363C">
        <w:rPr>
          <w:rFonts w:ascii="Cambria" w:hAnsi="Cambria"/>
          <w:spacing w:val="-5"/>
          <w:sz w:val="20"/>
          <w:szCs w:val="20"/>
        </w:rPr>
        <w:t xml:space="preserve"> </w:t>
      </w:r>
      <w:r w:rsidRPr="00B3363C">
        <w:rPr>
          <w:rFonts w:ascii="Cambria" w:hAnsi="Cambria"/>
          <w:sz w:val="20"/>
          <w:szCs w:val="20"/>
        </w:rPr>
        <w:t>testosterone</w:t>
      </w:r>
      <w:r w:rsidRPr="00B3363C">
        <w:rPr>
          <w:rFonts w:ascii="Cambria" w:hAnsi="Cambria"/>
          <w:spacing w:val="-6"/>
          <w:sz w:val="20"/>
          <w:szCs w:val="20"/>
        </w:rPr>
        <w:t xml:space="preserve"> </w:t>
      </w:r>
      <w:r w:rsidR="00FE49D0" w:rsidRPr="00B3363C">
        <w:rPr>
          <w:rFonts w:ascii="Cambria" w:hAnsi="Cambria"/>
          <w:spacing w:val="-1"/>
          <w:sz w:val="20"/>
          <w:szCs w:val="20"/>
        </w:rPr>
        <w:t>suppression.</w:t>
      </w:r>
    </w:p>
    <w:p w14:paraId="2C3D0B7F" w14:textId="300B68A9" w:rsidR="00B3363C" w:rsidRPr="00B3363C" w:rsidRDefault="002D23FF" w:rsidP="00FE45B8">
      <w:pPr>
        <w:pStyle w:val="Heading3"/>
        <w:numPr>
          <w:ilvl w:val="0"/>
          <w:numId w:val="0"/>
        </w:numPr>
        <w:spacing w:after="240"/>
      </w:pPr>
      <w:r w:rsidRPr="003A1FCD">
        <w:t>Less Common Reactions (incidence &lt; 2%)</w:t>
      </w:r>
    </w:p>
    <w:p w14:paraId="70C027B7" w14:textId="4D35909B" w:rsidR="00BF5351" w:rsidRPr="00B3363C" w:rsidRDefault="00BF5351" w:rsidP="00B3363C">
      <w:pPr>
        <w:pStyle w:val="Caption"/>
        <w:keepNext/>
        <w:jc w:val="center"/>
        <w:rPr>
          <w:rFonts w:asciiTheme="majorHAnsi" w:hAnsiTheme="majorHAnsi"/>
          <w:i w:val="0"/>
          <w:color w:val="auto"/>
          <w:sz w:val="20"/>
          <w:szCs w:val="20"/>
        </w:rPr>
      </w:pPr>
      <w:r w:rsidRPr="00B3363C">
        <w:rPr>
          <w:rFonts w:asciiTheme="majorHAnsi" w:hAnsiTheme="majorHAnsi"/>
          <w:b/>
          <w:i w:val="0"/>
          <w:color w:val="auto"/>
          <w:sz w:val="20"/>
          <w:szCs w:val="20"/>
        </w:rPr>
        <w:t xml:space="preserve">Table </w:t>
      </w:r>
      <w:r w:rsidRPr="00B3363C">
        <w:rPr>
          <w:rFonts w:asciiTheme="majorHAnsi" w:hAnsiTheme="majorHAnsi"/>
          <w:b/>
          <w:i w:val="0"/>
          <w:color w:val="auto"/>
          <w:sz w:val="20"/>
          <w:szCs w:val="20"/>
        </w:rPr>
        <w:fldChar w:fldCharType="begin"/>
      </w:r>
      <w:r w:rsidRPr="00B3363C">
        <w:rPr>
          <w:rFonts w:asciiTheme="majorHAnsi" w:hAnsiTheme="majorHAnsi"/>
          <w:b/>
          <w:i w:val="0"/>
          <w:color w:val="auto"/>
          <w:sz w:val="20"/>
          <w:szCs w:val="20"/>
        </w:rPr>
        <w:instrText xml:space="preserve"> SEQ Table \* ARABIC </w:instrText>
      </w:r>
      <w:r w:rsidRPr="00B3363C">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3</w:t>
      </w:r>
      <w:r w:rsidRPr="00B3363C">
        <w:rPr>
          <w:rFonts w:asciiTheme="majorHAnsi" w:hAnsiTheme="majorHAnsi"/>
          <w:b/>
          <w:i w:val="0"/>
          <w:color w:val="auto"/>
          <w:sz w:val="20"/>
          <w:szCs w:val="20"/>
        </w:rPr>
        <w:fldChar w:fldCharType="end"/>
      </w:r>
      <w:r w:rsidRPr="00B3363C">
        <w:rPr>
          <w:rFonts w:asciiTheme="majorHAnsi" w:hAnsiTheme="majorHAnsi"/>
          <w:b/>
          <w:i w:val="0"/>
          <w:color w:val="auto"/>
          <w:sz w:val="20"/>
          <w:szCs w:val="20"/>
        </w:rPr>
        <w:t>:</w:t>
      </w:r>
      <w:r w:rsidRPr="00B3363C">
        <w:rPr>
          <w:rFonts w:asciiTheme="majorHAnsi" w:hAnsiTheme="majorHAnsi"/>
          <w:i w:val="0"/>
          <w:color w:val="auto"/>
          <w:sz w:val="20"/>
          <w:szCs w:val="20"/>
        </w:rPr>
        <w:t xml:space="preserve"> Possibly or Probably Related Systemic Adverse Events Reported by &lt; 2% of Patients Treated with </w:t>
      </w:r>
      <w:r w:rsidR="00CA0019">
        <w:rPr>
          <w:rFonts w:asciiTheme="majorHAnsi" w:hAnsiTheme="majorHAnsi"/>
          <w:i w:val="0"/>
          <w:color w:val="auto"/>
          <w:sz w:val="20"/>
          <w:szCs w:val="20"/>
        </w:rPr>
        <w:t>ELIGARD</w:t>
      </w:r>
      <w:r w:rsidRPr="00B3363C">
        <w:rPr>
          <w:rFonts w:asciiTheme="majorHAnsi" w:hAnsiTheme="majorHAnsi"/>
          <w:i w:val="0"/>
          <w:color w:val="auto"/>
          <w:sz w:val="20"/>
          <w:szCs w:val="20"/>
        </w:rPr>
        <w:t xml:space="preserve"> 1 month</w:t>
      </w:r>
      <w:r w:rsidRPr="005E1B5A">
        <w:rPr>
          <w:rFonts w:asciiTheme="majorHAnsi" w:hAnsiTheme="majorHAnsi"/>
          <w:i w:val="0"/>
          <w:color w:val="auto"/>
          <w:sz w:val="20"/>
          <w:szCs w:val="20"/>
          <w:vertAlign w:val="superscript"/>
        </w:rPr>
        <w:t>1</w:t>
      </w:r>
      <w:r w:rsidRPr="00B3363C">
        <w:rPr>
          <w:rFonts w:asciiTheme="majorHAnsi" w:hAnsiTheme="majorHAnsi"/>
          <w:i w:val="0"/>
          <w:color w:val="auto"/>
          <w:sz w:val="20"/>
          <w:szCs w:val="20"/>
        </w:rPr>
        <w:t xml:space="preserve"> and </w:t>
      </w:r>
      <w:r w:rsidR="00CA0019">
        <w:rPr>
          <w:rFonts w:asciiTheme="majorHAnsi" w:hAnsiTheme="majorHAnsi"/>
          <w:i w:val="0"/>
          <w:color w:val="auto"/>
          <w:sz w:val="20"/>
          <w:szCs w:val="20"/>
        </w:rPr>
        <w:t>ELIGARD</w:t>
      </w:r>
      <w:r w:rsidRPr="00B3363C">
        <w:rPr>
          <w:rFonts w:asciiTheme="majorHAnsi" w:hAnsiTheme="majorHAnsi"/>
          <w:i w:val="0"/>
          <w:color w:val="auto"/>
          <w:sz w:val="20"/>
          <w:szCs w:val="20"/>
        </w:rPr>
        <w:t xml:space="preserve"> 3 month</w:t>
      </w:r>
      <w:r w:rsidRPr="005E1B5A">
        <w:rPr>
          <w:rFonts w:asciiTheme="majorHAnsi" w:hAnsiTheme="majorHAnsi"/>
          <w:i w:val="0"/>
          <w:color w:val="auto"/>
          <w:sz w:val="20"/>
          <w:szCs w:val="20"/>
          <w:vertAlign w:val="superscript"/>
        </w:rPr>
        <w:t>2</w:t>
      </w:r>
      <w:r w:rsidRPr="00B3363C">
        <w:rPr>
          <w:rFonts w:asciiTheme="majorHAnsi" w:hAnsiTheme="majorHAnsi"/>
          <w:i w:val="0"/>
          <w:color w:val="auto"/>
          <w:sz w:val="20"/>
          <w:szCs w:val="20"/>
        </w:rPr>
        <w:t xml:space="preserve"> for up to six months, </w:t>
      </w:r>
      <w:r w:rsidR="00CA0019">
        <w:rPr>
          <w:rFonts w:asciiTheme="majorHAnsi" w:hAnsiTheme="majorHAnsi"/>
          <w:i w:val="0"/>
          <w:color w:val="auto"/>
          <w:sz w:val="20"/>
          <w:szCs w:val="20"/>
        </w:rPr>
        <w:t>ELIGARD</w:t>
      </w:r>
      <w:r w:rsidRPr="00B3363C">
        <w:rPr>
          <w:rFonts w:asciiTheme="majorHAnsi" w:hAnsiTheme="majorHAnsi"/>
          <w:i w:val="0"/>
          <w:color w:val="auto"/>
          <w:sz w:val="20"/>
          <w:szCs w:val="20"/>
        </w:rPr>
        <w:t xml:space="preserve"> 4 month</w:t>
      </w:r>
      <w:r w:rsidRPr="005E1B5A">
        <w:rPr>
          <w:rFonts w:asciiTheme="majorHAnsi" w:hAnsiTheme="majorHAnsi"/>
          <w:i w:val="0"/>
          <w:color w:val="auto"/>
          <w:sz w:val="20"/>
          <w:szCs w:val="20"/>
          <w:vertAlign w:val="superscript"/>
        </w:rPr>
        <w:t>2</w:t>
      </w:r>
      <w:r w:rsidRPr="00B3363C">
        <w:rPr>
          <w:rFonts w:asciiTheme="majorHAnsi" w:hAnsiTheme="majorHAnsi"/>
          <w:i w:val="0"/>
          <w:color w:val="auto"/>
          <w:sz w:val="20"/>
          <w:szCs w:val="20"/>
        </w:rPr>
        <w:t xml:space="preserve"> up to eight months and </w:t>
      </w:r>
      <w:r w:rsidR="00CA0019">
        <w:rPr>
          <w:rFonts w:asciiTheme="majorHAnsi" w:hAnsiTheme="majorHAnsi"/>
          <w:i w:val="0"/>
          <w:color w:val="auto"/>
          <w:sz w:val="20"/>
          <w:szCs w:val="20"/>
        </w:rPr>
        <w:t>ELIGARD</w:t>
      </w:r>
      <w:r w:rsidRPr="00B3363C">
        <w:rPr>
          <w:rFonts w:asciiTheme="majorHAnsi" w:hAnsiTheme="majorHAnsi"/>
          <w:i w:val="0"/>
          <w:color w:val="auto"/>
          <w:sz w:val="20"/>
          <w:szCs w:val="20"/>
        </w:rPr>
        <w:t xml:space="preserve"> 6 month</w:t>
      </w:r>
      <w:r w:rsidRPr="005E1B5A">
        <w:rPr>
          <w:rFonts w:asciiTheme="majorHAnsi" w:hAnsiTheme="majorHAnsi"/>
          <w:i w:val="0"/>
          <w:color w:val="auto"/>
          <w:sz w:val="20"/>
          <w:szCs w:val="20"/>
          <w:vertAlign w:val="superscript"/>
        </w:rPr>
        <w:t>2</w:t>
      </w:r>
      <w:r w:rsidRPr="00B3363C">
        <w:rPr>
          <w:rFonts w:asciiTheme="majorHAnsi" w:hAnsiTheme="majorHAnsi"/>
          <w:i w:val="0"/>
          <w:color w:val="auto"/>
          <w:sz w:val="20"/>
          <w:szCs w:val="20"/>
        </w:rPr>
        <w:t xml:space="preserve"> for up to 12 months</w:t>
      </w:r>
    </w:p>
    <w:tbl>
      <w:tblPr>
        <w:tblW w:w="9216" w:type="dxa"/>
        <w:tblInd w:w="106" w:type="dxa"/>
        <w:tblLayout w:type="fixed"/>
        <w:tblCellMar>
          <w:left w:w="0" w:type="dxa"/>
          <w:right w:w="0" w:type="dxa"/>
        </w:tblCellMar>
        <w:tblLook w:val="01E0" w:firstRow="1" w:lastRow="1" w:firstColumn="1" w:lastColumn="1" w:noHBand="0" w:noVBand="0"/>
      </w:tblPr>
      <w:tblGrid>
        <w:gridCol w:w="2538"/>
        <w:gridCol w:w="6678"/>
      </w:tblGrid>
      <w:tr w:rsidR="002D23FF" w:rsidRPr="001B1ED4" w14:paraId="33F3A390"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4B3440DE" w14:textId="77777777" w:rsidR="002D23FF" w:rsidRPr="001B1ED4" w:rsidRDefault="002D23FF" w:rsidP="00C60D10">
            <w:pPr>
              <w:pStyle w:val="TableParagraph"/>
              <w:spacing w:line="228" w:lineRule="exact"/>
              <w:ind w:left="102"/>
              <w:rPr>
                <w:rFonts w:asciiTheme="majorHAnsi" w:eastAsia="Times New Roman" w:hAnsiTheme="majorHAnsi" w:cs="Times New Roman"/>
                <w:sz w:val="20"/>
                <w:szCs w:val="20"/>
              </w:rPr>
            </w:pPr>
            <w:r w:rsidRPr="001B1ED4">
              <w:rPr>
                <w:rFonts w:asciiTheme="majorHAnsi" w:hAnsiTheme="majorHAnsi"/>
                <w:b/>
                <w:spacing w:val="-1"/>
                <w:sz w:val="20"/>
              </w:rPr>
              <w:t>Body</w:t>
            </w:r>
            <w:r w:rsidRPr="001B1ED4">
              <w:rPr>
                <w:rFonts w:asciiTheme="majorHAnsi" w:hAnsiTheme="majorHAnsi"/>
                <w:b/>
                <w:sz w:val="20"/>
              </w:rPr>
              <w:t xml:space="preserve"> </w:t>
            </w:r>
            <w:r w:rsidRPr="001B1ED4">
              <w:rPr>
                <w:rFonts w:asciiTheme="majorHAnsi" w:hAnsiTheme="majorHAnsi"/>
                <w:b/>
                <w:spacing w:val="-1"/>
                <w:sz w:val="20"/>
              </w:rPr>
              <w:t>System</w:t>
            </w:r>
          </w:p>
        </w:tc>
        <w:tc>
          <w:tcPr>
            <w:tcW w:w="6678" w:type="dxa"/>
            <w:tcBorders>
              <w:top w:val="single" w:sz="5" w:space="0" w:color="000000"/>
              <w:left w:val="single" w:sz="5" w:space="0" w:color="000000"/>
              <w:bottom w:val="single" w:sz="5" w:space="0" w:color="000000"/>
              <w:right w:val="single" w:sz="5" w:space="0" w:color="000000"/>
            </w:tcBorders>
          </w:tcPr>
          <w:p w14:paraId="2EA9677B" w14:textId="77777777" w:rsidR="002D23FF" w:rsidRPr="001B1ED4" w:rsidRDefault="002D23FF" w:rsidP="00C60D10">
            <w:pPr>
              <w:pStyle w:val="TableParagraph"/>
              <w:spacing w:line="228" w:lineRule="exact"/>
              <w:ind w:left="101"/>
              <w:rPr>
                <w:rFonts w:asciiTheme="majorHAnsi" w:eastAsia="Times New Roman" w:hAnsiTheme="majorHAnsi" w:cs="Times New Roman"/>
                <w:sz w:val="20"/>
                <w:szCs w:val="20"/>
              </w:rPr>
            </w:pPr>
            <w:r w:rsidRPr="001B1ED4">
              <w:rPr>
                <w:rFonts w:asciiTheme="majorHAnsi" w:hAnsiTheme="majorHAnsi"/>
                <w:b/>
                <w:spacing w:val="-1"/>
                <w:sz w:val="20"/>
              </w:rPr>
              <w:t>Adverse</w:t>
            </w:r>
            <w:r w:rsidRPr="001B1ED4">
              <w:rPr>
                <w:rFonts w:asciiTheme="majorHAnsi" w:hAnsiTheme="majorHAnsi"/>
                <w:b/>
                <w:sz w:val="20"/>
              </w:rPr>
              <w:t xml:space="preserve"> </w:t>
            </w:r>
            <w:bookmarkStart w:id="5" w:name="_Hlk64985355"/>
            <w:r w:rsidRPr="001B1ED4">
              <w:rPr>
                <w:rFonts w:asciiTheme="majorHAnsi" w:hAnsiTheme="majorHAnsi"/>
                <w:b/>
                <w:spacing w:val="-1"/>
                <w:sz w:val="20"/>
              </w:rPr>
              <w:t>Event</w:t>
            </w:r>
            <w:bookmarkEnd w:id="5"/>
          </w:p>
        </w:tc>
      </w:tr>
      <w:tr w:rsidR="002D23FF" w:rsidRPr="001B1ED4" w14:paraId="3F23B207"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4D6A8E6"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General</w:t>
            </w:r>
          </w:p>
        </w:tc>
        <w:tc>
          <w:tcPr>
            <w:tcW w:w="6678" w:type="dxa"/>
            <w:tcBorders>
              <w:top w:val="single" w:sz="5" w:space="0" w:color="000000"/>
              <w:left w:val="single" w:sz="5" w:space="0" w:color="000000"/>
              <w:bottom w:val="single" w:sz="5" w:space="0" w:color="000000"/>
              <w:right w:val="single" w:sz="5" w:space="0" w:color="000000"/>
            </w:tcBorders>
          </w:tcPr>
          <w:p w14:paraId="5A1A545F"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Sweating*,</w:t>
            </w:r>
            <w:r w:rsidRPr="001B1ED4">
              <w:rPr>
                <w:rFonts w:asciiTheme="majorHAnsi" w:hAnsiTheme="majorHAnsi"/>
                <w:sz w:val="20"/>
              </w:rPr>
              <w:t xml:space="preserve"> </w:t>
            </w:r>
            <w:r w:rsidRPr="001B1ED4">
              <w:rPr>
                <w:rFonts w:asciiTheme="majorHAnsi" w:hAnsiTheme="majorHAnsi"/>
                <w:spacing w:val="-2"/>
                <w:sz w:val="20"/>
              </w:rPr>
              <w:t>insomnia,</w:t>
            </w:r>
            <w:r w:rsidRPr="001B1ED4">
              <w:rPr>
                <w:rFonts w:asciiTheme="majorHAnsi" w:hAnsiTheme="majorHAnsi"/>
                <w:sz w:val="20"/>
              </w:rPr>
              <w:t xml:space="preserve"> </w:t>
            </w:r>
            <w:r w:rsidRPr="001B1ED4">
              <w:rPr>
                <w:rFonts w:asciiTheme="majorHAnsi" w:hAnsiTheme="majorHAnsi"/>
                <w:spacing w:val="-1"/>
                <w:sz w:val="20"/>
              </w:rPr>
              <w:t>syncope, rigors, weakness,</w:t>
            </w:r>
            <w:r w:rsidRPr="001B1ED4">
              <w:rPr>
                <w:rFonts w:asciiTheme="majorHAnsi" w:hAnsiTheme="majorHAnsi"/>
                <w:sz w:val="20"/>
              </w:rPr>
              <w:t xml:space="preserve"> </w:t>
            </w:r>
            <w:r w:rsidRPr="001B1ED4">
              <w:rPr>
                <w:rFonts w:asciiTheme="majorHAnsi" w:hAnsiTheme="majorHAnsi"/>
                <w:spacing w:val="-1"/>
                <w:sz w:val="20"/>
              </w:rPr>
              <w:t>lethargy</w:t>
            </w:r>
          </w:p>
        </w:tc>
      </w:tr>
      <w:tr w:rsidR="002D23FF" w:rsidRPr="001B1ED4" w14:paraId="64D68F6E"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57719780"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Gastrointestinal</w:t>
            </w:r>
          </w:p>
        </w:tc>
        <w:tc>
          <w:tcPr>
            <w:tcW w:w="6678" w:type="dxa"/>
            <w:tcBorders>
              <w:top w:val="single" w:sz="5" w:space="0" w:color="000000"/>
              <w:left w:val="single" w:sz="5" w:space="0" w:color="000000"/>
              <w:bottom w:val="single" w:sz="5" w:space="0" w:color="000000"/>
              <w:right w:val="single" w:sz="5" w:space="0" w:color="000000"/>
            </w:tcBorders>
          </w:tcPr>
          <w:p w14:paraId="3BCDE4FD"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Flatulence, constipation, dyspepsia</w:t>
            </w:r>
          </w:p>
        </w:tc>
      </w:tr>
      <w:tr w:rsidR="002D23FF" w:rsidRPr="001B1ED4" w14:paraId="1A156BD9"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164960C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proofErr w:type="spellStart"/>
            <w:r w:rsidRPr="001B1ED4">
              <w:rPr>
                <w:rFonts w:asciiTheme="majorHAnsi" w:hAnsiTheme="majorHAnsi"/>
                <w:spacing w:val="-1"/>
                <w:sz w:val="20"/>
              </w:rPr>
              <w:t>Haematologic</w:t>
            </w:r>
            <w:proofErr w:type="spellEnd"/>
          </w:p>
        </w:tc>
        <w:tc>
          <w:tcPr>
            <w:tcW w:w="6678" w:type="dxa"/>
            <w:tcBorders>
              <w:top w:val="single" w:sz="5" w:space="0" w:color="000000"/>
              <w:left w:val="single" w:sz="5" w:space="0" w:color="000000"/>
              <w:bottom w:val="single" w:sz="5" w:space="0" w:color="000000"/>
              <w:right w:val="single" w:sz="5" w:space="0" w:color="000000"/>
            </w:tcBorders>
          </w:tcPr>
          <w:p w14:paraId="181288C3"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Decreased red blood</w:t>
            </w:r>
            <w:r w:rsidRPr="001B1ED4">
              <w:rPr>
                <w:rFonts w:asciiTheme="majorHAnsi" w:hAnsiTheme="majorHAnsi"/>
                <w:sz w:val="20"/>
              </w:rPr>
              <w:t xml:space="preserve"> cell count,</w:t>
            </w:r>
            <w:r w:rsidRPr="001B1ED4">
              <w:rPr>
                <w:rFonts w:asciiTheme="majorHAnsi" w:hAnsiTheme="majorHAnsi"/>
                <w:spacing w:val="-2"/>
                <w:sz w:val="20"/>
              </w:rPr>
              <w:t xml:space="preserve"> </w:t>
            </w:r>
            <w:proofErr w:type="spellStart"/>
            <w:proofErr w:type="gramStart"/>
            <w:r w:rsidRPr="001B1ED4">
              <w:rPr>
                <w:rFonts w:asciiTheme="majorHAnsi" w:hAnsiTheme="majorHAnsi"/>
                <w:spacing w:val="-1"/>
                <w:sz w:val="20"/>
              </w:rPr>
              <w:t>haematocrit</w:t>
            </w:r>
            <w:proofErr w:type="spellEnd"/>
            <w:proofErr w:type="gramEnd"/>
            <w:r w:rsidRPr="001B1ED4">
              <w:rPr>
                <w:rFonts w:asciiTheme="majorHAnsi" w:hAnsiTheme="majorHAnsi"/>
                <w:sz w:val="20"/>
              </w:rPr>
              <w:t xml:space="preserve"> and</w:t>
            </w:r>
            <w:r w:rsidRPr="001B1ED4">
              <w:rPr>
                <w:rFonts w:asciiTheme="majorHAnsi" w:hAnsiTheme="majorHAnsi"/>
                <w:spacing w:val="-1"/>
                <w:sz w:val="20"/>
              </w:rPr>
              <w:t xml:space="preserve"> </w:t>
            </w:r>
            <w:proofErr w:type="spellStart"/>
            <w:r w:rsidRPr="001B1ED4">
              <w:rPr>
                <w:rFonts w:asciiTheme="majorHAnsi" w:hAnsiTheme="majorHAnsi"/>
                <w:spacing w:val="-1"/>
                <w:sz w:val="20"/>
              </w:rPr>
              <w:t>haemoglobin</w:t>
            </w:r>
            <w:proofErr w:type="spellEnd"/>
          </w:p>
        </w:tc>
      </w:tr>
      <w:tr w:rsidR="002D23FF" w:rsidRPr="001B1ED4" w14:paraId="58D488DA"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42D7107D"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Metabolic</w:t>
            </w:r>
          </w:p>
        </w:tc>
        <w:tc>
          <w:tcPr>
            <w:tcW w:w="6678" w:type="dxa"/>
            <w:tcBorders>
              <w:top w:val="single" w:sz="5" w:space="0" w:color="000000"/>
              <w:left w:val="single" w:sz="5" w:space="0" w:color="000000"/>
              <w:bottom w:val="single" w:sz="5" w:space="0" w:color="000000"/>
              <w:right w:val="single" w:sz="5" w:space="0" w:color="000000"/>
            </w:tcBorders>
          </w:tcPr>
          <w:p w14:paraId="4FA06F24" w14:textId="77777777" w:rsidR="002D23FF" w:rsidRPr="001B1ED4" w:rsidRDefault="002D23FF" w:rsidP="00C60D10">
            <w:pPr>
              <w:pStyle w:val="TableParagraph"/>
              <w:spacing w:line="226" w:lineRule="exact"/>
              <w:ind w:left="103"/>
              <w:rPr>
                <w:rFonts w:asciiTheme="majorHAnsi" w:eastAsia="Times New Roman" w:hAnsiTheme="majorHAnsi" w:cs="Times New Roman"/>
                <w:sz w:val="20"/>
                <w:szCs w:val="20"/>
              </w:rPr>
            </w:pPr>
            <w:r w:rsidRPr="001B1ED4">
              <w:rPr>
                <w:rFonts w:asciiTheme="majorHAnsi" w:hAnsiTheme="majorHAnsi"/>
                <w:spacing w:val="-1"/>
                <w:sz w:val="20"/>
              </w:rPr>
              <w:t>Weight gain</w:t>
            </w:r>
          </w:p>
        </w:tc>
      </w:tr>
      <w:tr w:rsidR="002D23FF" w:rsidRPr="001B1ED4" w14:paraId="5DF2C4A7"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6C92E5B0"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Musculoskeletal</w:t>
            </w:r>
          </w:p>
        </w:tc>
        <w:tc>
          <w:tcPr>
            <w:tcW w:w="6678" w:type="dxa"/>
            <w:tcBorders>
              <w:top w:val="single" w:sz="5" w:space="0" w:color="000000"/>
              <w:left w:val="single" w:sz="5" w:space="0" w:color="000000"/>
              <w:bottom w:val="single" w:sz="5" w:space="0" w:color="000000"/>
              <w:right w:val="single" w:sz="5" w:space="0" w:color="000000"/>
            </w:tcBorders>
          </w:tcPr>
          <w:p w14:paraId="5A82909D"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Tremor,</w:t>
            </w:r>
            <w:r w:rsidRPr="001B1ED4">
              <w:rPr>
                <w:rFonts w:asciiTheme="majorHAnsi" w:hAnsiTheme="majorHAnsi"/>
                <w:spacing w:val="-2"/>
                <w:sz w:val="20"/>
              </w:rPr>
              <w:t xml:space="preserve"> </w:t>
            </w:r>
            <w:r w:rsidRPr="001B1ED4">
              <w:rPr>
                <w:rFonts w:asciiTheme="majorHAnsi" w:hAnsiTheme="majorHAnsi"/>
                <w:spacing w:val="-1"/>
                <w:sz w:val="20"/>
              </w:rPr>
              <w:t>backache,</w:t>
            </w:r>
            <w:r w:rsidRPr="001B1ED4">
              <w:rPr>
                <w:rFonts w:asciiTheme="majorHAnsi" w:hAnsiTheme="majorHAnsi"/>
                <w:spacing w:val="-2"/>
                <w:sz w:val="20"/>
              </w:rPr>
              <w:t xml:space="preserve"> </w:t>
            </w:r>
            <w:r w:rsidRPr="001B1ED4">
              <w:rPr>
                <w:rFonts w:asciiTheme="majorHAnsi" w:hAnsiTheme="majorHAnsi"/>
                <w:spacing w:val="-1"/>
                <w:sz w:val="20"/>
              </w:rPr>
              <w:t>joint</w:t>
            </w:r>
            <w:r w:rsidRPr="001B1ED4">
              <w:rPr>
                <w:rFonts w:asciiTheme="majorHAnsi" w:hAnsiTheme="majorHAnsi"/>
                <w:spacing w:val="-2"/>
                <w:sz w:val="20"/>
              </w:rPr>
              <w:t xml:space="preserve"> </w:t>
            </w:r>
            <w:r w:rsidRPr="001B1ED4">
              <w:rPr>
                <w:rFonts w:asciiTheme="majorHAnsi" w:hAnsiTheme="majorHAnsi"/>
                <w:spacing w:val="-1"/>
                <w:sz w:val="20"/>
              </w:rPr>
              <w:t>pain,</w:t>
            </w:r>
            <w:r w:rsidRPr="001B1ED4">
              <w:rPr>
                <w:rFonts w:asciiTheme="majorHAnsi" w:hAnsiTheme="majorHAnsi"/>
                <w:sz w:val="20"/>
              </w:rPr>
              <w:t xml:space="preserve"> </w:t>
            </w:r>
            <w:r w:rsidRPr="001B1ED4">
              <w:rPr>
                <w:rFonts w:asciiTheme="majorHAnsi" w:hAnsiTheme="majorHAnsi"/>
                <w:spacing w:val="-1"/>
                <w:sz w:val="20"/>
              </w:rPr>
              <w:t>muscle</w:t>
            </w:r>
            <w:r w:rsidRPr="001B1ED4">
              <w:rPr>
                <w:rFonts w:asciiTheme="majorHAnsi" w:hAnsiTheme="majorHAnsi"/>
                <w:sz w:val="20"/>
              </w:rPr>
              <w:t xml:space="preserve"> </w:t>
            </w:r>
            <w:r w:rsidRPr="001B1ED4">
              <w:rPr>
                <w:rFonts w:asciiTheme="majorHAnsi" w:hAnsiTheme="majorHAnsi"/>
                <w:spacing w:val="-1"/>
                <w:sz w:val="20"/>
              </w:rPr>
              <w:t>atrophy,</w:t>
            </w:r>
            <w:r w:rsidRPr="001B1ED4">
              <w:rPr>
                <w:rFonts w:asciiTheme="majorHAnsi" w:hAnsiTheme="majorHAnsi"/>
                <w:sz w:val="20"/>
              </w:rPr>
              <w:t xml:space="preserve"> </w:t>
            </w:r>
            <w:r w:rsidRPr="001B1ED4">
              <w:rPr>
                <w:rFonts w:asciiTheme="majorHAnsi" w:hAnsiTheme="majorHAnsi"/>
                <w:spacing w:val="-1"/>
                <w:sz w:val="20"/>
              </w:rPr>
              <w:t>limb</w:t>
            </w:r>
            <w:r w:rsidRPr="001B1ED4">
              <w:rPr>
                <w:rFonts w:asciiTheme="majorHAnsi" w:hAnsiTheme="majorHAnsi"/>
                <w:spacing w:val="1"/>
                <w:sz w:val="20"/>
              </w:rPr>
              <w:t xml:space="preserve"> </w:t>
            </w:r>
            <w:r w:rsidRPr="001B1ED4">
              <w:rPr>
                <w:rFonts w:asciiTheme="majorHAnsi" w:hAnsiTheme="majorHAnsi"/>
                <w:spacing w:val="-1"/>
                <w:sz w:val="20"/>
              </w:rPr>
              <w:t>pain</w:t>
            </w:r>
          </w:p>
        </w:tc>
      </w:tr>
      <w:tr w:rsidR="002D23FF" w:rsidRPr="001B1ED4" w14:paraId="756C6581"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456F30E8"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Nervous</w:t>
            </w:r>
          </w:p>
        </w:tc>
        <w:tc>
          <w:tcPr>
            <w:tcW w:w="6678" w:type="dxa"/>
            <w:tcBorders>
              <w:top w:val="single" w:sz="5" w:space="0" w:color="000000"/>
              <w:left w:val="single" w:sz="5" w:space="0" w:color="000000"/>
              <w:bottom w:val="single" w:sz="5" w:space="0" w:color="000000"/>
              <w:right w:val="single" w:sz="5" w:space="0" w:color="000000"/>
            </w:tcBorders>
          </w:tcPr>
          <w:p w14:paraId="55B3FFE2" w14:textId="77777777" w:rsidR="002D23FF" w:rsidRPr="001B1ED4" w:rsidRDefault="002D23FF" w:rsidP="00C60D10">
            <w:pPr>
              <w:pStyle w:val="TableParagraph"/>
              <w:spacing w:line="226" w:lineRule="exact"/>
              <w:ind w:left="101"/>
              <w:rPr>
                <w:rFonts w:asciiTheme="majorHAnsi" w:eastAsia="Times New Roman" w:hAnsiTheme="majorHAnsi" w:cs="Times New Roman"/>
                <w:sz w:val="20"/>
                <w:szCs w:val="20"/>
              </w:rPr>
            </w:pPr>
            <w:r w:rsidRPr="001B1ED4">
              <w:rPr>
                <w:rFonts w:asciiTheme="majorHAnsi" w:hAnsiTheme="majorHAnsi"/>
                <w:spacing w:val="-1"/>
                <w:sz w:val="20"/>
              </w:rPr>
              <w:t xml:space="preserve">Disturbance </w:t>
            </w:r>
            <w:r w:rsidRPr="001B1ED4">
              <w:rPr>
                <w:rFonts w:asciiTheme="majorHAnsi" w:hAnsiTheme="majorHAnsi"/>
                <w:sz w:val="20"/>
              </w:rPr>
              <w:t>of</w:t>
            </w:r>
            <w:r w:rsidRPr="001B1ED4">
              <w:rPr>
                <w:rFonts w:asciiTheme="majorHAnsi" w:hAnsiTheme="majorHAnsi"/>
                <w:spacing w:val="-1"/>
                <w:sz w:val="20"/>
              </w:rPr>
              <w:t xml:space="preserve"> smell </w:t>
            </w:r>
            <w:r w:rsidRPr="001B1ED4">
              <w:rPr>
                <w:rFonts w:asciiTheme="majorHAnsi" w:hAnsiTheme="majorHAnsi"/>
                <w:sz w:val="20"/>
              </w:rPr>
              <w:t xml:space="preserve">and </w:t>
            </w:r>
            <w:r w:rsidRPr="001B1ED4">
              <w:rPr>
                <w:rFonts w:asciiTheme="majorHAnsi" w:hAnsiTheme="majorHAnsi"/>
                <w:spacing w:val="-1"/>
                <w:sz w:val="20"/>
              </w:rPr>
              <w:t>taste,</w:t>
            </w:r>
            <w:r w:rsidRPr="001B1ED4">
              <w:rPr>
                <w:rFonts w:asciiTheme="majorHAnsi" w:hAnsiTheme="majorHAnsi"/>
                <w:sz w:val="20"/>
              </w:rPr>
              <w:t xml:space="preserve"> </w:t>
            </w:r>
            <w:r w:rsidRPr="001B1ED4">
              <w:rPr>
                <w:rFonts w:asciiTheme="majorHAnsi" w:hAnsiTheme="majorHAnsi"/>
                <w:spacing w:val="-1"/>
                <w:sz w:val="20"/>
              </w:rPr>
              <w:t>depression,</w:t>
            </w:r>
            <w:r w:rsidRPr="001B1ED4">
              <w:rPr>
                <w:rFonts w:asciiTheme="majorHAnsi" w:hAnsiTheme="majorHAnsi"/>
                <w:spacing w:val="-2"/>
                <w:sz w:val="20"/>
              </w:rPr>
              <w:t xml:space="preserve"> </w:t>
            </w:r>
            <w:r w:rsidRPr="001B1ED4">
              <w:rPr>
                <w:rFonts w:asciiTheme="majorHAnsi" w:hAnsiTheme="majorHAnsi"/>
                <w:spacing w:val="-1"/>
                <w:sz w:val="20"/>
              </w:rPr>
              <w:t>vertigo</w:t>
            </w:r>
          </w:p>
        </w:tc>
      </w:tr>
      <w:tr w:rsidR="002D23FF" w:rsidRPr="001B1ED4" w14:paraId="5A0556C4"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5A7EEEFD"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Psychiatric</w:t>
            </w:r>
          </w:p>
        </w:tc>
        <w:tc>
          <w:tcPr>
            <w:tcW w:w="6678" w:type="dxa"/>
            <w:tcBorders>
              <w:top w:val="single" w:sz="5" w:space="0" w:color="000000"/>
              <w:left w:val="single" w:sz="5" w:space="0" w:color="000000"/>
              <w:bottom w:val="single" w:sz="5" w:space="0" w:color="000000"/>
              <w:right w:val="single" w:sz="5" w:space="0" w:color="000000"/>
            </w:tcBorders>
          </w:tcPr>
          <w:p w14:paraId="52A333C1" w14:textId="77777777" w:rsidR="002D23FF" w:rsidRPr="001B1ED4" w:rsidRDefault="002D23FF" w:rsidP="00C60D10">
            <w:pPr>
              <w:pStyle w:val="TableParagraph"/>
              <w:spacing w:line="226" w:lineRule="exact"/>
              <w:ind w:left="103"/>
              <w:rPr>
                <w:rFonts w:asciiTheme="majorHAnsi" w:eastAsia="Times New Roman" w:hAnsiTheme="majorHAnsi" w:cs="Times New Roman"/>
                <w:sz w:val="20"/>
                <w:szCs w:val="20"/>
              </w:rPr>
            </w:pPr>
            <w:r w:rsidRPr="001B1ED4">
              <w:rPr>
                <w:rFonts w:asciiTheme="majorHAnsi" w:hAnsiTheme="majorHAnsi"/>
                <w:spacing w:val="-1"/>
                <w:sz w:val="20"/>
              </w:rPr>
              <w:t>Insomnia,</w:t>
            </w:r>
            <w:r w:rsidRPr="001B1ED4">
              <w:rPr>
                <w:rFonts w:asciiTheme="majorHAnsi" w:hAnsiTheme="majorHAnsi"/>
                <w:sz w:val="20"/>
              </w:rPr>
              <w:t xml:space="preserve"> </w:t>
            </w:r>
            <w:r w:rsidRPr="001B1ED4">
              <w:rPr>
                <w:rFonts w:asciiTheme="majorHAnsi" w:hAnsiTheme="majorHAnsi"/>
                <w:spacing w:val="-1"/>
                <w:sz w:val="20"/>
              </w:rPr>
              <w:t>depression,</w:t>
            </w:r>
            <w:r w:rsidRPr="001B1ED4">
              <w:rPr>
                <w:rFonts w:asciiTheme="majorHAnsi" w:hAnsiTheme="majorHAnsi"/>
                <w:sz w:val="20"/>
              </w:rPr>
              <w:t xml:space="preserve"> </w:t>
            </w:r>
            <w:r w:rsidRPr="001B1ED4">
              <w:rPr>
                <w:rFonts w:asciiTheme="majorHAnsi" w:hAnsiTheme="majorHAnsi"/>
                <w:spacing w:val="-1"/>
                <w:sz w:val="20"/>
              </w:rPr>
              <w:t xml:space="preserve">loss </w:t>
            </w:r>
            <w:r w:rsidRPr="001B1ED4">
              <w:rPr>
                <w:rFonts w:asciiTheme="majorHAnsi" w:hAnsiTheme="majorHAnsi"/>
                <w:sz w:val="20"/>
              </w:rPr>
              <w:t>of</w:t>
            </w:r>
            <w:r w:rsidRPr="001B1ED4">
              <w:rPr>
                <w:rFonts w:asciiTheme="majorHAnsi" w:hAnsiTheme="majorHAnsi"/>
                <w:spacing w:val="-2"/>
                <w:sz w:val="20"/>
              </w:rPr>
              <w:t xml:space="preserve"> </w:t>
            </w:r>
            <w:r w:rsidRPr="001B1ED4">
              <w:rPr>
                <w:rFonts w:asciiTheme="majorHAnsi" w:hAnsiTheme="majorHAnsi"/>
                <w:spacing w:val="-1"/>
                <w:sz w:val="20"/>
              </w:rPr>
              <w:t>libido*</w:t>
            </w:r>
          </w:p>
        </w:tc>
      </w:tr>
      <w:tr w:rsidR="002D23FF" w:rsidRPr="001B1ED4" w14:paraId="498F66EE"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19DE8D60"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Skin</w:t>
            </w:r>
          </w:p>
        </w:tc>
        <w:tc>
          <w:tcPr>
            <w:tcW w:w="6678" w:type="dxa"/>
            <w:tcBorders>
              <w:top w:val="single" w:sz="5" w:space="0" w:color="000000"/>
              <w:left w:val="single" w:sz="5" w:space="0" w:color="000000"/>
              <w:bottom w:val="single" w:sz="5" w:space="0" w:color="000000"/>
              <w:right w:val="single" w:sz="5" w:space="0" w:color="000000"/>
            </w:tcBorders>
          </w:tcPr>
          <w:p w14:paraId="09E24C22"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Alopecia,</w:t>
            </w:r>
            <w:r w:rsidRPr="001B1ED4">
              <w:rPr>
                <w:rFonts w:asciiTheme="majorHAnsi" w:hAnsiTheme="majorHAnsi"/>
                <w:sz w:val="20"/>
              </w:rPr>
              <w:t xml:space="preserve"> </w:t>
            </w:r>
            <w:r w:rsidRPr="001B1ED4">
              <w:rPr>
                <w:rFonts w:asciiTheme="majorHAnsi" w:hAnsiTheme="majorHAnsi"/>
                <w:spacing w:val="-1"/>
                <w:sz w:val="20"/>
              </w:rPr>
              <w:t>clamminess, night sweats*,</w:t>
            </w:r>
            <w:r w:rsidRPr="001B1ED4">
              <w:rPr>
                <w:rFonts w:asciiTheme="majorHAnsi" w:hAnsiTheme="majorHAnsi"/>
                <w:sz w:val="20"/>
              </w:rPr>
              <w:t xml:space="preserve"> </w:t>
            </w:r>
            <w:r w:rsidRPr="001B1ED4">
              <w:rPr>
                <w:rFonts w:asciiTheme="majorHAnsi" w:hAnsiTheme="majorHAnsi"/>
                <w:spacing w:val="-1"/>
                <w:sz w:val="20"/>
              </w:rPr>
              <w:t>sweating</w:t>
            </w:r>
            <w:r w:rsidRPr="001B1ED4">
              <w:rPr>
                <w:rFonts w:asciiTheme="majorHAnsi" w:hAnsiTheme="majorHAnsi"/>
                <w:sz w:val="20"/>
              </w:rPr>
              <w:t xml:space="preserve"> </w:t>
            </w:r>
            <w:r w:rsidRPr="001B1ED4">
              <w:rPr>
                <w:rFonts w:asciiTheme="majorHAnsi" w:hAnsiTheme="majorHAnsi"/>
                <w:spacing w:val="-1"/>
                <w:sz w:val="20"/>
              </w:rPr>
              <w:t>increased*</w:t>
            </w:r>
          </w:p>
        </w:tc>
      </w:tr>
      <w:tr w:rsidR="002D23FF" w:rsidRPr="001B1ED4" w14:paraId="2B40204F" w14:textId="77777777" w:rsidTr="00BF5351">
        <w:trPr>
          <w:trHeight w:hRule="exact" w:val="529"/>
        </w:trPr>
        <w:tc>
          <w:tcPr>
            <w:tcW w:w="2538" w:type="dxa"/>
            <w:tcBorders>
              <w:top w:val="single" w:sz="5" w:space="0" w:color="000000"/>
              <w:left w:val="single" w:sz="5" w:space="0" w:color="000000"/>
              <w:bottom w:val="single" w:sz="5" w:space="0" w:color="000000"/>
              <w:right w:val="single" w:sz="5" w:space="0" w:color="000000"/>
            </w:tcBorders>
          </w:tcPr>
          <w:p w14:paraId="1D6C833E"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Urogenital</w:t>
            </w:r>
            <w:r w:rsidRPr="001B1ED4">
              <w:rPr>
                <w:rFonts w:asciiTheme="majorHAnsi" w:hAnsiTheme="majorHAnsi"/>
                <w:spacing w:val="1"/>
                <w:sz w:val="20"/>
              </w:rPr>
              <w:t xml:space="preserve"> </w:t>
            </w:r>
            <w:r w:rsidRPr="001B1ED4">
              <w:rPr>
                <w:rFonts w:asciiTheme="majorHAnsi" w:hAnsiTheme="majorHAnsi"/>
                <w:sz w:val="20"/>
              </w:rPr>
              <w:t xml:space="preserve">/ </w:t>
            </w:r>
            <w:r w:rsidRPr="001B1ED4">
              <w:rPr>
                <w:rFonts w:asciiTheme="majorHAnsi" w:hAnsiTheme="majorHAnsi"/>
                <w:spacing w:val="-2"/>
                <w:sz w:val="20"/>
              </w:rPr>
              <w:t>Reproductive</w:t>
            </w:r>
          </w:p>
        </w:tc>
        <w:tc>
          <w:tcPr>
            <w:tcW w:w="6678" w:type="dxa"/>
            <w:tcBorders>
              <w:top w:val="single" w:sz="5" w:space="0" w:color="000000"/>
              <w:left w:val="single" w:sz="5" w:space="0" w:color="000000"/>
              <w:bottom w:val="single" w:sz="5" w:space="0" w:color="000000"/>
              <w:right w:val="single" w:sz="5" w:space="0" w:color="000000"/>
            </w:tcBorders>
          </w:tcPr>
          <w:p w14:paraId="66F39FA3" w14:textId="77777777" w:rsidR="002D23FF" w:rsidRPr="001B1ED4" w:rsidRDefault="002D23FF" w:rsidP="00C60D10">
            <w:pPr>
              <w:pStyle w:val="TableParagraph"/>
              <w:ind w:left="102"/>
              <w:rPr>
                <w:rFonts w:asciiTheme="majorHAnsi" w:eastAsia="Times New Roman" w:hAnsiTheme="majorHAnsi" w:cs="Times New Roman"/>
                <w:sz w:val="20"/>
                <w:szCs w:val="20"/>
              </w:rPr>
            </w:pPr>
            <w:r w:rsidRPr="001B1ED4">
              <w:rPr>
                <w:rFonts w:asciiTheme="majorHAnsi" w:hAnsiTheme="majorHAnsi"/>
                <w:spacing w:val="-1"/>
                <w:sz w:val="20"/>
              </w:rPr>
              <w:t>Decreased</w:t>
            </w:r>
            <w:r w:rsidRPr="001B1ED4">
              <w:rPr>
                <w:rFonts w:asciiTheme="majorHAnsi" w:hAnsiTheme="majorHAnsi"/>
                <w:spacing w:val="1"/>
                <w:sz w:val="20"/>
              </w:rPr>
              <w:t xml:space="preserve"> </w:t>
            </w:r>
            <w:r w:rsidRPr="001B1ED4">
              <w:rPr>
                <w:rFonts w:asciiTheme="majorHAnsi" w:hAnsiTheme="majorHAnsi"/>
                <w:spacing w:val="-1"/>
                <w:sz w:val="20"/>
              </w:rPr>
              <w:t>libido*,</w:t>
            </w:r>
            <w:r w:rsidRPr="001B1ED4">
              <w:rPr>
                <w:rFonts w:asciiTheme="majorHAnsi" w:hAnsiTheme="majorHAnsi"/>
                <w:sz w:val="20"/>
              </w:rPr>
              <w:t xml:space="preserve"> </w:t>
            </w:r>
            <w:proofErr w:type="spellStart"/>
            <w:r w:rsidRPr="001B1ED4">
              <w:rPr>
                <w:rFonts w:asciiTheme="majorHAnsi" w:hAnsiTheme="majorHAnsi"/>
                <w:spacing w:val="-2"/>
                <w:sz w:val="20"/>
              </w:rPr>
              <w:t>gynaecomastia</w:t>
            </w:r>
            <w:proofErr w:type="spellEnd"/>
            <w:r w:rsidRPr="001B1ED4">
              <w:rPr>
                <w:rFonts w:asciiTheme="majorHAnsi" w:hAnsiTheme="majorHAnsi"/>
                <w:spacing w:val="-2"/>
                <w:sz w:val="20"/>
              </w:rPr>
              <w:t>*,</w:t>
            </w:r>
            <w:r w:rsidRPr="001B1ED4">
              <w:rPr>
                <w:rFonts w:asciiTheme="majorHAnsi" w:hAnsiTheme="majorHAnsi"/>
                <w:sz w:val="20"/>
              </w:rPr>
              <w:t xml:space="preserve"> </w:t>
            </w:r>
            <w:r w:rsidRPr="001B1ED4">
              <w:rPr>
                <w:rFonts w:asciiTheme="majorHAnsi" w:hAnsiTheme="majorHAnsi"/>
                <w:spacing w:val="-1"/>
                <w:sz w:val="20"/>
              </w:rPr>
              <w:t>breast</w:t>
            </w:r>
            <w:r w:rsidRPr="001B1ED4">
              <w:rPr>
                <w:rFonts w:asciiTheme="majorHAnsi" w:hAnsiTheme="majorHAnsi"/>
                <w:sz w:val="20"/>
              </w:rPr>
              <w:t xml:space="preserve"> </w:t>
            </w:r>
            <w:r w:rsidRPr="001B1ED4">
              <w:rPr>
                <w:rFonts w:asciiTheme="majorHAnsi" w:hAnsiTheme="majorHAnsi"/>
                <w:spacing w:val="-1"/>
                <w:sz w:val="20"/>
              </w:rPr>
              <w:t>tenderness*,</w:t>
            </w:r>
            <w:r w:rsidRPr="001B1ED4">
              <w:rPr>
                <w:rFonts w:asciiTheme="majorHAnsi" w:hAnsiTheme="majorHAnsi"/>
                <w:sz w:val="20"/>
              </w:rPr>
              <w:t xml:space="preserve"> </w:t>
            </w:r>
            <w:r w:rsidRPr="001B1ED4">
              <w:rPr>
                <w:rFonts w:asciiTheme="majorHAnsi" w:hAnsiTheme="majorHAnsi"/>
                <w:spacing w:val="-1"/>
                <w:sz w:val="20"/>
              </w:rPr>
              <w:t>testicular</w:t>
            </w:r>
            <w:r w:rsidRPr="001B1ED4">
              <w:rPr>
                <w:rFonts w:asciiTheme="majorHAnsi" w:hAnsiTheme="majorHAnsi"/>
                <w:sz w:val="20"/>
              </w:rPr>
              <w:t xml:space="preserve"> </w:t>
            </w:r>
            <w:r w:rsidRPr="001B1ED4">
              <w:rPr>
                <w:rFonts w:asciiTheme="majorHAnsi" w:hAnsiTheme="majorHAnsi"/>
                <w:spacing w:val="-1"/>
                <w:sz w:val="20"/>
              </w:rPr>
              <w:t>atrophy*,</w:t>
            </w:r>
            <w:r w:rsidRPr="001B1ED4">
              <w:rPr>
                <w:rFonts w:asciiTheme="majorHAnsi" w:hAnsiTheme="majorHAnsi"/>
                <w:spacing w:val="77"/>
                <w:sz w:val="20"/>
              </w:rPr>
              <w:t xml:space="preserve"> </w:t>
            </w:r>
            <w:r w:rsidRPr="001B1ED4">
              <w:rPr>
                <w:rFonts w:asciiTheme="majorHAnsi" w:hAnsiTheme="majorHAnsi"/>
                <w:spacing w:val="-1"/>
                <w:sz w:val="20"/>
              </w:rPr>
              <w:t>testicular</w:t>
            </w:r>
            <w:r w:rsidRPr="001B1ED4">
              <w:rPr>
                <w:rFonts w:asciiTheme="majorHAnsi" w:hAnsiTheme="majorHAnsi"/>
                <w:sz w:val="20"/>
              </w:rPr>
              <w:t xml:space="preserve"> </w:t>
            </w:r>
            <w:r w:rsidRPr="001B1ED4">
              <w:rPr>
                <w:rFonts w:asciiTheme="majorHAnsi" w:hAnsiTheme="majorHAnsi"/>
                <w:spacing w:val="-1"/>
                <w:sz w:val="20"/>
              </w:rPr>
              <w:t>pain,</w:t>
            </w:r>
            <w:r w:rsidRPr="001B1ED4">
              <w:rPr>
                <w:rFonts w:asciiTheme="majorHAnsi" w:hAnsiTheme="majorHAnsi"/>
                <w:spacing w:val="-2"/>
                <w:sz w:val="20"/>
              </w:rPr>
              <w:t xml:space="preserve"> </w:t>
            </w:r>
            <w:r w:rsidRPr="001B1ED4">
              <w:rPr>
                <w:rFonts w:asciiTheme="majorHAnsi" w:hAnsiTheme="majorHAnsi"/>
                <w:spacing w:val="-1"/>
                <w:sz w:val="20"/>
              </w:rPr>
              <w:t>erectile dysfunction*,</w:t>
            </w:r>
            <w:r w:rsidRPr="001B1ED4">
              <w:rPr>
                <w:rFonts w:asciiTheme="majorHAnsi" w:hAnsiTheme="majorHAnsi"/>
                <w:spacing w:val="-2"/>
                <w:sz w:val="20"/>
              </w:rPr>
              <w:t xml:space="preserve"> </w:t>
            </w:r>
            <w:r w:rsidRPr="001B1ED4">
              <w:rPr>
                <w:rFonts w:asciiTheme="majorHAnsi" w:hAnsiTheme="majorHAnsi"/>
                <w:spacing w:val="-1"/>
                <w:sz w:val="20"/>
              </w:rPr>
              <w:t>penis</w:t>
            </w:r>
            <w:r w:rsidRPr="001B1ED4">
              <w:rPr>
                <w:rFonts w:asciiTheme="majorHAnsi" w:hAnsiTheme="majorHAnsi"/>
                <w:sz w:val="20"/>
              </w:rPr>
              <w:t xml:space="preserve"> </w:t>
            </w:r>
            <w:r w:rsidRPr="001B1ED4">
              <w:rPr>
                <w:rFonts w:asciiTheme="majorHAnsi" w:hAnsiTheme="majorHAnsi"/>
                <w:spacing w:val="-1"/>
                <w:sz w:val="20"/>
              </w:rPr>
              <w:t>disorder*,</w:t>
            </w:r>
            <w:r w:rsidRPr="001B1ED4">
              <w:rPr>
                <w:rFonts w:asciiTheme="majorHAnsi" w:hAnsiTheme="majorHAnsi"/>
                <w:sz w:val="20"/>
              </w:rPr>
              <w:t xml:space="preserve"> </w:t>
            </w:r>
            <w:r w:rsidRPr="001B1ED4">
              <w:rPr>
                <w:rFonts w:asciiTheme="majorHAnsi" w:hAnsiTheme="majorHAnsi"/>
                <w:spacing w:val="-1"/>
                <w:sz w:val="20"/>
              </w:rPr>
              <w:t>reduced penile</w:t>
            </w:r>
            <w:r w:rsidRPr="001B1ED4">
              <w:rPr>
                <w:rFonts w:asciiTheme="majorHAnsi" w:hAnsiTheme="majorHAnsi"/>
                <w:sz w:val="20"/>
              </w:rPr>
              <w:t xml:space="preserve"> </w:t>
            </w:r>
            <w:r w:rsidRPr="001B1ED4">
              <w:rPr>
                <w:rFonts w:asciiTheme="majorHAnsi" w:hAnsiTheme="majorHAnsi"/>
                <w:spacing w:val="-1"/>
                <w:sz w:val="20"/>
              </w:rPr>
              <w:t>size*</w:t>
            </w:r>
          </w:p>
        </w:tc>
      </w:tr>
      <w:tr w:rsidR="002D23FF" w:rsidRPr="001B1ED4" w14:paraId="7B5B6A18" w14:textId="77777777" w:rsidTr="00BF5351">
        <w:trPr>
          <w:trHeight w:hRule="exact" w:val="789"/>
        </w:trPr>
        <w:tc>
          <w:tcPr>
            <w:tcW w:w="2538" w:type="dxa"/>
            <w:tcBorders>
              <w:top w:val="single" w:sz="5" w:space="0" w:color="000000"/>
              <w:left w:val="single" w:sz="5" w:space="0" w:color="000000"/>
              <w:bottom w:val="single" w:sz="5" w:space="0" w:color="000000"/>
              <w:right w:val="single" w:sz="5" w:space="0" w:color="000000"/>
            </w:tcBorders>
          </w:tcPr>
          <w:p w14:paraId="56244659" w14:textId="77777777" w:rsidR="002D23FF" w:rsidRPr="001B1ED4" w:rsidRDefault="002D23FF" w:rsidP="00C60D10">
            <w:pPr>
              <w:pStyle w:val="TableParagraph"/>
              <w:spacing w:line="227" w:lineRule="exact"/>
              <w:ind w:left="102"/>
              <w:rPr>
                <w:rFonts w:asciiTheme="majorHAnsi" w:eastAsia="Times New Roman" w:hAnsiTheme="majorHAnsi" w:cs="Times New Roman"/>
                <w:sz w:val="20"/>
                <w:szCs w:val="20"/>
              </w:rPr>
            </w:pPr>
            <w:r w:rsidRPr="001B1ED4">
              <w:rPr>
                <w:rFonts w:asciiTheme="majorHAnsi" w:hAnsiTheme="majorHAnsi"/>
                <w:spacing w:val="-1"/>
                <w:sz w:val="20"/>
              </w:rPr>
              <w:t>Renal and urinary disorders</w:t>
            </w:r>
          </w:p>
        </w:tc>
        <w:tc>
          <w:tcPr>
            <w:tcW w:w="6678" w:type="dxa"/>
            <w:tcBorders>
              <w:top w:val="single" w:sz="5" w:space="0" w:color="000000"/>
              <w:left w:val="single" w:sz="5" w:space="0" w:color="000000"/>
              <w:bottom w:val="single" w:sz="5" w:space="0" w:color="000000"/>
              <w:right w:val="single" w:sz="5" w:space="0" w:color="000000"/>
            </w:tcBorders>
          </w:tcPr>
          <w:p w14:paraId="48ABA165" w14:textId="77777777" w:rsidR="002D23FF" w:rsidRPr="001B1ED4" w:rsidRDefault="002D23FF" w:rsidP="00C60D10">
            <w:pPr>
              <w:pStyle w:val="TableParagraph"/>
              <w:spacing w:line="230" w:lineRule="exact"/>
              <w:ind w:left="102" w:right="327"/>
              <w:rPr>
                <w:rFonts w:asciiTheme="majorHAnsi" w:eastAsia="Times New Roman" w:hAnsiTheme="majorHAnsi" w:cs="Times New Roman"/>
                <w:sz w:val="20"/>
                <w:szCs w:val="20"/>
              </w:rPr>
            </w:pPr>
            <w:r w:rsidRPr="001B1ED4">
              <w:rPr>
                <w:rFonts w:asciiTheme="majorHAnsi" w:hAnsiTheme="majorHAnsi"/>
                <w:spacing w:val="-1"/>
                <w:sz w:val="20"/>
              </w:rPr>
              <w:t>Difficulties with urination,</w:t>
            </w:r>
            <w:r w:rsidRPr="001B1ED4">
              <w:rPr>
                <w:rFonts w:asciiTheme="majorHAnsi" w:hAnsiTheme="majorHAnsi"/>
                <w:spacing w:val="-2"/>
                <w:sz w:val="20"/>
              </w:rPr>
              <w:t xml:space="preserve"> </w:t>
            </w:r>
            <w:r w:rsidRPr="001B1ED4">
              <w:rPr>
                <w:rFonts w:asciiTheme="majorHAnsi" w:hAnsiTheme="majorHAnsi"/>
                <w:spacing w:val="-1"/>
                <w:sz w:val="20"/>
              </w:rPr>
              <w:t xml:space="preserve">pain </w:t>
            </w:r>
            <w:r w:rsidRPr="001B1ED4">
              <w:rPr>
                <w:rFonts w:asciiTheme="majorHAnsi" w:hAnsiTheme="majorHAnsi"/>
                <w:sz w:val="20"/>
              </w:rPr>
              <w:t>on</w:t>
            </w:r>
            <w:r w:rsidRPr="001B1ED4">
              <w:rPr>
                <w:rFonts w:asciiTheme="majorHAnsi" w:hAnsiTheme="majorHAnsi"/>
                <w:spacing w:val="-1"/>
                <w:sz w:val="20"/>
              </w:rPr>
              <w:t xml:space="preserve"> urination,</w:t>
            </w:r>
            <w:r w:rsidRPr="001B1ED4">
              <w:rPr>
                <w:rFonts w:asciiTheme="majorHAnsi" w:hAnsiTheme="majorHAnsi"/>
                <w:spacing w:val="-2"/>
                <w:sz w:val="20"/>
              </w:rPr>
              <w:t xml:space="preserve"> </w:t>
            </w:r>
            <w:r w:rsidRPr="001B1ED4">
              <w:rPr>
                <w:rFonts w:asciiTheme="majorHAnsi" w:hAnsiTheme="majorHAnsi"/>
                <w:spacing w:val="-1"/>
                <w:sz w:val="20"/>
              </w:rPr>
              <w:t>scanty</w:t>
            </w:r>
            <w:r w:rsidRPr="001B1ED4">
              <w:rPr>
                <w:rFonts w:asciiTheme="majorHAnsi" w:hAnsiTheme="majorHAnsi"/>
                <w:sz w:val="20"/>
              </w:rPr>
              <w:t xml:space="preserve"> </w:t>
            </w:r>
            <w:r w:rsidRPr="001B1ED4">
              <w:rPr>
                <w:rFonts w:asciiTheme="majorHAnsi" w:hAnsiTheme="majorHAnsi"/>
                <w:spacing w:val="-1"/>
                <w:sz w:val="20"/>
              </w:rPr>
              <w:t>urination, bladder</w:t>
            </w:r>
            <w:r w:rsidRPr="001B1ED4">
              <w:rPr>
                <w:rFonts w:asciiTheme="majorHAnsi" w:hAnsiTheme="majorHAnsi"/>
                <w:sz w:val="20"/>
              </w:rPr>
              <w:t xml:space="preserve"> </w:t>
            </w:r>
            <w:r w:rsidRPr="001B1ED4">
              <w:rPr>
                <w:rFonts w:asciiTheme="majorHAnsi" w:hAnsiTheme="majorHAnsi"/>
                <w:spacing w:val="-1"/>
                <w:sz w:val="20"/>
              </w:rPr>
              <w:t>spasm,</w:t>
            </w:r>
            <w:r w:rsidRPr="001B1ED4">
              <w:rPr>
                <w:rFonts w:asciiTheme="majorHAnsi" w:hAnsiTheme="majorHAnsi"/>
                <w:spacing w:val="45"/>
                <w:sz w:val="20"/>
              </w:rPr>
              <w:t xml:space="preserve"> </w:t>
            </w:r>
            <w:r w:rsidRPr="001B1ED4">
              <w:rPr>
                <w:rFonts w:asciiTheme="majorHAnsi" w:hAnsiTheme="majorHAnsi"/>
                <w:spacing w:val="-1"/>
                <w:sz w:val="20"/>
              </w:rPr>
              <w:t>blood in urine</w:t>
            </w:r>
            <w:r w:rsidRPr="001B1ED4">
              <w:rPr>
                <w:rFonts w:asciiTheme="majorHAnsi" w:hAnsiTheme="majorHAnsi"/>
                <w:spacing w:val="-2"/>
                <w:sz w:val="20"/>
              </w:rPr>
              <w:t xml:space="preserve"> </w:t>
            </w:r>
            <w:r w:rsidRPr="001B1ED4">
              <w:rPr>
                <w:rFonts w:asciiTheme="majorHAnsi" w:hAnsiTheme="majorHAnsi"/>
                <w:spacing w:val="-1"/>
                <w:sz w:val="20"/>
              </w:rPr>
              <w:t>and urinary retention,</w:t>
            </w:r>
            <w:r w:rsidRPr="001B1ED4">
              <w:rPr>
                <w:rFonts w:asciiTheme="majorHAnsi" w:hAnsiTheme="majorHAnsi"/>
                <w:spacing w:val="-2"/>
                <w:sz w:val="20"/>
              </w:rPr>
              <w:t xml:space="preserve"> </w:t>
            </w:r>
            <w:r w:rsidRPr="001B1ED4">
              <w:rPr>
                <w:rFonts w:asciiTheme="majorHAnsi" w:hAnsiTheme="majorHAnsi"/>
                <w:spacing w:val="-1"/>
                <w:sz w:val="20"/>
              </w:rPr>
              <w:t>urinary</w:t>
            </w:r>
            <w:r w:rsidRPr="001B1ED4">
              <w:rPr>
                <w:rFonts w:asciiTheme="majorHAnsi" w:hAnsiTheme="majorHAnsi"/>
                <w:spacing w:val="-2"/>
                <w:sz w:val="20"/>
              </w:rPr>
              <w:t xml:space="preserve"> </w:t>
            </w:r>
            <w:r w:rsidRPr="001B1ED4">
              <w:rPr>
                <w:rFonts w:asciiTheme="majorHAnsi" w:hAnsiTheme="majorHAnsi"/>
                <w:spacing w:val="-1"/>
                <w:sz w:val="20"/>
              </w:rPr>
              <w:t>urgency, incontinence,</w:t>
            </w:r>
            <w:r w:rsidRPr="001B1ED4">
              <w:rPr>
                <w:rFonts w:asciiTheme="majorHAnsi" w:hAnsiTheme="majorHAnsi"/>
                <w:spacing w:val="-2"/>
                <w:sz w:val="20"/>
              </w:rPr>
              <w:t xml:space="preserve"> </w:t>
            </w:r>
            <w:r w:rsidRPr="001B1ED4">
              <w:rPr>
                <w:rFonts w:asciiTheme="majorHAnsi" w:hAnsiTheme="majorHAnsi"/>
                <w:spacing w:val="-1"/>
                <w:sz w:val="20"/>
              </w:rPr>
              <w:t>nocturia, urinary tract infection</w:t>
            </w:r>
          </w:p>
        </w:tc>
      </w:tr>
      <w:tr w:rsidR="002D23FF" w:rsidRPr="001B1ED4" w14:paraId="19985190" w14:textId="77777777" w:rsidTr="00BF5351">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7D0202B7"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Vascular</w:t>
            </w:r>
          </w:p>
        </w:tc>
        <w:tc>
          <w:tcPr>
            <w:tcW w:w="6678" w:type="dxa"/>
            <w:tcBorders>
              <w:top w:val="single" w:sz="5" w:space="0" w:color="000000"/>
              <w:left w:val="single" w:sz="5" w:space="0" w:color="000000"/>
              <w:bottom w:val="single" w:sz="5" w:space="0" w:color="000000"/>
              <w:right w:val="single" w:sz="5" w:space="0" w:color="000000"/>
            </w:tcBorders>
          </w:tcPr>
          <w:p w14:paraId="512F2B2E" w14:textId="77777777" w:rsidR="002D23FF" w:rsidRPr="001B1ED4" w:rsidRDefault="002D23FF" w:rsidP="00C60D10">
            <w:pPr>
              <w:pStyle w:val="TableParagraph"/>
              <w:spacing w:line="226" w:lineRule="exact"/>
              <w:ind w:left="102"/>
              <w:rPr>
                <w:rFonts w:asciiTheme="majorHAnsi" w:eastAsia="Times New Roman" w:hAnsiTheme="majorHAnsi" w:cs="Times New Roman"/>
                <w:sz w:val="20"/>
                <w:szCs w:val="20"/>
              </w:rPr>
            </w:pPr>
            <w:r w:rsidRPr="001B1ED4">
              <w:rPr>
                <w:rFonts w:asciiTheme="majorHAnsi" w:hAnsiTheme="majorHAnsi"/>
                <w:spacing w:val="-1"/>
                <w:sz w:val="20"/>
              </w:rPr>
              <w:t>Hypertension,</w:t>
            </w:r>
            <w:r w:rsidRPr="001B1ED4">
              <w:rPr>
                <w:rFonts w:asciiTheme="majorHAnsi" w:hAnsiTheme="majorHAnsi"/>
                <w:spacing w:val="-2"/>
                <w:sz w:val="20"/>
              </w:rPr>
              <w:t xml:space="preserve"> </w:t>
            </w:r>
            <w:r w:rsidRPr="001B1ED4">
              <w:rPr>
                <w:rFonts w:asciiTheme="majorHAnsi" w:hAnsiTheme="majorHAnsi"/>
                <w:spacing w:val="-1"/>
                <w:sz w:val="20"/>
              </w:rPr>
              <w:t>hypotension</w:t>
            </w:r>
          </w:p>
        </w:tc>
      </w:tr>
    </w:tbl>
    <w:p w14:paraId="037DD097" w14:textId="6056A2DE" w:rsidR="002D23FF" w:rsidRPr="001B1ED4" w:rsidRDefault="00090D1E" w:rsidP="004278B2">
      <w:pPr>
        <w:widowControl w:val="0"/>
        <w:spacing w:after="0" w:line="226" w:lineRule="exact"/>
        <w:ind w:left="284"/>
        <w:contextualSpacing/>
        <w:rPr>
          <w:rFonts w:asciiTheme="majorHAnsi" w:eastAsia="Times New Roman" w:hAnsiTheme="majorHAnsi" w:cs="Times New Roman"/>
          <w:sz w:val="20"/>
          <w:szCs w:val="20"/>
        </w:rPr>
      </w:pPr>
      <w:r w:rsidRPr="00090D1E">
        <w:rPr>
          <w:rFonts w:asciiTheme="majorHAnsi" w:eastAsia="Times New Roman" w:hAnsiTheme="majorHAnsi" w:cs="Times New Roman"/>
          <w:spacing w:val="-1"/>
          <w:sz w:val="20"/>
          <w:szCs w:val="20"/>
          <w:vertAlign w:val="superscript"/>
        </w:rPr>
        <w:t>1</w:t>
      </w:r>
      <w:r>
        <w:rPr>
          <w:rFonts w:asciiTheme="majorHAnsi" w:eastAsia="Times New Roman" w:hAnsiTheme="majorHAnsi" w:cs="Times New Roman"/>
          <w:spacing w:val="-1"/>
          <w:sz w:val="20"/>
          <w:szCs w:val="20"/>
        </w:rPr>
        <w:t xml:space="preserve"> </w:t>
      </w:r>
      <w:r w:rsidR="002D23FF" w:rsidRPr="001B1ED4">
        <w:rPr>
          <w:rFonts w:asciiTheme="majorHAnsi" w:eastAsia="Times New Roman" w:hAnsiTheme="majorHAnsi" w:cs="Times New Roman"/>
          <w:spacing w:val="-1"/>
          <w:sz w:val="20"/>
          <w:szCs w:val="20"/>
        </w:rPr>
        <w:t xml:space="preserve">adverse </w:t>
      </w:r>
      <w:proofErr w:type="gramStart"/>
      <w:r w:rsidR="002D23FF" w:rsidRPr="001B1ED4">
        <w:rPr>
          <w:rFonts w:asciiTheme="majorHAnsi" w:eastAsia="Times New Roman" w:hAnsiTheme="majorHAnsi" w:cs="Times New Roman"/>
          <w:spacing w:val="-1"/>
          <w:sz w:val="20"/>
          <w:szCs w:val="20"/>
        </w:rPr>
        <w:t>events</w:t>
      </w:r>
      <w:proofErr w:type="gramEnd"/>
      <w:r w:rsidR="002D23FF" w:rsidRPr="001B1ED4">
        <w:rPr>
          <w:rFonts w:asciiTheme="majorHAnsi" w:eastAsia="Times New Roman" w:hAnsiTheme="majorHAnsi" w:cs="Times New Roman"/>
          <w:sz w:val="20"/>
          <w:szCs w:val="20"/>
        </w:rPr>
        <w:t xml:space="preserve"> are</w:t>
      </w:r>
      <w:r w:rsidR="002D23FF" w:rsidRPr="001B1ED4">
        <w:rPr>
          <w:rFonts w:asciiTheme="majorHAnsi" w:eastAsia="Times New Roman" w:hAnsiTheme="majorHAnsi" w:cs="Times New Roman"/>
          <w:spacing w:val="-1"/>
          <w:sz w:val="20"/>
          <w:szCs w:val="20"/>
        </w:rPr>
        <w:t xml:space="preserve"> classified using ICD–9</w:t>
      </w:r>
      <w:r w:rsidR="002D23FF" w:rsidRPr="001B1ED4">
        <w:rPr>
          <w:rFonts w:asciiTheme="majorHAnsi" w:eastAsia="Times New Roman" w:hAnsiTheme="majorHAnsi" w:cs="Times New Roman"/>
          <w:sz w:val="20"/>
          <w:szCs w:val="20"/>
        </w:rPr>
        <w:t xml:space="preserve"> </w:t>
      </w:r>
      <w:r w:rsidR="002D23FF" w:rsidRPr="001B1ED4">
        <w:rPr>
          <w:rFonts w:asciiTheme="majorHAnsi" w:eastAsia="Times New Roman" w:hAnsiTheme="majorHAnsi" w:cs="Times New Roman"/>
          <w:spacing w:val="-1"/>
          <w:sz w:val="20"/>
          <w:szCs w:val="20"/>
        </w:rPr>
        <w:t>terms</w:t>
      </w:r>
    </w:p>
    <w:p w14:paraId="0CB7EB14" w14:textId="1B6F07AD" w:rsidR="002D23FF" w:rsidRPr="001B1ED4" w:rsidRDefault="00090D1E" w:rsidP="004278B2">
      <w:pPr>
        <w:widowControl w:val="0"/>
        <w:spacing w:before="60" w:after="0" w:line="240" w:lineRule="auto"/>
        <w:ind w:left="284"/>
        <w:contextualSpacing/>
        <w:rPr>
          <w:rFonts w:asciiTheme="majorHAnsi" w:eastAsia="Times New Roman" w:hAnsiTheme="majorHAnsi" w:cs="Times New Roman"/>
          <w:sz w:val="20"/>
          <w:szCs w:val="20"/>
        </w:rPr>
      </w:pPr>
      <w:r w:rsidRPr="00090D1E">
        <w:rPr>
          <w:rFonts w:asciiTheme="majorHAnsi" w:hAnsiTheme="majorHAnsi"/>
          <w:spacing w:val="-1"/>
          <w:sz w:val="20"/>
          <w:vertAlign w:val="superscript"/>
        </w:rPr>
        <w:t>2</w:t>
      </w:r>
      <w:r>
        <w:rPr>
          <w:rFonts w:asciiTheme="majorHAnsi" w:hAnsiTheme="majorHAnsi"/>
          <w:spacing w:val="-1"/>
          <w:sz w:val="20"/>
        </w:rPr>
        <w:t xml:space="preserve"> </w:t>
      </w:r>
      <w:r w:rsidR="002D23FF" w:rsidRPr="001B1ED4">
        <w:rPr>
          <w:rFonts w:asciiTheme="majorHAnsi" w:hAnsiTheme="majorHAnsi"/>
          <w:spacing w:val="-1"/>
          <w:sz w:val="20"/>
        </w:rPr>
        <w:t>adverse events</w:t>
      </w:r>
      <w:r w:rsidR="002D23FF" w:rsidRPr="001B1ED4">
        <w:rPr>
          <w:rFonts w:asciiTheme="majorHAnsi" w:hAnsiTheme="majorHAnsi"/>
          <w:sz w:val="20"/>
        </w:rPr>
        <w:t xml:space="preserve"> are</w:t>
      </w:r>
      <w:r w:rsidR="002D23FF" w:rsidRPr="001B1ED4">
        <w:rPr>
          <w:rFonts w:asciiTheme="majorHAnsi" w:hAnsiTheme="majorHAnsi"/>
          <w:spacing w:val="-1"/>
          <w:sz w:val="20"/>
        </w:rPr>
        <w:t xml:space="preserve"> classified </w:t>
      </w:r>
      <w:r w:rsidR="002D23FF" w:rsidRPr="001B1ED4">
        <w:rPr>
          <w:rFonts w:asciiTheme="majorHAnsi" w:hAnsiTheme="majorHAnsi"/>
          <w:sz w:val="20"/>
        </w:rPr>
        <w:t xml:space="preserve">using </w:t>
      </w:r>
      <w:r w:rsidR="002D23FF" w:rsidRPr="001B1ED4">
        <w:rPr>
          <w:rFonts w:asciiTheme="majorHAnsi" w:hAnsiTheme="majorHAnsi"/>
          <w:spacing w:val="-1"/>
          <w:sz w:val="20"/>
        </w:rPr>
        <w:t>MedDRA</w:t>
      </w:r>
      <w:r w:rsidR="002D23FF" w:rsidRPr="001B1ED4">
        <w:rPr>
          <w:rFonts w:asciiTheme="majorHAnsi" w:hAnsiTheme="majorHAnsi"/>
          <w:sz w:val="20"/>
        </w:rPr>
        <w:t xml:space="preserve"> </w:t>
      </w:r>
      <w:r w:rsidR="002D23FF" w:rsidRPr="001B1ED4">
        <w:rPr>
          <w:rFonts w:asciiTheme="majorHAnsi" w:hAnsiTheme="majorHAnsi"/>
          <w:spacing w:val="-1"/>
          <w:sz w:val="20"/>
        </w:rPr>
        <w:t>terms</w:t>
      </w:r>
    </w:p>
    <w:p w14:paraId="170A4B83" w14:textId="73E87923" w:rsidR="002D23FF" w:rsidRPr="001B1ED4" w:rsidRDefault="002D23FF" w:rsidP="004278B2">
      <w:pPr>
        <w:ind w:left="284" w:right="346"/>
        <w:rPr>
          <w:rFonts w:asciiTheme="majorHAnsi" w:eastAsia="Times New Roman" w:hAnsiTheme="majorHAnsi" w:cs="Times New Roman"/>
          <w:sz w:val="20"/>
          <w:szCs w:val="20"/>
        </w:rPr>
      </w:pPr>
      <w:r w:rsidRPr="001B1ED4">
        <w:rPr>
          <w:rFonts w:asciiTheme="majorHAnsi" w:hAnsiTheme="majorHAnsi"/>
          <w:sz w:val="20"/>
        </w:rPr>
        <w:t xml:space="preserve">* </w:t>
      </w:r>
      <w:r w:rsidRPr="001B1ED4">
        <w:rPr>
          <w:rFonts w:asciiTheme="majorHAnsi" w:hAnsiTheme="majorHAnsi"/>
          <w:spacing w:val="-1"/>
          <w:sz w:val="20"/>
        </w:rPr>
        <w:t>Expected pharmacological</w:t>
      </w:r>
      <w:r w:rsidRPr="001B1ED4">
        <w:rPr>
          <w:rFonts w:asciiTheme="majorHAnsi" w:hAnsiTheme="majorHAnsi"/>
          <w:sz w:val="20"/>
        </w:rPr>
        <w:t xml:space="preserve"> </w:t>
      </w:r>
      <w:r w:rsidRPr="001B1ED4">
        <w:rPr>
          <w:rFonts w:asciiTheme="majorHAnsi" w:hAnsiTheme="majorHAnsi"/>
          <w:spacing w:val="-1"/>
          <w:sz w:val="20"/>
        </w:rPr>
        <w:t>consequence</w:t>
      </w:r>
      <w:r w:rsidRPr="001B1ED4">
        <w:rPr>
          <w:rFonts w:asciiTheme="majorHAnsi" w:hAnsiTheme="majorHAnsi"/>
          <w:spacing w:val="-2"/>
          <w:sz w:val="20"/>
        </w:rPr>
        <w:t xml:space="preserve"> </w:t>
      </w:r>
      <w:r w:rsidRPr="001B1ED4">
        <w:rPr>
          <w:rFonts w:asciiTheme="majorHAnsi" w:hAnsiTheme="majorHAnsi"/>
          <w:spacing w:val="-1"/>
          <w:sz w:val="20"/>
        </w:rPr>
        <w:t>of</w:t>
      </w:r>
      <w:r w:rsidRPr="001B1ED4">
        <w:rPr>
          <w:rFonts w:asciiTheme="majorHAnsi" w:hAnsiTheme="majorHAnsi"/>
          <w:sz w:val="20"/>
        </w:rPr>
        <w:t xml:space="preserve"> </w:t>
      </w:r>
      <w:r w:rsidRPr="001B1ED4">
        <w:rPr>
          <w:rFonts w:asciiTheme="majorHAnsi" w:hAnsiTheme="majorHAnsi"/>
          <w:spacing w:val="-1"/>
          <w:sz w:val="20"/>
        </w:rPr>
        <w:t>testosterone</w:t>
      </w:r>
      <w:r w:rsidRPr="001B1ED4">
        <w:rPr>
          <w:rFonts w:asciiTheme="majorHAnsi" w:hAnsiTheme="majorHAnsi"/>
          <w:sz w:val="20"/>
        </w:rPr>
        <w:t xml:space="preserve"> </w:t>
      </w:r>
      <w:r w:rsidRPr="001B1ED4">
        <w:rPr>
          <w:rFonts w:asciiTheme="majorHAnsi" w:hAnsiTheme="majorHAnsi"/>
          <w:spacing w:val="-1"/>
          <w:sz w:val="20"/>
        </w:rPr>
        <w:t>suppression.</w:t>
      </w:r>
    </w:p>
    <w:p w14:paraId="00FFA24E" w14:textId="56C1DC6E" w:rsidR="002D23FF" w:rsidRPr="004C150D" w:rsidRDefault="00CA0019" w:rsidP="00FE45B8">
      <w:pPr>
        <w:pStyle w:val="Heading3"/>
        <w:numPr>
          <w:ilvl w:val="0"/>
          <w:numId w:val="0"/>
        </w:numPr>
      </w:pPr>
      <w:r>
        <w:lastRenderedPageBreak/>
        <w:t>ELIGARD</w:t>
      </w:r>
      <w:r w:rsidR="002D23FF" w:rsidRPr="004C150D">
        <w:t xml:space="preserve"> in combination with radiotherapy</w:t>
      </w:r>
    </w:p>
    <w:p w14:paraId="74C1F272" w14:textId="11BBB8DE" w:rsidR="002D23FF"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The addition of ADT in the form of leuprorelin acetate to radiotherapy unequivocally resulted in an increased range of acute and late toxicities. Some of these pivotal studies employed half of the currently recommended dose of leuprorelin. Long term safety data on the combination therapy was limited due to long term use of an anti-androgen in some studies, </w:t>
      </w:r>
      <w:r w:rsidR="001B1ED4">
        <w:rPr>
          <w:rFonts w:ascii="Cambria" w:hAnsi="Cambria"/>
          <w:sz w:val="22"/>
          <w:szCs w:val="22"/>
        </w:rPr>
        <w:t>but limited use of leuprorelin.</w:t>
      </w:r>
    </w:p>
    <w:p w14:paraId="0DA7E91C" w14:textId="08285082" w:rsidR="0099038B" w:rsidRDefault="00525397" w:rsidP="00272DC2">
      <w:pPr>
        <w:pStyle w:val="Heading3"/>
        <w:numPr>
          <w:ilvl w:val="0"/>
          <w:numId w:val="0"/>
        </w:numPr>
      </w:pPr>
      <w:bookmarkStart w:id="6" w:name="_Hlk92728525"/>
      <w:r>
        <w:t xml:space="preserve">Central Precocious Puberty </w:t>
      </w:r>
      <w:r w:rsidR="0099038B">
        <w:t xml:space="preserve"> </w:t>
      </w:r>
      <w:bookmarkEnd w:id="6"/>
    </w:p>
    <w:p w14:paraId="7DA68E04" w14:textId="1A6793C6" w:rsidR="0099038B" w:rsidRPr="009C1035" w:rsidRDefault="0099038B" w:rsidP="0099038B">
      <w:pPr>
        <w:autoSpaceDE w:val="0"/>
        <w:autoSpaceDN w:val="0"/>
        <w:adjustRightInd w:val="0"/>
        <w:spacing w:after="122" w:line="276" w:lineRule="atLeast"/>
        <w:jc w:val="both"/>
        <w:rPr>
          <w:rFonts w:ascii="Cambria" w:eastAsia="Times New Roman" w:hAnsi="Cambria"/>
          <w:lang w:val="en-US"/>
        </w:rPr>
      </w:pPr>
      <w:r w:rsidRPr="009C1035">
        <w:rPr>
          <w:rFonts w:ascii="Cambria" w:eastAsia="Times New Roman" w:hAnsi="Cambria"/>
          <w:lang w:val="en-US"/>
        </w:rPr>
        <w:t xml:space="preserve">The following </w:t>
      </w:r>
      <w:r w:rsidR="00616DB2" w:rsidRPr="009C1035">
        <w:rPr>
          <w:rFonts w:ascii="Cambria" w:eastAsia="Times New Roman" w:hAnsi="Cambria"/>
          <w:lang w:val="en-US"/>
        </w:rPr>
        <w:t xml:space="preserve">are </w:t>
      </w:r>
      <w:r w:rsidRPr="009C1035">
        <w:rPr>
          <w:rFonts w:ascii="Cambria" w:eastAsia="Times New Roman" w:hAnsi="Cambria"/>
          <w:lang w:val="en-US"/>
        </w:rPr>
        <w:t xml:space="preserve">serious adverse </w:t>
      </w:r>
      <w:r w:rsidR="000535B8">
        <w:rPr>
          <w:rFonts w:ascii="Cambria" w:eastAsia="Times New Roman" w:hAnsi="Cambria"/>
          <w:lang w:val="en-US"/>
        </w:rPr>
        <w:t>e</w:t>
      </w:r>
      <w:r w:rsidR="000535B8" w:rsidRPr="000535B8">
        <w:rPr>
          <w:rFonts w:ascii="Cambria" w:eastAsia="Times New Roman" w:hAnsi="Cambria"/>
          <w:lang w:val="en-US"/>
        </w:rPr>
        <w:t>vent</w:t>
      </w:r>
      <w:r w:rsidR="000535B8">
        <w:rPr>
          <w:rFonts w:ascii="Cambria" w:eastAsia="Times New Roman" w:hAnsi="Cambria"/>
          <w:lang w:val="en-US"/>
        </w:rPr>
        <w:t>s</w:t>
      </w:r>
      <w:r w:rsidR="000535B8" w:rsidRPr="000535B8" w:rsidDel="000535B8">
        <w:rPr>
          <w:rFonts w:ascii="Cambria" w:eastAsia="Times New Roman" w:hAnsi="Cambria"/>
          <w:lang w:val="en-US"/>
        </w:rPr>
        <w:t xml:space="preserve"> </w:t>
      </w:r>
      <w:r w:rsidR="00F03838" w:rsidRPr="009C1035">
        <w:rPr>
          <w:rFonts w:ascii="Cambria" w:eastAsia="Times New Roman" w:hAnsi="Cambria"/>
          <w:lang w:val="en-US"/>
        </w:rPr>
        <w:t xml:space="preserve">(see </w:t>
      </w:r>
      <w:r w:rsidR="00F03838" w:rsidRPr="008A13F3">
        <w:rPr>
          <w:rFonts w:ascii="Cambria" w:eastAsia="Times New Roman" w:hAnsi="Cambria"/>
          <w:lang w:val="en-US"/>
        </w:rPr>
        <w:t>Section 4.4 Special warnings and precautions for use)</w:t>
      </w:r>
      <w:r w:rsidRPr="009C1035">
        <w:rPr>
          <w:rFonts w:ascii="Cambria" w:eastAsia="Times New Roman" w:hAnsi="Cambria"/>
          <w:lang w:val="en-US"/>
        </w:rPr>
        <w:t xml:space="preserve">: </w:t>
      </w:r>
    </w:p>
    <w:p w14:paraId="79A32E27" w14:textId="69B7D404" w:rsidR="0099038B" w:rsidRPr="008A13F3" w:rsidRDefault="0099038B" w:rsidP="007355BB">
      <w:pPr>
        <w:pStyle w:val="ListParagraph"/>
        <w:numPr>
          <w:ilvl w:val="0"/>
          <w:numId w:val="3"/>
        </w:numPr>
        <w:autoSpaceDE w:val="0"/>
        <w:autoSpaceDN w:val="0"/>
        <w:adjustRightInd w:val="0"/>
        <w:spacing w:after="0" w:line="240" w:lineRule="auto"/>
        <w:rPr>
          <w:rFonts w:eastAsia="Times New Roman"/>
          <w:lang w:val="en-US"/>
        </w:rPr>
      </w:pPr>
      <w:r w:rsidRPr="009C1035">
        <w:rPr>
          <w:rFonts w:eastAsia="Times New Roman"/>
          <w:lang w:val="en-US"/>
        </w:rPr>
        <w:t>Initial rise in gonadotropin and sex steroid levels</w:t>
      </w:r>
      <w:r w:rsidRPr="008A13F3">
        <w:rPr>
          <w:rFonts w:eastAsia="Times New Roman"/>
          <w:lang w:val="en-US"/>
        </w:rPr>
        <w:t xml:space="preserve">. </w:t>
      </w:r>
    </w:p>
    <w:p w14:paraId="042E945E" w14:textId="6D42D6B7" w:rsidR="0099038B" w:rsidRPr="008A13F3" w:rsidRDefault="0099038B" w:rsidP="007355BB">
      <w:pPr>
        <w:pStyle w:val="ListParagraph"/>
        <w:numPr>
          <w:ilvl w:val="0"/>
          <w:numId w:val="3"/>
        </w:numPr>
        <w:autoSpaceDE w:val="0"/>
        <w:autoSpaceDN w:val="0"/>
        <w:adjustRightInd w:val="0"/>
        <w:spacing w:after="0" w:line="240" w:lineRule="auto"/>
        <w:rPr>
          <w:rFonts w:eastAsia="Times New Roman"/>
          <w:lang w:val="en-US"/>
        </w:rPr>
      </w:pPr>
      <w:r w:rsidRPr="008A13F3">
        <w:rPr>
          <w:rFonts w:eastAsia="Times New Roman"/>
          <w:lang w:val="en-US"/>
        </w:rPr>
        <w:t xml:space="preserve">Psychiatric Events. </w:t>
      </w:r>
    </w:p>
    <w:p w14:paraId="09FE99EB" w14:textId="244DED14" w:rsidR="0099038B" w:rsidRDefault="0099038B" w:rsidP="007355BB">
      <w:pPr>
        <w:pStyle w:val="ListParagraph"/>
        <w:numPr>
          <w:ilvl w:val="0"/>
          <w:numId w:val="3"/>
        </w:numPr>
        <w:autoSpaceDE w:val="0"/>
        <w:autoSpaceDN w:val="0"/>
        <w:adjustRightInd w:val="0"/>
        <w:spacing w:after="120" w:line="240" w:lineRule="auto"/>
        <w:ind w:left="714" w:hanging="357"/>
        <w:rPr>
          <w:rFonts w:eastAsia="Times New Roman"/>
          <w:lang w:val="en-US"/>
        </w:rPr>
      </w:pPr>
      <w:r w:rsidRPr="008A13F3">
        <w:rPr>
          <w:rFonts w:eastAsia="Times New Roman"/>
          <w:lang w:val="en-US"/>
        </w:rPr>
        <w:t xml:space="preserve">Convulsions. </w:t>
      </w:r>
    </w:p>
    <w:p w14:paraId="5C8CDB8D" w14:textId="36D81908" w:rsidR="00221287" w:rsidRPr="00221287" w:rsidRDefault="00221287" w:rsidP="00221287">
      <w:pPr>
        <w:pStyle w:val="ListParagraph"/>
        <w:numPr>
          <w:ilvl w:val="0"/>
          <w:numId w:val="3"/>
        </w:numPr>
        <w:autoSpaceDE w:val="0"/>
        <w:autoSpaceDN w:val="0"/>
        <w:adjustRightInd w:val="0"/>
        <w:spacing w:after="120" w:line="240" w:lineRule="auto"/>
        <w:ind w:left="714" w:hanging="357"/>
        <w:rPr>
          <w:rFonts w:eastAsia="Times New Roman"/>
          <w:lang w:val="en-US"/>
        </w:rPr>
      </w:pPr>
      <w:r w:rsidRPr="00221287">
        <w:rPr>
          <w:rFonts w:eastAsia="Times New Roman"/>
          <w:lang w:val="en-US"/>
        </w:rPr>
        <w:t xml:space="preserve">Pseudotumor Cerebri (Idiopathic Intracranial Hypertension) </w:t>
      </w:r>
    </w:p>
    <w:p w14:paraId="3E8E60FB" w14:textId="7BBB2DB2" w:rsidR="0099038B" w:rsidRPr="008A13F3" w:rsidRDefault="0099038B" w:rsidP="0099038B">
      <w:pPr>
        <w:rPr>
          <w:rFonts w:ascii="Cambria" w:eastAsia="Times New Roman" w:hAnsi="Cambria"/>
          <w:lang w:val="en-US"/>
        </w:rPr>
      </w:pPr>
      <w:r w:rsidRPr="008A13F3">
        <w:rPr>
          <w:rFonts w:ascii="Cambria" w:eastAsia="Times New Roman" w:hAnsi="Cambria"/>
          <w:lang w:val="en-US"/>
        </w:rPr>
        <w:t xml:space="preserve">ELIGARD </w:t>
      </w:r>
      <w:r w:rsidR="00D7062F">
        <w:rPr>
          <w:rFonts w:ascii="Cambria" w:eastAsia="Times New Roman" w:hAnsi="Cambria"/>
          <w:lang w:val="en-US"/>
        </w:rPr>
        <w:t xml:space="preserve">6 month </w:t>
      </w:r>
      <w:r w:rsidRPr="009C1035">
        <w:rPr>
          <w:rFonts w:ascii="Cambria" w:eastAsia="Times New Roman" w:hAnsi="Cambria"/>
          <w:lang w:val="en-US"/>
        </w:rPr>
        <w:t xml:space="preserve">was evaluated in an uncontrolled, open-label, single-arm clinical trial in which 64 </w:t>
      </w:r>
      <w:proofErr w:type="spellStart"/>
      <w:r w:rsidRPr="009C1035">
        <w:rPr>
          <w:rFonts w:ascii="Cambria" w:eastAsia="Times New Roman" w:hAnsi="Cambria"/>
          <w:lang w:val="en-US"/>
        </w:rPr>
        <w:t>p</w:t>
      </w:r>
      <w:r w:rsidR="00B03408">
        <w:rPr>
          <w:rFonts w:ascii="Cambria" w:eastAsia="Times New Roman" w:hAnsi="Cambria"/>
          <w:lang w:val="en-US"/>
        </w:rPr>
        <w:t>a</w:t>
      </w:r>
      <w:r w:rsidRPr="009C1035">
        <w:rPr>
          <w:rFonts w:ascii="Cambria" w:eastAsia="Times New Roman" w:hAnsi="Cambria"/>
          <w:lang w:val="en-US"/>
        </w:rPr>
        <w:t>ediatric</w:t>
      </w:r>
      <w:proofErr w:type="spellEnd"/>
      <w:r w:rsidRPr="009C1035">
        <w:rPr>
          <w:rFonts w:ascii="Cambria" w:eastAsia="Times New Roman" w:hAnsi="Cambria"/>
          <w:lang w:val="en-US"/>
        </w:rPr>
        <w:t xml:space="preserve"> patients with CPP received at least one dose of </w:t>
      </w:r>
      <w:r w:rsidRPr="008A13F3">
        <w:rPr>
          <w:rFonts w:ascii="Cambria" w:eastAsia="Times New Roman" w:hAnsi="Cambria"/>
          <w:lang w:val="en-US"/>
        </w:rPr>
        <w:t>ELIGARD</w:t>
      </w:r>
      <w:r w:rsidR="00D7062F">
        <w:rPr>
          <w:rFonts w:ascii="Cambria" w:eastAsia="Times New Roman" w:hAnsi="Cambria"/>
          <w:lang w:val="en-US"/>
        </w:rPr>
        <w:t xml:space="preserve"> 6 month</w:t>
      </w:r>
      <w:r w:rsidRPr="009C1035">
        <w:rPr>
          <w:rFonts w:ascii="Cambria" w:eastAsia="Times New Roman" w:hAnsi="Cambria"/>
          <w:lang w:val="en-US"/>
        </w:rPr>
        <w:t xml:space="preserve">. The age ranged from 4 to 9 years at start of treatment; 62 patients were female and 2 were male.  Adverse </w:t>
      </w:r>
      <w:r w:rsidR="000535B8">
        <w:rPr>
          <w:rFonts w:ascii="Cambria" w:eastAsia="Times New Roman" w:hAnsi="Cambria"/>
          <w:lang w:val="en-US"/>
        </w:rPr>
        <w:t>e</w:t>
      </w:r>
      <w:r w:rsidR="000535B8" w:rsidRPr="000535B8">
        <w:rPr>
          <w:rFonts w:ascii="Cambria" w:eastAsia="Times New Roman" w:hAnsi="Cambria"/>
          <w:lang w:val="en-US"/>
        </w:rPr>
        <w:t>vent</w:t>
      </w:r>
      <w:r w:rsidRPr="009C1035">
        <w:rPr>
          <w:rFonts w:ascii="Cambria" w:eastAsia="Times New Roman" w:hAnsi="Cambria"/>
          <w:lang w:val="en-US"/>
        </w:rPr>
        <w:t>s that occurred in ≥ 5% of patient</w:t>
      </w:r>
      <w:r w:rsidRPr="00264159">
        <w:rPr>
          <w:rFonts w:ascii="Cambria" w:eastAsia="Times New Roman" w:hAnsi="Cambria"/>
          <w:lang w:val="en-US"/>
        </w:rPr>
        <w:t xml:space="preserve">s are shown in Table </w:t>
      </w:r>
      <w:r w:rsidRPr="008A13F3">
        <w:rPr>
          <w:rFonts w:ascii="Cambria" w:eastAsia="Times New Roman" w:hAnsi="Cambria"/>
          <w:lang w:val="en-US"/>
        </w:rPr>
        <w:t>4.</w:t>
      </w:r>
    </w:p>
    <w:p w14:paraId="772B46D6" w14:textId="5AC625B0" w:rsidR="0099038B" w:rsidRPr="00DD0A7A" w:rsidRDefault="0099038B" w:rsidP="00DD0A7A">
      <w:pPr>
        <w:jc w:val="center"/>
        <w:rPr>
          <w:rFonts w:asciiTheme="majorHAnsi" w:eastAsia="Times New Roman" w:hAnsiTheme="majorHAnsi"/>
          <w:sz w:val="20"/>
          <w:szCs w:val="20"/>
          <w:lang w:val="en-US"/>
        </w:rPr>
      </w:pPr>
      <w:r w:rsidRPr="00DD0A7A">
        <w:rPr>
          <w:rFonts w:ascii="Cambria" w:eastAsia="Times New Roman" w:hAnsi="Cambria"/>
          <w:b/>
          <w:bCs/>
          <w:sz w:val="20"/>
          <w:szCs w:val="20"/>
          <w:lang w:val="en-US"/>
        </w:rPr>
        <w:t>Table 4:</w:t>
      </w:r>
      <w:r w:rsidRPr="00DD0A7A">
        <w:rPr>
          <w:rFonts w:ascii="Cambria" w:eastAsia="Times New Roman" w:hAnsi="Cambria"/>
          <w:sz w:val="20"/>
          <w:szCs w:val="20"/>
          <w:lang w:val="en-US"/>
        </w:rPr>
        <w:t xml:space="preserve"> </w:t>
      </w:r>
      <w:r w:rsidRPr="00DD0A7A">
        <w:rPr>
          <w:rFonts w:asciiTheme="majorHAnsi" w:eastAsia="Times New Roman" w:hAnsiTheme="majorHAnsi"/>
          <w:sz w:val="20"/>
          <w:szCs w:val="20"/>
          <w:lang w:val="en-US"/>
        </w:rPr>
        <w:t xml:space="preserve">Adverse </w:t>
      </w:r>
      <w:r w:rsidR="00592BD1" w:rsidRPr="00592BD1">
        <w:rPr>
          <w:rFonts w:asciiTheme="majorHAnsi" w:eastAsia="Times New Roman" w:hAnsiTheme="majorHAnsi"/>
          <w:sz w:val="20"/>
          <w:szCs w:val="20"/>
          <w:lang w:val="en-US"/>
        </w:rPr>
        <w:t>Event</w:t>
      </w:r>
      <w:r w:rsidR="00592BD1">
        <w:rPr>
          <w:rFonts w:asciiTheme="majorHAnsi" w:eastAsia="Times New Roman" w:hAnsiTheme="majorHAnsi"/>
          <w:sz w:val="20"/>
          <w:szCs w:val="20"/>
          <w:lang w:val="en-US"/>
        </w:rPr>
        <w:t>s</w:t>
      </w:r>
      <w:r w:rsidR="00592BD1" w:rsidRPr="00592BD1" w:rsidDel="00592BD1">
        <w:rPr>
          <w:rFonts w:asciiTheme="majorHAnsi" w:eastAsia="Times New Roman" w:hAnsiTheme="majorHAnsi"/>
          <w:sz w:val="20"/>
          <w:szCs w:val="20"/>
          <w:lang w:val="en-US"/>
        </w:rPr>
        <w:t xml:space="preserve"> </w:t>
      </w:r>
      <w:r w:rsidRPr="00DD0A7A">
        <w:rPr>
          <w:rFonts w:asciiTheme="majorHAnsi" w:eastAsia="Times New Roman" w:hAnsiTheme="majorHAnsi"/>
          <w:sz w:val="20"/>
          <w:szCs w:val="20"/>
          <w:lang w:val="en-US"/>
        </w:rPr>
        <w:t xml:space="preserve">Occurring in ≥ 5% of Patients Treated with </w:t>
      </w:r>
      <w:r w:rsidR="00AB128A" w:rsidRPr="00DD0A7A">
        <w:rPr>
          <w:rFonts w:asciiTheme="majorHAnsi" w:eastAsia="Times New Roman" w:hAnsiTheme="majorHAnsi"/>
          <w:sz w:val="20"/>
          <w:szCs w:val="20"/>
          <w:lang w:val="en-US"/>
        </w:rPr>
        <w:t>ELIGARD</w:t>
      </w:r>
      <w:r w:rsidRPr="00DD0A7A">
        <w:rPr>
          <w:rFonts w:asciiTheme="majorHAnsi" w:eastAsia="Times New Roman" w:hAnsiTheme="majorHAnsi"/>
          <w:sz w:val="20"/>
          <w:szCs w:val="20"/>
          <w:lang w:val="en-US"/>
        </w:rPr>
        <w:t xml:space="preserve"> </w:t>
      </w:r>
      <w:r w:rsidR="00D7062F">
        <w:rPr>
          <w:rFonts w:asciiTheme="majorHAnsi" w:eastAsia="Times New Roman" w:hAnsiTheme="majorHAnsi"/>
          <w:sz w:val="20"/>
          <w:szCs w:val="20"/>
          <w:lang w:val="en-US"/>
        </w:rPr>
        <w:t xml:space="preserve">6 month </w:t>
      </w:r>
      <w:r w:rsidRPr="00DD0A7A">
        <w:rPr>
          <w:rFonts w:asciiTheme="majorHAnsi" w:eastAsia="Times New Roman" w:hAnsiTheme="majorHAnsi"/>
          <w:sz w:val="20"/>
          <w:szCs w:val="20"/>
          <w:lang w:val="en-US"/>
        </w:rPr>
        <w:t>in an Open-Label, Single-Arm Trial</w:t>
      </w:r>
    </w:p>
    <w:tbl>
      <w:tblPr>
        <w:tblW w:w="0" w:type="auto"/>
        <w:tblLayout w:type="fixed"/>
        <w:tblCellMar>
          <w:left w:w="0" w:type="dxa"/>
          <w:right w:w="0" w:type="dxa"/>
        </w:tblCellMar>
        <w:tblLook w:val="0000" w:firstRow="0" w:lastRow="0" w:firstColumn="0" w:lastColumn="0" w:noHBand="0" w:noVBand="0"/>
      </w:tblPr>
      <w:tblGrid>
        <w:gridCol w:w="4144"/>
        <w:gridCol w:w="2562"/>
      </w:tblGrid>
      <w:tr w:rsidR="00DD0A7A" w:rsidRPr="00DD0A7A" w14:paraId="18ABC183" w14:textId="77777777" w:rsidTr="006247FA">
        <w:trPr>
          <w:trHeight w:hRule="exact" w:val="470"/>
        </w:trPr>
        <w:tc>
          <w:tcPr>
            <w:tcW w:w="4144" w:type="dxa"/>
            <w:tcBorders>
              <w:top w:val="single" w:sz="4" w:space="0" w:color="auto"/>
              <w:left w:val="single" w:sz="4" w:space="0" w:color="auto"/>
              <w:bottom w:val="single" w:sz="4" w:space="0" w:color="auto"/>
              <w:right w:val="single" w:sz="4" w:space="0" w:color="auto"/>
            </w:tcBorders>
          </w:tcPr>
          <w:p w14:paraId="29F7E2A7" w14:textId="1CCB399B" w:rsidR="00DD0A7A" w:rsidRPr="00DD0A7A" w:rsidRDefault="00DD0A7A" w:rsidP="006247FA">
            <w:pPr>
              <w:autoSpaceDE w:val="0"/>
              <w:autoSpaceDN w:val="0"/>
              <w:adjustRightInd w:val="0"/>
              <w:spacing w:before="63" w:after="0" w:line="240" w:lineRule="auto"/>
              <w:ind w:left="280" w:right="-20"/>
              <w:rPr>
                <w:rFonts w:asciiTheme="majorHAnsi" w:hAnsiTheme="majorHAnsi" w:cs="Times New Roman"/>
                <w:sz w:val="24"/>
                <w:szCs w:val="24"/>
              </w:rPr>
            </w:pPr>
            <w:r w:rsidRPr="00DD0A7A">
              <w:rPr>
                <w:rFonts w:asciiTheme="majorHAnsi" w:hAnsiTheme="majorHAnsi" w:cs="Times New Roman"/>
                <w:b/>
                <w:bCs/>
                <w:spacing w:val="1"/>
                <w:sz w:val="20"/>
                <w:szCs w:val="20"/>
              </w:rPr>
              <w:t>A</w:t>
            </w:r>
            <w:r w:rsidRPr="00DD0A7A">
              <w:rPr>
                <w:rFonts w:asciiTheme="majorHAnsi" w:hAnsiTheme="majorHAnsi" w:cs="Times New Roman"/>
                <w:b/>
                <w:bCs/>
                <w:spacing w:val="-1"/>
                <w:sz w:val="20"/>
                <w:szCs w:val="20"/>
              </w:rPr>
              <w:t>d</w:t>
            </w:r>
            <w:r w:rsidRPr="00DD0A7A">
              <w:rPr>
                <w:rFonts w:asciiTheme="majorHAnsi" w:hAnsiTheme="majorHAnsi" w:cs="Times New Roman"/>
                <w:b/>
                <w:bCs/>
                <w:spacing w:val="1"/>
                <w:sz w:val="20"/>
                <w:szCs w:val="20"/>
              </w:rPr>
              <w:t>v</w:t>
            </w:r>
            <w:r w:rsidRPr="00DD0A7A">
              <w:rPr>
                <w:rFonts w:asciiTheme="majorHAnsi" w:hAnsiTheme="majorHAnsi" w:cs="Times New Roman"/>
                <w:b/>
                <w:bCs/>
                <w:sz w:val="20"/>
                <w:szCs w:val="20"/>
              </w:rPr>
              <w:t>erse</w:t>
            </w:r>
            <w:r w:rsidRPr="00DD0A7A">
              <w:rPr>
                <w:rFonts w:asciiTheme="majorHAnsi" w:hAnsiTheme="majorHAnsi" w:cs="Times New Roman"/>
                <w:b/>
                <w:bCs/>
                <w:spacing w:val="-1"/>
                <w:sz w:val="20"/>
                <w:szCs w:val="20"/>
              </w:rPr>
              <w:t xml:space="preserve"> </w:t>
            </w:r>
            <w:r w:rsidR="00592BD1" w:rsidRPr="00592BD1">
              <w:rPr>
                <w:rFonts w:asciiTheme="majorHAnsi" w:hAnsiTheme="majorHAnsi" w:cs="Times New Roman"/>
                <w:b/>
                <w:bCs/>
                <w:spacing w:val="1"/>
                <w:sz w:val="20"/>
                <w:szCs w:val="20"/>
              </w:rPr>
              <w:t>Event</w:t>
            </w:r>
          </w:p>
        </w:tc>
        <w:tc>
          <w:tcPr>
            <w:tcW w:w="2562" w:type="dxa"/>
            <w:tcBorders>
              <w:top w:val="single" w:sz="4" w:space="0" w:color="auto"/>
              <w:left w:val="single" w:sz="4" w:space="0" w:color="auto"/>
              <w:bottom w:val="single" w:sz="4" w:space="0" w:color="auto"/>
              <w:right w:val="single" w:sz="4" w:space="0" w:color="auto"/>
            </w:tcBorders>
          </w:tcPr>
          <w:p w14:paraId="25BEDEB6" w14:textId="77777777" w:rsidR="00DD0A7A" w:rsidRPr="00DD0A7A" w:rsidRDefault="00DD0A7A" w:rsidP="006247FA">
            <w:pPr>
              <w:autoSpaceDE w:val="0"/>
              <w:autoSpaceDN w:val="0"/>
              <w:adjustRightInd w:val="0"/>
              <w:spacing w:after="0" w:line="229" w:lineRule="exact"/>
              <w:ind w:left="534" w:right="76"/>
              <w:rPr>
                <w:rFonts w:asciiTheme="majorHAnsi" w:hAnsiTheme="majorHAnsi" w:cs="Times New Roman"/>
                <w:sz w:val="20"/>
                <w:szCs w:val="20"/>
              </w:rPr>
            </w:pPr>
            <w:r w:rsidRPr="00DD0A7A">
              <w:rPr>
                <w:rFonts w:asciiTheme="majorHAnsi" w:hAnsiTheme="majorHAnsi" w:cs="Times New Roman"/>
                <w:b/>
                <w:bCs/>
                <w:sz w:val="20"/>
                <w:szCs w:val="20"/>
              </w:rPr>
              <w:t>%</w:t>
            </w:r>
            <w:r w:rsidRPr="00DD0A7A">
              <w:rPr>
                <w:rFonts w:asciiTheme="majorHAnsi" w:hAnsiTheme="majorHAnsi" w:cs="Times New Roman"/>
                <w:b/>
                <w:bCs/>
                <w:spacing w:val="-2"/>
                <w:sz w:val="20"/>
                <w:szCs w:val="20"/>
              </w:rPr>
              <w:t xml:space="preserve"> </w:t>
            </w:r>
            <w:proofErr w:type="gramStart"/>
            <w:r w:rsidRPr="00DD0A7A">
              <w:rPr>
                <w:rFonts w:asciiTheme="majorHAnsi" w:hAnsiTheme="majorHAnsi" w:cs="Times New Roman"/>
                <w:b/>
                <w:bCs/>
                <w:spacing w:val="1"/>
                <w:sz w:val="20"/>
                <w:szCs w:val="20"/>
              </w:rPr>
              <w:t>o</w:t>
            </w:r>
            <w:r w:rsidRPr="00DD0A7A">
              <w:rPr>
                <w:rFonts w:asciiTheme="majorHAnsi" w:hAnsiTheme="majorHAnsi" w:cs="Times New Roman"/>
                <w:b/>
                <w:bCs/>
                <w:sz w:val="20"/>
                <w:szCs w:val="20"/>
              </w:rPr>
              <w:t>f</w:t>
            </w:r>
            <w:proofErr w:type="gramEnd"/>
            <w:r w:rsidRPr="00DD0A7A">
              <w:rPr>
                <w:rFonts w:asciiTheme="majorHAnsi" w:hAnsiTheme="majorHAnsi" w:cs="Times New Roman"/>
                <w:b/>
                <w:bCs/>
                <w:spacing w:val="1"/>
                <w:sz w:val="20"/>
                <w:szCs w:val="20"/>
              </w:rPr>
              <w:t xml:space="preserve"> </w:t>
            </w:r>
            <w:r w:rsidRPr="00DD0A7A">
              <w:rPr>
                <w:rFonts w:asciiTheme="majorHAnsi" w:hAnsiTheme="majorHAnsi" w:cs="Times New Roman"/>
                <w:b/>
                <w:bCs/>
                <w:sz w:val="20"/>
                <w:szCs w:val="20"/>
              </w:rPr>
              <w:t>P</w:t>
            </w:r>
            <w:r w:rsidRPr="00DD0A7A">
              <w:rPr>
                <w:rFonts w:asciiTheme="majorHAnsi" w:hAnsiTheme="majorHAnsi" w:cs="Times New Roman"/>
                <w:b/>
                <w:bCs/>
                <w:spacing w:val="-1"/>
                <w:sz w:val="20"/>
                <w:szCs w:val="20"/>
              </w:rPr>
              <w:t>a</w:t>
            </w:r>
            <w:r w:rsidRPr="00DD0A7A">
              <w:rPr>
                <w:rFonts w:asciiTheme="majorHAnsi" w:hAnsiTheme="majorHAnsi" w:cs="Times New Roman"/>
                <w:b/>
                <w:bCs/>
                <w:sz w:val="20"/>
                <w:szCs w:val="20"/>
              </w:rPr>
              <w:t>t</w:t>
            </w:r>
            <w:r w:rsidRPr="00DD0A7A">
              <w:rPr>
                <w:rFonts w:asciiTheme="majorHAnsi" w:hAnsiTheme="majorHAnsi" w:cs="Times New Roman"/>
                <w:b/>
                <w:bCs/>
                <w:spacing w:val="-1"/>
                <w:sz w:val="20"/>
                <w:szCs w:val="20"/>
              </w:rPr>
              <w:t>i</w:t>
            </w:r>
            <w:r w:rsidRPr="00DD0A7A">
              <w:rPr>
                <w:rFonts w:asciiTheme="majorHAnsi" w:hAnsiTheme="majorHAnsi" w:cs="Times New Roman"/>
                <w:b/>
                <w:bCs/>
                <w:sz w:val="20"/>
                <w:szCs w:val="20"/>
              </w:rPr>
              <w:t>ents</w:t>
            </w:r>
          </w:p>
          <w:p w14:paraId="2672AEE1" w14:textId="77777777" w:rsidR="00DD0A7A" w:rsidRPr="00DD0A7A" w:rsidRDefault="00DD0A7A" w:rsidP="006247FA">
            <w:pPr>
              <w:autoSpaceDE w:val="0"/>
              <w:autoSpaceDN w:val="0"/>
              <w:adjustRightInd w:val="0"/>
              <w:spacing w:after="0" w:line="229" w:lineRule="exact"/>
              <w:ind w:left="818" w:right="367"/>
              <w:rPr>
                <w:rFonts w:asciiTheme="majorHAnsi" w:hAnsiTheme="majorHAnsi" w:cs="Times New Roman"/>
                <w:sz w:val="24"/>
                <w:szCs w:val="24"/>
              </w:rPr>
            </w:pPr>
            <w:r w:rsidRPr="00DD0A7A">
              <w:rPr>
                <w:rFonts w:asciiTheme="majorHAnsi" w:hAnsiTheme="majorHAnsi" w:cs="Times New Roman"/>
                <w:b/>
                <w:bCs/>
                <w:sz w:val="20"/>
                <w:szCs w:val="20"/>
              </w:rPr>
              <w:t>(</w:t>
            </w:r>
            <w:r w:rsidRPr="00DD0A7A">
              <w:rPr>
                <w:rFonts w:asciiTheme="majorHAnsi" w:hAnsiTheme="majorHAnsi" w:cs="Times New Roman"/>
                <w:b/>
                <w:bCs/>
                <w:spacing w:val="1"/>
                <w:sz w:val="20"/>
                <w:szCs w:val="20"/>
              </w:rPr>
              <w:t>N</w:t>
            </w:r>
            <w:r w:rsidRPr="00DD0A7A">
              <w:rPr>
                <w:rFonts w:asciiTheme="majorHAnsi" w:hAnsiTheme="majorHAnsi" w:cs="Times New Roman"/>
                <w:b/>
                <w:bCs/>
                <w:spacing w:val="-1"/>
                <w:sz w:val="20"/>
                <w:szCs w:val="20"/>
              </w:rPr>
              <w:t>=6</w:t>
            </w:r>
            <w:r w:rsidRPr="00DD0A7A">
              <w:rPr>
                <w:rFonts w:asciiTheme="majorHAnsi" w:hAnsiTheme="majorHAnsi" w:cs="Times New Roman"/>
                <w:b/>
                <w:bCs/>
                <w:spacing w:val="1"/>
                <w:sz w:val="20"/>
                <w:szCs w:val="20"/>
              </w:rPr>
              <w:t>4</w:t>
            </w:r>
            <w:r w:rsidRPr="00DD0A7A">
              <w:rPr>
                <w:rFonts w:asciiTheme="majorHAnsi" w:hAnsiTheme="majorHAnsi" w:cs="Times New Roman"/>
                <w:b/>
                <w:bCs/>
                <w:sz w:val="20"/>
                <w:szCs w:val="20"/>
              </w:rPr>
              <w:t>)</w:t>
            </w:r>
          </w:p>
        </w:tc>
      </w:tr>
      <w:tr w:rsidR="00DD0A7A" w:rsidRPr="00DD0A7A" w14:paraId="694A6111"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102B74EB" w14:textId="77777777" w:rsidR="00DD0A7A" w:rsidRPr="00DD0A7A" w:rsidRDefault="00DD0A7A" w:rsidP="006247FA">
            <w:pPr>
              <w:autoSpaceDE w:val="0"/>
              <w:autoSpaceDN w:val="0"/>
              <w:adjustRightInd w:val="0"/>
              <w:spacing w:after="0" w:line="228" w:lineRule="exact"/>
              <w:ind w:left="280" w:right="-20"/>
              <w:rPr>
                <w:rFonts w:asciiTheme="majorHAnsi" w:hAnsiTheme="majorHAnsi" w:cs="Times New Roman"/>
                <w:sz w:val="24"/>
                <w:szCs w:val="24"/>
              </w:rPr>
            </w:pPr>
            <w:r w:rsidRPr="00DD0A7A">
              <w:rPr>
                <w:rFonts w:asciiTheme="majorHAnsi" w:hAnsiTheme="majorHAnsi" w:cs="Times New Roman"/>
                <w:sz w:val="20"/>
                <w:szCs w:val="20"/>
              </w:rPr>
              <w:t>I</w:t>
            </w:r>
            <w:r w:rsidRPr="00DD0A7A">
              <w:rPr>
                <w:rFonts w:asciiTheme="majorHAnsi" w:hAnsiTheme="majorHAnsi" w:cs="Times New Roman"/>
                <w:spacing w:val="-1"/>
                <w:sz w:val="20"/>
                <w:szCs w:val="20"/>
              </w:rPr>
              <w:t>n</w:t>
            </w:r>
            <w:r w:rsidRPr="00DD0A7A">
              <w:rPr>
                <w:rFonts w:asciiTheme="majorHAnsi" w:hAnsiTheme="majorHAnsi" w:cs="Times New Roman"/>
                <w:spacing w:val="1"/>
                <w:sz w:val="20"/>
                <w:szCs w:val="20"/>
              </w:rPr>
              <w:t>j</w:t>
            </w:r>
            <w:r w:rsidRPr="00DD0A7A">
              <w:rPr>
                <w:rFonts w:asciiTheme="majorHAnsi" w:hAnsiTheme="majorHAnsi" w:cs="Times New Roman"/>
                <w:sz w:val="20"/>
                <w:szCs w:val="20"/>
              </w:rPr>
              <w:t>ec</w:t>
            </w:r>
            <w:r w:rsidRPr="00DD0A7A">
              <w:rPr>
                <w:rFonts w:asciiTheme="majorHAnsi" w:hAnsiTheme="majorHAnsi" w:cs="Times New Roman"/>
                <w:spacing w:val="-1"/>
                <w:sz w:val="20"/>
                <w:szCs w:val="20"/>
              </w:rPr>
              <w:t>tio</w:t>
            </w:r>
            <w:r w:rsidRPr="00DD0A7A">
              <w:rPr>
                <w:rFonts w:asciiTheme="majorHAnsi" w:hAnsiTheme="majorHAnsi" w:cs="Times New Roman"/>
                <w:sz w:val="20"/>
                <w:szCs w:val="20"/>
              </w:rPr>
              <w:t>n</w:t>
            </w:r>
            <w:r w:rsidRPr="00DD0A7A">
              <w:rPr>
                <w:rFonts w:asciiTheme="majorHAnsi" w:hAnsiTheme="majorHAnsi" w:cs="Times New Roman"/>
                <w:spacing w:val="1"/>
                <w:sz w:val="20"/>
                <w:szCs w:val="20"/>
              </w:rPr>
              <w:t xml:space="preserve"> </w:t>
            </w:r>
            <w:r w:rsidRPr="00DD0A7A">
              <w:rPr>
                <w:rFonts w:asciiTheme="majorHAnsi" w:hAnsiTheme="majorHAnsi" w:cs="Times New Roman"/>
                <w:sz w:val="20"/>
                <w:szCs w:val="20"/>
              </w:rPr>
              <w:t>s</w:t>
            </w:r>
            <w:r w:rsidRPr="00DD0A7A">
              <w:rPr>
                <w:rFonts w:asciiTheme="majorHAnsi" w:hAnsiTheme="majorHAnsi" w:cs="Times New Roman"/>
                <w:spacing w:val="-1"/>
                <w:sz w:val="20"/>
                <w:szCs w:val="20"/>
              </w:rPr>
              <w:t>it</w:t>
            </w:r>
            <w:r w:rsidRPr="00DD0A7A">
              <w:rPr>
                <w:rFonts w:asciiTheme="majorHAnsi" w:hAnsiTheme="majorHAnsi" w:cs="Times New Roman"/>
                <w:sz w:val="20"/>
                <w:szCs w:val="20"/>
              </w:rPr>
              <w:t>e</w:t>
            </w:r>
            <w:r w:rsidRPr="00DD0A7A">
              <w:rPr>
                <w:rFonts w:asciiTheme="majorHAnsi" w:hAnsiTheme="majorHAnsi" w:cs="Times New Roman"/>
                <w:spacing w:val="-1"/>
                <w:sz w:val="20"/>
                <w:szCs w:val="20"/>
              </w:rPr>
              <w:t xml:space="preserve"> p</w:t>
            </w:r>
            <w:r w:rsidRPr="00DD0A7A">
              <w:rPr>
                <w:rFonts w:asciiTheme="majorHAnsi" w:hAnsiTheme="majorHAnsi" w:cs="Times New Roman"/>
                <w:sz w:val="20"/>
                <w:szCs w:val="20"/>
              </w:rPr>
              <w:t>a</w:t>
            </w:r>
            <w:r w:rsidRPr="00DD0A7A">
              <w:rPr>
                <w:rFonts w:asciiTheme="majorHAnsi" w:hAnsiTheme="majorHAnsi" w:cs="Times New Roman"/>
                <w:spacing w:val="-1"/>
                <w:sz w:val="20"/>
                <w:szCs w:val="20"/>
              </w:rPr>
              <w:t>i</w:t>
            </w:r>
            <w:r w:rsidRPr="00DD0A7A">
              <w:rPr>
                <w:rFonts w:asciiTheme="majorHAnsi" w:hAnsiTheme="majorHAnsi" w:cs="Times New Roman"/>
                <w:sz w:val="20"/>
                <w:szCs w:val="20"/>
              </w:rPr>
              <w:t>n</w:t>
            </w:r>
          </w:p>
        </w:tc>
        <w:tc>
          <w:tcPr>
            <w:tcW w:w="2562" w:type="dxa"/>
            <w:tcBorders>
              <w:top w:val="single" w:sz="4" w:space="0" w:color="auto"/>
              <w:left w:val="single" w:sz="4" w:space="0" w:color="auto"/>
              <w:bottom w:val="single" w:sz="4" w:space="0" w:color="auto"/>
              <w:right w:val="single" w:sz="4" w:space="0" w:color="auto"/>
            </w:tcBorders>
          </w:tcPr>
          <w:p w14:paraId="6E3102EE" w14:textId="77777777" w:rsidR="00DD0A7A" w:rsidRPr="00DD0A7A" w:rsidRDefault="00DD0A7A" w:rsidP="006247FA">
            <w:pPr>
              <w:autoSpaceDE w:val="0"/>
              <w:autoSpaceDN w:val="0"/>
              <w:adjustRightInd w:val="0"/>
              <w:spacing w:after="0" w:line="228" w:lineRule="exact"/>
              <w:ind w:right="597"/>
              <w:jc w:val="center"/>
              <w:rPr>
                <w:rFonts w:asciiTheme="majorHAnsi" w:hAnsiTheme="majorHAnsi" w:cs="Times New Roman"/>
                <w:sz w:val="24"/>
                <w:szCs w:val="24"/>
              </w:rPr>
            </w:pPr>
            <w:r w:rsidRPr="00DD0A7A">
              <w:rPr>
                <w:rFonts w:asciiTheme="majorHAnsi" w:hAnsiTheme="majorHAnsi" w:cs="Times New Roman"/>
                <w:spacing w:val="1"/>
                <w:sz w:val="20"/>
                <w:szCs w:val="20"/>
              </w:rPr>
              <w:t>31</w:t>
            </w:r>
          </w:p>
        </w:tc>
      </w:tr>
      <w:tr w:rsidR="00DD0A7A" w:rsidRPr="00DD0A7A" w14:paraId="435B6314"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657AA5B6" w14:textId="77777777" w:rsidR="00DD0A7A" w:rsidRPr="00DD0A7A" w:rsidRDefault="00DD0A7A" w:rsidP="006247FA">
            <w:pPr>
              <w:autoSpaceDE w:val="0"/>
              <w:autoSpaceDN w:val="0"/>
              <w:adjustRightInd w:val="0"/>
              <w:spacing w:after="0" w:line="228" w:lineRule="exact"/>
              <w:ind w:left="280" w:right="-20"/>
              <w:rPr>
                <w:rFonts w:asciiTheme="majorHAnsi" w:hAnsiTheme="majorHAnsi" w:cs="Times New Roman"/>
                <w:sz w:val="24"/>
                <w:szCs w:val="24"/>
              </w:rPr>
            </w:pPr>
            <w:r w:rsidRPr="00DD0A7A">
              <w:rPr>
                <w:rFonts w:asciiTheme="majorHAnsi" w:hAnsiTheme="majorHAnsi" w:cs="Times New Roman"/>
                <w:spacing w:val="1"/>
                <w:sz w:val="20"/>
                <w:szCs w:val="20"/>
              </w:rPr>
              <w:t>N</w:t>
            </w:r>
            <w:r w:rsidRPr="00DD0A7A">
              <w:rPr>
                <w:rFonts w:asciiTheme="majorHAnsi" w:hAnsiTheme="majorHAnsi" w:cs="Times New Roman"/>
                <w:sz w:val="20"/>
                <w:szCs w:val="20"/>
              </w:rPr>
              <w:t>as</w:t>
            </w:r>
            <w:r w:rsidRPr="00DD0A7A">
              <w:rPr>
                <w:rFonts w:asciiTheme="majorHAnsi" w:hAnsiTheme="majorHAnsi" w:cs="Times New Roman"/>
                <w:spacing w:val="-1"/>
                <w:sz w:val="20"/>
                <w:szCs w:val="20"/>
              </w:rPr>
              <w:t>op</w:t>
            </w:r>
            <w:r w:rsidRPr="00DD0A7A">
              <w:rPr>
                <w:rFonts w:asciiTheme="majorHAnsi" w:hAnsiTheme="majorHAnsi" w:cs="Times New Roman"/>
                <w:spacing w:val="1"/>
                <w:sz w:val="20"/>
                <w:szCs w:val="20"/>
              </w:rPr>
              <w:t>h</w:t>
            </w:r>
            <w:r w:rsidRPr="00DD0A7A">
              <w:rPr>
                <w:rFonts w:asciiTheme="majorHAnsi" w:hAnsiTheme="majorHAnsi" w:cs="Times New Roman"/>
                <w:sz w:val="20"/>
                <w:szCs w:val="20"/>
              </w:rPr>
              <w:t>ar</w:t>
            </w:r>
            <w:r w:rsidRPr="00DD0A7A">
              <w:rPr>
                <w:rFonts w:asciiTheme="majorHAnsi" w:hAnsiTheme="majorHAnsi" w:cs="Times New Roman"/>
                <w:spacing w:val="-2"/>
                <w:sz w:val="20"/>
                <w:szCs w:val="20"/>
              </w:rPr>
              <w:t>y</w:t>
            </w:r>
            <w:r w:rsidRPr="00DD0A7A">
              <w:rPr>
                <w:rFonts w:asciiTheme="majorHAnsi" w:hAnsiTheme="majorHAnsi" w:cs="Times New Roman"/>
                <w:spacing w:val="1"/>
                <w:sz w:val="20"/>
                <w:szCs w:val="20"/>
              </w:rPr>
              <w:t>ng</w:t>
            </w:r>
            <w:r w:rsidRPr="00DD0A7A">
              <w:rPr>
                <w:rFonts w:asciiTheme="majorHAnsi" w:hAnsiTheme="majorHAnsi" w:cs="Times New Roman"/>
                <w:spacing w:val="-1"/>
                <w:sz w:val="20"/>
                <w:szCs w:val="20"/>
              </w:rPr>
              <w:t>i</w:t>
            </w:r>
            <w:r w:rsidRPr="00DD0A7A">
              <w:rPr>
                <w:rFonts w:asciiTheme="majorHAnsi" w:hAnsiTheme="majorHAnsi" w:cs="Times New Roman"/>
                <w:spacing w:val="-2"/>
                <w:sz w:val="20"/>
                <w:szCs w:val="20"/>
              </w:rPr>
              <w:t>t</w:t>
            </w:r>
            <w:r w:rsidRPr="00DD0A7A">
              <w:rPr>
                <w:rFonts w:asciiTheme="majorHAnsi" w:hAnsiTheme="majorHAnsi" w:cs="Times New Roman"/>
                <w:spacing w:val="-1"/>
                <w:sz w:val="20"/>
                <w:szCs w:val="20"/>
              </w:rPr>
              <w:t>i</w:t>
            </w:r>
            <w:r w:rsidRPr="00DD0A7A">
              <w:rPr>
                <w:rFonts w:asciiTheme="majorHAnsi" w:hAnsiTheme="majorHAnsi" w:cs="Times New Roman"/>
                <w:sz w:val="20"/>
                <w:szCs w:val="20"/>
              </w:rPr>
              <w:t>s</w:t>
            </w:r>
          </w:p>
        </w:tc>
        <w:tc>
          <w:tcPr>
            <w:tcW w:w="2562" w:type="dxa"/>
            <w:tcBorders>
              <w:top w:val="single" w:sz="4" w:space="0" w:color="auto"/>
              <w:left w:val="single" w:sz="4" w:space="0" w:color="auto"/>
              <w:bottom w:val="single" w:sz="4" w:space="0" w:color="auto"/>
              <w:right w:val="single" w:sz="4" w:space="0" w:color="auto"/>
            </w:tcBorders>
          </w:tcPr>
          <w:p w14:paraId="2D341D79" w14:textId="77777777" w:rsidR="00DD0A7A" w:rsidRPr="00DD0A7A" w:rsidRDefault="00DD0A7A" w:rsidP="006247FA">
            <w:pPr>
              <w:autoSpaceDE w:val="0"/>
              <w:autoSpaceDN w:val="0"/>
              <w:adjustRightInd w:val="0"/>
              <w:spacing w:after="0" w:line="228" w:lineRule="exact"/>
              <w:ind w:right="597"/>
              <w:jc w:val="center"/>
              <w:rPr>
                <w:rFonts w:asciiTheme="majorHAnsi" w:hAnsiTheme="majorHAnsi" w:cs="Times New Roman"/>
                <w:sz w:val="24"/>
                <w:szCs w:val="24"/>
              </w:rPr>
            </w:pPr>
            <w:r w:rsidRPr="00DD0A7A">
              <w:rPr>
                <w:rFonts w:asciiTheme="majorHAnsi" w:hAnsiTheme="majorHAnsi" w:cs="Times New Roman"/>
                <w:spacing w:val="1"/>
                <w:sz w:val="20"/>
                <w:szCs w:val="20"/>
              </w:rPr>
              <w:t>22</w:t>
            </w:r>
          </w:p>
        </w:tc>
      </w:tr>
      <w:tr w:rsidR="00DD0A7A" w:rsidRPr="00DD0A7A" w14:paraId="5EB53857"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23F4D1FB"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P</w:t>
            </w:r>
            <w:r w:rsidRPr="00DD0A7A">
              <w:rPr>
                <w:rFonts w:asciiTheme="majorHAnsi" w:hAnsiTheme="majorHAnsi" w:cs="Times New Roman"/>
                <w:spacing w:val="-1"/>
                <w:sz w:val="20"/>
                <w:szCs w:val="20"/>
              </w:rPr>
              <w:t>y</w:t>
            </w:r>
            <w:r w:rsidRPr="00DD0A7A">
              <w:rPr>
                <w:rFonts w:asciiTheme="majorHAnsi" w:hAnsiTheme="majorHAnsi" w:cs="Times New Roman"/>
                <w:sz w:val="20"/>
                <w:szCs w:val="20"/>
              </w:rPr>
              <w:t>re</w:t>
            </w:r>
            <w:r w:rsidRPr="00DD0A7A">
              <w:rPr>
                <w:rFonts w:asciiTheme="majorHAnsi" w:hAnsiTheme="majorHAnsi" w:cs="Times New Roman"/>
                <w:spacing w:val="1"/>
                <w:sz w:val="20"/>
                <w:szCs w:val="20"/>
              </w:rPr>
              <w:t>x</w:t>
            </w:r>
            <w:r w:rsidRPr="00DD0A7A">
              <w:rPr>
                <w:rFonts w:asciiTheme="majorHAnsi" w:hAnsiTheme="majorHAnsi" w:cs="Times New Roman"/>
                <w:spacing w:val="-1"/>
                <w:sz w:val="20"/>
                <w:szCs w:val="20"/>
              </w:rPr>
              <w:t>ia</w:t>
            </w:r>
          </w:p>
        </w:tc>
        <w:tc>
          <w:tcPr>
            <w:tcW w:w="2562" w:type="dxa"/>
            <w:tcBorders>
              <w:top w:val="single" w:sz="4" w:space="0" w:color="auto"/>
              <w:left w:val="single" w:sz="4" w:space="0" w:color="auto"/>
              <w:bottom w:val="single" w:sz="4" w:space="0" w:color="auto"/>
              <w:right w:val="single" w:sz="4" w:space="0" w:color="auto"/>
            </w:tcBorders>
          </w:tcPr>
          <w:p w14:paraId="02284A40" w14:textId="77777777" w:rsidR="00DD0A7A" w:rsidRPr="00DD0A7A" w:rsidRDefault="00DD0A7A" w:rsidP="006247FA">
            <w:pPr>
              <w:autoSpaceDE w:val="0"/>
              <w:autoSpaceDN w:val="0"/>
              <w:adjustRightInd w:val="0"/>
              <w:spacing w:after="0" w:line="228" w:lineRule="exact"/>
              <w:ind w:right="597"/>
              <w:jc w:val="center"/>
              <w:rPr>
                <w:rFonts w:asciiTheme="majorHAnsi" w:hAnsiTheme="majorHAnsi" w:cs="Times New Roman"/>
                <w:sz w:val="24"/>
                <w:szCs w:val="24"/>
              </w:rPr>
            </w:pPr>
            <w:r w:rsidRPr="00DD0A7A">
              <w:rPr>
                <w:rFonts w:asciiTheme="majorHAnsi" w:hAnsiTheme="majorHAnsi" w:cs="Times New Roman"/>
                <w:spacing w:val="1"/>
                <w:sz w:val="20"/>
                <w:szCs w:val="20"/>
              </w:rPr>
              <w:t>17</w:t>
            </w:r>
          </w:p>
        </w:tc>
      </w:tr>
      <w:tr w:rsidR="00DD0A7A" w:rsidRPr="00DD0A7A" w14:paraId="529D72F5"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693F3932"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H</w:t>
            </w:r>
            <w:r w:rsidRPr="00DD0A7A">
              <w:rPr>
                <w:rFonts w:asciiTheme="majorHAnsi" w:hAnsiTheme="majorHAnsi" w:cs="Times New Roman"/>
                <w:sz w:val="20"/>
                <w:szCs w:val="20"/>
              </w:rPr>
              <w:t>ea</w:t>
            </w:r>
            <w:r w:rsidRPr="00DD0A7A">
              <w:rPr>
                <w:rFonts w:asciiTheme="majorHAnsi" w:hAnsiTheme="majorHAnsi" w:cs="Times New Roman"/>
                <w:spacing w:val="1"/>
                <w:sz w:val="20"/>
                <w:szCs w:val="20"/>
              </w:rPr>
              <w:t>d</w:t>
            </w:r>
            <w:r w:rsidRPr="00DD0A7A">
              <w:rPr>
                <w:rFonts w:asciiTheme="majorHAnsi" w:hAnsiTheme="majorHAnsi" w:cs="Times New Roman"/>
                <w:sz w:val="20"/>
                <w:szCs w:val="20"/>
              </w:rPr>
              <w:t>a</w:t>
            </w:r>
            <w:r w:rsidRPr="00DD0A7A">
              <w:rPr>
                <w:rFonts w:asciiTheme="majorHAnsi" w:hAnsiTheme="majorHAnsi" w:cs="Times New Roman"/>
                <w:spacing w:val="-1"/>
                <w:sz w:val="20"/>
                <w:szCs w:val="20"/>
              </w:rPr>
              <w:t>c</w:t>
            </w:r>
            <w:r w:rsidRPr="00DD0A7A">
              <w:rPr>
                <w:rFonts w:asciiTheme="majorHAnsi" w:hAnsiTheme="majorHAnsi" w:cs="Times New Roman"/>
                <w:spacing w:val="1"/>
                <w:sz w:val="20"/>
                <w:szCs w:val="20"/>
              </w:rPr>
              <w:t>h</w:t>
            </w:r>
            <w:r w:rsidRPr="00DD0A7A">
              <w:rPr>
                <w:rFonts w:asciiTheme="majorHAnsi" w:hAnsiTheme="majorHAnsi" w:cs="Times New Roman"/>
                <w:sz w:val="20"/>
                <w:szCs w:val="20"/>
              </w:rPr>
              <w:t>e</w:t>
            </w:r>
          </w:p>
        </w:tc>
        <w:tc>
          <w:tcPr>
            <w:tcW w:w="2562" w:type="dxa"/>
            <w:tcBorders>
              <w:top w:val="single" w:sz="4" w:space="0" w:color="auto"/>
              <w:left w:val="single" w:sz="4" w:space="0" w:color="auto"/>
              <w:bottom w:val="single" w:sz="4" w:space="0" w:color="auto"/>
              <w:right w:val="single" w:sz="4" w:space="0" w:color="auto"/>
            </w:tcBorders>
          </w:tcPr>
          <w:p w14:paraId="398230F8" w14:textId="77777777" w:rsidR="00DD0A7A" w:rsidRPr="00DD0A7A" w:rsidRDefault="00DD0A7A" w:rsidP="006247FA">
            <w:pPr>
              <w:autoSpaceDE w:val="0"/>
              <w:autoSpaceDN w:val="0"/>
              <w:adjustRightInd w:val="0"/>
              <w:spacing w:after="0" w:line="228" w:lineRule="exact"/>
              <w:ind w:right="597"/>
              <w:jc w:val="center"/>
              <w:rPr>
                <w:rFonts w:asciiTheme="majorHAnsi" w:hAnsiTheme="majorHAnsi" w:cs="Times New Roman"/>
                <w:sz w:val="24"/>
                <w:szCs w:val="24"/>
              </w:rPr>
            </w:pPr>
            <w:r w:rsidRPr="00DD0A7A">
              <w:rPr>
                <w:rFonts w:asciiTheme="majorHAnsi" w:hAnsiTheme="majorHAnsi" w:cs="Times New Roman"/>
                <w:spacing w:val="1"/>
                <w:sz w:val="20"/>
                <w:szCs w:val="20"/>
              </w:rPr>
              <w:t>16</w:t>
            </w:r>
          </w:p>
        </w:tc>
      </w:tr>
      <w:tr w:rsidR="00DD0A7A" w:rsidRPr="00DD0A7A" w14:paraId="0CF024A3"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7D500B2D"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C</w:t>
            </w:r>
            <w:r w:rsidRPr="00DD0A7A">
              <w:rPr>
                <w:rFonts w:asciiTheme="majorHAnsi" w:hAnsiTheme="majorHAnsi" w:cs="Times New Roman"/>
                <w:spacing w:val="1"/>
                <w:sz w:val="20"/>
                <w:szCs w:val="20"/>
              </w:rPr>
              <w:t>o</w:t>
            </w:r>
            <w:r w:rsidRPr="00DD0A7A">
              <w:rPr>
                <w:rFonts w:asciiTheme="majorHAnsi" w:hAnsiTheme="majorHAnsi" w:cs="Times New Roman"/>
                <w:spacing w:val="-1"/>
                <w:sz w:val="20"/>
                <w:szCs w:val="20"/>
              </w:rPr>
              <w:t>ugh</w:t>
            </w:r>
          </w:p>
        </w:tc>
        <w:tc>
          <w:tcPr>
            <w:tcW w:w="2562" w:type="dxa"/>
            <w:tcBorders>
              <w:top w:val="single" w:sz="4" w:space="0" w:color="auto"/>
              <w:left w:val="single" w:sz="4" w:space="0" w:color="auto"/>
              <w:bottom w:val="single" w:sz="4" w:space="0" w:color="auto"/>
              <w:right w:val="single" w:sz="4" w:space="0" w:color="auto"/>
            </w:tcBorders>
          </w:tcPr>
          <w:p w14:paraId="02C9A5F4" w14:textId="77777777" w:rsidR="00DD0A7A" w:rsidRPr="00DD0A7A" w:rsidRDefault="00DD0A7A" w:rsidP="006247FA">
            <w:pPr>
              <w:autoSpaceDE w:val="0"/>
              <w:autoSpaceDN w:val="0"/>
              <w:adjustRightInd w:val="0"/>
              <w:spacing w:after="0" w:line="228" w:lineRule="exact"/>
              <w:ind w:right="597"/>
              <w:jc w:val="center"/>
              <w:rPr>
                <w:rFonts w:asciiTheme="majorHAnsi" w:hAnsiTheme="majorHAnsi" w:cs="Times New Roman"/>
                <w:sz w:val="24"/>
                <w:szCs w:val="24"/>
              </w:rPr>
            </w:pPr>
            <w:r w:rsidRPr="00DD0A7A">
              <w:rPr>
                <w:rFonts w:asciiTheme="majorHAnsi" w:hAnsiTheme="majorHAnsi" w:cs="Times New Roman"/>
                <w:spacing w:val="1"/>
                <w:sz w:val="20"/>
                <w:szCs w:val="20"/>
              </w:rPr>
              <w:t>13</w:t>
            </w:r>
          </w:p>
        </w:tc>
      </w:tr>
      <w:tr w:rsidR="00DD0A7A" w:rsidRPr="00DD0A7A" w14:paraId="1DF4E504"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73BA2E05"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A</w:t>
            </w:r>
            <w:r w:rsidRPr="00DD0A7A">
              <w:rPr>
                <w:rFonts w:asciiTheme="majorHAnsi" w:hAnsiTheme="majorHAnsi" w:cs="Times New Roman"/>
                <w:spacing w:val="-1"/>
                <w:sz w:val="20"/>
                <w:szCs w:val="20"/>
              </w:rPr>
              <w:t>bd</w:t>
            </w:r>
            <w:r w:rsidRPr="00DD0A7A">
              <w:rPr>
                <w:rFonts w:asciiTheme="majorHAnsi" w:hAnsiTheme="majorHAnsi" w:cs="Times New Roman"/>
                <w:spacing w:val="1"/>
                <w:sz w:val="20"/>
                <w:szCs w:val="20"/>
              </w:rPr>
              <w:t>o</w:t>
            </w:r>
            <w:r w:rsidRPr="00DD0A7A">
              <w:rPr>
                <w:rFonts w:asciiTheme="majorHAnsi" w:hAnsiTheme="majorHAnsi" w:cs="Times New Roman"/>
                <w:spacing w:val="-2"/>
                <w:sz w:val="20"/>
                <w:szCs w:val="20"/>
              </w:rPr>
              <w:t>m</w:t>
            </w:r>
            <w:r w:rsidRPr="00DD0A7A">
              <w:rPr>
                <w:rFonts w:asciiTheme="majorHAnsi" w:hAnsiTheme="majorHAnsi" w:cs="Times New Roman"/>
                <w:spacing w:val="-1"/>
                <w:sz w:val="20"/>
                <w:szCs w:val="20"/>
              </w:rPr>
              <w:t>i</w:t>
            </w:r>
            <w:r w:rsidRPr="00DD0A7A">
              <w:rPr>
                <w:rFonts w:asciiTheme="majorHAnsi" w:hAnsiTheme="majorHAnsi" w:cs="Times New Roman"/>
                <w:spacing w:val="1"/>
                <w:sz w:val="20"/>
                <w:szCs w:val="20"/>
              </w:rPr>
              <w:t>n</w:t>
            </w:r>
            <w:r w:rsidRPr="00DD0A7A">
              <w:rPr>
                <w:rFonts w:asciiTheme="majorHAnsi" w:hAnsiTheme="majorHAnsi" w:cs="Times New Roman"/>
                <w:sz w:val="20"/>
                <w:szCs w:val="20"/>
              </w:rPr>
              <w:t xml:space="preserve">al </w:t>
            </w:r>
            <w:r w:rsidRPr="00DD0A7A">
              <w:rPr>
                <w:rFonts w:asciiTheme="majorHAnsi" w:hAnsiTheme="majorHAnsi" w:cs="Times New Roman"/>
                <w:spacing w:val="1"/>
                <w:sz w:val="20"/>
                <w:szCs w:val="20"/>
              </w:rPr>
              <w:t>p</w:t>
            </w:r>
            <w:r w:rsidRPr="00DD0A7A">
              <w:rPr>
                <w:rFonts w:asciiTheme="majorHAnsi" w:hAnsiTheme="majorHAnsi" w:cs="Times New Roman"/>
                <w:sz w:val="20"/>
                <w:szCs w:val="20"/>
              </w:rPr>
              <w:t>a</w:t>
            </w:r>
            <w:r w:rsidRPr="00DD0A7A">
              <w:rPr>
                <w:rFonts w:asciiTheme="majorHAnsi" w:hAnsiTheme="majorHAnsi" w:cs="Times New Roman"/>
                <w:spacing w:val="-1"/>
                <w:sz w:val="20"/>
                <w:szCs w:val="20"/>
              </w:rPr>
              <w:t>i</w:t>
            </w:r>
            <w:r w:rsidRPr="00DD0A7A">
              <w:rPr>
                <w:rFonts w:asciiTheme="majorHAnsi" w:hAnsiTheme="majorHAnsi" w:cs="Times New Roman"/>
                <w:sz w:val="20"/>
                <w:szCs w:val="20"/>
              </w:rPr>
              <w:t>n</w:t>
            </w:r>
          </w:p>
        </w:tc>
        <w:tc>
          <w:tcPr>
            <w:tcW w:w="2562" w:type="dxa"/>
            <w:tcBorders>
              <w:top w:val="single" w:sz="4" w:space="0" w:color="auto"/>
              <w:left w:val="single" w:sz="4" w:space="0" w:color="auto"/>
              <w:bottom w:val="single" w:sz="4" w:space="0" w:color="auto"/>
              <w:right w:val="single" w:sz="4" w:space="0" w:color="auto"/>
            </w:tcBorders>
          </w:tcPr>
          <w:p w14:paraId="48847E7A"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9</w:t>
            </w:r>
          </w:p>
        </w:tc>
      </w:tr>
      <w:tr w:rsidR="00DD0A7A" w:rsidRPr="00DD0A7A" w14:paraId="7C9BA3E2"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570283FF"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I</w:t>
            </w:r>
            <w:r w:rsidRPr="00DD0A7A">
              <w:rPr>
                <w:rFonts w:asciiTheme="majorHAnsi" w:hAnsiTheme="majorHAnsi" w:cs="Times New Roman"/>
                <w:spacing w:val="-1"/>
                <w:sz w:val="20"/>
                <w:szCs w:val="20"/>
              </w:rPr>
              <w:t>n</w:t>
            </w:r>
            <w:r w:rsidRPr="00DD0A7A">
              <w:rPr>
                <w:rFonts w:asciiTheme="majorHAnsi" w:hAnsiTheme="majorHAnsi" w:cs="Times New Roman"/>
                <w:spacing w:val="1"/>
                <w:sz w:val="20"/>
                <w:szCs w:val="20"/>
              </w:rPr>
              <w:t>j</w:t>
            </w:r>
            <w:r w:rsidRPr="00DD0A7A">
              <w:rPr>
                <w:rFonts w:asciiTheme="majorHAnsi" w:hAnsiTheme="majorHAnsi" w:cs="Times New Roman"/>
                <w:sz w:val="20"/>
                <w:szCs w:val="20"/>
              </w:rPr>
              <w:t>ec</w:t>
            </w:r>
            <w:r w:rsidRPr="00DD0A7A">
              <w:rPr>
                <w:rFonts w:asciiTheme="majorHAnsi" w:hAnsiTheme="majorHAnsi" w:cs="Times New Roman"/>
                <w:spacing w:val="-1"/>
                <w:sz w:val="20"/>
                <w:szCs w:val="20"/>
              </w:rPr>
              <w:t>tio</w:t>
            </w:r>
            <w:r w:rsidRPr="00DD0A7A">
              <w:rPr>
                <w:rFonts w:asciiTheme="majorHAnsi" w:hAnsiTheme="majorHAnsi" w:cs="Times New Roman"/>
                <w:sz w:val="20"/>
                <w:szCs w:val="20"/>
              </w:rPr>
              <w:t>n</w:t>
            </w:r>
            <w:r w:rsidRPr="00DD0A7A">
              <w:rPr>
                <w:rFonts w:asciiTheme="majorHAnsi" w:hAnsiTheme="majorHAnsi" w:cs="Times New Roman"/>
                <w:spacing w:val="1"/>
                <w:sz w:val="20"/>
                <w:szCs w:val="20"/>
              </w:rPr>
              <w:t xml:space="preserve"> </w:t>
            </w:r>
            <w:r w:rsidRPr="00DD0A7A">
              <w:rPr>
                <w:rFonts w:asciiTheme="majorHAnsi" w:hAnsiTheme="majorHAnsi" w:cs="Times New Roman"/>
                <w:sz w:val="20"/>
                <w:szCs w:val="20"/>
              </w:rPr>
              <w:t>s</w:t>
            </w:r>
            <w:r w:rsidRPr="00DD0A7A">
              <w:rPr>
                <w:rFonts w:asciiTheme="majorHAnsi" w:hAnsiTheme="majorHAnsi" w:cs="Times New Roman"/>
                <w:spacing w:val="-1"/>
                <w:sz w:val="20"/>
                <w:szCs w:val="20"/>
              </w:rPr>
              <w:t>it</w:t>
            </w:r>
            <w:r w:rsidRPr="00DD0A7A">
              <w:rPr>
                <w:rFonts w:asciiTheme="majorHAnsi" w:hAnsiTheme="majorHAnsi" w:cs="Times New Roman"/>
                <w:sz w:val="20"/>
                <w:szCs w:val="20"/>
              </w:rPr>
              <w:t xml:space="preserve">e </w:t>
            </w:r>
            <w:r w:rsidRPr="00DD0A7A">
              <w:rPr>
                <w:rFonts w:asciiTheme="majorHAnsi" w:hAnsiTheme="majorHAnsi" w:cs="Times New Roman"/>
                <w:spacing w:val="-1"/>
                <w:sz w:val="20"/>
                <w:szCs w:val="20"/>
              </w:rPr>
              <w:t>e</w:t>
            </w:r>
            <w:r w:rsidRPr="00DD0A7A">
              <w:rPr>
                <w:rFonts w:asciiTheme="majorHAnsi" w:hAnsiTheme="majorHAnsi" w:cs="Times New Roman"/>
                <w:sz w:val="20"/>
                <w:szCs w:val="20"/>
              </w:rPr>
              <w:t>r</w:t>
            </w:r>
            <w:r w:rsidRPr="00DD0A7A">
              <w:rPr>
                <w:rFonts w:asciiTheme="majorHAnsi" w:hAnsiTheme="majorHAnsi" w:cs="Times New Roman"/>
                <w:spacing w:val="-1"/>
                <w:sz w:val="20"/>
                <w:szCs w:val="20"/>
              </w:rPr>
              <w:t>yt</w:t>
            </w:r>
            <w:r w:rsidRPr="00DD0A7A">
              <w:rPr>
                <w:rFonts w:asciiTheme="majorHAnsi" w:hAnsiTheme="majorHAnsi" w:cs="Times New Roman"/>
                <w:spacing w:val="1"/>
                <w:sz w:val="20"/>
                <w:szCs w:val="20"/>
              </w:rPr>
              <w:t>h</w:t>
            </w:r>
            <w:r w:rsidRPr="00DD0A7A">
              <w:rPr>
                <w:rFonts w:asciiTheme="majorHAnsi" w:hAnsiTheme="majorHAnsi" w:cs="Times New Roman"/>
                <w:sz w:val="20"/>
                <w:szCs w:val="20"/>
              </w:rPr>
              <w:t>e</w:t>
            </w:r>
            <w:r w:rsidRPr="00DD0A7A">
              <w:rPr>
                <w:rFonts w:asciiTheme="majorHAnsi" w:hAnsiTheme="majorHAnsi" w:cs="Times New Roman"/>
                <w:spacing w:val="-2"/>
                <w:sz w:val="20"/>
                <w:szCs w:val="20"/>
              </w:rPr>
              <w:t>m</w:t>
            </w:r>
            <w:r w:rsidRPr="00DD0A7A">
              <w:rPr>
                <w:rFonts w:asciiTheme="majorHAnsi" w:hAnsiTheme="majorHAnsi" w:cs="Times New Roman"/>
                <w:sz w:val="20"/>
                <w:szCs w:val="20"/>
              </w:rPr>
              <w:t>a</w:t>
            </w:r>
          </w:p>
        </w:tc>
        <w:tc>
          <w:tcPr>
            <w:tcW w:w="2562" w:type="dxa"/>
            <w:tcBorders>
              <w:top w:val="single" w:sz="4" w:space="0" w:color="auto"/>
              <w:left w:val="single" w:sz="4" w:space="0" w:color="auto"/>
              <w:bottom w:val="single" w:sz="4" w:space="0" w:color="auto"/>
              <w:right w:val="single" w:sz="4" w:space="0" w:color="auto"/>
            </w:tcBorders>
          </w:tcPr>
          <w:p w14:paraId="168EBAA9"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9</w:t>
            </w:r>
          </w:p>
        </w:tc>
      </w:tr>
      <w:tr w:rsidR="00DD0A7A" w:rsidRPr="00DD0A7A" w14:paraId="2D475DB6" w14:textId="77777777" w:rsidTr="006247FA">
        <w:trPr>
          <w:trHeight w:hRule="exact" w:val="239"/>
        </w:trPr>
        <w:tc>
          <w:tcPr>
            <w:tcW w:w="4144" w:type="dxa"/>
            <w:tcBorders>
              <w:top w:val="single" w:sz="4" w:space="0" w:color="auto"/>
              <w:left w:val="single" w:sz="4" w:space="0" w:color="auto"/>
              <w:bottom w:val="single" w:sz="4" w:space="0" w:color="auto"/>
              <w:right w:val="single" w:sz="4" w:space="0" w:color="auto"/>
            </w:tcBorders>
          </w:tcPr>
          <w:p w14:paraId="79EB01AB" w14:textId="77777777" w:rsidR="00DD0A7A" w:rsidRPr="00DD0A7A" w:rsidRDefault="00DD0A7A" w:rsidP="006247FA">
            <w:pPr>
              <w:autoSpaceDE w:val="0"/>
              <w:autoSpaceDN w:val="0"/>
              <w:adjustRightInd w:val="0"/>
              <w:spacing w:after="0" w:line="227"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N</w:t>
            </w:r>
            <w:r w:rsidRPr="00DD0A7A">
              <w:rPr>
                <w:rFonts w:asciiTheme="majorHAnsi" w:hAnsiTheme="majorHAnsi" w:cs="Times New Roman"/>
                <w:sz w:val="20"/>
                <w:szCs w:val="20"/>
              </w:rPr>
              <w:t>a</w:t>
            </w:r>
            <w:r w:rsidRPr="00DD0A7A">
              <w:rPr>
                <w:rFonts w:asciiTheme="majorHAnsi" w:hAnsiTheme="majorHAnsi" w:cs="Times New Roman"/>
                <w:spacing w:val="1"/>
                <w:sz w:val="20"/>
                <w:szCs w:val="20"/>
              </w:rPr>
              <w:t>u</w:t>
            </w:r>
            <w:r w:rsidRPr="00DD0A7A">
              <w:rPr>
                <w:rFonts w:asciiTheme="majorHAnsi" w:hAnsiTheme="majorHAnsi" w:cs="Times New Roman"/>
                <w:spacing w:val="-1"/>
                <w:sz w:val="20"/>
                <w:szCs w:val="20"/>
              </w:rPr>
              <w:t>s</w:t>
            </w:r>
            <w:r w:rsidRPr="00DD0A7A">
              <w:rPr>
                <w:rFonts w:asciiTheme="majorHAnsi" w:hAnsiTheme="majorHAnsi" w:cs="Times New Roman"/>
                <w:sz w:val="20"/>
                <w:szCs w:val="20"/>
              </w:rPr>
              <w:t>ea</w:t>
            </w:r>
          </w:p>
        </w:tc>
        <w:tc>
          <w:tcPr>
            <w:tcW w:w="2562" w:type="dxa"/>
            <w:tcBorders>
              <w:top w:val="single" w:sz="4" w:space="0" w:color="auto"/>
              <w:left w:val="single" w:sz="4" w:space="0" w:color="auto"/>
              <w:bottom w:val="single" w:sz="4" w:space="0" w:color="auto"/>
              <w:right w:val="single" w:sz="4" w:space="0" w:color="auto"/>
            </w:tcBorders>
          </w:tcPr>
          <w:p w14:paraId="47AC04F7" w14:textId="77777777" w:rsidR="00DD0A7A" w:rsidRPr="00DD0A7A" w:rsidRDefault="00DD0A7A" w:rsidP="006247FA">
            <w:pPr>
              <w:autoSpaceDE w:val="0"/>
              <w:autoSpaceDN w:val="0"/>
              <w:adjustRightInd w:val="0"/>
              <w:spacing w:after="0" w:line="227"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8</w:t>
            </w:r>
          </w:p>
        </w:tc>
      </w:tr>
      <w:tr w:rsidR="00DD0A7A" w:rsidRPr="00DD0A7A" w14:paraId="19ECA44D"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25E2CAC3"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C</w:t>
            </w:r>
            <w:r w:rsidRPr="00DD0A7A">
              <w:rPr>
                <w:rFonts w:asciiTheme="majorHAnsi" w:hAnsiTheme="majorHAnsi" w:cs="Times New Roman"/>
                <w:spacing w:val="1"/>
                <w:sz w:val="20"/>
                <w:szCs w:val="20"/>
              </w:rPr>
              <w:t>on</w:t>
            </w:r>
            <w:r w:rsidRPr="00DD0A7A">
              <w:rPr>
                <w:rFonts w:asciiTheme="majorHAnsi" w:hAnsiTheme="majorHAnsi" w:cs="Times New Roman"/>
                <w:sz w:val="20"/>
                <w:szCs w:val="20"/>
              </w:rPr>
              <w:t>s</w:t>
            </w:r>
            <w:r w:rsidRPr="00DD0A7A">
              <w:rPr>
                <w:rFonts w:asciiTheme="majorHAnsi" w:hAnsiTheme="majorHAnsi" w:cs="Times New Roman"/>
                <w:spacing w:val="-1"/>
                <w:sz w:val="20"/>
                <w:szCs w:val="20"/>
              </w:rPr>
              <w:t>ti</w:t>
            </w:r>
            <w:r w:rsidRPr="00DD0A7A">
              <w:rPr>
                <w:rFonts w:asciiTheme="majorHAnsi" w:hAnsiTheme="majorHAnsi" w:cs="Times New Roman"/>
                <w:spacing w:val="1"/>
                <w:sz w:val="20"/>
                <w:szCs w:val="20"/>
              </w:rPr>
              <w:t>p</w:t>
            </w:r>
            <w:r w:rsidRPr="00DD0A7A">
              <w:rPr>
                <w:rFonts w:asciiTheme="majorHAnsi" w:hAnsiTheme="majorHAnsi" w:cs="Times New Roman"/>
                <w:sz w:val="20"/>
                <w:szCs w:val="20"/>
              </w:rPr>
              <w:t>a</w:t>
            </w:r>
            <w:r w:rsidRPr="00DD0A7A">
              <w:rPr>
                <w:rFonts w:asciiTheme="majorHAnsi" w:hAnsiTheme="majorHAnsi" w:cs="Times New Roman"/>
                <w:spacing w:val="-1"/>
                <w:sz w:val="20"/>
                <w:szCs w:val="20"/>
              </w:rPr>
              <w:t>tio</w:t>
            </w:r>
            <w:r w:rsidRPr="00DD0A7A">
              <w:rPr>
                <w:rFonts w:asciiTheme="majorHAnsi" w:hAnsiTheme="majorHAnsi" w:cs="Times New Roman"/>
                <w:sz w:val="20"/>
                <w:szCs w:val="20"/>
              </w:rPr>
              <w:t>n</w:t>
            </w:r>
          </w:p>
        </w:tc>
        <w:tc>
          <w:tcPr>
            <w:tcW w:w="2562" w:type="dxa"/>
            <w:tcBorders>
              <w:top w:val="single" w:sz="4" w:space="0" w:color="auto"/>
              <w:left w:val="single" w:sz="4" w:space="0" w:color="auto"/>
              <w:bottom w:val="single" w:sz="4" w:space="0" w:color="auto"/>
              <w:right w:val="single" w:sz="4" w:space="0" w:color="auto"/>
            </w:tcBorders>
          </w:tcPr>
          <w:p w14:paraId="088964CC"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6</w:t>
            </w:r>
          </w:p>
        </w:tc>
      </w:tr>
      <w:tr w:rsidR="00DD0A7A" w:rsidRPr="00DD0A7A" w14:paraId="260C3887"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2667EEAC"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Vo</w:t>
            </w:r>
            <w:r w:rsidRPr="00DD0A7A">
              <w:rPr>
                <w:rFonts w:asciiTheme="majorHAnsi" w:hAnsiTheme="majorHAnsi" w:cs="Times New Roman"/>
                <w:spacing w:val="-2"/>
                <w:sz w:val="20"/>
                <w:szCs w:val="20"/>
              </w:rPr>
              <w:t>m</w:t>
            </w:r>
            <w:r w:rsidRPr="00DD0A7A">
              <w:rPr>
                <w:rFonts w:asciiTheme="majorHAnsi" w:hAnsiTheme="majorHAnsi" w:cs="Times New Roman"/>
                <w:spacing w:val="-1"/>
                <w:sz w:val="20"/>
                <w:szCs w:val="20"/>
              </w:rPr>
              <w:t>iti</w:t>
            </w:r>
            <w:r w:rsidRPr="00DD0A7A">
              <w:rPr>
                <w:rFonts w:asciiTheme="majorHAnsi" w:hAnsiTheme="majorHAnsi" w:cs="Times New Roman"/>
                <w:spacing w:val="1"/>
                <w:sz w:val="20"/>
                <w:szCs w:val="20"/>
              </w:rPr>
              <w:t>n</w:t>
            </w:r>
            <w:r w:rsidRPr="00DD0A7A">
              <w:rPr>
                <w:rFonts w:asciiTheme="majorHAnsi" w:hAnsiTheme="majorHAnsi" w:cs="Times New Roman"/>
                <w:sz w:val="20"/>
                <w:szCs w:val="20"/>
              </w:rPr>
              <w:t>g</w:t>
            </w:r>
          </w:p>
        </w:tc>
        <w:tc>
          <w:tcPr>
            <w:tcW w:w="2562" w:type="dxa"/>
            <w:tcBorders>
              <w:top w:val="single" w:sz="4" w:space="0" w:color="auto"/>
              <w:left w:val="single" w:sz="4" w:space="0" w:color="auto"/>
              <w:bottom w:val="single" w:sz="4" w:space="0" w:color="auto"/>
              <w:right w:val="single" w:sz="4" w:space="0" w:color="auto"/>
            </w:tcBorders>
          </w:tcPr>
          <w:p w14:paraId="7C3C0802"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6</w:t>
            </w:r>
          </w:p>
        </w:tc>
      </w:tr>
      <w:tr w:rsidR="00DD0A7A" w:rsidRPr="00DD0A7A" w14:paraId="7283A7DF"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3DE15A00"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U</w:t>
            </w:r>
            <w:r w:rsidRPr="00DD0A7A">
              <w:rPr>
                <w:rFonts w:asciiTheme="majorHAnsi" w:hAnsiTheme="majorHAnsi" w:cs="Times New Roman"/>
                <w:spacing w:val="-1"/>
                <w:sz w:val="20"/>
                <w:szCs w:val="20"/>
              </w:rPr>
              <w:t>p</w:t>
            </w:r>
            <w:r w:rsidRPr="00DD0A7A">
              <w:rPr>
                <w:rFonts w:asciiTheme="majorHAnsi" w:hAnsiTheme="majorHAnsi" w:cs="Times New Roman"/>
                <w:spacing w:val="1"/>
                <w:sz w:val="20"/>
                <w:szCs w:val="20"/>
              </w:rPr>
              <w:t>p</w:t>
            </w:r>
            <w:r w:rsidRPr="00DD0A7A">
              <w:rPr>
                <w:rFonts w:asciiTheme="majorHAnsi" w:hAnsiTheme="majorHAnsi" w:cs="Times New Roman"/>
                <w:spacing w:val="-1"/>
                <w:sz w:val="20"/>
                <w:szCs w:val="20"/>
              </w:rPr>
              <w:t>e</w:t>
            </w:r>
            <w:r w:rsidRPr="00DD0A7A">
              <w:rPr>
                <w:rFonts w:asciiTheme="majorHAnsi" w:hAnsiTheme="majorHAnsi" w:cs="Times New Roman"/>
                <w:sz w:val="20"/>
                <w:szCs w:val="20"/>
              </w:rPr>
              <w:t>r</w:t>
            </w:r>
            <w:r w:rsidRPr="00DD0A7A">
              <w:rPr>
                <w:rFonts w:asciiTheme="majorHAnsi" w:hAnsiTheme="majorHAnsi" w:cs="Times New Roman"/>
                <w:spacing w:val="1"/>
                <w:sz w:val="20"/>
                <w:szCs w:val="20"/>
              </w:rPr>
              <w:t xml:space="preserve"> </w:t>
            </w:r>
            <w:r w:rsidRPr="00DD0A7A">
              <w:rPr>
                <w:rFonts w:asciiTheme="majorHAnsi" w:hAnsiTheme="majorHAnsi" w:cs="Times New Roman"/>
                <w:sz w:val="20"/>
                <w:szCs w:val="20"/>
              </w:rPr>
              <w:t>r</w:t>
            </w:r>
            <w:r w:rsidRPr="00DD0A7A">
              <w:rPr>
                <w:rFonts w:asciiTheme="majorHAnsi" w:hAnsiTheme="majorHAnsi" w:cs="Times New Roman"/>
                <w:spacing w:val="-1"/>
                <w:sz w:val="20"/>
                <w:szCs w:val="20"/>
              </w:rPr>
              <w:t>e</w:t>
            </w:r>
            <w:r w:rsidRPr="00DD0A7A">
              <w:rPr>
                <w:rFonts w:asciiTheme="majorHAnsi" w:hAnsiTheme="majorHAnsi" w:cs="Times New Roman"/>
                <w:sz w:val="20"/>
                <w:szCs w:val="20"/>
              </w:rPr>
              <w:t>s</w:t>
            </w:r>
            <w:r w:rsidRPr="00DD0A7A">
              <w:rPr>
                <w:rFonts w:asciiTheme="majorHAnsi" w:hAnsiTheme="majorHAnsi" w:cs="Times New Roman"/>
                <w:spacing w:val="1"/>
                <w:sz w:val="20"/>
                <w:szCs w:val="20"/>
              </w:rPr>
              <w:t>p</w:t>
            </w:r>
            <w:r w:rsidRPr="00DD0A7A">
              <w:rPr>
                <w:rFonts w:asciiTheme="majorHAnsi" w:hAnsiTheme="majorHAnsi" w:cs="Times New Roman"/>
                <w:spacing w:val="-1"/>
                <w:sz w:val="20"/>
                <w:szCs w:val="20"/>
              </w:rPr>
              <w:t>i</w:t>
            </w:r>
            <w:r w:rsidRPr="00DD0A7A">
              <w:rPr>
                <w:rFonts w:asciiTheme="majorHAnsi" w:hAnsiTheme="majorHAnsi" w:cs="Times New Roman"/>
                <w:sz w:val="20"/>
                <w:szCs w:val="20"/>
              </w:rPr>
              <w:t>ra</w:t>
            </w:r>
            <w:r w:rsidRPr="00DD0A7A">
              <w:rPr>
                <w:rFonts w:asciiTheme="majorHAnsi" w:hAnsiTheme="majorHAnsi" w:cs="Times New Roman"/>
                <w:spacing w:val="-2"/>
                <w:sz w:val="20"/>
                <w:szCs w:val="20"/>
              </w:rPr>
              <w:t>t</w:t>
            </w:r>
            <w:r w:rsidRPr="00DD0A7A">
              <w:rPr>
                <w:rFonts w:asciiTheme="majorHAnsi" w:hAnsiTheme="majorHAnsi" w:cs="Times New Roman"/>
                <w:spacing w:val="1"/>
                <w:sz w:val="20"/>
                <w:szCs w:val="20"/>
              </w:rPr>
              <w:t>o</w:t>
            </w:r>
            <w:r w:rsidRPr="00DD0A7A">
              <w:rPr>
                <w:rFonts w:asciiTheme="majorHAnsi" w:hAnsiTheme="majorHAnsi" w:cs="Times New Roman"/>
                <w:sz w:val="20"/>
                <w:szCs w:val="20"/>
              </w:rPr>
              <w:t xml:space="preserve">ry </w:t>
            </w:r>
            <w:r w:rsidRPr="00DD0A7A">
              <w:rPr>
                <w:rFonts w:asciiTheme="majorHAnsi" w:hAnsiTheme="majorHAnsi" w:cs="Times New Roman"/>
                <w:spacing w:val="-1"/>
                <w:sz w:val="20"/>
                <w:szCs w:val="20"/>
              </w:rPr>
              <w:t>t</w:t>
            </w:r>
            <w:r w:rsidRPr="00DD0A7A">
              <w:rPr>
                <w:rFonts w:asciiTheme="majorHAnsi" w:hAnsiTheme="majorHAnsi" w:cs="Times New Roman"/>
                <w:sz w:val="20"/>
                <w:szCs w:val="20"/>
              </w:rPr>
              <w:t xml:space="preserve">ract </w:t>
            </w:r>
            <w:r w:rsidRPr="00DD0A7A">
              <w:rPr>
                <w:rFonts w:asciiTheme="majorHAnsi" w:hAnsiTheme="majorHAnsi" w:cs="Times New Roman"/>
                <w:spacing w:val="-2"/>
                <w:sz w:val="20"/>
                <w:szCs w:val="20"/>
              </w:rPr>
              <w:t>i</w:t>
            </w:r>
            <w:r w:rsidRPr="00DD0A7A">
              <w:rPr>
                <w:rFonts w:asciiTheme="majorHAnsi" w:hAnsiTheme="majorHAnsi" w:cs="Times New Roman"/>
                <w:spacing w:val="1"/>
                <w:sz w:val="20"/>
                <w:szCs w:val="20"/>
              </w:rPr>
              <w:t>n</w:t>
            </w:r>
            <w:r w:rsidRPr="00DD0A7A">
              <w:rPr>
                <w:rFonts w:asciiTheme="majorHAnsi" w:hAnsiTheme="majorHAnsi" w:cs="Times New Roman"/>
                <w:sz w:val="20"/>
                <w:szCs w:val="20"/>
              </w:rPr>
              <w:t>fec</w:t>
            </w:r>
            <w:r w:rsidRPr="00DD0A7A">
              <w:rPr>
                <w:rFonts w:asciiTheme="majorHAnsi" w:hAnsiTheme="majorHAnsi" w:cs="Times New Roman"/>
                <w:spacing w:val="-2"/>
                <w:sz w:val="20"/>
                <w:szCs w:val="20"/>
              </w:rPr>
              <w:t>t</w:t>
            </w:r>
            <w:r w:rsidRPr="00DD0A7A">
              <w:rPr>
                <w:rFonts w:asciiTheme="majorHAnsi" w:hAnsiTheme="majorHAnsi" w:cs="Times New Roman"/>
                <w:spacing w:val="-1"/>
                <w:sz w:val="20"/>
                <w:szCs w:val="20"/>
              </w:rPr>
              <w:t>i</w:t>
            </w:r>
            <w:r w:rsidRPr="00DD0A7A">
              <w:rPr>
                <w:rFonts w:asciiTheme="majorHAnsi" w:hAnsiTheme="majorHAnsi" w:cs="Times New Roman"/>
                <w:spacing w:val="1"/>
                <w:sz w:val="20"/>
                <w:szCs w:val="20"/>
              </w:rPr>
              <w:t>o</w:t>
            </w:r>
            <w:r w:rsidRPr="00DD0A7A">
              <w:rPr>
                <w:rFonts w:asciiTheme="majorHAnsi" w:hAnsiTheme="majorHAnsi" w:cs="Times New Roman"/>
                <w:sz w:val="20"/>
                <w:szCs w:val="20"/>
              </w:rPr>
              <w:t>n</w:t>
            </w:r>
          </w:p>
        </w:tc>
        <w:tc>
          <w:tcPr>
            <w:tcW w:w="2562" w:type="dxa"/>
            <w:tcBorders>
              <w:top w:val="single" w:sz="4" w:space="0" w:color="auto"/>
              <w:left w:val="single" w:sz="4" w:space="0" w:color="auto"/>
              <w:bottom w:val="single" w:sz="4" w:space="0" w:color="auto"/>
              <w:right w:val="single" w:sz="4" w:space="0" w:color="auto"/>
            </w:tcBorders>
          </w:tcPr>
          <w:p w14:paraId="09468C5E"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6</w:t>
            </w:r>
          </w:p>
        </w:tc>
      </w:tr>
      <w:tr w:rsidR="00DD0A7A" w:rsidRPr="00DD0A7A" w14:paraId="51F5DDCF"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3FCBF8EB"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Br</w:t>
            </w:r>
            <w:r w:rsidRPr="00DD0A7A">
              <w:rPr>
                <w:rFonts w:asciiTheme="majorHAnsi" w:hAnsiTheme="majorHAnsi" w:cs="Times New Roman"/>
                <w:spacing w:val="-1"/>
                <w:sz w:val="20"/>
                <w:szCs w:val="20"/>
              </w:rPr>
              <w:t>o</w:t>
            </w:r>
            <w:r w:rsidRPr="00DD0A7A">
              <w:rPr>
                <w:rFonts w:asciiTheme="majorHAnsi" w:hAnsiTheme="majorHAnsi" w:cs="Times New Roman"/>
                <w:spacing w:val="1"/>
                <w:sz w:val="20"/>
                <w:szCs w:val="20"/>
              </w:rPr>
              <w:t>n</w:t>
            </w:r>
            <w:r w:rsidRPr="00DD0A7A">
              <w:rPr>
                <w:rFonts w:asciiTheme="majorHAnsi" w:hAnsiTheme="majorHAnsi" w:cs="Times New Roman"/>
                <w:sz w:val="20"/>
                <w:szCs w:val="20"/>
              </w:rPr>
              <w:t>c</w:t>
            </w:r>
            <w:r w:rsidRPr="00DD0A7A">
              <w:rPr>
                <w:rFonts w:asciiTheme="majorHAnsi" w:hAnsiTheme="majorHAnsi" w:cs="Times New Roman"/>
                <w:spacing w:val="-1"/>
                <w:sz w:val="20"/>
                <w:szCs w:val="20"/>
              </w:rPr>
              <w:t>h</w:t>
            </w:r>
            <w:r w:rsidRPr="00DD0A7A">
              <w:rPr>
                <w:rFonts w:asciiTheme="majorHAnsi" w:hAnsiTheme="majorHAnsi" w:cs="Times New Roman"/>
                <w:spacing w:val="1"/>
                <w:sz w:val="20"/>
                <w:szCs w:val="20"/>
              </w:rPr>
              <w:t>o</w:t>
            </w:r>
            <w:r w:rsidRPr="00DD0A7A">
              <w:rPr>
                <w:rFonts w:asciiTheme="majorHAnsi" w:hAnsiTheme="majorHAnsi" w:cs="Times New Roman"/>
                <w:spacing w:val="-1"/>
                <w:sz w:val="20"/>
                <w:szCs w:val="20"/>
              </w:rPr>
              <w:t>s</w:t>
            </w:r>
            <w:r w:rsidRPr="00DD0A7A">
              <w:rPr>
                <w:rFonts w:asciiTheme="majorHAnsi" w:hAnsiTheme="majorHAnsi" w:cs="Times New Roman"/>
                <w:spacing w:val="1"/>
                <w:sz w:val="20"/>
                <w:szCs w:val="20"/>
              </w:rPr>
              <w:t>p</w:t>
            </w:r>
            <w:r w:rsidRPr="00DD0A7A">
              <w:rPr>
                <w:rFonts w:asciiTheme="majorHAnsi" w:hAnsiTheme="majorHAnsi" w:cs="Times New Roman"/>
                <w:sz w:val="20"/>
                <w:szCs w:val="20"/>
              </w:rPr>
              <w:t>asm</w:t>
            </w:r>
          </w:p>
        </w:tc>
        <w:tc>
          <w:tcPr>
            <w:tcW w:w="2562" w:type="dxa"/>
            <w:tcBorders>
              <w:top w:val="single" w:sz="4" w:space="0" w:color="auto"/>
              <w:left w:val="single" w:sz="4" w:space="0" w:color="auto"/>
              <w:bottom w:val="single" w:sz="4" w:space="0" w:color="auto"/>
              <w:right w:val="single" w:sz="4" w:space="0" w:color="auto"/>
            </w:tcBorders>
          </w:tcPr>
          <w:p w14:paraId="0F192039"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6</w:t>
            </w:r>
          </w:p>
        </w:tc>
      </w:tr>
      <w:tr w:rsidR="00DD0A7A" w:rsidRPr="00DD0A7A" w14:paraId="49CEB981" w14:textId="77777777" w:rsidTr="006247FA">
        <w:trPr>
          <w:trHeight w:hRule="exact" w:val="240"/>
        </w:trPr>
        <w:tc>
          <w:tcPr>
            <w:tcW w:w="4144" w:type="dxa"/>
            <w:tcBorders>
              <w:top w:val="single" w:sz="4" w:space="0" w:color="auto"/>
              <w:left w:val="single" w:sz="4" w:space="0" w:color="auto"/>
              <w:bottom w:val="single" w:sz="4" w:space="0" w:color="auto"/>
              <w:right w:val="single" w:sz="4" w:space="0" w:color="auto"/>
            </w:tcBorders>
          </w:tcPr>
          <w:p w14:paraId="604B2364" w14:textId="77777777" w:rsidR="00DD0A7A" w:rsidRPr="00DD0A7A" w:rsidRDefault="00DD0A7A" w:rsidP="006247FA">
            <w:pPr>
              <w:autoSpaceDE w:val="0"/>
              <w:autoSpaceDN w:val="0"/>
              <w:adjustRightInd w:val="0"/>
              <w:spacing w:after="0" w:line="228" w:lineRule="exact"/>
              <w:ind w:left="299" w:right="-20"/>
              <w:rPr>
                <w:rFonts w:asciiTheme="majorHAnsi" w:hAnsiTheme="majorHAnsi" w:cs="Times New Roman"/>
                <w:sz w:val="24"/>
                <w:szCs w:val="24"/>
              </w:rPr>
            </w:pPr>
            <w:r w:rsidRPr="00DD0A7A">
              <w:rPr>
                <w:rFonts w:asciiTheme="majorHAnsi" w:hAnsiTheme="majorHAnsi" w:cs="Times New Roman"/>
                <w:sz w:val="20"/>
                <w:szCs w:val="20"/>
              </w:rPr>
              <w:t>Pr</w:t>
            </w:r>
            <w:r w:rsidRPr="00DD0A7A">
              <w:rPr>
                <w:rFonts w:asciiTheme="majorHAnsi" w:hAnsiTheme="majorHAnsi" w:cs="Times New Roman"/>
                <w:spacing w:val="-1"/>
                <w:sz w:val="20"/>
                <w:szCs w:val="20"/>
              </w:rPr>
              <w:t>od</w:t>
            </w:r>
            <w:r w:rsidRPr="00DD0A7A">
              <w:rPr>
                <w:rFonts w:asciiTheme="majorHAnsi" w:hAnsiTheme="majorHAnsi" w:cs="Times New Roman"/>
                <w:spacing w:val="1"/>
                <w:sz w:val="20"/>
                <w:szCs w:val="20"/>
              </w:rPr>
              <w:t>u</w:t>
            </w:r>
            <w:r w:rsidRPr="00DD0A7A">
              <w:rPr>
                <w:rFonts w:asciiTheme="majorHAnsi" w:hAnsiTheme="majorHAnsi" w:cs="Times New Roman"/>
                <w:sz w:val="20"/>
                <w:szCs w:val="20"/>
              </w:rPr>
              <w:t>c</w:t>
            </w:r>
            <w:r w:rsidRPr="00DD0A7A">
              <w:rPr>
                <w:rFonts w:asciiTheme="majorHAnsi" w:hAnsiTheme="majorHAnsi" w:cs="Times New Roman"/>
                <w:spacing w:val="-1"/>
                <w:sz w:val="20"/>
                <w:szCs w:val="20"/>
              </w:rPr>
              <w:t>ti</w:t>
            </w:r>
            <w:r w:rsidRPr="00DD0A7A">
              <w:rPr>
                <w:rFonts w:asciiTheme="majorHAnsi" w:hAnsiTheme="majorHAnsi" w:cs="Times New Roman"/>
                <w:spacing w:val="1"/>
                <w:sz w:val="20"/>
                <w:szCs w:val="20"/>
              </w:rPr>
              <w:t>v</w:t>
            </w:r>
            <w:r w:rsidRPr="00DD0A7A">
              <w:rPr>
                <w:rFonts w:asciiTheme="majorHAnsi" w:hAnsiTheme="majorHAnsi" w:cs="Times New Roman"/>
                <w:sz w:val="20"/>
                <w:szCs w:val="20"/>
              </w:rPr>
              <w:t xml:space="preserve">e </w:t>
            </w:r>
            <w:r w:rsidRPr="00DD0A7A">
              <w:rPr>
                <w:rFonts w:asciiTheme="majorHAnsi" w:hAnsiTheme="majorHAnsi" w:cs="Times New Roman"/>
                <w:spacing w:val="-1"/>
                <w:sz w:val="20"/>
                <w:szCs w:val="20"/>
              </w:rPr>
              <w:t>cou</w:t>
            </w:r>
            <w:r w:rsidRPr="00DD0A7A">
              <w:rPr>
                <w:rFonts w:asciiTheme="majorHAnsi" w:hAnsiTheme="majorHAnsi" w:cs="Times New Roman"/>
                <w:spacing w:val="1"/>
                <w:sz w:val="20"/>
                <w:szCs w:val="20"/>
              </w:rPr>
              <w:t>g</w:t>
            </w:r>
            <w:r w:rsidRPr="00DD0A7A">
              <w:rPr>
                <w:rFonts w:asciiTheme="majorHAnsi" w:hAnsiTheme="majorHAnsi" w:cs="Times New Roman"/>
                <w:sz w:val="20"/>
                <w:szCs w:val="20"/>
              </w:rPr>
              <w:t>h</w:t>
            </w:r>
          </w:p>
        </w:tc>
        <w:tc>
          <w:tcPr>
            <w:tcW w:w="2562" w:type="dxa"/>
            <w:tcBorders>
              <w:top w:val="single" w:sz="4" w:space="0" w:color="auto"/>
              <w:left w:val="single" w:sz="4" w:space="0" w:color="auto"/>
              <w:bottom w:val="single" w:sz="4" w:space="0" w:color="auto"/>
              <w:right w:val="single" w:sz="4" w:space="0" w:color="auto"/>
            </w:tcBorders>
          </w:tcPr>
          <w:p w14:paraId="3D99A153" w14:textId="77777777" w:rsidR="00DD0A7A" w:rsidRPr="00DD0A7A" w:rsidRDefault="00DD0A7A" w:rsidP="006247FA">
            <w:pPr>
              <w:autoSpaceDE w:val="0"/>
              <w:autoSpaceDN w:val="0"/>
              <w:adjustRightInd w:val="0"/>
              <w:spacing w:after="0" w:line="228"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6</w:t>
            </w:r>
          </w:p>
        </w:tc>
      </w:tr>
      <w:tr w:rsidR="00DD0A7A" w:rsidRPr="00DD0A7A" w14:paraId="6C5F2A10" w14:textId="77777777" w:rsidTr="006247FA">
        <w:trPr>
          <w:trHeight w:hRule="exact" w:val="241"/>
        </w:trPr>
        <w:tc>
          <w:tcPr>
            <w:tcW w:w="4144" w:type="dxa"/>
            <w:tcBorders>
              <w:top w:val="single" w:sz="4" w:space="0" w:color="auto"/>
              <w:left w:val="single" w:sz="4" w:space="0" w:color="auto"/>
              <w:bottom w:val="single" w:sz="4" w:space="0" w:color="auto"/>
              <w:right w:val="single" w:sz="4" w:space="0" w:color="auto"/>
            </w:tcBorders>
          </w:tcPr>
          <w:p w14:paraId="1AAF673A" w14:textId="77777777" w:rsidR="00DD0A7A" w:rsidRPr="00DD0A7A" w:rsidRDefault="00DD0A7A" w:rsidP="006247FA">
            <w:pPr>
              <w:autoSpaceDE w:val="0"/>
              <w:autoSpaceDN w:val="0"/>
              <w:adjustRightInd w:val="0"/>
              <w:spacing w:after="0" w:line="229" w:lineRule="exact"/>
              <w:ind w:left="299" w:right="-20"/>
              <w:rPr>
                <w:rFonts w:asciiTheme="majorHAnsi" w:hAnsiTheme="majorHAnsi" w:cs="Times New Roman"/>
                <w:sz w:val="24"/>
                <w:szCs w:val="24"/>
              </w:rPr>
            </w:pPr>
            <w:r w:rsidRPr="00DD0A7A">
              <w:rPr>
                <w:rFonts w:asciiTheme="majorHAnsi" w:hAnsiTheme="majorHAnsi" w:cs="Times New Roman"/>
                <w:spacing w:val="1"/>
                <w:sz w:val="20"/>
                <w:szCs w:val="20"/>
              </w:rPr>
              <w:t>Ho</w:t>
            </w:r>
            <w:r w:rsidRPr="00DD0A7A">
              <w:rPr>
                <w:rFonts w:asciiTheme="majorHAnsi" w:hAnsiTheme="majorHAnsi" w:cs="Times New Roman"/>
                <w:sz w:val="20"/>
                <w:szCs w:val="20"/>
              </w:rPr>
              <w:t>t</w:t>
            </w:r>
            <w:r w:rsidRPr="00DD0A7A">
              <w:rPr>
                <w:rFonts w:asciiTheme="majorHAnsi" w:hAnsiTheme="majorHAnsi" w:cs="Times New Roman"/>
                <w:spacing w:val="-1"/>
                <w:sz w:val="20"/>
                <w:szCs w:val="20"/>
              </w:rPr>
              <w:t xml:space="preserve"> </w:t>
            </w:r>
            <w:r w:rsidRPr="00DD0A7A">
              <w:rPr>
                <w:rFonts w:asciiTheme="majorHAnsi" w:hAnsiTheme="majorHAnsi" w:cs="Times New Roman"/>
                <w:sz w:val="20"/>
                <w:szCs w:val="20"/>
              </w:rPr>
              <w:t>f</w:t>
            </w:r>
            <w:r w:rsidRPr="00DD0A7A">
              <w:rPr>
                <w:rFonts w:asciiTheme="majorHAnsi" w:hAnsiTheme="majorHAnsi" w:cs="Times New Roman"/>
                <w:spacing w:val="-1"/>
                <w:sz w:val="20"/>
                <w:szCs w:val="20"/>
              </w:rPr>
              <w:t>l</w:t>
            </w:r>
            <w:r w:rsidRPr="00DD0A7A">
              <w:rPr>
                <w:rFonts w:asciiTheme="majorHAnsi" w:hAnsiTheme="majorHAnsi" w:cs="Times New Roman"/>
                <w:spacing w:val="1"/>
                <w:sz w:val="20"/>
                <w:szCs w:val="20"/>
              </w:rPr>
              <w:t>u</w:t>
            </w:r>
            <w:r w:rsidRPr="00DD0A7A">
              <w:rPr>
                <w:rFonts w:asciiTheme="majorHAnsi" w:hAnsiTheme="majorHAnsi" w:cs="Times New Roman"/>
                <w:spacing w:val="-1"/>
                <w:sz w:val="20"/>
                <w:szCs w:val="20"/>
              </w:rPr>
              <w:t>s</w:t>
            </w:r>
            <w:r w:rsidRPr="00DD0A7A">
              <w:rPr>
                <w:rFonts w:asciiTheme="majorHAnsi" w:hAnsiTheme="majorHAnsi" w:cs="Times New Roman"/>
                <w:sz w:val="20"/>
                <w:szCs w:val="20"/>
              </w:rPr>
              <w:t>h</w:t>
            </w:r>
          </w:p>
        </w:tc>
        <w:tc>
          <w:tcPr>
            <w:tcW w:w="2562" w:type="dxa"/>
            <w:tcBorders>
              <w:top w:val="single" w:sz="4" w:space="0" w:color="auto"/>
              <w:left w:val="single" w:sz="4" w:space="0" w:color="auto"/>
              <w:bottom w:val="single" w:sz="4" w:space="0" w:color="auto"/>
              <w:right w:val="single" w:sz="4" w:space="0" w:color="auto"/>
            </w:tcBorders>
          </w:tcPr>
          <w:p w14:paraId="5617DBFC" w14:textId="77777777" w:rsidR="00DD0A7A" w:rsidRPr="00DD0A7A" w:rsidRDefault="00DD0A7A" w:rsidP="006247FA">
            <w:pPr>
              <w:autoSpaceDE w:val="0"/>
              <w:autoSpaceDN w:val="0"/>
              <w:adjustRightInd w:val="0"/>
              <w:spacing w:after="0" w:line="229" w:lineRule="exact"/>
              <w:ind w:right="648"/>
              <w:jc w:val="center"/>
              <w:rPr>
                <w:rFonts w:asciiTheme="majorHAnsi" w:hAnsiTheme="majorHAnsi" w:cs="Times New Roman"/>
                <w:sz w:val="24"/>
                <w:szCs w:val="24"/>
              </w:rPr>
            </w:pPr>
            <w:r w:rsidRPr="00DD0A7A">
              <w:rPr>
                <w:rFonts w:asciiTheme="majorHAnsi" w:hAnsiTheme="majorHAnsi" w:cs="Times New Roman"/>
                <w:sz w:val="20"/>
                <w:szCs w:val="20"/>
              </w:rPr>
              <w:t>5</w:t>
            </w:r>
          </w:p>
        </w:tc>
      </w:tr>
    </w:tbl>
    <w:p w14:paraId="377CAA49" w14:textId="05353FC5" w:rsidR="00102020" w:rsidRPr="00102020" w:rsidRDefault="0099038B" w:rsidP="00A06070">
      <w:pPr>
        <w:spacing w:before="120" w:after="120" w:line="240" w:lineRule="auto"/>
        <w:rPr>
          <w:rFonts w:asciiTheme="majorHAnsi" w:hAnsiTheme="majorHAnsi"/>
          <w:b/>
          <w:bCs/>
          <w:i/>
          <w:iCs/>
          <w:color w:val="000000"/>
        </w:rPr>
      </w:pPr>
      <w:r w:rsidRPr="00102020">
        <w:rPr>
          <w:rFonts w:asciiTheme="majorHAnsi" w:hAnsiTheme="majorHAnsi"/>
          <w:i/>
          <w:iCs/>
          <w:color w:val="000000"/>
        </w:rPr>
        <w:t xml:space="preserve">Other Adverse </w:t>
      </w:r>
      <w:r w:rsidR="00EE7C96">
        <w:rPr>
          <w:rFonts w:asciiTheme="majorHAnsi" w:hAnsiTheme="majorHAnsi"/>
          <w:i/>
          <w:iCs/>
          <w:color w:val="000000"/>
        </w:rPr>
        <w:t>Event</w:t>
      </w:r>
      <w:r w:rsidRPr="00102020">
        <w:rPr>
          <w:rFonts w:asciiTheme="majorHAnsi" w:hAnsiTheme="majorHAnsi"/>
          <w:i/>
          <w:iCs/>
          <w:color w:val="000000"/>
        </w:rPr>
        <w:t>s</w:t>
      </w:r>
      <w:r w:rsidRPr="00102020">
        <w:rPr>
          <w:rFonts w:asciiTheme="majorHAnsi" w:hAnsiTheme="majorHAnsi"/>
          <w:b/>
          <w:bCs/>
          <w:i/>
          <w:iCs/>
          <w:color w:val="000000"/>
        </w:rPr>
        <w:t xml:space="preserve">: </w:t>
      </w:r>
    </w:p>
    <w:p w14:paraId="69AFC482" w14:textId="1EDE5AFB" w:rsidR="0099038B" w:rsidRPr="001B1ED4" w:rsidRDefault="00102020" w:rsidP="00102020">
      <w:pPr>
        <w:spacing w:after="0" w:line="240" w:lineRule="auto"/>
        <w:rPr>
          <w:rFonts w:ascii="Cambria" w:hAnsi="Cambria"/>
        </w:rPr>
      </w:pPr>
      <w:r w:rsidRPr="00A06070">
        <w:rPr>
          <w:rFonts w:asciiTheme="majorHAnsi" w:hAnsiTheme="majorHAnsi"/>
        </w:rPr>
        <w:t>Psychiatric:</w:t>
      </w:r>
      <w:r w:rsidR="0099038B" w:rsidRPr="00583FC3">
        <w:rPr>
          <w:rFonts w:asciiTheme="majorHAnsi" w:hAnsiTheme="majorHAnsi"/>
          <w:i/>
          <w:iCs/>
        </w:rPr>
        <w:t xml:space="preserve"> </w:t>
      </w:r>
      <w:r w:rsidR="0099038B" w:rsidRPr="00583FC3">
        <w:rPr>
          <w:rFonts w:asciiTheme="majorHAnsi" w:hAnsiTheme="majorHAnsi"/>
        </w:rPr>
        <w:t>Emotional disorder (2%) and irritability (2%)</w:t>
      </w:r>
    </w:p>
    <w:p w14:paraId="08CE91BF" w14:textId="77777777" w:rsidR="00BA5393" w:rsidRDefault="002D23FF" w:rsidP="00FE45B8">
      <w:pPr>
        <w:pStyle w:val="Heading3"/>
        <w:numPr>
          <w:ilvl w:val="0"/>
          <w:numId w:val="0"/>
        </w:numPr>
      </w:pPr>
      <w:r w:rsidRPr="00BA5393">
        <w:t>Post-marketing experiences</w:t>
      </w:r>
    </w:p>
    <w:p w14:paraId="1340561D" w14:textId="60CBE2F4" w:rsidR="002D23FF" w:rsidRPr="001B1ED4" w:rsidRDefault="002D23FF" w:rsidP="00A06070">
      <w:pPr>
        <w:pStyle w:val="Heading4"/>
        <w:numPr>
          <w:ilvl w:val="0"/>
          <w:numId w:val="0"/>
        </w:numPr>
        <w:spacing w:before="120"/>
      </w:pPr>
      <w:r w:rsidRPr="001B1ED4">
        <w:t>Pituitary</w:t>
      </w:r>
      <w:r w:rsidRPr="001B1ED4">
        <w:rPr>
          <w:spacing w:val="-2"/>
        </w:rPr>
        <w:t xml:space="preserve"> Apoplexy</w:t>
      </w:r>
      <w:r w:rsidR="004F1932" w:rsidRPr="001B1ED4">
        <w:rPr>
          <w:spacing w:val="-2"/>
        </w:rPr>
        <w:t xml:space="preserve"> </w:t>
      </w:r>
    </w:p>
    <w:p w14:paraId="3E27F0D9" w14:textId="7C1DE03E"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During post-marketing surveillance, rare cases of pituitary apoplexy (a clinical syndrome secondary to infarction of the pituitary gland) have been reported after the administration of gonadotropin releasing hormone agonists, with a majority occurring within two weeks of the </w:t>
      </w:r>
      <w:r w:rsidRPr="001B1ED4">
        <w:rPr>
          <w:rFonts w:ascii="Cambria" w:hAnsi="Cambria"/>
          <w:sz w:val="22"/>
          <w:szCs w:val="22"/>
        </w:rPr>
        <w:lastRenderedPageBreak/>
        <w:t>first dose, and some within the first hour. In these cases, pituitary apoplexy has presented as a sudden headache, vomiting, visual changes, ophthalmoplegia, altered mental status, and sometimes cardiovascular collapse. Immediate medical attention has been required.</w:t>
      </w:r>
    </w:p>
    <w:p w14:paraId="56125E54" w14:textId="1965D29A" w:rsidR="001B1ED4" w:rsidRPr="00F46EB3" w:rsidRDefault="002D23FF" w:rsidP="00FE45B8">
      <w:pPr>
        <w:pStyle w:val="Heading4"/>
        <w:numPr>
          <w:ilvl w:val="0"/>
          <w:numId w:val="0"/>
        </w:numPr>
      </w:pPr>
      <w:r w:rsidRPr="001B1ED4">
        <w:t>Other</w:t>
      </w:r>
      <w:r w:rsidRPr="00F46EB3">
        <w:t xml:space="preserve"> </w:t>
      </w:r>
      <w:r w:rsidRPr="001B1ED4">
        <w:t>Adverse</w:t>
      </w:r>
      <w:r w:rsidRPr="00F46EB3">
        <w:t xml:space="preserve"> Effects</w:t>
      </w:r>
      <w:r w:rsidR="00F46EB3">
        <w:t xml:space="preserve"> </w:t>
      </w:r>
    </w:p>
    <w:p w14:paraId="5FAA515D" w14:textId="64D33569"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 xml:space="preserve">During post-market surveillance with LH-RH agonists; diabetes mellitus, myocardial infarction, cerebrovascular </w:t>
      </w:r>
      <w:proofErr w:type="gramStart"/>
      <w:r w:rsidRPr="001B1ED4">
        <w:rPr>
          <w:rFonts w:ascii="Cambria" w:hAnsi="Cambria"/>
          <w:sz w:val="22"/>
          <w:szCs w:val="22"/>
        </w:rPr>
        <w:t>accident</w:t>
      </w:r>
      <w:proofErr w:type="gramEnd"/>
      <w:r w:rsidRPr="001B1ED4">
        <w:rPr>
          <w:rFonts w:ascii="Cambria" w:hAnsi="Cambria"/>
          <w:sz w:val="22"/>
          <w:szCs w:val="22"/>
        </w:rPr>
        <w:t xml:space="preserve"> and sudden cardiac death have also b</w:t>
      </w:r>
      <w:r w:rsidR="004C150D">
        <w:rPr>
          <w:rFonts w:ascii="Cambria" w:hAnsi="Cambria"/>
          <w:sz w:val="22"/>
          <w:szCs w:val="22"/>
        </w:rPr>
        <w:t xml:space="preserve">een reported (see </w:t>
      </w:r>
      <w:r w:rsidR="00BD4FB8">
        <w:rPr>
          <w:rFonts w:ascii="Cambria" w:hAnsi="Cambria"/>
          <w:sz w:val="22"/>
          <w:szCs w:val="22"/>
        </w:rPr>
        <w:t>Section 4.4 Special warnings and precautions for use</w:t>
      </w:r>
      <w:r w:rsidR="004C150D">
        <w:rPr>
          <w:rFonts w:ascii="Cambria" w:hAnsi="Cambria"/>
          <w:sz w:val="22"/>
          <w:szCs w:val="22"/>
        </w:rPr>
        <w:t>).</w:t>
      </w:r>
    </w:p>
    <w:p w14:paraId="3A4D267E" w14:textId="02DD834B" w:rsidR="002D23FF" w:rsidRPr="001B1ED4" w:rsidRDefault="002D23FF" w:rsidP="001B1ED4">
      <w:pPr>
        <w:pStyle w:val="BodyText"/>
        <w:spacing w:after="240" w:line="276" w:lineRule="auto"/>
        <w:ind w:left="0" w:right="68"/>
        <w:rPr>
          <w:rFonts w:ascii="Cambria" w:hAnsi="Cambria"/>
          <w:sz w:val="22"/>
          <w:szCs w:val="22"/>
        </w:rPr>
      </w:pPr>
      <w:r w:rsidRPr="001B1ED4">
        <w:rPr>
          <w:rFonts w:ascii="Cambria" w:hAnsi="Cambria"/>
          <w:sz w:val="22"/>
          <w:szCs w:val="22"/>
        </w:rPr>
        <w:t>Anaphylactic/anaphylactoid reactions have been reported after GnRH</w:t>
      </w:r>
      <w:r w:rsidR="00F46EB3">
        <w:rPr>
          <w:rFonts w:ascii="Cambria" w:hAnsi="Cambria"/>
          <w:sz w:val="22"/>
          <w:szCs w:val="22"/>
        </w:rPr>
        <w:t xml:space="preserve"> agonist analog administration.</w:t>
      </w:r>
    </w:p>
    <w:p w14:paraId="3F1CD415" w14:textId="7075AE59" w:rsidR="002D23FF" w:rsidRPr="001B1ED4" w:rsidRDefault="002D23FF" w:rsidP="001B1ED4">
      <w:pPr>
        <w:pStyle w:val="BodyText"/>
        <w:spacing w:after="240" w:line="276" w:lineRule="auto"/>
        <w:ind w:left="0" w:right="68"/>
        <w:rPr>
          <w:rFonts w:ascii="Cambria" w:hAnsi="Cambria"/>
          <w:sz w:val="22"/>
          <w:szCs w:val="22"/>
        </w:rPr>
      </w:pPr>
      <w:proofErr w:type="spellStart"/>
      <w:r w:rsidRPr="001B1ED4">
        <w:rPr>
          <w:rFonts w:ascii="Cambria" w:hAnsi="Cambria"/>
          <w:sz w:val="22"/>
          <w:szCs w:val="22"/>
        </w:rPr>
        <w:t>Postmarketing</w:t>
      </w:r>
      <w:proofErr w:type="spellEnd"/>
      <w:r w:rsidRPr="001B1ED4">
        <w:rPr>
          <w:rFonts w:ascii="Cambria" w:hAnsi="Cambria"/>
          <w:sz w:val="22"/>
          <w:szCs w:val="22"/>
        </w:rPr>
        <w:t xml:space="preserve"> reports of convulsions have been observed in patients on leuprorelin acetate with or without a history of predisposing factors. Convulsions are to be managed according to the current c</w:t>
      </w:r>
      <w:r w:rsidR="00F46EB3">
        <w:rPr>
          <w:rFonts w:ascii="Cambria" w:hAnsi="Cambria"/>
          <w:sz w:val="22"/>
          <w:szCs w:val="22"/>
        </w:rPr>
        <w:t>linical practice.</w:t>
      </w:r>
    </w:p>
    <w:p w14:paraId="7501729B" w14:textId="6A4C2C81" w:rsidR="00B51A1D" w:rsidRDefault="002D23FF" w:rsidP="00F46EB3">
      <w:pPr>
        <w:pStyle w:val="BodyText"/>
        <w:spacing w:after="240" w:line="276" w:lineRule="auto"/>
        <w:ind w:left="0" w:right="68"/>
        <w:rPr>
          <w:rFonts w:ascii="Cambria" w:hAnsi="Cambria"/>
          <w:sz w:val="22"/>
          <w:szCs w:val="22"/>
        </w:rPr>
      </w:pPr>
      <w:r w:rsidRPr="001B1ED4">
        <w:rPr>
          <w:rFonts w:ascii="Cambria" w:hAnsi="Cambria"/>
          <w:sz w:val="22"/>
          <w:szCs w:val="22"/>
        </w:rPr>
        <w:t>Muscular atrophy has been observed with long term</w:t>
      </w:r>
      <w:r w:rsidR="00F46EB3">
        <w:rPr>
          <w:rFonts w:ascii="Cambria" w:hAnsi="Cambria"/>
          <w:sz w:val="22"/>
          <w:szCs w:val="22"/>
        </w:rPr>
        <w:t xml:space="preserve"> use of products in this class.</w:t>
      </w:r>
    </w:p>
    <w:p w14:paraId="07543592" w14:textId="6ED95896" w:rsidR="00CB52EC" w:rsidRDefault="00CB52EC" w:rsidP="00F46EB3">
      <w:pPr>
        <w:pStyle w:val="BodyText"/>
        <w:spacing w:after="240" w:line="276" w:lineRule="auto"/>
        <w:ind w:left="0" w:right="68"/>
        <w:rPr>
          <w:rFonts w:ascii="Cambria" w:hAnsi="Cambria"/>
          <w:sz w:val="22"/>
          <w:szCs w:val="22"/>
        </w:rPr>
      </w:pPr>
      <w:r w:rsidRPr="00CB52EC">
        <w:rPr>
          <w:rFonts w:ascii="Cambria" w:hAnsi="Cambria"/>
          <w:sz w:val="22"/>
          <w:szCs w:val="22"/>
        </w:rPr>
        <w:t>Interstitial lung disease has been reported with an unknown frequency.</w:t>
      </w:r>
    </w:p>
    <w:p w14:paraId="23286669" w14:textId="43ECB883" w:rsidR="009D5E96" w:rsidRDefault="007D346C" w:rsidP="009D5E96">
      <w:pPr>
        <w:pStyle w:val="Heading4"/>
        <w:numPr>
          <w:ilvl w:val="3"/>
          <w:numId w:val="0"/>
        </w:numPr>
      </w:pPr>
      <w:r>
        <w:t xml:space="preserve">Central Precocious Puberty  </w:t>
      </w:r>
      <w:r w:rsidR="009D5E96">
        <w:t xml:space="preserve">  </w:t>
      </w:r>
    </w:p>
    <w:p w14:paraId="5648B905" w14:textId="1E7B92D9" w:rsidR="009D5E96" w:rsidRPr="0033016E" w:rsidRDefault="009D5E96" w:rsidP="008813F6">
      <w:pPr>
        <w:autoSpaceDE w:val="0"/>
        <w:autoSpaceDN w:val="0"/>
        <w:adjustRightInd w:val="0"/>
        <w:spacing w:after="0" w:line="240" w:lineRule="auto"/>
        <w:rPr>
          <w:rFonts w:ascii="Cambria" w:eastAsia="Times New Roman" w:hAnsi="Cambria"/>
          <w:lang w:val="en-US"/>
        </w:rPr>
      </w:pPr>
      <w:r w:rsidRPr="0033016E">
        <w:rPr>
          <w:rFonts w:ascii="Cambria" w:eastAsia="Times New Roman" w:hAnsi="Cambria"/>
          <w:lang w:val="en-US"/>
        </w:rPr>
        <w:t xml:space="preserve">The following adverse </w:t>
      </w:r>
      <w:r w:rsidR="0059616B">
        <w:rPr>
          <w:rFonts w:ascii="Cambria" w:eastAsia="Times New Roman" w:hAnsi="Cambria"/>
          <w:lang w:val="en-US"/>
        </w:rPr>
        <w:t>event</w:t>
      </w:r>
      <w:r w:rsidRPr="0033016E">
        <w:rPr>
          <w:rFonts w:ascii="Cambria" w:eastAsia="Times New Roman" w:hAnsi="Cambria"/>
          <w:lang w:val="en-US"/>
        </w:rPr>
        <w:t xml:space="preserve">s have been observed </w:t>
      </w:r>
      <w:r w:rsidR="00D569D7">
        <w:rPr>
          <w:rFonts w:ascii="Cambria" w:eastAsia="Times New Roman" w:hAnsi="Cambria"/>
          <w:lang w:val="en-US"/>
        </w:rPr>
        <w:t xml:space="preserve">during </w:t>
      </w:r>
      <w:r w:rsidRPr="0033016E">
        <w:rPr>
          <w:rFonts w:ascii="Cambria" w:eastAsia="Times New Roman" w:hAnsi="Cambria"/>
          <w:lang w:val="en-US"/>
        </w:rPr>
        <w:t xml:space="preserve">post-approval use of </w:t>
      </w:r>
      <w:r w:rsidR="0020656D">
        <w:rPr>
          <w:rFonts w:ascii="Cambria" w:eastAsia="Times New Roman" w:hAnsi="Cambria"/>
          <w:lang w:val="en-US"/>
        </w:rPr>
        <w:t>leuprorelin</w:t>
      </w:r>
      <w:r w:rsidRPr="0033016E">
        <w:rPr>
          <w:rFonts w:ascii="Cambria" w:eastAsia="Times New Roman" w:hAnsi="Cambria"/>
          <w:lang w:val="en-US"/>
        </w:rPr>
        <w:t xml:space="preserve"> acetate. Because these reactions are reported voluntarily from a population of uncertain size, it is not always possible to reliably estimate their frequency or establish a causal relationship to drug exposure. </w:t>
      </w:r>
    </w:p>
    <w:p w14:paraId="4B58DA87" w14:textId="40342757" w:rsidR="000B7FCA" w:rsidRPr="000B7FCA"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 xml:space="preserve">Allergic Reactions: anaphylactic, rash, urticaria, and photosensitivity reactions. </w:t>
      </w:r>
    </w:p>
    <w:p w14:paraId="2AC439FF" w14:textId="77777777" w:rsidR="000B7FCA" w:rsidRPr="000B7FCA" w:rsidRDefault="000B7FCA" w:rsidP="007355BB">
      <w:pPr>
        <w:pStyle w:val="ListParagraph"/>
        <w:numPr>
          <w:ilvl w:val="0"/>
          <w:numId w:val="4"/>
        </w:numPr>
        <w:spacing w:before="120" w:after="0" w:line="240" w:lineRule="auto"/>
        <w:contextualSpacing w:val="0"/>
        <w:rPr>
          <w:rFonts w:eastAsia="Times New Roman"/>
          <w:lang w:val="en-US"/>
        </w:rPr>
      </w:pPr>
      <w:r w:rsidRPr="000B7FCA">
        <w:rPr>
          <w:rFonts w:eastAsia="Times New Roman"/>
          <w:lang w:val="en-US"/>
        </w:rPr>
        <w:t xml:space="preserve">General: chest pain, weight increase, weight decrease, decreased appetite, fatigue. </w:t>
      </w:r>
    </w:p>
    <w:p w14:paraId="44F1B404" w14:textId="77777777" w:rsidR="000B7FCA" w:rsidRPr="000B7FCA" w:rsidRDefault="000B7FCA" w:rsidP="007355BB">
      <w:pPr>
        <w:pStyle w:val="ListParagraph"/>
        <w:numPr>
          <w:ilvl w:val="0"/>
          <w:numId w:val="4"/>
        </w:numPr>
        <w:spacing w:before="120" w:after="0" w:line="240" w:lineRule="auto"/>
        <w:contextualSpacing w:val="0"/>
        <w:rPr>
          <w:rFonts w:eastAsia="Times New Roman"/>
          <w:lang w:val="en-US"/>
        </w:rPr>
      </w:pPr>
      <w:r w:rsidRPr="000B7FCA">
        <w:rPr>
          <w:rFonts w:eastAsia="Times New Roman"/>
          <w:lang w:val="en-US"/>
        </w:rPr>
        <w:t xml:space="preserve">Laboratory Abnormalities: decreased WBC. </w:t>
      </w:r>
    </w:p>
    <w:p w14:paraId="0793E921" w14:textId="77777777" w:rsidR="000B7FCA" w:rsidRPr="000B7FCA" w:rsidRDefault="000B7FCA" w:rsidP="007355BB">
      <w:pPr>
        <w:pStyle w:val="ListParagraph"/>
        <w:numPr>
          <w:ilvl w:val="0"/>
          <w:numId w:val="4"/>
        </w:numPr>
        <w:spacing w:before="120" w:after="0" w:line="240" w:lineRule="auto"/>
        <w:contextualSpacing w:val="0"/>
        <w:rPr>
          <w:rFonts w:eastAsia="Times New Roman"/>
          <w:lang w:val="en-US"/>
        </w:rPr>
      </w:pPr>
      <w:r w:rsidRPr="000B7FCA">
        <w:rPr>
          <w:rFonts w:eastAsia="Times New Roman"/>
          <w:lang w:val="en-US"/>
        </w:rPr>
        <w:t xml:space="preserve">Metabolic: diabetes mellitus. </w:t>
      </w:r>
    </w:p>
    <w:p w14:paraId="70DCC9DD" w14:textId="77777777" w:rsidR="00955D71"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 xml:space="preserve">Musculoskeletal and Connective Tissue: arthralgia, </w:t>
      </w:r>
      <w:proofErr w:type="spellStart"/>
      <w:r w:rsidRPr="000B7FCA">
        <w:rPr>
          <w:rFonts w:eastAsia="Times New Roman"/>
          <w:lang w:val="en-US"/>
        </w:rPr>
        <w:t>epiphysiolysis</w:t>
      </w:r>
      <w:proofErr w:type="spellEnd"/>
      <w:r w:rsidRPr="000B7FCA">
        <w:rPr>
          <w:rFonts w:eastAsia="Times New Roman"/>
          <w:lang w:val="en-US"/>
        </w:rPr>
        <w:t xml:space="preserve">, muscle spasms, myalgia. </w:t>
      </w:r>
    </w:p>
    <w:p w14:paraId="50634B23" w14:textId="2F85FB00" w:rsidR="000B7FCA" w:rsidRPr="000B7FCA"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Neurologic: neuropathy peripheral, convulsion, paralysis, insomnia</w:t>
      </w:r>
      <w:r w:rsidR="00A051BE" w:rsidRPr="00A051BE">
        <w:rPr>
          <w:rFonts w:eastAsia="Times New Roman"/>
          <w:lang w:val="en-US"/>
        </w:rPr>
        <w:t>, pseudotumor cerebri (idiopathic intracranial hypertension)</w:t>
      </w:r>
      <w:r w:rsidRPr="000B7FCA">
        <w:rPr>
          <w:rFonts w:eastAsia="Times New Roman"/>
          <w:lang w:val="en-US"/>
        </w:rPr>
        <w:t xml:space="preserve">. </w:t>
      </w:r>
    </w:p>
    <w:p w14:paraId="0C4667BE" w14:textId="2D6C9BCB" w:rsidR="000B7FCA" w:rsidRPr="000B7FCA"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 xml:space="preserve">Psychiatric: emotional lability, such as crying, irritability, impatience, </w:t>
      </w:r>
      <w:proofErr w:type="gramStart"/>
      <w:r w:rsidRPr="000B7FCA">
        <w:rPr>
          <w:rFonts w:eastAsia="Times New Roman"/>
          <w:lang w:val="en-US"/>
        </w:rPr>
        <w:t>anger</w:t>
      </w:r>
      <w:proofErr w:type="gramEnd"/>
      <w:r w:rsidRPr="000B7FCA">
        <w:rPr>
          <w:rFonts w:eastAsia="Times New Roman"/>
          <w:lang w:val="en-US"/>
        </w:rPr>
        <w:t xml:space="preserve"> and aggression</w:t>
      </w:r>
      <w:r w:rsidR="00D569D7">
        <w:rPr>
          <w:rFonts w:eastAsia="Times New Roman"/>
          <w:lang w:val="en-US"/>
        </w:rPr>
        <w:t>.</w:t>
      </w:r>
      <w:r w:rsidRPr="000B7FCA">
        <w:rPr>
          <w:rFonts w:eastAsia="Times New Roman"/>
          <w:lang w:val="en-US"/>
        </w:rPr>
        <w:t xml:space="preserve"> Depression, including rare reports of suicidal ideation and attempt. Many, but not all, of these patients had a history of psychiatric illness or other comorbidities with an increased risk of depression. </w:t>
      </w:r>
    </w:p>
    <w:p w14:paraId="04069854" w14:textId="77777777" w:rsidR="000B7FCA" w:rsidRPr="000B7FCA"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 xml:space="preserve">Skin and Subcutaneous Tissue: injection site reactions including induration and abscess, flushing, hyperhidrosis. </w:t>
      </w:r>
    </w:p>
    <w:p w14:paraId="0C0E79C1" w14:textId="77777777" w:rsidR="000B7FCA" w:rsidRPr="000B7FCA" w:rsidRDefault="000B7FCA" w:rsidP="007355BB">
      <w:pPr>
        <w:pStyle w:val="ListParagraph"/>
        <w:numPr>
          <w:ilvl w:val="0"/>
          <w:numId w:val="4"/>
        </w:numPr>
        <w:spacing w:before="120" w:after="0" w:line="240" w:lineRule="auto"/>
        <w:ind w:left="714" w:hanging="357"/>
        <w:contextualSpacing w:val="0"/>
        <w:rPr>
          <w:rFonts w:eastAsia="Times New Roman"/>
          <w:lang w:val="en-US"/>
        </w:rPr>
      </w:pPr>
      <w:r w:rsidRPr="000B7FCA">
        <w:rPr>
          <w:rFonts w:eastAsia="Times New Roman"/>
          <w:lang w:val="en-US"/>
        </w:rPr>
        <w:t xml:space="preserve">Reproductive System: vaginal bleeding, breast enlargement. </w:t>
      </w:r>
    </w:p>
    <w:p w14:paraId="1066E0F8" w14:textId="77777777" w:rsidR="00CF19E7" w:rsidRDefault="000B7FCA" w:rsidP="007355BB">
      <w:pPr>
        <w:pStyle w:val="ListParagraph"/>
        <w:numPr>
          <w:ilvl w:val="0"/>
          <w:numId w:val="4"/>
        </w:numPr>
        <w:spacing w:before="120" w:after="0" w:line="240" w:lineRule="auto"/>
        <w:contextualSpacing w:val="0"/>
        <w:rPr>
          <w:rFonts w:eastAsia="Times New Roman"/>
          <w:lang w:val="en-US"/>
        </w:rPr>
      </w:pPr>
      <w:r w:rsidRPr="000B7FCA">
        <w:rPr>
          <w:rFonts w:eastAsia="Times New Roman"/>
          <w:lang w:val="en-US"/>
        </w:rPr>
        <w:t xml:space="preserve">Vascular: hypertension, hypotension. </w:t>
      </w:r>
    </w:p>
    <w:p w14:paraId="22618D2C" w14:textId="7206F80C" w:rsidR="000B7FCA" w:rsidRPr="000B7FCA" w:rsidRDefault="000B7FCA" w:rsidP="007355BB">
      <w:pPr>
        <w:pStyle w:val="ListParagraph"/>
        <w:numPr>
          <w:ilvl w:val="0"/>
          <w:numId w:val="4"/>
        </w:numPr>
        <w:spacing w:before="120" w:after="0" w:line="240" w:lineRule="auto"/>
        <w:contextualSpacing w:val="0"/>
        <w:rPr>
          <w:rFonts w:eastAsia="Times New Roman"/>
          <w:lang w:val="en-US"/>
        </w:rPr>
      </w:pPr>
      <w:r w:rsidRPr="000B7FCA">
        <w:rPr>
          <w:rFonts w:eastAsia="Times New Roman"/>
          <w:lang w:val="en-US"/>
        </w:rPr>
        <w:t>Respiratory: dyspnea.</w:t>
      </w:r>
    </w:p>
    <w:p w14:paraId="5F9BE707" w14:textId="4F219403" w:rsidR="002D23FF" w:rsidRPr="004C150D" w:rsidRDefault="00B51A1D" w:rsidP="00FE45B8">
      <w:pPr>
        <w:pStyle w:val="Heading3"/>
        <w:numPr>
          <w:ilvl w:val="0"/>
          <w:numId w:val="0"/>
        </w:numPr>
      </w:pPr>
      <w:r w:rsidRPr="004C150D">
        <w:lastRenderedPageBreak/>
        <w:t xml:space="preserve">Reporting suspected adverse effects </w:t>
      </w:r>
    </w:p>
    <w:p w14:paraId="2DD1951A" w14:textId="4C162231" w:rsidR="00FE49D0" w:rsidRPr="00FE49D0" w:rsidRDefault="002D23FF" w:rsidP="00FE49D0">
      <w:pPr>
        <w:rPr>
          <w:rFonts w:asciiTheme="majorHAnsi" w:hAnsiTheme="majorHAnsi" w:cstheme="minorHAnsi"/>
          <w:lang w:val="en"/>
        </w:rPr>
      </w:pPr>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0D214C52" w14:textId="77777777" w:rsidR="001A3992" w:rsidRPr="00A837ED" w:rsidRDefault="001A3992" w:rsidP="00A837ED">
      <w:pPr>
        <w:pStyle w:val="Heading2"/>
      </w:pPr>
      <w:r w:rsidRPr="00A837ED">
        <w:t>Overdose</w:t>
      </w:r>
    </w:p>
    <w:p w14:paraId="4563F9E5" w14:textId="77777777" w:rsidR="004F1932" w:rsidRPr="00A837ED" w:rsidRDefault="004F1932" w:rsidP="00A837ED">
      <w:pPr>
        <w:rPr>
          <w:rFonts w:asciiTheme="majorHAnsi" w:hAnsiTheme="majorHAnsi" w:cstheme="minorHAnsi"/>
          <w:lang w:val="en"/>
        </w:rPr>
      </w:pPr>
      <w:r w:rsidRPr="00A837ED">
        <w:rPr>
          <w:rFonts w:asciiTheme="majorHAnsi" w:hAnsiTheme="majorHAnsi" w:cstheme="minorHAnsi"/>
          <w:lang w:val="en"/>
        </w:rPr>
        <w:t>In clinical trials using daily subcutaneous leuprorelin acetate in patients with prostate cancer, doses as high as 20 mg/day for up to two years caused no adverse effects differing from those observed with the 1 mg/day dose.</w:t>
      </w:r>
    </w:p>
    <w:p w14:paraId="3F143F4F" w14:textId="13920538" w:rsidR="004F1932" w:rsidRDefault="004F1932" w:rsidP="00A837ED">
      <w:pPr>
        <w:rPr>
          <w:rFonts w:asciiTheme="majorHAnsi" w:hAnsiTheme="majorHAnsi" w:cstheme="minorHAnsi"/>
          <w:lang w:val="en"/>
        </w:rPr>
      </w:pPr>
      <w:r w:rsidRPr="00A837ED">
        <w:rPr>
          <w:rFonts w:asciiTheme="majorHAnsi" w:hAnsiTheme="majorHAnsi" w:cstheme="minorHAnsi"/>
          <w:lang w:val="en"/>
        </w:rPr>
        <w:t xml:space="preserve">There is no clinical experience with the effects of an acute overdose. Because the acute animal toxicity of the drug is low, adverse effects are not expected. In the event of an overdose the patient should be </w:t>
      </w:r>
      <w:proofErr w:type="gramStart"/>
      <w:r w:rsidRPr="00A837ED">
        <w:rPr>
          <w:rFonts w:asciiTheme="majorHAnsi" w:hAnsiTheme="majorHAnsi" w:cstheme="minorHAnsi"/>
          <w:lang w:val="en"/>
        </w:rPr>
        <w:t>monitored</w:t>
      </w:r>
      <w:proofErr w:type="gramEnd"/>
      <w:r w:rsidRPr="00A837ED">
        <w:rPr>
          <w:rFonts w:asciiTheme="majorHAnsi" w:hAnsiTheme="majorHAnsi" w:cstheme="minorHAnsi"/>
          <w:lang w:val="en"/>
        </w:rPr>
        <w:t xml:space="preserve"> and supportive treatment </w:t>
      </w:r>
      <w:r w:rsidR="00A837ED">
        <w:rPr>
          <w:rFonts w:asciiTheme="majorHAnsi" w:hAnsiTheme="majorHAnsi" w:cstheme="minorHAnsi"/>
          <w:lang w:val="en"/>
        </w:rPr>
        <w:t>given, if considered necessary.</w:t>
      </w:r>
    </w:p>
    <w:p w14:paraId="63DEEC30" w14:textId="73531FFD" w:rsidR="00AA411A" w:rsidRPr="00A837ED" w:rsidRDefault="00AA411A" w:rsidP="00A837ED">
      <w:pPr>
        <w:rPr>
          <w:rFonts w:asciiTheme="majorHAnsi" w:hAnsiTheme="majorHAnsi" w:cstheme="minorHAnsi"/>
          <w:lang w:val="en"/>
        </w:rPr>
      </w:pPr>
      <w:r>
        <w:rPr>
          <w:rFonts w:asciiTheme="majorHAnsi" w:hAnsiTheme="majorHAnsi" w:cstheme="minorHAnsi"/>
        </w:rPr>
        <w:t>In paediatric use no</w:t>
      </w:r>
      <w:r w:rsidRPr="00AA411A">
        <w:rPr>
          <w:rFonts w:asciiTheme="majorHAnsi" w:hAnsiTheme="majorHAnsi" w:cstheme="minorHAnsi"/>
        </w:rPr>
        <w:t xml:space="preserve"> specific antidotes for </w:t>
      </w:r>
      <w:r>
        <w:rPr>
          <w:rFonts w:asciiTheme="majorHAnsi" w:hAnsiTheme="majorHAnsi" w:cstheme="minorHAnsi"/>
          <w:lang w:val="en"/>
        </w:rPr>
        <w:t>ELIGARD</w:t>
      </w:r>
      <w:r w:rsidRPr="00AA411A">
        <w:rPr>
          <w:rFonts w:asciiTheme="majorHAnsi" w:hAnsiTheme="majorHAnsi" w:cstheme="minorHAnsi"/>
        </w:rPr>
        <w:t xml:space="preserve"> are known.</w:t>
      </w:r>
    </w:p>
    <w:p w14:paraId="25675C9B" w14:textId="11A4CD82" w:rsidR="004F1932" w:rsidRPr="00A837ED" w:rsidRDefault="004F1932" w:rsidP="00A837ED">
      <w:pPr>
        <w:rPr>
          <w:rFonts w:asciiTheme="majorHAnsi" w:hAnsiTheme="majorHAnsi" w:cstheme="minorHAnsi"/>
          <w:lang w:val="en"/>
        </w:rPr>
      </w:pPr>
      <w:r w:rsidRPr="00497C85">
        <w:rPr>
          <w:rFonts w:asciiTheme="majorHAnsi" w:hAnsiTheme="majorHAnsi" w:cstheme="minorHAnsi"/>
          <w:lang w:val="en"/>
        </w:rPr>
        <w:t>For information on the management of overdose, contact the Poisons Information Centre on 13 11 26 (Australia).</w:t>
      </w:r>
    </w:p>
    <w:p w14:paraId="409D9B84" w14:textId="77777777" w:rsidR="001A3992" w:rsidRPr="00031C89" w:rsidRDefault="001A3992" w:rsidP="007216FB">
      <w:pPr>
        <w:pStyle w:val="Heading1"/>
        <w:spacing w:before="0" w:after="120"/>
        <w:ind w:left="431" w:hanging="431"/>
        <w:rPr>
          <w:rFonts w:cstheme="minorHAnsi"/>
        </w:rPr>
      </w:pPr>
      <w:r w:rsidRPr="00031C89">
        <w:rPr>
          <w:rFonts w:cstheme="minorHAnsi"/>
        </w:rPr>
        <w:t>Pharmacological properties</w:t>
      </w:r>
    </w:p>
    <w:p w14:paraId="7963DAC3" w14:textId="77777777" w:rsidR="001A3992" w:rsidRPr="004D6A98" w:rsidRDefault="001A3992" w:rsidP="004D6A98">
      <w:pPr>
        <w:pStyle w:val="Heading2"/>
      </w:pPr>
      <w:r w:rsidRPr="004D6A98">
        <w:t xml:space="preserve">Pharmacodynamic properties </w:t>
      </w:r>
    </w:p>
    <w:p w14:paraId="06CC5372" w14:textId="77777777" w:rsidR="001A3992" w:rsidRPr="004D6A98" w:rsidRDefault="001A3992" w:rsidP="00E40ADF">
      <w:pPr>
        <w:pStyle w:val="Heading3"/>
        <w:numPr>
          <w:ilvl w:val="0"/>
          <w:numId w:val="0"/>
        </w:numPr>
      </w:pPr>
      <w:r w:rsidRPr="004D6A98">
        <w:t>Mechanism of action</w:t>
      </w:r>
    </w:p>
    <w:p w14:paraId="41D27EE0" w14:textId="77777777" w:rsidR="00132E2C" w:rsidRPr="00CE313E" w:rsidRDefault="00132E2C" w:rsidP="004879F9">
      <w:pPr>
        <w:pStyle w:val="Heading4"/>
        <w:numPr>
          <w:ilvl w:val="0"/>
          <w:numId w:val="0"/>
        </w:numPr>
        <w:spacing w:before="120"/>
      </w:pPr>
      <w:r w:rsidRPr="00CE313E">
        <w:t xml:space="preserve">Prostate Cancer </w:t>
      </w:r>
    </w:p>
    <w:p w14:paraId="3CDFC5E0" w14:textId="2A15BD49" w:rsidR="00C60D10" w:rsidRPr="00A837ED" w:rsidRDefault="00C60D10" w:rsidP="00A837ED">
      <w:pPr>
        <w:rPr>
          <w:rFonts w:asciiTheme="majorHAnsi" w:hAnsiTheme="majorHAnsi" w:cstheme="minorHAnsi"/>
          <w:lang w:val="en"/>
        </w:rPr>
      </w:pPr>
      <w:r w:rsidRPr="00A837ED">
        <w:rPr>
          <w:rFonts w:asciiTheme="majorHAnsi" w:hAnsiTheme="majorHAnsi" w:cstheme="minorHAnsi"/>
          <w:lang w:val="en"/>
        </w:rPr>
        <w:t xml:space="preserve">Leuprorelin acetate, an LH-RH agonist, acts as a potent inhibitor of gonadotropin secretion when given continuously in therapeutic doses. Animal and human studies indicate that after an initial stimulation, chronic administration of leuprorelin acetate results in suppression of testicular steroidogenesis. This effect is reversible upon discontinuation of drug </w:t>
      </w:r>
      <w:r w:rsidR="00A837ED">
        <w:rPr>
          <w:rFonts w:asciiTheme="majorHAnsi" w:hAnsiTheme="majorHAnsi" w:cstheme="minorHAnsi"/>
          <w:lang w:val="en"/>
        </w:rPr>
        <w:t>therapy.</w:t>
      </w:r>
    </w:p>
    <w:p w14:paraId="5B246E12" w14:textId="7574089A" w:rsidR="00C60D10" w:rsidRPr="00A837ED" w:rsidRDefault="00C60D10" w:rsidP="00A837ED">
      <w:pPr>
        <w:rPr>
          <w:rFonts w:asciiTheme="majorHAnsi" w:hAnsiTheme="majorHAnsi" w:cstheme="minorHAnsi"/>
          <w:lang w:val="en"/>
        </w:rPr>
      </w:pPr>
      <w:r w:rsidRPr="00A837ED">
        <w:rPr>
          <w:rFonts w:asciiTheme="majorHAnsi" w:hAnsiTheme="majorHAnsi" w:cstheme="minorHAnsi"/>
          <w:lang w:val="en"/>
        </w:rPr>
        <w:t xml:space="preserve">Administration of leuprorelin acetate has resulted in inhibition of the growth of certain hormone-dependent </w:t>
      </w:r>
      <w:proofErr w:type="spellStart"/>
      <w:r w:rsidRPr="00A837ED">
        <w:rPr>
          <w:rFonts w:asciiTheme="majorHAnsi" w:hAnsiTheme="majorHAnsi" w:cstheme="minorHAnsi"/>
          <w:lang w:val="en"/>
        </w:rPr>
        <w:t>tumours</w:t>
      </w:r>
      <w:proofErr w:type="spellEnd"/>
      <w:r w:rsidRPr="00A837ED">
        <w:rPr>
          <w:rFonts w:asciiTheme="majorHAnsi" w:hAnsiTheme="majorHAnsi" w:cstheme="minorHAnsi"/>
          <w:lang w:val="en"/>
        </w:rPr>
        <w:t xml:space="preserve"> (prostatic </w:t>
      </w:r>
      <w:proofErr w:type="spellStart"/>
      <w:r w:rsidRPr="00A837ED">
        <w:rPr>
          <w:rFonts w:asciiTheme="majorHAnsi" w:hAnsiTheme="majorHAnsi" w:cstheme="minorHAnsi"/>
          <w:lang w:val="en"/>
        </w:rPr>
        <w:t>tumours</w:t>
      </w:r>
      <w:proofErr w:type="spellEnd"/>
      <w:r w:rsidRPr="00A837ED">
        <w:rPr>
          <w:rFonts w:asciiTheme="majorHAnsi" w:hAnsiTheme="majorHAnsi" w:cstheme="minorHAnsi"/>
          <w:lang w:val="en"/>
        </w:rPr>
        <w:t xml:space="preserve"> in Noble and Dunning male rats and DMBA- induced mammary </w:t>
      </w:r>
      <w:proofErr w:type="spellStart"/>
      <w:r w:rsidRPr="00A837ED">
        <w:rPr>
          <w:rFonts w:asciiTheme="majorHAnsi" w:hAnsiTheme="majorHAnsi" w:cstheme="minorHAnsi"/>
          <w:lang w:val="en"/>
        </w:rPr>
        <w:t>tumours</w:t>
      </w:r>
      <w:proofErr w:type="spellEnd"/>
      <w:r w:rsidRPr="00A837ED">
        <w:rPr>
          <w:rFonts w:asciiTheme="majorHAnsi" w:hAnsiTheme="majorHAnsi" w:cstheme="minorHAnsi"/>
          <w:lang w:val="en"/>
        </w:rPr>
        <w:t xml:space="preserve"> in female rats) as well as atrophy of the reproductive </w:t>
      </w:r>
      <w:r w:rsidR="00A837ED">
        <w:rPr>
          <w:rFonts w:asciiTheme="majorHAnsi" w:hAnsiTheme="majorHAnsi" w:cstheme="minorHAnsi"/>
          <w:lang w:val="en"/>
        </w:rPr>
        <w:t>organs.</w:t>
      </w:r>
    </w:p>
    <w:p w14:paraId="496FE5D6" w14:textId="0066C375" w:rsidR="00C60D10" w:rsidRPr="00A837ED" w:rsidRDefault="00C60D10" w:rsidP="00A837ED">
      <w:pPr>
        <w:rPr>
          <w:rFonts w:asciiTheme="majorHAnsi" w:hAnsiTheme="majorHAnsi" w:cstheme="minorHAnsi"/>
          <w:lang w:val="en"/>
        </w:rPr>
      </w:pPr>
      <w:r w:rsidRPr="00A837ED">
        <w:rPr>
          <w:rFonts w:asciiTheme="majorHAnsi" w:hAnsiTheme="majorHAnsi" w:cstheme="minorHAnsi"/>
          <w:lang w:val="en"/>
        </w:rPr>
        <w:t xml:space="preserve">In humans, administration of leuprorelin acetate results in an initial increase in circulating levels of luteinizing hormone (LH) and follicle stimulating hormone (FSH), leading to a transient increase in levels of the gonadal steroids (testosterone and dihydrotestosterone in males, and </w:t>
      </w:r>
      <w:proofErr w:type="spellStart"/>
      <w:r w:rsidRPr="00A837ED">
        <w:rPr>
          <w:rFonts w:asciiTheme="majorHAnsi" w:hAnsiTheme="majorHAnsi" w:cstheme="minorHAnsi"/>
          <w:lang w:val="en"/>
        </w:rPr>
        <w:t>oestrone</w:t>
      </w:r>
      <w:proofErr w:type="spellEnd"/>
      <w:r w:rsidRPr="00A837ED">
        <w:rPr>
          <w:rFonts w:asciiTheme="majorHAnsi" w:hAnsiTheme="majorHAnsi" w:cstheme="minorHAnsi"/>
          <w:lang w:val="en"/>
        </w:rPr>
        <w:t xml:space="preserve"> and </w:t>
      </w:r>
      <w:proofErr w:type="spellStart"/>
      <w:r w:rsidR="008613D9" w:rsidRPr="00A837ED">
        <w:rPr>
          <w:rFonts w:asciiTheme="majorHAnsi" w:hAnsiTheme="majorHAnsi" w:cstheme="minorHAnsi"/>
          <w:lang w:val="en"/>
        </w:rPr>
        <w:t>oestradiol</w:t>
      </w:r>
      <w:proofErr w:type="spellEnd"/>
      <w:r w:rsidRPr="00A837ED">
        <w:rPr>
          <w:rFonts w:asciiTheme="majorHAnsi" w:hAnsiTheme="majorHAnsi" w:cstheme="minorHAnsi"/>
          <w:lang w:val="en"/>
        </w:rPr>
        <w:t xml:space="preserve"> in premenopausal females). However, continuous administration of leuprorelin acetate results in decreased levels of LH and FSH. In males, testosterone is reduced to below castrate threshold (</w:t>
      </w:r>
      <w:r w:rsidR="00A36100" w:rsidRPr="00A36100">
        <w:rPr>
          <w:rFonts w:asciiTheme="majorHAnsi" w:hAnsiTheme="majorHAnsi" w:cs="Times New Roman"/>
          <w:lang w:val="en"/>
        </w:rPr>
        <w:t>≤</w:t>
      </w:r>
      <w:r w:rsidRPr="00A36100">
        <w:rPr>
          <w:rFonts w:ascii="Symbol" w:hAnsi="Symbol" w:cstheme="minorHAnsi"/>
          <w:lang w:val="en"/>
        </w:rPr>
        <w:t></w:t>
      </w:r>
      <w:r w:rsidRPr="00A837ED">
        <w:rPr>
          <w:rFonts w:asciiTheme="majorHAnsi" w:hAnsiTheme="majorHAnsi" w:cstheme="minorHAnsi"/>
          <w:lang w:val="en"/>
        </w:rPr>
        <w:t xml:space="preserve">50 ng/dL). These decreases occur within two to six weeks after initiation of treatment. </w:t>
      </w:r>
    </w:p>
    <w:p w14:paraId="449B994D" w14:textId="7D69EBA3" w:rsidR="00C60D10" w:rsidRDefault="00C60D10" w:rsidP="00A837ED">
      <w:pPr>
        <w:rPr>
          <w:rFonts w:asciiTheme="majorHAnsi" w:hAnsiTheme="majorHAnsi" w:cstheme="minorHAnsi"/>
          <w:lang w:val="en"/>
        </w:rPr>
      </w:pPr>
      <w:r w:rsidRPr="00A837ED">
        <w:rPr>
          <w:rFonts w:asciiTheme="majorHAnsi" w:hAnsiTheme="majorHAnsi" w:cstheme="minorHAnsi"/>
          <w:lang w:val="en"/>
        </w:rPr>
        <w:t xml:space="preserve">Leuprorelin acetate is not active when given </w:t>
      </w:r>
      <w:r w:rsidR="00A837ED">
        <w:rPr>
          <w:rFonts w:asciiTheme="majorHAnsi" w:hAnsiTheme="majorHAnsi" w:cstheme="minorHAnsi"/>
          <w:lang w:val="en"/>
        </w:rPr>
        <w:t>orally.</w:t>
      </w:r>
    </w:p>
    <w:p w14:paraId="6381D46F" w14:textId="2C1A8365" w:rsidR="00C042FF" w:rsidRPr="00CE313E" w:rsidRDefault="00C042FF" w:rsidP="00416773">
      <w:pPr>
        <w:pStyle w:val="Heading4"/>
        <w:numPr>
          <w:ilvl w:val="0"/>
          <w:numId w:val="0"/>
        </w:numPr>
        <w:spacing w:before="120"/>
      </w:pPr>
      <w:r w:rsidRPr="00CE313E">
        <w:lastRenderedPageBreak/>
        <w:t xml:space="preserve">Central Precocious Puberty  </w:t>
      </w:r>
    </w:p>
    <w:p w14:paraId="625139E3" w14:textId="15952D51" w:rsidR="00D9776B" w:rsidRDefault="00D9776B" w:rsidP="00A837ED">
      <w:pPr>
        <w:rPr>
          <w:rFonts w:asciiTheme="majorHAnsi" w:hAnsiTheme="majorHAnsi" w:cstheme="minorHAnsi"/>
        </w:rPr>
      </w:pPr>
      <w:r>
        <w:rPr>
          <w:rFonts w:asciiTheme="majorHAnsi" w:hAnsiTheme="majorHAnsi" w:cstheme="minorHAnsi"/>
        </w:rPr>
        <w:t xml:space="preserve">In </w:t>
      </w:r>
      <w:r w:rsidRPr="00D9776B">
        <w:rPr>
          <w:rFonts w:asciiTheme="majorHAnsi" w:hAnsiTheme="majorHAnsi" w:cstheme="minorHAnsi"/>
        </w:rPr>
        <w:t>p</w:t>
      </w:r>
      <w:r w:rsidR="00D7062F">
        <w:rPr>
          <w:rFonts w:asciiTheme="majorHAnsi" w:hAnsiTheme="majorHAnsi" w:cstheme="minorHAnsi"/>
        </w:rPr>
        <w:t>a</w:t>
      </w:r>
      <w:r w:rsidRPr="00D9776B">
        <w:rPr>
          <w:rFonts w:asciiTheme="majorHAnsi" w:hAnsiTheme="majorHAnsi" w:cstheme="minorHAnsi"/>
        </w:rPr>
        <w:t>ediatric patients</w:t>
      </w:r>
      <w:r>
        <w:rPr>
          <w:rFonts w:asciiTheme="majorHAnsi" w:hAnsiTheme="majorHAnsi" w:cstheme="minorHAnsi"/>
        </w:rPr>
        <w:t xml:space="preserve">, </w:t>
      </w:r>
      <w:r w:rsidR="0020656D">
        <w:rPr>
          <w:rFonts w:asciiTheme="majorHAnsi" w:hAnsiTheme="majorHAnsi" w:cstheme="minorHAnsi"/>
        </w:rPr>
        <w:t>leuprorelin</w:t>
      </w:r>
      <w:r w:rsidR="00C7639B" w:rsidRPr="00C7639B">
        <w:rPr>
          <w:rFonts w:asciiTheme="majorHAnsi" w:hAnsiTheme="majorHAnsi" w:cstheme="minorHAnsi"/>
        </w:rPr>
        <w:t xml:space="preserve"> acetate, a GnRH agonist, acts as a potent inhibitor of gonadotropin secretion (LH and follicle stimulating hormone (FSH)) when given continuously in therapeutic doses. Following an initial stimulation of GnRH receptors, chronic administration of </w:t>
      </w:r>
      <w:r w:rsidR="0020656D">
        <w:rPr>
          <w:rFonts w:asciiTheme="majorHAnsi" w:hAnsiTheme="majorHAnsi" w:cstheme="minorHAnsi"/>
        </w:rPr>
        <w:t>leuprorelin</w:t>
      </w:r>
      <w:r w:rsidR="00C7639B" w:rsidRPr="00C7639B">
        <w:rPr>
          <w:rFonts w:asciiTheme="majorHAnsi" w:hAnsiTheme="majorHAnsi" w:cstheme="minorHAnsi"/>
        </w:rPr>
        <w:t xml:space="preserve"> acetate results in downregulation of GnRH receptors, reduction in release of LH, FSH and consequent suppression of ovarian and testicular production of </w:t>
      </w:r>
      <w:r w:rsidR="00B03408">
        <w:rPr>
          <w:rFonts w:asciiTheme="majorHAnsi" w:hAnsiTheme="majorHAnsi" w:cstheme="minorHAnsi"/>
        </w:rPr>
        <w:t>oestradiol</w:t>
      </w:r>
      <w:r w:rsidR="00C7639B" w:rsidRPr="00C7639B">
        <w:rPr>
          <w:rFonts w:asciiTheme="majorHAnsi" w:hAnsiTheme="majorHAnsi" w:cstheme="minorHAnsi"/>
        </w:rPr>
        <w:t xml:space="preserve"> and testosterone respectively. This inhibitory effect is reversible upon discontinuation of drug therapy.</w:t>
      </w:r>
    </w:p>
    <w:p w14:paraId="1AA93C38" w14:textId="19EF93CC" w:rsidR="00646927" w:rsidRPr="00A837ED" w:rsidRDefault="00646927" w:rsidP="00A837ED">
      <w:pPr>
        <w:rPr>
          <w:rFonts w:asciiTheme="majorHAnsi" w:hAnsiTheme="majorHAnsi" w:cstheme="minorHAnsi"/>
          <w:lang w:val="en"/>
        </w:rPr>
      </w:pPr>
      <w:r w:rsidRPr="00646927">
        <w:rPr>
          <w:rFonts w:asciiTheme="majorHAnsi" w:hAnsiTheme="majorHAnsi" w:cstheme="minorHAnsi"/>
        </w:rPr>
        <w:t xml:space="preserve">In the clinical trial evaluating </w:t>
      </w:r>
      <w:r>
        <w:rPr>
          <w:rFonts w:asciiTheme="majorHAnsi" w:hAnsiTheme="majorHAnsi" w:cstheme="minorHAnsi"/>
          <w:lang w:val="en"/>
        </w:rPr>
        <w:t>ELIGARD</w:t>
      </w:r>
      <w:r w:rsidRPr="00646927">
        <w:rPr>
          <w:rFonts w:asciiTheme="majorHAnsi" w:hAnsiTheme="majorHAnsi" w:cstheme="minorHAnsi"/>
        </w:rPr>
        <w:t xml:space="preserve"> </w:t>
      </w:r>
      <w:r w:rsidR="00D7062F">
        <w:rPr>
          <w:rFonts w:asciiTheme="majorHAnsi" w:hAnsiTheme="majorHAnsi" w:cstheme="minorHAnsi"/>
        </w:rPr>
        <w:t xml:space="preserve">6 month </w:t>
      </w:r>
      <w:r w:rsidRPr="00646927">
        <w:rPr>
          <w:rFonts w:asciiTheme="majorHAnsi" w:hAnsiTheme="majorHAnsi" w:cstheme="minorHAnsi"/>
        </w:rPr>
        <w:t>in p</w:t>
      </w:r>
      <w:r w:rsidR="00D7062F">
        <w:rPr>
          <w:rFonts w:asciiTheme="majorHAnsi" w:hAnsiTheme="majorHAnsi" w:cstheme="minorHAnsi"/>
        </w:rPr>
        <w:t>a</w:t>
      </w:r>
      <w:r w:rsidRPr="00646927">
        <w:rPr>
          <w:rFonts w:asciiTheme="majorHAnsi" w:hAnsiTheme="majorHAnsi" w:cstheme="minorHAnsi"/>
        </w:rPr>
        <w:t xml:space="preserve">ediatric patients with CPP, there was a transient surge in circulating levels of LH, FSH, </w:t>
      </w:r>
      <w:r w:rsidR="00B03408">
        <w:rPr>
          <w:rFonts w:asciiTheme="majorHAnsi" w:hAnsiTheme="majorHAnsi" w:cstheme="minorHAnsi"/>
        </w:rPr>
        <w:t>oestradiol</w:t>
      </w:r>
      <w:r w:rsidRPr="00646927">
        <w:rPr>
          <w:rFonts w:asciiTheme="majorHAnsi" w:hAnsiTheme="majorHAnsi" w:cstheme="minorHAnsi"/>
        </w:rPr>
        <w:t xml:space="preserve"> and testosterone following the first administration. A decrease in</w:t>
      </w:r>
      <w:r>
        <w:rPr>
          <w:rFonts w:asciiTheme="majorHAnsi" w:hAnsiTheme="majorHAnsi" w:cstheme="minorHAnsi"/>
        </w:rPr>
        <w:t xml:space="preserve"> </w:t>
      </w:r>
      <w:r w:rsidRPr="00646927">
        <w:rPr>
          <w:rFonts w:asciiTheme="majorHAnsi" w:hAnsiTheme="majorHAnsi" w:cstheme="minorHAnsi"/>
        </w:rPr>
        <w:t xml:space="preserve">basal and GnRH agonist-stimulated LH and FSH levels along with reductions in basal </w:t>
      </w:r>
      <w:r w:rsidR="00B03408">
        <w:rPr>
          <w:rFonts w:asciiTheme="majorHAnsi" w:hAnsiTheme="majorHAnsi" w:cstheme="minorHAnsi"/>
        </w:rPr>
        <w:t>oestradiol</w:t>
      </w:r>
      <w:r w:rsidRPr="00646927">
        <w:rPr>
          <w:rFonts w:asciiTheme="majorHAnsi" w:hAnsiTheme="majorHAnsi" w:cstheme="minorHAnsi"/>
        </w:rPr>
        <w:t xml:space="preserve"> and testosterone were observed after repeat administration.</w:t>
      </w:r>
    </w:p>
    <w:p w14:paraId="67A9DF67" w14:textId="77777777" w:rsidR="001A3992" w:rsidRPr="00AB2EF5" w:rsidRDefault="001A3992" w:rsidP="00E40ADF">
      <w:pPr>
        <w:pStyle w:val="Heading3"/>
        <w:numPr>
          <w:ilvl w:val="0"/>
          <w:numId w:val="0"/>
        </w:numPr>
      </w:pPr>
      <w:r w:rsidRPr="00AB2EF5">
        <w:t>Clinical trials</w:t>
      </w:r>
    </w:p>
    <w:p w14:paraId="5D432701" w14:textId="77777777" w:rsidR="008A5857" w:rsidRPr="00416773" w:rsidRDefault="008A5857" w:rsidP="00416773">
      <w:pPr>
        <w:pStyle w:val="Heading4"/>
        <w:numPr>
          <w:ilvl w:val="0"/>
          <w:numId w:val="0"/>
        </w:numPr>
        <w:spacing w:before="120"/>
      </w:pPr>
      <w:r w:rsidRPr="00416773">
        <w:t xml:space="preserve">Prostate Cancer </w:t>
      </w:r>
    </w:p>
    <w:p w14:paraId="048E449C" w14:textId="3AA183BA" w:rsidR="004F1932" w:rsidRPr="00AB2EF5" w:rsidRDefault="004F1932" w:rsidP="00AB2EF5">
      <w:pPr>
        <w:rPr>
          <w:rFonts w:asciiTheme="majorHAnsi" w:hAnsiTheme="majorHAnsi" w:cstheme="minorHAnsi"/>
          <w:lang w:val="en"/>
        </w:rPr>
      </w:pPr>
      <w:r w:rsidRPr="00AB2EF5">
        <w:rPr>
          <w:rFonts w:asciiTheme="majorHAnsi" w:hAnsiTheme="majorHAnsi" w:cstheme="minorHAnsi"/>
          <w:lang w:val="en"/>
        </w:rPr>
        <w:t xml:space="preserve">In the open-label, </w:t>
      </w:r>
      <w:proofErr w:type="spellStart"/>
      <w:r w:rsidRPr="00AB2EF5">
        <w:rPr>
          <w:rFonts w:asciiTheme="majorHAnsi" w:hAnsiTheme="majorHAnsi" w:cstheme="minorHAnsi"/>
          <w:lang w:val="en"/>
        </w:rPr>
        <w:t>multicentre</w:t>
      </w:r>
      <w:proofErr w:type="spellEnd"/>
      <w:r w:rsidRPr="00AB2EF5">
        <w:rPr>
          <w:rFonts w:asciiTheme="majorHAnsi" w:hAnsiTheme="majorHAnsi" w:cstheme="minorHAnsi"/>
          <w:lang w:val="en"/>
        </w:rPr>
        <w:t xml:space="preserve"> studies conducted with </w:t>
      </w:r>
      <w:r w:rsidR="00CA0019">
        <w:rPr>
          <w:rFonts w:asciiTheme="majorHAnsi" w:hAnsiTheme="majorHAnsi" w:cstheme="minorHAnsi"/>
          <w:lang w:val="en"/>
        </w:rPr>
        <w:t>ELIGARD</w:t>
      </w:r>
      <w:r w:rsidRPr="00AB2EF5">
        <w:rPr>
          <w:rFonts w:asciiTheme="majorHAnsi" w:hAnsiTheme="majorHAnsi" w:cstheme="minorHAnsi"/>
          <w:lang w:val="en"/>
        </w:rPr>
        <w:t xml:space="preserve"> patients with advanced prostate cancer were treated with monthly injections of </w:t>
      </w:r>
      <w:r w:rsidR="00CA0019">
        <w:rPr>
          <w:rFonts w:asciiTheme="majorHAnsi" w:hAnsiTheme="majorHAnsi" w:cstheme="minorHAnsi"/>
          <w:lang w:val="en"/>
        </w:rPr>
        <w:t>ELIGARD</w:t>
      </w:r>
      <w:r w:rsidRPr="00AB2EF5">
        <w:rPr>
          <w:rFonts w:asciiTheme="majorHAnsi" w:hAnsiTheme="majorHAnsi" w:cstheme="minorHAnsi"/>
          <w:lang w:val="en"/>
        </w:rPr>
        <w:t xml:space="preserve"> 1 month for 6 months, a single injection of </w:t>
      </w:r>
      <w:r w:rsidR="00CA0019">
        <w:rPr>
          <w:rFonts w:asciiTheme="majorHAnsi" w:hAnsiTheme="majorHAnsi" w:cstheme="minorHAnsi"/>
          <w:lang w:val="en"/>
        </w:rPr>
        <w:t>ELIGARD</w:t>
      </w:r>
      <w:r w:rsidRPr="00AB2EF5">
        <w:rPr>
          <w:rFonts w:asciiTheme="majorHAnsi" w:hAnsiTheme="majorHAnsi" w:cstheme="minorHAnsi"/>
          <w:lang w:val="en"/>
        </w:rPr>
        <w:t xml:space="preserve"> 3 month, given once every three months for 6 months, a single injection of </w:t>
      </w:r>
      <w:r w:rsidR="00CA0019">
        <w:rPr>
          <w:rFonts w:asciiTheme="majorHAnsi" w:hAnsiTheme="majorHAnsi" w:cstheme="minorHAnsi"/>
          <w:lang w:val="en"/>
        </w:rPr>
        <w:t>ELIGARD</w:t>
      </w:r>
      <w:r w:rsidRPr="00AB2EF5">
        <w:rPr>
          <w:rFonts w:asciiTheme="majorHAnsi" w:hAnsiTheme="majorHAnsi" w:cstheme="minorHAnsi"/>
          <w:lang w:val="en"/>
        </w:rPr>
        <w:t xml:space="preserve"> 4 month, given once every four months for 8 months or a single injection of </w:t>
      </w:r>
      <w:r w:rsidR="00CA0019">
        <w:rPr>
          <w:rFonts w:asciiTheme="majorHAnsi" w:hAnsiTheme="majorHAnsi" w:cstheme="minorHAnsi"/>
          <w:lang w:val="en"/>
        </w:rPr>
        <w:t>ELIGARD</w:t>
      </w:r>
      <w:r w:rsidRPr="00AB2EF5">
        <w:rPr>
          <w:rFonts w:asciiTheme="majorHAnsi" w:hAnsiTheme="majorHAnsi" w:cstheme="minorHAnsi"/>
          <w:lang w:val="en"/>
        </w:rPr>
        <w:t xml:space="preserve"> 6 month, given once every six months for 12 months. Patient stages in the open-label, </w:t>
      </w:r>
      <w:proofErr w:type="spellStart"/>
      <w:r w:rsidRPr="00AB2EF5">
        <w:rPr>
          <w:rFonts w:asciiTheme="majorHAnsi" w:hAnsiTheme="majorHAnsi" w:cstheme="minorHAnsi"/>
          <w:lang w:val="en"/>
        </w:rPr>
        <w:t>multicentre</w:t>
      </w:r>
      <w:proofErr w:type="spellEnd"/>
      <w:r w:rsidRPr="00AB2EF5">
        <w:rPr>
          <w:rFonts w:asciiTheme="majorHAnsi" w:hAnsiTheme="majorHAnsi" w:cstheme="minorHAnsi"/>
          <w:lang w:val="en"/>
        </w:rPr>
        <w:t xml:space="preserve"> studies are described in </w:t>
      </w:r>
      <w:r w:rsidR="008C1488" w:rsidRPr="008C1488">
        <w:rPr>
          <w:rFonts w:asciiTheme="majorHAnsi" w:hAnsiTheme="majorHAnsi" w:cstheme="minorHAnsi"/>
          <w:lang w:val="en"/>
        </w:rPr>
        <w:t xml:space="preserve">Table </w:t>
      </w:r>
      <w:r w:rsidR="004F038A">
        <w:rPr>
          <w:rFonts w:asciiTheme="majorHAnsi" w:hAnsiTheme="majorHAnsi" w:cstheme="minorHAnsi"/>
          <w:lang w:val="en"/>
        </w:rPr>
        <w:t>5</w:t>
      </w:r>
      <w:r w:rsidRPr="008C1488">
        <w:rPr>
          <w:rFonts w:asciiTheme="majorHAnsi" w:hAnsiTheme="majorHAnsi" w:cstheme="minorHAnsi"/>
          <w:lang w:val="en"/>
        </w:rPr>
        <w:t xml:space="preserve">. </w:t>
      </w:r>
      <w:r w:rsidRPr="0038677E">
        <w:rPr>
          <w:rFonts w:asciiTheme="majorHAnsi" w:hAnsiTheme="majorHAnsi" w:cstheme="minorHAnsi"/>
          <w:lang w:val="en"/>
        </w:rPr>
        <w:t xml:space="preserve">The </w:t>
      </w:r>
      <w:r w:rsidR="00CA0019">
        <w:rPr>
          <w:rFonts w:asciiTheme="majorHAnsi" w:hAnsiTheme="majorHAnsi" w:cstheme="minorHAnsi"/>
          <w:lang w:val="en"/>
        </w:rPr>
        <w:t>ELIGARD</w:t>
      </w:r>
      <w:r w:rsidRPr="0038677E">
        <w:rPr>
          <w:rFonts w:asciiTheme="majorHAnsi" w:hAnsiTheme="majorHAnsi" w:cstheme="minorHAnsi"/>
          <w:lang w:val="en"/>
        </w:rPr>
        <w:t xml:space="preserve"> 1 month and </w:t>
      </w:r>
      <w:r w:rsidR="00CA0019">
        <w:rPr>
          <w:rFonts w:asciiTheme="majorHAnsi" w:hAnsiTheme="majorHAnsi" w:cstheme="minorHAnsi"/>
          <w:lang w:val="en"/>
        </w:rPr>
        <w:t>ELIGARD</w:t>
      </w:r>
      <w:r w:rsidRPr="0038677E">
        <w:rPr>
          <w:rFonts w:asciiTheme="majorHAnsi" w:hAnsiTheme="majorHAnsi" w:cstheme="minorHAnsi"/>
          <w:lang w:val="en"/>
        </w:rPr>
        <w:t xml:space="preserve"> </w:t>
      </w:r>
      <w:proofErr w:type="gramStart"/>
      <w:r w:rsidRPr="0038677E">
        <w:rPr>
          <w:rFonts w:asciiTheme="majorHAnsi" w:hAnsiTheme="majorHAnsi" w:cstheme="minorHAnsi"/>
          <w:lang w:val="en"/>
        </w:rPr>
        <w:t>3 month</w:t>
      </w:r>
      <w:proofErr w:type="gramEnd"/>
      <w:r w:rsidRPr="0038677E">
        <w:rPr>
          <w:rFonts w:asciiTheme="majorHAnsi" w:hAnsiTheme="majorHAnsi" w:cstheme="minorHAnsi"/>
          <w:lang w:val="en"/>
        </w:rPr>
        <w:t xml:space="preserve"> studies evaluated the achievement and maintenance of serum testosterone suppression over six months of therapy. The </w:t>
      </w:r>
      <w:r w:rsidR="00CA0019">
        <w:rPr>
          <w:rFonts w:asciiTheme="majorHAnsi" w:hAnsiTheme="majorHAnsi" w:cstheme="minorHAnsi"/>
          <w:lang w:val="en"/>
        </w:rPr>
        <w:t>ELIGARD</w:t>
      </w:r>
      <w:r w:rsidRPr="0038677E">
        <w:rPr>
          <w:rFonts w:asciiTheme="majorHAnsi" w:hAnsiTheme="majorHAnsi" w:cstheme="minorHAnsi"/>
          <w:lang w:val="en"/>
        </w:rPr>
        <w:t xml:space="preserve"> </w:t>
      </w:r>
      <w:proofErr w:type="gramStart"/>
      <w:r w:rsidRPr="0038677E">
        <w:rPr>
          <w:rFonts w:asciiTheme="majorHAnsi" w:hAnsiTheme="majorHAnsi" w:cstheme="minorHAnsi"/>
          <w:lang w:val="en"/>
        </w:rPr>
        <w:t>4 month</w:t>
      </w:r>
      <w:proofErr w:type="gramEnd"/>
      <w:r w:rsidRPr="0038677E">
        <w:rPr>
          <w:rFonts w:asciiTheme="majorHAnsi" w:hAnsiTheme="majorHAnsi" w:cstheme="minorHAnsi"/>
          <w:lang w:val="en"/>
        </w:rPr>
        <w:t xml:space="preserve"> study evaluated the achievement and maintenance of serum testosterone suppression over eight months of therapy. The </w:t>
      </w:r>
      <w:r w:rsidR="00CA0019">
        <w:rPr>
          <w:rFonts w:asciiTheme="majorHAnsi" w:hAnsiTheme="majorHAnsi" w:cstheme="minorHAnsi"/>
          <w:lang w:val="en"/>
        </w:rPr>
        <w:t>ELIGARD</w:t>
      </w:r>
      <w:r w:rsidRPr="0038677E">
        <w:rPr>
          <w:rFonts w:asciiTheme="majorHAnsi" w:hAnsiTheme="majorHAnsi" w:cstheme="minorHAnsi"/>
          <w:lang w:val="en"/>
        </w:rPr>
        <w:t xml:space="preserve"> </w:t>
      </w:r>
      <w:proofErr w:type="gramStart"/>
      <w:r w:rsidRPr="0038677E">
        <w:rPr>
          <w:rFonts w:asciiTheme="majorHAnsi" w:hAnsiTheme="majorHAnsi" w:cstheme="minorHAnsi"/>
          <w:lang w:val="en"/>
        </w:rPr>
        <w:t>6 month</w:t>
      </w:r>
      <w:proofErr w:type="gramEnd"/>
      <w:r w:rsidRPr="0038677E">
        <w:rPr>
          <w:rFonts w:asciiTheme="majorHAnsi" w:hAnsiTheme="majorHAnsi" w:cstheme="minorHAnsi"/>
          <w:lang w:val="en"/>
        </w:rPr>
        <w:t xml:space="preserve"> study evaluated the achievement and maintenance of serum testosterone suppression over twelve months of </w:t>
      </w:r>
      <w:r w:rsidR="00AB2EF5" w:rsidRPr="0038677E">
        <w:rPr>
          <w:rFonts w:asciiTheme="majorHAnsi" w:hAnsiTheme="majorHAnsi" w:cstheme="minorHAnsi"/>
          <w:lang w:val="en"/>
        </w:rPr>
        <w:t>therapy.</w:t>
      </w:r>
    </w:p>
    <w:p w14:paraId="20CC6AF5" w14:textId="61474D43" w:rsidR="008C1488" w:rsidRPr="008C1488" w:rsidRDefault="008C1488" w:rsidP="008C1488">
      <w:pPr>
        <w:pStyle w:val="Caption"/>
        <w:keepNext/>
        <w:jc w:val="center"/>
        <w:rPr>
          <w:rFonts w:asciiTheme="majorHAnsi" w:hAnsiTheme="majorHAnsi"/>
          <w:i w:val="0"/>
          <w:color w:val="auto"/>
          <w:sz w:val="20"/>
          <w:szCs w:val="20"/>
        </w:rPr>
      </w:pPr>
      <w:r w:rsidRPr="008C1488">
        <w:rPr>
          <w:rFonts w:asciiTheme="majorHAnsi" w:hAnsiTheme="majorHAnsi"/>
          <w:b/>
          <w:i w:val="0"/>
          <w:color w:val="auto"/>
          <w:sz w:val="20"/>
          <w:szCs w:val="20"/>
        </w:rPr>
        <w:t xml:space="preserve">Table </w:t>
      </w:r>
      <w:r w:rsidR="00DF076F">
        <w:rPr>
          <w:rFonts w:asciiTheme="majorHAnsi" w:hAnsiTheme="majorHAnsi"/>
          <w:b/>
          <w:i w:val="0"/>
          <w:color w:val="auto"/>
          <w:sz w:val="20"/>
          <w:szCs w:val="20"/>
        </w:rPr>
        <w:t>5</w:t>
      </w:r>
      <w:r w:rsidRPr="008C1488">
        <w:rPr>
          <w:rFonts w:asciiTheme="majorHAnsi" w:hAnsiTheme="majorHAnsi"/>
          <w:b/>
          <w:i w:val="0"/>
          <w:color w:val="auto"/>
          <w:sz w:val="20"/>
          <w:szCs w:val="20"/>
        </w:rPr>
        <w:t>:</w:t>
      </w:r>
      <w:r w:rsidRPr="008C1488">
        <w:rPr>
          <w:rFonts w:asciiTheme="majorHAnsi" w:hAnsiTheme="majorHAnsi"/>
          <w:i w:val="0"/>
          <w:color w:val="auto"/>
          <w:sz w:val="20"/>
          <w:szCs w:val="20"/>
        </w:rPr>
        <w:t xml:space="preserve"> Description of patients in open-label, multicentre studies for </w:t>
      </w:r>
      <w:r w:rsidR="00CA0019">
        <w:rPr>
          <w:rFonts w:asciiTheme="majorHAnsi" w:hAnsiTheme="majorHAnsi"/>
          <w:i w:val="0"/>
          <w:color w:val="auto"/>
          <w:sz w:val="20"/>
          <w:szCs w:val="20"/>
        </w:rPr>
        <w:t>ELIGARD</w:t>
      </w:r>
    </w:p>
    <w:tbl>
      <w:tblPr>
        <w:tblW w:w="9216" w:type="dxa"/>
        <w:tblInd w:w="106" w:type="dxa"/>
        <w:tblLayout w:type="fixed"/>
        <w:tblCellMar>
          <w:left w:w="0" w:type="dxa"/>
          <w:right w:w="0" w:type="dxa"/>
        </w:tblCellMar>
        <w:tblLook w:val="01E0" w:firstRow="1" w:lastRow="1" w:firstColumn="1" w:lastColumn="1" w:noHBand="0" w:noVBand="0"/>
      </w:tblPr>
      <w:tblGrid>
        <w:gridCol w:w="1536"/>
        <w:gridCol w:w="1536"/>
        <w:gridCol w:w="1536"/>
        <w:gridCol w:w="1536"/>
        <w:gridCol w:w="1536"/>
        <w:gridCol w:w="1536"/>
      </w:tblGrid>
      <w:tr w:rsidR="004F1932" w:rsidRPr="00AB2EF5" w14:paraId="130D86BE" w14:textId="77777777" w:rsidTr="008C1488">
        <w:trPr>
          <w:trHeight w:hRule="exact" w:val="300"/>
        </w:trPr>
        <w:tc>
          <w:tcPr>
            <w:tcW w:w="1536" w:type="dxa"/>
            <w:tcBorders>
              <w:top w:val="single" w:sz="5" w:space="0" w:color="000000"/>
              <w:left w:val="single" w:sz="5" w:space="0" w:color="000000"/>
              <w:bottom w:val="single" w:sz="5" w:space="0" w:color="000000"/>
              <w:right w:val="single" w:sz="5" w:space="0" w:color="000000"/>
            </w:tcBorders>
          </w:tcPr>
          <w:p w14:paraId="4DF381D0" w14:textId="77777777" w:rsidR="004F1932" w:rsidRPr="00AB2EF5" w:rsidRDefault="004F1932" w:rsidP="00C60D10">
            <w:pPr>
              <w:pStyle w:val="TableParagraph"/>
              <w:spacing w:line="229" w:lineRule="exact"/>
              <w:ind w:left="102"/>
              <w:rPr>
                <w:rFonts w:asciiTheme="majorHAnsi" w:eastAsia="Times New Roman" w:hAnsiTheme="majorHAnsi" w:cs="Times New Roman"/>
                <w:sz w:val="20"/>
                <w:szCs w:val="20"/>
              </w:rPr>
            </w:pPr>
            <w:r w:rsidRPr="00AB2EF5">
              <w:rPr>
                <w:rFonts w:asciiTheme="majorHAnsi" w:hAnsiTheme="majorHAnsi"/>
                <w:b/>
                <w:spacing w:val="-1"/>
                <w:sz w:val="20"/>
              </w:rPr>
              <w:t>Presentation</w:t>
            </w:r>
          </w:p>
        </w:tc>
        <w:tc>
          <w:tcPr>
            <w:tcW w:w="1536" w:type="dxa"/>
            <w:tcBorders>
              <w:top w:val="single" w:sz="5" w:space="0" w:color="000000"/>
              <w:left w:val="single" w:sz="5" w:space="0" w:color="000000"/>
              <w:bottom w:val="single" w:sz="5" w:space="0" w:color="000000"/>
              <w:right w:val="single" w:sz="5" w:space="0" w:color="000000"/>
            </w:tcBorders>
          </w:tcPr>
          <w:p w14:paraId="11C7E63A" w14:textId="77777777" w:rsidR="004F1932" w:rsidRPr="00AB2EF5" w:rsidRDefault="004F1932" w:rsidP="00C60D10">
            <w:pPr>
              <w:pStyle w:val="TableParagraph"/>
              <w:spacing w:line="229" w:lineRule="exact"/>
              <w:ind w:left="103"/>
              <w:rPr>
                <w:rFonts w:asciiTheme="majorHAnsi" w:eastAsia="Times New Roman" w:hAnsiTheme="majorHAnsi" w:cs="Times New Roman"/>
                <w:sz w:val="20"/>
                <w:szCs w:val="20"/>
              </w:rPr>
            </w:pPr>
            <w:r w:rsidRPr="00AB2EF5">
              <w:rPr>
                <w:rFonts w:asciiTheme="majorHAnsi" w:hAnsiTheme="majorHAnsi"/>
                <w:b/>
                <w:sz w:val="20"/>
              </w:rPr>
              <w:t>Total</w:t>
            </w:r>
          </w:p>
        </w:tc>
        <w:tc>
          <w:tcPr>
            <w:tcW w:w="1536" w:type="dxa"/>
            <w:tcBorders>
              <w:top w:val="single" w:sz="5" w:space="0" w:color="000000"/>
              <w:left w:val="single" w:sz="5" w:space="0" w:color="000000"/>
              <w:bottom w:val="single" w:sz="5" w:space="0" w:color="000000"/>
              <w:right w:val="single" w:sz="5" w:space="0" w:color="000000"/>
            </w:tcBorders>
          </w:tcPr>
          <w:p w14:paraId="3CD7F47F" w14:textId="77777777" w:rsidR="004F1932" w:rsidRPr="00AB2EF5" w:rsidRDefault="004F1932" w:rsidP="00C60D10">
            <w:pPr>
              <w:pStyle w:val="TableParagraph"/>
              <w:spacing w:line="229" w:lineRule="exact"/>
              <w:ind w:left="103"/>
              <w:rPr>
                <w:rFonts w:asciiTheme="majorHAnsi" w:eastAsia="Times New Roman" w:hAnsiTheme="majorHAnsi" w:cs="Times New Roman"/>
                <w:sz w:val="20"/>
                <w:szCs w:val="20"/>
              </w:rPr>
            </w:pPr>
            <w:r w:rsidRPr="00AB2EF5">
              <w:rPr>
                <w:rFonts w:asciiTheme="majorHAnsi" w:hAnsiTheme="majorHAnsi"/>
                <w:b/>
                <w:sz w:val="20"/>
              </w:rPr>
              <w:t>Stage</w:t>
            </w:r>
            <w:r w:rsidRPr="00AB2EF5">
              <w:rPr>
                <w:rFonts w:asciiTheme="majorHAnsi" w:hAnsiTheme="majorHAnsi"/>
                <w:b/>
                <w:spacing w:val="-1"/>
                <w:sz w:val="20"/>
              </w:rPr>
              <w:t xml:space="preserve"> </w:t>
            </w:r>
            <w:r w:rsidRPr="00AB2EF5">
              <w:rPr>
                <w:rFonts w:asciiTheme="majorHAnsi" w:hAnsiTheme="majorHAnsi"/>
                <w:b/>
                <w:sz w:val="20"/>
              </w:rPr>
              <w:t>A</w:t>
            </w:r>
            <w:r w:rsidRPr="00AB2EF5">
              <w:rPr>
                <w:rFonts w:asciiTheme="majorHAnsi" w:hAnsiTheme="majorHAnsi"/>
                <w:b/>
                <w:spacing w:val="-1"/>
                <w:sz w:val="20"/>
              </w:rPr>
              <w:t xml:space="preserve"> disease</w:t>
            </w:r>
          </w:p>
        </w:tc>
        <w:tc>
          <w:tcPr>
            <w:tcW w:w="1536" w:type="dxa"/>
            <w:tcBorders>
              <w:top w:val="single" w:sz="5" w:space="0" w:color="000000"/>
              <w:left w:val="single" w:sz="5" w:space="0" w:color="000000"/>
              <w:bottom w:val="single" w:sz="5" w:space="0" w:color="000000"/>
              <w:right w:val="single" w:sz="5" w:space="0" w:color="000000"/>
            </w:tcBorders>
          </w:tcPr>
          <w:p w14:paraId="43CB732B" w14:textId="77777777" w:rsidR="004F1932" w:rsidRPr="00AB2EF5" w:rsidRDefault="004F1932" w:rsidP="00C60D10">
            <w:pPr>
              <w:pStyle w:val="TableParagraph"/>
              <w:spacing w:line="229" w:lineRule="exact"/>
              <w:ind w:left="103"/>
              <w:rPr>
                <w:rFonts w:asciiTheme="majorHAnsi" w:eastAsia="Times New Roman" w:hAnsiTheme="majorHAnsi" w:cs="Times New Roman"/>
                <w:sz w:val="20"/>
                <w:szCs w:val="20"/>
              </w:rPr>
            </w:pPr>
            <w:r w:rsidRPr="00AB2EF5">
              <w:rPr>
                <w:rFonts w:asciiTheme="majorHAnsi" w:hAnsiTheme="majorHAnsi"/>
                <w:b/>
                <w:sz w:val="20"/>
              </w:rPr>
              <w:t>Stage</w:t>
            </w:r>
            <w:r w:rsidRPr="00AB2EF5">
              <w:rPr>
                <w:rFonts w:asciiTheme="majorHAnsi" w:hAnsiTheme="majorHAnsi"/>
                <w:b/>
                <w:spacing w:val="-2"/>
                <w:sz w:val="20"/>
              </w:rPr>
              <w:t xml:space="preserve"> </w:t>
            </w:r>
            <w:r w:rsidRPr="00AB2EF5">
              <w:rPr>
                <w:rFonts w:asciiTheme="majorHAnsi" w:hAnsiTheme="majorHAnsi"/>
                <w:b/>
                <w:sz w:val="20"/>
              </w:rPr>
              <w:t xml:space="preserve">B </w:t>
            </w:r>
            <w:r w:rsidRPr="00AB2EF5">
              <w:rPr>
                <w:rFonts w:asciiTheme="majorHAnsi" w:hAnsiTheme="majorHAnsi"/>
                <w:b/>
                <w:spacing w:val="-1"/>
                <w:sz w:val="20"/>
              </w:rPr>
              <w:t>disease</w:t>
            </w:r>
          </w:p>
        </w:tc>
        <w:tc>
          <w:tcPr>
            <w:tcW w:w="1536" w:type="dxa"/>
            <w:tcBorders>
              <w:top w:val="single" w:sz="5" w:space="0" w:color="000000"/>
              <w:left w:val="single" w:sz="5" w:space="0" w:color="000000"/>
              <w:bottom w:val="single" w:sz="5" w:space="0" w:color="000000"/>
              <w:right w:val="single" w:sz="5" w:space="0" w:color="000000"/>
            </w:tcBorders>
          </w:tcPr>
          <w:p w14:paraId="6F0E19F3" w14:textId="77777777" w:rsidR="004F1932" w:rsidRPr="00AB2EF5" w:rsidRDefault="004F1932" w:rsidP="00C60D10">
            <w:pPr>
              <w:pStyle w:val="TableParagraph"/>
              <w:spacing w:line="229" w:lineRule="exact"/>
              <w:ind w:left="103"/>
              <w:rPr>
                <w:rFonts w:asciiTheme="majorHAnsi" w:eastAsia="Times New Roman" w:hAnsiTheme="majorHAnsi" w:cs="Times New Roman"/>
                <w:sz w:val="20"/>
                <w:szCs w:val="20"/>
              </w:rPr>
            </w:pPr>
            <w:r w:rsidRPr="00AB2EF5">
              <w:rPr>
                <w:rFonts w:asciiTheme="majorHAnsi" w:hAnsiTheme="majorHAnsi"/>
                <w:b/>
                <w:sz w:val="20"/>
              </w:rPr>
              <w:t>Stage</w:t>
            </w:r>
            <w:r w:rsidRPr="00AB2EF5">
              <w:rPr>
                <w:rFonts w:asciiTheme="majorHAnsi" w:hAnsiTheme="majorHAnsi"/>
                <w:b/>
                <w:spacing w:val="-1"/>
                <w:sz w:val="20"/>
              </w:rPr>
              <w:t xml:space="preserve"> </w:t>
            </w:r>
            <w:r w:rsidRPr="00AB2EF5">
              <w:rPr>
                <w:rFonts w:asciiTheme="majorHAnsi" w:hAnsiTheme="majorHAnsi"/>
                <w:b/>
                <w:sz w:val="20"/>
              </w:rPr>
              <w:t>C</w:t>
            </w:r>
            <w:r w:rsidRPr="00AB2EF5">
              <w:rPr>
                <w:rFonts w:asciiTheme="majorHAnsi" w:hAnsiTheme="majorHAnsi"/>
                <w:b/>
                <w:spacing w:val="-1"/>
                <w:sz w:val="20"/>
              </w:rPr>
              <w:t xml:space="preserve"> disease</w:t>
            </w:r>
          </w:p>
        </w:tc>
        <w:tc>
          <w:tcPr>
            <w:tcW w:w="1536" w:type="dxa"/>
            <w:tcBorders>
              <w:top w:val="single" w:sz="5" w:space="0" w:color="000000"/>
              <w:left w:val="single" w:sz="5" w:space="0" w:color="000000"/>
              <w:bottom w:val="single" w:sz="5" w:space="0" w:color="000000"/>
              <w:right w:val="single" w:sz="5" w:space="0" w:color="000000"/>
            </w:tcBorders>
          </w:tcPr>
          <w:p w14:paraId="0B067D9C" w14:textId="77777777" w:rsidR="004F1932" w:rsidRPr="00AB2EF5" w:rsidRDefault="004F1932" w:rsidP="00C60D10">
            <w:pPr>
              <w:pStyle w:val="TableParagraph"/>
              <w:spacing w:line="229" w:lineRule="exact"/>
              <w:ind w:left="103"/>
              <w:rPr>
                <w:rFonts w:asciiTheme="majorHAnsi" w:eastAsia="Times New Roman" w:hAnsiTheme="majorHAnsi" w:cs="Times New Roman"/>
                <w:sz w:val="20"/>
                <w:szCs w:val="20"/>
              </w:rPr>
            </w:pPr>
            <w:r w:rsidRPr="00AB2EF5">
              <w:rPr>
                <w:rFonts w:asciiTheme="majorHAnsi" w:hAnsiTheme="majorHAnsi"/>
                <w:b/>
                <w:sz w:val="20"/>
              </w:rPr>
              <w:t>Stage</w:t>
            </w:r>
            <w:r w:rsidRPr="00AB2EF5">
              <w:rPr>
                <w:rFonts w:asciiTheme="majorHAnsi" w:hAnsiTheme="majorHAnsi"/>
                <w:b/>
                <w:spacing w:val="-1"/>
                <w:sz w:val="20"/>
              </w:rPr>
              <w:t xml:space="preserve"> </w:t>
            </w:r>
            <w:r w:rsidRPr="00AB2EF5">
              <w:rPr>
                <w:rFonts w:asciiTheme="majorHAnsi" w:hAnsiTheme="majorHAnsi"/>
                <w:b/>
                <w:sz w:val="20"/>
              </w:rPr>
              <w:t>D</w:t>
            </w:r>
            <w:r w:rsidRPr="00AB2EF5">
              <w:rPr>
                <w:rFonts w:asciiTheme="majorHAnsi" w:hAnsiTheme="majorHAnsi"/>
                <w:b/>
                <w:spacing w:val="-1"/>
                <w:sz w:val="20"/>
              </w:rPr>
              <w:t xml:space="preserve"> disease</w:t>
            </w:r>
          </w:p>
        </w:tc>
      </w:tr>
      <w:tr w:rsidR="004F1932" w:rsidRPr="00AB2EF5" w14:paraId="2C95EAF4" w14:textId="77777777" w:rsidTr="008C1488">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08F6DBED" w14:textId="0EED6B76" w:rsidR="004F1932" w:rsidRPr="00AB2EF5" w:rsidRDefault="00CA0019" w:rsidP="00CA0019">
            <w:pPr>
              <w:pStyle w:val="TableParagraph"/>
              <w:spacing w:line="230" w:lineRule="exact"/>
              <w:ind w:left="102" w:right="109"/>
              <w:rPr>
                <w:rFonts w:asciiTheme="majorHAnsi" w:eastAsia="Times New Roman" w:hAnsiTheme="majorHAnsi" w:cs="Times New Roman"/>
                <w:sz w:val="20"/>
                <w:szCs w:val="20"/>
              </w:rPr>
            </w:pPr>
            <w:r>
              <w:rPr>
                <w:rFonts w:asciiTheme="majorHAnsi" w:hAnsiTheme="majorHAnsi"/>
                <w:spacing w:val="-1"/>
                <w:sz w:val="20"/>
              </w:rPr>
              <w:t>ELIGARD</w:t>
            </w:r>
            <w:r w:rsidR="004F1932" w:rsidRPr="00AB2EF5">
              <w:rPr>
                <w:rFonts w:asciiTheme="majorHAnsi" w:hAnsiTheme="majorHAnsi"/>
                <w:spacing w:val="15"/>
                <w:position w:val="9"/>
                <w:sz w:val="13"/>
              </w:rPr>
              <w:t xml:space="preserve"> </w:t>
            </w:r>
            <w:r w:rsidR="004F1932" w:rsidRPr="00AB2EF5">
              <w:rPr>
                <w:rFonts w:asciiTheme="majorHAnsi" w:hAnsiTheme="majorHAnsi"/>
                <w:sz w:val="20"/>
              </w:rPr>
              <w:t>1</w:t>
            </w:r>
            <w:r w:rsidR="004F1932" w:rsidRPr="00AB2EF5">
              <w:rPr>
                <w:rFonts w:asciiTheme="majorHAnsi" w:hAnsiTheme="majorHAnsi"/>
                <w:spacing w:val="23"/>
                <w:sz w:val="20"/>
              </w:rPr>
              <w:t xml:space="preserve"> </w:t>
            </w:r>
            <w:r w:rsidR="004F1932" w:rsidRPr="00AB2EF5">
              <w:rPr>
                <w:rFonts w:asciiTheme="majorHAnsi" w:hAnsiTheme="majorHAnsi"/>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015FCFB8"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pacing w:val="-1"/>
                <w:sz w:val="20"/>
              </w:rPr>
              <w:t>120</w:t>
            </w:r>
          </w:p>
        </w:tc>
        <w:tc>
          <w:tcPr>
            <w:tcW w:w="1536" w:type="dxa"/>
            <w:tcBorders>
              <w:top w:val="single" w:sz="5" w:space="0" w:color="000000"/>
              <w:left w:val="single" w:sz="5" w:space="0" w:color="000000"/>
              <w:bottom w:val="single" w:sz="5" w:space="0" w:color="000000"/>
              <w:right w:val="single" w:sz="5" w:space="0" w:color="000000"/>
            </w:tcBorders>
          </w:tcPr>
          <w:p w14:paraId="53B0774C"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0</w:t>
            </w:r>
          </w:p>
        </w:tc>
        <w:tc>
          <w:tcPr>
            <w:tcW w:w="1536" w:type="dxa"/>
            <w:tcBorders>
              <w:top w:val="single" w:sz="5" w:space="0" w:color="000000"/>
              <w:left w:val="single" w:sz="5" w:space="0" w:color="000000"/>
              <w:bottom w:val="single" w:sz="5" w:space="0" w:color="000000"/>
              <w:right w:val="single" w:sz="5" w:space="0" w:color="000000"/>
            </w:tcBorders>
          </w:tcPr>
          <w:p w14:paraId="33DD73F4"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0</w:t>
            </w:r>
          </w:p>
        </w:tc>
        <w:tc>
          <w:tcPr>
            <w:tcW w:w="1536" w:type="dxa"/>
            <w:tcBorders>
              <w:top w:val="single" w:sz="5" w:space="0" w:color="000000"/>
              <w:left w:val="single" w:sz="5" w:space="0" w:color="000000"/>
              <w:bottom w:val="single" w:sz="5" w:space="0" w:color="000000"/>
              <w:right w:val="single" w:sz="5" w:space="0" w:color="000000"/>
            </w:tcBorders>
          </w:tcPr>
          <w:p w14:paraId="51B638AC"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89</w:t>
            </w:r>
          </w:p>
        </w:tc>
        <w:tc>
          <w:tcPr>
            <w:tcW w:w="1536" w:type="dxa"/>
            <w:tcBorders>
              <w:top w:val="single" w:sz="5" w:space="0" w:color="000000"/>
              <w:left w:val="single" w:sz="5" w:space="0" w:color="000000"/>
              <w:bottom w:val="single" w:sz="5" w:space="0" w:color="000000"/>
              <w:right w:val="single" w:sz="5" w:space="0" w:color="000000"/>
            </w:tcBorders>
          </w:tcPr>
          <w:p w14:paraId="56A900F0"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31</w:t>
            </w:r>
          </w:p>
        </w:tc>
      </w:tr>
      <w:tr w:rsidR="004F1932" w:rsidRPr="00AB2EF5" w14:paraId="529EB7E0" w14:textId="77777777" w:rsidTr="008C1488">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0E635E79" w14:textId="50451A0A" w:rsidR="004F1932" w:rsidRPr="00AB2EF5" w:rsidRDefault="00CA0019" w:rsidP="00C60D10">
            <w:pPr>
              <w:pStyle w:val="TableParagraph"/>
              <w:spacing w:line="226" w:lineRule="exact"/>
              <w:ind w:left="102"/>
              <w:rPr>
                <w:rFonts w:asciiTheme="majorHAnsi" w:eastAsia="Times New Roman" w:hAnsiTheme="majorHAnsi" w:cs="Times New Roman"/>
                <w:sz w:val="20"/>
                <w:szCs w:val="20"/>
              </w:rPr>
            </w:pPr>
            <w:r>
              <w:rPr>
                <w:rFonts w:asciiTheme="majorHAnsi" w:hAnsiTheme="majorHAnsi"/>
                <w:spacing w:val="-1"/>
                <w:sz w:val="20"/>
              </w:rPr>
              <w:t>ELIGARD</w:t>
            </w:r>
            <w:r w:rsidR="004F1932" w:rsidRPr="00AB2EF5">
              <w:rPr>
                <w:rFonts w:asciiTheme="majorHAnsi" w:hAnsiTheme="majorHAnsi"/>
                <w:spacing w:val="15"/>
                <w:position w:val="9"/>
                <w:sz w:val="13"/>
              </w:rPr>
              <w:t xml:space="preserve"> </w:t>
            </w:r>
            <w:r w:rsidR="004F1932" w:rsidRPr="00AB2EF5">
              <w:rPr>
                <w:rFonts w:asciiTheme="majorHAnsi" w:hAnsiTheme="majorHAnsi"/>
                <w:sz w:val="20"/>
              </w:rPr>
              <w:t>3</w:t>
            </w:r>
          </w:p>
          <w:p w14:paraId="152BF48B" w14:textId="77777777" w:rsidR="004F1932" w:rsidRPr="00AB2EF5" w:rsidRDefault="004F1932" w:rsidP="00C60D10">
            <w:pPr>
              <w:pStyle w:val="TableParagraph"/>
              <w:ind w:left="102"/>
              <w:rPr>
                <w:rFonts w:asciiTheme="majorHAnsi" w:eastAsia="Times New Roman" w:hAnsiTheme="majorHAnsi" w:cs="Times New Roman"/>
                <w:sz w:val="20"/>
                <w:szCs w:val="20"/>
              </w:rPr>
            </w:pPr>
            <w:r w:rsidRPr="00AB2EF5">
              <w:rPr>
                <w:rFonts w:asciiTheme="majorHAnsi" w:hAnsiTheme="majorHAnsi"/>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52512EE5"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pacing w:val="-1"/>
                <w:sz w:val="20"/>
              </w:rPr>
              <w:t>117</w:t>
            </w:r>
          </w:p>
        </w:tc>
        <w:tc>
          <w:tcPr>
            <w:tcW w:w="1536" w:type="dxa"/>
            <w:tcBorders>
              <w:top w:val="single" w:sz="5" w:space="0" w:color="000000"/>
              <w:left w:val="single" w:sz="5" w:space="0" w:color="000000"/>
              <w:bottom w:val="single" w:sz="5" w:space="0" w:color="000000"/>
              <w:right w:val="single" w:sz="5" w:space="0" w:color="000000"/>
            </w:tcBorders>
          </w:tcPr>
          <w:p w14:paraId="0F80DC17"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2</w:t>
            </w:r>
          </w:p>
        </w:tc>
        <w:tc>
          <w:tcPr>
            <w:tcW w:w="1536" w:type="dxa"/>
            <w:tcBorders>
              <w:top w:val="single" w:sz="5" w:space="0" w:color="000000"/>
              <w:left w:val="single" w:sz="5" w:space="0" w:color="000000"/>
              <w:bottom w:val="single" w:sz="5" w:space="0" w:color="000000"/>
              <w:right w:val="single" w:sz="5" w:space="0" w:color="000000"/>
            </w:tcBorders>
          </w:tcPr>
          <w:p w14:paraId="5D880A1D"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19</w:t>
            </w:r>
          </w:p>
        </w:tc>
        <w:tc>
          <w:tcPr>
            <w:tcW w:w="1536" w:type="dxa"/>
            <w:tcBorders>
              <w:top w:val="single" w:sz="5" w:space="0" w:color="000000"/>
              <w:left w:val="single" w:sz="5" w:space="0" w:color="000000"/>
              <w:bottom w:val="single" w:sz="5" w:space="0" w:color="000000"/>
              <w:right w:val="single" w:sz="5" w:space="0" w:color="000000"/>
            </w:tcBorders>
          </w:tcPr>
          <w:p w14:paraId="46F8D75F"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60</w:t>
            </w:r>
          </w:p>
        </w:tc>
        <w:tc>
          <w:tcPr>
            <w:tcW w:w="1536" w:type="dxa"/>
            <w:tcBorders>
              <w:top w:val="single" w:sz="5" w:space="0" w:color="000000"/>
              <w:left w:val="single" w:sz="5" w:space="0" w:color="000000"/>
              <w:bottom w:val="single" w:sz="5" w:space="0" w:color="000000"/>
              <w:right w:val="single" w:sz="5" w:space="0" w:color="000000"/>
            </w:tcBorders>
          </w:tcPr>
          <w:p w14:paraId="536B335F"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36</w:t>
            </w:r>
          </w:p>
        </w:tc>
      </w:tr>
      <w:tr w:rsidR="004F1932" w:rsidRPr="00AB2EF5" w14:paraId="10911D33" w14:textId="77777777" w:rsidTr="008C1488">
        <w:trPr>
          <w:trHeight w:hRule="exact" w:val="529"/>
        </w:trPr>
        <w:tc>
          <w:tcPr>
            <w:tcW w:w="1536" w:type="dxa"/>
            <w:tcBorders>
              <w:top w:val="single" w:sz="5" w:space="0" w:color="000000"/>
              <w:left w:val="single" w:sz="5" w:space="0" w:color="000000"/>
              <w:bottom w:val="single" w:sz="5" w:space="0" w:color="000000"/>
              <w:right w:val="single" w:sz="5" w:space="0" w:color="000000"/>
            </w:tcBorders>
          </w:tcPr>
          <w:p w14:paraId="2E00E996" w14:textId="045FEBB5" w:rsidR="004F1932" w:rsidRPr="00AB2EF5" w:rsidRDefault="00CA0019" w:rsidP="00C60D10">
            <w:pPr>
              <w:pStyle w:val="TableParagraph"/>
              <w:spacing w:line="226" w:lineRule="exact"/>
              <w:ind w:left="102"/>
              <w:rPr>
                <w:rFonts w:asciiTheme="majorHAnsi" w:eastAsia="Times New Roman" w:hAnsiTheme="majorHAnsi" w:cs="Times New Roman"/>
                <w:sz w:val="20"/>
                <w:szCs w:val="20"/>
              </w:rPr>
            </w:pPr>
            <w:r>
              <w:rPr>
                <w:rFonts w:asciiTheme="majorHAnsi" w:hAnsiTheme="majorHAnsi"/>
                <w:spacing w:val="-1"/>
                <w:sz w:val="20"/>
              </w:rPr>
              <w:t>ELIGARD</w:t>
            </w:r>
            <w:r w:rsidR="004F1932" w:rsidRPr="00AB2EF5">
              <w:rPr>
                <w:rFonts w:asciiTheme="majorHAnsi" w:hAnsiTheme="majorHAnsi"/>
                <w:spacing w:val="-3"/>
                <w:position w:val="9"/>
                <w:sz w:val="13"/>
              </w:rPr>
              <w:t xml:space="preserve"> </w:t>
            </w:r>
            <w:r w:rsidR="004F1932" w:rsidRPr="00AB2EF5">
              <w:rPr>
                <w:rFonts w:asciiTheme="majorHAnsi" w:hAnsiTheme="majorHAnsi"/>
                <w:sz w:val="20"/>
              </w:rPr>
              <w:t>4</w:t>
            </w:r>
          </w:p>
          <w:p w14:paraId="740DF7D4" w14:textId="77777777" w:rsidR="004F1932" w:rsidRPr="00AB2EF5" w:rsidRDefault="004F1932" w:rsidP="00C60D10">
            <w:pPr>
              <w:pStyle w:val="TableParagraph"/>
              <w:ind w:left="102"/>
              <w:rPr>
                <w:rFonts w:asciiTheme="majorHAnsi" w:eastAsia="Times New Roman" w:hAnsiTheme="majorHAnsi" w:cs="Times New Roman"/>
                <w:sz w:val="20"/>
                <w:szCs w:val="20"/>
              </w:rPr>
            </w:pPr>
            <w:r w:rsidRPr="00AB2EF5">
              <w:rPr>
                <w:rFonts w:asciiTheme="majorHAnsi" w:hAnsiTheme="majorHAnsi"/>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56E98623"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90</w:t>
            </w:r>
          </w:p>
        </w:tc>
        <w:tc>
          <w:tcPr>
            <w:tcW w:w="1536" w:type="dxa"/>
            <w:tcBorders>
              <w:top w:val="single" w:sz="5" w:space="0" w:color="000000"/>
              <w:left w:val="single" w:sz="5" w:space="0" w:color="000000"/>
              <w:bottom w:val="single" w:sz="5" w:space="0" w:color="000000"/>
              <w:right w:val="single" w:sz="5" w:space="0" w:color="000000"/>
            </w:tcBorders>
          </w:tcPr>
          <w:p w14:paraId="57CBCBF3"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2</w:t>
            </w:r>
          </w:p>
        </w:tc>
        <w:tc>
          <w:tcPr>
            <w:tcW w:w="1536" w:type="dxa"/>
            <w:tcBorders>
              <w:top w:val="single" w:sz="5" w:space="0" w:color="000000"/>
              <w:left w:val="single" w:sz="5" w:space="0" w:color="000000"/>
              <w:bottom w:val="single" w:sz="5" w:space="0" w:color="000000"/>
              <w:right w:val="single" w:sz="5" w:space="0" w:color="000000"/>
            </w:tcBorders>
          </w:tcPr>
          <w:p w14:paraId="405BFDF2"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38</w:t>
            </w:r>
          </w:p>
        </w:tc>
        <w:tc>
          <w:tcPr>
            <w:tcW w:w="1536" w:type="dxa"/>
            <w:tcBorders>
              <w:top w:val="single" w:sz="5" w:space="0" w:color="000000"/>
              <w:left w:val="single" w:sz="5" w:space="0" w:color="000000"/>
              <w:bottom w:val="single" w:sz="5" w:space="0" w:color="000000"/>
              <w:right w:val="single" w:sz="5" w:space="0" w:color="000000"/>
            </w:tcBorders>
          </w:tcPr>
          <w:p w14:paraId="242A107F"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16</w:t>
            </w:r>
          </w:p>
        </w:tc>
        <w:tc>
          <w:tcPr>
            <w:tcW w:w="1536" w:type="dxa"/>
            <w:tcBorders>
              <w:top w:val="single" w:sz="5" w:space="0" w:color="000000"/>
              <w:left w:val="single" w:sz="5" w:space="0" w:color="000000"/>
              <w:bottom w:val="single" w:sz="5" w:space="0" w:color="000000"/>
              <w:right w:val="single" w:sz="5" w:space="0" w:color="000000"/>
            </w:tcBorders>
          </w:tcPr>
          <w:p w14:paraId="7CC79AF8" w14:textId="77777777" w:rsidR="004F1932" w:rsidRPr="00AB2EF5" w:rsidRDefault="004F1932" w:rsidP="00C60D10">
            <w:pPr>
              <w:pStyle w:val="TableParagraph"/>
              <w:spacing w:line="226" w:lineRule="exact"/>
              <w:ind w:left="102"/>
              <w:rPr>
                <w:rFonts w:asciiTheme="majorHAnsi" w:eastAsia="Times New Roman" w:hAnsiTheme="majorHAnsi" w:cs="Times New Roman"/>
                <w:sz w:val="20"/>
                <w:szCs w:val="20"/>
              </w:rPr>
            </w:pPr>
            <w:r w:rsidRPr="00AB2EF5">
              <w:rPr>
                <w:rFonts w:asciiTheme="majorHAnsi" w:hAnsiTheme="majorHAnsi"/>
                <w:sz w:val="20"/>
              </w:rPr>
              <w:t>34</w:t>
            </w:r>
          </w:p>
        </w:tc>
      </w:tr>
      <w:tr w:rsidR="004F1932" w:rsidRPr="00AB2EF5" w14:paraId="4F63CEDF" w14:textId="77777777" w:rsidTr="008C1488">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2A19DFCE" w14:textId="74B109FE" w:rsidR="004F1932" w:rsidRPr="00AB2EF5" w:rsidRDefault="00CA0019" w:rsidP="00CA0019">
            <w:pPr>
              <w:pStyle w:val="TableParagraph"/>
              <w:spacing w:line="230" w:lineRule="exact"/>
              <w:ind w:left="102" w:right="109"/>
              <w:rPr>
                <w:rFonts w:asciiTheme="majorHAnsi" w:eastAsia="Times New Roman" w:hAnsiTheme="majorHAnsi" w:cs="Times New Roman"/>
                <w:sz w:val="20"/>
                <w:szCs w:val="20"/>
              </w:rPr>
            </w:pPr>
            <w:r>
              <w:rPr>
                <w:rFonts w:asciiTheme="majorHAnsi" w:hAnsiTheme="majorHAnsi"/>
                <w:spacing w:val="-1"/>
                <w:sz w:val="20"/>
              </w:rPr>
              <w:t>ELIGARD</w:t>
            </w:r>
            <w:r w:rsidR="004F1932" w:rsidRPr="00AB2EF5">
              <w:rPr>
                <w:rFonts w:asciiTheme="majorHAnsi" w:hAnsiTheme="majorHAnsi"/>
                <w:spacing w:val="15"/>
                <w:position w:val="9"/>
                <w:sz w:val="13"/>
              </w:rPr>
              <w:t xml:space="preserve"> </w:t>
            </w:r>
            <w:r w:rsidR="004F1932" w:rsidRPr="00AB2EF5">
              <w:rPr>
                <w:rFonts w:asciiTheme="majorHAnsi" w:hAnsiTheme="majorHAnsi"/>
                <w:sz w:val="20"/>
              </w:rPr>
              <w:t>6</w:t>
            </w:r>
            <w:r w:rsidR="004F1932" w:rsidRPr="00AB2EF5">
              <w:rPr>
                <w:rFonts w:asciiTheme="majorHAnsi" w:hAnsiTheme="majorHAnsi"/>
                <w:spacing w:val="23"/>
                <w:sz w:val="20"/>
              </w:rPr>
              <w:t xml:space="preserve"> </w:t>
            </w:r>
            <w:r w:rsidR="004F1932" w:rsidRPr="00AB2EF5">
              <w:rPr>
                <w:rFonts w:asciiTheme="majorHAnsi" w:hAnsiTheme="majorHAnsi"/>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3DABB71B"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pacing w:val="-1"/>
                <w:sz w:val="20"/>
              </w:rPr>
              <w:t>111</w:t>
            </w:r>
          </w:p>
        </w:tc>
        <w:tc>
          <w:tcPr>
            <w:tcW w:w="1536" w:type="dxa"/>
            <w:tcBorders>
              <w:top w:val="single" w:sz="5" w:space="0" w:color="000000"/>
              <w:left w:val="single" w:sz="5" w:space="0" w:color="000000"/>
              <w:bottom w:val="single" w:sz="5" w:space="0" w:color="000000"/>
              <w:right w:val="single" w:sz="5" w:space="0" w:color="000000"/>
            </w:tcBorders>
          </w:tcPr>
          <w:p w14:paraId="7F9C5568"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5</w:t>
            </w:r>
          </w:p>
        </w:tc>
        <w:tc>
          <w:tcPr>
            <w:tcW w:w="1536" w:type="dxa"/>
            <w:tcBorders>
              <w:top w:val="single" w:sz="5" w:space="0" w:color="000000"/>
              <w:left w:val="single" w:sz="5" w:space="0" w:color="000000"/>
              <w:bottom w:val="single" w:sz="5" w:space="0" w:color="000000"/>
              <w:right w:val="single" w:sz="5" w:space="0" w:color="000000"/>
            </w:tcBorders>
          </w:tcPr>
          <w:p w14:paraId="2B856561"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43</w:t>
            </w:r>
          </w:p>
        </w:tc>
        <w:tc>
          <w:tcPr>
            <w:tcW w:w="1536" w:type="dxa"/>
            <w:tcBorders>
              <w:top w:val="single" w:sz="5" w:space="0" w:color="000000"/>
              <w:left w:val="single" w:sz="5" w:space="0" w:color="000000"/>
              <w:bottom w:val="single" w:sz="5" w:space="0" w:color="000000"/>
              <w:right w:val="single" w:sz="5" w:space="0" w:color="000000"/>
            </w:tcBorders>
          </w:tcPr>
          <w:p w14:paraId="378EF19C"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19</w:t>
            </w:r>
          </w:p>
        </w:tc>
        <w:tc>
          <w:tcPr>
            <w:tcW w:w="1536" w:type="dxa"/>
            <w:tcBorders>
              <w:top w:val="single" w:sz="5" w:space="0" w:color="000000"/>
              <w:left w:val="single" w:sz="5" w:space="0" w:color="000000"/>
              <w:bottom w:val="single" w:sz="5" w:space="0" w:color="000000"/>
              <w:right w:val="single" w:sz="5" w:space="0" w:color="000000"/>
            </w:tcBorders>
          </w:tcPr>
          <w:p w14:paraId="01D7D06E" w14:textId="77777777" w:rsidR="004F1932" w:rsidRPr="00AB2EF5" w:rsidRDefault="004F1932" w:rsidP="00C60D10">
            <w:pPr>
              <w:pStyle w:val="TableParagraph"/>
              <w:spacing w:line="227" w:lineRule="exact"/>
              <w:ind w:left="102"/>
              <w:rPr>
                <w:rFonts w:asciiTheme="majorHAnsi" w:eastAsia="Times New Roman" w:hAnsiTheme="majorHAnsi" w:cs="Times New Roman"/>
                <w:sz w:val="20"/>
                <w:szCs w:val="20"/>
              </w:rPr>
            </w:pPr>
            <w:r w:rsidRPr="00AB2EF5">
              <w:rPr>
                <w:rFonts w:asciiTheme="majorHAnsi" w:hAnsiTheme="majorHAnsi"/>
                <w:sz w:val="20"/>
              </w:rPr>
              <w:t>44</w:t>
            </w:r>
          </w:p>
        </w:tc>
      </w:tr>
    </w:tbl>
    <w:p w14:paraId="430422B8" w14:textId="77777777" w:rsidR="004F1932" w:rsidRDefault="004F1932" w:rsidP="004F1932">
      <w:pPr>
        <w:spacing w:before="5" w:line="220" w:lineRule="exact"/>
      </w:pPr>
    </w:p>
    <w:p w14:paraId="04DA7ADC" w14:textId="6D7DA609" w:rsidR="004F1932" w:rsidRPr="00AB2EF5" w:rsidRDefault="004F1932" w:rsidP="00AB2EF5">
      <w:pPr>
        <w:rPr>
          <w:rFonts w:asciiTheme="majorHAnsi" w:hAnsiTheme="majorHAnsi" w:cstheme="minorHAnsi"/>
          <w:lang w:val="en"/>
        </w:rPr>
      </w:pPr>
      <w:r w:rsidRPr="00AB2EF5">
        <w:rPr>
          <w:rFonts w:asciiTheme="majorHAnsi" w:hAnsiTheme="majorHAnsi" w:cstheme="minorHAnsi"/>
          <w:lang w:val="en"/>
        </w:rPr>
        <w:t xml:space="preserve">Patients with brain metastases, spinal cord compression and/or urinary tract obstruction, serum testosterone levels below 150 ng/dL at screening, uncontrolled congestive heart failure, myocardial infarction or a coronary vascular procedure, symptomatic cardiovascular disease, venous thrombosis, uncontrolled hypertension, symptomatic hypotension, insulin dependent </w:t>
      </w:r>
      <w:r w:rsidRPr="00AB2EF5">
        <w:rPr>
          <w:rFonts w:asciiTheme="majorHAnsi" w:hAnsiTheme="majorHAnsi" w:cstheme="minorHAnsi"/>
          <w:lang w:val="en"/>
        </w:rPr>
        <w:lastRenderedPageBreak/>
        <w:t xml:space="preserve">diabetes, a history of drug and alcohol abuse, other serious intercurrent illness, (for example, </w:t>
      </w:r>
      <w:proofErr w:type="spellStart"/>
      <w:r w:rsidRPr="00AB2EF5">
        <w:rPr>
          <w:rFonts w:asciiTheme="majorHAnsi" w:hAnsiTheme="majorHAnsi" w:cstheme="minorHAnsi"/>
          <w:lang w:val="en"/>
        </w:rPr>
        <w:t>haematological</w:t>
      </w:r>
      <w:proofErr w:type="spellEnd"/>
      <w:r w:rsidRPr="00AB2EF5">
        <w:rPr>
          <w:rFonts w:asciiTheme="majorHAnsi" w:hAnsiTheme="majorHAnsi" w:cstheme="minorHAnsi"/>
          <w:lang w:val="en"/>
        </w:rPr>
        <w:t>, renal hepatic, respiratory, endocrine) were excluded from the studies.</w:t>
      </w:r>
    </w:p>
    <w:p w14:paraId="623874AB" w14:textId="1AB6BAD0" w:rsidR="004F1932" w:rsidRPr="001D22B2" w:rsidRDefault="00CA0019" w:rsidP="00E40ADF">
      <w:pPr>
        <w:pStyle w:val="Heading4"/>
        <w:numPr>
          <w:ilvl w:val="0"/>
          <w:numId w:val="0"/>
        </w:numPr>
        <w:rPr>
          <w:rFonts w:cs="Arial"/>
        </w:rPr>
      </w:pPr>
      <w:r>
        <w:t>ELIGARD</w:t>
      </w:r>
      <w:r w:rsidR="004F1932" w:rsidRPr="00C462E9">
        <w:rPr>
          <w:spacing w:val="21"/>
          <w:position w:val="11"/>
          <w:sz w:val="16"/>
        </w:rPr>
        <w:t xml:space="preserve"> </w:t>
      </w:r>
      <w:r w:rsidR="004F1932" w:rsidRPr="001D22B2">
        <w:t>1 month</w:t>
      </w:r>
      <w:r w:rsidR="004F1932">
        <w:t xml:space="preserve"> </w:t>
      </w:r>
    </w:p>
    <w:p w14:paraId="0671D409" w14:textId="16C1CD5C" w:rsidR="004F1932" w:rsidRPr="00AB2EF5" w:rsidRDefault="004F1932" w:rsidP="00AB2EF5">
      <w:pPr>
        <w:rPr>
          <w:rFonts w:asciiTheme="majorHAnsi" w:hAnsiTheme="majorHAnsi" w:cstheme="minorHAnsi"/>
          <w:lang w:val="en"/>
        </w:rPr>
      </w:pPr>
      <w:r w:rsidRPr="00AB2EF5">
        <w:rPr>
          <w:rFonts w:asciiTheme="majorHAnsi" w:hAnsiTheme="majorHAnsi" w:cstheme="minorHAnsi"/>
          <w:lang w:val="en"/>
        </w:rPr>
        <w:t xml:space="preserve">The mean testosterone concentration increased from 361.3 ng/dL at baseline to 574.6 ng/dL at day 3 following the initial subcutaneous injection. The mean serum testosterone concentration then decreased to below baseline by day 10 and was 21.8 ng/dL on day 28. At the conclusion of the study (month 6), mean testosterone concentration was 6.1 ng/dL </w:t>
      </w:r>
      <w:r w:rsidRPr="001D53ED">
        <w:rPr>
          <w:rFonts w:asciiTheme="majorHAnsi" w:hAnsiTheme="majorHAnsi" w:cstheme="minorHAnsi"/>
          <w:lang w:val="en"/>
        </w:rPr>
        <w:t>(Figure 1a),</w:t>
      </w:r>
      <w:r w:rsidRPr="00AB2EF5">
        <w:rPr>
          <w:rFonts w:asciiTheme="majorHAnsi" w:hAnsiTheme="majorHAnsi" w:cstheme="minorHAnsi"/>
          <w:lang w:val="en"/>
        </w:rPr>
        <w:t xml:space="preserve"> comparable to levels following bilateral </w:t>
      </w:r>
      <w:r w:rsidR="00AB2EF5">
        <w:rPr>
          <w:rFonts w:asciiTheme="majorHAnsi" w:hAnsiTheme="majorHAnsi" w:cstheme="minorHAnsi"/>
          <w:lang w:val="en"/>
        </w:rPr>
        <w:t>orchiectomy.</w:t>
      </w:r>
    </w:p>
    <w:p w14:paraId="57E003A2" w14:textId="65E6889C" w:rsidR="004F1932" w:rsidRDefault="004F1932" w:rsidP="00AB2EF5">
      <w:pPr>
        <w:rPr>
          <w:rFonts w:asciiTheme="majorHAnsi" w:hAnsiTheme="majorHAnsi" w:cstheme="minorHAnsi"/>
          <w:lang w:val="en"/>
        </w:rPr>
      </w:pPr>
      <w:r w:rsidRPr="00AB2EF5">
        <w:rPr>
          <w:rFonts w:asciiTheme="majorHAnsi" w:hAnsiTheme="majorHAnsi" w:cstheme="minorHAnsi"/>
          <w:lang w:val="en"/>
        </w:rPr>
        <w:t>Serum testosterone was suppressed to below the castrate threshold (</w:t>
      </w:r>
      <w:r w:rsidR="0038677E" w:rsidRPr="0038677E">
        <w:rPr>
          <w:rFonts w:asciiTheme="majorHAnsi" w:hAnsiTheme="majorHAnsi" w:cs="Times New Roman"/>
          <w:lang w:val="en"/>
        </w:rPr>
        <w:t>≤</w:t>
      </w:r>
      <w:r w:rsidR="0038677E">
        <w:rPr>
          <w:rFonts w:ascii="Symbol" w:hAnsi="Symbol" w:cstheme="minorHAnsi"/>
          <w:lang w:val="en"/>
        </w:rPr>
        <w:t></w:t>
      </w:r>
      <w:r w:rsidRPr="00AB2EF5">
        <w:rPr>
          <w:rFonts w:asciiTheme="majorHAnsi" w:hAnsiTheme="majorHAnsi" w:cstheme="minorHAnsi"/>
          <w:lang w:val="en"/>
        </w:rPr>
        <w:t xml:space="preserve">50 ng/dL) by day 28 (week 4) in 112 of 119 (94.1%) patients remaining in the study. The remaining seven patients all attained the castrate threshold by day 42. </w:t>
      </w:r>
      <w:proofErr w:type="gramStart"/>
      <w:r w:rsidRPr="00AB2EF5">
        <w:rPr>
          <w:rFonts w:asciiTheme="majorHAnsi" w:hAnsiTheme="majorHAnsi" w:cstheme="minorHAnsi"/>
          <w:lang w:val="en"/>
        </w:rPr>
        <w:t>A high proportion of patients (97% at day 42),</w:t>
      </w:r>
      <w:proofErr w:type="gramEnd"/>
      <w:r w:rsidRPr="00AB2EF5">
        <w:rPr>
          <w:rFonts w:asciiTheme="majorHAnsi" w:hAnsiTheme="majorHAnsi" w:cstheme="minorHAnsi"/>
          <w:lang w:val="en"/>
        </w:rPr>
        <w:t xml:space="preserve"> achieved testosterone suppression levels of ≤ 20 ng/dL, although the full benefit of these low levels has not yet been established. Once testosterone suppression at or below serum concentrations of 50 ng/dL was achieved, no patients (0%) demonstrated breakthrough (concentration above 50 ng/dL) at any time in the study. All 117 evaluable patients in the study at month 6 (two patients withdrew for reasons unrelated to drug) had testosterone concentrations of </w:t>
      </w:r>
      <w:r w:rsidR="00E914FC" w:rsidRPr="00E914FC">
        <w:rPr>
          <w:rFonts w:asciiTheme="majorHAnsi" w:hAnsiTheme="majorHAnsi" w:cs="Times New Roman"/>
          <w:lang w:val="en"/>
        </w:rPr>
        <w:t>≤</w:t>
      </w:r>
      <w:r w:rsidR="00E914FC">
        <w:rPr>
          <w:rFonts w:ascii="Symbol" w:hAnsi="Symbol" w:cstheme="minorHAnsi"/>
          <w:lang w:val="en"/>
        </w:rPr>
        <w:t></w:t>
      </w:r>
      <w:r w:rsidRPr="00AB2EF5">
        <w:rPr>
          <w:rFonts w:asciiTheme="majorHAnsi" w:hAnsiTheme="majorHAnsi" w:cstheme="minorHAnsi"/>
          <w:lang w:val="en"/>
        </w:rPr>
        <w:t>50 ng/dL.</w:t>
      </w:r>
    </w:p>
    <w:p w14:paraId="7C159A16" w14:textId="77777777" w:rsidR="001D53ED" w:rsidRDefault="00BA5393" w:rsidP="001D53ED">
      <w:pPr>
        <w:keepNext/>
        <w:jc w:val="center"/>
      </w:pPr>
      <w:r>
        <w:rPr>
          <w:noProof/>
          <w:lang w:val="en-US"/>
        </w:rPr>
        <w:drawing>
          <wp:inline distT="0" distB="0" distL="0" distR="0" wp14:anchorId="00FAA660" wp14:editId="5D8D8199">
            <wp:extent cx="5892800" cy="3926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92800" cy="3926205"/>
                    </a:xfrm>
                    <a:prstGeom prst="rect">
                      <a:avLst/>
                    </a:prstGeom>
                  </pic:spPr>
                </pic:pic>
              </a:graphicData>
            </a:graphic>
          </wp:inline>
        </w:drawing>
      </w:r>
    </w:p>
    <w:p w14:paraId="6BEB7552" w14:textId="03D626F5" w:rsidR="004F1932" w:rsidRDefault="00581A44" w:rsidP="00C62174">
      <w:pPr>
        <w:pStyle w:val="Caption"/>
        <w:spacing w:after="360"/>
        <w:jc w:val="center"/>
        <w:rPr>
          <w:rFonts w:asciiTheme="majorHAnsi" w:hAnsiTheme="majorHAnsi"/>
          <w:i w:val="0"/>
          <w:color w:val="auto"/>
          <w:sz w:val="20"/>
          <w:szCs w:val="20"/>
        </w:rPr>
      </w:pPr>
      <w:r w:rsidRPr="00581A44">
        <w:rPr>
          <w:rFonts w:asciiTheme="majorHAnsi" w:hAnsiTheme="majorHAnsi"/>
          <w:b/>
          <w:i w:val="0"/>
          <w:color w:val="auto"/>
          <w:sz w:val="20"/>
          <w:szCs w:val="20"/>
        </w:rPr>
        <w:t xml:space="preserve">Figure 1 </w:t>
      </w:r>
      <w:r w:rsidRPr="00581A44">
        <w:rPr>
          <w:rFonts w:asciiTheme="majorHAnsi" w:hAnsiTheme="majorHAnsi"/>
          <w:b/>
          <w:i w:val="0"/>
          <w:color w:val="auto"/>
          <w:sz w:val="20"/>
          <w:szCs w:val="20"/>
        </w:rPr>
        <w:fldChar w:fldCharType="begin"/>
      </w:r>
      <w:r w:rsidRPr="00581A44">
        <w:rPr>
          <w:rFonts w:asciiTheme="majorHAnsi" w:hAnsiTheme="majorHAnsi"/>
          <w:b/>
          <w:i w:val="0"/>
          <w:color w:val="auto"/>
          <w:sz w:val="20"/>
          <w:szCs w:val="20"/>
        </w:rPr>
        <w:instrText xml:space="preserve"> SEQ Figure_1 \* alphabetic </w:instrText>
      </w:r>
      <w:r w:rsidRPr="00581A44">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a</w:t>
      </w:r>
      <w:r w:rsidRPr="00581A44">
        <w:rPr>
          <w:rFonts w:asciiTheme="majorHAnsi" w:hAnsiTheme="majorHAnsi"/>
          <w:b/>
          <w:i w:val="0"/>
          <w:color w:val="auto"/>
          <w:sz w:val="20"/>
          <w:szCs w:val="20"/>
        </w:rPr>
        <w:fldChar w:fldCharType="end"/>
      </w:r>
      <w:r w:rsidRPr="00581A44">
        <w:rPr>
          <w:rFonts w:asciiTheme="majorHAnsi" w:hAnsiTheme="majorHAnsi"/>
          <w:b/>
          <w:i w:val="0"/>
          <w:color w:val="auto"/>
          <w:sz w:val="20"/>
          <w:szCs w:val="20"/>
        </w:rPr>
        <w:t>:</w:t>
      </w:r>
      <w:r w:rsidRPr="00581A44">
        <w:rPr>
          <w:rFonts w:asciiTheme="majorHAnsi" w:hAnsiTheme="majorHAnsi"/>
          <w:i w:val="0"/>
          <w:color w:val="auto"/>
          <w:sz w:val="20"/>
          <w:szCs w:val="20"/>
        </w:rPr>
        <w:t xml:space="preserve"> </w:t>
      </w:r>
      <w:r w:rsidR="00CA0019">
        <w:rPr>
          <w:rFonts w:asciiTheme="majorHAnsi" w:hAnsiTheme="majorHAnsi"/>
          <w:i w:val="0"/>
          <w:color w:val="auto"/>
          <w:sz w:val="20"/>
          <w:szCs w:val="20"/>
        </w:rPr>
        <w:t>ELIGARD</w:t>
      </w:r>
      <w:r w:rsidRPr="00581A44">
        <w:rPr>
          <w:rFonts w:asciiTheme="majorHAnsi" w:hAnsiTheme="majorHAnsi"/>
          <w:i w:val="0"/>
          <w:color w:val="auto"/>
          <w:sz w:val="20"/>
          <w:szCs w:val="20"/>
        </w:rPr>
        <w:t xml:space="preserve"> 1 month mean serum testosterone concentrations (n = 117)</w:t>
      </w:r>
    </w:p>
    <w:p w14:paraId="4300C094" w14:textId="55F52C50" w:rsidR="004F1932" w:rsidRPr="001D22B2" w:rsidRDefault="00CA0019" w:rsidP="00E40ADF">
      <w:pPr>
        <w:pStyle w:val="Heading4"/>
        <w:numPr>
          <w:ilvl w:val="0"/>
          <w:numId w:val="0"/>
        </w:numPr>
        <w:rPr>
          <w:rFonts w:cs="Arial"/>
        </w:rPr>
      </w:pPr>
      <w:r>
        <w:lastRenderedPageBreak/>
        <w:t>ELIGARD</w:t>
      </w:r>
      <w:r w:rsidR="004F1932" w:rsidRPr="001D22B2">
        <w:rPr>
          <w:spacing w:val="21"/>
          <w:position w:val="11"/>
          <w:sz w:val="16"/>
        </w:rPr>
        <w:t xml:space="preserve"> </w:t>
      </w:r>
      <w:r w:rsidR="004F1932" w:rsidRPr="001D22B2">
        <w:t>3 month</w:t>
      </w:r>
    </w:p>
    <w:p w14:paraId="0EE8B5ED" w14:textId="48E083A4" w:rsidR="004F1932" w:rsidRPr="00AB2EF5" w:rsidRDefault="004F1932" w:rsidP="00AB2EF5">
      <w:pPr>
        <w:rPr>
          <w:rFonts w:asciiTheme="majorHAnsi" w:hAnsiTheme="majorHAnsi" w:cstheme="minorHAnsi"/>
          <w:lang w:val="en"/>
        </w:rPr>
      </w:pPr>
      <w:r w:rsidRPr="00AB2EF5">
        <w:rPr>
          <w:rFonts w:asciiTheme="majorHAnsi" w:hAnsiTheme="majorHAnsi" w:cstheme="minorHAnsi"/>
          <w:lang w:val="en"/>
        </w:rPr>
        <w:t>The mean testosterone concentration increased from 367.1 ng/dL at baseline to 588.0 ng/dL at day 2 following the initial subcutaneous injection. The mean serum testosterone concentration then decreased to below baseline by day 14 and was 27.7 ng/dL on day 21. At the conclusion of the study (month 6), mean testosterone concentration was 10.1 ng/dL (</w:t>
      </w:r>
      <w:r w:rsidRPr="001D53ED">
        <w:rPr>
          <w:rFonts w:asciiTheme="majorHAnsi" w:hAnsiTheme="majorHAnsi" w:cstheme="minorHAnsi"/>
          <w:lang w:val="en"/>
        </w:rPr>
        <w:t>Figure 1b</w:t>
      </w:r>
      <w:r w:rsidRPr="00AB2EF5">
        <w:rPr>
          <w:rFonts w:asciiTheme="majorHAnsi" w:hAnsiTheme="majorHAnsi" w:cstheme="minorHAnsi"/>
          <w:lang w:val="en"/>
        </w:rPr>
        <w:t>), comparable to levels following bilateral orchiectomy.</w:t>
      </w:r>
    </w:p>
    <w:p w14:paraId="1097F581" w14:textId="79B7AE43" w:rsidR="004F1932" w:rsidRDefault="004F1932" w:rsidP="00AB2EF5">
      <w:pPr>
        <w:rPr>
          <w:rFonts w:asciiTheme="majorHAnsi" w:hAnsiTheme="majorHAnsi" w:cstheme="minorHAnsi"/>
          <w:lang w:val="en"/>
        </w:rPr>
      </w:pPr>
      <w:r w:rsidRPr="00AB2EF5">
        <w:rPr>
          <w:rFonts w:asciiTheme="majorHAnsi" w:hAnsiTheme="majorHAnsi" w:cstheme="minorHAnsi"/>
          <w:lang w:val="en"/>
        </w:rPr>
        <w:t xml:space="preserve">Of the original 117 patients, one received less than a full dose of </w:t>
      </w:r>
      <w:r w:rsidR="00CA0019">
        <w:rPr>
          <w:rFonts w:asciiTheme="majorHAnsi" w:hAnsiTheme="majorHAnsi" w:cstheme="minorHAnsi"/>
          <w:lang w:val="en"/>
        </w:rPr>
        <w:t>ELIGARD</w:t>
      </w:r>
      <w:r w:rsidRPr="00AB2EF5">
        <w:rPr>
          <w:rFonts w:asciiTheme="majorHAnsi" w:hAnsiTheme="majorHAnsi" w:cstheme="minorHAnsi"/>
          <w:lang w:val="en"/>
        </w:rPr>
        <w:t xml:space="preserve"> 3 month at baseline, never suppressed, and was withdrawn at day 73 and given an alternate treatment. In the remaining 116 patients who did receive the full dose at baseline, serum testosterone was suppressed to below the castrate threshold (</w:t>
      </w:r>
      <w:r w:rsidR="00921DC2" w:rsidRPr="00921DC2">
        <w:rPr>
          <w:rFonts w:asciiTheme="majorHAnsi" w:hAnsiTheme="majorHAnsi" w:cs="Times New Roman"/>
          <w:lang w:val="en"/>
        </w:rPr>
        <w:t>≤</w:t>
      </w:r>
      <w:r w:rsidR="00921DC2" w:rsidRPr="00921DC2">
        <w:rPr>
          <w:rFonts w:asciiTheme="majorHAnsi" w:hAnsiTheme="majorHAnsi" w:cstheme="minorHAnsi"/>
          <w:lang w:val="en"/>
        </w:rPr>
        <w:t xml:space="preserve"> </w:t>
      </w:r>
      <w:r w:rsidRPr="00AB2EF5">
        <w:rPr>
          <w:rFonts w:asciiTheme="majorHAnsi" w:hAnsiTheme="majorHAnsi" w:cstheme="minorHAnsi"/>
          <w:lang w:val="en"/>
        </w:rPr>
        <w:t>50 ng/dL) by day 28 (week 4) in 115 of 116 (99%). By day 35, all 116 patients (100%) who received a full dose at baseline attained the castrate threshold. A high proportion of patients (84%</w:t>
      </w:r>
      <w:r w:rsidR="004278B2">
        <w:rPr>
          <w:rFonts w:asciiTheme="majorHAnsi" w:hAnsiTheme="majorHAnsi" w:cstheme="minorHAnsi"/>
          <w:lang w:val="en"/>
        </w:rPr>
        <w:t xml:space="preserve"> at day 28 and 92% at day 42), </w:t>
      </w:r>
      <w:r w:rsidRPr="00AB2EF5">
        <w:rPr>
          <w:rFonts w:asciiTheme="majorHAnsi" w:hAnsiTheme="majorHAnsi" w:cstheme="minorHAnsi"/>
          <w:lang w:val="en"/>
        </w:rPr>
        <w:t xml:space="preserve">achieved testosterone suppression levels of ≤ 20 ng/dL, although the full benefit of these low levels has not yet been established. Once testosterone suppression at or below serum concentrations of 50 ng/dL was achieved, only one patient (&lt;1%) demonstrated breakthrough (concentration above 50 ng/dL) following initial injection; that patient remained below the castrate threshold following the second injection. All 111 evaluable patients in the study at month 6 had testosterone concentrations of </w:t>
      </w:r>
      <w:r w:rsidR="00E30BF2" w:rsidRPr="00E30BF2">
        <w:rPr>
          <w:rFonts w:asciiTheme="majorHAnsi" w:hAnsiTheme="majorHAnsi" w:cs="Times New Roman"/>
          <w:lang w:val="en"/>
        </w:rPr>
        <w:t>≤</w:t>
      </w:r>
      <w:r w:rsidR="00E30BF2">
        <w:rPr>
          <w:rFonts w:ascii="Symbol" w:hAnsi="Symbol" w:cstheme="minorHAnsi"/>
          <w:lang w:val="en"/>
        </w:rPr>
        <w:t></w:t>
      </w:r>
      <w:r w:rsidRPr="00AB2EF5">
        <w:rPr>
          <w:rFonts w:asciiTheme="majorHAnsi" w:hAnsiTheme="majorHAnsi" w:cstheme="minorHAnsi"/>
          <w:lang w:val="en"/>
        </w:rPr>
        <w:t>50 ng/dL.</w:t>
      </w:r>
    </w:p>
    <w:p w14:paraId="0FDA060A" w14:textId="77777777" w:rsidR="00581A44" w:rsidRDefault="001D53ED" w:rsidP="00581A44">
      <w:pPr>
        <w:keepNext/>
        <w:jc w:val="center"/>
      </w:pPr>
      <w:r>
        <w:rPr>
          <w:noProof/>
          <w:lang w:val="en-US"/>
        </w:rPr>
        <w:drawing>
          <wp:inline distT="0" distB="0" distL="0" distR="0" wp14:anchorId="5B2F4B25" wp14:editId="55DD2EA1">
            <wp:extent cx="5892800" cy="3908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2800" cy="3908425"/>
                    </a:xfrm>
                    <a:prstGeom prst="rect">
                      <a:avLst/>
                    </a:prstGeom>
                  </pic:spPr>
                </pic:pic>
              </a:graphicData>
            </a:graphic>
          </wp:inline>
        </w:drawing>
      </w:r>
    </w:p>
    <w:p w14:paraId="7C99480D" w14:textId="4CB57AE8" w:rsidR="00841CF8" w:rsidRDefault="00581A44" w:rsidP="00C62174">
      <w:pPr>
        <w:pStyle w:val="Caption"/>
        <w:spacing w:after="360"/>
        <w:jc w:val="center"/>
        <w:rPr>
          <w:rFonts w:asciiTheme="majorHAnsi" w:hAnsiTheme="majorHAnsi"/>
          <w:i w:val="0"/>
          <w:color w:val="auto"/>
          <w:sz w:val="20"/>
          <w:szCs w:val="20"/>
        </w:rPr>
      </w:pPr>
      <w:r w:rsidRPr="00581A44">
        <w:rPr>
          <w:rFonts w:asciiTheme="majorHAnsi" w:hAnsiTheme="majorHAnsi"/>
          <w:b/>
          <w:i w:val="0"/>
          <w:color w:val="auto"/>
          <w:sz w:val="20"/>
          <w:szCs w:val="20"/>
        </w:rPr>
        <w:t xml:space="preserve">Figure 1 </w:t>
      </w:r>
      <w:r w:rsidRPr="00581A44">
        <w:rPr>
          <w:rFonts w:asciiTheme="majorHAnsi" w:hAnsiTheme="majorHAnsi"/>
          <w:b/>
          <w:i w:val="0"/>
          <w:color w:val="auto"/>
          <w:sz w:val="20"/>
          <w:szCs w:val="20"/>
        </w:rPr>
        <w:fldChar w:fldCharType="begin"/>
      </w:r>
      <w:r w:rsidRPr="00581A44">
        <w:rPr>
          <w:rFonts w:asciiTheme="majorHAnsi" w:hAnsiTheme="majorHAnsi"/>
          <w:b/>
          <w:i w:val="0"/>
          <w:color w:val="auto"/>
          <w:sz w:val="20"/>
          <w:szCs w:val="20"/>
        </w:rPr>
        <w:instrText xml:space="preserve"> SEQ Figure_1 \* alphabetic </w:instrText>
      </w:r>
      <w:r w:rsidRPr="00581A44">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b</w:t>
      </w:r>
      <w:r w:rsidRPr="00581A44">
        <w:rPr>
          <w:rFonts w:asciiTheme="majorHAnsi" w:hAnsiTheme="majorHAnsi"/>
          <w:b/>
          <w:i w:val="0"/>
          <w:color w:val="auto"/>
          <w:sz w:val="20"/>
          <w:szCs w:val="20"/>
        </w:rPr>
        <w:fldChar w:fldCharType="end"/>
      </w:r>
      <w:r w:rsidRPr="00581A44">
        <w:rPr>
          <w:rFonts w:asciiTheme="majorHAnsi" w:hAnsiTheme="majorHAnsi"/>
          <w:b/>
          <w:i w:val="0"/>
          <w:color w:val="auto"/>
          <w:sz w:val="20"/>
          <w:szCs w:val="20"/>
        </w:rPr>
        <w:t>:</w:t>
      </w:r>
      <w:r w:rsidRPr="00581A44">
        <w:rPr>
          <w:rFonts w:asciiTheme="majorHAnsi" w:hAnsiTheme="majorHAnsi"/>
          <w:i w:val="0"/>
          <w:color w:val="auto"/>
          <w:sz w:val="20"/>
          <w:szCs w:val="20"/>
        </w:rPr>
        <w:t xml:space="preserve"> </w:t>
      </w:r>
      <w:r w:rsidR="00CA0019">
        <w:rPr>
          <w:rFonts w:asciiTheme="majorHAnsi" w:hAnsiTheme="majorHAnsi"/>
          <w:i w:val="0"/>
          <w:color w:val="auto"/>
          <w:sz w:val="20"/>
          <w:szCs w:val="20"/>
        </w:rPr>
        <w:t>ELIGARD</w:t>
      </w:r>
      <w:r w:rsidRPr="00581A44">
        <w:rPr>
          <w:rFonts w:asciiTheme="majorHAnsi" w:hAnsiTheme="majorHAnsi"/>
          <w:i w:val="0"/>
          <w:color w:val="auto"/>
          <w:sz w:val="20"/>
          <w:szCs w:val="20"/>
        </w:rPr>
        <w:t xml:space="preserve"> 3 month mean serum testosterone concentrations (n = 111)</w:t>
      </w:r>
    </w:p>
    <w:p w14:paraId="420F7977" w14:textId="1BB16685" w:rsidR="004F1932" w:rsidRDefault="00CA0019" w:rsidP="00E40ADF">
      <w:pPr>
        <w:pStyle w:val="Heading4"/>
        <w:numPr>
          <w:ilvl w:val="0"/>
          <w:numId w:val="0"/>
        </w:numPr>
      </w:pPr>
      <w:r>
        <w:lastRenderedPageBreak/>
        <w:t>ELIGARD</w:t>
      </w:r>
      <w:r w:rsidR="004F1932" w:rsidRPr="00025472">
        <w:t xml:space="preserve"> 4 month </w:t>
      </w:r>
    </w:p>
    <w:p w14:paraId="71851777" w14:textId="3F76DE48"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t>The mean testosterone concentration increased from 385.5 ng/dL at baseline to 610.0 ng/dL at day 2 following the initial subcutaneous injection. The mean serum testosterone concentration then decreased to below baseline by day 14 and was 17.2 ng/dL on day 28. At</w:t>
      </w:r>
      <w:r w:rsidR="00464DD9">
        <w:rPr>
          <w:rFonts w:asciiTheme="majorHAnsi" w:hAnsiTheme="majorHAnsi" w:cstheme="minorHAnsi"/>
          <w:lang w:val="en"/>
        </w:rPr>
        <w:t xml:space="preserve"> </w:t>
      </w:r>
      <w:r w:rsidRPr="005265C2">
        <w:rPr>
          <w:rFonts w:asciiTheme="majorHAnsi" w:hAnsiTheme="majorHAnsi" w:cstheme="minorHAnsi"/>
          <w:lang w:val="en"/>
        </w:rPr>
        <w:t>the conclusion of the study (month 8), mean testosterone concentration was 12.4 ng/dL (</w:t>
      </w:r>
      <w:r w:rsidRPr="00D5049A">
        <w:rPr>
          <w:rFonts w:asciiTheme="majorHAnsi" w:hAnsiTheme="majorHAnsi" w:cstheme="minorHAnsi"/>
          <w:lang w:val="en"/>
        </w:rPr>
        <w:t>Figure 1c</w:t>
      </w:r>
      <w:r w:rsidRPr="005265C2">
        <w:rPr>
          <w:rFonts w:asciiTheme="majorHAnsi" w:hAnsiTheme="majorHAnsi" w:cstheme="minorHAnsi"/>
          <w:lang w:val="en"/>
        </w:rPr>
        <w:t>), comparable to levels following bilateral orchiectomy.</w:t>
      </w:r>
    </w:p>
    <w:p w14:paraId="19E23707" w14:textId="19CF56D4" w:rsidR="004F1932" w:rsidRDefault="004F1932" w:rsidP="005265C2">
      <w:pPr>
        <w:rPr>
          <w:rFonts w:asciiTheme="majorHAnsi" w:hAnsiTheme="majorHAnsi" w:cstheme="minorHAnsi"/>
          <w:lang w:val="en"/>
        </w:rPr>
      </w:pPr>
      <w:r w:rsidRPr="005265C2">
        <w:rPr>
          <w:rFonts w:asciiTheme="majorHAnsi" w:hAnsiTheme="majorHAnsi" w:cstheme="minorHAnsi"/>
          <w:lang w:val="en"/>
        </w:rPr>
        <w:t>Serum testosterone was suppressed to below the castrate threshold (</w:t>
      </w:r>
      <w:r w:rsidR="00025472" w:rsidRPr="00025472">
        <w:rPr>
          <w:rFonts w:asciiTheme="majorHAnsi" w:hAnsiTheme="majorHAnsi" w:cs="Times New Roman"/>
          <w:lang w:val="en"/>
        </w:rPr>
        <w:t>≤</w:t>
      </w:r>
      <w:r w:rsidR="00025472">
        <w:rPr>
          <w:rFonts w:ascii="Symbol" w:hAnsi="Symbol" w:cstheme="minorHAnsi"/>
          <w:lang w:val="en"/>
        </w:rPr>
        <w:t></w:t>
      </w:r>
      <w:r w:rsidRPr="005265C2">
        <w:rPr>
          <w:rFonts w:asciiTheme="majorHAnsi" w:hAnsiTheme="majorHAnsi" w:cstheme="minorHAnsi"/>
          <w:lang w:val="en"/>
        </w:rPr>
        <w:t xml:space="preserve">50 ng/dL) by day 28 in 85 of 89 (96%) patients remaining in the study. All 89 (100%) of patients remaining in the study attained the castrate threshold by day 42. A high proportion of patients (67% at day 28 and 90% at day 42), achieved testosterone suppression levels of ≤ 20 ng/dL, although the full benefit of these low levels has not yet been established. Once testosterone suppression at or below serum concentrations of 50 ng/dL was achieved, three patients (3%) demonstrated breakthrough (concentration above 50 ng/dL) during the study. These patients again reached castrate suppression following the second injection of study drug. Of 82 evaluable patients in the study at month 8, 81 had testosterone concentrations of </w:t>
      </w:r>
      <w:r w:rsidR="00025472" w:rsidRPr="00025472">
        <w:rPr>
          <w:rFonts w:asciiTheme="majorHAnsi" w:hAnsiTheme="majorHAnsi" w:cs="Times New Roman"/>
          <w:lang w:val="en"/>
        </w:rPr>
        <w:t>≤</w:t>
      </w:r>
      <w:r w:rsidR="00025472">
        <w:rPr>
          <w:rFonts w:ascii="Symbol" w:hAnsi="Symbol" w:cstheme="minorHAnsi"/>
          <w:lang w:val="en"/>
        </w:rPr>
        <w:t></w:t>
      </w:r>
      <w:r w:rsidRPr="005265C2">
        <w:rPr>
          <w:rFonts w:asciiTheme="majorHAnsi" w:hAnsiTheme="majorHAnsi" w:cstheme="minorHAnsi"/>
          <w:lang w:val="en"/>
        </w:rPr>
        <w:t>50 ng/dL.</w:t>
      </w:r>
    </w:p>
    <w:p w14:paraId="3FF63B49" w14:textId="77777777" w:rsidR="00841CF8" w:rsidRDefault="00841CF8" w:rsidP="00841CF8">
      <w:pPr>
        <w:keepNext/>
      </w:pPr>
      <w:r>
        <w:rPr>
          <w:noProof/>
          <w:lang w:val="en-US"/>
        </w:rPr>
        <w:drawing>
          <wp:inline distT="0" distB="0" distL="0" distR="0" wp14:anchorId="37602D41" wp14:editId="31E343E0">
            <wp:extent cx="5892800" cy="3058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2800" cy="3058795"/>
                    </a:xfrm>
                    <a:prstGeom prst="rect">
                      <a:avLst/>
                    </a:prstGeom>
                  </pic:spPr>
                </pic:pic>
              </a:graphicData>
            </a:graphic>
          </wp:inline>
        </w:drawing>
      </w:r>
    </w:p>
    <w:p w14:paraId="4242B584" w14:textId="31A98BE0" w:rsidR="00841CF8" w:rsidRDefault="00841CF8" w:rsidP="00C62174">
      <w:pPr>
        <w:pStyle w:val="Caption"/>
        <w:spacing w:after="360"/>
        <w:jc w:val="center"/>
        <w:rPr>
          <w:rFonts w:asciiTheme="majorHAnsi" w:hAnsiTheme="majorHAnsi"/>
          <w:i w:val="0"/>
          <w:color w:val="auto"/>
          <w:sz w:val="20"/>
          <w:szCs w:val="20"/>
        </w:rPr>
      </w:pPr>
      <w:r w:rsidRPr="00841CF8">
        <w:rPr>
          <w:rFonts w:asciiTheme="majorHAnsi" w:hAnsiTheme="majorHAnsi"/>
          <w:b/>
          <w:i w:val="0"/>
          <w:color w:val="auto"/>
          <w:sz w:val="20"/>
          <w:szCs w:val="20"/>
        </w:rPr>
        <w:t xml:space="preserve">Figure 1 </w:t>
      </w:r>
      <w:r w:rsidRPr="00841CF8">
        <w:rPr>
          <w:rFonts w:asciiTheme="majorHAnsi" w:hAnsiTheme="majorHAnsi"/>
          <w:b/>
          <w:i w:val="0"/>
          <w:color w:val="auto"/>
          <w:sz w:val="20"/>
          <w:szCs w:val="20"/>
        </w:rPr>
        <w:fldChar w:fldCharType="begin"/>
      </w:r>
      <w:r w:rsidRPr="00841CF8">
        <w:rPr>
          <w:rFonts w:asciiTheme="majorHAnsi" w:hAnsiTheme="majorHAnsi"/>
          <w:b/>
          <w:i w:val="0"/>
          <w:color w:val="auto"/>
          <w:sz w:val="20"/>
          <w:szCs w:val="20"/>
        </w:rPr>
        <w:instrText xml:space="preserve"> SEQ Figure_1 \* alphabetic </w:instrText>
      </w:r>
      <w:r w:rsidRPr="00841CF8">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c</w:t>
      </w:r>
      <w:r w:rsidRPr="00841CF8">
        <w:rPr>
          <w:rFonts w:asciiTheme="majorHAnsi" w:hAnsiTheme="majorHAnsi"/>
          <w:b/>
          <w:i w:val="0"/>
          <w:color w:val="auto"/>
          <w:sz w:val="20"/>
          <w:szCs w:val="20"/>
        </w:rPr>
        <w:fldChar w:fldCharType="end"/>
      </w:r>
      <w:r w:rsidRPr="00841CF8">
        <w:rPr>
          <w:rFonts w:asciiTheme="majorHAnsi" w:hAnsiTheme="majorHAnsi"/>
          <w:i w:val="0"/>
          <w:color w:val="auto"/>
          <w:sz w:val="20"/>
          <w:szCs w:val="20"/>
        </w:rPr>
        <w:t xml:space="preserve">: </w:t>
      </w:r>
      <w:r w:rsidR="00CA0019">
        <w:rPr>
          <w:rFonts w:asciiTheme="majorHAnsi" w:hAnsiTheme="majorHAnsi"/>
          <w:i w:val="0"/>
          <w:color w:val="auto"/>
          <w:sz w:val="20"/>
          <w:szCs w:val="20"/>
        </w:rPr>
        <w:t>ELIGARD</w:t>
      </w:r>
      <w:r w:rsidRPr="00841CF8">
        <w:rPr>
          <w:rFonts w:asciiTheme="majorHAnsi" w:hAnsiTheme="majorHAnsi"/>
          <w:i w:val="0"/>
          <w:color w:val="auto"/>
          <w:sz w:val="20"/>
          <w:szCs w:val="20"/>
        </w:rPr>
        <w:t xml:space="preserve"> 4 month mean serum testosterone concentrations (n = 90)</w:t>
      </w:r>
    </w:p>
    <w:p w14:paraId="4D842013" w14:textId="5BF96FDD" w:rsidR="004F1932" w:rsidRPr="001D22B2" w:rsidRDefault="00CA0019" w:rsidP="00E40ADF">
      <w:pPr>
        <w:pStyle w:val="Heading4"/>
        <w:numPr>
          <w:ilvl w:val="0"/>
          <w:numId w:val="0"/>
        </w:numPr>
        <w:rPr>
          <w:rFonts w:cs="Arial"/>
        </w:rPr>
      </w:pPr>
      <w:r>
        <w:t>ELIGARD</w:t>
      </w:r>
      <w:r w:rsidR="004F1932" w:rsidRPr="001D22B2">
        <w:rPr>
          <w:spacing w:val="21"/>
          <w:position w:val="11"/>
          <w:sz w:val="16"/>
        </w:rPr>
        <w:t xml:space="preserve"> </w:t>
      </w:r>
      <w:r w:rsidR="005265C2">
        <w:t>6 month</w:t>
      </w:r>
    </w:p>
    <w:p w14:paraId="0F6934E2" w14:textId="7AC4AFBF"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t xml:space="preserve">The mean testosterone concentration increased from 367.7 ng/dL at baseline to 588.6 ng/dL at day 2 following the initial subcutaneous injection. The mean serum testosterone concentration then decreased to below baseline by day 14 and was 16.7 ng/dL on day 28. At the conclusion of the study (month 12), mean testosterone concentration was 12.6 ng/dL </w:t>
      </w:r>
      <w:r w:rsidRPr="00D8714F">
        <w:rPr>
          <w:rFonts w:asciiTheme="majorHAnsi" w:hAnsiTheme="majorHAnsi" w:cstheme="minorHAnsi"/>
          <w:lang w:val="en"/>
        </w:rPr>
        <w:t>(Figure 1d),</w:t>
      </w:r>
      <w:r w:rsidRPr="005265C2">
        <w:rPr>
          <w:rFonts w:asciiTheme="majorHAnsi" w:hAnsiTheme="majorHAnsi" w:cstheme="minorHAnsi"/>
          <w:lang w:val="en"/>
        </w:rPr>
        <w:t xml:space="preserve"> comparable to levels f</w:t>
      </w:r>
      <w:r w:rsidR="00302187">
        <w:rPr>
          <w:rFonts w:asciiTheme="majorHAnsi" w:hAnsiTheme="majorHAnsi" w:cstheme="minorHAnsi"/>
          <w:lang w:val="en"/>
        </w:rPr>
        <w:t>ollowing bilateral orchiectomy.</w:t>
      </w:r>
    </w:p>
    <w:p w14:paraId="21D40DD7" w14:textId="60A8CE7A"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lastRenderedPageBreak/>
        <w:t>Serum testosterone was suppressed to below the castrate threshold (</w:t>
      </w:r>
      <w:r w:rsidR="00302187" w:rsidRPr="00302187">
        <w:rPr>
          <w:rFonts w:cs="Times New Roman"/>
          <w:lang w:val="en"/>
        </w:rPr>
        <w:t>≤</w:t>
      </w:r>
      <w:r w:rsidR="00302187" w:rsidRPr="00302187">
        <w:rPr>
          <w:rFonts w:cstheme="minorHAnsi"/>
          <w:lang w:val="en"/>
        </w:rPr>
        <w:t xml:space="preserve"> </w:t>
      </w:r>
      <w:r w:rsidRPr="005265C2">
        <w:rPr>
          <w:rFonts w:asciiTheme="majorHAnsi" w:hAnsiTheme="majorHAnsi" w:cstheme="minorHAnsi"/>
          <w:lang w:val="en"/>
        </w:rPr>
        <w:t>50 ng/dL) by day 28 in 108 of 109 (99%) patients remaining in the study. One patient (&lt;1%) did not achieve castrate suppression and was withdrawn from the study on day 85. A high proportion of patients remaining in the study (84% at day 28 and 95% at day 42), achieved testosterone suppression levels of ≤ 20 ng/dL, although the full benefit of these low levels has not yet been established. Once testosterone suppression at or below serum concentrations of 50 ng/dL was achieved, one patient (&lt;1%) demonstrated breakthrough (concentrat</w:t>
      </w:r>
      <w:r w:rsidR="007E2F5C">
        <w:rPr>
          <w:rFonts w:asciiTheme="majorHAnsi" w:hAnsiTheme="majorHAnsi" w:cstheme="minorHAnsi"/>
          <w:lang w:val="en"/>
        </w:rPr>
        <w:t>ion above 50 mg/dL) during the s</w:t>
      </w:r>
      <w:r w:rsidRPr="005265C2">
        <w:rPr>
          <w:rFonts w:asciiTheme="majorHAnsi" w:hAnsiTheme="majorHAnsi" w:cstheme="minorHAnsi"/>
          <w:lang w:val="en"/>
        </w:rPr>
        <w:t xml:space="preserve">tudy. This patient reached castrate suppression at day 21 and remained suppressed until day 308 when his testosterone level rose to 112 ng/dL. At month 12, his testosterone was 210 ng/dL. Of 103 evaluable patients in the study at month 12, 102 had testosterone concentrations of </w:t>
      </w:r>
      <w:r w:rsidR="000D01B5" w:rsidRPr="000D01B5">
        <w:rPr>
          <w:rFonts w:asciiTheme="majorHAnsi" w:hAnsiTheme="majorHAnsi" w:cs="Times New Roman"/>
          <w:lang w:val="en"/>
        </w:rPr>
        <w:t>≤</w:t>
      </w:r>
      <w:r w:rsidR="000D01B5">
        <w:rPr>
          <w:rFonts w:ascii="Symbol" w:hAnsi="Symbol" w:cstheme="minorHAnsi"/>
          <w:lang w:val="en"/>
        </w:rPr>
        <w:t></w:t>
      </w:r>
      <w:r w:rsidRPr="005265C2">
        <w:rPr>
          <w:rFonts w:asciiTheme="majorHAnsi" w:hAnsiTheme="majorHAnsi" w:cstheme="minorHAnsi"/>
          <w:lang w:val="en"/>
        </w:rPr>
        <w:t xml:space="preserve">50 </w:t>
      </w:r>
      <w:r w:rsidR="005265C2">
        <w:rPr>
          <w:rFonts w:asciiTheme="majorHAnsi" w:hAnsiTheme="majorHAnsi" w:cstheme="minorHAnsi"/>
          <w:lang w:val="en"/>
        </w:rPr>
        <w:t>ng/dL.</w:t>
      </w:r>
    </w:p>
    <w:p w14:paraId="5F23AA46" w14:textId="18AC31B7" w:rsidR="004F1932" w:rsidRDefault="004F1932" w:rsidP="005265C2">
      <w:pPr>
        <w:rPr>
          <w:rFonts w:asciiTheme="majorHAnsi" w:hAnsiTheme="majorHAnsi" w:cstheme="minorHAnsi"/>
          <w:lang w:val="en"/>
        </w:rPr>
      </w:pPr>
      <w:r w:rsidRPr="005265C2">
        <w:rPr>
          <w:rFonts w:asciiTheme="majorHAnsi" w:hAnsiTheme="majorHAnsi" w:cstheme="minorHAnsi"/>
          <w:lang w:val="en"/>
        </w:rPr>
        <w:t>All five non-evaluable patients who had achieved castration by day 28 maintained castration at each timepoint, up to and including the time of withdrawal.</w:t>
      </w:r>
    </w:p>
    <w:p w14:paraId="02F0535D" w14:textId="77777777" w:rsidR="007E2F5C" w:rsidRDefault="007E2F5C" w:rsidP="007E2F5C">
      <w:pPr>
        <w:keepNext/>
        <w:jc w:val="center"/>
      </w:pPr>
      <w:r>
        <w:rPr>
          <w:noProof/>
          <w:lang w:val="en-US"/>
        </w:rPr>
        <w:drawing>
          <wp:inline distT="0" distB="0" distL="0" distR="0" wp14:anchorId="75DDBF0D" wp14:editId="54156B2A">
            <wp:extent cx="5892800" cy="4034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2800" cy="4034790"/>
                    </a:xfrm>
                    <a:prstGeom prst="rect">
                      <a:avLst/>
                    </a:prstGeom>
                  </pic:spPr>
                </pic:pic>
              </a:graphicData>
            </a:graphic>
          </wp:inline>
        </w:drawing>
      </w:r>
    </w:p>
    <w:p w14:paraId="63D9E6DC" w14:textId="64DC622D" w:rsidR="004F1932" w:rsidRDefault="007E2F5C" w:rsidP="00C62174">
      <w:pPr>
        <w:pStyle w:val="Caption"/>
        <w:spacing w:after="360"/>
        <w:jc w:val="center"/>
        <w:rPr>
          <w:rFonts w:asciiTheme="majorHAnsi" w:hAnsiTheme="majorHAnsi"/>
          <w:i w:val="0"/>
          <w:color w:val="auto"/>
          <w:sz w:val="20"/>
          <w:szCs w:val="20"/>
        </w:rPr>
      </w:pPr>
      <w:r w:rsidRPr="007E2F5C">
        <w:rPr>
          <w:rFonts w:asciiTheme="majorHAnsi" w:hAnsiTheme="majorHAnsi"/>
          <w:b/>
          <w:i w:val="0"/>
          <w:color w:val="auto"/>
          <w:sz w:val="20"/>
          <w:szCs w:val="20"/>
        </w:rPr>
        <w:t xml:space="preserve">Figure 1 </w:t>
      </w:r>
      <w:r w:rsidRPr="007E2F5C">
        <w:rPr>
          <w:rFonts w:asciiTheme="majorHAnsi" w:hAnsiTheme="majorHAnsi"/>
          <w:b/>
          <w:i w:val="0"/>
          <w:color w:val="auto"/>
          <w:sz w:val="20"/>
          <w:szCs w:val="20"/>
        </w:rPr>
        <w:fldChar w:fldCharType="begin"/>
      </w:r>
      <w:r w:rsidRPr="007E2F5C">
        <w:rPr>
          <w:rFonts w:asciiTheme="majorHAnsi" w:hAnsiTheme="majorHAnsi"/>
          <w:b/>
          <w:i w:val="0"/>
          <w:color w:val="auto"/>
          <w:sz w:val="20"/>
          <w:szCs w:val="20"/>
        </w:rPr>
        <w:instrText xml:space="preserve"> SEQ Figure_1 \* alphabetic </w:instrText>
      </w:r>
      <w:r w:rsidRPr="007E2F5C">
        <w:rPr>
          <w:rFonts w:asciiTheme="majorHAnsi" w:hAnsiTheme="majorHAnsi"/>
          <w:b/>
          <w:i w:val="0"/>
          <w:color w:val="auto"/>
          <w:sz w:val="20"/>
          <w:szCs w:val="20"/>
        </w:rPr>
        <w:fldChar w:fldCharType="separate"/>
      </w:r>
      <w:r w:rsidR="00C16B5F">
        <w:rPr>
          <w:rFonts w:asciiTheme="majorHAnsi" w:hAnsiTheme="majorHAnsi"/>
          <w:b/>
          <w:i w:val="0"/>
          <w:noProof/>
          <w:color w:val="auto"/>
          <w:sz w:val="20"/>
          <w:szCs w:val="20"/>
        </w:rPr>
        <w:t>d</w:t>
      </w:r>
      <w:r w:rsidRPr="007E2F5C">
        <w:rPr>
          <w:rFonts w:asciiTheme="majorHAnsi" w:hAnsiTheme="majorHAnsi"/>
          <w:b/>
          <w:i w:val="0"/>
          <w:color w:val="auto"/>
          <w:sz w:val="20"/>
          <w:szCs w:val="20"/>
        </w:rPr>
        <w:fldChar w:fldCharType="end"/>
      </w:r>
      <w:r w:rsidRPr="007E2F5C">
        <w:rPr>
          <w:rFonts w:asciiTheme="majorHAnsi" w:hAnsiTheme="majorHAnsi"/>
          <w:b/>
          <w:i w:val="0"/>
          <w:color w:val="auto"/>
          <w:sz w:val="20"/>
          <w:szCs w:val="20"/>
        </w:rPr>
        <w:t>:</w:t>
      </w:r>
      <w:r w:rsidRPr="007E2F5C">
        <w:rPr>
          <w:rFonts w:asciiTheme="majorHAnsi" w:hAnsiTheme="majorHAnsi"/>
          <w:i w:val="0"/>
          <w:color w:val="auto"/>
          <w:sz w:val="20"/>
          <w:szCs w:val="20"/>
        </w:rPr>
        <w:t xml:space="preserve"> </w:t>
      </w:r>
      <w:r w:rsidR="00CA0019">
        <w:rPr>
          <w:rFonts w:asciiTheme="majorHAnsi" w:hAnsiTheme="majorHAnsi"/>
          <w:i w:val="0"/>
          <w:color w:val="auto"/>
          <w:sz w:val="20"/>
          <w:szCs w:val="20"/>
        </w:rPr>
        <w:t>ELIGARD</w:t>
      </w:r>
      <w:r w:rsidRPr="007E2F5C">
        <w:rPr>
          <w:rFonts w:asciiTheme="majorHAnsi" w:hAnsiTheme="majorHAnsi"/>
          <w:i w:val="0"/>
          <w:color w:val="auto"/>
          <w:sz w:val="20"/>
          <w:szCs w:val="20"/>
        </w:rPr>
        <w:t xml:space="preserve"> 6 month mean serum testosterone concentrations (n = 103)</w:t>
      </w:r>
    </w:p>
    <w:p w14:paraId="397A6B86" w14:textId="14188B9E"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t xml:space="preserve">Serum PSA decreased in all patients whose baseline values were elevated above the normal limit. Mean values were reduced 94% from baseline to month 6 for </w:t>
      </w:r>
      <w:r w:rsidR="00CA0019">
        <w:rPr>
          <w:rFonts w:asciiTheme="majorHAnsi" w:hAnsiTheme="majorHAnsi" w:cstheme="minorHAnsi"/>
          <w:lang w:val="en"/>
        </w:rPr>
        <w:t>ELIGARD</w:t>
      </w:r>
      <w:r w:rsidRPr="005265C2">
        <w:rPr>
          <w:rFonts w:asciiTheme="majorHAnsi" w:hAnsiTheme="majorHAnsi" w:cstheme="minorHAnsi"/>
          <w:lang w:val="en"/>
        </w:rPr>
        <w:t xml:space="preserve"> 1 month, 98% from baseline to month 6 for </w:t>
      </w:r>
      <w:r w:rsidR="00CA0019">
        <w:rPr>
          <w:rFonts w:asciiTheme="majorHAnsi" w:hAnsiTheme="majorHAnsi" w:cstheme="minorHAnsi"/>
          <w:lang w:val="en"/>
        </w:rPr>
        <w:t>ELIGARD</w:t>
      </w:r>
      <w:r w:rsidRPr="005265C2">
        <w:rPr>
          <w:rFonts w:asciiTheme="majorHAnsi" w:hAnsiTheme="majorHAnsi" w:cstheme="minorHAnsi"/>
          <w:lang w:val="en"/>
        </w:rPr>
        <w:t xml:space="preserve"> 3 month, 86% from baseline to month 8 for </w:t>
      </w:r>
      <w:r w:rsidR="00CA0019">
        <w:rPr>
          <w:rFonts w:asciiTheme="majorHAnsi" w:hAnsiTheme="majorHAnsi" w:cstheme="minorHAnsi"/>
          <w:lang w:val="en"/>
        </w:rPr>
        <w:t>ELIGARD</w:t>
      </w:r>
      <w:r w:rsidRPr="005265C2">
        <w:rPr>
          <w:rFonts w:asciiTheme="majorHAnsi" w:hAnsiTheme="majorHAnsi" w:cstheme="minorHAnsi"/>
          <w:lang w:val="en"/>
        </w:rPr>
        <w:t xml:space="preserve"> 4 month and 97% from baseline to month 12 for </w:t>
      </w:r>
      <w:r w:rsidR="00CA0019">
        <w:rPr>
          <w:rFonts w:asciiTheme="majorHAnsi" w:hAnsiTheme="majorHAnsi" w:cstheme="minorHAnsi"/>
          <w:lang w:val="en"/>
        </w:rPr>
        <w:t>ELIGARD</w:t>
      </w:r>
      <w:r w:rsidRPr="005265C2">
        <w:rPr>
          <w:rFonts w:asciiTheme="majorHAnsi" w:hAnsiTheme="majorHAnsi" w:cstheme="minorHAnsi"/>
          <w:lang w:val="en"/>
        </w:rPr>
        <w:t xml:space="preserve"> 6 month.</w:t>
      </w:r>
    </w:p>
    <w:p w14:paraId="287BD936" w14:textId="1EBFAB5D"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lastRenderedPageBreak/>
        <w:t xml:space="preserve">At month 6, PSA levels had decreased to within normal limits in 94% of patients who presented with elevated levels at baseline for </w:t>
      </w:r>
      <w:r w:rsidR="00CA0019">
        <w:rPr>
          <w:rFonts w:asciiTheme="majorHAnsi" w:hAnsiTheme="majorHAnsi" w:cstheme="minorHAnsi"/>
          <w:lang w:val="en"/>
        </w:rPr>
        <w:t>ELIGARD</w:t>
      </w:r>
      <w:r w:rsidRPr="005265C2">
        <w:rPr>
          <w:rFonts w:asciiTheme="majorHAnsi" w:hAnsiTheme="majorHAnsi" w:cstheme="minorHAnsi"/>
          <w:lang w:val="en"/>
        </w:rPr>
        <w:t xml:space="preserve"> 1 month. At month 6, PSA levels had decreased to within normal limits in 91% of patients who presented with elevated levels at baseline for </w:t>
      </w:r>
      <w:r w:rsidR="00CA0019">
        <w:rPr>
          <w:rFonts w:asciiTheme="majorHAnsi" w:hAnsiTheme="majorHAnsi" w:cstheme="minorHAnsi"/>
          <w:lang w:val="en"/>
        </w:rPr>
        <w:t>ELIGARD</w:t>
      </w:r>
      <w:r w:rsidRPr="005265C2">
        <w:rPr>
          <w:rFonts w:asciiTheme="majorHAnsi" w:hAnsiTheme="majorHAnsi" w:cstheme="minorHAnsi"/>
          <w:lang w:val="en"/>
        </w:rPr>
        <w:t xml:space="preserve"> 3 month. At month 8, PSA levels had decreased to within normal limits in 93% of patients who presented with elevated levels at baseline for </w:t>
      </w:r>
      <w:r w:rsidR="00CA0019">
        <w:rPr>
          <w:rFonts w:asciiTheme="majorHAnsi" w:hAnsiTheme="majorHAnsi" w:cstheme="minorHAnsi"/>
          <w:lang w:val="en"/>
        </w:rPr>
        <w:t>ELIGARD</w:t>
      </w:r>
      <w:r w:rsidRPr="005265C2">
        <w:rPr>
          <w:rFonts w:asciiTheme="majorHAnsi" w:hAnsiTheme="majorHAnsi" w:cstheme="minorHAnsi"/>
          <w:lang w:val="en"/>
        </w:rPr>
        <w:t xml:space="preserve"> 4 month. At month 12, PSA levels had decreased to within normal limits in 95% of patients who presented with elevated levels at baseline for </w:t>
      </w:r>
      <w:r w:rsidR="00CA0019">
        <w:rPr>
          <w:rFonts w:asciiTheme="majorHAnsi" w:hAnsiTheme="majorHAnsi" w:cstheme="minorHAnsi"/>
          <w:lang w:val="en"/>
        </w:rPr>
        <w:t>ELIGARD</w:t>
      </w:r>
      <w:r w:rsidRPr="005265C2">
        <w:rPr>
          <w:rFonts w:asciiTheme="majorHAnsi" w:hAnsiTheme="majorHAnsi" w:cstheme="minorHAnsi"/>
          <w:lang w:val="en"/>
        </w:rPr>
        <w:t xml:space="preserve"> 6 month.</w:t>
      </w:r>
    </w:p>
    <w:p w14:paraId="3248A4D1" w14:textId="77777777" w:rsidR="004F1932" w:rsidRPr="005265C2" w:rsidRDefault="004F1932" w:rsidP="005265C2">
      <w:pPr>
        <w:rPr>
          <w:rFonts w:asciiTheme="majorHAnsi" w:hAnsiTheme="majorHAnsi" w:cstheme="minorHAnsi"/>
          <w:lang w:val="en"/>
        </w:rPr>
      </w:pPr>
      <w:r w:rsidRPr="005265C2">
        <w:rPr>
          <w:rFonts w:asciiTheme="majorHAnsi" w:hAnsiTheme="majorHAnsi" w:cstheme="minorHAnsi"/>
          <w:lang w:val="en"/>
        </w:rPr>
        <w:t>Other secondary efficacy endpoints evaluated included WHO performance status, bone pain, urinary pain and urinary signs and symptoms.</w:t>
      </w:r>
    </w:p>
    <w:p w14:paraId="79A72246" w14:textId="52398420" w:rsidR="004F1932" w:rsidRPr="00B43D00" w:rsidRDefault="004F1932" w:rsidP="0078189C">
      <w:pPr>
        <w:tabs>
          <w:tab w:val="left" w:pos="3015"/>
        </w:tabs>
        <w:rPr>
          <w:rFonts w:asciiTheme="majorHAnsi" w:hAnsiTheme="majorHAnsi" w:cstheme="minorHAnsi"/>
          <w:lang w:val="en"/>
        </w:rPr>
      </w:pPr>
      <w:r w:rsidRPr="00B43D00">
        <w:rPr>
          <w:rFonts w:asciiTheme="majorHAnsi" w:hAnsiTheme="majorHAnsi" w:cstheme="minorHAnsi"/>
          <w:lang w:val="en"/>
        </w:rPr>
        <w:t xml:space="preserve">At baseline, 88%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1 month, 94%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w:t>
      </w:r>
      <w:proofErr w:type="gramStart"/>
      <w:r w:rsidRPr="00B43D00">
        <w:rPr>
          <w:rFonts w:asciiTheme="majorHAnsi" w:hAnsiTheme="majorHAnsi" w:cstheme="minorHAnsi"/>
          <w:lang w:val="en"/>
        </w:rPr>
        <w:t>3  month</w:t>
      </w:r>
      <w:proofErr w:type="gramEnd"/>
      <w:r w:rsidRPr="00B43D00">
        <w:rPr>
          <w:rFonts w:asciiTheme="majorHAnsi" w:hAnsiTheme="majorHAnsi" w:cstheme="minorHAnsi"/>
          <w:lang w:val="en"/>
        </w:rPr>
        <w:t xml:space="preserve">, 90%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4 month and 90%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were classified as “fully active” by the WHO performance status scale (Status=0). Eleven percent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1 month, 6%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3 month, 10%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4 month and 7%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were “restricted in strenuous activity but ambulatory and able to carry out work of a light or sedentary nature” (Status=1). Three percent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were classified as “ambulatory but unable to carry out work activities” (Status 2).</w:t>
      </w:r>
    </w:p>
    <w:p w14:paraId="31BAFFC6" w14:textId="5F763BB2" w:rsidR="004F1932" w:rsidRPr="00B43D00" w:rsidRDefault="004F1932" w:rsidP="00B43D00">
      <w:pPr>
        <w:rPr>
          <w:rFonts w:asciiTheme="majorHAnsi" w:hAnsiTheme="majorHAnsi" w:cstheme="minorHAnsi"/>
          <w:lang w:val="en"/>
        </w:rPr>
      </w:pPr>
      <w:r w:rsidRPr="00B43D00">
        <w:rPr>
          <w:rFonts w:asciiTheme="majorHAnsi" w:hAnsiTheme="majorHAnsi" w:cstheme="minorHAnsi"/>
          <w:lang w:val="en"/>
        </w:rPr>
        <w:t xml:space="preserve">These percentages were unchanged at month 6 for </w:t>
      </w:r>
      <w:r w:rsidR="00CA0019">
        <w:rPr>
          <w:rFonts w:asciiTheme="majorHAnsi" w:hAnsiTheme="majorHAnsi" w:cstheme="minorHAnsi"/>
          <w:lang w:val="en"/>
        </w:rPr>
        <w:t>ELIGARD</w:t>
      </w:r>
      <w:r w:rsidRPr="00B43D00">
        <w:rPr>
          <w:rFonts w:asciiTheme="majorHAnsi" w:hAnsiTheme="majorHAnsi" w:cstheme="minorHAnsi"/>
          <w:lang w:val="en"/>
        </w:rPr>
        <w:t xml:space="preserve"> 1 month. At month 6, 96%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3 month, 87%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4 month at month 8 and 94%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at month 12 were classified as “fully active” by the WHO performance status scale (Status=0). Four percent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3 month at month 6, 12%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4 month at month 8 and 5%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at month 12 were “restricted in strenuous activity but ambulatory and able to carry out work of a light or sedentary nature” (Status=1). One percent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4 month at month 8 and 1% of patients using </w:t>
      </w:r>
      <w:r w:rsidR="00CA0019">
        <w:rPr>
          <w:rFonts w:asciiTheme="majorHAnsi" w:hAnsiTheme="majorHAnsi" w:cstheme="minorHAnsi"/>
          <w:lang w:val="en"/>
        </w:rPr>
        <w:t>ELIGARD</w:t>
      </w:r>
      <w:r w:rsidRPr="00B43D00">
        <w:rPr>
          <w:rFonts w:asciiTheme="majorHAnsi" w:hAnsiTheme="majorHAnsi" w:cstheme="minorHAnsi"/>
          <w:lang w:val="en"/>
        </w:rPr>
        <w:t xml:space="preserve"> 6 month at month 12 were “ambulatory but unable to carry out work activities” (Status 2).</w:t>
      </w:r>
    </w:p>
    <w:p w14:paraId="24560067" w14:textId="6F8B1445" w:rsidR="004F1932" w:rsidRPr="00B43D00" w:rsidRDefault="004F1932" w:rsidP="00B43D00">
      <w:pPr>
        <w:rPr>
          <w:rFonts w:asciiTheme="majorHAnsi" w:hAnsiTheme="majorHAnsi" w:cstheme="minorHAnsi"/>
          <w:lang w:val="en"/>
        </w:rPr>
      </w:pPr>
      <w:r w:rsidRPr="00B43D00">
        <w:rPr>
          <w:rFonts w:asciiTheme="majorHAnsi" w:hAnsiTheme="majorHAnsi" w:cstheme="minorHAnsi"/>
          <w:lang w:val="en"/>
        </w:rPr>
        <w:t xml:space="preserve">At baseline and at month 6 for </w:t>
      </w:r>
      <w:r w:rsidR="00CA0019">
        <w:rPr>
          <w:rFonts w:asciiTheme="majorHAnsi" w:hAnsiTheme="majorHAnsi" w:cstheme="minorHAnsi"/>
          <w:lang w:val="en"/>
        </w:rPr>
        <w:t>ELIGARD</w:t>
      </w:r>
      <w:r w:rsidRPr="00B43D00">
        <w:rPr>
          <w:rFonts w:asciiTheme="majorHAnsi" w:hAnsiTheme="majorHAnsi" w:cstheme="minorHAnsi"/>
          <w:lang w:val="en"/>
        </w:rPr>
        <w:t xml:space="preserve"> 1 month and </w:t>
      </w:r>
      <w:r w:rsidR="00CA0019">
        <w:rPr>
          <w:rFonts w:asciiTheme="majorHAnsi" w:hAnsiTheme="majorHAnsi" w:cstheme="minorHAnsi"/>
          <w:lang w:val="en"/>
        </w:rPr>
        <w:t>ELIGARD</w:t>
      </w:r>
      <w:r w:rsidRPr="00B43D00">
        <w:rPr>
          <w:rFonts w:asciiTheme="majorHAnsi" w:hAnsiTheme="majorHAnsi" w:cstheme="minorHAnsi"/>
          <w:lang w:val="en"/>
        </w:rPr>
        <w:t xml:space="preserve"> 3 month, at month 8 for </w:t>
      </w:r>
      <w:r w:rsidR="00CA0019">
        <w:rPr>
          <w:rFonts w:asciiTheme="majorHAnsi" w:hAnsiTheme="majorHAnsi" w:cstheme="minorHAnsi"/>
          <w:lang w:val="en"/>
        </w:rPr>
        <w:t>ELIGARD</w:t>
      </w:r>
      <w:r w:rsidRPr="00B43D00">
        <w:rPr>
          <w:rFonts w:asciiTheme="majorHAnsi" w:hAnsiTheme="majorHAnsi" w:cstheme="minorHAnsi"/>
          <w:lang w:val="en"/>
        </w:rPr>
        <w:t xml:space="preserve"> 4 month and at month 12 for </w:t>
      </w:r>
      <w:r w:rsidR="00CA0019">
        <w:rPr>
          <w:rFonts w:asciiTheme="majorHAnsi" w:hAnsiTheme="majorHAnsi" w:cstheme="minorHAnsi"/>
          <w:lang w:val="en"/>
        </w:rPr>
        <w:t>ELIGARD</w:t>
      </w:r>
      <w:r w:rsidRPr="00B43D00">
        <w:rPr>
          <w:rFonts w:asciiTheme="majorHAnsi" w:hAnsiTheme="majorHAnsi" w:cstheme="minorHAnsi"/>
          <w:lang w:val="en"/>
        </w:rPr>
        <w:t xml:space="preserve"> 6 month, patients experienced little bone pain. Urinary pain was also low both at baseline and at month 6, 8 or 12, respectively. Urinary signs and symptoms were similarly low at baseline and decreased modestly for </w:t>
      </w:r>
      <w:r w:rsidR="00CA0019">
        <w:rPr>
          <w:rFonts w:asciiTheme="majorHAnsi" w:hAnsiTheme="majorHAnsi" w:cstheme="minorHAnsi"/>
          <w:lang w:val="en"/>
        </w:rPr>
        <w:t>ELIGARD</w:t>
      </w:r>
      <w:r w:rsidRPr="00B43D00">
        <w:rPr>
          <w:rFonts w:asciiTheme="majorHAnsi" w:hAnsiTheme="majorHAnsi" w:cstheme="minorHAnsi"/>
          <w:lang w:val="en"/>
        </w:rPr>
        <w:t xml:space="preserve"> 1 month, </w:t>
      </w:r>
      <w:r w:rsidR="00CA0019">
        <w:rPr>
          <w:rFonts w:asciiTheme="majorHAnsi" w:hAnsiTheme="majorHAnsi" w:cstheme="minorHAnsi"/>
          <w:lang w:val="en"/>
        </w:rPr>
        <w:t>ELIGARD</w:t>
      </w:r>
      <w:r w:rsidRPr="00B43D00">
        <w:rPr>
          <w:rFonts w:asciiTheme="majorHAnsi" w:hAnsiTheme="majorHAnsi" w:cstheme="minorHAnsi"/>
          <w:lang w:val="en"/>
        </w:rPr>
        <w:t xml:space="preserve"> 4 month, and </w:t>
      </w:r>
      <w:r w:rsidR="00CA0019">
        <w:rPr>
          <w:rFonts w:asciiTheme="majorHAnsi" w:hAnsiTheme="majorHAnsi" w:cstheme="minorHAnsi"/>
          <w:lang w:val="en"/>
        </w:rPr>
        <w:t>ELIGARD</w:t>
      </w:r>
      <w:r w:rsidRPr="00B43D00">
        <w:rPr>
          <w:rFonts w:asciiTheme="majorHAnsi" w:hAnsiTheme="majorHAnsi" w:cstheme="minorHAnsi"/>
          <w:lang w:val="en"/>
        </w:rPr>
        <w:t xml:space="preserve"> 6 month at month 6, 8 or 12, respectively. Urinary signs and symptoms were similarly low at baseline and increase modestly for </w:t>
      </w:r>
      <w:r w:rsidR="00CA0019">
        <w:rPr>
          <w:rFonts w:asciiTheme="majorHAnsi" w:hAnsiTheme="majorHAnsi" w:cstheme="minorHAnsi"/>
          <w:lang w:val="en"/>
        </w:rPr>
        <w:t>ELIGARD</w:t>
      </w:r>
      <w:r w:rsidRPr="00B43D00">
        <w:rPr>
          <w:rFonts w:asciiTheme="majorHAnsi" w:hAnsiTheme="majorHAnsi" w:cstheme="minorHAnsi"/>
          <w:lang w:val="en"/>
        </w:rPr>
        <w:t xml:space="preserve"> 3 month at month 6. In addition, there was a reduction in patients with prostate abnormalities detected during physical exam from 102 (85%) at Screening to 77 (64%) at month 6 for </w:t>
      </w:r>
      <w:r w:rsidR="00CA0019">
        <w:rPr>
          <w:rFonts w:asciiTheme="majorHAnsi" w:hAnsiTheme="majorHAnsi" w:cstheme="minorHAnsi"/>
          <w:lang w:val="en"/>
        </w:rPr>
        <w:t>ELIGARD</w:t>
      </w:r>
      <w:r w:rsidRPr="00B43D00">
        <w:rPr>
          <w:rFonts w:asciiTheme="majorHAnsi" w:hAnsiTheme="majorHAnsi" w:cstheme="minorHAnsi"/>
          <w:lang w:val="en"/>
        </w:rPr>
        <w:t xml:space="preserve"> 1 month, from 96 (82%) at Screening to 76 (65%) at month 6 for </w:t>
      </w:r>
      <w:r w:rsidR="00CA0019">
        <w:rPr>
          <w:rFonts w:asciiTheme="majorHAnsi" w:hAnsiTheme="majorHAnsi" w:cstheme="minorHAnsi"/>
          <w:lang w:val="en"/>
        </w:rPr>
        <w:t>ELIGARD</w:t>
      </w:r>
      <w:r w:rsidRPr="00B43D00">
        <w:rPr>
          <w:rFonts w:asciiTheme="majorHAnsi" w:hAnsiTheme="majorHAnsi" w:cstheme="minorHAnsi"/>
          <w:lang w:val="en"/>
        </w:rPr>
        <w:t xml:space="preserve"> 3 month, from 66 (73%) at Screening to 54 (60%) at month 8 for </w:t>
      </w:r>
      <w:r w:rsidR="00CA0019">
        <w:rPr>
          <w:rFonts w:asciiTheme="majorHAnsi" w:hAnsiTheme="majorHAnsi" w:cstheme="minorHAnsi"/>
          <w:lang w:val="en"/>
        </w:rPr>
        <w:t>ELIGARD</w:t>
      </w:r>
      <w:r w:rsidRPr="00B43D00">
        <w:rPr>
          <w:rFonts w:asciiTheme="majorHAnsi" w:hAnsiTheme="majorHAnsi" w:cstheme="minorHAnsi"/>
          <w:lang w:val="en"/>
        </w:rPr>
        <w:t xml:space="preserve"> 4 month and from 89 (80%) at Screening to 60 (58%) at month 12 for </w:t>
      </w:r>
      <w:r w:rsidR="00CA0019">
        <w:rPr>
          <w:rFonts w:asciiTheme="majorHAnsi" w:hAnsiTheme="majorHAnsi" w:cstheme="minorHAnsi"/>
          <w:lang w:val="en"/>
        </w:rPr>
        <w:t>ELIGARD</w:t>
      </w:r>
      <w:r w:rsidRPr="00B43D00">
        <w:rPr>
          <w:rFonts w:asciiTheme="majorHAnsi" w:hAnsiTheme="majorHAnsi" w:cstheme="minorHAnsi"/>
          <w:lang w:val="en"/>
        </w:rPr>
        <w:t xml:space="preserve"> 6 </w:t>
      </w:r>
      <w:r w:rsidR="00B43D00">
        <w:rPr>
          <w:rFonts w:asciiTheme="majorHAnsi" w:hAnsiTheme="majorHAnsi" w:cstheme="minorHAnsi"/>
          <w:lang w:val="en"/>
        </w:rPr>
        <w:t>month.</w:t>
      </w:r>
    </w:p>
    <w:p w14:paraId="125A479D" w14:textId="169801A5" w:rsidR="004F1932" w:rsidRPr="001D22B2" w:rsidRDefault="00CA0019" w:rsidP="00E40ADF">
      <w:pPr>
        <w:pStyle w:val="Heading4"/>
        <w:numPr>
          <w:ilvl w:val="0"/>
          <w:numId w:val="0"/>
        </w:numPr>
        <w:rPr>
          <w:rFonts w:cs="Arial"/>
        </w:rPr>
      </w:pPr>
      <w:r>
        <w:rPr>
          <w:spacing w:val="-1"/>
        </w:rPr>
        <w:t>ELIGARD</w:t>
      </w:r>
      <w:r w:rsidR="004F1932" w:rsidRPr="001D22B2">
        <w:rPr>
          <w:spacing w:val="21"/>
          <w:position w:val="11"/>
          <w:sz w:val="16"/>
        </w:rPr>
        <w:t xml:space="preserve"> </w:t>
      </w:r>
      <w:r w:rsidR="004F1932" w:rsidRPr="001D22B2">
        <w:t>in combination with radiotherapy</w:t>
      </w:r>
      <w:r w:rsidR="004F1932">
        <w:t xml:space="preserve"> </w:t>
      </w:r>
    </w:p>
    <w:p w14:paraId="5EFEB219" w14:textId="39748989" w:rsidR="004F1932" w:rsidRPr="00B43D00" w:rsidRDefault="004F1932" w:rsidP="00B43D00">
      <w:pPr>
        <w:rPr>
          <w:rFonts w:asciiTheme="majorHAnsi" w:hAnsiTheme="majorHAnsi" w:cstheme="minorHAnsi"/>
          <w:lang w:val="en"/>
        </w:rPr>
      </w:pPr>
      <w:r w:rsidRPr="00B43D00">
        <w:rPr>
          <w:rFonts w:asciiTheme="majorHAnsi" w:hAnsiTheme="majorHAnsi" w:cstheme="minorHAnsi"/>
          <w:lang w:val="en"/>
        </w:rPr>
        <w:t xml:space="preserve">Evidence for the indication of high-risk </w:t>
      </w:r>
      <w:proofErr w:type="spellStart"/>
      <w:r w:rsidRPr="00B43D00">
        <w:rPr>
          <w:rFonts w:asciiTheme="majorHAnsi" w:hAnsiTheme="majorHAnsi" w:cstheme="minorHAnsi"/>
          <w:lang w:val="en"/>
        </w:rPr>
        <w:t>localised</w:t>
      </w:r>
      <w:proofErr w:type="spellEnd"/>
      <w:r w:rsidRPr="00B43D00">
        <w:rPr>
          <w:rFonts w:asciiTheme="majorHAnsi" w:hAnsiTheme="majorHAnsi" w:cstheme="minorHAnsi"/>
          <w:lang w:val="en"/>
        </w:rPr>
        <w:t xml:space="preserve"> prostate cancer is based on published studies of radiotherapy combined with androgen deprivation therapy (ADT). The ADT included LH-RH </w:t>
      </w:r>
      <w:r w:rsidRPr="00B43D00">
        <w:rPr>
          <w:rFonts w:asciiTheme="majorHAnsi" w:hAnsiTheme="majorHAnsi" w:cstheme="minorHAnsi"/>
          <w:lang w:val="en"/>
        </w:rPr>
        <w:lastRenderedPageBreak/>
        <w:t>agonists, including leuprorelin acetate given at various dosing regimens in the neoadjuvant, concomitant and adjuvant settings, but also clinical experience of nonsteroidal antiandrogens a</w:t>
      </w:r>
      <w:r w:rsidR="00B43D00">
        <w:rPr>
          <w:rFonts w:asciiTheme="majorHAnsi" w:hAnsiTheme="majorHAnsi" w:cstheme="minorHAnsi"/>
          <w:lang w:val="en"/>
        </w:rPr>
        <w:t xml:space="preserve">s well as surgical castration. </w:t>
      </w:r>
    </w:p>
    <w:p w14:paraId="56F12976" w14:textId="59FF11AC" w:rsidR="0077502F" w:rsidRDefault="004F1932" w:rsidP="00B43D00">
      <w:pPr>
        <w:rPr>
          <w:rFonts w:asciiTheme="majorHAnsi" w:hAnsiTheme="majorHAnsi" w:cstheme="minorHAnsi"/>
          <w:lang w:val="en"/>
        </w:rPr>
      </w:pPr>
      <w:r w:rsidRPr="00B43D00">
        <w:rPr>
          <w:rFonts w:asciiTheme="majorHAnsi" w:hAnsiTheme="majorHAnsi" w:cstheme="minorHAnsi"/>
          <w:lang w:val="en"/>
        </w:rPr>
        <w:t xml:space="preserve">Clinical data from 8 published studies was </w:t>
      </w:r>
      <w:proofErr w:type="spellStart"/>
      <w:r w:rsidRPr="00B43D00">
        <w:rPr>
          <w:rFonts w:asciiTheme="majorHAnsi" w:hAnsiTheme="majorHAnsi" w:cstheme="minorHAnsi"/>
          <w:lang w:val="en"/>
        </w:rPr>
        <w:t>analysed</w:t>
      </w:r>
      <w:proofErr w:type="spellEnd"/>
      <w:r w:rsidRPr="00B43D00">
        <w:rPr>
          <w:rFonts w:asciiTheme="majorHAnsi" w:hAnsiTheme="majorHAnsi" w:cstheme="minorHAnsi"/>
          <w:lang w:val="en"/>
        </w:rPr>
        <w:t xml:space="preserve"> for efficacy (</w:t>
      </w:r>
      <w:proofErr w:type="spellStart"/>
      <w:r w:rsidRPr="00B43D00">
        <w:rPr>
          <w:rFonts w:asciiTheme="majorHAnsi" w:hAnsiTheme="majorHAnsi" w:cstheme="minorHAnsi"/>
          <w:lang w:val="en"/>
        </w:rPr>
        <w:t>Mottet</w:t>
      </w:r>
      <w:proofErr w:type="spellEnd"/>
      <w:r w:rsidRPr="00B43D00">
        <w:rPr>
          <w:rFonts w:asciiTheme="majorHAnsi" w:hAnsiTheme="majorHAnsi" w:cstheme="minorHAnsi"/>
          <w:lang w:val="en"/>
        </w:rPr>
        <w:t xml:space="preserve"> et al., Eur Urol. 2012, </w:t>
      </w:r>
      <w:proofErr w:type="spellStart"/>
      <w:r w:rsidRPr="00B43D00">
        <w:rPr>
          <w:rFonts w:asciiTheme="majorHAnsi" w:hAnsiTheme="majorHAnsi" w:cstheme="minorHAnsi"/>
          <w:lang w:val="en"/>
        </w:rPr>
        <w:t>Widmark</w:t>
      </w:r>
      <w:proofErr w:type="spellEnd"/>
      <w:r w:rsidRPr="00B43D00">
        <w:rPr>
          <w:rFonts w:asciiTheme="majorHAnsi" w:hAnsiTheme="majorHAnsi" w:cstheme="minorHAnsi"/>
          <w:lang w:val="en"/>
        </w:rPr>
        <w:t xml:space="preserve"> et al., Lancet 2009, </w:t>
      </w:r>
      <w:proofErr w:type="spellStart"/>
      <w:r w:rsidRPr="00B43D00">
        <w:rPr>
          <w:rFonts w:asciiTheme="majorHAnsi" w:hAnsiTheme="majorHAnsi" w:cstheme="minorHAnsi"/>
          <w:lang w:val="en"/>
        </w:rPr>
        <w:t>Heymann</w:t>
      </w:r>
      <w:proofErr w:type="spellEnd"/>
      <w:r w:rsidRPr="00B43D00">
        <w:rPr>
          <w:rFonts w:asciiTheme="majorHAnsi" w:hAnsiTheme="majorHAnsi" w:cstheme="minorHAnsi"/>
          <w:lang w:val="en"/>
        </w:rPr>
        <w:t xml:space="preserve"> et al., J Clin Oncol. 2007, Solberg et al., I J Radiation Oncol. Biol. Phys. 2011, Nguyen et al., Cancer 2013, Stone et al., Mol Urol. 2000, Stone et al., Mol Urol. 1999, </w:t>
      </w:r>
      <w:proofErr w:type="spellStart"/>
      <w:r w:rsidRPr="00B43D00">
        <w:rPr>
          <w:rFonts w:asciiTheme="majorHAnsi" w:hAnsiTheme="majorHAnsi" w:cstheme="minorHAnsi"/>
          <w:lang w:val="en"/>
        </w:rPr>
        <w:t>Zelefsky</w:t>
      </w:r>
      <w:proofErr w:type="spellEnd"/>
      <w:r w:rsidRPr="00B43D00">
        <w:rPr>
          <w:rFonts w:asciiTheme="majorHAnsi" w:hAnsiTheme="majorHAnsi" w:cstheme="minorHAnsi"/>
          <w:lang w:val="en"/>
        </w:rPr>
        <w:t xml:space="preserve"> et al., Urology 1997) which demonstrated a clinical benefit for the combination of ADT with radiotherapy, compared to ADT alone. Clear differentiation of the respective study populations for the indications of locally advanced prostate cancer and high-risk prostate cancer was not possible</w:t>
      </w:r>
      <w:r w:rsidR="00B43D00">
        <w:rPr>
          <w:rFonts w:asciiTheme="majorHAnsi" w:hAnsiTheme="majorHAnsi" w:cstheme="minorHAnsi"/>
          <w:lang w:val="en"/>
        </w:rPr>
        <w:t xml:space="preserve"> in all the published studies. </w:t>
      </w:r>
    </w:p>
    <w:p w14:paraId="2955C7A2" w14:textId="5282D37B" w:rsidR="00F4019F" w:rsidRPr="00416773" w:rsidRDefault="00013796" w:rsidP="00272DC2">
      <w:pPr>
        <w:pStyle w:val="Heading3"/>
        <w:numPr>
          <w:ilvl w:val="0"/>
          <w:numId w:val="0"/>
        </w:numPr>
        <w:rPr>
          <w:i/>
          <w:iCs/>
        </w:rPr>
      </w:pPr>
      <w:r w:rsidRPr="00416773">
        <w:rPr>
          <w:b w:val="0"/>
          <w:bCs w:val="0"/>
          <w:i/>
          <w:iCs/>
        </w:rPr>
        <w:t xml:space="preserve"> Central Precocious Puberty  </w:t>
      </w:r>
    </w:p>
    <w:p w14:paraId="55F5FE41" w14:textId="4E1CDED3" w:rsidR="00F4019F" w:rsidRDefault="00F4019F" w:rsidP="00B43D00">
      <w:pPr>
        <w:rPr>
          <w:rFonts w:asciiTheme="majorHAnsi" w:hAnsiTheme="majorHAnsi" w:cstheme="minorHAnsi"/>
          <w:lang w:val="en"/>
        </w:rPr>
      </w:pPr>
      <w:r w:rsidRPr="00F4019F">
        <w:rPr>
          <w:rFonts w:asciiTheme="majorHAnsi" w:hAnsiTheme="majorHAnsi" w:cstheme="minorHAnsi"/>
          <w:lang w:val="en"/>
        </w:rPr>
        <w:t xml:space="preserve">The efficacy of </w:t>
      </w:r>
      <w:r w:rsidR="005D61B0" w:rsidRPr="005D61B0">
        <w:rPr>
          <w:rFonts w:asciiTheme="majorHAnsi" w:hAnsiTheme="majorHAnsi" w:cstheme="minorHAnsi"/>
          <w:lang w:val="en"/>
        </w:rPr>
        <w:t>ELIGARD</w:t>
      </w:r>
      <w:r w:rsidRPr="00F4019F">
        <w:rPr>
          <w:rFonts w:asciiTheme="majorHAnsi" w:hAnsiTheme="majorHAnsi" w:cstheme="minorHAnsi"/>
          <w:lang w:val="en"/>
        </w:rPr>
        <w:t xml:space="preserve"> </w:t>
      </w:r>
      <w:r w:rsidR="003347AB">
        <w:rPr>
          <w:rFonts w:asciiTheme="majorHAnsi" w:hAnsiTheme="majorHAnsi" w:cstheme="minorHAnsi"/>
          <w:lang w:val="en"/>
        </w:rPr>
        <w:t xml:space="preserve">6 month </w:t>
      </w:r>
      <w:r w:rsidRPr="00F4019F">
        <w:rPr>
          <w:rFonts w:asciiTheme="majorHAnsi" w:hAnsiTheme="majorHAnsi" w:cstheme="minorHAnsi"/>
          <w:lang w:val="en"/>
        </w:rPr>
        <w:t xml:space="preserve">was evaluated in an uncontrolled, open-label, single arm clinical trial in which 64 </w:t>
      </w:r>
      <w:proofErr w:type="spellStart"/>
      <w:r w:rsidRPr="00F4019F">
        <w:rPr>
          <w:rFonts w:asciiTheme="majorHAnsi" w:hAnsiTheme="majorHAnsi" w:cstheme="minorHAnsi"/>
          <w:lang w:val="en"/>
        </w:rPr>
        <w:t>p</w:t>
      </w:r>
      <w:r w:rsidR="00B03408">
        <w:rPr>
          <w:rFonts w:asciiTheme="majorHAnsi" w:hAnsiTheme="majorHAnsi" w:cstheme="minorHAnsi"/>
          <w:lang w:val="en"/>
        </w:rPr>
        <w:t>a</w:t>
      </w:r>
      <w:r w:rsidRPr="00F4019F">
        <w:rPr>
          <w:rFonts w:asciiTheme="majorHAnsi" w:hAnsiTheme="majorHAnsi" w:cstheme="minorHAnsi"/>
          <w:lang w:val="en"/>
        </w:rPr>
        <w:t>ediatric</w:t>
      </w:r>
      <w:proofErr w:type="spellEnd"/>
      <w:r w:rsidRPr="00F4019F">
        <w:rPr>
          <w:rFonts w:asciiTheme="majorHAnsi" w:hAnsiTheme="majorHAnsi" w:cstheme="minorHAnsi"/>
          <w:lang w:val="en"/>
        </w:rPr>
        <w:t xml:space="preserve"> patients (62 females and 2 males, naïve to previous GnRH agonist treatment) with CPP received at least one dose of </w:t>
      </w:r>
      <w:r w:rsidR="00386B85" w:rsidRPr="005D61B0">
        <w:rPr>
          <w:rFonts w:asciiTheme="majorHAnsi" w:hAnsiTheme="majorHAnsi" w:cstheme="minorHAnsi"/>
          <w:lang w:val="en"/>
        </w:rPr>
        <w:t>ELIGARD</w:t>
      </w:r>
      <w:r w:rsidRPr="00F4019F">
        <w:rPr>
          <w:rFonts w:asciiTheme="majorHAnsi" w:hAnsiTheme="majorHAnsi" w:cstheme="minorHAnsi"/>
          <w:lang w:val="en"/>
        </w:rPr>
        <w:t xml:space="preserve"> </w:t>
      </w:r>
      <w:r w:rsidR="003347AB">
        <w:rPr>
          <w:rFonts w:asciiTheme="majorHAnsi" w:hAnsiTheme="majorHAnsi" w:cstheme="minorHAnsi"/>
          <w:lang w:val="en"/>
        </w:rPr>
        <w:t xml:space="preserve">6 month </w:t>
      </w:r>
      <w:r w:rsidRPr="00F4019F">
        <w:rPr>
          <w:rFonts w:asciiTheme="majorHAnsi" w:hAnsiTheme="majorHAnsi" w:cstheme="minorHAnsi"/>
          <w:lang w:val="en"/>
        </w:rPr>
        <w:t xml:space="preserve">at a dosing interval of 24 weeks and were observed for 12 months. The mean age was 7.5 years (range 4 to 9 years) at the start of treatment. In </w:t>
      </w:r>
      <w:proofErr w:type="spellStart"/>
      <w:r w:rsidRPr="00F4019F">
        <w:rPr>
          <w:rFonts w:asciiTheme="majorHAnsi" w:hAnsiTheme="majorHAnsi" w:cstheme="minorHAnsi"/>
          <w:lang w:val="en"/>
        </w:rPr>
        <w:t>p</w:t>
      </w:r>
      <w:r w:rsidR="00B03408">
        <w:rPr>
          <w:rFonts w:asciiTheme="majorHAnsi" w:hAnsiTheme="majorHAnsi" w:cstheme="minorHAnsi"/>
          <w:lang w:val="en"/>
        </w:rPr>
        <w:t>a</w:t>
      </w:r>
      <w:r w:rsidRPr="00F4019F">
        <w:rPr>
          <w:rFonts w:asciiTheme="majorHAnsi" w:hAnsiTheme="majorHAnsi" w:cstheme="minorHAnsi"/>
          <w:lang w:val="en"/>
        </w:rPr>
        <w:t>ediatric</w:t>
      </w:r>
      <w:proofErr w:type="spellEnd"/>
      <w:r w:rsidRPr="00F4019F">
        <w:rPr>
          <w:rFonts w:asciiTheme="majorHAnsi" w:hAnsiTheme="majorHAnsi" w:cstheme="minorHAnsi"/>
          <w:lang w:val="en"/>
        </w:rPr>
        <w:t xml:space="preserve"> patients with CPP, </w:t>
      </w:r>
      <w:r w:rsidR="00386B85" w:rsidRPr="005D61B0">
        <w:rPr>
          <w:rFonts w:asciiTheme="majorHAnsi" w:hAnsiTheme="majorHAnsi" w:cstheme="minorHAnsi"/>
          <w:lang w:val="en"/>
        </w:rPr>
        <w:t>ELIGARD</w:t>
      </w:r>
      <w:r w:rsidRPr="00F4019F">
        <w:rPr>
          <w:rFonts w:asciiTheme="majorHAnsi" w:hAnsiTheme="majorHAnsi" w:cstheme="minorHAnsi"/>
          <w:lang w:val="en"/>
        </w:rPr>
        <w:t xml:space="preserve"> reduced stimulated and basal gonadotropins to prepubertal levels. Suppression of peak stimulated LH concentrations to &lt;4 IU/L was achieved in 87% of </w:t>
      </w:r>
      <w:proofErr w:type="spellStart"/>
      <w:r w:rsidRPr="00F4019F">
        <w:rPr>
          <w:rFonts w:asciiTheme="majorHAnsi" w:hAnsiTheme="majorHAnsi" w:cstheme="minorHAnsi"/>
          <w:lang w:val="en"/>
        </w:rPr>
        <w:t>p</w:t>
      </w:r>
      <w:r w:rsidR="00B03408">
        <w:rPr>
          <w:rFonts w:asciiTheme="majorHAnsi" w:hAnsiTheme="majorHAnsi" w:cstheme="minorHAnsi"/>
          <w:lang w:val="en"/>
        </w:rPr>
        <w:t>a</w:t>
      </w:r>
      <w:r w:rsidRPr="00F4019F">
        <w:rPr>
          <w:rFonts w:asciiTheme="majorHAnsi" w:hAnsiTheme="majorHAnsi" w:cstheme="minorHAnsi"/>
          <w:lang w:val="en"/>
        </w:rPr>
        <w:t>ediatric</w:t>
      </w:r>
      <w:proofErr w:type="spellEnd"/>
      <w:r w:rsidRPr="00F4019F">
        <w:rPr>
          <w:rFonts w:asciiTheme="majorHAnsi" w:hAnsiTheme="majorHAnsi" w:cstheme="minorHAnsi"/>
          <w:lang w:val="en"/>
        </w:rPr>
        <w:t xml:space="preserve"> patients by month 6 and in 86% of patients by month 12. Suppression of </w:t>
      </w:r>
      <w:proofErr w:type="spellStart"/>
      <w:r w:rsidR="00B03408">
        <w:rPr>
          <w:rFonts w:asciiTheme="majorHAnsi" w:hAnsiTheme="majorHAnsi" w:cstheme="minorHAnsi"/>
          <w:lang w:val="en"/>
        </w:rPr>
        <w:t>oestradiol</w:t>
      </w:r>
      <w:proofErr w:type="spellEnd"/>
      <w:r w:rsidRPr="00F4019F">
        <w:rPr>
          <w:rFonts w:asciiTheme="majorHAnsi" w:hAnsiTheme="majorHAnsi" w:cstheme="minorHAnsi"/>
          <w:lang w:val="en"/>
        </w:rPr>
        <w:t xml:space="preserve"> or testosterone concentration to prepubertal levels at the 6-month assessment was achieved in 97% and 100% of patients, respectively. Suppression of </w:t>
      </w:r>
      <w:proofErr w:type="spellStart"/>
      <w:r w:rsidR="00B03408">
        <w:rPr>
          <w:rFonts w:asciiTheme="majorHAnsi" w:hAnsiTheme="majorHAnsi" w:cstheme="minorHAnsi"/>
          <w:lang w:val="en"/>
        </w:rPr>
        <w:t>oestradiol</w:t>
      </w:r>
      <w:proofErr w:type="spellEnd"/>
      <w:r w:rsidRPr="00F4019F">
        <w:rPr>
          <w:rFonts w:asciiTheme="majorHAnsi" w:hAnsiTheme="majorHAnsi" w:cstheme="minorHAnsi"/>
          <w:lang w:val="en"/>
        </w:rPr>
        <w:t xml:space="preserve"> or testosterone was maintained at the 12-month assessment with 98% (55/56 females) and 50% (1/2 males) maintaining suppression. </w:t>
      </w:r>
      <w:r w:rsidR="004357E5" w:rsidRPr="005D61B0">
        <w:rPr>
          <w:rFonts w:asciiTheme="majorHAnsi" w:hAnsiTheme="majorHAnsi" w:cstheme="minorHAnsi"/>
          <w:lang w:val="en"/>
        </w:rPr>
        <w:t>ELIGARD</w:t>
      </w:r>
      <w:r w:rsidRPr="00F4019F">
        <w:rPr>
          <w:rFonts w:asciiTheme="majorHAnsi" w:hAnsiTheme="majorHAnsi" w:cstheme="minorHAnsi"/>
          <w:lang w:val="en"/>
        </w:rPr>
        <w:t xml:space="preserve"> arrested or reversed progression of clinical signs of puberty with reductions in growth velocity and bone age. Mean growth velocity decreased from 8.9 ± 13.1 cm/</w:t>
      </w:r>
      <w:proofErr w:type="spellStart"/>
      <w:r w:rsidRPr="00F4019F">
        <w:rPr>
          <w:rFonts w:asciiTheme="majorHAnsi" w:hAnsiTheme="majorHAnsi" w:cstheme="minorHAnsi"/>
          <w:lang w:val="en"/>
        </w:rPr>
        <w:t>yr</w:t>
      </w:r>
      <w:proofErr w:type="spellEnd"/>
      <w:r w:rsidRPr="00F4019F">
        <w:rPr>
          <w:rFonts w:asciiTheme="majorHAnsi" w:hAnsiTheme="majorHAnsi" w:cstheme="minorHAnsi"/>
          <w:lang w:val="en"/>
        </w:rPr>
        <w:t xml:space="preserve"> at 1 month to 6.9 ± 3.1 cm/</w:t>
      </w:r>
      <w:proofErr w:type="spellStart"/>
      <w:r w:rsidRPr="00F4019F">
        <w:rPr>
          <w:rFonts w:asciiTheme="majorHAnsi" w:hAnsiTheme="majorHAnsi" w:cstheme="minorHAnsi"/>
          <w:lang w:val="en"/>
        </w:rPr>
        <w:t>yr</w:t>
      </w:r>
      <w:proofErr w:type="spellEnd"/>
      <w:r w:rsidRPr="00F4019F">
        <w:rPr>
          <w:rFonts w:asciiTheme="majorHAnsi" w:hAnsiTheme="majorHAnsi" w:cstheme="minorHAnsi"/>
          <w:lang w:val="en"/>
        </w:rPr>
        <w:t xml:space="preserve"> at 6 months and to 6.4 ± 1.9 cm/</w:t>
      </w:r>
      <w:proofErr w:type="spellStart"/>
      <w:r w:rsidRPr="00F4019F">
        <w:rPr>
          <w:rFonts w:asciiTheme="majorHAnsi" w:hAnsiTheme="majorHAnsi" w:cstheme="minorHAnsi"/>
          <w:lang w:val="en"/>
        </w:rPr>
        <w:t>yr</w:t>
      </w:r>
      <w:proofErr w:type="spellEnd"/>
      <w:r w:rsidRPr="00F4019F">
        <w:rPr>
          <w:rFonts w:asciiTheme="majorHAnsi" w:hAnsiTheme="majorHAnsi" w:cstheme="minorHAnsi"/>
          <w:lang w:val="en"/>
        </w:rPr>
        <w:t xml:space="preserve"> at 12 months.</w:t>
      </w:r>
    </w:p>
    <w:p w14:paraId="22977AF2" w14:textId="194F3670" w:rsidR="00F4019F" w:rsidRPr="005D61B0" w:rsidRDefault="00F4019F" w:rsidP="005D61B0">
      <w:pPr>
        <w:jc w:val="center"/>
        <w:rPr>
          <w:rFonts w:asciiTheme="majorHAnsi" w:hAnsiTheme="majorHAnsi" w:cstheme="minorHAnsi"/>
          <w:sz w:val="20"/>
          <w:szCs w:val="20"/>
          <w:vertAlign w:val="superscript"/>
        </w:rPr>
      </w:pPr>
      <w:r w:rsidRPr="00F4019F">
        <w:rPr>
          <w:rFonts w:asciiTheme="majorHAnsi" w:hAnsiTheme="majorHAnsi" w:cstheme="minorHAnsi"/>
          <w:b/>
          <w:bCs/>
          <w:sz w:val="20"/>
          <w:szCs w:val="20"/>
        </w:rPr>
        <w:t xml:space="preserve">Table </w:t>
      </w:r>
      <w:r w:rsidR="004F038A">
        <w:rPr>
          <w:rFonts w:asciiTheme="majorHAnsi" w:hAnsiTheme="majorHAnsi" w:cstheme="minorHAnsi"/>
          <w:b/>
          <w:bCs/>
          <w:sz w:val="20"/>
          <w:szCs w:val="20"/>
        </w:rPr>
        <w:t>6</w:t>
      </w:r>
      <w:r w:rsidRPr="00F4019F">
        <w:rPr>
          <w:rFonts w:asciiTheme="majorHAnsi" w:hAnsiTheme="majorHAnsi" w:cstheme="minorHAnsi"/>
          <w:b/>
          <w:bCs/>
          <w:sz w:val="20"/>
          <w:szCs w:val="20"/>
        </w:rPr>
        <w:t xml:space="preserve">: </w:t>
      </w:r>
      <w:r w:rsidRPr="00F4019F">
        <w:rPr>
          <w:rFonts w:asciiTheme="majorHAnsi" w:hAnsiTheme="majorHAnsi" w:cstheme="minorHAnsi"/>
          <w:sz w:val="20"/>
          <w:szCs w:val="20"/>
        </w:rPr>
        <w:t>Reproductive Hormone Levels in P</w:t>
      </w:r>
      <w:r w:rsidR="003347AB">
        <w:rPr>
          <w:rFonts w:asciiTheme="majorHAnsi" w:hAnsiTheme="majorHAnsi" w:cstheme="minorHAnsi"/>
          <w:sz w:val="20"/>
          <w:szCs w:val="20"/>
        </w:rPr>
        <w:t>a</w:t>
      </w:r>
      <w:r w:rsidRPr="00F4019F">
        <w:rPr>
          <w:rFonts w:asciiTheme="majorHAnsi" w:hAnsiTheme="majorHAnsi" w:cstheme="minorHAnsi"/>
          <w:sz w:val="20"/>
          <w:szCs w:val="20"/>
        </w:rPr>
        <w:t xml:space="preserve">ediatric Patients with CPP Treated with </w:t>
      </w:r>
      <w:r w:rsidR="00386B85" w:rsidRPr="00386B85">
        <w:rPr>
          <w:rFonts w:asciiTheme="majorHAnsi" w:hAnsiTheme="majorHAnsi" w:cstheme="minorHAnsi"/>
          <w:sz w:val="20"/>
          <w:szCs w:val="20"/>
          <w:lang w:val="en"/>
        </w:rPr>
        <w:t>ELIGARD</w:t>
      </w:r>
      <w:r w:rsidR="00386B85" w:rsidRPr="00386B85" w:rsidDel="00386B85">
        <w:rPr>
          <w:rFonts w:asciiTheme="majorHAnsi" w:hAnsiTheme="majorHAnsi"/>
          <w:i/>
          <w:sz w:val="20"/>
          <w:szCs w:val="20"/>
        </w:rPr>
        <w:t xml:space="preserve"> </w:t>
      </w:r>
      <w:r w:rsidRPr="00F4019F">
        <w:rPr>
          <w:rFonts w:asciiTheme="majorHAnsi" w:hAnsiTheme="majorHAnsi" w:cstheme="minorHAnsi"/>
          <w:sz w:val="20"/>
          <w:szCs w:val="20"/>
        </w:rPr>
        <w:t xml:space="preserve">45 mg Every 6 </w:t>
      </w:r>
      <w:proofErr w:type="spellStart"/>
      <w:r w:rsidRPr="00F4019F">
        <w:rPr>
          <w:rFonts w:asciiTheme="majorHAnsi" w:hAnsiTheme="majorHAnsi" w:cstheme="minorHAnsi"/>
          <w:sz w:val="20"/>
          <w:szCs w:val="20"/>
        </w:rPr>
        <w:t>Months</w:t>
      </w:r>
      <w:r w:rsidRPr="00F4019F">
        <w:rPr>
          <w:rFonts w:asciiTheme="majorHAnsi" w:hAnsiTheme="majorHAnsi" w:cstheme="minorHAnsi"/>
          <w:sz w:val="20"/>
          <w:szCs w:val="20"/>
          <w:vertAlign w:val="superscript"/>
        </w:rPr>
        <w:t>a</w:t>
      </w:r>
      <w:proofErr w:type="spellEnd"/>
    </w:p>
    <w:tbl>
      <w:tblPr>
        <w:tblW w:w="104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0"/>
        <w:gridCol w:w="1620"/>
        <w:gridCol w:w="1620"/>
        <w:gridCol w:w="1710"/>
        <w:gridCol w:w="1620"/>
      </w:tblGrid>
      <w:tr w:rsidR="00F4019F" w:rsidRPr="00F4019F" w14:paraId="1D4CDC47" w14:textId="77777777" w:rsidTr="00386B85">
        <w:trPr>
          <w:trHeight w:hRule="exact" w:val="242"/>
        </w:trPr>
        <w:tc>
          <w:tcPr>
            <w:tcW w:w="3870" w:type="dxa"/>
            <w:vMerge w:val="restart"/>
          </w:tcPr>
          <w:p w14:paraId="486D2683" w14:textId="77777777" w:rsidR="00F4019F" w:rsidRPr="00C15063" w:rsidRDefault="00F4019F" w:rsidP="00F4019F">
            <w:pPr>
              <w:rPr>
                <w:rFonts w:asciiTheme="majorHAnsi" w:hAnsiTheme="majorHAnsi" w:cstheme="minorHAnsi"/>
                <w:sz w:val="20"/>
                <w:szCs w:val="20"/>
              </w:rPr>
            </w:pPr>
          </w:p>
          <w:p w14:paraId="1E6B4AC8" w14:textId="77777777" w:rsidR="00F4019F" w:rsidRPr="00C15063" w:rsidRDefault="00F4019F" w:rsidP="00F4019F">
            <w:pPr>
              <w:rPr>
                <w:rFonts w:asciiTheme="majorHAnsi" w:hAnsiTheme="majorHAnsi" w:cstheme="minorHAnsi"/>
                <w:sz w:val="20"/>
                <w:szCs w:val="20"/>
              </w:rPr>
            </w:pPr>
            <w:proofErr w:type="spellStart"/>
            <w:r w:rsidRPr="00C15063">
              <w:rPr>
                <w:rFonts w:asciiTheme="majorHAnsi" w:hAnsiTheme="majorHAnsi" w:cstheme="minorHAnsi"/>
                <w:b/>
                <w:bCs/>
                <w:sz w:val="20"/>
                <w:szCs w:val="20"/>
              </w:rPr>
              <w:t>Endpoint</w:t>
            </w:r>
            <w:r w:rsidRPr="00C15063">
              <w:rPr>
                <w:rFonts w:asciiTheme="majorHAnsi" w:hAnsiTheme="majorHAnsi" w:cstheme="minorHAnsi"/>
                <w:b/>
                <w:bCs/>
                <w:sz w:val="20"/>
                <w:szCs w:val="20"/>
                <w:vertAlign w:val="superscript"/>
              </w:rPr>
              <w:t>b</w:t>
            </w:r>
            <w:proofErr w:type="spellEnd"/>
          </w:p>
        </w:tc>
        <w:tc>
          <w:tcPr>
            <w:tcW w:w="6570" w:type="dxa"/>
            <w:gridSpan w:val="4"/>
          </w:tcPr>
          <w:p w14:paraId="1520904F" w14:textId="77777777" w:rsidR="00F4019F" w:rsidRPr="00C15063" w:rsidRDefault="00F4019F" w:rsidP="00BF3FBD">
            <w:pPr>
              <w:jc w:val="center"/>
              <w:rPr>
                <w:rFonts w:asciiTheme="majorHAnsi" w:hAnsiTheme="majorHAnsi" w:cstheme="minorHAnsi"/>
                <w:sz w:val="20"/>
                <w:szCs w:val="20"/>
              </w:rPr>
            </w:pPr>
            <w:r w:rsidRPr="00C15063">
              <w:rPr>
                <w:rFonts w:asciiTheme="majorHAnsi" w:hAnsiTheme="majorHAnsi" w:cstheme="minorHAnsi"/>
                <w:b/>
                <w:bCs/>
                <w:sz w:val="20"/>
                <w:szCs w:val="20"/>
              </w:rPr>
              <w:t>% (n/N) of Patients Achieving Endpoints</w:t>
            </w:r>
          </w:p>
        </w:tc>
      </w:tr>
      <w:tr w:rsidR="00F4019F" w:rsidRPr="00F4019F" w14:paraId="253EEAF8" w14:textId="77777777" w:rsidTr="00386B85">
        <w:trPr>
          <w:trHeight w:hRule="exact" w:val="667"/>
        </w:trPr>
        <w:tc>
          <w:tcPr>
            <w:tcW w:w="3870" w:type="dxa"/>
            <w:vMerge/>
          </w:tcPr>
          <w:p w14:paraId="28AB3E66" w14:textId="77777777" w:rsidR="00F4019F" w:rsidRPr="00DD2FBF" w:rsidRDefault="00F4019F" w:rsidP="00F4019F">
            <w:pPr>
              <w:rPr>
                <w:rFonts w:asciiTheme="majorHAnsi" w:hAnsiTheme="majorHAnsi" w:cstheme="minorHAnsi"/>
                <w:sz w:val="20"/>
                <w:szCs w:val="20"/>
              </w:rPr>
            </w:pPr>
          </w:p>
        </w:tc>
        <w:tc>
          <w:tcPr>
            <w:tcW w:w="1620" w:type="dxa"/>
          </w:tcPr>
          <w:p w14:paraId="4C85A825" w14:textId="77777777" w:rsidR="00F4019F" w:rsidRPr="00DD2FBF" w:rsidRDefault="00F4019F" w:rsidP="00F4019F">
            <w:pPr>
              <w:rPr>
                <w:rFonts w:asciiTheme="majorHAnsi" w:hAnsiTheme="majorHAnsi" w:cstheme="minorHAnsi"/>
                <w:sz w:val="20"/>
                <w:szCs w:val="20"/>
              </w:rPr>
            </w:pPr>
            <w:r w:rsidRPr="00DD2FBF">
              <w:rPr>
                <w:rFonts w:asciiTheme="majorHAnsi" w:hAnsiTheme="majorHAnsi" w:cstheme="minorHAnsi"/>
                <w:b/>
                <w:bCs/>
                <w:sz w:val="20"/>
                <w:szCs w:val="20"/>
              </w:rPr>
              <w:t>Month 3</w:t>
            </w:r>
          </w:p>
        </w:tc>
        <w:tc>
          <w:tcPr>
            <w:tcW w:w="1620" w:type="dxa"/>
          </w:tcPr>
          <w:p w14:paraId="3E906C28" w14:textId="77777777" w:rsidR="00F4019F" w:rsidRPr="00DD2FBF" w:rsidRDefault="00F4019F" w:rsidP="00F4019F">
            <w:pPr>
              <w:rPr>
                <w:rFonts w:asciiTheme="majorHAnsi" w:hAnsiTheme="majorHAnsi" w:cstheme="minorHAnsi"/>
                <w:sz w:val="20"/>
                <w:szCs w:val="20"/>
              </w:rPr>
            </w:pPr>
            <w:r w:rsidRPr="00DD2FBF">
              <w:rPr>
                <w:rFonts w:asciiTheme="majorHAnsi" w:hAnsiTheme="majorHAnsi" w:cstheme="minorHAnsi"/>
                <w:b/>
                <w:bCs/>
                <w:sz w:val="20"/>
                <w:szCs w:val="20"/>
              </w:rPr>
              <w:t>Month 6</w:t>
            </w:r>
          </w:p>
        </w:tc>
        <w:tc>
          <w:tcPr>
            <w:tcW w:w="1710" w:type="dxa"/>
          </w:tcPr>
          <w:p w14:paraId="459216C5" w14:textId="77777777" w:rsidR="00F4019F" w:rsidRPr="00DD2FBF" w:rsidRDefault="00F4019F" w:rsidP="00F4019F">
            <w:pPr>
              <w:rPr>
                <w:rFonts w:asciiTheme="majorHAnsi" w:hAnsiTheme="majorHAnsi" w:cstheme="minorHAnsi"/>
                <w:sz w:val="20"/>
                <w:szCs w:val="20"/>
              </w:rPr>
            </w:pPr>
            <w:r w:rsidRPr="00DD2FBF">
              <w:rPr>
                <w:rFonts w:asciiTheme="majorHAnsi" w:hAnsiTheme="majorHAnsi" w:cstheme="minorHAnsi"/>
                <w:b/>
                <w:bCs/>
                <w:sz w:val="20"/>
                <w:szCs w:val="20"/>
              </w:rPr>
              <w:t>Month 9</w:t>
            </w:r>
          </w:p>
        </w:tc>
        <w:tc>
          <w:tcPr>
            <w:tcW w:w="1620" w:type="dxa"/>
          </w:tcPr>
          <w:p w14:paraId="10804E0C" w14:textId="77777777" w:rsidR="00F4019F" w:rsidRPr="00DD2FBF" w:rsidRDefault="00F4019F" w:rsidP="00F4019F">
            <w:pPr>
              <w:rPr>
                <w:rFonts w:asciiTheme="majorHAnsi" w:hAnsiTheme="majorHAnsi" w:cstheme="minorHAnsi"/>
                <w:sz w:val="20"/>
                <w:szCs w:val="20"/>
              </w:rPr>
            </w:pPr>
            <w:r w:rsidRPr="00DD2FBF">
              <w:rPr>
                <w:rFonts w:asciiTheme="majorHAnsi" w:hAnsiTheme="majorHAnsi" w:cstheme="minorHAnsi"/>
                <w:b/>
                <w:bCs/>
                <w:sz w:val="20"/>
                <w:szCs w:val="20"/>
              </w:rPr>
              <w:t>Month 12</w:t>
            </w:r>
          </w:p>
        </w:tc>
      </w:tr>
      <w:tr w:rsidR="00F4019F" w:rsidRPr="00F4019F" w14:paraId="1509C5E8" w14:textId="77777777" w:rsidTr="00386B85">
        <w:trPr>
          <w:trHeight w:hRule="exact" w:val="281"/>
        </w:trPr>
        <w:tc>
          <w:tcPr>
            <w:tcW w:w="3870" w:type="dxa"/>
          </w:tcPr>
          <w:p w14:paraId="79C8DFF1"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LH levels &lt; 4 IU/L</w:t>
            </w:r>
          </w:p>
        </w:tc>
        <w:tc>
          <w:tcPr>
            <w:tcW w:w="1620" w:type="dxa"/>
          </w:tcPr>
          <w:p w14:paraId="2A441511"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85 (51/60)</w:t>
            </w:r>
          </w:p>
        </w:tc>
        <w:tc>
          <w:tcPr>
            <w:tcW w:w="1620" w:type="dxa"/>
          </w:tcPr>
          <w:p w14:paraId="10E8F20A"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87 (54/</w:t>
            </w:r>
            <w:proofErr w:type="gramStart"/>
            <w:r w:rsidRPr="00C15063">
              <w:rPr>
                <w:rFonts w:asciiTheme="majorHAnsi" w:hAnsiTheme="majorHAnsi" w:cstheme="minorHAnsi"/>
                <w:sz w:val="20"/>
                <w:szCs w:val="20"/>
              </w:rPr>
              <w:t>62)</w:t>
            </w:r>
            <w:r w:rsidRPr="00C15063">
              <w:rPr>
                <w:rFonts w:asciiTheme="majorHAnsi" w:hAnsiTheme="majorHAnsi" w:cstheme="minorHAnsi"/>
                <w:sz w:val="20"/>
                <w:szCs w:val="20"/>
                <w:vertAlign w:val="superscript"/>
              </w:rPr>
              <w:t>c</w:t>
            </w:r>
            <w:proofErr w:type="gramEnd"/>
          </w:p>
        </w:tc>
        <w:tc>
          <w:tcPr>
            <w:tcW w:w="1710" w:type="dxa"/>
          </w:tcPr>
          <w:p w14:paraId="539A1A56"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85 (50/59)</w:t>
            </w:r>
          </w:p>
        </w:tc>
        <w:tc>
          <w:tcPr>
            <w:tcW w:w="1620" w:type="dxa"/>
          </w:tcPr>
          <w:p w14:paraId="59F131A1"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86 (50/58)</w:t>
            </w:r>
          </w:p>
        </w:tc>
      </w:tr>
      <w:tr w:rsidR="00F4019F" w:rsidRPr="00F4019F" w14:paraId="07D57C85" w14:textId="77777777" w:rsidTr="00386B85">
        <w:trPr>
          <w:trHeight w:hRule="exact" w:val="280"/>
        </w:trPr>
        <w:tc>
          <w:tcPr>
            <w:tcW w:w="3870" w:type="dxa"/>
          </w:tcPr>
          <w:p w14:paraId="32FA15A5" w14:textId="5BCFAC20" w:rsidR="00F4019F" w:rsidRPr="00C15063" w:rsidRDefault="00B03408" w:rsidP="00F4019F">
            <w:pPr>
              <w:rPr>
                <w:rFonts w:asciiTheme="majorHAnsi" w:hAnsiTheme="majorHAnsi" w:cstheme="minorHAnsi"/>
                <w:sz w:val="20"/>
                <w:szCs w:val="20"/>
              </w:rPr>
            </w:pPr>
            <w:r>
              <w:rPr>
                <w:rFonts w:asciiTheme="majorHAnsi" w:hAnsiTheme="majorHAnsi" w:cstheme="minorHAnsi"/>
                <w:sz w:val="20"/>
                <w:szCs w:val="20"/>
              </w:rPr>
              <w:t>Oestradiol</w:t>
            </w:r>
            <w:r w:rsidR="00F4019F" w:rsidRPr="00C15063">
              <w:rPr>
                <w:rFonts w:asciiTheme="majorHAnsi" w:hAnsiTheme="majorHAnsi" w:cstheme="minorHAnsi"/>
                <w:sz w:val="20"/>
                <w:szCs w:val="20"/>
              </w:rPr>
              <w:t xml:space="preserve"> levels &lt; 73.4 </w:t>
            </w:r>
            <w:proofErr w:type="spellStart"/>
            <w:r w:rsidR="00F4019F" w:rsidRPr="00C15063">
              <w:rPr>
                <w:rFonts w:asciiTheme="majorHAnsi" w:hAnsiTheme="majorHAnsi" w:cstheme="minorHAnsi"/>
                <w:sz w:val="20"/>
                <w:szCs w:val="20"/>
              </w:rPr>
              <w:t>pmol</w:t>
            </w:r>
            <w:proofErr w:type="spellEnd"/>
            <w:r w:rsidR="00F4019F" w:rsidRPr="00C15063">
              <w:rPr>
                <w:rFonts w:asciiTheme="majorHAnsi" w:hAnsiTheme="majorHAnsi" w:cstheme="minorHAnsi"/>
                <w:sz w:val="20"/>
                <w:szCs w:val="20"/>
              </w:rPr>
              <w:t xml:space="preserve">/L (&lt; 20 </w:t>
            </w:r>
            <w:proofErr w:type="spellStart"/>
            <w:r w:rsidR="00F4019F" w:rsidRPr="00C15063">
              <w:rPr>
                <w:rFonts w:asciiTheme="majorHAnsi" w:hAnsiTheme="majorHAnsi" w:cstheme="minorHAnsi"/>
                <w:sz w:val="20"/>
                <w:szCs w:val="20"/>
              </w:rPr>
              <w:t>pg</w:t>
            </w:r>
            <w:proofErr w:type="spellEnd"/>
            <w:r w:rsidR="00F4019F" w:rsidRPr="00C15063">
              <w:rPr>
                <w:rFonts w:asciiTheme="majorHAnsi" w:hAnsiTheme="majorHAnsi" w:cstheme="minorHAnsi"/>
                <w:sz w:val="20"/>
                <w:szCs w:val="20"/>
              </w:rPr>
              <w:t>/mL)</w:t>
            </w:r>
          </w:p>
        </w:tc>
        <w:tc>
          <w:tcPr>
            <w:tcW w:w="1620" w:type="dxa"/>
          </w:tcPr>
          <w:p w14:paraId="3F1D35E8"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98 (56/57)</w:t>
            </w:r>
          </w:p>
        </w:tc>
        <w:tc>
          <w:tcPr>
            <w:tcW w:w="1620" w:type="dxa"/>
          </w:tcPr>
          <w:p w14:paraId="5EA9CC63"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97 (58/60)</w:t>
            </w:r>
          </w:p>
        </w:tc>
        <w:tc>
          <w:tcPr>
            <w:tcW w:w="1710" w:type="dxa"/>
          </w:tcPr>
          <w:p w14:paraId="3312DA44"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98 (56/57)</w:t>
            </w:r>
          </w:p>
        </w:tc>
        <w:tc>
          <w:tcPr>
            <w:tcW w:w="1620" w:type="dxa"/>
          </w:tcPr>
          <w:p w14:paraId="754C368C"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98 (55/56)</w:t>
            </w:r>
          </w:p>
        </w:tc>
      </w:tr>
      <w:tr w:rsidR="00F4019F" w:rsidRPr="00F4019F" w14:paraId="244685C6" w14:textId="77777777" w:rsidTr="00386B85">
        <w:trPr>
          <w:trHeight w:hRule="exact" w:val="280"/>
        </w:trPr>
        <w:tc>
          <w:tcPr>
            <w:tcW w:w="3870" w:type="dxa"/>
          </w:tcPr>
          <w:p w14:paraId="24169DE9"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Testosterone levels &lt; 1 nmol/L (&lt; 28.4 ng/dL)</w:t>
            </w:r>
          </w:p>
        </w:tc>
        <w:tc>
          <w:tcPr>
            <w:tcW w:w="1620" w:type="dxa"/>
          </w:tcPr>
          <w:p w14:paraId="12B4B1D7"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100 (2/2)</w:t>
            </w:r>
          </w:p>
        </w:tc>
        <w:tc>
          <w:tcPr>
            <w:tcW w:w="1620" w:type="dxa"/>
          </w:tcPr>
          <w:p w14:paraId="39172F71"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100 (2/2)</w:t>
            </w:r>
          </w:p>
        </w:tc>
        <w:tc>
          <w:tcPr>
            <w:tcW w:w="1710" w:type="dxa"/>
          </w:tcPr>
          <w:p w14:paraId="4983CD94"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100 (2/2)</w:t>
            </w:r>
          </w:p>
        </w:tc>
        <w:tc>
          <w:tcPr>
            <w:tcW w:w="1620" w:type="dxa"/>
          </w:tcPr>
          <w:p w14:paraId="60728433"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50 (1/2)</w:t>
            </w:r>
          </w:p>
        </w:tc>
      </w:tr>
      <w:tr w:rsidR="00F4019F" w:rsidRPr="00F4019F" w14:paraId="4C74FB6E" w14:textId="77777777" w:rsidTr="00386B85">
        <w:trPr>
          <w:trHeight w:hRule="exact" w:val="281"/>
        </w:trPr>
        <w:tc>
          <w:tcPr>
            <w:tcW w:w="3870" w:type="dxa"/>
          </w:tcPr>
          <w:p w14:paraId="4086D053"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FSH levels &lt; 2.5 IU/L</w:t>
            </w:r>
          </w:p>
        </w:tc>
        <w:tc>
          <w:tcPr>
            <w:tcW w:w="1620" w:type="dxa"/>
          </w:tcPr>
          <w:p w14:paraId="0EF2E05D"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62 (37/60)</w:t>
            </w:r>
          </w:p>
        </w:tc>
        <w:tc>
          <w:tcPr>
            <w:tcW w:w="1620" w:type="dxa"/>
          </w:tcPr>
          <w:p w14:paraId="16960BF5"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66 (41/62)</w:t>
            </w:r>
          </w:p>
        </w:tc>
        <w:tc>
          <w:tcPr>
            <w:tcW w:w="1710" w:type="dxa"/>
          </w:tcPr>
          <w:p w14:paraId="15556403"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44 (26/59)</w:t>
            </w:r>
          </w:p>
        </w:tc>
        <w:tc>
          <w:tcPr>
            <w:tcW w:w="1620" w:type="dxa"/>
          </w:tcPr>
          <w:p w14:paraId="07EA8ECD" w14:textId="77777777" w:rsidR="00F4019F" w:rsidRPr="00C15063" w:rsidRDefault="00F4019F" w:rsidP="00F4019F">
            <w:pPr>
              <w:rPr>
                <w:rFonts w:asciiTheme="majorHAnsi" w:hAnsiTheme="majorHAnsi" w:cstheme="minorHAnsi"/>
                <w:sz w:val="20"/>
                <w:szCs w:val="20"/>
              </w:rPr>
            </w:pPr>
            <w:r w:rsidRPr="00C15063">
              <w:rPr>
                <w:rFonts w:asciiTheme="majorHAnsi" w:hAnsiTheme="majorHAnsi" w:cstheme="minorHAnsi"/>
                <w:sz w:val="20"/>
                <w:szCs w:val="20"/>
              </w:rPr>
              <w:t>55(32/58)</w:t>
            </w:r>
          </w:p>
        </w:tc>
      </w:tr>
    </w:tbl>
    <w:p w14:paraId="3EDE8433" w14:textId="77777777" w:rsidR="00F4019F" w:rsidRPr="00AC4EBA" w:rsidRDefault="00F4019F" w:rsidP="001F2413">
      <w:pPr>
        <w:spacing w:before="120" w:after="0" w:line="240" w:lineRule="auto"/>
        <w:rPr>
          <w:rFonts w:asciiTheme="majorHAnsi" w:hAnsiTheme="majorHAnsi" w:cstheme="minorHAnsi"/>
          <w:sz w:val="20"/>
          <w:szCs w:val="20"/>
        </w:rPr>
      </w:pPr>
      <w:proofErr w:type="spellStart"/>
      <w:r w:rsidRPr="00AC4EBA">
        <w:rPr>
          <w:rFonts w:asciiTheme="majorHAnsi" w:hAnsiTheme="majorHAnsi" w:cstheme="minorHAnsi"/>
          <w:sz w:val="20"/>
          <w:szCs w:val="20"/>
          <w:vertAlign w:val="superscript"/>
        </w:rPr>
        <w:t>a</w:t>
      </w:r>
      <w:r w:rsidRPr="00AC4EBA">
        <w:rPr>
          <w:rFonts w:asciiTheme="majorHAnsi" w:hAnsiTheme="majorHAnsi" w:cstheme="minorHAnsi"/>
          <w:sz w:val="20"/>
          <w:szCs w:val="20"/>
        </w:rPr>
        <w:t>Intent</w:t>
      </w:r>
      <w:proofErr w:type="spellEnd"/>
      <w:r w:rsidRPr="00AC4EBA">
        <w:rPr>
          <w:rFonts w:asciiTheme="majorHAnsi" w:hAnsiTheme="majorHAnsi" w:cstheme="minorHAnsi"/>
          <w:sz w:val="20"/>
          <w:szCs w:val="20"/>
        </w:rPr>
        <w:t>-to-treat Population (N=62)</w:t>
      </w:r>
    </w:p>
    <w:p w14:paraId="79827F2D" w14:textId="77777777" w:rsidR="00F4019F" w:rsidRPr="00AC4EBA" w:rsidRDefault="00F4019F" w:rsidP="00AC4EBA">
      <w:pPr>
        <w:spacing w:after="0" w:line="240" w:lineRule="auto"/>
        <w:rPr>
          <w:rFonts w:asciiTheme="majorHAnsi" w:hAnsiTheme="majorHAnsi" w:cstheme="minorHAnsi"/>
          <w:sz w:val="20"/>
          <w:szCs w:val="20"/>
        </w:rPr>
      </w:pPr>
      <w:proofErr w:type="spellStart"/>
      <w:r w:rsidRPr="00AC4EBA">
        <w:rPr>
          <w:rFonts w:asciiTheme="majorHAnsi" w:hAnsiTheme="majorHAnsi" w:cstheme="minorHAnsi"/>
          <w:sz w:val="20"/>
          <w:szCs w:val="20"/>
          <w:vertAlign w:val="superscript"/>
        </w:rPr>
        <w:t>b</w:t>
      </w:r>
      <w:r w:rsidRPr="00AC4EBA">
        <w:rPr>
          <w:rFonts w:asciiTheme="majorHAnsi" w:hAnsiTheme="majorHAnsi" w:cstheme="minorHAnsi"/>
          <w:sz w:val="20"/>
          <w:szCs w:val="20"/>
        </w:rPr>
        <w:t>Post</w:t>
      </w:r>
      <w:proofErr w:type="spellEnd"/>
      <w:r w:rsidRPr="00AC4EBA">
        <w:rPr>
          <w:rFonts w:asciiTheme="majorHAnsi" w:hAnsiTheme="majorHAnsi" w:cstheme="minorHAnsi"/>
          <w:sz w:val="20"/>
          <w:szCs w:val="20"/>
        </w:rPr>
        <w:t xml:space="preserve"> GnRH agonist stimulation</w:t>
      </w:r>
    </w:p>
    <w:p w14:paraId="1E55DBB5" w14:textId="77777777" w:rsidR="00F4019F" w:rsidRPr="00AC4EBA" w:rsidRDefault="00F4019F" w:rsidP="00AC4EBA">
      <w:pPr>
        <w:spacing w:after="0" w:line="240" w:lineRule="auto"/>
        <w:rPr>
          <w:rFonts w:asciiTheme="majorHAnsi" w:hAnsiTheme="majorHAnsi" w:cstheme="minorHAnsi"/>
          <w:sz w:val="20"/>
          <w:szCs w:val="20"/>
        </w:rPr>
      </w:pPr>
      <w:proofErr w:type="spellStart"/>
      <w:r w:rsidRPr="00AC4EBA">
        <w:rPr>
          <w:rFonts w:asciiTheme="majorHAnsi" w:hAnsiTheme="majorHAnsi" w:cstheme="minorHAnsi"/>
          <w:sz w:val="20"/>
          <w:szCs w:val="20"/>
          <w:vertAlign w:val="superscript"/>
        </w:rPr>
        <w:t>c</w:t>
      </w:r>
      <w:r w:rsidRPr="00AC4EBA">
        <w:rPr>
          <w:rFonts w:asciiTheme="majorHAnsi" w:hAnsiTheme="majorHAnsi" w:cstheme="minorHAnsi"/>
          <w:sz w:val="20"/>
          <w:szCs w:val="20"/>
        </w:rPr>
        <w:t>Primary</w:t>
      </w:r>
      <w:proofErr w:type="spellEnd"/>
      <w:r w:rsidRPr="00AC4EBA">
        <w:rPr>
          <w:rFonts w:asciiTheme="majorHAnsi" w:hAnsiTheme="majorHAnsi" w:cstheme="minorHAnsi"/>
          <w:sz w:val="20"/>
          <w:szCs w:val="20"/>
        </w:rPr>
        <w:t xml:space="preserve"> Efficacy Endpoint</w:t>
      </w:r>
    </w:p>
    <w:p w14:paraId="5EDA7A0E" w14:textId="77777777" w:rsidR="00F4019F" w:rsidRPr="00F4019F" w:rsidRDefault="00F4019F" w:rsidP="00640DD5">
      <w:pPr>
        <w:spacing w:after="0" w:line="240" w:lineRule="auto"/>
        <w:rPr>
          <w:rFonts w:asciiTheme="majorHAnsi" w:hAnsiTheme="majorHAnsi" w:cstheme="minorHAnsi"/>
        </w:rPr>
      </w:pPr>
    </w:p>
    <w:p w14:paraId="764DC56D" w14:textId="4A9F88F2" w:rsidR="00F4019F" w:rsidRPr="00F4019F" w:rsidRDefault="00F4019F" w:rsidP="00F4019F">
      <w:pPr>
        <w:rPr>
          <w:rFonts w:asciiTheme="majorHAnsi" w:hAnsiTheme="majorHAnsi" w:cstheme="minorHAnsi"/>
        </w:rPr>
      </w:pPr>
      <w:r w:rsidRPr="00F4019F">
        <w:rPr>
          <w:rFonts w:asciiTheme="majorHAnsi" w:hAnsiTheme="majorHAnsi" w:cstheme="minorHAnsi"/>
        </w:rPr>
        <w:t xml:space="preserve">Eight female patients out of 62 did not meet the primary efficacy criteria for LH &lt;4 IU/L at 6 months. In four of the eight patients, the LH level at 6 months was between 4.2 and 4.8 IU/L. The remaining four patients had LH levels &gt;5 IU/L. However, post stimulation </w:t>
      </w:r>
      <w:r w:rsidR="00B03408">
        <w:rPr>
          <w:rFonts w:asciiTheme="majorHAnsi" w:hAnsiTheme="majorHAnsi" w:cstheme="minorHAnsi"/>
        </w:rPr>
        <w:t>oestradiol</w:t>
      </w:r>
      <w:r w:rsidRPr="00F4019F">
        <w:rPr>
          <w:rFonts w:asciiTheme="majorHAnsi" w:hAnsiTheme="majorHAnsi" w:cstheme="minorHAnsi"/>
        </w:rPr>
        <w:t xml:space="preserve"> was </w:t>
      </w:r>
      <w:r w:rsidRPr="00F4019F">
        <w:rPr>
          <w:rFonts w:asciiTheme="majorHAnsi" w:hAnsiTheme="majorHAnsi" w:cstheme="minorHAnsi"/>
        </w:rPr>
        <w:lastRenderedPageBreak/>
        <w:t xml:space="preserve">suppressed to prepubertal levels (&lt;20 </w:t>
      </w:r>
      <w:proofErr w:type="spellStart"/>
      <w:r w:rsidRPr="00F4019F">
        <w:rPr>
          <w:rFonts w:asciiTheme="majorHAnsi" w:hAnsiTheme="majorHAnsi" w:cstheme="minorHAnsi"/>
        </w:rPr>
        <w:t>pg</w:t>
      </w:r>
      <w:proofErr w:type="spellEnd"/>
      <w:r w:rsidRPr="00F4019F">
        <w:rPr>
          <w:rFonts w:asciiTheme="majorHAnsi" w:hAnsiTheme="majorHAnsi" w:cstheme="minorHAnsi"/>
        </w:rPr>
        <w:t>/mL)</w:t>
      </w:r>
      <w:r w:rsidR="00ED40B0">
        <w:rPr>
          <w:rFonts w:asciiTheme="majorHAnsi" w:hAnsiTheme="majorHAnsi" w:cstheme="minorHAnsi"/>
        </w:rPr>
        <w:t xml:space="preserve"> </w:t>
      </w:r>
      <w:r w:rsidRPr="00F4019F">
        <w:rPr>
          <w:rFonts w:asciiTheme="majorHAnsi" w:hAnsiTheme="majorHAnsi" w:cstheme="minorHAnsi"/>
        </w:rPr>
        <w:t>in seven of the eight patients at month 6 and was maintained through month 12.</w:t>
      </w:r>
    </w:p>
    <w:p w14:paraId="48474736" w14:textId="77777777" w:rsidR="00F4019F" w:rsidRDefault="00F4019F" w:rsidP="00B43D00">
      <w:pPr>
        <w:rPr>
          <w:rFonts w:asciiTheme="majorHAnsi" w:hAnsiTheme="majorHAnsi" w:cstheme="minorHAnsi"/>
          <w:lang w:val="en"/>
        </w:rPr>
      </w:pPr>
    </w:p>
    <w:p w14:paraId="0D11375A" w14:textId="77777777" w:rsidR="00F4019F" w:rsidRDefault="00F4019F" w:rsidP="00B43D00">
      <w:pPr>
        <w:rPr>
          <w:rFonts w:asciiTheme="majorHAnsi" w:hAnsiTheme="majorHAnsi" w:cstheme="minorHAnsi"/>
          <w:lang w:val="en"/>
        </w:rPr>
      </w:pPr>
    </w:p>
    <w:p w14:paraId="255384D0" w14:textId="77777777" w:rsidR="0077502F" w:rsidRDefault="0077502F">
      <w:pPr>
        <w:rPr>
          <w:rFonts w:asciiTheme="majorHAnsi" w:hAnsiTheme="majorHAnsi" w:cstheme="minorHAnsi"/>
          <w:lang w:val="en"/>
        </w:rPr>
      </w:pPr>
      <w:r>
        <w:rPr>
          <w:rFonts w:asciiTheme="majorHAnsi" w:hAnsiTheme="majorHAnsi" w:cstheme="minorHAnsi"/>
          <w:lang w:val="en"/>
        </w:rPr>
        <w:br w:type="page"/>
      </w:r>
    </w:p>
    <w:p w14:paraId="7AEC6BF3" w14:textId="77777777" w:rsidR="001A3992" w:rsidRPr="00271F3B" w:rsidRDefault="001A3992" w:rsidP="00271F3B">
      <w:pPr>
        <w:pStyle w:val="Heading2"/>
      </w:pPr>
      <w:r w:rsidRPr="00271F3B">
        <w:lastRenderedPageBreak/>
        <w:t xml:space="preserve">Pharmacokinetic properties </w:t>
      </w:r>
    </w:p>
    <w:p w14:paraId="5AF63AF1" w14:textId="77777777" w:rsidR="006B1ACA" w:rsidRPr="00271F3B" w:rsidRDefault="001A3992" w:rsidP="00E40ADF">
      <w:pPr>
        <w:pStyle w:val="Heading3"/>
        <w:numPr>
          <w:ilvl w:val="0"/>
          <w:numId w:val="0"/>
        </w:numPr>
      </w:pPr>
      <w:r w:rsidRPr="00271F3B">
        <w:t>Absorption</w:t>
      </w:r>
    </w:p>
    <w:p w14:paraId="56AFDE7E" w14:textId="076BE340" w:rsidR="00C57429" w:rsidRPr="00C57429" w:rsidRDefault="00C60D10" w:rsidP="00C57429">
      <w:pPr>
        <w:rPr>
          <w:rFonts w:asciiTheme="majorHAnsi" w:hAnsiTheme="majorHAnsi" w:cstheme="minorHAnsi"/>
          <w:lang w:val="en"/>
        </w:rPr>
      </w:pPr>
      <w:r w:rsidRPr="00271F3B">
        <w:rPr>
          <w:rFonts w:asciiTheme="majorHAnsi" w:hAnsiTheme="majorHAnsi" w:cstheme="minorHAnsi"/>
          <w:lang w:val="en"/>
        </w:rPr>
        <w:t xml:space="preserve">The absorption pharmacokinetic parameters determined for </w:t>
      </w:r>
      <w:r w:rsidR="004A70BE">
        <w:rPr>
          <w:rFonts w:asciiTheme="majorHAnsi" w:hAnsiTheme="majorHAnsi" w:cstheme="minorHAnsi"/>
          <w:lang w:val="en"/>
        </w:rPr>
        <w:t>ELIGARD</w:t>
      </w:r>
      <w:r w:rsidRPr="00271F3B">
        <w:rPr>
          <w:rFonts w:asciiTheme="majorHAnsi" w:hAnsiTheme="majorHAnsi" w:cstheme="minorHAnsi"/>
          <w:lang w:val="en"/>
        </w:rPr>
        <w:t xml:space="preserve"> are presented in </w:t>
      </w:r>
      <w:r w:rsidRPr="00C57429">
        <w:rPr>
          <w:rFonts w:asciiTheme="majorHAnsi" w:hAnsiTheme="majorHAnsi" w:cstheme="minorHAnsi"/>
          <w:lang w:val="en"/>
        </w:rPr>
        <w:t xml:space="preserve">Table </w:t>
      </w:r>
      <w:r w:rsidR="004F038A">
        <w:rPr>
          <w:rFonts w:asciiTheme="majorHAnsi" w:hAnsiTheme="majorHAnsi" w:cstheme="minorHAnsi"/>
          <w:lang w:val="en"/>
        </w:rPr>
        <w:t>7</w:t>
      </w:r>
      <w:r w:rsidR="00271F3B" w:rsidRPr="00C57429">
        <w:rPr>
          <w:rFonts w:asciiTheme="majorHAnsi" w:hAnsiTheme="majorHAnsi" w:cstheme="minorHAnsi"/>
          <w:lang w:val="en"/>
        </w:rPr>
        <w:t>.</w:t>
      </w:r>
    </w:p>
    <w:p w14:paraId="6C31E9A2" w14:textId="50F9D4E8" w:rsidR="00C57429" w:rsidRPr="00C57429" w:rsidRDefault="00C57429" w:rsidP="00C57429">
      <w:pPr>
        <w:pStyle w:val="Caption"/>
        <w:keepNext/>
        <w:jc w:val="center"/>
        <w:rPr>
          <w:rFonts w:asciiTheme="majorHAnsi" w:hAnsiTheme="majorHAnsi"/>
          <w:i w:val="0"/>
          <w:color w:val="auto"/>
          <w:sz w:val="20"/>
          <w:szCs w:val="20"/>
        </w:rPr>
      </w:pPr>
      <w:r w:rsidRPr="00C57429">
        <w:rPr>
          <w:rFonts w:asciiTheme="majorHAnsi" w:hAnsiTheme="majorHAnsi"/>
          <w:b/>
          <w:i w:val="0"/>
          <w:color w:val="auto"/>
          <w:sz w:val="20"/>
          <w:szCs w:val="20"/>
        </w:rPr>
        <w:t xml:space="preserve">Table </w:t>
      </w:r>
      <w:r w:rsidR="004F038A">
        <w:rPr>
          <w:rFonts w:asciiTheme="majorHAnsi" w:hAnsiTheme="majorHAnsi"/>
          <w:b/>
          <w:i w:val="0"/>
          <w:color w:val="auto"/>
          <w:sz w:val="20"/>
          <w:szCs w:val="20"/>
        </w:rPr>
        <w:t>7</w:t>
      </w:r>
      <w:r w:rsidRPr="00C57429">
        <w:rPr>
          <w:rFonts w:asciiTheme="majorHAnsi" w:hAnsiTheme="majorHAnsi"/>
          <w:b/>
          <w:i w:val="0"/>
          <w:color w:val="auto"/>
          <w:sz w:val="20"/>
          <w:szCs w:val="20"/>
        </w:rPr>
        <w:t>:</w:t>
      </w:r>
      <w:r w:rsidRPr="00C57429">
        <w:rPr>
          <w:rFonts w:asciiTheme="majorHAnsi" w:hAnsiTheme="majorHAnsi"/>
          <w:i w:val="0"/>
          <w:color w:val="auto"/>
          <w:sz w:val="20"/>
          <w:szCs w:val="20"/>
        </w:rPr>
        <w:t xml:space="preserve"> Absorption pharmacokinetic parameters for </w:t>
      </w:r>
      <w:r w:rsidR="00DC150E">
        <w:rPr>
          <w:rFonts w:asciiTheme="majorHAnsi" w:hAnsiTheme="majorHAnsi"/>
          <w:i w:val="0"/>
          <w:color w:val="auto"/>
          <w:sz w:val="20"/>
          <w:szCs w:val="20"/>
        </w:rPr>
        <w:t>ELIGARD</w:t>
      </w:r>
    </w:p>
    <w:tbl>
      <w:tblPr>
        <w:tblW w:w="0" w:type="auto"/>
        <w:tblInd w:w="656" w:type="dxa"/>
        <w:tblLayout w:type="fixed"/>
        <w:tblCellMar>
          <w:left w:w="0" w:type="dxa"/>
          <w:right w:w="0" w:type="dxa"/>
        </w:tblCellMar>
        <w:tblLook w:val="01E0" w:firstRow="1" w:lastRow="1" w:firstColumn="1" w:lastColumn="1" w:noHBand="0" w:noVBand="0"/>
      </w:tblPr>
      <w:tblGrid>
        <w:gridCol w:w="3348"/>
        <w:gridCol w:w="2304"/>
        <w:gridCol w:w="2304"/>
      </w:tblGrid>
      <w:tr w:rsidR="00C60D10" w:rsidRPr="000D01B5" w14:paraId="4693E0BA" w14:textId="77777777" w:rsidTr="00C60D10">
        <w:trPr>
          <w:trHeight w:hRule="exact" w:val="323"/>
        </w:trPr>
        <w:tc>
          <w:tcPr>
            <w:tcW w:w="3348" w:type="dxa"/>
            <w:tcBorders>
              <w:top w:val="single" w:sz="5" w:space="0" w:color="000000"/>
              <w:left w:val="single" w:sz="5" w:space="0" w:color="000000"/>
              <w:bottom w:val="single" w:sz="5" w:space="0" w:color="000000"/>
              <w:right w:val="single" w:sz="5" w:space="0" w:color="000000"/>
            </w:tcBorders>
          </w:tcPr>
          <w:p w14:paraId="2E280D6F" w14:textId="6AAD7926" w:rsidR="00C60D10" w:rsidRPr="000D01B5" w:rsidRDefault="00C60D10" w:rsidP="004A70BE">
            <w:pPr>
              <w:pStyle w:val="TableParagraph"/>
              <w:spacing w:line="246" w:lineRule="exact"/>
              <w:ind w:left="102"/>
              <w:rPr>
                <w:rFonts w:asciiTheme="majorHAnsi" w:eastAsia="Times New Roman" w:hAnsiTheme="majorHAnsi" w:cs="Times New Roman"/>
                <w:sz w:val="14"/>
                <w:szCs w:val="14"/>
              </w:rPr>
            </w:pPr>
            <w:r w:rsidRPr="000D01B5">
              <w:rPr>
                <w:rFonts w:asciiTheme="majorHAnsi" w:hAnsiTheme="majorHAnsi"/>
                <w:b/>
                <w:spacing w:val="-1"/>
                <w:sz w:val="20"/>
              </w:rPr>
              <w:t xml:space="preserve">Presentation </w:t>
            </w:r>
            <w:r w:rsidRPr="000D01B5">
              <w:rPr>
                <w:rFonts w:asciiTheme="majorHAnsi" w:hAnsiTheme="majorHAnsi"/>
                <w:b/>
                <w:sz w:val="20"/>
              </w:rPr>
              <w:t xml:space="preserve">of </w:t>
            </w:r>
            <w:r w:rsidR="004A70BE">
              <w:rPr>
                <w:rFonts w:asciiTheme="majorHAnsi" w:hAnsiTheme="majorHAnsi"/>
                <w:b/>
                <w:spacing w:val="-1"/>
                <w:sz w:val="20"/>
              </w:rPr>
              <w:t>ELIGARD</w:t>
            </w:r>
          </w:p>
        </w:tc>
        <w:tc>
          <w:tcPr>
            <w:tcW w:w="2304" w:type="dxa"/>
            <w:tcBorders>
              <w:top w:val="single" w:sz="5" w:space="0" w:color="000000"/>
              <w:left w:val="single" w:sz="5" w:space="0" w:color="000000"/>
              <w:bottom w:val="single" w:sz="5" w:space="0" w:color="000000"/>
              <w:right w:val="single" w:sz="5" w:space="0" w:color="000000"/>
            </w:tcBorders>
          </w:tcPr>
          <w:p w14:paraId="51981877" w14:textId="2BB11726" w:rsidR="00C60D10" w:rsidRPr="000D01B5" w:rsidRDefault="00C60D10" w:rsidP="000D01B5">
            <w:pPr>
              <w:pStyle w:val="TableParagraph"/>
              <w:spacing w:line="245" w:lineRule="exact"/>
              <w:ind w:left="102"/>
              <w:rPr>
                <w:rFonts w:asciiTheme="majorHAnsi" w:eastAsia="Times New Roman" w:hAnsiTheme="majorHAnsi" w:cs="Times New Roman"/>
                <w:sz w:val="20"/>
                <w:szCs w:val="20"/>
              </w:rPr>
            </w:pPr>
            <w:proofErr w:type="spellStart"/>
            <w:r w:rsidRPr="000D01B5">
              <w:rPr>
                <w:rFonts w:asciiTheme="majorHAnsi" w:eastAsia="Times New Roman" w:hAnsiTheme="majorHAnsi" w:cs="Times New Roman"/>
                <w:b/>
                <w:bCs/>
                <w:spacing w:val="-1"/>
                <w:sz w:val="20"/>
                <w:szCs w:val="20"/>
              </w:rPr>
              <w:t>Cmax</w:t>
            </w:r>
            <w:proofErr w:type="spellEnd"/>
            <w:r w:rsidRPr="000D01B5">
              <w:rPr>
                <w:rFonts w:asciiTheme="majorHAnsi" w:eastAsia="Times New Roman" w:hAnsiTheme="majorHAnsi" w:cs="Times New Roman"/>
                <w:b/>
                <w:bCs/>
                <w:spacing w:val="-1"/>
                <w:sz w:val="20"/>
                <w:szCs w:val="20"/>
              </w:rPr>
              <w:t xml:space="preserve"> </w:t>
            </w:r>
            <w:r w:rsidR="000D01B5" w:rsidRPr="000D01B5">
              <w:rPr>
                <w:rFonts w:asciiTheme="majorHAnsi" w:eastAsia="Symbol" w:hAnsiTheme="majorHAnsi" w:cs="Symbol"/>
                <w:b/>
                <w:bCs/>
                <w:sz w:val="20"/>
                <w:szCs w:val="20"/>
              </w:rPr>
              <w:t>±</w:t>
            </w:r>
            <w:r w:rsidR="000D01B5">
              <w:rPr>
                <w:rFonts w:asciiTheme="majorHAnsi" w:eastAsia="Symbol" w:hAnsiTheme="majorHAnsi" w:cs="Symbol"/>
                <w:b/>
                <w:bCs/>
                <w:sz w:val="20"/>
                <w:szCs w:val="20"/>
              </w:rPr>
              <w:t xml:space="preserve"> </w:t>
            </w:r>
            <w:proofErr w:type="gramStart"/>
            <w:r w:rsidRPr="000D01B5">
              <w:rPr>
                <w:rFonts w:asciiTheme="majorHAnsi" w:eastAsia="Times New Roman" w:hAnsiTheme="majorHAnsi" w:cs="Times New Roman"/>
                <w:b/>
                <w:bCs/>
                <w:spacing w:val="-1"/>
                <w:sz w:val="20"/>
                <w:szCs w:val="20"/>
              </w:rPr>
              <w:t>SD(</w:t>
            </w:r>
            <w:proofErr w:type="gramEnd"/>
            <w:r w:rsidRPr="000D01B5">
              <w:rPr>
                <w:rFonts w:asciiTheme="majorHAnsi" w:eastAsia="Times New Roman" w:hAnsiTheme="majorHAnsi" w:cs="Times New Roman"/>
                <w:b/>
                <w:bCs/>
                <w:spacing w:val="-1"/>
                <w:sz w:val="20"/>
                <w:szCs w:val="20"/>
              </w:rPr>
              <w:t>ng/mL)</w:t>
            </w:r>
          </w:p>
        </w:tc>
        <w:tc>
          <w:tcPr>
            <w:tcW w:w="2304" w:type="dxa"/>
            <w:tcBorders>
              <w:top w:val="single" w:sz="5" w:space="0" w:color="000000"/>
              <w:left w:val="single" w:sz="5" w:space="0" w:color="000000"/>
              <w:bottom w:val="single" w:sz="5" w:space="0" w:color="000000"/>
              <w:right w:val="single" w:sz="5" w:space="0" w:color="000000"/>
            </w:tcBorders>
          </w:tcPr>
          <w:p w14:paraId="52EF6F76" w14:textId="1C112075" w:rsidR="00C60D10" w:rsidRPr="000D01B5" w:rsidRDefault="00C60D10" w:rsidP="00C60D10">
            <w:pPr>
              <w:pStyle w:val="TableParagraph"/>
              <w:spacing w:line="245" w:lineRule="exact"/>
              <w:ind w:left="102"/>
              <w:rPr>
                <w:rFonts w:asciiTheme="majorHAnsi" w:eastAsia="Times New Roman" w:hAnsiTheme="majorHAnsi" w:cs="Times New Roman"/>
                <w:sz w:val="20"/>
                <w:szCs w:val="20"/>
              </w:rPr>
            </w:pPr>
            <w:proofErr w:type="spellStart"/>
            <w:r w:rsidRPr="000D01B5">
              <w:rPr>
                <w:rFonts w:asciiTheme="majorHAnsi" w:eastAsia="Times New Roman" w:hAnsiTheme="majorHAnsi" w:cs="Times New Roman"/>
                <w:b/>
                <w:bCs/>
                <w:spacing w:val="-1"/>
                <w:sz w:val="20"/>
                <w:szCs w:val="20"/>
              </w:rPr>
              <w:t>Tmax</w:t>
            </w:r>
            <w:proofErr w:type="spellEnd"/>
            <w:r w:rsidRPr="000D01B5">
              <w:rPr>
                <w:rFonts w:asciiTheme="majorHAnsi" w:eastAsia="Times New Roman" w:hAnsiTheme="majorHAnsi" w:cs="Times New Roman"/>
                <w:b/>
                <w:bCs/>
                <w:spacing w:val="-2"/>
                <w:sz w:val="20"/>
                <w:szCs w:val="20"/>
              </w:rPr>
              <w:t xml:space="preserve"> </w:t>
            </w:r>
            <w:r w:rsidR="000D01B5" w:rsidRPr="000D01B5">
              <w:rPr>
                <w:rFonts w:asciiTheme="majorHAnsi" w:eastAsia="Symbol" w:hAnsiTheme="majorHAnsi" w:cs="Symbol"/>
                <w:b/>
                <w:sz w:val="20"/>
                <w:szCs w:val="20"/>
              </w:rPr>
              <w:t>±</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b/>
                <w:bCs/>
                <w:spacing w:val="-1"/>
                <w:sz w:val="20"/>
                <w:szCs w:val="20"/>
              </w:rPr>
              <w:t>SD</w:t>
            </w:r>
            <w:r w:rsidRPr="000D01B5">
              <w:rPr>
                <w:rFonts w:asciiTheme="majorHAnsi" w:eastAsia="Times New Roman" w:hAnsiTheme="majorHAnsi" w:cs="Times New Roman"/>
                <w:b/>
                <w:bCs/>
                <w:sz w:val="20"/>
                <w:szCs w:val="20"/>
              </w:rPr>
              <w:t xml:space="preserve"> </w:t>
            </w:r>
            <w:r w:rsidRPr="000D01B5">
              <w:rPr>
                <w:rFonts w:asciiTheme="majorHAnsi" w:eastAsia="Times New Roman" w:hAnsiTheme="majorHAnsi" w:cs="Times New Roman"/>
                <w:b/>
                <w:bCs/>
                <w:spacing w:val="-2"/>
                <w:sz w:val="20"/>
                <w:szCs w:val="20"/>
              </w:rPr>
              <w:t>(hours)</w:t>
            </w:r>
          </w:p>
        </w:tc>
      </w:tr>
      <w:tr w:rsidR="00C60D10" w:rsidRPr="000D01B5" w14:paraId="41A8DE31" w14:textId="77777777" w:rsidTr="00C60D10">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322117C3" w14:textId="77777777" w:rsidR="00C60D10" w:rsidRPr="000D01B5" w:rsidRDefault="00C60D10" w:rsidP="00C60D10">
            <w:pPr>
              <w:pStyle w:val="TableParagraph"/>
              <w:spacing w:line="227" w:lineRule="exact"/>
              <w:ind w:left="102"/>
              <w:rPr>
                <w:rFonts w:asciiTheme="majorHAnsi" w:eastAsia="Times New Roman" w:hAnsiTheme="majorHAnsi" w:cs="Times New Roman"/>
                <w:sz w:val="20"/>
                <w:szCs w:val="20"/>
              </w:rPr>
            </w:pPr>
            <w:r w:rsidRPr="000D01B5">
              <w:rPr>
                <w:rFonts w:asciiTheme="majorHAnsi" w:hAnsiTheme="majorHAnsi"/>
                <w:sz w:val="20"/>
              </w:rPr>
              <w:t>1</w:t>
            </w:r>
            <w:r w:rsidRPr="000D01B5">
              <w:rPr>
                <w:rFonts w:asciiTheme="majorHAnsi" w:hAnsiTheme="majorHAnsi"/>
                <w:spacing w:val="1"/>
                <w:sz w:val="20"/>
              </w:rPr>
              <w:t xml:space="preserve"> </w:t>
            </w:r>
            <w:r w:rsidRPr="000D01B5">
              <w:rPr>
                <w:rFonts w:asciiTheme="majorHAnsi" w:hAnsiTheme="majorHAnsi"/>
                <w:spacing w:val="-1"/>
                <w:sz w:val="20"/>
              </w:rPr>
              <w:t>month</w:t>
            </w:r>
          </w:p>
        </w:tc>
        <w:tc>
          <w:tcPr>
            <w:tcW w:w="2304" w:type="dxa"/>
            <w:tcBorders>
              <w:top w:val="single" w:sz="5" w:space="0" w:color="000000"/>
              <w:left w:val="single" w:sz="5" w:space="0" w:color="000000"/>
              <w:bottom w:val="single" w:sz="5" w:space="0" w:color="000000"/>
              <w:right w:val="single" w:sz="5" w:space="0" w:color="000000"/>
            </w:tcBorders>
          </w:tcPr>
          <w:p w14:paraId="3A9965AA" w14:textId="0520A698" w:rsidR="00C60D10" w:rsidRPr="000D01B5" w:rsidRDefault="00C60D10" w:rsidP="000D01B5">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25.3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11.3</w:t>
            </w:r>
          </w:p>
        </w:tc>
        <w:tc>
          <w:tcPr>
            <w:tcW w:w="2304" w:type="dxa"/>
            <w:tcBorders>
              <w:top w:val="single" w:sz="5" w:space="0" w:color="000000"/>
              <w:left w:val="single" w:sz="5" w:space="0" w:color="000000"/>
              <w:bottom w:val="single" w:sz="5" w:space="0" w:color="000000"/>
              <w:right w:val="single" w:sz="5" w:space="0" w:color="000000"/>
            </w:tcBorders>
          </w:tcPr>
          <w:p w14:paraId="29DDEBB9" w14:textId="6F3D3B5A" w:rsidR="00C60D10" w:rsidRPr="000D01B5" w:rsidRDefault="00C60D10" w:rsidP="00C60D10">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4.7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1.4</w:t>
            </w:r>
          </w:p>
        </w:tc>
      </w:tr>
      <w:tr w:rsidR="00C60D10" w:rsidRPr="000D01B5" w14:paraId="3FA5CDB6" w14:textId="77777777" w:rsidTr="00C60D10">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0660CA4E" w14:textId="77777777" w:rsidR="00C60D10" w:rsidRPr="000D01B5" w:rsidRDefault="00C60D10" w:rsidP="00C60D10">
            <w:pPr>
              <w:pStyle w:val="TableParagraph"/>
              <w:spacing w:line="226" w:lineRule="exact"/>
              <w:ind w:left="102"/>
              <w:rPr>
                <w:rFonts w:asciiTheme="majorHAnsi" w:eastAsia="Times New Roman" w:hAnsiTheme="majorHAnsi" w:cs="Times New Roman"/>
                <w:sz w:val="20"/>
                <w:szCs w:val="20"/>
              </w:rPr>
            </w:pPr>
            <w:r w:rsidRPr="000D01B5">
              <w:rPr>
                <w:rFonts w:asciiTheme="majorHAnsi" w:hAnsiTheme="majorHAnsi"/>
                <w:sz w:val="20"/>
              </w:rPr>
              <w:t>3</w:t>
            </w:r>
            <w:r w:rsidRPr="000D01B5">
              <w:rPr>
                <w:rFonts w:asciiTheme="majorHAnsi" w:hAnsiTheme="majorHAnsi"/>
                <w:spacing w:val="1"/>
                <w:sz w:val="20"/>
              </w:rPr>
              <w:t xml:space="preserve"> </w:t>
            </w:r>
            <w:proofErr w:type="gramStart"/>
            <w:r w:rsidRPr="000D01B5">
              <w:rPr>
                <w:rFonts w:asciiTheme="majorHAnsi" w:hAnsiTheme="majorHAnsi"/>
                <w:spacing w:val="-1"/>
                <w:sz w:val="20"/>
              </w:rPr>
              <w:t>month</w:t>
            </w:r>
            <w:proofErr w:type="gramEnd"/>
            <w:r w:rsidRPr="000D01B5">
              <w:rPr>
                <w:rFonts w:asciiTheme="majorHAnsi" w:hAnsiTheme="majorHAnsi"/>
                <w:spacing w:val="-1"/>
                <w:sz w:val="20"/>
              </w:rPr>
              <w:t xml:space="preserve"> </w:t>
            </w:r>
            <w:r w:rsidRPr="000D01B5">
              <w:rPr>
                <w:rFonts w:asciiTheme="majorHAnsi" w:hAnsiTheme="majorHAnsi"/>
                <w:sz w:val="20"/>
              </w:rPr>
              <w:t>*</w:t>
            </w:r>
          </w:p>
        </w:tc>
        <w:tc>
          <w:tcPr>
            <w:tcW w:w="2304" w:type="dxa"/>
            <w:tcBorders>
              <w:top w:val="single" w:sz="5" w:space="0" w:color="000000"/>
              <w:left w:val="single" w:sz="5" w:space="0" w:color="000000"/>
              <w:bottom w:val="single" w:sz="5" w:space="0" w:color="000000"/>
              <w:right w:val="single" w:sz="5" w:space="0" w:color="000000"/>
            </w:tcBorders>
          </w:tcPr>
          <w:p w14:paraId="4A3DD745" w14:textId="77967802"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127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39</w:t>
            </w:r>
          </w:p>
        </w:tc>
        <w:tc>
          <w:tcPr>
            <w:tcW w:w="2304" w:type="dxa"/>
            <w:tcBorders>
              <w:top w:val="single" w:sz="5" w:space="0" w:color="000000"/>
              <w:left w:val="single" w:sz="5" w:space="0" w:color="000000"/>
              <w:bottom w:val="single" w:sz="5" w:space="0" w:color="000000"/>
              <w:right w:val="single" w:sz="5" w:space="0" w:color="000000"/>
            </w:tcBorders>
          </w:tcPr>
          <w:p w14:paraId="4178501A" w14:textId="34A8C7F5"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4.6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1.6</w:t>
            </w:r>
          </w:p>
        </w:tc>
      </w:tr>
      <w:tr w:rsidR="00C60D10" w:rsidRPr="000D01B5" w14:paraId="27873D8C" w14:textId="77777777" w:rsidTr="00C60D10">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56D197E8" w14:textId="77777777" w:rsidR="00C60D10" w:rsidRPr="000D01B5" w:rsidRDefault="00C60D10" w:rsidP="00C60D10">
            <w:pPr>
              <w:pStyle w:val="TableParagraph"/>
              <w:spacing w:line="227" w:lineRule="exact"/>
              <w:ind w:left="102"/>
              <w:rPr>
                <w:rFonts w:asciiTheme="majorHAnsi" w:eastAsia="Times New Roman" w:hAnsiTheme="majorHAnsi" w:cs="Times New Roman"/>
                <w:sz w:val="20"/>
                <w:szCs w:val="20"/>
              </w:rPr>
            </w:pPr>
            <w:r w:rsidRPr="000D01B5">
              <w:rPr>
                <w:rFonts w:asciiTheme="majorHAnsi" w:hAnsiTheme="majorHAnsi"/>
                <w:sz w:val="20"/>
              </w:rPr>
              <w:t>3</w:t>
            </w:r>
            <w:r w:rsidRPr="000D01B5">
              <w:rPr>
                <w:rFonts w:asciiTheme="majorHAnsi" w:hAnsiTheme="majorHAnsi"/>
                <w:spacing w:val="1"/>
                <w:sz w:val="20"/>
              </w:rPr>
              <w:t xml:space="preserve"> </w:t>
            </w:r>
            <w:proofErr w:type="gramStart"/>
            <w:r w:rsidRPr="000D01B5">
              <w:rPr>
                <w:rFonts w:asciiTheme="majorHAnsi" w:hAnsiTheme="majorHAnsi"/>
                <w:spacing w:val="-1"/>
                <w:sz w:val="20"/>
              </w:rPr>
              <w:t>month</w:t>
            </w:r>
            <w:proofErr w:type="gramEnd"/>
            <w:r w:rsidRPr="000D01B5">
              <w:rPr>
                <w:rFonts w:asciiTheme="majorHAnsi" w:hAnsiTheme="majorHAnsi"/>
                <w:spacing w:val="-1"/>
                <w:sz w:val="20"/>
              </w:rPr>
              <w:t>**</w:t>
            </w:r>
          </w:p>
        </w:tc>
        <w:tc>
          <w:tcPr>
            <w:tcW w:w="2304" w:type="dxa"/>
            <w:tcBorders>
              <w:top w:val="single" w:sz="5" w:space="0" w:color="000000"/>
              <w:left w:val="single" w:sz="5" w:space="0" w:color="000000"/>
              <w:bottom w:val="single" w:sz="5" w:space="0" w:color="000000"/>
              <w:right w:val="single" w:sz="5" w:space="0" w:color="000000"/>
            </w:tcBorders>
          </w:tcPr>
          <w:p w14:paraId="41BD827D" w14:textId="4D82558A" w:rsidR="00C60D10" w:rsidRPr="000D01B5" w:rsidRDefault="00C60D10" w:rsidP="00C60D10">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107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50</w:t>
            </w:r>
          </w:p>
        </w:tc>
        <w:tc>
          <w:tcPr>
            <w:tcW w:w="2304" w:type="dxa"/>
            <w:tcBorders>
              <w:top w:val="single" w:sz="5" w:space="0" w:color="000000"/>
              <w:left w:val="single" w:sz="5" w:space="0" w:color="000000"/>
              <w:bottom w:val="single" w:sz="5" w:space="0" w:color="000000"/>
              <w:right w:val="single" w:sz="5" w:space="0" w:color="000000"/>
            </w:tcBorders>
          </w:tcPr>
          <w:p w14:paraId="1E43BBC5" w14:textId="67569110" w:rsidR="00C60D10" w:rsidRPr="000D01B5" w:rsidRDefault="00C60D10" w:rsidP="00C60D10">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4.5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1.5</w:t>
            </w:r>
          </w:p>
        </w:tc>
      </w:tr>
      <w:tr w:rsidR="00C60D10" w:rsidRPr="000D01B5" w14:paraId="43F9DF95" w14:textId="77777777" w:rsidTr="00C60D10">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0A50FA8E" w14:textId="77777777" w:rsidR="00C60D10" w:rsidRPr="000D01B5" w:rsidRDefault="00C60D10" w:rsidP="00C60D10">
            <w:pPr>
              <w:pStyle w:val="TableParagraph"/>
              <w:spacing w:line="226" w:lineRule="exact"/>
              <w:ind w:left="102"/>
              <w:rPr>
                <w:rFonts w:asciiTheme="majorHAnsi" w:eastAsia="Times New Roman" w:hAnsiTheme="majorHAnsi" w:cs="Times New Roman"/>
                <w:sz w:val="20"/>
                <w:szCs w:val="20"/>
              </w:rPr>
            </w:pPr>
            <w:r w:rsidRPr="000D01B5">
              <w:rPr>
                <w:rFonts w:asciiTheme="majorHAnsi" w:hAnsiTheme="majorHAnsi"/>
                <w:sz w:val="20"/>
              </w:rPr>
              <w:t>4</w:t>
            </w:r>
            <w:r w:rsidRPr="000D01B5">
              <w:rPr>
                <w:rFonts w:asciiTheme="majorHAnsi" w:hAnsiTheme="majorHAnsi"/>
                <w:spacing w:val="1"/>
                <w:sz w:val="20"/>
              </w:rPr>
              <w:t xml:space="preserve"> </w:t>
            </w:r>
            <w:proofErr w:type="gramStart"/>
            <w:r w:rsidRPr="000D01B5">
              <w:rPr>
                <w:rFonts w:asciiTheme="majorHAnsi" w:hAnsiTheme="majorHAnsi"/>
                <w:spacing w:val="-1"/>
                <w:sz w:val="20"/>
              </w:rPr>
              <w:t>month</w:t>
            </w:r>
            <w:proofErr w:type="gramEnd"/>
            <w:r w:rsidRPr="000D01B5">
              <w:rPr>
                <w:rFonts w:asciiTheme="majorHAnsi" w:hAnsiTheme="majorHAnsi"/>
                <w:spacing w:val="-1"/>
                <w:sz w:val="20"/>
              </w:rPr>
              <w:t xml:space="preserve"> </w:t>
            </w:r>
            <w:r w:rsidRPr="000D01B5">
              <w:rPr>
                <w:rFonts w:asciiTheme="majorHAnsi" w:hAnsiTheme="majorHAnsi"/>
                <w:sz w:val="20"/>
              </w:rPr>
              <w:t>*</w:t>
            </w:r>
          </w:p>
        </w:tc>
        <w:tc>
          <w:tcPr>
            <w:tcW w:w="2304" w:type="dxa"/>
            <w:tcBorders>
              <w:top w:val="single" w:sz="5" w:space="0" w:color="000000"/>
              <w:left w:val="single" w:sz="5" w:space="0" w:color="000000"/>
              <w:bottom w:val="single" w:sz="5" w:space="0" w:color="000000"/>
              <w:right w:val="single" w:sz="5" w:space="0" w:color="000000"/>
            </w:tcBorders>
          </w:tcPr>
          <w:p w14:paraId="5FA8D321" w14:textId="30895E10"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150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77</w:t>
            </w:r>
          </w:p>
        </w:tc>
        <w:tc>
          <w:tcPr>
            <w:tcW w:w="2304" w:type="dxa"/>
            <w:tcBorders>
              <w:top w:val="single" w:sz="5" w:space="0" w:color="000000"/>
              <w:left w:val="single" w:sz="5" w:space="0" w:color="000000"/>
              <w:bottom w:val="single" w:sz="5" w:space="0" w:color="000000"/>
              <w:right w:val="single" w:sz="5" w:space="0" w:color="000000"/>
            </w:tcBorders>
          </w:tcPr>
          <w:p w14:paraId="6AB88602" w14:textId="6C8930DB"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3.3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1.2</w:t>
            </w:r>
          </w:p>
        </w:tc>
      </w:tr>
      <w:tr w:rsidR="00C60D10" w:rsidRPr="000D01B5" w14:paraId="64CCDB51" w14:textId="77777777" w:rsidTr="00C60D10">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64031D56" w14:textId="77777777" w:rsidR="00C60D10" w:rsidRPr="000D01B5" w:rsidRDefault="00C60D10" w:rsidP="00C60D10">
            <w:pPr>
              <w:pStyle w:val="TableParagraph"/>
              <w:spacing w:line="227" w:lineRule="exact"/>
              <w:ind w:left="102"/>
              <w:rPr>
                <w:rFonts w:asciiTheme="majorHAnsi" w:eastAsia="Times New Roman" w:hAnsiTheme="majorHAnsi" w:cs="Times New Roman"/>
                <w:sz w:val="20"/>
                <w:szCs w:val="20"/>
              </w:rPr>
            </w:pPr>
            <w:r w:rsidRPr="000D01B5">
              <w:rPr>
                <w:rFonts w:asciiTheme="majorHAnsi" w:hAnsiTheme="majorHAnsi"/>
                <w:sz w:val="20"/>
              </w:rPr>
              <w:t>4</w:t>
            </w:r>
            <w:r w:rsidRPr="000D01B5">
              <w:rPr>
                <w:rFonts w:asciiTheme="majorHAnsi" w:hAnsiTheme="majorHAnsi"/>
                <w:spacing w:val="1"/>
                <w:sz w:val="20"/>
              </w:rPr>
              <w:t xml:space="preserve"> </w:t>
            </w:r>
            <w:proofErr w:type="gramStart"/>
            <w:r w:rsidRPr="000D01B5">
              <w:rPr>
                <w:rFonts w:asciiTheme="majorHAnsi" w:hAnsiTheme="majorHAnsi"/>
                <w:spacing w:val="-1"/>
                <w:sz w:val="20"/>
              </w:rPr>
              <w:t>month</w:t>
            </w:r>
            <w:proofErr w:type="gramEnd"/>
            <w:r w:rsidRPr="000D01B5">
              <w:rPr>
                <w:rFonts w:asciiTheme="majorHAnsi" w:hAnsiTheme="majorHAnsi"/>
                <w:spacing w:val="-1"/>
                <w:sz w:val="20"/>
              </w:rPr>
              <w:t>**</w:t>
            </w:r>
          </w:p>
        </w:tc>
        <w:tc>
          <w:tcPr>
            <w:tcW w:w="2304" w:type="dxa"/>
            <w:tcBorders>
              <w:top w:val="single" w:sz="5" w:space="0" w:color="000000"/>
              <w:left w:val="single" w:sz="5" w:space="0" w:color="000000"/>
              <w:bottom w:val="single" w:sz="5" w:space="0" w:color="000000"/>
              <w:right w:val="single" w:sz="5" w:space="0" w:color="000000"/>
            </w:tcBorders>
          </w:tcPr>
          <w:p w14:paraId="66894DA6" w14:textId="70C47E58" w:rsidR="00C60D10" w:rsidRPr="000D01B5" w:rsidRDefault="00C60D10" w:rsidP="00C60D10">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192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107</w:t>
            </w:r>
          </w:p>
        </w:tc>
        <w:tc>
          <w:tcPr>
            <w:tcW w:w="2304" w:type="dxa"/>
            <w:tcBorders>
              <w:top w:val="single" w:sz="5" w:space="0" w:color="000000"/>
              <w:left w:val="single" w:sz="5" w:space="0" w:color="000000"/>
              <w:bottom w:val="single" w:sz="5" w:space="0" w:color="000000"/>
              <w:right w:val="single" w:sz="5" w:space="0" w:color="000000"/>
            </w:tcBorders>
          </w:tcPr>
          <w:p w14:paraId="3C74B83D" w14:textId="7E968F5E" w:rsidR="00C60D10" w:rsidRPr="000D01B5" w:rsidRDefault="00C60D10" w:rsidP="00C60D10">
            <w:pPr>
              <w:pStyle w:val="TableParagraph"/>
              <w:spacing w:line="243"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3.0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1.0</w:t>
            </w:r>
          </w:p>
        </w:tc>
      </w:tr>
      <w:tr w:rsidR="00C60D10" w:rsidRPr="000D01B5" w14:paraId="6C44BFF8" w14:textId="77777777" w:rsidTr="00C60D10">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2206A67E" w14:textId="77777777" w:rsidR="00C60D10" w:rsidRPr="000D01B5" w:rsidRDefault="00C60D10" w:rsidP="00C60D10">
            <w:pPr>
              <w:pStyle w:val="TableParagraph"/>
              <w:spacing w:line="226" w:lineRule="exact"/>
              <w:ind w:left="102"/>
              <w:rPr>
                <w:rFonts w:asciiTheme="majorHAnsi" w:eastAsia="Times New Roman" w:hAnsiTheme="majorHAnsi" w:cs="Times New Roman"/>
                <w:sz w:val="20"/>
                <w:szCs w:val="20"/>
              </w:rPr>
            </w:pPr>
            <w:r w:rsidRPr="000D01B5">
              <w:rPr>
                <w:rFonts w:asciiTheme="majorHAnsi" w:hAnsiTheme="majorHAnsi"/>
                <w:sz w:val="20"/>
              </w:rPr>
              <w:t>6</w:t>
            </w:r>
            <w:r w:rsidRPr="000D01B5">
              <w:rPr>
                <w:rFonts w:asciiTheme="majorHAnsi" w:hAnsiTheme="majorHAnsi"/>
                <w:spacing w:val="1"/>
                <w:sz w:val="20"/>
              </w:rPr>
              <w:t xml:space="preserve"> </w:t>
            </w:r>
            <w:proofErr w:type="gramStart"/>
            <w:r w:rsidRPr="000D01B5">
              <w:rPr>
                <w:rFonts w:asciiTheme="majorHAnsi" w:hAnsiTheme="majorHAnsi"/>
                <w:spacing w:val="-1"/>
                <w:sz w:val="20"/>
              </w:rPr>
              <w:t>month</w:t>
            </w:r>
            <w:proofErr w:type="gramEnd"/>
          </w:p>
        </w:tc>
        <w:tc>
          <w:tcPr>
            <w:tcW w:w="2304" w:type="dxa"/>
            <w:tcBorders>
              <w:top w:val="single" w:sz="5" w:space="0" w:color="000000"/>
              <w:left w:val="single" w:sz="5" w:space="0" w:color="000000"/>
              <w:bottom w:val="single" w:sz="5" w:space="0" w:color="000000"/>
              <w:right w:val="single" w:sz="5" w:space="0" w:color="000000"/>
            </w:tcBorders>
          </w:tcPr>
          <w:p w14:paraId="742DF11C" w14:textId="050CFA0D"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102.4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72.1</w:t>
            </w:r>
          </w:p>
        </w:tc>
        <w:tc>
          <w:tcPr>
            <w:tcW w:w="2304" w:type="dxa"/>
            <w:tcBorders>
              <w:top w:val="single" w:sz="5" w:space="0" w:color="000000"/>
              <w:left w:val="single" w:sz="5" w:space="0" w:color="000000"/>
              <w:bottom w:val="single" w:sz="5" w:space="0" w:color="000000"/>
              <w:right w:val="single" w:sz="5" w:space="0" w:color="000000"/>
            </w:tcBorders>
          </w:tcPr>
          <w:p w14:paraId="2187A800" w14:textId="1DF912A8" w:rsidR="00C60D10" w:rsidRPr="000D01B5" w:rsidRDefault="00C60D10" w:rsidP="00C60D10">
            <w:pPr>
              <w:pStyle w:val="TableParagraph"/>
              <w:spacing w:line="242" w:lineRule="exact"/>
              <w:ind w:left="102"/>
              <w:rPr>
                <w:rFonts w:asciiTheme="majorHAnsi" w:eastAsia="Times New Roman" w:hAnsiTheme="majorHAnsi" w:cs="Times New Roman"/>
                <w:sz w:val="20"/>
                <w:szCs w:val="20"/>
              </w:rPr>
            </w:pPr>
            <w:r w:rsidRPr="000D01B5">
              <w:rPr>
                <w:rFonts w:asciiTheme="majorHAnsi" w:eastAsia="Times New Roman" w:hAnsiTheme="majorHAnsi" w:cs="Times New Roman"/>
                <w:spacing w:val="-1"/>
                <w:sz w:val="20"/>
                <w:szCs w:val="20"/>
              </w:rPr>
              <w:t xml:space="preserve">4.75 </w:t>
            </w:r>
            <w:r w:rsidR="000D01B5">
              <w:rPr>
                <w:rFonts w:asciiTheme="majorHAnsi" w:eastAsia="Symbol" w:hAnsiTheme="majorHAnsi" w:cs="Symbol"/>
                <w:sz w:val="20"/>
                <w:szCs w:val="20"/>
              </w:rPr>
              <w:t xml:space="preserve">± </w:t>
            </w:r>
            <w:r w:rsidRPr="000D01B5">
              <w:rPr>
                <w:rFonts w:asciiTheme="majorHAnsi" w:eastAsia="Times New Roman" w:hAnsiTheme="majorHAnsi" w:cs="Times New Roman"/>
                <w:spacing w:val="-1"/>
                <w:sz w:val="20"/>
                <w:szCs w:val="20"/>
              </w:rPr>
              <w:t>2.0</w:t>
            </w:r>
          </w:p>
        </w:tc>
      </w:tr>
    </w:tbl>
    <w:p w14:paraId="2485813C" w14:textId="77777777" w:rsidR="00C60D10" w:rsidRPr="000D01B5" w:rsidRDefault="00C60D10" w:rsidP="00C57429">
      <w:pPr>
        <w:spacing w:after="0" w:line="227" w:lineRule="exact"/>
        <w:ind w:left="770" w:right="278"/>
        <w:rPr>
          <w:rFonts w:asciiTheme="majorHAnsi" w:eastAsia="Times New Roman" w:hAnsiTheme="majorHAnsi" w:cs="Times New Roman"/>
          <w:sz w:val="20"/>
          <w:szCs w:val="20"/>
        </w:rPr>
      </w:pPr>
      <w:r w:rsidRPr="000D01B5">
        <w:rPr>
          <w:rFonts w:asciiTheme="majorHAnsi" w:hAnsiTheme="majorHAnsi"/>
          <w:sz w:val="20"/>
        </w:rPr>
        <w:t>*</w:t>
      </w:r>
      <w:r w:rsidRPr="000D01B5">
        <w:rPr>
          <w:rFonts w:asciiTheme="majorHAnsi" w:hAnsiTheme="majorHAnsi"/>
          <w:spacing w:val="-1"/>
          <w:sz w:val="20"/>
        </w:rPr>
        <w:t xml:space="preserve"> </w:t>
      </w:r>
      <w:proofErr w:type="gramStart"/>
      <w:r w:rsidRPr="000D01B5">
        <w:rPr>
          <w:rFonts w:asciiTheme="majorHAnsi" w:hAnsiTheme="majorHAnsi"/>
          <w:spacing w:val="-1"/>
          <w:sz w:val="20"/>
        </w:rPr>
        <w:t>first</w:t>
      </w:r>
      <w:proofErr w:type="gramEnd"/>
      <w:r w:rsidRPr="000D01B5">
        <w:rPr>
          <w:rFonts w:asciiTheme="majorHAnsi" w:hAnsiTheme="majorHAnsi"/>
          <w:spacing w:val="-2"/>
          <w:sz w:val="20"/>
        </w:rPr>
        <w:t xml:space="preserve"> </w:t>
      </w:r>
      <w:r w:rsidRPr="000D01B5">
        <w:rPr>
          <w:rFonts w:asciiTheme="majorHAnsi" w:hAnsiTheme="majorHAnsi"/>
          <w:sz w:val="20"/>
        </w:rPr>
        <w:t>dose</w:t>
      </w:r>
    </w:p>
    <w:p w14:paraId="78276BBD" w14:textId="55DCB83C" w:rsidR="00C60D10" w:rsidRDefault="00C60D10" w:rsidP="00C57429">
      <w:pPr>
        <w:spacing w:before="59" w:after="0"/>
        <w:ind w:left="770" w:right="278"/>
        <w:rPr>
          <w:rFonts w:asciiTheme="majorHAnsi" w:hAnsiTheme="majorHAnsi"/>
          <w:spacing w:val="-1"/>
          <w:sz w:val="20"/>
        </w:rPr>
      </w:pPr>
      <w:r w:rsidRPr="000D01B5">
        <w:rPr>
          <w:rFonts w:asciiTheme="majorHAnsi" w:hAnsiTheme="majorHAnsi"/>
          <w:sz w:val="20"/>
        </w:rPr>
        <w:t>**</w:t>
      </w:r>
      <w:r w:rsidRPr="000D01B5">
        <w:rPr>
          <w:rFonts w:asciiTheme="majorHAnsi" w:hAnsiTheme="majorHAnsi"/>
          <w:spacing w:val="-1"/>
          <w:sz w:val="20"/>
        </w:rPr>
        <w:t xml:space="preserve"> second dose</w:t>
      </w:r>
    </w:p>
    <w:p w14:paraId="0F94C418" w14:textId="77777777" w:rsidR="00C57429" w:rsidRPr="000D01B5" w:rsidRDefault="00C57429" w:rsidP="00C57429">
      <w:pPr>
        <w:spacing w:before="59" w:after="0"/>
        <w:ind w:left="770" w:right="278"/>
        <w:rPr>
          <w:rFonts w:asciiTheme="majorHAnsi" w:eastAsia="Times New Roman" w:hAnsiTheme="majorHAnsi" w:cs="Times New Roman"/>
          <w:sz w:val="20"/>
          <w:szCs w:val="20"/>
        </w:rPr>
      </w:pPr>
    </w:p>
    <w:p w14:paraId="60E741B0" w14:textId="3B40EA76" w:rsidR="00C60D10" w:rsidRDefault="00C60D10" w:rsidP="00271F3B">
      <w:pPr>
        <w:rPr>
          <w:rFonts w:asciiTheme="majorHAnsi" w:hAnsiTheme="majorHAnsi" w:cstheme="minorHAnsi"/>
          <w:lang w:val="en"/>
        </w:rPr>
      </w:pPr>
      <w:r w:rsidRPr="00271F3B">
        <w:rPr>
          <w:rFonts w:asciiTheme="majorHAnsi" w:hAnsiTheme="majorHAnsi" w:cstheme="minorHAnsi"/>
          <w:lang w:val="en"/>
        </w:rPr>
        <w:t xml:space="preserve">After the initial increase following each injection, mean serum concentrations remained relatively constant; 0.28 – 2.0 ng/mL for </w:t>
      </w:r>
      <w:r w:rsidR="004A70BE">
        <w:rPr>
          <w:rFonts w:asciiTheme="majorHAnsi" w:hAnsiTheme="majorHAnsi" w:cstheme="minorHAnsi"/>
          <w:lang w:val="en"/>
        </w:rPr>
        <w:t>ELIGARD</w:t>
      </w:r>
      <w:r w:rsidRPr="00271F3B">
        <w:rPr>
          <w:rFonts w:asciiTheme="majorHAnsi" w:hAnsiTheme="majorHAnsi" w:cstheme="minorHAnsi"/>
          <w:lang w:val="en"/>
        </w:rPr>
        <w:t xml:space="preserve"> 1 month, 0.2 – 2.0 ng/mL for </w:t>
      </w:r>
      <w:r w:rsidR="004A70BE">
        <w:rPr>
          <w:rFonts w:asciiTheme="majorHAnsi" w:hAnsiTheme="majorHAnsi" w:cstheme="minorHAnsi"/>
          <w:lang w:val="en"/>
        </w:rPr>
        <w:t>ELIGARD</w:t>
      </w:r>
      <w:r w:rsidRPr="00271F3B">
        <w:rPr>
          <w:rFonts w:asciiTheme="majorHAnsi" w:hAnsiTheme="majorHAnsi" w:cstheme="minorHAnsi"/>
          <w:lang w:val="en"/>
        </w:rPr>
        <w:t xml:space="preserve"> 3 month, 0.1 – 1.0 ng/mL for </w:t>
      </w:r>
      <w:r w:rsidR="004A70BE">
        <w:rPr>
          <w:rFonts w:asciiTheme="majorHAnsi" w:hAnsiTheme="majorHAnsi" w:cstheme="minorHAnsi"/>
          <w:lang w:val="en"/>
        </w:rPr>
        <w:t>ELIGARD</w:t>
      </w:r>
      <w:r w:rsidRPr="00271F3B">
        <w:rPr>
          <w:rFonts w:asciiTheme="majorHAnsi" w:hAnsiTheme="majorHAnsi" w:cstheme="minorHAnsi"/>
          <w:lang w:val="en"/>
        </w:rPr>
        <w:t xml:space="preserve"> 4 month and 0.2 – 2.0 ng/mL for </w:t>
      </w:r>
      <w:r w:rsidR="004A70BE">
        <w:rPr>
          <w:rFonts w:asciiTheme="majorHAnsi" w:hAnsiTheme="majorHAnsi" w:cstheme="minorHAnsi"/>
          <w:lang w:val="en"/>
        </w:rPr>
        <w:t>ELIGARD</w:t>
      </w:r>
      <w:r w:rsidRPr="00271F3B">
        <w:rPr>
          <w:rFonts w:asciiTheme="majorHAnsi" w:hAnsiTheme="majorHAnsi" w:cstheme="minorHAnsi"/>
          <w:lang w:val="en"/>
        </w:rPr>
        <w:t xml:space="preserve"> 6 month. There was no evidence of significant accumulation during repeated dosing. Non-detectable leuprorelin serum concentrations have been observed during chronic </w:t>
      </w:r>
      <w:r w:rsidR="004A70BE">
        <w:rPr>
          <w:rFonts w:asciiTheme="majorHAnsi" w:hAnsiTheme="majorHAnsi" w:cstheme="minorHAnsi"/>
          <w:lang w:val="en"/>
        </w:rPr>
        <w:t>ELIGARD</w:t>
      </w:r>
      <w:r w:rsidRPr="00271F3B">
        <w:rPr>
          <w:rFonts w:asciiTheme="majorHAnsi" w:hAnsiTheme="majorHAnsi" w:cstheme="minorHAnsi"/>
          <w:lang w:val="en"/>
        </w:rPr>
        <w:t xml:space="preserve"> administration, but testosterone levels were maintained at castrate levels.</w:t>
      </w:r>
    </w:p>
    <w:p w14:paraId="3F9E55BB" w14:textId="77777777" w:rsidR="00297186" w:rsidRPr="00272DC2" w:rsidRDefault="00297186" w:rsidP="00272DC2">
      <w:pPr>
        <w:pStyle w:val="Heading4"/>
        <w:numPr>
          <w:ilvl w:val="0"/>
          <w:numId w:val="0"/>
        </w:numPr>
        <w:rPr>
          <w:i w:val="0"/>
          <w:iCs w:val="0"/>
          <w:lang w:val="en"/>
        </w:rPr>
      </w:pPr>
      <w:r w:rsidRPr="00272DC2">
        <w:rPr>
          <w:lang w:val="en"/>
        </w:rPr>
        <w:t xml:space="preserve">Central Precocious Puberty  </w:t>
      </w:r>
    </w:p>
    <w:p w14:paraId="446F89F5" w14:textId="2608EDFA" w:rsidR="008002BA" w:rsidRPr="00271F3B" w:rsidRDefault="008002BA" w:rsidP="00271F3B">
      <w:pPr>
        <w:rPr>
          <w:rFonts w:asciiTheme="majorHAnsi" w:hAnsiTheme="majorHAnsi" w:cstheme="minorHAnsi"/>
          <w:lang w:val="en"/>
        </w:rPr>
      </w:pPr>
      <w:r w:rsidRPr="008002BA">
        <w:rPr>
          <w:rFonts w:asciiTheme="majorHAnsi" w:hAnsiTheme="majorHAnsi" w:cstheme="minorHAnsi"/>
        </w:rPr>
        <w:t xml:space="preserve">After an initial subcutaneous injection of </w:t>
      </w:r>
      <w:r w:rsidR="005F6F6E" w:rsidRPr="005F6F6E">
        <w:rPr>
          <w:rFonts w:asciiTheme="majorHAnsi" w:hAnsiTheme="majorHAnsi" w:cstheme="minorHAnsi"/>
        </w:rPr>
        <w:t>ELIGARD</w:t>
      </w:r>
      <w:r w:rsidRPr="008002BA">
        <w:rPr>
          <w:rFonts w:asciiTheme="majorHAnsi" w:hAnsiTheme="majorHAnsi" w:cstheme="minorHAnsi"/>
        </w:rPr>
        <w:t xml:space="preserve"> 45 mg in p</w:t>
      </w:r>
      <w:r w:rsidR="00E609A0">
        <w:rPr>
          <w:rFonts w:asciiTheme="majorHAnsi" w:hAnsiTheme="majorHAnsi" w:cstheme="minorHAnsi"/>
        </w:rPr>
        <w:t>a</w:t>
      </w:r>
      <w:r w:rsidRPr="008002BA">
        <w:rPr>
          <w:rFonts w:asciiTheme="majorHAnsi" w:hAnsiTheme="majorHAnsi" w:cstheme="minorHAnsi"/>
        </w:rPr>
        <w:t xml:space="preserve">ediatric patients 4 to 9 years of age with CPP, </w:t>
      </w:r>
      <w:r w:rsidR="0020656D">
        <w:rPr>
          <w:rFonts w:asciiTheme="majorHAnsi" w:hAnsiTheme="majorHAnsi" w:cstheme="minorHAnsi"/>
        </w:rPr>
        <w:t>leuprorelin</w:t>
      </w:r>
      <w:r w:rsidRPr="008002BA">
        <w:rPr>
          <w:rFonts w:asciiTheme="majorHAnsi" w:hAnsiTheme="majorHAnsi" w:cstheme="minorHAnsi"/>
        </w:rPr>
        <w:t xml:space="preserve"> levels peaked 4 hours </w:t>
      </w:r>
      <w:r w:rsidR="00BF0063" w:rsidRPr="008002BA">
        <w:rPr>
          <w:rFonts w:asciiTheme="majorHAnsi" w:hAnsiTheme="majorHAnsi" w:cstheme="minorHAnsi"/>
        </w:rPr>
        <w:t>post dose</w:t>
      </w:r>
      <w:r w:rsidRPr="008002BA">
        <w:rPr>
          <w:rFonts w:asciiTheme="majorHAnsi" w:hAnsiTheme="majorHAnsi" w:cstheme="minorHAnsi"/>
        </w:rPr>
        <w:t xml:space="preserve"> with a mean </w:t>
      </w:r>
      <w:proofErr w:type="spellStart"/>
      <w:r w:rsidRPr="008002BA">
        <w:rPr>
          <w:rFonts w:asciiTheme="majorHAnsi" w:hAnsiTheme="majorHAnsi" w:cstheme="minorHAnsi"/>
        </w:rPr>
        <w:t>Cmax</w:t>
      </w:r>
      <w:proofErr w:type="spellEnd"/>
      <w:r w:rsidRPr="008002BA">
        <w:rPr>
          <w:rFonts w:asciiTheme="majorHAnsi" w:hAnsiTheme="majorHAnsi" w:cstheme="minorHAnsi"/>
        </w:rPr>
        <w:t xml:space="preserve"> of 212.3 ng/</w:t>
      </w:r>
      <w:proofErr w:type="spellStart"/>
      <w:r w:rsidRPr="008002BA">
        <w:rPr>
          <w:rFonts w:asciiTheme="majorHAnsi" w:hAnsiTheme="majorHAnsi" w:cstheme="minorHAnsi"/>
        </w:rPr>
        <w:t>mL.</w:t>
      </w:r>
      <w:proofErr w:type="spellEnd"/>
      <w:r w:rsidRPr="008002BA">
        <w:rPr>
          <w:rFonts w:asciiTheme="majorHAnsi" w:hAnsiTheme="majorHAnsi" w:cstheme="minorHAnsi"/>
        </w:rPr>
        <w:t xml:space="preserve"> Absorption occurred in two </w:t>
      </w:r>
      <w:proofErr w:type="gramStart"/>
      <w:r w:rsidRPr="008002BA">
        <w:rPr>
          <w:rFonts w:asciiTheme="majorHAnsi" w:hAnsiTheme="majorHAnsi" w:cstheme="minorHAnsi"/>
        </w:rPr>
        <w:t>phases,</w:t>
      </w:r>
      <w:proofErr w:type="gramEnd"/>
      <w:r w:rsidRPr="008002BA">
        <w:rPr>
          <w:rFonts w:asciiTheme="majorHAnsi" w:hAnsiTheme="majorHAnsi" w:cstheme="minorHAnsi"/>
        </w:rPr>
        <w:t xml:space="preserve"> a burst phase followed by a plateau phase. The mean plateau serum </w:t>
      </w:r>
      <w:r w:rsidR="0020656D">
        <w:rPr>
          <w:rFonts w:asciiTheme="majorHAnsi" w:hAnsiTheme="majorHAnsi" w:cstheme="minorHAnsi"/>
        </w:rPr>
        <w:t>leuprorelin</w:t>
      </w:r>
      <w:r w:rsidRPr="008002BA">
        <w:rPr>
          <w:rFonts w:asciiTheme="majorHAnsi" w:hAnsiTheme="majorHAnsi" w:cstheme="minorHAnsi"/>
        </w:rPr>
        <w:t xml:space="preserve"> level from 4 to 48 weeks was approximately 0.37 ng/mL with a range of 0.18 to 0.63 ng/</w:t>
      </w:r>
      <w:proofErr w:type="spellStart"/>
      <w:r w:rsidRPr="008002BA">
        <w:rPr>
          <w:rFonts w:asciiTheme="majorHAnsi" w:hAnsiTheme="majorHAnsi" w:cstheme="minorHAnsi"/>
        </w:rPr>
        <w:t>mL.</w:t>
      </w:r>
      <w:proofErr w:type="spellEnd"/>
      <w:r w:rsidRPr="008002BA">
        <w:rPr>
          <w:rFonts w:asciiTheme="majorHAnsi" w:hAnsiTheme="majorHAnsi" w:cstheme="minorHAnsi"/>
        </w:rPr>
        <w:t xml:space="preserve"> There was no accumulation of </w:t>
      </w:r>
      <w:r w:rsidR="0020656D">
        <w:rPr>
          <w:rFonts w:asciiTheme="majorHAnsi" w:hAnsiTheme="majorHAnsi" w:cstheme="minorHAnsi"/>
        </w:rPr>
        <w:t>leuprorelin</w:t>
      </w:r>
      <w:r w:rsidRPr="008002BA">
        <w:rPr>
          <w:rFonts w:asciiTheme="majorHAnsi" w:hAnsiTheme="majorHAnsi" w:cstheme="minorHAnsi"/>
        </w:rPr>
        <w:t xml:space="preserve"> after the second dose.</w:t>
      </w:r>
    </w:p>
    <w:p w14:paraId="5089031C" w14:textId="73F5226E" w:rsidR="00C60D10" w:rsidRPr="005C0404" w:rsidRDefault="001A3992" w:rsidP="00E40ADF">
      <w:pPr>
        <w:pStyle w:val="Heading3"/>
        <w:numPr>
          <w:ilvl w:val="0"/>
          <w:numId w:val="0"/>
        </w:numPr>
      </w:pPr>
      <w:r w:rsidRPr="005C0404">
        <w:t>Distribution</w:t>
      </w:r>
    </w:p>
    <w:p w14:paraId="4E54FC80" w14:textId="77777777" w:rsidR="008002BA" w:rsidRDefault="00C60D10" w:rsidP="005C0404">
      <w:pPr>
        <w:rPr>
          <w:rFonts w:asciiTheme="majorHAnsi" w:hAnsiTheme="majorHAnsi" w:cstheme="minorHAnsi"/>
          <w:lang w:val="en"/>
        </w:rPr>
      </w:pPr>
      <w:r w:rsidRPr="005C0404">
        <w:rPr>
          <w:rFonts w:asciiTheme="majorHAnsi" w:hAnsiTheme="majorHAnsi" w:cstheme="minorHAnsi"/>
          <w:lang w:val="en"/>
        </w:rPr>
        <w:t>The mean steady-state volume of distribution of leuprorelin following intravenous bolus administration to healthy male volunteers was 27 L.</w:t>
      </w:r>
    </w:p>
    <w:p w14:paraId="189FF274" w14:textId="5C51AF25" w:rsidR="00C60D10" w:rsidRDefault="00C60D10" w:rsidP="005C0404">
      <w:pPr>
        <w:rPr>
          <w:rFonts w:asciiTheme="majorHAnsi" w:hAnsiTheme="majorHAnsi" w:cstheme="minorHAnsi"/>
          <w:lang w:val="en"/>
        </w:rPr>
      </w:pPr>
      <w:r w:rsidRPr="00DC150E">
        <w:rPr>
          <w:rFonts w:asciiTheme="majorHAnsi" w:hAnsiTheme="majorHAnsi" w:cstheme="minorHAnsi"/>
          <w:i/>
          <w:lang w:val="en"/>
        </w:rPr>
        <w:t>In vitro</w:t>
      </w:r>
      <w:r w:rsidRPr="005C0404">
        <w:rPr>
          <w:rFonts w:asciiTheme="majorHAnsi" w:hAnsiTheme="majorHAnsi" w:cstheme="minorHAnsi"/>
          <w:lang w:val="en"/>
        </w:rPr>
        <w:t xml:space="preserve"> binding to human plasma proteins ranged from 43% to </w:t>
      </w:r>
      <w:r w:rsidR="005C0404">
        <w:rPr>
          <w:rFonts w:asciiTheme="majorHAnsi" w:hAnsiTheme="majorHAnsi" w:cstheme="minorHAnsi"/>
          <w:lang w:val="en"/>
        </w:rPr>
        <w:t>49%.</w:t>
      </w:r>
    </w:p>
    <w:p w14:paraId="6B00A2EC" w14:textId="351B1562" w:rsidR="00563641" w:rsidRPr="005C0404" w:rsidRDefault="00563641" w:rsidP="005C0404">
      <w:pPr>
        <w:rPr>
          <w:rFonts w:asciiTheme="majorHAnsi" w:hAnsiTheme="majorHAnsi" w:cstheme="minorHAnsi"/>
          <w:lang w:val="en"/>
        </w:rPr>
      </w:pPr>
      <w:r w:rsidRPr="008002BA">
        <w:rPr>
          <w:rFonts w:asciiTheme="majorHAnsi" w:hAnsiTheme="majorHAnsi" w:cstheme="minorHAnsi"/>
        </w:rPr>
        <w:t xml:space="preserve">The distribution of </w:t>
      </w:r>
      <w:r w:rsidR="0020656D">
        <w:rPr>
          <w:rFonts w:asciiTheme="majorHAnsi" w:hAnsiTheme="majorHAnsi" w:cstheme="minorHAnsi"/>
        </w:rPr>
        <w:t>leuprorelin</w:t>
      </w:r>
      <w:r w:rsidRPr="008002BA">
        <w:rPr>
          <w:rFonts w:asciiTheme="majorHAnsi" w:hAnsiTheme="majorHAnsi" w:cstheme="minorHAnsi"/>
        </w:rPr>
        <w:t xml:space="preserve"> following </w:t>
      </w:r>
      <w:r w:rsidRPr="005F6F6E">
        <w:rPr>
          <w:rFonts w:asciiTheme="majorHAnsi" w:hAnsiTheme="majorHAnsi" w:cstheme="minorHAnsi"/>
        </w:rPr>
        <w:t>ELIGARD</w:t>
      </w:r>
      <w:r w:rsidRPr="005F6F6E" w:rsidDel="005F6F6E">
        <w:rPr>
          <w:rFonts w:asciiTheme="majorHAnsi" w:hAnsiTheme="majorHAnsi" w:cstheme="minorHAnsi"/>
        </w:rPr>
        <w:t xml:space="preserve"> </w:t>
      </w:r>
      <w:r w:rsidRPr="005F6F6E">
        <w:rPr>
          <w:rFonts w:asciiTheme="majorHAnsi" w:hAnsiTheme="majorHAnsi" w:cstheme="minorHAnsi"/>
        </w:rPr>
        <w:t>administration</w:t>
      </w:r>
      <w:r w:rsidRPr="008002BA">
        <w:rPr>
          <w:rFonts w:asciiTheme="majorHAnsi" w:hAnsiTheme="majorHAnsi" w:cstheme="minorHAnsi"/>
        </w:rPr>
        <w:t xml:space="preserve"> was not evaluated in p</w:t>
      </w:r>
      <w:r w:rsidR="00735C0A">
        <w:rPr>
          <w:rFonts w:asciiTheme="majorHAnsi" w:hAnsiTheme="majorHAnsi" w:cstheme="minorHAnsi"/>
        </w:rPr>
        <w:t>a</w:t>
      </w:r>
      <w:r w:rsidRPr="008002BA">
        <w:rPr>
          <w:rFonts w:asciiTheme="majorHAnsi" w:hAnsiTheme="majorHAnsi" w:cstheme="minorHAnsi"/>
        </w:rPr>
        <w:t>ediatric patients</w:t>
      </w:r>
      <w:r>
        <w:rPr>
          <w:rFonts w:asciiTheme="majorHAnsi" w:hAnsiTheme="majorHAnsi" w:cstheme="minorHAnsi"/>
        </w:rPr>
        <w:t>.</w:t>
      </w:r>
    </w:p>
    <w:p w14:paraId="7B90FBFC" w14:textId="7836B34C" w:rsidR="00C60D10" w:rsidRPr="005C0404" w:rsidRDefault="001A3992" w:rsidP="00E40ADF">
      <w:pPr>
        <w:pStyle w:val="Heading3"/>
        <w:numPr>
          <w:ilvl w:val="0"/>
          <w:numId w:val="0"/>
        </w:numPr>
      </w:pPr>
      <w:r w:rsidRPr="005C0404">
        <w:t>Metabolism</w:t>
      </w:r>
    </w:p>
    <w:p w14:paraId="041FF11B" w14:textId="4F758930" w:rsidR="00C60D10" w:rsidRPr="005C0404" w:rsidRDefault="00C60D10" w:rsidP="005C0404">
      <w:pPr>
        <w:rPr>
          <w:rFonts w:asciiTheme="majorHAnsi" w:hAnsiTheme="majorHAnsi" w:cstheme="minorHAnsi"/>
          <w:lang w:val="en"/>
        </w:rPr>
      </w:pPr>
      <w:r w:rsidRPr="005C0404">
        <w:rPr>
          <w:rFonts w:asciiTheme="majorHAnsi" w:hAnsiTheme="majorHAnsi" w:cstheme="minorHAnsi"/>
          <w:lang w:val="en"/>
        </w:rPr>
        <w:t xml:space="preserve">In healthy male volunteers, a 1 mg bolus of leuprorelin administered intravenously revealed that the mean systemic clearance was 7.6 L/h, with a terminal elimination half-life of approximately 3 hours based on a </w:t>
      </w:r>
      <w:proofErr w:type="gramStart"/>
      <w:r w:rsidRPr="005C0404">
        <w:rPr>
          <w:rFonts w:asciiTheme="majorHAnsi" w:hAnsiTheme="majorHAnsi" w:cstheme="minorHAnsi"/>
          <w:lang w:val="en"/>
        </w:rPr>
        <w:t>two compartment</w:t>
      </w:r>
      <w:proofErr w:type="gramEnd"/>
      <w:r w:rsidRPr="005C0404">
        <w:rPr>
          <w:rFonts w:asciiTheme="majorHAnsi" w:hAnsiTheme="majorHAnsi" w:cstheme="minorHAnsi"/>
          <w:lang w:val="en"/>
        </w:rPr>
        <w:t xml:space="preserve"> model.</w:t>
      </w:r>
    </w:p>
    <w:p w14:paraId="5654EEB8" w14:textId="21CDB0E4" w:rsidR="00905983" w:rsidRPr="00F67D1A" w:rsidRDefault="00C60D10" w:rsidP="005C0404">
      <w:pPr>
        <w:rPr>
          <w:rFonts w:asciiTheme="majorHAnsi" w:hAnsiTheme="majorHAnsi" w:cstheme="minorHAnsi"/>
          <w:strike/>
          <w:lang w:val="en"/>
        </w:rPr>
      </w:pPr>
      <w:r w:rsidRPr="005C0404">
        <w:rPr>
          <w:rFonts w:asciiTheme="majorHAnsi" w:hAnsiTheme="majorHAnsi" w:cstheme="minorHAnsi"/>
          <w:lang w:val="en"/>
        </w:rPr>
        <w:lastRenderedPageBreak/>
        <w:t xml:space="preserve">Drug metabolism studies were not conducted with </w:t>
      </w:r>
      <w:r w:rsidR="004A70BE">
        <w:rPr>
          <w:rFonts w:asciiTheme="majorHAnsi" w:hAnsiTheme="majorHAnsi" w:cstheme="minorHAnsi"/>
          <w:lang w:val="en"/>
        </w:rPr>
        <w:t>ELIGARD</w:t>
      </w:r>
      <w:r w:rsidRPr="005C0404">
        <w:rPr>
          <w:rFonts w:asciiTheme="majorHAnsi" w:hAnsiTheme="majorHAnsi" w:cstheme="minorHAnsi"/>
          <w:lang w:val="en"/>
        </w:rPr>
        <w:t>. Upon administration with different leuprorelin acetate formulations, the major metabolite of leuprorelin acetate is a pentapeptide (M-1) metabolite.</w:t>
      </w:r>
      <w:r w:rsidRPr="005C0404" w:rsidDel="008C670B">
        <w:rPr>
          <w:rFonts w:asciiTheme="majorHAnsi" w:hAnsiTheme="majorHAnsi" w:cstheme="minorHAnsi"/>
          <w:lang w:val="en"/>
        </w:rPr>
        <w:t xml:space="preserve"> </w:t>
      </w:r>
    </w:p>
    <w:p w14:paraId="4937658E" w14:textId="77777777" w:rsidR="001A3992" w:rsidRPr="005C0404" w:rsidRDefault="001A3992" w:rsidP="00E40ADF">
      <w:pPr>
        <w:pStyle w:val="Heading3"/>
        <w:numPr>
          <w:ilvl w:val="0"/>
          <w:numId w:val="0"/>
        </w:numPr>
      </w:pPr>
      <w:r w:rsidRPr="005C0404">
        <w:t>Excretion</w:t>
      </w:r>
    </w:p>
    <w:p w14:paraId="12502B55" w14:textId="4DC178E1" w:rsidR="00C60D10" w:rsidRDefault="00C60D10" w:rsidP="005C0404">
      <w:pPr>
        <w:rPr>
          <w:rFonts w:asciiTheme="majorHAnsi" w:hAnsiTheme="majorHAnsi" w:cstheme="minorHAnsi"/>
          <w:lang w:val="en"/>
        </w:rPr>
      </w:pPr>
      <w:r w:rsidRPr="005C0404">
        <w:rPr>
          <w:rFonts w:asciiTheme="majorHAnsi" w:hAnsiTheme="majorHAnsi" w:cstheme="minorHAnsi"/>
          <w:lang w:val="en"/>
        </w:rPr>
        <w:t xml:space="preserve">Drug excretion studies were not conducted with </w:t>
      </w:r>
      <w:r w:rsidR="004A70BE">
        <w:rPr>
          <w:rFonts w:asciiTheme="majorHAnsi" w:hAnsiTheme="majorHAnsi" w:cstheme="minorHAnsi"/>
          <w:lang w:val="en"/>
        </w:rPr>
        <w:t>ELIGARD</w:t>
      </w:r>
      <w:r w:rsidRPr="005C0404">
        <w:rPr>
          <w:rFonts w:asciiTheme="majorHAnsi" w:hAnsiTheme="majorHAnsi" w:cstheme="minorHAnsi"/>
          <w:lang w:val="en"/>
        </w:rPr>
        <w:t>.</w:t>
      </w:r>
    </w:p>
    <w:p w14:paraId="4FAE5CDD" w14:textId="47125E34" w:rsidR="0059466D" w:rsidRPr="005C0404" w:rsidRDefault="0059466D" w:rsidP="00E40ADF">
      <w:pPr>
        <w:pStyle w:val="Heading3"/>
        <w:numPr>
          <w:ilvl w:val="0"/>
          <w:numId w:val="0"/>
        </w:numPr>
      </w:pPr>
      <w:r>
        <w:t>Special populations</w:t>
      </w:r>
    </w:p>
    <w:p w14:paraId="19358BA8" w14:textId="57E93122" w:rsidR="0059466D" w:rsidRDefault="00C93ED5" w:rsidP="00E40ADF">
      <w:pPr>
        <w:pStyle w:val="Heading4"/>
        <w:numPr>
          <w:ilvl w:val="0"/>
          <w:numId w:val="0"/>
        </w:numPr>
        <w:rPr>
          <w:lang w:val="en"/>
        </w:rPr>
      </w:pPr>
      <w:r>
        <w:rPr>
          <w:lang w:val="en"/>
        </w:rPr>
        <w:t>Geriatrics</w:t>
      </w:r>
    </w:p>
    <w:p w14:paraId="280EC077" w14:textId="64CA3C36" w:rsidR="00C93ED5" w:rsidRDefault="00C93ED5" w:rsidP="00C93ED5">
      <w:pPr>
        <w:rPr>
          <w:rFonts w:asciiTheme="majorHAnsi" w:hAnsiTheme="majorHAnsi" w:cstheme="minorHAnsi"/>
          <w:lang w:val="en"/>
        </w:rPr>
      </w:pPr>
      <w:proofErr w:type="gramStart"/>
      <w:r w:rsidRPr="00C93ED5">
        <w:rPr>
          <w:rFonts w:asciiTheme="majorHAnsi" w:hAnsiTheme="majorHAnsi" w:cstheme="minorHAnsi"/>
          <w:lang w:val="en"/>
        </w:rPr>
        <w:t>The majority of</w:t>
      </w:r>
      <w:proofErr w:type="gramEnd"/>
      <w:r w:rsidRPr="00C93ED5">
        <w:rPr>
          <w:rFonts w:asciiTheme="majorHAnsi" w:hAnsiTheme="majorHAnsi" w:cstheme="minorHAnsi"/>
          <w:lang w:val="en"/>
        </w:rPr>
        <w:t xml:space="preserve"> the patients (approximately 70%) studied in these clinical trials were age 70</w:t>
      </w:r>
      <w:r>
        <w:rPr>
          <w:rFonts w:asciiTheme="majorHAnsi" w:hAnsiTheme="majorHAnsi" w:cstheme="minorHAnsi"/>
          <w:lang w:val="en"/>
        </w:rPr>
        <w:t xml:space="preserve"> </w:t>
      </w:r>
      <w:r w:rsidRPr="00C93ED5">
        <w:rPr>
          <w:rFonts w:asciiTheme="majorHAnsi" w:hAnsiTheme="majorHAnsi" w:cstheme="minorHAnsi"/>
          <w:lang w:val="en"/>
        </w:rPr>
        <w:t>and older.</w:t>
      </w:r>
    </w:p>
    <w:p w14:paraId="3D74C566" w14:textId="3E80BFAB" w:rsidR="00C93ED5" w:rsidRPr="00C93ED5" w:rsidRDefault="00C93ED5" w:rsidP="00E40ADF">
      <w:pPr>
        <w:pStyle w:val="Heading4"/>
        <w:numPr>
          <w:ilvl w:val="0"/>
          <w:numId w:val="0"/>
        </w:numPr>
        <w:rPr>
          <w:lang w:val="en"/>
        </w:rPr>
      </w:pPr>
      <w:proofErr w:type="spellStart"/>
      <w:r w:rsidRPr="00C93ED5">
        <w:rPr>
          <w:lang w:val="en"/>
        </w:rPr>
        <w:t>Paediatrics</w:t>
      </w:r>
      <w:proofErr w:type="spellEnd"/>
    </w:p>
    <w:p w14:paraId="6C45CF52" w14:textId="789ADDE6" w:rsidR="00C93ED5" w:rsidRDefault="00C93ED5" w:rsidP="00297186">
      <w:pPr>
        <w:rPr>
          <w:rFonts w:asciiTheme="majorHAnsi" w:hAnsiTheme="majorHAnsi" w:cstheme="minorHAnsi"/>
          <w:lang w:val="en"/>
        </w:rPr>
      </w:pPr>
      <w:r w:rsidRPr="00C93ED5">
        <w:rPr>
          <w:rFonts w:asciiTheme="majorHAnsi" w:hAnsiTheme="majorHAnsi" w:cstheme="minorHAnsi"/>
          <w:lang w:val="en"/>
        </w:rPr>
        <w:t xml:space="preserve">The safety and effectiveness of </w:t>
      </w:r>
      <w:r w:rsidR="004A70BE">
        <w:rPr>
          <w:rFonts w:asciiTheme="majorHAnsi" w:hAnsiTheme="majorHAnsi" w:cstheme="minorHAnsi"/>
          <w:lang w:val="en"/>
        </w:rPr>
        <w:t>ELIGARD</w:t>
      </w:r>
      <w:r w:rsidRPr="00C93ED5">
        <w:rPr>
          <w:rFonts w:asciiTheme="majorHAnsi" w:hAnsiTheme="majorHAnsi" w:cstheme="minorHAnsi"/>
          <w:lang w:val="en"/>
        </w:rPr>
        <w:t xml:space="preserve"> </w:t>
      </w:r>
      <w:r w:rsidR="00297186" w:rsidRPr="00297186">
        <w:rPr>
          <w:rFonts w:asciiTheme="majorHAnsi" w:hAnsiTheme="majorHAnsi" w:cstheme="minorHAnsi"/>
          <w:lang w:val="en"/>
        </w:rPr>
        <w:t>7.5mg 1 Month,22.5mg 3 Month</w:t>
      </w:r>
      <w:r w:rsidR="00297186">
        <w:rPr>
          <w:rFonts w:asciiTheme="majorHAnsi" w:hAnsiTheme="majorHAnsi" w:cstheme="minorHAnsi"/>
          <w:lang w:val="en"/>
        </w:rPr>
        <w:t xml:space="preserve"> and </w:t>
      </w:r>
      <w:r w:rsidR="00297186" w:rsidRPr="00297186">
        <w:rPr>
          <w:rFonts w:asciiTheme="majorHAnsi" w:hAnsiTheme="majorHAnsi" w:cstheme="minorHAnsi"/>
          <w:lang w:val="en"/>
        </w:rPr>
        <w:t>30mg 4 Month</w:t>
      </w:r>
      <w:r w:rsidR="00297186">
        <w:rPr>
          <w:rFonts w:asciiTheme="majorHAnsi" w:hAnsiTheme="majorHAnsi" w:cstheme="minorHAnsi"/>
          <w:lang w:val="en"/>
        </w:rPr>
        <w:t xml:space="preserve"> </w:t>
      </w:r>
      <w:r w:rsidRPr="00C93ED5">
        <w:rPr>
          <w:rFonts w:asciiTheme="majorHAnsi" w:hAnsiTheme="majorHAnsi" w:cstheme="minorHAnsi"/>
          <w:lang w:val="en"/>
        </w:rPr>
        <w:t xml:space="preserve">in </w:t>
      </w:r>
      <w:proofErr w:type="spellStart"/>
      <w:r w:rsidRPr="00C93ED5">
        <w:rPr>
          <w:rFonts w:asciiTheme="majorHAnsi" w:hAnsiTheme="majorHAnsi" w:cstheme="minorHAnsi"/>
          <w:lang w:val="en"/>
        </w:rPr>
        <w:t>paediatric</w:t>
      </w:r>
      <w:proofErr w:type="spellEnd"/>
      <w:r w:rsidRPr="00C93ED5">
        <w:rPr>
          <w:rFonts w:asciiTheme="majorHAnsi" w:hAnsiTheme="majorHAnsi" w:cstheme="minorHAnsi"/>
          <w:lang w:val="en"/>
        </w:rPr>
        <w:t xml:space="preserve"> patients have not been established (see</w:t>
      </w:r>
      <w:r>
        <w:rPr>
          <w:rFonts w:asciiTheme="majorHAnsi" w:hAnsiTheme="majorHAnsi" w:cstheme="minorHAnsi"/>
          <w:lang w:val="en"/>
        </w:rPr>
        <w:t xml:space="preserve"> </w:t>
      </w:r>
      <w:r w:rsidR="00DC150E">
        <w:rPr>
          <w:rFonts w:asciiTheme="majorHAnsi" w:hAnsiTheme="majorHAnsi" w:cstheme="minorHAnsi"/>
          <w:lang w:val="en"/>
        </w:rPr>
        <w:t xml:space="preserve">Section 4.3 </w:t>
      </w:r>
      <w:r w:rsidRPr="00C93ED5">
        <w:rPr>
          <w:rFonts w:asciiTheme="majorHAnsi" w:hAnsiTheme="majorHAnsi" w:cstheme="minorHAnsi"/>
          <w:lang w:val="en"/>
        </w:rPr>
        <w:t>CONTRAINDICATIONS).</w:t>
      </w:r>
    </w:p>
    <w:p w14:paraId="07E5C740" w14:textId="01F6977C" w:rsidR="00C93ED5" w:rsidRPr="00C93ED5" w:rsidRDefault="00C93ED5" w:rsidP="00E40ADF">
      <w:pPr>
        <w:pStyle w:val="Heading4"/>
        <w:numPr>
          <w:ilvl w:val="0"/>
          <w:numId w:val="0"/>
        </w:numPr>
        <w:rPr>
          <w:lang w:val="en"/>
        </w:rPr>
      </w:pPr>
      <w:r w:rsidRPr="00C93ED5">
        <w:rPr>
          <w:lang w:val="en"/>
        </w:rPr>
        <w:t>Renal and hepatic insufficiency</w:t>
      </w:r>
    </w:p>
    <w:p w14:paraId="6C1E2D90" w14:textId="790B69C0" w:rsidR="00C93ED5" w:rsidRPr="005C0404" w:rsidRDefault="00C93ED5" w:rsidP="00C93ED5">
      <w:pPr>
        <w:rPr>
          <w:rFonts w:asciiTheme="majorHAnsi" w:hAnsiTheme="majorHAnsi" w:cstheme="minorHAnsi"/>
          <w:lang w:val="en"/>
        </w:rPr>
      </w:pPr>
      <w:r w:rsidRPr="00C93ED5">
        <w:rPr>
          <w:rFonts w:asciiTheme="majorHAnsi" w:hAnsiTheme="majorHAnsi" w:cstheme="minorHAnsi"/>
          <w:lang w:val="en"/>
        </w:rPr>
        <w:t xml:space="preserve">The pharmacokinetics of </w:t>
      </w:r>
      <w:r w:rsidR="004A70BE">
        <w:rPr>
          <w:rFonts w:asciiTheme="majorHAnsi" w:hAnsiTheme="majorHAnsi" w:cstheme="minorHAnsi"/>
          <w:lang w:val="en"/>
        </w:rPr>
        <w:t>ELIGARD</w:t>
      </w:r>
      <w:r w:rsidRPr="00C93ED5">
        <w:rPr>
          <w:rFonts w:asciiTheme="majorHAnsi" w:hAnsiTheme="majorHAnsi" w:cstheme="minorHAnsi"/>
          <w:lang w:val="en"/>
        </w:rPr>
        <w:t xml:space="preserve"> in hepatically and renally impaired </w:t>
      </w:r>
      <w:r w:rsidR="00CB0370" w:rsidRPr="00995F1D">
        <w:rPr>
          <w:rFonts w:asciiTheme="majorHAnsi" w:hAnsiTheme="majorHAnsi" w:cstheme="minorHAnsi"/>
          <w:lang w:val="en"/>
        </w:rPr>
        <w:t xml:space="preserve">adult and </w:t>
      </w:r>
      <w:r w:rsidR="00CB0370" w:rsidRPr="00995F1D">
        <w:rPr>
          <w:rFonts w:asciiTheme="majorHAnsi" w:hAnsiTheme="majorHAnsi"/>
          <w:color w:val="000000"/>
        </w:rPr>
        <w:t>p</w:t>
      </w:r>
      <w:r w:rsidR="00926CBB">
        <w:rPr>
          <w:rFonts w:asciiTheme="majorHAnsi" w:hAnsiTheme="majorHAnsi"/>
          <w:color w:val="000000"/>
        </w:rPr>
        <w:t>a</w:t>
      </w:r>
      <w:r w:rsidR="00CB0370" w:rsidRPr="00995F1D">
        <w:rPr>
          <w:rFonts w:asciiTheme="majorHAnsi" w:hAnsiTheme="majorHAnsi"/>
          <w:color w:val="000000"/>
        </w:rPr>
        <w:t>ediatric</w:t>
      </w:r>
      <w:r w:rsidR="00CB0370">
        <w:rPr>
          <w:color w:val="000000"/>
          <w:sz w:val="23"/>
          <w:szCs w:val="23"/>
        </w:rPr>
        <w:t xml:space="preserve"> </w:t>
      </w:r>
      <w:r w:rsidRPr="00C93ED5">
        <w:rPr>
          <w:rFonts w:asciiTheme="majorHAnsi" w:hAnsiTheme="majorHAnsi" w:cstheme="minorHAnsi"/>
          <w:lang w:val="en"/>
        </w:rPr>
        <w:t>patients have not been</w:t>
      </w:r>
      <w:r>
        <w:rPr>
          <w:rFonts w:asciiTheme="majorHAnsi" w:hAnsiTheme="majorHAnsi" w:cstheme="minorHAnsi"/>
          <w:lang w:val="en"/>
        </w:rPr>
        <w:t xml:space="preserve"> </w:t>
      </w:r>
      <w:r w:rsidRPr="00C93ED5">
        <w:rPr>
          <w:rFonts w:asciiTheme="majorHAnsi" w:hAnsiTheme="majorHAnsi" w:cstheme="minorHAnsi"/>
          <w:lang w:val="en"/>
        </w:rPr>
        <w:t>determined.</w:t>
      </w:r>
    </w:p>
    <w:p w14:paraId="6D3FE3BB" w14:textId="77777777" w:rsidR="001A3992" w:rsidRPr="005C0404" w:rsidRDefault="001A3992" w:rsidP="005C0404">
      <w:pPr>
        <w:pStyle w:val="Heading2"/>
      </w:pPr>
      <w:r w:rsidRPr="005C0404">
        <w:t>Preclinical safety data</w:t>
      </w:r>
    </w:p>
    <w:p w14:paraId="57E7C5E5" w14:textId="61DAC303" w:rsidR="00F53E4D" w:rsidRPr="005C0404" w:rsidRDefault="001A3992" w:rsidP="00E40ADF">
      <w:pPr>
        <w:pStyle w:val="Heading3"/>
        <w:numPr>
          <w:ilvl w:val="0"/>
          <w:numId w:val="0"/>
        </w:numPr>
      </w:pPr>
      <w:r w:rsidRPr="005C0404">
        <w:t>Genotoxicity</w:t>
      </w:r>
    </w:p>
    <w:p w14:paraId="1792F55E" w14:textId="440D5DB1" w:rsidR="00F53E4D" w:rsidRPr="005C0404" w:rsidRDefault="00F53E4D" w:rsidP="005C0404">
      <w:pPr>
        <w:rPr>
          <w:rFonts w:asciiTheme="majorHAnsi" w:hAnsiTheme="majorHAnsi" w:cstheme="minorHAnsi"/>
          <w:lang w:val="en"/>
        </w:rPr>
      </w:pPr>
      <w:r w:rsidRPr="005C0404">
        <w:rPr>
          <w:rFonts w:asciiTheme="majorHAnsi" w:hAnsiTheme="majorHAnsi" w:cstheme="minorHAnsi"/>
          <w:lang w:val="en"/>
        </w:rPr>
        <w:t xml:space="preserve">Mutagenicity studies have been performed with leuprorelin acetate using bacterial and mammalian systems and with </w:t>
      </w:r>
      <w:r w:rsidR="004A70BE">
        <w:rPr>
          <w:rFonts w:asciiTheme="majorHAnsi" w:hAnsiTheme="majorHAnsi" w:cstheme="minorHAnsi"/>
          <w:lang w:val="en"/>
        </w:rPr>
        <w:t>ELIGARD</w:t>
      </w:r>
      <w:r w:rsidRPr="005C0404">
        <w:rPr>
          <w:rFonts w:asciiTheme="majorHAnsi" w:hAnsiTheme="majorHAnsi" w:cstheme="minorHAnsi"/>
          <w:lang w:val="en"/>
        </w:rPr>
        <w:t xml:space="preserve"> 1 month in bacterial systems. These studies provided no evidence of a genotoxic </w:t>
      </w:r>
      <w:r w:rsidR="005C0404">
        <w:rPr>
          <w:rFonts w:asciiTheme="majorHAnsi" w:hAnsiTheme="majorHAnsi" w:cstheme="minorHAnsi"/>
          <w:lang w:val="en"/>
        </w:rPr>
        <w:t>potential.</w:t>
      </w:r>
    </w:p>
    <w:p w14:paraId="468ACA5B" w14:textId="3EBABAD0" w:rsidR="00D5354F" w:rsidRPr="005C0404" w:rsidRDefault="001A3992" w:rsidP="00E40ADF">
      <w:pPr>
        <w:pStyle w:val="Heading3"/>
        <w:numPr>
          <w:ilvl w:val="0"/>
          <w:numId w:val="0"/>
        </w:numPr>
      </w:pPr>
      <w:r w:rsidRPr="005C0404">
        <w:t>Carcinogenicity</w:t>
      </w:r>
    </w:p>
    <w:p w14:paraId="5581DAB3" w14:textId="668D5CF0" w:rsidR="00D5354F" w:rsidRDefault="00D5354F" w:rsidP="00E40ADF">
      <w:pPr>
        <w:rPr>
          <w:rFonts w:asciiTheme="majorHAnsi" w:hAnsiTheme="majorHAnsi" w:cstheme="minorHAnsi"/>
          <w:lang w:val="en"/>
        </w:rPr>
      </w:pPr>
      <w:r w:rsidRPr="00E40ADF">
        <w:rPr>
          <w:rFonts w:asciiTheme="majorHAnsi" w:hAnsiTheme="majorHAnsi" w:cstheme="minorHAnsi"/>
          <w:lang w:val="en"/>
        </w:rPr>
        <w:t xml:space="preserve">Two-year carcinogenicity studies were conducted with leuprorelin acetate in rats and mice. </w:t>
      </w:r>
      <w:r w:rsidRPr="005C0404">
        <w:rPr>
          <w:rFonts w:asciiTheme="majorHAnsi" w:hAnsiTheme="majorHAnsi" w:cstheme="minorHAnsi"/>
          <w:lang w:val="en"/>
        </w:rPr>
        <w:t>In rats, a dose-related increase of benign pituitary hyperplasia and benign pituitary adenomas was noted at 24 months when the drug was administered subcutaneously at high daily doses (0.6 to 4 mg/kg). There was a significant but not dose-related increase of pancreatic islet-cell adenomas in females and of testicular interstitial cell adenomas in males (highest incidence in the low dose group). In mice, no leuprorelin acetate-induced tumors or pituitary abnormalities were observed at a dose as high as 60 mg/kg for two years. Patients have been treated with leuprorelin acetate for up to three years with doses as high as 10 mg/day and for two years with doses as high as 20 mg/day without demonstrable pituitary abnormalities.</w:t>
      </w:r>
    </w:p>
    <w:p w14:paraId="5833571A" w14:textId="60903CDF" w:rsidR="00634D01" w:rsidRPr="005C0404" w:rsidRDefault="00E96C1C" w:rsidP="00E40ADF">
      <w:pPr>
        <w:rPr>
          <w:rFonts w:asciiTheme="majorHAnsi" w:hAnsiTheme="majorHAnsi" w:cstheme="minorHAnsi"/>
          <w:lang w:val="en"/>
        </w:rPr>
      </w:pPr>
      <w:r w:rsidRPr="00634D01">
        <w:rPr>
          <w:rFonts w:asciiTheme="majorHAnsi" w:hAnsiTheme="majorHAnsi" w:cstheme="minorHAnsi"/>
          <w:lang w:val="en"/>
        </w:rPr>
        <w:t xml:space="preserve">No carcinogenicity studies have been conducted with ELIGARD </w:t>
      </w:r>
      <w:r>
        <w:rPr>
          <w:rFonts w:asciiTheme="majorHAnsi" w:hAnsiTheme="majorHAnsi" w:cstheme="minorHAnsi"/>
          <w:lang w:val="en"/>
        </w:rPr>
        <w:t>in</w:t>
      </w:r>
      <w:r w:rsidRPr="00634D01">
        <w:rPr>
          <w:rFonts w:asciiTheme="majorHAnsi" w:hAnsiTheme="majorHAnsi" w:cstheme="minorHAnsi"/>
          <w:lang w:val="en"/>
        </w:rPr>
        <w:t xml:space="preserve"> </w:t>
      </w:r>
      <w:proofErr w:type="spellStart"/>
      <w:r w:rsidRPr="00634D01">
        <w:rPr>
          <w:rFonts w:asciiTheme="majorHAnsi" w:hAnsiTheme="majorHAnsi" w:cstheme="minorHAnsi"/>
          <w:lang w:val="en"/>
        </w:rPr>
        <w:t>paediatric</w:t>
      </w:r>
      <w:proofErr w:type="spellEnd"/>
      <w:r w:rsidRPr="00634D01">
        <w:rPr>
          <w:rFonts w:asciiTheme="majorHAnsi" w:hAnsiTheme="majorHAnsi" w:cstheme="minorHAnsi"/>
          <w:lang w:val="en"/>
        </w:rPr>
        <w:t xml:space="preserve"> use</w:t>
      </w:r>
      <w:r>
        <w:rPr>
          <w:rFonts w:asciiTheme="majorHAnsi" w:hAnsiTheme="majorHAnsi" w:cstheme="minorHAnsi"/>
          <w:lang w:val="en"/>
        </w:rPr>
        <w:t>.</w:t>
      </w:r>
    </w:p>
    <w:p w14:paraId="5A87BE70" w14:textId="77777777" w:rsidR="001A3992" w:rsidRPr="00393852" w:rsidRDefault="001A3992" w:rsidP="00393852">
      <w:pPr>
        <w:pStyle w:val="Heading1"/>
        <w:spacing w:before="0" w:after="120"/>
        <w:ind w:left="431" w:hanging="431"/>
        <w:rPr>
          <w:rFonts w:cstheme="minorHAnsi"/>
        </w:rPr>
      </w:pPr>
      <w:r w:rsidRPr="00393852">
        <w:rPr>
          <w:rFonts w:cstheme="minorHAnsi"/>
        </w:rPr>
        <w:t>Pharmaceutical particulars</w:t>
      </w:r>
    </w:p>
    <w:p w14:paraId="24A1B4D1" w14:textId="77777777" w:rsidR="001A3992" w:rsidRPr="005C0404" w:rsidRDefault="001A3992" w:rsidP="005C0404">
      <w:pPr>
        <w:pStyle w:val="Heading2"/>
      </w:pPr>
      <w:r w:rsidRPr="005C0404">
        <w:t xml:space="preserve">List of excipients </w:t>
      </w:r>
    </w:p>
    <w:p w14:paraId="6AA27F81" w14:textId="77777777" w:rsidR="00497C85" w:rsidRPr="00497C85" w:rsidRDefault="00497C85" w:rsidP="00497C85">
      <w:pPr>
        <w:rPr>
          <w:rFonts w:asciiTheme="majorHAnsi" w:hAnsiTheme="majorHAnsi" w:cstheme="minorHAnsi"/>
          <w:lang w:val="en-US"/>
        </w:rPr>
      </w:pPr>
      <w:r w:rsidRPr="00497C85">
        <w:rPr>
          <w:rFonts w:asciiTheme="majorHAnsi" w:hAnsiTheme="majorHAnsi" w:cstheme="minorHAnsi"/>
          <w:lang w:val="en"/>
        </w:rPr>
        <w:t>Refer to Section 2 - Qualitative and quan</w:t>
      </w:r>
      <w:r w:rsidR="00683947">
        <w:rPr>
          <w:rFonts w:asciiTheme="majorHAnsi" w:hAnsiTheme="majorHAnsi" w:cstheme="minorHAnsi"/>
          <w:lang w:val="en"/>
        </w:rPr>
        <w:t>titative composition.</w:t>
      </w:r>
    </w:p>
    <w:p w14:paraId="77025FF0" w14:textId="77777777" w:rsidR="001A3992" w:rsidRPr="005C0404" w:rsidRDefault="001A3992" w:rsidP="005C0404">
      <w:pPr>
        <w:pStyle w:val="Heading2"/>
      </w:pPr>
      <w:r w:rsidRPr="005C0404">
        <w:lastRenderedPageBreak/>
        <w:t xml:space="preserve">Incompatibilities </w:t>
      </w:r>
    </w:p>
    <w:p w14:paraId="31275F7E" w14:textId="07E6DC1F" w:rsidR="00497C85" w:rsidRPr="00497C85" w:rsidRDefault="00497C85" w:rsidP="00497C85">
      <w:pPr>
        <w:rPr>
          <w:rFonts w:asciiTheme="majorHAnsi" w:hAnsiTheme="majorHAnsi" w:cstheme="minorHAnsi"/>
          <w:lang w:val="en-US"/>
        </w:rPr>
      </w:pPr>
      <w:r w:rsidRPr="005F5846">
        <w:rPr>
          <w:rFonts w:asciiTheme="majorHAnsi" w:hAnsiTheme="majorHAnsi" w:cstheme="minorHAnsi"/>
          <w:lang w:val="en"/>
        </w:rPr>
        <w:t>Incompatibilities were either not assessed or not identified as part of the registration of this medicine.</w:t>
      </w:r>
    </w:p>
    <w:p w14:paraId="4E872E6D" w14:textId="77777777" w:rsidR="001A3992" w:rsidRPr="005C0404" w:rsidRDefault="001A3992" w:rsidP="005C0404">
      <w:pPr>
        <w:pStyle w:val="Heading2"/>
      </w:pPr>
      <w:r w:rsidRPr="005C0404">
        <w:t xml:space="preserve">Shelf life </w:t>
      </w:r>
    </w:p>
    <w:p w14:paraId="330CFAA4" w14:textId="77777777" w:rsidR="00497C85" w:rsidRPr="00497C85" w:rsidRDefault="00497C85" w:rsidP="00497C85">
      <w:pPr>
        <w:rPr>
          <w:rFonts w:asciiTheme="majorHAnsi" w:hAnsiTheme="majorHAnsi" w:cstheme="minorHAnsi"/>
          <w:lang w:val="en-US"/>
        </w:rPr>
      </w:pPr>
      <w:r w:rsidRPr="00563DD1">
        <w:rPr>
          <w:rFonts w:asciiTheme="majorHAnsi" w:hAnsiTheme="majorHAnsi" w:cstheme="minorHAnsi"/>
          <w:lang w:val="en"/>
        </w:rPr>
        <w:t>In Australia, information on the shelf life can be found on the public summary of the Australian Register of Therapeutic Goods (ARTG). The expiry date can be fo</w:t>
      </w:r>
      <w:r w:rsidR="00563DD1" w:rsidRPr="00563DD1">
        <w:rPr>
          <w:rFonts w:asciiTheme="majorHAnsi" w:hAnsiTheme="majorHAnsi" w:cstheme="minorHAnsi"/>
          <w:lang w:val="en"/>
        </w:rPr>
        <w:t xml:space="preserve">und on the packaging. </w:t>
      </w:r>
    </w:p>
    <w:p w14:paraId="13F846C3" w14:textId="3149E7DC" w:rsidR="001A3992" w:rsidRPr="005C0404" w:rsidRDefault="001A3992" w:rsidP="005C0404">
      <w:pPr>
        <w:pStyle w:val="Heading2"/>
      </w:pPr>
      <w:r w:rsidRPr="005C0404">
        <w:t xml:space="preserve">Special precautions for storage </w:t>
      </w:r>
    </w:p>
    <w:p w14:paraId="7B50B424" w14:textId="5CAF087E" w:rsidR="001673C8" w:rsidRPr="001673C8" w:rsidRDefault="004A70BE" w:rsidP="004278B2">
      <w:pPr>
        <w:pStyle w:val="BodyText"/>
        <w:spacing w:after="240"/>
        <w:ind w:left="0" w:right="68"/>
        <w:rPr>
          <w:rFonts w:ascii="Cambria" w:hAnsi="Cambria"/>
          <w:sz w:val="22"/>
          <w:szCs w:val="22"/>
        </w:rPr>
      </w:pPr>
      <w:r>
        <w:rPr>
          <w:rFonts w:ascii="Cambria" w:hAnsi="Cambria"/>
          <w:sz w:val="22"/>
          <w:szCs w:val="22"/>
        </w:rPr>
        <w:t>ELIGARD</w:t>
      </w:r>
      <w:r w:rsidR="001673C8" w:rsidRPr="00E26BA5">
        <w:rPr>
          <w:rFonts w:ascii="Cambria" w:hAnsi="Cambria"/>
          <w:sz w:val="22"/>
          <w:szCs w:val="22"/>
        </w:rPr>
        <w:t xml:space="preserve"> should be s</w:t>
      </w:r>
      <w:r w:rsidR="001673C8">
        <w:rPr>
          <w:rFonts w:ascii="Cambria" w:hAnsi="Cambria"/>
          <w:sz w:val="22"/>
          <w:szCs w:val="22"/>
        </w:rPr>
        <w:t xml:space="preserve">tored below 8°C (refrigerate). </w:t>
      </w:r>
      <w:r w:rsidR="001673C8" w:rsidRPr="00E26BA5">
        <w:rPr>
          <w:rFonts w:ascii="Cambria" w:hAnsi="Cambria"/>
          <w:sz w:val="22"/>
          <w:szCs w:val="22"/>
        </w:rPr>
        <w:t xml:space="preserve">The patient may store </w:t>
      </w:r>
      <w:r>
        <w:rPr>
          <w:rFonts w:ascii="Cambria" w:hAnsi="Cambria"/>
          <w:sz w:val="22"/>
          <w:szCs w:val="22"/>
        </w:rPr>
        <w:t>ELIGARD</w:t>
      </w:r>
      <w:r w:rsidR="001673C8" w:rsidRPr="00E26BA5">
        <w:rPr>
          <w:rFonts w:ascii="Cambria" w:hAnsi="Cambria"/>
          <w:sz w:val="22"/>
          <w:szCs w:val="22"/>
        </w:rPr>
        <w:t xml:space="preserve"> below 25°C in intact packaging for a period of 8</w:t>
      </w:r>
      <w:r w:rsidR="001673C8">
        <w:rPr>
          <w:rFonts w:ascii="Cambria" w:hAnsi="Cambria"/>
          <w:sz w:val="22"/>
          <w:szCs w:val="22"/>
        </w:rPr>
        <w:t xml:space="preserve"> weeks prior to administration.</w:t>
      </w:r>
    </w:p>
    <w:p w14:paraId="36BF70DF" w14:textId="773E1308" w:rsidR="001A3992" w:rsidRDefault="001A3992" w:rsidP="005C0404">
      <w:pPr>
        <w:pStyle w:val="Heading2"/>
      </w:pPr>
      <w:r w:rsidRPr="005C0404">
        <w:t xml:space="preserve">Nature and contents of container </w:t>
      </w:r>
    </w:p>
    <w:p w14:paraId="217634B9" w14:textId="77777777" w:rsidR="00671007" w:rsidRPr="00671007" w:rsidRDefault="00671007" w:rsidP="00671007">
      <w:pPr>
        <w:pStyle w:val="BodyText"/>
        <w:spacing w:after="240"/>
        <w:ind w:left="0" w:right="68"/>
        <w:rPr>
          <w:rFonts w:ascii="Cambria" w:hAnsi="Cambria"/>
          <w:sz w:val="22"/>
          <w:szCs w:val="22"/>
        </w:rPr>
      </w:pPr>
      <w:r w:rsidRPr="00671007">
        <w:rPr>
          <w:rFonts w:ascii="Cambria" w:hAnsi="Cambria"/>
          <w:sz w:val="22"/>
          <w:szCs w:val="22"/>
        </w:rPr>
        <w:t xml:space="preserve">ELIGARD is available in a single use kit. The kit consists of a two-syringe mixing system, a 20-gauge </w:t>
      </w:r>
      <w:proofErr w:type="gramStart"/>
      <w:r w:rsidRPr="00671007">
        <w:rPr>
          <w:rFonts w:ascii="Cambria" w:hAnsi="Cambria"/>
          <w:sz w:val="22"/>
          <w:szCs w:val="22"/>
        </w:rPr>
        <w:t>5/8 inch</w:t>
      </w:r>
      <w:proofErr w:type="gramEnd"/>
      <w:r w:rsidRPr="00671007">
        <w:rPr>
          <w:rFonts w:ascii="Cambria" w:hAnsi="Cambria"/>
          <w:sz w:val="22"/>
          <w:szCs w:val="22"/>
        </w:rPr>
        <w:t xml:space="preserve"> needle (for ELIGARD 1 month, ELIGARD 3 month and ELIGARD 4 month) or a 18-gauge 5/8-inch needle (for ELIGARD 6 month), a silica desiccant pouch to control moisture uptake, and package insert for constitution and administration procedures. Each syringe is individually packaged.  Syringe B, made of cyclic olefin copolymer and sealed with a </w:t>
      </w:r>
      <w:proofErr w:type="spellStart"/>
      <w:r w:rsidRPr="00671007">
        <w:rPr>
          <w:rFonts w:ascii="Cambria" w:hAnsi="Cambria"/>
          <w:sz w:val="22"/>
          <w:szCs w:val="22"/>
        </w:rPr>
        <w:t>chlorobutyl</w:t>
      </w:r>
      <w:proofErr w:type="spellEnd"/>
      <w:r w:rsidRPr="00671007">
        <w:rPr>
          <w:rFonts w:ascii="Cambria" w:hAnsi="Cambria"/>
          <w:sz w:val="22"/>
          <w:szCs w:val="22"/>
        </w:rPr>
        <w:t xml:space="preserve"> closure, contains aseptically filled, lyophilized leuprorelin acetate. Syringe A, constructed of polypropylene and sealed with a polypropylene or polyethylene cap, contains the </w:t>
      </w:r>
      <w:proofErr w:type="spellStart"/>
      <w:r w:rsidRPr="00671007">
        <w:rPr>
          <w:rFonts w:ascii="Cambria" w:hAnsi="Cambria"/>
          <w:sz w:val="22"/>
          <w:szCs w:val="22"/>
        </w:rPr>
        <w:t>Atrigel</w:t>
      </w:r>
      <w:proofErr w:type="spellEnd"/>
      <w:r w:rsidRPr="00671007">
        <w:rPr>
          <w:rFonts w:ascii="Cambria" w:hAnsi="Cambria"/>
          <w:sz w:val="22"/>
          <w:szCs w:val="22"/>
          <w:vertAlign w:val="superscript"/>
        </w:rPr>
        <w:t>®</w:t>
      </w:r>
      <w:r w:rsidRPr="00671007">
        <w:rPr>
          <w:rFonts w:ascii="Cambria" w:hAnsi="Cambria"/>
          <w:sz w:val="22"/>
          <w:szCs w:val="22"/>
        </w:rPr>
        <w:t xml:space="preserve"> Delivery System. </w:t>
      </w:r>
    </w:p>
    <w:p w14:paraId="6959E02B" w14:textId="77777777" w:rsidR="001A3992" w:rsidRPr="005C0404" w:rsidRDefault="001A3992" w:rsidP="005C0404">
      <w:pPr>
        <w:pStyle w:val="Heading2"/>
      </w:pPr>
      <w:r w:rsidRPr="005C0404">
        <w:t xml:space="preserve">Special precautions for disposal </w:t>
      </w:r>
    </w:p>
    <w:p w14:paraId="37F9C490" w14:textId="0426B759" w:rsidR="00497C85" w:rsidRPr="00AA5396" w:rsidRDefault="005F5846" w:rsidP="005F5846">
      <w:pPr>
        <w:rPr>
          <w:rFonts w:asciiTheme="majorHAnsi" w:hAnsiTheme="majorHAnsi" w:cstheme="minorHAnsi"/>
          <w:lang w:val="en"/>
        </w:rPr>
      </w:pPr>
      <w:r w:rsidRPr="005F5846">
        <w:rPr>
          <w:rFonts w:asciiTheme="majorHAnsi" w:hAnsiTheme="majorHAnsi" w:cstheme="minorHAnsi"/>
          <w:lang w:val="en"/>
        </w:rPr>
        <w:t>In Australia, any unused medicine or waste material should be disposed of in accordance with</w:t>
      </w:r>
      <w:r>
        <w:rPr>
          <w:rFonts w:asciiTheme="majorHAnsi" w:hAnsiTheme="majorHAnsi" w:cstheme="minorHAnsi"/>
          <w:lang w:val="en"/>
        </w:rPr>
        <w:t xml:space="preserve"> </w:t>
      </w:r>
      <w:r w:rsidRPr="005F5846">
        <w:rPr>
          <w:rFonts w:asciiTheme="majorHAnsi" w:hAnsiTheme="majorHAnsi" w:cstheme="minorHAnsi"/>
          <w:lang w:val="en"/>
        </w:rPr>
        <w:t>local requirements</w:t>
      </w:r>
      <w:r>
        <w:rPr>
          <w:rFonts w:asciiTheme="majorHAnsi" w:hAnsiTheme="majorHAnsi" w:cstheme="minorHAnsi"/>
          <w:lang w:val="en"/>
        </w:rPr>
        <w:t>.</w:t>
      </w:r>
    </w:p>
    <w:p w14:paraId="03F69438" w14:textId="40E1B6C2" w:rsidR="001A3992" w:rsidRDefault="001A3992" w:rsidP="005C0404">
      <w:pPr>
        <w:pStyle w:val="Heading2"/>
      </w:pPr>
      <w:r w:rsidRPr="005C0404">
        <w:t>Physicochemical properties</w:t>
      </w:r>
    </w:p>
    <w:p w14:paraId="2E2D14BB" w14:textId="1D2C8BAF" w:rsidR="00A2059A" w:rsidRPr="00A2059A" w:rsidRDefault="00A2059A" w:rsidP="00A2059A">
      <w:pPr>
        <w:pStyle w:val="BodyText"/>
        <w:spacing w:after="240" w:line="276" w:lineRule="auto"/>
        <w:ind w:left="0" w:right="68"/>
        <w:rPr>
          <w:rFonts w:ascii="Cambria" w:hAnsi="Cambria"/>
          <w:sz w:val="22"/>
          <w:szCs w:val="22"/>
        </w:rPr>
      </w:pPr>
      <w:r w:rsidRPr="00E26BA5">
        <w:rPr>
          <w:rFonts w:ascii="Cambria" w:hAnsi="Cambria"/>
          <w:sz w:val="22"/>
          <w:szCs w:val="22"/>
        </w:rPr>
        <w:t>Leuprorelin acetate is a white to near white powder, freely soluble in water and glacial acetic acid.</w:t>
      </w:r>
    </w:p>
    <w:p w14:paraId="25A0DBE5" w14:textId="77777777" w:rsidR="001A3992" w:rsidRPr="005C0404" w:rsidRDefault="001A3992" w:rsidP="005F5846">
      <w:pPr>
        <w:pStyle w:val="Heading3"/>
        <w:numPr>
          <w:ilvl w:val="0"/>
          <w:numId w:val="0"/>
        </w:numPr>
      </w:pPr>
      <w:r w:rsidRPr="005C0404">
        <w:lastRenderedPageBreak/>
        <w:t>Chemical structure</w:t>
      </w:r>
    </w:p>
    <w:p w14:paraId="2720B8D5" w14:textId="77777777" w:rsidR="0062031A" w:rsidRPr="0062031A" w:rsidRDefault="0062031A" w:rsidP="0062031A">
      <w:pPr>
        <w:rPr>
          <w:lang w:val="en-US"/>
        </w:rPr>
      </w:pPr>
      <w:r>
        <w:rPr>
          <w:noProof/>
          <w:lang w:val="en-US"/>
        </w:rPr>
        <w:drawing>
          <wp:inline distT="0" distB="0" distL="0" distR="0" wp14:anchorId="37C01FFB" wp14:editId="6097BC6B">
            <wp:extent cx="3969385" cy="19507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9385" cy="1950720"/>
                    </a:xfrm>
                    <a:prstGeom prst="rect">
                      <a:avLst/>
                    </a:prstGeom>
                    <a:noFill/>
                    <a:ln>
                      <a:noFill/>
                    </a:ln>
                  </pic:spPr>
                </pic:pic>
              </a:graphicData>
            </a:graphic>
          </wp:inline>
        </w:drawing>
      </w:r>
    </w:p>
    <w:p w14:paraId="476FE6E8" w14:textId="06F19549" w:rsidR="0062031A" w:rsidRPr="005C0404" w:rsidRDefault="0062031A" w:rsidP="0062031A">
      <w:pPr>
        <w:rPr>
          <w:rFonts w:asciiTheme="majorHAnsi" w:hAnsiTheme="majorHAnsi" w:cstheme="minorHAnsi"/>
          <w:lang w:val="en"/>
        </w:rPr>
      </w:pPr>
      <w:r w:rsidRPr="005C0404">
        <w:rPr>
          <w:rFonts w:asciiTheme="majorHAnsi" w:hAnsiTheme="majorHAnsi" w:cstheme="minorHAnsi"/>
          <w:b/>
          <w:lang w:val="en"/>
        </w:rPr>
        <w:t>Chemical name:</w:t>
      </w:r>
      <w:r w:rsidRPr="005C0404">
        <w:rPr>
          <w:rFonts w:asciiTheme="majorHAnsi" w:hAnsiTheme="majorHAnsi" w:cstheme="minorHAnsi"/>
          <w:lang w:val="en"/>
        </w:rPr>
        <w:t xml:space="preserve"> 5-oxo-L-prolyl-L-histidyl- L-tryptophyl-L-seryl-L-tyrosyl-D-leucyl-L-leucyl-L-arginyl-N-ethyl-L-prolinamide acetate (salt)</w:t>
      </w:r>
    </w:p>
    <w:p w14:paraId="2AFA1A84" w14:textId="77777777" w:rsidR="001A3992" w:rsidRPr="005C0404" w:rsidRDefault="001A3992" w:rsidP="005F5846">
      <w:pPr>
        <w:pStyle w:val="Heading3"/>
        <w:numPr>
          <w:ilvl w:val="0"/>
          <w:numId w:val="0"/>
        </w:numPr>
      </w:pPr>
      <w:r w:rsidRPr="005C0404">
        <w:t>CAS number</w:t>
      </w:r>
    </w:p>
    <w:p w14:paraId="57D7F153" w14:textId="63D72214" w:rsidR="009A5512" w:rsidRPr="005C0404" w:rsidRDefault="009A5512" w:rsidP="005C0404">
      <w:pPr>
        <w:rPr>
          <w:rFonts w:asciiTheme="majorHAnsi" w:hAnsiTheme="majorHAnsi" w:cstheme="minorHAnsi"/>
          <w:lang w:val="en"/>
        </w:rPr>
      </w:pPr>
      <w:r w:rsidRPr="005C0404">
        <w:rPr>
          <w:rFonts w:asciiTheme="majorHAnsi" w:hAnsiTheme="majorHAnsi" w:cstheme="minorHAnsi"/>
          <w:lang w:val="en"/>
        </w:rPr>
        <w:t>74381-53-6</w:t>
      </w:r>
    </w:p>
    <w:p w14:paraId="6A07B08E" w14:textId="77777777" w:rsidR="001A3992" w:rsidRPr="00393852" w:rsidRDefault="001A3992" w:rsidP="00393852">
      <w:pPr>
        <w:pStyle w:val="Heading1"/>
        <w:spacing w:before="0" w:after="120"/>
        <w:ind w:left="431" w:hanging="431"/>
        <w:rPr>
          <w:rFonts w:cstheme="minorHAnsi"/>
        </w:rPr>
      </w:pPr>
      <w:r w:rsidRPr="00393852">
        <w:rPr>
          <w:rFonts w:cstheme="minorHAnsi"/>
        </w:rPr>
        <w:t>Medicine schedule (Poisons Standard)</w:t>
      </w:r>
    </w:p>
    <w:p w14:paraId="26D612BA" w14:textId="4488874B" w:rsidR="005F03A6" w:rsidRPr="005C0404" w:rsidRDefault="005F03A6" w:rsidP="005C0404">
      <w:pPr>
        <w:rPr>
          <w:rFonts w:asciiTheme="majorHAnsi" w:hAnsiTheme="majorHAnsi" w:cstheme="minorHAnsi"/>
          <w:lang w:val="en"/>
        </w:rPr>
      </w:pPr>
      <w:r w:rsidRPr="005C0404">
        <w:rPr>
          <w:rFonts w:asciiTheme="majorHAnsi" w:hAnsiTheme="majorHAnsi" w:cstheme="minorHAnsi"/>
          <w:lang w:val="en"/>
        </w:rPr>
        <w:t xml:space="preserve">Schedule </w:t>
      </w:r>
      <w:r w:rsidR="005C0404">
        <w:rPr>
          <w:rFonts w:asciiTheme="majorHAnsi" w:hAnsiTheme="majorHAnsi" w:cstheme="minorHAnsi"/>
          <w:lang w:val="en"/>
        </w:rPr>
        <w:t>4</w:t>
      </w:r>
    </w:p>
    <w:p w14:paraId="6E54BB4F" w14:textId="44087881" w:rsidR="005F03A6" w:rsidRPr="00393852" w:rsidRDefault="001A3992" w:rsidP="00393852">
      <w:pPr>
        <w:pStyle w:val="Heading1"/>
        <w:spacing w:before="0" w:after="120"/>
        <w:ind w:left="431" w:hanging="431"/>
        <w:rPr>
          <w:rFonts w:cstheme="minorHAnsi"/>
        </w:rPr>
      </w:pPr>
      <w:r w:rsidRPr="00393852">
        <w:rPr>
          <w:rFonts w:cstheme="minorHAnsi"/>
        </w:rPr>
        <w:t>Sponsor</w:t>
      </w:r>
    </w:p>
    <w:p w14:paraId="37BA8AFF" w14:textId="77777777" w:rsidR="000B1D23" w:rsidRPr="00667C0C" w:rsidRDefault="000B1D23" w:rsidP="000B1D23">
      <w:pPr>
        <w:spacing w:after="0"/>
        <w:rPr>
          <w:rFonts w:asciiTheme="majorHAnsi" w:hAnsiTheme="majorHAnsi" w:cstheme="minorHAnsi"/>
          <w:lang w:val="en"/>
        </w:rPr>
      </w:pPr>
      <w:r w:rsidRPr="00667C0C">
        <w:rPr>
          <w:rFonts w:asciiTheme="majorHAnsi" w:hAnsiTheme="majorHAnsi" w:cstheme="minorHAnsi"/>
          <w:lang w:val="en"/>
        </w:rPr>
        <w:t>Mundipharma Pty Limited</w:t>
      </w:r>
    </w:p>
    <w:p w14:paraId="0A73382D" w14:textId="77777777" w:rsidR="000B1D23" w:rsidRPr="00667C0C" w:rsidRDefault="000B1D23" w:rsidP="000B1D23">
      <w:pPr>
        <w:spacing w:after="0"/>
        <w:rPr>
          <w:rFonts w:asciiTheme="majorHAnsi" w:hAnsiTheme="majorHAnsi" w:cstheme="minorHAnsi"/>
          <w:lang w:val="en"/>
        </w:rPr>
      </w:pPr>
      <w:r w:rsidRPr="00667C0C">
        <w:rPr>
          <w:rFonts w:asciiTheme="majorHAnsi" w:hAnsiTheme="majorHAnsi" w:cstheme="minorHAnsi"/>
          <w:lang w:val="en"/>
        </w:rPr>
        <w:t>ABN 87 081 322 509</w:t>
      </w:r>
    </w:p>
    <w:p w14:paraId="1ACC25C0" w14:textId="0B87CE41" w:rsidR="00A370E8" w:rsidRPr="00667C0C" w:rsidRDefault="002709A0" w:rsidP="000B1D23">
      <w:pPr>
        <w:spacing w:after="0"/>
        <w:rPr>
          <w:rFonts w:asciiTheme="majorHAnsi" w:hAnsiTheme="majorHAnsi" w:cstheme="minorHAnsi"/>
          <w:lang w:val="en"/>
        </w:rPr>
      </w:pPr>
      <w:r w:rsidRPr="002709A0">
        <w:rPr>
          <w:rFonts w:asciiTheme="majorHAnsi" w:hAnsiTheme="majorHAnsi" w:cstheme="minorHAnsi"/>
        </w:rPr>
        <w:t xml:space="preserve">10 Carrington Street </w:t>
      </w:r>
    </w:p>
    <w:p w14:paraId="5E78B05A" w14:textId="0C409228" w:rsidR="000B1D23" w:rsidRDefault="00EA41D2" w:rsidP="000B1D23">
      <w:pPr>
        <w:spacing w:after="0"/>
        <w:rPr>
          <w:rFonts w:asciiTheme="majorHAnsi" w:hAnsiTheme="majorHAnsi" w:cstheme="minorHAnsi"/>
          <w:lang w:val="en"/>
        </w:rPr>
      </w:pPr>
      <w:r>
        <w:rPr>
          <w:rFonts w:asciiTheme="majorHAnsi" w:hAnsiTheme="majorHAnsi" w:cstheme="minorHAnsi"/>
          <w:lang w:val="en"/>
        </w:rPr>
        <w:t xml:space="preserve">SYDNEY </w:t>
      </w:r>
      <w:r w:rsidR="000B1D23" w:rsidRPr="00667C0C">
        <w:rPr>
          <w:rFonts w:asciiTheme="majorHAnsi" w:hAnsiTheme="majorHAnsi" w:cstheme="minorHAnsi"/>
          <w:lang w:val="en"/>
        </w:rPr>
        <w:t>NSW 2000</w:t>
      </w:r>
    </w:p>
    <w:p w14:paraId="57125765" w14:textId="77777777" w:rsidR="000B1D23" w:rsidRPr="00667C0C" w:rsidRDefault="000B1D23" w:rsidP="000B1D23">
      <w:pPr>
        <w:spacing w:after="0"/>
        <w:rPr>
          <w:rFonts w:asciiTheme="majorHAnsi" w:hAnsiTheme="majorHAnsi" w:cstheme="minorHAnsi"/>
          <w:lang w:val="en"/>
        </w:rPr>
      </w:pPr>
    </w:p>
    <w:p w14:paraId="7F4E0AF4" w14:textId="3C3A90C3" w:rsidR="005F03A6" w:rsidRPr="005C0404" w:rsidRDefault="000B1D23" w:rsidP="005C0404">
      <w:pPr>
        <w:rPr>
          <w:rFonts w:asciiTheme="majorHAnsi" w:hAnsiTheme="majorHAnsi" w:cstheme="minorHAnsi"/>
          <w:lang w:val="en"/>
        </w:rPr>
      </w:pPr>
      <w:r w:rsidRPr="00667C0C">
        <w:rPr>
          <w:rFonts w:asciiTheme="majorHAnsi" w:hAnsiTheme="majorHAnsi" w:cstheme="minorHAnsi"/>
          <w:lang w:val="en"/>
        </w:rPr>
        <w:t xml:space="preserve">Further information may be obtained from </w:t>
      </w:r>
      <w:proofErr w:type="spellStart"/>
      <w:r w:rsidRPr="00667C0C">
        <w:rPr>
          <w:rFonts w:asciiTheme="majorHAnsi" w:hAnsiTheme="majorHAnsi" w:cstheme="minorHAnsi"/>
          <w:lang w:val="en"/>
        </w:rPr>
        <w:t>Mundipharma’s</w:t>
      </w:r>
      <w:proofErr w:type="spellEnd"/>
      <w:r w:rsidRPr="00667C0C">
        <w:rPr>
          <w:rFonts w:asciiTheme="majorHAnsi" w:hAnsiTheme="majorHAnsi" w:cstheme="minorHAnsi"/>
          <w:lang w:val="en"/>
        </w:rPr>
        <w:t xml:space="preserve"> Medical Information Department 1800 188 009.</w:t>
      </w:r>
    </w:p>
    <w:p w14:paraId="54661C1B" w14:textId="4F0AD9E2" w:rsidR="001A3992" w:rsidRPr="00393852" w:rsidRDefault="005C0404" w:rsidP="00393852">
      <w:pPr>
        <w:pStyle w:val="Heading1"/>
        <w:spacing w:before="0" w:after="120"/>
        <w:ind w:left="431" w:hanging="431"/>
        <w:rPr>
          <w:rFonts w:cstheme="minorHAnsi"/>
        </w:rPr>
      </w:pPr>
      <w:r w:rsidRPr="00393852">
        <w:rPr>
          <w:rFonts w:cstheme="minorHAnsi"/>
        </w:rPr>
        <w:t>Date of first approval</w:t>
      </w:r>
    </w:p>
    <w:p w14:paraId="7C4DB63B" w14:textId="1D18ACA3" w:rsidR="00245376" w:rsidRPr="005C0404" w:rsidRDefault="005F03A6" w:rsidP="005C0404">
      <w:pPr>
        <w:rPr>
          <w:rFonts w:asciiTheme="majorHAnsi" w:hAnsiTheme="majorHAnsi" w:cstheme="minorHAnsi"/>
          <w:lang w:val="en"/>
        </w:rPr>
      </w:pPr>
      <w:r w:rsidRPr="00053F1A">
        <w:rPr>
          <w:rFonts w:asciiTheme="majorHAnsi" w:hAnsiTheme="majorHAnsi" w:cstheme="minorHAnsi"/>
          <w:lang w:val="en"/>
        </w:rPr>
        <w:t xml:space="preserve">26 November 2003 </w:t>
      </w:r>
    </w:p>
    <w:p w14:paraId="00F5F2C0" w14:textId="0A6A3EE7" w:rsidR="001A3992" w:rsidRPr="00393852" w:rsidRDefault="005C0404" w:rsidP="00393852">
      <w:pPr>
        <w:pStyle w:val="Heading1"/>
        <w:spacing w:before="0" w:after="120"/>
        <w:ind w:left="431" w:hanging="431"/>
        <w:rPr>
          <w:rFonts w:cstheme="minorHAnsi"/>
        </w:rPr>
      </w:pPr>
      <w:bookmarkStart w:id="7" w:name="_Hlk95384470"/>
      <w:r w:rsidRPr="00393852">
        <w:rPr>
          <w:rFonts w:cstheme="minorHAnsi"/>
        </w:rPr>
        <w:t>Date of revision</w:t>
      </w:r>
    </w:p>
    <w:bookmarkEnd w:id="7"/>
    <w:p w14:paraId="50A84A67" w14:textId="3E061450" w:rsidR="005F03A6" w:rsidRPr="005C0404" w:rsidRDefault="00EF0585" w:rsidP="005F03A6">
      <w:pPr>
        <w:rPr>
          <w:rFonts w:asciiTheme="majorHAnsi" w:hAnsiTheme="majorHAnsi" w:cstheme="minorHAnsi"/>
          <w:lang w:val="en"/>
        </w:rPr>
      </w:pPr>
      <w:r w:rsidRPr="00EF0585">
        <w:rPr>
          <w:rFonts w:asciiTheme="majorHAnsi" w:hAnsiTheme="majorHAnsi" w:cstheme="minorHAnsi"/>
        </w:rPr>
        <w:t>11</w:t>
      </w:r>
      <w:r w:rsidR="00FB6F32">
        <w:rPr>
          <w:rFonts w:asciiTheme="majorHAnsi" w:hAnsiTheme="majorHAnsi" w:cstheme="minorHAnsi"/>
        </w:rPr>
        <w:t xml:space="preserve"> July </w:t>
      </w:r>
      <w:r w:rsidRPr="00EF0585">
        <w:rPr>
          <w:rFonts w:asciiTheme="majorHAnsi" w:hAnsiTheme="majorHAnsi" w:cstheme="minorHAnsi"/>
        </w:rPr>
        <w:t>2022</w:t>
      </w:r>
    </w:p>
    <w:p w14:paraId="05516932" w14:textId="77777777" w:rsidR="001A3992" w:rsidRPr="00497C85" w:rsidRDefault="001A3992" w:rsidP="00DC150E">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ED0937" w:rsidRPr="00497C85" w14:paraId="55670971" w14:textId="77777777" w:rsidTr="00930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themeFill="background1" w:themeFillShade="F2"/>
            <w:vAlign w:val="center"/>
          </w:tcPr>
          <w:p w14:paraId="1F3D44F6" w14:textId="77777777" w:rsidR="00ED0937" w:rsidRPr="00497C85" w:rsidRDefault="00ED0937" w:rsidP="00E04BAC">
            <w:pPr>
              <w:rPr>
                <w:rFonts w:cstheme="minorHAnsi"/>
                <w:sz w:val="20"/>
                <w:lang w:val="en-US"/>
              </w:rPr>
            </w:pPr>
            <w:r w:rsidRPr="00497C85">
              <w:rPr>
                <w:rFonts w:cstheme="minorHAnsi"/>
                <w:sz w:val="20"/>
                <w:lang w:val="en-US"/>
              </w:rPr>
              <w:t>Section Changed</w:t>
            </w:r>
          </w:p>
        </w:tc>
        <w:tc>
          <w:tcPr>
            <w:tcW w:w="7633" w:type="dxa"/>
            <w:shd w:val="clear" w:color="auto" w:fill="F2F2F2" w:themeFill="background1" w:themeFillShade="F2"/>
            <w:vAlign w:val="center"/>
          </w:tcPr>
          <w:p w14:paraId="0C8B41C6" w14:textId="77777777" w:rsidR="00ED0937" w:rsidRPr="00497C85" w:rsidRDefault="00ED0937" w:rsidP="00E04BAC">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D77623" w:rsidRPr="00497C85" w14:paraId="2F445880" w14:textId="77777777" w:rsidTr="00930E21">
        <w:tc>
          <w:tcPr>
            <w:cnfStyle w:val="001000000000" w:firstRow="0" w:lastRow="0" w:firstColumn="1" w:lastColumn="0" w:oddVBand="0" w:evenVBand="0" w:oddHBand="0" w:evenHBand="0" w:firstRowFirstColumn="0" w:firstRowLastColumn="0" w:lastRowFirstColumn="0" w:lastRowLastColumn="0"/>
            <w:tcW w:w="1373" w:type="dxa"/>
            <w:vAlign w:val="center"/>
          </w:tcPr>
          <w:p w14:paraId="38164033" w14:textId="7DEAEBD1" w:rsidR="00D77623" w:rsidRDefault="00D77623" w:rsidP="00E04BAC">
            <w:pPr>
              <w:rPr>
                <w:rFonts w:cstheme="minorHAnsi"/>
                <w:lang w:val="en-US"/>
              </w:rPr>
            </w:pPr>
            <w:r>
              <w:rPr>
                <w:rFonts w:cstheme="minorHAnsi"/>
                <w:lang w:val="en-US"/>
              </w:rPr>
              <w:t>All</w:t>
            </w:r>
          </w:p>
        </w:tc>
        <w:tc>
          <w:tcPr>
            <w:tcW w:w="7633" w:type="dxa"/>
            <w:vAlign w:val="center"/>
          </w:tcPr>
          <w:tbl>
            <w:tblPr>
              <w:tblW w:w="0" w:type="auto"/>
              <w:tblBorders>
                <w:top w:val="nil"/>
                <w:left w:val="nil"/>
                <w:bottom w:val="nil"/>
                <w:right w:val="nil"/>
              </w:tblBorders>
              <w:tblLook w:val="0000" w:firstRow="0" w:lastRow="0" w:firstColumn="0" w:lastColumn="0" w:noHBand="0" w:noVBand="0"/>
            </w:tblPr>
            <w:tblGrid>
              <w:gridCol w:w="7417"/>
            </w:tblGrid>
            <w:tr w:rsidR="00245376" w:rsidRPr="00245376" w14:paraId="10E3171D" w14:textId="77777777">
              <w:trPr>
                <w:trHeight w:val="247"/>
              </w:trPr>
              <w:tc>
                <w:tcPr>
                  <w:tcW w:w="0" w:type="auto"/>
                </w:tcPr>
                <w:p w14:paraId="74197D26" w14:textId="4409E15D" w:rsidR="00245376" w:rsidRPr="00245376" w:rsidRDefault="00E718F4" w:rsidP="00245376">
                  <w:pPr>
                    <w:spacing w:after="0" w:line="240" w:lineRule="auto"/>
                    <w:rPr>
                      <w:rFonts w:asciiTheme="majorHAnsi" w:hAnsiTheme="majorHAnsi" w:cstheme="minorHAnsi"/>
                    </w:rPr>
                  </w:pPr>
                  <w:r>
                    <w:rPr>
                      <w:rFonts w:asciiTheme="majorHAnsi" w:hAnsiTheme="majorHAnsi" w:cstheme="minorHAnsi"/>
                    </w:rPr>
                    <w:t>U</w:t>
                  </w:r>
                  <w:r w:rsidR="00245376" w:rsidRPr="00245376">
                    <w:rPr>
                      <w:rFonts w:asciiTheme="majorHAnsi" w:hAnsiTheme="majorHAnsi" w:cstheme="minorHAnsi"/>
                    </w:rPr>
                    <w:t xml:space="preserve">pdated with information relating to new indication for Central Precocious Puberty </w:t>
                  </w:r>
                </w:p>
              </w:tc>
            </w:tr>
          </w:tbl>
          <w:p w14:paraId="48A9A5A4" w14:textId="6FBB00C5" w:rsidR="00D77623" w:rsidRDefault="00D77623" w:rsidP="00E04BAC">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33983163" w14:textId="5975955B" w:rsidR="009C6BDA" w:rsidRPr="00497C85" w:rsidRDefault="009C6BDA" w:rsidP="001A3992">
      <w:pPr>
        <w:spacing w:after="120"/>
        <w:rPr>
          <w:rFonts w:asciiTheme="majorHAnsi" w:hAnsiTheme="majorHAnsi" w:cstheme="minorHAnsi"/>
          <w:lang w:val="en-US"/>
        </w:rPr>
      </w:pPr>
    </w:p>
    <w:p w14:paraId="71168F1F" w14:textId="55DF4719" w:rsidR="00960CD5" w:rsidRDefault="005F5846" w:rsidP="005C0404">
      <w:pPr>
        <w:rPr>
          <w:rFonts w:asciiTheme="majorHAnsi" w:hAnsiTheme="majorHAnsi" w:cstheme="minorHAnsi"/>
          <w:lang w:val="en"/>
        </w:rPr>
      </w:pPr>
      <w:r>
        <w:rPr>
          <w:rFonts w:asciiTheme="majorHAnsi" w:hAnsiTheme="majorHAnsi" w:cstheme="minorHAnsi"/>
          <w:lang w:val="en"/>
        </w:rPr>
        <w:t>® ELIGARD</w:t>
      </w:r>
      <w:r w:rsidR="005F03A6" w:rsidRPr="005C0404">
        <w:rPr>
          <w:rFonts w:asciiTheme="majorHAnsi" w:hAnsiTheme="majorHAnsi" w:cstheme="minorHAnsi"/>
          <w:lang w:val="en"/>
        </w:rPr>
        <w:t xml:space="preserve"> and </w:t>
      </w:r>
      <w:r>
        <w:rPr>
          <w:rFonts w:asciiTheme="majorHAnsi" w:hAnsiTheme="majorHAnsi" w:cstheme="minorHAnsi"/>
          <w:lang w:val="en"/>
        </w:rPr>
        <w:t>ATRIGEL</w:t>
      </w:r>
      <w:r w:rsidR="005F03A6" w:rsidRPr="005C0404">
        <w:rPr>
          <w:rFonts w:asciiTheme="majorHAnsi" w:hAnsiTheme="majorHAnsi" w:cstheme="minorHAnsi"/>
          <w:lang w:val="en"/>
        </w:rPr>
        <w:t xml:space="preserve"> are trademarks of </w:t>
      </w:r>
      <w:proofErr w:type="spellStart"/>
      <w:r w:rsidR="005F03A6" w:rsidRPr="005C0404">
        <w:rPr>
          <w:rFonts w:asciiTheme="majorHAnsi" w:hAnsiTheme="majorHAnsi" w:cstheme="minorHAnsi"/>
          <w:lang w:val="en"/>
        </w:rPr>
        <w:t>Tolmar</w:t>
      </w:r>
      <w:proofErr w:type="spellEnd"/>
      <w:r w:rsidR="005F03A6" w:rsidRPr="005C0404">
        <w:rPr>
          <w:rFonts w:asciiTheme="majorHAnsi" w:hAnsiTheme="majorHAnsi" w:cstheme="minorHAnsi"/>
          <w:lang w:val="en"/>
        </w:rPr>
        <w:t xml:space="preserve"> Therapeutics, Inc. used under</w:t>
      </w:r>
      <w:r w:rsidR="005F03A6" w:rsidRPr="005F5846">
        <w:rPr>
          <w:rFonts w:asciiTheme="majorHAnsi" w:hAnsiTheme="majorHAnsi" w:cstheme="minorHAnsi"/>
        </w:rPr>
        <w:t xml:space="preserve"> </w:t>
      </w:r>
      <w:r w:rsidRPr="005F5846">
        <w:rPr>
          <w:rFonts w:asciiTheme="majorHAnsi" w:hAnsiTheme="majorHAnsi" w:cstheme="minorHAnsi"/>
        </w:rPr>
        <w:t>licence</w:t>
      </w:r>
      <w:r w:rsidR="005F03A6" w:rsidRPr="005C0404">
        <w:rPr>
          <w:rFonts w:asciiTheme="majorHAnsi" w:hAnsiTheme="majorHAnsi" w:cstheme="minorHAnsi"/>
          <w:lang w:val="en"/>
        </w:rPr>
        <w:t>.</w:t>
      </w:r>
    </w:p>
    <w:p w14:paraId="50F6BC8D" w14:textId="2D8970A5" w:rsidR="00C62174" w:rsidRDefault="00C62174" w:rsidP="005C0404">
      <w:pPr>
        <w:rPr>
          <w:rFonts w:asciiTheme="majorHAnsi" w:hAnsiTheme="majorHAnsi" w:cstheme="minorHAnsi"/>
          <w:lang w:val="en"/>
        </w:rPr>
      </w:pPr>
    </w:p>
    <w:p w14:paraId="4DAB5F5E" w14:textId="745033BD" w:rsidR="00C62174" w:rsidRDefault="00C62174" w:rsidP="005C0404">
      <w:pPr>
        <w:rPr>
          <w:rFonts w:asciiTheme="majorHAnsi" w:hAnsiTheme="majorHAnsi" w:cstheme="minorHAnsi"/>
          <w:lang w:val="en"/>
        </w:rPr>
      </w:pPr>
    </w:p>
    <w:p w14:paraId="0351FA8C" w14:textId="201E8400" w:rsidR="001E7E20" w:rsidRDefault="00B15C34" w:rsidP="005C0404">
      <w:pPr>
        <w:rPr>
          <w:rFonts w:asciiTheme="majorHAnsi" w:hAnsiTheme="majorHAnsi" w:cstheme="minorHAnsi"/>
          <w:lang w:val="en"/>
        </w:rPr>
      </w:pPr>
      <w:r>
        <w:rPr>
          <w:rFonts w:asciiTheme="majorHAnsi" w:hAnsiTheme="majorHAnsi" w:cstheme="minorHAnsi"/>
          <w:lang w:val="en"/>
        </w:rPr>
        <w:t>ELIGARD</w:t>
      </w:r>
      <w:r w:rsidRPr="001E7E20">
        <w:rPr>
          <w:rFonts w:asciiTheme="majorHAnsi" w:hAnsiTheme="majorHAnsi" w:cstheme="minorHAnsi"/>
          <w:lang w:val="en"/>
        </w:rPr>
        <w:t xml:space="preserve"> </w:t>
      </w:r>
      <w:r w:rsidR="001E7E20" w:rsidRPr="001E7E20">
        <w:rPr>
          <w:rFonts w:asciiTheme="majorHAnsi" w:hAnsiTheme="majorHAnsi" w:cstheme="minorHAnsi"/>
          <w:lang w:val="en"/>
        </w:rPr>
        <w:t>PI v</w:t>
      </w:r>
      <w:r w:rsidR="00C45432">
        <w:rPr>
          <w:rFonts w:asciiTheme="majorHAnsi" w:hAnsiTheme="majorHAnsi" w:cstheme="minorHAnsi"/>
          <w:lang w:val="en"/>
        </w:rPr>
        <w:t>1</w:t>
      </w:r>
      <w:r w:rsidR="001E7E20" w:rsidRPr="001E7E20">
        <w:rPr>
          <w:rFonts w:asciiTheme="majorHAnsi" w:hAnsiTheme="majorHAnsi" w:cstheme="minorHAnsi"/>
          <w:lang w:val="en"/>
        </w:rPr>
        <w:t xml:space="preserve"> </w:t>
      </w:r>
      <w:r w:rsidR="002D4C55">
        <w:rPr>
          <w:rFonts w:asciiTheme="majorHAnsi" w:hAnsiTheme="majorHAnsi" w:cstheme="minorHAnsi"/>
          <w:lang w:val="en"/>
        </w:rPr>
        <w:t>(</w:t>
      </w:r>
      <w:r w:rsidR="001E7E20" w:rsidRPr="001E7E20">
        <w:rPr>
          <w:rFonts w:asciiTheme="majorHAnsi" w:hAnsiTheme="majorHAnsi" w:cstheme="minorHAnsi"/>
          <w:lang w:val="en"/>
        </w:rPr>
        <w:t>CCDS 17</w:t>
      </w:r>
      <w:r w:rsidR="002D4C55">
        <w:rPr>
          <w:rFonts w:asciiTheme="majorHAnsi" w:hAnsiTheme="majorHAnsi" w:cstheme="minorHAnsi"/>
          <w:lang w:val="en"/>
        </w:rPr>
        <w:t>)</w:t>
      </w:r>
    </w:p>
    <w:p w14:paraId="2AB14692" w14:textId="39270BDD" w:rsidR="00B15C34" w:rsidRPr="005C0404" w:rsidRDefault="00B15C34" w:rsidP="002D4C55">
      <w:pPr>
        <w:rPr>
          <w:rFonts w:asciiTheme="majorHAnsi" w:hAnsiTheme="majorHAnsi" w:cstheme="minorHAnsi"/>
          <w:lang w:val="en"/>
        </w:rPr>
      </w:pPr>
    </w:p>
    <w:sectPr w:rsidR="00B15C34" w:rsidRPr="005C0404" w:rsidSect="00841CF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644" w14:textId="77777777" w:rsidR="00A301E4" w:rsidRDefault="00A301E4" w:rsidP="001A3992">
      <w:pPr>
        <w:spacing w:after="0" w:line="240" w:lineRule="auto"/>
      </w:pPr>
      <w:r>
        <w:separator/>
      </w:r>
    </w:p>
  </w:endnote>
  <w:endnote w:type="continuationSeparator" w:id="0">
    <w:p w14:paraId="2298DCAD" w14:textId="77777777" w:rsidR="00A301E4" w:rsidRDefault="00A301E4" w:rsidP="001A3992">
      <w:pPr>
        <w:spacing w:after="0" w:line="240" w:lineRule="auto"/>
      </w:pPr>
      <w:r>
        <w:continuationSeparator/>
      </w:r>
    </w:p>
  </w:endnote>
  <w:endnote w:type="continuationNotice" w:id="1">
    <w:p w14:paraId="5D4672D4" w14:textId="77777777" w:rsidR="007337EC" w:rsidRDefault="00733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2F2D" w14:textId="77777777" w:rsidR="00200C57" w:rsidRDefault="00200C57" w:rsidP="008B12AA">
    <w:pPr>
      <w:pStyle w:val="Footer"/>
      <w:tabs>
        <w:tab w:val="left" w:pos="195"/>
      </w:tabs>
      <w:rPr>
        <w:rFonts w:asciiTheme="majorHAnsi" w:hAnsiTheme="majorHAnsi"/>
        <w:sz w:val="20"/>
      </w:rPr>
    </w:pPr>
  </w:p>
  <w:p w14:paraId="3F831256" w14:textId="35C9B448" w:rsidR="00200C57" w:rsidRPr="0078189C" w:rsidRDefault="00200C57" w:rsidP="0078189C">
    <w:pPr>
      <w:pStyle w:val="Footer"/>
      <w:tabs>
        <w:tab w:val="left" w:pos="195"/>
      </w:tabs>
      <w:rPr>
        <w:sz w:val="20"/>
      </w:rPr>
    </w:pPr>
    <w:r w:rsidRPr="00C234F5">
      <w:rPr>
        <w:rFonts w:asciiTheme="majorHAnsi" w:hAnsiTheme="majorHAnsi"/>
        <w:sz w:val="20"/>
      </w:rPr>
      <w:t>ELIGARD</w:t>
    </w:r>
    <w:r w:rsidRPr="00C234F5">
      <w:rPr>
        <w:rStyle w:val="Emphasis"/>
        <w:rFonts w:asciiTheme="majorHAnsi" w:hAnsiTheme="majorHAnsi" w:cs="Arial"/>
        <w:bCs/>
        <w:iCs w:val="0"/>
        <w:u w:val="none"/>
        <w:shd w:val="clear" w:color="auto" w:fill="FFFFFF"/>
        <w:vertAlign w:val="superscript"/>
      </w:rPr>
      <w:t>®</w:t>
    </w:r>
    <w:r w:rsidRPr="00C234F5">
      <w:rPr>
        <w:sz w:val="20"/>
      </w:rPr>
      <w:t xml:space="preserve"> MODIFIED RELEASE INJECTION SYRINGE</w:t>
    </w:r>
    <w:r w:rsidRPr="00C234F5">
      <w:rPr>
        <w:sz w:val="20"/>
      </w:rPr>
      <w:tab/>
    </w:r>
    <w:r>
      <w:rPr>
        <w:sz w:val="20"/>
      </w:rPr>
      <w:tab/>
      <w:t xml:space="preserve">Page </w:t>
    </w:r>
    <w:r w:rsidRPr="00C234F5">
      <w:rPr>
        <w:b/>
        <w:bCs/>
        <w:sz w:val="20"/>
      </w:rPr>
      <w:fldChar w:fldCharType="begin"/>
    </w:r>
    <w:r w:rsidRPr="00C234F5">
      <w:rPr>
        <w:b/>
        <w:bCs/>
        <w:sz w:val="20"/>
      </w:rPr>
      <w:instrText xml:space="preserve"> PAGE  \* Arabic  \* MERGEFORMAT </w:instrText>
    </w:r>
    <w:r w:rsidRPr="00C234F5">
      <w:rPr>
        <w:b/>
        <w:bCs/>
        <w:sz w:val="20"/>
      </w:rPr>
      <w:fldChar w:fldCharType="separate"/>
    </w:r>
    <w:r w:rsidR="00FC07F3">
      <w:rPr>
        <w:b/>
        <w:bCs/>
        <w:noProof/>
        <w:sz w:val="20"/>
      </w:rPr>
      <w:t>1</w:t>
    </w:r>
    <w:r w:rsidRPr="00C234F5">
      <w:rPr>
        <w:b/>
        <w:bCs/>
        <w:sz w:val="20"/>
      </w:rPr>
      <w:fldChar w:fldCharType="end"/>
    </w:r>
    <w:r w:rsidRPr="00C234F5">
      <w:rPr>
        <w:sz w:val="20"/>
      </w:rPr>
      <w:t xml:space="preserve"> of </w:t>
    </w:r>
    <w:r w:rsidRPr="00C234F5">
      <w:rPr>
        <w:b/>
        <w:bCs/>
        <w:sz w:val="20"/>
      </w:rPr>
      <w:fldChar w:fldCharType="begin"/>
    </w:r>
    <w:r w:rsidRPr="00C234F5">
      <w:rPr>
        <w:b/>
        <w:bCs/>
        <w:sz w:val="20"/>
      </w:rPr>
      <w:instrText xml:space="preserve"> NUMPAGES  \* Arabic  \* MERGEFORMAT </w:instrText>
    </w:r>
    <w:r w:rsidRPr="00C234F5">
      <w:rPr>
        <w:b/>
        <w:bCs/>
        <w:sz w:val="20"/>
      </w:rPr>
      <w:fldChar w:fldCharType="separate"/>
    </w:r>
    <w:r w:rsidR="00FC07F3">
      <w:rPr>
        <w:b/>
        <w:bCs/>
        <w:noProof/>
        <w:sz w:val="20"/>
      </w:rPr>
      <w:t>1</w:t>
    </w:r>
    <w:r w:rsidRPr="00C234F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7841" w14:textId="77777777" w:rsidR="00A301E4" w:rsidRDefault="00A301E4" w:rsidP="001A3992">
      <w:pPr>
        <w:spacing w:after="0" w:line="240" w:lineRule="auto"/>
      </w:pPr>
      <w:r>
        <w:separator/>
      </w:r>
    </w:p>
  </w:footnote>
  <w:footnote w:type="continuationSeparator" w:id="0">
    <w:p w14:paraId="6E55533A" w14:textId="77777777" w:rsidR="00A301E4" w:rsidRDefault="00A301E4" w:rsidP="001A3992">
      <w:pPr>
        <w:spacing w:after="0" w:line="240" w:lineRule="auto"/>
      </w:pPr>
      <w:r>
        <w:continuationSeparator/>
      </w:r>
    </w:p>
  </w:footnote>
  <w:footnote w:type="continuationNotice" w:id="1">
    <w:p w14:paraId="327EB57A" w14:textId="77777777" w:rsidR="007337EC" w:rsidRDefault="007337EC">
      <w:pPr>
        <w:spacing w:after="0" w:line="240" w:lineRule="auto"/>
      </w:pPr>
    </w:p>
  </w:footnote>
  <w:footnote w:id="2">
    <w:p w14:paraId="3E6472E7" w14:textId="2BFE71DD" w:rsidR="00200C57" w:rsidRPr="001D22B2" w:rsidRDefault="00200C57" w:rsidP="005A4B67">
      <w:pPr>
        <w:pStyle w:val="FootnoteText"/>
        <w:rPr>
          <w:rFonts w:ascii="Times New Roman" w:hAnsi="Times New Roman"/>
        </w:rPr>
      </w:pPr>
      <w:r w:rsidRPr="001D22B2">
        <w:rPr>
          <w:rStyle w:val="FootnoteReference"/>
          <w:rFonts w:ascii="Times New Roman" w:hAnsi="Times New Roman"/>
        </w:rPr>
        <w:footnoteRef/>
      </w:r>
      <w:r w:rsidRPr="001D22B2">
        <w:rPr>
          <w:rFonts w:ascii="Times New Roman" w:hAnsi="Times New Roman"/>
        </w:rPr>
        <w:t xml:space="preserve"> Not indicated for </w:t>
      </w:r>
      <w:r>
        <w:rPr>
          <w:rFonts w:ascii="Times New Roman" w:hAnsi="Times New Roman"/>
        </w:rPr>
        <w:t>BI ELIGARD</w:t>
      </w:r>
      <w:r w:rsidRPr="000B1D23">
        <w:rPr>
          <w:rFonts w:ascii="Times New Roman" w:hAnsi="Times New Roman"/>
          <w:vertAlign w:val="superscript"/>
        </w:rPr>
        <w:t>®</w:t>
      </w:r>
      <w:r>
        <w:rPr>
          <w:rFonts w:ascii="Times New Roman" w:hAnsi="Times New Roman"/>
        </w:rPr>
        <w:t xml:space="preserve"> CP</w:t>
      </w:r>
      <w:r w:rsidRPr="001D22B2">
        <w:rPr>
          <w:rFonts w:ascii="Times New Roman" w:hAnsi="Times New Roman"/>
        </w:rPr>
        <w:t xml:space="preserve"> combination pack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F265DC" w:rsidRPr="00F265DC" w14:paraId="0D92CC4E" w14:textId="77777777" w:rsidTr="00F265DC">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0879CB0" w14:textId="2A54478D" w:rsidR="00F265DC" w:rsidRPr="00F265DC" w:rsidRDefault="00F265DC" w:rsidP="00F265DC">
          <w:pPr>
            <w:spacing w:before="180" w:after="180" w:line="240" w:lineRule="atLeast"/>
            <w:rPr>
              <w:rFonts w:asciiTheme="majorHAnsi" w:eastAsia="Calibri" w:hAnsiTheme="majorHAnsi"/>
              <w:b/>
              <w:sz w:val="18"/>
              <w:szCs w:val="18"/>
            </w:rPr>
          </w:pPr>
          <w:bookmarkStart w:id="8" w:name="_Hlk126587363"/>
          <w:r w:rsidRPr="00F265DC">
            <w:rPr>
              <w:rFonts w:asciiTheme="majorHAnsi" w:eastAsia="Calibri" w:hAnsiTheme="majorHAnsi"/>
              <w:b/>
              <w:sz w:val="18"/>
              <w:szCs w:val="18"/>
            </w:rPr>
            <w:t xml:space="preserve">Attachment 1: Product information for </w:t>
          </w:r>
          <w:proofErr w:type="spellStart"/>
          <w:r w:rsidRPr="00F265DC">
            <w:rPr>
              <w:rFonts w:asciiTheme="majorHAnsi" w:eastAsia="Calibri" w:hAnsiTheme="majorHAnsi"/>
              <w:b/>
              <w:sz w:val="18"/>
              <w:szCs w:val="18"/>
            </w:rPr>
            <w:t>AusPAR</w:t>
          </w:r>
          <w:proofErr w:type="spellEnd"/>
          <w:r w:rsidRPr="00F265DC">
            <w:rPr>
              <w:rFonts w:asciiTheme="majorHAnsi" w:eastAsia="Calibri" w:hAnsiTheme="majorHAnsi"/>
              <w:b/>
              <w:sz w:val="18"/>
              <w:szCs w:val="18"/>
            </w:rPr>
            <w:t xml:space="preserve"> - </w:t>
          </w:r>
          <w:proofErr w:type="spellStart"/>
          <w:r w:rsidRPr="00F265DC">
            <w:rPr>
              <w:rFonts w:asciiTheme="majorHAnsi" w:eastAsia="Calibri" w:hAnsiTheme="majorHAnsi"/>
              <w:b/>
              <w:sz w:val="18"/>
              <w:szCs w:val="18"/>
            </w:rPr>
            <w:t>Eligard</w:t>
          </w:r>
          <w:proofErr w:type="spellEnd"/>
          <w:r w:rsidRPr="00F265DC">
            <w:rPr>
              <w:rFonts w:asciiTheme="majorHAnsi" w:eastAsia="Calibri" w:hAnsiTheme="majorHAnsi"/>
              <w:b/>
              <w:sz w:val="18"/>
              <w:szCs w:val="18"/>
            </w:rPr>
            <w:t xml:space="preserve"> - Leuprorelin acetate - </w:t>
          </w:r>
          <w:proofErr w:type="spellStart"/>
          <w:r w:rsidRPr="00F265DC">
            <w:rPr>
              <w:rFonts w:asciiTheme="majorHAnsi" w:eastAsia="Calibri" w:hAnsiTheme="majorHAnsi"/>
              <w:b/>
              <w:sz w:val="18"/>
              <w:szCs w:val="18"/>
            </w:rPr>
            <w:t>Mundipharma</w:t>
          </w:r>
          <w:proofErr w:type="spellEnd"/>
          <w:r w:rsidRPr="00F265DC">
            <w:rPr>
              <w:rFonts w:asciiTheme="majorHAnsi" w:eastAsia="Calibri" w:hAnsiTheme="majorHAnsi"/>
              <w:b/>
              <w:sz w:val="18"/>
              <w:szCs w:val="18"/>
            </w:rPr>
            <w:t xml:space="preserve"> Pty Limited - PM-2021-01406-1-5 Final 3 March 2023. This is the Product Information that was approved with the submission described in this </w:t>
          </w:r>
          <w:proofErr w:type="spellStart"/>
          <w:r w:rsidRPr="00F265DC">
            <w:rPr>
              <w:rFonts w:asciiTheme="majorHAnsi" w:eastAsia="Calibri" w:hAnsiTheme="majorHAnsi"/>
              <w:b/>
              <w:sz w:val="18"/>
              <w:szCs w:val="18"/>
            </w:rPr>
            <w:t>AusPAR</w:t>
          </w:r>
          <w:proofErr w:type="spellEnd"/>
          <w:r w:rsidRPr="00F265DC">
            <w:rPr>
              <w:rFonts w:asciiTheme="majorHAnsi" w:eastAsia="Calibri" w:hAnsiTheme="majorHAnsi"/>
              <w:b/>
              <w:sz w:val="18"/>
              <w:szCs w:val="18"/>
            </w:rPr>
            <w:t>. It may have been superseded. For the most recent PI, please refer to the TGA website at &lt;</w:t>
          </w:r>
          <w:hyperlink r:id="rId1" w:history="1">
            <w:r w:rsidRPr="00F265DC">
              <w:rPr>
                <w:rFonts w:asciiTheme="majorHAnsi" w:eastAsia="Calibri" w:hAnsiTheme="majorHAnsi"/>
                <w:b/>
                <w:color w:val="0000FF"/>
                <w:sz w:val="18"/>
                <w:szCs w:val="18"/>
                <w:u w:val="single"/>
              </w:rPr>
              <w:t>https://www.tga.gov.au/products/australian-register-therapeutic-goods-artg/product-information-one</w:t>
            </w:r>
          </w:hyperlink>
          <w:r w:rsidRPr="00F265DC">
            <w:rPr>
              <w:rFonts w:asciiTheme="majorHAnsi" w:eastAsia="Calibri" w:hAnsiTheme="majorHAnsi"/>
              <w:b/>
              <w:sz w:val="18"/>
              <w:szCs w:val="18"/>
            </w:rPr>
            <w:t>&gt;</w:t>
          </w:r>
        </w:p>
      </w:tc>
      <w:bookmarkEnd w:id="8"/>
    </w:tr>
  </w:tbl>
  <w:p w14:paraId="16089B2D" w14:textId="1868AFAF" w:rsidR="00F265DC" w:rsidRDefault="00F2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0866"/>
    <w:multiLevelType w:val="hybridMultilevel"/>
    <w:tmpl w:val="2EE2149C"/>
    <w:lvl w:ilvl="0" w:tplc="E0FA8E14">
      <w:start w:val="2"/>
      <w:numFmt w:val="bullet"/>
      <w:lvlText w:val="-"/>
      <w:lvlJc w:val="left"/>
      <w:pPr>
        <w:ind w:left="405" w:hanging="360"/>
      </w:pPr>
      <w:rPr>
        <w:rFonts w:ascii="Cambria" w:eastAsiaTheme="minorHAnsi" w:hAnsi="Cambria"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3BCA6167"/>
    <w:multiLevelType w:val="hybridMultilevel"/>
    <w:tmpl w:val="FD9E4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332797"/>
    <w:multiLevelType w:val="multilevel"/>
    <w:tmpl w:val="0C090025"/>
    <w:lvl w:ilvl="0">
      <w:start w:val="1"/>
      <w:numFmt w:val="decimal"/>
      <w:pStyle w:val="Heading1"/>
      <w:lvlText w:val="%1"/>
      <w:lvlJc w:val="left"/>
      <w:pPr>
        <w:ind w:left="312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6172F05"/>
    <w:multiLevelType w:val="hybridMultilevel"/>
    <w:tmpl w:val="424CB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AA072D"/>
    <w:multiLevelType w:val="hybridMultilevel"/>
    <w:tmpl w:val="FF2E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DC"/>
    <w:rsid w:val="000025A0"/>
    <w:rsid w:val="00004124"/>
    <w:rsid w:val="00006694"/>
    <w:rsid w:val="00007800"/>
    <w:rsid w:val="00013796"/>
    <w:rsid w:val="00014B56"/>
    <w:rsid w:val="00014E3A"/>
    <w:rsid w:val="0001789F"/>
    <w:rsid w:val="00020774"/>
    <w:rsid w:val="00022F3C"/>
    <w:rsid w:val="00023634"/>
    <w:rsid w:val="00024364"/>
    <w:rsid w:val="00025472"/>
    <w:rsid w:val="00027122"/>
    <w:rsid w:val="000276AB"/>
    <w:rsid w:val="00031858"/>
    <w:rsid w:val="00031C89"/>
    <w:rsid w:val="00033D5B"/>
    <w:rsid w:val="0003510A"/>
    <w:rsid w:val="0003534D"/>
    <w:rsid w:val="00035453"/>
    <w:rsid w:val="000418CA"/>
    <w:rsid w:val="000434A3"/>
    <w:rsid w:val="00045F5F"/>
    <w:rsid w:val="00050AE2"/>
    <w:rsid w:val="00050D03"/>
    <w:rsid w:val="000521DB"/>
    <w:rsid w:val="0005239B"/>
    <w:rsid w:val="000535B8"/>
    <w:rsid w:val="00053CF2"/>
    <w:rsid w:val="00053F1A"/>
    <w:rsid w:val="00057E2B"/>
    <w:rsid w:val="00060CA7"/>
    <w:rsid w:val="00062589"/>
    <w:rsid w:val="00071DC9"/>
    <w:rsid w:val="00071DDC"/>
    <w:rsid w:val="00077FFA"/>
    <w:rsid w:val="00081E79"/>
    <w:rsid w:val="00082E09"/>
    <w:rsid w:val="0008337B"/>
    <w:rsid w:val="00083552"/>
    <w:rsid w:val="000864E1"/>
    <w:rsid w:val="00090D1E"/>
    <w:rsid w:val="000939D5"/>
    <w:rsid w:val="000956EF"/>
    <w:rsid w:val="000A22B2"/>
    <w:rsid w:val="000B0A51"/>
    <w:rsid w:val="000B1A14"/>
    <w:rsid w:val="000B1D23"/>
    <w:rsid w:val="000B3545"/>
    <w:rsid w:val="000B7FCA"/>
    <w:rsid w:val="000C02A0"/>
    <w:rsid w:val="000C6B88"/>
    <w:rsid w:val="000C7F56"/>
    <w:rsid w:val="000D01B5"/>
    <w:rsid w:val="000D3D49"/>
    <w:rsid w:val="000D6361"/>
    <w:rsid w:val="000D6C99"/>
    <w:rsid w:val="000D7333"/>
    <w:rsid w:val="000E2CA8"/>
    <w:rsid w:val="000E39BC"/>
    <w:rsid w:val="000E61EA"/>
    <w:rsid w:val="000F067E"/>
    <w:rsid w:val="000F1BDC"/>
    <w:rsid w:val="000F211E"/>
    <w:rsid w:val="000F264C"/>
    <w:rsid w:val="000F275A"/>
    <w:rsid w:val="000F68E8"/>
    <w:rsid w:val="00102020"/>
    <w:rsid w:val="00102DBE"/>
    <w:rsid w:val="00106314"/>
    <w:rsid w:val="0010723B"/>
    <w:rsid w:val="00110804"/>
    <w:rsid w:val="00116031"/>
    <w:rsid w:val="00117A71"/>
    <w:rsid w:val="00120D6B"/>
    <w:rsid w:val="0012179B"/>
    <w:rsid w:val="001240A0"/>
    <w:rsid w:val="001244C1"/>
    <w:rsid w:val="001267F8"/>
    <w:rsid w:val="001268DD"/>
    <w:rsid w:val="00130B6D"/>
    <w:rsid w:val="001312C5"/>
    <w:rsid w:val="00132E2C"/>
    <w:rsid w:val="00137576"/>
    <w:rsid w:val="00142D6E"/>
    <w:rsid w:val="00144902"/>
    <w:rsid w:val="00146C8A"/>
    <w:rsid w:val="00150648"/>
    <w:rsid w:val="001552DD"/>
    <w:rsid w:val="00157066"/>
    <w:rsid w:val="0016028C"/>
    <w:rsid w:val="0016608B"/>
    <w:rsid w:val="00166FAA"/>
    <w:rsid w:val="001673C8"/>
    <w:rsid w:val="001706DE"/>
    <w:rsid w:val="00173A45"/>
    <w:rsid w:val="001756CD"/>
    <w:rsid w:val="00175803"/>
    <w:rsid w:val="00181770"/>
    <w:rsid w:val="00181BDD"/>
    <w:rsid w:val="0018246C"/>
    <w:rsid w:val="001828B3"/>
    <w:rsid w:val="001840DF"/>
    <w:rsid w:val="001847B2"/>
    <w:rsid w:val="00185A95"/>
    <w:rsid w:val="00186CFD"/>
    <w:rsid w:val="00187672"/>
    <w:rsid w:val="00187920"/>
    <w:rsid w:val="001913D3"/>
    <w:rsid w:val="00194454"/>
    <w:rsid w:val="001968AC"/>
    <w:rsid w:val="001A0A37"/>
    <w:rsid w:val="001A38CF"/>
    <w:rsid w:val="001A390E"/>
    <w:rsid w:val="001A3992"/>
    <w:rsid w:val="001A5733"/>
    <w:rsid w:val="001A7623"/>
    <w:rsid w:val="001B094F"/>
    <w:rsid w:val="001B1ED4"/>
    <w:rsid w:val="001B2431"/>
    <w:rsid w:val="001B2C85"/>
    <w:rsid w:val="001B4252"/>
    <w:rsid w:val="001C25BF"/>
    <w:rsid w:val="001C2B8B"/>
    <w:rsid w:val="001C3677"/>
    <w:rsid w:val="001C3E45"/>
    <w:rsid w:val="001C4B0D"/>
    <w:rsid w:val="001C5FA6"/>
    <w:rsid w:val="001C62FE"/>
    <w:rsid w:val="001C64F7"/>
    <w:rsid w:val="001D46BA"/>
    <w:rsid w:val="001D53ED"/>
    <w:rsid w:val="001D5CD7"/>
    <w:rsid w:val="001E1016"/>
    <w:rsid w:val="001E23BC"/>
    <w:rsid w:val="001E27C1"/>
    <w:rsid w:val="001E4B50"/>
    <w:rsid w:val="001E7E20"/>
    <w:rsid w:val="001F2413"/>
    <w:rsid w:val="00200C57"/>
    <w:rsid w:val="002022DA"/>
    <w:rsid w:val="002044EF"/>
    <w:rsid w:val="0020622C"/>
    <w:rsid w:val="0020656D"/>
    <w:rsid w:val="00210CEC"/>
    <w:rsid w:val="00211180"/>
    <w:rsid w:val="00212222"/>
    <w:rsid w:val="00214645"/>
    <w:rsid w:val="00217D11"/>
    <w:rsid w:val="00221287"/>
    <w:rsid w:val="00221C54"/>
    <w:rsid w:val="00230E4C"/>
    <w:rsid w:val="0023151E"/>
    <w:rsid w:val="00231646"/>
    <w:rsid w:val="00233AB2"/>
    <w:rsid w:val="0023524B"/>
    <w:rsid w:val="0023693E"/>
    <w:rsid w:val="00241791"/>
    <w:rsid w:val="00242BDE"/>
    <w:rsid w:val="00245376"/>
    <w:rsid w:val="00246D7B"/>
    <w:rsid w:val="00250E5E"/>
    <w:rsid w:val="00251839"/>
    <w:rsid w:val="00252CD7"/>
    <w:rsid w:val="00252D75"/>
    <w:rsid w:val="00253E27"/>
    <w:rsid w:val="00254D4F"/>
    <w:rsid w:val="0026199C"/>
    <w:rsid w:val="00262A6E"/>
    <w:rsid w:val="00264159"/>
    <w:rsid w:val="002655AC"/>
    <w:rsid w:val="0026731C"/>
    <w:rsid w:val="002709A0"/>
    <w:rsid w:val="00271F3B"/>
    <w:rsid w:val="00272DC2"/>
    <w:rsid w:val="00276B03"/>
    <w:rsid w:val="00283A9D"/>
    <w:rsid w:val="00286470"/>
    <w:rsid w:val="002925D9"/>
    <w:rsid w:val="002937C0"/>
    <w:rsid w:val="00295361"/>
    <w:rsid w:val="00297186"/>
    <w:rsid w:val="002A312B"/>
    <w:rsid w:val="002A3BAF"/>
    <w:rsid w:val="002A67DD"/>
    <w:rsid w:val="002A6B49"/>
    <w:rsid w:val="002B22D7"/>
    <w:rsid w:val="002B4B47"/>
    <w:rsid w:val="002C0F23"/>
    <w:rsid w:val="002D037A"/>
    <w:rsid w:val="002D23FF"/>
    <w:rsid w:val="002D3BAD"/>
    <w:rsid w:val="002D47A0"/>
    <w:rsid w:val="002D4C55"/>
    <w:rsid w:val="002D7243"/>
    <w:rsid w:val="002E066B"/>
    <w:rsid w:val="002E277D"/>
    <w:rsid w:val="002E49BE"/>
    <w:rsid w:val="002F20B6"/>
    <w:rsid w:val="002F4745"/>
    <w:rsid w:val="002F4A14"/>
    <w:rsid w:val="002F4AE2"/>
    <w:rsid w:val="00302187"/>
    <w:rsid w:val="0030352A"/>
    <w:rsid w:val="00303DEE"/>
    <w:rsid w:val="003070C1"/>
    <w:rsid w:val="00314055"/>
    <w:rsid w:val="003141D7"/>
    <w:rsid w:val="00314AAA"/>
    <w:rsid w:val="0031769F"/>
    <w:rsid w:val="003207B6"/>
    <w:rsid w:val="003215DF"/>
    <w:rsid w:val="00323777"/>
    <w:rsid w:val="003241EA"/>
    <w:rsid w:val="00324B8C"/>
    <w:rsid w:val="00327EFB"/>
    <w:rsid w:val="00330101"/>
    <w:rsid w:val="0033016E"/>
    <w:rsid w:val="00330CA6"/>
    <w:rsid w:val="003342CB"/>
    <w:rsid w:val="003347AB"/>
    <w:rsid w:val="00336D52"/>
    <w:rsid w:val="003376A2"/>
    <w:rsid w:val="00345291"/>
    <w:rsid w:val="00345954"/>
    <w:rsid w:val="003502B2"/>
    <w:rsid w:val="00350C4B"/>
    <w:rsid w:val="00350E00"/>
    <w:rsid w:val="00351F45"/>
    <w:rsid w:val="003523FE"/>
    <w:rsid w:val="00353448"/>
    <w:rsid w:val="0035558A"/>
    <w:rsid w:val="003556DC"/>
    <w:rsid w:val="003569A6"/>
    <w:rsid w:val="003641D9"/>
    <w:rsid w:val="003641FF"/>
    <w:rsid w:val="00364517"/>
    <w:rsid w:val="003645A9"/>
    <w:rsid w:val="00364BB3"/>
    <w:rsid w:val="003679AD"/>
    <w:rsid w:val="00367AB8"/>
    <w:rsid w:val="00371185"/>
    <w:rsid w:val="00371350"/>
    <w:rsid w:val="0037737E"/>
    <w:rsid w:val="00377604"/>
    <w:rsid w:val="00377EDC"/>
    <w:rsid w:val="0038677E"/>
    <w:rsid w:val="003867A3"/>
    <w:rsid w:val="00386B85"/>
    <w:rsid w:val="003926B8"/>
    <w:rsid w:val="00393852"/>
    <w:rsid w:val="00393D0B"/>
    <w:rsid w:val="003A0016"/>
    <w:rsid w:val="003A1FCD"/>
    <w:rsid w:val="003A2592"/>
    <w:rsid w:val="003A488A"/>
    <w:rsid w:val="003B1FC8"/>
    <w:rsid w:val="003B4546"/>
    <w:rsid w:val="003B5688"/>
    <w:rsid w:val="003B6D01"/>
    <w:rsid w:val="003B7523"/>
    <w:rsid w:val="003D194C"/>
    <w:rsid w:val="003D235E"/>
    <w:rsid w:val="003D3C96"/>
    <w:rsid w:val="003E0D0A"/>
    <w:rsid w:val="003E2635"/>
    <w:rsid w:val="003E41F4"/>
    <w:rsid w:val="003F25BF"/>
    <w:rsid w:val="003F3958"/>
    <w:rsid w:val="003F3B3C"/>
    <w:rsid w:val="003F61B9"/>
    <w:rsid w:val="00400A8D"/>
    <w:rsid w:val="00401DA9"/>
    <w:rsid w:val="004032BD"/>
    <w:rsid w:val="004125E3"/>
    <w:rsid w:val="00414299"/>
    <w:rsid w:val="00415FD0"/>
    <w:rsid w:val="00416773"/>
    <w:rsid w:val="004216C9"/>
    <w:rsid w:val="00425C53"/>
    <w:rsid w:val="004278B2"/>
    <w:rsid w:val="00430621"/>
    <w:rsid w:val="00431ACD"/>
    <w:rsid w:val="00432EA6"/>
    <w:rsid w:val="0043384E"/>
    <w:rsid w:val="00433ABC"/>
    <w:rsid w:val="004355A0"/>
    <w:rsid w:val="004357E5"/>
    <w:rsid w:val="0043787A"/>
    <w:rsid w:val="00440BCD"/>
    <w:rsid w:val="00443F29"/>
    <w:rsid w:val="00445515"/>
    <w:rsid w:val="00445AC2"/>
    <w:rsid w:val="00446213"/>
    <w:rsid w:val="00451DE3"/>
    <w:rsid w:val="004523A2"/>
    <w:rsid w:val="00453C41"/>
    <w:rsid w:val="00453D5D"/>
    <w:rsid w:val="004559E4"/>
    <w:rsid w:val="00455A64"/>
    <w:rsid w:val="004566EB"/>
    <w:rsid w:val="0045708F"/>
    <w:rsid w:val="004627FA"/>
    <w:rsid w:val="00462F59"/>
    <w:rsid w:val="004646B0"/>
    <w:rsid w:val="00464DD9"/>
    <w:rsid w:val="0046701B"/>
    <w:rsid w:val="0048337B"/>
    <w:rsid w:val="004879F9"/>
    <w:rsid w:val="004908BF"/>
    <w:rsid w:val="00494863"/>
    <w:rsid w:val="00495BB7"/>
    <w:rsid w:val="00496210"/>
    <w:rsid w:val="00497C85"/>
    <w:rsid w:val="004A0E51"/>
    <w:rsid w:val="004A316D"/>
    <w:rsid w:val="004A577A"/>
    <w:rsid w:val="004A5E08"/>
    <w:rsid w:val="004A70BE"/>
    <w:rsid w:val="004B3DAA"/>
    <w:rsid w:val="004C150D"/>
    <w:rsid w:val="004C2558"/>
    <w:rsid w:val="004D1590"/>
    <w:rsid w:val="004D2055"/>
    <w:rsid w:val="004D6A98"/>
    <w:rsid w:val="004E3091"/>
    <w:rsid w:val="004F038A"/>
    <w:rsid w:val="004F0504"/>
    <w:rsid w:val="004F0605"/>
    <w:rsid w:val="004F0ABA"/>
    <w:rsid w:val="004F1234"/>
    <w:rsid w:val="004F1341"/>
    <w:rsid w:val="004F18F6"/>
    <w:rsid w:val="004F1932"/>
    <w:rsid w:val="004F20AC"/>
    <w:rsid w:val="004F26C6"/>
    <w:rsid w:val="00503C0B"/>
    <w:rsid w:val="00505AB2"/>
    <w:rsid w:val="00511ACF"/>
    <w:rsid w:val="00512BA0"/>
    <w:rsid w:val="00516FAA"/>
    <w:rsid w:val="00525397"/>
    <w:rsid w:val="00526136"/>
    <w:rsid w:val="005265C2"/>
    <w:rsid w:val="00534558"/>
    <w:rsid w:val="005463A9"/>
    <w:rsid w:val="005518D6"/>
    <w:rsid w:val="00555CC2"/>
    <w:rsid w:val="00560A26"/>
    <w:rsid w:val="00563641"/>
    <w:rsid w:val="00563DD1"/>
    <w:rsid w:val="00563F38"/>
    <w:rsid w:val="005640D9"/>
    <w:rsid w:val="00565785"/>
    <w:rsid w:val="00567BFA"/>
    <w:rsid w:val="00567F40"/>
    <w:rsid w:val="00572B1F"/>
    <w:rsid w:val="005746E5"/>
    <w:rsid w:val="00581A44"/>
    <w:rsid w:val="00583FC3"/>
    <w:rsid w:val="00585738"/>
    <w:rsid w:val="00586BC0"/>
    <w:rsid w:val="00587A60"/>
    <w:rsid w:val="00587BE2"/>
    <w:rsid w:val="0059143C"/>
    <w:rsid w:val="0059209F"/>
    <w:rsid w:val="00592BD1"/>
    <w:rsid w:val="0059466D"/>
    <w:rsid w:val="00595299"/>
    <w:rsid w:val="0059616B"/>
    <w:rsid w:val="0059630F"/>
    <w:rsid w:val="005A21B8"/>
    <w:rsid w:val="005A2F3B"/>
    <w:rsid w:val="005A4B67"/>
    <w:rsid w:val="005B288A"/>
    <w:rsid w:val="005B32BD"/>
    <w:rsid w:val="005B6A3C"/>
    <w:rsid w:val="005C0404"/>
    <w:rsid w:val="005C1069"/>
    <w:rsid w:val="005C237A"/>
    <w:rsid w:val="005C3EE1"/>
    <w:rsid w:val="005C4C9C"/>
    <w:rsid w:val="005C5AB4"/>
    <w:rsid w:val="005C6C9B"/>
    <w:rsid w:val="005C7CAE"/>
    <w:rsid w:val="005D3916"/>
    <w:rsid w:val="005D61B0"/>
    <w:rsid w:val="005D7157"/>
    <w:rsid w:val="005D7B58"/>
    <w:rsid w:val="005D7C5D"/>
    <w:rsid w:val="005E01BC"/>
    <w:rsid w:val="005E1B5A"/>
    <w:rsid w:val="005E1BE2"/>
    <w:rsid w:val="005E4D61"/>
    <w:rsid w:val="005E4E72"/>
    <w:rsid w:val="005E6BA7"/>
    <w:rsid w:val="005F03A6"/>
    <w:rsid w:val="005F2825"/>
    <w:rsid w:val="005F5846"/>
    <w:rsid w:val="005F5DA8"/>
    <w:rsid w:val="005F6BD5"/>
    <w:rsid w:val="005F6F6E"/>
    <w:rsid w:val="006010AB"/>
    <w:rsid w:val="00603CAE"/>
    <w:rsid w:val="0060778A"/>
    <w:rsid w:val="00610597"/>
    <w:rsid w:val="00610C75"/>
    <w:rsid w:val="00613399"/>
    <w:rsid w:val="00613B72"/>
    <w:rsid w:val="00614251"/>
    <w:rsid w:val="00614401"/>
    <w:rsid w:val="006145F0"/>
    <w:rsid w:val="0061538C"/>
    <w:rsid w:val="00615E99"/>
    <w:rsid w:val="00616DB2"/>
    <w:rsid w:val="0062031A"/>
    <w:rsid w:val="006224CE"/>
    <w:rsid w:val="006247FA"/>
    <w:rsid w:val="00627814"/>
    <w:rsid w:val="006315BA"/>
    <w:rsid w:val="006335A9"/>
    <w:rsid w:val="00634D01"/>
    <w:rsid w:val="00636C33"/>
    <w:rsid w:val="00640DD5"/>
    <w:rsid w:val="00641435"/>
    <w:rsid w:val="0064596B"/>
    <w:rsid w:val="00645F62"/>
    <w:rsid w:val="00646927"/>
    <w:rsid w:val="00647B47"/>
    <w:rsid w:val="00650119"/>
    <w:rsid w:val="0065253D"/>
    <w:rsid w:val="006548A6"/>
    <w:rsid w:val="006569FA"/>
    <w:rsid w:val="0066096E"/>
    <w:rsid w:val="006669BE"/>
    <w:rsid w:val="00671007"/>
    <w:rsid w:val="00671050"/>
    <w:rsid w:val="0067142C"/>
    <w:rsid w:val="00674C31"/>
    <w:rsid w:val="00676CFE"/>
    <w:rsid w:val="00681A80"/>
    <w:rsid w:val="00681D65"/>
    <w:rsid w:val="00683947"/>
    <w:rsid w:val="00692223"/>
    <w:rsid w:val="00697C30"/>
    <w:rsid w:val="006A401C"/>
    <w:rsid w:val="006A4051"/>
    <w:rsid w:val="006A4753"/>
    <w:rsid w:val="006A6299"/>
    <w:rsid w:val="006A6C6F"/>
    <w:rsid w:val="006A79B7"/>
    <w:rsid w:val="006B017B"/>
    <w:rsid w:val="006B0477"/>
    <w:rsid w:val="006B1ACA"/>
    <w:rsid w:val="006B38E6"/>
    <w:rsid w:val="006C0CA0"/>
    <w:rsid w:val="006C14B0"/>
    <w:rsid w:val="006C3840"/>
    <w:rsid w:val="006C4BE3"/>
    <w:rsid w:val="006C6789"/>
    <w:rsid w:val="006C6C08"/>
    <w:rsid w:val="006D1643"/>
    <w:rsid w:val="006D54CE"/>
    <w:rsid w:val="006E259B"/>
    <w:rsid w:val="006E4774"/>
    <w:rsid w:val="006E4F39"/>
    <w:rsid w:val="006F3993"/>
    <w:rsid w:val="006F4178"/>
    <w:rsid w:val="006F481C"/>
    <w:rsid w:val="006F637E"/>
    <w:rsid w:val="007026AF"/>
    <w:rsid w:val="007046A8"/>
    <w:rsid w:val="007100F4"/>
    <w:rsid w:val="00710887"/>
    <w:rsid w:val="00710D35"/>
    <w:rsid w:val="00711618"/>
    <w:rsid w:val="007119EA"/>
    <w:rsid w:val="00712769"/>
    <w:rsid w:val="00712D77"/>
    <w:rsid w:val="00716CBF"/>
    <w:rsid w:val="00717107"/>
    <w:rsid w:val="00721332"/>
    <w:rsid w:val="007216FB"/>
    <w:rsid w:val="0072355F"/>
    <w:rsid w:val="0072391F"/>
    <w:rsid w:val="00727924"/>
    <w:rsid w:val="00730200"/>
    <w:rsid w:val="0073369F"/>
    <w:rsid w:val="007337EC"/>
    <w:rsid w:val="00734C38"/>
    <w:rsid w:val="00734C70"/>
    <w:rsid w:val="007355BB"/>
    <w:rsid w:val="00735C0A"/>
    <w:rsid w:val="00740DC1"/>
    <w:rsid w:val="00741899"/>
    <w:rsid w:val="00745562"/>
    <w:rsid w:val="00747838"/>
    <w:rsid w:val="007478B7"/>
    <w:rsid w:val="007527C8"/>
    <w:rsid w:val="00753AE6"/>
    <w:rsid w:val="00754503"/>
    <w:rsid w:val="00755E1C"/>
    <w:rsid w:val="00762888"/>
    <w:rsid w:val="007629EA"/>
    <w:rsid w:val="00762A17"/>
    <w:rsid w:val="00765746"/>
    <w:rsid w:val="00765C42"/>
    <w:rsid w:val="00765E5C"/>
    <w:rsid w:val="00770CFF"/>
    <w:rsid w:val="00771522"/>
    <w:rsid w:val="00771FDC"/>
    <w:rsid w:val="007720EF"/>
    <w:rsid w:val="0077502F"/>
    <w:rsid w:val="007774C8"/>
    <w:rsid w:val="0078189C"/>
    <w:rsid w:val="007879E6"/>
    <w:rsid w:val="0079197F"/>
    <w:rsid w:val="00792074"/>
    <w:rsid w:val="007A0DE0"/>
    <w:rsid w:val="007A117E"/>
    <w:rsid w:val="007A34F2"/>
    <w:rsid w:val="007A4BC1"/>
    <w:rsid w:val="007A4F0A"/>
    <w:rsid w:val="007A6A3E"/>
    <w:rsid w:val="007B21B6"/>
    <w:rsid w:val="007B4137"/>
    <w:rsid w:val="007C36FD"/>
    <w:rsid w:val="007C5A77"/>
    <w:rsid w:val="007C72B8"/>
    <w:rsid w:val="007D1561"/>
    <w:rsid w:val="007D346C"/>
    <w:rsid w:val="007D5780"/>
    <w:rsid w:val="007D59BF"/>
    <w:rsid w:val="007E029C"/>
    <w:rsid w:val="007E2F5C"/>
    <w:rsid w:val="007E3B9C"/>
    <w:rsid w:val="007E693C"/>
    <w:rsid w:val="007E6BA8"/>
    <w:rsid w:val="007F4803"/>
    <w:rsid w:val="007F5043"/>
    <w:rsid w:val="007F57B9"/>
    <w:rsid w:val="007F5F6E"/>
    <w:rsid w:val="007F6168"/>
    <w:rsid w:val="008002BA"/>
    <w:rsid w:val="008010FC"/>
    <w:rsid w:val="00802837"/>
    <w:rsid w:val="00802EB8"/>
    <w:rsid w:val="00811804"/>
    <w:rsid w:val="0081249D"/>
    <w:rsid w:val="008130F2"/>
    <w:rsid w:val="00814B98"/>
    <w:rsid w:val="00816F0B"/>
    <w:rsid w:val="00820452"/>
    <w:rsid w:val="008204BB"/>
    <w:rsid w:val="00821A05"/>
    <w:rsid w:val="00821E6C"/>
    <w:rsid w:val="00823373"/>
    <w:rsid w:val="008238FD"/>
    <w:rsid w:val="00823D35"/>
    <w:rsid w:val="00825EB0"/>
    <w:rsid w:val="00827270"/>
    <w:rsid w:val="0083461A"/>
    <w:rsid w:val="00835479"/>
    <w:rsid w:val="00836F43"/>
    <w:rsid w:val="00837822"/>
    <w:rsid w:val="00841CF8"/>
    <w:rsid w:val="00842686"/>
    <w:rsid w:val="00842EBE"/>
    <w:rsid w:val="008437D3"/>
    <w:rsid w:val="00843E28"/>
    <w:rsid w:val="00845619"/>
    <w:rsid w:val="00846878"/>
    <w:rsid w:val="00846BA6"/>
    <w:rsid w:val="008477FF"/>
    <w:rsid w:val="00847813"/>
    <w:rsid w:val="00850A3C"/>
    <w:rsid w:val="008530FA"/>
    <w:rsid w:val="00853527"/>
    <w:rsid w:val="0085438A"/>
    <w:rsid w:val="008545B2"/>
    <w:rsid w:val="00854CE7"/>
    <w:rsid w:val="00857609"/>
    <w:rsid w:val="008613D9"/>
    <w:rsid w:val="00864280"/>
    <w:rsid w:val="00864A1F"/>
    <w:rsid w:val="008665AA"/>
    <w:rsid w:val="00867392"/>
    <w:rsid w:val="00867A81"/>
    <w:rsid w:val="00870B39"/>
    <w:rsid w:val="00871006"/>
    <w:rsid w:val="00877A8E"/>
    <w:rsid w:val="00880860"/>
    <w:rsid w:val="00880E1D"/>
    <w:rsid w:val="008813F6"/>
    <w:rsid w:val="008846D6"/>
    <w:rsid w:val="00892E3A"/>
    <w:rsid w:val="0089316D"/>
    <w:rsid w:val="00893895"/>
    <w:rsid w:val="00894624"/>
    <w:rsid w:val="008A13F3"/>
    <w:rsid w:val="008A5857"/>
    <w:rsid w:val="008B12AA"/>
    <w:rsid w:val="008B4DFF"/>
    <w:rsid w:val="008B624F"/>
    <w:rsid w:val="008B7D34"/>
    <w:rsid w:val="008C1488"/>
    <w:rsid w:val="008C4AB4"/>
    <w:rsid w:val="008C7E83"/>
    <w:rsid w:val="008D2B9F"/>
    <w:rsid w:val="008D36B0"/>
    <w:rsid w:val="008D4AF8"/>
    <w:rsid w:val="008D5B1E"/>
    <w:rsid w:val="008D77B1"/>
    <w:rsid w:val="008D78F3"/>
    <w:rsid w:val="008E1079"/>
    <w:rsid w:val="008E4F13"/>
    <w:rsid w:val="008E5D5B"/>
    <w:rsid w:val="008F0CFB"/>
    <w:rsid w:val="008F22D2"/>
    <w:rsid w:val="008F3B66"/>
    <w:rsid w:val="008F4442"/>
    <w:rsid w:val="008F6D03"/>
    <w:rsid w:val="008F707A"/>
    <w:rsid w:val="008F7822"/>
    <w:rsid w:val="00900C08"/>
    <w:rsid w:val="009010DE"/>
    <w:rsid w:val="00901B31"/>
    <w:rsid w:val="00902D53"/>
    <w:rsid w:val="00905983"/>
    <w:rsid w:val="0090685C"/>
    <w:rsid w:val="00907574"/>
    <w:rsid w:val="00911044"/>
    <w:rsid w:val="00912101"/>
    <w:rsid w:val="0091334C"/>
    <w:rsid w:val="00914116"/>
    <w:rsid w:val="009175FD"/>
    <w:rsid w:val="00921DC2"/>
    <w:rsid w:val="00925ABC"/>
    <w:rsid w:val="00925F14"/>
    <w:rsid w:val="00926CBB"/>
    <w:rsid w:val="00930E21"/>
    <w:rsid w:val="00935EA7"/>
    <w:rsid w:val="0093780F"/>
    <w:rsid w:val="009418C7"/>
    <w:rsid w:val="00947102"/>
    <w:rsid w:val="009478D2"/>
    <w:rsid w:val="00951BE0"/>
    <w:rsid w:val="00952D30"/>
    <w:rsid w:val="00952DE2"/>
    <w:rsid w:val="00955D71"/>
    <w:rsid w:val="0095701F"/>
    <w:rsid w:val="00960CD5"/>
    <w:rsid w:val="00960EFD"/>
    <w:rsid w:val="00964DE1"/>
    <w:rsid w:val="00965171"/>
    <w:rsid w:val="009701A7"/>
    <w:rsid w:val="00970EFF"/>
    <w:rsid w:val="00972DD8"/>
    <w:rsid w:val="00972FD6"/>
    <w:rsid w:val="00973D58"/>
    <w:rsid w:val="00985EB1"/>
    <w:rsid w:val="0099038B"/>
    <w:rsid w:val="00994F74"/>
    <w:rsid w:val="00995F1D"/>
    <w:rsid w:val="009969CB"/>
    <w:rsid w:val="00997626"/>
    <w:rsid w:val="009A0F61"/>
    <w:rsid w:val="009A1653"/>
    <w:rsid w:val="009A3C29"/>
    <w:rsid w:val="009A3CD8"/>
    <w:rsid w:val="009A4297"/>
    <w:rsid w:val="009A4D45"/>
    <w:rsid w:val="009A5512"/>
    <w:rsid w:val="009B599A"/>
    <w:rsid w:val="009B5D51"/>
    <w:rsid w:val="009B7C6E"/>
    <w:rsid w:val="009B7E9D"/>
    <w:rsid w:val="009C0ADA"/>
    <w:rsid w:val="009C1035"/>
    <w:rsid w:val="009C63DC"/>
    <w:rsid w:val="009C6BDA"/>
    <w:rsid w:val="009C78C5"/>
    <w:rsid w:val="009D1842"/>
    <w:rsid w:val="009D1B21"/>
    <w:rsid w:val="009D499F"/>
    <w:rsid w:val="009D57E0"/>
    <w:rsid w:val="009D5AA4"/>
    <w:rsid w:val="009D5E96"/>
    <w:rsid w:val="009E09F6"/>
    <w:rsid w:val="009E0DCC"/>
    <w:rsid w:val="009E5008"/>
    <w:rsid w:val="009E6098"/>
    <w:rsid w:val="009E65B3"/>
    <w:rsid w:val="009F0D4B"/>
    <w:rsid w:val="009F1EFD"/>
    <w:rsid w:val="009F557A"/>
    <w:rsid w:val="009F7CFB"/>
    <w:rsid w:val="009F7EC9"/>
    <w:rsid w:val="00A00389"/>
    <w:rsid w:val="00A04404"/>
    <w:rsid w:val="00A04BF7"/>
    <w:rsid w:val="00A051BE"/>
    <w:rsid w:val="00A05952"/>
    <w:rsid w:val="00A06070"/>
    <w:rsid w:val="00A06326"/>
    <w:rsid w:val="00A07356"/>
    <w:rsid w:val="00A11983"/>
    <w:rsid w:val="00A14312"/>
    <w:rsid w:val="00A170D7"/>
    <w:rsid w:val="00A2059A"/>
    <w:rsid w:val="00A21B9F"/>
    <w:rsid w:val="00A228A1"/>
    <w:rsid w:val="00A22F63"/>
    <w:rsid w:val="00A24DCA"/>
    <w:rsid w:val="00A301E4"/>
    <w:rsid w:val="00A36100"/>
    <w:rsid w:val="00A370E8"/>
    <w:rsid w:val="00A40EDF"/>
    <w:rsid w:val="00A42C9C"/>
    <w:rsid w:val="00A516D7"/>
    <w:rsid w:val="00A5546D"/>
    <w:rsid w:val="00A60119"/>
    <w:rsid w:val="00A706CA"/>
    <w:rsid w:val="00A712A4"/>
    <w:rsid w:val="00A71F8F"/>
    <w:rsid w:val="00A730A1"/>
    <w:rsid w:val="00A74D5B"/>
    <w:rsid w:val="00A75F7F"/>
    <w:rsid w:val="00A7744C"/>
    <w:rsid w:val="00A81CE7"/>
    <w:rsid w:val="00A837ED"/>
    <w:rsid w:val="00A85FA6"/>
    <w:rsid w:val="00A9195E"/>
    <w:rsid w:val="00A92261"/>
    <w:rsid w:val="00AA2325"/>
    <w:rsid w:val="00AA411A"/>
    <w:rsid w:val="00AA5396"/>
    <w:rsid w:val="00AA62D5"/>
    <w:rsid w:val="00AB01A1"/>
    <w:rsid w:val="00AB128A"/>
    <w:rsid w:val="00AB2EF5"/>
    <w:rsid w:val="00AB458C"/>
    <w:rsid w:val="00AB6F14"/>
    <w:rsid w:val="00AB7EEE"/>
    <w:rsid w:val="00AC0261"/>
    <w:rsid w:val="00AC064B"/>
    <w:rsid w:val="00AC4EBA"/>
    <w:rsid w:val="00AC7F37"/>
    <w:rsid w:val="00AD34D7"/>
    <w:rsid w:val="00AD3E03"/>
    <w:rsid w:val="00AD3FB9"/>
    <w:rsid w:val="00AD4990"/>
    <w:rsid w:val="00AD5AC4"/>
    <w:rsid w:val="00AD64AF"/>
    <w:rsid w:val="00AE0311"/>
    <w:rsid w:val="00AE1906"/>
    <w:rsid w:val="00AE62A1"/>
    <w:rsid w:val="00AE6F07"/>
    <w:rsid w:val="00AE7E6C"/>
    <w:rsid w:val="00AF0D0F"/>
    <w:rsid w:val="00AF1AE8"/>
    <w:rsid w:val="00AF50DC"/>
    <w:rsid w:val="00B02F1A"/>
    <w:rsid w:val="00B03408"/>
    <w:rsid w:val="00B036EC"/>
    <w:rsid w:val="00B051ED"/>
    <w:rsid w:val="00B1034C"/>
    <w:rsid w:val="00B10BDD"/>
    <w:rsid w:val="00B13FEA"/>
    <w:rsid w:val="00B143A3"/>
    <w:rsid w:val="00B14637"/>
    <w:rsid w:val="00B14989"/>
    <w:rsid w:val="00B15C34"/>
    <w:rsid w:val="00B15C5C"/>
    <w:rsid w:val="00B15E2D"/>
    <w:rsid w:val="00B16E6C"/>
    <w:rsid w:val="00B1792C"/>
    <w:rsid w:val="00B252F8"/>
    <w:rsid w:val="00B26B7E"/>
    <w:rsid w:val="00B3363C"/>
    <w:rsid w:val="00B338D4"/>
    <w:rsid w:val="00B35205"/>
    <w:rsid w:val="00B37EF3"/>
    <w:rsid w:val="00B4045B"/>
    <w:rsid w:val="00B41C50"/>
    <w:rsid w:val="00B43D00"/>
    <w:rsid w:val="00B450DE"/>
    <w:rsid w:val="00B457DC"/>
    <w:rsid w:val="00B4774A"/>
    <w:rsid w:val="00B507A6"/>
    <w:rsid w:val="00B51A1D"/>
    <w:rsid w:val="00B55049"/>
    <w:rsid w:val="00B604C3"/>
    <w:rsid w:val="00B60EEF"/>
    <w:rsid w:val="00B6338E"/>
    <w:rsid w:val="00B63D29"/>
    <w:rsid w:val="00B63D97"/>
    <w:rsid w:val="00B64110"/>
    <w:rsid w:val="00B6526F"/>
    <w:rsid w:val="00B80301"/>
    <w:rsid w:val="00B80E8D"/>
    <w:rsid w:val="00B86322"/>
    <w:rsid w:val="00B91418"/>
    <w:rsid w:val="00B934E7"/>
    <w:rsid w:val="00B968AB"/>
    <w:rsid w:val="00B96DB1"/>
    <w:rsid w:val="00BA2C91"/>
    <w:rsid w:val="00BA3930"/>
    <w:rsid w:val="00BA4D17"/>
    <w:rsid w:val="00BA5393"/>
    <w:rsid w:val="00BB0D2F"/>
    <w:rsid w:val="00BB0F7E"/>
    <w:rsid w:val="00BB1125"/>
    <w:rsid w:val="00BB34AA"/>
    <w:rsid w:val="00BB4805"/>
    <w:rsid w:val="00BB58B8"/>
    <w:rsid w:val="00BB5930"/>
    <w:rsid w:val="00BB6283"/>
    <w:rsid w:val="00BB6398"/>
    <w:rsid w:val="00BB7130"/>
    <w:rsid w:val="00BC04F5"/>
    <w:rsid w:val="00BC5FAB"/>
    <w:rsid w:val="00BC74BC"/>
    <w:rsid w:val="00BD4270"/>
    <w:rsid w:val="00BD4FB8"/>
    <w:rsid w:val="00BD53C4"/>
    <w:rsid w:val="00BE0868"/>
    <w:rsid w:val="00BE585E"/>
    <w:rsid w:val="00BF0063"/>
    <w:rsid w:val="00BF0EFD"/>
    <w:rsid w:val="00BF27C7"/>
    <w:rsid w:val="00BF2837"/>
    <w:rsid w:val="00BF3A6D"/>
    <w:rsid w:val="00BF3FBD"/>
    <w:rsid w:val="00BF5351"/>
    <w:rsid w:val="00BF60E9"/>
    <w:rsid w:val="00BF7347"/>
    <w:rsid w:val="00BF769A"/>
    <w:rsid w:val="00C042FF"/>
    <w:rsid w:val="00C045EB"/>
    <w:rsid w:val="00C04E22"/>
    <w:rsid w:val="00C05C53"/>
    <w:rsid w:val="00C07A80"/>
    <w:rsid w:val="00C13F4D"/>
    <w:rsid w:val="00C15063"/>
    <w:rsid w:val="00C16B5F"/>
    <w:rsid w:val="00C17B5D"/>
    <w:rsid w:val="00C234F5"/>
    <w:rsid w:val="00C237A0"/>
    <w:rsid w:val="00C33088"/>
    <w:rsid w:val="00C34643"/>
    <w:rsid w:val="00C346F1"/>
    <w:rsid w:val="00C36E62"/>
    <w:rsid w:val="00C42272"/>
    <w:rsid w:val="00C45432"/>
    <w:rsid w:val="00C462E9"/>
    <w:rsid w:val="00C46C2D"/>
    <w:rsid w:val="00C47B64"/>
    <w:rsid w:val="00C47BE5"/>
    <w:rsid w:val="00C51C7D"/>
    <w:rsid w:val="00C547DA"/>
    <w:rsid w:val="00C5484E"/>
    <w:rsid w:val="00C54B39"/>
    <w:rsid w:val="00C552F0"/>
    <w:rsid w:val="00C56193"/>
    <w:rsid w:val="00C57429"/>
    <w:rsid w:val="00C57575"/>
    <w:rsid w:val="00C575B3"/>
    <w:rsid w:val="00C60D10"/>
    <w:rsid w:val="00C62174"/>
    <w:rsid w:val="00C6299B"/>
    <w:rsid w:val="00C62CFF"/>
    <w:rsid w:val="00C63784"/>
    <w:rsid w:val="00C66834"/>
    <w:rsid w:val="00C67A22"/>
    <w:rsid w:val="00C67E95"/>
    <w:rsid w:val="00C7012D"/>
    <w:rsid w:val="00C740B5"/>
    <w:rsid w:val="00C758A1"/>
    <w:rsid w:val="00C75DA8"/>
    <w:rsid w:val="00C7639B"/>
    <w:rsid w:val="00C767AE"/>
    <w:rsid w:val="00C76959"/>
    <w:rsid w:val="00C76C3D"/>
    <w:rsid w:val="00C77EA1"/>
    <w:rsid w:val="00C83FF1"/>
    <w:rsid w:val="00C91344"/>
    <w:rsid w:val="00C92593"/>
    <w:rsid w:val="00C92FFD"/>
    <w:rsid w:val="00C93643"/>
    <w:rsid w:val="00C936EE"/>
    <w:rsid w:val="00C93ED5"/>
    <w:rsid w:val="00CA0019"/>
    <w:rsid w:val="00CA6CCF"/>
    <w:rsid w:val="00CB0370"/>
    <w:rsid w:val="00CB1935"/>
    <w:rsid w:val="00CB23EB"/>
    <w:rsid w:val="00CB2DF5"/>
    <w:rsid w:val="00CB3373"/>
    <w:rsid w:val="00CB4C0F"/>
    <w:rsid w:val="00CB52EC"/>
    <w:rsid w:val="00CB5587"/>
    <w:rsid w:val="00CB68F6"/>
    <w:rsid w:val="00CB7AE5"/>
    <w:rsid w:val="00CC1BBB"/>
    <w:rsid w:val="00CC4C08"/>
    <w:rsid w:val="00CC526C"/>
    <w:rsid w:val="00CC62FA"/>
    <w:rsid w:val="00CC680A"/>
    <w:rsid w:val="00CD59E9"/>
    <w:rsid w:val="00CE313E"/>
    <w:rsid w:val="00CE56D5"/>
    <w:rsid w:val="00CE70AE"/>
    <w:rsid w:val="00CE7BA3"/>
    <w:rsid w:val="00CF17CC"/>
    <w:rsid w:val="00CF19E7"/>
    <w:rsid w:val="00CF3A09"/>
    <w:rsid w:val="00CF47E3"/>
    <w:rsid w:val="00CF5182"/>
    <w:rsid w:val="00CF52D5"/>
    <w:rsid w:val="00D018FA"/>
    <w:rsid w:val="00D1047E"/>
    <w:rsid w:val="00D11C9E"/>
    <w:rsid w:val="00D12B3B"/>
    <w:rsid w:val="00D12BDE"/>
    <w:rsid w:val="00D20371"/>
    <w:rsid w:val="00D20998"/>
    <w:rsid w:val="00D26530"/>
    <w:rsid w:val="00D3014A"/>
    <w:rsid w:val="00D30DE0"/>
    <w:rsid w:val="00D33445"/>
    <w:rsid w:val="00D34646"/>
    <w:rsid w:val="00D36CCC"/>
    <w:rsid w:val="00D37E1E"/>
    <w:rsid w:val="00D4074F"/>
    <w:rsid w:val="00D44BA0"/>
    <w:rsid w:val="00D452E2"/>
    <w:rsid w:val="00D45B74"/>
    <w:rsid w:val="00D473DF"/>
    <w:rsid w:val="00D5049A"/>
    <w:rsid w:val="00D5354F"/>
    <w:rsid w:val="00D54C4F"/>
    <w:rsid w:val="00D5658B"/>
    <w:rsid w:val="00D569D7"/>
    <w:rsid w:val="00D61A35"/>
    <w:rsid w:val="00D637F8"/>
    <w:rsid w:val="00D6506F"/>
    <w:rsid w:val="00D66DFB"/>
    <w:rsid w:val="00D67219"/>
    <w:rsid w:val="00D7062F"/>
    <w:rsid w:val="00D712D6"/>
    <w:rsid w:val="00D727AB"/>
    <w:rsid w:val="00D72FCF"/>
    <w:rsid w:val="00D751AD"/>
    <w:rsid w:val="00D77623"/>
    <w:rsid w:val="00D81E43"/>
    <w:rsid w:val="00D8548B"/>
    <w:rsid w:val="00D87099"/>
    <w:rsid w:val="00D8714F"/>
    <w:rsid w:val="00D91370"/>
    <w:rsid w:val="00D9776B"/>
    <w:rsid w:val="00D97900"/>
    <w:rsid w:val="00DA178B"/>
    <w:rsid w:val="00DA2720"/>
    <w:rsid w:val="00DA7A4F"/>
    <w:rsid w:val="00DB0D08"/>
    <w:rsid w:val="00DC150E"/>
    <w:rsid w:val="00DC34FF"/>
    <w:rsid w:val="00DC61DB"/>
    <w:rsid w:val="00DD0A7A"/>
    <w:rsid w:val="00DD25F5"/>
    <w:rsid w:val="00DD2FBF"/>
    <w:rsid w:val="00DD5B62"/>
    <w:rsid w:val="00DD645D"/>
    <w:rsid w:val="00DD7C00"/>
    <w:rsid w:val="00DE0CDD"/>
    <w:rsid w:val="00DE227D"/>
    <w:rsid w:val="00DE4702"/>
    <w:rsid w:val="00DF076F"/>
    <w:rsid w:val="00DF2343"/>
    <w:rsid w:val="00DF3051"/>
    <w:rsid w:val="00DF5E99"/>
    <w:rsid w:val="00E01339"/>
    <w:rsid w:val="00E015B9"/>
    <w:rsid w:val="00E043CD"/>
    <w:rsid w:val="00E04BAC"/>
    <w:rsid w:val="00E04C05"/>
    <w:rsid w:val="00E04C7A"/>
    <w:rsid w:val="00E051DD"/>
    <w:rsid w:val="00E0610E"/>
    <w:rsid w:val="00E06851"/>
    <w:rsid w:val="00E101F7"/>
    <w:rsid w:val="00E113CF"/>
    <w:rsid w:val="00E1159D"/>
    <w:rsid w:val="00E13EEC"/>
    <w:rsid w:val="00E15900"/>
    <w:rsid w:val="00E16838"/>
    <w:rsid w:val="00E2213C"/>
    <w:rsid w:val="00E224B7"/>
    <w:rsid w:val="00E25689"/>
    <w:rsid w:val="00E26BA5"/>
    <w:rsid w:val="00E27752"/>
    <w:rsid w:val="00E30BF2"/>
    <w:rsid w:val="00E31790"/>
    <w:rsid w:val="00E329B1"/>
    <w:rsid w:val="00E40ADF"/>
    <w:rsid w:val="00E4340E"/>
    <w:rsid w:val="00E515B4"/>
    <w:rsid w:val="00E5247A"/>
    <w:rsid w:val="00E53722"/>
    <w:rsid w:val="00E54819"/>
    <w:rsid w:val="00E609A0"/>
    <w:rsid w:val="00E62607"/>
    <w:rsid w:val="00E66815"/>
    <w:rsid w:val="00E67222"/>
    <w:rsid w:val="00E673BE"/>
    <w:rsid w:val="00E718F4"/>
    <w:rsid w:val="00E74A56"/>
    <w:rsid w:val="00E75497"/>
    <w:rsid w:val="00E8058D"/>
    <w:rsid w:val="00E85139"/>
    <w:rsid w:val="00E85180"/>
    <w:rsid w:val="00E90C72"/>
    <w:rsid w:val="00E91060"/>
    <w:rsid w:val="00E914FC"/>
    <w:rsid w:val="00E9265D"/>
    <w:rsid w:val="00E93FE6"/>
    <w:rsid w:val="00E96A3B"/>
    <w:rsid w:val="00E96C1C"/>
    <w:rsid w:val="00E9752F"/>
    <w:rsid w:val="00E97D9E"/>
    <w:rsid w:val="00EA1494"/>
    <w:rsid w:val="00EA1A0E"/>
    <w:rsid w:val="00EA41D2"/>
    <w:rsid w:val="00EB1453"/>
    <w:rsid w:val="00EB526B"/>
    <w:rsid w:val="00EB555A"/>
    <w:rsid w:val="00EC0139"/>
    <w:rsid w:val="00EC048E"/>
    <w:rsid w:val="00EC5963"/>
    <w:rsid w:val="00ED0937"/>
    <w:rsid w:val="00ED25EE"/>
    <w:rsid w:val="00ED40B0"/>
    <w:rsid w:val="00ED45F2"/>
    <w:rsid w:val="00ED4F67"/>
    <w:rsid w:val="00ED50CA"/>
    <w:rsid w:val="00EE51EB"/>
    <w:rsid w:val="00EE51FA"/>
    <w:rsid w:val="00EE7C96"/>
    <w:rsid w:val="00EF0585"/>
    <w:rsid w:val="00EF1066"/>
    <w:rsid w:val="00F03838"/>
    <w:rsid w:val="00F05438"/>
    <w:rsid w:val="00F05B46"/>
    <w:rsid w:val="00F06AE3"/>
    <w:rsid w:val="00F07E31"/>
    <w:rsid w:val="00F11893"/>
    <w:rsid w:val="00F14603"/>
    <w:rsid w:val="00F15165"/>
    <w:rsid w:val="00F2156D"/>
    <w:rsid w:val="00F24E6F"/>
    <w:rsid w:val="00F265DC"/>
    <w:rsid w:val="00F30283"/>
    <w:rsid w:val="00F315CB"/>
    <w:rsid w:val="00F4019F"/>
    <w:rsid w:val="00F403F5"/>
    <w:rsid w:val="00F416F8"/>
    <w:rsid w:val="00F42BC2"/>
    <w:rsid w:val="00F43822"/>
    <w:rsid w:val="00F468BF"/>
    <w:rsid w:val="00F46EB3"/>
    <w:rsid w:val="00F51680"/>
    <w:rsid w:val="00F53E4D"/>
    <w:rsid w:val="00F54A55"/>
    <w:rsid w:val="00F55BEA"/>
    <w:rsid w:val="00F57779"/>
    <w:rsid w:val="00F57D82"/>
    <w:rsid w:val="00F6062C"/>
    <w:rsid w:val="00F60F04"/>
    <w:rsid w:val="00F60F7B"/>
    <w:rsid w:val="00F63F07"/>
    <w:rsid w:val="00F64C8D"/>
    <w:rsid w:val="00F66A02"/>
    <w:rsid w:val="00F677EF"/>
    <w:rsid w:val="00F67D1A"/>
    <w:rsid w:val="00F712D5"/>
    <w:rsid w:val="00F76EE6"/>
    <w:rsid w:val="00F82D8E"/>
    <w:rsid w:val="00F84986"/>
    <w:rsid w:val="00F9206E"/>
    <w:rsid w:val="00F969F9"/>
    <w:rsid w:val="00FA431F"/>
    <w:rsid w:val="00FA5CFE"/>
    <w:rsid w:val="00FB1901"/>
    <w:rsid w:val="00FB42A9"/>
    <w:rsid w:val="00FB60A1"/>
    <w:rsid w:val="00FB6157"/>
    <w:rsid w:val="00FB63DD"/>
    <w:rsid w:val="00FB6F32"/>
    <w:rsid w:val="00FB747A"/>
    <w:rsid w:val="00FC07F3"/>
    <w:rsid w:val="00FC0E30"/>
    <w:rsid w:val="00FC14D9"/>
    <w:rsid w:val="00FC1E69"/>
    <w:rsid w:val="00FC27B3"/>
    <w:rsid w:val="00FC3B4D"/>
    <w:rsid w:val="00FC4A40"/>
    <w:rsid w:val="00FC5B6B"/>
    <w:rsid w:val="00FC6450"/>
    <w:rsid w:val="00FD0569"/>
    <w:rsid w:val="00FD48A8"/>
    <w:rsid w:val="00FD67C4"/>
    <w:rsid w:val="00FD7293"/>
    <w:rsid w:val="00FE123A"/>
    <w:rsid w:val="00FE3B1C"/>
    <w:rsid w:val="00FE45B8"/>
    <w:rsid w:val="00FE49D0"/>
    <w:rsid w:val="00FE671A"/>
    <w:rsid w:val="00FE78F9"/>
    <w:rsid w:val="00FF0C9F"/>
    <w:rsid w:val="00FF190E"/>
    <w:rsid w:val="00FF4D43"/>
    <w:rsid w:val="00FF5139"/>
    <w:rsid w:val="00FF727F"/>
    <w:rsid w:val="00FF77D2"/>
    <w:rsid w:val="00FF793B"/>
    <w:rsid w:val="035CE658"/>
    <w:rsid w:val="204A1585"/>
    <w:rsid w:val="31B6B643"/>
    <w:rsid w:val="36B111E5"/>
    <w:rsid w:val="3D6E45CE"/>
    <w:rsid w:val="4542FA14"/>
    <w:rsid w:val="47B568FC"/>
    <w:rsid w:val="4951395D"/>
    <w:rsid w:val="4B26D49B"/>
    <w:rsid w:val="50EE8D5F"/>
    <w:rsid w:val="61B3B776"/>
    <w:rsid w:val="6253F19A"/>
    <w:rsid w:val="6B1849EF"/>
    <w:rsid w:val="776C969C"/>
    <w:rsid w:val="7B74B785"/>
    <w:rsid w:val="7F3075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B385"/>
  <w15:docId w15:val="{75159E5A-AD64-425A-894D-70F3A327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1C"/>
  </w:style>
  <w:style w:type="paragraph" w:styleId="Heading1">
    <w:name w:val="heading 1"/>
    <w:basedOn w:val="Normal"/>
    <w:next w:val="Normal"/>
    <w:link w:val="Heading1Char"/>
    <w:uiPriority w:val="9"/>
    <w:qFormat/>
    <w:rsid w:val="00EC5963"/>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1"/>
    <w:unhideWhenUsed/>
    <w:qFormat/>
    <w:rsid w:val="001A3992"/>
    <w:pPr>
      <w:keepNext/>
      <w:keepLines/>
      <w:numPr>
        <w:ilvl w:val="2"/>
        <w:numId w:val="1"/>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C150D"/>
    <w:pPr>
      <w:keepNext/>
      <w:keepLines/>
      <w:numPr>
        <w:ilvl w:val="3"/>
        <w:numId w:val="1"/>
      </w:num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3"/>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1"/>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C150D"/>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character" w:styleId="Emphasis">
    <w:name w:val="Emphasis"/>
    <w:aliases w:val="Heading Four"/>
    <w:basedOn w:val="DefaultParagraphFont"/>
    <w:uiPriority w:val="20"/>
    <w:rsid w:val="006B1ACA"/>
    <w:rPr>
      <w:rFonts w:ascii="Cambria" w:hAnsi="Cambria"/>
      <w:i w:val="0"/>
      <w:iCs/>
      <w:sz w:val="22"/>
      <w:u w:val="single"/>
    </w:rPr>
  </w:style>
  <w:style w:type="paragraph" w:customStyle="1" w:styleId="Default">
    <w:name w:val="Default"/>
    <w:rsid w:val="00117A7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AC7F37"/>
    <w:pPr>
      <w:widowControl w:val="0"/>
      <w:spacing w:after="0" w:line="240" w:lineRule="auto"/>
      <w:ind w:left="14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AC7F37"/>
    <w:rPr>
      <w:rFonts w:ascii="Times New Roman" w:eastAsia="Times New Roman" w:hAnsi="Times New Roman"/>
      <w:sz w:val="24"/>
      <w:szCs w:val="24"/>
      <w:lang w:val="en-US"/>
    </w:rPr>
  </w:style>
  <w:style w:type="paragraph" w:customStyle="1" w:styleId="TableParagraph">
    <w:name w:val="Table Paragraph"/>
    <w:basedOn w:val="Normal"/>
    <w:uiPriority w:val="1"/>
    <w:qFormat/>
    <w:rsid w:val="00AC7F37"/>
    <w:pPr>
      <w:widowControl w:val="0"/>
      <w:spacing w:after="0" w:line="240" w:lineRule="auto"/>
    </w:pPr>
    <w:rPr>
      <w:lang w:val="en-US"/>
    </w:rPr>
  </w:style>
  <w:style w:type="table" w:styleId="TableGrid">
    <w:name w:val="Table Grid"/>
    <w:basedOn w:val="TableNormal"/>
    <w:uiPriority w:val="39"/>
    <w:rsid w:val="00AC7F3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7F37"/>
    <w:pPr>
      <w:widowControl w:val="0"/>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AC7F37"/>
    <w:rPr>
      <w:rFonts w:ascii="Cambria" w:hAnsi="Cambria"/>
      <w:b/>
      <w:bCs/>
      <w:sz w:val="20"/>
      <w:szCs w:val="20"/>
      <w:lang w:val="en-US"/>
    </w:rPr>
  </w:style>
  <w:style w:type="paragraph" w:styleId="EndnoteText">
    <w:name w:val="endnote text"/>
    <w:basedOn w:val="Normal"/>
    <w:link w:val="EndnoteTextChar"/>
    <w:uiPriority w:val="99"/>
    <w:semiHidden/>
    <w:unhideWhenUsed/>
    <w:rsid w:val="00AC7F37"/>
    <w:pPr>
      <w:widowControl w:val="0"/>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AC7F37"/>
    <w:rPr>
      <w:sz w:val="20"/>
      <w:szCs w:val="20"/>
      <w:lang w:val="en-US"/>
    </w:rPr>
  </w:style>
  <w:style w:type="character" w:styleId="EndnoteReference">
    <w:name w:val="endnote reference"/>
    <w:basedOn w:val="DefaultParagraphFont"/>
    <w:uiPriority w:val="99"/>
    <w:semiHidden/>
    <w:unhideWhenUsed/>
    <w:rsid w:val="00AC7F37"/>
    <w:rPr>
      <w:vertAlign w:val="superscript"/>
    </w:rPr>
  </w:style>
  <w:style w:type="paragraph" w:styleId="Revision">
    <w:name w:val="Revision"/>
    <w:hidden/>
    <w:uiPriority w:val="99"/>
    <w:semiHidden/>
    <w:rsid w:val="00AC7F37"/>
    <w:pPr>
      <w:spacing w:after="0" w:line="240" w:lineRule="auto"/>
    </w:pPr>
    <w:rPr>
      <w:lang w:val="en-US"/>
    </w:rPr>
  </w:style>
  <w:style w:type="paragraph" w:styleId="Caption">
    <w:name w:val="caption"/>
    <w:basedOn w:val="Normal"/>
    <w:next w:val="Normal"/>
    <w:uiPriority w:val="35"/>
    <w:unhideWhenUsed/>
    <w:qFormat/>
    <w:rsid w:val="000418CA"/>
    <w:pPr>
      <w:spacing w:line="240" w:lineRule="auto"/>
    </w:pPr>
    <w:rPr>
      <w:i/>
      <w:iCs/>
      <w:color w:val="1F497D" w:themeColor="text2"/>
      <w:sz w:val="18"/>
      <w:szCs w:val="18"/>
    </w:rPr>
  </w:style>
  <w:style w:type="paragraph" w:customStyle="1" w:styleId="CM24">
    <w:name w:val="CM24"/>
    <w:basedOn w:val="Default"/>
    <w:next w:val="Default"/>
    <w:uiPriority w:val="99"/>
    <w:rsid w:val="008846D6"/>
    <w:rPr>
      <w:rFonts w:ascii="Times New Roman" w:hAnsi="Times New Roman" w:cs="Times New Roman"/>
      <w:color w:val="auto"/>
    </w:rPr>
  </w:style>
  <w:style w:type="paragraph" w:customStyle="1" w:styleId="CM25">
    <w:name w:val="CM25"/>
    <w:basedOn w:val="Default"/>
    <w:next w:val="Default"/>
    <w:uiPriority w:val="99"/>
    <w:rsid w:val="008846D6"/>
    <w:rPr>
      <w:rFonts w:ascii="Times New Roman" w:hAnsi="Times New Roman" w:cs="Times New Roman"/>
      <w:color w:val="auto"/>
    </w:rPr>
  </w:style>
  <w:style w:type="paragraph" w:styleId="NormalWeb">
    <w:name w:val="Normal (Web)"/>
    <w:basedOn w:val="Normal"/>
    <w:uiPriority w:val="99"/>
    <w:semiHidden/>
    <w:unhideWhenUsed/>
    <w:rsid w:val="001C36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9206E"/>
  </w:style>
  <w:style w:type="character" w:customStyle="1" w:styleId="findhit">
    <w:name w:val="findhit"/>
    <w:basedOn w:val="DefaultParagraphFont"/>
    <w:rsid w:val="00F9206E"/>
  </w:style>
  <w:style w:type="character" w:customStyle="1" w:styleId="eop">
    <w:name w:val="eop"/>
    <w:basedOn w:val="DefaultParagraphFont"/>
    <w:rsid w:val="00F9206E"/>
  </w:style>
  <w:style w:type="paragraph" w:customStyle="1" w:styleId="Style1">
    <w:name w:val="Style1"/>
    <w:basedOn w:val="Heading3"/>
    <w:link w:val="Style1Char"/>
    <w:qFormat/>
    <w:rsid w:val="00CE313E"/>
    <w:pPr>
      <w:numPr>
        <w:ilvl w:val="0"/>
        <w:numId w:val="0"/>
      </w:numPr>
    </w:pPr>
    <w:rPr>
      <w:b w:val="0"/>
      <w:bCs w:val="0"/>
      <w:i/>
      <w:iCs/>
    </w:rPr>
  </w:style>
  <w:style w:type="paragraph" w:styleId="Subtitle">
    <w:name w:val="Subtitle"/>
    <w:basedOn w:val="Normal"/>
    <w:next w:val="Normal"/>
    <w:link w:val="SubtitleChar"/>
    <w:uiPriority w:val="11"/>
    <w:qFormat/>
    <w:rsid w:val="00CE313E"/>
    <w:pPr>
      <w:numPr>
        <w:ilvl w:val="1"/>
      </w:numPr>
      <w:spacing w:after="160"/>
    </w:pPr>
    <w:rPr>
      <w:rFonts w:eastAsiaTheme="minorEastAsia"/>
      <w:color w:val="5A5A5A" w:themeColor="text1" w:themeTint="A5"/>
      <w:spacing w:val="15"/>
    </w:rPr>
  </w:style>
  <w:style w:type="character" w:customStyle="1" w:styleId="Style1Char">
    <w:name w:val="Style1 Char"/>
    <w:basedOn w:val="Heading3Char"/>
    <w:link w:val="Style1"/>
    <w:rsid w:val="00CE313E"/>
    <w:rPr>
      <w:rFonts w:asciiTheme="majorHAnsi" w:eastAsiaTheme="majorEastAsia" w:hAnsiTheme="majorHAnsi" w:cstheme="majorBidi"/>
      <w:b w:val="0"/>
      <w:bCs w:val="0"/>
      <w:i/>
      <w:iCs/>
    </w:rPr>
  </w:style>
  <w:style w:type="character" w:customStyle="1" w:styleId="SubtitleChar">
    <w:name w:val="Subtitle Char"/>
    <w:basedOn w:val="DefaultParagraphFont"/>
    <w:link w:val="Subtitle"/>
    <w:uiPriority w:val="11"/>
    <w:rsid w:val="00CE313E"/>
    <w:rPr>
      <w:rFonts w:eastAsiaTheme="minorEastAsia"/>
      <w:color w:val="5A5A5A" w:themeColor="text1" w:themeTint="A5"/>
      <w:spacing w:val="15"/>
    </w:rPr>
  </w:style>
  <w:style w:type="table" w:customStyle="1" w:styleId="TableGrid2">
    <w:name w:val="Table Grid2"/>
    <w:basedOn w:val="TableNormal"/>
    <w:uiPriority w:val="59"/>
    <w:rsid w:val="00F265DC"/>
    <w:pPr>
      <w:spacing w:after="0" w:line="240" w:lineRule="auto"/>
    </w:pPr>
    <w:rPr>
      <w:rFonts w:ascii="Calibri" w:eastAsia="Cambria" w:hAnsi="Calibri"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1140">
      <w:bodyDiv w:val="1"/>
      <w:marLeft w:val="0"/>
      <w:marRight w:val="0"/>
      <w:marTop w:val="0"/>
      <w:marBottom w:val="0"/>
      <w:divBdr>
        <w:top w:val="none" w:sz="0" w:space="0" w:color="auto"/>
        <w:left w:val="none" w:sz="0" w:space="0" w:color="auto"/>
        <w:bottom w:val="none" w:sz="0" w:space="0" w:color="auto"/>
        <w:right w:val="none" w:sz="0" w:space="0" w:color="auto"/>
      </w:divBdr>
    </w:div>
    <w:div w:id="237373433">
      <w:bodyDiv w:val="1"/>
      <w:marLeft w:val="0"/>
      <w:marRight w:val="0"/>
      <w:marTop w:val="0"/>
      <w:marBottom w:val="0"/>
      <w:divBdr>
        <w:top w:val="none" w:sz="0" w:space="0" w:color="auto"/>
        <w:left w:val="none" w:sz="0" w:space="0" w:color="auto"/>
        <w:bottom w:val="none" w:sz="0" w:space="0" w:color="auto"/>
        <w:right w:val="none" w:sz="0" w:space="0" w:color="auto"/>
      </w:divBdr>
    </w:div>
    <w:div w:id="254899070">
      <w:bodyDiv w:val="1"/>
      <w:marLeft w:val="0"/>
      <w:marRight w:val="0"/>
      <w:marTop w:val="0"/>
      <w:marBottom w:val="0"/>
      <w:divBdr>
        <w:top w:val="none" w:sz="0" w:space="0" w:color="auto"/>
        <w:left w:val="none" w:sz="0" w:space="0" w:color="auto"/>
        <w:bottom w:val="none" w:sz="0" w:space="0" w:color="auto"/>
        <w:right w:val="none" w:sz="0" w:space="0" w:color="auto"/>
      </w:divBdr>
    </w:div>
    <w:div w:id="467364064">
      <w:bodyDiv w:val="1"/>
      <w:marLeft w:val="0"/>
      <w:marRight w:val="0"/>
      <w:marTop w:val="0"/>
      <w:marBottom w:val="0"/>
      <w:divBdr>
        <w:top w:val="none" w:sz="0" w:space="0" w:color="auto"/>
        <w:left w:val="none" w:sz="0" w:space="0" w:color="auto"/>
        <w:bottom w:val="none" w:sz="0" w:space="0" w:color="auto"/>
        <w:right w:val="none" w:sz="0" w:space="0" w:color="auto"/>
      </w:divBdr>
    </w:div>
    <w:div w:id="719936039">
      <w:bodyDiv w:val="1"/>
      <w:marLeft w:val="0"/>
      <w:marRight w:val="0"/>
      <w:marTop w:val="0"/>
      <w:marBottom w:val="0"/>
      <w:divBdr>
        <w:top w:val="none" w:sz="0" w:space="0" w:color="auto"/>
        <w:left w:val="none" w:sz="0" w:space="0" w:color="auto"/>
        <w:bottom w:val="none" w:sz="0" w:space="0" w:color="auto"/>
        <w:right w:val="none" w:sz="0" w:space="0" w:color="auto"/>
      </w:divBdr>
    </w:div>
    <w:div w:id="836530727">
      <w:bodyDiv w:val="1"/>
      <w:marLeft w:val="0"/>
      <w:marRight w:val="0"/>
      <w:marTop w:val="0"/>
      <w:marBottom w:val="0"/>
      <w:divBdr>
        <w:top w:val="none" w:sz="0" w:space="0" w:color="auto"/>
        <w:left w:val="none" w:sz="0" w:space="0" w:color="auto"/>
        <w:bottom w:val="none" w:sz="0" w:space="0" w:color="auto"/>
        <w:right w:val="none" w:sz="0" w:space="0" w:color="auto"/>
      </w:divBdr>
    </w:div>
    <w:div w:id="909580036">
      <w:bodyDiv w:val="1"/>
      <w:marLeft w:val="0"/>
      <w:marRight w:val="0"/>
      <w:marTop w:val="0"/>
      <w:marBottom w:val="0"/>
      <w:divBdr>
        <w:top w:val="none" w:sz="0" w:space="0" w:color="auto"/>
        <w:left w:val="none" w:sz="0" w:space="0" w:color="auto"/>
        <w:bottom w:val="none" w:sz="0" w:space="0" w:color="auto"/>
        <w:right w:val="none" w:sz="0" w:space="0" w:color="auto"/>
      </w:divBdr>
    </w:div>
    <w:div w:id="1172336740">
      <w:bodyDiv w:val="1"/>
      <w:marLeft w:val="0"/>
      <w:marRight w:val="0"/>
      <w:marTop w:val="0"/>
      <w:marBottom w:val="0"/>
      <w:divBdr>
        <w:top w:val="none" w:sz="0" w:space="0" w:color="auto"/>
        <w:left w:val="none" w:sz="0" w:space="0" w:color="auto"/>
        <w:bottom w:val="none" w:sz="0" w:space="0" w:color="auto"/>
        <w:right w:val="none" w:sz="0" w:space="0" w:color="auto"/>
      </w:divBdr>
    </w:div>
    <w:div w:id="1420366881">
      <w:bodyDiv w:val="1"/>
      <w:marLeft w:val="0"/>
      <w:marRight w:val="0"/>
      <w:marTop w:val="0"/>
      <w:marBottom w:val="0"/>
      <w:divBdr>
        <w:top w:val="none" w:sz="0" w:space="0" w:color="auto"/>
        <w:left w:val="none" w:sz="0" w:space="0" w:color="auto"/>
        <w:bottom w:val="none" w:sz="0" w:space="0" w:color="auto"/>
        <w:right w:val="none" w:sz="0" w:space="0" w:color="auto"/>
      </w:divBdr>
    </w:div>
    <w:div w:id="1569730322">
      <w:bodyDiv w:val="1"/>
      <w:marLeft w:val="0"/>
      <w:marRight w:val="0"/>
      <w:marTop w:val="0"/>
      <w:marBottom w:val="0"/>
      <w:divBdr>
        <w:top w:val="none" w:sz="0" w:space="0" w:color="auto"/>
        <w:left w:val="none" w:sz="0" w:space="0" w:color="auto"/>
        <w:bottom w:val="none" w:sz="0" w:space="0" w:color="auto"/>
        <w:right w:val="none" w:sz="0" w:space="0" w:color="auto"/>
      </w:divBdr>
    </w:div>
    <w:div w:id="1574585657">
      <w:bodyDiv w:val="1"/>
      <w:marLeft w:val="0"/>
      <w:marRight w:val="0"/>
      <w:marTop w:val="0"/>
      <w:marBottom w:val="0"/>
      <w:divBdr>
        <w:top w:val="none" w:sz="0" w:space="0" w:color="auto"/>
        <w:left w:val="none" w:sz="0" w:space="0" w:color="auto"/>
        <w:bottom w:val="none" w:sz="0" w:space="0" w:color="auto"/>
        <w:right w:val="none" w:sz="0" w:space="0" w:color="auto"/>
      </w:divBdr>
    </w:div>
    <w:div w:id="1601642388">
      <w:bodyDiv w:val="1"/>
      <w:marLeft w:val="0"/>
      <w:marRight w:val="0"/>
      <w:marTop w:val="0"/>
      <w:marBottom w:val="0"/>
      <w:divBdr>
        <w:top w:val="none" w:sz="0" w:space="0" w:color="auto"/>
        <w:left w:val="none" w:sz="0" w:space="0" w:color="auto"/>
        <w:bottom w:val="none" w:sz="0" w:space="0" w:color="auto"/>
        <w:right w:val="none" w:sz="0" w:space="0" w:color="auto"/>
      </w:divBdr>
    </w:div>
    <w:div w:id="1808281452">
      <w:bodyDiv w:val="1"/>
      <w:marLeft w:val="0"/>
      <w:marRight w:val="0"/>
      <w:marTop w:val="0"/>
      <w:marBottom w:val="0"/>
      <w:divBdr>
        <w:top w:val="none" w:sz="0" w:space="0" w:color="auto"/>
        <w:left w:val="none" w:sz="0" w:space="0" w:color="auto"/>
        <w:bottom w:val="none" w:sz="0" w:space="0" w:color="auto"/>
        <w:right w:val="none" w:sz="0" w:space="0" w:color="auto"/>
      </w:divBdr>
    </w:div>
    <w:div w:id="1878082905">
      <w:bodyDiv w:val="1"/>
      <w:marLeft w:val="0"/>
      <w:marRight w:val="0"/>
      <w:marTop w:val="0"/>
      <w:marBottom w:val="0"/>
      <w:divBdr>
        <w:top w:val="none" w:sz="0" w:space="0" w:color="auto"/>
        <w:left w:val="none" w:sz="0" w:space="0" w:color="auto"/>
        <w:bottom w:val="none" w:sz="0" w:space="0" w:color="auto"/>
        <w:right w:val="none" w:sz="0" w:space="0" w:color="auto"/>
      </w:divBdr>
    </w:div>
    <w:div w:id="1900439882">
      <w:bodyDiv w:val="1"/>
      <w:marLeft w:val="0"/>
      <w:marRight w:val="0"/>
      <w:marTop w:val="0"/>
      <w:marBottom w:val="0"/>
      <w:divBdr>
        <w:top w:val="none" w:sz="0" w:space="0" w:color="auto"/>
        <w:left w:val="none" w:sz="0" w:space="0" w:color="auto"/>
        <w:bottom w:val="none" w:sz="0" w:space="0" w:color="auto"/>
        <w:right w:val="none" w:sz="0" w:space="0" w:color="auto"/>
      </w:divBdr>
    </w:div>
    <w:div w:id="1908954899">
      <w:bodyDiv w:val="1"/>
      <w:marLeft w:val="0"/>
      <w:marRight w:val="0"/>
      <w:marTop w:val="0"/>
      <w:marBottom w:val="0"/>
      <w:divBdr>
        <w:top w:val="none" w:sz="0" w:space="0" w:color="auto"/>
        <w:left w:val="none" w:sz="0" w:space="0" w:color="auto"/>
        <w:bottom w:val="none" w:sz="0" w:space="0" w:color="auto"/>
        <w:right w:val="none" w:sz="0" w:space="0" w:color="auto"/>
      </w:divBdr>
    </w:div>
    <w:div w:id="1972126852">
      <w:bodyDiv w:val="1"/>
      <w:marLeft w:val="0"/>
      <w:marRight w:val="0"/>
      <w:marTop w:val="0"/>
      <w:marBottom w:val="0"/>
      <w:divBdr>
        <w:top w:val="none" w:sz="0" w:space="0" w:color="auto"/>
        <w:left w:val="none" w:sz="0" w:space="0" w:color="auto"/>
        <w:bottom w:val="none" w:sz="0" w:space="0" w:color="auto"/>
        <w:right w:val="none" w:sz="0" w:space="0" w:color="auto"/>
      </w:divBdr>
    </w:div>
    <w:div w:id="20354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badiec\Downloads\pi-template-new-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8e81df-a16a-41ac-ae0f-229fe86a43c4">FNVDUY7RR2X3-201770808-868341</_dlc_DocId>
    <_dlc_DocIdUrl xmlns="278e81df-a16a-41ac-ae0f-229fe86a43c4">
      <Url>https://myglobalconnect.sharepoint.com/sites/LAM-SEA-DL/_layouts/15/DocIdRedir.aspx?ID=FNVDUY7RR2X3-201770808-868341</Url>
      <Description>FNVDUY7RR2X3-201770808-868341</Description>
    </_dlc_DocIdUrl>
    <lcf76f155ced4ddcb4097134ff3c332f xmlns="ce779466-db57-4d45-9521-b53fe5d47250">
      <Terms xmlns="http://schemas.microsoft.com/office/infopath/2007/PartnerControls"/>
    </lcf76f155ced4ddcb4097134ff3c332f>
    <TaxCatchAll xmlns="278e81df-a16a-41ac-ae0f-229fe86a43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914D866A880459ABBEB0800B4FB20" ma:contentTypeVersion="15" ma:contentTypeDescription="Create a new document." ma:contentTypeScope="" ma:versionID="078606fd8e6538861f5861190b1065ac">
  <xsd:schema xmlns:xsd="http://www.w3.org/2001/XMLSchema" xmlns:xs="http://www.w3.org/2001/XMLSchema" xmlns:p="http://schemas.microsoft.com/office/2006/metadata/properties" xmlns:ns2="278e81df-a16a-41ac-ae0f-229fe86a43c4" xmlns:ns3="ce779466-db57-4d45-9521-b53fe5d47250" targetNamespace="http://schemas.microsoft.com/office/2006/metadata/properties" ma:root="true" ma:fieldsID="1bee121ca72b47bd09e9d2753526e503" ns2:_="" ns3:_="">
    <xsd:import namespace="278e81df-a16a-41ac-ae0f-229fe86a43c4"/>
    <xsd:import namespace="ce779466-db57-4d45-9521-b53fe5d472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81df-a16a-41ac-ae0f-229fe86a43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e77804-be7a-4c70-a738-2ac2fa958f0f}" ma:internalName="TaxCatchAll" ma:showField="CatchAllData" ma:web="278e81df-a16a-41ac-ae0f-229fe86a4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79466-db57-4d45-9521-b53fe5d472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d9123b-c55f-431a-8076-7d6b37969f4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3F192-FEE0-48B2-AC8C-46CAFBA114DA}">
  <ds:schemaRefs>
    <ds:schemaRef ds:uri="http://schemas.microsoft.com/office/2006/metadata/properties"/>
    <ds:schemaRef ds:uri="http://schemas.microsoft.com/office/infopath/2007/PartnerControls"/>
    <ds:schemaRef ds:uri="278e81df-a16a-41ac-ae0f-229fe86a43c4"/>
    <ds:schemaRef ds:uri="ce779466-db57-4d45-9521-b53fe5d47250"/>
  </ds:schemaRefs>
</ds:datastoreItem>
</file>

<file path=customXml/itemProps2.xml><?xml version="1.0" encoding="utf-8"?>
<ds:datastoreItem xmlns:ds="http://schemas.openxmlformats.org/officeDocument/2006/customXml" ds:itemID="{734578C6-5679-49CD-8406-7B74F74BF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e81df-a16a-41ac-ae0f-229fe86a43c4"/>
    <ds:schemaRef ds:uri="ce779466-db57-4d45-9521-b53fe5d47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AFF73-0E2E-4E92-A376-1683A627F219}">
  <ds:schemaRefs>
    <ds:schemaRef ds:uri="http://schemas.microsoft.com/sharepoint/events"/>
  </ds:schemaRefs>
</ds:datastoreItem>
</file>

<file path=customXml/itemProps4.xml><?xml version="1.0" encoding="utf-8"?>
<ds:datastoreItem xmlns:ds="http://schemas.openxmlformats.org/officeDocument/2006/customXml" ds:itemID="{8BF49844-C840-4B7B-9F86-70A25C4A3D9A}">
  <ds:schemaRefs>
    <ds:schemaRef ds:uri="http://schemas.openxmlformats.org/officeDocument/2006/bibliography"/>
  </ds:schemaRefs>
</ds:datastoreItem>
</file>

<file path=customXml/itemProps5.xml><?xml version="1.0" encoding="utf-8"?>
<ds:datastoreItem xmlns:ds="http://schemas.openxmlformats.org/officeDocument/2006/customXml" ds:itemID="{B9BF2884-C2B1-4377-AECF-08B68239D84D}">
  <ds:schemaRefs>
    <ds:schemaRef ds:uri="http://schemas.microsoft.com/sharepoint/v3/contenttype/forms"/>
  </ds:schemaRefs>
</ds:datastoreItem>
</file>

<file path=docMetadata/LabelInfo.xml><?xml version="1.0" encoding="utf-8"?>
<clbl:labelList xmlns:clbl="http://schemas.microsoft.com/office/2020/mipLabelMetadata">
  <clbl:label id="{4674d5b9-bf03-4d67-af0b-4bcc9f6f6a0f}" enabled="0" method="" siteId="{4674d5b9-bf03-4d67-af0b-4bcc9f6f6a0f}" removed="1"/>
</clbl:labelList>
</file>

<file path=docProps/app.xml><?xml version="1.0" encoding="utf-8"?>
<Properties xmlns="http://schemas.openxmlformats.org/officeDocument/2006/extended-properties" xmlns:vt="http://schemas.openxmlformats.org/officeDocument/2006/docPropsVTypes">
  <Template>pi-template-new-format (1).dotx</Template>
  <TotalTime>3</TotalTime>
  <Pages>27</Pages>
  <Words>8197</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Eligard</dc:title>
  <dc:subject/>
  <dc:creator>Michelle Phan</dc:creator>
  <cp:keywords/>
  <cp:lastModifiedBy>PITKIN, Brendan</cp:lastModifiedBy>
  <cp:revision>3</cp:revision>
  <cp:lastPrinted>2021-03-25T03:06:00Z</cp:lastPrinted>
  <dcterms:created xsi:type="dcterms:W3CDTF">2022-07-12T23:56:00Z</dcterms:created>
  <dcterms:modified xsi:type="dcterms:W3CDTF">2023-03-14T02:51:00Z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0x010100436914D866A880459ABBEB0800B4FB20</vt:lpwstr>
  </property>
  <property fmtid="{D5CDD505-2E9C-101B-9397-08002B2CF9AE}" pid="3" name="Order">
    <vt:r8>36971000</vt:r8>
  </property>
  <property fmtid="{D5CDD505-2E9C-101B-9397-08002B2CF9AE}" pid="4" name="_dlc_DocIdItemGuid">
    <vt:lpwstr>0d2bff6a-2766-44c8-b9a9-35ab0460ffe1</vt:lpwstr>
  </property>
  <property fmtid="{D5CDD505-2E9C-101B-9397-08002B2CF9AE}" pid="5" name="MediaServiceImageTags">
    <vt:lpwstr/>
  </property>
</Properties>
</file>