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078A562" w14:textId="77777777" w:rsidTr="00BF1190">
        <w:trPr>
          <w:trHeight w:val="1863"/>
        </w:trPr>
        <w:tc>
          <w:tcPr>
            <w:tcW w:w="3652" w:type="dxa"/>
            <w:tcBorders>
              <w:top w:val="nil"/>
              <w:left w:val="nil"/>
              <w:bottom w:val="nil"/>
              <w:right w:val="nil"/>
            </w:tcBorders>
          </w:tcPr>
          <w:p w14:paraId="4BBB0341" w14:textId="53700BF4" w:rsidR="008E7846" w:rsidRPr="00096AA7" w:rsidRDefault="00455B34" w:rsidP="00455B34">
            <w:pPr>
              <w:pStyle w:val="Date"/>
              <w:framePr w:hSpace="0" w:wrap="auto" w:vAnchor="margin" w:hAnchor="text" w:yAlign="inline"/>
              <w:suppressOverlap w:val="0"/>
            </w:pPr>
            <w:r>
              <w:t>March</w:t>
            </w:r>
            <w:r w:rsidR="00406CE7">
              <w:t xml:space="preserve"> </w:t>
            </w:r>
            <w:r w:rsidR="00414101">
              <w:t>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7AA51D2E" w14:textId="77777777" w:rsidTr="0032583B">
        <w:trPr>
          <w:trHeight w:val="868"/>
        </w:trPr>
        <w:tc>
          <w:tcPr>
            <w:tcW w:w="9079" w:type="dxa"/>
          </w:tcPr>
          <w:p w14:paraId="0F6D9977" w14:textId="0C876DAE" w:rsidR="0032583B" w:rsidRPr="00A964D1" w:rsidRDefault="0032583B" w:rsidP="00F931CE">
            <w:pPr>
              <w:pStyle w:val="Title"/>
              <w:framePr w:hSpace="0" w:wrap="auto" w:vAnchor="margin" w:yAlign="inline"/>
            </w:pPr>
            <w:r w:rsidRPr="00A964D1">
              <w:t>Australian Public Assessment Report for</w:t>
            </w:r>
            <w:r w:rsidR="00414101">
              <w:t xml:space="preserve"> </w:t>
            </w:r>
            <w:r w:rsidR="00414101" w:rsidRPr="00414101">
              <w:t>D</w:t>
            </w:r>
            <w:r w:rsidR="00D739A3">
              <w:t>upixent</w:t>
            </w:r>
          </w:p>
        </w:tc>
      </w:tr>
      <w:tr w:rsidR="0032583B" w:rsidRPr="00B64760" w14:paraId="37859BD4" w14:textId="77777777" w:rsidTr="0032583B">
        <w:tc>
          <w:tcPr>
            <w:tcW w:w="9079" w:type="dxa"/>
          </w:tcPr>
          <w:p w14:paraId="2B5D5B55" w14:textId="14F3FDFC" w:rsidR="0032583B" w:rsidRPr="008E7846" w:rsidRDefault="00BB75D6" w:rsidP="00F931CE">
            <w:pPr>
              <w:pStyle w:val="Subtitle"/>
              <w:framePr w:hSpace="0" w:wrap="auto" w:vAnchor="margin" w:yAlign="inline"/>
            </w:pPr>
            <w:r>
              <w:t>Active ingredient</w:t>
            </w:r>
            <w:r w:rsidR="0032583B" w:rsidRPr="008E7846">
              <w:t xml:space="preserve">: </w:t>
            </w:r>
            <w:r w:rsidR="00414101">
              <w:t>D</w:t>
            </w:r>
            <w:r w:rsidR="00414101" w:rsidRPr="00414101">
              <w:t>upilumab</w:t>
            </w:r>
          </w:p>
        </w:tc>
      </w:tr>
      <w:tr w:rsidR="0032583B" w:rsidRPr="00B64760" w14:paraId="7915E8C6" w14:textId="77777777" w:rsidTr="0032583B">
        <w:trPr>
          <w:trHeight w:val="486"/>
        </w:trPr>
        <w:tc>
          <w:tcPr>
            <w:tcW w:w="9079" w:type="dxa"/>
          </w:tcPr>
          <w:p w14:paraId="1BB7E697" w14:textId="7FF0F2C6" w:rsidR="0032583B" w:rsidRPr="008E7846" w:rsidRDefault="00460036" w:rsidP="009556D7">
            <w:pPr>
              <w:pStyle w:val="Subtitle"/>
              <w:framePr w:hSpace="0" w:wrap="auto" w:vAnchor="margin" w:yAlign="inline"/>
            </w:pPr>
            <w:r>
              <w:t>Sponsor:</w:t>
            </w:r>
            <w:r w:rsidR="00414101">
              <w:t xml:space="preserve"> </w:t>
            </w:r>
            <w:r w:rsidR="00414101" w:rsidRPr="00414101">
              <w:t>Sanofi-Aventis Australia Pty Lt</w:t>
            </w:r>
            <w:r w:rsidR="00414101">
              <w:t>d</w:t>
            </w:r>
          </w:p>
        </w:tc>
      </w:tr>
    </w:tbl>
    <w:p w14:paraId="588FDD6D" w14:textId="77777777" w:rsidR="008E7846" w:rsidRPr="0085156D" w:rsidRDefault="008E7846" w:rsidP="0085156D">
      <w:r w:rsidRPr="0085156D">
        <w:br w:type="page"/>
      </w:r>
    </w:p>
    <w:p w14:paraId="222E9536" w14:textId="77777777" w:rsidR="008E7846" w:rsidRPr="001F6CBA" w:rsidRDefault="008E7846" w:rsidP="008E7846">
      <w:pPr>
        <w:pStyle w:val="NonTOCHeading2"/>
      </w:pPr>
      <w:r w:rsidRPr="001F6CBA">
        <w:lastRenderedPageBreak/>
        <w:t>About the Therapeutic Goods Administration (TGA)</w:t>
      </w:r>
    </w:p>
    <w:p w14:paraId="701F00B2"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706AA2D3"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45F563BA"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1FF9FC6"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76A15A86" w14:textId="60727CA4"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271AC097" w14:textId="77777777" w:rsidR="008E7846" w:rsidRDefault="008E7846" w:rsidP="00875A6B">
      <w:pPr>
        <w:pStyle w:val="NonTOCHeading2"/>
      </w:pPr>
      <w:r>
        <w:t xml:space="preserve">About </w:t>
      </w:r>
      <w:proofErr w:type="spellStart"/>
      <w:r>
        <w:t>AusPARs</w:t>
      </w:r>
      <w:proofErr w:type="spellEnd"/>
    </w:p>
    <w:p w14:paraId="485B28B6" w14:textId="23247E4A"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6C35AF5F"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6295C6DF"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26FB407D"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0FE5CF55" w14:textId="77777777" w:rsidR="00924482" w:rsidRPr="00DF1D7F" w:rsidRDefault="00924482" w:rsidP="00F54B65">
      <w:pPr>
        <w:pStyle w:val="LegalSubheading"/>
        <w:spacing w:before="3120"/>
      </w:pPr>
      <w:r w:rsidRPr="00DF1D7F">
        <w:t>Copyright</w:t>
      </w:r>
    </w:p>
    <w:p w14:paraId="7E4FB423" w14:textId="4A0DA723" w:rsidR="00924482" w:rsidRDefault="00924482" w:rsidP="00924482">
      <w:pPr>
        <w:pStyle w:val="LegalCopy"/>
      </w:pPr>
      <w:r w:rsidRPr="002F436B">
        <w:rPr>
          <w:rFonts w:cs="Arial"/>
          <w:lang w:val="en-GB"/>
        </w:rPr>
        <w:t>© Commonwealth of Australia 20</w:t>
      </w:r>
      <w:r w:rsidR="00460036" w:rsidRPr="002F436B">
        <w:rPr>
          <w:rFonts w:cs="Arial"/>
          <w:lang w:val="en-GB"/>
        </w:rPr>
        <w:t>2</w:t>
      </w:r>
      <w:r w:rsidR="00F22ACE" w:rsidRPr="002F436B">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52BE8EC3"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7377A5FB" w14:textId="77777777" w:rsidR="0089635C" w:rsidRPr="0089635C" w:rsidRDefault="0089635C" w:rsidP="0010788A">
          <w:pPr>
            <w:pStyle w:val="Contents"/>
          </w:pPr>
          <w:r w:rsidRPr="0010788A">
            <w:t>Contents</w:t>
          </w:r>
        </w:p>
        <w:p w14:paraId="7140972E" w14:textId="65D4F5FD" w:rsidR="00761EA9"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29691992" w:history="1">
            <w:r w:rsidR="00761EA9" w:rsidRPr="00AB42FB">
              <w:rPr>
                <w:rStyle w:val="Hyperlink"/>
                <w:noProof/>
              </w:rPr>
              <w:t>List of abbreviations</w:t>
            </w:r>
            <w:r w:rsidR="00761EA9">
              <w:rPr>
                <w:noProof/>
                <w:webHidden/>
              </w:rPr>
              <w:tab/>
            </w:r>
            <w:r w:rsidR="00761EA9">
              <w:rPr>
                <w:noProof/>
                <w:webHidden/>
              </w:rPr>
              <w:fldChar w:fldCharType="begin"/>
            </w:r>
            <w:r w:rsidR="00761EA9">
              <w:rPr>
                <w:noProof/>
                <w:webHidden/>
              </w:rPr>
              <w:instrText xml:space="preserve"> PAGEREF _Toc129691992 \h </w:instrText>
            </w:r>
            <w:r w:rsidR="00761EA9">
              <w:rPr>
                <w:noProof/>
                <w:webHidden/>
              </w:rPr>
            </w:r>
            <w:r w:rsidR="00761EA9">
              <w:rPr>
                <w:noProof/>
                <w:webHidden/>
              </w:rPr>
              <w:fldChar w:fldCharType="separate"/>
            </w:r>
            <w:r w:rsidR="005E03E4">
              <w:rPr>
                <w:noProof/>
                <w:webHidden/>
              </w:rPr>
              <w:t>4</w:t>
            </w:r>
            <w:r w:rsidR="00761EA9">
              <w:rPr>
                <w:noProof/>
                <w:webHidden/>
              </w:rPr>
              <w:fldChar w:fldCharType="end"/>
            </w:r>
          </w:hyperlink>
        </w:p>
        <w:p w14:paraId="55F4A5FD" w14:textId="73AA132E" w:rsidR="00761EA9" w:rsidRDefault="005E03E4">
          <w:pPr>
            <w:pStyle w:val="TOC1"/>
            <w:rPr>
              <w:rFonts w:asciiTheme="minorHAnsi" w:eastAsiaTheme="minorEastAsia" w:hAnsiTheme="minorHAnsi" w:cstheme="minorBidi"/>
              <w:b w:val="0"/>
              <w:noProof/>
              <w:sz w:val="22"/>
              <w:lang w:eastAsia="en-AU"/>
            </w:rPr>
          </w:pPr>
          <w:hyperlink w:anchor="_Toc129691993" w:history="1">
            <w:r w:rsidR="00761EA9" w:rsidRPr="00AB42FB">
              <w:rPr>
                <w:rStyle w:val="Hyperlink"/>
                <w:noProof/>
              </w:rPr>
              <w:t>Product submission</w:t>
            </w:r>
            <w:r w:rsidR="00761EA9">
              <w:rPr>
                <w:noProof/>
                <w:webHidden/>
              </w:rPr>
              <w:tab/>
            </w:r>
            <w:r w:rsidR="00761EA9">
              <w:rPr>
                <w:noProof/>
                <w:webHidden/>
              </w:rPr>
              <w:fldChar w:fldCharType="begin"/>
            </w:r>
            <w:r w:rsidR="00761EA9">
              <w:rPr>
                <w:noProof/>
                <w:webHidden/>
              </w:rPr>
              <w:instrText xml:space="preserve"> PAGEREF _Toc129691993 \h </w:instrText>
            </w:r>
            <w:r w:rsidR="00761EA9">
              <w:rPr>
                <w:noProof/>
                <w:webHidden/>
              </w:rPr>
            </w:r>
            <w:r w:rsidR="00761EA9">
              <w:rPr>
                <w:noProof/>
                <w:webHidden/>
              </w:rPr>
              <w:fldChar w:fldCharType="separate"/>
            </w:r>
            <w:r>
              <w:rPr>
                <w:noProof/>
                <w:webHidden/>
              </w:rPr>
              <w:t>6</w:t>
            </w:r>
            <w:r w:rsidR="00761EA9">
              <w:rPr>
                <w:noProof/>
                <w:webHidden/>
              </w:rPr>
              <w:fldChar w:fldCharType="end"/>
            </w:r>
          </w:hyperlink>
        </w:p>
        <w:p w14:paraId="2590B281" w14:textId="7909FA3C" w:rsidR="00761EA9" w:rsidRDefault="005E03E4">
          <w:pPr>
            <w:pStyle w:val="TOC2"/>
            <w:rPr>
              <w:rFonts w:asciiTheme="minorHAnsi" w:eastAsiaTheme="minorEastAsia" w:hAnsiTheme="minorHAnsi" w:cstheme="minorBidi"/>
              <w:b w:val="0"/>
              <w:noProof/>
              <w:sz w:val="22"/>
              <w:lang w:eastAsia="en-AU"/>
            </w:rPr>
          </w:pPr>
          <w:hyperlink w:anchor="_Toc129691994" w:history="1">
            <w:r w:rsidR="00761EA9" w:rsidRPr="00AB42FB">
              <w:rPr>
                <w:rStyle w:val="Hyperlink"/>
                <w:noProof/>
                <w:lang w:eastAsia="en-AU"/>
              </w:rPr>
              <w:t>Submission details</w:t>
            </w:r>
            <w:r w:rsidR="00761EA9">
              <w:rPr>
                <w:noProof/>
                <w:webHidden/>
              </w:rPr>
              <w:tab/>
            </w:r>
            <w:r w:rsidR="00761EA9">
              <w:rPr>
                <w:noProof/>
                <w:webHidden/>
              </w:rPr>
              <w:fldChar w:fldCharType="begin"/>
            </w:r>
            <w:r w:rsidR="00761EA9">
              <w:rPr>
                <w:noProof/>
                <w:webHidden/>
              </w:rPr>
              <w:instrText xml:space="preserve"> PAGEREF _Toc129691994 \h </w:instrText>
            </w:r>
            <w:r w:rsidR="00761EA9">
              <w:rPr>
                <w:noProof/>
                <w:webHidden/>
              </w:rPr>
            </w:r>
            <w:r w:rsidR="00761EA9">
              <w:rPr>
                <w:noProof/>
                <w:webHidden/>
              </w:rPr>
              <w:fldChar w:fldCharType="separate"/>
            </w:r>
            <w:r>
              <w:rPr>
                <w:noProof/>
                <w:webHidden/>
              </w:rPr>
              <w:t>6</w:t>
            </w:r>
            <w:r w:rsidR="00761EA9">
              <w:rPr>
                <w:noProof/>
                <w:webHidden/>
              </w:rPr>
              <w:fldChar w:fldCharType="end"/>
            </w:r>
          </w:hyperlink>
        </w:p>
        <w:p w14:paraId="3B1CBF4D" w14:textId="1B09898F" w:rsidR="00761EA9" w:rsidRDefault="005E03E4">
          <w:pPr>
            <w:pStyle w:val="TOC2"/>
            <w:rPr>
              <w:rFonts w:asciiTheme="minorHAnsi" w:eastAsiaTheme="minorEastAsia" w:hAnsiTheme="minorHAnsi" w:cstheme="minorBidi"/>
              <w:b w:val="0"/>
              <w:noProof/>
              <w:sz w:val="22"/>
              <w:lang w:eastAsia="en-AU"/>
            </w:rPr>
          </w:pPr>
          <w:hyperlink w:anchor="_Toc129691995" w:history="1">
            <w:r w:rsidR="00761EA9" w:rsidRPr="00AB42FB">
              <w:rPr>
                <w:rStyle w:val="Hyperlink"/>
                <w:noProof/>
              </w:rPr>
              <w:t>Product background</w:t>
            </w:r>
            <w:r w:rsidR="00761EA9">
              <w:rPr>
                <w:noProof/>
                <w:webHidden/>
              </w:rPr>
              <w:tab/>
            </w:r>
            <w:r w:rsidR="00761EA9">
              <w:rPr>
                <w:noProof/>
                <w:webHidden/>
              </w:rPr>
              <w:fldChar w:fldCharType="begin"/>
            </w:r>
            <w:r w:rsidR="00761EA9">
              <w:rPr>
                <w:noProof/>
                <w:webHidden/>
              </w:rPr>
              <w:instrText xml:space="preserve"> PAGEREF _Toc129691995 \h </w:instrText>
            </w:r>
            <w:r w:rsidR="00761EA9">
              <w:rPr>
                <w:noProof/>
                <w:webHidden/>
              </w:rPr>
            </w:r>
            <w:r w:rsidR="00761EA9">
              <w:rPr>
                <w:noProof/>
                <w:webHidden/>
              </w:rPr>
              <w:fldChar w:fldCharType="separate"/>
            </w:r>
            <w:r>
              <w:rPr>
                <w:noProof/>
                <w:webHidden/>
              </w:rPr>
              <w:t>8</w:t>
            </w:r>
            <w:r w:rsidR="00761EA9">
              <w:rPr>
                <w:noProof/>
                <w:webHidden/>
              </w:rPr>
              <w:fldChar w:fldCharType="end"/>
            </w:r>
          </w:hyperlink>
        </w:p>
        <w:p w14:paraId="58E3CEE7" w14:textId="1F66DC7E" w:rsidR="00761EA9" w:rsidRDefault="005E03E4">
          <w:pPr>
            <w:pStyle w:val="TOC2"/>
            <w:rPr>
              <w:rFonts w:asciiTheme="minorHAnsi" w:eastAsiaTheme="minorEastAsia" w:hAnsiTheme="minorHAnsi" w:cstheme="minorBidi"/>
              <w:b w:val="0"/>
              <w:noProof/>
              <w:sz w:val="22"/>
              <w:lang w:eastAsia="en-AU"/>
            </w:rPr>
          </w:pPr>
          <w:hyperlink w:anchor="_Toc129691996" w:history="1">
            <w:r w:rsidR="00761EA9" w:rsidRPr="00AB42FB">
              <w:rPr>
                <w:rStyle w:val="Hyperlink"/>
                <w:noProof/>
              </w:rPr>
              <w:t>Regulatory status</w:t>
            </w:r>
            <w:r w:rsidR="00761EA9">
              <w:rPr>
                <w:noProof/>
                <w:webHidden/>
              </w:rPr>
              <w:tab/>
            </w:r>
            <w:r w:rsidR="00761EA9">
              <w:rPr>
                <w:noProof/>
                <w:webHidden/>
              </w:rPr>
              <w:fldChar w:fldCharType="begin"/>
            </w:r>
            <w:r w:rsidR="00761EA9">
              <w:rPr>
                <w:noProof/>
                <w:webHidden/>
              </w:rPr>
              <w:instrText xml:space="preserve"> PAGEREF _Toc129691996 \h </w:instrText>
            </w:r>
            <w:r w:rsidR="00761EA9">
              <w:rPr>
                <w:noProof/>
                <w:webHidden/>
              </w:rPr>
            </w:r>
            <w:r w:rsidR="00761EA9">
              <w:rPr>
                <w:noProof/>
                <w:webHidden/>
              </w:rPr>
              <w:fldChar w:fldCharType="separate"/>
            </w:r>
            <w:r>
              <w:rPr>
                <w:noProof/>
                <w:webHidden/>
              </w:rPr>
              <w:t>10</w:t>
            </w:r>
            <w:r w:rsidR="00761EA9">
              <w:rPr>
                <w:noProof/>
                <w:webHidden/>
              </w:rPr>
              <w:fldChar w:fldCharType="end"/>
            </w:r>
          </w:hyperlink>
        </w:p>
        <w:p w14:paraId="36855D45" w14:textId="3296C23E" w:rsidR="00761EA9" w:rsidRDefault="005E03E4">
          <w:pPr>
            <w:pStyle w:val="TOC2"/>
            <w:rPr>
              <w:rFonts w:asciiTheme="minorHAnsi" w:eastAsiaTheme="minorEastAsia" w:hAnsiTheme="minorHAnsi" w:cstheme="minorBidi"/>
              <w:b w:val="0"/>
              <w:noProof/>
              <w:sz w:val="22"/>
              <w:lang w:eastAsia="en-AU"/>
            </w:rPr>
          </w:pPr>
          <w:hyperlink w:anchor="_Toc129691997" w:history="1">
            <w:r w:rsidR="00761EA9" w:rsidRPr="00AB42FB">
              <w:rPr>
                <w:rStyle w:val="Hyperlink"/>
                <w:noProof/>
              </w:rPr>
              <w:t>Product Information</w:t>
            </w:r>
            <w:r w:rsidR="00761EA9">
              <w:rPr>
                <w:noProof/>
                <w:webHidden/>
              </w:rPr>
              <w:tab/>
            </w:r>
            <w:r w:rsidR="00761EA9">
              <w:rPr>
                <w:noProof/>
                <w:webHidden/>
              </w:rPr>
              <w:fldChar w:fldCharType="begin"/>
            </w:r>
            <w:r w:rsidR="00761EA9">
              <w:rPr>
                <w:noProof/>
                <w:webHidden/>
              </w:rPr>
              <w:instrText xml:space="preserve"> PAGEREF _Toc129691997 \h </w:instrText>
            </w:r>
            <w:r w:rsidR="00761EA9">
              <w:rPr>
                <w:noProof/>
                <w:webHidden/>
              </w:rPr>
            </w:r>
            <w:r w:rsidR="00761EA9">
              <w:rPr>
                <w:noProof/>
                <w:webHidden/>
              </w:rPr>
              <w:fldChar w:fldCharType="separate"/>
            </w:r>
            <w:r>
              <w:rPr>
                <w:noProof/>
                <w:webHidden/>
              </w:rPr>
              <w:t>12</w:t>
            </w:r>
            <w:r w:rsidR="00761EA9">
              <w:rPr>
                <w:noProof/>
                <w:webHidden/>
              </w:rPr>
              <w:fldChar w:fldCharType="end"/>
            </w:r>
          </w:hyperlink>
        </w:p>
        <w:p w14:paraId="3557E261" w14:textId="6A5C4265" w:rsidR="00761EA9" w:rsidRDefault="005E03E4">
          <w:pPr>
            <w:pStyle w:val="TOC1"/>
            <w:rPr>
              <w:rFonts w:asciiTheme="minorHAnsi" w:eastAsiaTheme="minorEastAsia" w:hAnsiTheme="minorHAnsi" w:cstheme="minorBidi"/>
              <w:b w:val="0"/>
              <w:noProof/>
              <w:sz w:val="22"/>
              <w:lang w:eastAsia="en-AU"/>
            </w:rPr>
          </w:pPr>
          <w:hyperlink w:anchor="_Toc129691998" w:history="1">
            <w:r w:rsidR="00761EA9" w:rsidRPr="00AB42FB">
              <w:rPr>
                <w:rStyle w:val="Hyperlink"/>
                <w:noProof/>
              </w:rPr>
              <w:t>Registration timeline</w:t>
            </w:r>
            <w:r w:rsidR="00761EA9">
              <w:rPr>
                <w:noProof/>
                <w:webHidden/>
              </w:rPr>
              <w:tab/>
            </w:r>
            <w:r w:rsidR="00761EA9">
              <w:rPr>
                <w:noProof/>
                <w:webHidden/>
              </w:rPr>
              <w:fldChar w:fldCharType="begin"/>
            </w:r>
            <w:r w:rsidR="00761EA9">
              <w:rPr>
                <w:noProof/>
                <w:webHidden/>
              </w:rPr>
              <w:instrText xml:space="preserve"> PAGEREF _Toc129691998 \h </w:instrText>
            </w:r>
            <w:r w:rsidR="00761EA9">
              <w:rPr>
                <w:noProof/>
                <w:webHidden/>
              </w:rPr>
            </w:r>
            <w:r w:rsidR="00761EA9">
              <w:rPr>
                <w:noProof/>
                <w:webHidden/>
              </w:rPr>
              <w:fldChar w:fldCharType="separate"/>
            </w:r>
            <w:r>
              <w:rPr>
                <w:noProof/>
                <w:webHidden/>
              </w:rPr>
              <w:t>12</w:t>
            </w:r>
            <w:r w:rsidR="00761EA9">
              <w:rPr>
                <w:noProof/>
                <w:webHidden/>
              </w:rPr>
              <w:fldChar w:fldCharType="end"/>
            </w:r>
          </w:hyperlink>
        </w:p>
        <w:p w14:paraId="07947391" w14:textId="689FDB5D" w:rsidR="00761EA9" w:rsidRDefault="005E03E4">
          <w:pPr>
            <w:pStyle w:val="TOC1"/>
            <w:rPr>
              <w:rFonts w:asciiTheme="minorHAnsi" w:eastAsiaTheme="minorEastAsia" w:hAnsiTheme="minorHAnsi" w:cstheme="minorBidi"/>
              <w:b w:val="0"/>
              <w:noProof/>
              <w:sz w:val="22"/>
              <w:lang w:eastAsia="en-AU"/>
            </w:rPr>
          </w:pPr>
          <w:hyperlink w:anchor="_Toc129691999" w:history="1">
            <w:r w:rsidR="00761EA9" w:rsidRPr="00AB42FB">
              <w:rPr>
                <w:rStyle w:val="Hyperlink"/>
                <w:noProof/>
              </w:rPr>
              <w:t>Submission overview and risk/benefit assessment</w:t>
            </w:r>
            <w:r w:rsidR="00761EA9">
              <w:rPr>
                <w:noProof/>
                <w:webHidden/>
              </w:rPr>
              <w:tab/>
            </w:r>
            <w:r w:rsidR="00761EA9">
              <w:rPr>
                <w:noProof/>
                <w:webHidden/>
              </w:rPr>
              <w:fldChar w:fldCharType="begin"/>
            </w:r>
            <w:r w:rsidR="00761EA9">
              <w:rPr>
                <w:noProof/>
                <w:webHidden/>
              </w:rPr>
              <w:instrText xml:space="preserve"> PAGEREF _Toc129691999 \h </w:instrText>
            </w:r>
            <w:r w:rsidR="00761EA9">
              <w:rPr>
                <w:noProof/>
                <w:webHidden/>
              </w:rPr>
            </w:r>
            <w:r w:rsidR="00761EA9">
              <w:rPr>
                <w:noProof/>
                <w:webHidden/>
              </w:rPr>
              <w:fldChar w:fldCharType="separate"/>
            </w:r>
            <w:r>
              <w:rPr>
                <w:noProof/>
                <w:webHidden/>
              </w:rPr>
              <w:t>13</w:t>
            </w:r>
            <w:r w:rsidR="00761EA9">
              <w:rPr>
                <w:noProof/>
                <w:webHidden/>
              </w:rPr>
              <w:fldChar w:fldCharType="end"/>
            </w:r>
          </w:hyperlink>
        </w:p>
        <w:p w14:paraId="65222A5C" w14:textId="26D24272" w:rsidR="00761EA9" w:rsidRDefault="005E03E4">
          <w:pPr>
            <w:pStyle w:val="TOC2"/>
            <w:rPr>
              <w:rFonts w:asciiTheme="minorHAnsi" w:eastAsiaTheme="minorEastAsia" w:hAnsiTheme="minorHAnsi" w:cstheme="minorBidi"/>
              <w:b w:val="0"/>
              <w:noProof/>
              <w:sz w:val="22"/>
              <w:lang w:eastAsia="en-AU"/>
            </w:rPr>
          </w:pPr>
          <w:hyperlink w:anchor="_Toc129692000" w:history="1">
            <w:r w:rsidR="00761EA9" w:rsidRPr="00AB42FB">
              <w:rPr>
                <w:rStyle w:val="Hyperlink"/>
                <w:noProof/>
              </w:rPr>
              <w:t>Quality</w:t>
            </w:r>
            <w:r w:rsidR="00761EA9">
              <w:rPr>
                <w:noProof/>
                <w:webHidden/>
              </w:rPr>
              <w:tab/>
            </w:r>
            <w:r w:rsidR="00761EA9">
              <w:rPr>
                <w:noProof/>
                <w:webHidden/>
              </w:rPr>
              <w:fldChar w:fldCharType="begin"/>
            </w:r>
            <w:r w:rsidR="00761EA9">
              <w:rPr>
                <w:noProof/>
                <w:webHidden/>
              </w:rPr>
              <w:instrText xml:space="preserve"> PAGEREF _Toc129692000 \h </w:instrText>
            </w:r>
            <w:r w:rsidR="00761EA9">
              <w:rPr>
                <w:noProof/>
                <w:webHidden/>
              </w:rPr>
            </w:r>
            <w:r w:rsidR="00761EA9">
              <w:rPr>
                <w:noProof/>
                <w:webHidden/>
              </w:rPr>
              <w:fldChar w:fldCharType="separate"/>
            </w:r>
            <w:r>
              <w:rPr>
                <w:noProof/>
                <w:webHidden/>
              </w:rPr>
              <w:t>13</w:t>
            </w:r>
            <w:r w:rsidR="00761EA9">
              <w:rPr>
                <w:noProof/>
                <w:webHidden/>
              </w:rPr>
              <w:fldChar w:fldCharType="end"/>
            </w:r>
          </w:hyperlink>
        </w:p>
        <w:p w14:paraId="6ABFFD76" w14:textId="52AE6A70" w:rsidR="00761EA9" w:rsidRDefault="005E03E4">
          <w:pPr>
            <w:pStyle w:val="TOC2"/>
            <w:rPr>
              <w:rFonts w:asciiTheme="minorHAnsi" w:eastAsiaTheme="minorEastAsia" w:hAnsiTheme="minorHAnsi" w:cstheme="minorBidi"/>
              <w:b w:val="0"/>
              <w:noProof/>
              <w:sz w:val="22"/>
              <w:lang w:eastAsia="en-AU"/>
            </w:rPr>
          </w:pPr>
          <w:hyperlink w:anchor="_Toc129692001" w:history="1">
            <w:r w:rsidR="00761EA9" w:rsidRPr="00AB42FB">
              <w:rPr>
                <w:rStyle w:val="Hyperlink"/>
                <w:noProof/>
              </w:rPr>
              <w:t>Nonclinical</w:t>
            </w:r>
            <w:r w:rsidR="00761EA9">
              <w:rPr>
                <w:noProof/>
                <w:webHidden/>
              </w:rPr>
              <w:tab/>
            </w:r>
            <w:r w:rsidR="00761EA9">
              <w:rPr>
                <w:noProof/>
                <w:webHidden/>
              </w:rPr>
              <w:fldChar w:fldCharType="begin"/>
            </w:r>
            <w:r w:rsidR="00761EA9">
              <w:rPr>
                <w:noProof/>
                <w:webHidden/>
              </w:rPr>
              <w:instrText xml:space="preserve"> PAGEREF _Toc129692001 \h </w:instrText>
            </w:r>
            <w:r w:rsidR="00761EA9">
              <w:rPr>
                <w:noProof/>
                <w:webHidden/>
              </w:rPr>
            </w:r>
            <w:r w:rsidR="00761EA9">
              <w:rPr>
                <w:noProof/>
                <w:webHidden/>
              </w:rPr>
              <w:fldChar w:fldCharType="separate"/>
            </w:r>
            <w:r>
              <w:rPr>
                <w:noProof/>
                <w:webHidden/>
              </w:rPr>
              <w:t>14</w:t>
            </w:r>
            <w:r w:rsidR="00761EA9">
              <w:rPr>
                <w:noProof/>
                <w:webHidden/>
              </w:rPr>
              <w:fldChar w:fldCharType="end"/>
            </w:r>
          </w:hyperlink>
        </w:p>
        <w:p w14:paraId="626B833D" w14:textId="6DF43F7A" w:rsidR="00761EA9" w:rsidRDefault="005E03E4">
          <w:pPr>
            <w:pStyle w:val="TOC2"/>
            <w:rPr>
              <w:rFonts w:asciiTheme="minorHAnsi" w:eastAsiaTheme="minorEastAsia" w:hAnsiTheme="minorHAnsi" w:cstheme="minorBidi"/>
              <w:b w:val="0"/>
              <w:noProof/>
              <w:sz w:val="22"/>
              <w:lang w:eastAsia="en-AU"/>
            </w:rPr>
          </w:pPr>
          <w:hyperlink w:anchor="_Toc129692002" w:history="1">
            <w:r w:rsidR="00761EA9" w:rsidRPr="00AB42FB">
              <w:rPr>
                <w:rStyle w:val="Hyperlink"/>
                <w:noProof/>
              </w:rPr>
              <w:t>Clinical</w:t>
            </w:r>
            <w:r w:rsidR="00761EA9">
              <w:rPr>
                <w:noProof/>
                <w:webHidden/>
              </w:rPr>
              <w:tab/>
            </w:r>
            <w:r w:rsidR="00761EA9">
              <w:rPr>
                <w:noProof/>
                <w:webHidden/>
              </w:rPr>
              <w:fldChar w:fldCharType="begin"/>
            </w:r>
            <w:r w:rsidR="00761EA9">
              <w:rPr>
                <w:noProof/>
                <w:webHidden/>
              </w:rPr>
              <w:instrText xml:space="preserve"> PAGEREF _Toc129692002 \h </w:instrText>
            </w:r>
            <w:r w:rsidR="00761EA9">
              <w:rPr>
                <w:noProof/>
                <w:webHidden/>
              </w:rPr>
            </w:r>
            <w:r w:rsidR="00761EA9">
              <w:rPr>
                <w:noProof/>
                <w:webHidden/>
              </w:rPr>
              <w:fldChar w:fldCharType="separate"/>
            </w:r>
            <w:r>
              <w:rPr>
                <w:noProof/>
                <w:webHidden/>
              </w:rPr>
              <w:t>14</w:t>
            </w:r>
            <w:r w:rsidR="00761EA9">
              <w:rPr>
                <w:noProof/>
                <w:webHidden/>
              </w:rPr>
              <w:fldChar w:fldCharType="end"/>
            </w:r>
          </w:hyperlink>
        </w:p>
        <w:p w14:paraId="5196A02A" w14:textId="7FE529F1" w:rsidR="00761EA9" w:rsidRDefault="005E03E4">
          <w:pPr>
            <w:pStyle w:val="TOC2"/>
            <w:rPr>
              <w:rFonts w:asciiTheme="minorHAnsi" w:eastAsiaTheme="minorEastAsia" w:hAnsiTheme="minorHAnsi" w:cstheme="minorBidi"/>
              <w:b w:val="0"/>
              <w:noProof/>
              <w:sz w:val="22"/>
              <w:lang w:eastAsia="en-AU"/>
            </w:rPr>
          </w:pPr>
          <w:hyperlink w:anchor="_Toc129692003" w:history="1">
            <w:r w:rsidR="00761EA9" w:rsidRPr="00AB42FB">
              <w:rPr>
                <w:rStyle w:val="Hyperlink"/>
                <w:noProof/>
                <w:lang w:eastAsia="en-AU"/>
              </w:rPr>
              <w:t>Risk management plan</w:t>
            </w:r>
            <w:r w:rsidR="00761EA9">
              <w:rPr>
                <w:noProof/>
                <w:webHidden/>
              </w:rPr>
              <w:tab/>
            </w:r>
            <w:r w:rsidR="00761EA9">
              <w:rPr>
                <w:noProof/>
                <w:webHidden/>
              </w:rPr>
              <w:fldChar w:fldCharType="begin"/>
            </w:r>
            <w:r w:rsidR="00761EA9">
              <w:rPr>
                <w:noProof/>
                <w:webHidden/>
              </w:rPr>
              <w:instrText xml:space="preserve"> PAGEREF _Toc129692003 \h </w:instrText>
            </w:r>
            <w:r w:rsidR="00761EA9">
              <w:rPr>
                <w:noProof/>
                <w:webHidden/>
              </w:rPr>
            </w:r>
            <w:r w:rsidR="00761EA9">
              <w:rPr>
                <w:noProof/>
                <w:webHidden/>
              </w:rPr>
              <w:fldChar w:fldCharType="separate"/>
            </w:r>
            <w:r>
              <w:rPr>
                <w:noProof/>
                <w:webHidden/>
              </w:rPr>
              <w:t>31</w:t>
            </w:r>
            <w:r w:rsidR="00761EA9">
              <w:rPr>
                <w:noProof/>
                <w:webHidden/>
              </w:rPr>
              <w:fldChar w:fldCharType="end"/>
            </w:r>
          </w:hyperlink>
        </w:p>
        <w:p w14:paraId="1A8B3F68" w14:textId="3582BD3D" w:rsidR="00761EA9" w:rsidRDefault="005E03E4">
          <w:pPr>
            <w:pStyle w:val="TOC2"/>
            <w:rPr>
              <w:rFonts w:asciiTheme="minorHAnsi" w:eastAsiaTheme="minorEastAsia" w:hAnsiTheme="minorHAnsi" w:cstheme="minorBidi"/>
              <w:b w:val="0"/>
              <w:noProof/>
              <w:sz w:val="22"/>
              <w:lang w:eastAsia="en-AU"/>
            </w:rPr>
          </w:pPr>
          <w:hyperlink w:anchor="_Toc129692004" w:history="1">
            <w:r w:rsidR="00761EA9" w:rsidRPr="00AB42FB">
              <w:rPr>
                <w:rStyle w:val="Hyperlink"/>
                <w:noProof/>
              </w:rPr>
              <w:t>Risk-benefit analysis</w:t>
            </w:r>
            <w:r w:rsidR="00761EA9">
              <w:rPr>
                <w:noProof/>
                <w:webHidden/>
              </w:rPr>
              <w:tab/>
            </w:r>
            <w:r w:rsidR="00761EA9">
              <w:rPr>
                <w:noProof/>
                <w:webHidden/>
              </w:rPr>
              <w:fldChar w:fldCharType="begin"/>
            </w:r>
            <w:r w:rsidR="00761EA9">
              <w:rPr>
                <w:noProof/>
                <w:webHidden/>
              </w:rPr>
              <w:instrText xml:space="preserve"> PAGEREF _Toc129692004 \h </w:instrText>
            </w:r>
            <w:r w:rsidR="00761EA9">
              <w:rPr>
                <w:noProof/>
                <w:webHidden/>
              </w:rPr>
            </w:r>
            <w:r w:rsidR="00761EA9">
              <w:rPr>
                <w:noProof/>
                <w:webHidden/>
              </w:rPr>
              <w:fldChar w:fldCharType="separate"/>
            </w:r>
            <w:r>
              <w:rPr>
                <w:noProof/>
                <w:webHidden/>
              </w:rPr>
              <w:t>32</w:t>
            </w:r>
            <w:r w:rsidR="00761EA9">
              <w:rPr>
                <w:noProof/>
                <w:webHidden/>
              </w:rPr>
              <w:fldChar w:fldCharType="end"/>
            </w:r>
          </w:hyperlink>
        </w:p>
        <w:p w14:paraId="6B0C2B95" w14:textId="5ABA78D5" w:rsidR="00761EA9" w:rsidRDefault="005E03E4">
          <w:pPr>
            <w:pStyle w:val="TOC1"/>
            <w:rPr>
              <w:rFonts w:asciiTheme="minorHAnsi" w:eastAsiaTheme="minorEastAsia" w:hAnsiTheme="minorHAnsi" w:cstheme="minorBidi"/>
              <w:b w:val="0"/>
              <w:noProof/>
              <w:sz w:val="22"/>
              <w:lang w:eastAsia="en-AU"/>
            </w:rPr>
          </w:pPr>
          <w:hyperlink w:anchor="_Toc129692005" w:history="1">
            <w:r w:rsidR="00761EA9" w:rsidRPr="00AB42FB">
              <w:rPr>
                <w:rStyle w:val="Hyperlink"/>
                <w:noProof/>
              </w:rPr>
              <w:t>Outcome</w:t>
            </w:r>
            <w:r w:rsidR="00761EA9">
              <w:rPr>
                <w:noProof/>
                <w:webHidden/>
              </w:rPr>
              <w:tab/>
            </w:r>
            <w:r w:rsidR="00761EA9">
              <w:rPr>
                <w:noProof/>
                <w:webHidden/>
              </w:rPr>
              <w:fldChar w:fldCharType="begin"/>
            </w:r>
            <w:r w:rsidR="00761EA9">
              <w:rPr>
                <w:noProof/>
                <w:webHidden/>
              </w:rPr>
              <w:instrText xml:space="preserve"> PAGEREF _Toc129692005 \h </w:instrText>
            </w:r>
            <w:r w:rsidR="00761EA9">
              <w:rPr>
                <w:noProof/>
                <w:webHidden/>
              </w:rPr>
            </w:r>
            <w:r w:rsidR="00761EA9">
              <w:rPr>
                <w:noProof/>
                <w:webHidden/>
              </w:rPr>
              <w:fldChar w:fldCharType="separate"/>
            </w:r>
            <w:r>
              <w:rPr>
                <w:noProof/>
                <w:webHidden/>
              </w:rPr>
              <w:t>37</w:t>
            </w:r>
            <w:r w:rsidR="00761EA9">
              <w:rPr>
                <w:noProof/>
                <w:webHidden/>
              </w:rPr>
              <w:fldChar w:fldCharType="end"/>
            </w:r>
          </w:hyperlink>
        </w:p>
        <w:p w14:paraId="4CF0D2D0" w14:textId="7499B086" w:rsidR="00761EA9" w:rsidRDefault="005E03E4">
          <w:pPr>
            <w:pStyle w:val="TOC2"/>
            <w:rPr>
              <w:rFonts w:asciiTheme="minorHAnsi" w:eastAsiaTheme="minorEastAsia" w:hAnsiTheme="minorHAnsi" w:cstheme="minorBidi"/>
              <w:b w:val="0"/>
              <w:noProof/>
              <w:sz w:val="22"/>
              <w:lang w:eastAsia="en-AU"/>
            </w:rPr>
          </w:pPr>
          <w:hyperlink w:anchor="_Toc129692006" w:history="1">
            <w:r w:rsidR="00761EA9" w:rsidRPr="00AB42FB">
              <w:rPr>
                <w:rStyle w:val="Hyperlink"/>
                <w:noProof/>
              </w:rPr>
              <w:t>Specific conditions of registration applying to these goods</w:t>
            </w:r>
            <w:r w:rsidR="00761EA9">
              <w:rPr>
                <w:noProof/>
                <w:webHidden/>
              </w:rPr>
              <w:tab/>
            </w:r>
            <w:r w:rsidR="00761EA9">
              <w:rPr>
                <w:noProof/>
                <w:webHidden/>
              </w:rPr>
              <w:fldChar w:fldCharType="begin"/>
            </w:r>
            <w:r w:rsidR="00761EA9">
              <w:rPr>
                <w:noProof/>
                <w:webHidden/>
              </w:rPr>
              <w:instrText xml:space="preserve"> PAGEREF _Toc129692006 \h </w:instrText>
            </w:r>
            <w:r w:rsidR="00761EA9">
              <w:rPr>
                <w:noProof/>
                <w:webHidden/>
              </w:rPr>
            </w:r>
            <w:r w:rsidR="00761EA9">
              <w:rPr>
                <w:noProof/>
                <w:webHidden/>
              </w:rPr>
              <w:fldChar w:fldCharType="separate"/>
            </w:r>
            <w:r>
              <w:rPr>
                <w:noProof/>
                <w:webHidden/>
              </w:rPr>
              <w:t>38</w:t>
            </w:r>
            <w:r w:rsidR="00761EA9">
              <w:rPr>
                <w:noProof/>
                <w:webHidden/>
              </w:rPr>
              <w:fldChar w:fldCharType="end"/>
            </w:r>
          </w:hyperlink>
        </w:p>
        <w:p w14:paraId="4DD44DC1" w14:textId="3972AC80" w:rsidR="00761EA9" w:rsidRDefault="005E03E4">
          <w:pPr>
            <w:pStyle w:val="TOC1"/>
            <w:rPr>
              <w:rFonts w:asciiTheme="minorHAnsi" w:eastAsiaTheme="minorEastAsia" w:hAnsiTheme="minorHAnsi" w:cstheme="minorBidi"/>
              <w:b w:val="0"/>
              <w:noProof/>
              <w:sz w:val="22"/>
              <w:lang w:eastAsia="en-AU"/>
            </w:rPr>
          </w:pPr>
          <w:hyperlink w:anchor="_Toc129692007" w:history="1">
            <w:r w:rsidR="00761EA9" w:rsidRPr="00AB42FB">
              <w:rPr>
                <w:rStyle w:val="Hyperlink"/>
                <w:noProof/>
              </w:rPr>
              <w:t>Attachment 1. Product Information</w:t>
            </w:r>
            <w:r w:rsidR="00761EA9">
              <w:rPr>
                <w:noProof/>
                <w:webHidden/>
              </w:rPr>
              <w:tab/>
            </w:r>
            <w:r w:rsidR="00761EA9">
              <w:rPr>
                <w:noProof/>
                <w:webHidden/>
              </w:rPr>
              <w:fldChar w:fldCharType="begin"/>
            </w:r>
            <w:r w:rsidR="00761EA9">
              <w:rPr>
                <w:noProof/>
                <w:webHidden/>
              </w:rPr>
              <w:instrText xml:space="preserve"> PAGEREF _Toc129692007 \h </w:instrText>
            </w:r>
            <w:r w:rsidR="00761EA9">
              <w:rPr>
                <w:noProof/>
                <w:webHidden/>
              </w:rPr>
            </w:r>
            <w:r w:rsidR="00761EA9">
              <w:rPr>
                <w:noProof/>
                <w:webHidden/>
              </w:rPr>
              <w:fldChar w:fldCharType="separate"/>
            </w:r>
            <w:r>
              <w:rPr>
                <w:noProof/>
                <w:webHidden/>
              </w:rPr>
              <w:t>38</w:t>
            </w:r>
            <w:r w:rsidR="00761EA9">
              <w:rPr>
                <w:noProof/>
                <w:webHidden/>
              </w:rPr>
              <w:fldChar w:fldCharType="end"/>
            </w:r>
          </w:hyperlink>
        </w:p>
        <w:p w14:paraId="106123AC" w14:textId="7ADDF37D" w:rsidR="003A7F6C" w:rsidRPr="00B811C6" w:rsidRDefault="00C525A2" w:rsidP="00EB36D6">
          <w:r>
            <w:fldChar w:fldCharType="end"/>
          </w:r>
        </w:p>
      </w:sdtContent>
    </w:sdt>
    <w:bookmarkStart w:id="2" w:name="_Toc314842482" w:displacedByCustomXml="prev"/>
    <w:p w14:paraId="79A23F0B" w14:textId="77777777" w:rsidR="00FD119B" w:rsidRDefault="00FD119B">
      <w:pPr>
        <w:spacing w:before="0" w:after="200" w:line="0" w:lineRule="auto"/>
      </w:pPr>
      <w:r>
        <w:br w:type="page"/>
      </w:r>
    </w:p>
    <w:p w14:paraId="605986B9" w14:textId="77777777" w:rsidR="00AF2313" w:rsidRDefault="00AF2313" w:rsidP="00AF2313">
      <w:pPr>
        <w:pStyle w:val="Heading2"/>
      </w:pPr>
      <w:bookmarkStart w:id="3" w:name="_Toc98931917"/>
      <w:bookmarkStart w:id="4" w:name="_Toc129691992"/>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14:paraId="1B24EA6F"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7043616F" w14:textId="77777777" w:rsidR="00AF2313" w:rsidRDefault="00AF2313">
            <w:pPr>
              <w:rPr>
                <w:color w:val="FFFFFF"/>
              </w:rPr>
            </w:pPr>
            <w:r>
              <w:t>Abbreviation</w:t>
            </w:r>
          </w:p>
        </w:tc>
        <w:tc>
          <w:tcPr>
            <w:tcW w:w="3282" w:type="pct"/>
            <w:hideMark/>
          </w:tcPr>
          <w:p w14:paraId="63FDD017" w14:textId="77777777" w:rsidR="00AF2313" w:rsidRDefault="00AF2313">
            <w:r>
              <w:t>Meaning</w:t>
            </w:r>
          </w:p>
        </w:tc>
      </w:tr>
      <w:tr w:rsidR="00AF2313" w14:paraId="71C61F2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2426343" w14:textId="77777777" w:rsidR="00AF2313" w:rsidRDefault="00AF2313">
            <w:r>
              <w:t>ACM</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7E6F15B" w14:textId="77777777" w:rsidR="00AF2313" w:rsidRDefault="00AF2313">
            <w:r>
              <w:t>Advisory Committee on Medicines</w:t>
            </w:r>
          </w:p>
        </w:tc>
      </w:tr>
      <w:tr w:rsidR="00B40245" w14:paraId="045E28B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45F3DE0" w14:textId="144BBF1C" w:rsidR="00B40245" w:rsidRDefault="00B40245">
            <w:r>
              <w:t>ADA</w:t>
            </w:r>
          </w:p>
        </w:tc>
        <w:tc>
          <w:tcPr>
            <w:tcW w:w="3987" w:type="pct"/>
            <w:gridSpan w:val="2"/>
            <w:tcBorders>
              <w:top w:val="single" w:sz="8" w:space="0" w:color="002C47"/>
              <w:left w:val="single" w:sz="8" w:space="0" w:color="002C47"/>
              <w:bottom w:val="single" w:sz="8" w:space="0" w:color="002C47"/>
              <w:right w:val="single" w:sz="8" w:space="0" w:color="002C47"/>
            </w:tcBorders>
          </w:tcPr>
          <w:p w14:paraId="34D5AD17" w14:textId="54CE8A1F" w:rsidR="00B40245" w:rsidRDefault="00872AB9">
            <w:r>
              <w:t>A</w:t>
            </w:r>
            <w:r w:rsidRPr="00872AB9">
              <w:t>nti-drug antibody</w:t>
            </w:r>
          </w:p>
        </w:tc>
      </w:tr>
      <w:tr w:rsidR="00AF2313" w14:paraId="76BF25D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CBF945C" w14:textId="77777777" w:rsidR="00AF2313" w:rsidRDefault="00AF2313">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CAB67F0" w14:textId="77777777" w:rsidR="00AF2313" w:rsidRDefault="00AF2313">
            <w:r>
              <w:t>Australian Register of Therapeutic Goods</w:t>
            </w:r>
          </w:p>
        </w:tc>
      </w:tr>
      <w:tr w:rsidR="0030705D" w14:paraId="42DE730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C656A4F" w14:textId="22301C19" w:rsidR="0030705D" w:rsidRDefault="0030705D">
            <w:r>
              <w:t>AUC</w:t>
            </w:r>
          </w:p>
        </w:tc>
        <w:tc>
          <w:tcPr>
            <w:tcW w:w="3987" w:type="pct"/>
            <w:gridSpan w:val="2"/>
            <w:tcBorders>
              <w:top w:val="single" w:sz="8" w:space="0" w:color="002C47"/>
              <w:left w:val="single" w:sz="8" w:space="0" w:color="002C47"/>
              <w:bottom w:val="single" w:sz="8" w:space="0" w:color="002C47"/>
              <w:right w:val="single" w:sz="8" w:space="0" w:color="002C47"/>
            </w:tcBorders>
          </w:tcPr>
          <w:p w14:paraId="59AC524E" w14:textId="42875E1D" w:rsidR="0030705D" w:rsidRDefault="005862A4">
            <w:r>
              <w:t>Area under the concentration</w:t>
            </w:r>
            <w:r w:rsidR="00455B34">
              <w:noBreakHyphen/>
            </w:r>
            <w:r>
              <w:t>time curve</w:t>
            </w:r>
          </w:p>
        </w:tc>
      </w:tr>
      <w:tr w:rsidR="004C7727" w14:paraId="0B75CAB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D166346" w14:textId="046772BC" w:rsidR="004C7727" w:rsidRDefault="004C7727">
            <w: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5EEB7F0C" w14:textId="4E418458" w:rsidR="004C7727" w:rsidRDefault="004C7727">
            <w:r>
              <w:t>Confidence interval</w:t>
            </w:r>
          </w:p>
        </w:tc>
      </w:tr>
      <w:tr w:rsidR="0030705D" w14:paraId="2224B5D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739B12D" w14:textId="46CC82EB" w:rsidR="0030705D" w:rsidRDefault="0030705D">
            <w:proofErr w:type="spellStart"/>
            <w:r>
              <w:t>C</w:t>
            </w:r>
            <w:r w:rsidRPr="0030705D">
              <w:rPr>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7B4F094C" w14:textId="07D407C6" w:rsidR="0030705D" w:rsidRDefault="00EC4DFA">
            <w:r>
              <w:t xml:space="preserve">Maximum concentration </w:t>
            </w:r>
          </w:p>
        </w:tc>
      </w:tr>
      <w:tr w:rsidR="00A850E2" w14:paraId="273D7AC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888B869" w14:textId="20006FC3" w:rsidR="00A850E2" w:rsidRDefault="00A850E2">
            <w:proofErr w:type="spellStart"/>
            <w:proofErr w:type="gramStart"/>
            <w:r w:rsidRPr="00A850E2">
              <w:t>C</w:t>
            </w:r>
            <w:r w:rsidRPr="00A850E2">
              <w:rPr>
                <w:vertAlign w:val="subscript"/>
              </w:rPr>
              <w:t>max,ss</w:t>
            </w:r>
            <w:proofErr w:type="spellEnd"/>
            <w:proofErr w:type="gramEnd"/>
          </w:p>
        </w:tc>
        <w:tc>
          <w:tcPr>
            <w:tcW w:w="3987" w:type="pct"/>
            <w:gridSpan w:val="2"/>
            <w:tcBorders>
              <w:top w:val="single" w:sz="8" w:space="0" w:color="002C47"/>
              <w:left w:val="single" w:sz="8" w:space="0" w:color="002C47"/>
              <w:bottom w:val="single" w:sz="8" w:space="0" w:color="002C47"/>
              <w:right w:val="single" w:sz="8" w:space="0" w:color="002C47"/>
            </w:tcBorders>
          </w:tcPr>
          <w:p w14:paraId="501741A0" w14:textId="55292EAC" w:rsidR="00A850E2" w:rsidRDefault="00A850E2">
            <w:r>
              <w:t>Maximum concentration at steady state</w:t>
            </w:r>
          </w:p>
        </w:tc>
      </w:tr>
      <w:tr w:rsidR="006416DF" w14:paraId="65AF6BC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46196B1" w14:textId="35468F49" w:rsidR="006416DF" w:rsidRPr="00B906DA" w:rsidRDefault="006416DF" w:rsidP="00226A21">
            <w:r>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1EDED573" w14:textId="4C4CEE5B" w:rsidR="006416DF" w:rsidRDefault="005862A4" w:rsidP="00226A21">
            <w:r>
              <w:t xml:space="preserve">Consumer </w:t>
            </w:r>
            <w:r w:rsidR="00455B34">
              <w:t>M</w:t>
            </w:r>
            <w:r>
              <w:t>edicine</w:t>
            </w:r>
            <w:r w:rsidR="00455B34">
              <w:t>s</w:t>
            </w:r>
            <w:r>
              <w:t xml:space="preserve"> </w:t>
            </w:r>
            <w:r w:rsidR="00455B34">
              <w:t>I</w:t>
            </w:r>
            <w:r>
              <w:t>nformation</w:t>
            </w:r>
          </w:p>
        </w:tc>
      </w:tr>
      <w:tr w:rsidR="00226A21" w14:paraId="6045B31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54C3591" w14:textId="46688B02" w:rsidR="00226A21" w:rsidRDefault="00226A21" w:rsidP="00226A21">
            <w:proofErr w:type="spellStart"/>
            <w:r w:rsidRPr="00B906DA">
              <w:t>CRSwNP</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7AFD9DC" w14:textId="1A6CBB9C" w:rsidR="00226A21" w:rsidRDefault="00226A21" w:rsidP="00226A21">
            <w:r>
              <w:t>Chronic rhinosinusitis with nasal</w:t>
            </w:r>
            <w:r w:rsidR="004C7727">
              <w:t xml:space="preserve"> </w:t>
            </w:r>
            <w:r w:rsidR="004C7727" w:rsidRPr="004C7727">
              <w:t>polyposis</w:t>
            </w:r>
          </w:p>
        </w:tc>
      </w:tr>
      <w:tr w:rsidR="0030705D" w14:paraId="42F222C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EC67F3F" w14:textId="3F626359" w:rsidR="0030705D" w:rsidRDefault="0030705D">
            <w:proofErr w:type="spellStart"/>
            <w:r>
              <w:t>C</w:t>
            </w:r>
            <w:r w:rsidRPr="0030705D">
              <w:rPr>
                <w:vertAlign w:val="subscript"/>
              </w:rPr>
              <w:t>trough</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100C4CFC" w14:textId="2536025F" w:rsidR="0030705D" w:rsidRDefault="00A125F8">
            <w:r>
              <w:t>T</w:t>
            </w:r>
            <w:r w:rsidR="00EC4DFA">
              <w:t>rough concentration</w:t>
            </w:r>
          </w:p>
        </w:tc>
      </w:tr>
      <w:tr w:rsidR="00B40245" w14:paraId="59993A3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76CE32E" w14:textId="212E58AE" w:rsidR="00B40245" w:rsidRDefault="00B40245">
            <w:proofErr w:type="spellStart"/>
            <w:r>
              <w:t>C</w:t>
            </w:r>
            <w:r w:rsidRPr="0030705D">
              <w:rPr>
                <w:vertAlign w:val="subscript"/>
              </w:rPr>
              <w:t>trough</w:t>
            </w:r>
            <w:r>
              <w:rPr>
                <w:vertAlign w:val="subscript"/>
              </w:rPr>
              <w:t>.ss</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575456F8" w14:textId="75977E6E" w:rsidR="00B40245" w:rsidRDefault="00A125F8">
            <w:r>
              <w:t>T</w:t>
            </w:r>
            <w:r w:rsidR="00EC4DFA">
              <w:t>rough concentration at steady state</w:t>
            </w:r>
          </w:p>
        </w:tc>
      </w:tr>
      <w:tr w:rsidR="00B40245" w14:paraId="257C040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ED14BDC" w14:textId="2174B62B" w:rsidR="00B40245" w:rsidRDefault="00B40245">
            <w:r>
              <w:t>E-R</w:t>
            </w:r>
          </w:p>
        </w:tc>
        <w:tc>
          <w:tcPr>
            <w:tcW w:w="3987" w:type="pct"/>
            <w:gridSpan w:val="2"/>
            <w:tcBorders>
              <w:top w:val="single" w:sz="8" w:space="0" w:color="002C47"/>
              <w:left w:val="single" w:sz="8" w:space="0" w:color="002C47"/>
              <w:bottom w:val="single" w:sz="8" w:space="0" w:color="002C47"/>
              <w:right w:val="single" w:sz="8" w:space="0" w:color="002C47"/>
            </w:tcBorders>
          </w:tcPr>
          <w:p w14:paraId="4E581DCC" w14:textId="37FEC2DE" w:rsidR="00B40245" w:rsidRDefault="00B40245">
            <w:r>
              <w:t>Exposure-response</w:t>
            </w:r>
          </w:p>
        </w:tc>
      </w:tr>
      <w:tr w:rsidR="0030705D" w14:paraId="2B58E02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958F2FC" w14:textId="4ECA0097" w:rsidR="0030705D" w:rsidRDefault="0030705D">
            <w:proofErr w:type="spellStart"/>
            <w:r>
              <w:t>FeNO</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546E6D03" w14:textId="2B5F9CD2" w:rsidR="0030705D" w:rsidRDefault="0030705D">
            <w:r>
              <w:t>Fractional exhaled nitric oxide</w:t>
            </w:r>
          </w:p>
        </w:tc>
      </w:tr>
      <w:tr w:rsidR="00A317C9" w14:paraId="474FC92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87E4180" w14:textId="25ECE177" w:rsidR="00A317C9" w:rsidRDefault="00A317C9">
            <w:r>
              <w:t>FEV</w:t>
            </w:r>
            <w:r w:rsidRPr="00DA22DC">
              <w:t>1</w:t>
            </w:r>
          </w:p>
        </w:tc>
        <w:tc>
          <w:tcPr>
            <w:tcW w:w="3987" w:type="pct"/>
            <w:gridSpan w:val="2"/>
            <w:tcBorders>
              <w:top w:val="single" w:sz="8" w:space="0" w:color="002C47"/>
              <w:left w:val="single" w:sz="8" w:space="0" w:color="002C47"/>
              <w:bottom w:val="single" w:sz="8" w:space="0" w:color="002C47"/>
              <w:right w:val="single" w:sz="8" w:space="0" w:color="002C47"/>
            </w:tcBorders>
          </w:tcPr>
          <w:p w14:paraId="5EA3A723" w14:textId="76A46FA9" w:rsidR="00A317C9" w:rsidRDefault="00A317C9">
            <w:r>
              <w:t xml:space="preserve">Forced </w:t>
            </w:r>
            <w:r w:rsidRPr="00A317C9">
              <w:t>expiratory volume in 1 second</w:t>
            </w:r>
          </w:p>
        </w:tc>
      </w:tr>
      <w:tr w:rsidR="0030705D" w14:paraId="409FC85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15B4561" w14:textId="1F39107D" w:rsidR="0030705D" w:rsidRDefault="0030705D">
            <w:r>
              <w:t>GINA</w:t>
            </w:r>
          </w:p>
        </w:tc>
        <w:tc>
          <w:tcPr>
            <w:tcW w:w="3987" w:type="pct"/>
            <w:gridSpan w:val="2"/>
            <w:tcBorders>
              <w:top w:val="single" w:sz="8" w:space="0" w:color="002C47"/>
              <w:left w:val="single" w:sz="8" w:space="0" w:color="002C47"/>
              <w:bottom w:val="single" w:sz="8" w:space="0" w:color="002C47"/>
              <w:right w:val="single" w:sz="8" w:space="0" w:color="002C47"/>
            </w:tcBorders>
          </w:tcPr>
          <w:p w14:paraId="358168D7" w14:textId="14C4A512" w:rsidR="0030705D" w:rsidRDefault="0030705D">
            <w:r>
              <w:t>Global Initiative for Asthma</w:t>
            </w:r>
          </w:p>
        </w:tc>
      </w:tr>
      <w:tr w:rsidR="003C7CA8" w14:paraId="79178F3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6573D2F" w14:textId="0FDEEEEF" w:rsidR="003C7CA8" w:rsidRDefault="003C7CA8">
            <w:r w:rsidRPr="00422B30">
              <w:t>ICS</w:t>
            </w:r>
          </w:p>
        </w:tc>
        <w:tc>
          <w:tcPr>
            <w:tcW w:w="3987" w:type="pct"/>
            <w:gridSpan w:val="2"/>
            <w:tcBorders>
              <w:top w:val="single" w:sz="8" w:space="0" w:color="002C47"/>
              <w:left w:val="single" w:sz="8" w:space="0" w:color="002C47"/>
              <w:bottom w:val="single" w:sz="8" w:space="0" w:color="002C47"/>
              <w:right w:val="single" w:sz="8" w:space="0" w:color="002C47"/>
            </w:tcBorders>
          </w:tcPr>
          <w:p w14:paraId="4BD30299" w14:textId="327D2721" w:rsidR="003C7CA8" w:rsidRDefault="005862A4">
            <w:r>
              <w:t>Inhaled corticosteroid</w:t>
            </w:r>
          </w:p>
        </w:tc>
      </w:tr>
      <w:tr w:rsidR="00A317C9" w14:paraId="5A11796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5528559" w14:textId="153EB410" w:rsidR="00A317C9" w:rsidRPr="00422B30" w:rsidRDefault="00A317C9">
            <w:r>
              <w:t>Ig</w:t>
            </w:r>
          </w:p>
        </w:tc>
        <w:tc>
          <w:tcPr>
            <w:tcW w:w="3987" w:type="pct"/>
            <w:gridSpan w:val="2"/>
            <w:tcBorders>
              <w:top w:val="single" w:sz="8" w:space="0" w:color="002C47"/>
              <w:left w:val="single" w:sz="8" w:space="0" w:color="002C47"/>
              <w:bottom w:val="single" w:sz="8" w:space="0" w:color="002C47"/>
              <w:right w:val="single" w:sz="8" w:space="0" w:color="002C47"/>
            </w:tcBorders>
          </w:tcPr>
          <w:p w14:paraId="39D2764F" w14:textId="60B09DA8" w:rsidR="00A317C9" w:rsidRDefault="00A317C9">
            <w:r>
              <w:t>Immunoglobulin</w:t>
            </w:r>
          </w:p>
        </w:tc>
      </w:tr>
      <w:tr w:rsidR="00A317C9" w14:paraId="17642BC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9DE9361" w14:textId="0FC7BB6F" w:rsidR="00A317C9" w:rsidRDefault="00A317C9">
            <w:r>
              <w:t>IL</w:t>
            </w:r>
          </w:p>
        </w:tc>
        <w:tc>
          <w:tcPr>
            <w:tcW w:w="3987" w:type="pct"/>
            <w:gridSpan w:val="2"/>
            <w:tcBorders>
              <w:top w:val="single" w:sz="8" w:space="0" w:color="002C47"/>
              <w:left w:val="single" w:sz="8" w:space="0" w:color="002C47"/>
              <w:bottom w:val="single" w:sz="8" w:space="0" w:color="002C47"/>
              <w:right w:val="single" w:sz="8" w:space="0" w:color="002C47"/>
            </w:tcBorders>
          </w:tcPr>
          <w:p w14:paraId="4AC8E0C8" w14:textId="052FCD39" w:rsidR="00A317C9" w:rsidRDefault="00A317C9">
            <w:r>
              <w:t>Interleukin</w:t>
            </w:r>
          </w:p>
        </w:tc>
      </w:tr>
      <w:tr w:rsidR="00C71F05" w14:paraId="1D6ECCB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E62FEC5" w14:textId="2EEDF73A" w:rsidR="00C71F05" w:rsidRDefault="00C71F05">
            <w:r>
              <w:t>IL-4R</w:t>
            </w:r>
          </w:p>
        </w:tc>
        <w:tc>
          <w:tcPr>
            <w:tcW w:w="3987" w:type="pct"/>
            <w:gridSpan w:val="2"/>
            <w:tcBorders>
              <w:top w:val="single" w:sz="8" w:space="0" w:color="002C47"/>
              <w:left w:val="single" w:sz="8" w:space="0" w:color="002C47"/>
              <w:bottom w:val="single" w:sz="8" w:space="0" w:color="002C47"/>
              <w:right w:val="single" w:sz="8" w:space="0" w:color="002C47"/>
            </w:tcBorders>
          </w:tcPr>
          <w:p w14:paraId="36D4D150" w14:textId="3F25A117" w:rsidR="00C71F05" w:rsidRDefault="00C71F05">
            <w:r>
              <w:t>Interleukin-4 receptor</w:t>
            </w:r>
          </w:p>
        </w:tc>
      </w:tr>
      <w:tr w:rsidR="00C71F05" w14:paraId="3B163C5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248501F" w14:textId="524FC378" w:rsidR="00C71F05" w:rsidRDefault="00C71F05">
            <w:r w:rsidRPr="00C71F05">
              <w:t>IL-4Rα</w:t>
            </w:r>
          </w:p>
        </w:tc>
        <w:tc>
          <w:tcPr>
            <w:tcW w:w="3987" w:type="pct"/>
            <w:gridSpan w:val="2"/>
            <w:tcBorders>
              <w:top w:val="single" w:sz="8" w:space="0" w:color="002C47"/>
              <w:left w:val="single" w:sz="8" w:space="0" w:color="002C47"/>
              <w:bottom w:val="single" w:sz="8" w:space="0" w:color="002C47"/>
              <w:right w:val="single" w:sz="8" w:space="0" w:color="002C47"/>
            </w:tcBorders>
          </w:tcPr>
          <w:p w14:paraId="3B36A9A0" w14:textId="56AB092E" w:rsidR="00C71F05" w:rsidRDefault="00C71F05">
            <w:r>
              <w:t>Interleukin-4 receptor alpha subunit</w:t>
            </w:r>
          </w:p>
        </w:tc>
      </w:tr>
      <w:tr w:rsidR="00A617E9" w14:paraId="69832F3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CD96944" w14:textId="5C0463F0" w:rsidR="00A617E9" w:rsidRDefault="00A617E9">
            <w:r>
              <w:t>ITT</w:t>
            </w:r>
          </w:p>
        </w:tc>
        <w:tc>
          <w:tcPr>
            <w:tcW w:w="3987" w:type="pct"/>
            <w:gridSpan w:val="2"/>
            <w:tcBorders>
              <w:top w:val="single" w:sz="8" w:space="0" w:color="002C47"/>
              <w:left w:val="single" w:sz="8" w:space="0" w:color="002C47"/>
              <w:bottom w:val="single" w:sz="8" w:space="0" w:color="002C47"/>
              <w:right w:val="single" w:sz="8" w:space="0" w:color="002C47"/>
            </w:tcBorders>
          </w:tcPr>
          <w:p w14:paraId="2BA81039" w14:textId="53294A18" w:rsidR="00A617E9" w:rsidRDefault="00A617E9">
            <w:r>
              <w:t>Intention to treat</w:t>
            </w:r>
          </w:p>
        </w:tc>
      </w:tr>
      <w:tr w:rsidR="00B40245" w14:paraId="1845096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CEAFB11" w14:textId="1CCAF80F" w:rsidR="00B40245" w:rsidRDefault="00B40245">
            <w:r>
              <w:t>LABA</w:t>
            </w:r>
          </w:p>
        </w:tc>
        <w:tc>
          <w:tcPr>
            <w:tcW w:w="3987" w:type="pct"/>
            <w:gridSpan w:val="2"/>
            <w:tcBorders>
              <w:top w:val="single" w:sz="8" w:space="0" w:color="002C47"/>
              <w:left w:val="single" w:sz="8" w:space="0" w:color="002C47"/>
              <w:bottom w:val="single" w:sz="8" w:space="0" w:color="002C47"/>
              <w:right w:val="single" w:sz="8" w:space="0" w:color="002C47"/>
            </w:tcBorders>
          </w:tcPr>
          <w:p w14:paraId="2DAE7180" w14:textId="3E6105C8" w:rsidR="00B40245" w:rsidRDefault="00B40245">
            <w:r>
              <w:t>Long-acting beta 2 agonist</w:t>
            </w:r>
          </w:p>
        </w:tc>
      </w:tr>
      <w:tr w:rsidR="005E4392" w14:paraId="75A07E2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1B9D2FF" w14:textId="6C07FEB7" w:rsidR="005E4392" w:rsidRDefault="005E4392">
            <w:r>
              <w:t>MedDRA</w:t>
            </w:r>
          </w:p>
        </w:tc>
        <w:tc>
          <w:tcPr>
            <w:tcW w:w="3987" w:type="pct"/>
            <w:gridSpan w:val="2"/>
            <w:tcBorders>
              <w:top w:val="single" w:sz="8" w:space="0" w:color="002C47"/>
              <w:left w:val="single" w:sz="8" w:space="0" w:color="002C47"/>
              <w:bottom w:val="single" w:sz="8" w:space="0" w:color="002C47"/>
              <w:right w:val="single" w:sz="8" w:space="0" w:color="002C47"/>
            </w:tcBorders>
          </w:tcPr>
          <w:p w14:paraId="40E03D67" w14:textId="2917C1B7" w:rsidR="005E4392" w:rsidRDefault="005E4392">
            <w:r>
              <w:t>Medical Dictionary for Regulatory Activities</w:t>
            </w:r>
          </w:p>
        </w:tc>
      </w:tr>
      <w:tr w:rsidR="0030705D" w14:paraId="62BC298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093021B" w14:textId="62ED6A26" w:rsidR="0030705D" w:rsidRDefault="0030705D">
            <w: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52C4CB68" w14:textId="0227C4F4" w:rsidR="0030705D" w:rsidRDefault="0030705D">
            <w:r>
              <w:t>Product Information</w:t>
            </w:r>
          </w:p>
        </w:tc>
      </w:tr>
      <w:tr w:rsidR="009C6E72" w14:paraId="7B9CC9E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7BBED3B" w14:textId="7855B81C" w:rsidR="009C6E72" w:rsidRDefault="009C6E72">
            <w:r w:rsidRPr="00422B30">
              <w:t>PK</w:t>
            </w:r>
          </w:p>
        </w:tc>
        <w:tc>
          <w:tcPr>
            <w:tcW w:w="3987" w:type="pct"/>
            <w:gridSpan w:val="2"/>
            <w:tcBorders>
              <w:top w:val="single" w:sz="8" w:space="0" w:color="002C47"/>
              <w:left w:val="single" w:sz="8" w:space="0" w:color="002C47"/>
              <w:bottom w:val="single" w:sz="8" w:space="0" w:color="002C47"/>
              <w:right w:val="single" w:sz="8" w:space="0" w:color="002C47"/>
            </w:tcBorders>
          </w:tcPr>
          <w:p w14:paraId="3F88BBE3" w14:textId="3DCBEC97" w:rsidR="009C6E72" w:rsidRDefault="009C6E72">
            <w:r>
              <w:t>Pharmacokinetic</w:t>
            </w:r>
            <w:r w:rsidR="00455B34">
              <w:t>(s)</w:t>
            </w:r>
          </w:p>
        </w:tc>
      </w:tr>
      <w:tr w:rsidR="009C6E72" w14:paraId="2952EAE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4614E96" w14:textId="2B2792A3" w:rsidR="009C6E72" w:rsidRDefault="001A4383">
            <w:proofErr w:type="spellStart"/>
            <w:r>
              <w:lastRenderedPageBreak/>
              <w:t>P</w:t>
            </w:r>
            <w:r w:rsidR="009C6E72">
              <w:t>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2410888A" w14:textId="57CD7C8B" w:rsidR="009C6E72" w:rsidRDefault="005862A4">
            <w:r>
              <w:t>Population pharmacokinetic</w:t>
            </w:r>
            <w:r w:rsidR="00455B34">
              <w:t>(</w:t>
            </w:r>
            <w:r>
              <w:t>s</w:t>
            </w:r>
            <w:r w:rsidR="00455B34">
              <w:t>)</w:t>
            </w:r>
          </w:p>
        </w:tc>
      </w:tr>
      <w:tr w:rsidR="00A17B72" w14:paraId="4B78AB1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4518295" w14:textId="06869D31" w:rsidR="00A17B72" w:rsidRDefault="00DA22DC">
            <w:r>
              <w:t>ppb</w:t>
            </w:r>
          </w:p>
        </w:tc>
        <w:tc>
          <w:tcPr>
            <w:tcW w:w="3987" w:type="pct"/>
            <w:gridSpan w:val="2"/>
            <w:tcBorders>
              <w:top w:val="single" w:sz="8" w:space="0" w:color="002C47"/>
              <w:left w:val="single" w:sz="8" w:space="0" w:color="002C47"/>
              <w:bottom w:val="single" w:sz="8" w:space="0" w:color="002C47"/>
              <w:right w:val="single" w:sz="8" w:space="0" w:color="002C47"/>
            </w:tcBorders>
          </w:tcPr>
          <w:p w14:paraId="160B52EA" w14:textId="7FBDBAAC" w:rsidR="00A17B72" w:rsidRDefault="00A17B72">
            <w:r>
              <w:t>Parts per billion</w:t>
            </w:r>
          </w:p>
        </w:tc>
      </w:tr>
      <w:tr w:rsidR="005E4392" w14:paraId="6DA2F61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5D45F96" w14:textId="631DA257" w:rsidR="005E4392" w:rsidDel="00DA22DC" w:rsidRDefault="005E4392">
            <w:r>
              <w:t>PT</w:t>
            </w:r>
          </w:p>
        </w:tc>
        <w:tc>
          <w:tcPr>
            <w:tcW w:w="3987" w:type="pct"/>
            <w:gridSpan w:val="2"/>
            <w:tcBorders>
              <w:top w:val="single" w:sz="8" w:space="0" w:color="002C47"/>
              <w:left w:val="single" w:sz="8" w:space="0" w:color="002C47"/>
              <w:bottom w:val="single" w:sz="8" w:space="0" w:color="002C47"/>
              <w:right w:val="single" w:sz="8" w:space="0" w:color="002C47"/>
            </w:tcBorders>
          </w:tcPr>
          <w:p w14:paraId="3F63AAF9" w14:textId="70411BE7" w:rsidR="005E4392" w:rsidRDefault="005E4392">
            <w:r>
              <w:t>Preferred Term</w:t>
            </w:r>
          </w:p>
        </w:tc>
      </w:tr>
      <w:tr w:rsidR="00431B1D" w14:paraId="1B66666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14CC647" w14:textId="33B2AF8D" w:rsidR="00431B1D" w:rsidRDefault="00D63903">
            <w:r w:rsidRPr="00422B30">
              <w:t>PY</w:t>
            </w:r>
          </w:p>
        </w:tc>
        <w:tc>
          <w:tcPr>
            <w:tcW w:w="3987" w:type="pct"/>
            <w:gridSpan w:val="2"/>
            <w:tcBorders>
              <w:top w:val="single" w:sz="8" w:space="0" w:color="002C47"/>
              <w:left w:val="single" w:sz="8" w:space="0" w:color="002C47"/>
              <w:bottom w:val="single" w:sz="8" w:space="0" w:color="002C47"/>
              <w:right w:val="single" w:sz="8" w:space="0" w:color="002C47"/>
            </w:tcBorders>
          </w:tcPr>
          <w:p w14:paraId="395F6304" w14:textId="75492775" w:rsidR="00431B1D" w:rsidRDefault="00431B1D">
            <w:r>
              <w:t>Patient</w:t>
            </w:r>
            <w:r w:rsidR="00D63903">
              <w:t>-</w:t>
            </w:r>
            <w:r>
              <w:t>year</w:t>
            </w:r>
            <w:r w:rsidR="00455B34">
              <w:t>(s)</w:t>
            </w:r>
          </w:p>
        </w:tc>
      </w:tr>
      <w:tr w:rsidR="00AF2313" w14:paraId="7DAAB93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452D78F" w14:textId="77777777" w:rsidR="00AF2313" w:rsidRDefault="00AF2313">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92438FA" w14:textId="77777777" w:rsidR="00AF2313" w:rsidRDefault="00AF2313">
            <w:r>
              <w:t>Risk management plan</w:t>
            </w:r>
          </w:p>
        </w:tc>
      </w:tr>
      <w:tr w:rsidR="003F1682" w14:paraId="5D2CDD7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3F4B8E5" w14:textId="687F6F18" w:rsidR="003F1682" w:rsidRDefault="003F1682">
            <w:r w:rsidRPr="00422B30">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6E66147C" w14:textId="0F42EA89" w:rsidR="003F1682" w:rsidRDefault="003F1682">
            <w:r>
              <w:t>Serious adverse event</w:t>
            </w:r>
          </w:p>
        </w:tc>
      </w:tr>
      <w:tr w:rsidR="00226A21" w14:paraId="13B349B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EE0D541" w14:textId="6892B91C" w:rsidR="00226A21" w:rsidRDefault="00226A21">
            <w:r w:rsidRPr="00422B30">
              <w:t>SC</w:t>
            </w:r>
          </w:p>
        </w:tc>
        <w:tc>
          <w:tcPr>
            <w:tcW w:w="3987" w:type="pct"/>
            <w:gridSpan w:val="2"/>
            <w:tcBorders>
              <w:top w:val="single" w:sz="8" w:space="0" w:color="002C47"/>
              <w:left w:val="single" w:sz="8" w:space="0" w:color="002C47"/>
              <w:bottom w:val="single" w:sz="8" w:space="0" w:color="002C47"/>
              <w:right w:val="single" w:sz="8" w:space="0" w:color="002C47"/>
            </w:tcBorders>
          </w:tcPr>
          <w:p w14:paraId="5261F9A6" w14:textId="61FDB106" w:rsidR="00226A21" w:rsidRDefault="00226A21">
            <w:r>
              <w:t>Subcutaneous</w:t>
            </w:r>
          </w:p>
        </w:tc>
      </w:tr>
      <w:tr w:rsidR="005E4392" w14:paraId="704E6AE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19BB2D4" w14:textId="63E7EBA9" w:rsidR="005E4392" w:rsidRPr="00422B30" w:rsidRDefault="005E4392">
            <w:r>
              <w:t>SOC</w:t>
            </w:r>
          </w:p>
        </w:tc>
        <w:tc>
          <w:tcPr>
            <w:tcW w:w="3987" w:type="pct"/>
            <w:gridSpan w:val="2"/>
            <w:tcBorders>
              <w:top w:val="single" w:sz="8" w:space="0" w:color="002C47"/>
              <w:left w:val="single" w:sz="8" w:space="0" w:color="002C47"/>
              <w:bottom w:val="single" w:sz="8" w:space="0" w:color="002C47"/>
              <w:right w:val="single" w:sz="8" w:space="0" w:color="002C47"/>
            </w:tcBorders>
          </w:tcPr>
          <w:p w14:paraId="5D285B96" w14:textId="543296CE" w:rsidR="005E4392" w:rsidRDefault="005E4392">
            <w:r>
              <w:t>System Organ Class</w:t>
            </w:r>
          </w:p>
        </w:tc>
      </w:tr>
      <w:tr w:rsidR="00AF2313" w14:paraId="6675AB9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990707D" w14:textId="77777777" w:rsidR="00AF2313" w:rsidRDefault="00AF2313">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538287A" w14:textId="77777777" w:rsidR="00AF2313" w:rsidRDefault="00AF2313">
            <w:r>
              <w:t>Therapeutic Goods Administration</w:t>
            </w:r>
          </w:p>
        </w:tc>
      </w:tr>
      <w:tr w:rsidR="00431B1D" w14:paraId="02398E7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53A2145" w14:textId="293BFA06" w:rsidR="00431B1D" w:rsidRDefault="00431B1D">
            <w:r>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221B091E" w14:textId="127B985C" w:rsidR="00431B1D" w:rsidRDefault="00431B1D">
            <w:r>
              <w:t>Treatment</w:t>
            </w:r>
            <w:r w:rsidR="00455B34">
              <w:t>-</w:t>
            </w:r>
            <w:r>
              <w:t>emergent adverse event</w:t>
            </w:r>
          </w:p>
        </w:tc>
      </w:tr>
    </w:tbl>
    <w:p w14:paraId="41D905A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8C97E21" w14:textId="77777777" w:rsidR="008E7846" w:rsidRDefault="009F2673" w:rsidP="008E7846">
      <w:pPr>
        <w:pStyle w:val="Heading2"/>
      </w:pPr>
      <w:bookmarkStart w:id="5" w:name="_Toc129691993"/>
      <w:r>
        <w:lastRenderedPageBreak/>
        <w:t>Pr</w:t>
      </w:r>
      <w:r w:rsidR="008E7846">
        <w:t>oduct submission</w:t>
      </w:r>
      <w:bookmarkEnd w:id="5"/>
      <w:bookmarkEnd w:id="2"/>
      <w:bookmarkEnd w:id="0"/>
    </w:p>
    <w:p w14:paraId="38764EF5" w14:textId="77777777" w:rsidR="008E7846" w:rsidRDefault="008E7846" w:rsidP="009E5A87">
      <w:pPr>
        <w:pStyle w:val="Heading3"/>
        <w:rPr>
          <w:lang w:eastAsia="en-AU"/>
        </w:rPr>
      </w:pPr>
      <w:bookmarkStart w:id="6" w:name="_Toc247691502"/>
      <w:bookmarkStart w:id="7" w:name="_Toc314842483"/>
      <w:bookmarkStart w:id="8" w:name="_Toc129691994"/>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3D1E62" w14:paraId="54C60805" w14:textId="77777777" w:rsidTr="00881453">
        <w:tc>
          <w:tcPr>
            <w:tcW w:w="1577" w:type="pct"/>
          </w:tcPr>
          <w:p w14:paraId="2DBFD3F6" w14:textId="77777777" w:rsidR="009F2673" w:rsidRPr="003D1E62" w:rsidRDefault="009F2673" w:rsidP="009E5A87">
            <w:pPr>
              <w:rPr>
                <w:i/>
              </w:rPr>
            </w:pPr>
            <w:r>
              <w:rPr>
                <w:i/>
              </w:rPr>
              <w:t>Type of s</w:t>
            </w:r>
            <w:r w:rsidRPr="003D1E62">
              <w:rPr>
                <w:i/>
              </w:rPr>
              <w:t>ubmission</w:t>
            </w:r>
            <w:r>
              <w:rPr>
                <w:i/>
              </w:rPr>
              <w:t>:</w:t>
            </w:r>
          </w:p>
        </w:tc>
        <w:tc>
          <w:tcPr>
            <w:tcW w:w="3423" w:type="pct"/>
          </w:tcPr>
          <w:p w14:paraId="33335EBB" w14:textId="2A90C7C8" w:rsidR="009F2673" w:rsidRPr="003D1E62" w:rsidRDefault="005A46B6" w:rsidP="009E5A87">
            <w:r>
              <w:t>E</w:t>
            </w:r>
            <w:r w:rsidR="00785B4D">
              <w:t>xtension of indications</w:t>
            </w:r>
            <w:r>
              <w:t xml:space="preserve"> and major variation (new</w:t>
            </w:r>
            <w:r w:rsidR="00455B34">
              <w:t> </w:t>
            </w:r>
            <w:r>
              <w:t>strength)</w:t>
            </w:r>
          </w:p>
        </w:tc>
      </w:tr>
      <w:tr w:rsidR="009F2673" w:rsidRPr="003D1E62" w14:paraId="1FB16E8D" w14:textId="77777777" w:rsidTr="00881453">
        <w:tc>
          <w:tcPr>
            <w:tcW w:w="1577" w:type="pct"/>
          </w:tcPr>
          <w:p w14:paraId="4C2E8AB9" w14:textId="4E42187C" w:rsidR="009F2673" w:rsidRPr="003D1E62" w:rsidRDefault="009F2673" w:rsidP="009E5A87">
            <w:pPr>
              <w:rPr>
                <w:i/>
              </w:rPr>
            </w:pPr>
            <w:r w:rsidRPr="00460036">
              <w:rPr>
                <w:i/>
              </w:rPr>
              <w:t>Product nam</w:t>
            </w:r>
            <w:r w:rsidR="00785B4D">
              <w:rPr>
                <w:i/>
              </w:rPr>
              <w:t>e</w:t>
            </w:r>
            <w:r w:rsidRPr="00460036">
              <w:rPr>
                <w:i/>
              </w:rPr>
              <w:t>:</w:t>
            </w:r>
          </w:p>
        </w:tc>
        <w:tc>
          <w:tcPr>
            <w:tcW w:w="3423" w:type="pct"/>
          </w:tcPr>
          <w:p w14:paraId="308CAC0E" w14:textId="7EF98C76" w:rsidR="009F2673" w:rsidRPr="003D1E62" w:rsidRDefault="00785B4D" w:rsidP="009E5A87">
            <w:r w:rsidRPr="00785B4D">
              <w:t>D</w:t>
            </w:r>
            <w:r w:rsidR="005A46B6">
              <w:t>upixent</w:t>
            </w:r>
          </w:p>
        </w:tc>
      </w:tr>
      <w:tr w:rsidR="009F2673" w:rsidRPr="003D1E62" w14:paraId="0C26FD38" w14:textId="77777777" w:rsidTr="00881453">
        <w:tc>
          <w:tcPr>
            <w:tcW w:w="1577" w:type="pct"/>
          </w:tcPr>
          <w:p w14:paraId="74EAEC6A" w14:textId="0AE0BBA7" w:rsidR="009F2673" w:rsidRPr="003D1E62" w:rsidRDefault="009F2673" w:rsidP="009E5A87">
            <w:pPr>
              <w:rPr>
                <w:i/>
              </w:rPr>
            </w:pPr>
            <w:r w:rsidRPr="00460036">
              <w:rPr>
                <w:i/>
              </w:rPr>
              <w:t>Active ingredient:</w:t>
            </w:r>
          </w:p>
        </w:tc>
        <w:tc>
          <w:tcPr>
            <w:tcW w:w="3423" w:type="pct"/>
          </w:tcPr>
          <w:p w14:paraId="737C8C80" w14:textId="2A4F5973" w:rsidR="009F2673" w:rsidRPr="003D1E62" w:rsidRDefault="00785B4D" w:rsidP="009E5A87">
            <w:r>
              <w:t>D</w:t>
            </w:r>
            <w:r w:rsidRPr="00785B4D">
              <w:t>upilumab</w:t>
            </w:r>
          </w:p>
        </w:tc>
      </w:tr>
      <w:tr w:rsidR="009F2673" w:rsidRPr="003D1E62" w14:paraId="72471681" w14:textId="77777777" w:rsidTr="00881453">
        <w:tc>
          <w:tcPr>
            <w:tcW w:w="1577" w:type="pct"/>
          </w:tcPr>
          <w:p w14:paraId="4ECD046A" w14:textId="77777777" w:rsidR="009F2673" w:rsidRPr="009F2673" w:rsidRDefault="009F2673" w:rsidP="009E5A87">
            <w:pPr>
              <w:rPr>
                <w:i/>
              </w:rPr>
            </w:pPr>
            <w:r w:rsidRPr="003D1E62">
              <w:rPr>
                <w:i/>
              </w:rPr>
              <w:t>Decision</w:t>
            </w:r>
            <w:r w:rsidRPr="009F2673">
              <w:rPr>
                <w:i/>
              </w:rPr>
              <w:t>:</w:t>
            </w:r>
          </w:p>
        </w:tc>
        <w:tc>
          <w:tcPr>
            <w:tcW w:w="3423" w:type="pct"/>
          </w:tcPr>
          <w:p w14:paraId="2A2F43C1" w14:textId="47D07D55" w:rsidR="009F2673" w:rsidRPr="003D1E62" w:rsidRDefault="009F2673" w:rsidP="009E5A87">
            <w:r w:rsidRPr="00460036">
              <w:t>Approved</w:t>
            </w:r>
          </w:p>
        </w:tc>
      </w:tr>
      <w:tr w:rsidR="009F2673" w:rsidRPr="003D1E62" w14:paraId="51A87AED" w14:textId="77777777" w:rsidTr="00881453">
        <w:tc>
          <w:tcPr>
            <w:tcW w:w="1577" w:type="pct"/>
          </w:tcPr>
          <w:p w14:paraId="2C375970"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626ED9DA" w14:textId="0E3A8FF0" w:rsidR="009F2673" w:rsidRPr="003D1E62" w:rsidRDefault="00785B4D" w:rsidP="009E5A87">
            <w:r>
              <w:t>23 June 2022</w:t>
            </w:r>
          </w:p>
        </w:tc>
      </w:tr>
      <w:tr w:rsidR="009F2673" w:rsidRPr="003D1E62" w14:paraId="3E168ECA" w14:textId="77777777" w:rsidTr="00881453">
        <w:tc>
          <w:tcPr>
            <w:tcW w:w="1577" w:type="pct"/>
          </w:tcPr>
          <w:p w14:paraId="4780C42B" w14:textId="77777777" w:rsidR="009F2673" w:rsidRPr="00441C3F" w:rsidRDefault="009F2673" w:rsidP="009E5A87">
            <w:pPr>
              <w:rPr>
                <w:i/>
              </w:rPr>
            </w:pPr>
            <w:r w:rsidRPr="00441C3F">
              <w:rPr>
                <w:i/>
              </w:rPr>
              <w:t>Date of entry onto ARTG</w:t>
            </w:r>
            <w:r>
              <w:rPr>
                <w:i/>
              </w:rPr>
              <w:t>:</w:t>
            </w:r>
          </w:p>
        </w:tc>
        <w:tc>
          <w:tcPr>
            <w:tcW w:w="3423" w:type="pct"/>
          </w:tcPr>
          <w:p w14:paraId="31F278F1" w14:textId="246502DE" w:rsidR="009F2673" w:rsidRPr="009F2673" w:rsidRDefault="00785B4D" w:rsidP="009E5A87">
            <w:r>
              <w:t>29 June 2022</w:t>
            </w:r>
          </w:p>
        </w:tc>
      </w:tr>
      <w:tr w:rsidR="009F2673" w:rsidRPr="003D1E62" w14:paraId="71ADA6EE" w14:textId="77777777" w:rsidTr="00881453">
        <w:tc>
          <w:tcPr>
            <w:tcW w:w="1577" w:type="pct"/>
          </w:tcPr>
          <w:p w14:paraId="0270C20A" w14:textId="144F0DB7" w:rsidR="009F2673" w:rsidRPr="00441C3F" w:rsidRDefault="009F2673" w:rsidP="009E5A87">
            <w:pPr>
              <w:rPr>
                <w:i/>
              </w:rPr>
            </w:pPr>
            <w:r>
              <w:rPr>
                <w:i/>
              </w:rPr>
              <w:t>ARTG numbers:</w:t>
            </w:r>
          </w:p>
        </w:tc>
        <w:tc>
          <w:tcPr>
            <w:tcW w:w="3423" w:type="pct"/>
          </w:tcPr>
          <w:p w14:paraId="3AD0A744" w14:textId="1D08834D" w:rsidR="009F2673" w:rsidRPr="00441C3F" w:rsidRDefault="00CC01D0" w:rsidP="009E5A87">
            <w:r w:rsidRPr="00785B4D">
              <w:t>283127</w:t>
            </w:r>
            <w:r>
              <w:t xml:space="preserve">, </w:t>
            </w:r>
            <w:r w:rsidRPr="00785B4D">
              <w:t>302463</w:t>
            </w:r>
            <w:r>
              <w:t xml:space="preserve"> and </w:t>
            </w:r>
            <w:r w:rsidR="00785B4D">
              <w:t>364590</w:t>
            </w:r>
          </w:p>
        </w:tc>
      </w:tr>
      <w:tr w:rsidR="009F2673" w:rsidRPr="003D1E62" w14:paraId="1D973FB8" w14:textId="77777777" w:rsidTr="00881453">
        <w:tc>
          <w:tcPr>
            <w:tcW w:w="1577" w:type="pct"/>
          </w:tcPr>
          <w:p w14:paraId="2DE9F764" w14:textId="0FDFC65B"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r w:rsidR="00043F77">
              <w:rPr>
                <w:rStyle w:val="FootnoteReference"/>
                <w:i/>
              </w:rPr>
              <w:footnoteReference w:id="1"/>
            </w:r>
          </w:p>
        </w:tc>
        <w:tc>
          <w:tcPr>
            <w:tcW w:w="3423" w:type="pct"/>
          </w:tcPr>
          <w:p w14:paraId="03C485C8" w14:textId="4F1AFC9F" w:rsidR="009F2673" w:rsidRDefault="009F2673" w:rsidP="009E5A87">
            <w:r>
              <w:t>Yes</w:t>
            </w:r>
          </w:p>
          <w:p w14:paraId="2F8F0A9F" w14:textId="6873B949" w:rsidR="009F2673" w:rsidRPr="00487162" w:rsidRDefault="009F2673" w:rsidP="009E5A87">
            <w:r>
              <w:t>This product will remain in the scheme for 5 years, starting on the date the new indication was approved</w:t>
            </w:r>
            <w:r w:rsidR="005A46B6">
              <w:t>.</w:t>
            </w:r>
          </w:p>
        </w:tc>
      </w:tr>
      <w:tr w:rsidR="009F2673" w:rsidRPr="003D1E62" w14:paraId="390DAE9F" w14:textId="77777777" w:rsidTr="00881453">
        <w:tc>
          <w:tcPr>
            <w:tcW w:w="1577" w:type="pct"/>
          </w:tcPr>
          <w:p w14:paraId="4E743409"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78C3E932" w14:textId="77777777" w:rsidR="005A46B6" w:rsidRDefault="00785B4D" w:rsidP="009E5A87">
            <w:r w:rsidRPr="00785B4D">
              <w:t xml:space="preserve">Sanofi-Aventis Australia Pty Ltd </w:t>
            </w:r>
          </w:p>
          <w:p w14:paraId="3010A5B2" w14:textId="77777777" w:rsidR="005A46B6" w:rsidRDefault="00785B4D" w:rsidP="009E5A87">
            <w:r w:rsidRPr="00785B4D">
              <w:t>12-24 Talavera Road</w:t>
            </w:r>
          </w:p>
          <w:p w14:paraId="5AFD0DF7" w14:textId="478823A1" w:rsidR="009F2673" w:rsidRDefault="00785B4D" w:rsidP="009E5A87">
            <w:r w:rsidRPr="00785B4D">
              <w:t>Macquarie Park</w:t>
            </w:r>
            <w:r w:rsidR="005A46B6">
              <w:t xml:space="preserve"> </w:t>
            </w:r>
            <w:r w:rsidRPr="00785B4D">
              <w:t>NSW 2113</w:t>
            </w:r>
          </w:p>
        </w:tc>
      </w:tr>
      <w:tr w:rsidR="009F2673" w:rsidRPr="003D1E62" w14:paraId="2619CD8B" w14:textId="77777777" w:rsidTr="00881453">
        <w:tc>
          <w:tcPr>
            <w:tcW w:w="1577" w:type="pct"/>
          </w:tcPr>
          <w:p w14:paraId="5CF0E732" w14:textId="71E4934D" w:rsidR="009F2673" w:rsidRPr="00487162" w:rsidRDefault="009F2673" w:rsidP="009E5A87">
            <w:pPr>
              <w:rPr>
                <w:i/>
              </w:rPr>
            </w:pPr>
            <w:r>
              <w:rPr>
                <w:i/>
              </w:rPr>
              <w:t>Dose form:</w:t>
            </w:r>
          </w:p>
        </w:tc>
        <w:tc>
          <w:tcPr>
            <w:tcW w:w="3423" w:type="pct"/>
          </w:tcPr>
          <w:p w14:paraId="20E25669" w14:textId="22F947EE" w:rsidR="009F2673" w:rsidRDefault="00785B4D" w:rsidP="009E5A87">
            <w:r>
              <w:t>Solution for injection</w:t>
            </w:r>
          </w:p>
        </w:tc>
      </w:tr>
      <w:tr w:rsidR="009F2673" w:rsidRPr="003D1E62" w14:paraId="2F5C4E16" w14:textId="77777777" w:rsidTr="00881453">
        <w:tc>
          <w:tcPr>
            <w:tcW w:w="1577" w:type="pct"/>
          </w:tcPr>
          <w:p w14:paraId="46EF0757" w14:textId="35480C5F" w:rsidR="009F2673" w:rsidRPr="00487162" w:rsidRDefault="009F2673" w:rsidP="009E5A87">
            <w:pPr>
              <w:rPr>
                <w:i/>
              </w:rPr>
            </w:pPr>
            <w:r w:rsidRPr="00487162">
              <w:rPr>
                <w:i/>
              </w:rPr>
              <w:t>Strengths:</w:t>
            </w:r>
          </w:p>
        </w:tc>
        <w:tc>
          <w:tcPr>
            <w:tcW w:w="3423" w:type="pct"/>
          </w:tcPr>
          <w:p w14:paraId="58B167C8" w14:textId="7CBF5009" w:rsidR="00300850" w:rsidRDefault="00785B4D" w:rsidP="009E5A87">
            <w:r w:rsidRPr="00785B4D">
              <w:t>100 mg/0.67 mL</w:t>
            </w:r>
            <w:r w:rsidR="00300850">
              <w:t xml:space="preserve"> (150 mg/mL)</w:t>
            </w:r>
          </w:p>
          <w:p w14:paraId="379860AF" w14:textId="0574F8F2" w:rsidR="00300850" w:rsidRDefault="00300850" w:rsidP="009E5A87">
            <w:r>
              <w:t>200 mg/1.14 mL (175 mg/mL)</w:t>
            </w:r>
          </w:p>
          <w:p w14:paraId="5AF97723" w14:textId="35FC381E" w:rsidR="009F2673" w:rsidRDefault="00785B4D" w:rsidP="00E22668">
            <w:r w:rsidRPr="00785B4D">
              <w:t>300 mg/2 mL</w:t>
            </w:r>
            <w:r w:rsidR="00300850">
              <w:t xml:space="preserve"> (150 mg/mL)</w:t>
            </w:r>
          </w:p>
        </w:tc>
      </w:tr>
      <w:tr w:rsidR="009F2673" w:rsidRPr="003D1E62" w14:paraId="7988EE92" w14:textId="77777777" w:rsidTr="00881453">
        <w:tc>
          <w:tcPr>
            <w:tcW w:w="1577" w:type="pct"/>
          </w:tcPr>
          <w:p w14:paraId="032C69B4" w14:textId="5E28D251" w:rsidR="009F2673" w:rsidRPr="00487162" w:rsidRDefault="009F2673" w:rsidP="009E5A87">
            <w:pPr>
              <w:rPr>
                <w:i/>
              </w:rPr>
            </w:pPr>
            <w:r w:rsidRPr="00487162">
              <w:rPr>
                <w:i/>
              </w:rPr>
              <w:t>Container:</w:t>
            </w:r>
          </w:p>
        </w:tc>
        <w:tc>
          <w:tcPr>
            <w:tcW w:w="3423" w:type="pct"/>
          </w:tcPr>
          <w:p w14:paraId="59DFCB59" w14:textId="3E195F6C" w:rsidR="009F2673" w:rsidRDefault="00785B4D" w:rsidP="009E5A87">
            <w:r>
              <w:t>P</w:t>
            </w:r>
            <w:r w:rsidRPr="00785B4D">
              <w:t>re-filled syringe with needle shield</w:t>
            </w:r>
          </w:p>
        </w:tc>
      </w:tr>
      <w:tr w:rsidR="009F2673" w:rsidRPr="003D1E62" w14:paraId="0609A225" w14:textId="77777777" w:rsidTr="00881453">
        <w:tc>
          <w:tcPr>
            <w:tcW w:w="1577" w:type="pct"/>
          </w:tcPr>
          <w:p w14:paraId="153554B2" w14:textId="3ACC72CE" w:rsidR="009F2673" w:rsidRPr="00487162" w:rsidRDefault="009F2673" w:rsidP="009E5A87">
            <w:pPr>
              <w:rPr>
                <w:i/>
              </w:rPr>
            </w:pPr>
            <w:r w:rsidRPr="00487162">
              <w:rPr>
                <w:i/>
              </w:rPr>
              <w:t>Pack sizes:</w:t>
            </w:r>
          </w:p>
        </w:tc>
        <w:tc>
          <w:tcPr>
            <w:tcW w:w="3423" w:type="pct"/>
          </w:tcPr>
          <w:p w14:paraId="49D8DDE8" w14:textId="2AC957E7" w:rsidR="00E40450" w:rsidRPr="00E22668" w:rsidRDefault="00E40450" w:rsidP="009E5A87">
            <w:r w:rsidRPr="00E22668">
              <w:t>100 mg/0.67 mL: 1, 2, 3 and 6 syringes</w:t>
            </w:r>
          </w:p>
          <w:p w14:paraId="093E1130" w14:textId="605CD2C3" w:rsidR="00E40450" w:rsidRPr="002329CC" w:rsidRDefault="00E40450" w:rsidP="009E5A87">
            <w:r w:rsidRPr="00622BB0">
              <w:t xml:space="preserve">200 mg/1.14 mL: 1, 2, 3 </w:t>
            </w:r>
            <w:r w:rsidRPr="002329CC">
              <w:t>and 6 syringes</w:t>
            </w:r>
          </w:p>
          <w:p w14:paraId="1CF4407F" w14:textId="77777777" w:rsidR="00E40450" w:rsidRDefault="00785B4D" w:rsidP="009E5A87">
            <w:r w:rsidRPr="00455B34">
              <w:t>300 mg</w:t>
            </w:r>
            <w:r w:rsidR="00E40450" w:rsidRPr="00455B34">
              <w:t>/2 mL</w:t>
            </w:r>
            <w:r w:rsidRPr="00455B34">
              <w:t>: 1,</w:t>
            </w:r>
            <w:r>
              <w:t xml:space="preserve"> 2, 3 and 6 syringes</w:t>
            </w:r>
          </w:p>
          <w:p w14:paraId="4BC26EF0" w14:textId="56EE80C8" w:rsidR="00A20C2D" w:rsidRDefault="00E40450" w:rsidP="009E5A87">
            <w:r>
              <w:t>Starter pack</w:t>
            </w:r>
            <w:r w:rsidR="008A4028">
              <w:t>s</w:t>
            </w:r>
            <w:r>
              <w:t xml:space="preserve"> </w:t>
            </w:r>
            <w:r w:rsidR="00365CFE">
              <w:t xml:space="preserve">registered </w:t>
            </w:r>
            <w:r>
              <w:t>for 200 mg/1.14 mL and 300</w:t>
            </w:r>
            <w:r w:rsidR="00B367C7">
              <w:t> </w:t>
            </w:r>
            <w:r>
              <w:t>mg/2</w:t>
            </w:r>
            <w:r w:rsidR="00B367C7">
              <w:t> </w:t>
            </w:r>
            <w:r>
              <w:t xml:space="preserve">mL </w:t>
            </w:r>
            <w:r w:rsidR="00A20C2D">
              <w:t>strengths, each containing either one</w:t>
            </w:r>
            <w:r>
              <w:t xml:space="preserve"> </w:t>
            </w:r>
            <w:r w:rsidR="00A20C2D">
              <w:t xml:space="preserve">or </w:t>
            </w:r>
            <w:r>
              <w:t>2</w:t>
            </w:r>
            <w:r w:rsidR="00A20C2D">
              <w:t> </w:t>
            </w:r>
            <w:r>
              <w:t>syringe</w:t>
            </w:r>
            <w:r w:rsidR="00A20C2D">
              <w:t>s</w:t>
            </w:r>
          </w:p>
          <w:p w14:paraId="71E7D81A" w14:textId="77777777" w:rsidR="00A20C2D" w:rsidRDefault="00A20C2D" w:rsidP="009E5A87"/>
          <w:p w14:paraId="39FEFBAB" w14:textId="16CF6CB9" w:rsidR="00785B4D" w:rsidRDefault="00785B4D" w:rsidP="009E5A87"/>
        </w:tc>
      </w:tr>
      <w:tr w:rsidR="009F2673" w:rsidRPr="003D1E62" w14:paraId="1EFF35F5" w14:textId="77777777" w:rsidTr="00881453">
        <w:tc>
          <w:tcPr>
            <w:tcW w:w="1577" w:type="pct"/>
          </w:tcPr>
          <w:p w14:paraId="3A9E22CF" w14:textId="77777777" w:rsidR="009F2673" w:rsidRPr="00487162" w:rsidRDefault="009F2673" w:rsidP="009E5A87">
            <w:pPr>
              <w:rPr>
                <w:i/>
              </w:rPr>
            </w:pPr>
            <w:r w:rsidRPr="00487162">
              <w:rPr>
                <w:i/>
              </w:rPr>
              <w:lastRenderedPageBreak/>
              <w:t xml:space="preserve">Approved </w:t>
            </w:r>
            <w:r>
              <w:rPr>
                <w:i/>
              </w:rPr>
              <w:t>t</w:t>
            </w:r>
            <w:r w:rsidRPr="00487162">
              <w:rPr>
                <w:i/>
              </w:rPr>
              <w:t>herapeutic use:</w:t>
            </w:r>
          </w:p>
        </w:tc>
        <w:tc>
          <w:tcPr>
            <w:tcW w:w="3423" w:type="pct"/>
          </w:tcPr>
          <w:p w14:paraId="4148A605" w14:textId="77777777" w:rsidR="005A46B6" w:rsidRPr="005A46B6" w:rsidRDefault="005A46B6" w:rsidP="00E64736">
            <w:pPr>
              <w:rPr>
                <w:b/>
                <w:bCs/>
                <w:i/>
                <w:iCs/>
              </w:rPr>
            </w:pPr>
            <w:r w:rsidRPr="005A46B6">
              <w:rPr>
                <w:b/>
                <w:bCs/>
                <w:i/>
                <w:iCs/>
              </w:rPr>
              <w:t>Asthma</w:t>
            </w:r>
          </w:p>
          <w:p w14:paraId="5FAA2FF8" w14:textId="10B39A34" w:rsidR="009F2673" w:rsidRPr="005A46B6" w:rsidRDefault="00E64736" w:rsidP="00E64736">
            <w:pPr>
              <w:rPr>
                <w:i/>
                <w:iCs/>
              </w:rPr>
            </w:pPr>
            <w:r w:rsidRPr="005A46B6">
              <w:rPr>
                <w:i/>
                <w:iCs/>
              </w:rPr>
              <w:t xml:space="preserve">Dupixent is indicated as add on maintenance treatment in patients aged 6 years and older with moderate to severe asthma with type 2 inflammation (elevated eosinophils or elevated </w:t>
            </w:r>
            <w:proofErr w:type="spellStart"/>
            <w:r w:rsidRPr="005A46B6">
              <w:rPr>
                <w:i/>
                <w:iCs/>
              </w:rPr>
              <w:t>FeNO</w:t>
            </w:r>
            <w:proofErr w:type="spellEnd"/>
            <w:r w:rsidRPr="005A46B6">
              <w:rPr>
                <w:i/>
                <w:iCs/>
              </w:rPr>
              <w:t xml:space="preserve">) that is inadequately controlled despite therapy with other medicinal products for maintenance treatment </w:t>
            </w:r>
            <w:r w:rsidR="00E40450" w:rsidRPr="00E40450">
              <w:rPr>
                <w:i/>
                <w:iCs/>
              </w:rPr>
              <w:t>(see Section 5.1 Pharmacodynamic Properties – Clinical Trials).</w:t>
            </w:r>
          </w:p>
        </w:tc>
      </w:tr>
      <w:tr w:rsidR="009F2673" w:rsidRPr="003D1E62" w14:paraId="2B7A1A37" w14:textId="77777777" w:rsidTr="00881453">
        <w:tc>
          <w:tcPr>
            <w:tcW w:w="1577" w:type="pct"/>
          </w:tcPr>
          <w:p w14:paraId="3FC5AAF5" w14:textId="3F13CA8E" w:rsidR="009F2673" w:rsidRPr="00487162" w:rsidRDefault="009F2673" w:rsidP="009E5A87">
            <w:pPr>
              <w:rPr>
                <w:i/>
              </w:rPr>
            </w:pPr>
            <w:r w:rsidRPr="00487162">
              <w:rPr>
                <w:i/>
              </w:rPr>
              <w:t>Route of administration:</w:t>
            </w:r>
          </w:p>
        </w:tc>
        <w:tc>
          <w:tcPr>
            <w:tcW w:w="3423" w:type="pct"/>
          </w:tcPr>
          <w:p w14:paraId="1D3C4043" w14:textId="0C2B7A8F" w:rsidR="009F2673" w:rsidRPr="00487162" w:rsidRDefault="00E64736" w:rsidP="009E5A87">
            <w:r>
              <w:t>Subcutaneous</w:t>
            </w:r>
          </w:p>
        </w:tc>
      </w:tr>
      <w:tr w:rsidR="009F2673" w:rsidRPr="003D1E62" w14:paraId="3ECA762D" w14:textId="77777777" w:rsidTr="00881453">
        <w:tc>
          <w:tcPr>
            <w:tcW w:w="1577" w:type="pct"/>
          </w:tcPr>
          <w:p w14:paraId="064C7B96" w14:textId="77777777" w:rsidR="009F2673" w:rsidRPr="00487162" w:rsidRDefault="009F2673" w:rsidP="009E5A87">
            <w:pPr>
              <w:rPr>
                <w:i/>
              </w:rPr>
            </w:pPr>
            <w:r w:rsidRPr="00487162">
              <w:rPr>
                <w:i/>
              </w:rPr>
              <w:t>Dosage:</w:t>
            </w:r>
          </w:p>
        </w:tc>
        <w:tc>
          <w:tcPr>
            <w:tcW w:w="3423" w:type="pct"/>
          </w:tcPr>
          <w:p w14:paraId="68CBE08F" w14:textId="4FA3999A" w:rsidR="00192311" w:rsidRPr="00CE5202" w:rsidRDefault="00192311" w:rsidP="00892C9E">
            <w:pPr>
              <w:rPr>
                <w:b/>
              </w:rPr>
            </w:pPr>
            <w:r w:rsidRPr="00CE5202">
              <w:rPr>
                <w:b/>
              </w:rPr>
              <w:t>Asthma</w:t>
            </w:r>
          </w:p>
          <w:p w14:paraId="7FB3F8C5" w14:textId="77777777" w:rsidR="00C2725C" w:rsidRDefault="008A4028" w:rsidP="00892C9E">
            <w:r>
              <w:t>Dupixent treatment should be prescribed by a specialist experienced in the diagnosis and treatment of asthma in</w:t>
            </w:r>
            <w:r w:rsidR="00C2725C">
              <w:t>cluding paediatric specialists.</w:t>
            </w:r>
          </w:p>
          <w:p w14:paraId="44642D68" w14:textId="19DE496F" w:rsidR="008A4028" w:rsidRDefault="008A4028" w:rsidP="00892C9E">
            <w:r>
              <w:t>Maintenance treatment should be optimised prior to commencement of and during therapy with Dupixent.</w:t>
            </w:r>
          </w:p>
          <w:p w14:paraId="1B73E05F" w14:textId="3D3727A7" w:rsidR="00192311" w:rsidRPr="00CE5202" w:rsidRDefault="00192311" w:rsidP="00892C9E">
            <w:pPr>
              <w:rPr>
                <w:i/>
              </w:rPr>
            </w:pPr>
            <w:r w:rsidRPr="00CE5202">
              <w:rPr>
                <w:i/>
              </w:rPr>
              <w:t>Paediatr</w:t>
            </w:r>
            <w:r w:rsidRPr="00B55A00">
              <w:rPr>
                <w:i/>
              </w:rPr>
              <w:t xml:space="preserve">ic patients (6 to </w:t>
            </w:r>
            <w:r w:rsidRPr="00CE5202">
              <w:rPr>
                <w:i/>
              </w:rPr>
              <w:t>11 years of age)</w:t>
            </w:r>
          </w:p>
          <w:p w14:paraId="0C20D4A8" w14:textId="0D149997" w:rsidR="00192311" w:rsidRDefault="00192311" w:rsidP="00892C9E">
            <w:r>
              <w:t>The recommended dose of Dupixent for paediatric patients 6 to 11 year</w:t>
            </w:r>
            <w:r w:rsidR="00B3333B">
              <w:t>s of age is specified below [reproduced from Table 2 of the Product Information].</w:t>
            </w:r>
          </w:p>
          <w:p w14:paraId="2ACA59B1" w14:textId="364908C0" w:rsidR="00192311" w:rsidRDefault="00192311" w:rsidP="00892C9E">
            <w:r w:rsidRPr="00CE5202">
              <w:rPr>
                <w:b/>
              </w:rPr>
              <w:t>Dose of Dupixent for</w:t>
            </w:r>
            <w:r w:rsidRPr="00192311">
              <w:t xml:space="preserve"> </w:t>
            </w:r>
            <w:r w:rsidRPr="00CE5202">
              <w:rPr>
                <w:b/>
              </w:rPr>
              <w:t>subcutaneous administration paediatric patients 6 to 11 years of age with asthma</w:t>
            </w:r>
          </w:p>
          <w:tbl>
            <w:tblPr>
              <w:tblStyle w:val="TableGrid"/>
              <w:tblW w:w="0" w:type="auto"/>
              <w:tblLook w:val="04A0" w:firstRow="1" w:lastRow="0" w:firstColumn="1" w:lastColumn="0" w:noHBand="0" w:noVBand="1"/>
            </w:tblPr>
            <w:tblGrid>
              <w:gridCol w:w="2430"/>
              <w:gridCol w:w="3166"/>
            </w:tblGrid>
            <w:tr w:rsidR="00192311" w14:paraId="5BF51D05" w14:textId="77777777" w:rsidTr="00CE5202">
              <w:tc>
                <w:tcPr>
                  <w:tcW w:w="2430" w:type="dxa"/>
                </w:tcPr>
                <w:p w14:paraId="46C069CC" w14:textId="7D28E836" w:rsidR="00192311" w:rsidRPr="00CE5202" w:rsidRDefault="001A4383" w:rsidP="00CE5202">
                  <w:pPr>
                    <w:jc w:val="center"/>
                    <w:rPr>
                      <w:b/>
                    </w:rPr>
                  </w:pPr>
                  <w:r w:rsidRPr="00CE5202">
                    <w:rPr>
                      <w:b/>
                    </w:rPr>
                    <w:t>Body w</w:t>
                  </w:r>
                  <w:r w:rsidR="00192311" w:rsidRPr="00CE5202">
                    <w:rPr>
                      <w:b/>
                    </w:rPr>
                    <w:t>eight</w:t>
                  </w:r>
                </w:p>
              </w:tc>
              <w:tc>
                <w:tcPr>
                  <w:tcW w:w="3166" w:type="dxa"/>
                </w:tcPr>
                <w:p w14:paraId="5EA7870E" w14:textId="0C699B08" w:rsidR="00192311" w:rsidRPr="00CE5202" w:rsidRDefault="00192311" w:rsidP="00CE5202">
                  <w:pPr>
                    <w:jc w:val="center"/>
                    <w:rPr>
                      <w:b/>
                    </w:rPr>
                  </w:pPr>
                  <w:r w:rsidRPr="00CE5202">
                    <w:rPr>
                      <w:b/>
                    </w:rPr>
                    <w:t xml:space="preserve">Initial and </w:t>
                  </w:r>
                  <w:r w:rsidR="001A4383" w:rsidRPr="00CE5202">
                    <w:rPr>
                      <w:b/>
                    </w:rPr>
                    <w:t>s</w:t>
                  </w:r>
                  <w:r w:rsidRPr="00CE5202">
                    <w:rPr>
                      <w:b/>
                    </w:rPr>
                    <w:t xml:space="preserve">ubsequent </w:t>
                  </w:r>
                  <w:r w:rsidR="001A4383" w:rsidRPr="00CE5202">
                    <w:rPr>
                      <w:b/>
                    </w:rPr>
                    <w:t>d</w:t>
                  </w:r>
                  <w:r w:rsidRPr="00CE5202">
                    <w:rPr>
                      <w:b/>
                    </w:rPr>
                    <w:t>oses</w:t>
                  </w:r>
                </w:p>
              </w:tc>
            </w:tr>
            <w:tr w:rsidR="00192311" w14:paraId="47645D61" w14:textId="77777777" w:rsidTr="00CE5202">
              <w:tc>
                <w:tcPr>
                  <w:tcW w:w="2430" w:type="dxa"/>
                  <w:vAlign w:val="center"/>
                </w:tcPr>
                <w:p w14:paraId="65672919" w14:textId="04E7F832" w:rsidR="00192311" w:rsidRPr="00B35074" w:rsidRDefault="00192311" w:rsidP="00CE5202">
                  <w:pPr>
                    <w:jc w:val="center"/>
                  </w:pPr>
                  <w:r w:rsidRPr="00CE5202">
                    <w:rPr>
                      <w:sz w:val="22"/>
                    </w:rPr>
                    <w:t>15 to &lt; 30 kg</w:t>
                  </w:r>
                </w:p>
              </w:tc>
              <w:tc>
                <w:tcPr>
                  <w:tcW w:w="3166" w:type="dxa"/>
                </w:tcPr>
                <w:p w14:paraId="41A08D95" w14:textId="38513E41" w:rsidR="00192311" w:rsidRPr="00B35074" w:rsidRDefault="00192311" w:rsidP="00CE5202">
                  <w:pPr>
                    <w:jc w:val="center"/>
                  </w:pPr>
                  <w:r w:rsidRPr="00CE5202">
                    <w:rPr>
                      <w:sz w:val="22"/>
                    </w:rPr>
                    <w:t xml:space="preserve">100 mg every other </w:t>
                  </w:r>
                  <w:r w:rsidR="006E410F" w:rsidRPr="00CE5202">
                    <w:rPr>
                      <w:sz w:val="22"/>
                    </w:rPr>
                    <w:t>week (q2w) or</w:t>
                  </w:r>
                  <w:r w:rsidR="006E410F" w:rsidRPr="00CE5202">
                    <w:rPr>
                      <w:sz w:val="22"/>
                    </w:rPr>
                    <w:br/>
                  </w:r>
                  <w:r w:rsidRPr="00CE5202">
                    <w:rPr>
                      <w:sz w:val="22"/>
                    </w:rPr>
                    <w:t>300 mg every four weeks (q4w)</w:t>
                  </w:r>
                </w:p>
              </w:tc>
            </w:tr>
            <w:tr w:rsidR="00192311" w14:paraId="03D4E492" w14:textId="77777777" w:rsidTr="00CE5202">
              <w:tc>
                <w:tcPr>
                  <w:tcW w:w="2430" w:type="dxa"/>
                  <w:vAlign w:val="center"/>
                </w:tcPr>
                <w:p w14:paraId="705F1A51" w14:textId="13995A29" w:rsidR="00192311" w:rsidRPr="00B35074" w:rsidRDefault="00192311" w:rsidP="00CE5202">
                  <w:pPr>
                    <w:jc w:val="center"/>
                  </w:pPr>
                  <w:r w:rsidRPr="00CE5202">
                    <w:rPr>
                      <w:sz w:val="22"/>
                    </w:rPr>
                    <w:t>30 to &lt; 60 kg</w:t>
                  </w:r>
                </w:p>
              </w:tc>
              <w:tc>
                <w:tcPr>
                  <w:tcW w:w="3166" w:type="dxa"/>
                </w:tcPr>
                <w:p w14:paraId="0B818B97" w14:textId="5FC35D72" w:rsidR="00192311" w:rsidRPr="00B35074" w:rsidRDefault="00192311" w:rsidP="00CE5202">
                  <w:pPr>
                    <w:jc w:val="center"/>
                  </w:pPr>
                  <w:r w:rsidRPr="00CE5202">
                    <w:rPr>
                      <w:sz w:val="22"/>
                    </w:rPr>
                    <w:t>2</w:t>
                  </w:r>
                  <w:r w:rsidR="006E410F" w:rsidRPr="00CE5202">
                    <w:rPr>
                      <w:sz w:val="22"/>
                    </w:rPr>
                    <w:t>00 mg every other week (q2w) or</w:t>
                  </w:r>
                  <w:r w:rsidR="006E410F" w:rsidRPr="00CE5202">
                    <w:rPr>
                      <w:sz w:val="22"/>
                    </w:rPr>
                    <w:br/>
                  </w:r>
                  <w:r w:rsidRPr="00CE5202">
                    <w:rPr>
                      <w:sz w:val="22"/>
                    </w:rPr>
                    <w:t>300 mg every four weeks (q4w)</w:t>
                  </w:r>
                </w:p>
              </w:tc>
            </w:tr>
            <w:tr w:rsidR="00192311" w14:paraId="500ED2E5" w14:textId="77777777" w:rsidTr="00CE5202">
              <w:tc>
                <w:tcPr>
                  <w:tcW w:w="2430" w:type="dxa"/>
                  <w:vAlign w:val="center"/>
                </w:tcPr>
                <w:p w14:paraId="195157CF" w14:textId="7F0542DC" w:rsidR="00192311" w:rsidRPr="00B35074" w:rsidRDefault="00192311" w:rsidP="00CE5202">
                  <w:pPr>
                    <w:jc w:val="center"/>
                  </w:pPr>
                  <w:r w:rsidRPr="00CE5202">
                    <w:rPr>
                      <w:sz w:val="22"/>
                    </w:rPr>
                    <w:t>≥ 60 kg</w:t>
                  </w:r>
                </w:p>
              </w:tc>
              <w:tc>
                <w:tcPr>
                  <w:tcW w:w="3166" w:type="dxa"/>
                </w:tcPr>
                <w:p w14:paraId="60A25E77" w14:textId="07E2EF48" w:rsidR="00192311" w:rsidRPr="00B35074" w:rsidRDefault="00192311" w:rsidP="00CE5202">
                  <w:pPr>
                    <w:jc w:val="center"/>
                  </w:pPr>
                  <w:r w:rsidRPr="00CE5202">
                    <w:rPr>
                      <w:sz w:val="22"/>
                    </w:rPr>
                    <w:t>200 mg every other week (q2w)</w:t>
                  </w:r>
                </w:p>
              </w:tc>
            </w:tr>
          </w:tbl>
          <w:p w14:paraId="79A79C78" w14:textId="61F7FA2A" w:rsidR="001862D4" w:rsidRDefault="00C2725C" w:rsidP="00892C9E">
            <w:r>
              <w:t>For paediatric patients (6-11 years old) with asthma and co-morbid severe atopic dermatitis, the recommended dose should be followed in Table 1</w:t>
            </w:r>
            <w:r w:rsidR="00B3333B">
              <w:t xml:space="preserve"> [of the Product Information]</w:t>
            </w:r>
            <w:r>
              <w:t>.</w:t>
            </w:r>
          </w:p>
          <w:p w14:paraId="5F183587" w14:textId="606493D8" w:rsidR="009F2673" w:rsidRPr="00487162" w:rsidRDefault="009F2673" w:rsidP="00892C9E">
            <w:r w:rsidRPr="00460036">
              <w:t>For further information regarding dosage, refer to the Product Information.</w:t>
            </w:r>
          </w:p>
        </w:tc>
      </w:tr>
      <w:tr w:rsidR="009F2673" w:rsidRPr="003D1E62" w14:paraId="736E18CD" w14:textId="77777777" w:rsidTr="00881453">
        <w:tc>
          <w:tcPr>
            <w:tcW w:w="1577" w:type="pct"/>
          </w:tcPr>
          <w:p w14:paraId="78247908" w14:textId="40D35FAC" w:rsidR="009F2673" w:rsidRPr="00487162" w:rsidRDefault="00B3333B" w:rsidP="009E5A87">
            <w:pPr>
              <w:rPr>
                <w:i/>
              </w:rPr>
            </w:pPr>
            <w:r>
              <w:rPr>
                <w:i/>
              </w:rPr>
              <w:t xml:space="preserve"> </w:t>
            </w:r>
            <w:r w:rsidR="009F2673" w:rsidRPr="00460036">
              <w:rPr>
                <w:i/>
              </w:rPr>
              <w:t>Pregnancy category</w:t>
            </w:r>
            <w:r w:rsidR="009F2673">
              <w:rPr>
                <w:i/>
              </w:rPr>
              <w:t>:</w:t>
            </w:r>
          </w:p>
        </w:tc>
        <w:tc>
          <w:tcPr>
            <w:tcW w:w="3423" w:type="pct"/>
          </w:tcPr>
          <w:p w14:paraId="3D13BE4B" w14:textId="77777777" w:rsidR="00ED3AB5" w:rsidRDefault="00ED3AB5" w:rsidP="009F2673">
            <w:r>
              <w:t>B1</w:t>
            </w:r>
          </w:p>
          <w:p w14:paraId="4EA45E40" w14:textId="04064149" w:rsidR="00ED3AB5" w:rsidRDefault="00ED3AB5" w:rsidP="00ED3AB5">
            <w:r>
              <w:t xml:space="preserve">Drugs which have been taken by only a limited number of pregnant women and women of childbearing age, without an increase in the frequency of malformation or other </w:t>
            </w:r>
            <w:r>
              <w:lastRenderedPageBreak/>
              <w:t xml:space="preserve">direct or indirect harmful effects on the human </w:t>
            </w:r>
            <w:proofErr w:type="spellStart"/>
            <w:r>
              <w:t>fetus</w:t>
            </w:r>
            <w:proofErr w:type="spellEnd"/>
            <w:r>
              <w:t xml:space="preserve"> having been observed.</w:t>
            </w:r>
          </w:p>
          <w:p w14:paraId="3C7F35B0" w14:textId="77777777" w:rsidR="00ED3AB5" w:rsidRDefault="00ED3AB5" w:rsidP="00ED3AB5">
            <w:r>
              <w:t xml:space="preserve">Studies in animals have not shown evidence of an increased occurrence of </w:t>
            </w:r>
            <w:proofErr w:type="spellStart"/>
            <w:r>
              <w:t>fetal</w:t>
            </w:r>
            <w:proofErr w:type="spellEnd"/>
            <w:r>
              <w:t xml:space="preserve"> damage.</w:t>
            </w:r>
          </w:p>
          <w:p w14:paraId="21B68DE4" w14:textId="3D249585" w:rsidR="009F2673" w:rsidRPr="00487162" w:rsidRDefault="009F2673" w:rsidP="009E5A87">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61BA5A6B" w14:textId="77777777" w:rsidR="008E7846" w:rsidRDefault="008E7846" w:rsidP="008E7846">
      <w:pPr>
        <w:pStyle w:val="Heading3"/>
      </w:pPr>
      <w:bookmarkStart w:id="9" w:name="_Toc247691503"/>
      <w:bookmarkStart w:id="10" w:name="_Toc314842484"/>
      <w:bookmarkStart w:id="11" w:name="_Toc129691995"/>
      <w:r>
        <w:lastRenderedPageBreak/>
        <w:t>Product background</w:t>
      </w:r>
      <w:bookmarkEnd w:id="9"/>
      <w:bookmarkEnd w:id="10"/>
      <w:bookmarkEnd w:id="11"/>
    </w:p>
    <w:p w14:paraId="2F942E61" w14:textId="5981320C" w:rsidR="00B3333B" w:rsidRDefault="009F2673" w:rsidP="00B55A00">
      <w:r w:rsidRPr="000A4A42">
        <w:t xml:space="preserve">This </w:t>
      </w:r>
      <w:proofErr w:type="spellStart"/>
      <w:r w:rsidRPr="000A4A42">
        <w:t>AusPAR</w:t>
      </w:r>
      <w:proofErr w:type="spellEnd"/>
      <w:r w:rsidRPr="000A4A42">
        <w:t xml:space="preserve"> describes the </w:t>
      </w:r>
      <w:r w:rsidR="001E359E">
        <w:t>submission</w:t>
      </w:r>
      <w:r w:rsidRPr="000A4A42">
        <w:t xml:space="preserve"> by</w:t>
      </w:r>
      <w:r w:rsidR="00ED3AB5">
        <w:t xml:space="preserve"> </w:t>
      </w:r>
      <w:r w:rsidR="00ED3AB5" w:rsidRPr="00ED3AB5">
        <w:t>Sanofi-Aventis Australia Pty Lt</w:t>
      </w:r>
      <w:r w:rsidR="00ED3AB5">
        <w:t>d</w:t>
      </w:r>
      <w:r w:rsidRPr="000A4A42">
        <w:t xml:space="preserve"> (the sponsor) to register</w:t>
      </w:r>
      <w:r w:rsidR="002C08D9">
        <w:t xml:space="preserve"> </w:t>
      </w:r>
      <w:r w:rsidR="00ED3AB5" w:rsidRPr="00ED3AB5">
        <w:t>D</w:t>
      </w:r>
      <w:r w:rsidR="00ED3AB5">
        <w:t xml:space="preserve">upixent </w:t>
      </w:r>
      <w:r w:rsidR="008A4028">
        <w:t>(</w:t>
      </w:r>
      <w:r w:rsidR="00ED3AB5" w:rsidRPr="00ED3AB5">
        <w:t>dupilumab</w:t>
      </w:r>
      <w:r w:rsidR="008A4028">
        <w:t>)</w:t>
      </w:r>
      <w:r w:rsidR="00B3333B">
        <w:t xml:space="preserve"> 200 mg/1.14 mL, solution for injection (pre</w:t>
      </w:r>
      <w:r w:rsidR="00025EBB">
        <w:t>-</w:t>
      </w:r>
      <w:r w:rsidR="00B3333B">
        <w:t>filled syringe); and</w:t>
      </w:r>
      <w:r w:rsidR="002C08D9">
        <w:t xml:space="preserve"> </w:t>
      </w:r>
      <w:r w:rsidR="00B3333B">
        <w:t>Dupixent (dupilumab) 300 mg/2 mL, solution for injection (pre</w:t>
      </w:r>
      <w:r w:rsidR="00025EBB">
        <w:t>-</w:t>
      </w:r>
      <w:r w:rsidR="00B3333B">
        <w:t>filled syringe)</w:t>
      </w:r>
      <w:r w:rsidR="002C08D9">
        <w:t>, for following proposed extension of indications:</w:t>
      </w:r>
    </w:p>
    <w:p w14:paraId="793FD4DD" w14:textId="1258B280" w:rsidR="002C08D9" w:rsidRPr="001F3C82" w:rsidRDefault="002C08D9" w:rsidP="002C08D9">
      <w:pPr>
        <w:ind w:left="720"/>
        <w:rPr>
          <w:i/>
          <w:iCs/>
        </w:rPr>
      </w:pPr>
      <w:r w:rsidRPr="001F3C82">
        <w:rPr>
          <w:i/>
          <w:iCs/>
        </w:rPr>
        <w:t>Dupixent is indicated as add on mainten</w:t>
      </w:r>
      <w:r w:rsidR="00AC7EF5">
        <w:rPr>
          <w:i/>
          <w:iCs/>
        </w:rPr>
        <w:t xml:space="preserve">ance treatment in patients aged </w:t>
      </w:r>
      <w:r w:rsidRPr="001F3C82">
        <w:rPr>
          <w:i/>
          <w:iCs/>
        </w:rPr>
        <w:t xml:space="preserve">6 years and older with moderate to severe asthma with type 2 inflammation (elevated eosinophils or elevated </w:t>
      </w:r>
      <w:proofErr w:type="spellStart"/>
      <w:r w:rsidRPr="001F3C82">
        <w:rPr>
          <w:i/>
          <w:iCs/>
        </w:rPr>
        <w:t>FeNO</w:t>
      </w:r>
      <w:proofErr w:type="spellEnd"/>
      <w:r w:rsidRPr="001F3C82">
        <w:rPr>
          <w:i/>
          <w:iCs/>
        </w:rPr>
        <w:t xml:space="preserve">). </w:t>
      </w:r>
    </w:p>
    <w:p w14:paraId="20D62A82" w14:textId="77777777" w:rsidR="002C08D9" w:rsidRPr="001F3C82" w:rsidRDefault="002C08D9" w:rsidP="002C08D9">
      <w:pPr>
        <w:ind w:left="720"/>
        <w:rPr>
          <w:i/>
          <w:iCs/>
        </w:rPr>
      </w:pPr>
      <w:r w:rsidRPr="001F3C82">
        <w:rPr>
          <w:i/>
          <w:iCs/>
        </w:rPr>
        <w:t>Dupixent is indicated as an add on maintenance therapy for oral corticosteroid dependent asthma.</w:t>
      </w:r>
    </w:p>
    <w:p w14:paraId="3959B944" w14:textId="06A7E25F" w:rsidR="00AC7EF5" w:rsidRDefault="00AC7EF5" w:rsidP="00B55A00">
      <w:r>
        <w:t xml:space="preserve">This extension of indications is a broadening of the currently approved treatment of asthma indication to include the treatment of children from 6 to 11 years of age (see </w:t>
      </w:r>
      <w:r w:rsidRPr="006D798B">
        <w:rPr>
          <w:i/>
        </w:rPr>
        <w:fldChar w:fldCharType="begin"/>
      </w:r>
      <w:r w:rsidRPr="006D798B">
        <w:rPr>
          <w:i/>
        </w:rPr>
        <w:instrText xml:space="preserve"> REF _Ref129264196 \h </w:instrText>
      </w:r>
      <w:r>
        <w:rPr>
          <w:i/>
        </w:rPr>
        <w:instrText xml:space="preserve"> \* MERGEFORMAT </w:instrText>
      </w:r>
      <w:r w:rsidRPr="006D798B">
        <w:rPr>
          <w:i/>
        </w:rPr>
      </w:r>
      <w:r w:rsidRPr="006D798B">
        <w:rPr>
          <w:i/>
        </w:rPr>
        <w:fldChar w:fldCharType="separate"/>
      </w:r>
      <w:r w:rsidR="00761EA9" w:rsidRPr="00761EA9">
        <w:rPr>
          <w:i/>
        </w:rPr>
        <w:t>Regulatory status</w:t>
      </w:r>
      <w:r w:rsidRPr="006D798B">
        <w:rPr>
          <w:i/>
        </w:rPr>
        <w:fldChar w:fldCharType="end"/>
      </w:r>
      <w:r>
        <w:t xml:space="preserve"> for further information).</w:t>
      </w:r>
    </w:p>
    <w:p w14:paraId="2E590BA7" w14:textId="4573D268" w:rsidR="002C08D9" w:rsidRDefault="002C08D9" w:rsidP="00292A7A">
      <w:r>
        <w:t>In addition,</w:t>
      </w:r>
      <w:r w:rsidR="001A4383">
        <w:t xml:space="preserve"> for the proposed new indication</w:t>
      </w:r>
      <w:r>
        <w:t xml:space="preserve"> shown above</w:t>
      </w:r>
      <w:r w:rsidR="001A4383">
        <w:t xml:space="preserve"> and the existing indications approved in Australia (see </w:t>
      </w:r>
      <w:r w:rsidR="001A4383" w:rsidRPr="00D77BC5">
        <w:rPr>
          <w:i/>
        </w:rPr>
        <w:fldChar w:fldCharType="begin"/>
      </w:r>
      <w:r w:rsidR="001A4383" w:rsidRPr="00D77BC5">
        <w:rPr>
          <w:i/>
        </w:rPr>
        <w:instrText xml:space="preserve"> REF _Ref129264196 \h </w:instrText>
      </w:r>
      <w:r w:rsidR="001A4383">
        <w:rPr>
          <w:i/>
        </w:rPr>
        <w:instrText xml:space="preserve"> \* MERGEFORMAT </w:instrText>
      </w:r>
      <w:r w:rsidR="001A4383" w:rsidRPr="00D77BC5">
        <w:rPr>
          <w:i/>
        </w:rPr>
      </w:r>
      <w:r w:rsidR="001A4383" w:rsidRPr="00D77BC5">
        <w:rPr>
          <w:i/>
        </w:rPr>
        <w:fldChar w:fldCharType="separate"/>
      </w:r>
      <w:r w:rsidR="00761EA9" w:rsidRPr="00761EA9">
        <w:rPr>
          <w:i/>
        </w:rPr>
        <w:t>Regulatory status</w:t>
      </w:r>
      <w:r w:rsidR="001A4383" w:rsidRPr="00D77BC5">
        <w:rPr>
          <w:i/>
        </w:rPr>
        <w:fldChar w:fldCharType="end"/>
      </w:r>
      <w:r w:rsidR="001A4383">
        <w:t xml:space="preserve"> for further information)</w:t>
      </w:r>
      <w:r>
        <w:t>, the sponsor has proposed to register a new strength product as follows:</w:t>
      </w:r>
    </w:p>
    <w:p w14:paraId="15E25ED6" w14:textId="5F27C69D" w:rsidR="00AC7EF5" w:rsidRDefault="00AC7EF5" w:rsidP="006D798B">
      <w:pPr>
        <w:ind w:firstLine="720"/>
      </w:pPr>
      <w:r>
        <w:t xml:space="preserve">Dupixent (dupilumab) </w:t>
      </w:r>
      <w:r w:rsidR="002C08D9">
        <w:t>100 mg/0.67 mL</w:t>
      </w:r>
      <w:r>
        <w:t>,</w:t>
      </w:r>
      <w:r w:rsidR="002C08D9">
        <w:t xml:space="preserve"> solution </w:t>
      </w:r>
      <w:r w:rsidR="002C08D9" w:rsidRPr="00ED3AB5">
        <w:t xml:space="preserve">for injection </w:t>
      </w:r>
      <w:r>
        <w:t>(pre</w:t>
      </w:r>
      <w:r w:rsidR="00025EBB">
        <w:t>-</w:t>
      </w:r>
      <w:r>
        <w:t>filled syringe).</w:t>
      </w:r>
    </w:p>
    <w:p w14:paraId="17CB9D76" w14:textId="16EDC669" w:rsidR="00AC7EF5" w:rsidRPr="00B55A00" w:rsidRDefault="00AC7EF5" w:rsidP="006D798B">
      <w:pPr>
        <w:pStyle w:val="Heading4"/>
      </w:pPr>
      <w:r>
        <w:t>Asthma with type 2 inflammation</w:t>
      </w:r>
    </w:p>
    <w:p w14:paraId="412B3D2E" w14:textId="43D47EC9" w:rsidR="005A46B6" w:rsidRPr="006D798B" w:rsidRDefault="005A46B6" w:rsidP="00B55A00">
      <w:pPr>
        <w:rPr>
          <w:vertAlign w:val="superscript"/>
        </w:rPr>
      </w:pPr>
      <w:r>
        <w:t>Asthma is a chronic inflammatory airway disease characterised by airway inflammation</w:t>
      </w:r>
      <w:r w:rsidR="008A4028">
        <w:t xml:space="preserve"> and</w:t>
      </w:r>
      <w:r>
        <w:t xml:space="preserve"> bronchial hyper-responsiveness (bronchoconstriction), </w:t>
      </w:r>
      <w:r w:rsidR="008A4028">
        <w:t xml:space="preserve">with </w:t>
      </w:r>
      <w:r>
        <w:t xml:space="preserve">recurrent episodes of airway obstruction, breathlessness, </w:t>
      </w:r>
      <w:proofErr w:type="gramStart"/>
      <w:r>
        <w:t>wheeze</w:t>
      </w:r>
      <w:proofErr w:type="gramEnd"/>
      <w:r>
        <w:t xml:space="preserve"> and cough.</w:t>
      </w:r>
      <w:bookmarkStart w:id="12" w:name="_Ref129096246"/>
      <w:r w:rsidR="00237457">
        <w:rPr>
          <w:rStyle w:val="FootnoteReference"/>
        </w:rPr>
        <w:footnoteReference w:id="2"/>
      </w:r>
      <w:bookmarkEnd w:id="12"/>
      <w:r w:rsidR="00967EB7">
        <w:rPr>
          <w:vertAlign w:val="superscript"/>
        </w:rPr>
        <w:t>,</w:t>
      </w:r>
      <w:r w:rsidR="00967EB7">
        <w:rPr>
          <w:rStyle w:val="FootnoteReference"/>
        </w:rPr>
        <w:footnoteReference w:id="3"/>
      </w:r>
    </w:p>
    <w:p w14:paraId="0E75A598" w14:textId="09FD50A2" w:rsidR="00627AF4" w:rsidRDefault="005A46B6" w:rsidP="005A46B6">
      <w:r>
        <w:t>Genetic factors</w:t>
      </w:r>
      <w:r w:rsidR="00627AF4">
        <w:t xml:space="preserve"> related to the development and severity of</w:t>
      </w:r>
      <w:r w:rsidR="005A1FA6">
        <w:t xml:space="preserve"> asthma include</w:t>
      </w:r>
      <w:r w:rsidR="00EA073F">
        <w:t xml:space="preserve"> </w:t>
      </w:r>
      <w:r w:rsidR="00EA073F" w:rsidRPr="00EA073F">
        <w:t xml:space="preserve">specific </w:t>
      </w:r>
      <w:r w:rsidR="00EA073F">
        <w:t>human leukocyte antigen (</w:t>
      </w:r>
      <w:r w:rsidR="00EA073F" w:rsidRPr="00EA073F">
        <w:t>HLA</w:t>
      </w:r>
      <w:r w:rsidR="00EA073F">
        <w:t>)</w:t>
      </w:r>
      <w:r w:rsidR="005A1FA6">
        <w:t xml:space="preserve"> haplotypes;</w:t>
      </w:r>
      <w:r w:rsidR="005A1FA6">
        <w:rPr>
          <w:rStyle w:val="FootnoteReference"/>
        </w:rPr>
        <w:footnoteReference w:id="4"/>
      </w:r>
      <w:r w:rsidR="00967EB7">
        <w:t xml:space="preserve"> and</w:t>
      </w:r>
      <w:r w:rsidR="00EA073F" w:rsidRPr="00EA073F">
        <w:t xml:space="preserve"> polymorphisms in</w:t>
      </w:r>
      <w:r w:rsidR="005A1FA6">
        <w:t xml:space="preserve"> gene</w:t>
      </w:r>
      <w:r w:rsidR="00E22668">
        <w:t xml:space="preserve">s </w:t>
      </w:r>
      <w:r w:rsidR="00627AF4">
        <w:t>en</w:t>
      </w:r>
      <w:r w:rsidR="00622BB0">
        <w:t>coding for</w:t>
      </w:r>
      <w:r w:rsidR="00627AF4">
        <w:t>,</w:t>
      </w:r>
      <w:r w:rsidR="00622BB0">
        <w:t xml:space="preserve"> or </w:t>
      </w:r>
      <w:r w:rsidR="00E22668">
        <w:t xml:space="preserve">related </w:t>
      </w:r>
      <w:r w:rsidR="00E22668">
        <w:lastRenderedPageBreak/>
        <w:t>to</w:t>
      </w:r>
      <w:r w:rsidR="00627AF4">
        <w:t>,</w:t>
      </w:r>
      <w:r w:rsidR="00EA073F" w:rsidRPr="00EA073F">
        <w:t xml:space="preserve"> </w:t>
      </w:r>
      <w:r w:rsidR="00EA073F">
        <w:t>interleukin</w:t>
      </w:r>
      <w:r w:rsidR="00351608">
        <w:t xml:space="preserve"> (IL) 4</w:t>
      </w:r>
      <w:r w:rsidR="006B4ED7">
        <w:t>,</w:t>
      </w:r>
      <w:r w:rsidR="00EA073F" w:rsidRPr="00EA073F">
        <w:t xml:space="preserve"> </w:t>
      </w:r>
      <w:r w:rsidR="00EA073F">
        <w:t>immunoglob</w:t>
      </w:r>
      <w:r w:rsidR="00F02C7B">
        <w:t>ul</w:t>
      </w:r>
      <w:r w:rsidR="00EA073F">
        <w:t>in</w:t>
      </w:r>
      <w:r w:rsidR="00F02C7B">
        <w:t xml:space="preserve"> </w:t>
      </w:r>
      <w:r w:rsidR="00622BB0">
        <w:t xml:space="preserve">type E </w:t>
      </w:r>
      <w:r w:rsidR="00F02C7B">
        <w:t>(</w:t>
      </w:r>
      <w:proofErr w:type="spellStart"/>
      <w:r w:rsidR="00F02C7B" w:rsidRPr="00EA073F">
        <w:t>Ig</w:t>
      </w:r>
      <w:r w:rsidR="00EA073F">
        <w:t>E</w:t>
      </w:r>
      <w:proofErr w:type="spellEnd"/>
      <w:r w:rsidR="006B4ED7">
        <w:t>),</w:t>
      </w:r>
      <w:r w:rsidR="00EA073F" w:rsidRPr="00EA073F">
        <w:t xml:space="preserve"> CD14</w:t>
      </w:r>
      <w:r w:rsidR="006B4ED7">
        <w:t>,</w:t>
      </w:r>
      <w:r w:rsidR="00EA073F" w:rsidRPr="00EA073F">
        <w:t xml:space="preserve"> </w:t>
      </w:r>
      <w:r w:rsidR="00EA073F">
        <w:t>T cell receptor alpha (</w:t>
      </w:r>
      <w:r w:rsidR="00EA073F" w:rsidRPr="00EA073F">
        <w:t>TCRα</w:t>
      </w:r>
      <w:r w:rsidR="00EA073F">
        <w:t>)</w:t>
      </w:r>
      <w:r w:rsidR="006B4ED7">
        <w:t>,</w:t>
      </w:r>
      <w:r w:rsidR="00686284">
        <w:t xml:space="preserve"> and</w:t>
      </w:r>
      <w:r w:rsidR="00627AF4">
        <w:t xml:space="preserve"> the </w:t>
      </w:r>
      <w:r w:rsidR="00EA073F" w:rsidRPr="006D798B">
        <w:rPr>
          <w:i/>
        </w:rPr>
        <w:t>ADAM33</w:t>
      </w:r>
      <w:r w:rsidR="00627AF4">
        <w:rPr>
          <w:i/>
        </w:rPr>
        <w:t xml:space="preserve"> </w:t>
      </w:r>
      <w:r w:rsidR="00627AF4">
        <w:t>gene.</w:t>
      </w:r>
      <w:bookmarkStart w:id="13" w:name="_Ref129093886"/>
      <w:r w:rsidR="006B4ED7">
        <w:rPr>
          <w:rStyle w:val="FootnoteReference"/>
        </w:rPr>
        <w:footnoteReference w:id="5"/>
      </w:r>
      <w:bookmarkEnd w:id="13"/>
      <w:r w:rsidR="006B4ED7">
        <w:rPr>
          <w:vertAlign w:val="superscript"/>
        </w:rPr>
        <w:t>,</w:t>
      </w:r>
      <w:r w:rsidR="006B4ED7">
        <w:rPr>
          <w:rStyle w:val="FootnoteReference"/>
        </w:rPr>
        <w:footnoteReference w:id="6"/>
      </w:r>
      <w:r w:rsidR="006B4ED7">
        <w:rPr>
          <w:vertAlign w:val="superscript"/>
        </w:rPr>
        <w:t>,</w:t>
      </w:r>
      <w:r w:rsidR="006B4ED7">
        <w:rPr>
          <w:rStyle w:val="FootnoteReference"/>
        </w:rPr>
        <w:footnoteReference w:id="7"/>
      </w:r>
      <w:r w:rsidR="006B4ED7">
        <w:rPr>
          <w:vertAlign w:val="superscript"/>
        </w:rPr>
        <w:t>,</w:t>
      </w:r>
      <w:r w:rsidR="00627AF4">
        <w:rPr>
          <w:rStyle w:val="FootnoteReference"/>
        </w:rPr>
        <w:footnoteReference w:id="8"/>
      </w:r>
    </w:p>
    <w:p w14:paraId="2E9F08B5" w14:textId="3AF524AA" w:rsidR="00B04362" w:rsidRDefault="00627AF4" w:rsidP="005A46B6">
      <w:r>
        <w:t>M</w:t>
      </w:r>
      <w:r w:rsidR="005A46B6">
        <w:t>odifying environmental factors</w:t>
      </w:r>
      <w:r w:rsidR="00686284">
        <w:t xml:space="preserve"> </w:t>
      </w:r>
      <w:r>
        <w:t>include</w:t>
      </w:r>
      <w:r w:rsidR="00686284">
        <w:t xml:space="preserve"> </w:t>
      </w:r>
      <w:r w:rsidR="00686284">
        <w:rPr>
          <w:lang w:eastAsia="ja-JP"/>
        </w:rPr>
        <w:t>infections, aeroallergens, animals, day care</w:t>
      </w:r>
      <w:r w:rsidR="00306A1E">
        <w:t xml:space="preserve"> </w:t>
      </w:r>
      <w:r w:rsidR="005A46B6">
        <w:t>and environmental triggers</w:t>
      </w:r>
      <w:r w:rsidR="00686284">
        <w:t xml:space="preserve"> such as </w:t>
      </w:r>
      <w:r w:rsidR="00686284">
        <w:rPr>
          <w:lang w:eastAsia="ja-JP"/>
        </w:rPr>
        <w:t>atmospheric pollutants</w:t>
      </w:r>
      <w:r>
        <w:rPr>
          <w:lang w:eastAsia="ja-JP"/>
        </w:rPr>
        <w:t xml:space="preserve"> and</w:t>
      </w:r>
      <w:r w:rsidR="00686284">
        <w:rPr>
          <w:lang w:eastAsia="ja-JP"/>
        </w:rPr>
        <w:t xml:space="preserve"> viral infections</w:t>
      </w:r>
      <w:r>
        <w:rPr>
          <w:lang w:eastAsia="ja-JP"/>
        </w:rPr>
        <w:t>.</w:t>
      </w:r>
      <w:r>
        <w:rPr>
          <w:rStyle w:val="FootnoteReference"/>
          <w:lang w:eastAsia="ja-JP"/>
        </w:rPr>
        <w:footnoteReference w:id="9"/>
      </w:r>
    </w:p>
    <w:p w14:paraId="32D6F57D" w14:textId="1882C52E" w:rsidR="005A46B6" w:rsidRDefault="00B04362" w:rsidP="005A46B6">
      <w:r>
        <w:t xml:space="preserve">Interactions between genetic and environment factors and triggers </w:t>
      </w:r>
      <w:r w:rsidR="005A46B6">
        <w:t>lead to an increased expression</w:t>
      </w:r>
      <w:r w:rsidR="00306A1E">
        <w:t xml:space="preserve"> and </w:t>
      </w:r>
      <w:r w:rsidR="005A46B6">
        <w:t>response of CD4</w:t>
      </w:r>
      <w:r w:rsidR="005A46B6" w:rsidRPr="001F3C82">
        <w:rPr>
          <w:vertAlign w:val="superscript"/>
        </w:rPr>
        <w:t>+</w:t>
      </w:r>
      <w:r w:rsidR="005A46B6">
        <w:t xml:space="preserve"> </w:t>
      </w:r>
      <w:r w:rsidR="00686284">
        <w:t xml:space="preserve">T helper 2 </w:t>
      </w:r>
      <w:r w:rsidR="005A46B6">
        <w:t xml:space="preserve">cells which leads to B cell switching to </w:t>
      </w:r>
      <w:proofErr w:type="spellStart"/>
      <w:r w:rsidR="00686284">
        <w:t>IgE</w:t>
      </w:r>
      <w:proofErr w:type="spellEnd"/>
      <w:r w:rsidR="005A46B6">
        <w:t>, eosinophil and basophil recruitment and mast cell differentiation.</w:t>
      </w:r>
      <w:bookmarkStart w:id="14" w:name="_Ref129095490"/>
      <w:r>
        <w:rPr>
          <w:rStyle w:val="FootnoteReference"/>
        </w:rPr>
        <w:footnoteReference w:id="10"/>
      </w:r>
      <w:bookmarkEnd w:id="14"/>
      <w:r>
        <w:rPr>
          <w:vertAlign w:val="superscript"/>
        </w:rPr>
        <w:t>,</w:t>
      </w:r>
      <w:r>
        <w:rPr>
          <w:rStyle w:val="FootnoteReference"/>
        </w:rPr>
        <w:footnoteReference w:id="11"/>
      </w:r>
      <w:r w:rsidR="005A46B6">
        <w:t xml:space="preserve"> This in turn causes airway hyperreactivity, mucous hypersecretion, epithelial damage and fibrosis (including matrix metalloproteinases), and airway smooth muscle hypertrophy, leading to the characteristic symptoms of asthma.</w:t>
      </w:r>
      <w:r w:rsidR="008640DA" w:rsidRPr="006D798B">
        <w:rPr>
          <w:vertAlign w:val="superscript"/>
        </w:rPr>
        <w:fldChar w:fldCharType="begin"/>
      </w:r>
      <w:r w:rsidR="008640DA" w:rsidRPr="006D798B">
        <w:rPr>
          <w:vertAlign w:val="superscript"/>
        </w:rPr>
        <w:instrText xml:space="preserve"> NOTEREF _Ref129095490 \h </w:instrText>
      </w:r>
      <w:r w:rsidR="008640DA">
        <w:rPr>
          <w:vertAlign w:val="superscript"/>
        </w:rPr>
        <w:instrText xml:space="preserve"> \* MERGEFORMAT </w:instrText>
      </w:r>
      <w:r w:rsidR="008640DA" w:rsidRPr="006D798B">
        <w:rPr>
          <w:vertAlign w:val="superscript"/>
        </w:rPr>
      </w:r>
      <w:r w:rsidR="008640DA" w:rsidRPr="006D798B">
        <w:rPr>
          <w:vertAlign w:val="superscript"/>
        </w:rPr>
        <w:fldChar w:fldCharType="separate"/>
      </w:r>
      <w:r w:rsidR="00761EA9">
        <w:rPr>
          <w:vertAlign w:val="superscript"/>
        </w:rPr>
        <w:t>10</w:t>
      </w:r>
      <w:r w:rsidR="008640DA" w:rsidRPr="006D798B">
        <w:rPr>
          <w:vertAlign w:val="superscript"/>
        </w:rPr>
        <w:fldChar w:fldCharType="end"/>
      </w:r>
    </w:p>
    <w:p w14:paraId="0C439B94" w14:textId="2C2DDF3B" w:rsidR="006B4ED7" w:rsidRDefault="006B4ED7" w:rsidP="006D798B">
      <w:pPr>
        <w:pStyle w:val="Heading4"/>
      </w:pPr>
      <w:r>
        <w:t>Current treatment options</w:t>
      </w:r>
    </w:p>
    <w:p w14:paraId="0BDF633F" w14:textId="779045BD" w:rsidR="005A46B6" w:rsidRDefault="00306A1E" w:rsidP="005A46B6">
      <w:r>
        <w:t>The c</w:t>
      </w:r>
      <w:r w:rsidR="00F10600">
        <w:t xml:space="preserve">ornerstone of </w:t>
      </w:r>
      <w:r>
        <w:t xml:space="preserve">treatment for </w:t>
      </w:r>
      <w:r w:rsidR="008640DA">
        <w:t xml:space="preserve">people with asthma </w:t>
      </w:r>
      <w:r w:rsidR="00F10600">
        <w:t xml:space="preserve">is with regular daily use of </w:t>
      </w:r>
      <w:r w:rsidR="006E46FB">
        <w:t>an inhaled corticosteroid (ICS)</w:t>
      </w:r>
      <w:r w:rsidR="00F10600">
        <w:t xml:space="preserve"> </w:t>
      </w:r>
      <w:r w:rsidR="006E46FB">
        <w:t>as a controller therapy, and a beta 2 agonist</w:t>
      </w:r>
      <w:r w:rsidR="00F10600">
        <w:t>.</w:t>
      </w:r>
      <w:r w:rsidR="00F10600" w:rsidRPr="006D798B">
        <w:rPr>
          <w:vertAlign w:val="superscript"/>
        </w:rPr>
        <w:fldChar w:fldCharType="begin"/>
      </w:r>
      <w:r w:rsidR="00F10600" w:rsidRPr="006D798B">
        <w:rPr>
          <w:vertAlign w:val="superscript"/>
        </w:rPr>
        <w:instrText xml:space="preserve"> NOTEREF _Ref129096246 \h </w:instrText>
      </w:r>
      <w:r w:rsidR="00F10600">
        <w:rPr>
          <w:vertAlign w:val="superscript"/>
        </w:rPr>
        <w:instrText xml:space="preserve"> \* MERGEFORMAT </w:instrText>
      </w:r>
      <w:r w:rsidR="00F10600" w:rsidRPr="006D798B">
        <w:rPr>
          <w:vertAlign w:val="superscript"/>
        </w:rPr>
      </w:r>
      <w:r w:rsidR="00F10600" w:rsidRPr="006D798B">
        <w:rPr>
          <w:vertAlign w:val="superscript"/>
        </w:rPr>
        <w:fldChar w:fldCharType="separate"/>
      </w:r>
      <w:r w:rsidR="00761EA9">
        <w:rPr>
          <w:vertAlign w:val="superscript"/>
        </w:rPr>
        <w:t>2</w:t>
      </w:r>
      <w:r w:rsidR="00F10600" w:rsidRPr="006D798B">
        <w:rPr>
          <w:vertAlign w:val="superscript"/>
        </w:rPr>
        <w:fldChar w:fldCharType="end"/>
      </w:r>
      <w:r w:rsidR="00F10600">
        <w:rPr>
          <w:vertAlign w:val="superscript"/>
        </w:rPr>
        <w:t>,</w:t>
      </w:r>
      <w:r w:rsidR="00F10600">
        <w:rPr>
          <w:rStyle w:val="FootnoteReference"/>
        </w:rPr>
        <w:footnoteReference w:id="12"/>
      </w:r>
      <w:r w:rsidR="00F10600">
        <w:t xml:space="preserve"> In patients </w:t>
      </w:r>
      <w:r w:rsidR="005A46B6">
        <w:t>with</w:t>
      </w:r>
      <w:r w:rsidR="00F10600">
        <w:t xml:space="preserve"> asthma with </w:t>
      </w:r>
      <w:r w:rsidR="005A46B6">
        <w:t xml:space="preserve">type 2 inflammation </w:t>
      </w:r>
      <w:r w:rsidR="002329CC">
        <w:t xml:space="preserve">that </w:t>
      </w:r>
      <w:r w:rsidR="005A46B6">
        <w:t xml:space="preserve">cannot be adequately controlled with maximum permitted doses of </w:t>
      </w:r>
      <w:r w:rsidR="003614E1" w:rsidRPr="003614E1">
        <w:t xml:space="preserve">ICS </w:t>
      </w:r>
      <w:r w:rsidR="003614E1">
        <w:t>and</w:t>
      </w:r>
      <w:r w:rsidR="003614E1" w:rsidRPr="003614E1">
        <w:t xml:space="preserve"> long</w:t>
      </w:r>
      <w:r w:rsidR="005C0A5F">
        <w:t xml:space="preserve"> </w:t>
      </w:r>
      <w:r w:rsidR="003614E1" w:rsidRPr="003614E1">
        <w:t xml:space="preserve">acting </w:t>
      </w:r>
      <w:r w:rsidR="005C0A5F">
        <w:t xml:space="preserve">beta </w:t>
      </w:r>
      <w:r w:rsidR="003614E1" w:rsidRPr="003614E1">
        <w:t>2</w:t>
      </w:r>
      <w:r w:rsidR="005C0A5F">
        <w:t xml:space="preserve"> </w:t>
      </w:r>
      <w:r w:rsidR="003614E1" w:rsidRPr="003614E1">
        <w:t>agonist</w:t>
      </w:r>
      <w:r w:rsidR="003614E1">
        <w:t>s</w:t>
      </w:r>
      <w:r w:rsidR="003614E1" w:rsidRPr="003614E1">
        <w:t xml:space="preserve"> </w:t>
      </w:r>
      <w:r w:rsidR="003614E1">
        <w:t>(LABA)</w:t>
      </w:r>
      <w:r w:rsidR="00673EA0">
        <w:t xml:space="preserve"> add on treatments can be given</w:t>
      </w:r>
      <w:r w:rsidR="00ED58BF">
        <w:t>. These add-on treatments</w:t>
      </w:r>
      <w:r w:rsidR="005A46B6">
        <w:t xml:space="preserve"> </w:t>
      </w:r>
      <w:r w:rsidR="00673EA0">
        <w:t>include</w:t>
      </w:r>
      <w:r w:rsidR="005A46B6">
        <w:t xml:space="preserve"> anti</w:t>
      </w:r>
      <w:r w:rsidR="00686284">
        <w:noBreakHyphen/>
      </w:r>
      <w:r w:rsidR="00B367C7">
        <w:t>Ig </w:t>
      </w:r>
      <w:r w:rsidR="003614E1">
        <w:t>E</w:t>
      </w:r>
      <w:r w:rsidR="005A46B6">
        <w:t xml:space="preserve"> agents</w:t>
      </w:r>
      <w:r w:rsidR="00ED58BF">
        <w:t xml:space="preserve"> (such as omalizumab)</w:t>
      </w:r>
      <w:r w:rsidR="005A46B6">
        <w:t>, anti-</w:t>
      </w:r>
      <w:r w:rsidR="00351608">
        <w:t>IL</w:t>
      </w:r>
      <w:r w:rsidR="003614E1" w:rsidRPr="003614E1">
        <w:t xml:space="preserve"> 5</w:t>
      </w:r>
      <w:r w:rsidR="003614E1">
        <w:t>/</w:t>
      </w:r>
      <w:r w:rsidR="005A46B6">
        <w:t>5</w:t>
      </w:r>
      <w:r w:rsidR="00351608">
        <w:t xml:space="preserve"> receptor</w:t>
      </w:r>
      <w:r w:rsidR="005A46B6">
        <w:t xml:space="preserve"> agents (mepolizumab and </w:t>
      </w:r>
      <w:proofErr w:type="spellStart"/>
      <w:r w:rsidR="005A46B6">
        <w:t>benralizumab</w:t>
      </w:r>
      <w:proofErr w:type="spellEnd"/>
      <w:r w:rsidR="005A46B6">
        <w:t xml:space="preserve"> for </w:t>
      </w:r>
      <w:r w:rsidR="00ED58BF">
        <w:t xml:space="preserve">adults and </w:t>
      </w:r>
      <w:r w:rsidR="005A46B6">
        <w:t xml:space="preserve">adolescents 12 years </w:t>
      </w:r>
      <w:r w:rsidR="00ED58BF">
        <w:t xml:space="preserve">of age </w:t>
      </w:r>
      <w:r w:rsidR="005A46B6">
        <w:t>and over</w:t>
      </w:r>
      <w:r w:rsidR="00DB5FF7">
        <w:t>,</w:t>
      </w:r>
      <w:r>
        <w:t xml:space="preserve"> </w:t>
      </w:r>
      <w:r w:rsidR="00DB5FF7">
        <w:t xml:space="preserve">and </w:t>
      </w:r>
      <w:proofErr w:type="spellStart"/>
      <w:r w:rsidR="005A46B6">
        <w:t>reslizumab</w:t>
      </w:r>
      <w:proofErr w:type="spellEnd"/>
      <w:r w:rsidR="005A46B6">
        <w:t>) or anti-</w:t>
      </w:r>
      <w:r w:rsidR="00F02C7B">
        <w:t>IL</w:t>
      </w:r>
      <w:r w:rsidR="008F20AF">
        <w:t>-</w:t>
      </w:r>
      <w:r w:rsidR="005A46B6">
        <w:t>4</w:t>
      </w:r>
      <w:r w:rsidR="00F02C7B">
        <w:t xml:space="preserve"> receptor</w:t>
      </w:r>
      <w:r w:rsidR="005A46B6">
        <w:t xml:space="preserve"> agents (dupilumab</w:t>
      </w:r>
      <w:r w:rsidR="00ED58BF">
        <w:t>,</w:t>
      </w:r>
      <w:r w:rsidR="005A46B6">
        <w:t xml:space="preserve"> currently </w:t>
      </w:r>
      <w:r w:rsidR="00ED58BF">
        <w:t>approved for adults and adolescents from</w:t>
      </w:r>
      <w:r w:rsidR="005A46B6">
        <w:t xml:space="preserve"> 12</w:t>
      </w:r>
      <w:r w:rsidR="00ED58BF">
        <w:t> </w:t>
      </w:r>
      <w:r w:rsidR="005A46B6">
        <w:t>years of age).</w:t>
      </w:r>
    </w:p>
    <w:p w14:paraId="43A8E06D" w14:textId="2E79D3E7" w:rsidR="006B4ED7" w:rsidRDefault="006B4ED7" w:rsidP="006D798B">
      <w:pPr>
        <w:pStyle w:val="Heading4"/>
      </w:pPr>
      <w:r>
        <w:t>Dupixent (dupilumab)</w:t>
      </w:r>
    </w:p>
    <w:p w14:paraId="0D3A94BD" w14:textId="48A152B8" w:rsidR="002329CC" w:rsidRDefault="005A46B6" w:rsidP="005A46B6">
      <w:r>
        <w:t xml:space="preserve">Dupilumab is a recombinant, human, monoclonal </w:t>
      </w:r>
      <w:r w:rsidR="002329CC">
        <w:t>immunoglobulin G4 (</w:t>
      </w:r>
      <w:r w:rsidR="00F02C7B">
        <w:t>Ig</w:t>
      </w:r>
      <w:r w:rsidR="00DB5FF7">
        <w:t>G4</w:t>
      </w:r>
      <w:r w:rsidR="002329CC">
        <w:t>)</w:t>
      </w:r>
      <w:r>
        <w:t xml:space="preserve"> antibody that inhibits the signalling pathways of </w:t>
      </w:r>
      <w:r w:rsidR="00F02C7B">
        <w:t>IL</w:t>
      </w:r>
      <w:r w:rsidR="008F20AF">
        <w:t>-</w:t>
      </w:r>
      <w:r>
        <w:t xml:space="preserve">4 and </w:t>
      </w:r>
      <w:r w:rsidR="00F02C7B">
        <w:t>IL</w:t>
      </w:r>
      <w:r w:rsidR="008F20AF">
        <w:t>-</w:t>
      </w:r>
      <w:r>
        <w:t xml:space="preserve">13 </w:t>
      </w:r>
      <w:r w:rsidR="008F20AF">
        <w:t>by binding to the IL-4Rα subunit of the IL-4 and IL-13 receptor complex (</w:t>
      </w:r>
      <w:r>
        <w:t xml:space="preserve">type I and II </w:t>
      </w:r>
      <w:r w:rsidR="009E5404">
        <w:t xml:space="preserve">cytokine </w:t>
      </w:r>
      <w:r>
        <w:t>receptors</w:t>
      </w:r>
      <w:r w:rsidR="008F20AF">
        <w:t>)</w:t>
      </w:r>
      <w:r>
        <w:t>.</w:t>
      </w:r>
      <w:r w:rsidR="008F20AF">
        <w:t xml:space="preserve"> </w:t>
      </w:r>
      <w:r w:rsidR="002329CC">
        <w:t xml:space="preserve">IL-4 and IL-13 are key type 2 cytokines involved in </w:t>
      </w:r>
      <w:r w:rsidR="008F20AF">
        <w:t xml:space="preserve">the </w:t>
      </w:r>
      <w:r w:rsidR="002329CC">
        <w:t xml:space="preserve">inflammatory response in </w:t>
      </w:r>
      <w:r w:rsidR="008F20AF">
        <w:t>asthma with type 2 inflammation.</w:t>
      </w:r>
    </w:p>
    <w:p w14:paraId="26623E24" w14:textId="15D35B86" w:rsidR="009F2673" w:rsidRPr="000A4A42" w:rsidRDefault="009F2673" w:rsidP="009F2673">
      <w:bookmarkStart w:id="15" w:name="_Toc314842485"/>
      <w:bookmarkStart w:id="16" w:name="_Toc247691504"/>
      <w:r w:rsidRPr="000A4A42">
        <w:t xml:space="preserve">This </w:t>
      </w:r>
      <w:r w:rsidR="00BB0B78">
        <w:t>submission</w:t>
      </w:r>
      <w:r w:rsidRPr="000A4A42">
        <w:t xml:space="preserve"> was evaluated as part of the </w:t>
      </w:r>
      <w:hyperlink r:id="rId15" w:history="1">
        <w:r>
          <w:rPr>
            <w:rStyle w:val="Hyperlink"/>
          </w:rPr>
          <w:t>Australia-Canada-Singapore-Switzerland-United Kingdom (ACCESS) Consortium</w:t>
        </w:r>
      </w:hyperlink>
      <w:r w:rsidRPr="000A4A42">
        <w:t xml:space="preserve"> with work-sharing between the TGA, </w:t>
      </w:r>
      <w:r w:rsidRPr="0052317A">
        <w:t>Health Canada, Health Sciences Authority Singapore</w:t>
      </w:r>
      <w:r w:rsidR="00892C9E" w:rsidRPr="0052317A">
        <w:t xml:space="preserve"> and</w:t>
      </w:r>
      <w:r w:rsidRPr="0052317A">
        <w:t xml:space="preserve"> </w:t>
      </w:r>
      <w:proofErr w:type="spellStart"/>
      <w:r w:rsidRPr="0052317A">
        <w:t>Swissmedic</w:t>
      </w:r>
      <w:proofErr w:type="spellEnd"/>
      <w:r w:rsidR="0052317A">
        <w:t>.</w:t>
      </w:r>
      <w:r w:rsidR="00892C9E">
        <w:rPr>
          <w:iCs/>
          <w:color w:val="007099"/>
        </w:rPr>
        <w:t xml:space="preserve"> </w:t>
      </w:r>
      <w:r w:rsidRPr="000A4A42">
        <w:t xml:space="preserve">Each regulator made independent decisions regarding approval (market authorisation) of the </w:t>
      </w:r>
      <w:r w:rsidR="00365CFE">
        <w:t>submission</w:t>
      </w:r>
      <w:r w:rsidRPr="000A4A42">
        <w:t>.</w:t>
      </w:r>
    </w:p>
    <w:p w14:paraId="61F5E35E" w14:textId="77777777" w:rsidR="008E7846" w:rsidRPr="003F31A2" w:rsidRDefault="00386150" w:rsidP="008E7846">
      <w:pPr>
        <w:pStyle w:val="Heading3"/>
      </w:pPr>
      <w:bookmarkStart w:id="17" w:name="_Ref129264196"/>
      <w:bookmarkStart w:id="18" w:name="_Toc129691996"/>
      <w:r>
        <w:lastRenderedPageBreak/>
        <w:t>Regulatory s</w:t>
      </w:r>
      <w:r w:rsidR="008E7846">
        <w:t>tatus</w:t>
      </w:r>
      <w:bookmarkEnd w:id="15"/>
      <w:bookmarkEnd w:id="16"/>
      <w:bookmarkEnd w:id="17"/>
      <w:bookmarkEnd w:id="18"/>
    </w:p>
    <w:p w14:paraId="0E5AE118" w14:textId="43BE95D7" w:rsidR="001347C4" w:rsidRDefault="008F20AF" w:rsidP="00332715">
      <w:bookmarkStart w:id="19" w:name="_Toc247691505"/>
      <w:bookmarkStart w:id="20" w:name="_Toc314842486"/>
      <w:r>
        <w:t xml:space="preserve">Dupixent (dupilumab) </w:t>
      </w:r>
      <w:r w:rsidR="00332715">
        <w:t>received initial registration on the Australian Register of Therapeutic Goods (ARTG) on</w:t>
      </w:r>
      <w:r w:rsidR="00892C9E">
        <w:t xml:space="preserve"> 24 January 2018</w:t>
      </w:r>
      <w:r w:rsidR="00B55A00">
        <w:t>,</w:t>
      </w:r>
      <w:r w:rsidR="00043F77">
        <w:t xml:space="preserve"> </w:t>
      </w:r>
      <w:r w:rsidR="00400A1C">
        <w:t>indicated for the treatment of atopic dermatitis</w:t>
      </w:r>
      <w:r w:rsidR="00917A3D">
        <w:t xml:space="preserve"> in adults</w:t>
      </w:r>
      <w:r w:rsidR="00400A1C">
        <w:t>.</w:t>
      </w:r>
      <w:r w:rsidR="00B55A00">
        <w:rPr>
          <w:rStyle w:val="FootnoteReference"/>
        </w:rPr>
        <w:footnoteReference w:id="13"/>
      </w:r>
    </w:p>
    <w:p w14:paraId="4FF9ECF3" w14:textId="41C2701F" w:rsidR="001347C4" w:rsidRDefault="001347C4" w:rsidP="00332715">
      <w:r>
        <w:t>Of relevance to this submission, on 28 May 2019</w:t>
      </w:r>
      <w:r w:rsidR="000B1D28">
        <w:t>,</w:t>
      </w:r>
      <w:r>
        <w:t xml:space="preserve"> the TGA approved a submission to extend the indications of Dupixent </w:t>
      </w:r>
      <w:r w:rsidR="00B35074">
        <w:t>to allow for</w:t>
      </w:r>
      <w:r>
        <w:t xml:space="preserve"> the treatment of asthma. This indication is as follows:</w:t>
      </w:r>
    </w:p>
    <w:p w14:paraId="2A61B03E" w14:textId="5ED6481C" w:rsidR="001347C4" w:rsidRPr="006D798B" w:rsidRDefault="001347C4" w:rsidP="006D798B">
      <w:pPr>
        <w:ind w:left="720"/>
        <w:rPr>
          <w:i/>
        </w:rPr>
      </w:pPr>
      <w:r w:rsidRPr="00A17CA8">
        <w:rPr>
          <w:i/>
        </w:rPr>
        <w:t xml:space="preserve">Dupixent </w:t>
      </w:r>
      <w:r w:rsidRPr="006D798B">
        <w:rPr>
          <w:i/>
        </w:rPr>
        <w:t xml:space="preserve">(solution for injection) is now also indicated as add on maintenance treatment in patients aged 12 years and older with moderate to severe asthma with type 2 inflammation (elevated eosinophils or elevated </w:t>
      </w:r>
      <w:proofErr w:type="spellStart"/>
      <w:r w:rsidRPr="006D798B">
        <w:rPr>
          <w:i/>
        </w:rPr>
        <w:t>FeNO</w:t>
      </w:r>
      <w:proofErr w:type="spellEnd"/>
      <w:r w:rsidRPr="006D798B">
        <w:rPr>
          <w:i/>
        </w:rPr>
        <w:t>).</w:t>
      </w:r>
    </w:p>
    <w:p w14:paraId="00B30EBF" w14:textId="5A2E4C98" w:rsidR="001347C4" w:rsidRDefault="001347C4" w:rsidP="006D798B">
      <w:pPr>
        <w:ind w:left="720"/>
        <w:rPr>
          <w:i/>
        </w:rPr>
      </w:pPr>
      <w:r w:rsidRPr="00A17CA8">
        <w:rPr>
          <w:i/>
        </w:rPr>
        <w:t xml:space="preserve">Dupixent </w:t>
      </w:r>
      <w:r w:rsidRPr="006D798B">
        <w:rPr>
          <w:i/>
        </w:rPr>
        <w:t>is now also indicated as maintenance therapy for oral corticosteroid dependent asthma.</w:t>
      </w:r>
    </w:p>
    <w:p w14:paraId="745614FF" w14:textId="6970414D" w:rsidR="001347C4" w:rsidRDefault="006B4ED7" w:rsidP="00332715">
      <w:r>
        <w:t>Another</w:t>
      </w:r>
      <w:r w:rsidR="00917A3D">
        <w:t xml:space="preserve"> </w:t>
      </w:r>
      <w:r>
        <w:t>submission</w:t>
      </w:r>
      <w:r w:rsidR="00917A3D">
        <w:t xml:space="preserve"> </w:t>
      </w:r>
      <w:r>
        <w:t>was</w:t>
      </w:r>
      <w:r w:rsidR="00917A3D">
        <w:t xml:space="preserve"> approved to extend the indications of Dupixent </w:t>
      </w:r>
      <w:r>
        <w:t xml:space="preserve">(dupilumab) </w:t>
      </w:r>
      <w:r w:rsidR="00917A3D">
        <w:t xml:space="preserve">including extending the indication for the treatment of atopic dermatitis to include adolescents aged 12 years and older </w:t>
      </w:r>
      <w:r w:rsidR="00E429D0">
        <w:t xml:space="preserve">on </w:t>
      </w:r>
      <w:r w:rsidR="00917A3D">
        <w:t>31 October 2019</w:t>
      </w:r>
      <w:r w:rsidR="000B1D28">
        <w:t>.</w:t>
      </w:r>
      <w:r w:rsidR="00917A3D">
        <w:t xml:space="preserve"> </w:t>
      </w:r>
      <w:r>
        <w:t>A further</w:t>
      </w:r>
      <w:r w:rsidR="000B1D28">
        <w:t xml:space="preserve"> submission was approved to include </w:t>
      </w:r>
      <w:r>
        <w:t xml:space="preserve">treatment of younger </w:t>
      </w:r>
      <w:r w:rsidR="00917A3D">
        <w:t xml:space="preserve">children </w:t>
      </w:r>
      <w:r>
        <w:t>(</w:t>
      </w:r>
      <w:r w:rsidR="00917A3D">
        <w:t>from the age of 6 years</w:t>
      </w:r>
      <w:r>
        <w:t>) to the atopic dermatitis indication</w:t>
      </w:r>
      <w:r w:rsidR="00917A3D">
        <w:t xml:space="preserve"> on 17 August 2021</w:t>
      </w:r>
      <w:bookmarkStart w:id="21" w:name="_Ref129259129"/>
      <w:r w:rsidR="000B1D28">
        <w:t>.</w:t>
      </w:r>
      <w:bookmarkStart w:id="22" w:name="_Ref129338025"/>
      <w:r w:rsidR="00A17CA8">
        <w:rPr>
          <w:rStyle w:val="FootnoteReference"/>
        </w:rPr>
        <w:footnoteReference w:id="14"/>
      </w:r>
      <w:bookmarkEnd w:id="21"/>
      <w:bookmarkEnd w:id="22"/>
      <w:r w:rsidR="000B1D28">
        <w:t xml:space="preserve"> </w:t>
      </w:r>
      <w:r>
        <w:t>For the same submission, an indication for the</w:t>
      </w:r>
      <w:r w:rsidR="00917A3D">
        <w:t xml:space="preserve"> treatment of c</w:t>
      </w:r>
      <w:r w:rsidR="00917A3D" w:rsidRPr="00917A3D">
        <w:t>hronic rhinosinusitis with nasal polyposis</w:t>
      </w:r>
      <w:r w:rsidR="00917A3D">
        <w:t xml:space="preserve"> in adults</w:t>
      </w:r>
      <w:r w:rsidR="00A17CA8">
        <w:t xml:space="preserve"> </w:t>
      </w:r>
      <w:r>
        <w:t>was approved on the same date.</w:t>
      </w:r>
      <w:r w:rsidRPr="006D798B">
        <w:rPr>
          <w:vertAlign w:val="superscript"/>
        </w:rPr>
        <w:fldChar w:fldCharType="begin"/>
      </w:r>
      <w:r w:rsidRPr="006D798B">
        <w:rPr>
          <w:vertAlign w:val="superscript"/>
        </w:rPr>
        <w:instrText xml:space="preserve"> NOTEREF _Ref129338025 \h </w:instrText>
      </w:r>
      <w:r>
        <w:rPr>
          <w:vertAlign w:val="superscript"/>
        </w:rPr>
        <w:instrText xml:space="preserve"> \* MERGEFORMAT </w:instrText>
      </w:r>
      <w:r w:rsidRPr="006D798B">
        <w:rPr>
          <w:vertAlign w:val="superscript"/>
        </w:rPr>
      </w:r>
      <w:r w:rsidRPr="006D798B">
        <w:rPr>
          <w:vertAlign w:val="superscript"/>
        </w:rPr>
        <w:fldChar w:fldCharType="separate"/>
      </w:r>
      <w:r w:rsidR="00761EA9">
        <w:rPr>
          <w:vertAlign w:val="superscript"/>
        </w:rPr>
        <w:t>14</w:t>
      </w:r>
      <w:r w:rsidRPr="006D798B">
        <w:rPr>
          <w:vertAlign w:val="superscript"/>
        </w:rPr>
        <w:fldChar w:fldCharType="end"/>
      </w:r>
    </w:p>
    <w:p w14:paraId="4B8CFC04" w14:textId="1B94FA6E" w:rsidR="000B1D28" w:rsidRDefault="000B1D28" w:rsidP="00332715">
      <w:r>
        <w:t xml:space="preserve">The </w:t>
      </w:r>
      <w:r w:rsidR="00025EBB">
        <w:t xml:space="preserve">full </w:t>
      </w:r>
      <w:r>
        <w:t>indications approved at the time that</w:t>
      </w:r>
      <w:r w:rsidR="00E429D0">
        <w:t xml:space="preserve"> this submission was considered</w:t>
      </w:r>
      <w:r>
        <w:t xml:space="preserve"> </w:t>
      </w:r>
      <w:r w:rsidR="00025EBB">
        <w:t>were</w:t>
      </w:r>
      <w:r>
        <w:t xml:space="preserve"> as follows:</w:t>
      </w:r>
    </w:p>
    <w:p w14:paraId="5F608881" w14:textId="1D35EB8A" w:rsidR="00400A1C" w:rsidRPr="006D798B" w:rsidRDefault="00A17CA8" w:rsidP="006D798B">
      <w:pPr>
        <w:ind w:firstLine="720"/>
        <w:rPr>
          <w:i/>
        </w:rPr>
      </w:pPr>
      <w:r>
        <w:rPr>
          <w:i/>
        </w:rPr>
        <w:t>‘</w:t>
      </w:r>
      <w:r w:rsidR="00400A1C" w:rsidRPr="006D798B">
        <w:rPr>
          <w:i/>
        </w:rPr>
        <w:t>Dupixent is indicated for the following type 2 inflammatory diseases:</w:t>
      </w:r>
    </w:p>
    <w:p w14:paraId="1561B0B5" w14:textId="77777777" w:rsidR="00400A1C" w:rsidRPr="006D798B" w:rsidRDefault="00400A1C" w:rsidP="006D798B">
      <w:pPr>
        <w:ind w:firstLine="720"/>
        <w:rPr>
          <w:b/>
          <w:i/>
        </w:rPr>
      </w:pPr>
      <w:r w:rsidRPr="006D798B">
        <w:rPr>
          <w:b/>
          <w:i/>
        </w:rPr>
        <w:t>Atopic Dermatitis</w:t>
      </w:r>
    </w:p>
    <w:p w14:paraId="5FC4BC2F" w14:textId="77777777" w:rsidR="00400A1C" w:rsidRPr="006D798B" w:rsidRDefault="00400A1C" w:rsidP="006D798B">
      <w:pPr>
        <w:ind w:firstLine="720"/>
        <w:rPr>
          <w:i/>
        </w:rPr>
      </w:pPr>
      <w:r w:rsidRPr="006D798B">
        <w:rPr>
          <w:i/>
        </w:rPr>
        <w:t>Adults and adolescents</w:t>
      </w:r>
    </w:p>
    <w:p w14:paraId="6526B0B1" w14:textId="59A99305" w:rsidR="00400A1C" w:rsidRPr="006D798B" w:rsidRDefault="00400A1C" w:rsidP="006D798B">
      <w:pPr>
        <w:ind w:left="720"/>
        <w:rPr>
          <w:i/>
        </w:rPr>
      </w:pPr>
      <w:r w:rsidRPr="006D798B">
        <w:rPr>
          <w:i/>
        </w:rPr>
        <w:t>Dupixent is indicated for the treatment of moderate to severe atopic dermatitis in patients aged 12 years and older who are candidates for chronic systemic therapy. Dupixent is not intended for episodic use.</w:t>
      </w:r>
    </w:p>
    <w:p w14:paraId="18555A2F" w14:textId="77777777" w:rsidR="00400A1C" w:rsidRPr="006D798B" w:rsidRDefault="00400A1C" w:rsidP="006D798B">
      <w:pPr>
        <w:ind w:firstLine="720"/>
        <w:rPr>
          <w:i/>
        </w:rPr>
      </w:pPr>
      <w:r w:rsidRPr="006D798B">
        <w:rPr>
          <w:i/>
        </w:rPr>
        <w:t>Children 6 to 11 years of age</w:t>
      </w:r>
    </w:p>
    <w:p w14:paraId="7D08BC86" w14:textId="2465B89B" w:rsidR="00400A1C" w:rsidRPr="006D798B" w:rsidRDefault="00400A1C" w:rsidP="006D798B">
      <w:pPr>
        <w:ind w:left="720"/>
        <w:rPr>
          <w:i/>
        </w:rPr>
      </w:pPr>
      <w:r w:rsidRPr="006D798B">
        <w:rPr>
          <w:i/>
        </w:rPr>
        <w:t>Dupixent is indicated for the treatment of severe atopic dermatitis</w:t>
      </w:r>
      <w:r w:rsidRPr="00A17CA8">
        <w:rPr>
          <w:i/>
        </w:rPr>
        <w:t xml:space="preserve"> in patients aged 6 to 11 years</w:t>
      </w:r>
      <w:r>
        <w:rPr>
          <w:i/>
        </w:rPr>
        <w:t xml:space="preserve"> </w:t>
      </w:r>
      <w:r w:rsidRPr="006D798B">
        <w:rPr>
          <w:i/>
        </w:rPr>
        <w:t>old who are candidates for chronic systemic therapy. Dupixent is not intended for episodic use.</w:t>
      </w:r>
    </w:p>
    <w:p w14:paraId="4A99AA61" w14:textId="77777777" w:rsidR="00400A1C" w:rsidRPr="006D798B" w:rsidRDefault="00400A1C" w:rsidP="006D798B">
      <w:pPr>
        <w:ind w:firstLine="720"/>
        <w:rPr>
          <w:b/>
          <w:i/>
        </w:rPr>
      </w:pPr>
      <w:r w:rsidRPr="006D798B">
        <w:rPr>
          <w:b/>
          <w:i/>
        </w:rPr>
        <w:t>Asthma</w:t>
      </w:r>
    </w:p>
    <w:p w14:paraId="5DBDFA61" w14:textId="72788924" w:rsidR="00400A1C" w:rsidRPr="006D798B" w:rsidRDefault="00400A1C" w:rsidP="006D798B">
      <w:pPr>
        <w:ind w:left="720"/>
        <w:rPr>
          <w:i/>
        </w:rPr>
      </w:pPr>
      <w:r w:rsidRPr="006D798B">
        <w:rPr>
          <w:i/>
        </w:rPr>
        <w:t xml:space="preserve">Dupixent is indicated as add on maintenance treatment in patients aged 12 years and older with moderate to severe asthma with type 2 inflammation (elevated eosinophils or elevated </w:t>
      </w:r>
      <w:proofErr w:type="spellStart"/>
      <w:r w:rsidRPr="006D798B">
        <w:rPr>
          <w:i/>
        </w:rPr>
        <w:t>FeNO</w:t>
      </w:r>
      <w:proofErr w:type="spellEnd"/>
      <w:r w:rsidRPr="006D798B">
        <w:rPr>
          <w:i/>
        </w:rPr>
        <w:t>).</w:t>
      </w:r>
    </w:p>
    <w:p w14:paraId="5C3B403D" w14:textId="77777777" w:rsidR="00400A1C" w:rsidRPr="006D798B" w:rsidRDefault="00400A1C" w:rsidP="006D798B">
      <w:pPr>
        <w:ind w:left="720"/>
        <w:rPr>
          <w:i/>
        </w:rPr>
      </w:pPr>
      <w:r w:rsidRPr="006D798B">
        <w:rPr>
          <w:i/>
        </w:rPr>
        <w:t>Dupixent is indicated as maintenance therapy for oral corticosteroid dependent asthma.</w:t>
      </w:r>
    </w:p>
    <w:p w14:paraId="681C5EAA" w14:textId="77777777" w:rsidR="00400A1C" w:rsidRPr="006D798B" w:rsidRDefault="00400A1C" w:rsidP="006D798B">
      <w:pPr>
        <w:ind w:left="720"/>
        <w:rPr>
          <w:b/>
          <w:i/>
        </w:rPr>
      </w:pPr>
      <w:r w:rsidRPr="006D798B">
        <w:rPr>
          <w:b/>
          <w:i/>
        </w:rPr>
        <w:t>Chronic rhinosinusitis with nasal polyposis (</w:t>
      </w:r>
      <w:proofErr w:type="spellStart"/>
      <w:r w:rsidRPr="006D798B">
        <w:rPr>
          <w:b/>
          <w:i/>
        </w:rPr>
        <w:t>CRSwNP</w:t>
      </w:r>
      <w:proofErr w:type="spellEnd"/>
      <w:r w:rsidRPr="006D798B">
        <w:rPr>
          <w:b/>
          <w:i/>
        </w:rPr>
        <w:t>)</w:t>
      </w:r>
    </w:p>
    <w:p w14:paraId="76C46B64" w14:textId="776F631F" w:rsidR="00C264F4" w:rsidRPr="00C264F4" w:rsidRDefault="00400A1C">
      <w:pPr>
        <w:ind w:left="720"/>
        <w:rPr>
          <w:i/>
          <w:iCs/>
        </w:rPr>
      </w:pPr>
      <w:r w:rsidRPr="006D798B">
        <w:rPr>
          <w:i/>
        </w:rPr>
        <w:lastRenderedPageBreak/>
        <w:t>Dupixent is indicated as an add-on maintenance treatment in a</w:t>
      </w:r>
      <w:r w:rsidRPr="00A17CA8">
        <w:rPr>
          <w:i/>
        </w:rPr>
        <w:t>dult patients with inadequately</w:t>
      </w:r>
      <w:r>
        <w:rPr>
          <w:i/>
        </w:rPr>
        <w:t xml:space="preserve"> </w:t>
      </w:r>
      <w:r w:rsidRPr="006D798B">
        <w:rPr>
          <w:i/>
        </w:rPr>
        <w:t>controlled chronic rhinosinusitis with nasal polyposis (</w:t>
      </w:r>
      <w:proofErr w:type="spellStart"/>
      <w:r w:rsidRPr="006D798B">
        <w:rPr>
          <w:i/>
        </w:rPr>
        <w:t>CRSwNP</w:t>
      </w:r>
      <w:proofErr w:type="spellEnd"/>
      <w:r w:rsidRPr="006D798B">
        <w:rPr>
          <w:i/>
        </w:rPr>
        <w:t>).</w:t>
      </w:r>
    </w:p>
    <w:p w14:paraId="50011469" w14:textId="4A7DA692" w:rsidR="0040369E" w:rsidRDefault="00C264F4" w:rsidP="00332715">
      <w:r>
        <w:t xml:space="preserve">At the time the </w:t>
      </w:r>
      <w:r w:rsidR="00332715">
        <w:t xml:space="preserve">TGA considered this </w:t>
      </w:r>
      <w:r w:rsidR="00BB0B78">
        <w:t>submission</w:t>
      </w:r>
      <w:r w:rsidR="00332715">
        <w:t xml:space="preserve">, a similar </w:t>
      </w:r>
      <w:r w:rsidR="00BB0B78">
        <w:t>submission</w:t>
      </w:r>
      <w:r w:rsidR="00332715">
        <w:t xml:space="preserve"> had been approved </w:t>
      </w:r>
      <w:r>
        <w:t>in the United States</w:t>
      </w:r>
      <w:r w:rsidR="008F20AF">
        <w:t xml:space="preserve"> of America</w:t>
      </w:r>
      <w:r>
        <w:t xml:space="preserve"> (US</w:t>
      </w:r>
      <w:r w:rsidR="008F20AF">
        <w:t>A</w:t>
      </w:r>
      <w:r>
        <w:t xml:space="preserve">) on 20 October 2021 and by the </w:t>
      </w:r>
      <w:r w:rsidR="00143F2C">
        <w:t>European Union (</w:t>
      </w:r>
      <w:r>
        <w:t>EU</w:t>
      </w:r>
      <w:r w:rsidR="00143F2C">
        <w:t>)</w:t>
      </w:r>
      <w:r>
        <w:t xml:space="preserve"> on 27</w:t>
      </w:r>
      <w:r w:rsidR="005605F6">
        <w:t> </w:t>
      </w:r>
      <w:r>
        <w:t>January 2022.</w:t>
      </w:r>
      <w:r w:rsidR="0040369E">
        <w:t xml:space="preserve"> </w:t>
      </w:r>
      <w:r>
        <w:t>A s</w:t>
      </w:r>
      <w:r w:rsidR="00332715">
        <w:t xml:space="preserve">imilar </w:t>
      </w:r>
      <w:r w:rsidR="00BB0B78">
        <w:t>submission</w:t>
      </w:r>
      <w:r w:rsidR="00332715">
        <w:t xml:space="preserve"> was under consideration </w:t>
      </w:r>
      <w:r>
        <w:t>Switzerland (submitted 30 April 2022), Canada (submitted 30 April 2022) and Singapore (submitted 30</w:t>
      </w:r>
      <w:r w:rsidR="008F20AF">
        <w:t> </w:t>
      </w:r>
      <w:r>
        <w:t>April 2022</w:t>
      </w:r>
      <w:r w:rsidR="0040369E">
        <w:t>).</w:t>
      </w:r>
    </w:p>
    <w:p w14:paraId="041F72D3" w14:textId="3AB04F45" w:rsidR="00F22ACE" w:rsidRDefault="00F22ACE" w:rsidP="00F22ACE">
      <w:r>
        <w:t xml:space="preserve">The following table summarises these submissions and provides the </w:t>
      </w:r>
      <w:r w:rsidR="008F20AF">
        <w:t xml:space="preserve">comparable </w:t>
      </w:r>
      <w:r>
        <w:t>indications where approved.</w:t>
      </w:r>
    </w:p>
    <w:p w14:paraId="7FF27AB0" w14:textId="04E332BA" w:rsidR="00F22ACE" w:rsidRPr="00F0146F" w:rsidRDefault="00F22ACE" w:rsidP="00F22ACE">
      <w:pPr>
        <w:pStyle w:val="TableTitle"/>
      </w:pPr>
      <w:bookmarkStart w:id="23" w:name="_Ref99705479"/>
      <w:r>
        <w:t xml:space="preserve">Table </w:t>
      </w:r>
      <w:fldSimple w:instr=" SEQ Table \* ARABIC ">
        <w:r w:rsidR="00761EA9">
          <w:rPr>
            <w:noProof/>
          </w:rPr>
          <w:t>1</w:t>
        </w:r>
      </w:fldSimple>
      <w:bookmarkEnd w:id="23"/>
      <w:r>
        <w:t>: International regulatory status</w:t>
      </w:r>
    </w:p>
    <w:tbl>
      <w:tblPr>
        <w:tblStyle w:val="TableTGAblue"/>
        <w:tblW w:w="8815" w:type="dxa"/>
        <w:tblLook w:val="04A0" w:firstRow="1" w:lastRow="0" w:firstColumn="1" w:lastColumn="0" w:noHBand="0" w:noVBand="1"/>
      </w:tblPr>
      <w:tblGrid>
        <w:gridCol w:w="1615"/>
        <w:gridCol w:w="1924"/>
        <w:gridCol w:w="1985"/>
        <w:gridCol w:w="3291"/>
      </w:tblGrid>
      <w:tr w:rsidR="00F22ACE" w14:paraId="3B3F00B0" w14:textId="77777777" w:rsidTr="006D798B">
        <w:trPr>
          <w:cnfStyle w:val="100000000000" w:firstRow="1" w:lastRow="0" w:firstColumn="0" w:lastColumn="0" w:oddVBand="0" w:evenVBand="0" w:oddHBand="0" w:evenHBand="0" w:firstRowFirstColumn="0" w:firstRowLastColumn="0" w:lastRowFirstColumn="0" w:lastRowLastColumn="0"/>
        </w:trPr>
        <w:tc>
          <w:tcPr>
            <w:tcW w:w="1615" w:type="dxa"/>
            <w:tcBorders>
              <w:top w:val="single" w:sz="4" w:space="0" w:color="auto"/>
              <w:left w:val="single" w:sz="4" w:space="0" w:color="auto"/>
              <w:bottom w:val="single" w:sz="4" w:space="0" w:color="auto"/>
              <w:right w:val="single" w:sz="4" w:space="0" w:color="auto"/>
            </w:tcBorders>
          </w:tcPr>
          <w:p w14:paraId="1459BCC8" w14:textId="77777777" w:rsidR="00F22ACE" w:rsidRPr="006D798B" w:rsidRDefault="00F22ACE" w:rsidP="00455B34">
            <w:pPr>
              <w:ind w:left="0" w:right="0"/>
              <w:rPr>
                <w:sz w:val="20"/>
              </w:rPr>
            </w:pPr>
            <w:r w:rsidRPr="006D798B">
              <w:rPr>
                <w:sz w:val="20"/>
              </w:rPr>
              <w:t>Region</w:t>
            </w:r>
          </w:p>
        </w:tc>
        <w:tc>
          <w:tcPr>
            <w:tcW w:w="1924" w:type="dxa"/>
            <w:tcBorders>
              <w:top w:val="single" w:sz="4" w:space="0" w:color="auto"/>
              <w:left w:val="single" w:sz="4" w:space="0" w:color="auto"/>
              <w:bottom w:val="single" w:sz="4" w:space="0" w:color="auto"/>
              <w:right w:val="single" w:sz="4" w:space="0" w:color="auto"/>
            </w:tcBorders>
          </w:tcPr>
          <w:p w14:paraId="51AC0E76" w14:textId="77777777" w:rsidR="00F22ACE" w:rsidRPr="006D798B" w:rsidRDefault="00F22ACE" w:rsidP="00455B34">
            <w:pPr>
              <w:ind w:left="0" w:right="0"/>
              <w:rPr>
                <w:sz w:val="20"/>
              </w:rPr>
            </w:pPr>
            <w:r w:rsidRPr="006D798B">
              <w:rPr>
                <w:sz w:val="20"/>
              </w:rPr>
              <w:t>Submission date</w:t>
            </w:r>
          </w:p>
        </w:tc>
        <w:tc>
          <w:tcPr>
            <w:tcW w:w="1985" w:type="dxa"/>
            <w:tcBorders>
              <w:top w:val="single" w:sz="4" w:space="0" w:color="auto"/>
              <w:left w:val="single" w:sz="4" w:space="0" w:color="auto"/>
              <w:bottom w:val="single" w:sz="4" w:space="0" w:color="auto"/>
              <w:right w:val="single" w:sz="4" w:space="0" w:color="auto"/>
            </w:tcBorders>
          </w:tcPr>
          <w:p w14:paraId="50B39B7C" w14:textId="77777777" w:rsidR="00F22ACE" w:rsidRPr="006D798B" w:rsidRDefault="00F22ACE" w:rsidP="00455B34">
            <w:pPr>
              <w:ind w:left="0" w:right="0"/>
              <w:rPr>
                <w:sz w:val="20"/>
              </w:rPr>
            </w:pPr>
            <w:r w:rsidRPr="006D798B">
              <w:rPr>
                <w:sz w:val="20"/>
              </w:rPr>
              <w:t>Status</w:t>
            </w:r>
          </w:p>
        </w:tc>
        <w:tc>
          <w:tcPr>
            <w:tcW w:w="3291" w:type="dxa"/>
            <w:tcBorders>
              <w:top w:val="single" w:sz="4" w:space="0" w:color="auto"/>
              <w:left w:val="single" w:sz="4" w:space="0" w:color="auto"/>
              <w:bottom w:val="single" w:sz="4" w:space="0" w:color="auto"/>
              <w:right w:val="single" w:sz="4" w:space="0" w:color="auto"/>
            </w:tcBorders>
          </w:tcPr>
          <w:p w14:paraId="1560BCFD" w14:textId="77777777" w:rsidR="00F22ACE" w:rsidRPr="006D798B" w:rsidRDefault="00F22ACE" w:rsidP="00455B34">
            <w:pPr>
              <w:ind w:left="0" w:right="0"/>
              <w:rPr>
                <w:sz w:val="20"/>
              </w:rPr>
            </w:pPr>
            <w:r w:rsidRPr="006D798B">
              <w:rPr>
                <w:sz w:val="20"/>
              </w:rPr>
              <w:t>Approved indications</w:t>
            </w:r>
          </w:p>
        </w:tc>
      </w:tr>
      <w:tr w:rsidR="00F22ACE" w14:paraId="22840190" w14:textId="77777777" w:rsidTr="006D798B">
        <w:tc>
          <w:tcPr>
            <w:tcW w:w="1615" w:type="dxa"/>
            <w:tcBorders>
              <w:top w:val="single" w:sz="4" w:space="0" w:color="auto"/>
            </w:tcBorders>
          </w:tcPr>
          <w:p w14:paraId="7B0A446A" w14:textId="19D49CF2" w:rsidR="00F22ACE" w:rsidRPr="006D798B" w:rsidRDefault="00F22ACE" w:rsidP="00455B34">
            <w:pPr>
              <w:ind w:left="0" w:right="0"/>
              <w:rPr>
                <w:sz w:val="20"/>
              </w:rPr>
            </w:pPr>
            <w:r w:rsidRPr="006D798B">
              <w:rPr>
                <w:sz w:val="20"/>
              </w:rPr>
              <w:t>United States</w:t>
            </w:r>
            <w:r w:rsidR="008F20AF" w:rsidRPr="006D798B">
              <w:rPr>
                <w:sz w:val="20"/>
              </w:rPr>
              <w:t xml:space="preserve"> of America</w:t>
            </w:r>
          </w:p>
        </w:tc>
        <w:tc>
          <w:tcPr>
            <w:tcW w:w="1924" w:type="dxa"/>
            <w:tcBorders>
              <w:top w:val="single" w:sz="4" w:space="0" w:color="auto"/>
            </w:tcBorders>
          </w:tcPr>
          <w:p w14:paraId="53EF869A" w14:textId="02611BF4" w:rsidR="00F22ACE" w:rsidRPr="006D798B" w:rsidRDefault="00F22ACE" w:rsidP="00455B34">
            <w:pPr>
              <w:ind w:left="0" w:right="0"/>
              <w:rPr>
                <w:sz w:val="20"/>
              </w:rPr>
            </w:pPr>
            <w:r w:rsidRPr="006D798B">
              <w:rPr>
                <w:sz w:val="20"/>
              </w:rPr>
              <w:t>21 December 2020</w:t>
            </w:r>
          </w:p>
        </w:tc>
        <w:tc>
          <w:tcPr>
            <w:tcW w:w="1985" w:type="dxa"/>
            <w:tcBorders>
              <w:top w:val="single" w:sz="4" w:space="0" w:color="auto"/>
            </w:tcBorders>
          </w:tcPr>
          <w:p w14:paraId="270B9199" w14:textId="6F09FAC9" w:rsidR="00F22ACE" w:rsidRPr="006D798B" w:rsidRDefault="00F22ACE" w:rsidP="00455B34">
            <w:pPr>
              <w:ind w:left="0" w:right="0"/>
              <w:rPr>
                <w:sz w:val="20"/>
              </w:rPr>
            </w:pPr>
            <w:r w:rsidRPr="006D798B">
              <w:rPr>
                <w:sz w:val="20"/>
              </w:rPr>
              <w:t>20 October 2021</w:t>
            </w:r>
          </w:p>
        </w:tc>
        <w:tc>
          <w:tcPr>
            <w:tcW w:w="3291" w:type="dxa"/>
            <w:tcBorders>
              <w:top w:val="single" w:sz="4" w:space="0" w:color="auto"/>
            </w:tcBorders>
          </w:tcPr>
          <w:p w14:paraId="01DD5149" w14:textId="429ECE1C" w:rsidR="004C79CC" w:rsidRPr="006D798B" w:rsidRDefault="008F20AF" w:rsidP="00455B34">
            <w:pPr>
              <w:ind w:left="0" w:right="0"/>
              <w:rPr>
                <w:i/>
                <w:iCs/>
                <w:sz w:val="20"/>
              </w:rPr>
            </w:pPr>
            <w:r w:rsidRPr="006D798B">
              <w:rPr>
                <w:i/>
                <w:iCs/>
                <w:sz w:val="20"/>
              </w:rPr>
              <w:t>Dupixent</w:t>
            </w:r>
            <w:r w:rsidR="004C79CC" w:rsidRPr="006D798B">
              <w:rPr>
                <w:i/>
                <w:iCs/>
                <w:sz w:val="20"/>
              </w:rPr>
              <w:t xml:space="preserve"> is indicated as an add-on maintenance treatment of adult and </w:t>
            </w:r>
            <w:proofErr w:type="spellStart"/>
            <w:r w:rsidR="004C79CC" w:rsidRPr="006D798B">
              <w:rPr>
                <w:i/>
                <w:iCs/>
                <w:sz w:val="20"/>
              </w:rPr>
              <w:t>pediatric</w:t>
            </w:r>
            <w:proofErr w:type="spellEnd"/>
            <w:r w:rsidR="004C79CC" w:rsidRPr="006D798B">
              <w:rPr>
                <w:i/>
                <w:iCs/>
                <w:sz w:val="20"/>
              </w:rPr>
              <w:t xml:space="preserve"> patients aged 6</w:t>
            </w:r>
            <w:r w:rsidR="009E5404" w:rsidRPr="006D798B">
              <w:rPr>
                <w:i/>
                <w:iCs/>
                <w:sz w:val="20"/>
              </w:rPr>
              <w:t> </w:t>
            </w:r>
            <w:r w:rsidR="004C79CC" w:rsidRPr="006D798B">
              <w:rPr>
                <w:i/>
                <w:iCs/>
                <w:sz w:val="20"/>
              </w:rPr>
              <w:t>years and older with moderate-to-severe asthma characterized by an eosinophilic phenotype or with oral corticosteroid dependent asthma</w:t>
            </w:r>
          </w:p>
        </w:tc>
      </w:tr>
      <w:tr w:rsidR="00F22ACE" w14:paraId="4CA74C9A" w14:textId="77777777" w:rsidTr="006D798B">
        <w:trPr>
          <w:cantSplit/>
        </w:trPr>
        <w:tc>
          <w:tcPr>
            <w:tcW w:w="1615" w:type="dxa"/>
          </w:tcPr>
          <w:p w14:paraId="3D3CB2F4" w14:textId="40B709CD" w:rsidR="00F22ACE" w:rsidRPr="006D798B" w:rsidRDefault="00F22ACE" w:rsidP="00455B34">
            <w:pPr>
              <w:ind w:left="0" w:right="0"/>
              <w:rPr>
                <w:sz w:val="20"/>
              </w:rPr>
            </w:pPr>
            <w:r w:rsidRPr="006D798B">
              <w:rPr>
                <w:sz w:val="20"/>
              </w:rPr>
              <w:t>European Union</w:t>
            </w:r>
          </w:p>
        </w:tc>
        <w:tc>
          <w:tcPr>
            <w:tcW w:w="1924" w:type="dxa"/>
          </w:tcPr>
          <w:p w14:paraId="5CAA099D" w14:textId="567435CD" w:rsidR="00F22ACE" w:rsidRPr="006D798B" w:rsidRDefault="00F22ACE" w:rsidP="00455B34">
            <w:pPr>
              <w:ind w:left="0" w:right="0"/>
              <w:rPr>
                <w:sz w:val="20"/>
              </w:rPr>
            </w:pPr>
            <w:r w:rsidRPr="006D798B">
              <w:rPr>
                <w:sz w:val="20"/>
              </w:rPr>
              <w:t>5 March 2021</w:t>
            </w:r>
          </w:p>
        </w:tc>
        <w:tc>
          <w:tcPr>
            <w:tcW w:w="1985" w:type="dxa"/>
          </w:tcPr>
          <w:p w14:paraId="023FB71D" w14:textId="6EFCB546" w:rsidR="00F22ACE" w:rsidRPr="006D798B" w:rsidRDefault="00F22ACE" w:rsidP="00455B34">
            <w:pPr>
              <w:ind w:left="0" w:right="0"/>
              <w:rPr>
                <w:sz w:val="20"/>
              </w:rPr>
            </w:pPr>
            <w:r w:rsidRPr="006D798B">
              <w:rPr>
                <w:sz w:val="20"/>
              </w:rPr>
              <w:t>27 January 2022</w:t>
            </w:r>
          </w:p>
        </w:tc>
        <w:tc>
          <w:tcPr>
            <w:tcW w:w="3291" w:type="dxa"/>
          </w:tcPr>
          <w:p w14:paraId="6160764D" w14:textId="3D43D053" w:rsidR="004C79CC" w:rsidRPr="006D798B" w:rsidRDefault="004C79CC" w:rsidP="00455B34">
            <w:pPr>
              <w:ind w:left="0" w:right="0"/>
              <w:rPr>
                <w:i/>
                <w:iCs/>
                <w:sz w:val="20"/>
              </w:rPr>
            </w:pPr>
            <w:r w:rsidRPr="006D798B">
              <w:rPr>
                <w:i/>
                <w:iCs/>
                <w:sz w:val="20"/>
              </w:rPr>
              <w:t>Dupixent is indicated in children 6 to 11 years old as add-on maintenance treatment for severe asthma with type 2 inflammation characterised by raised blood eosinophils and/or raised fraction of exhaled nitric oxide (</w:t>
            </w:r>
            <w:proofErr w:type="spellStart"/>
            <w:r w:rsidRPr="006D798B">
              <w:rPr>
                <w:i/>
                <w:iCs/>
                <w:sz w:val="20"/>
              </w:rPr>
              <w:t>FeNO</w:t>
            </w:r>
            <w:proofErr w:type="spellEnd"/>
            <w:r w:rsidRPr="006D798B">
              <w:rPr>
                <w:i/>
                <w:iCs/>
                <w:sz w:val="20"/>
              </w:rPr>
              <w:t>), see section 5.1, who are inadequately controlled with medium to high dose inhaled corticosteroids (ICS) plus another medicinal product for maintenance treatment.</w:t>
            </w:r>
          </w:p>
        </w:tc>
      </w:tr>
      <w:tr w:rsidR="00F22ACE" w14:paraId="6FF908E0" w14:textId="77777777" w:rsidTr="006D798B">
        <w:tc>
          <w:tcPr>
            <w:tcW w:w="1615" w:type="dxa"/>
          </w:tcPr>
          <w:p w14:paraId="70EC33D1" w14:textId="2E50922F" w:rsidR="00F22ACE" w:rsidRPr="006D798B" w:rsidRDefault="00F22ACE" w:rsidP="00F22ACE">
            <w:pPr>
              <w:ind w:left="0" w:right="0"/>
              <w:rPr>
                <w:sz w:val="20"/>
              </w:rPr>
            </w:pPr>
            <w:r w:rsidRPr="006D798B">
              <w:rPr>
                <w:sz w:val="20"/>
              </w:rPr>
              <w:t>Switzerland</w:t>
            </w:r>
          </w:p>
        </w:tc>
        <w:tc>
          <w:tcPr>
            <w:tcW w:w="1924" w:type="dxa"/>
          </w:tcPr>
          <w:p w14:paraId="308CDA8E" w14:textId="7C2C1328" w:rsidR="00F22ACE" w:rsidRPr="006D798B" w:rsidRDefault="00F22ACE" w:rsidP="00F22ACE">
            <w:pPr>
              <w:ind w:left="0" w:right="0"/>
              <w:rPr>
                <w:sz w:val="20"/>
              </w:rPr>
            </w:pPr>
            <w:r w:rsidRPr="006D798B">
              <w:rPr>
                <w:sz w:val="20"/>
              </w:rPr>
              <w:t>30 April 2022</w:t>
            </w:r>
          </w:p>
        </w:tc>
        <w:tc>
          <w:tcPr>
            <w:tcW w:w="1985" w:type="dxa"/>
          </w:tcPr>
          <w:p w14:paraId="26A9365B" w14:textId="05A01EDF" w:rsidR="00F22ACE" w:rsidRPr="006D798B" w:rsidRDefault="00D932D6" w:rsidP="00F22ACE">
            <w:pPr>
              <w:ind w:left="0" w:right="0"/>
              <w:rPr>
                <w:sz w:val="20"/>
              </w:rPr>
            </w:pPr>
            <w:r w:rsidRPr="006D798B">
              <w:rPr>
                <w:sz w:val="20"/>
              </w:rPr>
              <w:t>28 April 2022</w:t>
            </w:r>
          </w:p>
        </w:tc>
        <w:tc>
          <w:tcPr>
            <w:tcW w:w="3291" w:type="dxa"/>
          </w:tcPr>
          <w:p w14:paraId="5463166F" w14:textId="77777777" w:rsidR="00D932D6" w:rsidRPr="006D798B" w:rsidRDefault="00D932D6" w:rsidP="00365CFE">
            <w:pPr>
              <w:shd w:val="clear" w:color="auto" w:fill="FFFFFF"/>
              <w:spacing w:before="0" w:after="0" w:line="240" w:lineRule="auto"/>
              <w:ind w:left="0"/>
              <w:rPr>
                <w:rFonts w:eastAsia="Times New Roman" w:cs="Calibri"/>
                <w:i/>
                <w:iCs/>
                <w:color w:val="444444"/>
                <w:sz w:val="20"/>
                <w:lang w:val="en-US"/>
              </w:rPr>
            </w:pPr>
            <w:r w:rsidRPr="006D798B">
              <w:rPr>
                <w:rFonts w:eastAsia="Times New Roman" w:cs="Calibri"/>
                <w:i/>
                <w:iCs/>
                <w:color w:val="444444"/>
                <w:sz w:val="20"/>
                <w:lang w:val="en-US"/>
              </w:rPr>
              <w:t>Dupixent is indicated in adults and children (6 years and older) as an add-on maintenance treatment for severe asthma with the following criteria:</w:t>
            </w:r>
          </w:p>
          <w:p w14:paraId="78608673" w14:textId="50A43495" w:rsidR="00D932D6" w:rsidRPr="006D798B" w:rsidRDefault="00D932D6" w:rsidP="00365CFE">
            <w:pPr>
              <w:shd w:val="clear" w:color="auto" w:fill="FFFFFF"/>
              <w:spacing w:before="0" w:after="0" w:line="240" w:lineRule="auto"/>
              <w:ind w:left="0"/>
              <w:rPr>
                <w:rFonts w:eastAsia="Times New Roman" w:cs="Calibri"/>
                <w:i/>
                <w:iCs/>
                <w:color w:val="444444"/>
                <w:sz w:val="20"/>
                <w:lang w:val="en-US"/>
              </w:rPr>
            </w:pPr>
            <w:r w:rsidRPr="006D798B">
              <w:rPr>
                <w:rFonts w:eastAsia="Times New Roman" w:cs="Calibri"/>
                <w:i/>
                <w:iCs/>
                <w:color w:val="444444"/>
                <w:sz w:val="20"/>
                <w:lang w:val="en-US"/>
              </w:rPr>
              <w:t>• number of eosinophil cells in the blood ≥ 0.15 G/</w:t>
            </w:r>
            <w:proofErr w:type="spellStart"/>
            <w:r w:rsidRPr="006D798B">
              <w:rPr>
                <w:rFonts w:eastAsia="Times New Roman" w:cs="Calibri"/>
                <w:i/>
                <w:iCs/>
                <w:color w:val="444444"/>
                <w:sz w:val="20"/>
                <w:lang w:val="en-US"/>
              </w:rPr>
              <w:t>litre</w:t>
            </w:r>
            <w:proofErr w:type="spellEnd"/>
            <w:r w:rsidRPr="006D798B">
              <w:rPr>
                <w:rFonts w:eastAsia="Times New Roman" w:cs="Calibri"/>
                <w:i/>
                <w:iCs/>
                <w:color w:val="444444"/>
                <w:sz w:val="20"/>
                <w:lang w:val="en-US"/>
              </w:rPr>
              <w:t xml:space="preserve"> (</w:t>
            </w:r>
            <w:proofErr w:type="gramStart"/>
            <w:r w:rsidRPr="006D798B">
              <w:rPr>
                <w:rFonts w:eastAsia="Times New Roman" w:cs="Calibri"/>
                <w:i/>
                <w:iCs/>
                <w:color w:val="444444"/>
                <w:sz w:val="20"/>
                <w:lang w:val="en-US"/>
              </w:rPr>
              <w:t>i.e.</w:t>
            </w:r>
            <w:proofErr w:type="gramEnd"/>
            <w:r w:rsidRPr="006D798B">
              <w:rPr>
                <w:rFonts w:eastAsia="Times New Roman" w:cs="Calibri"/>
                <w:i/>
                <w:iCs/>
                <w:color w:val="444444"/>
                <w:sz w:val="20"/>
                <w:lang w:val="en-US"/>
              </w:rPr>
              <w:t xml:space="preserve"> ≥</w:t>
            </w:r>
            <w:r w:rsidR="00B55A00">
              <w:rPr>
                <w:rFonts w:eastAsia="Times New Roman" w:cs="Calibri"/>
                <w:i/>
                <w:iCs/>
                <w:color w:val="444444"/>
                <w:sz w:val="20"/>
                <w:lang w:val="en-US"/>
              </w:rPr>
              <w:t> </w:t>
            </w:r>
            <w:r w:rsidRPr="006D798B">
              <w:rPr>
                <w:rFonts w:eastAsia="Times New Roman" w:cs="Calibri"/>
                <w:i/>
                <w:iCs/>
                <w:color w:val="444444"/>
                <w:sz w:val="20"/>
                <w:lang w:val="en-US"/>
              </w:rPr>
              <w:t>150 cells/µ</w:t>
            </w:r>
            <w:r w:rsidR="00B55A00">
              <w:rPr>
                <w:rFonts w:eastAsia="Times New Roman" w:cs="Calibri"/>
                <w:i/>
                <w:iCs/>
                <w:color w:val="444444"/>
                <w:sz w:val="20"/>
                <w:lang w:val="en-US"/>
              </w:rPr>
              <w:t>L</w:t>
            </w:r>
            <w:r w:rsidRPr="006D798B">
              <w:rPr>
                <w:rFonts w:eastAsia="Times New Roman" w:cs="Calibri"/>
                <w:i/>
                <w:iCs/>
                <w:color w:val="444444"/>
                <w:sz w:val="20"/>
                <w:lang w:val="en-US"/>
              </w:rPr>
              <w:t>), no complete control of the asthma and at least 1 severe exacerbation during the preceding 12</w:t>
            </w:r>
            <w:r w:rsidR="00B55A00">
              <w:rPr>
                <w:rFonts w:eastAsia="Times New Roman" w:cs="Calibri"/>
                <w:i/>
                <w:iCs/>
                <w:color w:val="444444"/>
                <w:sz w:val="20"/>
                <w:lang w:val="en-US"/>
              </w:rPr>
              <w:t> </w:t>
            </w:r>
            <w:r w:rsidRPr="006D798B">
              <w:rPr>
                <w:rFonts w:eastAsia="Times New Roman" w:cs="Calibri"/>
                <w:i/>
                <w:iCs/>
                <w:color w:val="444444"/>
                <w:sz w:val="20"/>
                <w:lang w:val="en-US"/>
              </w:rPr>
              <w:t>months, despite treatment combining inhaled corticosteroids and long-acting bronchodilators;</w:t>
            </w:r>
          </w:p>
          <w:p w14:paraId="44970073" w14:textId="7C9864F8" w:rsidR="00F22ACE" w:rsidRPr="006D798B" w:rsidRDefault="00D932D6" w:rsidP="006D798B">
            <w:pPr>
              <w:shd w:val="clear" w:color="auto" w:fill="FFFFFF"/>
              <w:spacing w:before="0" w:after="0" w:line="240" w:lineRule="auto"/>
              <w:ind w:left="0"/>
              <w:rPr>
                <w:i/>
                <w:iCs/>
                <w:sz w:val="20"/>
              </w:rPr>
            </w:pPr>
            <w:r w:rsidRPr="006D798B">
              <w:rPr>
                <w:rFonts w:eastAsia="Times New Roman" w:cs="Calibri"/>
                <w:i/>
                <w:iCs/>
                <w:color w:val="444444"/>
                <w:sz w:val="20"/>
                <w:lang w:val="en-US"/>
              </w:rPr>
              <w:t>• or requiring permanent treatment with systemic corticosteroids.</w:t>
            </w:r>
          </w:p>
        </w:tc>
      </w:tr>
      <w:tr w:rsidR="00F22ACE" w14:paraId="26A0FB83" w14:textId="77777777" w:rsidTr="006D798B">
        <w:tc>
          <w:tcPr>
            <w:tcW w:w="1615" w:type="dxa"/>
          </w:tcPr>
          <w:p w14:paraId="1F04A0E4" w14:textId="08DDA51D" w:rsidR="00F22ACE" w:rsidRPr="006D798B" w:rsidRDefault="00F22ACE" w:rsidP="00F22ACE">
            <w:pPr>
              <w:ind w:left="0" w:right="0"/>
              <w:rPr>
                <w:sz w:val="20"/>
              </w:rPr>
            </w:pPr>
            <w:r w:rsidRPr="006D798B">
              <w:rPr>
                <w:sz w:val="20"/>
              </w:rPr>
              <w:t>Canada</w:t>
            </w:r>
          </w:p>
        </w:tc>
        <w:tc>
          <w:tcPr>
            <w:tcW w:w="1924" w:type="dxa"/>
          </w:tcPr>
          <w:p w14:paraId="0F9D190E" w14:textId="6627415A" w:rsidR="00F22ACE" w:rsidRPr="006D798B" w:rsidRDefault="00F22ACE" w:rsidP="00F22ACE">
            <w:pPr>
              <w:ind w:left="0" w:right="0"/>
              <w:rPr>
                <w:sz w:val="20"/>
              </w:rPr>
            </w:pPr>
            <w:r w:rsidRPr="006D798B">
              <w:rPr>
                <w:sz w:val="20"/>
              </w:rPr>
              <w:t>30 April 2022</w:t>
            </w:r>
          </w:p>
        </w:tc>
        <w:tc>
          <w:tcPr>
            <w:tcW w:w="1985" w:type="dxa"/>
          </w:tcPr>
          <w:p w14:paraId="18D6F9D7" w14:textId="19A0F28E" w:rsidR="00F22ACE" w:rsidRPr="006D798B" w:rsidRDefault="00D932D6" w:rsidP="00F22ACE">
            <w:pPr>
              <w:ind w:left="0" w:right="0"/>
              <w:rPr>
                <w:sz w:val="20"/>
              </w:rPr>
            </w:pPr>
            <w:r w:rsidRPr="006D798B">
              <w:rPr>
                <w:sz w:val="20"/>
              </w:rPr>
              <w:t>25 March 2022</w:t>
            </w:r>
          </w:p>
        </w:tc>
        <w:tc>
          <w:tcPr>
            <w:tcW w:w="3291" w:type="dxa"/>
          </w:tcPr>
          <w:p w14:paraId="0A3B7916" w14:textId="191824A5" w:rsidR="00F22ACE" w:rsidRPr="006D798B" w:rsidRDefault="009E5404" w:rsidP="00F22ACE">
            <w:pPr>
              <w:ind w:left="0" w:right="0"/>
              <w:rPr>
                <w:i/>
                <w:iCs/>
                <w:sz w:val="20"/>
              </w:rPr>
            </w:pPr>
            <w:r w:rsidRPr="006D798B">
              <w:rPr>
                <w:rFonts w:cs="Calibri"/>
                <w:i/>
                <w:iCs/>
                <w:color w:val="444444"/>
                <w:sz w:val="20"/>
                <w:shd w:val="clear" w:color="auto" w:fill="FFFFFF"/>
              </w:rPr>
              <w:t>Dupixent</w:t>
            </w:r>
            <w:r w:rsidR="00681EA5" w:rsidRPr="006D798B">
              <w:rPr>
                <w:rFonts w:cs="Calibri"/>
                <w:i/>
                <w:iCs/>
                <w:color w:val="444444"/>
                <w:sz w:val="20"/>
                <w:shd w:val="clear" w:color="auto" w:fill="FFFFFF"/>
              </w:rPr>
              <w:t xml:space="preserve"> is indicated as an add-on maintenance treatment in patients aged 6 years and older with severe asthma with a type</w:t>
            </w:r>
            <w:r w:rsidRPr="006D798B">
              <w:rPr>
                <w:rFonts w:cs="Calibri"/>
                <w:i/>
                <w:iCs/>
                <w:color w:val="444444"/>
                <w:sz w:val="20"/>
                <w:shd w:val="clear" w:color="auto" w:fill="FFFFFF"/>
              </w:rPr>
              <w:t> </w:t>
            </w:r>
            <w:r w:rsidR="00681EA5" w:rsidRPr="006D798B">
              <w:rPr>
                <w:rFonts w:cs="Calibri"/>
                <w:i/>
                <w:iCs/>
                <w:color w:val="444444"/>
                <w:sz w:val="20"/>
                <w:shd w:val="clear" w:color="auto" w:fill="FFFFFF"/>
              </w:rPr>
              <w:t>2/</w:t>
            </w:r>
            <w:r w:rsidRPr="006D798B">
              <w:rPr>
                <w:rFonts w:cs="Calibri"/>
                <w:i/>
                <w:iCs/>
                <w:color w:val="444444"/>
                <w:sz w:val="20"/>
                <w:shd w:val="clear" w:color="auto" w:fill="FFFFFF"/>
              </w:rPr>
              <w:t xml:space="preserve"> </w:t>
            </w:r>
            <w:r w:rsidR="00681EA5" w:rsidRPr="006D798B">
              <w:rPr>
                <w:rFonts w:cs="Calibri"/>
                <w:i/>
                <w:iCs/>
                <w:color w:val="444444"/>
                <w:sz w:val="20"/>
                <w:shd w:val="clear" w:color="auto" w:fill="FFFFFF"/>
              </w:rPr>
              <w:t xml:space="preserve">eosinophilic </w:t>
            </w:r>
            <w:r w:rsidR="00681EA5" w:rsidRPr="006D798B">
              <w:rPr>
                <w:rFonts w:cs="Calibri"/>
                <w:i/>
                <w:iCs/>
                <w:color w:val="444444"/>
                <w:sz w:val="20"/>
                <w:shd w:val="clear" w:color="auto" w:fill="FFFFFF"/>
              </w:rPr>
              <w:lastRenderedPageBreak/>
              <w:t>phenotype or oral corticosteroid-dependent asthma.</w:t>
            </w:r>
          </w:p>
        </w:tc>
      </w:tr>
      <w:tr w:rsidR="00F22ACE" w14:paraId="6DF3A404" w14:textId="77777777" w:rsidTr="006D798B">
        <w:trPr>
          <w:cantSplit/>
        </w:trPr>
        <w:tc>
          <w:tcPr>
            <w:tcW w:w="1615" w:type="dxa"/>
          </w:tcPr>
          <w:p w14:paraId="59BA07F5" w14:textId="79AC3673" w:rsidR="00F22ACE" w:rsidRPr="006D798B" w:rsidRDefault="00F22ACE" w:rsidP="00F22ACE">
            <w:pPr>
              <w:ind w:left="0" w:right="0"/>
              <w:rPr>
                <w:sz w:val="20"/>
              </w:rPr>
            </w:pPr>
            <w:r w:rsidRPr="006D798B">
              <w:rPr>
                <w:sz w:val="20"/>
              </w:rPr>
              <w:lastRenderedPageBreak/>
              <w:t>Singapore</w:t>
            </w:r>
          </w:p>
        </w:tc>
        <w:tc>
          <w:tcPr>
            <w:tcW w:w="1924" w:type="dxa"/>
          </w:tcPr>
          <w:p w14:paraId="50D026A2" w14:textId="148D94EE" w:rsidR="00F22ACE" w:rsidRPr="006D798B" w:rsidRDefault="00F22ACE" w:rsidP="00F22ACE">
            <w:pPr>
              <w:ind w:left="0" w:right="0"/>
              <w:rPr>
                <w:sz w:val="20"/>
              </w:rPr>
            </w:pPr>
            <w:r w:rsidRPr="006D798B">
              <w:rPr>
                <w:sz w:val="20"/>
              </w:rPr>
              <w:t>30 April 2022</w:t>
            </w:r>
          </w:p>
        </w:tc>
        <w:tc>
          <w:tcPr>
            <w:tcW w:w="1985" w:type="dxa"/>
          </w:tcPr>
          <w:p w14:paraId="5C66EC84" w14:textId="533D3029" w:rsidR="00F22ACE" w:rsidRPr="006D798B" w:rsidRDefault="00D932D6" w:rsidP="00F22ACE">
            <w:pPr>
              <w:ind w:left="0" w:right="0"/>
              <w:rPr>
                <w:sz w:val="20"/>
              </w:rPr>
            </w:pPr>
            <w:r w:rsidRPr="006D798B">
              <w:rPr>
                <w:sz w:val="20"/>
              </w:rPr>
              <w:t>30 March 2022</w:t>
            </w:r>
          </w:p>
        </w:tc>
        <w:tc>
          <w:tcPr>
            <w:tcW w:w="3291" w:type="dxa"/>
          </w:tcPr>
          <w:p w14:paraId="0787EBE0" w14:textId="189E826E" w:rsidR="00D932D6" w:rsidRPr="006D798B" w:rsidRDefault="009E5404" w:rsidP="00365CFE">
            <w:pPr>
              <w:shd w:val="clear" w:color="auto" w:fill="FFFFFF"/>
              <w:spacing w:before="0" w:after="0" w:line="240" w:lineRule="auto"/>
              <w:ind w:left="0"/>
              <w:rPr>
                <w:rFonts w:eastAsia="Times New Roman" w:cs="Calibri"/>
                <w:i/>
                <w:iCs/>
                <w:color w:val="444444"/>
                <w:sz w:val="20"/>
                <w:lang w:val="en-US"/>
              </w:rPr>
            </w:pPr>
            <w:r w:rsidRPr="006D798B">
              <w:rPr>
                <w:rFonts w:eastAsia="Times New Roman" w:cs="Calibri"/>
                <w:i/>
                <w:iCs/>
                <w:color w:val="444444"/>
                <w:sz w:val="20"/>
                <w:lang w:val="en-US"/>
              </w:rPr>
              <w:t>Dupixent</w:t>
            </w:r>
            <w:r w:rsidR="00D932D6" w:rsidRPr="006D798B">
              <w:rPr>
                <w:rFonts w:eastAsia="Times New Roman" w:cs="Calibri"/>
                <w:i/>
                <w:iCs/>
                <w:color w:val="444444"/>
                <w:sz w:val="20"/>
                <w:lang w:val="en-US"/>
              </w:rPr>
              <w:t xml:space="preserve"> is indicated in patients 6 years and older as an add-on maintenance treatment for</w:t>
            </w:r>
            <w:r w:rsidR="00365CFE" w:rsidRPr="006D798B">
              <w:rPr>
                <w:rFonts w:eastAsia="Times New Roman" w:cs="Calibri"/>
                <w:i/>
                <w:iCs/>
                <w:color w:val="444444"/>
                <w:sz w:val="20"/>
                <w:lang w:val="en-US"/>
              </w:rPr>
              <w:t xml:space="preserve"> </w:t>
            </w:r>
            <w:r w:rsidR="00D932D6" w:rsidRPr="006D798B">
              <w:rPr>
                <w:rFonts w:eastAsia="Times New Roman" w:cs="Calibri"/>
                <w:i/>
                <w:iCs/>
                <w:color w:val="444444"/>
                <w:sz w:val="20"/>
                <w:lang w:val="en-US"/>
              </w:rPr>
              <w:t xml:space="preserve">severe asthma with type 2 inflammation characterized by elevated blood eosinophils and/or elevated </w:t>
            </w:r>
            <w:proofErr w:type="spellStart"/>
            <w:r w:rsidR="00D932D6" w:rsidRPr="006D798B">
              <w:rPr>
                <w:rFonts w:eastAsia="Times New Roman" w:cs="Calibri"/>
                <w:i/>
                <w:iCs/>
                <w:color w:val="444444"/>
                <w:sz w:val="20"/>
                <w:lang w:val="en-US"/>
              </w:rPr>
              <w:t>FeNO</w:t>
            </w:r>
            <w:proofErr w:type="spellEnd"/>
            <w:r w:rsidR="00D932D6" w:rsidRPr="006D798B">
              <w:rPr>
                <w:rFonts w:eastAsia="Times New Roman" w:cs="Calibri"/>
                <w:i/>
                <w:iCs/>
                <w:color w:val="444444"/>
                <w:sz w:val="20"/>
                <w:lang w:val="en-US"/>
              </w:rPr>
              <w:t>.</w:t>
            </w:r>
          </w:p>
          <w:p w14:paraId="738C71B8" w14:textId="686ACE76" w:rsidR="00F22ACE" w:rsidRPr="006D798B" w:rsidRDefault="009E5404" w:rsidP="006D798B">
            <w:pPr>
              <w:shd w:val="clear" w:color="auto" w:fill="FFFFFF"/>
              <w:spacing w:before="0" w:after="0" w:line="240" w:lineRule="auto"/>
              <w:ind w:left="0"/>
              <w:rPr>
                <w:i/>
                <w:iCs/>
                <w:sz w:val="20"/>
              </w:rPr>
            </w:pPr>
            <w:r w:rsidRPr="006D798B">
              <w:rPr>
                <w:rFonts w:eastAsia="Times New Roman" w:cs="Calibri"/>
                <w:i/>
                <w:iCs/>
                <w:color w:val="444444"/>
                <w:sz w:val="20"/>
                <w:lang w:val="en-US"/>
              </w:rPr>
              <w:t xml:space="preserve">Dupixent </w:t>
            </w:r>
            <w:r w:rsidR="00D932D6" w:rsidRPr="006D798B">
              <w:rPr>
                <w:rFonts w:eastAsia="Times New Roman" w:cs="Calibri"/>
                <w:i/>
                <w:iCs/>
                <w:color w:val="444444"/>
                <w:sz w:val="20"/>
                <w:lang w:val="en-US"/>
              </w:rPr>
              <w:t>is indicated as maintenance therapy for oral corticosteroid-dependent asthma.</w:t>
            </w:r>
          </w:p>
        </w:tc>
      </w:tr>
    </w:tbl>
    <w:p w14:paraId="5659F70F" w14:textId="439F4404" w:rsidR="008E7846" w:rsidRDefault="008E7846" w:rsidP="00940A89">
      <w:pPr>
        <w:pStyle w:val="Heading3"/>
      </w:pPr>
      <w:bookmarkStart w:id="24" w:name="_Toc129691997"/>
      <w:r>
        <w:t>Product Information</w:t>
      </w:r>
      <w:bookmarkEnd w:id="19"/>
      <w:bookmarkEnd w:id="20"/>
      <w:bookmarkEnd w:id="24"/>
    </w:p>
    <w:p w14:paraId="5467EDB0" w14:textId="1B1DBD59" w:rsidR="00332715" w:rsidRDefault="00332715" w:rsidP="00332715">
      <w:bookmarkStart w:id="25" w:name="_Toc504480011"/>
      <w:bookmarkStart w:id="26" w:name="_Toc247691506"/>
      <w:bookmarkStart w:id="27" w:name="_Toc314842487"/>
      <w:r>
        <w:t>The Product Information (PI)</w:t>
      </w:r>
      <w:r w:rsidR="00043F77">
        <w:t>,</w:t>
      </w:r>
      <w:r>
        <w:t xml:space="preserve"> approved with the submission which is described in this </w:t>
      </w:r>
      <w:proofErr w:type="spellStart"/>
      <w:r>
        <w:t>AusPAR</w:t>
      </w:r>
      <w:proofErr w:type="spellEnd"/>
      <w:r>
        <w:t xml:space="preserve"> can be found as Attachment 1. For the most recent PI, please refer to the TGA </w:t>
      </w:r>
      <w:hyperlink r:id="rId16" w:history="1">
        <w:r>
          <w:rPr>
            <w:rStyle w:val="Hyperlink"/>
          </w:rPr>
          <w:t>PI/CMI search facility</w:t>
        </w:r>
        <w:r w:rsidRPr="009556D7">
          <w:rPr>
            <w:rStyle w:val="Hyperlink"/>
            <w:color w:val="auto"/>
            <w:u w:val="none"/>
          </w:rPr>
          <w:t>.</w:t>
        </w:r>
      </w:hyperlink>
    </w:p>
    <w:p w14:paraId="1F8915EA" w14:textId="77777777" w:rsidR="00500337" w:rsidRDefault="00500337" w:rsidP="00500337">
      <w:pPr>
        <w:pStyle w:val="Heading2"/>
      </w:pPr>
      <w:bookmarkStart w:id="28" w:name="_Toc129691998"/>
      <w:r>
        <w:t>Registration timeline</w:t>
      </w:r>
      <w:bookmarkEnd w:id="25"/>
      <w:bookmarkEnd w:id="28"/>
    </w:p>
    <w:p w14:paraId="691A65C8" w14:textId="77777777" w:rsidR="0074163C" w:rsidRPr="00C93EC1" w:rsidRDefault="0074163C" w:rsidP="0074163C">
      <w:r w:rsidRPr="00C93EC1">
        <w:t xml:space="preserve">The following table captures the key steps and dates for this </w:t>
      </w:r>
      <w:r w:rsidR="00804D99">
        <w:t>submission</w:t>
      </w:r>
      <w:r w:rsidRPr="00C93EC1">
        <w:t>.</w:t>
      </w:r>
    </w:p>
    <w:p w14:paraId="35B96A69" w14:textId="1CAED6F9" w:rsidR="0074163C" w:rsidRPr="006A58A8" w:rsidRDefault="0074163C" w:rsidP="0074163C">
      <w:pPr>
        <w:pStyle w:val="TableTitle"/>
      </w:pPr>
      <w:bookmarkStart w:id="29" w:name="_Ref123899947"/>
      <w:r>
        <w:t xml:space="preserve">Table </w:t>
      </w:r>
      <w:fldSimple w:instr=" SEQ Table \* ARABIC ">
        <w:r w:rsidR="00761EA9">
          <w:rPr>
            <w:noProof/>
          </w:rPr>
          <w:t>2</w:t>
        </w:r>
      </w:fldSimple>
      <w:bookmarkEnd w:id="29"/>
      <w:r>
        <w:t>:</w:t>
      </w:r>
      <w:r w:rsidRPr="006A58A8">
        <w:t xml:space="preserve"> Timeline for Submission PM-</w:t>
      </w:r>
      <w:r w:rsidR="00F00766">
        <w:t>2021-01682-1-5</w:t>
      </w:r>
    </w:p>
    <w:tbl>
      <w:tblPr>
        <w:tblStyle w:val="TableTGAblue"/>
        <w:tblW w:w="0" w:type="auto"/>
        <w:tblLook w:val="04A0" w:firstRow="1" w:lastRow="0" w:firstColumn="1" w:lastColumn="0" w:noHBand="0" w:noVBand="1"/>
      </w:tblPr>
      <w:tblGrid>
        <w:gridCol w:w="4855"/>
        <w:gridCol w:w="3639"/>
      </w:tblGrid>
      <w:tr w:rsidR="0074163C" w14:paraId="7AD4CE99" w14:textId="77777777" w:rsidTr="006D798B">
        <w:trPr>
          <w:cnfStyle w:val="100000000000" w:firstRow="1" w:lastRow="0" w:firstColumn="0" w:lastColumn="0" w:oddVBand="0" w:evenVBand="0" w:oddHBand="0" w:evenHBand="0" w:firstRowFirstColumn="0" w:firstRowLastColumn="0" w:lastRowFirstColumn="0" w:lastRowLastColumn="0"/>
        </w:trPr>
        <w:tc>
          <w:tcPr>
            <w:tcW w:w="4855" w:type="dxa"/>
            <w:tcBorders>
              <w:top w:val="single" w:sz="4" w:space="0" w:color="auto"/>
              <w:left w:val="single" w:sz="4" w:space="0" w:color="auto"/>
              <w:bottom w:val="single" w:sz="4" w:space="0" w:color="auto"/>
              <w:right w:val="single" w:sz="4" w:space="0" w:color="auto"/>
            </w:tcBorders>
          </w:tcPr>
          <w:p w14:paraId="579AB1F9" w14:textId="77777777" w:rsidR="0074163C" w:rsidRDefault="0074163C" w:rsidP="009E5A87">
            <w:r>
              <w:t>Description</w:t>
            </w:r>
          </w:p>
        </w:tc>
        <w:tc>
          <w:tcPr>
            <w:tcW w:w="3639" w:type="dxa"/>
            <w:tcBorders>
              <w:top w:val="single" w:sz="4" w:space="0" w:color="auto"/>
              <w:left w:val="single" w:sz="4" w:space="0" w:color="auto"/>
              <w:bottom w:val="single" w:sz="4" w:space="0" w:color="auto"/>
              <w:right w:val="single" w:sz="4" w:space="0" w:color="auto"/>
            </w:tcBorders>
          </w:tcPr>
          <w:p w14:paraId="64AA7845" w14:textId="77777777" w:rsidR="0074163C" w:rsidRDefault="0074163C" w:rsidP="009E5A87">
            <w:r>
              <w:t>Date</w:t>
            </w:r>
          </w:p>
        </w:tc>
      </w:tr>
      <w:tr w:rsidR="0074163C" w14:paraId="6B2FF748" w14:textId="77777777" w:rsidTr="006D798B">
        <w:tc>
          <w:tcPr>
            <w:tcW w:w="4855" w:type="dxa"/>
            <w:tcBorders>
              <w:top w:val="single" w:sz="4" w:space="0" w:color="auto"/>
            </w:tcBorders>
          </w:tcPr>
          <w:p w14:paraId="5106B420" w14:textId="77777777" w:rsidR="0074163C" w:rsidRDefault="0074163C" w:rsidP="009E5A87">
            <w:r>
              <w:t>Submission dossier accepted and first round evaluation commenced</w:t>
            </w:r>
          </w:p>
        </w:tc>
        <w:tc>
          <w:tcPr>
            <w:tcW w:w="3639" w:type="dxa"/>
            <w:tcBorders>
              <w:top w:val="single" w:sz="4" w:space="0" w:color="auto"/>
            </w:tcBorders>
          </w:tcPr>
          <w:p w14:paraId="093902E0" w14:textId="749BA744" w:rsidR="0074163C" w:rsidRDefault="00F00766" w:rsidP="009E5A87">
            <w:r>
              <w:t>1 June 2021</w:t>
            </w:r>
          </w:p>
        </w:tc>
      </w:tr>
      <w:tr w:rsidR="0074163C" w14:paraId="65CCC13F" w14:textId="77777777" w:rsidTr="006D798B">
        <w:tc>
          <w:tcPr>
            <w:tcW w:w="4855" w:type="dxa"/>
          </w:tcPr>
          <w:p w14:paraId="2A2E6FEE" w14:textId="77777777" w:rsidR="0074163C" w:rsidRDefault="0074163C" w:rsidP="009E5A87">
            <w:r>
              <w:t>First round evaluation completed</w:t>
            </w:r>
          </w:p>
        </w:tc>
        <w:tc>
          <w:tcPr>
            <w:tcW w:w="3639" w:type="dxa"/>
          </w:tcPr>
          <w:p w14:paraId="5288D128" w14:textId="3E33349C" w:rsidR="0074163C" w:rsidRDefault="00F00766" w:rsidP="009E5A87">
            <w:r>
              <w:t>1 October 2021</w:t>
            </w:r>
          </w:p>
        </w:tc>
      </w:tr>
      <w:tr w:rsidR="0074163C" w14:paraId="39471374" w14:textId="77777777" w:rsidTr="006D798B">
        <w:tc>
          <w:tcPr>
            <w:tcW w:w="4855" w:type="dxa"/>
          </w:tcPr>
          <w:p w14:paraId="7B1E864B" w14:textId="77777777" w:rsidR="0074163C" w:rsidRDefault="0074163C" w:rsidP="009E5A87">
            <w:r>
              <w:t>Sponsor provides responses on questions raised in first round evaluation</w:t>
            </w:r>
          </w:p>
        </w:tc>
        <w:tc>
          <w:tcPr>
            <w:tcW w:w="3639" w:type="dxa"/>
          </w:tcPr>
          <w:p w14:paraId="5D12E77A" w14:textId="2C843F44" w:rsidR="0074163C" w:rsidRDefault="00F00766" w:rsidP="009E5A87">
            <w:r>
              <w:t>2 December 2021</w:t>
            </w:r>
          </w:p>
        </w:tc>
      </w:tr>
      <w:tr w:rsidR="0074163C" w14:paraId="50ADD682" w14:textId="77777777" w:rsidTr="006D798B">
        <w:tc>
          <w:tcPr>
            <w:tcW w:w="4855" w:type="dxa"/>
          </w:tcPr>
          <w:p w14:paraId="76C224B3" w14:textId="77777777" w:rsidR="0074163C" w:rsidRDefault="0074163C" w:rsidP="009E5A87">
            <w:r>
              <w:t>Second round evaluation completed</w:t>
            </w:r>
          </w:p>
        </w:tc>
        <w:tc>
          <w:tcPr>
            <w:tcW w:w="3639" w:type="dxa"/>
          </w:tcPr>
          <w:p w14:paraId="1106E5E2" w14:textId="618E59BC" w:rsidR="0074163C" w:rsidRDefault="00F00766" w:rsidP="009E5A87">
            <w:r>
              <w:t>1 February 202</w:t>
            </w:r>
            <w:r w:rsidR="00DE0301">
              <w:t>2</w:t>
            </w:r>
          </w:p>
        </w:tc>
      </w:tr>
      <w:tr w:rsidR="0074163C" w14:paraId="66DCFE6D" w14:textId="77777777" w:rsidTr="006D798B">
        <w:tc>
          <w:tcPr>
            <w:tcW w:w="4855" w:type="dxa"/>
          </w:tcPr>
          <w:p w14:paraId="380B170A" w14:textId="641C0EDF" w:rsidR="0074163C" w:rsidRDefault="0074163C" w:rsidP="009E5A87">
            <w:r>
              <w:t xml:space="preserve">Delegate’s Overall benefit-risk assessment </w:t>
            </w:r>
            <w:r w:rsidRPr="00DE1E92">
              <w:t>and request for Advisory Committee advice</w:t>
            </w:r>
            <w:r w:rsidRPr="00311A32">
              <w:rPr>
                <w:color w:val="007099"/>
              </w:rPr>
              <w:t xml:space="preserve"> </w:t>
            </w:r>
          </w:p>
        </w:tc>
        <w:tc>
          <w:tcPr>
            <w:tcW w:w="3639" w:type="dxa"/>
          </w:tcPr>
          <w:p w14:paraId="1C7F9DFF" w14:textId="38F34A55" w:rsidR="0074163C" w:rsidRDefault="00143F2C" w:rsidP="009E5A87">
            <w:r>
              <w:t>2</w:t>
            </w:r>
            <w:r w:rsidR="00DE0301">
              <w:t xml:space="preserve"> March 2022</w:t>
            </w:r>
          </w:p>
        </w:tc>
      </w:tr>
      <w:tr w:rsidR="0074163C" w14:paraId="2556F1C9" w14:textId="77777777" w:rsidTr="006D798B">
        <w:tc>
          <w:tcPr>
            <w:tcW w:w="4855" w:type="dxa"/>
          </w:tcPr>
          <w:p w14:paraId="47197DAE" w14:textId="77777777" w:rsidR="0074163C" w:rsidRDefault="0074163C" w:rsidP="009E5A87">
            <w:r>
              <w:t>Sponsor’s pre-Advisory Committee response</w:t>
            </w:r>
          </w:p>
        </w:tc>
        <w:tc>
          <w:tcPr>
            <w:tcW w:w="3639" w:type="dxa"/>
          </w:tcPr>
          <w:p w14:paraId="37F74D22" w14:textId="362CB22F" w:rsidR="0074163C" w:rsidRDefault="00DE1E92" w:rsidP="009E5A87">
            <w:r>
              <w:t>17 March 2022</w:t>
            </w:r>
          </w:p>
        </w:tc>
      </w:tr>
      <w:tr w:rsidR="0074163C" w14:paraId="403CAD67" w14:textId="77777777" w:rsidTr="006D798B">
        <w:tc>
          <w:tcPr>
            <w:tcW w:w="4855" w:type="dxa"/>
          </w:tcPr>
          <w:p w14:paraId="13867D18" w14:textId="77777777" w:rsidR="0074163C" w:rsidRDefault="0074163C" w:rsidP="009E5A87">
            <w:r>
              <w:t>Advisory Committee meeting</w:t>
            </w:r>
          </w:p>
        </w:tc>
        <w:tc>
          <w:tcPr>
            <w:tcW w:w="3639" w:type="dxa"/>
          </w:tcPr>
          <w:p w14:paraId="2979C9BA" w14:textId="61FDE3E1" w:rsidR="0074163C" w:rsidRDefault="00DE1E92" w:rsidP="009E5A87">
            <w:r>
              <w:t>1 April 2022</w:t>
            </w:r>
          </w:p>
        </w:tc>
      </w:tr>
      <w:tr w:rsidR="0074163C" w14:paraId="7BFEDDC5" w14:textId="77777777" w:rsidTr="006D798B">
        <w:tc>
          <w:tcPr>
            <w:tcW w:w="4855" w:type="dxa"/>
          </w:tcPr>
          <w:p w14:paraId="72D5112C" w14:textId="77777777" w:rsidR="0074163C" w:rsidRDefault="0074163C" w:rsidP="009E5A87">
            <w:r>
              <w:t>Registration decision (Outcome)</w:t>
            </w:r>
          </w:p>
        </w:tc>
        <w:tc>
          <w:tcPr>
            <w:tcW w:w="3639" w:type="dxa"/>
          </w:tcPr>
          <w:p w14:paraId="7300AD22" w14:textId="2AFCF5E8" w:rsidR="0074163C" w:rsidRDefault="00DE0301" w:rsidP="009E5A87">
            <w:r>
              <w:t>23 June 2022</w:t>
            </w:r>
          </w:p>
        </w:tc>
      </w:tr>
      <w:tr w:rsidR="0074163C" w14:paraId="367F77AE" w14:textId="77777777" w:rsidTr="006D798B">
        <w:tc>
          <w:tcPr>
            <w:tcW w:w="4855" w:type="dxa"/>
          </w:tcPr>
          <w:p w14:paraId="7B8EC879" w14:textId="77777777" w:rsidR="0074163C" w:rsidRDefault="0074163C" w:rsidP="009E5A87">
            <w:r w:rsidRPr="005A79F5">
              <w:t>Completion of administrative activities and registration on the ARTG</w:t>
            </w:r>
          </w:p>
        </w:tc>
        <w:tc>
          <w:tcPr>
            <w:tcW w:w="3639" w:type="dxa"/>
          </w:tcPr>
          <w:p w14:paraId="2FADB82E" w14:textId="7EDB4848" w:rsidR="0074163C" w:rsidRDefault="00DE0301" w:rsidP="009E5A87">
            <w:r>
              <w:t>29 June 2022</w:t>
            </w:r>
          </w:p>
        </w:tc>
      </w:tr>
      <w:tr w:rsidR="0074163C" w14:paraId="77AF40D0" w14:textId="77777777" w:rsidTr="006D798B">
        <w:tc>
          <w:tcPr>
            <w:tcW w:w="4855" w:type="dxa"/>
          </w:tcPr>
          <w:p w14:paraId="531F262D" w14:textId="77777777" w:rsidR="0074163C" w:rsidRDefault="0074163C" w:rsidP="009E5A87">
            <w:r>
              <w:t>Number of working days from submission dossier acceptance to registration decision*</w:t>
            </w:r>
          </w:p>
        </w:tc>
        <w:tc>
          <w:tcPr>
            <w:tcW w:w="3639" w:type="dxa"/>
          </w:tcPr>
          <w:p w14:paraId="6D086FA0" w14:textId="39BE0604" w:rsidR="0074163C" w:rsidRDefault="00DE1E92" w:rsidP="009E5A87">
            <w:r>
              <w:t>219</w:t>
            </w:r>
          </w:p>
        </w:tc>
      </w:tr>
    </w:tbl>
    <w:p w14:paraId="195656CA"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782468CA" w14:textId="77777777" w:rsidR="008E7846" w:rsidRPr="00792A32" w:rsidRDefault="00006FAB" w:rsidP="008E7846">
      <w:pPr>
        <w:pStyle w:val="Heading2"/>
      </w:pPr>
      <w:bookmarkStart w:id="30" w:name="_Toc196046504"/>
      <w:bookmarkStart w:id="31" w:name="_Toc247691527"/>
      <w:bookmarkStart w:id="32" w:name="_Toc314842510"/>
      <w:bookmarkStart w:id="33" w:name="_Toc129691999"/>
      <w:bookmarkStart w:id="34" w:name="_Toc163441390"/>
      <w:bookmarkEnd w:id="26"/>
      <w:bookmarkEnd w:id="27"/>
      <w:bookmarkEnd w:id="1"/>
      <w:r w:rsidRPr="00006FAB">
        <w:lastRenderedPageBreak/>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0"/>
      <w:bookmarkEnd w:id="31"/>
      <w:bookmarkEnd w:id="32"/>
      <w:bookmarkEnd w:id="33"/>
    </w:p>
    <w:p w14:paraId="27D51647" w14:textId="77777777" w:rsidR="005A79F5" w:rsidRDefault="005A79F5" w:rsidP="0074163C">
      <w:pPr>
        <w:pStyle w:val="Instructions"/>
        <w:rPr>
          <w:i w:val="0"/>
          <w:color w:val="auto"/>
        </w:rPr>
      </w:pPr>
      <w:bookmarkStart w:id="35" w:name="_Toc247691528"/>
      <w:bookmarkStart w:id="36" w:name="_Toc314842511"/>
      <w:r w:rsidRPr="005A79F5">
        <w:rPr>
          <w:i w:val="0"/>
          <w:color w:val="auto"/>
        </w:rPr>
        <w:t>A summary of the TGA’s assessment for this submission is provided below</w:t>
      </w:r>
      <w:r>
        <w:rPr>
          <w:i w:val="0"/>
          <w:color w:val="auto"/>
        </w:rPr>
        <w:t>.</w:t>
      </w:r>
    </w:p>
    <w:p w14:paraId="6FF8D0D5" w14:textId="2F899103" w:rsidR="0074163C" w:rsidRDefault="0074163C" w:rsidP="0074163C">
      <w:r>
        <w:t>This section is a TGA summary of wording used in TGA’s evaluation report, which discussed numerous aspects of overseas evaluation reports and included some information that was commercial-in-confidence.</w:t>
      </w:r>
    </w:p>
    <w:p w14:paraId="4B8CEB05" w14:textId="36BF086F" w:rsidR="009E5404" w:rsidRDefault="000B5E74" w:rsidP="0074163C">
      <w:r>
        <w:t>The following TGA-adopted guidance was of relevance to this submission:</w:t>
      </w:r>
    </w:p>
    <w:p w14:paraId="42C6AFD9" w14:textId="7A79D4BD" w:rsidR="000B5E74" w:rsidRDefault="000B5E74" w:rsidP="006D798B">
      <w:pPr>
        <w:pStyle w:val="ListBullet"/>
      </w:pPr>
      <w:r>
        <w:t>European Union/</w:t>
      </w:r>
      <w:r w:rsidRPr="000B5E74">
        <w:t>Committee for Medicinal Products for Human Use</w:t>
      </w:r>
      <w:r>
        <w:t xml:space="preserve"> (CHMP): </w:t>
      </w:r>
      <w:hyperlink r:id="rId17" w:history="1">
        <w:r w:rsidRPr="000B5E74">
          <w:rPr>
            <w:rStyle w:val="Hyperlink"/>
          </w:rPr>
          <w:t>Guideline on the clinical investigation of medicinal products for the treatment of asthma</w:t>
        </w:r>
      </w:hyperlink>
      <w:r>
        <w:t xml:space="preserve"> (</w:t>
      </w:r>
      <w:r w:rsidRPr="000B5E74">
        <w:t>CHMP/EWP/2922/01</w:t>
      </w:r>
      <w:r>
        <w:t xml:space="preserve">), </w:t>
      </w:r>
      <w:r w:rsidRPr="000B5E74">
        <w:t xml:space="preserve">adopted by TGA </w:t>
      </w:r>
      <w:r>
        <w:t xml:space="preserve">on </w:t>
      </w:r>
      <w:r w:rsidRPr="000B5E74">
        <w:t>7 January 2009</w:t>
      </w:r>
      <w:r>
        <w:t>.</w:t>
      </w:r>
    </w:p>
    <w:p w14:paraId="3714F412" w14:textId="55AC31D3" w:rsidR="005C7E9E" w:rsidRDefault="005C7E9E">
      <w:r>
        <w:t xml:space="preserve">In addition, the following medical guidelines are discussed in </w:t>
      </w:r>
      <w:r w:rsidR="00A23DE2">
        <w:t>appraisal</w:t>
      </w:r>
      <w:r>
        <w:t xml:space="preserve"> of this submission:</w:t>
      </w:r>
    </w:p>
    <w:p w14:paraId="240B25F6" w14:textId="2EE33F09" w:rsidR="005C7E9E" w:rsidRPr="00292A7A" w:rsidRDefault="005C7E9E" w:rsidP="006D798B">
      <w:pPr>
        <w:pStyle w:val="ListBullet"/>
      </w:pPr>
      <w:r w:rsidRPr="005C7E9E">
        <w:t>Global Initiative for Asthma</w:t>
      </w:r>
      <w:r>
        <w:t xml:space="preserve"> (GINA)</w:t>
      </w:r>
      <w:r w:rsidRPr="005C7E9E">
        <w:t xml:space="preserve">. Global strategy for asthma management and prevention. </w:t>
      </w:r>
      <w:r>
        <w:t xml:space="preserve">Global Initiative for Asthma. </w:t>
      </w:r>
      <w:r w:rsidRPr="005C7E9E">
        <w:t xml:space="preserve">Available from: </w:t>
      </w:r>
      <w:hyperlink r:id="rId18" w:history="1">
        <w:r w:rsidRPr="00A10B1A">
          <w:rPr>
            <w:rStyle w:val="Hyperlink"/>
          </w:rPr>
          <w:t>https://www.ginasthma.org/reports</w:t>
        </w:r>
      </w:hyperlink>
      <w:r>
        <w:t xml:space="preserve"> </w:t>
      </w:r>
    </w:p>
    <w:p w14:paraId="30170026" w14:textId="77777777" w:rsidR="008E7846" w:rsidRDefault="008E7846" w:rsidP="008E7846">
      <w:pPr>
        <w:pStyle w:val="Heading3"/>
      </w:pPr>
      <w:bookmarkStart w:id="37" w:name="_Toc129692000"/>
      <w:r>
        <w:t>Quality</w:t>
      </w:r>
      <w:bookmarkEnd w:id="35"/>
      <w:bookmarkEnd w:id="36"/>
      <w:bookmarkEnd w:id="37"/>
    </w:p>
    <w:p w14:paraId="5BE44D7D" w14:textId="41B40666" w:rsidR="00342D3C" w:rsidRDefault="00342D3C" w:rsidP="0074163C">
      <w:r w:rsidRPr="00342D3C">
        <w:t xml:space="preserve">Dupilumab is a covalent </w:t>
      </w:r>
      <w:proofErr w:type="spellStart"/>
      <w:r w:rsidRPr="00342D3C">
        <w:t>heterotetramer</w:t>
      </w:r>
      <w:proofErr w:type="spellEnd"/>
      <w:r w:rsidRPr="00342D3C">
        <w:t xml:space="preserve"> consisting of two </w:t>
      </w:r>
      <w:proofErr w:type="spellStart"/>
      <w:r w:rsidRPr="00342D3C">
        <w:t>disulfide</w:t>
      </w:r>
      <w:proofErr w:type="spellEnd"/>
      <w:r w:rsidR="00F22ACE">
        <w:t xml:space="preserve"> </w:t>
      </w:r>
      <w:r w:rsidRPr="00342D3C">
        <w:t xml:space="preserve">linked human heavy chains, each covalently linked through a </w:t>
      </w:r>
      <w:proofErr w:type="spellStart"/>
      <w:r w:rsidRPr="00342D3C">
        <w:t>disulfide</w:t>
      </w:r>
      <w:proofErr w:type="spellEnd"/>
      <w:r w:rsidRPr="00342D3C">
        <w:t xml:space="preserve"> bond to a human kappa light chain</w:t>
      </w:r>
      <w:r>
        <w:t xml:space="preserve"> (</w:t>
      </w:r>
      <w:r w:rsidR="00CC141C">
        <w:t xml:space="preserve">see </w:t>
      </w:r>
      <w:r w:rsidR="00B367C7">
        <w:fldChar w:fldCharType="begin"/>
      </w:r>
      <w:r w:rsidR="00B367C7">
        <w:instrText xml:space="preserve"> REF _Ref124146335 \h </w:instrText>
      </w:r>
      <w:r w:rsidR="00B367C7">
        <w:fldChar w:fldCharType="separate"/>
      </w:r>
      <w:r w:rsidR="00761EA9" w:rsidRPr="00342D3C">
        <w:t xml:space="preserve">Figure </w:t>
      </w:r>
      <w:r w:rsidR="00761EA9">
        <w:rPr>
          <w:noProof/>
        </w:rPr>
        <w:t>1</w:t>
      </w:r>
      <w:r w:rsidR="00B367C7">
        <w:fldChar w:fldCharType="end"/>
      </w:r>
      <w:r w:rsidR="00CC141C">
        <w:t>, below</w:t>
      </w:r>
      <w:r>
        <w:t>)</w:t>
      </w:r>
      <w:r w:rsidRPr="00342D3C">
        <w:t>. There is a single N</w:t>
      </w:r>
      <w:r w:rsidR="00F22ACE">
        <w:t xml:space="preserve"> </w:t>
      </w:r>
      <w:r w:rsidRPr="00342D3C">
        <w:t xml:space="preserve">linked glycosylation site in each heavy chain, located within the </w:t>
      </w:r>
      <w:r w:rsidRPr="00A61512">
        <w:t xml:space="preserve">CH2 domain of the </w:t>
      </w:r>
      <w:r w:rsidR="00A61512" w:rsidRPr="00A61512">
        <w:t xml:space="preserve">fragment crystallisable (Fc) </w:t>
      </w:r>
      <w:r w:rsidRPr="00A61512">
        <w:t xml:space="preserve">constant region of the molecule. The </w:t>
      </w:r>
      <w:r w:rsidR="00B367C7" w:rsidRPr="00A61512">
        <w:t>d</w:t>
      </w:r>
      <w:r w:rsidRPr="00A61512">
        <w:t>upilumab heavy chain has an immunoglobulin (Ig) G4P isotype constant</w:t>
      </w:r>
      <w:r w:rsidRPr="00342D3C">
        <w:t xml:space="preserve"> region. IgG4P is an IgG4 constant region with a single amino acid substitution in the hinge region that recreates the IgG1 hinge sequence </w:t>
      </w:r>
      <w:proofErr w:type="gramStart"/>
      <w:r w:rsidRPr="00342D3C">
        <w:t>in order to</w:t>
      </w:r>
      <w:proofErr w:type="gramEnd"/>
      <w:r w:rsidRPr="00342D3C">
        <w:t xml:space="preserve"> stabilise IgG4 dimer formation. The variable domains of the heavy and light chains combine to form the </w:t>
      </w:r>
      <w:r w:rsidR="00E85719">
        <w:t>interleukin-4 receptor (</w:t>
      </w:r>
      <w:r w:rsidRPr="00342D3C">
        <w:t>IL-4Rα</w:t>
      </w:r>
      <w:r w:rsidR="00E85719">
        <w:t>)</w:t>
      </w:r>
      <w:r w:rsidRPr="00342D3C">
        <w:t xml:space="preserve"> binding site within the antibody.</w:t>
      </w:r>
    </w:p>
    <w:p w14:paraId="558F8208" w14:textId="2981ECFD" w:rsidR="00A61512" w:rsidRDefault="00A61512" w:rsidP="00A61512">
      <w:pPr>
        <w:pStyle w:val="FigureTitle"/>
      </w:pPr>
      <w:bookmarkStart w:id="38" w:name="_Ref124146335"/>
      <w:bookmarkStart w:id="39" w:name="_Ref124165922"/>
      <w:r w:rsidRPr="00342D3C">
        <w:t xml:space="preserve">Figure </w:t>
      </w:r>
      <w:fldSimple w:instr=" SEQ Figure \* ARABIC ">
        <w:r w:rsidR="00761EA9">
          <w:rPr>
            <w:noProof/>
          </w:rPr>
          <w:t>1</w:t>
        </w:r>
      </w:fldSimple>
      <w:bookmarkEnd w:id="38"/>
      <w:r>
        <w:t>: Chemical structure of dupilumab</w:t>
      </w:r>
      <w:bookmarkEnd w:id="39"/>
    </w:p>
    <w:p w14:paraId="7D7C5919" w14:textId="4FB9D334" w:rsidR="00A61512" w:rsidRDefault="00A61512" w:rsidP="00A61512">
      <w:r w:rsidRPr="00342D3C">
        <w:rPr>
          <w:noProof/>
          <w:lang w:val="en-GB" w:eastAsia="en-GB"/>
        </w:rPr>
        <w:drawing>
          <wp:inline distT="0" distB="0" distL="0" distR="0" wp14:anchorId="26731F60" wp14:editId="06268AC7">
            <wp:extent cx="3674853" cy="3458320"/>
            <wp:effectExtent l="0" t="0" r="1905" b="8890"/>
            <wp:docPr id="9" name="Picture 9" descr="Figure 1: Chemical structure of dupil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Chemical structure of dupilumab"/>
                    <pic:cNvPicPr/>
                  </pic:nvPicPr>
                  <pic:blipFill>
                    <a:blip r:embed="rId19"/>
                    <a:stretch>
                      <a:fillRect/>
                    </a:stretch>
                  </pic:blipFill>
                  <pic:spPr>
                    <a:xfrm>
                      <a:off x="0" y="0"/>
                      <a:ext cx="3707100" cy="3488667"/>
                    </a:xfrm>
                    <a:prstGeom prst="rect">
                      <a:avLst/>
                    </a:prstGeom>
                  </pic:spPr>
                </pic:pic>
              </a:graphicData>
            </a:graphic>
          </wp:inline>
        </w:drawing>
      </w:r>
    </w:p>
    <w:p w14:paraId="66CA3355" w14:textId="7E6BA269" w:rsidR="009E6A53" w:rsidRDefault="009E6A53" w:rsidP="00025EBB">
      <w:pPr>
        <w:pStyle w:val="FigureDescription"/>
      </w:pPr>
      <w:r>
        <w:t>Abbreviations: CH = heavy constant region; CL = light constant region n;</w:t>
      </w:r>
      <w:r w:rsidR="00E85719">
        <w:t xml:space="preserve"> VH = heavy variable region; VL = </w:t>
      </w:r>
      <w:r>
        <w:t>light variable region.</w:t>
      </w:r>
    </w:p>
    <w:p w14:paraId="78027794" w14:textId="5FAEDB22" w:rsidR="00E85719" w:rsidRPr="00342D3C" w:rsidRDefault="00871E04" w:rsidP="00025EBB">
      <w:pPr>
        <w:pStyle w:val="FigureDescription"/>
      </w:pPr>
      <w:r>
        <w:lastRenderedPageBreak/>
        <w:t>Dupilumab an</w:t>
      </w:r>
      <w:r w:rsidR="00CC141C">
        <w:t>tibody structure, comprised of two heavy chains, and two</w:t>
      </w:r>
      <w:r>
        <w:t xml:space="preserve"> light chains, linked together. The heavy chains contain a single, conserved N-glycosylation site (Asn302) in the </w:t>
      </w:r>
      <w:r w:rsidR="00025EBB">
        <w:t>fragment crystallisable (</w:t>
      </w:r>
      <w:r>
        <w:t>Fc</w:t>
      </w:r>
      <w:r w:rsidR="00025EBB">
        <w:t>)</w:t>
      </w:r>
      <w:r>
        <w:t xml:space="preserve"> region of each heavy chain subunit.</w:t>
      </w:r>
      <w:r w:rsidR="009E6A53">
        <w:t xml:space="preserve"> Dupilumab heavy chains contain a serine to proline mutation at amino acid 233, which </w:t>
      </w:r>
      <w:proofErr w:type="gramStart"/>
      <w:r w:rsidR="009E6A53">
        <w:t>is located in</w:t>
      </w:r>
      <w:proofErr w:type="gramEnd"/>
      <w:r w:rsidR="009E6A53">
        <w:t xml:space="preserve"> the hinge region of the Fc domain.</w:t>
      </w:r>
    </w:p>
    <w:p w14:paraId="0470C3DD" w14:textId="27189E64" w:rsidR="00A23DE2" w:rsidRDefault="00A23DE2" w:rsidP="00DC1A5C">
      <w:pPr>
        <w:pStyle w:val="Heading4"/>
      </w:pPr>
      <w:r>
        <w:t>Proposed new strength</w:t>
      </w:r>
    </w:p>
    <w:p w14:paraId="044C7143" w14:textId="0A0C5E02" w:rsidR="0040369E" w:rsidRDefault="009357BB" w:rsidP="00E85719">
      <w:r>
        <w:t xml:space="preserve">The proposed new </w:t>
      </w:r>
      <w:r w:rsidRPr="00785B4D">
        <w:t>100 mg/0.67 mL</w:t>
      </w:r>
      <w:r w:rsidRPr="009357BB">
        <w:t xml:space="preserve"> </w:t>
      </w:r>
      <w:r>
        <w:t>strength contains the same active ingredient</w:t>
      </w:r>
      <w:r w:rsidR="007B1D80">
        <w:t xml:space="preserve"> as the previously registered </w:t>
      </w:r>
      <w:r w:rsidR="00A61512">
        <w:t xml:space="preserve">Dupixent </w:t>
      </w:r>
      <w:r w:rsidR="007B1D80">
        <w:t>products</w:t>
      </w:r>
      <w:r w:rsidR="00E85719">
        <w:t xml:space="preserve"> (that is, the 200 mg/1.14 mL, and </w:t>
      </w:r>
      <w:r w:rsidR="00E85719" w:rsidRPr="00785B4D">
        <w:t>300 mg/2 mL</w:t>
      </w:r>
      <w:r w:rsidR="00E85719">
        <w:t xml:space="preserve"> formulations)</w:t>
      </w:r>
      <w:r w:rsidR="007B1D80">
        <w:t>.</w:t>
      </w:r>
      <w:r w:rsidR="0040369E">
        <w:t xml:space="preserve"> </w:t>
      </w:r>
      <w:r w:rsidR="007B1D80">
        <w:t>It is packaged in a prefilled syringe with needle shield.</w:t>
      </w:r>
      <w:r w:rsidR="0040369E">
        <w:t xml:space="preserve"> </w:t>
      </w:r>
      <w:r w:rsidR="007B1D80">
        <w:t>The recommended shelf-life is 36 months when stored at 2 to 8°C and protected from light</w:t>
      </w:r>
      <w:r w:rsidR="0040369E">
        <w:t>.</w:t>
      </w:r>
    </w:p>
    <w:p w14:paraId="136A8B3C" w14:textId="1D0C8695" w:rsidR="00A23DE2" w:rsidRDefault="00A23DE2" w:rsidP="00DC1A5C">
      <w:pPr>
        <w:pStyle w:val="Heading4"/>
      </w:pPr>
      <w:r>
        <w:t>Conclusions and recommendation</w:t>
      </w:r>
    </w:p>
    <w:p w14:paraId="3F595318" w14:textId="77777777" w:rsidR="00A23DE2" w:rsidRDefault="009863EE" w:rsidP="0074163C">
      <w:r w:rsidRPr="009863EE">
        <w:t xml:space="preserve">All concerns raised in the evaluation have been adequately addressed by the </w:t>
      </w:r>
      <w:r>
        <w:t>s</w:t>
      </w:r>
      <w:r w:rsidRPr="009863EE">
        <w:t>ponsor. There are no further outstanding issues</w:t>
      </w:r>
      <w:r>
        <w:t>.</w:t>
      </w:r>
    </w:p>
    <w:p w14:paraId="5C0E6737" w14:textId="60A189ED" w:rsidR="009863EE" w:rsidRDefault="005605F6" w:rsidP="0074163C">
      <w:r>
        <w:t>The qu</w:t>
      </w:r>
      <w:r w:rsidR="009863EE">
        <w:t>ality evaluat</w:t>
      </w:r>
      <w:r w:rsidR="00CC141C">
        <w:t>ion</w:t>
      </w:r>
      <w:r w:rsidR="009863EE">
        <w:t xml:space="preserve"> recommend</w:t>
      </w:r>
      <w:r w:rsidR="00A23DE2">
        <w:t>ed</w:t>
      </w:r>
      <w:r w:rsidR="009863EE">
        <w:t xml:space="preserve"> </w:t>
      </w:r>
      <w:r w:rsidR="00CC141C">
        <w:t xml:space="preserve">the </w:t>
      </w:r>
      <w:r w:rsidR="009863EE">
        <w:t xml:space="preserve">approval </w:t>
      </w:r>
      <w:r w:rsidR="00CC141C">
        <w:t xml:space="preserve">of Dupixent </w:t>
      </w:r>
      <w:r w:rsidR="009863EE">
        <w:t xml:space="preserve">from </w:t>
      </w:r>
      <w:r>
        <w:t xml:space="preserve">a </w:t>
      </w:r>
      <w:r w:rsidR="009863EE">
        <w:t>quality perspective</w:t>
      </w:r>
      <w:r w:rsidR="00A70BCD">
        <w:t>.</w:t>
      </w:r>
    </w:p>
    <w:p w14:paraId="7D636AD6" w14:textId="77777777" w:rsidR="008E7846" w:rsidRDefault="008E7846" w:rsidP="008E7846">
      <w:pPr>
        <w:pStyle w:val="Heading3"/>
      </w:pPr>
      <w:bookmarkStart w:id="40" w:name="_Toc314842512"/>
      <w:bookmarkStart w:id="41" w:name="_Toc129692001"/>
      <w:r>
        <w:t>Nonclinical</w:t>
      </w:r>
      <w:bookmarkEnd w:id="40"/>
      <w:bookmarkEnd w:id="41"/>
    </w:p>
    <w:p w14:paraId="518B8599" w14:textId="549C6FC7" w:rsidR="00E85719" w:rsidRPr="00DC1A5C" w:rsidRDefault="0052317A" w:rsidP="00DC1A5C">
      <w:r>
        <w:t>There was no requirement for a nonclinical evaluation in a submission of this type.</w:t>
      </w:r>
      <w:r w:rsidR="00E85719">
        <w:t xml:space="preserve"> </w:t>
      </w:r>
      <w:r w:rsidR="00025EBB">
        <w:rPr>
          <w:lang w:val="en-GB"/>
        </w:rPr>
        <w:t>T</w:t>
      </w:r>
      <w:r w:rsidR="00E85719">
        <w:rPr>
          <w:lang w:val="en-GB"/>
        </w:rPr>
        <w:t xml:space="preserve">his is an extension of indications with new indication of treatment of asthma in individuals from </w:t>
      </w:r>
      <w:r w:rsidR="00E85719" w:rsidRPr="00E85719">
        <w:rPr>
          <w:lang w:val="en-GB"/>
        </w:rPr>
        <w:t>6 year</w:t>
      </w:r>
      <w:r w:rsidR="00E85719">
        <w:rPr>
          <w:lang w:val="en-GB"/>
        </w:rPr>
        <w:t>s</w:t>
      </w:r>
      <w:r w:rsidR="00E85719" w:rsidRPr="00E85719">
        <w:rPr>
          <w:lang w:val="en-GB"/>
        </w:rPr>
        <w:t xml:space="preserve"> </w:t>
      </w:r>
      <w:r w:rsidR="00E85719">
        <w:rPr>
          <w:lang w:val="en-GB"/>
        </w:rPr>
        <w:t>of age</w:t>
      </w:r>
      <w:r w:rsidR="00E85719" w:rsidRPr="00E85719">
        <w:rPr>
          <w:lang w:val="en-GB"/>
        </w:rPr>
        <w:t xml:space="preserve"> (</w:t>
      </w:r>
      <w:r w:rsidR="00E85719">
        <w:rPr>
          <w:lang w:val="en-GB"/>
        </w:rPr>
        <w:t xml:space="preserve">compared with from </w:t>
      </w:r>
      <w:r w:rsidR="00E85719" w:rsidRPr="00E85719">
        <w:rPr>
          <w:lang w:val="en-GB"/>
        </w:rPr>
        <w:t>12 year</w:t>
      </w:r>
      <w:r w:rsidR="00E85719">
        <w:rPr>
          <w:lang w:val="en-GB"/>
        </w:rPr>
        <w:t>s</w:t>
      </w:r>
      <w:r w:rsidR="00E85719" w:rsidRPr="00E85719">
        <w:rPr>
          <w:lang w:val="en-GB"/>
        </w:rPr>
        <w:t xml:space="preserve"> </w:t>
      </w:r>
      <w:r w:rsidR="00E85719">
        <w:rPr>
          <w:lang w:val="en-GB"/>
        </w:rPr>
        <w:t>of age as</w:t>
      </w:r>
      <w:r w:rsidR="00E85719" w:rsidRPr="00E85719">
        <w:rPr>
          <w:lang w:val="en-GB"/>
        </w:rPr>
        <w:t xml:space="preserve"> currently</w:t>
      </w:r>
      <w:r w:rsidR="00E85719">
        <w:rPr>
          <w:lang w:val="en-GB"/>
        </w:rPr>
        <w:t xml:space="preserve"> approved</w:t>
      </w:r>
      <w:r w:rsidR="00E85719" w:rsidRPr="00E85719">
        <w:rPr>
          <w:lang w:val="en-GB"/>
        </w:rPr>
        <w:t xml:space="preserve">); </w:t>
      </w:r>
      <w:r w:rsidR="00E85719">
        <w:rPr>
          <w:lang w:val="en-GB"/>
        </w:rPr>
        <w:t xml:space="preserve">the </w:t>
      </w:r>
      <w:r w:rsidR="00E85719" w:rsidRPr="00E85719">
        <w:rPr>
          <w:lang w:val="en-GB"/>
        </w:rPr>
        <w:t>younger age group is consistent with that sought in an earlier application for a paediatric extension</w:t>
      </w:r>
      <w:r w:rsidR="00597D49">
        <w:rPr>
          <w:lang w:val="en-GB"/>
        </w:rPr>
        <w:t xml:space="preserve"> of indications,</w:t>
      </w:r>
      <w:r w:rsidR="00E85719" w:rsidRPr="00E85719">
        <w:rPr>
          <w:lang w:val="en-GB"/>
        </w:rPr>
        <w:t xml:space="preserve"> for treatment of atopic </w:t>
      </w:r>
      <w:r w:rsidR="00E85719">
        <w:rPr>
          <w:lang w:val="en-GB"/>
        </w:rPr>
        <w:t>dermatitis (submission PM 2020-03043-1-5)</w:t>
      </w:r>
      <w:r w:rsidR="00A23DE2">
        <w:rPr>
          <w:lang w:val="en-GB"/>
        </w:rPr>
        <w:t>;</w:t>
      </w:r>
      <w:r w:rsidR="00A23DE2" w:rsidRPr="00B35074">
        <w:rPr>
          <w:vertAlign w:val="superscript"/>
          <w:lang w:val="en-GB"/>
        </w:rPr>
        <w:fldChar w:fldCharType="begin"/>
      </w:r>
      <w:r w:rsidR="00A23DE2" w:rsidRPr="00DC1A5C">
        <w:rPr>
          <w:vertAlign w:val="superscript"/>
          <w:lang w:val="en-GB"/>
        </w:rPr>
        <w:instrText xml:space="preserve"> NOTEREF _Ref129338025 \h  \* MERGEFORMAT </w:instrText>
      </w:r>
      <w:r w:rsidR="00A23DE2" w:rsidRPr="00B35074">
        <w:rPr>
          <w:vertAlign w:val="superscript"/>
          <w:lang w:val="en-GB"/>
        </w:rPr>
      </w:r>
      <w:r w:rsidR="00A23DE2" w:rsidRPr="00B35074">
        <w:rPr>
          <w:vertAlign w:val="superscript"/>
          <w:lang w:val="en-GB"/>
        </w:rPr>
        <w:fldChar w:fldCharType="separate"/>
      </w:r>
      <w:r w:rsidR="00761EA9">
        <w:rPr>
          <w:vertAlign w:val="superscript"/>
          <w:lang w:val="en-GB"/>
        </w:rPr>
        <w:t>14</w:t>
      </w:r>
      <w:r w:rsidR="00A23DE2" w:rsidRPr="00B35074">
        <w:rPr>
          <w:vertAlign w:val="superscript"/>
          <w:lang w:val="en-GB"/>
        </w:rPr>
        <w:fldChar w:fldCharType="end"/>
      </w:r>
      <w:r w:rsidR="00A23DE2">
        <w:rPr>
          <w:vertAlign w:val="superscript"/>
          <w:lang w:val="en-GB"/>
        </w:rPr>
        <w:t xml:space="preserve"> </w:t>
      </w:r>
      <w:r w:rsidR="00A23DE2">
        <w:t xml:space="preserve">see </w:t>
      </w:r>
      <w:r w:rsidR="00A23DE2" w:rsidRPr="00DC1A5C">
        <w:rPr>
          <w:i/>
        </w:rPr>
        <w:fldChar w:fldCharType="begin"/>
      </w:r>
      <w:r w:rsidR="00A23DE2" w:rsidRPr="00DC1A5C">
        <w:rPr>
          <w:i/>
        </w:rPr>
        <w:instrText xml:space="preserve"> REF _Ref129264196 \h </w:instrText>
      </w:r>
      <w:r w:rsidR="00A23DE2">
        <w:rPr>
          <w:i/>
        </w:rPr>
        <w:instrText xml:space="preserve"> \* MERGEFORMAT </w:instrText>
      </w:r>
      <w:r w:rsidR="00A23DE2" w:rsidRPr="00DC1A5C">
        <w:rPr>
          <w:i/>
        </w:rPr>
      </w:r>
      <w:r w:rsidR="00A23DE2" w:rsidRPr="00DC1A5C">
        <w:rPr>
          <w:i/>
        </w:rPr>
        <w:fldChar w:fldCharType="separate"/>
      </w:r>
      <w:r w:rsidR="00761EA9" w:rsidRPr="00761EA9">
        <w:rPr>
          <w:i/>
        </w:rPr>
        <w:t>Regulatory status</w:t>
      </w:r>
      <w:r w:rsidR="00A23DE2" w:rsidRPr="00DC1A5C">
        <w:rPr>
          <w:i/>
        </w:rPr>
        <w:fldChar w:fldCharType="end"/>
      </w:r>
      <w:r w:rsidR="00A23DE2" w:rsidRPr="00292A7A">
        <w:rPr>
          <w:lang w:val="en-GB"/>
        </w:rPr>
        <w:t xml:space="preserve"> </w:t>
      </w:r>
      <w:r w:rsidR="00A23DE2">
        <w:rPr>
          <w:lang w:val="en-GB"/>
        </w:rPr>
        <w:t>for further information.</w:t>
      </w:r>
      <w:r w:rsidR="00025EBB">
        <w:rPr>
          <w:lang w:val="en-GB"/>
        </w:rPr>
        <w:t xml:space="preserve"> In addition:</w:t>
      </w:r>
    </w:p>
    <w:p w14:paraId="3A189227" w14:textId="0873205E" w:rsidR="00E85719" w:rsidRDefault="00025EBB" w:rsidP="00DC1A5C">
      <w:pPr>
        <w:pStyle w:val="ListBullet"/>
        <w:rPr>
          <w:lang w:val="en-GB"/>
        </w:rPr>
      </w:pPr>
      <w:r>
        <w:rPr>
          <w:lang w:val="en-GB"/>
        </w:rPr>
        <w:t>t</w:t>
      </w:r>
      <w:r w:rsidR="00E85719">
        <w:rPr>
          <w:lang w:val="en-GB"/>
        </w:rPr>
        <w:t xml:space="preserve">here </w:t>
      </w:r>
      <w:proofErr w:type="gramStart"/>
      <w:r w:rsidR="00E85719">
        <w:rPr>
          <w:lang w:val="en-GB"/>
        </w:rPr>
        <w:t>were</w:t>
      </w:r>
      <w:proofErr w:type="gramEnd"/>
      <w:r w:rsidR="00E85719">
        <w:rPr>
          <w:lang w:val="en-GB"/>
        </w:rPr>
        <w:t xml:space="preserve"> </w:t>
      </w:r>
      <w:r w:rsidR="00E85719" w:rsidRPr="00A17CA8">
        <w:rPr>
          <w:lang w:val="en-GB"/>
        </w:rPr>
        <w:t>n</w:t>
      </w:r>
      <w:r w:rsidR="00E85719" w:rsidRPr="00E85719">
        <w:rPr>
          <w:lang w:val="en-GB"/>
        </w:rPr>
        <w:t>o new relevant carcinogenicity information identified fro</w:t>
      </w:r>
      <w:r>
        <w:rPr>
          <w:lang w:val="en-GB"/>
        </w:rPr>
        <w:t>m an updated literature search;</w:t>
      </w:r>
    </w:p>
    <w:p w14:paraId="24BDC652" w14:textId="070CC0EB" w:rsidR="00E85719" w:rsidRPr="00DC1A5C" w:rsidRDefault="00025EBB" w:rsidP="00DC1A5C">
      <w:pPr>
        <w:pStyle w:val="ListBullet"/>
        <w:rPr>
          <w:lang w:val="en-GB"/>
        </w:rPr>
      </w:pPr>
      <w:r>
        <w:rPr>
          <w:lang w:val="en-GB"/>
        </w:rPr>
        <w:t>t</w:t>
      </w:r>
      <w:r w:rsidR="00E85719">
        <w:rPr>
          <w:lang w:val="en-GB"/>
        </w:rPr>
        <w:t>here is no</w:t>
      </w:r>
      <w:r w:rsidR="00E85719" w:rsidRPr="00DC1A5C">
        <w:rPr>
          <w:rFonts w:eastAsiaTheme="minorHAnsi" w:cs="Cambria"/>
          <w:color w:val="000000"/>
          <w:lang w:val="en-GB"/>
        </w:rPr>
        <w:t xml:space="preserve"> increase in adm</w:t>
      </w:r>
      <w:r>
        <w:rPr>
          <w:rFonts w:eastAsiaTheme="minorHAnsi" w:cs="Cambria"/>
          <w:color w:val="000000"/>
          <w:lang w:val="en-GB"/>
        </w:rPr>
        <w:t>inistered strength; and</w:t>
      </w:r>
    </w:p>
    <w:p w14:paraId="1E49E099" w14:textId="5E8536FF" w:rsidR="00E85719" w:rsidRPr="00DC1A5C" w:rsidRDefault="00025EBB" w:rsidP="00DC1A5C">
      <w:pPr>
        <w:pStyle w:val="ListBullet"/>
        <w:rPr>
          <w:lang w:val="en-GB"/>
        </w:rPr>
      </w:pPr>
      <w:r>
        <w:rPr>
          <w:rFonts w:eastAsiaTheme="minorHAnsi" w:cs="Cambria"/>
          <w:color w:val="000000"/>
          <w:lang w:val="en-GB"/>
        </w:rPr>
        <w:t>t</w:t>
      </w:r>
      <w:r w:rsidR="00E85719">
        <w:rPr>
          <w:rFonts w:eastAsiaTheme="minorHAnsi" w:cs="Cambria"/>
          <w:color w:val="000000"/>
          <w:lang w:val="en-GB"/>
        </w:rPr>
        <w:t xml:space="preserve">here are </w:t>
      </w:r>
      <w:r w:rsidR="00E85719" w:rsidRPr="00A17CA8">
        <w:rPr>
          <w:rFonts w:eastAsiaTheme="minorHAnsi" w:cs="Cambria"/>
          <w:color w:val="000000"/>
          <w:lang w:val="en-GB"/>
        </w:rPr>
        <w:t>n</w:t>
      </w:r>
      <w:r w:rsidRPr="00025EBB">
        <w:rPr>
          <w:rFonts w:eastAsiaTheme="minorHAnsi" w:cs="Cambria"/>
          <w:color w:val="000000"/>
          <w:lang w:val="en-GB"/>
        </w:rPr>
        <w:t>o nonclinical PI changes.</w:t>
      </w:r>
    </w:p>
    <w:p w14:paraId="4CEAC405" w14:textId="0C4E36A7" w:rsidR="00E85719" w:rsidRDefault="0052317A" w:rsidP="0052317A">
      <w:r>
        <w:t>Dupixent (dupilumab) underwent a full nonclinical evaluation at the time of initial registration to the satisfaction of the TGA</w:t>
      </w:r>
      <w:r w:rsidR="00761EA9" w:rsidRPr="00761EA9">
        <w:rPr>
          <w:b/>
          <w:bCs/>
          <w:lang w:val="en-US"/>
        </w:rPr>
        <w:t>.</w:t>
      </w:r>
    </w:p>
    <w:p w14:paraId="04F0B953" w14:textId="44CC68CC" w:rsidR="008E7846" w:rsidRDefault="008E7846" w:rsidP="008E7846">
      <w:pPr>
        <w:pStyle w:val="Heading3"/>
      </w:pPr>
      <w:bookmarkStart w:id="42" w:name="_Toc247691530"/>
      <w:bookmarkStart w:id="43" w:name="_Toc314842513"/>
      <w:bookmarkStart w:id="44" w:name="_Toc129692002"/>
      <w:r>
        <w:t>Clinical</w:t>
      </w:r>
      <w:bookmarkEnd w:id="42"/>
      <w:bookmarkEnd w:id="43"/>
      <w:bookmarkEnd w:id="44"/>
    </w:p>
    <w:p w14:paraId="4DFDD672" w14:textId="77777777" w:rsidR="0074163C" w:rsidRDefault="0074163C" w:rsidP="0074163C">
      <w:pPr>
        <w:pStyle w:val="Heading4"/>
      </w:pPr>
      <w:bookmarkStart w:id="45" w:name="_Toc98931928"/>
      <w:r>
        <w:t>Summary of clinical studies</w:t>
      </w:r>
      <w:bookmarkEnd w:id="45"/>
    </w:p>
    <w:p w14:paraId="1E18B4AC" w14:textId="6D8E77F7" w:rsidR="0074163C" w:rsidRPr="0052317A" w:rsidRDefault="0074163C" w:rsidP="0074163C">
      <w:r w:rsidRPr="0052317A">
        <w:t xml:space="preserve">The clinical dossier </w:t>
      </w:r>
      <w:r w:rsidR="00685188">
        <w:t xml:space="preserve">mainly </w:t>
      </w:r>
      <w:r w:rsidRPr="0052317A">
        <w:t>consisted of</w:t>
      </w:r>
      <w:r w:rsidR="00EB36D6" w:rsidRPr="0052317A">
        <w:t>:</w:t>
      </w:r>
    </w:p>
    <w:p w14:paraId="19EFAB0B" w14:textId="2C92F671" w:rsidR="007B1D80" w:rsidRDefault="0052317A" w:rsidP="007B1D80">
      <w:pPr>
        <w:pStyle w:val="ListBullet"/>
      </w:pPr>
      <w:r w:rsidRPr="0052317A">
        <w:t xml:space="preserve">Study </w:t>
      </w:r>
      <w:r w:rsidR="007B1D80" w:rsidRPr="0052317A">
        <w:t>EFC14153</w:t>
      </w:r>
      <w:r w:rsidRPr="0052317A">
        <w:t xml:space="preserve"> (LIBERTY ASTHMA VOYAGE</w:t>
      </w:r>
      <w:r w:rsidR="00DC5C2C">
        <w:t xml:space="preserve"> trial</w:t>
      </w:r>
      <w:r w:rsidRPr="0052317A">
        <w:t>)</w:t>
      </w:r>
      <w:r w:rsidR="007B1D80" w:rsidRPr="0052317A">
        <w:t xml:space="preserve">: A pivotal </w:t>
      </w:r>
      <w:r w:rsidR="002D4247">
        <w:t xml:space="preserve">Phase III </w:t>
      </w:r>
      <w:r w:rsidR="007B1D80" w:rsidRPr="0052317A">
        <w:t xml:space="preserve">clinical efficacy, safety and </w:t>
      </w:r>
      <w:r w:rsidR="00B72C6F">
        <w:t xml:space="preserve">pharmacokinetic </w:t>
      </w:r>
      <w:r w:rsidR="007B1D80" w:rsidRPr="0052317A">
        <w:t>study</w:t>
      </w:r>
      <w:r w:rsidR="002D4247">
        <w:t xml:space="preserve"> in children aged 6 to under 12 years with uncontroll</w:t>
      </w:r>
      <w:r w:rsidR="00EF254D">
        <w:t>ed persistent asthma.</w:t>
      </w:r>
    </w:p>
    <w:p w14:paraId="52771A07" w14:textId="143B0C7B" w:rsidR="00EF254D" w:rsidRDefault="0052317A" w:rsidP="007B1D80">
      <w:pPr>
        <w:pStyle w:val="ListBullet"/>
      </w:pPr>
      <w:r w:rsidRPr="0052317A">
        <w:t xml:space="preserve">Study </w:t>
      </w:r>
      <w:r w:rsidR="007B1D80" w:rsidRPr="0052317A">
        <w:t>LTS14424</w:t>
      </w:r>
      <w:r w:rsidRPr="0052317A">
        <w:t xml:space="preserve"> (LIBERTY ASTHMA EXTENSION</w:t>
      </w:r>
      <w:r w:rsidR="00DC5C2C">
        <w:t xml:space="preserve"> trial</w:t>
      </w:r>
      <w:r w:rsidRPr="0052317A">
        <w:t>)</w:t>
      </w:r>
      <w:r w:rsidR="007B1D80" w:rsidRPr="0052317A">
        <w:t xml:space="preserve">: </w:t>
      </w:r>
      <w:r w:rsidRPr="0052317A">
        <w:t>An</w:t>
      </w:r>
      <w:r w:rsidR="007B1D80" w:rsidRPr="0052317A">
        <w:t xml:space="preserve"> extension study </w:t>
      </w:r>
      <w:r w:rsidR="00EF254D">
        <w:t>to study</w:t>
      </w:r>
      <w:r w:rsidR="00EF254D" w:rsidRPr="0052317A">
        <w:t xml:space="preserve"> </w:t>
      </w:r>
      <w:r w:rsidR="007B1D80" w:rsidRPr="0052317A">
        <w:t>a safety</w:t>
      </w:r>
      <w:r w:rsidR="00EF254D">
        <w:t xml:space="preserve">, </w:t>
      </w:r>
      <w:r w:rsidR="007B1D80" w:rsidRPr="0052317A">
        <w:t>tolerability</w:t>
      </w:r>
      <w:r w:rsidR="00EF254D">
        <w:t>, and long-term efficacy in patients who participated Study EF14153.</w:t>
      </w:r>
    </w:p>
    <w:p w14:paraId="3055B5A9" w14:textId="2221A5F9" w:rsidR="007B1D80" w:rsidRPr="0052317A" w:rsidRDefault="0036282D" w:rsidP="009A0864">
      <w:pPr>
        <w:pStyle w:val="ListBullet"/>
      </w:pPr>
      <w:r>
        <w:t xml:space="preserve">Analysis </w:t>
      </w:r>
      <w:r w:rsidR="007B1D80" w:rsidRPr="0052317A">
        <w:t>POH0766: A pop</w:t>
      </w:r>
      <w:r w:rsidR="0052317A" w:rsidRPr="0052317A">
        <w:t xml:space="preserve">ulation </w:t>
      </w:r>
      <w:r w:rsidR="00B72C6F">
        <w:t>pharmacokinetic</w:t>
      </w:r>
      <w:r w:rsidR="007B1D80" w:rsidRPr="0052317A">
        <w:t xml:space="preserve"> </w:t>
      </w:r>
      <w:r w:rsidR="00862EB8">
        <w:t>analysis</w:t>
      </w:r>
      <w:r w:rsidR="009A0864">
        <w:t xml:space="preserve"> based upon data from </w:t>
      </w:r>
      <w:r w:rsidR="009A0864" w:rsidRPr="009A0864">
        <w:t>Studies EFC14153 and LTS14424</w:t>
      </w:r>
    </w:p>
    <w:p w14:paraId="583C0EF2" w14:textId="5486C12F" w:rsidR="007B1D80" w:rsidRPr="0052317A" w:rsidRDefault="00862EB8" w:rsidP="007B1D80">
      <w:pPr>
        <w:pStyle w:val="ListBullet"/>
      </w:pPr>
      <w:r>
        <w:t>Analysis</w:t>
      </w:r>
      <w:r w:rsidRPr="0052317A">
        <w:t xml:space="preserve"> </w:t>
      </w:r>
      <w:r w:rsidR="007B1D80" w:rsidRPr="0052317A">
        <w:t xml:space="preserve">CTS0077: A </w:t>
      </w:r>
      <w:r w:rsidR="00B72C6F">
        <w:t>pharmacokinetic/pharmacodynamic</w:t>
      </w:r>
      <w:r w:rsidR="007B1D80" w:rsidRPr="0052317A">
        <w:t xml:space="preserve"> </w:t>
      </w:r>
      <w:r>
        <w:t>analysis</w:t>
      </w:r>
      <w:r w:rsidRPr="0052317A">
        <w:t xml:space="preserve"> </w:t>
      </w:r>
      <w:r w:rsidR="007B1D80" w:rsidRPr="0052317A">
        <w:t xml:space="preserve">with </w:t>
      </w:r>
      <w:r>
        <w:t xml:space="preserve">an </w:t>
      </w:r>
      <w:r w:rsidR="0052317A" w:rsidRPr="0052317A">
        <w:t>exposure</w:t>
      </w:r>
      <w:r>
        <w:noBreakHyphen/>
      </w:r>
      <w:r w:rsidR="0052317A" w:rsidRPr="0052317A">
        <w:t>response</w:t>
      </w:r>
      <w:r w:rsidR="007B1D80" w:rsidRPr="0052317A">
        <w:t xml:space="preserve"> analysis</w:t>
      </w:r>
      <w:r>
        <w:t xml:space="preserve"> based upon data from Study EFC14153</w:t>
      </w:r>
    </w:p>
    <w:p w14:paraId="17DE887E" w14:textId="6E05DAF6" w:rsidR="007B1D80" w:rsidRDefault="007B1D80" w:rsidP="0052317A">
      <w:pPr>
        <w:pStyle w:val="Heading4"/>
      </w:pPr>
      <w:r>
        <w:lastRenderedPageBreak/>
        <w:t>Pharmacology</w:t>
      </w:r>
    </w:p>
    <w:p w14:paraId="605706AB" w14:textId="768A38B2" w:rsidR="007B1D80" w:rsidRDefault="007B1D80" w:rsidP="0052317A">
      <w:pPr>
        <w:pStyle w:val="Heading5"/>
      </w:pPr>
      <w:r>
        <w:t>Pharmacokinetics</w:t>
      </w:r>
    </w:p>
    <w:p w14:paraId="05A7BBBF" w14:textId="276CEED1" w:rsidR="007B1D80" w:rsidRDefault="007B1D80" w:rsidP="007B1D80">
      <w:r>
        <w:t xml:space="preserve">The </w:t>
      </w:r>
      <w:r w:rsidR="00226A21">
        <w:t>pharmacokinetic (P</w:t>
      </w:r>
      <w:r>
        <w:t>K</w:t>
      </w:r>
      <w:r w:rsidR="00226A21">
        <w:t>)</w:t>
      </w:r>
      <w:r>
        <w:t xml:space="preserve"> profile of dupilumab is well established for adul</w:t>
      </w:r>
      <w:r w:rsidR="00226A21">
        <w:t xml:space="preserve">t and </w:t>
      </w:r>
      <w:r>
        <w:t xml:space="preserve">adolescent population. It </w:t>
      </w:r>
      <w:r w:rsidR="00B72C6F">
        <w:t>was</w:t>
      </w:r>
      <w:r>
        <w:t xml:space="preserve"> assessed in healthy adult subjects and in patients with atopic dermatitis (6 years and above), asthma (12 years and above), and </w:t>
      </w:r>
      <w:r w:rsidR="009870D3">
        <w:t xml:space="preserve">chronic rhinosinusitis with nasal </w:t>
      </w:r>
      <w:r w:rsidR="009870D3" w:rsidRPr="004C7727">
        <w:t>polyposis</w:t>
      </w:r>
      <w:r w:rsidR="009870D3">
        <w:t xml:space="preserve"> </w:t>
      </w:r>
      <w:r>
        <w:t>(</w:t>
      </w:r>
      <w:r w:rsidR="009870D3">
        <w:t xml:space="preserve">in </w:t>
      </w:r>
      <w:r>
        <w:t>adults).</w:t>
      </w:r>
    </w:p>
    <w:p w14:paraId="0EDA37E6" w14:textId="28A7E820" w:rsidR="007B1D80" w:rsidRDefault="007B1D80" w:rsidP="007B1D80">
      <w:r>
        <w:t xml:space="preserve">Dupilumab is well absorbed with an estimated </w:t>
      </w:r>
      <w:r w:rsidR="00226A21">
        <w:t>subcutaneous (</w:t>
      </w:r>
      <w:r>
        <w:t>SC</w:t>
      </w:r>
      <w:r w:rsidR="00226A21">
        <w:t>)</w:t>
      </w:r>
      <w:r>
        <w:t xml:space="preserve"> bioavailability of 63%</w:t>
      </w:r>
      <w:r w:rsidR="00226A21">
        <w:t xml:space="preserve"> and</w:t>
      </w:r>
      <w:r>
        <w:t xml:space="preserve"> distributes primarily within the vascular compartment</w:t>
      </w:r>
      <w:r w:rsidR="00B72C6F">
        <w:t>; the volume of distribution is</w:t>
      </w:r>
      <w:r>
        <w:t xml:space="preserve"> 3.7 L.</w:t>
      </w:r>
    </w:p>
    <w:p w14:paraId="71ADF258" w14:textId="697BCFF1" w:rsidR="007B1D80" w:rsidRDefault="007B1D80" w:rsidP="007B1D80">
      <w:r>
        <w:t>For the proposed extension of indication</w:t>
      </w:r>
      <w:r w:rsidR="009870D3">
        <w:t xml:space="preserve">s, for the </w:t>
      </w:r>
      <w:proofErr w:type="spellStart"/>
      <w:r w:rsidR="009870D3">
        <w:t>treatement</w:t>
      </w:r>
      <w:proofErr w:type="spellEnd"/>
      <w:r w:rsidR="009870D3">
        <w:t xml:space="preserve"> of</w:t>
      </w:r>
      <w:r>
        <w:t xml:space="preserve"> patients aged </w:t>
      </w:r>
      <w:r w:rsidR="009870D3">
        <w:t xml:space="preserve">from </w:t>
      </w:r>
      <w:r>
        <w:t xml:space="preserve">6 to </w:t>
      </w:r>
      <w:r w:rsidR="009A0864">
        <w:t xml:space="preserve">less than </w:t>
      </w:r>
      <w:r w:rsidR="009870D3">
        <w:t>1</w:t>
      </w:r>
      <w:r w:rsidR="009A0864">
        <w:t>2</w:t>
      </w:r>
      <w:r w:rsidR="009870D3">
        <w:t> </w:t>
      </w:r>
      <w:r>
        <w:t xml:space="preserve">years, population </w:t>
      </w:r>
      <w:r w:rsidR="00557397">
        <w:t xml:space="preserve">pharmacokinetics </w:t>
      </w:r>
      <w:r w:rsidR="00B72C6F">
        <w:t>(</w:t>
      </w:r>
      <w:proofErr w:type="spellStart"/>
      <w:r w:rsidR="00B72C6F">
        <w:t>popPK</w:t>
      </w:r>
      <w:proofErr w:type="spellEnd"/>
      <w:r w:rsidR="00B72C6F">
        <w:t xml:space="preserve">) </w:t>
      </w:r>
      <w:r>
        <w:t>data are available.</w:t>
      </w:r>
    </w:p>
    <w:p w14:paraId="14F31A4B" w14:textId="77777777" w:rsidR="0036282D" w:rsidRDefault="007B1D80" w:rsidP="00A17CA8">
      <w:pPr>
        <w:pStyle w:val="Heading5"/>
      </w:pPr>
      <w:r>
        <w:t>Population</w:t>
      </w:r>
      <w:r w:rsidR="00557397">
        <w:t xml:space="preserve"> pharmacokinetics</w:t>
      </w:r>
    </w:p>
    <w:p w14:paraId="7101DAD7" w14:textId="70A1647E" w:rsidR="007B1D80" w:rsidRDefault="0036282D" w:rsidP="00DC1A5C">
      <w:pPr>
        <w:pStyle w:val="Heading6"/>
      </w:pPr>
      <w:r>
        <w:t xml:space="preserve">Analysis </w:t>
      </w:r>
      <w:r w:rsidRPr="0052317A">
        <w:t>POH0766</w:t>
      </w:r>
    </w:p>
    <w:p w14:paraId="6F35668F" w14:textId="45FAF3D6" w:rsidR="007B1D80" w:rsidRDefault="007B1D80" w:rsidP="007B1D80">
      <w:r>
        <w:t xml:space="preserve">The pharmacokinetics of dupilumab in children with asthma </w:t>
      </w:r>
      <w:r w:rsidR="009A0864">
        <w:t xml:space="preserve">aged </w:t>
      </w:r>
      <w:r>
        <w:t xml:space="preserve">6 </w:t>
      </w:r>
      <w:r w:rsidR="009870D3">
        <w:t xml:space="preserve">and </w:t>
      </w:r>
      <w:r w:rsidR="009A0864">
        <w:t>less than 12</w:t>
      </w:r>
      <w:r>
        <w:t xml:space="preserve"> years of age was investigated in</w:t>
      </w:r>
      <w:r w:rsidR="00226A21">
        <w:t xml:space="preserve"> </w:t>
      </w:r>
      <w:r w:rsidR="00170857">
        <w:t xml:space="preserve">a </w:t>
      </w:r>
      <w:proofErr w:type="spellStart"/>
      <w:r w:rsidR="00170857">
        <w:t>popPK</w:t>
      </w:r>
      <w:proofErr w:type="spellEnd"/>
      <w:r w:rsidR="00170857">
        <w:t xml:space="preserve"> analysis (Report </w:t>
      </w:r>
      <w:r>
        <w:t>POH0766</w:t>
      </w:r>
      <w:r w:rsidR="00170857">
        <w:t>)</w:t>
      </w:r>
      <w:r>
        <w:t>.</w:t>
      </w:r>
      <w:r w:rsidR="0040369E">
        <w:t xml:space="preserve"> </w:t>
      </w:r>
      <w:r w:rsidR="00226A21">
        <w:t>The objectives were</w:t>
      </w:r>
      <w:r w:rsidR="00B72C6F">
        <w:t xml:space="preserve"> to</w:t>
      </w:r>
      <w:r w:rsidR="00226A21">
        <w:t>:</w:t>
      </w:r>
    </w:p>
    <w:p w14:paraId="68748950" w14:textId="77A4511C" w:rsidR="007B1D80" w:rsidRDefault="007B1D80" w:rsidP="00226A21">
      <w:pPr>
        <w:pStyle w:val="ListBullet"/>
      </w:pPr>
      <w:r>
        <w:t xml:space="preserve">develop a </w:t>
      </w:r>
      <w:proofErr w:type="spellStart"/>
      <w:r w:rsidR="00226A21">
        <w:t>p</w:t>
      </w:r>
      <w:r>
        <w:t>opPK</w:t>
      </w:r>
      <w:proofErr w:type="spellEnd"/>
      <w:r w:rsidR="00B72C6F">
        <w:t xml:space="preserve"> </w:t>
      </w:r>
      <w:r>
        <w:t>model to characteri</w:t>
      </w:r>
      <w:r w:rsidR="00557397">
        <w:t>s</w:t>
      </w:r>
      <w:r>
        <w:t xml:space="preserve">e dupilumab PK in children 6 to </w:t>
      </w:r>
      <w:r w:rsidR="00A17B72">
        <w:t>younger than younger than</w:t>
      </w:r>
      <w:r w:rsidR="00226A21">
        <w:t xml:space="preserve"> </w:t>
      </w:r>
      <w:r>
        <w:t xml:space="preserve">12 years of age with asthma, based on a previously developed global </w:t>
      </w:r>
      <w:proofErr w:type="spellStart"/>
      <w:r w:rsidR="00226A21">
        <w:t>p</w:t>
      </w:r>
      <w:r>
        <w:t>opPK</w:t>
      </w:r>
      <w:proofErr w:type="spellEnd"/>
      <w:r>
        <w:t xml:space="preserve"> base model</w:t>
      </w:r>
      <w:r w:rsidR="002F436B">
        <w:t>.</w:t>
      </w:r>
    </w:p>
    <w:p w14:paraId="59C4A6D7" w14:textId="75C8A2D1" w:rsidR="007B1D80" w:rsidRDefault="007B1D80" w:rsidP="00226A21">
      <w:pPr>
        <w:pStyle w:val="ListBullet"/>
      </w:pPr>
      <w:r>
        <w:t xml:space="preserve">assess the influence of intrinsic and extrinsic factors on dupilumab PK in children 6 to </w:t>
      </w:r>
      <w:r w:rsidR="00A17B72">
        <w:t>younger than</w:t>
      </w:r>
      <w:r w:rsidR="00A93B0B">
        <w:t xml:space="preserve"> </w:t>
      </w:r>
      <w:r>
        <w:t>12 years of age with asthma</w:t>
      </w:r>
      <w:r w:rsidR="002F436B">
        <w:t>.</w:t>
      </w:r>
    </w:p>
    <w:p w14:paraId="68416BB5" w14:textId="069D3BC5" w:rsidR="007B1D80" w:rsidRDefault="007B1D80" w:rsidP="00226A21">
      <w:pPr>
        <w:pStyle w:val="ListBullet"/>
      </w:pPr>
      <w:r>
        <w:t xml:space="preserve">generate </w:t>
      </w:r>
      <w:r w:rsidRPr="00B23B09">
        <w:rPr>
          <w:i/>
          <w:iCs/>
        </w:rPr>
        <w:t>post hoc</w:t>
      </w:r>
      <w:r>
        <w:t xml:space="preserve"> individual dupilumab PK exposures in children 6 to </w:t>
      </w:r>
      <w:r w:rsidR="00A17B72">
        <w:t>younger than years 12</w:t>
      </w:r>
      <w:r>
        <w:t xml:space="preserve"> of age with asthma who received 100 mg</w:t>
      </w:r>
      <w:r w:rsidR="00B72C6F">
        <w:t xml:space="preserve"> once every two weeks </w:t>
      </w:r>
      <w:r>
        <w:t xml:space="preserve">or 200 mg </w:t>
      </w:r>
      <w:r w:rsidR="00B23B09">
        <w:t xml:space="preserve">once every two weeks </w:t>
      </w:r>
      <w:r>
        <w:t xml:space="preserve">in </w:t>
      </w:r>
      <w:r w:rsidR="00226A21">
        <w:t>two</w:t>
      </w:r>
      <w:r>
        <w:t xml:space="preserve"> Phase </w:t>
      </w:r>
      <w:r w:rsidR="00390F21">
        <w:t>III</w:t>
      </w:r>
      <w:r>
        <w:t xml:space="preserve"> studies</w:t>
      </w:r>
      <w:r w:rsidR="00226A21">
        <w:t>.</w:t>
      </w:r>
    </w:p>
    <w:p w14:paraId="01941B0D" w14:textId="1144EE64" w:rsidR="007B1D80" w:rsidRDefault="007B1D80" w:rsidP="00226A21">
      <w:pPr>
        <w:pStyle w:val="ListBullet"/>
      </w:pPr>
      <w:r>
        <w:t xml:space="preserve">simulate dupilumab exposure for the alternative regimen of 300 mg </w:t>
      </w:r>
      <w:r w:rsidR="00B72C6F">
        <w:t xml:space="preserve">once every four weeks </w:t>
      </w:r>
      <w:r>
        <w:t xml:space="preserve">in children 6 to </w:t>
      </w:r>
      <w:r w:rsidR="00A17B72">
        <w:t xml:space="preserve">younger than </w:t>
      </w:r>
      <w:r>
        <w:t>12 years of age with asthma.</w:t>
      </w:r>
    </w:p>
    <w:p w14:paraId="31538F3A" w14:textId="77777777" w:rsidR="007B1D80" w:rsidRDefault="007B1D80" w:rsidP="0052317A">
      <w:pPr>
        <w:pStyle w:val="Heading6"/>
      </w:pPr>
      <w:r>
        <w:t>Methods</w:t>
      </w:r>
    </w:p>
    <w:p w14:paraId="6DAA7271" w14:textId="5144C11F" w:rsidR="007B1D80" w:rsidRDefault="00F63519" w:rsidP="007B1D80">
      <w:r>
        <w:t xml:space="preserve">The PK clinical data were sourced from </w:t>
      </w:r>
      <w:r w:rsidR="007B1D80">
        <w:t>Studies EFC14153 and LTS14424</w:t>
      </w:r>
      <w:r w:rsidR="00B72C6F">
        <w:t>.</w:t>
      </w:r>
      <w:r w:rsidR="0040369E">
        <w:t xml:space="preserve"> </w:t>
      </w:r>
      <w:r w:rsidR="00B72C6F">
        <w:t>These</w:t>
      </w:r>
      <w:r>
        <w:t xml:space="preserve"> provided sparse PK data</w:t>
      </w:r>
      <w:r w:rsidR="00B72C6F">
        <w:t xml:space="preserve"> (1772 concentrations in 377 children)</w:t>
      </w:r>
      <w:r w:rsidR="007B1D80">
        <w:t xml:space="preserve">. </w:t>
      </w:r>
      <w:r w:rsidR="00226A21">
        <w:t xml:space="preserve">A 200 mg SC </w:t>
      </w:r>
      <w:r w:rsidR="00170857">
        <w:t xml:space="preserve">injection of dupilumab given </w:t>
      </w:r>
      <w:r w:rsidR="00F70728">
        <w:t xml:space="preserve">once every two weeks </w:t>
      </w:r>
      <w:r w:rsidR="00226A21">
        <w:t xml:space="preserve">was given to </w:t>
      </w:r>
      <w:r w:rsidR="007B1D80">
        <w:t xml:space="preserve">272 patients (72.1%) </w:t>
      </w:r>
      <w:r w:rsidR="002813DD">
        <w:t>greater than</w:t>
      </w:r>
      <w:r w:rsidR="00B40245">
        <w:t xml:space="preserve"> 30 </w:t>
      </w:r>
      <w:r w:rsidR="007B1D80">
        <w:t>kg</w:t>
      </w:r>
      <w:r w:rsidR="00170857">
        <w:t>,</w:t>
      </w:r>
      <w:r w:rsidR="007B1D80">
        <w:t xml:space="preserve"> and </w:t>
      </w:r>
      <w:r w:rsidR="00226A21">
        <w:t xml:space="preserve">a 100 mg SC </w:t>
      </w:r>
      <w:r w:rsidR="00170857">
        <w:t xml:space="preserve">injection given </w:t>
      </w:r>
      <w:r w:rsidR="002813DD">
        <w:t>once every two weeks</w:t>
      </w:r>
      <w:r w:rsidR="00226A21">
        <w:t xml:space="preserve"> dose was given to </w:t>
      </w:r>
      <w:r w:rsidR="007B1D80">
        <w:t>105 patients (27.9%)</w:t>
      </w:r>
      <w:r w:rsidR="005605F6">
        <w:t xml:space="preserve"> weighing</w:t>
      </w:r>
      <w:r w:rsidR="007B1D80">
        <w:t xml:space="preserve"> </w:t>
      </w:r>
      <w:r w:rsidR="002813DD">
        <w:t>less than or equal to</w:t>
      </w:r>
      <w:r w:rsidR="00A93B0B">
        <w:t xml:space="preserve"> </w:t>
      </w:r>
      <w:r w:rsidR="007B1D80">
        <w:t>30 kg. A loading dose</w:t>
      </w:r>
      <w:r w:rsidR="00B72C6F">
        <w:t>,</w:t>
      </w:r>
      <w:r w:rsidR="007B1D80">
        <w:t xml:space="preserve"> as for the treatment of atopic dermatitis</w:t>
      </w:r>
      <w:r w:rsidR="00B72C6F">
        <w:t>,</w:t>
      </w:r>
      <w:r w:rsidR="007B1D80">
        <w:t xml:space="preserve"> was not administered.</w:t>
      </w:r>
    </w:p>
    <w:p w14:paraId="3EF5591B" w14:textId="2812DD43" w:rsidR="007B1D80" w:rsidRDefault="007B1D80" w:rsidP="007B1D80">
      <w:r>
        <w:t xml:space="preserve">It was planned to administer 300 mg </w:t>
      </w:r>
      <w:r w:rsidR="00B23B09">
        <w:t>once every four weeks</w:t>
      </w:r>
      <w:r w:rsidR="00B23B09" w:rsidDel="00B23B09">
        <w:t xml:space="preserve"> </w:t>
      </w:r>
      <w:r>
        <w:t xml:space="preserve">to children </w:t>
      </w:r>
      <w:r w:rsidR="002813DD">
        <w:t>less than or equal to</w:t>
      </w:r>
      <w:r w:rsidR="00A93B0B">
        <w:t xml:space="preserve"> </w:t>
      </w:r>
      <w:r>
        <w:t xml:space="preserve">30 kg in Study LTS14424, but as only </w:t>
      </w:r>
      <w:r w:rsidR="002813DD">
        <w:t>two</w:t>
      </w:r>
      <w:r>
        <w:t xml:space="preserve"> children </w:t>
      </w:r>
      <w:proofErr w:type="gramStart"/>
      <w:r>
        <w:t>actually received</w:t>
      </w:r>
      <w:proofErr w:type="gramEnd"/>
      <w:r>
        <w:t xml:space="preserve"> this (14 in the interim analysis), the exposure estimates for this regimen were essentially entirely simulation based.</w:t>
      </w:r>
    </w:p>
    <w:p w14:paraId="6568249E" w14:textId="19B11DD3" w:rsidR="007B1D80" w:rsidRDefault="007B1D80" w:rsidP="007B1D80">
      <w:r>
        <w:t xml:space="preserve">Using </w:t>
      </w:r>
      <w:r w:rsidR="00390F21" w:rsidRPr="00390F21">
        <w:t xml:space="preserve">non-linear mixed-effects </w:t>
      </w:r>
      <w:r w:rsidR="00F70728" w:rsidRPr="00390F21">
        <w:t>modelling</w:t>
      </w:r>
      <w:r w:rsidR="00390F21" w:rsidRPr="00390F21">
        <w:t xml:space="preserve"> </w:t>
      </w:r>
      <w:r w:rsidR="00390F21">
        <w:t>(</w:t>
      </w:r>
      <w:r>
        <w:t>NONMEN</w:t>
      </w:r>
      <w:r w:rsidR="00390F21">
        <w:t>)</w:t>
      </w:r>
      <w:r>
        <w:t xml:space="preserve">, a </w:t>
      </w:r>
      <w:proofErr w:type="spellStart"/>
      <w:r>
        <w:t>popPK</w:t>
      </w:r>
      <w:proofErr w:type="spellEnd"/>
      <w:r>
        <w:t xml:space="preserve"> model developed with data of healthy adult subjects, adult </w:t>
      </w:r>
      <w:r w:rsidR="009622EC">
        <w:t xml:space="preserve">atopic dermatitis </w:t>
      </w:r>
      <w:r>
        <w:t>patients, and adult and adolescent asthma patients was applied to the data of the paediatric asthma patients. The base model was a two-compartment model with mixed linear and non-linear elimination including allometric weight scaling of volume and clearance ter</w:t>
      </w:r>
      <w:r w:rsidR="00A93B0B">
        <w:t>ms</w:t>
      </w:r>
      <w:r>
        <w:t>. Due to sparse paediatric PK data some model parameters were fixed.</w:t>
      </w:r>
    </w:p>
    <w:p w14:paraId="6751A9FF" w14:textId="2BBC2D9A" w:rsidR="007B1D80" w:rsidRDefault="007B1D80" w:rsidP="007B1D80">
      <w:r>
        <w:t xml:space="preserve">The validation of </w:t>
      </w:r>
      <w:r w:rsidR="00A14D1E">
        <w:t xml:space="preserve">the </w:t>
      </w:r>
      <w:r>
        <w:t xml:space="preserve">final paediatric </w:t>
      </w:r>
      <w:proofErr w:type="spellStart"/>
      <w:r w:rsidR="00A93B0B">
        <w:t>p</w:t>
      </w:r>
      <w:r>
        <w:t>opPK</w:t>
      </w:r>
      <w:proofErr w:type="spellEnd"/>
      <w:r>
        <w:t xml:space="preserve"> model was performed using</w:t>
      </w:r>
      <w:r w:rsidR="00A93B0B">
        <w:t xml:space="preserve"> visual predictive checks </w:t>
      </w:r>
      <w:r>
        <w:t>and comparison of bootstrap estimates with the final model parameter estimates.</w:t>
      </w:r>
    </w:p>
    <w:p w14:paraId="42F38B5B" w14:textId="057E1858" w:rsidR="007B1D80" w:rsidRDefault="007B1D80" w:rsidP="007B1D80">
      <w:r>
        <w:t xml:space="preserve">To simulate dupilumab concentrations over time for the alternative regimen of 300 mg </w:t>
      </w:r>
      <w:r w:rsidR="0036282D">
        <w:t xml:space="preserve">SC given </w:t>
      </w:r>
      <w:r w:rsidR="00B23B09">
        <w:t>once every four weeks</w:t>
      </w:r>
      <w:r>
        <w:t xml:space="preserve"> in children 6 to </w:t>
      </w:r>
      <w:r w:rsidR="00A17B72">
        <w:t>younger than</w:t>
      </w:r>
      <w:r w:rsidR="00A93B0B">
        <w:t xml:space="preserve"> </w:t>
      </w:r>
      <w:r>
        <w:t xml:space="preserve">12 years of age with asthma, a </w:t>
      </w:r>
      <w:r>
        <w:lastRenderedPageBreak/>
        <w:t xml:space="preserve">virtual paediatric population (6 to </w:t>
      </w:r>
      <w:r w:rsidR="00A17B72">
        <w:t>younger than</w:t>
      </w:r>
      <w:r w:rsidR="00A14D1E">
        <w:t> </w:t>
      </w:r>
      <w:r>
        <w:t>12 years of age, N</w:t>
      </w:r>
      <w:r w:rsidR="00A93B0B">
        <w:t xml:space="preserve"> </w:t>
      </w:r>
      <w:r>
        <w:t>=</w:t>
      </w:r>
      <w:r w:rsidR="00A93B0B">
        <w:t xml:space="preserve"> </w:t>
      </w:r>
      <w:r>
        <w:t xml:space="preserve">1201) created from </w:t>
      </w:r>
      <w:r w:rsidR="00170857">
        <w:t xml:space="preserve">data from the </w:t>
      </w:r>
      <w:proofErr w:type="spellStart"/>
      <w:r w:rsidR="00390F21">
        <w:t>Center</w:t>
      </w:r>
      <w:r w:rsidR="00170857">
        <w:t>s</w:t>
      </w:r>
      <w:proofErr w:type="spellEnd"/>
      <w:r w:rsidR="00390F21">
        <w:t xml:space="preserve"> of Disease Control</w:t>
      </w:r>
      <w:r>
        <w:t xml:space="preserve"> </w:t>
      </w:r>
      <w:r w:rsidR="00170857">
        <w:t xml:space="preserve">(USA) </w:t>
      </w:r>
      <w:r>
        <w:t>was used.</w:t>
      </w:r>
      <w:bookmarkStart w:id="46" w:name="_Ref129247508"/>
      <w:r w:rsidR="0036282D">
        <w:rPr>
          <w:rStyle w:val="FootnoteReference"/>
        </w:rPr>
        <w:footnoteReference w:id="15"/>
      </w:r>
      <w:bookmarkEnd w:id="46"/>
    </w:p>
    <w:p w14:paraId="64AC5B29" w14:textId="6774AC01" w:rsidR="007B1D80" w:rsidRDefault="007B1D80" w:rsidP="007B1D80">
      <w:r>
        <w:t xml:space="preserve">The effect of age, gender, race, creatinine clearance, </w:t>
      </w:r>
      <w:r w:rsidR="00872AB9" w:rsidRPr="00872AB9">
        <w:t>anti-drug antibody (</w:t>
      </w:r>
      <w:r w:rsidRPr="00872AB9">
        <w:t>ADA</w:t>
      </w:r>
      <w:r w:rsidR="00872AB9" w:rsidRPr="00872AB9">
        <w:t>)</w:t>
      </w:r>
      <w:r w:rsidRPr="00872AB9">
        <w:t xml:space="preserve"> status,</w:t>
      </w:r>
      <w:r>
        <w:t xml:space="preserve"> concomitant </w:t>
      </w:r>
      <w:proofErr w:type="gramStart"/>
      <w:r>
        <w:t>medications</w:t>
      </w:r>
      <w:proofErr w:type="gramEnd"/>
      <w:r>
        <w:t xml:space="preserve"> and other factors on </w:t>
      </w:r>
      <w:r w:rsidR="00A93B0B">
        <w:t>dupilumab</w:t>
      </w:r>
      <w:r>
        <w:t xml:space="preserve"> PK was investigated. None of these covariates reached statistical significance</w:t>
      </w:r>
      <w:r w:rsidR="00A93B0B">
        <w:t>.</w:t>
      </w:r>
      <w:r w:rsidR="0040369E">
        <w:t xml:space="preserve"> </w:t>
      </w:r>
      <w:r w:rsidR="00A93B0B">
        <w:t>T</w:t>
      </w:r>
      <w:r>
        <w:t>he base model was the final model and body weight the only covariate with a significant impact on dupilumab PK.</w:t>
      </w:r>
    </w:p>
    <w:p w14:paraId="05C02A23" w14:textId="77777777" w:rsidR="007B1D80" w:rsidRDefault="007B1D80" w:rsidP="0052317A">
      <w:pPr>
        <w:pStyle w:val="Heading6"/>
      </w:pPr>
      <w:r>
        <w:t>Results and conclusions</w:t>
      </w:r>
    </w:p>
    <w:p w14:paraId="381D41AE" w14:textId="1446A276" w:rsidR="007B1D80" w:rsidRDefault="007B1D80" w:rsidP="007B1D80">
      <w:r>
        <w:t xml:space="preserve">The PK of dupilumab in children 6 to </w:t>
      </w:r>
      <w:r w:rsidR="00A17B72">
        <w:t>younger than</w:t>
      </w:r>
      <w:r w:rsidR="00A93B0B">
        <w:t xml:space="preserve"> </w:t>
      </w:r>
      <w:r>
        <w:t xml:space="preserve">12 years of age with asthma was adequately described by a two-compartment model with parallel linear and nonlinear elimination with first order absorption. The final model described the data of the paediatric asthma patients reasonably well. </w:t>
      </w:r>
      <w:r w:rsidR="00A14D1E">
        <w:t>Visual predictive check</w:t>
      </w:r>
      <w:r>
        <w:t xml:space="preserve"> plots by body weight group were provided </w:t>
      </w:r>
      <w:r w:rsidR="00B40245">
        <w:t>by the sponsor</w:t>
      </w:r>
      <w:r w:rsidR="00E335BF">
        <w:t>.</w:t>
      </w:r>
    </w:p>
    <w:p w14:paraId="274F5231" w14:textId="0F6DAA28" w:rsidR="007B1D80" w:rsidRDefault="007B1D80" w:rsidP="007B1D80">
      <w:r>
        <w:t>The median time to steady state is 14 weeks for 100 mg</w:t>
      </w:r>
      <w:r w:rsidR="00B40245">
        <w:t xml:space="preserve"> </w:t>
      </w:r>
      <w:r w:rsidR="00F70728">
        <w:t xml:space="preserve">once every two weeks </w:t>
      </w:r>
      <w:r>
        <w:t xml:space="preserve">and 200 mg </w:t>
      </w:r>
      <w:r w:rsidR="00F70728">
        <w:t xml:space="preserve">once every two weeks </w:t>
      </w:r>
      <w:r w:rsidR="00A14D1E">
        <w:t xml:space="preserve">dosing </w:t>
      </w:r>
      <w:r>
        <w:t xml:space="preserve">based on </w:t>
      </w:r>
      <w:proofErr w:type="spellStart"/>
      <w:r w:rsidR="00B40245">
        <w:t>pop</w:t>
      </w:r>
      <w:r>
        <w:t>PK</w:t>
      </w:r>
      <w:proofErr w:type="spellEnd"/>
      <w:r>
        <w:t xml:space="preserve"> analysis. After the last dose at the steady state, the median time for the serum concentration to decrease to below the lower limit of quantitation was 14 weeks for dupilumab 100 mg </w:t>
      </w:r>
      <w:r w:rsidR="00CB6293">
        <w:t xml:space="preserve">once every two weeks </w:t>
      </w:r>
      <w:r>
        <w:t xml:space="preserve">and 200 mg </w:t>
      </w:r>
      <w:r w:rsidR="00CB6293">
        <w:t xml:space="preserve">once every two weeks </w:t>
      </w:r>
      <w:r w:rsidR="00A14D1E">
        <w:t>dosing</w:t>
      </w:r>
      <w:r>
        <w:t>.</w:t>
      </w:r>
    </w:p>
    <w:p w14:paraId="74A692D3" w14:textId="3C413732" w:rsidR="007B1D80" w:rsidRDefault="007B1D80" w:rsidP="007B1D80">
      <w:r w:rsidRPr="007B1D80">
        <w:t>The observed concentration</w:t>
      </w:r>
      <w:r w:rsidR="00390F21">
        <w:t xml:space="preserve"> </w:t>
      </w:r>
      <w:r w:rsidRPr="007B1D80">
        <w:t xml:space="preserve">time profiles in children </w:t>
      </w:r>
      <w:r w:rsidR="00BB6054">
        <w:t xml:space="preserve">from </w:t>
      </w:r>
      <w:r w:rsidRPr="007B1D80">
        <w:t xml:space="preserve">6 to </w:t>
      </w:r>
      <w:r w:rsidR="00A17B72">
        <w:t>younger than</w:t>
      </w:r>
      <w:r w:rsidR="00A14D1E">
        <w:t xml:space="preserve"> </w:t>
      </w:r>
      <w:r w:rsidRPr="007B1D80">
        <w:t xml:space="preserve">12 years of age with asthma appeared to be </w:t>
      </w:r>
      <w:proofErr w:type="gramStart"/>
      <w:r w:rsidRPr="007B1D80">
        <w:t>similar to</w:t>
      </w:r>
      <w:proofErr w:type="gramEnd"/>
      <w:r w:rsidRPr="007B1D80">
        <w:t xml:space="preserve"> those observed</w:t>
      </w:r>
      <w:r w:rsidR="00B40245">
        <w:t xml:space="preserve"> </w:t>
      </w:r>
      <w:r>
        <w:t xml:space="preserve">in the adults and adolescents with asthma except that, due to the absence of a loading dose in children 6 to </w:t>
      </w:r>
      <w:r w:rsidR="00A17B72">
        <w:t>younger than</w:t>
      </w:r>
      <w:r w:rsidR="00B40245">
        <w:t xml:space="preserve"> </w:t>
      </w:r>
      <w:r>
        <w:t>12 years of age, dupilumab concentrations increased less rapidly in the first few weeks after initiation of treatment.</w:t>
      </w:r>
    </w:p>
    <w:p w14:paraId="355B8EB5" w14:textId="1FCC4ED1" w:rsidR="007B1D80" w:rsidRDefault="007B1D80" w:rsidP="007B1D80">
      <w:r>
        <w:t>The observed dupilumab</w:t>
      </w:r>
      <w:r w:rsidR="00F70728">
        <w:t xml:space="preserve"> trough concentration at steady state</w:t>
      </w:r>
      <w:r>
        <w:t xml:space="preserve"> </w:t>
      </w:r>
      <w:r w:rsidR="00F70728">
        <w:t>(</w:t>
      </w:r>
      <w:proofErr w:type="spellStart"/>
      <w:proofErr w:type="gramStart"/>
      <w:r>
        <w:t>C</w:t>
      </w:r>
      <w:r w:rsidRPr="00B40245">
        <w:rPr>
          <w:vertAlign w:val="subscript"/>
        </w:rPr>
        <w:t>trough,ss</w:t>
      </w:r>
      <w:proofErr w:type="spellEnd"/>
      <w:proofErr w:type="gramEnd"/>
      <w:r w:rsidR="00F70728">
        <w:t>)</w:t>
      </w:r>
      <w:r w:rsidRPr="00B40245">
        <w:rPr>
          <w:vertAlign w:val="subscript"/>
        </w:rPr>
        <w:t xml:space="preserve"> </w:t>
      </w:r>
      <w:r>
        <w:t xml:space="preserve">values in children 6 to </w:t>
      </w:r>
      <w:r w:rsidR="00A17B72">
        <w:t>younger than</w:t>
      </w:r>
      <w:r w:rsidR="00B40245">
        <w:t xml:space="preserve"> </w:t>
      </w:r>
      <w:r>
        <w:t xml:space="preserve">12 years of age with asthma appeared to be similar to those observed in children of the same age with </w:t>
      </w:r>
      <w:r w:rsidR="00A14D1E">
        <w:t>atopic dermatitis</w:t>
      </w:r>
      <w:r w:rsidR="00E335BF">
        <w:t xml:space="preserve"> when dosed with 100 mg </w:t>
      </w:r>
      <w:r w:rsidR="00CB6293">
        <w:t>once every two weeks</w:t>
      </w:r>
      <w:r w:rsidR="00E335BF">
        <w:t xml:space="preserve"> and 200 mg </w:t>
      </w:r>
      <w:r w:rsidR="00CB6293">
        <w:t>once every two weeks</w:t>
      </w:r>
      <w:r w:rsidR="00E335BF">
        <w:t>.</w:t>
      </w:r>
    </w:p>
    <w:p w14:paraId="147E7885" w14:textId="51286F15" w:rsidR="007B1D80" w:rsidRDefault="007B1D80" w:rsidP="007B1D80">
      <w:r>
        <w:t xml:space="preserve">Dupilumab exposures in paediatric asthma patients </w:t>
      </w:r>
      <w:r w:rsidR="00BB6054">
        <w:t xml:space="preserve">weighing </w:t>
      </w:r>
      <w:r w:rsidR="002813DD">
        <w:t>greater than</w:t>
      </w:r>
      <w:r w:rsidR="00B40245">
        <w:t xml:space="preserve"> 30 </w:t>
      </w:r>
      <w:r>
        <w:t xml:space="preserve">kg receiving 200 mg </w:t>
      </w:r>
      <w:r w:rsidR="00CB6293">
        <w:t>once every two weeks</w:t>
      </w:r>
      <w:r>
        <w:t xml:space="preserve"> were approx</w:t>
      </w:r>
      <w:r w:rsidR="00B40245">
        <w:t>imately</w:t>
      </w:r>
      <w:r>
        <w:t xml:space="preserve"> 50% greater than the exposures in patients</w:t>
      </w:r>
      <w:r w:rsidR="00A17B72">
        <w:t xml:space="preserve"> </w:t>
      </w:r>
      <w:r w:rsidR="00BB6054">
        <w:t xml:space="preserve">weighing </w:t>
      </w:r>
      <w:r w:rsidR="005605F6">
        <w:t>le</w:t>
      </w:r>
      <w:r w:rsidR="00365CFE">
        <w:t>ss</w:t>
      </w:r>
      <w:r w:rsidR="005605F6">
        <w:t xml:space="preserve"> than</w:t>
      </w:r>
      <w:r w:rsidR="00B40245">
        <w:t xml:space="preserve"> </w:t>
      </w:r>
      <w:r>
        <w:t xml:space="preserve">30 kg on 100 mg </w:t>
      </w:r>
      <w:r w:rsidR="00CB6293">
        <w:t>once every two weeks</w:t>
      </w:r>
      <w:r>
        <w:t>. They were also greater in the 6 to 9 year</w:t>
      </w:r>
      <w:r w:rsidR="00BB6054">
        <w:t>s</w:t>
      </w:r>
      <w:r>
        <w:t xml:space="preserve"> </w:t>
      </w:r>
      <w:r w:rsidR="00BB6054">
        <w:t xml:space="preserve">of age </w:t>
      </w:r>
      <w:r>
        <w:t>group compared to 9 to 12 year</w:t>
      </w:r>
      <w:r w:rsidR="00BB6054">
        <w:t>s</w:t>
      </w:r>
      <w:r>
        <w:t xml:space="preserve"> </w:t>
      </w:r>
      <w:r w:rsidR="00BB6054">
        <w:t>of age</w:t>
      </w:r>
      <w:r>
        <w:t xml:space="preserve"> group, independent of the administered dose</w:t>
      </w:r>
      <w:r w:rsidR="00A14D1E">
        <w:t>.</w:t>
      </w:r>
      <w:r w:rsidR="0040369E">
        <w:t xml:space="preserve"> </w:t>
      </w:r>
      <w:r w:rsidR="00A14D1E">
        <w:t>The area under the concentration</w:t>
      </w:r>
      <w:r w:rsidR="00EE5CF0">
        <w:t xml:space="preserve"> time</w:t>
      </w:r>
      <w:r w:rsidR="00A14D1E">
        <w:t xml:space="preserve"> curve </w:t>
      </w:r>
      <w:r w:rsidR="00A14D1E" w:rsidRPr="00A14D1E">
        <w:t>(</w:t>
      </w:r>
      <w:r w:rsidRPr="00A14D1E">
        <w:t>AUC</w:t>
      </w:r>
      <w:r w:rsidR="00A14D1E" w:rsidRPr="00A14D1E">
        <w:t>)</w:t>
      </w:r>
      <w:r>
        <w:t xml:space="preserve"> 18% and 23%</w:t>
      </w:r>
      <w:r w:rsidR="00B40245">
        <w:t xml:space="preserve"> increased</w:t>
      </w:r>
      <w:r>
        <w:t xml:space="preserve"> after 100 mg or 200</w:t>
      </w:r>
      <w:r w:rsidR="00B40245">
        <w:t> </w:t>
      </w:r>
      <w:r>
        <w:t xml:space="preserve">mg </w:t>
      </w:r>
      <w:r w:rsidR="00CB6293">
        <w:t>once every two weeks</w:t>
      </w:r>
      <w:r>
        <w:t>.</w:t>
      </w:r>
    </w:p>
    <w:p w14:paraId="3F5A03EA" w14:textId="4A282BF1" w:rsidR="007B1D80" w:rsidRDefault="00BB6054" w:rsidP="007B1D80">
      <w:r>
        <w:t>D</w:t>
      </w:r>
      <w:r w:rsidR="007B1D80">
        <w:t xml:space="preserve">upilumab exposure appeared to increase with increasing albumin levels. It was greater </w:t>
      </w:r>
      <w:r w:rsidR="007B1D80" w:rsidRPr="00A14D1E">
        <w:t>in ADA</w:t>
      </w:r>
      <w:r>
        <w:noBreakHyphen/>
      </w:r>
      <w:r w:rsidR="007B1D80" w:rsidRPr="00A14D1E">
        <w:t>negative</w:t>
      </w:r>
      <w:r w:rsidR="007B1D80">
        <w:t xml:space="preserve"> patients compared to ADA</w:t>
      </w:r>
      <w:r>
        <w:t>-</w:t>
      </w:r>
      <w:r w:rsidR="007B1D80">
        <w:t>positive patients (AUC 73% and 27%</w:t>
      </w:r>
      <w:r w:rsidR="00B40245">
        <w:t xml:space="preserve"> increased</w:t>
      </w:r>
      <w:r w:rsidR="007B1D80">
        <w:t xml:space="preserve"> after 100 mg or 200 mg </w:t>
      </w:r>
      <w:r w:rsidR="00CB6293">
        <w:t>once every two weeks</w:t>
      </w:r>
      <w:r w:rsidR="007B1D80">
        <w:t xml:space="preserve">). There were no gender differences. Systemic corticosteroids and </w:t>
      </w:r>
      <w:r w:rsidR="00B40245">
        <w:t>long</w:t>
      </w:r>
      <w:r>
        <w:noBreakHyphen/>
      </w:r>
      <w:r w:rsidR="00B40245">
        <w:t xml:space="preserve">acting beta 2 agonists </w:t>
      </w:r>
      <w:r w:rsidR="007B1D80">
        <w:t>did not appear to have a major impact on dupilumab exposure. The number of patients receiving concomitant methylxanthines or leukotriene antagonists was too low to draw meaningful conclusions.</w:t>
      </w:r>
    </w:p>
    <w:p w14:paraId="0BCE8B59" w14:textId="4325F4C5" w:rsidR="007B1D80" w:rsidRDefault="007B1D80" w:rsidP="007B1D80">
      <w:r>
        <w:t xml:space="preserve">For patients </w:t>
      </w:r>
      <w:r w:rsidR="00BB6054">
        <w:t xml:space="preserve">weighing </w:t>
      </w:r>
      <w:r w:rsidR="009D40D8">
        <w:t>less than</w:t>
      </w:r>
      <w:r w:rsidR="00B40245">
        <w:t xml:space="preserve"> 30 </w:t>
      </w:r>
      <w:r>
        <w:t>kg</w:t>
      </w:r>
      <w:r w:rsidR="00BB6054">
        <w:t>,</w:t>
      </w:r>
      <w:r>
        <w:t xml:space="preserve"> </w:t>
      </w:r>
      <w:r w:rsidR="00E335BF">
        <w:t xml:space="preserve">dosed with </w:t>
      </w:r>
      <w:r>
        <w:t xml:space="preserve">100 mg </w:t>
      </w:r>
      <w:r w:rsidR="00CB6293">
        <w:t>once every two weeks</w:t>
      </w:r>
      <w:r>
        <w:t xml:space="preserve">, the changes of dupilumab exposure relative to the </w:t>
      </w:r>
      <w:r w:rsidR="005C0A5F">
        <w:t>‘t</w:t>
      </w:r>
      <w:r>
        <w:t>ypical patient</w:t>
      </w:r>
      <w:r w:rsidR="005C0A5F">
        <w:t>’</w:t>
      </w:r>
      <w:r>
        <w:t xml:space="preserve"> were </w:t>
      </w:r>
      <w:r w:rsidR="005605F6">
        <w:t>less than</w:t>
      </w:r>
      <w:r w:rsidR="002813DD">
        <w:t xml:space="preserve"> </w:t>
      </w:r>
      <w:r>
        <w:t>20% (</w:t>
      </w:r>
      <w:r w:rsidR="00B40245">
        <w:t>decrease</w:t>
      </w:r>
      <w:r>
        <w:t>) for the heavier patients (95</w:t>
      </w:r>
      <w:r w:rsidRPr="00DC1A5C">
        <w:t>th</w:t>
      </w:r>
      <w:r>
        <w:t xml:space="preserve"> percentile), while for the patients with lower body weight (5</w:t>
      </w:r>
      <w:r w:rsidRPr="00DC1A5C">
        <w:t>th</w:t>
      </w:r>
      <w:r>
        <w:t xml:space="preserve"> percentile), increases of dupilumab exposure up to 46% were observed.</w:t>
      </w:r>
    </w:p>
    <w:p w14:paraId="0DC4819E" w14:textId="36F1C01D" w:rsidR="007B1D80" w:rsidRDefault="007B1D80" w:rsidP="007B1D80">
      <w:r>
        <w:t>For patients</w:t>
      </w:r>
      <w:r w:rsidR="00BB6054">
        <w:t xml:space="preserve"> weighing</w:t>
      </w:r>
      <w:r>
        <w:t xml:space="preserve"> </w:t>
      </w:r>
      <w:r w:rsidR="009D40D8">
        <w:t>greater than or equal to</w:t>
      </w:r>
      <w:r w:rsidR="00B40245">
        <w:t xml:space="preserve"> </w:t>
      </w:r>
      <w:r>
        <w:t>30 kg</w:t>
      </w:r>
      <w:r w:rsidR="00BB6054">
        <w:t>,</w:t>
      </w:r>
      <w:r>
        <w:t xml:space="preserve"> </w:t>
      </w:r>
      <w:r w:rsidR="00DD0731">
        <w:t xml:space="preserve">dosed with </w:t>
      </w:r>
      <w:r>
        <w:t xml:space="preserve">200 mg </w:t>
      </w:r>
      <w:r w:rsidR="00CB6293">
        <w:t>once every two weeks</w:t>
      </w:r>
      <w:r>
        <w:t xml:space="preserve">, increases of exposure up to 35% were observed for patients with lower body </w:t>
      </w:r>
      <w:r>
        <w:lastRenderedPageBreak/>
        <w:t>weight (5</w:t>
      </w:r>
      <w:r w:rsidRPr="00DC1A5C">
        <w:t>th</w:t>
      </w:r>
      <w:r w:rsidRPr="00A17CA8">
        <w:t xml:space="preserve"> </w:t>
      </w:r>
      <w:r>
        <w:t>percentile), while decreases of up to 46% were observed for heavier patients (95</w:t>
      </w:r>
      <w:r w:rsidRPr="00DC1A5C">
        <w:t>th</w:t>
      </w:r>
      <w:r>
        <w:t xml:space="preserve"> percentile).</w:t>
      </w:r>
    </w:p>
    <w:p w14:paraId="1F4C4B1F" w14:textId="050073E1" w:rsidR="007B1D80" w:rsidRDefault="007B1D80" w:rsidP="007B1D80">
      <w:r>
        <w:t>These changes were lower or of similar magnitude as the inter-individual variability of the dupilumab exposures in the paediatric patient population.</w:t>
      </w:r>
    </w:p>
    <w:p w14:paraId="6321AB70" w14:textId="0DEB6E3B" w:rsidR="007B1D80" w:rsidRDefault="00F63519" w:rsidP="007B1D80">
      <w:r>
        <w:t>For s</w:t>
      </w:r>
      <w:r w:rsidR="007B1D80">
        <w:t>imulation of an alternative</w:t>
      </w:r>
      <w:r w:rsidR="00BB6054">
        <w:t xml:space="preserve"> dosing regimen of</w:t>
      </w:r>
      <w:r w:rsidR="007B1D80">
        <w:t xml:space="preserve"> 300 mg </w:t>
      </w:r>
      <w:r w:rsidR="00BB6054">
        <w:t xml:space="preserve">SC </w:t>
      </w:r>
      <w:r w:rsidR="00B23B09">
        <w:t>once every four weeks</w:t>
      </w:r>
      <w:r>
        <w:t>, t</w:t>
      </w:r>
      <w:r w:rsidR="007B1D80">
        <w:t>here appeared to be some overlap in the typical dupilumab concentration</w:t>
      </w:r>
      <w:r w:rsidR="005605F6">
        <w:t xml:space="preserve"> </w:t>
      </w:r>
      <w:r w:rsidR="007B1D80">
        <w:t xml:space="preserve">time profiles of the different </w:t>
      </w:r>
      <w:proofErr w:type="gramStart"/>
      <w:r w:rsidR="007B1D80">
        <w:t>regimens, but</w:t>
      </w:r>
      <w:proofErr w:type="gramEnd"/>
      <w:r w:rsidR="007B1D80">
        <w:t xml:space="preserve"> may be difficult to interpret graph</w:t>
      </w:r>
      <w:r w:rsidR="005C0A5F">
        <w:t>ically</w:t>
      </w:r>
      <w:r w:rsidR="007B1D80">
        <w:t>. The median time to steady state</w:t>
      </w:r>
      <w:r w:rsidR="0036282D">
        <w:t xml:space="preserve"> concentration</w:t>
      </w:r>
      <w:r w:rsidR="007B1D80">
        <w:t xml:space="preserve"> for </w:t>
      </w:r>
      <w:r w:rsidR="0036282D">
        <w:t xml:space="preserve">the </w:t>
      </w:r>
      <w:r w:rsidR="007B1D80">
        <w:t xml:space="preserve">300 mg </w:t>
      </w:r>
      <w:r w:rsidR="00B23B09">
        <w:t>once every four weeks</w:t>
      </w:r>
      <w:r w:rsidR="0036282D">
        <w:t xml:space="preserve"> regimen</w:t>
      </w:r>
      <w:r w:rsidR="007B1D80">
        <w:t xml:space="preserve"> was 16 weeks compared to 14 weeks for </w:t>
      </w:r>
      <w:r w:rsidR="0036282D">
        <w:t xml:space="preserve">the </w:t>
      </w:r>
      <w:r w:rsidR="007B1D80">
        <w:t xml:space="preserve">100 mg </w:t>
      </w:r>
      <w:r w:rsidR="00CB6293">
        <w:t>once every two weeks</w:t>
      </w:r>
      <w:r w:rsidR="007B1D80">
        <w:t xml:space="preserve"> or 200 mg </w:t>
      </w:r>
      <w:r w:rsidR="00CB6293">
        <w:t>once every two weeks</w:t>
      </w:r>
      <w:r w:rsidR="0036282D">
        <w:t xml:space="preserve"> regimens</w:t>
      </w:r>
      <w:r w:rsidR="007B1D80">
        <w:t>.</w:t>
      </w:r>
    </w:p>
    <w:p w14:paraId="46D59A58" w14:textId="5D0BCFC4" w:rsidR="007B1D80" w:rsidRDefault="007B1D80" w:rsidP="007B1D80">
      <w:r>
        <w:t xml:space="preserve">The data suggest that the dupilumab </w:t>
      </w:r>
      <w:r w:rsidR="00F70728">
        <w:t>maximum concentration</w:t>
      </w:r>
      <w:r w:rsidR="00CB6293">
        <w:t xml:space="preserve"> </w:t>
      </w:r>
      <w:r w:rsidR="0036282D">
        <w:t>at steady state</w:t>
      </w:r>
      <w:r>
        <w:t xml:space="preserve"> following the 300 mg </w:t>
      </w:r>
      <w:r w:rsidR="00B23B09">
        <w:t>once every four weeks</w:t>
      </w:r>
      <w:r>
        <w:t xml:space="preserve"> dosing </w:t>
      </w:r>
      <w:r w:rsidR="0036282D">
        <w:t>regimen (</w:t>
      </w:r>
      <w:r>
        <w:t xml:space="preserve">in paediatric asthma patients weighing </w:t>
      </w:r>
      <w:r w:rsidR="0036282D">
        <w:t xml:space="preserve">from </w:t>
      </w:r>
      <w:r>
        <w:t>15</w:t>
      </w:r>
      <w:r w:rsidR="0036282D">
        <w:t> kg up to</w:t>
      </w:r>
      <w:r w:rsidR="00B40245">
        <w:t xml:space="preserve"> 30 </w:t>
      </w:r>
      <w:r>
        <w:t>kg</w:t>
      </w:r>
      <w:r w:rsidR="0036282D">
        <w:t>)</w:t>
      </w:r>
      <w:r>
        <w:t xml:space="preserve"> exceeded the </w:t>
      </w:r>
      <w:r w:rsidR="0036282D">
        <w:t>maximum concentration in adults</w:t>
      </w:r>
      <w:r>
        <w:t xml:space="preserve"> observed after 300</w:t>
      </w:r>
      <w:r w:rsidR="0036282D">
        <w:t> </w:t>
      </w:r>
      <w:r>
        <w:t xml:space="preserve">mg </w:t>
      </w:r>
      <w:r w:rsidR="00CB6293">
        <w:t xml:space="preserve">once every two weeks </w:t>
      </w:r>
      <w:r>
        <w:t>dosing</w:t>
      </w:r>
      <w:r w:rsidR="0036282D">
        <w:t xml:space="preserve"> regimen</w:t>
      </w:r>
      <w:r w:rsidR="00622AAE">
        <w:t xml:space="preserve"> </w:t>
      </w:r>
      <w:r>
        <w:t>but was consistent with non</w:t>
      </w:r>
      <w:r w:rsidR="00622AAE">
        <w:t>-</w:t>
      </w:r>
      <w:r>
        <w:t xml:space="preserve">approved adult 300 mg </w:t>
      </w:r>
      <w:r w:rsidR="00CB6293">
        <w:t xml:space="preserve">once a week </w:t>
      </w:r>
      <w:r>
        <w:t>dosing (</w:t>
      </w:r>
      <w:r w:rsidR="0036282D">
        <w:t xml:space="preserve">see </w:t>
      </w:r>
      <w:r w:rsidR="008E1837">
        <w:fldChar w:fldCharType="begin"/>
      </w:r>
      <w:r w:rsidR="008E1837">
        <w:instrText xml:space="preserve"> REF _Ref123900527 \h </w:instrText>
      </w:r>
      <w:r w:rsidR="008E1837">
        <w:fldChar w:fldCharType="separate"/>
      </w:r>
      <w:r w:rsidR="00761EA9">
        <w:t xml:space="preserve">Figure </w:t>
      </w:r>
      <w:r w:rsidR="00761EA9">
        <w:rPr>
          <w:noProof/>
        </w:rPr>
        <w:t>2</w:t>
      </w:r>
      <w:r w:rsidR="008E1837">
        <w:fldChar w:fldCharType="end"/>
      </w:r>
      <w:r w:rsidR="0036282D">
        <w:t>, below</w:t>
      </w:r>
      <w:r>
        <w:t>)</w:t>
      </w:r>
      <w:r w:rsidR="0036282D">
        <w:t>.</w:t>
      </w:r>
      <w:r>
        <w:t xml:space="preserve"> </w:t>
      </w:r>
      <w:r w:rsidR="0036282D">
        <w:t xml:space="preserve">Data were </w:t>
      </w:r>
      <w:r>
        <w:t xml:space="preserve">consistent with </w:t>
      </w:r>
      <w:r w:rsidR="0036282D">
        <w:t xml:space="preserve">the </w:t>
      </w:r>
      <w:r>
        <w:t>300</w:t>
      </w:r>
      <w:r w:rsidR="0036282D">
        <w:t> </w:t>
      </w:r>
      <w:r>
        <w:t xml:space="preserve">mg </w:t>
      </w:r>
      <w:r w:rsidR="00B23B09">
        <w:t>once every four weeks</w:t>
      </w:r>
      <w:r>
        <w:t xml:space="preserve"> dosi</w:t>
      </w:r>
      <w:r w:rsidR="00DB2567">
        <w:t>ng regimen</w:t>
      </w:r>
      <w:r>
        <w:t xml:space="preserve"> in paediatric atopic dermatitis</w:t>
      </w:r>
      <w:r w:rsidR="005C0A5F">
        <w:t xml:space="preserve"> </w:t>
      </w:r>
      <w:r>
        <w:t xml:space="preserve">patients weighing </w:t>
      </w:r>
      <w:r w:rsidR="009D40D8">
        <w:t>less than</w:t>
      </w:r>
      <w:r w:rsidR="00B40245">
        <w:t xml:space="preserve"> 30 </w:t>
      </w:r>
      <w:r>
        <w:t>kg (</w:t>
      </w:r>
      <w:r w:rsidR="00DB2567">
        <w:t xml:space="preserve">see </w:t>
      </w:r>
      <w:r w:rsidR="008E1837">
        <w:rPr>
          <w:highlight w:val="green"/>
        </w:rPr>
        <w:fldChar w:fldCharType="begin"/>
      </w:r>
      <w:r w:rsidR="008E1837">
        <w:instrText xml:space="preserve"> REF _Ref123900582 \h </w:instrText>
      </w:r>
      <w:r w:rsidR="008E1837">
        <w:rPr>
          <w:highlight w:val="green"/>
        </w:rPr>
      </w:r>
      <w:r w:rsidR="008E1837">
        <w:rPr>
          <w:highlight w:val="green"/>
        </w:rPr>
        <w:fldChar w:fldCharType="separate"/>
      </w:r>
      <w:r w:rsidR="00761EA9">
        <w:t xml:space="preserve">Figure </w:t>
      </w:r>
      <w:r w:rsidR="00761EA9">
        <w:rPr>
          <w:noProof/>
        </w:rPr>
        <w:t>3</w:t>
      </w:r>
      <w:r w:rsidR="008E1837">
        <w:rPr>
          <w:highlight w:val="green"/>
        </w:rPr>
        <w:fldChar w:fldCharType="end"/>
      </w:r>
      <w:r>
        <w:t>).</w:t>
      </w:r>
    </w:p>
    <w:p w14:paraId="0A8CF793" w14:textId="228C48FB" w:rsidR="00DD0731" w:rsidRDefault="008E1837" w:rsidP="008E1837">
      <w:pPr>
        <w:pStyle w:val="FigureTitle"/>
      </w:pPr>
      <w:bookmarkStart w:id="47" w:name="_Ref123900527"/>
      <w:r>
        <w:t xml:space="preserve">Figure </w:t>
      </w:r>
      <w:fldSimple w:instr=" SEQ Figure \* ARABIC ">
        <w:r w:rsidR="00761EA9">
          <w:rPr>
            <w:noProof/>
          </w:rPr>
          <w:t>2</w:t>
        </w:r>
      </w:fldSimple>
      <w:bookmarkEnd w:id="47"/>
      <w:r>
        <w:t xml:space="preserve">: </w:t>
      </w:r>
      <w:r w:rsidR="00DB2567">
        <w:t xml:space="preserve">Analysis POH0766 </w:t>
      </w:r>
      <w:proofErr w:type="gramStart"/>
      <w:r>
        <w:t>Box-plot</w:t>
      </w:r>
      <w:proofErr w:type="gramEnd"/>
      <w:r>
        <w:t xml:space="preserve"> of d</w:t>
      </w:r>
      <w:r w:rsidR="00DD0731">
        <w:t>upilumab</w:t>
      </w:r>
      <w:r w:rsidR="00CB6293">
        <w:t xml:space="preserve"> maximum concentration</w:t>
      </w:r>
      <w:r w:rsidR="00DD0731">
        <w:t xml:space="preserve"> at steady-state by dosing regimen</w:t>
      </w:r>
      <w:r w:rsidR="00DB2567">
        <w:t xml:space="preserve"> in subjects with asthma</w:t>
      </w:r>
      <w:r w:rsidR="00DD0731">
        <w:t xml:space="preserve"> (</w:t>
      </w:r>
      <w:r w:rsidR="00372460">
        <w:t xml:space="preserve">includes </w:t>
      </w:r>
      <w:r w:rsidR="00DD0731">
        <w:t xml:space="preserve">simulated adult 300 mg </w:t>
      </w:r>
      <w:r>
        <w:t>once a week dosing</w:t>
      </w:r>
      <w:r w:rsidR="00372460">
        <w:t xml:space="preserve"> regimen</w:t>
      </w:r>
      <w:r w:rsidR="00DD0731">
        <w:t>)</w:t>
      </w:r>
    </w:p>
    <w:p w14:paraId="75C37DA8" w14:textId="193ACBB3" w:rsidR="006A7A6D" w:rsidRDefault="006A7A6D" w:rsidP="00DD0731">
      <w:r w:rsidRPr="006A7A6D">
        <w:rPr>
          <w:noProof/>
          <w:lang w:val="en-GB" w:eastAsia="en-GB"/>
        </w:rPr>
        <w:drawing>
          <wp:inline distT="0" distB="0" distL="0" distR="0" wp14:anchorId="6FC2E06F" wp14:editId="07513152">
            <wp:extent cx="5400040" cy="2162175"/>
            <wp:effectExtent l="0" t="0" r="0" b="9525"/>
            <wp:docPr id="12" name="Picture 12" descr="This figure is a box-plot of dupilumab Cmax at steady-state by asthma dosing regimen (including simulated adult 300 mg once a week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igure is a box-plot of dupilumab Cmax at steady-state by asthma dosing regimen (including simulated adult 300 mg once a week dosing)."/>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400040" cy="2162175"/>
                    </a:xfrm>
                    <a:prstGeom prst="rect">
                      <a:avLst/>
                    </a:prstGeom>
                  </pic:spPr>
                </pic:pic>
              </a:graphicData>
            </a:graphic>
          </wp:inline>
        </w:drawing>
      </w:r>
    </w:p>
    <w:p w14:paraId="1F692ECC" w14:textId="5F7D9E7A" w:rsidR="006A7A6D" w:rsidRDefault="006A7A6D" w:rsidP="006A7A6D">
      <w:pPr>
        <w:pStyle w:val="FigureDescription"/>
      </w:pPr>
      <w:r>
        <w:t xml:space="preserve">Abbreviation: </w:t>
      </w:r>
      <w:proofErr w:type="spellStart"/>
      <w:r w:rsidR="00A850E2">
        <w:t>C</w:t>
      </w:r>
      <w:r w:rsidR="00A850E2" w:rsidRPr="00A850E2">
        <w:rPr>
          <w:vertAlign w:val="subscript"/>
        </w:rPr>
        <w:t>max</w:t>
      </w:r>
      <w:proofErr w:type="spellEnd"/>
      <w:r w:rsidR="00372460">
        <w:t xml:space="preserve"> =</w:t>
      </w:r>
      <w:r w:rsidR="00A850E2">
        <w:t xml:space="preserve"> maximum concentration;</w:t>
      </w:r>
      <w:r w:rsidR="00A850E2" w:rsidRPr="00A850E2">
        <w:t xml:space="preserve"> </w:t>
      </w:r>
      <w:proofErr w:type="spellStart"/>
      <w:proofErr w:type="gramStart"/>
      <w:r w:rsidR="00A850E2">
        <w:t>C</w:t>
      </w:r>
      <w:r w:rsidR="00A850E2" w:rsidRPr="00A850E2">
        <w:rPr>
          <w:vertAlign w:val="subscript"/>
        </w:rPr>
        <w:t>max</w:t>
      </w:r>
      <w:r w:rsidR="00A850E2">
        <w:rPr>
          <w:vertAlign w:val="subscript"/>
        </w:rPr>
        <w:t>,ss</w:t>
      </w:r>
      <w:proofErr w:type="spellEnd"/>
      <w:proofErr w:type="gramEnd"/>
      <w:r w:rsidR="00372460">
        <w:t xml:space="preserve"> =</w:t>
      </w:r>
      <w:r w:rsidR="00A850E2">
        <w:t xml:space="preserve"> maximum concentration at steady state; </w:t>
      </w:r>
      <w:proofErr w:type="spellStart"/>
      <w:r w:rsidR="00A850E2">
        <w:t>est</w:t>
      </w:r>
      <w:proofErr w:type="spellEnd"/>
      <w:r w:rsidR="00372460">
        <w:t> = </w:t>
      </w:r>
      <w:r w:rsidR="00A850E2">
        <w:t>estimated; q2w</w:t>
      </w:r>
      <w:r w:rsidR="00372460">
        <w:t xml:space="preserve"> =</w:t>
      </w:r>
      <w:r w:rsidR="00A850E2">
        <w:t xml:space="preserve"> every two weeks; q4w</w:t>
      </w:r>
      <w:r w:rsidR="00372460">
        <w:t xml:space="preserve"> =</w:t>
      </w:r>
      <w:r w:rsidR="00A850E2">
        <w:t xml:space="preserve"> every 4 weeks; sim</w:t>
      </w:r>
      <w:r w:rsidR="00372460">
        <w:t xml:space="preserve"> =</w:t>
      </w:r>
      <w:r w:rsidR="00A850E2">
        <w:t xml:space="preserve"> simulated based on virtual </w:t>
      </w:r>
      <w:proofErr w:type="spellStart"/>
      <w:r w:rsidR="00A850E2">
        <w:t>pediatric</w:t>
      </w:r>
      <w:proofErr w:type="spellEnd"/>
      <w:r w:rsidR="00A850E2">
        <w:t xml:space="preserve"> population from NHANES</w:t>
      </w:r>
      <w:r w:rsidR="00372460" w:rsidRPr="00DC1A5C">
        <w:rPr>
          <w:vertAlign w:val="superscript"/>
        </w:rPr>
        <w:fldChar w:fldCharType="begin"/>
      </w:r>
      <w:r w:rsidR="00372460" w:rsidRPr="00DC1A5C">
        <w:rPr>
          <w:vertAlign w:val="superscript"/>
        </w:rPr>
        <w:instrText xml:space="preserve"> NOTEREF _Ref129247508 \h </w:instrText>
      </w:r>
      <w:r w:rsidR="00372460">
        <w:rPr>
          <w:vertAlign w:val="superscript"/>
        </w:rPr>
        <w:instrText xml:space="preserve"> \* MERGEFORMAT </w:instrText>
      </w:r>
      <w:r w:rsidR="00372460" w:rsidRPr="00DC1A5C">
        <w:rPr>
          <w:vertAlign w:val="superscript"/>
        </w:rPr>
      </w:r>
      <w:r w:rsidR="00372460" w:rsidRPr="00DC1A5C">
        <w:rPr>
          <w:vertAlign w:val="superscript"/>
        </w:rPr>
        <w:fldChar w:fldCharType="separate"/>
      </w:r>
      <w:r w:rsidR="00761EA9">
        <w:rPr>
          <w:vertAlign w:val="superscript"/>
        </w:rPr>
        <w:t>15</w:t>
      </w:r>
      <w:r w:rsidR="00372460" w:rsidRPr="00DC1A5C">
        <w:rPr>
          <w:vertAlign w:val="superscript"/>
        </w:rPr>
        <w:fldChar w:fldCharType="end"/>
      </w:r>
    </w:p>
    <w:p w14:paraId="2816BF3B" w14:textId="566FD18D" w:rsidR="006A7A6D" w:rsidRDefault="006A7A6D" w:rsidP="002813DD">
      <w:pPr>
        <w:pStyle w:val="FigureDescription"/>
      </w:pPr>
      <w:r>
        <w:t>Note: Exposure (</w:t>
      </w:r>
      <w:proofErr w:type="spellStart"/>
      <w:proofErr w:type="gramStart"/>
      <w:r>
        <w:t>C</w:t>
      </w:r>
      <w:r w:rsidR="00A850E2" w:rsidRPr="00A850E2">
        <w:rPr>
          <w:vertAlign w:val="subscript"/>
        </w:rPr>
        <w:t>max</w:t>
      </w:r>
      <w:r w:rsidRPr="00A850E2">
        <w:rPr>
          <w:vertAlign w:val="subscript"/>
        </w:rPr>
        <w:t>,ss</w:t>
      </w:r>
      <w:proofErr w:type="spellEnd"/>
      <w:proofErr w:type="gramEnd"/>
      <w:r>
        <w:t xml:space="preserve">) simulated based on </w:t>
      </w:r>
      <w:proofErr w:type="spellStart"/>
      <w:r w:rsidR="00422B30">
        <w:t>pop</w:t>
      </w:r>
      <w:r>
        <w:t>PK</w:t>
      </w:r>
      <w:proofErr w:type="spellEnd"/>
      <w:r>
        <w:t xml:space="preserve"> model for 300 mg q4w; Observed </w:t>
      </w:r>
      <w:proofErr w:type="spellStart"/>
      <w:r>
        <w:t>C</w:t>
      </w:r>
      <w:r w:rsidR="00A850E2" w:rsidRPr="00A850E2">
        <w:rPr>
          <w:vertAlign w:val="subscript"/>
        </w:rPr>
        <w:t>max</w:t>
      </w:r>
      <w:r w:rsidRPr="00A850E2">
        <w:rPr>
          <w:vertAlign w:val="subscript"/>
        </w:rPr>
        <w:t>,ss</w:t>
      </w:r>
      <w:proofErr w:type="spellEnd"/>
      <w:r>
        <w:t xml:space="preserve"> </w:t>
      </w:r>
      <w:r w:rsidR="00A850E2">
        <w:t xml:space="preserve">estimated from </w:t>
      </w:r>
      <w:proofErr w:type="spellStart"/>
      <w:r w:rsidR="00A850E2">
        <w:t>popPK</w:t>
      </w:r>
      <w:proofErr w:type="spellEnd"/>
      <w:r w:rsidR="00A850E2">
        <w:t xml:space="preserve"> model predicted individual </w:t>
      </w:r>
      <w:r w:rsidR="00A850E2" w:rsidRPr="00A850E2">
        <w:rPr>
          <w:i/>
          <w:iCs/>
        </w:rPr>
        <w:t>post hoc</w:t>
      </w:r>
      <w:r w:rsidR="00A850E2">
        <w:t xml:space="preserve"> parameters for all other regimens. </w:t>
      </w:r>
      <w:r>
        <w:t>The upper whisker of the box plot is the largest dataset number smaller than 1.5 interquartile range (IQR) above the third quartile. Similarly, the lower whisker of the box plot is the smallest dataset number larger than 1.5</w:t>
      </w:r>
      <w:r w:rsidR="002813DD">
        <w:t xml:space="preserve"> </w:t>
      </w:r>
      <w:r>
        <w:t>IQR below the first quartile.</w:t>
      </w:r>
    </w:p>
    <w:p w14:paraId="01AAD3CF" w14:textId="66D69A1F" w:rsidR="00CB6293" w:rsidRDefault="008E1837" w:rsidP="008E1837">
      <w:pPr>
        <w:pStyle w:val="FigureTitle"/>
        <w:rPr>
          <w:noProof/>
        </w:rPr>
      </w:pPr>
      <w:bookmarkStart w:id="48" w:name="_Ref123900582"/>
      <w:r>
        <w:lastRenderedPageBreak/>
        <w:t xml:space="preserve">Figure </w:t>
      </w:r>
      <w:fldSimple w:instr=" SEQ Figure \* ARABIC ">
        <w:r w:rsidR="00761EA9">
          <w:rPr>
            <w:noProof/>
          </w:rPr>
          <w:t>3</w:t>
        </w:r>
      </w:fldSimple>
      <w:bookmarkEnd w:id="48"/>
      <w:r>
        <w:t xml:space="preserve">: </w:t>
      </w:r>
      <w:r w:rsidR="00372460">
        <w:t xml:space="preserve">Analysis POH0766 </w:t>
      </w:r>
      <w:proofErr w:type="gramStart"/>
      <w:r>
        <w:t>Box-plot</w:t>
      </w:r>
      <w:proofErr w:type="gramEnd"/>
      <w:r>
        <w:t xml:space="preserve"> of d</w:t>
      </w:r>
      <w:r w:rsidR="00DD0731">
        <w:t xml:space="preserve">upilumab </w:t>
      </w:r>
      <w:r w:rsidR="00596A29">
        <w:t>maximum concentration</w:t>
      </w:r>
      <w:r w:rsidR="00DD0731">
        <w:t xml:space="preserve"> at steady-state by asthma and atopic dermatitis dosing regimen in </w:t>
      </w:r>
      <w:r w:rsidR="00372460">
        <w:t xml:space="preserve">subjects </w:t>
      </w:r>
      <w:r w:rsidR="00DD0731">
        <w:t xml:space="preserve">aged 6 </w:t>
      </w:r>
      <w:r w:rsidR="00372460">
        <w:t>and</w:t>
      </w:r>
      <w:r w:rsidR="00DD0731">
        <w:t xml:space="preserve"> </w:t>
      </w:r>
      <w:r w:rsidR="00BE5DB6">
        <w:t>younger than</w:t>
      </w:r>
      <w:r w:rsidR="00DD0731">
        <w:t xml:space="preserve"> 12 years</w:t>
      </w:r>
    </w:p>
    <w:p w14:paraId="285A12B0" w14:textId="3F045ADE" w:rsidR="00BE5DB6" w:rsidRDefault="00BE5DB6" w:rsidP="008E1837">
      <w:pPr>
        <w:pStyle w:val="FigureTitle"/>
        <w:rPr>
          <w:noProof/>
        </w:rPr>
      </w:pPr>
      <w:r>
        <w:rPr>
          <w:noProof/>
          <w:lang w:val="en-GB" w:eastAsia="en-GB"/>
        </w:rPr>
        <w:drawing>
          <wp:inline distT="0" distB="0" distL="0" distR="0" wp14:anchorId="251EBF2F" wp14:editId="66B50CC7">
            <wp:extent cx="5400040" cy="2864485"/>
            <wp:effectExtent l="0" t="0" r="0" b="0"/>
            <wp:docPr id="24" name="Picture 24" descr="This figure is a box-plot of dupilumab maximum concentrations at steady-state by asthma and atopic dermatitis dosing regimen in patients aged 6 to younger than 1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is a box-plot of dupilumab maximum concentrations at steady-state by asthma and atopic dermatitis dosing regimen in patients aged 6 to younger than 12 years."/>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400040" cy="2864485"/>
                    </a:xfrm>
                    <a:prstGeom prst="rect">
                      <a:avLst/>
                    </a:prstGeom>
                  </pic:spPr>
                </pic:pic>
              </a:graphicData>
            </a:graphic>
          </wp:inline>
        </w:drawing>
      </w:r>
    </w:p>
    <w:p w14:paraId="7D1EF72B" w14:textId="03835A78" w:rsidR="003F6E9C" w:rsidRPr="00A850E2" w:rsidRDefault="000A04CF" w:rsidP="00A850E2">
      <w:pPr>
        <w:pStyle w:val="FigureDescription"/>
      </w:pPr>
      <w:r w:rsidRPr="00A850E2">
        <w:t xml:space="preserve">Abbreviation: </w:t>
      </w:r>
      <w:r w:rsidR="003F6E9C" w:rsidRPr="00A850E2">
        <w:t xml:space="preserve">AD: atopic dermatitis; </w:t>
      </w:r>
      <w:proofErr w:type="spellStart"/>
      <w:r w:rsidR="003F6E9C" w:rsidRPr="00A850E2">
        <w:t>Cmax</w:t>
      </w:r>
      <w:proofErr w:type="spellEnd"/>
      <w:r w:rsidR="003F6E9C" w:rsidRPr="00A850E2">
        <w:t>: maximum concentration; q2w: every 2 weeks; q4w: every 4 weeks</w:t>
      </w:r>
    </w:p>
    <w:p w14:paraId="0446D92E" w14:textId="2645B510" w:rsidR="000A04CF" w:rsidRPr="00A850E2" w:rsidRDefault="000A04CF" w:rsidP="00A850E2">
      <w:pPr>
        <w:pStyle w:val="FigureDescription"/>
      </w:pPr>
      <w:r w:rsidRPr="00A850E2">
        <w:t xml:space="preserve">Note: </w:t>
      </w:r>
      <w:r w:rsidR="003F6E9C" w:rsidRPr="00A850E2">
        <w:t>Exposure (</w:t>
      </w:r>
      <w:proofErr w:type="spellStart"/>
      <w:proofErr w:type="gramStart"/>
      <w:r w:rsidR="003F6E9C" w:rsidRPr="00A850E2">
        <w:t>C</w:t>
      </w:r>
      <w:r w:rsidR="003F6E9C" w:rsidRPr="00A317C9">
        <w:rPr>
          <w:vertAlign w:val="subscript"/>
        </w:rPr>
        <w:t>max,ss</w:t>
      </w:r>
      <w:proofErr w:type="spellEnd"/>
      <w:proofErr w:type="gramEnd"/>
      <w:r w:rsidR="003F6E9C" w:rsidRPr="00A850E2">
        <w:t xml:space="preserve">) simulated based on asthma </w:t>
      </w:r>
      <w:proofErr w:type="spellStart"/>
      <w:r w:rsidR="003F6E9C" w:rsidRPr="00A850E2">
        <w:t>pediatric</w:t>
      </w:r>
      <w:proofErr w:type="spellEnd"/>
      <w:r w:rsidR="003F6E9C" w:rsidRPr="00A850E2">
        <w:t xml:space="preserve"> </w:t>
      </w:r>
      <w:proofErr w:type="spellStart"/>
      <w:r w:rsidR="003F6E9C" w:rsidRPr="00A850E2">
        <w:t>popPK</w:t>
      </w:r>
      <w:proofErr w:type="spellEnd"/>
      <w:r w:rsidR="003F6E9C" w:rsidRPr="00A850E2">
        <w:t xml:space="preserve"> model for 300 mg q4w in children with asthma, </w:t>
      </w:r>
      <w:proofErr w:type="spellStart"/>
      <w:r w:rsidR="003F6E9C" w:rsidRPr="00A850E2">
        <w:t>C</w:t>
      </w:r>
      <w:r w:rsidR="003F6E9C" w:rsidRPr="00A317C9">
        <w:rPr>
          <w:vertAlign w:val="subscript"/>
        </w:rPr>
        <w:t>max,ss</w:t>
      </w:r>
      <w:proofErr w:type="spellEnd"/>
      <w:r w:rsidR="003F6E9C" w:rsidRPr="00A317C9">
        <w:rPr>
          <w:vertAlign w:val="subscript"/>
        </w:rPr>
        <w:t xml:space="preserve"> </w:t>
      </w:r>
      <w:r w:rsidR="003F6E9C" w:rsidRPr="00A850E2">
        <w:t xml:space="preserve">estimated from </w:t>
      </w:r>
      <w:proofErr w:type="spellStart"/>
      <w:r w:rsidR="003F6E9C" w:rsidRPr="00A850E2">
        <w:t>popPK</w:t>
      </w:r>
      <w:proofErr w:type="spellEnd"/>
      <w:r w:rsidR="003F6E9C" w:rsidRPr="00A850E2">
        <w:t xml:space="preserve"> model predicted individual </w:t>
      </w:r>
      <w:r w:rsidR="003F6E9C" w:rsidRPr="00A317C9">
        <w:rPr>
          <w:i/>
          <w:iCs/>
        </w:rPr>
        <w:t xml:space="preserve">post hoc </w:t>
      </w:r>
      <w:r w:rsidR="003F6E9C" w:rsidRPr="00A850E2">
        <w:t xml:space="preserve">parameters for 100 mg and 200 mg q2w in children with asthma and </w:t>
      </w:r>
      <w:proofErr w:type="spellStart"/>
      <w:r w:rsidR="003F6E9C" w:rsidRPr="00A850E2">
        <w:t>Cmax,ss</w:t>
      </w:r>
      <w:proofErr w:type="spellEnd"/>
      <w:r w:rsidR="003F6E9C" w:rsidRPr="00A850E2">
        <w:t xml:space="preserve"> simulated based on AD children </w:t>
      </w:r>
      <w:proofErr w:type="spellStart"/>
      <w:r w:rsidR="003F6E9C" w:rsidRPr="00A850E2">
        <w:t>popPK</w:t>
      </w:r>
      <w:proofErr w:type="spellEnd"/>
      <w:r w:rsidR="003F6E9C" w:rsidRPr="00A850E2">
        <w:t xml:space="preserve"> model for all regimens in children with AD.</w:t>
      </w:r>
      <w:r w:rsidRPr="00A850E2">
        <w:t xml:space="preserve"> The upper whisker of the box plot is the largest dataset number smaller than 1.5 interquartile range (IQR) above the third quartile. Similarly, the lower whisker of the box plot is the smallest dataset number larger than 1.5</w:t>
      </w:r>
      <w:r w:rsidR="00F36319" w:rsidRPr="00A850E2">
        <w:t xml:space="preserve"> </w:t>
      </w:r>
      <w:r w:rsidRPr="00A850E2">
        <w:t>IQR below the first quartile.</w:t>
      </w:r>
    </w:p>
    <w:p w14:paraId="0EB73063" w14:textId="00521197" w:rsidR="002D4247" w:rsidRDefault="002D4247" w:rsidP="00DC1A5C">
      <w:pPr>
        <w:pStyle w:val="Heading5"/>
      </w:pPr>
      <w:r>
        <w:t>E</w:t>
      </w:r>
      <w:r w:rsidR="00B40245">
        <w:t>xposure-response</w:t>
      </w:r>
      <w:r>
        <w:t xml:space="preserve"> analysis</w:t>
      </w:r>
    </w:p>
    <w:p w14:paraId="7230A816" w14:textId="3CB4CC25" w:rsidR="007B1D80" w:rsidRDefault="002D4247" w:rsidP="00AA1BD7">
      <w:pPr>
        <w:pStyle w:val="Heading6"/>
      </w:pPr>
      <w:r>
        <w:t>A</w:t>
      </w:r>
      <w:r w:rsidR="007B1D80">
        <w:t>nalysis</w:t>
      </w:r>
      <w:r>
        <w:t xml:space="preserve"> CTS0077</w:t>
      </w:r>
    </w:p>
    <w:p w14:paraId="1E3FC6CB" w14:textId="6E4D631A" w:rsidR="00C57EDF" w:rsidRDefault="007B1D80" w:rsidP="007B1D80">
      <w:r>
        <w:t>The</w:t>
      </w:r>
      <w:r w:rsidR="00B40245">
        <w:t xml:space="preserve"> exposure-response (</w:t>
      </w:r>
      <w:r>
        <w:t>E-R</w:t>
      </w:r>
      <w:r w:rsidR="00B40245">
        <w:t>)</w:t>
      </w:r>
      <w:r>
        <w:t xml:space="preserve"> relationship (plasma concentration and effect) for the key clinical efficacy endpoints in 408 children 6 to </w:t>
      </w:r>
      <w:r w:rsidR="00A17B72">
        <w:t>younger than</w:t>
      </w:r>
      <w:r w:rsidR="00B40245">
        <w:t xml:space="preserve"> 12</w:t>
      </w:r>
      <w:r>
        <w:t xml:space="preserve"> years of age with asthma in Study</w:t>
      </w:r>
      <w:r w:rsidR="00C57EDF">
        <w:t> </w:t>
      </w:r>
      <w:r>
        <w:t>EFC14153 was investigated</w:t>
      </w:r>
      <w:r w:rsidR="00A317C9">
        <w:t xml:space="preserve"> in </w:t>
      </w:r>
      <w:r w:rsidR="002D4247">
        <w:t xml:space="preserve">Analysis </w:t>
      </w:r>
      <w:r w:rsidR="00A317C9">
        <w:t>CTS0077</w:t>
      </w:r>
      <w:r w:rsidR="00C57EDF">
        <w:t xml:space="preserve">. </w:t>
      </w:r>
      <w:r w:rsidR="002D4247">
        <w:t>It</w:t>
      </w:r>
      <w:r w:rsidR="00C57EDF">
        <w:t xml:space="preserve"> comprised of 135</w:t>
      </w:r>
      <w:r w:rsidR="00862EB8">
        <w:t> </w:t>
      </w:r>
      <w:r w:rsidR="00C57EDF">
        <w:t xml:space="preserve">children that received the placebo, 93 </w:t>
      </w:r>
      <w:r w:rsidR="00862EB8">
        <w:t xml:space="preserve">children receiving the </w:t>
      </w:r>
      <w:r w:rsidR="00C57EDF">
        <w:t xml:space="preserve">dupilumab 100 mg </w:t>
      </w:r>
      <w:r w:rsidR="00CB6293">
        <w:t>once every two weeks</w:t>
      </w:r>
      <w:r w:rsidR="00C57EDF">
        <w:t xml:space="preserve"> and 180 </w:t>
      </w:r>
      <w:r w:rsidR="00862EB8">
        <w:t xml:space="preserve">children receiving </w:t>
      </w:r>
      <w:r w:rsidR="00C57EDF">
        <w:t xml:space="preserve">dupilumab 200 mg </w:t>
      </w:r>
      <w:r w:rsidR="00CB6293">
        <w:t>once every two weeks</w:t>
      </w:r>
      <w:r w:rsidR="00C57EDF">
        <w:t>.</w:t>
      </w:r>
    </w:p>
    <w:p w14:paraId="6EA9DFB8" w14:textId="4DF43FC2" w:rsidR="0040369E" w:rsidRDefault="00C57EDF" w:rsidP="007B1D80">
      <w:r>
        <w:t>B</w:t>
      </w:r>
      <w:r w:rsidR="007B1D80">
        <w:t xml:space="preserve">oth univariate descriptive and model-based analyses </w:t>
      </w:r>
      <w:r w:rsidR="00F95687">
        <w:t xml:space="preserve">were </w:t>
      </w:r>
      <w:r>
        <w:t xml:space="preserve">used </w:t>
      </w:r>
      <w:r w:rsidR="007B1D80">
        <w:t>in the</w:t>
      </w:r>
      <w:r w:rsidR="00A617E9">
        <w:t xml:space="preserve"> intention to treat (</w:t>
      </w:r>
      <w:r w:rsidR="007B1D80">
        <w:t>ITT</w:t>
      </w:r>
      <w:r w:rsidR="00A617E9">
        <w:t>)</w:t>
      </w:r>
      <w:r w:rsidR="007B1D80">
        <w:t xml:space="preserve"> population with a sensitivity analysis in those with the </w:t>
      </w:r>
      <w:r w:rsidR="005C0A5F">
        <w:t>t</w:t>
      </w:r>
      <w:r w:rsidR="007B1D80">
        <w:t>ype 2 inflammatory asthma phenotype</w:t>
      </w:r>
      <w:r w:rsidR="0040369E">
        <w:t>.</w:t>
      </w:r>
    </w:p>
    <w:p w14:paraId="1CC9676A" w14:textId="03A1BBAF" w:rsidR="00A617E9" w:rsidRDefault="007B1D80" w:rsidP="0052317A">
      <w:pPr>
        <w:pStyle w:val="Heading6"/>
      </w:pPr>
      <w:r>
        <w:t>Methods</w:t>
      </w:r>
    </w:p>
    <w:p w14:paraId="7ECE1DFD" w14:textId="6F967397" w:rsidR="007B1D80" w:rsidRDefault="007B1D80" w:rsidP="007B1D80">
      <w:r>
        <w:t xml:space="preserve">The E-R relationship was explored by the average concentration over the </w:t>
      </w:r>
      <w:proofErr w:type="gramStart"/>
      <w:r>
        <w:t>52</w:t>
      </w:r>
      <w:r w:rsidR="00A617E9">
        <w:t> </w:t>
      </w:r>
      <w:r>
        <w:t>week</w:t>
      </w:r>
      <w:proofErr w:type="gramEnd"/>
      <w:r>
        <w:t xml:space="preserve"> treatment period for the primary efficacy endpoint (annualised rate of severe exacerbation events) and by quartiles of trough concentration (</w:t>
      </w:r>
      <w:proofErr w:type="spellStart"/>
      <w:r>
        <w:t>C</w:t>
      </w:r>
      <w:r w:rsidRPr="00A617E9">
        <w:rPr>
          <w:vertAlign w:val="subscript"/>
        </w:rPr>
        <w:t>trough</w:t>
      </w:r>
      <w:proofErr w:type="spellEnd"/>
      <w:r>
        <w:t xml:space="preserve">) at Week 12 for the key secondary endpoint (change from </w:t>
      </w:r>
      <w:r w:rsidR="00C71FE9">
        <w:t>Baseline</w:t>
      </w:r>
      <w:r>
        <w:t xml:space="preserve"> in pre-bronchodilator % predicted forced expiratory volume in </w:t>
      </w:r>
      <w:r w:rsidR="00862EB8">
        <w:t>one</w:t>
      </w:r>
      <w:r>
        <w:t xml:space="preserve"> second </w:t>
      </w:r>
      <w:r w:rsidR="00862EB8">
        <w:t>(</w:t>
      </w:r>
      <w:r>
        <w:t>FEV1</w:t>
      </w:r>
      <w:r w:rsidR="00862EB8">
        <w:t>)</w:t>
      </w:r>
      <w:r>
        <w:t xml:space="preserve"> at Week 12).</w:t>
      </w:r>
    </w:p>
    <w:p w14:paraId="4592C833" w14:textId="608D05FA" w:rsidR="007B1D80" w:rsidRDefault="007B1D80" w:rsidP="007B1D80">
      <w:r>
        <w:t>Several factors, including demographics (</w:t>
      </w:r>
      <w:r w:rsidR="00A617E9">
        <w:t xml:space="preserve">for example, </w:t>
      </w:r>
      <w:r>
        <w:t>age, weight, race), baseline disease characteristics, and baseline biomarkers were evaluated in the model-based</w:t>
      </w:r>
      <w:r w:rsidR="00CB6293">
        <w:t xml:space="preserve"> </w:t>
      </w:r>
      <w:r w:rsidR="00CB6293" w:rsidRPr="00E2569E">
        <w:t>pharmacokinetic</w:t>
      </w:r>
      <w:r w:rsidR="001B653F" w:rsidRPr="00E2569E">
        <w:t>/</w:t>
      </w:r>
      <w:r w:rsidR="00CB6293" w:rsidRPr="00E2569E">
        <w:t>pharmacodynamic</w:t>
      </w:r>
      <w:r w:rsidRPr="00E2569E">
        <w:t xml:space="preserve"> analyses</w:t>
      </w:r>
      <w:r>
        <w:t>, to investigate their contribution to the variability of dupilumab treatment response.</w:t>
      </w:r>
    </w:p>
    <w:p w14:paraId="27609DB3" w14:textId="22A1DB0A" w:rsidR="00A617E9" w:rsidRDefault="007B1D80" w:rsidP="0052317A">
      <w:pPr>
        <w:pStyle w:val="Heading6"/>
      </w:pPr>
      <w:r>
        <w:lastRenderedPageBreak/>
        <w:t>Results</w:t>
      </w:r>
    </w:p>
    <w:p w14:paraId="2B172731" w14:textId="2CD71B35" w:rsidR="007B1D80" w:rsidRDefault="007B1D80" w:rsidP="007B1D80">
      <w:r>
        <w:t xml:space="preserve">The </w:t>
      </w:r>
      <w:proofErr w:type="gramStart"/>
      <w:r>
        <w:t>model</w:t>
      </w:r>
      <w:r w:rsidR="00A617E9">
        <w:t xml:space="preserve"> </w:t>
      </w:r>
      <w:r>
        <w:t>based</w:t>
      </w:r>
      <w:proofErr w:type="gramEnd"/>
      <w:r>
        <w:t xml:space="preserve"> analyses predicted a clinically significant reduction for both assessed endpoints for both pivotal trial dosing regimens (dupilumab 100 mg </w:t>
      </w:r>
      <w:r w:rsidR="00CB6293">
        <w:t>once every two weeks</w:t>
      </w:r>
      <w:r>
        <w:t xml:space="preserve"> and 200 mg </w:t>
      </w:r>
      <w:r w:rsidR="00CB6293">
        <w:t>once every two weeks</w:t>
      </w:r>
      <w:r>
        <w:t xml:space="preserve">). The final model predicted the severe exacerbation event ratio (relative risk) after 200 mg </w:t>
      </w:r>
      <w:r w:rsidR="00CB6293">
        <w:t>once every two weeks</w:t>
      </w:r>
      <w:r>
        <w:t xml:space="preserve"> reasonably well, but it over</w:t>
      </w:r>
      <w:r w:rsidR="002D4247">
        <w:t>-</w:t>
      </w:r>
      <w:r>
        <w:t xml:space="preserve">predicted the relative risk after 100 mg </w:t>
      </w:r>
      <w:r w:rsidR="00CB6293">
        <w:t>once every two weeks</w:t>
      </w:r>
      <w:r>
        <w:t xml:space="preserve">. The results suggest a plateau at the 200 mg </w:t>
      </w:r>
      <w:r w:rsidR="00B23B09">
        <w:t>once every two weeks</w:t>
      </w:r>
      <w:r>
        <w:t xml:space="preserve"> dose, with only a marginal improvement in response at 300 mg </w:t>
      </w:r>
      <w:r w:rsidR="00CB6293">
        <w:t>once every two weeks</w:t>
      </w:r>
      <w:r>
        <w:t>.</w:t>
      </w:r>
    </w:p>
    <w:p w14:paraId="32475466" w14:textId="1DD0E60E" w:rsidR="007B1D80" w:rsidRDefault="007B1D80" w:rsidP="007B1D80">
      <w:r>
        <w:t xml:space="preserve">For the modelling of the 300 mg </w:t>
      </w:r>
      <w:r w:rsidR="00B23B09">
        <w:t>once every four weeks</w:t>
      </w:r>
      <w:r>
        <w:t xml:space="preserve"> dose regimen, the observed and predicted exacerbation risk in the two weight groups was </w:t>
      </w:r>
      <w:proofErr w:type="gramStart"/>
      <w:r>
        <w:t>similar to</w:t>
      </w:r>
      <w:proofErr w:type="gramEnd"/>
      <w:r>
        <w:t xml:space="preserve"> the observed and predicted values after 100 mg and 200 mg </w:t>
      </w:r>
      <w:r w:rsidR="00B23B09">
        <w:t>once every two weeks</w:t>
      </w:r>
      <w:r>
        <w:t xml:space="preserve"> dosing.</w:t>
      </w:r>
    </w:p>
    <w:p w14:paraId="2274BCD5" w14:textId="7B1AA9B3" w:rsidR="007B1D80" w:rsidRDefault="007B1D80" w:rsidP="0052317A">
      <w:pPr>
        <w:pStyle w:val="Heading4"/>
      </w:pPr>
      <w:r>
        <w:t>Efficacy</w:t>
      </w:r>
    </w:p>
    <w:p w14:paraId="737CF0D9" w14:textId="72165BE8" w:rsidR="007B1D80" w:rsidRPr="00F63519" w:rsidRDefault="007B1D80" w:rsidP="007B1D80">
      <w:r>
        <w:t xml:space="preserve">The efficacy claims are based on one pivotal study and its long-term extension in a total of </w:t>
      </w:r>
      <w:r w:rsidRPr="00F63519">
        <w:t xml:space="preserve">408 randomised paediatric patients aged 6 to </w:t>
      </w:r>
      <w:r w:rsidR="00A17B72">
        <w:t>younger than</w:t>
      </w:r>
      <w:r w:rsidR="00B40245" w:rsidRPr="00F63519">
        <w:t xml:space="preserve"> 12</w:t>
      </w:r>
      <w:r w:rsidRPr="00F63519">
        <w:t xml:space="preserve"> years.</w:t>
      </w:r>
    </w:p>
    <w:p w14:paraId="1B309AE3" w14:textId="0CA169F9" w:rsidR="007B1D80" w:rsidRPr="00F63519" w:rsidRDefault="00F63519" w:rsidP="0052317A">
      <w:pPr>
        <w:pStyle w:val="Heading5"/>
      </w:pPr>
      <w:bookmarkStart w:id="49" w:name="_Ref129255291"/>
      <w:r>
        <w:t>S</w:t>
      </w:r>
      <w:r w:rsidR="007B1D80" w:rsidRPr="00F63519">
        <w:t>tudy EFC14153</w:t>
      </w:r>
      <w:bookmarkEnd w:id="49"/>
    </w:p>
    <w:p w14:paraId="32B2B93A" w14:textId="77777777" w:rsidR="007B1D80" w:rsidRPr="00F63519" w:rsidRDefault="007B1D80" w:rsidP="0052317A">
      <w:pPr>
        <w:pStyle w:val="Heading6"/>
      </w:pPr>
      <w:r w:rsidRPr="00F63519">
        <w:t>Design</w:t>
      </w:r>
    </w:p>
    <w:p w14:paraId="0D78B9D8" w14:textId="6212F736" w:rsidR="007B1D80" w:rsidRPr="00F63519" w:rsidRDefault="00F63519" w:rsidP="007B1D80">
      <w:r>
        <w:t>Study E</w:t>
      </w:r>
      <w:r w:rsidR="00C57EDF">
        <w:t>F</w:t>
      </w:r>
      <w:r>
        <w:t xml:space="preserve">C14153 </w:t>
      </w:r>
      <w:r w:rsidR="00EF254D">
        <w:t xml:space="preserve">(also known as the </w:t>
      </w:r>
      <w:r w:rsidR="00EF254D" w:rsidRPr="0052317A">
        <w:t>LIBERTY ASTHMA VOYAGE</w:t>
      </w:r>
      <w:r w:rsidR="00EF254D">
        <w:t xml:space="preserve"> trial) </w:t>
      </w:r>
      <w:r>
        <w:t>was a</w:t>
      </w:r>
      <w:r w:rsidR="004C7727">
        <w:t xml:space="preserve"> pivotal</w:t>
      </w:r>
      <w:r>
        <w:t xml:space="preserve"> </w:t>
      </w:r>
      <w:r w:rsidR="007B1D80" w:rsidRPr="00F63519">
        <w:t>Phase</w:t>
      </w:r>
      <w:r w:rsidR="00EF254D">
        <w:t> </w:t>
      </w:r>
      <w:r w:rsidR="00CE60EE">
        <w:t>III</w:t>
      </w:r>
      <w:r w:rsidR="007B1D80" w:rsidRPr="00F63519">
        <w:t>, randomised, multicentre (90 centres in 17</w:t>
      </w:r>
      <w:r w:rsidR="004C7727">
        <w:t> </w:t>
      </w:r>
      <w:r w:rsidR="007B1D80" w:rsidRPr="00F63519">
        <w:t>countries), double</w:t>
      </w:r>
      <w:r w:rsidR="002D4247">
        <w:noBreakHyphen/>
      </w:r>
      <w:r w:rsidR="007B1D80" w:rsidRPr="00F63519">
        <w:t>blind, placebo</w:t>
      </w:r>
      <w:r>
        <w:t xml:space="preserve"> </w:t>
      </w:r>
      <w:r w:rsidR="007B1D80" w:rsidRPr="00F63519">
        <w:t xml:space="preserve">controlled, parallel group study to evaluate the efficacy and safety of </w:t>
      </w:r>
      <w:r w:rsidR="002D4247">
        <w:t>subcutaneously administered</w:t>
      </w:r>
      <w:r w:rsidR="002D4247" w:rsidRPr="00F63519">
        <w:t xml:space="preserve"> </w:t>
      </w:r>
      <w:r w:rsidR="007B1D80" w:rsidRPr="00F63519">
        <w:t xml:space="preserve">dupilumab (for a maximum of 52 weeks) in 408 children aged 6 to </w:t>
      </w:r>
      <w:r w:rsidR="009D40D8">
        <w:t>less than</w:t>
      </w:r>
      <w:r w:rsidR="00B40245" w:rsidRPr="00F63519">
        <w:t xml:space="preserve"> 12</w:t>
      </w:r>
      <w:r w:rsidR="007B1D80" w:rsidRPr="00F63519">
        <w:t xml:space="preserve"> years with uncontrolled persistent asthma. The study was conducted between 21</w:t>
      </w:r>
      <w:r w:rsidR="004C7727">
        <w:t> </w:t>
      </w:r>
      <w:r w:rsidR="007B1D80" w:rsidRPr="00F63519">
        <w:t>April 2017 and 26</w:t>
      </w:r>
      <w:r>
        <w:t> </w:t>
      </w:r>
      <w:r w:rsidR="007B1D80" w:rsidRPr="00F63519">
        <w:t>August 2020.</w:t>
      </w:r>
    </w:p>
    <w:p w14:paraId="6B7E49CA" w14:textId="1ECFD042" w:rsidR="007B1D80" w:rsidRDefault="007B1D80" w:rsidP="007B1D80">
      <w:r w:rsidRPr="00F63519">
        <w:t xml:space="preserve">There were </w:t>
      </w:r>
      <w:r w:rsidR="00CE60EE">
        <w:t>three</w:t>
      </w:r>
      <w:r w:rsidRPr="00F63519">
        <w:t xml:space="preserve"> periods with a total duration of 68</w:t>
      </w:r>
      <w:r w:rsidR="00C57EDF">
        <w:t xml:space="preserve"> ±</w:t>
      </w:r>
      <w:r w:rsidRPr="00F63519">
        <w:t xml:space="preserve"> 1 weeks for each patient: screening period (4 ± 1 weeks), randomised treatment period (up to 52 weeks), and post-treatment period (12 weeks) for patients who did n</w:t>
      </w:r>
      <w:r>
        <w:t xml:space="preserve">ot participate in the </w:t>
      </w:r>
      <w:r w:rsidR="00E2569E">
        <w:t>one</w:t>
      </w:r>
      <w:r w:rsidR="00F63519">
        <w:t xml:space="preserve"> </w:t>
      </w:r>
      <w:r>
        <w:t>year long</w:t>
      </w:r>
      <w:r w:rsidR="002D4247">
        <w:noBreakHyphen/>
      </w:r>
      <w:r>
        <w:t>term extension study (</w:t>
      </w:r>
      <w:r w:rsidR="00C57EDF">
        <w:t xml:space="preserve">Study </w:t>
      </w:r>
      <w:r>
        <w:t>LTS14424).</w:t>
      </w:r>
    </w:p>
    <w:p w14:paraId="66E1BEAB" w14:textId="69717571" w:rsidR="007B1D80" w:rsidRPr="00622AAE" w:rsidRDefault="007B1D80" w:rsidP="007B1D80">
      <w:r>
        <w:t xml:space="preserve">The population was randomised </w:t>
      </w:r>
      <w:r w:rsidR="002D4247">
        <w:t xml:space="preserve">in a </w:t>
      </w:r>
      <w:r>
        <w:t>2:1</w:t>
      </w:r>
      <w:r w:rsidR="002D4247">
        <w:t xml:space="preserve"> ratio</w:t>
      </w:r>
      <w:r>
        <w:t xml:space="preserve"> to receive SC dupilumab</w:t>
      </w:r>
      <w:r w:rsidR="003C7CA8">
        <w:t>.</w:t>
      </w:r>
      <w:r w:rsidR="0040369E">
        <w:t xml:space="preserve"> </w:t>
      </w:r>
      <w:r w:rsidR="003C7CA8">
        <w:t xml:space="preserve">The dose was </w:t>
      </w:r>
      <w:r>
        <w:t xml:space="preserve">based on weight: </w:t>
      </w:r>
      <w:r w:rsidR="002D4247">
        <w:t xml:space="preserve">those weighing </w:t>
      </w:r>
      <w:r w:rsidR="002813DD">
        <w:t>greater than</w:t>
      </w:r>
      <w:r w:rsidR="003C7CA8">
        <w:t xml:space="preserve"> </w:t>
      </w:r>
      <w:r>
        <w:t>30</w:t>
      </w:r>
      <w:r w:rsidR="000F66DF">
        <w:t xml:space="preserve"> </w:t>
      </w:r>
      <w:r>
        <w:t>kg</w:t>
      </w:r>
      <w:r w:rsidR="002D4247">
        <w:t xml:space="preserve"> receiving</w:t>
      </w:r>
      <w:r>
        <w:t xml:space="preserve"> 200 mg </w:t>
      </w:r>
      <w:r w:rsidR="000F66DF">
        <w:t>on</w:t>
      </w:r>
      <w:r w:rsidR="002D4247">
        <w:t>c</w:t>
      </w:r>
      <w:r w:rsidR="000F66DF">
        <w:t>e every two weeks</w:t>
      </w:r>
      <w:r>
        <w:t xml:space="preserve">, or </w:t>
      </w:r>
      <w:r w:rsidR="002D4247">
        <w:t xml:space="preserve">those weighing </w:t>
      </w:r>
      <w:r>
        <w:t>30 kg</w:t>
      </w:r>
      <w:r w:rsidR="002D4247">
        <w:t xml:space="preserve"> or less receiving</w:t>
      </w:r>
      <w:r>
        <w:t xml:space="preserve"> 100 mg </w:t>
      </w:r>
      <w:r w:rsidR="000F66DF">
        <w:t>once every two weeks</w:t>
      </w:r>
      <w:r w:rsidR="006F15BA">
        <w:t>,</w:t>
      </w:r>
      <w:r>
        <w:t xml:space="preserve"> or matching placebo </w:t>
      </w:r>
      <w:r w:rsidRPr="00622AAE">
        <w:t>(</w:t>
      </w:r>
      <w:r w:rsidR="008E1837">
        <w:fldChar w:fldCharType="begin"/>
      </w:r>
      <w:r w:rsidR="008E1837">
        <w:instrText xml:space="preserve"> REF _Ref123900646 \h </w:instrText>
      </w:r>
      <w:r w:rsidR="008E1837">
        <w:fldChar w:fldCharType="separate"/>
      </w:r>
      <w:r w:rsidR="00761EA9">
        <w:t xml:space="preserve">Figure </w:t>
      </w:r>
      <w:r w:rsidR="00761EA9">
        <w:rPr>
          <w:noProof/>
        </w:rPr>
        <w:t>4</w:t>
      </w:r>
      <w:r w:rsidR="008E1837">
        <w:fldChar w:fldCharType="end"/>
      </w:r>
      <w:r w:rsidRPr="00622AAE">
        <w:t>).</w:t>
      </w:r>
    </w:p>
    <w:p w14:paraId="3253B493" w14:textId="635CB1A3" w:rsidR="007B1D80" w:rsidRPr="00622AAE" w:rsidRDefault="007B1D80" w:rsidP="007B1D80">
      <w:r w:rsidRPr="00622AAE">
        <w:t>Dupilumab was given as add</w:t>
      </w:r>
      <w:r w:rsidR="003C7CA8" w:rsidRPr="00622AAE">
        <w:t xml:space="preserve"> </w:t>
      </w:r>
      <w:r w:rsidRPr="00622AAE">
        <w:t>on therapy to high</w:t>
      </w:r>
      <w:r w:rsidR="003C7CA8" w:rsidRPr="00622AAE">
        <w:t xml:space="preserve"> </w:t>
      </w:r>
      <w:r w:rsidRPr="00622AAE">
        <w:t xml:space="preserve">dose </w:t>
      </w:r>
      <w:r w:rsidR="002D4247">
        <w:t>inhaled corticosteroids (</w:t>
      </w:r>
      <w:r w:rsidRPr="00622AAE">
        <w:t>ICS</w:t>
      </w:r>
      <w:r w:rsidR="002D4247">
        <w:t>)</w:t>
      </w:r>
      <w:r w:rsidRPr="00622AAE">
        <w:t xml:space="preserve"> alone or medium</w:t>
      </w:r>
      <w:r w:rsidR="003C7CA8" w:rsidRPr="00622AAE">
        <w:t xml:space="preserve"> </w:t>
      </w:r>
      <w:r w:rsidRPr="00622AAE">
        <w:t>dose or high</w:t>
      </w:r>
      <w:r w:rsidR="003C7CA8" w:rsidRPr="00622AAE">
        <w:t xml:space="preserve"> </w:t>
      </w:r>
      <w:r w:rsidRPr="00622AAE">
        <w:t>dose ICS in combination with a second controller</w:t>
      </w:r>
      <w:r w:rsidR="002D4247">
        <w:t xml:space="preserve"> medication</w:t>
      </w:r>
      <w:r w:rsidRPr="00622AAE">
        <w:t xml:space="preserve">. Patients were allowed to use salbutamol or </w:t>
      </w:r>
      <w:proofErr w:type="spellStart"/>
      <w:r w:rsidRPr="00622AAE">
        <w:t>levosalbutamol</w:t>
      </w:r>
      <w:proofErr w:type="spellEnd"/>
      <w:r w:rsidRPr="00622AAE">
        <w:t xml:space="preserve"> </w:t>
      </w:r>
      <w:r w:rsidR="00002818">
        <w:t xml:space="preserve">(short-acting beta-2 agonists) </w:t>
      </w:r>
      <w:r w:rsidRPr="00622AAE">
        <w:t>as reliever medication.</w:t>
      </w:r>
    </w:p>
    <w:p w14:paraId="634F13E2" w14:textId="352D5EE2" w:rsidR="00F32314" w:rsidRDefault="008E1837" w:rsidP="008E1837">
      <w:pPr>
        <w:pStyle w:val="FigureTitle"/>
      </w:pPr>
      <w:bookmarkStart w:id="50" w:name="_Ref123900646"/>
      <w:r>
        <w:lastRenderedPageBreak/>
        <w:t xml:space="preserve">Figure </w:t>
      </w:r>
      <w:fldSimple w:instr=" SEQ Figure \* ARABIC ">
        <w:r w:rsidR="00761EA9">
          <w:rPr>
            <w:noProof/>
          </w:rPr>
          <w:t>4</w:t>
        </w:r>
      </w:fldSimple>
      <w:bookmarkEnd w:id="50"/>
      <w:r>
        <w:t>: St</w:t>
      </w:r>
      <w:r w:rsidR="007B1D80" w:rsidRPr="00622AAE">
        <w:t>udy EFC14153</w:t>
      </w:r>
      <w:r>
        <w:t xml:space="preserve"> </w:t>
      </w:r>
      <w:r w:rsidR="00597D49">
        <w:t>S</w:t>
      </w:r>
      <w:r>
        <w:t>tudy design</w:t>
      </w:r>
    </w:p>
    <w:p w14:paraId="25C7E520" w14:textId="378F81A4" w:rsidR="00F36319" w:rsidRDefault="00F36319" w:rsidP="00F36319">
      <w:r>
        <w:rPr>
          <w:noProof/>
          <w:lang w:val="en-GB" w:eastAsia="en-GB"/>
        </w:rPr>
        <w:drawing>
          <wp:inline distT="0" distB="0" distL="0" distR="0" wp14:anchorId="176D5150" wp14:editId="4ECF62F7">
            <wp:extent cx="5400040" cy="3176905"/>
            <wp:effectExtent l="0" t="0" r="0" b="4445"/>
            <wp:docPr id="1" name="Picture 1" descr="Patients were randomised in a 2:1 ratio to receive in a dupilumab dosed by body weight (286 patients), versus matched placebo (134 patients). Those weighing greater than 30 kg received 200 mg once every two weeks, or those weighing 30 kg or less receiving 100 mg once every two weeks. The study ran for 68 weeks, with a screening period of 4 weeks (Week -1 to Week 0) prior to randomisation; a 52-week long treatment period (Week 0 to Week 52); and a 12-week long post-treatm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is a box-plot of dupilumab maximum concentrations at steady-state by asthma and atopic dermatitis dosing regimen in patients aged 6 to younger than 12 years."/>
                    <pic:cNvPicPr/>
                  </pic:nvPicPr>
                  <pic:blipFill>
                    <a:blip r:embed="rId24"/>
                    <a:stretch>
                      <a:fillRect/>
                    </a:stretch>
                  </pic:blipFill>
                  <pic:spPr>
                    <a:xfrm>
                      <a:off x="0" y="0"/>
                      <a:ext cx="5400040" cy="3176905"/>
                    </a:xfrm>
                    <a:prstGeom prst="rect">
                      <a:avLst/>
                    </a:prstGeom>
                  </pic:spPr>
                </pic:pic>
              </a:graphicData>
            </a:graphic>
          </wp:inline>
        </w:drawing>
      </w:r>
    </w:p>
    <w:p w14:paraId="1E1669FF" w14:textId="0D9BFCE8" w:rsidR="000A04CF" w:rsidRDefault="000A04CF" w:rsidP="00F36319">
      <w:pPr>
        <w:pStyle w:val="FigureDescription"/>
      </w:pPr>
      <w:r>
        <w:t xml:space="preserve">Abbreviation: D: day; EOT: end of treatment; EOS: end of study; ICS: inhaled corticosteroid; q2w: every two weeks; </w:t>
      </w:r>
      <w:r w:rsidR="00A8218E">
        <w:t>R: randomisation; SC: subcutaneous.</w:t>
      </w:r>
    </w:p>
    <w:p w14:paraId="1E68D5FB" w14:textId="14E9FF72" w:rsidR="000A04CF" w:rsidRDefault="000A04CF" w:rsidP="00A8218E">
      <w:pPr>
        <w:pStyle w:val="FigureDescription"/>
      </w:pPr>
      <w:r>
        <w:t>Note: Background medication: medium dose inhaled corticosteroid + second controller or high dose inhaled corticosteroid or with second controller.</w:t>
      </w:r>
    </w:p>
    <w:p w14:paraId="75EDB437" w14:textId="6E230674" w:rsidR="007B1D80" w:rsidRDefault="007B1D80" w:rsidP="007B1D80">
      <w:r>
        <w:t xml:space="preserve">The primary objectives of this study were to evaluate the efficacy of dupilumab in children </w:t>
      </w:r>
      <w:r w:rsidR="006F15BA">
        <w:t xml:space="preserve">from </w:t>
      </w:r>
      <w:r>
        <w:t xml:space="preserve">6 to </w:t>
      </w:r>
      <w:r w:rsidR="00A17B72">
        <w:t>younger than</w:t>
      </w:r>
      <w:r w:rsidR="00B40245">
        <w:t xml:space="preserve"> 12</w:t>
      </w:r>
      <w:r>
        <w:t xml:space="preserve"> years of age with uncontrolled persistent asthma.</w:t>
      </w:r>
    </w:p>
    <w:p w14:paraId="50BB82B5" w14:textId="3025FA42" w:rsidR="00002818" w:rsidRDefault="00002818" w:rsidP="00CE5202">
      <w:pPr>
        <w:pStyle w:val="Heading6"/>
      </w:pPr>
      <w:r>
        <w:t>Inclusion and exclusion criteria</w:t>
      </w:r>
    </w:p>
    <w:p w14:paraId="3B2795AC" w14:textId="4FC3DD1E" w:rsidR="007B1D80" w:rsidRDefault="003C7CA8" w:rsidP="007B1D80">
      <w:r>
        <w:t>The m</w:t>
      </w:r>
      <w:r w:rsidR="007B1D80">
        <w:t>ain inclusion criteria</w:t>
      </w:r>
      <w:r>
        <w:t xml:space="preserve"> w</w:t>
      </w:r>
      <w:r w:rsidR="00C57EDF">
        <w:t>ere</w:t>
      </w:r>
      <w:r w:rsidR="007B4AC9">
        <w:t xml:space="preserve"> for patients</w:t>
      </w:r>
      <w:r>
        <w:t xml:space="preserve"> </w:t>
      </w:r>
      <w:r w:rsidR="007B4AC9">
        <w:t>between</w:t>
      </w:r>
      <w:r w:rsidR="007B1D80">
        <w:t xml:space="preserve"> </w:t>
      </w:r>
      <w:r w:rsidR="006F15BA">
        <w:t xml:space="preserve">of </w:t>
      </w:r>
      <w:r w:rsidR="007B1D80">
        <w:t xml:space="preserve">6 years to </w:t>
      </w:r>
      <w:r w:rsidR="00A17B72">
        <w:t>younger than</w:t>
      </w:r>
      <w:r w:rsidR="00B40245">
        <w:t xml:space="preserve"> 12</w:t>
      </w:r>
      <w:r w:rsidR="007B1D80">
        <w:t xml:space="preserve"> years of age with uncontrolled persistent asthma. Prior to and during the screening period, patients were required to be on a stable</w:t>
      </w:r>
      <w:r>
        <w:t xml:space="preserve"> </w:t>
      </w:r>
      <w:r w:rsidR="007B1D80">
        <w:t>dose background therapy of medium</w:t>
      </w:r>
      <w:r>
        <w:t xml:space="preserve"> </w:t>
      </w:r>
      <w:r w:rsidR="007B1D80">
        <w:t>dose ICS with a second controller medication or high</w:t>
      </w:r>
      <w:r>
        <w:t xml:space="preserve"> </w:t>
      </w:r>
      <w:r w:rsidR="007B1D80">
        <w:t>dose ICS alone or high</w:t>
      </w:r>
      <w:r>
        <w:t xml:space="preserve"> </w:t>
      </w:r>
      <w:r w:rsidR="007B1D80">
        <w:t xml:space="preserve">dose ICS with a second controller, for at least </w:t>
      </w:r>
      <w:r w:rsidR="00A317C9">
        <w:t>three</w:t>
      </w:r>
      <w:r>
        <w:t> </w:t>
      </w:r>
      <w:r w:rsidR="007B1D80">
        <w:t xml:space="preserve">months, with a stable dose </w:t>
      </w:r>
      <w:r w:rsidR="009D40D8">
        <w:t>greater than or equal to</w:t>
      </w:r>
      <w:r>
        <w:t xml:space="preserve"> </w:t>
      </w:r>
      <w:r w:rsidR="009D40D8">
        <w:t>one</w:t>
      </w:r>
      <w:r w:rsidR="007B1D80">
        <w:t xml:space="preserve"> month.</w:t>
      </w:r>
    </w:p>
    <w:p w14:paraId="78A5B7E1" w14:textId="436E55DC" w:rsidR="007B1D80" w:rsidRDefault="007B1D80" w:rsidP="007B1D80">
      <w:r>
        <w:t xml:space="preserve">Patients must have experienced, within </w:t>
      </w:r>
      <w:r w:rsidR="009D40D8">
        <w:t>one</w:t>
      </w:r>
      <w:r>
        <w:t xml:space="preserve"> year prior to screening Visit 1, any of the following events: </w:t>
      </w:r>
      <w:r w:rsidR="003C7CA8">
        <w:t>t</w:t>
      </w:r>
      <w:r>
        <w:t xml:space="preserve">reatment with </w:t>
      </w:r>
      <w:r w:rsidR="003C7CA8">
        <w:t xml:space="preserve">oral or parenteral </w:t>
      </w:r>
      <w:r>
        <w:t>systemic corticosteroid prescribed by a healthcare professional for worsening asthma at least once or, hospitalisation or emergency medical care visit for worsening asthma.</w:t>
      </w:r>
    </w:p>
    <w:p w14:paraId="088C2F1F" w14:textId="5370A223" w:rsidR="007B1D80" w:rsidRDefault="007B4AC9" w:rsidP="007B1D80">
      <w:r>
        <w:t>Patients also must have r</w:t>
      </w:r>
      <w:r w:rsidR="007B1D80">
        <w:t>eversibility of at least 10% in FEV1</w:t>
      </w:r>
      <w:r w:rsidR="006F15BA">
        <w:t>;</w:t>
      </w:r>
      <w:bookmarkStart w:id="51" w:name="_Ref129602079"/>
      <w:r w:rsidR="006F15BA">
        <w:rPr>
          <w:rStyle w:val="FootnoteReference"/>
        </w:rPr>
        <w:footnoteReference w:id="16"/>
      </w:r>
      <w:bookmarkEnd w:id="51"/>
      <w:r w:rsidR="007B1D80">
        <w:t xml:space="preserve"> after the administration of </w:t>
      </w:r>
      <w:r w:rsidR="006F15BA">
        <w:t>a short-acting beta-2 agonist (</w:t>
      </w:r>
      <w:r w:rsidR="007B1D80">
        <w:t xml:space="preserve">200 to 400 </w:t>
      </w:r>
      <w:r w:rsidR="00CE60EE">
        <w:t xml:space="preserve">µg </w:t>
      </w:r>
      <w:r w:rsidR="007B1D80">
        <w:t xml:space="preserve">salbutamol or 45 to 90 </w:t>
      </w:r>
      <w:r w:rsidR="000F66DF">
        <w:t>µg</w:t>
      </w:r>
      <w:r w:rsidR="000F66DF" w:rsidDel="000F66DF">
        <w:t xml:space="preserve"> </w:t>
      </w:r>
      <w:proofErr w:type="spellStart"/>
      <w:r w:rsidR="007B1D80">
        <w:t>levosalbutamol</w:t>
      </w:r>
      <w:proofErr w:type="spellEnd"/>
      <w:r w:rsidR="006F15BA">
        <w:t>)</w:t>
      </w:r>
      <w:r w:rsidR="007B1D80">
        <w:t>.</w:t>
      </w:r>
    </w:p>
    <w:p w14:paraId="04F87FD2" w14:textId="68249B8D" w:rsidR="007B1D80" w:rsidRDefault="003C7CA8" w:rsidP="007B1D80">
      <w:r>
        <w:t>The main exclusion</w:t>
      </w:r>
      <w:r w:rsidR="007B1D80">
        <w:t xml:space="preserve"> criteri</w:t>
      </w:r>
      <w:r w:rsidR="006F15BA">
        <w:t>a were</w:t>
      </w:r>
      <w:r w:rsidR="007B4AC9">
        <w:t xml:space="preserve"> </w:t>
      </w:r>
      <w:r>
        <w:t>p</w:t>
      </w:r>
      <w:r w:rsidR="007B1D80">
        <w:t>atients requiring a third controller medication for their asthma</w:t>
      </w:r>
      <w:r w:rsidR="006F15BA">
        <w:t>;</w:t>
      </w:r>
      <w:r>
        <w:t xml:space="preserve"> p</w:t>
      </w:r>
      <w:r w:rsidR="007B1D80">
        <w:t xml:space="preserve">atients </w:t>
      </w:r>
      <w:r w:rsidR="006F15BA">
        <w:t xml:space="preserve">with </w:t>
      </w:r>
      <w:r w:rsidR="009F418B">
        <w:t>less than</w:t>
      </w:r>
      <w:r>
        <w:t xml:space="preserve"> </w:t>
      </w:r>
      <w:r w:rsidR="007B1D80">
        <w:t>16 kg body weight</w:t>
      </w:r>
      <w:r w:rsidR="006F15BA">
        <w:t>;</w:t>
      </w:r>
      <w:r>
        <w:t xml:space="preserve"> and p</w:t>
      </w:r>
      <w:r w:rsidR="007B1D80">
        <w:t>atients with active parasitic infection (helminths).</w:t>
      </w:r>
    </w:p>
    <w:p w14:paraId="0C7D2CF8" w14:textId="180D96B0" w:rsidR="00002818" w:rsidRDefault="00002818" w:rsidP="00DC1A5C">
      <w:pPr>
        <w:pStyle w:val="Heading6"/>
      </w:pPr>
      <w:r>
        <w:t>Endpoints</w:t>
      </w:r>
    </w:p>
    <w:p w14:paraId="4C4C60AC" w14:textId="73B9AE27" w:rsidR="007B1D80" w:rsidRDefault="007B1D80" w:rsidP="007B1D80">
      <w:r>
        <w:t xml:space="preserve">The primary efficacy endpoint was the annualised rate of severe exacerbation events during the </w:t>
      </w:r>
      <w:r w:rsidR="006F15BA">
        <w:t>52-week</w:t>
      </w:r>
      <w:r>
        <w:t xml:space="preserve"> </w:t>
      </w:r>
      <w:proofErr w:type="gramStart"/>
      <w:r>
        <w:t>placebo</w:t>
      </w:r>
      <w:r w:rsidR="003C7CA8">
        <w:t xml:space="preserve"> </w:t>
      </w:r>
      <w:r>
        <w:t>controlled</w:t>
      </w:r>
      <w:proofErr w:type="gramEnd"/>
      <w:r>
        <w:t xml:space="preserve"> treatment period. The key secondary endpoint was the change from </w:t>
      </w:r>
      <w:r w:rsidR="00C71FE9">
        <w:t>Baseline</w:t>
      </w:r>
      <w:r>
        <w:t xml:space="preserve"> in pre-bronchodilator FEV1 at Week 12.</w:t>
      </w:r>
    </w:p>
    <w:p w14:paraId="568DEFE8" w14:textId="5E45BC07" w:rsidR="00002818" w:rsidRDefault="00002818" w:rsidP="00DC1A5C">
      <w:pPr>
        <w:pStyle w:val="Heading6"/>
      </w:pPr>
      <w:r>
        <w:lastRenderedPageBreak/>
        <w:t>Statistics</w:t>
      </w:r>
    </w:p>
    <w:p w14:paraId="38FB1694" w14:textId="3FF13125" w:rsidR="007B1D80" w:rsidRDefault="007B1D80" w:rsidP="007B1D80">
      <w:r>
        <w:t xml:space="preserve">To control the </w:t>
      </w:r>
      <w:r w:rsidR="007B4AC9">
        <w:t>T</w:t>
      </w:r>
      <w:r>
        <w:t>ype</w:t>
      </w:r>
      <w:r w:rsidR="006A49C8">
        <w:t xml:space="preserve"> </w:t>
      </w:r>
      <w:r>
        <w:t xml:space="preserve">I error rate for the analysis of efficacy endpoints, a hierarchical testing procedure was applied at a </w:t>
      </w:r>
      <w:r w:rsidR="00002818">
        <w:t>two-sided</w:t>
      </w:r>
      <w:r>
        <w:t xml:space="preserve"> 5% significan</w:t>
      </w:r>
      <w:r w:rsidR="00002818">
        <w:t>ce</w:t>
      </w:r>
      <w:r>
        <w:t xml:space="preserve"> level. The primary endpoint adjustment occurred using a negative binomial model with the total number of events onset from randomisation up to Week 52 visit or last contact date as the response variable, with the treatment group, age, baseline weight group, region, baseline eosinophil level, baseline</w:t>
      </w:r>
      <w:r w:rsidR="00422B30">
        <w:t xml:space="preserve"> fractional exhaled nitric oxide (</w:t>
      </w:r>
      <w:proofErr w:type="spellStart"/>
      <w:r>
        <w:t>FeNO</w:t>
      </w:r>
      <w:proofErr w:type="spellEnd"/>
      <w:r w:rsidR="00422B30">
        <w:t>)</w:t>
      </w:r>
      <w:r>
        <w:t xml:space="preserve"> level, baseline ICS dose level and number of severe exacerbation events within </w:t>
      </w:r>
      <w:r w:rsidR="009F418B">
        <w:t>one</w:t>
      </w:r>
      <w:r w:rsidR="006A49C8">
        <w:t> </w:t>
      </w:r>
      <w:r>
        <w:t>year prior to the study as covariates, and log</w:t>
      </w:r>
      <w:r w:rsidR="006A49C8">
        <w:t xml:space="preserve"> </w:t>
      </w:r>
      <w:r>
        <w:t>transformed standardised observation duration as an offset variable.</w:t>
      </w:r>
    </w:p>
    <w:p w14:paraId="27494804" w14:textId="4C3650CC" w:rsidR="00002818" w:rsidRDefault="00002818" w:rsidP="00DC1A5C">
      <w:pPr>
        <w:pStyle w:val="Heading6"/>
      </w:pPr>
      <w:r>
        <w:t>Baseline demographics and population characteristics</w:t>
      </w:r>
    </w:p>
    <w:p w14:paraId="16489898" w14:textId="55978247" w:rsidR="007B1D80" w:rsidRDefault="007B1D80" w:rsidP="007B1D80">
      <w:r>
        <w:t>The baseline demographics were similar and balanced between treatment arms in the ITT population and in the individual populations defined by markers of type 2 inflammation</w:t>
      </w:r>
      <w:r w:rsidR="00622AAE">
        <w:t>.</w:t>
      </w:r>
    </w:p>
    <w:p w14:paraId="6F1EA470" w14:textId="06DA2A3C" w:rsidR="00181D67" w:rsidRDefault="007B1D80" w:rsidP="007B1D80">
      <w:r>
        <w:t>In the type 2 inflammatory asthma phenotype population, most patients had impaired lung function with a mean pre-</w:t>
      </w:r>
      <w:r w:rsidR="005E538F">
        <w:t>bronchodilator</w:t>
      </w:r>
      <w:r>
        <w:t xml:space="preserve"> FEV1 percent predicted at </w:t>
      </w:r>
      <w:r w:rsidR="00C71FE9">
        <w:t>Baseline</w:t>
      </w:r>
      <w:r>
        <w:t xml:space="preserve"> of 77.89% and a mean</w:t>
      </w:r>
      <w:r w:rsidR="006A49C8">
        <w:t xml:space="preserve"> </w:t>
      </w:r>
      <w:r w:rsidR="00002818">
        <w:t>Asthma Control Questionnaire (ACQ-7-IA) score</w:t>
      </w:r>
      <w:r w:rsidR="00E26292">
        <w:t xml:space="preserve"> </w:t>
      </w:r>
      <w:r>
        <w:t>of 2.14</w:t>
      </w:r>
      <w:r w:rsidR="00E26292">
        <w:t>;</w:t>
      </w:r>
      <w:r w:rsidR="00E26292">
        <w:rPr>
          <w:rStyle w:val="FootnoteReference"/>
        </w:rPr>
        <w:footnoteReference w:id="17"/>
      </w:r>
      <w:r>
        <w:t xml:space="preserve"> and </w:t>
      </w:r>
      <w:r w:rsidR="00D825EC">
        <w:t xml:space="preserve">a </w:t>
      </w:r>
      <w:r>
        <w:t xml:space="preserve">high disease burden </w:t>
      </w:r>
      <w:r w:rsidR="00D825EC">
        <w:t xml:space="preserve">with </w:t>
      </w:r>
      <w:r>
        <w:t xml:space="preserve">mean </w:t>
      </w:r>
      <w:r w:rsidR="006A49C8">
        <w:t>P</w:t>
      </w:r>
      <w:r w:rsidR="00181D67">
        <w:t>a</w:t>
      </w:r>
      <w:r w:rsidR="006A49C8">
        <w:t xml:space="preserve">ediatric Asthma Caregivers Quality of Life Questionnaire </w:t>
      </w:r>
      <w:r w:rsidR="00D825EC">
        <w:t>(PAQLQ/</w:t>
      </w:r>
      <w:r w:rsidR="006A49C8">
        <w:t>PAQLQ</w:t>
      </w:r>
      <w:r>
        <w:t>(S)-IA</w:t>
      </w:r>
      <w:r w:rsidR="00D825EC">
        <w:t>)</w:t>
      </w:r>
      <w:r>
        <w:t xml:space="preserve"> scores of 4.94.</w:t>
      </w:r>
      <w:r w:rsidR="00E26292">
        <w:rPr>
          <w:rStyle w:val="FootnoteReference"/>
        </w:rPr>
        <w:footnoteReference w:id="18"/>
      </w:r>
      <w:r w:rsidR="00E26292">
        <w:rPr>
          <w:vertAlign w:val="superscript"/>
        </w:rPr>
        <w:t>,</w:t>
      </w:r>
      <w:r w:rsidR="00E26292">
        <w:rPr>
          <w:rStyle w:val="FootnoteReference"/>
        </w:rPr>
        <w:footnoteReference w:id="19"/>
      </w:r>
    </w:p>
    <w:p w14:paraId="7A12C8A5" w14:textId="161DF581" w:rsidR="007B1D80" w:rsidRDefault="007B1D80" w:rsidP="007B1D80">
      <w:r>
        <w:t xml:space="preserve">Patients on average had FEV1 reversibility of 19.61%, used 2.46 rescue puffs daily at </w:t>
      </w:r>
      <w:r w:rsidR="00C71FE9">
        <w:t>Baseline</w:t>
      </w:r>
      <w:r>
        <w:t xml:space="preserve">, and had a history of a mean of 2.47 severe asthma exacerbations in the year. Nearly 70% of enrolled children had at least one asthma exacerbation that required hospitalisation or an urgent care visit in the prior year. Mean </w:t>
      </w:r>
      <w:r w:rsidR="005E538F">
        <w:t>b</w:t>
      </w:r>
      <w:r w:rsidR="00C71FE9">
        <w:t>aseline</w:t>
      </w:r>
      <w:r>
        <w:t xml:space="preserve"> serum total </w:t>
      </w:r>
      <w:r w:rsidR="00181D67">
        <w:t>immunoglobulin type E (</w:t>
      </w:r>
      <w:proofErr w:type="spellStart"/>
      <w:r>
        <w:t>IgE</w:t>
      </w:r>
      <w:proofErr w:type="spellEnd"/>
      <w:r w:rsidR="00181D67">
        <w:t>)</w:t>
      </w:r>
      <w:r>
        <w:t xml:space="preserve"> was elevated (905.5 IU/mL) with 83.4% of patients with levels ≥</w:t>
      </w:r>
      <w:r w:rsidR="006A49C8">
        <w:t xml:space="preserve"> </w:t>
      </w:r>
      <w:r>
        <w:t>100 IU/</w:t>
      </w:r>
      <w:proofErr w:type="spellStart"/>
      <w:r>
        <w:t>mL.</w:t>
      </w:r>
      <w:proofErr w:type="spellEnd"/>
      <w:r>
        <w:t xml:space="preserve"> 94.0% had an ongoing atopic medical condition. The population with blood eosinophil count ≥</w:t>
      </w:r>
      <w:r w:rsidR="00E2569E">
        <w:t xml:space="preserve"> </w:t>
      </w:r>
      <w:r>
        <w:t>0</w:t>
      </w:r>
      <w:r w:rsidRPr="00E2569E">
        <w:t>.3</w:t>
      </w:r>
      <w:r w:rsidR="00E2569E" w:rsidRPr="00E2569E">
        <w:t xml:space="preserve"> x 10</w:t>
      </w:r>
      <w:r w:rsidR="00E2569E" w:rsidRPr="00E2569E">
        <w:rPr>
          <w:vertAlign w:val="superscript"/>
        </w:rPr>
        <w:t>9</w:t>
      </w:r>
      <w:r w:rsidRPr="00E2569E">
        <w:t xml:space="preserve"> L</w:t>
      </w:r>
      <w:r>
        <w:t xml:space="preserve"> showed similar disease characteristics at </w:t>
      </w:r>
      <w:r w:rsidR="00C71FE9">
        <w:t>Baseline</w:t>
      </w:r>
      <w:r>
        <w:t xml:space="preserve"> as those in the type 2 inflammatory asthma phenotype population with the notable exception of higher baseline type 2 inflammatory biomarkers</w:t>
      </w:r>
      <w:r w:rsidR="00622AAE">
        <w:t>.</w:t>
      </w:r>
    </w:p>
    <w:p w14:paraId="3DA86272" w14:textId="27BEA17F" w:rsidR="007B1D80" w:rsidRDefault="007B1D80" w:rsidP="007B1D80">
      <w:r>
        <w:t xml:space="preserve">All patients were using background asthma controller (preventer) therapy at stable doses which continued throughout the study. The protocol allowed an increase in background medications for </w:t>
      </w:r>
      <w:r w:rsidR="009F418B">
        <w:t>greater than or equal to two</w:t>
      </w:r>
      <w:r>
        <w:t xml:space="preserve"> severe exacerbations, but this occurred for no patient during the study.</w:t>
      </w:r>
    </w:p>
    <w:p w14:paraId="7FD576AB" w14:textId="2A545C02" w:rsidR="007B1D80" w:rsidRDefault="007B1D80" w:rsidP="007B1D80">
      <w:r>
        <w:t xml:space="preserve">At </w:t>
      </w:r>
      <w:r w:rsidR="00C71FE9">
        <w:t>Baseline</w:t>
      </w:r>
      <w:r>
        <w:t xml:space="preserve">, most patients (97.3%) were using </w:t>
      </w:r>
      <w:r w:rsidR="00181D67">
        <w:t>two</w:t>
      </w:r>
      <w:r>
        <w:t xml:space="preserve"> types of controller medications, the majority medium or high</w:t>
      </w:r>
      <w:r w:rsidR="006A49C8">
        <w:t xml:space="preserve"> </w:t>
      </w:r>
      <w:r>
        <w:t>dose ICS in combination with LABA (85.8%)</w:t>
      </w:r>
      <w:r w:rsidR="007B4AC9">
        <w:t xml:space="preserve">; </w:t>
      </w:r>
      <w:r>
        <w:t>2.2% received ICS only. The proportion of high, medium, and low dose ICS recipients was 44.1%, 55.1%, and 0.7%, respectively.</w:t>
      </w:r>
    </w:p>
    <w:p w14:paraId="566C324F" w14:textId="5F7C0217" w:rsidR="003E358D" w:rsidRDefault="006A49C8" w:rsidP="003E358D">
      <w:proofErr w:type="gramStart"/>
      <w:r>
        <w:lastRenderedPageBreak/>
        <w:t>With regard to</w:t>
      </w:r>
      <w:proofErr w:type="gramEnd"/>
      <w:r>
        <w:t xml:space="preserve"> s</w:t>
      </w:r>
      <w:r w:rsidR="007B1D80">
        <w:t xml:space="preserve">ubject </w:t>
      </w:r>
      <w:r>
        <w:t>d</w:t>
      </w:r>
      <w:r w:rsidR="007B1D80">
        <w:t>isposition</w:t>
      </w:r>
      <w:r>
        <w:t xml:space="preserve">, </w:t>
      </w:r>
      <w:r w:rsidR="007B1D80">
        <w:t>408 patients were randomised in the ITT population: 273 in the dupilumab group (n</w:t>
      </w:r>
      <w:r>
        <w:t xml:space="preserve"> </w:t>
      </w:r>
      <w:r w:rsidR="007B1D80">
        <w:t>=</w:t>
      </w:r>
      <w:r>
        <w:t xml:space="preserve"> </w:t>
      </w:r>
      <w:r w:rsidR="007B1D80">
        <w:t xml:space="preserve">93 for 200 mg </w:t>
      </w:r>
      <w:r w:rsidR="00CB6293">
        <w:t>once every two weeks</w:t>
      </w:r>
      <w:r w:rsidR="007B1D80">
        <w:t>, and n</w:t>
      </w:r>
      <w:r>
        <w:t xml:space="preserve"> </w:t>
      </w:r>
      <w:r w:rsidR="007B1D80">
        <w:t>=</w:t>
      </w:r>
      <w:r>
        <w:t xml:space="preserve"> </w:t>
      </w:r>
      <w:r w:rsidR="007B1D80">
        <w:t>180 for 100</w:t>
      </w:r>
      <w:r w:rsidR="00AA1BD7">
        <w:t> </w:t>
      </w:r>
      <w:r w:rsidR="007B1D80">
        <w:t xml:space="preserve">mg </w:t>
      </w:r>
      <w:r w:rsidR="00CB6293">
        <w:t>once every two weeks</w:t>
      </w:r>
      <w:r w:rsidR="007B1D80">
        <w:t>) and 135 in the placebo group</w:t>
      </w:r>
      <w:r w:rsidR="003E358D">
        <w:t>. Of these, there were 350</w:t>
      </w:r>
      <w:r w:rsidR="00AA1BD7">
        <w:t> </w:t>
      </w:r>
      <w:r w:rsidR="003E358D">
        <w:t>patients (85.8% of the ITT) with the type 2 inflammatory asthma phenotype</w:t>
      </w:r>
      <w:r w:rsidR="00622AAE">
        <w:t>.</w:t>
      </w:r>
      <w:r w:rsidR="0040369E">
        <w:t xml:space="preserve"> </w:t>
      </w:r>
      <w:r w:rsidR="00622AAE">
        <w:t xml:space="preserve">There were </w:t>
      </w:r>
      <w:r w:rsidR="003E358D">
        <w:t xml:space="preserve">236 </w:t>
      </w:r>
      <w:r w:rsidR="007B4AC9">
        <w:t xml:space="preserve">patients </w:t>
      </w:r>
      <w:r w:rsidR="003E358D">
        <w:t>in the dupilumab group and 114 in the placebo group. 259 patients (63.5% of the ITT) had baseline blood eosinophils ≥</w:t>
      </w:r>
      <w:r w:rsidR="00622AAE">
        <w:t xml:space="preserve"> </w:t>
      </w:r>
      <w:r w:rsidR="003E358D">
        <w:t xml:space="preserve">0.3 </w:t>
      </w:r>
      <w:r w:rsidR="00E2569E">
        <w:t>x 10</w:t>
      </w:r>
      <w:r w:rsidR="00E2569E">
        <w:rPr>
          <w:vertAlign w:val="superscript"/>
        </w:rPr>
        <w:t>9</w:t>
      </w:r>
      <w:r w:rsidR="003E358D">
        <w:t>/L, including 175 in the dupilumab group and 84 in the placebo group. 56</w:t>
      </w:r>
      <w:r>
        <w:t> </w:t>
      </w:r>
      <w:r w:rsidR="003E358D">
        <w:t>patients had both baseline blood eosinophils &lt;</w:t>
      </w:r>
      <w:r w:rsidR="00622AAE">
        <w:t xml:space="preserve"> </w:t>
      </w:r>
      <w:r w:rsidR="003E358D">
        <w:t xml:space="preserve">0.15 </w:t>
      </w:r>
      <w:r w:rsidR="00E2569E">
        <w:t>x 10</w:t>
      </w:r>
      <w:r w:rsidR="00E2569E">
        <w:rPr>
          <w:vertAlign w:val="superscript"/>
        </w:rPr>
        <w:t>9</w:t>
      </w:r>
      <w:r w:rsidR="003E358D">
        <w:t xml:space="preserve">/L and </w:t>
      </w:r>
      <w:proofErr w:type="spellStart"/>
      <w:r w:rsidR="003E358D">
        <w:t>FeNO</w:t>
      </w:r>
      <w:proofErr w:type="spellEnd"/>
      <w:r w:rsidR="003E358D">
        <w:t xml:space="preserve"> &lt;</w:t>
      </w:r>
      <w:r w:rsidR="00622AAE">
        <w:t xml:space="preserve"> </w:t>
      </w:r>
      <w:r w:rsidR="003E358D">
        <w:t xml:space="preserve">20 </w:t>
      </w:r>
      <w:r w:rsidR="000F66DF" w:rsidRPr="00E2569E">
        <w:t>parts per billion (</w:t>
      </w:r>
      <w:r w:rsidR="003E358D" w:rsidRPr="00E2569E">
        <w:t>ppb</w:t>
      </w:r>
      <w:r w:rsidR="000F66DF" w:rsidRPr="00E2569E">
        <w:t>)</w:t>
      </w:r>
      <w:r w:rsidR="003E358D" w:rsidRPr="00E2569E">
        <w:t>,</w:t>
      </w:r>
      <w:r w:rsidR="003E358D">
        <w:t xml:space="preserve"> including 35 in the dupilumab group and 21 in the placebo group.</w:t>
      </w:r>
    </w:p>
    <w:p w14:paraId="1EEC7FA0" w14:textId="18C5964F" w:rsidR="003E358D" w:rsidRDefault="003E358D" w:rsidP="003E358D">
      <w:r>
        <w:t>The treatment discontinuation rate was low, but numerically higher in the dupilumab group (reasons included receiving live attenuated vaccine). The most frequent major protocol deviations were related to missing assessments</w:t>
      </w:r>
      <w:r w:rsidR="007B4AC9">
        <w:t xml:space="preserve"> and </w:t>
      </w:r>
      <w:r>
        <w:t xml:space="preserve">procedures (10.3% in the dupilumab group </w:t>
      </w:r>
      <w:r w:rsidR="006E7601">
        <w:t>versus</w:t>
      </w:r>
      <w:r>
        <w:t xml:space="preserve"> 12.6% for placebo) and the use of concomitant medications (9.5% </w:t>
      </w:r>
      <w:r w:rsidR="006E7601">
        <w:t>versus</w:t>
      </w:r>
      <w:r>
        <w:t xml:space="preserve"> 13.3%).</w:t>
      </w:r>
    </w:p>
    <w:p w14:paraId="2017BC01" w14:textId="532A885D" w:rsidR="003E358D" w:rsidRDefault="00181D67" w:rsidP="0052317A">
      <w:pPr>
        <w:pStyle w:val="Heading6"/>
      </w:pPr>
      <w:r>
        <w:t>Results for the efficacy endpoints</w:t>
      </w:r>
    </w:p>
    <w:p w14:paraId="202E6569" w14:textId="209E2F19" w:rsidR="00181D67" w:rsidRDefault="003E358D" w:rsidP="003E358D">
      <w:r>
        <w:t xml:space="preserve">The annualised rate of severe exacerbation events during the </w:t>
      </w:r>
      <w:proofErr w:type="gramStart"/>
      <w:r>
        <w:t>52</w:t>
      </w:r>
      <w:r w:rsidR="006E7601">
        <w:t xml:space="preserve"> </w:t>
      </w:r>
      <w:r>
        <w:t>week</w:t>
      </w:r>
      <w:proofErr w:type="gramEnd"/>
      <w:r>
        <w:t xml:space="preserve"> placebo-controlled treatment period was more favourable overall in the dupilumab group (</w:t>
      </w:r>
      <w:r w:rsidR="00181D67">
        <w:t xml:space="preserve">see </w:t>
      </w:r>
      <w:r w:rsidR="002727A2">
        <w:fldChar w:fldCharType="begin"/>
      </w:r>
      <w:r w:rsidR="002727A2">
        <w:instrText xml:space="preserve"> REF _Ref123899990 \h </w:instrText>
      </w:r>
      <w:r w:rsidR="002727A2">
        <w:fldChar w:fldCharType="separate"/>
      </w:r>
      <w:r w:rsidR="00761EA9">
        <w:t xml:space="preserve">Table </w:t>
      </w:r>
      <w:r w:rsidR="00761EA9">
        <w:rPr>
          <w:noProof/>
        </w:rPr>
        <w:t>3</w:t>
      </w:r>
      <w:r w:rsidR="002727A2">
        <w:fldChar w:fldCharType="end"/>
      </w:r>
      <w:r w:rsidR="00181D67">
        <w:t>, below</w:t>
      </w:r>
      <w:r>
        <w:t>)</w:t>
      </w:r>
      <w:r w:rsidR="00181D67">
        <w:t>.</w:t>
      </w:r>
    </w:p>
    <w:p w14:paraId="499422C4" w14:textId="32252B60" w:rsidR="003E358D" w:rsidRDefault="00181D67" w:rsidP="003E358D">
      <w:r>
        <w:t>The study reported the following:</w:t>
      </w:r>
    </w:p>
    <w:p w14:paraId="5306A014" w14:textId="6F738C5D" w:rsidR="003E358D" w:rsidRDefault="00181D67" w:rsidP="006E7601">
      <w:pPr>
        <w:pStyle w:val="ListBullet"/>
      </w:pPr>
      <w:r w:rsidRPr="00DC1A5C">
        <w:rPr>
          <w:i/>
        </w:rPr>
        <w:t>o</w:t>
      </w:r>
      <w:r w:rsidR="003E358D" w:rsidRPr="00DC1A5C">
        <w:rPr>
          <w:i/>
        </w:rPr>
        <w:t xml:space="preserve">verall </w:t>
      </w:r>
      <w:r w:rsidRPr="00DC1A5C">
        <w:rPr>
          <w:i/>
        </w:rPr>
        <w:t xml:space="preserve">annualised rate of severe exacerbation events </w:t>
      </w:r>
      <w:r w:rsidR="003E358D" w:rsidRPr="00DC1A5C">
        <w:rPr>
          <w:i/>
        </w:rPr>
        <w:t>(all ITT</w:t>
      </w:r>
      <w:r w:rsidRPr="00DC1A5C">
        <w:rPr>
          <w:i/>
        </w:rPr>
        <w:t xml:space="preserve"> population</w:t>
      </w:r>
      <w:r w:rsidR="003E358D" w:rsidRPr="00DC1A5C">
        <w:rPr>
          <w:i/>
        </w:rPr>
        <w:t>)</w:t>
      </w:r>
      <w:r w:rsidR="00AA1BD7" w:rsidRPr="00DC1A5C">
        <w:rPr>
          <w:i/>
        </w:rPr>
        <w:t>:</w:t>
      </w:r>
      <w:r w:rsidR="00AA1BD7">
        <w:t xml:space="preserve"> </w:t>
      </w:r>
      <w:r w:rsidR="003E358D">
        <w:t>the</w:t>
      </w:r>
      <w:r w:rsidR="005862A4">
        <w:t xml:space="preserve"> relative </w:t>
      </w:r>
      <w:r w:rsidR="005862A4" w:rsidRPr="004C7727">
        <w:t>risk</w:t>
      </w:r>
      <w:r w:rsidR="00422B30">
        <w:t xml:space="preserve"> </w:t>
      </w:r>
      <w:r w:rsidR="003E358D" w:rsidRPr="004C7727">
        <w:t>95%</w:t>
      </w:r>
      <w:r w:rsidR="004C7727">
        <w:t xml:space="preserve"> confidence interval (</w:t>
      </w:r>
      <w:r w:rsidR="003E358D" w:rsidRPr="004C7727">
        <w:t>CI</w:t>
      </w:r>
      <w:r w:rsidR="003E358D">
        <w:t>) was 0.458 (0.313, 0.671</w:t>
      </w:r>
      <w:proofErr w:type="gramStart"/>
      <w:r w:rsidR="003E358D">
        <w:t>)</w:t>
      </w:r>
      <w:r>
        <w:t>;</w:t>
      </w:r>
      <w:proofErr w:type="gramEnd"/>
    </w:p>
    <w:p w14:paraId="4038082A" w14:textId="62AF3BCF" w:rsidR="003E358D" w:rsidRDefault="00181D67" w:rsidP="006E7601">
      <w:pPr>
        <w:pStyle w:val="ListBullet"/>
      </w:pPr>
      <w:r w:rsidRPr="00DC1A5C">
        <w:rPr>
          <w:i/>
        </w:rPr>
        <w:t>t</w:t>
      </w:r>
      <w:r w:rsidR="003E358D" w:rsidRPr="00DC1A5C">
        <w:rPr>
          <w:i/>
        </w:rPr>
        <w:t>ype 2 inflammatory asthma phenotype</w:t>
      </w:r>
      <w:r w:rsidR="003E358D">
        <w:t>:</w:t>
      </w:r>
      <w:bookmarkStart w:id="52" w:name="_Ref129254779"/>
      <w:r w:rsidR="003E769D">
        <w:rPr>
          <w:rStyle w:val="FootnoteReference"/>
        </w:rPr>
        <w:footnoteReference w:id="20"/>
      </w:r>
      <w:bookmarkEnd w:id="52"/>
      <w:r w:rsidR="003E358D">
        <w:t xml:space="preserve"> the </w:t>
      </w:r>
      <w:r w:rsidR="00422B30">
        <w:t>relative risk</w:t>
      </w:r>
      <w:r w:rsidR="003E358D">
        <w:t xml:space="preserve"> (95% CI) was 0.407 (0.274, 0.605)</w:t>
      </w:r>
    </w:p>
    <w:p w14:paraId="409E187C" w14:textId="7A3FEC28" w:rsidR="003E358D" w:rsidRDefault="00181D67" w:rsidP="006E7601">
      <w:pPr>
        <w:pStyle w:val="ListBullet"/>
      </w:pPr>
      <w:r w:rsidRPr="00DC1A5C">
        <w:rPr>
          <w:i/>
        </w:rPr>
        <w:t>b</w:t>
      </w:r>
      <w:r w:rsidR="003E358D" w:rsidRPr="00DC1A5C">
        <w:rPr>
          <w:i/>
        </w:rPr>
        <w:t xml:space="preserve">aseline blood eosinophils </w:t>
      </w:r>
      <w:r>
        <w:rPr>
          <w:i/>
        </w:rPr>
        <w:t>(</w:t>
      </w:r>
      <w:r w:rsidR="003E358D" w:rsidRPr="00DC1A5C">
        <w:rPr>
          <w:i/>
        </w:rPr>
        <w:t xml:space="preserve">0.3 </w:t>
      </w:r>
      <w:r w:rsidR="006E7601" w:rsidRPr="00DC1A5C">
        <w:rPr>
          <w:i/>
        </w:rPr>
        <w:t>x 10</w:t>
      </w:r>
      <w:r w:rsidR="006E7601" w:rsidRPr="00DC1A5C">
        <w:rPr>
          <w:i/>
          <w:vertAlign w:val="superscript"/>
        </w:rPr>
        <w:t>9</w:t>
      </w:r>
      <w:r w:rsidR="003E358D" w:rsidRPr="00DC1A5C">
        <w:rPr>
          <w:i/>
        </w:rPr>
        <w:t>/L</w:t>
      </w:r>
      <w:r>
        <w:rPr>
          <w:i/>
        </w:rPr>
        <w:t>)</w:t>
      </w:r>
      <w:r w:rsidR="003E358D">
        <w:t>: the</w:t>
      </w:r>
      <w:r w:rsidR="00422B30">
        <w:t xml:space="preserve"> relative risk</w:t>
      </w:r>
      <w:r w:rsidR="003E358D">
        <w:t xml:space="preserve"> (95% CI) was 0.353 (0.222, 0.562)</w:t>
      </w:r>
    </w:p>
    <w:p w14:paraId="0C1E361A" w14:textId="77777777" w:rsidR="003E358D" w:rsidRDefault="003E358D" w:rsidP="003E358D">
      <w:r>
        <w:t>For the ITT population, the unadjusted annualised exacerbation rate was 0.346 and 0.642 in the dupilumab and placebo groups, respectively.</w:t>
      </w:r>
    </w:p>
    <w:p w14:paraId="7E0E29E1" w14:textId="53427956" w:rsidR="003E358D" w:rsidRDefault="003E358D" w:rsidP="003E358D">
      <w:r>
        <w:t>Furthermore, the results were also favourable for the subgroup with baseline blood eosinophils ≥</w:t>
      </w:r>
      <w:r w:rsidR="006E7601">
        <w:t xml:space="preserve"> </w:t>
      </w:r>
      <w:r>
        <w:t>0.15 x 10</w:t>
      </w:r>
      <w:r w:rsidR="006E7601" w:rsidRPr="006E7601">
        <w:rPr>
          <w:vertAlign w:val="superscript"/>
        </w:rPr>
        <w:t>9</w:t>
      </w:r>
      <w:r>
        <w:t xml:space="preserve">/L, or baseline </w:t>
      </w:r>
      <w:proofErr w:type="spellStart"/>
      <w:r>
        <w:t>FeNO</w:t>
      </w:r>
      <w:proofErr w:type="spellEnd"/>
      <w:r>
        <w:t xml:space="preserve"> ≥</w:t>
      </w:r>
      <w:r w:rsidR="006E7601">
        <w:t xml:space="preserve"> </w:t>
      </w:r>
      <w:r>
        <w:t>20</w:t>
      </w:r>
      <w:r w:rsidR="00A17B72">
        <w:t xml:space="preserve"> </w:t>
      </w:r>
      <w:r>
        <w:t>ppb</w:t>
      </w:r>
      <w:r w:rsidR="000F66DF">
        <w:t xml:space="preserve"> </w:t>
      </w:r>
      <w:r w:rsidR="00181D67">
        <w:t xml:space="preserve">(parts per billion) </w:t>
      </w:r>
      <w:r>
        <w:t>(</w:t>
      </w:r>
      <w:r w:rsidR="00181D67">
        <w:t xml:space="preserve">see </w:t>
      </w:r>
      <w:r w:rsidR="009F418B">
        <w:fldChar w:fldCharType="begin"/>
      </w:r>
      <w:r w:rsidR="009F418B">
        <w:instrText xml:space="preserve"> REF _Ref123899990 \h </w:instrText>
      </w:r>
      <w:r w:rsidR="009F418B">
        <w:fldChar w:fldCharType="separate"/>
      </w:r>
      <w:r w:rsidR="00761EA9">
        <w:t xml:space="preserve">Table </w:t>
      </w:r>
      <w:r w:rsidR="00761EA9">
        <w:rPr>
          <w:noProof/>
        </w:rPr>
        <w:t>3</w:t>
      </w:r>
      <w:r w:rsidR="009F418B">
        <w:fldChar w:fldCharType="end"/>
      </w:r>
      <w:r w:rsidRPr="00622AAE">
        <w:t>). However, the results were indeterminate (likely due to small subgroup sample size) for the baseline blood eosinophils &lt;</w:t>
      </w:r>
      <w:r w:rsidR="006E7601" w:rsidRPr="00622AAE">
        <w:t xml:space="preserve"> </w:t>
      </w:r>
      <w:r w:rsidRPr="00622AAE">
        <w:t>0.15 x 10</w:t>
      </w:r>
      <w:r w:rsidRPr="00622AAE">
        <w:rPr>
          <w:vertAlign w:val="superscript"/>
        </w:rPr>
        <w:t>9</w:t>
      </w:r>
      <w:r w:rsidRPr="00622AAE">
        <w:t xml:space="preserve">/L with </w:t>
      </w:r>
      <w:proofErr w:type="spellStart"/>
      <w:r w:rsidRPr="00622AAE">
        <w:t>FeNO</w:t>
      </w:r>
      <w:proofErr w:type="spellEnd"/>
      <w:r w:rsidRPr="00622AAE">
        <w:t xml:space="preserve"> &lt;</w:t>
      </w:r>
      <w:r w:rsidR="006E7601" w:rsidRPr="00622AAE">
        <w:t xml:space="preserve"> </w:t>
      </w:r>
      <w:r w:rsidRPr="00622AAE">
        <w:t>20 ppb, and the baseline blood eosinophils &lt;</w:t>
      </w:r>
      <w:r w:rsidR="006E7601" w:rsidRPr="00622AAE">
        <w:t xml:space="preserve"> </w:t>
      </w:r>
      <w:r w:rsidRPr="00622AAE">
        <w:t>0.15 x 10</w:t>
      </w:r>
      <w:r w:rsidRPr="00622AAE">
        <w:rPr>
          <w:vertAlign w:val="superscript"/>
        </w:rPr>
        <w:t>9</w:t>
      </w:r>
      <w:r w:rsidRPr="00622AAE">
        <w:t xml:space="preserve">/L with </w:t>
      </w:r>
      <w:proofErr w:type="spellStart"/>
      <w:r w:rsidRPr="00622AAE">
        <w:t>FeNO</w:t>
      </w:r>
      <w:proofErr w:type="spellEnd"/>
      <w:r w:rsidRPr="00622AAE">
        <w:t xml:space="preserve"> </w:t>
      </w:r>
      <w:r w:rsidRPr="00E2569E">
        <w:t>≥</w:t>
      </w:r>
      <w:r w:rsidR="00144E5D" w:rsidRPr="00E2569E">
        <w:t xml:space="preserve"> 2</w:t>
      </w:r>
      <w:r w:rsidRPr="00E2569E">
        <w:t>0 ppb subgroups</w:t>
      </w:r>
      <w:r w:rsidRPr="00622AAE">
        <w:t xml:space="preserve"> (</w:t>
      </w:r>
      <w:r w:rsidR="009F418B">
        <w:fldChar w:fldCharType="begin"/>
      </w:r>
      <w:r w:rsidR="009F418B">
        <w:instrText xml:space="preserve"> REF _Ref123899990 \h </w:instrText>
      </w:r>
      <w:r w:rsidR="009F418B">
        <w:fldChar w:fldCharType="separate"/>
      </w:r>
      <w:r w:rsidR="00761EA9">
        <w:t xml:space="preserve">Table </w:t>
      </w:r>
      <w:r w:rsidR="00761EA9">
        <w:rPr>
          <w:noProof/>
        </w:rPr>
        <w:t>3</w:t>
      </w:r>
      <w:r w:rsidR="009F418B">
        <w:fldChar w:fldCharType="end"/>
      </w:r>
      <w:r w:rsidRPr="00622AAE">
        <w:t>).</w:t>
      </w:r>
    </w:p>
    <w:p w14:paraId="753F0783" w14:textId="6AFC4AF7" w:rsidR="003E358D" w:rsidRDefault="003E358D" w:rsidP="003E358D">
      <w:r>
        <w:t>The proportion of patients with no severe asthma exacerbation events during the 52</w:t>
      </w:r>
      <w:r w:rsidR="00181D67">
        <w:t>-</w:t>
      </w:r>
      <w:r>
        <w:t>week treatment period was greater in the dupilumab group (ITT: 77.3</w:t>
      </w:r>
      <w:r w:rsidR="005E538F">
        <w:t>%</w:t>
      </w:r>
      <w:r>
        <w:t xml:space="preserve"> </w:t>
      </w:r>
      <w:r w:rsidR="006E7601">
        <w:t>versus</w:t>
      </w:r>
      <w:r>
        <w:t xml:space="preserve"> 63.0%; </w:t>
      </w:r>
      <w:r w:rsidR="007B4AC9">
        <w:t>t</w:t>
      </w:r>
      <w:r>
        <w:t xml:space="preserve">ype 2 inflammatory asthma phenotype: 77.1% </w:t>
      </w:r>
      <w:r w:rsidR="006E7601">
        <w:t>versus</w:t>
      </w:r>
      <w:r>
        <w:t xml:space="preserve"> 59.6%; </w:t>
      </w:r>
      <w:r w:rsidR="005E538F">
        <w:t>b</w:t>
      </w:r>
      <w:r>
        <w:t>aseline blood eosinophils 0.3</w:t>
      </w:r>
      <w:r w:rsidR="005E538F">
        <w:t> </w:t>
      </w:r>
      <w:r>
        <w:t>x</w:t>
      </w:r>
      <w:r w:rsidR="00144E5D">
        <w:t> </w:t>
      </w:r>
      <w:r>
        <w:t>10</w:t>
      </w:r>
      <w:r w:rsidRPr="00144E5D">
        <w:rPr>
          <w:vertAlign w:val="superscript"/>
        </w:rPr>
        <w:t>9</w:t>
      </w:r>
      <w:r>
        <w:t>/L: 78.9</w:t>
      </w:r>
      <w:r w:rsidR="00144E5D">
        <w:t xml:space="preserve"> </w:t>
      </w:r>
      <w:r w:rsidR="006E7601">
        <w:t>versus</w:t>
      </w:r>
      <w:r>
        <w:t xml:space="preserve"> 58.3%).</w:t>
      </w:r>
    </w:p>
    <w:p w14:paraId="6B7E52DA" w14:textId="7ADA1FBE" w:rsidR="002727A2" w:rsidRDefault="002727A2" w:rsidP="002727A2">
      <w:pPr>
        <w:pStyle w:val="TableTitle"/>
      </w:pPr>
      <w:bookmarkStart w:id="53" w:name="_Ref123899990"/>
      <w:r>
        <w:lastRenderedPageBreak/>
        <w:t xml:space="preserve">Table </w:t>
      </w:r>
      <w:fldSimple w:instr=" SEQ Table \* ARABIC ">
        <w:r w:rsidR="00761EA9">
          <w:rPr>
            <w:noProof/>
          </w:rPr>
          <w:t>3</w:t>
        </w:r>
      </w:fldSimple>
      <w:bookmarkEnd w:id="53"/>
      <w:r>
        <w:t xml:space="preserve">: </w:t>
      </w:r>
      <w:r w:rsidRPr="002727A2">
        <w:t>Study EFC14153</w:t>
      </w:r>
      <w:r>
        <w:t xml:space="preserve"> </w:t>
      </w:r>
      <w:r w:rsidR="00181D67">
        <w:t>F</w:t>
      </w:r>
      <w:r w:rsidRPr="002727A2">
        <w:t>orest plot</w:t>
      </w:r>
      <w:r>
        <w:t xml:space="preserve"> </w:t>
      </w:r>
      <w:r w:rsidR="003E769D">
        <w:t xml:space="preserve">comparison of the </w:t>
      </w:r>
      <w:r>
        <w:t>p</w:t>
      </w:r>
      <w:r w:rsidRPr="002727A2">
        <w:t>rimary endpoint (annualised rate of severe exacerbation events) results</w:t>
      </w:r>
      <w:r w:rsidR="003E769D">
        <w:t xml:space="preserve">; </w:t>
      </w:r>
      <w:r w:rsidRPr="002727A2">
        <w:t>overall</w:t>
      </w:r>
      <w:r w:rsidR="003E769D">
        <w:t xml:space="preserve"> (all intention to treat population)</w:t>
      </w:r>
      <w:r w:rsidRPr="002727A2">
        <w:t xml:space="preserve"> and by subgroup</w:t>
      </w:r>
      <w:r w:rsidR="003E769D">
        <w:t>s</w:t>
      </w:r>
    </w:p>
    <w:p w14:paraId="43565F56" w14:textId="36549FC3" w:rsidR="00575BF6" w:rsidRDefault="00575BF6" w:rsidP="003E358D">
      <w:r>
        <w:rPr>
          <w:noProof/>
          <w:lang w:val="en-GB" w:eastAsia="en-GB"/>
        </w:rPr>
        <w:drawing>
          <wp:inline distT="0" distB="0" distL="0" distR="0" wp14:anchorId="635AB3D9" wp14:editId="0178AA5C">
            <wp:extent cx="5400040" cy="2718435"/>
            <wp:effectExtent l="0" t="0" r="0" b="5715"/>
            <wp:docPr id="2" name="Picture 2" descr="This table shows a forest plot of primary endpoint (annualised rate of severe exacerbation events) results overall and by subgroup for Study EFC1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table shows a forest plot of primary endpoint (annualised rate of severe exacerbation events) results overall and by subgroup for Study EFC14153."/>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400040" cy="2718435"/>
                    </a:xfrm>
                    <a:prstGeom prst="rect">
                      <a:avLst/>
                    </a:prstGeom>
                  </pic:spPr>
                </pic:pic>
              </a:graphicData>
            </a:graphic>
          </wp:inline>
        </w:drawing>
      </w:r>
    </w:p>
    <w:p w14:paraId="6F8ED20E" w14:textId="541CA491" w:rsidR="003E769D" w:rsidRDefault="003E769D" w:rsidP="000868AA">
      <w:pPr>
        <w:pStyle w:val="TableDescription"/>
      </w:pPr>
      <w:r>
        <w:t xml:space="preserve">Abbreviations: CI = confidence interval; FENO = fractional exhaled nitric oxide; ITT = intention to treat; </w:t>
      </w:r>
      <w:proofErr w:type="spellStart"/>
      <w:r>
        <w:t>N_dupi</w:t>
      </w:r>
      <w:proofErr w:type="spellEnd"/>
      <w:r>
        <w:t xml:space="preserve"> = </w:t>
      </w:r>
      <w:proofErr w:type="spellStart"/>
      <w:r>
        <w:t>dupixent</w:t>
      </w:r>
      <w:proofErr w:type="spellEnd"/>
      <w:r>
        <w:t xml:space="preserve"> treated patients; </w:t>
      </w:r>
      <w:proofErr w:type="spellStart"/>
      <w:r>
        <w:t>N_pho</w:t>
      </w:r>
      <w:proofErr w:type="spellEnd"/>
      <w:r>
        <w:t xml:space="preserve"> = matched placebo treated patients.</w:t>
      </w:r>
    </w:p>
    <w:p w14:paraId="6781C2DF" w14:textId="746F5EA5" w:rsidR="000868AA" w:rsidRPr="000868AA" w:rsidRDefault="000868AA" w:rsidP="000868AA">
      <w:pPr>
        <w:pStyle w:val="TableDescription"/>
      </w:pPr>
      <w:r w:rsidRPr="00CE5202">
        <w:rPr>
          <w:i/>
        </w:rPr>
        <w:t>Type 2 inflammatory asthma phenotype population</w:t>
      </w:r>
      <w:r>
        <w:t xml:space="preserve"> is defined as the randomised patients with baseline blood eosinophils greater than or equal to 0.15 x 10</w:t>
      </w:r>
      <w:r>
        <w:rPr>
          <w:vertAlign w:val="superscript"/>
        </w:rPr>
        <w:t>9</w:t>
      </w:r>
      <w:r>
        <w:t xml:space="preserve">/L or baseline </w:t>
      </w:r>
      <w:proofErr w:type="spellStart"/>
      <w:r>
        <w:t>FeNO</w:t>
      </w:r>
      <w:proofErr w:type="spellEnd"/>
      <w:r>
        <w:t xml:space="preserve"> greater than or equal to 20 ppb.</w:t>
      </w:r>
    </w:p>
    <w:p w14:paraId="64F9B862" w14:textId="5C4AF02B" w:rsidR="003E358D" w:rsidRDefault="00144E5D" w:rsidP="003E358D">
      <w:r>
        <w:t>For the k</w:t>
      </w:r>
      <w:r w:rsidR="003E358D">
        <w:t>ey secondary endpoint</w:t>
      </w:r>
      <w:r>
        <w:t>, t</w:t>
      </w:r>
      <w:r w:rsidR="003E358D">
        <w:t xml:space="preserve">he change from </w:t>
      </w:r>
      <w:r w:rsidR="00C71FE9">
        <w:t>Baseline</w:t>
      </w:r>
      <w:r w:rsidR="003E358D">
        <w:t xml:space="preserve"> in pre-</w:t>
      </w:r>
      <w:r w:rsidR="005E538F">
        <w:t>bronchodilator</w:t>
      </w:r>
      <w:r w:rsidR="003E358D">
        <w:t xml:space="preserve"> percent predicted FEV1 at Week 12 more favourable overall in the dupilumab group (</w:t>
      </w:r>
      <w:r w:rsidR="003E769D">
        <w:t xml:space="preserve">see </w:t>
      </w:r>
      <w:r w:rsidR="002727A2">
        <w:fldChar w:fldCharType="begin"/>
      </w:r>
      <w:r w:rsidR="002727A2">
        <w:instrText xml:space="preserve"> REF _Ref123900079 \h </w:instrText>
      </w:r>
      <w:r w:rsidR="002727A2">
        <w:fldChar w:fldCharType="separate"/>
      </w:r>
      <w:r w:rsidR="00761EA9">
        <w:t xml:space="preserve">Table </w:t>
      </w:r>
      <w:r w:rsidR="00761EA9">
        <w:rPr>
          <w:noProof/>
        </w:rPr>
        <w:t>4</w:t>
      </w:r>
      <w:r w:rsidR="002727A2">
        <w:fldChar w:fldCharType="end"/>
      </w:r>
      <w:r w:rsidR="003E769D">
        <w:t>, below</w:t>
      </w:r>
      <w:r w:rsidR="003E358D">
        <w:t>)</w:t>
      </w:r>
      <w:r w:rsidR="003E769D">
        <w:t>. The results for the key secondary endpoint are as follows:</w:t>
      </w:r>
    </w:p>
    <w:p w14:paraId="5B237140" w14:textId="7AB9A0D4" w:rsidR="003E358D" w:rsidRDefault="003E769D" w:rsidP="007B4AC9">
      <w:pPr>
        <w:pStyle w:val="ListBullet"/>
      </w:pPr>
      <w:r>
        <w:rPr>
          <w:i/>
        </w:rPr>
        <w:t>o</w:t>
      </w:r>
      <w:r w:rsidR="003E358D" w:rsidRPr="00CE5202">
        <w:rPr>
          <w:i/>
        </w:rPr>
        <w:t>verall (all ITT</w:t>
      </w:r>
      <w:r w:rsidRPr="00CE5202">
        <w:rPr>
          <w:i/>
        </w:rPr>
        <w:t xml:space="preserve"> population</w:t>
      </w:r>
      <w:r w:rsidR="003E358D" w:rsidRPr="00CE5202">
        <w:rPr>
          <w:i/>
        </w:rPr>
        <w:t>)</w:t>
      </w:r>
      <w:r w:rsidR="00AA1BD7" w:rsidRPr="00CE5202">
        <w:rPr>
          <w:i/>
        </w:rPr>
        <w:t>:</w:t>
      </w:r>
      <w:r w:rsidR="003E358D">
        <w:t xml:space="preserve"> the </w:t>
      </w:r>
      <w:r w:rsidR="000F66DF">
        <w:t>least squares mean (</w:t>
      </w:r>
      <w:r w:rsidR="003E358D">
        <w:t>LSM</w:t>
      </w:r>
      <w:r w:rsidR="000F66DF">
        <w:t>)</w:t>
      </w:r>
      <w:r w:rsidR="003E358D">
        <w:t xml:space="preserve"> difference (95% CI) was 4.68% (1.87, 7.49</w:t>
      </w:r>
      <w:proofErr w:type="gramStart"/>
      <w:r w:rsidR="003E358D">
        <w:t>)</w:t>
      </w:r>
      <w:r>
        <w:t>;</w:t>
      </w:r>
      <w:proofErr w:type="gramEnd"/>
    </w:p>
    <w:p w14:paraId="79BC826F" w14:textId="4740B11C" w:rsidR="003E358D" w:rsidRDefault="003E769D" w:rsidP="007B4AC9">
      <w:pPr>
        <w:pStyle w:val="ListBullet"/>
      </w:pPr>
      <w:r>
        <w:rPr>
          <w:i/>
        </w:rPr>
        <w:t>t</w:t>
      </w:r>
      <w:r w:rsidR="003E358D" w:rsidRPr="00CE5202">
        <w:rPr>
          <w:i/>
        </w:rPr>
        <w:t>ype 2 inflammatory asthma phenotype:</w:t>
      </w:r>
      <w:r w:rsidRPr="004D1018">
        <w:rPr>
          <w:i/>
          <w:vertAlign w:val="superscript"/>
        </w:rPr>
        <w:fldChar w:fldCharType="begin"/>
      </w:r>
      <w:r w:rsidRPr="004D1018">
        <w:rPr>
          <w:i/>
          <w:vertAlign w:val="superscript"/>
        </w:rPr>
        <w:instrText xml:space="preserve"> NOTEREF _Ref129254779 \h </w:instrText>
      </w:r>
      <w:r>
        <w:rPr>
          <w:i/>
          <w:vertAlign w:val="superscript"/>
        </w:rPr>
        <w:instrText xml:space="preserve"> \* MERGEFORMAT </w:instrText>
      </w:r>
      <w:r w:rsidRPr="004D1018">
        <w:rPr>
          <w:i/>
          <w:vertAlign w:val="superscript"/>
        </w:rPr>
      </w:r>
      <w:r w:rsidRPr="004D1018">
        <w:rPr>
          <w:i/>
          <w:vertAlign w:val="superscript"/>
        </w:rPr>
        <w:fldChar w:fldCharType="separate"/>
      </w:r>
      <w:r w:rsidR="00761EA9">
        <w:rPr>
          <w:i/>
          <w:vertAlign w:val="superscript"/>
        </w:rPr>
        <w:t>20</w:t>
      </w:r>
      <w:r w:rsidRPr="004D1018">
        <w:rPr>
          <w:i/>
          <w:vertAlign w:val="superscript"/>
        </w:rPr>
        <w:fldChar w:fldCharType="end"/>
      </w:r>
      <w:r w:rsidR="003E358D">
        <w:t xml:space="preserve"> the LSM difference (95% CI) was 5.21% (2.14, 8.27</w:t>
      </w:r>
      <w:proofErr w:type="gramStart"/>
      <w:r w:rsidR="003E358D">
        <w:t>)</w:t>
      </w:r>
      <w:r>
        <w:t>;</w:t>
      </w:r>
      <w:proofErr w:type="gramEnd"/>
    </w:p>
    <w:p w14:paraId="4FE4C287" w14:textId="58062829" w:rsidR="003E358D" w:rsidRDefault="003E769D" w:rsidP="007B4AC9">
      <w:pPr>
        <w:pStyle w:val="ListBullet"/>
      </w:pPr>
      <w:r>
        <w:rPr>
          <w:i/>
        </w:rPr>
        <w:t>b</w:t>
      </w:r>
      <w:r w:rsidR="003E358D" w:rsidRPr="00CE5202">
        <w:rPr>
          <w:i/>
        </w:rPr>
        <w:t>aseline blood eosinophils 0.3 x 109/L</w:t>
      </w:r>
      <w:r w:rsidR="003E358D">
        <w:t>: the LSM difference (95% CI) was 5.32% (1.76, 8.88)</w:t>
      </w:r>
      <w:r>
        <w:t>.</w:t>
      </w:r>
    </w:p>
    <w:p w14:paraId="49F3BE1F" w14:textId="0F332494" w:rsidR="00622AAE" w:rsidRDefault="002727A2" w:rsidP="002727A2">
      <w:pPr>
        <w:pStyle w:val="TableTitle"/>
      </w:pPr>
      <w:bookmarkStart w:id="54" w:name="_Ref123900079"/>
      <w:r>
        <w:lastRenderedPageBreak/>
        <w:t xml:space="preserve">Table </w:t>
      </w:r>
      <w:fldSimple w:instr=" SEQ Table \* ARABIC ">
        <w:r w:rsidR="00761EA9">
          <w:rPr>
            <w:noProof/>
          </w:rPr>
          <w:t>4</w:t>
        </w:r>
      </w:fldSimple>
      <w:bookmarkEnd w:id="54"/>
      <w:r>
        <w:t>:</w:t>
      </w:r>
      <w:r w:rsidR="00622AAE" w:rsidRPr="00622AAE">
        <w:t xml:space="preserve"> Study EFC14153</w:t>
      </w:r>
      <w:r>
        <w:t xml:space="preserve"> f</w:t>
      </w:r>
      <w:r w:rsidRPr="00622AAE">
        <w:t xml:space="preserve">orest plot </w:t>
      </w:r>
      <w:r>
        <w:t>of k</w:t>
      </w:r>
      <w:r w:rsidR="00622AAE" w:rsidRPr="00622AAE">
        <w:t xml:space="preserve">ey secondary endpoint (percentage change from </w:t>
      </w:r>
      <w:r w:rsidR="00C71FE9">
        <w:t>Baseline</w:t>
      </w:r>
      <w:r w:rsidR="00622AAE" w:rsidRPr="00622AAE">
        <w:t xml:space="preserve"> in pre-</w:t>
      </w:r>
      <w:r w:rsidR="005E538F">
        <w:t>bronchodilator</w:t>
      </w:r>
      <w:r w:rsidR="00622AAE" w:rsidRPr="00622AAE">
        <w:t xml:space="preserve"> predicted FEV1 at Week 12) results overall and by subgroup</w:t>
      </w:r>
    </w:p>
    <w:p w14:paraId="29A4687C" w14:textId="66A8DEBE" w:rsidR="009B19A3" w:rsidRDefault="009B19A3" w:rsidP="003E358D">
      <w:r>
        <w:rPr>
          <w:noProof/>
          <w:lang w:val="en-GB" w:eastAsia="en-GB"/>
        </w:rPr>
        <w:drawing>
          <wp:inline distT="0" distB="0" distL="0" distR="0" wp14:anchorId="5A560481" wp14:editId="0E1806F3">
            <wp:extent cx="5400040" cy="2741295"/>
            <wp:effectExtent l="0" t="0" r="0" b="1905"/>
            <wp:docPr id="3" name="Picture 3" descr="This table is a forest plot of key secondary endpoint (percentage change from Baseline in pre-BD predicted FEV1 at Week 12) results overall and by subgroup for Study EFC1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table is a forest plot of key secondary endpoint (percentage change from Baseline in pre-BD predicted FEV1 at Week 12) results overall and by subgroup for Study EFC14153."/>
                    <pic:cNvPicPr/>
                  </pic:nvPicPr>
                  <pic:blipFill>
                    <a:blip r:embed="rId27"/>
                    <a:stretch>
                      <a:fillRect/>
                    </a:stretch>
                  </pic:blipFill>
                  <pic:spPr>
                    <a:xfrm>
                      <a:off x="0" y="0"/>
                      <a:ext cx="5400040" cy="2741295"/>
                    </a:xfrm>
                    <a:prstGeom prst="rect">
                      <a:avLst/>
                    </a:prstGeom>
                  </pic:spPr>
                </pic:pic>
              </a:graphicData>
            </a:graphic>
          </wp:inline>
        </w:drawing>
      </w:r>
    </w:p>
    <w:p w14:paraId="23B0159D" w14:textId="77777777" w:rsidR="003E769D" w:rsidRDefault="003E769D" w:rsidP="003E769D">
      <w:pPr>
        <w:pStyle w:val="TableDescription"/>
      </w:pPr>
      <w:r>
        <w:t xml:space="preserve">Abbreviations: CI = confidence interval; FENO = fractional exhaled nitric oxide; ITT = intention to treat; </w:t>
      </w:r>
      <w:proofErr w:type="spellStart"/>
      <w:r>
        <w:t>N_dupi</w:t>
      </w:r>
      <w:proofErr w:type="spellEnd"/>
      <w:r>
        <w:t xml:space="preserve"> = </w:t>
      </w:r>
      <w:proofErr w:type="spellStart"/>
      <w:r>
        <w:t>dupixent</w:t>
      </w:r>
      <w:proofErr w:type="spellEnd"/>
      <w:r>
        <w:t xml:space="preserve"> treated patients; </w:t>
      </w:r>
      <w:proofErr w:type="spellStart"/>
      <w:r>
        <w:t>N_pho</w:t>
      </w:r>
      <w:proofErr w:type="spellEnd"/>
      <w:r>
        <w:t xml:space="preserve"> = matched placebo treated patients.</w:t>
      </w:r>
    </w:p>
    <w:p w14:paraId="091EEDAA" w14:textId="77777777" w:rsidR="003E769D" w:rsidRPr="000868AA" w:rsidRDefault="003E769D" w:rsidP="003E769D">
      <w:pPr>
        <w:pStyle w:val="TableDescription"/>
      </w:pPr>
      <w:r w:rsidRPr="00CE0A79">
        <w:rPr>
          <w:i/>
        </w:rPr>
        <w:t>Type 2 inflammatory asthma phenotype population</w:t>
      </w:r>
      <w:r>
        <w:t xml:space="preserve"> is defined as the randomised patients with baseline blood eosinophils greater than or equal to 0.15 x 10</w:t>
      </w:r>
      <w:r>
        <w:rPr>
          <w:vertAlign w:val="superscript"/>
        </w:rPr>
        <w:t>9</w:t>
      </w:r>
      <w:r>
        <w:t xml:space="preserve">/L or baseline </w:t>
      </w:r>
      <w:proofErr w:type="spellStart"/>
      <w:r>
        <w:t>FeNO</w:t>
      </w:r>
      <w:proofErr w:type="spellEnd"/>
      <w:r>
        <w:t xml:space="preserve"> greater than or equal to 20 ppb.</w:t>
      </w:r>
    </w:p>
    <w:p w14:paraId="715AF6CC" w14:textId="4283F445" w:rsidR="003E358D" w:rsidRDefault="003E358D" w:rsidP="003E358D">
      <w:r>
        <w:t>Subgroup analyses showed advantages for dupilumab over placebo for both investigated weight categories</w:t>
      </w:r>
      <w:r w:rsidR="00144E5D">
        <w:t xml:space="preserve"> and </w:t>
      </w:r>
      <w:r>
        <w:t>dosages, including in patients taking ICS-LABA and those taking high</w:t>
      </w:r>
      <w:r w:rsidR="00144E5D">
        <w:t xml:space="preserve"> </w:t>
      </w:r>
      <w:r>
        <w:t>dose ICS.</w:t>
      </w:r>
      <w:r w:rsidR="0040369E">
        <w:t xml:space="preserve"> </w:t>
      </w:r>
      <w:r w:rsidR="00622AAE">
        <w:t xml:space="preserve">However, </w:t>
      </w:r>
      <w:r>
        <w:t xml:space="preserve">the </w:t>
      </w:r>
      <w:proofErr w:type="spellStart"/>
      <w:r>
        <w:t>bronchodilating</w:t>
      </w:r>
      <w:proofErr w:type="spellEnd"/>
      <w:r>
        <w:t xml:space="preserve"> effects tended to be weaker in patients taking high</w:t>
      </w:r>
      <w:r w:rsidR="00144E5D">
        <w:t xml:space="preserve"> </w:t>
      </w:r>
      <w:r>
        <w:t>dose ICS.</w:t>
      </w:r>
    </w:p>
    <w:p w14:paraId="42D82DDE" w14:textId="77777777" w:rsidR="00D16455" w:rsidRDefault="003E358D" w:rsidP="0052317A">
      <w:pPr>
        <w:pStyle w:val="Heading5"/>
      </w:pPr>
      <w:r>
        <w:t>Study LTS14424</w:t>
      </w:r>
    </w:p>
    <w:p w14:paraId="1A4556A2" w14:textId="3D5E0DF2" w:rsidR="003E358D" w:rsidRDefault="00D16455" w:rsidP="00CE5202">
      <w:pPr>
        <w:pStyle w:val="Heading6"/>
      </w:pPr>
      <w:r>
        <w:t>Design</w:t>
      </w:r>
    </w:p>
    <w:p w14:paraId="713F0CEA" w14:textId="2C967329" w:rsidR="003E358D" w:rsidRDefault="00144E5D" w:rsidP="003E358D">
      <w:r>
        <w:t xml:space="preserve">Study LTS14424 </w:t>
      </w:r>
      <w:r w:rsidR="00EF254D">
        <w:t xml:space="preserve">(also known as the </w:t>
      </w:r>
      <w:r w:rsidR="00EF254D" w:rsidRPr="0052317A">
        <w:t>LIBERTY ASTHMA EXTENSION</w:t>
      </w:r>
      <w:r w:rsidR="00EF254D">
        <w:t xml:space="preserve"> trial) </w:t>
      </w:r>
      <w:r>
        <w:t xml:space="preserve">was a </w:t>
      </w:r>
      <w:r w:rsidR="003E358D">
        <w:t xml:space="preserve">Phase </w:t>
      </w:r>
      <w:r w:rsidR="005E538F">
        <w:t>III</w:t>
      </w:r>
      <w:r w:rsidR="003E358D">
        <w:t>, open</w:t>
      </w:r>
      <w:r w:rsidR="005E538F">
        <w:t xml:space="preserve"> </w:t>
      </w:r>
      <w:r w:rsidR="003E358D">
        <w:t>label, multicentre (67 centres in 17 countries), single</w:t>
      </w:r>
      <w:r>
        <w:t xml:space="preserve"> </w:t>
      </w:r>
      <w:r w:rsidR="003E358D">
        <w:t xml:space="preserve">arm </w:t>
      </w:r>
      <w:r w:rsidR="005E538F">
        <w:t>one</w:t>
      </w:r>
      <w:r>
        <w:t xml:space="preserve"> </w:t>
      </w:r>
      <w:r w:rsidR="003E358D">
        <w:t xml:space="preserve">year treatment study to evaluate safety, tolerability and long-term efficacy of </w:t>
      </w:r>
      <w:r w:rsidR="00EF254D">
        <w:t>subcutaneously (</w:t>
      </w:r>
      <w:r w:rsidR="003E358D">
        <w:t>SC</w:t>
      </w:r>
      <w:r w:rsidR="00EF254D">
        <w:t>) administered</w:t>
      </w:r>
      <w:r w:rsidR="003E358D">
        <w:t xml:space="preserve"> dupilumab given for a period of 52 weeks in 365 patients who participated </w:t>
      </w:r>
      <w:r>
        <w:t>in S</w:t>
      </w:r>
      <w:r w:rsidR="003E358D">
        <w:t>tudy</w:t>
      </w:r>
      <w:r>
        <w:t> </w:t>
      </w:r>
      <w:r w:rsidR="003E358D">
        <w:t>EFC14153</w:t>
      </w:r>
      <w:r w:rsidR="00EF254D">
        <w:t xml:space="preserve"> (see section: </w:t>
      </w:r>
      <w:r w:rsidR="00EF254D">
        <w:fldChar w:fldCharType="begin"/>
      </w:r>
      <w:r w:rsidR="00EF254D">
        <w:instrText xml:space="preserve"> REF _Ref129255291 \h </w:instrText>
      </w:r>
      <w:r w:rsidR="00EF254D">
        <w:fldChar w:fldCharType="separate"/>
      </w:r>
      <w:r w:rsidR="00761EA9">
        <w:t>S</w:t>
      </w:r>
      <w:r w:rsidR="00761EA9" w:rsidRPr="00F63519">
        <w:t>tudy EFC14153</w:t>
      </w:r>
      <w:r w:rsidR="00EF254D">
        <w:fldChar w:fldCharType="end"/>
      </w:r>
      <w:r w:rsidR="00EF254D">
        <w:t>, above)</w:t>
      </w:r>
      <w:r w:rsidR="003E358D">
        <w:t>. The study started on 21 June 2018 and is ongoing. The cut</w:t>
      </w:r>
      <w:r w:rsidR="00EF254D">
        <w:t>-</w:t>
      </w:r>
      <w:r w:rsidR="003E358D">
        <w:t>off date for the interim analysis was 18 August 2020.</w:t>
      </w:r>
    </w:p>
    <w:p w14:paraId="1ADF6C9D" w14:textId="57BDB3F7" w:rsidR="003E358D" w:rsidRDefault="00144E5D" w:rsidP="003E358D">
      <w:r>
        <w:t>The placebo</w:t>
      </w:r>
      <w:r w:rsidR="00E2569E">
        <w:t>-</w:t>
      </w:r>
      <w:r>
        <w:t xml:space="preserve">dupilumab </w:t>
      </w:r>
      <w:r w:rsidR="00EF254D">
        <w:t xml:space="preserve">group </w:t>
      </w:r>
      <w:r>
        <w:t xml:space="preserve">had </w:t>
      </w:r>
      <w:r w:rsidR="003E358D">
        <w:t xml:space="preserve">125 </w:t>
      </w:r>
      <w:r>
        <w:t xml:space="preserve">patients </w:t>
      </w:r>
      <w:r w:rsidR="000F66DF">
        <w:t>that is</w:t>
      </w:r>
      <w:r w:rsidR="003E358D">
        <w:t xml:space="preserve"> </w:t>
      </w:r>
      <w:r>
        <w:t xml:space="preserve">patients that </w:t>
      </w:r>
      <w:r w:rsidR="003E358D">
        <w:t>received</w:t>
      </w:r>
      <w:r>
        <w:t xml:space="preserve"> </w:t>
      </w:r>
      <w:r w:rsidR="00EF254D">
        <w:t xml:space="preserve">matched </w:t>
      </w:r>
      <w:r w:rsidR="003E358D">
        <w:t xml:space="preserve">placebo in </w:t>
      </w:r>
      <w:r w:rsidR="00595CF4">
        <w:t xml:space="preserve">Study </w:t>
      </w:r>
      <w:r w:rsidR="003E358D">
        <w:t xml:space="preserve">EFC14153, and </w:t>
      </w:r>
      <w:r>
        <w:t xml:space="preserve">the </w:t>
      </w:r>
      <w:r w:rsidR="003E358D">
        <w:t>dupilumab</w:t>
      </w:r>
      <w:r w:rsidR="00E2569E">
        <w:t>-</w:t>
      </w:r>
      <w:r w:rsidR="003E358D">
        <w:t xml:space="preserve">dupilumab </w:t>
      </w:r>
      <w:r w:rsidR="00EF254D">
        <w:t xml:space="preserve">group </w:t>
      </w:r>
      <w:r>
        <w:t>had 240 patients</w:t>
      </w:r>
      <w:r w:rsidR="003E358D">
        <w:t>.</w:t>
      </w:r>
    </w:p>
    <w:p w14:paraId="08568367" w14:textId="01214587" w:rsidR="003E358D" w:rsidRDefault="00144E5D" w:rsidP="003E358D">
      <w:r>
        <w:t>The d</w:t>
      </w:r>
      <w:r w:rsidR="003E358D">
        <w:t>uration of observation</w:t>
      </w:r>
      <w:r>
        <w:t xml:space="preserve"> was</w:t>
      </w:r>
      <w:r w:rsidR="003E358D">
        <w:t xml:space="preserve"> 64 weeks, which included a 52</w:t>
      </w:r>
      <w:r w:rsidR="00EF254D">
        <w:t>-</w:t>
      </w:r>
      <w:r w:rsidR="003E358D">
        <w:t>week treatment period and a 12</w:t>
      </w:r>
      <w:r w:rsidR="00EF254D">
        <w:t>-</w:t>
      </w:r>
      <w:r w:rsidR="003E358D">
        <w:t>week follow</w:t>
      </w:r>
      <w:r w:rsidR="007254C6">
        <w:t xml:space="preserve"> </w:t>
      </w:r>
      <w:r w:rsidR="003E358D">
        <w:t>up period.</w:t>
      </w:r>
    </w:p>
    <w:p w14:paraId="6579D853" w14:textId="77777777" w:rsidR="00144E5D" w:rsidRDefault="00144E5D" w:rsidP="00144E5D">
      <w:r>
        <w:t>The d</w:t>
      </w:r>
      <w:r w:rsidR="003E358D">
        <w:t>ose regimens</w:t>
      </w:r>
      <w:r>
        <w:t xml:space="preserve"> were:</w:t>
      </w:r>
    </w:p>
    <w:p w14:paraId="57CB3CAF" w14:textId="555405DC" w:rsidR="003E358D" w:rsidRPr="00144E5D" w:rsidRDefault="003E358D" w:rsidP="00144E5D">
      <w:pPr>
        <w:pStyle w:val="ListBullet"/>
      </w:pPr>
      <w:r>
        <w:t>Patients with body weight 30 kg</w:t>
      </w:r>
      <w:r w:rsidR="00EF254D">
        <w:t xml:space="preserve"> or less</w:t>
      </w:r>
      <w:r>
        <w:t xml:space="preserve">: 100 mg SC </w:t>
      </w:r>
      <w:r w:rsidR="00CB6293">
        <w:t>once every two weeks</w:t>
      </w:r>
      <w:r>
        <w:t xml:space="preserve"> (prior to protocol amendment 03, dated 12 December 2019) or 300 mg SC </w:t>
      </w:r>
      <w:r w:rsidR="00B23B09">
        <w:t>once every four weeks</w:t>
      </w:r>
      <w:r w:rsidR="00B23B09" w:rsidDel="00B23B09">
        <w:t xml:space="preserve"> </w:t>
      </w:r>
      <w:r>
        <w:t>(after protocol amendment 03).</w:t>
      </w:r>
    </w:p>
    <w:p w14:paraId="2AD530CD" w14:textId="5AFB0BFC" w:rsidR="0040369E" w:rsidRDefault="003E358D" w:rsidP="00144E5D">
      <w:pPr>
        <w:pStyle w:val="ListBullet"/>
      </w:pPr>
      <w:r w:rsidRPr="003E358D">
        <w:t xml:space="preserve">Patients with body weight </w:t>
      </w:r>
      <w:r w:rsidR="002813DD">
        <w:t>greater than</w:t>
      </w:r>
      <w:r w:rsidR="00B40245">
        <w:t xml:space="preserve"> 30 </w:t>
      </w:r>
      <w:r w:rsidRPr="003E358D">
        <w:t xml:space="preserve">kg: </w:t>
      </w:r>
      <w:r w:rsidRPr="00144E5D">
        <w:t xml:space="preserve">200 mg SC </w:t>
      </w:r>
      <w:r w:rsidR="00B23B09">
        <w:t>once every two weeks</w:t>
      </w:r>
      <w:r w:rsidRPr="00144E5D">
        <w:t>.</w:t>
      </w:r>
      <w:r w:rsidRPr="003E358D">
        <w:t xml:space="preserve"> Patients who started with or switched to </w:t>
      </w:r>
      <w:r w:rsidRPr="00144E5D">
        <w:t>200 mg</w:t>
      </w:r>
      <w:r w:rsidR="007254C6">
        <w:t xml:space="preserve"> once every two weeks</w:t>
      </w:r>
      <w:r w:rsidRPr="003E358D">
        <w:rPr>
          <w:b/>
          <w:bCs/>
        </w:rPr>
        <w:t xml:space="preserve"> </w:t>
      </w:r>
      <w:r w:rsidRPr="003E358D">
        <w:t xml:space="preserve">continued the same dose regimen through the remaining treatment period irrespective of whether they remained </w:t>
      </w:r>
      <w:r w:rsidR="002813DD">
        <w:t>greater than</w:t>
      </w:r>
      <w:r w:rsidR="00B40245">
        <w:t xml:space="preserve"> 30</w:t>
      </w:r>
      <w:r w:rsidR="00B23B09">
        <w:t> </w:t>
      </w:r>
      <w:r w:rsidRPr="003E358D">
        <w:t>kg or not</w:t>
      </w:r>
      <w:r w:rsidR="0040369E">
        <w:t>.</w:t>
      </w:r>
    </w:p>
    <w:p w14:paraId="068D57FD" w14:textId="05F88A10" w:rsidR="003E358D" w:rsidRDefault="003E358D" w:rsidP="003E358D">
      <w:r w:rsidRPr="003E358D">
        <w:lastRenderedPageBreak/>
        <w:t>Dupilumab was given as add</w:t>
      </w:r>
      <w:r w:rsidR="00144E5D">
        <w:t xml:space="preserve"> </w:t>
      </w:r>
      <w:r w:rsidRPr="003E358D">
        <w:t>on therapy to high</w:t>
      </w:r>
      <w:r w:rsidR="00144E5D">
        <w:t xml:space="preserve"> </w:t>
      </w:r>
      <w:r w:rsidRPr="003E358D">
        <w:t>dose ICS alone or medium</w:t>
      </w:r>
      <w:r w:rsidR="00144E5D">
        <w:t xml:space="preserve"> </w:t>
      </w:r>
      <w:r w:rsidRPr="003E358D">
        <w:t>dose or high</w:t>
      </w:r>
      <w:r w:rsidR="00144E5D">
        <w:t xml:space="preserve"> </w:t>
      </w:r>
      <w:r w:rsidRPr="003E358D">
        <w:t>dose ICS in combination with a second controller. Patients were allowed to use reliever medication.</w:t>
      </w:r>
    </w:p>
    <w:p w14:paraId="37532C49" w14:textId="5D6FB829" w:rsidR="003E358D" w:rsidRDefault="008E1837" w:rsidP="008E1837">
      <w:pPr>
        <w:pStyle w:val="FigureTitle"/>
      </w:pPr>
      <w:r>
        <w:t xml:space="preserve">Figure </w:t>
      </w:r>
      <w:fldSimple w:instr=" SEQ Figure \* ARABIC ">
        <w:r w:rsidR="00761EA9">
          <w:rPr>
            <w:noProof/>
          </w:rPr>
          <w:t>5</w:t>
        </w:r>
      </w:fldSimple>
      <w:r>
        <w:t xml:space="preserve">: </w:t>
      </w:r>
      <w:r w:rsidR="003E358D" w:rsidRPr="00622AAE">
        <w:t>Study LTS14424</w:t>
      </w:r>
      <w:r>
        <w:t xml:space="preserve"> </w:t>
      </w:r>
      <w:r w:rsidR="00EF254D">
        <w:t>S</w:t>
      </w:r>
      <w:r w:rsidR="003E358D" w:rsidRPr="00622AAE">
        <w:t>tudy design</w:t>
      </w:r>
    </w:p>
    <w:p w14:paraId="2782FA96" w14:textId="52FFEE41" w:rsidR="00A8218E" w:rsidRDefault="00A8218E" w:rsidP="008E1837">
      <w:pPr>
        <w:pStyle w:val="FigureTitle"/>
      </w:pPr>
      <w:r>
        <w:rPr>
          <w:noProof/>
          <w:lang w:val="en-GB" w:eastAsia="en-GB"/>
        </w:rPr>
        <w:drawing>
          <wp:inline distT="0" distB="0" distL="0" distR="0" wp14:anchorId="3F641BFD" wp14:editId="2911E85C">
            <wp:extent cx="5226050" cy="2556487"/>
            <wp:effectExtent l="0" t="0" r="0" b="0"/>
            <wp:docPr id="11" name="Picture 11" descr="Study LTS14424 study design. For the enrolment visit eligible patients from Study EFC14153 could roll over into Study LTS 14424 up to 12 weeks after the end of the first study.  During the 52 week treatment period, the doses were: patients greater than 30 kg, 200 mg dupilumab once every 2 weeks, less than or equal to 30 kg, 100 mg dupilumab once every two weeks or patients less than or equal to 30 kg 300 mg dupilumab once every four weeks.  The post-treatment period was 12 weeks. Background therapy for these patients was inhaled corticosteroids alone or with a second controller medication (long-acting beta-2 agonists, leukotriene receptor receptor antagonists, long-acting muscarinic antagonists, and so on), a reliever, or systemic corticosteroid (as instructed by investig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depicts the study design of Study LTS14424.   It shows the background therapy where patients had ICS alone or with a second controller, reliever or SCS as instructed.  For the enrolment visit eligible patients from Study EFC14153 could roll over into Study LTS 14424 up to 12 weeks after the end of the first study.  During the 52 week treatment period, the doses were: patients greater than 30 kg, 200 mg dupilumab once every 2 weeks, less than or equal to 30 kg, 100 mg dupilumab once every two weeks or patients less than or equal to 30 kg 300 mg dupilumab once every four weeks.  The post-treatment period was 12 weeks."/>
                    <pic:cNvPicPr/>
                  </pic:nvPicPr>
                  <pic:blipFill rotWithShape="1">
                    <a:blip r:embed="rId28"/>
                    <a:srcRect b="11808"/>
                    <a:stretch/>
                  </pic:blipFill>
                  <pic:spPr bwMode="auto">
                    <a:xfrm>
                      <a:off x="0" y="0"/>
                      <a:ext cx="5238654" cy="2562652"/>
                    </a:xfrm>
                    <a:prstGeom prst="rect">
                      <a:avLst/>
                    </a:prstGeom>
                    <a:ln>
                      <a:noFill/>
                    </a:ln>
                    <a:extLst>
                      <a:ext uri="{53640926-AAD7-44D8-BBD7-CCE9431645EC}">
                        <a14:shadowObscured xmlns:a14="http://schemas.microsoft.com/office/drawing/2010/main"/>
                      </a:ext>
                    </a:extLst>
                  </pic:spPr>
                </pic:pic>
              </a:graphicData>
            </a:graphic>
          </wp:inline>
        </w:drawing>
      </w:r>
    </w:p>
    <w:p w14:paraId="5236B7DE" w14:textId="4B7A52AA" w:rsidR="00A8218E" w:rsidRDefault="00A8218E" w:rsidP="00E2569E">
      <w:pPr>
        <w:pStyle w:val="FigureDescription"/>
      </w:pPr>
      <w:r>
        <w:t xml:space="preserve">Abbreviations: ICS: inhaled </w:t>
      </w:r>
      <w:r w:rsidR="00597D49">
        <w:t>corticosteroid</w:t>
      </w:r>
      <w:r>
        <w:t xml:space="preserve">; LABA: </w:t>
      </w:r>
      <w:proofErr w:type="gramStart"/>
      <w:r>
        <w:t>long acting</w:t>
      </w:r>
      <w:proofErr w:type="gramEnd"/>
      <w:r>
        <w:t xml:space="preserve"> beta 2 agonist; LAMA: long acting muscarinic antagonist; LTRA: leukotriene receptor antagonist; q2w = once every two weeks; SCS: systemic </w:t>
      </w:r>
      <w:r w:rsidR="004E2552">
        <w:t>corticosteroids.</w:t>
      </w:r>
    </w:p>
    <w:p w14:paraId="38068CB9" w14:textId="71B7DCC1" w:rsidR="004E2552" w:rsidRDefault="004E2552" w:rsidP="00E2569E">
      <w:pPr>
        <w:pStyle w:val="FigureDescription"/>
      </w:pPr>
      <w:r>
        <w:t>* Due to the COVID-19 pandemic patients may enrol in Study LTS14424 at, or up to 12 weeks after the Study EFC14153 end of study visit.</w:t>
      </w:r>
    </w:p>
    <w:p w14:paraId="76EA138D" w14:textId="7426400B" w:rsidR="003E358D" w:rsidRDefault="00144E5D" w:rsidP="003E358D">
      <w:r>
        <w:t>The m</w:t>
      </w:r>
      <w:r w:rsidR="003E358D">
        <w:t>ain inclusion criteria</w:t>
      </w:r>
      <w:r>
        <w:t xml:space="preserve"> were p</w:t>
      </w:r>
      <w:r w:rsidR="003E358D">
        <w:t xml:space="preserve">aediatric patients with asthma who completed the treatment in </w:t>
      </w:r>
      <w:r w:rsidR="00595CF4">
        <w:t xml:space="preserve">Study </w:t>
      </w:r>
      <w:r w:rsidR="003E358D">
        <w:t>EFC14153. Patients who were not able to complete their treatment in Study</w:t>
      </w:r>
      <w:r w:rsidR="00431B1D">
        <w:t> </w:t>
      </w:r>
      <w:r w:rsidR="003E358D">
        <w:t>EFC14153 due to the COVID-19 pandemic were allowed to enrol into Study</w:t>
      </w:r>
      <w:r w:rsidR="00595CF4">
        <w:t> </w:t>
      </w:r>
      <w:r w:rsidR="003E358D">
        <w:t>LTS14424.</w:t>
      </w:r>
    </w:p>
    <w:p w14:paraId="0CFCF326" w14:textId="6BC3176C" w:rsidR="003E358D" w:rsidRDefault="003E358D" w:rsidP="003E358D">
      <w:r>
        <w:t>At the data cut</w:t>
      </w:r>
      <w:r w:rsidR="00D16455">
        <w:t>-</w:t>
      </w:r>
      <w:r>
        <w:t>off date of 18 August 2020</w:t>
      </w:r>
      <w:r w:rsidR="00144E5D">
        <w:t>,</w:t>
      </w:r>
      <w:r>
        <w:t xml:space="preserve"> 365 patients in Study LTS14424 </w:t>
      </w:r>
      <w:r w:rsidR="00144E5D">
        <w:t>were</w:t>
      </w:r>
      <w:r>
        <w:t xml:space="preserve"> enrolled and treated from Study EFC14153</w:t>
      </w:r>
      <w:r w:rsidR="00144E5D">
        <w:t>.</w:t>
      </w:r>
      <w:r w:rsidR="0040369E">
        <w:t xml:space="preserve"> </w:t>
      </w:r>
      <w:r w:rsidR="00144E5D">
        <w:t xml:space="preserve">Of these, </w:t>
      </w:r>
      <w:r>
        <w:t>303 (83.0%) patients were treated with dupilumab for at least 24 weeks, and 189 (51.8%) patients were treated for at least 52</w:t>
      </w:r>
      <w:r w:rsidR="00144E5D">
        <w:t> </w:t>
      </w:r>
      <w:r>
        <w:t>weeks. 196 (53.7%) patients completed the study treatment period. The mean duration of study treatment in Study LTS14424 was 283.8 days.</w:t>
      </w:r>
    </w:p>
    <w:p w14:paraId="689B1B50" w14:textId="7AB9E15E" w:rsidR="007B1D80" w:rsidRDefault="0086155E" w:rsidP="003E358D">
      <w:r>
        <w:t xml:space="preserve">Fourteen </w:t>
      </w:r>
      <w:r w:rsidR="003E358D">
        <w:t xml:space="preserve">patients were exposed to the 300 mg </w:t>
      </w:r>
      <w:r w:rsidR="00B23B09">
        <w:t>once every four weeks</w:t>
      </w:r>
      <w:r w:rsidR="003E358D">
        <w:t xml:space="preserve"> dose regimen for a total of 1.6 patient</w:t>
      </w:r>
      <w:r w:rsidR="00CC4188">
        <w:t>-</w:t>
      </w:r>
      <w:r w:rsidR="003E358D">
        <w:t>years</w:t>
      </w:r>
      <w:r w:rsidR="00431B1D">
        <w:t xml:space="preserve"> (PY)</w:t>
      </w:r>
      <w:r w:rsidR="003E358D">
        <w:t>. At the data cut</w:t>
      </w:r>
      <w:r w:rsidR="00D16455">
        <w:t>-</w:t>
      </w:r>
      <w:r w:rsidR="003E358D">
        <w:t xml:space="preserve">off date of 25 June 2021, 18 asthma patients with a cumulative exposure of 10.5 </w:t>
      </w:r>
      <w:r w:rsidR="00431B1D">
        <w:t>PY</w:t>
      </w:r>
      <w:r w:rsidR="003E358D">
        <w:t xml:space="preserve"> had been treated with that regimen.</w:t>
      </w:r>
    </w:p>
    <w:p w14:paraId="0647312E" w14:textId="383AE62C" w:rsidR="003E358D" w:rsidRDefault="00D16455" w:rsidP="0052317A">
      <w:pPr>
        <w:pStyle w:val="Heading6"/>
      </w:pPr>
      <w:r>
        <w:t>Results</w:t>
      </w:r>
    </w:p>
    <w:p w14:paraId="43B9D348" w14:textId="68912FEB" w:rsidR="0040369E" w:rsidRDefault="0086155E" w:rsidP="003E358D">
      <w:r>
        <w:t>Efficacy</w:t>
      </w:r>
      <w:r w:rsidR="003E358D">
        <w:t xml:space="preserve"> evaluation was not the main objective of the study.</w:t>
      </w:r>
      <w:r>
        <w:t xml:space="preserve"> </w:t>
      </w:r>
      <w:r w:rsidR="003E358D">
        <w:t>In the full analysis set (all patients exposed to all doses), the unadjusted annualised asthma exacerbation event rate was 0.134 (0.136 for</w:t>
      </w:r>
      <w:r>
        <w:t xml:space="preserve"> the</w:t>
      </w:r>
      <w:r w:rsidR="003E358D">
        <w:t xml:space="preserve"> dupilumab-dupilumab </w:t>
      </w:r>
      <w:r>
        <w:t xml:space="preserve">category </w:t>
      </w:r>
      <w:r w:rsidR="003E358D">
        <w:t>and 0.131 for</w:t>
      </w:r>
      <w:r>
        <w:t xml:space="preserve"> the</w:t>
      </w:r>
      <w:r w:rsidR="003E358D">
        <w:t xml:space="preserve"> placebo</w:t>
      </w:r>
      <w:r w:rsidR="00CC4188">
        <w:noBreakHyphen/>
      </w:r>
      <w:r w:rsidR="003E358D">
        <w:t>dupilumab</w:t>
      </w:r>
      <w:r>
        <w:t xml:space="preserve"> category</w:t>
      </w:r>
      <w:r w:rsidR="003E358D">
        <w:t>).</w:t>
      </w:r>
      <w:r>
        <w:t xml:space="preserve"> </w:t>
      </w:r>
      <w:r w:rsidR="00E4564A">
        <w:t>N</w:t>
      </w:r>
      <w:r w:rsidRPr="0086155E">
        <w:t>o severe exacerbations</w:t>
      </w:r>
      <w:r w:rsidR="00E4564A">
        <w:t xml:space="preserve"> occurred for </w:t>
      </w:r>
      <w:r w:rsidR="00E4564A" w:rsidRPr="0086155E">
        <w:t xml:space="preserve">336 out of 365 (92%) patients </w:t>
      </w:r>
      <w:r w:rsidRPr="0086155E">
        <w:t>for the duration of the study.</w:t>
      </w:r>
      <w:r>
        <w:t xml:space="preserve"> In contra</w:t>
      </w:r>
      <w:r w:rsidRPr="0086155E">
        <w:t xml:space="preserve">st, </w:t>
      </w:r>
      <w:r w:rsidR="003E358D" w:rsidRPr="0086155E">
        <w:t xml:space="preserve">pivotal </w:t>
      </w:r>
      <w:r w:rsidRPr="0086155E">
        <w:t>S</w:t>
      </w:r>
      <w:r w:rsidR="003E358D" w:rsidRPr="0086155E">
        <w:t>tudy EFC14153</w:t>
      </w:r>
      <w:r w:rsidRPr="0086155E">
        <w:t>,</w:t>
      </w:r>
      <w:r w:rsidR="003E358D" w:rsidRPr="0086155E">
        <w:t xml:space="preserve"> </w:t>
      </w:r>
      <w:r w:rsidRPr="0086155E">
        <w:t xml:space="preserve">the unadjusted annualised exacerbation rate was </w:t>
      </w:r>
      <w:r w:rsidR="003E358D" w:rsidRPr="0086155E">
        <w:t>0.346 and 0.642 in the dupilumab and placebo groups, respectively</w:t>
      </w:r>
      <w:r w:rsidR="0040369E">
        <w:t>.</w:t>
      </w:r>
    </w:p>
    <w:p w14:paraId="6EE8C5A8" w14:textId="4FBDE9A9" w:rsidR="003E358D" w:rsidRDefault="003E358D" w:rsidP="003E358D">
      <w:r>
        <w:t xml:space="preserve">In the </w:t>
      </w:r>
      <w:r w:rsidR="0086155E">
        <w:t xml:space="preserve">Study LTS14424 </w:t>
      </w:r>
      <w:r>
        <w:t xml:space="preserve">full analysis set, the mean change in percent predicted FEV1 from </w:t>
      </w:r>
      <w:r w:rsidR="00C71FE9">
        <w:t>Baseline</w:t>
      </w:r>
      <w:r>
        <w:t xml:space="preserve"> of the parent study (77.68%) was maintained at Week 24 of the extension study (9.59%%), and at Week 52 (8.75%) among the 196</w:t>
      </w:r>
      <w:r w:rsidR="0086155E">
        <w:t xml:space="preserve"> out of </w:t>
      </w:r>
      <w:r>
        <w:t>365 patients that had completed the Week 52 visit.</w:t>
      </w:r>
    </w:p>
    <w:p w14:paraId="1927FE09" w14:textId="2B6750F0" w:rsidR="003E358D" w:rsidRDefault="0086155E" w:rsidP="003E358D">
      <w:r>
        <w:t xml:space="preserve">There are </w:t>
      </w:r>
      <w:r w:rsidR="003E358D">
        <w:t>155 (42.5%) patients are still ongoing in the study.</w:t>
      </w:r>
    </w:p>
    <w:p w14:paraId="2D552423" w14:textId="24E844F5" w:rsidR="003E358D" w:rsidRDefault="0086155E" w:rsidP="003E358D">
      <w:r>
        <w:lastRenderedPageBreak/>
        <w:t xml:space="preserve">For the </w:t>
      </w:r>
      <w:r w:rsidR="003E358D">
        <w:t xml:space="preserve">small 300 mg </w:t>
      </w:r>
      <w:r w:rsidR="00B23B09">
        <w:t>once every four weeks</w:t>
      </w:r>
      <w:r w:rsidR="003E358D">
        <w:t xml:space="preserve"> subgroup (n</w:t>
      </w:r>
      <w:r>
        <w:t xml:space="preserve"> </w:t>
      </w:r>
      <w:r w:rsidR="003E358D">
        <w:t>=</w:t>
      </w:r>
      <w:r>
        <w:t xml:space="preserve"> </w:t>
      </w:r>
      <w:r w:rsidR="003E358D">
        <w:t>14)</w:t>
      </w:r>
      <w:r>
        <w:t>, t</w:t>
      </w:r>
      <w:r w:rsidR="003E358D">
        <w:t xml:space="preserve">here were no asthma exacerbations during a </w:t>
      </w:r>
      <w:r w:rsidR="003E358D" w:rsidRPr="0086155E">
        <w:t>mean</w:t>
      </w:r>
      <w:r w:rsidR="003E358D">
        <w:t xml:space="preserve"> duration of exposure of 42.6 days. The percent predicted FEV1 remained stable.</w:t>
      </w:r>
    </w:p>
    <w:p w14:paraId="3658176D" w14:textId="24EBDC5A" w:rsidR="003E358D" w:rsidRDefault="003E358D" w:rsidP="0086155E">
      <w:pPr>
        <w:pStyle w:val="Heading4"/>
      </w:pPr>
      <w:r>
        <w:t>Safety</w:t>
      </w:r>
    </w:p>
    <w:p w14:paraId="6C8779BA" w14:textId="5D22D029" w:rsidR="003E358D" w:rsidRDefault="003E358D" w:rsidP="00431B1D">
      <w:pPr>
        <w:pStyle w:val="Heading5"/>
      </w:pPr>
      <w:r>
        <w:t>Exposure</w:t>
      </w:r>
    </w:p>
    <w:p w14:paraId="467FD4DE" w14:textId="78E6183D" w:rsidR="00431B1D" w:rsidRDefault="00431B1D" w:rsidP="00431B1D">
      <w:r>
        <w:t xml:space="preserve">Safety data in </w:t>
      </w:r>
      <w:r w:rsidR="00D16455">
        <w:t xml:space="preserve">children with asthma aged from </w:t>
      </w:r>
      <w:r>
        <w:t xml:space="preserve">6 to </w:t>
      </w:r>
      <w:r w:rsidR="00A17B72">
        <w:t>less than 12</w:t>
      </w:r>
      <w:r w:rsidR="00E2569E">
        <w:t xml:space="preserve"> </w:t>
      </w:r>
      <w:r>
        <w:t>year</w:t>
      </w:r>
      <w:r w:rsidR="00D16455">
        <w:t xml:space="preserve">s </w:t>
      </w:r>
      <w:r>
        <w:t xml:space="preserve">are principally based on the results from Study EFC14153 and </w:t>
      </w:r>
      <w:r w:rsidR="00D16455">
        <w:t xml:space="preserve">the </w:t>
      </w:r>
      <w:r>
        <w:t>ongoing Study LTS14424 (data cut</w:t>
      </w:r>
      <w:r w:rsidR="00D16455">
        <w:t>-</w:t>
      </w:r>
      <w:r>
        <w:t>off date: 18</w:t>
      </w:r>
      <w:r w:rsidR="00D16455">
        <w:t> </w:t>
      </w:r>
      <w:r>
        <w:t>August 2020). As of the cut</w:t>
      </w:r>
      <w:r w:rsidR="00D16455">
        <w:t>-</w:t>
      </w:r>
      <w:r>
        <w:t xml:space="preserve">off date for Study LTS14424, 365 of the 392 patients who had completed Study EFC14153 continued into </w:t>
      </w:r>
      <w:r w:rsidR="00CC4188">
        <w:t xml:space="preserve">Study </w:t>
      </w:r>
      <w:r>
        <w:t xml:space="preserve">LTS14424 (240 who received dupilumab in the parent study (dupilumab-dupilumab category) and 125 who received placebo in the parent study (placebo-dupilumab category)). In both studies 296 children were exposed to dupilumab. The controlled experience was 255.6 PY, while the additional experience from the uncontrolled </w:t>
      </w:r>
      <w:proofErr w:type="gramStart"/>
      <w:r>
        <w:t>long term</w:t>
      </w:r>
      <w:proofErr w:type="gramEnd"/>
      <w:r>
        <w:t xml:space="preserve"> study is 283.6 PY to date. Exposure is summarised in</w:t>
      </w:r>
      <w:r w:rsidR="002727A2">
        <w:t xml:space="preserve"> </w:t>
      </w:r>
      <w:r w:rsidR="002727A2">
        <w:fldChar w:fldCharType="begin"/>
      </w:r>
      <w:r w:rsidR="002727A2">
        <w:instrText xml:space="preserve"> REF _Ref123900144 \h </w:instrText>
      </w:r>
      <w:r w:rsidR="002727A2">
        <w:fldChar w:fldCharType="separate"/>
      </w:r>
      <w:r w:rsidR="00761EA9">
        <w:t xml:space="preserve">Table </w:t>
      </w:r>
      <w:r w:rsidR="00761EA9">
        <w:rPr>
          <w:noProof/>
        </w:rPr>
        <w:t>5</w:t>
      </w:r>
      <w:r w:rsidR="002727A2">
        <w:fldChar w:fldCharType="end"/>
      </w:r>
      <w:r w:rsidRPr="002727A2">
        <w:t>.</w:t>
      </w:r>
    </w:p>
    <w:p w14:paraId="1B988D50" w14:textId="321434FA" w:rsidR="00431B1D" w:rsidRDefault="002727A2" w:rsidP="002727A2">
      <w:pPr>
        <w:pStyle w:val="TableTitle"/>
      </w:pPr>
      <w:bookmarkStart w:id="55" w:name="_Ref123900144"/>
      <w:r>
        <w:t xml:space="preserve">Table </w:t>
      </w:r>
      <w:fldSimple w:instr=" SEQ Table \* ARABIC ">
        <w:r w:rsidR="00761EA9">
          <w:rPr>
            <w:noProof/>
          </w:rPr>
          <w:t>5</w:t>
        </w:r>
      </w:fldSimple>
      <w:bookmarkEnd w:id="55"/>
      <w:r>
        <w:t xml:space="preserve">: </w:t>
      </w:r>
      <w:r w:rsidR="00431B1D">
        <w:t xml:space="preserve">Dupilumab exposure </w:t>
      </w:r>
      <w:r w:rsidR="00C60E6B">
        <w:t xml:space="preserve">in patients with asthma </w:t>
      </w:r>
      <w:r w:rsidR="00431B1D">
        <w:t>by age group and gender</w:t>
      </w:r>
    </w:p>
    <w:p w14:paraId="54B40CA9" w14:textId="573FA6D7" w:rsidR="00657791" w:rsidRPr="00431B1D" w:rsidRDefault="00657791" w:rsidP="002727A2">
      <w:pPr>
        <w:pStyle w:val="TableTitle"/>
      </w:pPr>
      <w:r>
        <w:rPr>
          <w:noProof/>
          <w:lang w:val="en-GB" w:eastAsia="en-GB"/>
        </w:rPr>
        <w:drawing>
          <wp:inline distT="0" distB="0" distL="0" distR="0" wp14:anchorId="3FF0766C" wp14:editId="6EB6CA71">
            <wp:extent cx="5400040" cy="1550670"/>
            <wp:effectExtent l="0" t="0" r="0" b="0"/>
            <wp:docPr id="17" name="Picture 17" descr="This table describes dupilumab exposure for the asthma indication by age group and gender; and person years for males and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table describes dupilumab exposure for the asthma indication by age group and gender; and person years for males and females."/>
                    <pic:cNvPicPr/>
                  </pic:nvPicPr>
                  <pic:blipFill>
                    <a:blip r:embed="rId29">
                      <a:grayscl/>
                    </a:blip>
                    <a:stretch>
                      <a:fillRect/>
                    </a:stretch>
                  </pic:blipFill>
                  <pic:spPr>
                    <a:xfrm>
                      <a:off x="0" y="0"/>
                      <a:ext cx="5400040" cy="1550670"/>
                    </a:xfrm>
                    <a:prstGeom prst="rect">
                      <a:avLst/>
                    </a:prstGeom>
                  </pic:spPr>
                </pic:pic>
              </a:graphicData>
            </a:graphic>
          </wp:inline>
        </w:drawing>
      </w:r>
    </w:p>
    <w:p w14:paraId="236E9546" w14:textId="76118D00" w:rsidR="00F86B72" w:rsidRDefault="00F86B72" w:rsidP="008D6574">
      <w:pPr>
        <w:pStyle w:val="TableDescription"/>
      </w:pPr>
      <w:r>
        <w:t>Note: According to age at Baseline in the initial placebo-controlled study</w:t>
      </w:r>
    </w:p>
    <w:p w14:paraId="1A5B23B3" w14:textId="758CE878" w:rsidR="00F86B72" w:rsidRDefault="00F86B72" w:rsidP="00F86B72">
      <w:pPr>
        <w:pStyle w:val="FigureDescription"/>
      </w:pPr>
      <w:r>
        <w:t>Includes dupiluma</w:t>
      </w:r>
      <w:r w:rsidR="00C60E6B">
        <w:t>b</w:t>
      </w:r>
      <w:r w:rsidR="00C60E6B">
        <w:noBreakHyphen/>
      </w:r>
      <w:r>
        <w:t xml:space="preserve">exposed patients in three Phase </w:t>
      </w:r>
      <w:r w:rsidR="000868AA">
        <w:t>II</w:t>
      </w:r>
      <w:r>
        <w:t xml:space="preserve"> studies, </w:t>
      </w:r>
      <w:r w:rsidR="00C60E6B">
        <w:t xml:space="preserve">(Studies </w:t>
      </w:r>
      <w:r>
        <w:t>ACT11457, DRI12544 and PDY14192</w:t>
      </w:r>
      <w:r w:rsidR="00C60E6B">
        <w:t>);</w:t>
      </w:r>
      <w:r>
        <w:t xml:space="preserve"> two Phase </w:t>
      </w:r>
      <w:r w:rsidR="00C60E6B">
        <w:t>III</w:t>
      </w:r>
      <w:r>
        <w:t xml:space="preserve"> studies, </w:t>
      </w:r>
      <w:r w:rsidR="00C60E6B">
        <w:t xml:space="preserve">(Studies </w:t>
      </w:r>
      <w:r>
        <w:t>EFC13579, EFC13691 and EFC14153</w:t>
      </w:r>
      <w:r w:rsidR="00C60E6B">
        <w:t>);</w:t>
      </w:r>
      <w:r>
        <w:t xml:space="preserve"> and three open-label extension studies </w:t>
      </w:r>
      <w:r w:rsidR="00C60E6B">
        <w:t xml:space="preserve">(Studies </w:t>
      </w:r>
      <w:r>
        <w:t xml:space="preserve">LTS12551, LPS15023 (patients from unblinded </w:t>
      </w:r>
      <w:r w:rsidR="00C60E6B">
        <w:t xml:space="preserve">Studies </w:t>
      </w:r>
      <w:r>
        <w:t xml:space="preserve">DRI12544, EFC13579, EFC13692 and PDY14192 studies) and LTS14424 (patients from unblinded </w:t>
      </w:r>
      <w:r w:rsidR="00C60E6B">
        <w:t xml:space="preserve">Study </w:t>
      </w:r>
      <w:r>
        <w:t>EFC14152). Data cut</w:t>
      </w:r>
      <w:r w:rsidR="00C60E6B">
        <w:noBreakHyphen/>
      </w:r>
      <w:r>
        <w:t xml:space="preserve">off date for </w:t>
      </w:r>
      <w:r w:rsidR="00C60E6B">
        <w:t xml:space="preserve">Study </w:t>
      </w:r>
      <w:r>
        <w:t>LPS15023 is 28 September 202</w:t>
      </w:r>
      <w:r w:rsidR="00657791">
        <w:t xml:space="preserve">0, for </w:t>
      </w:r>
      <w:r w:rsidR="00C60E6B">
        <w:t xml:space="preserve">Study </w:t>
      </w:r>
      <w:r w:rsidR="00657791">
        <w:t xml:space="preserve">EFC14153 is 25 August 2020 and </w:t>
      </w:r>
      <w:r w:rsidR="00C60E6B">
        <w:t>Study </w:t>
      </w:r>
      <w:r w:rsidR="00657791">
        <w:t>LTS14424 is 18 August 2020; all other studies are comp</w:t>
      </w:r>
      <w:r w:rsidR="00874D2B">
        <w:t>l</w:t>
      </w:r>
      <w:r w:rsidR="00657791">
        <w:t xml:space="preserve">eted. </w:t>
      </w:r>
    </w:p>
    <w:p w14:paraId="406C64C4" w14:textId="0287FDFB" w:rsidR="00657791" w:rsidRDefault="00657791" w:rsidP="00F86B72">
      <w:pPr>
        <w:pStyle w:val="FigureDescription"/>
      </w:pPr>
      <w:r>
        <w:t xml:space="preserve">Duration of exposure in weeks is defined as: (last injection data with x days minus first injection date)/7 where x is dosing dependent (for example, seven for </w:t>
      </w:r>
      <w:proofErr w:type="gramStart"/>
      <w:r>
        <w:t>once a week</w:t>
      </w:r>
      <w:proofErr w:type="gramEnd"/>
      <w:r>
        <w:t xml:space="preserve"> dosing and 14 for once every two weeks dosing) regardless of intermittent discontinuations, except for </w:t>
      </w:r>
      <w:r w:rsidR="00C60E6B">
        <w:t xml:space="preserve">Study </w:t>
      </w:r>
      <w:r>
        <w:t xml:space="preserve">LTS12551 patients receiving dupilumab in </w:t>
      </w:r>
      <w:r w:rsidR="00C60E6B">
        <w:t xml:space="preserve">Study </w:t>
      </w:r>
      <w:r>
        <w:t>DRI12544 where the protocol defined 16 week follow up period is excluded.</w:t>
      </w:r>
    </w:p>
    <w:p w14:paraId="4FF6C61D" w14:textId="515336B0" w:rsidR="00657791" w:rsidRDefault="00657791" w:rsidP="00F86B72">
      <w:pPr>
        <w:pStyle w:val="FigureDescription"/>
      </w:pPr>
      <w:proofErr w:type="spellStart"/>
      <w:r w:rsidRPr="00E2569E">
        <w:rPr>
          <w:vertAlign w:val="superscript"/>
        </w:rPr>
        <w:t>a</w:t>
      </w:r>
      <w:r>
        <w:t>Person</w:t>
      </w:r>
      <w:proofErr w:type="spellEnd"/>
      <w:r>
        <w:t xml:space="preserve"> year for each category was calculated as the sum of duration of exposure in years for all patients in each category</w:t>
      </w:r>
    </w:p>
    <w:p w14:paraId="5D0CF3F0" w14:textId="0EA60A58" w:rsidR="003E358D" w:rsidRDefault="003E358D" w:rsidP="00431B1D">
      <w:pPr>
        <w:pStyle w:val="Heading5"/>
      </w:pPr>
      <w:r>
        <w:t>Adverse event</w:t>
      </w:r>
      <w:r w:rsidR="00C60E6B">
        <w:t>s</w:t>
      </w:r>
    </w:p>
    <w:p w14:paraId="54F737DF" w14:textId="245C30E0" w:rsidR="003E358D" w:rsidRDefault="003F1682" w:rsidP="003E358D">
      <w:r>
        <w:t xml:space="preserve">For </w:t>
      </w:r>
      <w:r w:rsidR="003E358D">
        <w:t>Study EFC14153</w:t>
      </w:r>
      <w:r>
        <w:t>,</w:t>
      </w:r>
      <w:r w:rsidR="003E358D">
        <w:t xml:space="preserve"> </w:t>
      </w:r>
      <w:r w:rsidR="00431B1D">
        <w:t>treatment</w:t>
      </w:r>
      <w:r w:rsidR="00C60E6B">
        <w:t>-</w:t>
      </w:r>
      <w:r w:rsidR="00431B1D">
        <w:t>emergent adverse event</w:t>
      </w:r>
      <w:r w:rsidR="00E4564A">
        <w:t xml:space="preserve">s </w:t>
      </w:r>
      <w:r w:rsidR="00431B1D">
        <w:t>(</w:t>
      </w:r>
      <w:r w:rsidR="003E358D">
        <w:t>TEAE</w:t>
      </w:r>
      <w:r w:rsidR="00431B1D">
        <w:t>)</w:t>
      </w:r>
      <w:r w:rsidR="003E358D">
        <w:t xml:space="preserve"> in the dupilumab group compared with the placebo group occurred in 83.0% and 79.9% of patients, respectively (</w:t>
      </w:r>
      <w:r w:rsidR="00C60E6B">
        <w:t xml:space="preserve">see </w:t>
      </w:r>
      <w:r w:rsidR="002727A2">
        <w:rPr>
          <w:highlight w:val="green"/>
        </w:rPr>
        <w:fldChar w:fldCharType="begin"/>
      </w:r>
      <w:r w:rsidR="002727A2">
        <w:instrText xml:space="preserve"> REF _Ref123900233 \h </w:instrText>
      </w:r>
      <w:r w:rsidR="002727A2">
        <w:rPr>
          <w:highlight w:val="green"/>
        </w:rPr>
      </w:r>
      <w:r w:rsidR="002727A2">
        <w:rPr>
          <w:highlight w:val="green"/>
        </w:rPr>
        <w:fldChar w:fldCharType="separate"/>
      </w:r>
      <w:r w:rsidR="00761EA9">
        <w:t xml:space="preserve">Table </w:t>
      </w:r>
      <w:r w:rsidR="00761EA9">
        <w:rPr>
          <w:noProof/>
        </w:rPr>
        <w:t>6</w:t>
      </w:r>
      <w:r w:rsidR="002727A2">
        <w:rPr>
          <w:highlight w:val="green"/>
        </w:rPr>
        <w:fldChar w:fldCharType="end"/>
      </w:r>
      <w:r w:rsidR="0034703B">
        <w:t>, below</w:t>
      </w:r>
      <w:r w:rsidR="003E358D">
        <w:t>).</w:t>
      </w:r>
    </w:p>
    <w:p w14:paraId="2B273F41" w14:textId="6D248673" w:rsidR="003E358D" w:rsidRDefault="003E358D" w:rsidP="003E358D">
      <w:r>
        <w:t>The</w:t>
      </w:r>
      <w:r w:rsidR="00431B1D">
        <w:t xml:space="preserve"> </w:t>
      </w:r>
      <w:r w:rsidR="00CC4188">
        <w:t>S</w:t>
      </w:r>
      <w:r w:rsidR="00431B1D">
        <w:t xml:space="preserve">ystem </w:t>
      </w:r>
      <w:r w:rsidR="00CC4188">
        <w:t>O</w:t>
      </w:r>
      <w:r w:rsidR="00431B1D">
        <w:t xml:space="preserve">rgan </w:t>
      </w:r>
      <w:r w:rsidR="00CC4188">
        <w:t>C</w:t>
      </w:r>
      <w:r w:rsidR="00431B1D">
        <w:t>lass</w:t>
      </w:r>
      <w:r>
        <w:t xml:space="preserve"> with TEAEs more frequently reported in the dupilumab group </w:t>
      </w:r>
      <w:r w:rsidR="00C60E6B">
        <w:t xml:space="preserve">(versus placebo) </w:t>
      </w:r>
      <w:r>
        <w:t>were:</w:t>
      </w:r>
    </w:p>
    <w:p w14:paraId="1BB260E8" w14:textId="37DF1B52" w:rsidR="003E358D" w:rsidRDefault="003E358D" w:rsidP="00431B1D">
      <w:pPr>
        <w:pStyle w:val="ListBullet"/>
      </w:pPr>
      <w:r>
        <w:t xml:space="preserve">Blood and lymphatic system disorders (8.5% </w:t>
      </w:r>
      <w:r w:rsidR="006E7601">
        <w:t>versus</w:t>
      </w:r>
      <w:r>
        <w:t xml:space="preserve"> 3%) driven by eosinophilia</w:t>
      </w:r>
      <w:r w:rsidR="0040369E">
        <w:t xml:space="preserve"> </w:t>
      </w:r>
      <w:r>
        <w:t>(5.9%</w:t>
      </w:r>
      <w:r w:rsidR="00C60E6B">
        <w:t> </w:t>
      </w:r>
      <w:r w:rsidR="006E7601">
        <w:t>versus</w:t>
      </w:r>
      <w:r>
        <w:t xml:space="preserve"> 0.7%)</w:t>
      </w:r>
    </w:p>
    <w:p w14:paraId="253C51EA" w14:textId="2EECFA77" w:rsidR="003E358D" w:rsidRDefault="00C60E6B" w:rsidP="00CE5202">
      <w:pPr>
        <w:pStyle w:val="ListBullet"/>
        <w:numPr>
          <w:ilvl w:val="0"/>
          <w:numId w:val="3"/>
        </w:numPr>
      </w:pPr>
      <w:r>
        <w:t>Infections and infestations</w:t>
      </w:r>
      <w:r w:rsidR="0034703B">
        <w:t>,</w:t>
      </w:r>
      <w:r>
        <w:t xml:space="preserve"> </w:t>
      </w:r>
      <w:r w:rsidR="0034703B">
        <w:t>driven p</w:t>
      </w:r>
      <w:r w:rsidR="003E358D">
        <w:t xml:space="preserve">arasitic infections (2.6% </w:t>
      </w:r>
      <w:r w:rsidR="006E7601">
        <w:t>versus</w:t>
      </w:r>
      <w:r w:rsidR="003E358D">
        <w:t xml:space="preserve"> 0.7%)</w:t>
      </w:r>
      <w:r w:rsidR="0034703B">
        <w:t>, and viral upper respiratory tract infection (12.2% versus 9.7%)</w:t>
      </w:r>
    </w:p>
    <w:p w14:paraId="161F493D" w14:textId="0801BE7A" w:rsidR="003E358D" w:rsidRDefault="003E358D" w:rsidP="00431B1D">
      <w:pPr>
        <w:pStyle w:val="ListBullet"/>
      </w:pPr>
      <w:r>
        <w:lastRenderedPageBreak/>
        <w:t xml:space="preserve">Gastrointestinal disorders (14.8% </w:t>
      </w:r>
      <w:r w:rsidR="006E7601">
        <w:t>versus</w:t>
      </w:r>
      <w:r>
        <w:t xml:space="preserve"> 9.7% in the placebo group), mainly driven by abdominal pain, nausea, and constipation</w:t>
      </w:r>
    </w:p>
    <w:p w14:paraId="49496AB9" w14:textId="41E525DE" w:rsidR="003E358D" w:rsidRDefault="003E358D" w:rsidP="00431B1D">
      <w:pPr>
        <w:pStyle w:val="ListBullet"/>
      </w:pPr>
      <w:r>
        <w:t xml:space="preserve">Psychiatric disorders (1.1% </w:t>
      </w:r>
      <w:r w:rsidR="006E7601">
        <w:t>versus</w:t>
      </w:r>
      <w:r>
        <w:t xml:space="preserve"> 0</w:t>
      </w:r>
      <w:r w:rsidR="003F1682">
        <w:t>%</w:t>
      </w:r>
      <w:r>
        <w:t>)</w:t>
      </w:r>
    </w:p>
    <w:p w14:paraId="7BF4850F" w14:textId="3D46D57B" w:rsidR="003E358D" w:rsidRDefault="003F1682" w:rsidP="003E358D">
      <w:r>
        <w:t xml:space="preserve">For </w:t>
      </w:r>
      <w:r w:rsidR="003E358D">
        <w:t>Study LTS14424</w:t>
      </w:r>
      <w:r>
        <w:t>, o</w:t>
      </w:r>
      <w:r w:rsidR="003E358D">
        <w:t xml:space="preserve">verall, 201 (55.1%) patients experienced at least </w:t>
      </w:r>
      <w:r>
        <w:t>one</w:t>
      </w:r>
      <w:r w:rsidR="003E358D">
        <w:t xml:space="preserve"> TEAE during the study. The exposure</w:t>
      </w:r>
      <w:r>
        <w:t xml:space="preserve"> </w:t>
      </w:r>
      <w:r w:rsidR="003E358D">
        <w:t>adjusted incidence rate of TEAEs (adjusted based on time in study) was higher in the placebo-dupilumab category than in the dupilumab-dupilumab category (153.1 v</w:t>
      </w:r>
      <w:r>
        <w:t>ersus</w:t>
      </w:r>
      <w:r w:rsidR="003E358D">
        <w:t xml:space="preserve"> 102.0 per 100 </w:t>
      </w:r>
      <w:r>
        <w:t>PY</w:t>
      </w:r>
      <w:r w:rsidR="003E358D">
        <w:t>).</w:t>
      </w:r>
    </w:p>
    <w:p w14:paraId="7F5F48E6" w14:textId="011EAB6B" w:rsidR="003E358D" w:rsidRDefault="002727A2" w:rsidP="002727A2">
      <w:pPr>
        <w:pStyle w:val="TableTitle"/>
      </w:pPr>
      <w:bookmarkStart w:id="56" w:name="_Ref123900233"/>
      <w:r>
        <w:t xml:space="preserve">Table </w:t>
      </w:r>
      <w:fldSimple w:instr=" SEQ Table \* ARABIC ">
        <w:r w:rsidR="00761EA9">
          <w:rPr>
            <w:noProof/>
          </w:rPr>
          <w:t>6</w:t>
        </w:r>
      </w:fldSimple>
      <w:bookmarkEnd w:id="56"/>
      <w:r>
        <w:t xml:space="preserve">: </w:t>
      </w:r>
      <w:r w:rsidR="003E358D">
        <w:t>Study EFC14153</w:t>
      </w:r>
      <w:r>
        <w:t xml:space="preserve"> </w:t>
      </w:r>
      <w:r w:rsidR="0034703B">
        <w:t>N</w:t>
      </w:r>
      <w:r w:rsidR="003E358D">
        <w:t xml:space="preserve">umber (%) of patients with </w:t>
      </w:r>
      <w:r>
        <w:t>treatment</w:t>
      </w:r>
      <w:r w:rsidR="0034703B">
        <w:t>-</w:t>
      </w:r>
      <w:r>
        <w:t>emergent adverse events</w:t>
      </w:r>
      <w:r w:rsidR="003E358D">
        <w:t xml:space="preserve"> that occurred with a frequency </w:t>
      </w:r>
      <w:r w:rsidR="0034703B">
        <w:t xml:space="preserve">of </w:t>
      </w:r>
      <w:r w:rsidR="003E358D">
        <w:t xml:space="preserve">5% </w:t>
      </w:r>
      <w:r w:rsidR="0034703B">
        <w:t xml:space="preserve">or more </w:t>
      </w:r>
      <w:r w:rsidR="003E358D">
        <w:t xml:space="preserve">in any treatment group by primary </w:t>
      </w:r>
      <w:r w:rsidR="0034703B">
        <w:t>S</w:t>
      </w:r>
      <w:r>
        <w:t xml:space="preserve">ystem </w:t>
      </w:r>
      <w:r w:rsidR="0034703B">
        <w:t>O</w:t>
      </w:r>
      <w:r>
        <w:t xml:space="preserve">rgan </w:t>
      </w:r>
      <w:r w:rsidR="0034703B">
        <w:t>C</w:t>
      </w:r>
      <w:r>
        <w:t>lass</w:t>
      </w:r>
      <w:r w:rsidR="003E358D">
        <w:t xml:space="preserve"> and </w:t>
      </w:r>
      <w:r w:rsidR="0034703B">
        <w:t>P</w:t>
      </w:r>
      <w:r w:rsidR="00CC0BAE">
        <w:t xml:space="preserve">referred </w:t>
      </w:r>
      <w:r w:rsidR="0034703B">
        <w:t>T</w:t>
      </w:r>
      <w:r w:rsidR="00CC0BAE">
        <w:t xml:space="preserve">erm </w:t>
      </w:r>
      <w:r w:rsidR="003E358D">
        <w:t>(Safety population)</w:t>
      </w:r>
    </w:p>
    <w:p w14:paraId="05BD1370" w14:textId="2B0A4B03" w:rsidR="00657791" w:rsidRDefault="00657791" w:rsidP="002727A2">
      <w:pPr>
        <w:pStyle w:val="TableTitle"/>
      </w:pPr>
      <w:r>
        <w:rPr>
          <w:noProof/>
          <w:lang w:val="en-GB" w:eastAsia="en-GB"/>
        </w:rPr>
        <w:drawing>
          <wp:inline distT="0" distB="0" distL="0" distR="0" wp14:anchorId="44EC82A3" wp14:editId="044D87DC">
            <wp:extent cx="5400040" cy="4918710"/>
            <wp:effectExtent l="0" t="0" r="0" b="0"/>
            <wp:docPr id="18" name="Picture 18" descr="This table shows the number (%) of patients with treatment emergent adverse events that occurred with a frequency ≥5% in any treatment group by primary System Organ Class and Preferred Term (Safety population) for Study EFC14153.  The most frequent event was nasopharyngitis (placebo 21.6%, dupilumab 18.5%) and upper respiratory tract infection (placebo 13.4%, dupilumab 12.9%) and injection site erythema (placebo 9.7%, dupilumab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table shows the number (%) of patients with treatment emergent adverse events that occurred with a frequency ≥5% in any treatment group by primary System Organ Class and Preferred Term (Safety population) for Study EFC14153.  The most frequent event was nasopharyngitis (placebo 21.6%, dupilumab 18.5%) and upper respiratory tract infection (placebo 13.4%, dupilumab 12.9%) and injection site erythema (placebo 9.7%, dupilumab 12.9%)."/>
                    <pic:cNvPicPr/>
                  </pic:nvPicPr>
                  <pic:blipFill>
                    <a:blip r:embed="rId30"/>
                    <a:stretch>
                      <a:fillRect/>
                    </a:stretch>
                  </pic:blipFill>
                  <pic:spPr>
                    <a:xfrm>
                      <a:off x="0" y="0"/>
                      <a:ext cx="5400040" cy="4918710"/>
                    </a:xfrm>
                    <a:prstGeom prst="rect">
                      <a:avLst/>
                    </a:prstGeom>
                  </pic:spPr>
                </pic:pic>
              </a:graphicData>
            </a:graphic>
          </wp:inline>
        </w:drawing>
      </w:r>
    </w:p>
    <w:p w14:paraId="0F5EAF8F" w14:textId="4F20C0D9" w:rsidR="00294B4A" w:rsidRDefault="00294B4A" w:rsidP="00294B4A">
      <w:pPr>
        <w:pStyle w:val="TableDescription"/>
      </w:pPr>
      <w:r>
        <w:t>Abbreviations: TEAE: treatment</w:t>
      </w:r>
      <w:r w:rsidR="0034703B">
        <w:t>-</w:t>
      </w:r>
      <w:r>
        <w:t xml:space="preserve">emergent adverse event; SOC: System Organ Class; PT: Preferred Term; </w:t>
      </w:r>
      <w:proofErr w:type="gramStart"/>
      <w:r>
        <w:t>n(</w:t>
      </w:r>
      <w:proofErr w:type="gramEnd"/>
      <w:r>
        <w:t>%): number and percentage of patients with at leas</w:t>
      </w:r>
      <w:r w:rsidR="00874D2B">
        <w:t>t</w:t>
      </w:r>
      <w:r>
        <w:t xml:space="preserve"> one TEAE.</w:t>
      </w:r>
    </w:p>
    <w:p w14:paraId="03019EF6" w14:textId="0B689C53" w:rsidR="00294B4A" w:rsidRDefault="00294B4A" w:rsidP="00E2569E">
      <w:pPr>
        <w:pStyle w:val="TableDescription"/>
      </w:pPr>
      <w:r>
        <w:t xml:space="preserve">Note: table sorted by </w:t>
      </w:r>
      <w:r w:rsidR="0034703B">
        <w:t>MedDRA (Medically Dictionary of Regulatory Activities) System Organ Class (</w:t>
      </w:r>
      <w:r>
        <w:t>SOC</w:t>
      </w:r>
      <w:r w:rsidR="0034703B">
        <w:t>)</w:t>
      </w:r>
      <w:r>
        <w:t xml:space="preserve"> internationally agreed order and decreasing percentage of </w:t>
      </w:r>
      <w:r w:rsidR="0034703B">
        <w:t>Preferred Terms (PT)</w:t>
      </w:r>
      <w:r>
        <w:t xml:space="preserve"> in dupilumab group.</w:t>
      </w:r>
      <w:r w:rsidR="002F436B">
        <w:t xml:space="preserve"> </w:t>
      </w:r>
      <w:r>
        <w:t>Only PT with at least one 5% in at least one group are presented.</w:t>
      </w:r>
    </w:p>
    <w:p w14:paraId="5BADE0AE" w14:textId="7913FBAB" w:rsidR="003E358D" w:rsidRDefault="003E358D" w:rsidP="003F1682">
      <w:pPr>
        <w:pStyle w:val="Heading5"/>
      </w:pPr>
      <w:r>
        <w:t>Treatment related adverse event (adverse drug reaction) overview</w:t>
      </w:r>
    </w:p>
    <w:p w14:paraId="38916926" w14:textId="3DA49F43" w:rsidR="003E358D" w:rsidRDefault="003E358D" w:rsidP="003E358D">
      <w:r>
        <w:t xml:space="preserve">The primary assessment for </w:t>
      </w:r>
      <w:r w:rsidR="003F1682">
        <w:t xml:space="preserve">adverse drug reaction </w:t>
      </w:r>
      <w:r>
        <w:t xml:space="preserve">was conducted in the </w:t>
      </w:r>
      <w:proofErr w:type="gramStart"/>
      <w:r>
        <w:t>placebo</w:t>
      </w:r>
      <w:r w:rsidR="003F1682">
        <w:t> </w:t>
      </w:r>
      <w:r>
        <w:t>controlled</w:t>
      </w:r>
      <w:proofErr w:type="gramEnd"/>
      <w:r>
        <w:t xml:space="preserve"> Study EFC14153 safety population (405 patients) (</w:t>
      </w:r>
      <w:r w:rsidR="008E1837">
        <w:fldChar w:fldCharType="begin"/>
      </w:r>
      <w:r w:rsidR="008E1837">
        <w:instrText xml:space="preserve"> REF _Ref123900376 \h </w:instrText>
      </w:r>
      <w:r w:rsidR="008E1837">
        <w:fldChar w:fldCharType="separate"/>
      </w:r>
      <w:r w:rsidR="00761EA9">
        <w:t xml:space="preserve">Table </w:t>
      </w:r>
      <w:r w:rsidR="00761EA9">
        <w:rPr>
          <w:noProof/>
        </w:rPr>
        <w:t>8</w:t>
      </w:r>
      <w:r w:rsidR="008E1837">
        <w:fldChar w:fldCharType="end"/>
      </w:r>
      <w:r w:rsidRPr="008E1837">
        <w:t>).</w:t>
      </w:r>
    </w:p>
    <w:p w14:paraId="3D7BACE6" w14:textId="31F03D47" w:rsidR="003E358D" w:rsidRDefault="00746923" w:rsidP="003E358D">
      <w:r>
        <w:t xml:space="preserve">Parasitic </w:t>
      </w:r>
      <w:proofErr w:type="spellStart"/>
      <w:r>
        <w:t>e</w:t>
      </w:r>
      <w:r w:rsidR="003E358D">
        <w:t>nterobiasis</w:t>
      </w:r>
      <w:proofErr w:type="spellEnd"/>
      <w:r w:rsidR="003E358D">
        <w:t xml:space="preserve"> and injection site reactions are considered </w:t>
      </w:r>
      <w:r w:rsidR="00CC0BAE">
        <w:t>adverse drug reaction</w:t>
      </w:r>
      <w:r w:rsidR="003E358D">
        <w:t>s despite not meeting the sponsor’s quantitative threshold based on the observed imbalance between treatment groups.</w:t>
      </w:r>
    </w:p>
    <w:p w14:paraId="4CA4C214" w14:textId="77777777" w:rsidR="003E358D" w:rsidRDefault="003E358D" w:rsidP="003F1682">
      <w:pPr>
        <w:pStyle w:val="Heading5"/>
      </w:pPr>
      <w:r>
        <w:lastRenderedPageBreak/>
        <w:t>Deaths</w:t>
      </w:r>
    </w:p>
    <w:p w14:paraId="67B660E4" w14:textId="77777777" w:rsidR="003E358D" w:rsidRDefault="003E358D" w:rsidP="003E358D">
      <w:r>
        <w:t>There were no deaths reported during either study.</w:t>
      </w:r>
    </w:p>
    <w:p w14:paraId="5AAFECAF" w14:textId="77777777" w:rsidR="003E358D" w:rsidRDefault="003E358D" w:rsidP="003F1682">
      <w:pPr>
        <w:pStyle w:val="Heading5"/>
      </w:pPr>
      <w:r>
        <w:t>Serious adverse events</w:t>
      </w:r>
    </w:p>
    <w:p w14:paraId="2A17D7F5" w14:textId="31A3F537" w:rsidR="003E358D" w:rsidRDefault="003F1682" w:rsidP="003E358D">
      <w:r>
        <w:t>For S</w:t>
      </w:r>
      <w:r w:rsidR="003E358D">
        <w:t>tudy EFC14153</w:t>
      </w:r>
      <w:r>
        <w:t>, t</w:t>
      </w:r>
      <w:r w:rsidR="003E358D">
        <w:t>he incidence of treatment</w:t>
      </w:r>
      <w:r w:rsidR="00746923">
        <w:t>-</w:t>
      </w:r>
      <w:r w:rsidR="003E358D">
        <w:t>emergent</w:t>
      </w:r>
      <w:r>
        <w:t xml:space="preserve"> serious adverse events</w:t>
      </w:r>
      <w:r w:rsidR="003E358D">
        <w:t xml:space="preserve"> </w:t>
      </w:r>
      <w:r>
        <w:t>(</w:t>
      </w:r>
      <w:r w:rsidR="003E358D">
        <w:t>SAE</w:t>
      </w:r>
      <w:r>
        <w:t>)</w:t>
      </w:r>
      <w:r w:rsidR="003E358D">
        <w:t xml:space="preserve"> was 4.8% in the dupilumab group and 4.5% in the placebo group. SAEs considered related to </w:t>
      </w:r>
      <w:r w:rsidR="00746923">
        <w:t xml:space="preserve">dupilumab </w:t>
      </w:r>
      <w:r w:rsidR="003E358D">
        <w:t xml:space="preserve">included </w:t>
      </w:r>
      <w:r>
        <w:t>two</w:t>
      </w:r>
      <w:r w:rsidR="003E358D">
        <w:t xml:space="preserve"> patients, both in the dupilumab group, who had treatment</w:t>
      </w:r>
      <w:r>
        <w:t xml:space="preserve"> </w:t>
      </w:r>
      <w:r w:rsidR="003E358D">
        <w:t>emergent SAEs of pneumonia and eosinophilia with headache and blurred vision.</w:t>
      </w:r>
    </w:p>
    <w:p w14:paraId="05ABAFA3" w14:textId="5F4185C0" w:rsidR="003E358D" w:rsidRDefault="003F1682" w:rsidP="003E358D">
      <w:r>
        <w:t xml:space="preserve">For </w:t>
      </w:r>
      <w:r w:rsidR="003E358D">
        <w:t>Study LTS14424</w:t>
      </w:r>
      <w:r>
        <w:t>, five</w:t>
      </w:r>
      <w:r w:rsidR="003E358D">
        <w:t xml:space="preserve"> (1.4%) patients experienced a SAE during the study.</w:t>
      </w:r>
    </w:p>
    <w:p w14:paraId="14068024" w14:textId="77777777" w:rsidR="003E358D" w:rsidRDefault="003E358D" w:rsidP="003F1682">
      <w:pPr>
        <w:pStyle w:val="Heading5"/>
      </w:pPr>
      <w:r>
        <w:t>Discontinuations</w:t>
      </w:r>
    </w:p>
    <w:p w14:paraId="586EA13F" w14:textId="38D6DACC" w:rsidR="003E358D" w:rsidRDefault="003F1682" w:rsidP="003E358D">
      <w:r>
        <w:t xml:space="preserve">For </w:t>
      </w:r>
      <w:r w:rsidR="003E358D">
        <w:t>Study EFC14153</w:t>
      </w:r>
      <w:r>
        <w:t>, t</w:t>
      </w:r>
      <w:r w:rsidR="003E358D">
        <w:t>he rate of treatment discontinuation due to TEAEs between dupilumab and placebo groups was 1.8% and 1.5%, respectively. In the dupilumab group, one patient experienced erythema multiforme and another patient experienced eosinophilia, both leading to permanent treatment discontinuation.</w:t>
      </w:r>
    </w:p>
    <w:p w14:paraId="272CD0A0" w14:textId="5C236785" w:rsidR="003E358D" w:rsidRDefault="003F1682" w:rsidP="003E358D">
      <w:r>
        <w:t xml:space="preserve">For </w:t>
      </w:r>
      <w:r w:rsidR="003E358D">
        <w:t>Study LTS14424</w:t>
      </w:r>
      <w:r>
        <w:t>, two</w:t>
      </w:r>
      <w:r w:rsidR="003E358D">
        <w:t xml:space="preserve"> (0.5%) patients experienced TEAEs leading to permanent treatment discontinuation (pulmonary tuberculosis and conjunctivitis allergic). Both events were considered as </w:t>
      </w:r>
      <w:r w:rsidR="003E358D" w:rsidRPr="00E2569E">
        <w:t>related to</w:t>
      </w:r>
      <w:r w:rsidR="00E2569E" w:rsidRPr="00E2569E">
        <w:t xml:space="preserve"> dupilumab</w:t>
      </w:r>
      <w:r w:rsidR="003E358D" w:rsidRPr="00E2569E">
        <w:t>.</w:t>
      </w:r>
    </w:p>
    <w:p w14:paraId="7D4C54E6" w14:textId="77777777" w:rsidR="003E358D" w:rsidRDefault="003E358D" w:rsidP="003F1682">
      <w:pPr>
        <w:pStyle w:val="Heading5"/>
      </w:pPr>
      <w:r>
        <w:t>Adverse events of special interest</w:t>
      </w:r>
    </w:p>
    <w:p w14:paraId="74620665" w14:textId="39879EE3" w:rsidR="003E358D" w:rsidRDefault="003E358D" w:rsidP="003E358D">
      <w:r>
        <w:t>In Study EFC14153, treatment</w:t>
      </w:r>
      <w:r w:rsidR="00746923">
        <w:t>-</w:t>
      </w:r>
      <w:r>
        <w:t xml:space="preserve">emergent </w:t>
      </w:r>
      <w:r w:rsidR="003F1682">
        <w:t>adverse event</w:t>
      </w:r>
      <w:r w:rsidR="00746923">
        <w:t>s</w:t>
      </w:r>
      <w:r w:rsidR="003F1682">
        <w:t xml:space="preserve"> of special interest and o</w:t>
      </w:r>
      <w:r>
        <w:t xml:space="preserve">ther selected </w:t>
      </w:r>
      <w:r w:rsidR="003F1682">
        <w:t>adverse event</w:t>
      </w:r>
      <w:r>
        <w:t xml:space="preserve"> groupings were less frequently reported in the dupilumab group when compared to placebo (</w:t>
      </w:r>
      <w:r w:rsidR="00AA1BD7">
        <w:t>greater than or equal to</w:t>
      </w:r>
      <w:r w:rsidR="003F1682">
        <w:t xml:space="preserve"> </w:t>
      </w:r>
      <w:r>
        <w:t>2% for placebo)</w:t>
      </w:r>
      <w:r w:rsidR="003F1682">
        <w:t>. These included hy</w:t>
      </w:r>
      <w:r>
        <w:t xml:space="preserve">persensitivity (1.8% </w:t>
      </w:r>
      <w:r w:rsidR="006E7601">
        <w:t>versus</w:t>
      </w:r>
      <w:r>
        <w:t xml:space="preserve"> 3.7%), conjunctivitis narrow (2.6% </w:t>
      </w:r>
      <w:r w:rsidR="006E7601">
        <w:t>versus</w:t>
      </w:r>
      <w:r>
        <w:t xml:space="preserve"> 6.7%) and </w:t>
      </w:r>
      <w:r w:rsidR="00872AB9">
        <w:t xml:space="preserve">conjunctivitis </w:t>
      </w:r>
      <w:r>
        <w:t xml:space="preserve">broad (3.0% </w:t>
      </w:r>
      <w:r w:rsidR="006E7601">
        <w:t>versus</w:t>
      </w:r>
      <w:r>
        <w:t xml:space="preserve"> 7.5%).</w:t>
      </w:r>
    </w:p>
    <w:p w14:paraId="6F9C40DB" w14:textId="771D6F9B" w:rsidR="003E358D" w:rsidRDefault="003E358D" w:rsidP="003E358D">
      <w:r>
        <w:t>Opportunistic infection</w:t>
      </w:r>
      <w:r w:rsidR="00746923">
        <w:t>s</w:t>
      </w:r>
      <w:r>
        <w:t xml:space="preserve">, malignancy, </w:t>
      </w:r>
      <w:proofErr w:type="gramStart"/>
      <w:r>
        <w:t>pregnancy</w:t>
      </w:r>
      <w:proofErr w:type="gramEnd"/>
      <w:r>
        <w:t xml:space="preserve"> or symptomatic overdose were not reported, except for one case of pulmonary tuberculosis in the dupilumab group </w:t>
      </w:r>
      <w:r w:rsidR="00746923">
        <w:t xml:space="preserve">in </w:t>
      </w:r>
      <w:r>
        <w:t>Study</w:t>
      </w:r>
      <w:r w:rsidR="00CC0BAE">
        <w:t> </w:t>
      </w:r>
      <w:r>
        <w:t>LTS14424.</w:t>
      </w:r>
    </w:p>
    <w:p w14:paraId="6195075C" w14:textId="7A979322" w:rsidR="003E358D" w:rsidRDefault="00872AB9" w:rsidP="003E358D">
      <w:r>
        <w:t xml:space="preserve">In </w:t>
      </w:r>
      <w:r w:rsidR="003E358D">
        <w:t xml:space="preserve">Study EFC14153, all </w:t>
      </w:r>
      <w:r>
        <w:t xml:space="preserve">hypersensitivity </w:t>
      </w:r>
      <w:r w:rsidR="003E358D">
        <w:t xml:space="preserve">events were mild or moderate, except </w:t>
      </w:r>
      <w:r w:rsidR="00746923">
        <w:t xml:space="preserve">one </w:t>
      </w:r>
      <w:r w:rsidR="003E358D">
        <w:t xml:space="preserve">case of anaphylactic reaction </w:t>
      </w:r>
      <w:r w:rsidR="00746923">
        <w:t xml:space="preserve">due </w:t>
      </w:r>
      <w:r w:rsidR="003E358D">
        <w:t>to peanut ingestion in the placebo group, which was severe.</w:t>
      </w:r>
      <w:r>
        <w:t xml:space="preserve"> </w:t>
      </w:r>
      <w:r w:rsidR="003E358D">
        <w:t xml:space="preserve">In Study LTS14424, no events were assessed as related to </w:t>
      </w:r>
      <w:r w:rsidR="00E2569E" w:rsidRPr="00E2569E">
        <w:t>dupilumab</w:t>
      </w:r>
      <w:r w:rsidR="003E358D">
        <w:t xml:space="preserve">. None of the patients with anaphylactic reaction or hypersensitivity events were </w:t>
      </w:r>
      <w:r w:rsidR="00746923">
        <w:t>anti-drug antibody (</w:t>
      </w:r>
      <w:r w:rsidR="003E358D">
        <w:t>ADA</w:t>
      </w:r>
      <w:r w:rsidR="00746923">
        <w:t>)</w:t>
      </w:r>
      <w:r w:rsidR="003E358D">
        <w:t xml:space="preserve"> positive.</w:t>
      </w:r>
    </w:p>
    <w:p w14:paraId="26DB7D62" w14:textId="2C247F2E" w:rsidR="00CC0BAE" w:rsidRDefault="00872AB9" w:rsidP="003E358D">
      <w:r>
        <w:t>In</w:t>
      </w:r>
      <w:r w:rsidR="003E358D">
        <w:t xml:space="preserve"> Study EFC14153,</w:t>
      </w:r>
      <w:r w:rsidRPr="00872AB9">
        <w:t xml:space="preserve"> </w:t>
      </w:r>
      <w:r>
        <w:t>injection site reactions (</w:t>
      </w:r>
      <w:r w:rsidR="00746923">
        <w:t xml:space="preserve">duration </w:t>
      </w:r>
      <w:r w:rsidR="002813DD">
        <w:t>greater than</w:t>
      </w:r>
      <w:r>
        <w:t xml:space="preserve"> 24</w:t>
      </w:r>
      <w:r w:rsidR="002813DD">
        <w:t xml:space="preserve"> </w:t>
      </w:r>
      <w:r>
        <w:t>h</w:t>
      </w:r>
      <w:r w:rsidR="002813DD">
        <w:t>ours</w:t>
      </w:r>
      <w:r>
        <w:t xml:space="preserve">) </w:t>
      </w:r>
      <w:r w:rsidR="003E358D">
        <w:t xml:space="preserve">were reported for </w:t>
      </w:r>
      <w:r>
        <w:t>two</w:t>
      </w:r>
      <w:r w:rsidR="003E358D">
        <w:t xml:space="preserve"> (0.7%) patients in the dupilumab group and none in the placebo group. In both cases, the event </w:t>
      </w:r>
      <w:proofErr w:type="gramStart"/>
      <w:r w:rsidR="003E358D">
        <w:t>was considered</w:t>
      </w:r>
      <w:r w:rsidR="00746923">
        <w:t xml:space="preserve"> to be</w:t>
      </w:r>
      <w:proofErr w:type="gramEnd"/>
      <w:r w:rsidR="003E358D">
        <w:t xml:space="preserve"> related to</w:t>
      </w:r>
      <w:r w:rsidR="00E2569E">
        <w:t xml:space="preserve"> </w:t>
      </w:r>
      <w:r w:rsidR="00E2569E" w:rsidRPr="00E2569E">
        <w:t>dupilumab</w:t>
      </w:r>
      <w:r w:rsidR="00E2569E">
        <w:t xml:space="preserve"> </w:t>
      </w:r>
      <w:r w:rsidR="003E358D">
        <w:t xml:space="preserve">and led to permanent treatment discontinuation. Overall, a higher incidence of injection site reactions was reported in the dupilumab group compared to placebo (48 </w:t>
      </w:r>
      <w:r>
        <w:t>(</w:t>
      </w:r>
      <w:r w:rsidR="003E358D">
        <w:t>17.7%</w:t>
      </w:r>
      <w:r>
        <w:t>)</w:t>
      </w:r>
      <w:r w:rsidR="003E358D">
        <w:t xml:space="preserve"> </w:t>
      </w:r>
      <w:r w:rsidR="006E7601">
        <w:t>versus</w:t>
      </w:r>
      <w:r w:rsidR="003E358D">
        <w:t xml:space="preserve"> 18 </w:t>
      </w:r>
      <w:r>
        <w:t>(</w:t>
      </w:r>
      <w:r w:rsidR="003E358D">
        <w:t>13.4%</w:t>
      </w:r>
      <w:r>
        <w:t>)</w:t>
      </w:r>
      <w:r w:rsidR="003E358D">
        <w:t xml:space="preserve"> patients).</w:t>
      </w:r>
    </w:p>
    <w:p w14:paraId="34F65B2A" w14:textId="1332C24F" w:rsidR="003E358D" w:rsidRDefault="00CC0BAE" w:rsidP="003E358D">
      <w:r>
        <w:t>T</w:t>
      </w:r>
      <w:r w:rsidR="003E358D">
        <w:t>he percentage of patients who experienced severe or serious infections was low</w:t>
      </w:r>
      <w:r>
        <w:t xml:space="preserve"> in Study</w:t>
      </w:r>
      <w:r w:rsidR="00746923">
        <w:t> </w:t>
      </w:r>
      <w:r>
        <w:t>EFC14153,</w:t>
      </w:r>
      <w:r w:rsidR="0040369E">
        <w:t xml:space="preserve"> </w:t>
      </w:r>
      <w:r w:rsidR="003E358D">
        <w:t xml:space="preserve">(1.5% </w:t>
      </w:r>
      <w:r w:rsidR="006E7601">
        <w:t>versus</w:t>
      </w:r>
      <w:r w:rsidR="003E358D">
        <w:t xml:space="preserve"> 2.2%</w:t>
      </w:r>
      <w:r w:rsidR="00746923">
        <w:t xml:space="preserve"> patients</w:t>
      </w:r>
      <w:r w:rsidR="003E358D">
        <w:t xml:space="preserve">). </w:t>
      </w:r>
      <w:r w:rsidR="00872AB9">
        <w:t>One</w:t>
      </w:r>
      <w:r w:rsidR="003E358D">
        <w:t xml:space="preserve"> (0.4%) patient in the dupilumab group experienced severe or serious infection (pneumonia) related to</w:t>
      </w:r>
      <w:r w:rsidR="00E2569E">
        <w:t xml:space="preserve"> </w:t>
      </w:r>
      <w:r w:rsidR="00E2569E" w:rsidRPr="00E2569E">
        <w:t>dupilumab</w:t>
      </w:r>
      <w:r w:rsidR="003E358D">
        <w:t>. All patients recovered.</w:t>
      </w:r>
    </w:p>
    <w:p w14:paraId="20A17CFA" w14:textId="7DE3A608" w:rsidR="003E358D" w:rsidRDefault="00DE56C3" w:rsidP="003E358D">
      <w:r>
        <w:t>I</w:t>
      </w:r>
      <w:r w:rsidR="003E358D">
        <w:t>n Study EFC14153,</w:t>
      </w:r>
      <w:r>
        <w:t xml:space="preserve"> parasitic infections </w:t>
      </w:r>
      <w:r w:rsidR="003E358D">
        <w:t xml:space="preserve">were reported in </w:t>
      </w:r>
      <w:r w:rsidR="00AA1BD7">
        <w:t>seven</w:t>
      </w:r>
      <w:r w:rsidR="003E358D">
        <w:t xml:space="preserve"> (2.6%) patients in the dupilumab group </w:t>
      </w:r>
      <w:r w:rsidR="006E7601">
        <w:t>versus</w:t>
      </w:r>
      <w:r w:rsidR="003E358D">
        <w:t xml:space="preserve"> one in the placebo group. Five cases of </w:t>
      </w:r>
      <w:proofErr w:type="spellStart"/>
      <w:r w:rsidR="003E358D">
        <w:t>enterobiasis</w:t>
      </w:r>
      <w:proofErr w:type="spellEnd"/>
      <w:r w:rsidR="003E358D">
        <w:t xml:space="preserve">, one case of ascariasis, and one case of lice infestation were reported in the dupilumab group. None were assessed as related to </w:t>
      </w:r>
      <w:r w:rsidR="00E2569E" w:rsidRPr="00E2569E">
        <w:t>dupilumab</w:t>
      </w:r>
      <w:r w:rsidR="003E358D">
        <w:t xml:space="preserve">. </w:t>
      </w:r>
      <w:r w:rsidR="00872AB9">
        <w:t>Five</w:t>
      </w:r>
      <w:r w:rsidR="003E358D">
        <w:t xml:space="preserve"> out of </w:t>
      </w:r>
      <w:r w:rsidR="00AA1BD7">
        <w:t>six</w:t>
      </w:r>
      <w:r w:rsidR="003E358D">
        <w:t xml:space="preserve"> patients with </w:t>
      </w:r>
      <w:proofErr w:type="spellStart"/>
      <w:r w:rsidR="003E358D">
        <w:t>enterobiasis</w:t>
      </w:r>
      <w:proofErr w:type="spellEnd"/>
      <w:r w:rsidR="00872AB9">
        <w:t xml:space="preserve"> or </w:t>
      </w:r>
      <w:r w:rsidR="003E358D">
        <w:t>ascariasis were from endemic areas for soil transmitted helminthic infection.</w:t>
      </w:r>
      <w:r>
        <w:t xml:space="preserve"> </w:t>
      </w:r>
      <w:r w:rsidR="003E358D">
        <w:t>In Study</w:t>
      </w:r>
      <w:r w:rsidR="00746923">
        <w:t> </w:t>
      </w:r>
      <w:r w:rsidR="003E358D">
        <w:t xml:space="preserve">LTS14424, </w:t>
      </w:r>
      <w:r w:rsidR="00872AB9">
        <w:t>four</w:t>
      </w:r>
      <w:r w:rsidR="003E358D">
        <w:t xml:space="preserve"> (1.1%) patients experienced parasitic infections (</w:t>
      </w:r>
      <w:proofErr w:type="spellStart"/>
      <w:r w:rsidR="003E358D">
        <w:t>enterobiasis</w:t>
      </w:r>
      <w:proofErr w:type="spellEnd"/>
      <w:r w:rsidR="003E358D">
        <w:t xml:space="preserve"> in </w:t>
      </w:r>
      <w:r w:rsidR="00872AB9">
        <w:t>three</w:t>
      </w:r>
      <w:r w:rsidR="003E358D">
        <w:t xml:space="preserve"> patients and ascariasis in </w:t>
      </w:r>
      <w:r w:rsidR="00872AB9">
        <w:t>one pat</w:t>
      </w:r>
      <w:r w:rsidR="003E358D">
        <w:t xml:space="preserve">ient), none of which were </w:t>
      </w:r>
      <w:proofErr w:type="gramStart"/>
      <w:r w:rsidR="003E358D">
        <w:t>serious</w:t>
      </w:r>
      <w:proofErr w:type="gramEnd"/>
      <w:r w:rsidR="003E358D">
        <w:t xml:space="preserve"> and none led to </w:t>
      </w:r>
      <w:r w:rsidR="003E358D">
        <w:lastRenderedPageBreak/>
        <w:t xml:space="preserve">permanent treatment discontinuation. In </w:t>
      </w:r>
      <w:r w:rsidR="00872AB9">
        <w:t>two</w:t>
      </w:r>
      <w:r w:rsidR="003E358D">
        <w:t xml:space="preserve"> patients, the events </w:t>
      </w:r>
      <w:proofErr w:type="gramStart"/>
      <w:r w:rsidR="003E358D">
        <w:t>were considered to be</w:t>
      </w:r>
      <w:proofErr w:type="gramEnd"/>
      <w:r w:rsidR="003E358D">
        <w:t xml:space="preserve"> related to</w:t>
      </w:r>
      <w:r w:rsidR="00145BF3">
        <w:t xml:space="preserve"> </w:t>
      </w:r>
      <w:r w:rsidR="00145BF3" w:rsidRPr="00E2569E">
        <w:t>dupilumab</w:t>
      </w:r>
      <w:r w:rsidR="003E358D">
        <w:t>.</w:t>
      </w:r>
    </w:p>
    <w:p w14:paraId="4A5F5A9C" w14:textId="38597838" w:rsidR="003E358D" w:rsidRDefault="00DE56C3" w:rsidP="003E358D">
      <w:r>
        <w:t>I</w:t>
      </w:r>
      <w:r w:rsidR="003E358D">
        <w:t>n Study EFC14153,</w:t>
      </w:r>
      <w:r>
        <w:t xml:space="preserve"> </w:t>
      </w:r>
      <w:r w:rsidR="003E358D">
        <w:t>the incidence of potentially drug</w:t>
      </w:r>
      <w:r w:rsidR="00872AB9">
        <w:t xml:space="preserve"> </w:t>
      </w:r>
      <w:r w:rsidR="003E358D">
        <w:t>related hepatic disorders was low (</w:t>
      </w:r>
      <w:r w:rsidR="00872AB9">
        <w:t>one</w:t>
      </w:r>
      <w:r w:rsidR="003E358D">
        <w:t xml:space="preserve"> </w:t>
      </w:r>
      <w:r w:rsidR="00872AB9">
        <w:t>(</w:t>
      </w:r>
      <w:r w:rsidR="003E358D">
        <w:t>0.4%</w:t>
      </w:r>
      <w:r w:rsidR="00872AB9">
        <w:t>)</w:t>
      </w:r>
      <w:r w:rsidR="003E358D">
        <w:t xml:space="preserve"> patient in the dupilumab group </w:t>
      </w:r>
      <w:r w:rsidR="00872AB9">
        <w:t>(aspartate aminotransferase</w:t>
      </w:r>
      <w:r w:rsidR="00746923">
        <w:t xml:space="preserve"> (AST)</w:t>
      </w:r>
      <w:r w:rsidR="003E358D">
        <w:t xml:space="preserve"> increased</w:t>
      </w:r>
      <w:r w:rsidR="00872AB9">
        <w:t>)</w:t>
      </w:r>
      <w:r w:rsidR="003E358D">
        <w:t xml:space="preserve"> and </w:t>
      </w:r>
      <w:r w:rsidR="00872AB9">
        <w:t>one (</w:t>
      </w:r>
      <w:r w:rsidR="003E358D">
        <w:t>0.7%</w:t>
      </w:r>
      <w:r w:rsidR="00872AB9">
        <w:t>)</w:t>
      </w:r>
      <w:r w:rsidR="003E358D">
        <w:t xml:space="preserve"> patient in the placebo group </w:t>
      </w:r>
      <w:r w:rsidR="00872AB9">
        <w:t>(</w:t>
      </w:r>
      <w:r w:rsidR="003E358D">
        <w:t xml:space="preserve">hepatic steatosis and </w:t>
      </w:r>
      <w:r w:rsidR="00872AB9" w:rsidRPr="00872AB9">
        <w:t>alanine aminotransferase</w:t>
      </w:r>
      <w:r w:rsidR="003E358D">
        <w:t xml:space="preserve"> increased</w:t>
      </w:r>
      <w:r w:rsidR="00872AB9">
        <w:t>)</w:t>
      </w:r>
      <w:r w:rsidR="003E358D">
        <w:t>). None of the events were</w:t>
      </w:r>
      <w:r w:rsidR="003E358D" w:rsidRPr="003E358D">
        <w:t xml:space="preserve"> </w:t>
      </w:r>
      <w:r w:rsidR="003E358D">
        <w:t>assessed as related to</w:t>
      </w:r>
      <w:r w:rsidR="00145BF3">
        <w:t xml:space="preserve"> </w:t>
      </w:r>
      <w:r w:rsidR="00145BF3" w:rsidRPr="00E2569E">
        <w:t>dupilumab</w:t>
      </w:r>
      <w:r w:rsidR="003E358D">
        <w:t>. There were no cases of abnormal liver function tests meeting the Hy's law criteria.</w:t>
      </w:r>
      <w:r w:rsidR="00043F77">
        <w:rPr>
          <w:rStyle w:val="FootnoteReference"/>
        </w:rPr>
        <w:footnoteReference w:id="21"/>
      </w:r>
    </w:p>
    <w:p w14:paraId="47E1D303" w14:textId="262647DE" w:rsidR="003E358D" w:rsidRDefault="003E358D" w:rsidP="003E358D">
      <w:r>
        <w:t xml:space="preserve">In Study EFC14153, the incidence </w:t>
      </w:r>
      <w:r w:rsidR="00DE56C3">
        <w:t xml:space="preserve">of conjunctivitis </w:t>
      </w:r>
      <w:r>
        <w:t>was lower in the dupilumab group compared to placebo</w:t>
      </w:r>
      <w:r w:rsidR="00DE56C3">
        <w:t xml:space="preserve"> (c</w:t>
      </w:r>
      <w:r>
        <w:t xml:space="preserve">onjunctivitis narrow (2.6% </w:t>
      </w:r>
      <w:r w:rsidR="006E7601">
        <w:t>versus</w:t>
      </w:r>
      <w:r>
        <w:t xml:space="preserve"> 6.7%) and </w:t>
      </w:r>
      <w:r w:rsidR="00DE56C3">
        <w:t xml:space="preserve">conjunctivitis </w:t>
      </w:r>
      <w:r>
        <w:t xml:space="preserve">broad (3.0% </w:t>
      </w:r>
      <w:r w:rsidR="006E7601">
        <w:t>versus</w:t>
      </w:r>
      <w:r>
        <w:t xml:space="preserve"> 7.5%)</w:t>
      </w:r>
      <w:r w:rsidR="00DE56C3">
        <w:t>)</w:t>
      </w:r>
      <w:r>
        <w:t>.</w:t>
      </w:r>
      <w:r w:rsidR="00DE56C3">
        <w:t xml:space="preserve"> </w:t>
      </w:r>
      <w:r>
        <w:t xml:space="preserve">In Study LTS14424, </w:t>
      </w:r>
      <w:r w:rsidR="00DE56C3">
        <w:t xml:space="preserve">three </w:t>
      </w:r>
      <w:r>
        <w:t xml:space="preserve">out of </w:t>
      </w:r>
      <w:r w:rsidR="00DE56C3">
        <w:t>ten</w:t>
      </w:r>
      <w:r>
        <w:t xml:space="preserve"> events </w:t>
      </w:r>
      <w:proofErr w:type="gramStart"/>
      <w:r>
        <w:t>were considered to be</w:t>
      </w:r>
      <w:proofErr w:type="gramEnd"/>
      <w:r>
        <w:t xml:space="preserve"> related to</w:t>
      </w:r>
      <w:r w:rsidR="00145BF3">
        <w:t xml:space="preserve"> </w:t>
      </w:r>
      <w:r w:rsidR="00145BF3" w:rsidRPr="00E2569E">
        <w:t>dupilumab</w:t>
      </w:r>
      <w:r w:rsidR="00145BF3">
        <w:t xml:space="preserve"> </w:t>
      </w:r>
      <w:r>
        <w:t xml:space="preserve">and </w:t>
      </w:r>
      <w:r w:rsidR="00DE56C3">
        <w:t>one</w:t>
      </w:r>
      <w:r>
        <w:t xml:space="preserve"> event led to permanent treatment discontinuation.</w:t>
      </w:r>
    </w:p>
    <w:p w14:paraId="37A6A71C" w14:textId="0D54D425" w:rsidR="003E358D" w:rsidRDefault="003E358D" w:rsidP="003E358D">
      <w:r>
        <w:t>Eosinophilia (</w:t>
      </w:r>
      <w:r w:rsidR="00746923">
        <w:t xml:space="preserve">defined as eosinophil count </w:t>
      </w:r>
      <w:r w:rsidR="009F418B">
        <w:t>greater than</w:t>
      </w:r>
      <w:r w:rsidR="002813DD">
        <w:t xml:space="preserve"> </w:t>
      </w:r>
      <w:r>
        <w:t>3</w:t>
      </w:r>
      <w:r w:rsidR="0040369E">
        <w:t xml:space="preserve"> </w:t>
      </w:r>
      <w:r>
        <w:t>x 10</w:t>
      </w:r>
      <w:r w:rsidRPr="00DE56C3">
        <w:rPr>
          <w:vertAlign w:val="superscript"/>
        </w:rPr>
        <w:t>9</w:t>
      </w:r>
      <w:r>
        <w:t>/L</w:t>
      </w:r>
      <w:r w:rsidR="00746923">
        <w:t>)</w:t>
      </w:r>
      <w:r>
        <w:t xml:space="preserve"> </w:t>
      </w:r>
      <w:r w:rsidR="00DE56C3">
        <w:t xml:space="preserve">was </w:t>
      </w:r>
      <w:r>
        <w:t xml:space="preserve">considered </w:t>
      </w:r>
      <w:r w:rsidR="00DE56C3">
        <w:t>an adverse event</w:t>
      </w:r>
      <w:r>
        <w:t>, even if asymptomatic)</w:t>
      </w:r>
      <w:r w:rsidR="00DE56C3">
        <w:t xml:space="preserve">. </w:t>
      </w:r>
      <w:r>
        <w:t xml:space="preserve">In Study EFC14153, a higher incidence was reported in the dupilumab group: 18 (6.6%) </w:t>
      </w:r>
      <w:r w:rsidR="006E7601">
        <w:t>versus</w:t>
      </w:r>
      <w:r>
        <w:t xml:space="preserve"> </w:t>
      </w:r>
      <w:r w:rsidR="00746923">
        <w:t>one</w:t>
      </w:r>
      <w:r>
        <w:t xml:space="preserve"> (0.7%) patient. Most TEAEs of eosinophilia (16 out of 18 in the dupilumab group) were self</w:t>
      </w:r>
      <w:r w:rsidR="00746923">
        <w:t>-</w:t>
      </w:r>
      <w:r>
        <w:t xml:space="preserve">limiting laboratory findings without any associated symptoms. Two events </w:t>
      </w:r>
      <w:proofErr w:type="gramStart"/>
      <w:r>
        <w:t xml:space="preserve">were considered </w:t>
      </w:r>
      <w:r w:rsidR="00746923">
        <w:t>to be</w:t>
      </w:r>
      <w:proofErr w:type="gramEnd"/>
      <w:r w:rsidR="00746923">
        <w:t xml:space="preserve"> </w:t>
      </w:r>
      <w:r>
        <w:t>SAEs, both in the dupilumab</w:t>
      </w:r>
      <w:r w:rsidRPr="003E358D">
        <w:t xml:space="preserve"> </w:t>
      </w:r>
      <w:r>
        <w:t xml:space="preserve">group. One of them was associated with clinical symptoms (headache and dizziness </w:t>
      </w:r>
      <w:r w:rsidR="00DE56C3">
        <w:t>(</w:t>
      </w:r>
      <w:r>
        <w:t>reported as blurred vision)</w:t>
      </w:r>
      <w:r w:rsidR="00DE56C3">
        <w:t>)</w:t>
      </w:r>
      <w:r>
        <w:t>, was severe, and led to permanent treatment discontinuation. The patients recovered.</w:t>
      </w:r>
    </w:p>
    <w:p w14:paraId="0F65AC86" w14:textId="1A8351F8" w:rsidR="003E358D" w:rsidRDefault="003E358D" w:rsidP="003E358D">
      <w:r>
        <w:t>In the dupilumab group, a transient increase in the mean blood eosinophil count was observed at the first post-</w:t>
      </w:r>
      <w:r w:rsidR="00DE56C3">
        <w:t>B</w:t>
      </w:r>
      <w:r>
        <w:t xml:space="preserve">aseline assessment at Week 12; the mean eosinophil count returned to the </w:t>
      </w:r>
      <w:r w:rsidR="00DE56C3">
        <w:t>B</w:t>
      </w:r>
      <w:r>
        <w:t>aseline values by Week 36. The apparent trend to a subsequent increase at Week 52 may be due to a single outlier patient.</w:t>
      </w:r>
    </w:p>
    <w:p w14:paraId="4A9851DE" w14:textId="283D2E05" w:rsidR="003E358D" w:rsidRDefault="003E358D" w:rsidP="003E358D">
      <w:r>
        <w:t xml:space="preserve">In Study LTS14424, TEAEs of eosinophilia were reported in 13 (3.6%) patients overall, with higher incidence in the placebo-dupilumab category than in the dupilumab-dupilumab category (6.4% </w:t>
      </w:r>
      <w:r w:rsidR="006E7601">
        <w:t>versus</w:t>
      </w:r>
      <w:r>
        <w:t xml:space="preserve"> 2.1%, or 7.42 </w:t>
      </w:r>
      <w:r w:rsidR="006E7601">
        <w:t>versus</w:t>
      </w:r>
      <w:r>
        <w:t xml:space="preserve"> 2.34 per 100 PY). In all cases, eosinophilia were laboratory findings without symptoms.</w:t>
      </w:r>
    </w:p>
    <w:p w14:paraId="11BD2DC9" w14:textId="0279D5D6" w:rsidR="003E358D" w:rsidRDefault="00DE56C3" w:rsidP="003E358D">
      <w:r>
        <w:t>For immunogenicity, i</w:t>
      </w:r>
      <w:r w:rsidR="003E358D">
        <w:t xml:space="preserve">n Study EFC14153, persistent ADA responses were observed in 3.3% </w:t>
      </w:r>
      <w:r w:rsidR="006E7601">
        <w:t>versus</w:t>
      </w:r>
      <w:r w:rsidR="003E358D">
        <w:t xml:space="preserve"> 0.8% of patients. In Study LTS14424, the rate was 2.2% (4.4% in the updated 2021 dataset)</w:t>
      </w:r>
      <w:r w:rsidR="00CC0BAE">
        <w:t xml:space="preserve">. </w:t>
      </w:r>
      <w:r w:rsidR="003E358D">
        <w:t>High titre ADA response (</w:t>
      </w:r>
      <w:r w:rsidR="002813DD">
        <w:t>greater than</w:t>
      </w:r>
      <w:r w:rsidR="00145BF3">
        <w:t xml:space="preserve"> </w:t>
      </w:r>
      <w:r w:rsidR="003E358D">
        <w:t>10</w:t>
      </w:r>
      <w:r w:rsidR="007254C6">
        <w:t>,</w:t>
      </w:r>
      <w:r w:rsidR="003E358D">
        <w:t xml:space="preserve">000) was observed in </w:t>
      </w:r>
      <w:r>
        <w:t>one</w:t>
      </w:r>
      <w:r w:rsidR="003E358D">
        <w:t xml:space="preserve"> case. </w:t>
      </w:r>
      <w:r>
        <w:t>Six</w:t>
      </w:r>
      <w:r w:rsidR="003E358D">
        <w:t xml:space="preserve"> (1.9%) patients treated with dupilumab had neutralising antibodies compared to </w:t>
      </w:r>
      <w:r>
        <w:t>one</w:t>
      </w:r>
      <w:r w:rsidR="003E358D">
        <w:t xml:space="preserve"> patient (0.8%) in the placebo group.</w:t>
      </w:r>
    </w:p>
    <w:p w14:paraId="336E99EF" w14:textId="4D24B55A" w:rsidR="003E358D" w:rsidRDefault="00DE56C3" w:rsidP="003E358D">
      <w:r>
        <w:t>There is n</w:t>
      </w:r>
      <w:r w:rsidR="003E358D">
        <w:t xml:space="preserve">o data </w:t>
      </w:r>
      <w:r>
        <w:t>available for growth and development</w:t>
      </w:r>
      <w:r w:rsidR="003E358D">
        <w:t>.</w:t>
      </w:r>
    </w:p>
    <w:p w14:paraId="351430D4" w14:textId="77777777" w:rsidR="003E358D" w:rsidRDefault="003E358D" w:rsidP="00DE56C3">
      <w:pPr>
        <w:pStyle w:val="Heading5"/>
      </w:pPr>
      <w:r>
        <w:t>Post-market experience</w:t>
      </w:r>
    </w:p>
    <w:p w14:paraId="6009FFE1" w14:textId="21254989" w:rsidR="003E358D" w:rsidRDefault="00DE56C3" w:rsidP="003E358D">
      <w:r>
        <w:t xml:space="preserve">There is </w:t>
      </w:r>
      <w:r w:rsidR="00C01956">
        <w:t>no</w:t>
      </w:r>
      <w:r w:rsidR="003E358D">
        <w:t xml:space="preserve"> data in the 6 to </w:t>
      </w:r>
      <w:r w:rsidR="00BE5DB6">
        <w:t>younger</w:t>
      </w:r>
      <w:r w:rsidR="00A17B72">
        <w:t xml:space="preserve"> than 12</w:t>
      </w:r>
      <w:r w:rsidR="00737BDF">
        <w:t xml:space="preserve"> </w:t>
      </w:r>
      <w:r w:rsidR="003E358D">
        <w:t>y</w:t>
      </w:r>
      <w:r w:rsidR="00CC4188">
        <w:t>ears</w:t>
      </w:r>
      <w:r w:rsidR="003E358D">
        <w:t xml:space="preserve"> </w:t>
      </w:r>
      <w:r w:rsidR="00C01956">
        <w:t xml:space="preserve">of </w:t>
      </w:r>
      <w:r w:rsidR="003E358D">
        <w:t>age group available</w:t>
      </w:r>
      <w:r w:rsidR="00C01956">
        <w:t xml:space="preserve"> for the propose</w:t>
      </w:r>
      <w:r w:rsidR="00CE5202">
        <w:t>d</w:t>
      </w:r>
      <w:r w:rsidR="00C01956">
        <w:t xml:space="preserve"> indication for the treatment of asthma</w:t>
      </w:r>
      <w:r w:rsidR="003E358D">
        <w:t>.</w:t>
      </w:r>
    </w:p>
    <w:p w14:paraId="7E9B0B13" w14:textId="0F5A4933" w:rsidR="00BE5DB6" w:rsidRDefault="002727A2" w:rsidP="008E1837">
      <w:pPr>
        <w:pStyle w:val="TableTitle"/>
      </w:pPr>
      <w:r>
        <w:lastRenderedPageBreak/>
        <w:t xml:space="preserve">Table </w:t>
      </w:r>
      <w:fldSimple w:instr=" SEQ Table \* ARABIC ">
        <w:r w:rsidR="00761EA9">
          <w:rPr>
            <w:noProof/>
          </w:rPr>
          <w:t>7</w:t>
        </w:r>
      </w:fldSimple>
      <w:r w:rsidRPr="004B0EE9">
        <w:t xml:space="preserve">: </w:t>
      </w:r>
      <w:r w:rsidR="003E358D" w:rsidRPr="004B0EE9">
        <w:t>Study LTS14424</w:t>
      </w:r>
      <w:r w:rsidRPr="004B0EE9">
        <w:t xml:space="preserve"> </w:t>
      </w:r>
      <w:r w:rsidR="00C01956">
        <w:t>N</w:t>
      </w:r>
      <w:r w:rsidR="003E358D" w:rsidRPr="004B0EE9">
        <w:t>umber (%)</w:t>
      </w:r>
      <w:r w:rsidR="003E358D" w:rsidRPr="003E358D">
        <w:t xml:space="preserve"> of patients with</w:t>
      </w:r>
      <w:r>
        <w:t xml:space="preserve"> treatment</w:t>
      </w:r>
      <w:r w:rsidR="00C01956">
        <w:t>-</w:t>
      </w:r>
      <w:r>
        <w:t>emergent adverse events</w:t>
      </w:r>
      <w:r w:rsidR="003E358D" w:rsidRPr="003E358D">
        <w:t xml:space="preserve"> that occurred with a frequency </w:t>
      </w:r>
      <w:r w:rsidR="009D40D8">
        <w:t xml:space="preserve">greater than or equal to </w:t>
      </w:r>
      <w:r w:rsidR="003E358D" w:rsidRPr="003E358D">
        <w:t xml:space="preserve">5% in any treatment group by primary </w:t>
      </w:r>
      <w:r w:rsidR="00294B4A">
        <w:t>S</w:t>
      </w:r>
      <w:r w:rsidR="004B0EE9">
        <w:t xml:space="preserve">ystem </w:t>
      </w:r>
      <w:r w:rsidR="00294B4A">
        <w:t>O</w:t>
      </w:r>
      <w:r w:rsidR="004B0EE9">
        <w:t xml:space="preserve">rgan </w:t>
      </w:r>
      <w:r w:rsidR="00294B4A">
        <w:t>C</w:t>
      </w:r>
      <w:r w:rsidR="004B0EE9">
        <w:t>lass</w:t>
      </w:r>
      <w:r w:rsidR="003E358D" w:rsidRPr="003E358D">
        <w:t xml:space="preserve"> and </w:t>
      </w:r>
      <w:r w:rsidR="00294B4A">
        <w:t>P</w:t>
      </w:r>
      <w:r w:rsidR="004B0EE9">
        <w:t xml:space="preserve">referred </w:t>
      </w:r>
      <w:r w:rsidR="00294B4A">
        <w:t>T</w:t>
      </w:r>
      <w:r w:rsidR="004B0EE9">
        <w:t>erm</w:t>
      </w:r>
      <w:r w:rsidR="003E358D" w:rsidRPr="003E358D">
        <w:t xml:space="preserve"> (</w:t>
      </w:r>
      <w:r w:rsidR="004B0EE9">
        <w:t>f</w:t>
      </w:r>
      <w:r w:rsidR="003E358D" w:rsidRPr="003E358D">
        <w:t>ull analysis set)</w:t>
      </w:r>
    </w:p>
    <w:p w14:paraId="4758D7B5" w14:textId="2A14E4D2" w:rsidR="00294B4A" w:rsidRDefault="00294B4A" w:rsidP="008D6574">
      <w:r>
        <w:rPr>
          <w:noProof/>
          <w:lang w:val="en-GB" w:eastAsia="en-GB"/>
        </w:rPr>
        <w:drawing>
          <wp:inline distT="0" distB="0" distL="0" distR="0" wp14:anchorId="53336CD3" wp14:editId="1755AF77">
            <wp:extent cx="5400040" cy="2613025"/>
            <wp:effectExtent l="0" t="0" r="0" b="0"/>
            <wp:docPr id="19" name="Picture 19" descr="Study LTS14424 Number (%) of patients with treatment-emergent adverse events that occurred with a frequency greater than or equal to 5% in any treatment group by primary System Organ Class and Preferred Term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LTS14424 Number (%) of patients with treatment-emergent adverse events that occurred with a frequency greater than or equal to 5% in any treatment group by primary System Organ Class and Preferred Term (full analysis set)"/>
                    <pic:cNvPicPr/>
                  </pic:nvPicPr>
                  <pic:blipFill>
                    <a:blip r:embed="rId31"/>
                    <a:stretch>
                      <a:fillRect/>
                    </a:stretch>
                  </pic:blipFill>
                  <pic:spPr>
                    <a:xfrm>
                      <a:off x="0" y="0"/>
                      <a:ext cx="5400040" cy="2613025"/>
                    </a:xfrm>
                    <a:prstGeom prst="rect">
                      <a:avLst/>
                    </a:prstGeom>
                  </pic:spPr>
                </pic:pic>
              </a:graphicData>
            </a:graphic>
          </wp:inline>
        </w:drawing>
      </w:r>
    </w:p>
    <w:p w14:paraId="78E51982" w14:textId="170D2A31" w:rsidR="00294B4A" w:rsidRDefault="00294B4A" w:rsidP="00294B4A">
      <w:pPr>
        <w:pStyle w:val="TableDescription"/>
      </w:pPr>
      <w:r>
        <w:t xml:space="preserve">Abbreviations: TEAE: treatment emergent adverse event; SOC: System Organ Class; PT: Preferred Term; </w:t>
      </w:r>
      <w:proofErr w:type="gramStart"/>
      <w:r>
        <w:t>n(</w:t>
      </w:r>
      <w:proofErr w:type="gramEnd"/>
      <w:r>
        <w:t>%): number and percentage of patients with at leas</w:t>
      </w:r>
      <w:r w:rsidR="00BE5DB6">
        <w:t>t</w:t>
      </w:r>
      <w:r>
        <w:t xml:space="preserve"> one TEAE, PY: total patient-years</w:t>
      </w:r>
      <w:r w:rsidR="003C5B43">
        <w:t>.</w:t>
      </w:r>
    </w:p>
    <w:p w14:paraId="3CFAF12E" w14:textId="623B008A" w:rsidR="00294B4A" w:rsidRDefault="00294B4A" w:rsidP="00294B4A">
      <w:pPr>
        <w:pStyle w:val="TableDescription"/>
      </w:pPr>
      <w:r>
        <w:t xml:space="preserve">Note: table sorted by </w:t>
      </w:r>
      <w:r w:rsidR="00C01956">
        <w:t xml:space="preserve">Medical Dictionary for Regulatory Affairs (MedDRA) </w:t>
      </w:r>
      <w:r>
        <w:t xml:space="preserve">SOC internationally agreed order and by decreasing frequency of </w:t>
      </w:r>
      <w:r w:rsidR="00C01956">
        <w:t xml:space="preserve">PT </w:t>
      </w:r>
      <w:r>
        <w:t>in the overall category</w:t>
      </w:r>
      <w:r w:rsidR="003C5B43">
        <w:t>.</w:t>
      </w:r>
    </w:p>
    <w:p w14:paraId="2F47CBCF" w14:textId="640AF41D" w:rsidR="006B73A5" w:rsidRDefault="008E1837" w:rsidP="00145BF3">
      <w:pPr>
        <w:pStyle w:val="TableTitle"/>
      </w:pPr>
      <w:bookmarkStart w:id="57" w:name="_Ref123900376"/>
      <w:r>
        <w:lastRenderedPageBreak/>
        <w:t xml:space="preserve">Table </w:t>
      </w:r>
      <w:fldSimple w:instr=" SEQ Table \* ARABIC ">
        <w:r w:rsidR="00761EA9">
          <w:rPr>
            <w:noProof/>
          </w:rPr>
          <w:t>8</w:t>
        </w:r>
      </w:fldSimple>
      <w:bookmarkEnd w:id="57"/>
      <w:r>
        <w:t>:</w:t>
      </w:r>
      <w:r w:rsidR="003E358D" w:rsidRPr="003E358D">
        <w:t xml:space="preserve"> </w:t>
      </w:r>
      <w:r w:rsidR="003E358D" w:rsidRPr="008E1837">
        <w:t>Study EFC14153</w:t>
      </w:r>
      <w:r>
        <w:t xml:space="preserve"> </w:t>
      </w:r>
      <w:r w:rsidR="00C01956">
        <w:t>F</w:t>
      </w:r>
      <w:r w:rsidR="003E358D" w:rsidRPr="003E358D">
        <w:t>orest plot of relative risk ratio</w:t>
      </w:r>
      <w:r w:rsidR="00C01956">
        <w:t>s</w:t>
      </w:r>
      <w:r w:rsidR="003E358D" w:rsidRPr="003E358D">
        <w:t xml:space="preserve"> of all common</w:t>
      </w:r>
      <w:r>
        <w:t xml:space="preserve"> treatment</w:t>
      </w:r>
      <w:r w:rsidR="00C01956">
        <w:t>-</w:t>
      </w:r>
      <w:r>
        <w:t>emergent adverse events</w:t>
      </w:r>
      <w:r w:rsidR="003E358D" w:rsidRPr="003E358D">
        <w:t xml:space="preserve"> (</w:t>
      </w:r>
      <w:r w:rsidR="00C01956">
        <w:t xml:space="preserve">events by </w:t>
      </w:r>
      <w:r w:rsidR="00294B4A">
        <w:t>P</w:t>
      </w:r>
      <w:r>
        <w:t xml:space="preserve">referred </w:t>
      </w:r>
      <w:r w:rsidR="00294B4A">
        <w:t>T</w:t>
      </w:r>
      <w:r>
        <w:t>erm</w:t>
      </w:r>
      <w:r w:rsidR="003E358D" w:rsidRPr="003E358D">
        <w:t xml:space="preserve"> </w:t>
      </w:r>
      <w:r w:rsidR="00C01956">
        <w:t xml:space="preserve">reported in </w:t>
      </w:r>
      <w:r w:rsidR="003E358D" w:rsidRPr="003E358D">
        <w:t>1%</w:t>
      </w:r>
      <w:r w:rsidR="00C01956">
        <w:t xml:space="preserve"> or more</w:t>
      </w:r>
      <w:r w:rsidR="003E358D" w:rsidRPr="003E358D">
        <w:t xml:space="preserve">) </w:t>
      </w:r>
      <w:r w:rsidR="00C01956">
        <w:t xml:space="preserve">in </w:t>
      </w:r>
      <w:r w:rsidR="003E358D" w:rsidRPr="003E358D">
        <w:t>dupilumab</w:t>
      </w:r>
      <w:r w:rsidR="00C01956">
        <w:t>-</w:t>
      </w:r>
      <w:r w:rsidR="003E358D" w:rsidRPr="003E358D">
        <w:t xml:space="preserve"> </w:t>
      </w:r>
      <w:r w:rsidR="006E7601">
        <w:t>versus</w:t>
      </w:r>
      <w:r w:rsidR="003E358D" w:rsidRPr="003E358D">
        <w:t xml:space="preserve"> placebo</w:t>
      </w:r>
      <w:r w:rsidR="00C01956">
        <w:t>-treated subjects</w:t>
      </w:r>
      <w:r w:rsidR="003E358D" w:rsidRPr="003E358D">
        <w:t xml:space="preserve"> (Safety population)</w:t>
      </w:r>
      <w:r w:rsidR="0040369E">
        <w:t>.</w:t>
      </w:r>
    </w:p>
    <w:p w14:paraId="2FEF2F7F" w14:textId="0717EB50" w:rsidR="003C5B43" w:rsidRDefault="003C5B43" w:rsidP="003E358D">
      <w:r>
        <w:rPr>
          <w:noProof/>
          <w:lang w:val="en-GB" w:eastAsia="en-GB"/>
        </w:rPr>
        <w:drawing>
          <wp:inline distT="0" distB="0" distL="0" distR="0" wp14:anchorId="5A30DBD9" wp14:editId="33132D64">
            <wp:extent cx="5400013" cy="7125419"/>
            <wp:effectExtent l="0" t="0" r="0" b="0"/>
            <wp:docPr id="21" name="Picture 21" descr="This table shows the forest plot of relative risk ratio of all common treatment emergent adverse events (preferred term ≥1%) – dupilumab versus placebo (Safety population) for Study EFC14153.  The treatment emergent adverse events with the highest relative risk were eosinophilia, pharyngotonsillitis and injection site n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table shows the forest plot of relative risk ratio of all common treatment emergent adverse events (preferred term ≥1%) – dupilumab versus placebo (Safety population) for Study EFC14153.  The treatment emergent adverse events with the highest relative risk were eosinophilia, pharyngotonsillitis and injection site nodule."/>
                    <pic:cNvPicPr/>
                  </pic:nvPicPr>
                  <pic:blipFill rotWithShape="1">
                    <a:blip r:embed="rId32"/>
                    <a:srcRect b="601"/>
                    <a:stretch/>
                  </pic:blipFill>
                  <pic:spPr bwMode="auto">
                    <a:xfrm>
                      <a:off x="0" y="0"/>
                      <a:ext cx="5400067" cy="7125491"/>
                    </a:xfrm>
                    <a:prstGeom prst="rect">
                      <a:avLst/>
                    </a:prstGeom>
                    <a:ln>
                      <a:noFill/>
                    </a:ln>
                    <a:extLst>
                      <a:ext uri="{53640926-AAD7-44D8-BBD7-CCE9431645EC}">
                        <a14:shadowObscured xmlns:a14="http://schemas.microsoft.com/office/drawing/2010/main"/>
                      </a:ext>
                    </a:extLst>
                  </pic:spPr>
                </pic:pic>
              </a:graphicData>
            </a:graphic>
          </wp:inline>
        </w:drawing>
      </w:r>
    </w:p>
    <w:p w14:paraId="3BAB1B3A" w14:textId="26BF3844" w:rsidR="00C01956" w:rsidRDefault="00C01956" w:rsidP="008D6574">
      <w:pPr>
        <w:pStyle w:val="TableDescription"/>
      </w:pPr>
      <w:r>
        <w:t>Abbreviations: CI = confidence interval; PT = Preferred Term.</w:t>
      </w:r>
    </w:p>
    <w:p w14:paraId="10CC12E3" w14:textId="77777777" w:rsidR="008E7846" w:rsidRDefault="00386150" w:rsidP="007B6132">
      <w:pPr>
        <w:pStyle w:val="Heading3"/>
        <w:rPr>
          <w:lang w:eastAsia="en-AU"/>
        </w:rPr>
      </w:pPr>
      <w:bookmarkStart w:id="58" w:name="_Toc314842514"/>
      <w:bookmarkStart w:id="59" w:name="_Toc129692003"/>
      <w:r>
        <w:rPr>
          <w:lang w:eastAsia="en-AU"/>
        </w:rPr>
        <w:t>Risk m</w:t>
      </w:r>
      <w:r w:rsidR="008E7846">
        <w:rPr>
          <w:lang w:eastAsia="en-AU"/>
        </w:rPr>
        <w:t xml:space="preserve">anagement </w:t>
      </w:r>
      <w:r>
        <w:rPr>
          <w:lang w:eastAsia="en-AU"/>
        </w:rPr>
        <w:t>p</w:t>
      </w:r>
      <w:r w:rsidR="008E7846">
        <w:rPr>
          <w:lang w:eastAsia="en-AU"/>
        </w:rPr>
        <w:t>lan</w:t>
      </w:r>
      <w:bookmarkEnd w:id="58"/>
      <w:bookmarkEnd w:id="59"/>
    </w:p>
    <w:p w14:paraId="05CF8810" w14:textId="21609706" w:rsidR="00DE56C3" w:rsidRDefault="00DE56C3" w:rsidP="0074163C">
      <w:bookmarkStart w:id="60" w:name="_Toc247691531"/>
      <w:bookmarkStart w:id="61" w:name="_Toc314842515"/>
      <w:bookmarkStart w:id="62" w:name="_Toc196046505"/>
      <w:bookmarkStart w:id="63" w:name="_Toc196046949"/>
      <w:r w:rsidRPr="00DE56C3">
        <w:t xml:space="preserve">A </w:t>
      </w:r>
      <w:r w:rsidR="0017788F">
        <w:t>r</w:t>
      </w:r>
      <w:r w:rsidRPr="00DE56C3">
        <w:t xml:space="preserve">isk </w:t>
      </w:r>
      <w:r w:rsidR="0017788F">
        <w:t>m</w:t>
      </w:r>
      <w:r w:rsidRPr="00DE56C3">
        <w:t xml:space="preserve">anagement </w:t>
      </w:r>
      <w:r w:rsidR="0017788F">
        <w:t>p</w:t>
      </w:r>
      <w:r w:rsidRPr="00DE56C3">
        <w:t>lan</w:t>
      </w:r>
      <w:r w:rsidR="0017788F">
        <w:t xml:space="preserve"> (RMP)</w:t>
      </w:r>
      <w:r w:rsidRPr="00DE56C3">
        <w:t xml:space="preserve"> was not requested by the RMP evaluation area for this submission. However, the provided RMP was evaluated as part of </w:t>
      </w:r>
      <w:r w:rsidR="00B22807">
        <w:t xml:space="preserve">a submission to extend </w:t>
      </w:r>
      <w:r w:rsidR="00B22807">
        <w:lastRenderedPageBreak/>
        <w:t xml:space="preserve">the indications of Dupixent to treat atopic dermatitis in </w:t>
      </w:r>
      <w:proofErr w:type="gramStart"/>
      <w:r w:rsidR="00B22807">
        <w:t>children, and</w:t>
      </w:r>
      <w:proofErr w:type="gramEnd"/>
      <w:r w:rsidR="00B22807">
        <w:t xml:space="preserve"> treat adults with chronic nasal polyposis (</w:t>
      </w:r>
      <w:r w:rsidRPr="004B0EE9">
        <w:t>submission PM</w:t>
      </w:r>
      <w:r w:rsidRPr="004B0EE9">
        <w:noBreakHyphen/>
        <w:t>2020</w:t>
      </w:r>
      <w:r w:rsidRPr="004B0EE9">
        <w:noBreakHyphen/>
        <w:t>03043-1-</w:t>
      </w:r>
      <w:r w:rsidR="00B22807">
        <w:t>5)</w:t>
      </w:r>
      <w:r w:rsidR="0083397E">
        <w:t>;</w:t>
      </w:r>
      <w:r w:rsidR="0083397E" w:rsidRPr="00CE5202">
        <w:rPr>
          <w:vertAlign w:val="superscript"/>
        </w:rPr>
        <w:fldChar w:fldCharType="begin"/>
      </w:r>
      <w:r w:rsidR="0083397E" w:rsidRPr="00CE5202">
        <w:rPr>
          <w:vertAlign w:val="superscript"/>
        </w:rPr>
        <w:instrText xml:space="preserve"> NOTEREF _Ref129259129 \h </w:instrText>
      </w:r>
      <w:r w:rsidR="0083397E">
        <w:rPr>
          <w:vertAlign w:val="superscript"/>
        </w:rPr>
        <w:instrText xml:space="preserve"> \* MERGEFORMAT </w:instrText>
      </w:r>
      <w:r w:rsidR="0083397E" w:rsidRPr="00CE5202">
        <w:rPr>
          <w:vertAlign w:val="superscript"/>
        </w:rPr>
      </w:r>
      <w:r w:rsidR="0083397E" w:rsidRPr="00CE5202">
        <w:rPr>
          <w:vertAlign w:val="superscript"/>
        </w:rPr>
        <w:fldChar w:fldCharType="separate"/>
      </w:r>
      <w:r w:rsidR="00761EA9">
        <w:rPr>
          <w:vertAlign w:val="superscript"/>
        </w:rPr>
        <w:t>14</w:t>
      </w:r>
      <w:r w:rsidR="0083397E" w:rsidRPr="00CE5202">
        <w:rPr>
          <w:vertAlign w:val="superscript"/>
        </w:rPr>
        <w:fldChar w:fldCharType="end"/>
      </w:r>
      <w:r w:rsidRPr="00DE56C3">
        <w:t xml:space="preserve"> and is unchanged</w:t>
      </w:r>
      <w:r w:rsidR="00575BF6">
        <w:t>.</w:t>
      </w:r>
    </w:p>
    <w:p w14:paraId="62F06672" w14:textId="04480315" w:rsidR="00B22807" w:rsidRDefault="00B22807" w:rsidP="0074163C">
      <w:r>
        <w:t>The Dupixent EU-Risk Management Plan (RMP) (version 6.0, dated 15 February 2021, data lock point 28 September 2020), with Australian Specific Annex (version 5.0, dated 30 April 2021), included with submission PM-2020-03043-1-5, and any subsequent revisions, as agreed with the TGA will be implemented in Australia.</w:t>
      </w:r>
    </w:p>
    <w:p w14:paraId="3444704A" w14:textId="3008503E" w:rsidR="0074163C" w:rsidRDefault="0074163C" w:rsidP="0074163C">
      <w:r>
        <w:t>The summary of safety concerns and their associated risk monitoring and mitigation strategies are summarised in</w:t>
      </w:r>
      <w:r w:rsidR="008E1837">
        <w:t xml:space="preserve"> </w:t>
      </w:r>
      <w:r w:rsidR="008E1837">
        <w:fldChar w:fldCharType="begin"/>
      </w:r>
      <w:r w:rsidR="008E1837">
        <w:instrText xml:space="preserve"> REF _Ref97629131 \h </w:instrText>
      </w:r>
      <w:r w:rsidR="008E1837">
        <w:fldChar w:fldCharType="separate"/>
      </w:r>
      <w:r w:rsidR="00761EA9">
        <w:t xml:space="preserve">Table </w:t>
      </w:r>
      <w:r w:rsidR="00761EA9">
        <w:rPr>
          <w:noProof/>
        </w:rPr>
        <w:t>9</w:t>
      </w:r>
      <w:r w:rsidR="008E1837">
        <w:fldChar w:fldCharType="end"/>
      </w:r>
      <w:r w:rsidRPr="008E1837">
        <w:t>.</w:t>
      </w:r>
      <w:r>
        <w:t xml:space="preserve"> Further information regarding </w:t>
      </w:r>
      <w:r w:rsidR="00CC5044">
        <w:t>the TGA</w:t>
      </w:r>
      <w:r w:rsidR="00BF7063">
        <w:t>’</w:t>
      </w:r>
      <w:r w:rsidR="00CC5044">
        <w:t>s r</w:t>
      </w:r>
      <w:r>
        <w:t xml:space="preserve">isk management approach can be found in </w:t>
      </w:r>
      <w:hyperlink r:id="rId33" w:history="1">
        <w:r w:rsidRPr="0023444E">
          <w:rPr>
            <w:rStyle w:val="Hyperlink"/>
          </w:rPr>
          <w:t>risk management plans for medicines and biologicals</w:t>
        </w:r>
      </w:hyperlink>
      <w:r>
        <w:t xml:space="preserve"> and </w:t>
      </w:r>
      <w:hyperlink r:id="rId34" w:history="1">
        <w:r w:rsidRPr="0023444E">
          <w:rPr>
            <w:rStyle w:val="Hyperlink"/>
          </w:rPr>
          <w:t>the TGA's risk management approach</w:t>
        </w:r>
      </w:hyperlink>
      <w:r>
        <w:t>.</w:t>
      </w:r>
    </w:p>
    <w:p w14:paraId="6FC1FCCC" w14:textId="25B8DCD6" w:rsidR="00EF6EC4" w:rsidRDefault="0074163C" w:rsidP="0074163C">
      <w:pPr>
        <w:pStyle w:val="TableTitle"/>
      </w:pPr>
      <w:bookmarkStart w:id="64" w:name="_Ref97629131"/>
      <w:r>
        <w:t xml:space="preserve">Table </w:t>
      </w:r>
      <w:fldSimple w:instr=" SEQ Table \* ARABIC ">
        <w:r w:rsidR="00761EA9">
          <w:rPr>
            <w:noProof/>
          </w:rPr>
          <w:t>9</w:t>
        </w:r>
      </w:fldSimple>
      <w:bookmarkEnd w:id="64"/>
      <w:r>
        <w:t>: Summary of safety concerns</w:t>
      </w:r>
    </w:p>
    <w:tbl>
      <w:tblPr>
        <w:tblStyle w:val="TableTGAblue"/>
        <w:tblW w:w="8185" w:type="dxa"/>
        <w:tblLayout w:type="fixed"/>
        <w:tblLook w:val="04A0" w:firstRow="1" w:lastRow="0" w:firstColumn="1" w:lastColumn="0" w:noHBand="0" w:noVBand="1"/>
      </w:tblPr>
      <w:tblGrid>
        <w:gridCol w:w="1345"/>
        <w:gridCol w:w="2610"/>
        <w:gridCol w:w="990"/>
        <w:gridCol w:w="1170"/>
        <w:gridCol w:w="900"/>
        <w:gridCol w:w="1170"/>
      </w:tblGrid>
      <w:tr w:rsidR="00043F77" w:rsidRPr="00822968" w14:paraId="71C5C568" w14:textId="77777777" w:rsidTr="00455B34">
        <w:trPr>
          <w:cnfStyle w:val="100000000000" w:firstRow="1" w:lastRow="0" w:firstColumn="0" w:lastColumn="0" w:oddVBand="0" w:evenVBand="0" w:oddHBand="0" w:evenHBand="0" w:firstRowFirstColumn="0" w:firstRowLastColumn="0" w:lastRowFirstColumn="0" w:lastRowLastColumn="0"/>
          <w:trHeight w:val="131"/>
        </w:trPr>
        <w:tc>
          <w:tcPr>
            <w:tcW w:w="3955" w:type="dxa"/>
            <w:gridSpan w:val="2"/>
            <w:vMerge w:val="restart"/>
            <w:tcBorders>
              <w:top w:val="single" w:sz="4" w:space="0" w:color="auto"/>
              <w:left w:val="single" w:sz="4" w:space="0" w:color="auto"/>
              <w:bottom w:val="single" w:sz="4" w:space="0" w:color="auto"/>
              <w:right w:val="single" w:sz="4" w:space="0" w:color="auto"/>
            </w:tcBorders>
          </w:tcPr>
          <w:p w14:paraId="18C08956" w14:textId="77777777" w:rsidR="00043F77" w:rsidRPr="00822968" w:rsidRDefault="00043F77" w:rsidP="00455B34">
            <w:pPr>
              <w:pStyle w:val="Tabletext"/>
              <w:spacing w:line="276" w:lineRule="auto"/>
              <w:ind w:left="0" w:right="0"/>
              <w:rPr>
                <w:b w:val="0"/>
              </w:rPr>
            </w:pPr>
            <w:r w:rsidRPr="00822968">
              <w:t>Summary of safety concerns</w:t>
            </w:r>
          </w:p>
        </w:tc>
        <w:tc>
          <w:tcPr>
            <w:tcW w:w="2160" w:type="dxa"/>
            <w:gridSpan w:val="2"/>
            <w:tcBorders>
              <w:top w:val="single" w:sz="4" w:space="0" w:color="auto"/>
              <w:left w:val="single" w:sz="4" w:space="0" w:color="auto"/>
              <w:bottom w:val="single" w:sz="4" w:space="0" w:color="auto"/>
              <w:right w:val="single" w:sz="4" w:space="0" w:color="auto"/>
            </w:tcBorders>
          </w:tcPr>
          <w:p w14:paraId="2D616336" w14:textId="77777777" w:rsidR="00043F77" w:rsidRPr="00822968" w:rsidRDefault="00043F77" w:rsidP="00455B34">
            <w:pPr>
              <w:pStyle w:val="Tabletext"/>
              <w:spacing w:line="276" w:lineRule="auto"/>
              <w:ind w:left="0" w:right="0"/>
              <w:rPr>
                <w:b w:val="0"/>
                <w:sz w:val="18"/>
              </w:rPr>
            </w:pPr>
            <w:r w:rsidRPr="00822968">
              <w:rPr>
                <w:sz w:val="18"/>
              </w:rPr>
              <w:t>Pharmacovigilance</w:t>
            </w:r>
          </w:p>
        </w:tc>
        <w:tc>
          <w:tcPr>
            <w:tcW w:w="2070" w:type="dxa"/>
            <w:gridSpan w:val="2"/>
            <w:tcBorders>
              <w:top w:val="single" w:sz="4" w:space="0" w:color="auto"/>
              <w:left w:val="single" w:sz="4" w:space="0" w:color="auto"/>
              <w:bottom w:val="single" w:sz="4" w:space="0" w:color="auto"/>
              <w:right w:val="single" w:sz="4" w:space="0" w:color="auto"/>
            </w:tcBorders>
          </w:tcPr>
          <w:p w14:paraId="0C27E696" w14:textId="77777777" w:rsidR="00043F77" w:rsidRPr="00822968" w:rsidRDefault="00043F77" w:rsidP="00455B34">
            <w:pPr>
              <w:pStyle w:val="Tabletext"/>
              <w:spacing w:line="276" w:lineRule="auto"/>
              <w:ind w:left="0" w:right="0"/>
              <w:rPr>
                <w:b w:val="0"/>
                <w:sz w:val="18"/>
              </w:rPr>
            </w:pPr>
            <w:r w:rsidRPr="00822968">
              <w:rPr>
                <w:sz w:val="18"/>
              </w:rPr>
              <w:t>Risk minimisation</w:t>
            </w:r>
          </w:p>
        </w:tc>
      </w:tr>
      <w:tr w:rsidR="00043F77" w:rsidRPr="00822968" w14:paraId="505CEF39" w14:textId="77777777" w:rsidTr="00455B34">
        <w:trPr>
          <w:trHeight w:val="150"/>
        </w:trPr>
        <w:tc>
          <w:tcPr>
            <w:tcW w:w="3955" w:type="dxa"/>
            <w:gridSpan w:val="2"/>
            <w:vMerge/>
            <w:tcBorders>
              <w:top w:val="single" w:sz="4" w:space="0" w:color="auto"/>
              <w:left w:val="single" w:sz="4" w:space="0" w:color="auto"/>
              <w:bottom w:val="single" w:sz="4" w:space="0" w:color="auto"/>
              <w:right w:val="single" w:sz="4" w:space="0" w:color="auto"/>
            </w:tcBorders>
            <w:shd w:val="clear" w:color="auto" w:fill="006DA7"/>
          </w:tcPr>
          <w:p w14:paraId="4B331A78" w14:textId="77777777" w:rsidR="00043F77" w:rsidRPr="00822968" w:rsidRDefault="00043F77" w:rsidP="00455B34">
            <w:pPr>
              <w:pStyle w:val="Tabletext"/>
              <w:spacing w:line="276" w:lineRule="auto"/>
              <w:ind w:left="0" w:right="0"/>
              <w:rPr>
                <w:b/>
              </w:rPr>
            </w:pPr>
          </w:p>
        </w:tc>
        <w:tc>
          <w:tcPr>
            <w:tcW w:w="990" w:type="dxa"/>
            <w:tcBorders>
              <w:top w:val="single" w:sz="4" w:space="0" w:color="auto"/>
              <w:left w:val="single" w:sz="4" w:space="0" w:color="auto"/>
              <w:bottom w:val="single" w:sz="4" w:space="0" w:color="auto"/>
              <w:right w:val="single" w:sz="4" w:space="0" w:color="auto"/>
            </w:tcBorders>
            <w:shd w:val="clear" w:color="auto" w:fill="006DA7"/>
          </w:tcPr>
          <w:p w14:paraId="028B58D2" w14:textId="77777777" w:rsidR="00043F77" w:rsidRPr="00822968" w:rsidRDefault="00043F77" w:rsidP="00455B34">
            <w:pPr>
              <w:pStyle w:val="Tabletext"/>
              <w:spacing w:line="276" w:lineRule="auto"/>
              <w:ind w:left="0" w:right="0"/>
              <w:rPr>
                <w:b/>
                <w:bCs/>
                <w:color w:val="FFFFFF" w:themeColor="background1"/>
                <w:sz w:val="18"/>
              </w:rPr>
            </w:pPr>
            <w:r w:rsidRPr="00822968">
              <w:rPr>
                <w:b/>
                <w:bCs/>
                <w:color w:val="FFFFFF" w:themeColor="background1"/>
                <w:sz w:val="18"/>
              </w:rPr>
              <w:t>Routine</w:t>
            </w:r>
          </w:p>
        </w:tc>
        <w:tc>
          <w:tcPr>
            <w:tcW w:w="1170" w:type="dxa"/>
            <w:tcBorders>
              <w:top w:val="single" w:sz="4" w:space="0" w:color="auto"/>
              <w:left w:val="single" w:sz="4" w:space="0" w:color="auto"/>
              <w:bottom w:val="single" w:sz="4" w:space="0" w:color="auto"/>
              <w:right w:val="single" w:sz="4" w:space="0" w:color="auto"/>
            </w:tcBorders>
            <w:shd w:val="clear" w:color="auto" w:fill="006DA7"/>
          </w:tcPr>
          <w:p w14:paraId="36DB20FE" w14:textId="77777777" w:rsidR="00043F77" w:rsidRPr="00822968" w:rsidRDefault="00043F77" w:rsidP="00455B34">
            <w:pPr>
              <w:pStyle w:val="Tabletext"/>
              <w:spacing w:line="276" w:lineRule="auto"/>
              <w:ind w:left="0" w:right="0"/>
              <w:rPr>
                <w:b/>
                <w:bCs/>
                <w:color w:val="FFFFFF" w:themeColor="background1"/>
                <w:sz w:val="18"/>
              </w:rPr>
            </w:pPr>
            <w:r w:rsidRPr="00822968">
              <w:rPr>
                <w:b/>
                <w:bCs/>
                <w:color w:val="FFFFFF" w:themeColor="background1"/>
                <w:sz w:val="18"/>
              </w:rPr>
              <w:t>Additional</w:t>
            </w:r>
          </w:p>
        </w:tc>
        <w:tc>
          <w:tcPr>
            <w:tcW w:w="900" w:type="dxa"/>
            <w:tcBorders>
              <w:top w:val="single" w:sz="4" w:space="0" w:color="auto"/>
              <w:left w:val="single" w:sz="4" w:space="0" w:color="auto"/>
              <w:bottom w:val="single" w:sz="4" w:space="0" w:color="auto"/>
              <w:right w:val="single" w:sz="4" w:space="0" w:color="auto"/>
            </w:tcBorders>
            <w:shd w:val="clear" w:color="auto" w:fill="006DA7"/>
          </w:tcPr>
          <w:p w14:paraId="0F8D8CAA" w14:textId="77777777" w:rsidR="00043F77" w:rsidRPr="00822968" w:rsidRDefault="00043F77" w:rsidP="00455B34">
            <w:pPr>
              <w:pStyle w:val="Tabletext"/>
              <w:spacing w:line="276" w:lineRule="auto"/>
              <w:ind w:left="0" w:right="0"/>
              <w:rPr>
                <w:b/>
                <w:bCs/>
                <w:color w:val="FFFFFF" w:themeColor="background1"/>
                <w:sz w:val="18"/>
              </w:rPr>
            </w:pPr>
            <w:r w:rsidRPr="00822968">
              <w:rPr>
                <w:b/>
                <w:bCs/>
                <w:color w:val="FFFFFF" w:themeColor="background1"/>
                <w:sz w:val="18"/>
              </w:rPr>
              <w:t>Routine</w:t>
            </w:r>
          </w:p>
        </w:tc>
        <w:tc>
          <w:tcPr>
            <w:tcW w:w="1170" w:type="dxa"/>
            <w:tcBorders>
              <w:top w:val="single" w:sz="4" w:space="0" w:color="auto"/>
              <w:left w:val="single" w:sz="4" w:space="0" w:color="auto"/>
              <w:bottom w:val="single" w:sz="4" w:space="0" w:color="auto"/>
              <w:right w:val="single" w:sz="4" w:space="0" w:color="auto"/>
            </w:tcBorders>
            <w:shd w:val="clear" w:color="auto" w:fill="006DA7"/>
          </w:tcPr>
          <w:p w14:paraId="445A1ED0" w14:textId="77777777" w:rsidR="00043F77" w:rsidRPr="00822968" w:rsidRDefault="00043F77" w:rsidP="00455B34">
            <w:pPr>
              <w:pStyle w:val="Tabletext"/>
              <w:spacing w:line="276" w:lineRule="auto"/>
              <w:ind w:left="0" w:right="0"/>
              <w:rPr>
                <w:b/>
                <w:bCs/>
                <w:color w:val="FFFFFF" w:themeColor="background1"/>
                <w:sz w:val="18"/>
              </w:rPr>
            </w:pPr>
            <w:r w:rsidRPr="00822968">
              <w:rPr>
                <w:b/>
                <w:bCs/>
                <w:color w:val="FFFFFF" w:themeColor="background1"/>
                <w:sz w:val="18"/>
              </w:rPr>
              <w:t>Additional</w:t>
            </w:r>
          </w:p>
        </w:tc>
      </w:tr>
      <w:tr w:rsidR="00043F77" w:rsidRPr="00822968" w14:paraId="4846313B" w14:textId="77777777" w:rsidTr="00455B34">
        <w:trPr>
          <w:trHeight w:val="137"/>
        </w:trPr>
        <w:tc>
          <w:tcPr>
            <w:tcW w:w="1345" w:type="dxa"/>
            <w:tcBorders>
              <w:top w:val="single" w:sz="4" w:space="0" w:color="auto"/>
            </w:tcBorders>
          </w:tcPr>
          <w:p w14:paraId="1852397F" w14:textId="77777777" w:rsidR="00043F77" w:rsidRPr="00822968" w:rsidRDefault="00043F77" w:rsidP="00455B34">
            <w:pPr>
              <w:pStyle w:val="Tabletext"/>
              <w:spacing w:line="276" w:lineRule="auto"/>
              <w:ind w:left="0" w:right="0"/>
              <w:rPr>
                <w:b/>
              </w:rPr>
            </w:pPr>
            <w:r w:rsidRPr="00822968">
              <w:rPr>
                <w:b/>
              </w:rPr>
              <w:t>Important identified risks</w:t>
            </w:r>
          </w:p>
        </w:tc>
        <w:tc>
          <w:tcPr>
            <w:tcW w:w="2610" w:type="dxa"/>
            <w:tcBorders>
              <w:top w:val="single" w:sz="4" w:space="0" w:color="auto"/>
            </w:tcBorders>
          </w:tcPr>
          <w:p w14:paraId="2574842C" w14:textId="77777777" w:rsidR="00043F77" w:rsidRPr="00822968" w:rsidRDefault="00043F77" w:rsidP="00455B34">
            <w:pPr>
              <w:pStyle w:val="Tabletext"/>
              <w:spacing w:line="276" w:lineRule="auto"/>
              <w:ind w:left="0" w:right="0"/>
            </w:pPr>
            <w:r w:rsidRPr="00822968">
              <w:t>Systemic hypersensitivity (including events associated with immunogenicity)</w:t>
            </w:r>
          </w:p>
        </w:tc>
        <w:tc>
          <w:tcPr>
            <w:tcW w:w="990" w:type="dxa"/>
            <w:tcBorders>
              <w:top w:val="single" w:sz="4" w:space="0" w:color="auto"/>
            </w:tcBorders>
          </w:tcPr>
          <w:p w14:paraId="01FF46F5" w14:textId="77777777" w:rsidR="00043F77" w:rsidRPr="00822968" w:rsidRDefault="00043F77" w:rsidP="00455B34">
            <w:pPr>
              <w:spacing w:line="276" w:lineRule="auto"/>
              <w:ind w:left="0" w:right="0"/>
              <w:jc w:val="center"/>
            </w:pPr>
            <w:r w:rsidRPr="00822968">
              <w:sym w:font="Wingdings" w:char="F0FC"/>
            </w:r>
          </w:p>
        </w:tc>
        <w:tc>
          <w:tcPr>
            <w:tcW w:w="1170" w:type="dxa"/>
            <w:tcBorders>
              <w:top w:val="single" w:sz="4" w:space="0" w:color="auto"/>
            </w:tcBorders>
          </w:tcPr>
          <w:p w14:paraId="3951D69B" w14:textId="77777777" w:rsidR="00043F77" w:rsidRPr="00822968" w:rsidRDefault="00043F77" w:rsidP="00455B34">
            <w:pPr>
              <w:pStyle w:val="Tabletext"/>
              <w:spacing w:line="276" w:lineRule="auto"/>
              <w:ind w:left="0" w:right="0"/>
              <w:jc w:val="center"/>
            </w:pPr>
            <w:r w:rsidRPr="00822968">
              <w:t>–</w:t>
            </w:r>
          </w:p>
        </w:tc>
        <w:tc>
          <w:tcPr>
            <w:tcW w:w="900" w:type="dxa"/>
            <w:tcBorders>
              <w:top w:val="single" w:sz="4" w:space="0" w:color="auto"/>
            </w:tcBorders>
          </w:tcPr>
          <w:p w14:paraId="13A2DB98" w14:textId="77777777" w:rsidR="00043F77" w:rsidRPr="00822968" w:rsidRDefault="00043F77" w:rsidP="00455B34">
            <w:pPr>
              <w:pStyle w:val="Tabletext"/>
              <w:spacing w:line="276" w:lineRule="auto"/>
              <w:ind w:left="0" w:right="0"/>
              <w:jc w:val="center"/>
            </w:pPr>
            <w:r w:rsidRPr="00822968">
              <w:sym w:font="Wingdings" w:char="F0FC"/>
            </w:r>
          </w:p>
        </w:tc>
        <w:tc>
          <w:tcPr>
            <w:tcW w:w="1170" w:type="dxa"/>
            <w:tcBorders>
              <w:top w:val="single" w:sz="4" w:space="0" w:color="auto"/>
            </w:tcBorders>
          </w:tcPr>
          <w:p w14:paraId="69CF142F" w14:textId="77777777" w:rsidR="00043F77" w:rsidRPr="00822968" w:rsidRDefault="00043F77" w:rsidP="00455B34">
            <w:pPr>
              <w:pStyle w:val="Tabletext"/>
              <w:spacing w:line="276" w:lineRule="auto"/>
              <w:ind w:left="0" w:right="0"/>
              <w:jc w:val="center"/>
            </w:pPr>
            <w:r w:rsidRPr="00822968">
              <w:t>–</w:t>
            </w:r>
          </w:p>
        </w:tc>
      </w:tr>
      <w:tr w:rsidR="00043F77" w:rsidRPr="00822968" w14:paraId="691DB910" w14:textId="77777777" w:rsidTr="00455B34">
        <w:trPr>
          <w:trHeight w:val="137"/>
        </w:trPr>
        <w:tc>
          <w:tcPr>
            <w:tcW w:w="1345" w:type="dxa"/>
          </w:tcPr>
          <w:p w14:paraId="47DB7C53" w14:textId="77777777" w:rsidR="00043F77" w:rsidRPr="00822968" w:rsidRDefault="00043F77" w:rsidP="00455B34">
            <w:pPr>
              <w:pStyle w:val="Tabletext"/>
              <w:spacing w:line="276" w:lineRule="auto"/>
              <w:ind w:left="0" w:right="0"/>
              <w:rPr>
                <w:b/>
              </w:rPr>
            </w:pPr>
          </w:p>
        </w:tc>
        <w:tc>
          <w:tcPr>
            <w:tcW w:w="2610" w:type="dxa"/>
          </w:tcPr>
          <w:p w14:paraId="4A3D5877" w14:textId="77777777" w:rsidR="00043F77" w:rsidRPr="00822968" w:rsidRDefault="00043F77" w:rsidP="00455B34">
            <w:pPr>
              <w:pStyle w:val="Tabletext"/>
              <w:spacing w:line="276" w:lineRule="auto"/>
              <w:ind w:left="0" w:right="0"/>
            </w:pPr>
            <w:r w:rsidRPr="00822968">
              <w:t>Conjunctivitis and keratitis related events in atopic dermatitis patients</w:t>
            </w:r>
          </w:p>
        </w:tc>
        <w:tc>
          <w:tcPr>
            <w:tcW w:w="990" w:type="dxa"/>
          </w:tcPr>
          <w:p w14:paraId="2E779EAE" w14:textId="77777777" w:rsidR="00043F77" w:rsidRPr="00822968" w:rsidRDefault="00043F77" w:rsidP="00455B34">
            <w:pPr>
              <w:ind w:left="0" w:right="0"/>
              <w:jc w:val="center"/>
            </w:pPr>
            <w:r w:rsidRPr="00822968">
              <w:t>–</w:t>
            </w:r>
          </w:p>
        </w:tc>
        <w:tc>
          <w:tcPr>
            <w:tcW w:w="1170" w:type="dxa"/>
          </w:tcPr>
          <w:p w14:paraId="3E0F3DB2" w14:textId="77777777" w:rsidR="00043F77" w:rsidRPr="00822968" w:rsidRDefault="00043F77" w:rsidP="00455B34">
            <w:pPr>
              <w:pStyle w:val="Tabletext"/>
              <w:spacing w:line="276" w:lineRule="auto"/>
              <w:ind w:left="0" w:right="0"/>
              <w:jc w:val="center"/>
            </w:pPr>
            <w:r w:rsidRPr="00822968">
              <w:sym w:font="Wingdings" w:char="F0FC"/>
            </w:r>
            <w:r w:rsidRPr="00822968">
              <w:rPr>
                <w:rFonts w:asciiTheme="majorHAnsi" w:hAnsiTheme="majorHAnsi"/>
                <w:szCs w:val="20"/>
              </w:rPr>
              <w:t>†</w:t>
            </w:r>
          </w:p>
        </w:tc>
        <w:tc>
          <w:tcPr>
            <w:tcW w:w="900" w:type="dxa"/>
          </w:tcPr>
          <w:p w14:paraId="69BEB040" w14:textId="77777777" w:rsidR="00043F77" w:rsidRPr="00822968" w:rsidRDefault="00043F77" w:rsidP="00455B34">
            <w:pPr>
              <w:pStyle w:val="Tabletext"/>
              <w:spacing w:line="276" w:lineRule="auto"/>
              <w:ind w:left="0" w:right="0"/>
              <w:jc w:val="center"/>
            </w:pPr>
            <w:r w:rsidRPr="00822968">
              <w:sym w:font="Wingdings" w:char="F0FC"/>
            </w:r>
          </w:p>
        </w:tc>
        <w:tc>
          <w:tcPr>
            <w:tcW w:w="1170" w:type="dxa"/>
          </w:tcPr>
          <w:p w14:paraId="537C783E" w14:textId="77777777" w:rsidR="00043F77" w:rsidRPr="00822968" w:rsidRDefault="00043F77" w:rsidP="00455B34">
            <w:pPr>
              <w:pStyle w:val="Tabletext"/>
              <w:spacing w:line="276" w:lineRule="auto"/>
              <w:ind w:left="0" w:right="0"/>
              <w:jc w:val="center"/>
            </w:pPr>
            <w:r w:rsidRPr="00822968">
              <w:t>–</w:t>
            </w:r>
          </w:p>
        </w:tc>
      </w:tr>
      <w:tr w:rsidR="00043F77" w:rsidRPr="00822968" w14:paraId="534F9B6B" w14:textId="77777777" w:rsidTr="00455B34">
        <w:trPr>
          <w:trHeight w:val="159"/>
        </w:trPr>
        <w:tc>
          <w:tcPr>
            <w:tcW w:w="1345" w:type="dxa"/>
          </w:tcPr>
          <w:p w14:paraId="34519326" w14:textId="77777777" w:rsidR="00043F77" w:rsidRPr="00822968" w:rsidRDefault="00043F77" w:rsidP="00455B34">
            <w:pPr>
              <w:pStyle w:val="Tabletext"/>
              <w:spacing w:line="276" w:lineRule="auto"/>
              <w:ind w:left="0" w:right="0"/>
              <w:rPr>
                <w:b/>
              </w:rPr>
            </w:pPr>
            <w:r w:rsidRPr="00822968">
              <w:rPr>
                <w:b/>
              </w:rPr>
              <w:t>Important potential risks</w:t>
            </w:r>
          </w:p>
        </w:tc>
        <w:tc>
          <w:tcPr>
            <w:tcW w:w="2610" w:type="dxa"/>
          </w:tcPr>
          <w:p w14:paraId="3886E7B4" w14:textId="77777777" w:rsidR="00043F77" w:rsidRPr="00822968" w:rsidRDefault="00043F77" w:rsidP="00455B34">
            <w:pPr>
              <w:pStyle w:val="Tabletext"/>
              <w:spacing w:line="276" w:lineRule="auto"/>
              <w:ind w:left="0" w:right="0"/>
            </w:pPr>
            <w:r w:rsidRPr="00822968">
              <w:t>None</w:t>
            </w:r>
          </w:p>
        </w:tc>
        <w:tc>
          <w:tcPr>
            <w:tcW w:w="990" w:type="dxa"/>
          </w:tcPr>
          <w:p w14:paraId="2A73C87F" w14:textId="77777777" w:rsidR="00043F77" w:rsidRPr="00822968" w:rsidRDefault="00043F77" w:rsidP="00455B34">
            <w:pPr>
              <w:spacing w:line="276" w:lineRule="auto"/>
              <w:ind w:left="0" w:right="0"/>
              <w:jc w:val="center"/>
            </w:pPr>
            <w:r w:rsidRPr="00822968">
              <w:t>–</w:t>
            </w:r>
          </w:p>
        </w:tc>
        <w:tc>
          <w:tcPr>
            <w:tcW w:w="1170" w:type="dxa"/>
          </w:tcPr>
          <w:p w14:paraId="36DF7D64" w14:textId="77777777" w:rsidR="00043F77" w:rsidRPr="00822968" w:rsidRDefault="00043F77" w:rsidP="00455B34">
            <w:pPr>
              <w:pStyle w:val="Tabletext"/>
              <w:spacing w:line="276" w:lineRule="auto"/>
              <w:ind w:left="0" w:right="0"/>
              <w:jc w:val="center"/>
            </w:pPr>
            <w:r w:rsidRPr="00822968">
              <w:t>–</w:t>
            </w:r>
          </w:p>
        </w:tc>
        <w:tc>
          <w:tcPr>
            <w:tcW w:w="900" w:type="dxa"/>
          </w:tcPr>
          <w:p w14:paraId="36DA2338" w14:textId="77777777" w:rsidR="00043F77" w:rsidRPr="00822968" w:rsidRDefault="00043F77" w:rsidP="00455B34">
            <w:pPr>
              <w:pStyle w:val="Tabletext"/>
              <w:spacing w:line="276" w:lineRule="auto"/>
              <w:ind w:left="0" w:right="0"/>
              <w:jc w:val="center"/>
            </w:pPr>
            <w:r w:rsidRPr="00822968">
              <w:t>–</w:t>
            </w:r>
          </w:p>
        </w:tc>
        <w:tc>
          <w:tcPr>
            <w:tcW w:w="1170" w:type="dxa"/>
          </w:tcPr>
          <w:p w14:paraId="6985F687" w14:textId="77777777" w:rsidR="00043F77" w:rsidRPr="00822968" w:rsidRDefault="00043F77" w:rsidP="00455B34">
            <w:pPr>
              <w:pStyle w:val="Tabletext"/>
              <w:spacing w:line="276" w:lineRule="auto"/>
              <w:ind w:left="0" w:right="0"/>
              <w:jc w:val="center"/>
            </w:pPr>
            <w:r w:rsidRPr="00822968">
              <w:t>–</w:t>
            </w:r>
          </w:p>
        </w:tc>
      </w:tr>
      <w:tr w:rsidR="00043F77" w:rsidRPr="00822968" w14:paraId="7708C757" w14:textId="77777777" w:rsidTr="00455B34">
        <w:trPr>
          <w:trHeight w:val="103"/>
        </w:trPr>
        <w:tc>
          <w:tcPr>
            <w:tcW w:w="1345" w:type="dxa"/>
            <w:vMerge w:val="restart"/>
          </w:tcPr>
          <w:p w14:paraId="300A33CF" w14:textId="77777777" w:rsidR="00043F77" w:rsidRPr="00822968" w:rsidRDefault="00043F77" w:rsidP="00455B34">
            <w:pPr>
              <w:pStyle w:val="Tabletext"/>
              <w:spacing w:line="276" w:lineRule="auto"/>
              <w:ind w:left="0" w:right="0"/>
            </w:pPr>
            <w:r w:rsidRPr="00822968">
              <w:rPr>
                <w:b/>
              </w:rPr>
              <w:t>Missing Information</w:t>
            </w:r>
          </w:p>
        </w:tc>
        <w:tc>
          <w:tcPr>
            <w:tcW w:w="2610" w:type="dxa"/>
          </w:tcPr>
          <w:p w14:paraId="1272612C" w14:textId="77777777" w:rsidR="00043F77" w:rsidRPr="00822968" w:rsidRDefault="00043F77" w:rsidP="00455B34">
            <w:pPr>
              <w:pStyle w:val="Tabletext"/>
              <w:spacing w:line="276" w:lineRule="auto"/>
              <w:ind w:left="0" w:right="0"/>
            </w:pPr>
            <w:r w:rsidRPr="00822968">
              <w:t>Use in pregnant and lactating women</w:t>
            </w:r>
          </w:p>
        </w:tc>
        <w:tc>
          <w:tcPr>
            <w:tcW w:w="990" w:type="dxa"/>
          </w:tcPr>
          <w:p w14:paraId="490687B6" w14:textId="77777777" w:rsidR="00043F77" w:rsidRPr="00822968" w:rsidRDefault="00043F77" w:rsidP="00455B34">
            <w:pPr>
              <w:spacing w:line="276" w:lineRule="auto"/>
              <w:ind w:left="0" w:right="0"/>
              <w:jc w:val="center"/>
            </w:pPr>
            <w:r w:rsidRPr="00822968">
              <w:sym w:font="Wingdings" w:char="F0FC"/>
            </w:r>
          </w:p>
        </w:tc>
        <w:tc>
          <w:tcPr>
            <w:tcW w:w="1170" w:type="dxa"/>
          </w:tcPr>
          <w:p w14:paraId="1A9129D6" w14:textId="77777777" w:rsidR="00043F77" w:rsidRPr="00822968" w:rsidRDefault="00043F77" w:rsidP="00455B34">
            <w:pPr>
              <w:pStyle w:val="Tabletext"/>
              <w:spacing w:line="276" w:lineRule="auto"/>
              <w:ind w:left="0" w:right="0"/>
              <w:jc w:val="center"/>
            </w:pPr>
            <w:r w:rsidRPr="00822968">
              <w:sym w:font="Wingdings" w:char="F0FC"/>
            </w:r>
            <w:r w:rsidRPr="00822968">
              <w:rPr>
                <w:rFonts w:asciiTheme="majorHAnsi" w:hAnsiTheme="majorHAnsi"/>
                <w:szCs w:val="20"/>
              </w:rPr>
              <w:t>‡</w:t>
            </w:r>
          </w:p>
        </w:tc>
        <w:tc>
          <w:tcPr>
            <w:tcW w:w="900" w:type="dxa"/>
          </w:tcPr>
          <w:p w14:paraId="4DFEAC9D" w14:textId="77777777" w:rsidR="00043F77" w:rsidRPr="00822968" w:rsidRDefault="00043F77" w:rsidP="00455B34">
            <w:pPr>
              <w:pStyle w:val="Tabletext"/>
              <w:spacing w:line="276" w:lineRule="auto"/>
              <w:ind w:left="0" w:right="0"/>
              <w:jc w:val="center"/>
            </w:pPr>
            <w:r w:rsidRPr="00822968">
              <w:sym w:font="Wingdings" w:char="F0FC"/>
            </w:r>
          </w:p>
        </w:tc>
        <w:tc>
          <w:tcPr>
            <w:tcW w:w="1170" w:type="dxa"/>
          </w:tcPr>
          <w:p w14:paraId="3E30F3E1" w14:textId="77777777" w:rsidR="00043F77" w:rsidRPr="00822968" w:rsidRDefault="00043F77" w:rsidP="00455B34">
            <w:pPr>
              <w:pStyle w:val="Tabletext"/>
              <w:spacing w:line="276" w:lineRule="auto"/>
              <w:ind w:left="0" w:right="0"/>
              <w:jc w:val="center"/>
            </w:pPr>
            <w:r w:rsidRPr="00822968">
              <w:t>–</w:t>
            </w:r>
          </w:p>
        </w:tc>
      </w:tr>
      <w:tr w:rsidR="00043F77" w:rsidRPr="00822968" w14:paraId="666A413B" w14:textId="77777777" w:rsidTr="00455B34">
        <w:trPr>
          <w:trHeight w:val="140"/>
        </w:trPr>
        <w:tc>
          <w:tcPr>
            <w:tcW w:w="1345" w:type="dxa"/>
            <w:vMerge/>
          </w:tcPr>
          <w:p w14:paraId="26D4552F" w14:textId="77777777" w:rsidR="00043F77" w:rsidRPr="00822968" w:rsidRDefault="00043F77" w:rsidP="00455B34">
            <w:pPr>
              <w:pStyle w:val="Tabletext"/>
              <w:spacing w:line="276" w:lineRule="auto"/>
              <w:ind w:left="0" w:right="0"/>
            </w:pPr>
          </w:p>
        </w:tc>
        <w:tc>
          <w:tcPr>
            <w:tcW w:w="2610" w:type="dxa"/>
          </w:tcPr>
          <w:p w14:paraId="3AD4BA3A" w14:textId="77777777" w:rsidR="00043F77" w:rsidRPr="00822968" w:rsidRDefault="00043F77" w:rsidP="00455B34">
            <w:pPr>
              <w:pStyle w:val="Tabletext"/>
              <w:spacing w:line="276" w:lineRule="auto"/>
              <w:ind w:left="0" w:right="0"/>
            </w:pPr>
            <w:r w:rsidRPr="00822968">
              <w:t>Long term safety</w:t>
            </w:r>
          </w:p>
        </w:tc>
        <w:tc>
          <w:tcPr>
            <w:tcW w:w="990" w:type="dxa"/>
          </w:tcPr>
          <w:p w14:paraId="0DF907DC" w14:textId="77777777" w:rsidR="00043F77" w:rsidRPr="00822968" w:rsidRDefault="00043F77" w:rsidP="00455B34">
            <w:pPr>
              <w:spacing w:line="276" w:lineRule="auto"/>
              <w:ind w:left="0" w:right="0"/>
              <w:jc w:val="center"/>
            </w:pPr>
            <w:r w:rsidRPr="00822968">
              <w:t>–</w:t>
            </w:r>
          </w:p>
        </w:tc>
        <w:tc>
          <w:tcPr>
            <w:tcW w:w="1170" w:type="dxa"/>
          </w:tcPr>
          <w:p w14:paraId="25AF2CA9" w14:textId="77777777" w:rsidR="00043F77" w:rsidRPr="00822968" w:rsidRDefault="00043F77" w:rsidP="00455B34">
            <w:pPr>
              <w:pStyle w:val="Tabletext"/>
              <w:spacing w:line="276" w:lineRule="auto"/>
              <w:ind w:left="0" w:right="0"/>
              <w:jc w:val="center"/>
            </w:pPr>
            <w:r w:rsidRPr="00822968">
              <w:sym w:font="Wingdings" w:char="F0FC"/>
            </w:r>
            <w:r w:rsidRPr="00822968">
              <w:rPr>
                <w:rFonts w:asciiTheme="majorHAnsi" w:hAnsiTheme="majorHAnsi"/>
                <w:szCs w:val="20"/>
              </w:rPr>
              <w:t>§</w:t>
            </w:r>
          </w:p>
        </w:tc>
        <w:tc>
          <w:tcPr>
            <w:tcW w:w="900" w:type="dxa"/>
          </w:tcPr>
          <w:p w14:paraId="4C51098A" w14:textId="77777777" w:rsidR="00043F77" w:rsidRPr="00822968" w:rsidRDefault="00043F77" w:rsidP="00455B34">
            <w:pPr>
              <w:pStyle w:val="Tabletext"/>
              <w:spacing w:line="276" w:lineRule="auto"/>
              <w:ind w:left="0" w:right="0"/>
              <w:jc w:val="center"/>
            </w:pPr>
            <w:r w:rsidRPr="00822968">
              <w:sym w:font="Wingdings" w:char="F0FC"/>
            </w:r>
          </w:p>
        </w:tc>
        <w:tc>
          <w:tcPr>
            <w:tcW w:w="1170" w:type="dxa"/>
          </w:tcPr>
          <w:p w14:paraId="5BE7CB2C" w14:textId="77777777" w:rsidR="00043F77" w:rsidRPr="00822968" w:rsidRDefault="00043F77" w:rsidP="00455B34">
            <w:pPr>
              <w:pStyle w:val="Tabletext"/>
              <w:spacing w:line="276" w:lineRule="auto"/>
              <w:ind w:left="0" w:right="0"/>
              <w:jc w:val="center"/>
            </w:pPr>
            <w:r w:rsidRPr="00822968">
              <w:t>–</w:t>
            </w:r>
          </w:p>
        </w:tc>
      </w:tr>
    </w:tbl>
    <w:p w14:paraId="4771F6B2" w14:textId="2FD774B0" w:rsidR="00EF6EC4" w:rsidRDefault="00EF6EC4" w:rsidP="008E1837">
      <w:pPr>
        <w:pStyle w:val="TableDescription"/>
      </w:pPr>
      <w:r>
        <w:t>† Ophthalmology sub study</w:t>
      </w:r>
    </w:p>
    <w:p w14:paraId="0E7AD35D" w14:textId="339DCA98" w:rsidR="00EF6EC4" w:rsidRDefault="00EF6EC4" w:rsidP="008E1837">
      <w:pPr>
        <w:pStyle w:val="TableDescription"/>
      </w:pPr>
      <w:r>
        <w:t>‡ Pregnancy registry study and outcomes database study</w:t>
      </w:r>
    </w:p>
    <w:p w14:paraId="248DBDDB" w14:textId="03780EAB" w:rsidR="00DE56C3" w:rsidRDefault="00EF6EC4" w:rsidP="008E1837">
      <w:pPr>
        <w:pStyle w:val="TableDescription"/>
      </w:pPr>
      <w:r>
        <w:t>§ Open-label extension study</w:t>
      </w:r>
    </w:p>
    <w:p w14:paraId="261B18E2" w14:textId="77777777" w:rsidR="008E7846" w:rsidRDefault="00AA0ED0" w:rsidP="008E7846">
      <w:pPr>
        <w:pStyle w:val="Heading3"/>
      </w:pPr>
      <w:bookmarkStart w:id="65" w:name="_Toc129692004"/>
      <w:r>
        <w:t>Risk-benefit a</w:t>
      </w:r>
      <w:r w:rsidR="008E7846">
        <w:t>nalysis</w:t>
      </w:r>
      <w:bookmarkEnd w:id="60"/>
      <w:bookmarkEnd w:id="61"/>
      <w:bookmarkEnd w:id="65"/>
    </w:p>
    <w:p w14:paraId="78966273" w14:textId="4FD2DB4D" w:rsidR="0074163C" w:rsidRDefault="0074163C" w:rsidP="0074163C">
      <w:pPr>
        <w:pStyle w:val="Heading4"/>
      </w:pPr>
      <w:bookmarkStart w:id="66" w:name="_Toc98931932"/>
      <w:r>
        <w:t>Delegate’s considerations</w:t>
      </w:r>
      <w:bookmarkEnd w:id="66"/>
    </w:p>
    <w:p w14:paraId="7AE79929" w14:textId="3E73347C" w:rsidR="003E358D" w:rsidRDefault="003E358D" w:rsidP="003E358D">
      <w:r>
        <w:t>D</w:t>
      </w:r>
      <w:r w:rsidR="00EF6EC4">
        <w:t>upixent (</w:t>
      </w:r>
      <w:r>
        <w:t>dupilumab) is currently authorised for use in patients aged 12 years and older with severe asthma</w:t>
      </w:r>
      <w:r w:rsidR="00B22807">
        <w:t xml:space="preserve"> (see </w:t>
      </w:r>
      <w:r w:rsidR="00B22807" w:rsidRPr="00CE5202">
        <w:rPr>
          <w:i/>
        </w:rPr>
        <w:fldChar w:fldCharType="begin"/>
      </w:r>
      <w:r w:rsidR="00B22807" w:rsidRPr="00CE5202">
        <w:rPr>
          <w:i/>
        </w:rPr>
        <w:instrText xml:space="preserve"> REF _Ref129264196 \h </w:instrText>
      </w:r>
      <w:r w:rsidR="00B22807">
        <w:rPr>
          <w:i/>
        </w:rPr>
        <w:instrText xml:space="preserve"> \* MERGEFORMAT </w:instrText>
      </w:r>
      <w:r w:rsidR="00B22807" w:rsidRPr="00CE5202">
        <w:rPr>
          <w:i/>
        </w:rPr>
      </w:r>
      <w:r w:rsidR="00B22807" w:rsidRPr="00CE5202">
        <w:rPr>
          <w:i/>
        </w:rPr>
        <w:fldChar w:fldCharType="separate"/>
      </w:r>
      <w:r w:rsidR="00761EA9" w:rsidRPr="00761EA9">
        <w:rPr>
          <w:i/>
        </w:rPr>
        <w:t>Regulatory status</w:t>
      </w:r>
      <w:r w:rsidR="00B22807" w:rsidRPr="00CE5202">
        <w:rPr>
          <w:i/>
        </w:rPr>
        <w:fldChar w:fldCharType="end"/>
      </w:r>
      <w:r w:rsidR="00B22807">
        <w:rPr>
          <w:i/>
        </w:rPr>
        <w:t xml:space="preserve"> </w:t>
      </w:r>
      <w:r w:rsidR="00B22807">
        <w:t>for a list of all approved indications)</w:t>
      </w:r>
      <w:r>
        <w:t>.</w:t>
      </w:r>
    </w:p>
    <w:p w14:paraId="46AD0B32" w14:textId="77777777" w:rsidR="00B22807" w:rsidRDefault="003E358D" w:rsidP="003E358D">
      <w:r>
        <w:t xml:space="preserve">In the current submission, the </w:t>
      </w:r>
      <w:r w:rsidR="00EF6EC4">
        <w:t>s</w:t>
      </w:r>
      <w:r>
        <w:t xml:space="preserve">ponsor has submitted data to support the extension of indication to include children with asthma aged 6 to </w:t>
      </w:r>
      <w:r w:rsidR="00A17B72">
        <w:t>less than 12</w:t>
      </w:r>
      <w:r w:rsidR="00737BDF">
        <w:t xml:space="preserve"> </w:t>
      </w:r>
      <w:r>
        <w:t>years.</w:t>
      </w:r>
    </w:p>
    <w:p w14:paraId="21EBA5CB" w14:textId="51A7B0DA" w:rsidR="003E358D" w:rsidRDefault="003E358D" w:rsidP="003E358D">
      <w:r>
        <w:t xml:space="preserve">The proposed </w:t>
      </w:r>
      <w:r w:rsidR="00B22807">
        <w:t xml:space="preserve">subcutaneous </w:t>
      </w:r>
      <w:r w:rsidR="00B66261">
        <w:t xml:space="preserve">(SC) </w:t>
      </w:r>
      <w:r>
        <w:t>dupilumab dosing</w:t>
      </w:r>
      <w:r w:rsidR="00043F77">
        <w:t xml:space="preserve"> </w:t>
      </w:r>
      <w:r>
        <w:t xml:space="preserve">regimen in these patients is </w:t>
      </w:r>
      <w:r w:rsidR="00DA22DC">
        <w:t xml:space="preserve">body </w:t>
      </w:r>
      <w:r>
        <w:t>weight based</w:t>
      </w:r>
      <w:r w:rsidR="00DA22DC">
        <w:t>, as follows</w:t>
      </w:r>
      <w:r>
        <w:t>:</w:t>
      </w:r>
    </w:p>
    <w:p w14:paraId="684425CD" w14:textId="28B58893" w:rsidR="003E358D" w:rsidRDefault="003E358D" w:rsidP="00EF6EC4">
      <w:pPr>
        <w:pStyle w:val="ListBullet"/>
      </w:pPr>
      <w:r w:rsidRPr="00DC1A5C">
        <w:rPr>
          <w:i/>
        </w:rPr>
        <w:t>≥</w:t>
      </w:r>
      <w:r w:rsidR="00EF6EC4" w:rsidRPr="00DC1A5C">
        <w:rPr>
          <w:i/>
        </w:rPr>
        <w:t xml:space="preserve"> </w:t>
      </w:r>
      <w:r w:rsidRPr="00DC1A5C">
        <w:rPr>
          <w:i/>
        </w:rPr>
        <w:t xml:space="preserve">15 kg to </w:t>
      </w:r>
      <w:r w:rsidR="00B40245" w:rsidRPr="00DC1A5C">
        <w:rPr>
          <w:i/>
        </w:rPr>
        <w:t xml:space="preserve">&lt; 30 </w:t>
      </w:r>
      <w:r w:rsidRPr="00DC1A5C">
        <w:rPr>
          <w:i/>
        </w:rPr>
        <w:t>kg</w:t>
      </w:r>
      <w:r>
        <w:t xml:space="preserve">: 100 mg </w:t>
      </w:r>
      <w:r w:rsidR="00B23B09">
        <w:t>once every two weeks</w:t>
      </w:r>
      <w:r>
        <w:t xml:space="preserve"> or 300 mg </w:t>
      </w:r>
      <w:r w:rsidR="00B23B09">
        <w:t>once every four weeks</w:t>
      </w:r>
    </w:p>
    <w:p w14:paraId="196B0723" w14:textId="3B720FB3" w:rsidR="003E358D" w:rsidRDefault="003E358D" w:rsidP="00EF6EC4">
      <w:pPr>
        <w:pStyle w:val="ListBullet"/>
      </w:pPr>
      <w:r w:rsidRPr="00DC1A5C">
        <w:rPr>
          <w:i/>
        </w:rPr>
        <w:t>≥</w:t>
      </w:r>
      <w:r w:rsidR="00EF6EC4" w:rsidRPr="00DC1A5C">
        <w:rPr>
          <w:i/>
        </w:rPr>
        <w:t xml:space="preserve"> </w:t>
      </w:r>
      <w:r w:rsidRPr="00DC1A5C">
        <w:rPr>
          <w:i/>
        </w:rPr>
        <w:t>30 kg to &lt;</w:t>
      </w:r>
      <w:r w:rsidR="0070023F" w:rsidRPr="00DC1A5C">
        <w:rPr>
          <w:i/>
        </w:rPr>
        <w:t xml:space="preserve"> </w:t>
      </w:r>
      <w:r w:rsidRPr="00DC1A5C">
        <w:rPr>
          <w:i/>
        </w:rPr>
        <w:t>60 kg</w:t>
      </w:r>
      <w:r>
        <w:t xml:space="preserve">: 200 mg </w:t>
      </w:r>
      <w:r w:rsidR="00B23B09">
        <w:t>once every two weeks</w:t>
      </w:r>
      <w:r w:rsidR="00B23B09" w:rsidDel="00B23B09">
        <w:t xml:space="preserve"> </w:t>
      </w:r>
      <w:r>
        <w:t xml:space="preserve">or 300 mg </w:t>
      </w:r>
      <w:r w:rsidR="00B23B09">
        <w:t>once every four weeks</w:t>
      </w:r>
    </w:p>
    <w:p w14:paraId="39FD7F24" w14:textId="1EDF4E77" w:rsidR="003E358D" w:rsidRDefault="003E358D" w:rsidP="00EF6EC4">
      <w:pPr>
        <w:pStyle w:val="ListBullet"/>
      </w:pPr>
      <w:r w:rsidRPr="00DC1A5C">
        <w:rPr>
          <w:i/>
        </w:rPr>
        <w:lastRenderedPageBreak/>
        <w:t>≥</w:t>
      </w:r>
      <w:r w:rsidR="0070023F" w:rsidRPr="00DC1A5C">
        <w:rPr>
          <w:i/>
        </w:rPr>
        <w:t xml:space="preserve"> </w:t>
      </w:r>
      <w:r w:rsidRPr="00DC1A5C">
        <w:rPr>
          <w:i/>
        </w:rPr>
        <w:t>60 kg</w:t>
      </w:r>
      <w:r>
        <w:t xml:space="preserve">: 200 mg </w:t>
      </w:r>
      <w:r w:rsidR="00B23B09">
        <w:t>once every two weeks</w:t>
      </w:r>
    </w:p>
    <w:p w14:paraId="4D034F1C" w14:textId="34B1A1E2" w:rsidR="003E358D" w:rsidRDefault="003E358D" w:rsidP="0070023F">
      <w:pPr>
        <w:pStyle w:val="Heading5"/>
      </w:pPr>
      <w:r>
        <w:t>Efficacy</w:t>
      </w:r>
    </w:p>
    <w:p w14:paraId="12FEC682" w14:textId="1000DC33" w:rsidR="003E358D" w:rsidRDefault="003E358D" w:rsidP="003E358D">
      <w:r>
        <w:t>The provided efficacy data adequately demonstrate statistically and clinically significant and consistent treatment differences between dupilumab and placebo as add</w:t>
      </w:r>
      <w:r w:rsidR="0070023F">
        <w:t xml:space="preserve"> </w:t>
      </w:r>
      <w:r>
        <w:t xml:space="preserve">on therapy in paediatric asthma patients aged </w:t>
      </w:r>
      <w:r w:rsidR="00B22807">
        <w:t xml:space="preserve">from </w:t>
      </w:r>
      <w:r>
        <w:t xml:space="preserve">6 to </w:t>
      </w:r>
      <w:r w:rsidR="00A17B72">
        <w:t>less than 12</w:t>
      </w:r>
      <w:r w:rsidR="00BE5DB6">
        <w:t xml:space="preserve"> </w:t>
      </w:r>
      <w:r>
        <w:t>years.</w:t>
      </w:r>
    </w:p>
    <w:p w14:paraId="53121AD4" w14:textId="17AD00D7" w:rsidR="003E358D" w:rsidRDefault="003E358D" w:rsidP="0070023F">
      <w:pPr>
        <w:pStyle w:val="Heading6"/>
      </w:pPr>
      <w:r>
        <w:t>Indication wordin</w:t>
      </w:r>
      <w:r w:rsidR="00B22807">
        <w:t>g</w:t>
      </w:r>
    </w:p>
    <w:p w14:paraId="789C1A4B" w14:textId="4DD4F896" w:rsidR="003E358D" w:rsidRDefault="003E358D" w:rsidP="003E358D">
      <w:r>
        <w:t>The proposed indication wording reflects the population in the clinical trial program. Even though asthma patient</w:t>
      </w:r>
      <w:r w:rsidR="00B66261">
        <w:t>s</w:t>
      </w:r>
      <w:r>
        <w:t xml:space="preserve"> without the type 2 inflammation were eligible and were part of the program, the focus of the </w:t>
      </w:r>
      <w:r w:rsidR="00B66261">
        <w:t xml:space="preserve">Study EFC14153 (and </w:t>
      </w:r>
      <w:r w:rsidR="00820FDD">
        <w:t>its</w:t>
      </w:r>
      <w:r w:rsidR="00B66261">
        <w:t xml:space="preserve"> extension study, Study LTS14424)</w:t>
      </w:r>
      <w:r>
        <w:t xml:space="preserve"> appeared to have been on the type 2 inflammation population. There are potential reservations </w:t>
      </w:r>
      <w:proofErr w:type="gramStart"/>
      <w:r>
        <w:t>with regard to</w:t>
      </w:r>
      <w:proofErr w:type="gramEnd"/>
      <w:r>
        <w:t xml:space="preserve"> the pathogenic model of type 2 inflammation, but the clinical trial description in the PI adequately defined type 2 inflammation as blood eosinophils levels of ≥</w:t>
      </w:r>
      <w:r w:rsidR="0070023F">
        <w:t xml:space="preserve"> </w:t>
      </w:r>
      <w:r>
        <w:t>150 cells/</w:t>
      </w:r>
      <w:proofErr w:type="spellStart"/>
      <w:r w:rsidR="00B66261" w:rsidRPr="00B66261">
        <w:t>μ</w:t>
      </w:r>
      <w:r w:rsidR="00B66261">
        <w:t>L</w:t>
      </w:r>
      <w:proofErr w:type="spellEnd"/>
      <w:r w:rsidR="00B66261" w:rsidRPr="00B66261" w:rsidDel="00B66261">
        <w:t xml:space="preserve"> </w:t>
      </w:r>
      <w:r>
        <w:t xml:space="preserve">or </w:t>
      </w:r>
      <w:r w:rsidR="00B66261">
        <w:t>fractional exhaled nitric oxide (</w:t>
      </w:r>
      <w:proofErr w:type="spellStart"/>
      <w:r>
        <w:t>FeNO</w:t>
      </w:r>
      <w:proofErr w:type="spellEnd"/>
      <w:r w:rsidR="00B66261">
        <w:t>)</w:t>
      </w:r>
      <w:r>
        <w:t xml:space="preserve"> ≥</w:t>
      </w:r>
      <w:r w:rsidR="0070023F">
        <w:t xml:space="preserve"> </w:t>
      </w:r>
      <w:r>
        <w:t>20 ppb for clinical trial purposes.</w:t>
      </w:r>
    </w:p>
    <w:p w14:paraId="17A9A2F0" w14:textId="2BF7BF97" w:rsidR="003E358D" w:rsidRDefault="003E358D" w:rsidP="0070023F">
      <w:pPr>
        <w:pStyle w:val="Heading5"/>
      </w:pPr>
      <w:r>
        <w:t>Safety</w:t>
      </w:r>
    </w:p>
    <w:p w14:paraId="61DC960B" w14:textId="7E631A71" w:rsidR="003E358D" w:rsidRDefault="003E358D" w:rsidP="003E358D">
      <w:r>
        <w:t>There are some safety issues, but the benefit</w:t>
      </w:r>
      <w:r w:rsidR="0070023F">
        <w:t xml:space="preserve"> </w:t>
      </w:r>
      <w:r>
        <w:t>risk balance appears to remain positive, if addressed appropriately</w:t>
      </w:r>
      <w:r w:rsidR="00177470">
        <w:t>,</w:t>
      </w:r>
      <w:r>
        <w:t xml:space="preserve"> </w:t>
      </w:r>
      <w:r w:rsidR="0070023F">
        <w:t xml:space="preserve">for example, </w:t>
      </w:r>
      <w:r>
        <w:t>through adequate labelling.</w:t>
      </w:r>
    </w:p>
    <w:p w14:paraId="6733FF8C" w14:textId="36902EFC" w:rsidR="003E358D" w:rsidRDefault="003E358D" w:rsidP="003E358D">
      <w:r>
        <w:t xml:space="preserve">In the pivotal trial, blood eosinophilia and parasitosis (primarily </w:t>
      </w:r>
      <w:proofErr w:type="spellStart"/>
      <w:r>
        <w:t>enterobiasis</w:t>
      </w:r>
      <w:proofErr w:type="spellEnd"/>
      <w:r>
        <w:t>) occurred more frequently in the dupilumab group compared to placebo. Numerical imbalances were also observed in gastrointestinal disorders, psychiatric disorders, upper respiratory tract infections and local reactions. One case of pulmonary tuberculosis occurred with dupilumab in the extension study, but this was not considered drug-related by the sponsor.</w:t>
      </w:r>
    </w:p>
    <w:p w14:paraId="249D0D17" w14:textId="0985B83C" w:rsidR="003E358D" w:rsidRDefault="003E358D" w:rsidP="0070023F">
      <w:pPr>
        <w:pStyle w:val="Heading5"/>
      </w:pPr>
      <w:r>
        <w:t>Outstanding issues</w:t>
      </w:r>
    </w:p>
    <w:p w14:paraId="380BE5F3" w14:textId="58D36545" w:rsidR="003E358D" w:rsidRDefault="0070023F" w:rsidP="0070023F">
      <w:pPr>
        <w:pStyle w:val="Heading6"/>
      </w:pPr>
      <w:r>
        <w:t>P</w:t>
      </w:r>
      <w:r w:rsidR="003E358D">
        <w:t>otential lack of preventer treatment optimisation in the pivotal trial</w:t>
      </w:r>
    </w:p>
    <w:p w14:paraId="546751F6" w14:textId="25C05938" w:rsidR="003E358D" w:rsidRDefault="003E358D" w:rsidP="003E358D">
      <w:r>
        <w:t xml:space="preserve">In the pivotal </w:t>
      </w:r>
      <w:r w:rsidR="0070023F">
        <w:t>S</w:t>
      </w:r>
      <w:r>
        <w:t>tudy EFC14153, patients were administered dupilumab or placebo as add</w:t>
      </w:r>
      <w:r w:rsidR="0070023F">
        <w:t xml:space="preserve"> </w:t>
      </w:r>
      <w:r>
        <w:t>on therapy to hig</w:t>
      </w:r>
      <w:r w:rsidR="0070023F">
        <w:t xml:space="preserve">h </w:t>
      </w:r>
      <w:r>
        <w:t xml:space="preserve">dose </w:t>
      </w:r>
      <w:r w:rsidR="00B66261">
        <w:t xml:space="preserve">inhaled corticosteroids </w:t>
      </w:r>
      <w:r>
        <w:t>alone or medium</w:t>
      </w:r>
      <w:r w:rsidR="0070023F">
        <w:t xml:space="preserve"> </w:t>
      </w:r>
      <w:r>
        <w:t>dose or high</w:t>
      </w:r>
      <w:r w:rsidR="0070023F">
        <w:t xml:space="preserve"> </w:t>
      </w:r>
      <w:r>
        <w:t xml:space="preserve">dose </w:t>
      </w:r>
      <w:r w:rsidR="00B66261">
        <w:t xml:space="preserve">inhaled corticosteroids </w:t>
      </w:r>
      <w:r>
        <w:t>in combination with a second preventer. It is unknown (not captured in the sponsor case report forms) whether the preventer therapy doses were optimised for maximum benefit and whether asthma control could have been achieved without dupilumab. This may have been achieved with dose or inhaler technique optimisation. A significant proportion of participants were on medium</w:t>
      </w:r>
      <w:r w:rsidR="0070023F">
        <w:t xml:space="preserve"> </w:t>
      </w:r>
      <w:r>
        <w:t xml:space="preserve">dose </w:t>
      </w:r>
      <w:r w:rsidR="00B66261">
        <w:t xml:space="preserve">inhaled corticosteroids </w:t>
      </w:r>
      <w:r>
        <w:t xml:space="preserve">and may have benefitted from a dose increase, and this may have also applied to the </w:t>
      </w:r>
      <w:r w:rsidR="00B66261">
        <w:t xml:space="preserve">long-acting beta 2 agonist </w:t>
      </w:r>
      <w:r>
        <w:t>dosing. However, the investigators were required to follow the</w:t>
      </w:r>
      <w:r w:rsidR="005862A4">
        <w:t xml:space="preserve"> Global Initiative for Asth</w:t>
      </w:r>
      <w:r w:rsidR="005862A4" w:rsidRPr="004B0EE9">
        <w:t>ma (</w:t>
      </w:r>
      <w:r w:rsidR="0070023F" w:rsidRPr="004B0EE9">
        <w:t>GINA</w:t>
      </w:r>
      <w:r w:rsidR="005862A4" w:rsidRPr="004B0EE9">
        <w:t>)</w:t>
      </w:r>
      <w:r w:rsidR="0070023F" w:rsidRPr="004B0EE9">
        <w:t xml:space="preserve"> </w:t>
      </w:r>
      <w:r w:rsidRPr="004B0EE9">
        <w:t>guidelines</w:t>
      </w:r>
      <w:r>
        <w:t xml:space="preserve"> available at the time to ensure optimal asthma control prior to enrolment.</w:t>
      </w:r>
      <w:r w:rsidR="00B66261" w:rsidRPr="00DC1A5C">
        <w:rPr>
          <w:vertAlign w:val="superscript"/>
        </w:rPr>
        <w:fldChar w:fldCharType="begin"/>
      </w:r>
      <w:r w:rsidR="00B66261" w:rsidRPr="00DC1A5C">
        <w:rPr>
          <w:vertAlign w:val="superscript"/>
        </w:rPr>
        <w:instrText xml:space="preserve"> NOTEREF _Ref129096246 \h </w:instrText>
      </w:r>
      <w:r w:rsidR="00B66261">
        <w:rPr>
          <w:vertAlign w:val="superscript"/>
        </w:rPr>
        <w:instrText xml:space="preserve"> \* MERGEFORMAT </w:instrText>
      </w:r>
      <w:r w:rsidR="00B66261" w:rsidRPr="00DC1A5C">
        <w:rPr>
          <w:vertAlign w:val="superscript"/>
        </w:rPr>
      </w:r>
      <w:r w:rsidR="00B66261" w:rsidRPr="00DC1A5C">
        <w:rPr>
          <w:vertAlign w:val="superscript"/>
        </w:rPr>
        <w:fldChar w:fldCharType="separate"/>
      </w:r>
      <w:r w:rsidR="00761EA9">
        <w:rPr>
          <w:vertAlign w:val="superscript"/>
        </w:rPr>
        <w:t>2</w:t>
      </w:r>
      <w:r w:rsidR="00B66261" w:rsidRPr="00DC1A5C">
        <w:rPr>
          <w:vertAlign w:val="superscript"/>
        </w:rPr>
        <w:fldChar w:fldCharType="end"/>
      </w:r>
      <w:r>
        <w:t xml:space="preserve"> Furthermore, the adverse effects associated with </w:t>
      </w:r>
      <w:r w:rsidR="00B66261">
        <w:t xml:space="preserve">inhaled corticosteroid </w:t>
      </w:r>
      <w:r>
        <w:t>therapy (especially at higher doses) and to a lesser extent with other preventers may have determined to the dose regimen chosen by the treating clinician.</w:t>
      </w:r>
    </w:p>
    <w:p w14:paraId="5A4FE514" w14:textId="4C7E77FF" w:rsidR="003E358D" w:rsidRDefault="003E358D" w:rsidP="0070023F">
      <w:pPr>
        <w:pStyle w:val="Heading6"/>
      </w:pPr>
      <w:r>
        <w:t>Potential dosing issues</w:t>
      </w:r>
    </w:p>
    <w:p w14:paraId="2ACE52D2" w14:textId="799F5ED0" w:rsidR="00B66261" w:rsidRPr="00B55A00" w:rsidRDefault="00B66261" w:rsidP="00DC1A5C">
      <w:r>
        <w:t>The Delegate highlighted the following:</w:t>
      </w:r>
    </w:p>
    <w:p w14:paraId="46142647" w14:textId="4A4FB967" w:rsidR="003E358D" w:rsidRDefault="00B66261" w:rsidP="00DC1A5C">
      <w:pPr>
        <w:pStyle w:val="ListBullet"/>
      </w:pPr>
      <w:r>
        <w:t>the a</w:t>
      </w:r>
      <w:r w:rsidR="003E358D">
        <w:t xml:space="preserve">bsence of loading dose for the asthma </w:t>
      </w:r>
      <w:proofErr w:type="gramStart"/>
      <w:r w:rsidR="003E358D">
        <w:t>indication</w:t>
      </w:r>
      <w:r>
        <w:t>;</w:t>
      </w:r>
      <w:proofErr w:type="gramEnd"/>
    </w:p>
    <w:p w14:paraId="0E0D4EDB" w14:textId="7631039C" w:rsidR="003E358D" w:rsidRDefault="00B66261" w:rsidP="00DC1A5C">
      <w:pPr>
        <w:pStyle w:val="ListBullet"/>
      </w:pPr>
      <w:r>
        <w:t>t</w:t>
      </w:r>
      <w:r w:rsidR="003E358D" w:rsidRPr="004D34B7">
        <w:t>he rationale for not including a loading dose for the asthma indication includes the following</w:t>
      </w:r>
      <w:r w:rsidR="004D34B7">
        <w:t xml:space="preserve">: </w:t>
      </w:r>
      <w:r w:rsidR="003E358D" w:rsidRPr="004D34B7">
        <w:t>non-use for acute exacerbations and observation of some beneficial effects prior to achieving steady state</w:t>
      </w:r>
      <w:r>
        <w:t>; and</w:t>
      </w:r>
    </w:p>
    <w:p w14:paraId="2F96F1F7" w14:textId="081B5FD8" w:rsidR="003E358D" w:rsidRDefault="00B66261" w:rsidP="00DC1A5C">
      <w:pPr>
        <w:pStyle w:val="ListBullet"/>
      </w:pPr>
      <w:r>
        <w:t>the p</w:t>
      </w:r>
      <w:r w:rsidR="003E358D">
        <w:t xml:space="preserve">roposed alternative 300 mg </w:t>
      </w:r>
      <w:r w:rsidR="00B23B09">
        <w:t>once every four weeks</w:t>
      </w:r>
      <w:r w:rsidR="003E358D">
        <w:t xml:space="preserve"> dosing regimen</w:t>
      </w:r>
    </w:p>
    <w:p w14:paraId="135FC107" w14:textId="4331E71B" w:rsidR="003E358D" w:rsidRDefault="003E358D" w:rsidP="003E358D">
      <w:r>
        <w:lastRenderedPageBreak/>
        <w:t xml:space="preserve">It is acknowledged that less frequent dosing may improve compliance, </w:t>
      </w:r>
      <w:proofErr w:type="gramStart"/>
      <w:r>
        <w:t>in particular with</w:t>
      </w:r>
      <w:proofErr w:type="gramEnd"/>
      <w:r>
        <w:t xml:space="preserve"> more intrusive SC administration. However, the sponsor states that </w:t>
      </w:r>
      <w:r w:rsidR="0070023F">
        <w:t xml:space="preserve">there </w:t>
      </w:r>
      <w:r>
        <w:t xml:space="preserve">appears to be no patient compliance or treatment satisfaction disadvantage with the 200 mg </w:t>
      </w:r>
      <w:r w:rsidR="00CB6293">
        <w:t xml:space="preserve">once every </w:t>
      </w:r>
      <w:proofErr w:type="gramStart"/>
      <w:r w:rsidR="00CB6293">
        <w:t>two week</w:t>
      </w:r>
      <w:proofErr w:type="gramEnd"/>
      <w:r w:rsidR="00CB6293">
        <w:t xml:space="preserve"> </w:t>
      </w:r>
      <w:r>
        <w:t xml:space="preserve">regimen compared to 300 mg </w:t>
      </w:r>
      <w:r w:rsidR="00B23B09">
        <w:t>once every four weeks</w:t>
      </w:r>
      <w:r>
        <w:t xml:space="preserve">. There are some uncertainties and potential issues </w:t>
      </w:r>
      <w:proofErr w:type="gramStart"/>
      <w:r>
        <w:t>with regard to</w:t>
      </w:r>
      <w:proofErr w:type="gramEnd"/>
      <w:r>
        <w:t xml:space="preserve"> the 300 mg </w:t>
      </w:r>
      <w:r w:rsidR="00B23B09">
        <w:t xml:space="preserve">once every four </w:t>
      </w:r>
      <w:r w:rsidR="00737BDF">
        <w:t>weeks regimen</w:t>
      </w:r>
      <w:r w:rsidR="0070023F">
        <w:t xml:space="preserve"> as follows.</w:t>
      </w:r>
    </w:p>
    <w:p w14:paraId="0AC1C1F6" w14:textId="77777777" w:rsidR="0012281B" w:rsidRPr="002F0059" w:rsidRDefault="0012281B" w:rsidP="00DC1A5C">
      <w:pPr>
        <w:pStyle w:val="Heading6"/>
      </w:pPr>
      <w:r w:rsidRPr="00F70728">
        <w:t>Insufficient sample size</w:t>
      </w:r>
    </w:p>
    <w:p w14:paraId="7CFECA8D" w14:textId="62632FE4" w:rsidR="003E358D" w:rsidRDefault="003E358D" w:rsidP="003E358D">
      <w:r>
        <w:t>There are insufficient data available to support a positive benefit</w:t>
      </w:r>
      <w:r w:rsidR="0070023F">
        <w:t xml:space="preserve"> </w:t>
      </w:r>
      <w:r>
        <w:t xml:space="preserve">risk balance for that dosing regimen. The regimen was only tested in a rather small group in the extension </w:t>
      </w:r>
      <w:r w:rsidR="00FF5AE4">
        <w:t>S</w:t>
      </w:r>
      <w:r>
        <w:t xml:space="preserve">tudy LTS14424 only, namely 18 patients </w:t>
      </w:r>
      <w:r w:rsidR="00FF5AE4">
        <w:t xml:space="preserve">with asthma </w:t>
      </w:r>
      <w:r>
        <w:t xml:space="preserve">with a cumulative exposure of 10.5 </w:t>
      </w:r>
      <w:r w:rsidR="00FF5AE4">
        <w:t>patient-years (</w:t>
      </w:r>
      <w:r w:rsidR="00431B1D">
        <w:t>PY</w:t>
      </w:r>
      <w:r w:rsidR="00FF5AE4">
        <w:t>)</w:t>
      </w:r>
      <w:r>
        <w:t xml:space="preserve"> </w:t>
      </w:r>
      <w:r w:rsidR="00FF5AE4">
        <w:t xml:space="preserve">at the time of the </w:t>
      </w:r>
      <w:r>
        <w:t>data cut</w:t>
      </w:r>
      <w:r w:rsidR="00FF5AE4">
        <w:t>-</w:t>
      </w:r>
      <w:r>
        <w:t xml:space="preserve">off date of 25 June 2021). However, the original dossier only contained even more limited data of 14 patients. There appear to be no definite safety reservations for the use of that regimen, but the sample size was too small for definite safety or efficacy conclusions, including immunogenicity conclusions. The sponsor has provided </w:t>
      </w:r>
      <w:r w:rsidR="0070023F">
        <w:t xml:space="preserve">a response </w:t>
      </w:r>
      <w:proofErr w:type="gramStart"/>
      <w:r>
        <w:t>with regard to</w:t>
      </w:r>
      <w:proofErr w:type="gramEnd"/>
      <w:r>
        <w:t xml:space="preserve"> PK, safety, and immunogenicity, but despite this, the sample size remains very small at 18 patients. It is unclear why </w:t>
      </w:r>
      <w:r w:rsidR="009622EC">
        <w:t>piv</w:t>
      </w:r>
      <w:r>
        <w:t>otal</w:t>
      </w:r>
      <w:r w:rsidR="009622EC">
        <w:t xml:space="preserve"> Study </w:t>
      </w:r>
      <w:r w:rsidR="009622EC" w:rsidRPr="0052317A">
        <w:t>EFC14153</w:t>
      </w:r>
      <w:r>
        <w:t xml:space="preserve"> did not systematically investigate a 300 mg </w:t>
      </w:r>
      <w:r w:rsidR="00B23B09">
        <w:t>once every four weeks</w:t>
      </w:r>
      <w:r>
        <w:t xml:space="preserve"> dose, given that this is an alternative dosage regimen desired by the sponsor.</w:t>
      </w:r>
    </w:p>
    <w:p w14:paraId="63D7968E" w14:textId="44F3C01C" w:rsidR="00BE5DB6" w:rsidRPr="00BE5DB6" w:rsidRDefault="00BE5DB6" w:rsidP="00DC1A5C">
      <w:pPr>
        <w:pStyle w:val="Heading6"/>
      </w:pPr>
      <w:r w:rsidRPr="00BE5DB6">
        <w:t>Validity issues</w:t>
      </w:r>
    </w:p>
    <w:p w14:paraId="10EADCDA" w14:textId="61BBA013" w:rsidR="0040369E" w:rsidRDefault="006416DF" w:rsidP="003E358D">
      <w:r>
        <w:t xml:space="preserve">Potential validity issues include lack of </w:t>
      </w:r>
      <w:r w:rsidR="00FF5AE4">
        <w:t>exposure</w:t>
      </w:r>
      <w:r w:rsidR="00820FDD">
        <w:t xml:space="preserve"> analysis (by area under the concentration versus time (</w:t>
      </w:r>
      <w:r>
        <w:t>AUC</w:t>
      </w:r>
      <w:r w:rsidR="00820FDD">
        <w:t>)</w:t>
      </w:r>
      <w:r>
        <w:t xml:space="preserve"> analysis</w:t>
      </w:r>
      <w:r w:rsidR="00820FDD">
        <w:t>)</w:t>
      </w:r>
      <w:r>
        <w:t xml:space="preserve"> and predictive power of the </w:t>
      </w:r>
      <w:r w:rsidR="00FF5AE4">
        <w:t>exposure-response</w:t>
      </w:r>
      <w:r>
        <w:t xml:space="preserve"> models.</w:t>
      </w:r>
      <w:r w:rsidR="0040369E">
        <w:t xml:space="preserve"> </w:t>
      </w:r>
      <w:r w:rsidR="003E358D">
        <w:t xml:space="preserve">For nearly all </w:t>
      </w:r>
      <w:proofErr w:type="spellStart"/>
      <w:r w:rsidR="003E358D">
        <w:t>popPK</w:t>
      </w:r>
      <w:proofErr w:type="spellEnd"/>
      <w:r w:rsidR="003E358D">
        <w:t xml:space="preserve"> analyses, and for all analyses relevant to the alternative 300</w:t>
      </w:r>
      <w:r w:rsidR="009622EC">
        <w:t> </w:t>
      </w:r>
      <w:r w:rsidR="003E358D">
        <w:t xml:space="preserve">mg </w:t>
      </w:r>
      <w:r w:rsidR="00B23B09">
        <w:t>once every four weeks</w:t>
      </w:r>
      <w:r w:rsidR="003E358D">
        <w:t xml:space="preserve"> dose regimen, AUC analyses were not provided. For drugs at steady</w:t>
      </w:r>
      <w:r w:rsidR="0012281B">
        <w:t xml:space="preserve"> </w:t>
      </w:r>
      <w:r w:rsidR="003E358D">
        <w:t xml:space="preserve">state, this may be considered a reasonable approach in some instances, but </w:t>
      </w:r>
      <w:r w:rsidR="00FF5AE4">
        <w:t xml:space="preserve">exposure </w:t>
      </w:r>
      <w:r w:rsidR="003E358D">
        <w:t>data analyses should also have been provided</w:t>
      </w:r>
      <w:r w:rsidR="0040369E">
        <w:t>.</w:t>
      </w:r>
    </w:p>
    <w:p w14:paraId="7BF11162" w14:textId="7A92EE79" w:rsidR="003E358D" w:rsidRDefault="003E358D" w:rsidP="003E358D">
      <w:r>
        <w:t xml:space="preserve">In the </w:t>
      </w:r>
      <w:r w:rsidR="00CB6293">
        <w:t>pharmacokinetic</w:t>
      </w:r>
      <w:r w:rsidR="002813DD">
        <w:t>/</w:t>
      </w:r>
      <w:r w:rsidR="00CB6293">
        <w:t>pharmacodynamic</w:t>
      </w:r>
      <w:r w:rsidR="00CB6293" w:rsidDel="00CB6293">
        <w:t xml:space="preserve"> </w:t>
      </w:r>
      <w:r w:rsidR="00F02E81">
        <w:t>exposure-response analysis</w:t>
      </w:r>
      <w:r w:rsidR="00820FDD">
        <w:t>,</w:t>
      </w:r>
      <w:r>
        <w:t xml:space="preserve"> the exposure-response relationship was defined based on two dose levels only. The models included a considerable number of non-significant covariates. The wide spread of the error bars in the observed FEV1</w:t>
      </w:r>
      <w:r w:rsidR="00820FDD">
        <w:t>;</w:t>
      </w:r>
      <w:r w:rsidR="00820FDD" w:rsidRPr="00DC1A5C">
        <w:rPr>
          <w:vertAlign w:val="superscript"/>
        </w:rPr>
        <w:fldChar w:fldCharType="begin"/>
      </w:r>
      <w:r w:rsidR="00820FDD" w:rsidRPr="00DC1A5C">
        <w:rPr>
          <w:vertAlign w:val="superscript"/>
        </w:rPr>
        <w:instrText xml:space="preserve"> NOTEREF _Ref129602079 \h </w:instrText>
      </w:r>
      <w:r w:rsidR="00820FDD">
        <w:rPr>
          <w:vertAlign w:val="superscript"/>
        </w:rPr>
        <w:instrText xml:space="preserve"> \* MERGEFORMAT </w:instrText>
      </w:r>
      <w:r w:rsidR="00820FDD" w:rsidRPr="00DC1A5C">
        <w:rPr>
          <w:vertAlign w:val="superscript"/>
        </w:rPr>
      </w:r>
      <w:r w:rsidR="00820FDD" w:rsidRPr="00DC1A5C">
        <w:rPr>
          <w:vertAlign w:val="superscript"/>
        </w:rPr>
        <w:fldChar w:fldCharType="separate"/>
      </w:r>
      <w:r w:rsidR="00761EA9">
        <w:rPr>
          <w:vertAlign w:val="superscript"/>
        </w:rPr>
        <w:t>16</w:t>
      </w:r>
      <w:r w:rsidR="00820FDD" w:rsidRPr="00DC1A5C">
        <w:rPr>
          <w:vertAlign w:val="superscript"/>
        </w:rPr>
        <w:fldChar w:fldCharType="end"/>
      </w:r>
      <w:r>
        <w:t xml:space="preserve"> and exacerbation data sorted by exposure quartile suggests that no robust conclusions can be drawn regarding the predictive power of the </w:t>
      </w:r>
      <w:r w:rsidR="00820FDD">
        <w:t xml:space="preserve">exposure-response </w:t>
      </w:r>
      <w:r>
        <w:t xml:space="preserve">models. The </w:t>
      </w:r>
      <w:r w:rsidR="00820FDD">
        <w:t>exposure-response</w:t>
      </w:r>
      <w:r>
        <w:t xml:space="preserve"> model of severe exacerbation events did not predict the data of children </w:t>
      </w:r>
      <w:r w:rsidR="008507CC">
        <w:t>less than</w:t>
      </w:r>
      <w:r w:rsidR="00B40245">
        <w:t xml:space="preserve"> 30 </w:t>
      </w:r>
      <w:r>
        <w:t xml:space="preserve">kg on 100 mg </w:t>
      </w:r>
      <w:r w:rsidR="00CB6293">
        <w:t xml:space="preserve">once every two weeks </w:t>
      </w:r>
      <w:r>
        <w:t xml:space="preserve">very well. In general, the results of the </w:t>
      </w:r>
      <w:r w:rsidR="00CB6293">
        <w:t>pharmacokinetic</w:t>
      </w:r>
      <w:r w:rsidR="002813DD">
        <w:t>/</w:t>
      </w:r>
      <w:r w:rsidR="00CB6293">
        <w:t>pharmacodynamic</w:t>
      </w:r>
      <w:r w:rsidR="00CB6293" w:rsidDel="00CB6293">
        <w:t xml:space="preserve"> </w:t>
      </w:r>
      <w:r w:rsidR="00820FDD">
        <w:t>exposure-response</w:t>
      </w:r>
      <w:r>
        <w:t xml:space="preserve"> study are only of limited use.</w:t>
      </w:r>
    </w:p>
    <w:p w14:paraId="40811A8C" w14:textId="76FDAAD7" w:rsidR="00BE5DB6" w:rsidRPr="00BE5DB6" w:rsidRDefault="00BE5DB6" w:rsidP="00DC1A5C">
      <w:pPr>
        <w:pStyle w:val="Heading6"/>
      </w:pPr>
      <w:r w:rsidRPr="00BE5DB6">
        <w:t>Paucity of available relevant data</w:t>
      </w:r>
    </w:p>
    <w:p w14:paraId="6A34C4C0" w14:textId="6F4EE3AB" w:rsidR="003E358D" w:rsidRDefault="003E358D" w:rsidP="003E358D">
      <w:r>
        <w:t>The submitted data do not indicate whether the extension of the administration interval from 2 to 4 weeks can lead to increased anti-drug antibodies formation or other safety issues.</w:t>
      </w:r>
    </w:p>
    <w:p w14:paraId="1646808A" w14:textId="2A374AEC" w:rsidR="00BE5DB6" w:rsidRPr="00BE5DB6" w:rsidRDefault="00BE5DB6" w:rsidP="00DC1A5C">
      <w:pPr>
        <w:pStyle w:val="Heading6"/>
      </w:pPr>
      <w:r w:rsidRPr="00BE5DB6">
        <w:t>Drug exposure</w:t>
      </w:r>
    </w:p>
    <w:p w14:paraId="056CE62D" w14:textId="29BFBF60" w:rsidR="003E358D" w:rsidRDefault="003E358D" w:rsidP="003E358D">
      <w:r>
        <w:t xml:space="preserve">The data suggest that the dupilumab </w:t>
      </w:r>
      <w:r w:rsidR="0006105B">
        <w:t xml:space="preserve">maximum concentration at </w:t>
      </w:r>
      <w:r>
        <w:t>steady</w:t>
      </w:r>
      <w:r w:rsidR="006416DF">
        <w:t xml:space="preserve"> </w:t>
      </w:r>
      <w:r>
        <w:t xml:space="preserve">state following the 300 mg </w:t>
      </w:r>
      <w:r w:rsidR="00B23B09">
        <w:t>once every four weeks</w:t>
      </w:r>
      <w:r>
        <w:t xml:space="preserve"> dosing in paediatric asthma patients weighing 15</w:t>
      </w:r>
      <w:r w:rsidR="0006105B">
        <w:t xml:space="preserve"> kg or more </w:t>
      </w:r>
      <w:r>
        <w:t xml:space="preserve">and </w:t>
      </w:r>
      <w:r w:rsidR="0006105B">
        <w:t>less than</w:t>
      </w:r>
      <w:r w:rsidR="00B40245">
        <w:t xml:space="preserve"> 30 </w:t>
      </w:r>
      <w:r>
        <w:t xml:space="preserve">kg exceeded the adult </w:t>
      </w:r>
      <w:r w:rsidR="0006105B">
        <w:t xml:space="preserve">maximum concentration </w:t>
      </w:r>
      <w:r>
        <w:t>observed after 300</w:t>
      </w:r>
      <w:r w:rsidR="0006105B">
        <w:t> </w:t>
      </w:r>
      <w:r>
        <w:t xml:space="preserve">mg </w:t>
      </w:r>
      <w:r w:rsidR="00B23B09">
        <w:t>once every two weeks</w:t>
      </w:r>
      <w:r>
        <w:t xml:space="preserve"> </w:t>
      </w:r>
      <w:proofErr w:type="gramStart"/>
      <w:r>
        <w:t>dosing, but</w:t>
      </w:r>
      <w:proofErr w:type="gramEnd"/>
      <w:r>
        <w:t xml:space="preserve"> was consistent with adult 300 mg </w:t>
      </w:r>
      <w:r w:rsidR="008507CC">
        <w:t>once a week</w:t>
      </w:r>
      <w:r>
        <w:t xml:space="preserve"> dosing, and consistent with 300 mg </w:t>
      </w:r>
      <w:r w:rsidR="00B23B09">
        <w:t>once every four weeks</w:t>
      </w:r>
      <w:r>
        <w:t xml:space="preserve"> dosing in paediatric </w:t>
      </w:r>
      <w:r w:rsidR="009622EC">
        <w:t>atopic dermatitis</w:t>
      </w:r>
      <w:r>
        <w:t xml:space="preserve"> patients weighing </w:t>
      </w:r>
      <w:r w:rsidR="008507CC">
        <w:t>less than</w:t>
      </w:r>
      <w:r w:rsidR="00B40245">
        <w:t xml:space="preserve"> 30</w:t>
      </w:r>
      <w:r w:rsidR="009622EC">
        <w:t> </w:t>
      </w:r>
      <w:r>
        <w:t>kg. The 300</w:t>
      </w:r>
      <w:r w:rsidR="006416DF">
        <w:t> </w:t>
      </w:r>
      <w:r>
        <w:t xml:space="preserve">mg </w:t>
      </w:r>
      <w:r w:rsidR="00B23B09">
        <w:t xml:space="preserve">once weekly </w:t>
      </w:r>
      <w:r>
        <w:t xml:space="preserve">dose is the highest tested adult dose and not actually approved for adult asthma </w:t>
      </w:r>
      <w:proofErr w:type="gramStart"/>
      <w:r>
        <w:t>patients, and</w:t>
      </w:r>
      <w:proofErr w:type="gramEnd"/>
      <w:r>
        <w:t xml:space="preserve"> using its exposure equivalent as a benchmark for paediatric exposure is not necessarily appropriate, in particular in the presence of a more suitable and tested dosing regimen based on more robust data.</w:t>
      </w:r>
    </w:p>
    <w:p w14:paraId="67BDB958" w14:textId="17159FA6" w:rsidR="00BE5DB6" w:rsidRPr="00BE5DB6" w:rsidRDefault="00BE5DB6" w:rsidP="00DC1A5C">
      <w:pPr>
        <w:pStyle w:val="Heading6"/>
      </w:pPr>
      <w:r w:rsidRPr="00BE5DB6">
        <w:lastRenderedPageBreak/>
        <w:t xml:space="preserve">Comparison </w:t>
      </w:r>
      <w:r w:rsidR="00820FDD">
        <w:t>to</w:t>
      </w:r>
      <w:r w:rsidR="00820FDD" w:rsidRPr="00BE5DB6">
        <w:t xml:space="preserve"> </w:t>
      </w:r>
      <w:r w:rsidRPr="00BE5DB6">
        <w:t>patients</w:t>
      </w:r>
      <w:r w:rsidR="00820FDD">
        <w:t xml:space="preserve"> with atopic dermatitis</w:t>
      </w:r>
    </w:p>
    <w:p w14:paraId="04E168D4" w14:textId="0ACB4191" w:rsidR="003E358D" w:rsidRDefault="00820FDD" w:rsidP="003E358D">
      <w:r>
        <w:t>A dose o</w:t>
      </w:r>
      <w:r w:rsidR="0006105B">
        <w:t xml:space="preserve">f </w:t>
      </w:r>
      <w:r w:rsidR="003E358D">
        <w:t xml:space="preserve">300 mg </w:t>
      </w:r>
      <w:r w:rsidR="00B23B09">
        <w:t>once every four weeks</w:t>
      </w:r>
      <w:r w:rsidR="003E358D">
        <w:t xml:space="preserve"> is approved in Australia for </w:t>
      </w:r>
      <w:r w:rsidR="009622EC">
        <w:t>atopic dermatitis</w:t>
      </w:r>
      <w:r w:rsidR="003E358D">
        <w:t xml:space="preserve"> patients weighing 15 </w:t>
      </w:r>
      <w:r w:rsidR="0006105B">
        <w:t xml:space="preserve">up </w:t>
      </w:r>
      <w:r w:rsidR="003E358D">
        <w:t xml:space="preserve">to 30 kg. The sponsor referenced the study in children with atopic dermatitis (Study R668-AD-1652), in which 61 children (with a body weight </w:t>
      </w:r>
      <w:r w:rsidR="008507CC">
        <w:t>less than</w:t>
      </w:r>
      <w:r w:rsidR="00B40245">
        <w:t xml:space="preserve"> 30</w:t>
      </w:r>
      <w:r w:rsidR="008507CC">
        <w:t> </w:t>
      </w:r>
      <w:r w:rsidR="003E358D">
        <w:t xml:space="preserve">kg) were administered dupilumab 300 mg </w:t>
      </w:r>
      <w:r w:rsidR="00B23B09">
        <w:t>once every four weeks</w:t>
      </w:r>
      <w:r w:rsidR="003E358D">
        <w:t>. However, this was not part of the data package supporting this application and in support of a different indication. Furthermore, the treatment duration was much shorter (16 weeks) and included a loading dose.</w:t>
      </w:r>
    </w:p>
    <w:p w14:paraId="32ECF9E9" w14:textId="15768673" w:rsidR="003E358D" w:rsidRDefault="003E358D" w:rsidP="003E358D">
      <w:r>
        <w:t xml:space="preserve">Furthermore, the sponsor claims that </w:t>
      </w:r>
      <w:r w:rsidR="009622EC">
        <w:t>atopic dermatitis</w:t>
      </w:r>
      <w:r>
        <w:t xml:space="preserve"> patients require more drug exposure for an efficacious outcome</w:t>
      </w:r>
      <w:r w:rsidR="006416DF">
        <w:t>.</w:t>
      </w:r>
      <w:r w:rsidR="0040369E">
        <w:t xml:space="preserve"> </w:t>
      </w:r>
      <w:r>
        <w:t xml:space="preserve">In this case, comparable exposures in the asthma and </w:t>
      </w:r>
      <w:r w:rsidR="009622EC">
        <w:t>atopic dermatitis</w:t>
      </w:r>
      <w:r>
        <w:t xml:space="preserve"> population would not support a 300 mg </w:t>
      </w:r>
      <w:r w:rsidR="00B23B09">
        <w:t>once every four weeks</w:t>
      </w:r>
      <w:r>
        <w:t xml:space="preserve"> regimen, as the exposure would be unnecessarily high in asthma patients.</w:t>
      </w:r>
    </w:p>
    <w:p w14:paraId="483C391C" w14:textId="55F922DE" w:rsidR="003E358D" w:rsidRDefault="003E358D" w:rsidP="006416DF">
      <w:pPr>
        <w:pStyle w:val="Heading6"/>
      </w:pPr>
      <w:r>
        <w:t>Package insert removal issues</w:t>
      </w:r>
    </w:p>
    <w:p w14:paraId="4967BC5D" w14:textId="0DEC15FB" w:rsidR="003E358D" w:rsidRDefault="003E358D" w:rsidP="003E358D">
      <w:r>
        <w:t>The sponsor has proposed to remove the package insert currently provided with D</w:t>
      </w:r>
      <w:r w:rsidR="006416DF">
        <w:t xml:space="preserve">upixent </w:t>
      </w:r>
      <w:r>
        <w:t>(consisting of PI, C</w:t>
      </w:r>
      <w:r w:rsidR="006416DF">
        <w:t xml:space="preserve">onsumer </w:t>
      </w:r>
      <w:r>
        <w:t>M</w:t>
      </w:r>
      <w:r w:rsidR="006416DF">
        <w:t xml:space="preserve">edicine </w:t>
      </w:r>
      <w:r>
        <w:t>I</w:t>
      </w:r>
      <w:r w:rsidR="006416DF">
        <w:t xml:space="preserve">nformation </w:t>
      </w:r>
      <w:r w:rsidR="00820FDD">
        <w:t>(</w:t>
      </w:r>
      <w:r w:rsidR="006416DF">
        <w:t>CMI</w:t>
      </w:r>
      <w:r w:rsidR="00820FDD">
        <w:t>)</w:t>
      </w:r>
      <w:r w:rsidR="006416DF">
        <w:t>)</w:t>
      </w:r>
      <w:r>
        <w:t xml:space="preserve"> and</w:t>
      </w:r>
      <w:r w:rsidR="006416DF">
        <w:t xml:space="preserve"> instructions for use (IFU)</w:t>
      </w:r>
      <w:r>
        <w:t>) and instead add a QR code to the product carton with a descriptor to inform patients</w:t>
      </w:r>
      <w:r w:rsidR="006416DF">
        <w:t xml:space="preserve"> and </w:t>
      </w:r>
      <w:r>
        <w:t xml:space="preserve">carers about the product. The QR codes would link to the </w:t>
      </w:r>
      <w:r w:rsidR="0006105B">
        <w:t>sponsor’s</w:t>
      </w:r>
      <w:r>
        <w:t xml:space="preserve"> Australian website and will contain links to the PI, CMI and IFU and injection training videos.</w:t>
      </w:r>
    </w:p>
    <w:p w14:paraId="21FE07D6" w14:textId="2BB229C8" w:rsidR="003E358D" w:rsidRPr="003E358D" w:rsidRDefault="003E358D" w:rsidP="003E358D">
      <w:r>
        <w:t>There may be not necessarily an objection to adding a QR code, but removing the package insert entirely may not be helpful for those without access to working device that is enabled to read QR codes.</w:t>
      </w:r>
    </w:p>
    <w:p w14:paraId="44E3E9ED" w14:textId="44B8A7E8" w:rsidR="0074163C" w:rsidRDefault="0074163C" w:rsidP="0074163C">
      <w:pPr>
        <w:pStyle w:val="Heading4"/>
      </w:pPr>
      <w:bookmarkStart w:id="67" w:name="_Toc98931933"/>
      <w:r w:rsidRPr="00D23139">
        <w:t>Proposed action</w:t>
      </w:r>
      <w:bookmarkEnd w:id="67"/>
    </w:p>
    <w:p w14:paraId="7B0E4778" w14:textId="368F8356" w:rsidR="00C1013B" w:rsidRPr="00C1013B" w:rsidRDefault="00C1013B" w:rsidP="00C1013B">
      <w:r w:rsidRPr="00C1013B">
        <w:t xml:space="preserve">While a decision is yet to be made, at </w:t>
      </w:r>
      <w:r w:rsidR="00993F51">
        <w:t>the time,</w:t>
      </w:r>
      <w:r w:rsidRPr="00C1013B">
        <w:t xml:space="preserve"> </w:t>
      </w:r>
      <w:r>
        <w:t xml:space="preserve">the Delegate </w:t>
      </w:r>
      <w:r w:rsidR="00292A7A">
        <w:t xml:space="preserve">was </w:t>
      </w:r>
      <w:r w:rsidRPr="00C1013B">
        <w:t xml:space="preserve">inclined to approve the registration of the product for an indication that includes paediatric asthma patients aged </w:t>
      </w:r>
      <w:r w:rsidR="006416DF">
        <w:t>six</w:t>
      </w:r>
      <w:r w:rsidRPr="00C1013B">
        <w:t xml:space="preserve"> years and above (subject to consideration by the </w:t>
      </w:r>
      <w:r w:rsidR="00043F77">
        <w:t>Advisory Committee on Medicines (</w:t>
      </w:r>
      <w:r w:rsidRPr="00C1013B">
        <w:t>ACM</w:t>
      </w:r>
      <w:proofErr w:type="gramStart"/>
      <w:r w:rsidR="00043F77">
        <w:t>),</w:t>
      </w:r>
      <w:r w:rsidRPr="00C1013B">
        <w:t>and</w:t>
      </w:r>
      <w:proofErr w:type="gramEnd"/>
      <w:r w:rsidRPr="00C1013B">
        <w:t xml:space="preserve"> subject to conditions of registration to be specified).</w:t>
      </w:r>
    </w:p>
    <w:p w14:paraId="5FA9D3F6" w14:textId="77777777" w:rsidR="0074163C" w:rsidRPr="00F73346" w:rsidRDefault="0074163C" w:rsidP="0074163C">
      <w:pPr>
        <w:pStyle w:val="Heading4"/>
      </w:pPr>
      <w:bookmarkStart w:id="68" w:name="_Toc98931936"/>
      <w:bookmarkStart w:id="69" w:name="_Toc247691532"/>
      <w:bookmarkStart w:id="70" w:name="_Toc314842516"/>
      <w:bookmarkEnd w:id="34"/>
      <w:bookmarkEnd w:id="62"/>
      <w:bookmarkEnd w:id="63"/>
      <w:r w:rsidRPr="00F73346">
        <w:t>Advisory Committee considerations</w:t>
      </w:r>
      <w:bookmarkEnd w:id="68"/>
    </w:p>
    <w:p w14:paraId="11355EE2" w14:textId="6E60DDFA" w:rsidR="0074163C" w:rsidRDefault="0074163C" w:rsidP="0074163C">
      <w:pPr>
        <w:rPr>
          <w:bCs/>
        </w:rPr>
      </w:pPr>
      <w:r w:rsidRPr="00456765">
        <w:rPr>
          <w:bCs/>
        </w:rPr>
        <w:t xml:space="preserve">The </w:t>
      </w:r>
      <w:hyperlink r:id="rId35"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4785C7C3" w14:textId="77777777" w:rsidR="0074163C" w:rsidRPr="00F73346" w:rsidRDefault="0074163C" w:rsidP="0074163C">
      <w:pPr>
        <w:pStyle w:val="Heading5"/>
      </w:pPr>
      <w:r w:rsidRPr="00F73346">
        <w:t>Specific advice to the Delegate</w:t>
      </w:r>
    </w:p>
    <w:p w14:paraId="65DAB0B4" w14:textId="3DC91FCF" w:rsidR="00C1013B" w:rsidRPr="00C1013B" w:rsidRDefault="00C1013B" w:rsidP="00C1013B">
      <w:pPr>
        <w:pStyle w:val="Numberbullet0"/>
        <w:rPr>
          <w:b/>
          <w:bCs/>
          <w:i/>
          <w:iCs/>
        </w:rPr>
      </w:pPr>
      <w:r w:rsidRPr="00C1013B">
        <w:rPr>
          <w:b/>
          <w:bCs/>
          <w:i/>
          <w:iCs/>
        </w:rPr>
        <w:t xml:space="preserve">Can the ACM comment on the proposed alternative dosing regimen, 300 mg </w:t>
      </w:r>
      <w:r w:rsidR="00B40245">
        <w:rPr>
          <w:b/>
          <w:bCs/>
          <w:i/>
          <w:iCs/>
        </w:rPr>
        <w:t>Q4W</w:t>
      </w:r>
      <w:r w:rsidRPr="00C1013B">
        <w:rPr>
          <w:b/>
          <w:bCs/>
          <w:i/>
          <w:iCs/>
        </w:rPr>
        <w:t>?</w:t>
      </w:r>
    </w:p>
    <w:p w14:paraId="11B9CED9" w14:textId="44F4AD38" w:rsidR="00C1013B" w:rsidRDefault="00C1013B" w:rsidP="00C1013B">
      <w:r>
        <w:t>The ACM considered this question from a hybrid bridging approach rather than a purely bioequivalence/</w:t>
      </w:r>
      <w:proofErr w:type="spellStart"/>
      <w:r>
        <w:t>biosimilarity</w:t>
      </w:r>
      <w:proofErr w:type="spellEnd"/>
      <w:r>
        <w:t xml:space="preserve"> perspective. The ACM acknowledged that:</w:t>
      </w:r>
    </w:p>
    <w:p w14:paraId="20410C10" w14:textId="159EFE06" w:rsidR="00C1013B" w:rsidRDefault="00993F51" w:rsidP="00C1013B">
      <w:pPr>
        <w:pStyle w:val="ListBullet"/>
      </w:pPr>
      <w:r>
        <w:t>t</w:t>
      </w:r>
      <w:r w:rsidR="00C1013B">
        <w:t xml:space="preserve">he safety profile for 300 mg </w:t>
      </w:r>
      <w:r w:rsidR="009D40D8">
        <w:t xml:space="preserve">once every four weeks </w:t>
      </w:r>
      <w:r w:rsidR="00C1013B">
        <w:t xml:space="preserve">in all weights less than 60 kg has been considered acceptable in the context of treatment benefit for atopic </w:t>
      </w:r>
      <w:proofErr w:type="gramStart"/>
      <w:r w:rsidR="00C1013B">
        <w:t>dermatitis</w:t>
      </w:r>
      <w:r>
        <w:t>;</w:t>
      </w:r>
      <w:proofErr w:type="gramEnd"/>
    </w:p>
    <w:p w14:paraId="7A78823F" w14:textId="6F1643FE" w:rsidR="00C1013B" w:rsidRDefault="00993F51" w:rsidP="00C1013B">
      <w:pPr>
        <w:pStyle w:val="ListBullet"/>
      </w:pPr>
      <w:r>
        <w:t>t</w:t>
      </w:r>
      <w:r w:rsidR="00C1013B">
        <w:t xml:space="preserve">he basis of approval of 300 mg </w:t>
      </w:r>
      <w:r w:rsidR="009D40D8">
        <w:t>once every four weeks</w:t>
      </w:r>
      <w:r w:rsidR="00C1013B">
        <w:t xml:space="preserve"> dosing is to provide prescriber choice and to allow tailored dosing to the </w:t>
      </w:r>
      <w:proofErr w:type="gramStart"/>
      <w:r w:rsidR="00C1013B">
        <w:t>individual</w:t>
      </w:r>
      <w:r>
        <w:t>;</w:t>
      </w:r>
      <w:proofErr w:type="gramEnd"/>
      <w:r>
        <w:t xml:space="preserve"> and</w:t>
      </w:r>
    </w:p>
    <w:p w14:paraId="501DA6C8" w14:textId="5391D526" w:rsidR="00C1013B" w:rsidRDefault="00993F51" w:rsidP="00C1013B">
      <w:pPr>
        <w:pStyle w:val="ListBullet"/>
      </w:pPr>
      <w:r>
        <w:t>t</w:t>
      </w:r>
      <w:r w:rsidR="00C1013B">
        <w:t xml:space="preserve">he exposure and hence efficacy, based on </w:t>
      </w:r>
      <w:r>
        <w:t xml:space="preserve">the </w:t>
      </w:r>
      <w:proofErr w:type="gramStart"/>
      <w:r w:rsidR="00C1013B">
        <w:t>pharmacokinetic-pharmacodynamics</w:t>
      </w:r>
      <w:proofErr w:type="gramEnd"/>
      <w:r w:rsidR="00C1013B">
        <w:t xml:space="preserve">, of 300 mg </w:t>
      </w:r>
      <w:r w:rsidR="009D40D8">
        <w:t>once every four weeks</w:t>
      </w:r>
      <w:r w:rsidR="00C1013B">
        <w:t xml:space="preserve"> dosing is similar or greater in all body weights less than 60 kg compared with the 'standard' dose and is associated with statistically and clinically meaningful reductions in exacerbation rates in the cohort studied.</w:t>
      </w:r>
    </w:p>
    <w:p w14:paraId="027E7004" w14:textId="72EC5F94" w:rsidR="00C1013B" w:rsidRDefault="00C1013B" w:rsidP="00C1013B">
      <w:r>
        <w:t xml:space="preserve">The ACM noted the concern that the 15 to 30 kg cohort demonstrated a significantly higher exposure (based on provided </w:t>
      </w:r>
      <w:r w:rsidR="00993F51">
        <w:t>maximum concentration</w:t>
      </w:r>
      <w:r>
        <w:t xml:space="preserve">) and that this may reduce the benefit-risk ratio compared to the pharmacokinetically equivalent dose. The ACM </w:t>
      </w:r>
      <w:r>
        <w:lastRenderedPageBreak/>
        <w:t>highlighted that the 15 to 30 kg cohort exposure remained within an acceptable therapeutic window. Further commenting that biological agents generally have wider therapeutic windows than traditional medicines and are therefore frequently dosed higher on the concentration effect curve to support single dose/coarser dose adjustment schedules and that individuals with lower total volume of distributions are exposed to higher average concentrations</w:t>
      </w:r>
      <w:r w:rsidR="0030705D">
        <w:t>, w</w:t>
      </w:r>
      <w:r>
        <w:t>ith these dosing schedules, which is generally accepted as part of these dosing schedules provided an acceptable safety profile is maintained.</w:t>
      </w:r>
    </w:p>
    <w:p w14:paraId="479C0B51" w14:textId="35367422" w:rsidR="00C1013B" w:rsidRDefault="00C1013B" w:rsidP="00C1013B">
      <w:r>
        <w:t xml:space="preserve">The ACM did highlight the longer dosing interval results in greater consequences should there be a lack of compliance however acknowledged the benefits for the </w:t>
      </w:r>
      <w:r w:rsidR="009D40D8">
        <w:t>once every four weeks</w:t>
      </w:r>
      <w:r>
        <w:t xml:space="preserve"> dosing regimen for quality of life for the patient and family should not be underestimated.</w:t>
      </w:r>
    </w:p>
    <w:p w14:paraId="486AEF4E" w14:textId="46D03BBA" w:rsidR="00C1013B" w:rsidRDefault="00C1013B" w:rsidP="00C1013B">
      <w:r>
        <w:t xml:space="preserve">Based on these considerations the ACM was supportive of the alternative 300 mg </w:t>
      </w:r>
      <w:r w:rsidR="009D40D8">
        <w:t>once every four weeks</w:t>
      </w:r>
      <w:r>
        <w:t xml:space="preserve"> regimen for patients weighing less than 60 kg.</w:t>
      </w:r>
      <w:r w:rsidR="0030705D">
        <w:t xml:space="preserve"> </w:t>
      </w:r>
      <w:r>
        <w:t>The ACM supported providing this as a secondary dose option to support clinician tailoring of dosing to individual patient factors.</w:t>
      </w:r>
    </w:p>
    <w:p w14:paraId="34BC6912" w14:textId="64C0FD04" w:rsidR="00C1013B" w:rsidRDefault="00C1013B" w:rsidP="00C1013B">
      <w:r>
        <w:t xml:space="preserve">The dossier mainly relied on an analysis of </w:t>
      </w:r>
      <w:r w:rsidR="00993F51">
        <w:t xml:space="preserve">maximum and minimum (trough) </w:t>
      </w:r>
      <w:r w:rsidR="00292A7A">
        <w:t>concentration</w:t>
      </w:r>
      <w:r>
        <w:t xml:space="preserve"> data. The ACM did highlight that </w:t>
      </w:r>
      <w:r w:rsidR="00993F51">
        <w:t>exposure (</w:t>
      </w:r>
      <w:r>
        <w:t>AUC</w:t>
      </w:r>
      <w:r w:rsidR="00993F51">
        <w:t>)</w:t>
      </w:r>
      <w:r>
        <w:t xml:space="preserve"> data should have been provided.</w:t>
      </w:r>
    </w:p>
    <w:p w14:paraId="1B153C11" w14:textId="09021F4A" w:rsidR="00C1013B" w:rsidRPr="00C1013B" w:rsidRDefault="00C1013B" w:rsidP="00C1013B">
      <w:pPr>
        <w:pStyle w:val="Numberbullet0"/>
        <w:rPr>
          <w:b/>
          <w:bCs/>
          <w:i/>
          <w:iCs/>
        </w:rPr>
      </w:pPr>
      <w:r w:rsidRPr="00C1013B">
        <w:rPr>
          <w:b/>
          <w:bCs/>
          <w:i/>
          <w:iCs/>
        </w:rPr>
        <w:t>Can the ACM comment on the proposed package insert removal and replacement with online information?</w:t>
      </w:r>
    </w:p>
    <w:p w14:paraId="18AE15C5" w14:textId="77777777" w:rsidR="00C1013B" w:rsidRDefault="00C1013B" w:rsidP="00C1013B">
      <w:r>
        <w:t>The ACM noted that dupilumab will be prescribed by a specialist and that while patient and caregiver education is likely to occur at the time of prescribing it remains important that the patient and caregivers have continued access to information on the product.</w:t>
      </w:r>
    </w:p>
    <w:p w14:paraId="6985E5E1" w14:textId="77777777" w:rsidR="00C1013B" w:rsidRDefault="00C1013B" w:rsidP="00C1013B">
      <w:r>
        <w:t>The ACM discussed consumer awareness and accessibility to online information and QR codes and while the ACM agreed that that there is growing awareness and use of QR codes, concerns remain regarding internet access and availability.</w:t>
      </w:r>
    </w:p>
    <w:p w14:paraId="75441248" w14:textId="7691393B" w:rsidR="00C1013B" w:rsidRDefault="00C1013B" w:rsidP="00C1013B">
      <w:r>
        <w:t xml:space="preserve">On balance, the ACM was of the view that the proposed package insert should remain within the box </w:t>
      </w:r>
      <w:proofErr w:type="gramStart"/>
      <w:r>
        <w:t>at this point in time</w:t>
      </w:r>
      <w:proofErr w:type="gramEnd"/>
      <w:r>
        <w:t xml:space="preserve"> and that consideration should be given to wider consultation within this space.</w:t>
      </w:r>
    </w:p>
    <w:p w14:paraId="4A5A8448" w14:textId="6C9A8FBA" w:rsidR="00C1013B" w:rsidRPr="00C1013B" w:rsidRDefault="00C1013B" w:rsidP="00C1013B">
      <w:pPr>
        <w:pStyle w:val="Numberbullet0"/>
        <w:rPr>
          <w:b/>
          <w:bCs/>
          <w:i/>
          <w:iCs/>
        </w:rPr>
      </w:pPr>
      <w:r w:rsidRPr="00C1013B">
        <w:rPr>
          <w:b/>
          <w:bCs/>
          <w:i/>
          <w:iCs/>
        </w:rPr>
        <w:t>Other advice</w:t>
      </w:r>
    </w:p>
    <w:p w14:paraId="0D9189C3" w14:textId="0282AB6C" w:rsidR="00C1013B" w:rsidRDefault="00C1013B" w:rsidP="00C1013B">
      <w:r>
        <w:t>The ACM agreed that dupilumab should be initiated</w:t>
      </w:r>
      <w:r w:rsidR="0030705D">
        <w:t xml:space="preserve"> and </w:t>
      </w:r>
      <w:r>
        <w:t xml:space="preserve">prescribed in consultation with a paediatric respiratory specialist or paediatric immunologist. The ACM commented that this specialist oversight would likely also be needed to access </w:t>
      </w:r>
      <w:proofErr w:type="spellStart"/>
      <w:r>
        <w:t>FeNO</w:t>
      </w:r>
      <w:proofErr w:type="spellEnd"/>
      <w:r>
        <w:t xml:space="preserve"> testing.</w:t>
      </w:r>
    </w:p>
    <w:p w14:paraId="235EBBE2" w14:textId="621A9B83" w:rsidR="00C1013B" w:rsidRDefault="00C1013B" w:rsidP="00C1013B">
      <w:r>
        <w:t xml:space="preserve">The ACM discussed the place in treatment for dupilumab and noted that </w:t>
      </w:r>
      <w:r w:rsidRPr="0040369E">
        <w:t>the GINA</w:t>
      </w:r>
      <w:r>
        <w:t xml:space="preserve"> guidelines state that dupilumab is a Step 4 drug.</w:t>
      </w:r>
      <w:r w:rsidR="00820FDD" w:rsidRPr="00DC1A5C">
        <w:rPr>
          <w:vertAlign w:val="superscript"/>
        </w:rPr>
        <w:fldChar w:fldCharType="begin"/>
      </w:r>
      <w:r w:rsidR="00820FDD" w:rsidRPr="00DC1A5C">
        <w:rPr>
          <w:vertAlign w:val="superscript"/>
        </w:rPr>
        <w:instrText xml:space="preserve"> NOTEREF _Ref129096246 \h </w:instrText>
      </w:r>
      <w:r w:rsidR="00820FDD">
        <w:rPr>
          <w:vertAlign w:val="superscript"/>
        </w:rPr>
        <w:instrText xml:space="preserve"> \* MERGEFORMAT </w:instrText>
      </w:r>
      <w:r w:rsidR="00820FDD" w:rsidRPr="00DC1A5C">
        <w:rPr>
          <w:vertAlign w:val="superscript"/>
        </w:rPr>
      </w:r>
      <w:r w:rsidR="00820FDD" w:rsidRPr="00DC1A5C">
        <w:rPr>
          <w:vertAlign w:val="superscript"/>
        </w:rPr>
        <w:fldChar w:fldCharType="separate"/>
      </w:r>
      <w:r w:rsidR="00761EA9">
        <w:rPr>
          <w:vertAlign w:val="superscript"/>
        </w:rPr>
        <w:t>2</w:t>
      </w:r>
      <w:r w:rsidR="00820FDD" w:rsidRPr="00DC1A5C">
        <w:rPr>
          <w:vertAlign w:val="superscript"/>
        </w:rPr>
        <w:fldChar w:fldCharType="end"/>
      </w:r>
      <w:r>
        <w:t xml:space="preserve"> Based on this, the ACM was of the view that there will be maximum treatment with other therapies prior to initiating dupilumab and that this should be clearly highlighted within the PI. The ACM further commented that the indication could also be reworded to emphasis this important point.</w:t>
      </w:r>
    </w:p>
    <w:p w14:paraId="045A8FDE" w14:textId="77777777" w:rsidR="00C1013B" w:rsidRDefault="00C1013B" w:rsidP="00C1013B">
      <w:r>
        <w:t xml:space="preserve">The ACM noted that the current and proposed asthma indications for Dupixent </w:t>
      </w:r>
      <w:proofErr w:type="gramStart"/>
      <w:r>
        <w:t>make reference</w:t>
      </w:r>
      <w:proofErr w:type="gramEnd"/>
      <w:r>
        <w:t xml:space="preserve"> to oral corticosteroids and that this was not adequately reflecting the clinical trial program. The ACM suggested that appropriate amendments be made.</w:t>
      </w:r>
    </w:p>
    <w:p w14:paraId="214DE50F" w14:textId="77777777" w:rsidR="00C1013B" w:rsidRDefault="00C1013B" w:rsidP="00C1013B">
      <w:r>
        <w:t>The ACM suggested that these amendments were also suitable to apply to the asthma indication in the age group 12 years and above but noted that this age range had not specifically been the subject of this application.</w:t>
      </w:r>
    </w:p>
    <w:p w14:paraId="3C4D95DA" w14:textId="14A04C77" w:rsidR="00C1013B" w:rsidRPr="00C1013B" w:rsidRDefault="00C1013B" w:rsidP="00C1013B">
      <w:r>
        <w:t xml:space="preserve">The ACM noted that within section 4.2 Dose and Method of Administration of PI the sentence </w:t>
      </w:r>
      <w:r w:rsidR="00703A3B">
        <w:t>‘</w:t>
      </w:r>
      <w:r w:rsidRPr="00737BDF">
        <w:rPr>
          <w:i/>
          <w:iCs/>
        </w:rPr>
        <w:t>Dupixent treatment should be prescribed by a specialist experienced in the diagnosis and treatment of asthma</w:t>
      </w:r>
      <w:r w:rsidR="00703A3B">
        <w:rPr>
          <w:i/>
          <w:iCs/>
        </w:rPr>
        <w:t>’</w:t>
      </w:r>
      <w:r>
        <w:t xml:space="preserve"> should be moved above the ‘Adults and adolescents’ subheading.</w:t>
      </w:r>
    </w:p>
    <w:p w14:paraId="1D2F4C76" w14:textId="05A6FEF0" w:rsidR="0074163C" w:rsidRDefault="0074163C" w:rsidP="0074163C">
      <w:pPr>
        <w:pStyle w:val="Heading5"/>
      </w:pPr>
      <w:r w:rsidRPr="00F73346">
        <w:lastRenderedPageBreak/>
        <w:t>Conclusion</w:t>
      </w:r>
    </w:p>
    <w:p w14:paraId="77CD5D1C" w14:textId="3D21D6DB" w:rsidR="00C1013B" w:rsidRDefault="00C1013B" w:rsidP="00C1013B">
      <w:r>
        <w:t>The ACM considered this product to have an overall positive benefit</w:t>
      </w:r>
      <w:r w:rsidR="0030705D">
        <w:t xml:space="preserve"> </w:t>
      </w:r>
      <w:r>
        <w:t>risk profile for the indication:</w:t>
      </w:r>
    </w:p>
    <w:p w14:paraId="728EF635" w14:textId="1C79ED84" w:rsidR="00C1013B" w:rsidRPr="00C1013B" w:rsidRDefault="00C1013B" w:rsidP="00C1013B">
      <w:pPr>
        <w:ind w:left="720"/>
        <w:rPr>
          <w:i/>
          <w:iCs/>
        </w:rPr>
      </w:pPr>
      <w:r w:rsidRPr="00C1013B">
        <w:rPr>
          <w:i/>
          <w:iCs/>
        </w:rPr>
        <w:t xml:space="preserve">Dupixent is indicated as add on maintenance treatment in patients aged 6 years and older with moderate to severe asthma with type 2 inflammation (elevated eosinophils or elevated </w:t>
      </w:r>
      <w:proofErr w:type="spellStart"/>
      <w:r w:rsidRPr="00C1013B">
        <w:rPr>
          <w:i/>
          <w:iCs/>
        </w:rPr>
        <w:t>FeNO</w:t>
      </w:r>
      <w:proofErr w:type="spellEnd"/>
      <w:r w:rsidRPr="00C1013B">
        <w:rPr>
          <w:i/>
          <w:iCs/>
        </w:rPr>
        <w:t>) that is poorly controlled despite optimised preventative therapy.</w:t>
      </w:r>
    </w:p>
    <w:p w14:paraId="79BCA743" w14:textId="5D9FE863" w:rsidR="008E7846" w:rsidRPr="002E238E" w:rsidRDefault="008E7846" w:rsidP="00D212F3">
      <w:pPr>
        <w:pStyle w:val="Heading2"/>
      </w:pPr>
      <w:bookmarkStart w:id="71" w:name="_Toc129692005"/>
      <w:r>
        <w:t>Outcome</w:t>
      </w:r>
      <w:bookmarkEnd w:id="69"/>
      <w:bookmarkEnd w:id="70"/>
      <w:bookmarkEnd w:id="71"/>
    </w:p>
    <w:p w14:paraId="0CFF2D7D" w14:textId="7A8431F4" w:rsidR="004B27CA" w:rsidRDefault="0074163C" w:rsidP="00B86844">
      <w:bookmarkStart w:id="72" w:name="_Toc247691533"/>
      <w:bookmarkStart w:id="73" w:name="_Toc314842517"/>
      <w:r>
        <w:t xml:space="preserve">Based on a review of quality, </w:t>
      </w:r>
      <w:r w:rsidR="00CC5044">
        <w:t>safety,</w:t>
      </w:r>
      <w:r>
        <w:t xml:space="preserve"> and efficacy, the TGA approved the registration </w:t>
      </w:r>
      <w:r w:rsidR="00B86844">
        <w:t xml:space="preserve">of </w:t>
      </w:r>
      <w:r w:rsidR="00A300E0">
        <w:t xml:space="preserve">Dupixent (dupilumab) </w:t>
      </w:r>
      <w:r w:rsidR="00A300E0" w:rsidRPr="00785B4D">
        <w:t>300 mg/2 mL</w:t>
      </w:r>
      <w:r w:rsidR="00A300E0">
        <w:t xml:space="preserve"> solution for injection, pre-</w:t>
      </w:r>
      <w:r w:rsidR="004B27CA">
        <w:t xml:space="preserve">filled syringe; </w:t>
      </w:r>
      <w:r w:rsidR="00A300E0">
        <w:t xml:space="preserve">Dupixent (dupilumab) </w:t>
      </w:r>
      <w:r w:rsidR="00A300E0" w:rsidRPr="00ED3AB5">
        <w:t>200</w:t>
      </w:r>
      <w:r w:rsidR="00A300E0">
        <w:t> </w:t>
      </w:r>
      <w:r w:rsidR="00A300E0" w:rsidRPr="00ED3AB5">
        <w:t>mg/1.14 mL</w:t>
      </w:r>
      <w:r w:rsidR="00A300E0" w:rsidRPr="00737BDF">
        <w:t xml:space="preserve"> </w:t>
      </w:r>
      <w:r w:rsidR="00A300E0">
        <w:t>solution for injection pre-filled syringe</w:t>
      </w:r>
      <w:r w:rsidR="004B27CA">
        <w:t xml:space="preserve">; and a new </w:t>
      </w:r>
      <w:r w:rsidR="00C74173">
        <w:t xml:space="preserve">strength </w:t>
      </w:r>
      <w:r w:rsidR="004B27CA">
        <w:t xml:space="preserve">presentation, </w:t>
      </w:r>
      <w:r w:rsidR="006416DF">
        <w:t xml:space="preserve">Dupixent (dupilumab) </w:t>
      </w:r>
      <w:r w:rsidR="00B86844" w:rsidRPr="006416DF">
        <w:t>100 mg/0.67 mL</w:t>
      </w:r>
      <w:r w:rsidR="00737BDF">
        <w:t xml:space="preserve"> solution for injection pre-filled syringe</w:t>
      </w:r>
      <w:r w:rsidR="004B27CA">
        <w:t xml:space="preserve"> for the following extension of indications:</w:t>
      </w:r>
    </w:p>
    <w:p w14:paraId="4055C5E6" w14:textId="77777777" w:rsidR="004B27CA" w:rsidRPr="00B86844" w:rsidRDefault="004B27CA" w:rsidP="004B27CA">
      <w:pPr>
        <w:ind w:left="720"/>
        <w:rPr>
          <w:b/>
          <w:bCs/>
          <w:i/>
          <w:iCs/>
        </w:rPr>
      </w:pPr>
      <w:r w:rsidRPr="00B86844">
        <w:rPr>
          <w:b/>
          <w:bCs/>
          <w:i/>
          <w:iCs/>
        </w:rPr>
        <w:t>Asthma</w:t>
      </w:r>
    </w:p>
    <w:p w14:paraId="3595CC5E" w14:textId="77777777" w:rsidR="004B27CA" w:rsidRPr="00B86844" w:rsidRDefault="004B27CA" w:rsidP="004B27CA">
      <w:pPr>
        <w:ind w:left="720"/>
        <w:rPr>
          <w:i/>
          <w:iCs/>
        </w:rPr>
      </w:pPr>
      <w:r w:rsidRPr="00B86844">
        <w:rPr>
          <w:i/>
          <w:iCs/>
        </w:rPr>
        <w:t xml:space="preserve">Dupixent is indicated as add on maintenance treatment in patients aged 6 years and older with moderate to severe asthma with type 2 inflammation (elevated eosinophils or elevated </w:t>
      </w:r>
      <w:proofErr w:type="spellStart"/>
      <w:r w:rsidRPr="00B86844">
        <w:rPr>
          <w:i/>
          <w:iCs/>
        </w:rPr>
        <w:t>FeNO</w:t>
      </w:r>
      <w:proofErr w:type="spellEnd"/>
      <w:r w:rsidRPr="00B86844">
        <w:rPr>
          <w:i/>
          <w:iCs/>
        </w:rPr>
        <w:t>) that is inadequately controlled despite therapy with other medicinal products for maintenance treatment</w:t>
      </w:r>
      <w:r>
        <w:rPr>
          <w:i/>
          <w:iCs/>
        </w:rPr>
        <w:t xml:space="preserve"> </w:t>
      </w:r>
      <w:r w:rsidRPr="00B86844">
        <w:rPr>
          <w:i/>
          <w:iCs/>
        </w:rPr>
        <w:t>(see Section 5.1 Pharmacodynamic Properties – Clinical Trials).</w:t>
      </w:r>
    </w:p>
    <w:p w14:paraId="64BCF5CD" w14:textId="0B949978" w:rsidR="004B27CA" w:rsidRDefault="004B27CA" w:rsidP="004B27CA">
      <w:r>
        <w:t xml:space="preserve">In addition, the newly registered Dupixent (dupilumab) </w:t>
      </w:r>
      <w:r w:rsidRPr="006416DF">
        <w:t>100 mg/0.67 mL</w:t>
      </w:r>
      <w:r>
        <w:t xml:space="preserve"> solution for injection, pre-filled syringe was also approved for all previously approved indications</w:t>
      </w:r>
      <w:r w:rsidR="00C74173">
        <w:t xml:space="preserve"> (see </w:t>
      </w:r>
      <w:r>
        <w:t>below).</w:t>
      </w:r>
    </w:p>
    <w:p w14:paraId="704CDBD4" w14:textId="0B64E70E" w:rsidR="004B27CA" w:rsidRPr="004B27CA" w:rsidRDefault="004B27CA" w:rsidP="004B27CA">
      <w:r>
        <w:t xml:space="preserve">As such, </w:t>
      </w:r>
      <w:proofErr w:type="gramStart"/>
      <w:r>
        <w:t>at this time</w:t>
      </w:r>
      <w:proofErr w:type="gramEnd"/>
      <w:r>
        <w:t>, the full indications for Dupixent (dupilumab) 300 mg/2 mL; 200 mg/1.14 mL; and 100 mg/0.67 mL, solution for injection, pre-filled syringe, were as follows:</w:t>
      </w:r>
    </w:p>
    <w:p w14:paraId="0CB76CFB" w14:textId="144425B5" w:rsidR="00B86844" w:rsidRPr="00737BDF" w:rsidRDefault="004B27CA" w:rsidP="00B86844">
      <w:pPr>
        <w:rPr>
          <w:i/>
          <w:iCs/>
        </w:rPr>
      </w:pPr>
      <w:r>
        <w:tab/>
      </w:r>
      <w:r w:rsidR="00B86844" w:rsidRPr="00737BDF">
        <w:rPr>
          <w:i/>
          <w:iCs/>
        </w:rPr>
        <w:t>Dupixent is indicated for the following type 2 inflammatory diseases:</w:t>
      </w:r>
    </w:p>
    <w:p w14:paraId="73DC907A" w14:textId="77777777" w:rsidR="00B86844" w:rsidRPr="00B86844" w:rsidRDefault="00B86844" w:rsidP="00B86844">
      <w:pPr>
        <w:ind w:left="720"/>
        <w:rPr>
          <w:b/>
          <w:bCs/>
          <w:i/>
          <w:iCs/>
        </w:rPr>
      </w:pPr>
      <w:r w:rsidRPr="00B86844">
        <w:rPr>
          <w:b/>
          <w:bCs/>
          <w:i/>
          <w:iCs/>
        </w:rPr>
        <w:t>Atopic Dermatitis</w:t>
      </w:r>
    </w:p>
    <w:p w14:paraId="6F9F9A78" w14:textId="77777777" w:rsidR="00B86844" w:rsidRPr="00B86844" w:rsidRDefault="00B86844" w:rsidP="00B86844">
      <w:pPr>
        <w:ind w:left="720"/>
        <w:rPr>
          <w:i/>
          <w:iCs/>
        </w:rPr>
      </w:pPr>
      <w:r w:rsidRPr="00B86844">
        <w:rPr>
          <w:i/>
          <w:iCs/>
        </w:rPr>
        <w:t>Adults and adolescents</w:t>
      </w:r>
    </w:p>
    <w:p w14:paraId="58F5DB10" w14:textId="77777777" w:rsidR="00B86844" w:rsidRPr="00B86844" w:rsidRDefault="00B86844" w:rsidP="00B86844">
      <w:pPr>
        <w:ind w:left="720"/>
        <w:rPr>
          <w:i/>
          <w:iCs/>
        </w:rPr>
      </w:pPr>
      <w:r w:rsidRPr="00B86844">
        <w:rPr>
          <w:i/>
          <w:iCs/>
        </w:rPr>
        <w:t>Dupixent is indicated for the treatment of moderate to severe atopic dermatitis in patients aged 12 years and older who are candidates for chronic systemic therapy. Dupixent is not intended for episodic use.</w:t>
      </w:r>
    </w:p>
    <w:p w14:paraId="6AE1DD2F" w14:textId="77777777" w:rsidR="00B86844" w:rsidRPr="00B86844" w:rsidRDefault="00B86844" w:rsidP="00B86844">
      <w:pPr>
        <w:ind w:left="720"/>
        <w:rPr>
          <w:i/>
          <w:iCs/>
        </w:rPr>
      </w:pPr>
      <w:r w:rsidRPr="00B86844">
        <w:rPr>
          <w:i/>
          <w:iCs/>
        </w:rPr>
        <w:t>Children 6 to 11 years of age</w:t>
      </w:r>
    </w:p>
    <w:p w14:paraId="75EF553F" w14:textId="77777777" w:rsidR="00B86844" w:rsidRPr="00B86844" w:rsidRDefault="00B86844" w:rsidP="00B86844">
      <w:pPr>
        <w:ind w:left="720"/>
        <w:rPr>
          <w:i/>
          <w:iCs/>
        </w:rPr>
      </w:pPr>
      <w:r w:rsidRPr="00B86844">
        <w:rPr>
          <w:i/>
          <w:iCs/>
        </w:rPr>
        <w:t>Dupixent is indicated for the treatment of severe atopic dermatitis in patients aged 6 to 11 years old who are candidates for chronic systemic therapy. Dupixent is not intended for episodic use.</w:t>
      </w:r>
    </w:p>
    <w:p w14:paraId="79A657C8" w14:textId="77777777" w:rsidR="00B86844" w:rsidRPr="00B86844" w:rsidRDefault="00B86844" w:rsidP="00B86844">
      <w:pPr>
        <w:ind w:left="720"/>
        <w:rPr>
          <w:b/>
          <w:bCs/>
          <w:i/>
          <w:iCs/>
        </w:rPr>
      </w:pPr>
      <w:r w:rsidRPr="00B86844">
        <w:rPr>
          <w:b/>
          <w:bCs/>
          <w:i/>
          <w:iCs/>
        </w:rPr>
        <w:t>Asthma</w:t>
      </w:r>
    </w:p>
    <w:p w14:paraId="7D828445" w14:textId="77777777" w:rsidR="00B86844" w:rsidRPr="00B86844" w:rsidRDefault="00B86844" w:rsidP="00B86844">
      <w:pPr>
        <w:ind w:left="720"/>
        <w:rPr>
          <w:i/>
          <w:iCs/>
        </w:rPr>
      </w:pPr>
      <w:r w:rsidRPr="00B86844">
        <w:rPr>
          <w:i/>
          <w:iCs/>
        </w:rPr>
        <w:t xml:space="preserve">Dupixent is indicated as add on maintenance treatment in patients aged 6 years and older with moderate to severe asthma with type 2 inflammation (elevated eosinophils or elevated </w:t>
      </w:r>
      <w:proofErr w:type="spellStart"/>
      <w:r w:rsidRPr="00B86844">
        <w:rPr>
          <w:i/>
          <w:iCs/>
        </w:rPr>
        <w:t>FeNO</w:t>
      </w:r>
      <w:proofErr w:type="spellEnd"/>
      <w:r w:rsidRPr="00B86844">
        <w:rPr>
          <w:i/>
          <w:iCs/>
        </w:rPr>
        <w:t>) that is inadequately controlled despite therapy with other medicinal products for maintenance treatment (see Section 5.1 Pharmacodynamic Properties – Clinical Trials).</w:t>
      </w:r>
    </w:p>
    <w:p w14:paraId="13194B92" w14:textId="77777777" w:rsidR="00B86844" w:rsidRPr="00B86844" w:rsidRDefault="00B86844" w:rsidP="00B86844">
      <w:pPr>
        <w:ind w:left="720"/>
        <w:rPr>
          <w:b/>
          <w:bCs/>
          <w:i/>
          <w:iCs/>
        </w:rPr>
      </w:pPr>
      <w:r w:rsidRPr="00B86844">
        <w:rPr>
          <w:b/>
          <w:bCs/>
          <w:i/>
          <w:iCs/>
        </w:rPr>
        <w:t>Chronic rhinosinusitis with nasal polyposis (</w:t>
      </w:r>
      <w:proofErr w:type="spellStart"/>
      <w:r w:rsidRPr="00B86844">
        <w:rPr>
          <w:b/>
          <w:bCs/>
          <w:i/>
          <w:iCs/>
        </w:rPr>
        <w:t>CRSwNP</w:t>
      </w:r>
      <w:proofErr w:type="spellEnd"/>
      <w:r w:rsidRPr="00B86844">
        <w:rPr>
          <w:b/>
          <w:bCs/>
          <w:i/>
          <w:iCs/>
        </w:rPr>
        <w:t>)</w:t>
      </w:r>
    </w:p>
    <w:p w14:paraId="400F748E" w14:textId="4C74E74C" w:rsidR="00B86844" w:rsidRPr="00B86844" w:rsidRDefault="00B86844" w:rsidP="00B86844">
      <w:pPr>
        <w:ind w:left="720"/>
        <w:rPr>
          <w:i/>
          <w:iCs/>
        </w:rPr>
      </w:pPr>
      <w:r w:rsidRPr="00B86844">
        <w:rPr>
          <w:i/>
          <w:iCs/>
        </w:rPr>
        <w:t>Dupixent is indicated as an add-on maintenance treatment in adult patients with inadequately controlled chronic rhinosinusitis with nasal polyposis (</w:t>
      </w:r>
      <w:proofErr w:type="spellStart"/>
      <w:r w:rsidRPr="00B86844">
        <w:rPr>
          <w:i/>
          <w:iCs/>
        </w:rPr>
        <w:t>CRSwNP</w:t>
      </w:r>
      <w:proofErr w:type="spellEnd"/>
      <w:r w:rsidRPr="00B86844">
        <w:rPr>
          <w:i/>
          <w:iCs/>
        </w:rPr>
        <w:t>).</w:t>
      </w:r>
    </w:p>
    <w:p w14:paraId="48973F72" w14:textId="77777777" w:rsidR="00D23139" w:rsidRPr="00D23139" w:rsidRDefault="00D23139" w:rsidP="00D212F3">
      <w:pPr>
        <w:pStyle w:val="Heading3"/>
      </w:pPr>
      <w:bookmarkStart w:id="74" w:name="_Toc129692006"/>
      <w:r w:rsidRPr="00D23139">
        <w:lastRenderedPageBreak/>
        <w:t>Specific conditions of registration applying to these goods</w:t>
      </w:r>
      <w:bookmarkEnd w:id="74"/>
    </w:p>
    <w:p w14:paraId="6E0A0550" w14:textId="289241DB" w:rsidR="00B86844" w:rsidRDefault="00B86844" w:rsidP="00B86844">
      <w:pPr>
        <w:pStyle w:val="ListBullet"/>
      </w:pPr>
      <w:r w:rsidRPr="00B86844">
        <w:t>Dupixent (dupilumab) is to be included in the Black Triangle Scheme. The PI and CMI</w:t>
      </w:r>
      <w:r w:rsidR="00306A1E">
        <w:t xml:space="preserve"> </w:t>
      </w:r>
      <w:r w:rsidRPr="00B86844">
        <w:t>for Dupixent must include the black triangle symbol and mandatory accompanying text for five years, which starts from the date the new indication is registered.</w:t>
      </w:r>
    </w:p>
    <w:p w14:paraId="44349F93" w14:textId="07864A78" w:rsidR="00B86844" w:rsidRDefault="00B86844" w:rsidP="00B86844">
      <w:pPr>
        <w:pStyle w:val="ListBullet"/>
      </w:pPr>
      <w:r>
        <w:t>The Dupixent EU-</w:t>
      </w:r>
      <w:r w:rsidR="0017788F">
        <w:t>RMP</w:t>
      </w:r>
      <w:r>
        <w:t xml:space="preserve"> (version 6.0, dated 15 February 2021, data lock point 28</w:t>
      </w:r>
      <w:r w:rsidR="00292A7A">
        <w:t> </w:t>
      </w:r>
      <w:r>
        <w:t>September 2020), with Australia</w:t>
      </w:r>
      <w:r w:rsidR="0017788F">
        <w:t xml:space="preserve"> </w:t>
      </w:r>
      <w:r w:rsidR="00306A1E">
        <w:t>s</w:t>
      </w:r>
      <w:r>
        <w:t xml:space="preserve">pecific </w:t>
      </w:r>
      <w:r w:rsidR="00306A1E">
        <w:t>a</w:t>
      </w:r>
      <w:r>
        <w:t>nnex (version 5.0, dated 30 April 2021), included with submissions PM-2020-03043-1-5 and PM-2021-01682-1-5, and any subsequent revisions, as agreed with the TGA will be implemented in Australia.</w:t>
      </w:r>
    </w:p>
    <w:p w14:paraId="4F6C1B15" w14:textId="2B577625" w:rsidR="00B86844" w:rsidRDefault="00B86844" w:rsidP="00306A1E">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1825045A" w14:textId="77777777" w:rsidR="00B86844" w:rsidRDefault="00B86844" w:rsidP="00306A1E">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this approval letter.</w:t>
      </w:r>
    </w:p>
    <w:p w14:paraId="555C4095" w14:textId="5F24B46E" w:rsidR="00B86844" w:rsidRDefault="00B86844" w:rsidP="00306A1E">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5E185E83" w14:textId="23361D2D" w:rsidR="00B86844" w:rsidRPr="00B86844" w:rsidRDefault="00B86844" w:rsidP="00B86844">
      <w:pPr>
        <w:pStyle w:val="ListBullet"/>
      </w:pPr>
      <w:r w:rsidRPr="00B86844">
        <w:t>For all injectable products the Product Information must be included with the product as a package insert.</w:t>
      </w:r>
    </w:p>
    <w:p w14:paraId="3F2B18E2" w14:textId="6539998B" w:rsidR="008E7846" w:rsidRDefault="00A80B5B" w:rsidP="00D23139">
      <w:pPr>
        <w:pStyle w:val="Heading2"/>
      </w:pPr>
      <w:bookmarkStart w:id="75" w:name="_Toc129692007"/>
      <w:r>
        <w:t xml:space="preserve">Attachment 1. </w:t>
      </w:r>
      <w:r w:rsidR="008E7846">
        <w:t xml:space="preserve">Product </w:t>
      </w:r>
      <w:r w:rsidR="00AA0ED0">
        <w:t>I</w:t>
      </w:r>
      <w:r w:rsidR="008E7846">
        <w:t>nformation</w:t>
      </w:r>
      <w:bookmarkEnd w:id="72"/>
      <w:bookmarkEnd w:id="73"/>
      <w:bookmarkEnd w:id="75"/>
    </w:p>
    <w:p w14:paraId="736668BF" w14:textId="4822B2B8" w:rsidR="00523A21" w:rsidRDefault="006136D7" w:rsidP="00C80137">
      <w:r w:rsidRPr="002B3624">
        <w:t xml:space="preserve">The </w:t>
      </w:r>
      <w:r>
        <w:t>PI</w:t>
      </w:r>
      <w:r w:rsidRPr="002B3624">
        <w:t xml:space="preserve"> for </w:t>
      </w:r>
      <w:r w:rsidR="0040369E">
        <w:t>Dupixent</w:t>
      </w:r>
      <w:r w:rsidR="0074163C">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36" w:history="1">
        <w:r w:rsidR="0074163C" w:rsidRPr="008A698E">
          <w:rPr>
            <w:rStyle w:val="Hyperlink"/>
          </w:rPr>
          <w:t>PI/CMI search facility</w:t>
        </w:r>
        <w:r w:rsidR="0074163C" w:rsidRPr="00EB36D6">
          <w:rPr>
            <w:rStyle w:val="Hyperlink"/>
            <w:color w:val="auto"/>
            <w:u w:val="none"/>
          </w:rPr>
          <w:t>.</w:t>
        </w:r>
      </w:hyperlink>
    </w:p>
    <w:p w14:paraId="4DEA3C1F" w14:textId="77777777" w:rsidR="00744121" w:rsidRDefault="00744121" w:rsidP="00744121">
      <w:pPr>
        <w:rPr>
          <w:lang w:eastAsia="ja-JP"/>
        </w:rPr>
      </w:pPr>
    </w:p>
    <w:p w14:paraId="2E113DC4" w14:textId="77777777" w:rsidR="00C80137" w:rsidRPr="001D043B" w:rsidRDefault="00C80137" w:rsidP="003A7F6C">
      <w:pPr>
        <w:pStyle w:val="TableTitle"/>
        <w:sectPr w:rsidR="00C80137" w:rsidRPr="001D043B" w:rsidSect="00B452CE">
          <w:headerReference w:type="even" r:id="rId37"/>
          <w:headerReference w:type="default" r:id="rId38"/>
          <w:headerReference w:type="first" r:id="rId39"/>
          <w:footerReference w:type="first" r:id="rId4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34B15C0" w14:textId="77777777" w:rsidTr="00A05FA4">
        <w:trPr>
          <w:trHeight w:hRule="exact" w:val="704"/>
        </w:trPr>
        <w:tc>
          <w:tcPr>
            <w:tcW w:w="9175" w:type="dxa"/>
          </w:tcPr>
          <w:p w14:paraId="667B4D23" w14:textId="77777777" w:rsidR="001C32CD" w:rsidRPr="00487162" w:rsidRDefault="001C32CD" w:rsidP="00A05FA4">
            <w:pPr>
              <w:pStyle w:val="TGASignoff"/>
            </w:pPr>
            <w:r w:rsidRPr="00487162">
              <w:lastRenderedPageBreak/>
              <w:t>Therapeutic Goods Administration</w:t>
            </w:r>
          </w:p>
        </w:tc>
      </w:tr>
      <w:tr w:rsidR="001C32CD" w:rsidRPr="004C239D" w14:paraId="609CE24A" w14:textId="77777777" w:rsidTr="00A05FA4">
        <w:trPr>
          <w:trHeight w:val="1221"/>
        </w:trPr>
        <w:tc>
          <w:tcPr>
            <w:tcW w:w="9175" w:type="dxa"/>
            <w:tcMar>
              <w:top w:w="28" w:type="dxa"/>
            </w:tcMar>
          </w:tcPr>
          <w:p w14:paraId="128E3F05" w14:textId="77777777" w:rsidR="001C32CD" w:rsidRPr="00487162" w:rsidRDefault="001C32CD" w:rsidP="00A05FA4">
            <w:pPr>
              <w:pStyle w:val="Address"/>
            </w:pPr>
            <w:r w:rsidRPr="00487162">
              <w:t>PO Box 100 Woden ACT 2606 Australia</w:t>
            </w:r>
          </w:p>
          <w:p w14:paraId="7614553D" w14:textId="762F0958" w:rsidR="001C32CD" w:rsidRPr="00487162" w:rsidRDefault="001C32CD" w:rsidP="00A05FA4">
            <w:pPr>
              <w:pStyle w:val="Address"/>
            </w:pPr>
            <w:r w:rsidRPr="00487162">
              <w:t xml:space="preserve">Email: </w:t>
            </w:r>
            <w:hyperlink r:id="rId41" w:history="1">
              <w:r w:rsidRPr="004C239D">
                <w:rPr>
                  <w:rStyle w:val="Hyperlink"/>
                </w:rPr>
                <w:t>info@tga.gov.au</w:t>
              </w:r>
            </w:hyperlink>
            <w:r w:rsidR="0040369E">
              <w:t xml:space="preserve"> </w:t>
            </w:r>
            <w:r w:rsidRPr="00487162">
              <w:t>Phone: 1800 020 653</w:t>
            </w:r>
            <w:r w:rsidR="0040369E">
              <w:t xml:space="preserve"> </w:t>
            </w:r>
            <w:r w:rsidRPr="00487162">
              <w:t>Fax: 02 6232 8605</w:t>
            </w:r>
          </w:p>
          <w:p w14:paraId="05170EBB" w14:textId="05866045" w:rsidR="001C32CD" w:rsidRPr="004C239D" w:rsidRDefault="005E03E4" w:rsidP="00A05FA4">
            <w:pPr>
              <w:pStyle w:val="Address"/>
              <w:spacing w:line="260" w:lineRule="atLeast"/>
              <w:rPr>
                <w:b/>
                <w:color w:val="0000FF"/>
                <w:u w:val="single"/>
              </w:rPr>
            </w:pPr>
            <w:hyperlink r:id="rId42" w:history="1">
              <w:r w:rsidR="007C6B9B" w:rsidRPr="007C6B9B">
                <w:rPr>
                  <w:rStyle w:val="Hyperlink"/>
                  <w:b/>
                </w:rPr>
                <w:t>https://www.tga.gov.au</w:t>
              </w:r>
            </w:hyperlink>
          </w:p>
        </w:tc>
      </w:tr>
    </w:tbl>
    <w:p w14:paraId="7DA22039" w14:textId="77777777" w:rsidR="00774E1D" w:rsidRPr="008A5E0B" w:rsidRDefault="00774E1D" w:rsidP="004C239D"/>
    <w:sectPr w:rsidR="00774E1D" w:rsidRPr="008A5E0B" w:rsidSect="001C32CD">
      <w:headerReference w:type="even" r:id="rId43"/>
      <w:headerReference w:type="default" r:id="rId44"/>
      <w:footerReference w:type="default" r:id="rId45"/>
      <w:headerReference w:type="first" r:id="rId46"/>
      <w:footerReference w:type="first" r:id="rId4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7C94A" w14:textId="77777777" w:rsidR="009B6431" w:rsidRDefault="009B6431" w:rsidP="00C40A36">
      <w:pPr>
        <w:spacing w:after="0"/>
      </w:pPr>
      <w:r>
        <w:separator/>
      </w:r>
    </w:p>
  </w:endnote>
  <w:endnote w:type="continuationSeparator" w:id="0">
    <w:p w14:paraId="458C456A" w14:textId="77777777" w:rsidR="009B6431" w:rsidRDefault="009B643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A4383" w:rsidRPr="00487162" w14:paraId="657ED256" w14:textId="77777777" w:rsidTr="00DB750B">
      <w:trPr>
        <w:trHeight w:val="269"/>
      </w:trPr>
      <w:tc>
        <w:tcPr>
          <w:tcW w:w="7371" w:type="dxa"/>
          <w:tcMar>
            <w:top w:w="142" w:type="dxa"/>
            <w:bottom w:w="0" w:type="dxa"/>
          </w:tcMar>
        </w:tcPr>
        <w:p w14:paraId="420D0553" w14:textId="402900C0" w:rsidR="001A4383" w:rsidRPr="00487162" w:rsidRDefault="001A4383" w:rsidP="00460036">
          <w:pPr>
            <w:pStyle w:val="Footer"/>
          </w:pPr>
          <w:proofErr w:type="spellStart"/>
          <w:r w:rsidRPr="00487162">
            <w:t>AusPA</w:t>
          </w:r>
          <w:r>
            <w:t>R</w:t>
          </w:r>
          <w:proofErr w:type="spellEnd"/>
          <w:r>
            <w:t xml:space="preserve"> - </w:t>
          </w:r>
          <w:r w:rsidRPr="003E4C00">
            <w:t>D</w:t>
          </w:r>
          <w:r>
            <w:t>upixent</w:t>
          </w:r>
          <w:r w:rsidRPr="00460036">
            <w:t xml:space="preserve"> – </w:t>
          </w:r>
          <w:r w:rsidRPr="003E4C00">
            <w:t>dupilumab</w:t>
          </w:r>
          <w:r w:rsidRPr="00460036">
            <w:t xml:space="preserve"> </w:t>
          </w:r>
          <w:r>
            <w:t xml:space="preserve">- </w:t>
          </w:r>
          <w:r w:rsidRPr="003E4C00">
            <w:t>Sanofi-Aventis Australia Pty Ltd</w:t>
          </w:r>
          <w:r>
            <w:t xml:space="preserve"> -</w:t>
          </w:r>
          <w:r w:rsidRPr="003E4C00">
            <w:t>PM-2021-01682-1-5</w:t>
          </w:r>
          <w:r>
            <w:br/>
          </w:r>
          <w:r w:rsidR="004D1018">
            <w:t xml:space="preserve">Final 14 March </w:t>
          </w:r>
          <w:r>
            <w:t>2023</w:t>
          </w:r>
        </w:p>
      </w:tc>
      <w:tc>
        <w:tcPr>
          <w:tcW w:w="1490" w:type="dxa"/>
          <w:tcMar>
            <w:top w:w="142" w:type="dxa"/>
            <w:bottom w:w="0" w:type="dxa"/>
          </w:tcMar>
        </w:tcPr>
        <w:p w14:paraId="08920963" w14:textId="3F9B15D5" w:rsidR="001A4383" w:rsidRPr="00487162" w:rsidRDefault="001A4383" w:rsidP="00DB750B">
          <w:pPr>
            <w:pStyle w:val="Footer"/>
            <w:jc w:val="right"/>
          </w:pPr>
          <w:r w:rsidRPr="00487162">
            <w:t xml:space="preserve">Page </w:t>
          </w:r>
          <w:r>
            <w:fldChar w:fldCharType="begin"/>
          </w:r>
          <w:r>
            <w:instrText xml:space="preserve"> PAGE  \* Arabic </w:instrText>
          </w:r>
          <w:r>
            <w:fldChar w:fldCharType="separate"/>
          </w:r>
          <w:r w:rsidR="00C71F05">
            <w:rPr>
              <w:noProof/>
            </w:rPr>
            <w:t>7</w:t>
          </w:r>
          <w:r>
            <w:fldChar w:fldCharType="end"/>
          </w:r>
          <w:r w:rsidRPr="00487162">
            <w:t xml:space="preserve"> of </w:t>
          </w:r>
          <w:fldSimple w:instr=" NUMPAGES  \* Arabic ">
            <w:r w:rsidR="00C71F05">
              <w:rPr>
                <w:noProof/>
              </w:rPr>
              <w:t>39</w:t>
            </w:r>
          </w:fldSimple>
        </w:p>
      </w:tc>
    </w:tr>
  </w:tbl>
  <w:p w14:paraId="4D580FFF" w14:textId="77777777" w:rsidR="001A4383" w:rsidRDefault="001A4383"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A4383" w:rsidRPr="00487162" w14:paraId="3D8941FD" w14:textId="77777777" w:rsidTr="00E45619">
      <w:trPr>
        <w:trHeight w:val="269"/>
      </w:trPr>
      <w:tc>
        <w:tcPr>
          <w:tcW w:w="4519" w:type="dxa"/>
          <w:tcBorders>
            <w:top w:val="single" w:sz="4" w:space="0" w:color="auto"/>
          </w:tcBorders>
          <w:tcMar>
            <w:top w:w="142" w:type="dxa"/>
            <w:bottom w:w="0" w:type="dxa"/>
          </w:tcMar>
        </w:tcPr>
        <w:p w14:paraId="54F7377F" w14:textId="77777777" w:rsidR="001A4383" w:rsidRPr="00487162" w:rsidRDefault="001A4383" w:rsidP="00FE1DEE">
          <w:pPr>
            <w:pStyle w:val="Footer"/>
          </w:pPr>
          <w:r w:rsidRPr="00487162">
            <w:t>Document title, Part #, Section # - Section title</w:t>
          </w:r>
        </w:p>
        <w:p w14:paraId="2B18F674" w14:textId="77777777" w:rsidR="001A4383" w:rsidRPr="00487162" w:rsidRDefault="001A4383" w:rsidP="00FE1DEE">
          <w:pPr>
            <w:pStyle w:val="Footer"/>
          </w:pPr>
          <w:r w:rsidRPr="00487162">
            <w:t>V1.0 October 2010</w:t>
          </w:r>
        </w:p>
      </w:tc>
      <w:tc>
        <w:tcPr>
          <w:tcW w:w="4342" w:type="dxa"/>
          <w:tcBorders>
            <w:top w:val="single" w:sz="4" w:space="0" w:color="auto"/>
          </w:tcBorders>
          <w:tcMar>
            <w:top w:w="142" w:type="dxa"/>
            <w:bottom w:w="0" w:type="dxa"/>
          </w:tcMar>
        </w:tcPr>
        <w:p w14:paraId="77B38885" w14:textId="77777777" w:rsidR="001A4383" w:rsidRPr="00487162" w:rsidRDefault="001A438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55B5617F" w14:textId="77777777" w:rsidR="001A4383" w:rsidRDefault="001A43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4FC89" w14:textId="77777777" w:rsidR="001A4383" w:rsidRPr="001C32CD" w:rsidRDefault="001A4383"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A4383" w14:paraId="107BA361" w14:textId="77777777" w:rsidTr="0010601F">
      <w:trPr>
        <w:trHeight w:val="108"/>
      </w:trPr>
      <w:tc>
        <w:tcPr>
          <w:tcW w:w="8875" w:type="dxa"/>
          <w:gridSpan w:val="2"/>
          <w:tcBorders>
            <w:bottom w:val="single" w:sz="4" w:space="0" w:color="auto"/>
          </w:tcBorders>
          <w:tcMar>
            <w:right w:w="284" w:type="dxa"/>
          </w:tcMar>
        </w:tcPr>
        <w:p w14:paraId="6F945CAD" w14:textId="77777777" w:rsidR="001A4383" w:rsidRDefault="001A4383" w:rsidP="006E08B3">
          <w:pPr>
            <w:pStyle w:val="Heading3"/>
          </w:pPr>
          <w:r>
            <w:t>Copyright</w:t>
          </w:r>
        </w:p>
        <w:p w14:paraId="29B45142" w14:textId="77777777" w:rsidR="001A4383" w:rsidRDefault="001A4383" w:rsidP="006E08B3">
          <w:r>
            <w:rPr>
              <w:rFonts w:cs="Arial"/>
            </w:rPr>
            <w:t>©</w:t>
          </w:r>
          <w:r>
            <w:t xml:space="preserve"> Commonwealth of Australia [add year]</w:t>
          </w:r>
        </w:p>
        <w:p w14:paraId="059E26EC" w14:textId="77777777" w:rsidR="001A4383" w:rsidRDefault="001A4383" w:rsidP="006E08B3"/>
        <w:p w14:paraId="1F47EC53" w14:textId="6A2BB393" w:rsidR="001A4383" w:rsidRDefault="001A438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541F5A9" w14:textId="77777777" w:rsidR="001A4383" w:rsidRDefault="001A4383" w:rsidP="006E08B3"/>
        <w:p w14:paraId="6E7A0F23" w14:textId="77777777" w:rsidR="001A4383" w:rsidRDefault="001A4383" w:rsidP="006E08B3">
          <w:pPr>
            <w:pStyle w:val="Heading3"/>
          </w:pPr>
          <w:r>
            <w:t>Confidentiality</w:t>
          </w:r>
        </w:p>
        <w:p w14:paraId="5BA39B23" w14:textId="77777777" w:rsidR="001A4383" w:rsidRDefault="001A438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E837D6F" w14:textId="77777777" w:rsidR="001A4383" w:rsidRDefault="001A4383" w:rsidP="006E08B3"/>
        <w:p w14:paraId="056FDE80" w14:textId="77777777" w:rsidR="001A4383" w:rsidRDefault="001A4383" w:rsidP="006E08B3">
          <w:r>
            <w:t>For submission made by individuals, all personal details, other than your name, will be removed from your submission before it is published on the TGA’s Internet site.</w:t>
          </w:r>
        </w:p>
        <w:p w14:paraId="2FB77971" w14:textId="77777777" w:rsidR="001A4383" w:rsidRDefault="001A4383" w:rsidP="006E08B3"/>
        <w:p w14:paraId="2CBAAC95" w14:textId="77777777" w:rsidR="001A4383" w:rsidRDefault="001A4383" w:rsidP="006E08B3">
          <w:r>
            <w:t>In addition, a list of parties making submissions will be published. If you do not wish to be identified with your submission you must specifically request this in the space provided in the submission coversheet.</w:t>
          </w:r>
        </w:p>
      </w:tc>
    </w:tr>
    <w:tr w:rsidR="001A4383" w14:paraId="0A65B192" w14:textId="77777777" w:rsidTr="0010601F">
      <w:trPr>
        <w:trHeight w:val="417"/>
      </w:trPr>
      <w:tc>
        <w:tcPr>
          <w:tcW w:w="4519" w:type="dxa"/>
          <w:tcBorders>
            <w:top w:val="single" w:sz="4" w:space="0" w:color="auto"/>
          </w:tcBorders>
          <w:tcMar>
            <w:top w:w="142" w:type="dxa"/>
            <w:bottom w:w="0" w:type="dxa"/>
          </w:tcMar>
        </w:tcPr>
        <w:p w14:paraId="72376C25" w14:textId="77777777" w:rsidR="001A4383" w:rsidRDefault="001A4383" w:rsidP="006E08B3">
          <w:r>
            <w:t>Document title, Part #, Section # - Section title</w:t>
          </w:r>
        </w:p>
        <w:p w14:paraId="533CB237" w14:textId="77777777" w:rsidR="001A4383" w:rsidRDefault="001A4383" w:rsidP="006E08B3">
          <w:r>
            <w:t>V1.0 October 2010</w:t>
          </w:r>
        </w:p>
      </w:tc>
      <w:tc>
        <w:tcPr>
          <w:tcW w:w="4356" w:type="dxa"/>
          <w:tcBorders>
            <w:top w:val="single" w:sz="4" w:space="0" w:color="auto"/>
          </w:tcBorders>
          <w:tcMar>
            <w:top w:w="142" w:type="dxa"/>
            <w:bottom w:w="0" w:type="dxa"/>
          </w:tcMar>
        </w:tcPr>
        <w:p w14:paraId="5A8DBBAD" w14:textId="538F8250" w:rsidR="001A4383" w:rsidRDefault="001A438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7A59D9B8" w14:textId="77777777" w:rsidR="001A4383" w:rsidRDefault="001A43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043AC" w14:textId="77777777" w:rsidR="009B6431" w:rsidRDefault="009B6431" w:rsidP="00C40A36">
      <w:pPr>
        <w:spacing w:after="0"/>
      </w:pPr>
      <w:r>
        <w:separator/>
      </w:r>
    </w:p>
  </w:footnote>
  <w:footnote w:type="continuationSeparator" w:id="0">
    <w:p w14:paraId="46658DC8" w14:textId="77777777" w:rsidR="009B6431" w:rsidRDefault="009B6431" w:rsidP="00C40A36">
      <w:pPr>
        <w:spacing w:after="0"/>
      </w:pPr>
      <w:r>
        <w:continuationSeparator/>
      </w:r>
    </w:p>
  </w:footnote>
  <w:footnote w:id="1">
    <w:p w14:paraId="70415B0F" w14:textId="0412DCFF" w:rsidR="001A4383" w:rsidRDefault="001A4383">
      <w:pPr>
        <w:pStyle w:val="FootnoteText"/>
      </w:pPr>
      <w:r>
        <w:rPr>
          <w:rStyle w:val="FootnoteReference"/>
        </w:rPr>
        <w:footnoteRef/>
      </w:r>
      <w:r>
        <w:t xml:space="preserve"> </w:t>
      </w:r>
      <w:r w:rsidRPr="00043F77">
        <w:t>The Black Triangle Scheme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B7371D3" w14:textId="2FAF9075" w:rsidR="001A4383" w:rsidRPr="00E22668" w:rsidRDefault="001A4383" w:rsidP="00B55A00">
      <w:pPr>
        <w:pStyle w:val="FootnoteText"/>
      </w:pPr>
      <w:r>
        <w:rPr>
          <w:rStyle w:val="FootnoteReference"/>
        </w:rPr>
        <w:footnoteRef/>
      </w:r>
      <w:r>
        <w:t xml:space="preserve"> </w:t>
      </w:r>
      <w:r w:rsidRPr="00B55A00">
        <w:t>Global Initiative for Asthma. Global strategy for asthma management and prevention. Gl</w:t>
      </w:r>
      <w:r>
        <w:t>obal Initiative for Asthma; 2022</w:t>
      </w:r>
      <w:r w:rsidRPr="00B55A00">
        <w:t xml:space="preserve">. Available from: </w:t>
      </w:r>
      <w:hyperlink r:id="rId1" w:history="1">
        <w:r w:rsidRPr="00A10B1A">
          <w:rPr>
            <w:rStyle w:val="Hyperlink"/>
          </w:rPr>
          <w:t>https://www.ginasthma.org/</w:t>
        </w:r>
      </w:hyperlink>
      <w:r>
        <w:t xml:space="preserve"> </w:t>
      </w:r>
    </w:p>
  </w:footnote>
  <w:footnote w:id="3">
    <w:p w14:paraId="0045F0D4" w14:textId="744CF98D" w:rsidR="001A4383" w:rsidRPr="00E22668" w:rsidRDefault="001A4383" w:rsidP="00967EB7">
      <w:pPr>
        <w:pStyle w:val="FootnoteText"/>
      </w:pPr>
      <w:r>
        <w:rPr>
          <w:rStyle w:val="FootnoteReference"/>
        </w:rPr>
        <w:footnoteRef/>
      </w:r>
      <w:r>
        <w:t xml:space="preserve"> </w:t>
      </w:r>
      <w:proofErr w:type="spellStart"/>
      <w:r>
        <w:t>Croisant</w:t>
      </w:r>
      <w:proofErr w:type="spellEnd"/>
      <w:r>
        <w:t xml:space="preserve"> S. Epidemiology of asthma: prevalence and burden of disease. </w:t>
      </w:r>
      <w:r w:rsidRPr="00E22668">
        <w:rPr>
          <w:i/>
        </w:rPr>
        <w:t>Adv. Exp.</w:t>
      </w:r>
      <w:r>
        <w:rPr>
          <w:i/>
        </w:rPr>
        <w:t xml:space="preserve"> </w:t>
      </w:r>
      <w:r w:rsidRPr="006D798B">
        <w:rPr>
          <w:i/>
        </w:rPr>
        <w:t>Med.</w:t>
      </w:r>
      <w:r>
        <w:rPr>
          <w:i/>
        </w:rPr>
        <w:t xml:space="preserve"> </w:t>
      </w:r>
      <w:r w:rsidRPr="006D798B">
        <w:rPr>
          <w:i/>
        </w:rPr>
        <w:t>Biol</w:t>
      </w:r>
      <w:r>
        <w:t xml:space="preserve">. </w:t>
      </w:r>
      <w:proofErr w:type="gramStart"/>
      <w:r>
        <w:t>2014;795:17</w:t>
      </w:r>
      <w:proofErr w:type="gramEnd"/>
      <w:r>
        <w:t>-29</w:t>
      </w:r>
    </w:p>
  </w:footnote>
  <w:footnote w:id="4">
    <w:p w14:paraId="39A75C20" w14:textId="5792C187" w:rsidR="001A4383" w:rsidRPr="006D798B" w:rsidRDefault="001A4383">
      <w:pPr>
        <w:pStyle w:val="FootnoteText"/>
        <w:rPr>
          <w:lang w:val="en-GB"/>
        </w:rPr>
      </w:pPr>
      <w:r>
        <w:rPr>
          <w:rStyle w:val="FootnoteReference"/>
        </w:rPr>
        <w:footnoteRef/>
      </w:r>
      <w:r>
        <w:t xml:space="preserve"> </w:t>
      </w:r>
      <w:proofErr w:type="spellStart"/>
      <w:r w:rsidRPr="005A1FA6">
        <w:t>Kontakioti</w:t>
      </w:r>
      <w:proofErr w:type="spellEnd"/>
      <w:r w:rsidRPr="005A1FA6">
        <w:t xml:space="preserve"> E, </w:t>
      </w:r>
      <w:proofErr w:type="spellStart"/>
      <w:r w:rsidRPr="005A1FA6">
        <w:t>Domvri</w:t>
      </w:r>
      <w:proofErr w:type="spellEnd"/>
      <w:r w:rsidRPr="005A1FA6">
        <w:t xml:space="preserve"> K, </w:t>
      </w:r>
      <w:proofErr w:type="spellStart"/>
      <w:r w:rsidRPr="005A1FA6">
        <w:t>Papakosta</w:t>
      </w:r>
      <w:proofErr w:type="spellEnd"/>
      <w:r w:rsidRPr="005A1FA6">
        <w:t xml:space="preserve"> D, </w:t>
      </w:r>
      <w:proofErr w:type="spellStart"/>
      <w:r w:rsidRPr="005A1FA6">
        <w:t>Daniilidis</w:t>
      </w:r>
      <w:proofErr w:type="spellEnd"/>
      <w:r w:rsidRPr="005A1FA6">
        <w:t xml:space="preserve"> M. </w:t>
      </w:r>
      <w:proofErr w:type="gramStart"/>
      <w:r w:rsidRPr="005A1FA6">
        <w:t>HLA</w:t>
      </w:r>
      <w:proofErr w:type="gramEnd"/>
      <w:r w:rsidRPr="005A1FA6">
        <w:t xml:space="preserve"> and asthma phenotypes/endotypes: a review. </w:t>
      </w:r>
      <w:r w:rsidRPr="006D798B">
        <w:rPr>
          <w:i/>
        </w:rPr>
        <w:t>Hum Immunol.</w:t>
      </w:r>
      <w:r w:rsidRPr="005A1FA6">
        <w:t xml:space="preserve"> 2014;</w:t>
      </w:r>
      <w:r>
        <w:t xml:space="preserve"> </w:t>
      </w:r>
      <w:r w:rsidRPr="005A1FA6">
        <w:t>75(8):930-939.</w:t>
      </w:r>
    </w:p>
  </w:footnote>
  <w:footnote w:id="5">
    <w:p w14:paraId="6274A1E0" w14:textId="77777777" w:rsidR="001A4383" w:rsidRDefault="001A4383" w:rsidP="006B4ED7">
      <w:pPr>
        <w:pStyle w:val="FootnoteText"/>
      </w:pPr>
      <w:r>
        <w:rPr>
          <w:rStyle w:val="FootnoteReference"/>
        </w:rPr>
        <w:footnoteRef/>
      </w:r>
      <w:r>
        <w:t xml:space="preserve"> Shirakawa T, et al. Atopy and asthma: genetic variants of IL-4 and IL-13 signalling, </w:t>
      </w:r>
      <w:r w:rsidRPr="00CB7357">
        <w:rPr>
          <w:i/>
        </w:rPr>
        <w:t>Immunology Today</w:t>
      </w:r>
      <w:r>
        <w:t>, 2000; 21(2):60-64</w:t>
      </w:r>
    </w:p>
    <w:p w14:paraId="2F72F374" w14:textId="77777777" w:rsidR="001A4383" w:rsidRPr="00CB7357" w:rsidRDefault="001A4383" w:rsidP="006B4ED7">
      <w:pPr>
        <w:pStyle w:val="FootnoteText"/>
        <w:rPr>
          <w:lang w:val="en-GB"/>
        </w:rPr>
      </w:pPr>
      <w:r>
        <w:t>Pages 60-64,</w:t>
      </w:r>
    </w:p>
  </w:footnote>
  <w:footnote w:id="6">
    <w:p w14:paraId="6EF8AB72" w14:textId="77777777" w:rsidR="001A4383" w:rsidRPr="007707A8" w:rsidRDefault="001A4383" w:rsidP="006B4ED7">
      <w:pPr>
        <w:pStyle w:val="FootnoteText"/>
        <w:rPr>
          <w:lang w:val="en-GB"/>
        </w:rPr>
      </w:pPr>
      <w:r>
        <w:rPr>
          <w:rStyle w:val="FootnoteReference"/>
        </w:rPr>
        <w:footnoteRef/>
      </w:r>
      <w:r>
        <w:t xml:space="preserve"> March M et al</w:t>
      </w:r>
      <w:r w:rsidRPr="00622BB0">
        <w:t xml:space="preserve">. Genetic polymorphisms and associated susceptibility to asthma. </w:t>
      </w:r>
      <w:r w:rsidRPr="007707A8">
        <w:rPr>
          <w:i/>
        </w:rPr>
        <w:t>Int J Gen Med.</w:t>
      </w:r>
      <w:r w:rsidRPr="00622BB0">
        <w:t xml:space="preserve"> 2013;</w:t>
      </w:r>
      <w:r>
        <w:t xml:space="preserve"> </w:t>
      </w:r>
      <w:r w:rsidRPr="00622BB0">
        <w:t>6:253-265.</w:t>
      </w:r>
    </w:p>
  </w:footnote>
  <w:footnote w:id="7">
    <w:p w14:paraId="374A40DA" w14:textId="77777777" w:rsidR="001A4383" w:rsidRPr="00335956" w:rsidRDefault="001A4383" w:rsidP="006B4ED7">
      <w:pPr>
        <w:pStyle w:val="FootnoteText"/>
        <w:rPr>
          <w:lang w:val="en-GB"/>
        </w:rPr>
      </w:pPr>
      <w:r>
        <w:rPr>
          <w:rStyle w:val="FootnoteReference"/>
        </w:rPr>
        <w:footnoteRef/>
      </w:r>
      <w:r>
        <w:t xml:space="preserve"> </w:t>
      </w:r>
      <w:proofErr w:type="spellStart"/>
      <w:r w:rsidRPr="00622BB0">
        <w:t>Baldini</w:t>
      </w:r>
      <w:proofErr w:type="spellEnd"/>
      <w:r w:rsidRPr="00622BB0">
        <w:t>, M</w:t>
      </w:r>
      <w:r>
        <w:t>, et al. (May 1999). A Polymorphism</w:t>
      </w:r>
      <w:r w:rsidRPr="00622BB0">
        <w:t xml:space="preserve"> in the 5' flanking region of the CD14 gene is associated with circulating soluble CD14 levels and wi</w:t>
      </w:r>
      <w:r>
        <w:t>th total serum immunoglobulin E</w:t>
      </w:r>
      <w:r w:rsidRPr="00622BB0">
        <w:t xml:space="preserve">. </w:t>
      </w:r>
      <w:r w:rsidRPr="00335956">
        <w:rPr>
          <w:i/>
        </w:rPr>
        <w:t>American Journal of Respiratory Cell and Molecular Biology</w:t>
      </w:r>
      <w:r w:rsidRPr="00622BB0">
        <w:t xml:space="preserve">. </w:t>
      </w:r>
      <w:r>
        <w:t>1999;</w:t>
      </w:r>
      <w:r w:rsidRPr="00622BB0">
        <w:t>20 (5): 976–983.</w:t>
      </w:r>
    </w:p>
  </w:footnote>
  <w:footnote w:id="8">
    <w:p w14:paraId="1D8BCCB1" w14:textId="1BB48039" w:rsidR="001A4383" w:rsidRPr="006D798B" w:rsidRDefault="001A4383">
      <w:pPr>
        <w:pStyle w:val="FootnoteText"/>
        <w:rPr>
          <w:lang w:val="en-GB"/>
        </w:rPr>
      </w:pPr>
      <w:r>
        <w:rPr>
          <w:rStyle w:val="FootnoteReference"/>
        </w:rPr>
        <w:footnoteRef/>
      </w:r>
      <w:r>
        <w:t xml:space="preserve"> Van </w:t>
      </w:r>
      <w:proofErr w:type="spellStart"/>
      <w:r>
        <w:t>Eerdewegh</w:t>
      </w:r>
      <w:proofErr w:type="spellEnd"/>
      <w:r>
        <w:t xml:space="preserve">, P, </w:t>
      </w:r>
      <w:r w:rsidRPr="00B04362">
        <w:t xml:space="preserve">et al. Association of the ADAM33 gene with asthma and bronchial hyperresponsiveness. </w:t>
      </w:r>
      <w:r w:rsidRPr="006D798B">
        <w:rPr>
          <w:i/>
        </w:rPr>
        <w:t>Nature</w:t>
      </w:r>
      <w:r w:rsidRPr="00B04362">
        <w:t xml:space="preserve"> 418, 426–430 (2002).</w:t>
      </w:r>
    </w:p>
  </w:footnote>
  <w:footnote w:id="9">
    <w:p w14:paraId="7C96A0F8" w14:textId="629220D2" w:rsidR="001A4383" w:rsidRPr="006D798B" w:rsidRDefault="001A4383">
      <w:pPr>
        <w:pStyle w:val="FootnoteText"/>
        <w:rPr>
          <w:lang w:val="en-GB"/>
        </w:rPr>
      </w:pPr>
      <w:r>
        <w:rPr>
          <w:rStyle w:val="FootnoteReference"/>
        </w:rPr>
        <w:footnoteRef/>
      </w:r>
      <w:r>
        <w:t xml:space="preserve"> Gautier C and</w:t>
      </w:r>
      <w:r w:rsidRPr="00627AF4">
        <w:t xml:space="preserve"> </w:t>
      </w:r>
      <w:proofErr w:type="spellStart"/>
      <w:r w:rsidRPr="00627AF4">
        <w:t>Charpin</w:t>
      </w:r>
      <w:proofErr w:type="spellEnd"/>
      <w:r>
        <w:t xml:space="preserve"> S</w:t>
      </w:r>
      <w:r w:rsidRPr="00627AF4">
        <w:t xml:space="preserve"> (2017) Environmental triggers and avoidance in the management of asthma, </w:t>
      </w:r>
      <w:r w:rsidRPr="006D798B">
        <w:rPr>
          <w:i/>
        </w:rPr>
        <w:t>Journal of Asthma and Allergy</w:t>
      </w:r>
      <w:r w:rsidRPr="00627AF4">
        <w:t xml:space="preserve">, </w:t>
      </w:r>
      <w:proofErr w:type="gramStart"/>
      <w:r w:rsidRPr="00627AF4">
        <w:t>10:,</w:t>
      </w:r>
      <w:proofErr w:type="gramEnd"/>
      <w:r w:rsidRPr="00627AF4">
        <w:t xml:space="preserve"> 47-56,</w:t>
      </w:r>
    </w:p>
  </w:footnote>
  <w:footnote w:id="10">
    <w:p w14:paraId="74C87850" w14:textId="7201D1B9" w:rsidR="001A4383" w:rsidRPr="002329CC" w:rsidRDefault="001A4383" w:rsidP="00B04362">
      <w:pPr>
        <w:pStyle w:val="FootnoteText"/>
      </w:pPr>
      <w:r>
        <w:rPr>
          <w:rStyle w:val="FootnoteReference"/>
        </w:rPr>
        <w:footnoteRef/>
      </w:r>
      <w:r>
        <w:t xml:space="preserve"> Brandt EB, </w:t>
      </w:r>
      <w:proofErr w:type="spellStart"/>
      <w:r>
        <w:t>Sivaprasad</w:t>
      </w:r>
      <w:proofErr w:type="spellEnd"/>
      <w:r>
        <w:t xml:space="preserve"> U. Th2 Cytokines and Atopic Dermatitis</w:t>
      </w:r>
      <w:r w:rsidRPr="006D798B">
        <w:rPr>
          <w:i/>
        </w:rPr>
        <w:t>. J Clin Cell Immunol</w:t>
      </w:r>
      <w:r>
        <w:t>. 2011 Aug 10;2(3). 25 p.</w:t>
      </w:r>
    </w:p>
  </w:footnote>
  <w:footnote w:id="11">
    <w:p w14:paraId="5F9724AE" w14:textId="00BE5ED0" w:rsidR="001A4383" w:rsidRPr="002329CC" w:rsidRDefault="001A4383" w:rsidP="00B04362">
      <w:pPr>
        <w:pStyle w:val="FootnoteText"/>
      </w:pPr>
      <w:r>
        <w:rPr>
          <w:rStyle w:val="FootnoteReference"/>
        </w:rPr>
        <w:footnoteRef/>
      </w:r>
      <w:r>
        <w:t xml:space="preserve"> Woodruff P, et al. T-helper type 2-driven inflammation defines major </w:t>
      </w:r>
      <w:proofErr w:type="spellStart"/>
      <w:r>
        <w:t>subphenotypes</w:t>
      </w:r>
      <w:proofErr w:type="spellEnd"/>
      <w:r>
        <w:t xml:space="preserve"> of asthma</w:t>
      </w:r>
      <w:proofErr w:type="gramStart"/>
      <w:r>
        <w:t>.</w:t>
      </w:r>
      <w:r>
        <w:rPr>
          <w:i/>
        </w:rPr>
        <w:t xml:space="preserve"> </w:t>
      </w:r>
      <w:r>
        <w:t>.</w:t>
      </w:r>
      <w:proofErr w:type="gramEnd"/>
      <w:r>
        <w:t xml:space="preserve"> 2009 Sep 1;180(5):388-95.</w:t>
      </w:r>
    </w:p>
  </w:footnote>
  <w:footnote w:id="12">
    <w:p w14:paraId="4D477056" w14:textId="3E89222E" w:rsidR="001A4383" w:rsidRPr="006D798B" w:rsidRDefault="001A4383">
      <w:pPr>
        <w:pStyle w:val="FootnoteText"/>
        <w:rPr>
          <w:lang w:val="en-GB"/>
        </w:rPr>
      </w:pPr>
      <w:r>
        <w:rPr>
          <w:rStyle w:val="FootnoteReference"/>
        </w:rPr>
        <w:footnoteRef/>
      </w:r>
      <w:r>
        <w:t xml:space="preserve"> </w:t>
      </w:r>
      <w:r w:rsidRPr="00F10600">
        <w:t>National Asthma Council Australia. Australian Asthma Handbook. National Asthma Council Australia, Melbourne, 2023. Website. Available from: http://www.asthmahandbook.org.au</w:t>
      </w:r>
    </w:p>
  </w:footnote>
  <w:footnote w:id="13">
    <w:p w14:paraId="7A3E4658" w14:textId="0BD5138C" w:rsidR="001A4383" w:rsidRPr="00292A7A" w:rsidRDefault="001A4383">
      <w:pPr>
        <w:pStyle w:val="FootnoteText"/>
      </w:pPr>
      <w:r>
        <w:rPr>
          <w:rStyle w:val="FootnoteReference"/>
        </w:rPr>
        <w:footnoteRef/>
      </w:r>
      <w:r>
        <w:t xml:space="preserve"> The </w:t>
      </w:r>
      <w:proofErr w:type="spellStart"/>
      <w:r>
        <w:t>AusPAR</w:t>
      </w:r>
      <w:proofErr w:type="spellEnd"/>
      <w:r>
        <w:t xml:space="preserve"> for Dupixent (dupilumab) as new biological entity (submission </w:t>
      </w:r>
      <w:r w:rsidRPr="004B0EE9">
        <w:t>PM</w:t>
      </w:r>
      <w:r w:rsidRPr="004B0EE9">
        <w:noBreakHyphen/>
      </w:r>
      <w:r>
        <w:t xml:space="preserve">2016-04087-1-1, for the treatment of atopic dermatitis in adults) can be found at </w:t>
      </w:r>
      <w:hyperlink r:id="rId2" w:history="1">
        <w:r w:rsidRPr="00C47B60">
          <w:rPr>
            <w:rStyle w:val="Hyperlink"/>
          </w:rPr>
          <w:t>https://www.tga.gov.au/resources/auspar/auspar-dupilumab</w:t>
        </w:r>
      </w:hyperlink>
      <w:r>
        <w:t xml:space="preserve"> </w:t>
      </w:r>
    </w:p>
  </w:footnote>
  <w:footnote w:id="14">
    <w:p w14:paraId="4C08AD7E" w14:textId="0656B93B" w:rsidR="001A4383" w:rsidRPr="0029672B" w:rsidRDefault="001A4383" w:rsidP="00A17CA8">
      <w:pPr>
        <w:pStyle w:val="FootnoteText"/>
        <w:rPr>
          <w:lang w:val="en-GB"/>
        </w:rPr>
      </w:pPr>
      <w:r>
        <w:rPr>
          <w:rStyle w:val="FootnoteReference"/>
        </w:rPr>
        <w:footnoteRef/>
      </w:r>
      <w:r>
        <w:t xml:space="preserve"> An </w:t>
      </w:r>
      <w:proofErr w:type="spellStart"/>
      <w:r>
        <w:t>AusPAR</w:t>
      </w:r>
      <w:proofErr w:type="spellEnd"/>
      <w:r>
        <w:t xml:space="preserve"> for Dupixent (dupilumab) as an extension of indications for the treatment atopic dermatitis in children; and the treatment of adults with chronic rhinosinusitis with nasal polyposis (submission </w:t>
      </w:r>
      <w:r w:rsidRPr="004B0EE9">
        <w:t>PM</w:t>
      </w:r>
      <w:r w:rsidRPr="004B0EE9">
        <w:noBreakHyphen/>
        <w:t>2020</w:t>
      </w:r>
      <w:r w:rsidRPr="004B0EE9">
        <w:noBreakHyphen/>
        <w:t>03043-1-2</w:t>
      </w:r>
      <w:r>
        <w:t xml:space="preserve">) can be found at </w:t>
      </w:r>
      <w:hyperlink r:id="rId3" w:history="1">
        <w:r w:rsidRPr="00A347C9">
          <w:rPr>
            <w:rStyle w:val="Hyperlink"/>
          </w:rPr>
          <w:t>https://www.tga.gov.au/resources/auspar/auspar-dupilumab-0</w:t>
        </w:r>
      </w:hyperlink>
      <w:r>
        <w:t xml:space="preserve"> </w:t>
      </w:r>
    </w:p>
  </w:footnote>
  <w:footnote w:id="15">
    <w:p w14:paraId="6421B362" w14:textId="11C367CC" w:rsidR="001A4383" w:rsidRPr="00DC1A5C" w:rsidRDefault="001A4383">
      <w:pPr>
        <w:pStyle w:val="FootnoteText"/>
        <w:rPr>
          <w:lang w:val="en-GB"/>
        </w:rPr>
      </w:pPr>
      <w:r>
        <w:rPr>
          <w:rStyle w:val="FootnoteReference"/>
        </w:rPr>
        <w:footnoteRef/>
      </w:r>
      <w:r>
        <w:t xml:space="preserve"> </w:t>
      </w:r>
      <w:r>
        <w:rPr>
          <w:lang w:val="en-GB"/>
        </w:rPr>
        <w:t xml:space="preserve">Data was sourced from </w:t>
      </w:r>
      <w:r w:rsidRPr="0036282D">
        <w:rPr>
          <w:lang w:val="en-GB"/>
        </w:rPr>
        <w:t>National Health and Nutritio</w:t>
      </w:r>
      <w:r>
        <w:rPr>
          <w:lang w:val="en-GB"/>
        </w:rPr>
        <w:t xml:space="preserve">n Examination Survey (NHANES) from the National </w:t>
      </w:r>
      <w:proofErr w:type="spellStart"/>
      <w:r>
        <w:rPr>
          <w:lang w:val="en-GB"/>
        </w:rPr>
        <w:t>Center</w:t>
      </w:r>
      <w:proofErr w:type="spellEnd"/>
      <w:r>
        <w:rPr>
          <w:lang w:val="en-GB"/>
        </w:rPr>
        <w:t xml:space="preserve"> for Health Statistics (part of the </w:t>
      </w:r>
      <w:proofErr w:type="spellStart"/>
      <w:r>
        <w:rPr>
          <w:lang w:val="en-GB"/>
        </w:rPr>
        <w:t>Centers</w:t>
      </w:r>
      <w:proofErr w:type="spellEnd"/>
      <w:r>
        <w:rPr>
          <w:lang w:val="en-GB"/>
        </w:rPr>
        <w:t xml:space="preserve"> of Disease Control) in the USA.</w:t>
      </w:r>
    </w:p>
  </w:footnote>
  <w:footnote w:id="16">
    <w:p w14:paraId="52A5A034" w14:textId="5A4744C1" w:rsidR="001A4383" w:rsidRPr="00DC1A5C" w:rsidRDefault="001A4383">
      <w:pPr>
        <w:pStyle w:val="FootnoteText"/>
        <w:rPr>
          <w:lang w:val="en-GB"/>
        </w:rPr>
      </w:pPr>
      <w:r>
        <w:rPr>
          <w:rStyle w:val="FootnoteReference"/>
        </w:rPr>
        <w:footnoteRef/>
      </w:r>
      <w:r>
        <w:t xml:space="preserve"> </w:t>
      </w:r>
      <w:r w:rsidRPr="00DC1A5C">
        <w:rPr>
          <w:b/>
          <w:lang w:val="en-GB"/>
        </w:rPr>
        <w:t>Forced expiratory volume in one second</w:t>
      </w:r>
      <w:r>
        <w:rPr>
          <w:lang w:val="en-GB"/>
        </w:rPr>
        <w:t xml:space="preserve"> (</w:t>
      </w:r>
      <w:r w:rsidRPr="00DC1A5C">
        <w:rPr>
          <w:b/>
          <w:lang w:val="en-GB"/>
        </w:rPr>
        <w:t>FEV1</w:t>
      </w:r>
      <w:r>
        <w:rPr>
          <w:lang w:val="en-GB"/>
        </w:rPr>
        <w:t>) is t</w:t>
      </w:r>
      <w:r w:rsidRPr="006F15BA">
        <w:rPr>
          <w:lang w:val="en-GB"/>
        </w:rPr>
        <w:t xml:space="preserve">he maximum </w:t>
      </w:r>
      <w:r>
        <w:rPr>
          <w:lang w:val="en-GB"/>
        </w:rPr>
        <w:t>volume</w:t>
      </w:r>
      <w:r w:rsidRPr="006F15BA">
        <w:rPr>
          <w:lang w:val="en-GB"/>
        </w:rPr>
        <w:t xml:space="preserve"> of air that </w:t>
      </w:r>
      <w:r>
        <w:rPr>
          <w:lang w:val="en-GB"/>
        </w:rPr>
        <w:t>a</w:t>
      </w:r>
      <w:r w:rsidRPr="006F15BA">
        <w:rPr>
          <w:lang w:val="en-GB"/>
        </w:rPr>
        <w:t xml:space="preserve"> subject can forcibly expel</w:t>
      </w:r>
      <w:r>
        <w:rPr>
          <w:lang w:val="en-GB"/>
        </w:rPr>
        <w:t xml:space="preserve"> (exhale) </w:t>
      </w:r>
      <w:r w:rsidRPr="006F15BA">
        <w:rPr>
          <w:lang w:val="en-GB"/>
        </w:rPr>
        <w:t>during the first second following maximal inhalation</w:t>
      </w:r>
      <w:r>
        <w:rPr>
          <w:lang w:val="en-GB"/>
        </w:rPr>
        <w:t>.</w:t>
      </w:r>
    </w:p>
  </w:footnote>
  <w:footnote w:id="17">
    <w:p w14:paraId="08808F47" w14:textId="3AFED70B" w:rsidR="001A4383" w:rsidRPr="000C6A9F" w:rsidRDefault="001A4383" w:rsidP="00E26292">
      <w:pPr>
        <w:pStyle w:val="FootnoteText"/>
        <w:rPr>
          <w:lang w:val="en-GB"/>
        </w:rPr>
      </w:pPr>
      <w:r>
        <w:rPr>
          <w:rStyle w:val="FootnoteReference"/>
        </w:rPr>
        <w:footnoteRef/>
      </w:r>
      <w:r>
        <w:t xml:space="preserve"> The </w:t>
      </w:r>
      <w:r w:rsidRPr="000C6A9F">
        <w:rPr>
          <w:b/>
        </w:rPr>
        <w:t>Asthma Control Questionnaire</w:t>
      </w:r>
      <w:r w:rsidRPr="00002818">
        <w:t xml:space="preserve"> </w:t>
      </w:r>
      <w:r>
        <w:t xml:space="preserve">(7-item, interviewer assisted; </w:t>
      </w:r>
      <w:r w:rsidRPr="000C6A9F">
        <w:rPr>
          <w:b/>
          <w:lang w:val="en-GB"/>
        </w:rPr>
        <w:t>ACQ-7-IA</w:t>
      </w:r>
      <w:r>
        <w:rPr>
          <w:lang w:val="en-GB"/>
        </w:rPr>
        <w:t xml:space="preserve">) is a validated 7-item </w:t>
      </w:r>
      <w:r w:rsidRPr="00002818">
        <w:rPr>
          <w:lang w:val="en-GB"/>
        </w:rPr>
        <w:t xml:space="preserve">questionnaire to measure the adequacy of asthma control and change in asthma control which occurs either spontaneously or </w:t>
      </w:r>
      <w:proofErr w:type="gramStart"/>
      <w:r w:rsidRPr="00002818">
        <w:rPr>
          <w:lang w:val="en-GB"/>
        </w:rPr>
        <w:t>as a result of</w:t>
      </w:r>
      <w:proofErr w:type="gramEnd"/>
      <w:r w:rsidRPr="00002818">
        <w:rPr>
          <w:lang w:val="en-GB"/>
        </w:rPr>
        <w:t xml:space="preserve"> treatment.</w:t>
      </w:r>
      <w:r>
        <w:rPr>
          <w:lang w:val="en-GB"/>
        </w:rPr>
        <w:t xml:space="preserve"> The </w:t>
      </w:r>
      <w:r w:rsidRPr="00002818">
        <w:rPr>
          <w:lang w:val="en-GB"/>
        </w:rPr>
        <w:t>ACQ has a multidimensional constru</w:t>
      </w:r>
      <w:r>
        <w:rPr>
          <w:lang w:val="en-GB"/>
        </w:rPr>
        <w:t xml:space="preserve">ct assessing symptoms (5 items, </w:t>
      </w:r>
      <w:r w:rsidRPr="00002818">
        <w:rPr>
          <w:lang w:val="en-GB"/>
        </w:rPr>
        <w:t>self-administered) and resc</w:t>
      </w:r>
      <w:r>
        <w:rPr>
          <w:lang w:val="en-GB"/>
        </w:rPr>
        <w:t xml:space="preserve">ue bronchodilator use (1 item, </w:t>
      </w:r>
      <w:r w:rsidRPr="00002818">
        <w:rPr>
          <w:lang w:val="en-GB"/>
        </w:rPr>
        <w:t>self-administered), and FEV1% (1 item) completed by clinic staff</w:t>
      </w:r>
      <w:r>
        <w:rPr>
          <w:lang w:val="en-GB"/>
        </w:rPr>
        <w:t xml:space="preserve">. Items are scored on a 7-point scale (zero = </w:t>
      </w:r>
      <w:r w:rsidRPr="00002818">
        <w:rPr>
          <w:lang w:val="en-GB"/>
        </w:rPr>
        <w:t>no i</w:t>
      </w:r>
      <w:r>
        <w:rPr>
          <w:lang w:val="en-GB"/>
        </w:rPr>
        <w:t xml:space="preserve">mpairment, 6 = </w:t>
      </w:r>
      <w:r w:rsidRPr="00002818">
        <w:rPr>
          <w:lang w:val="en-GB"/>
        </w:rPr>
        <w:t>maximum impairment for symptoms and rescue use; and 7 categories for FEV1%)</w:t>
      </w:r>
      <w:r>
        <w:rPr>
          <w:lang w:val="en-GB"/>
        </w:rPr>
        <w:t>. Overall score is the mean score across item, ranging</w:t>
      </w:r>
      <w:r w:rsidRPr="00D825EC">
        <w:rPr>
          <w:lang w:val="en-GB"/>
        </w:rPr>
        <w:t xml:space="preserve"> between 0 (totally controlled</w:t>
      </w:r>
      <w:r>
        <w:rPr>
          <w:lang w:val="en-GB"/>
        </w:rPr>
        <w:t xml:space="preserve"> asthma</w:t>
      </w:r>
      <w:r w:rsidRPr="00D825EC">
        <w:rPr>
          <w:lang w:val="en-GB"/>
        </w:rPr>
        <w:t>) and 6 (severely uncontrolled</w:t>
      </w:r>
      <w:r>
        <w:rPr>
          <w:lang w:val="en-GB"/>
        </w:rPr>
        <w:t xml:space="preserve"> asthma</w:t>
      </w:r>
      <w:r w:rsidRPr="00D825EC">
        <w:rPr>
          <w:lang w:val="en-GB"/>
        </w:rPr>
        <w:t>).</w:t>
      </w:r>
    </w:p>
  </w:footnote>
  <w:footnote w:id="18">
    <w:p w14:paraId="382DFB46" w14:textId="140EBE65" w:rsidR="001A4383" w:rsidRPr="004F754C" w:rsidRDefault="001A4383" w:rsidP="00E26292">
      <w:pPr>
        <w:pStyle w:val="FootnoteText"/>
        <w:rPr>
          <w:lang w:val="en-GB"/>
        </w:rPr>
      </w:pPr>
      <w:r>
        <w:rPr>
          <w:rStyle w:val="FootnoteReference"/>
        </w:rPr>
        <w:footnoteRef/>
      </w:r>
      <w:r>
        <w:t xml:space="preserve"> The </w:t>
      </w:r>
      <w:r w:rsidRPr="004F754C">
        <w:rPr>
          <w:b/>
        </w:rPr>
        <w:t>P</w:t>
      </w:r>
      <w:r>
        <w:rPr>
          <w:b/>
        </w:rPr>
        <w:t>a</w:t>
      </w:r>
      <w:r w:rsidRPr="004F754C">
        <w:rPr>
          <w:b/>
        </w:rPr>
        <w:t>ediatric Asthma Caregivers Quality of Life Questionnaire</w:t>
      </w:r>
      <w:r>
        <w:t xml:space="preserve"> (</w:t>
      </w:r>
      <w:r w:rsidRPr="00DC1A5C">
        <w:rPr>
          <w:b/>
        </w:rPr>
        <w:t>PAQLQ</w:t>
      </w:r>
      <w:r>
        <w:t>) is a</w:t>
      </w:r>
      <w:r w:rsidRPr="00D825EC">
        <w:t xml:space="preserve"> </w:t>
      </w:r>
      <w:r>
        <w:t>validated d</w:t>
      </w:r>
      <w:r w:rsidRPr="00D825EC">
        <w:t>isease-specific questionnair</w:t>
      </w:r>
      <w:r>
        <w:t xml:space="preserve">e available in both interviewer-administered (IA) </w:t>
      </w:r>
      <w:r w:rsidRPr="00D825EC">
        <w:t xml:space="preserve">and self-administered formats, designed for children aged 7 to 17 years of age. </w:t>
      </w:r>
      <w:r>
        <w:t>The PAQLQ includes three patient-specific questions in the activity domain</w:t>
      </w:r>
      <w:r w:rsidRPr="00D825EC">
        <w:t xml:space="preserve">, in which the patient identifies activities </w:t>
      </w:r>
      <w:r>
        <w:t xml:space="preserve">that are </w:t>
      </w:r>
      <w:r w:rsidRPr="00D825EC">
        <w:t>limited because of asthma. The patient is asked at eac</w:t>
      </w:r>
      <w:r>
        <w:t xml:space="preserve">h subsequent visit how much they have </w:t>
      </w:r>
      <w:r w:rsidRPr="00D825EC">
        <w:t>been bothered by each of these three activities.</w:t>
      </w:r>
      <w:r>
        <w:t xml:space="preserve"> There are 23 items arranged over 3 domains (symptoms (10 items); activity limitations (5 items, 3 are individualis</w:t>
      </w:r>
      <w:r w:rsidRPr="00E26292">
        <w:t>ed), emotional function (8 items)</w:t>
      </w:r>
      <w:r>
        <w:t>. All items are equally weighted and are scored on a 7</w:t>
      </w:r>
      <w:r>
        <w:noBreakHyphen/>
        <w:t xml:space="preserve">point </w:t>
      </w:r>
      <w:proofErr w:type="spellStart"/>
      <w:r>
        <w:t>likert</w:t>
      </w:r>
      <w:proofErr w:type="spellEnd"/>
      <w:r>
        <w:t xml:space="preserve"> scale. Mean scores are </w:t>
      </w:r>
      <w:r w:rsidRPr="004F754C">
        <w:t xml:space="preserve">calculated across all items within each domain. Overall </w:t>
      </w:r>
      <w:r>
        <w:t xml:space="preserve">(total) </w:t>
      </w:r>
      <w:r w:rsidRPr="004F754C">
        <w:t>score is the mean across all items.</w:t>
      </w:r>
    </w:p>
  </w:footnote>
  <w:footnote w:id="19">
    <w:p w14:paraId="24C10E83" w14:textId="71F7C2CD" w:rsidR="001A4383" w:rsidRPr="00DC1A5C" w:rsidRDefault="001A4383">
      <w:pPr>
        <w:pStyle w:val="FootnoteText"/>
        <w:rPr>
          <w:lang w:val="en-GB"/>
        </w:rPr>
      </w:pPr>
      <w:r>
        <w:rPr>
          <w:rStyle w:val="FootnoteReference"/>
        </w:rPr>
        <w:footnoteRef/>
      </w:r>
      <w:r>
        <w:t xml:space="preserve"> The </w:t>
      </w:r>
      <w:r w:rsidR="00597D49" w:rsidRPr="00597D49">
        <w:rPr>
          <w:b/>
        </w:rPr>
        <w:t>Standardis</w:t>
      </w:r>
      <w:r w:rsidRPr="00DC1A5C">
        <w:rPr>
          <w:b/>
        </w:rPr>
        <w:t>ed P</w:t>
      </w:r>
      <w:r>
        <w:rPr>
          <w:b/>
        </w:rPr>
        <w:t>a</w:t>
      </w:r>
      <w:r w:rsidRPr="00DC1A5C">
        <w:rPr>
          <w:b/>
        </w:rPr>
        <w:t>ediatric Asthma Quality of Life Questionnaire</w:t>
      </w:r>
      <w:r w:rsidRPr="00E26292">
        <w:t xml:space="preserve"> (</w:t>
      </w:r>
      <w:r w:rsidRPr="00DC1A5C">
        <w:rPr>
          <w:b/>
        </w:rPr>
        <w:t>PAQLQ(S)</w:t>
      </w:r>
      <w:r>
        <w:t>) is a version of the PAQLQ with the</w:t>
      </w:r>
      <w:r w:rsidRPr="00E26292">
        <w:t xml:space="preserve"> </w:t>
      </w:r>
      <w:proofErr w:type="spellStart"/>
      <w:r w:rsidRPr="00E26292">
        <w:t>the</w:t>
      </w:r>
      <w:proofErr w:type="spellEnd"/>
      <w:r w:rsidRPr="00E26292">
        <w:t xml:space="preserve"> three patient-specific questions </w:t>
      </w:r>
      <w:r>
        <w:t>being</w:t>
      </w:r>
      <w:r w:rsidRPr="00E26292">
        <w:t xml:space="preserve"> replaced by generic activity questions incorporating the activities that were most frequently chosen by children when we used the original PAQLQ.</w:t>
      </w:r>
    </w:p>
  </w:footnote>
  <w:footnote w:id="20">
    <w:p w14:paraId="6570EF0E" w14:textId="228C1D17" w:rsidR="001A4383" w:rsidRPr="00DC1A5C" w:rsidRDefault="001A4383">
      <w:pPr>
        <w:pStyle w:val="FootnoteText"/>
        <w:rPr>
          <w:lang w:val="en-GB"/>
        </w:rPr>
      </w:pPr>
      <w:r>
        <w:rPr>
          <w:rStyle w:val="FootnoteReference"/>
        </w:rPr>
        <w:footnoteRef/>
      </w:r>
      <w:r>
        <w:t xml:space="preserve"> </w:t>
      </w:r>
      <w:r w:rsidRPr="003E769D">
        <w:t xml:space="preserve">Type 2 inflammatory asthma phenotype population is defined as the randomised patients with baseline blood eosinophils greater than or equal to 0.15 x 109/L or baseline </w:t>
      </w:r>
      <w:proofErr w:type="spellStart"/>
      <w:r w:rsidRPr="003E769D">
        <w:t>FeNO</w:t>
      </w:r>
      <w:proofErr w:type="spellEnd"/>
      <w:r w:rsidRPr="003E769D">
        <w:t xml:space="preserve"> greater than or equal to 20 ppb.</w:t>
      </w:r>
    </w:p>
  </w:footnote>
  <w:footnote w:id="21">
    <w:p w14:paraId="36334AFD" w14:textId="68B7392E" w:rsidR="001A4383" w:rsidRDefault="001A4383">
      <w:pPr>
        <w:pStyle w:val="FootnoteText"/>
      </w:pPr>
      <w:r>
        <w:rPr>
          <w:rStyle w:val="FootnoteReference"/>
        </w:rPr>
        <w:footnoteRef/>
      </w:r>
      <w:r>
        <w:t xml:space="preserve"> </w:t>
      </w:r>
      <w:r w:rsidRPr="00DC1A5C">
        <w:rPr>
          <w:b/>
        </w:rPr>
        <w:t>Hy’s Law</w:t>
      </w:r>
      <w:r w:rsidRPr="00043F77">
        <w:t>: Evidence of hepatocellular injury with a rise in alanine aminotransferase (ALT) and/or aspartate aminotransferase (AST) &gt; 3 x the upper limit of normal (ULN) and total bilirubin &gt; 2 x ULN, and no other reason to explain rise in aminotransferases and total bilirubin. Hy's law is a rule of thumb that a patient is at high risk of a fatal drug-induced liver injury if given a medication that causes hepatocellular injury with jaundice.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41B1" w14:textId="77777777" w:rsidR="001A4383" w:rsidRDefault="001A4383"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2D65B" w14:textId="77777777" w:rsidR="001A4383" w:rsidRDefault="001A4383">
    <w:pPr>
      <w:rPr>
        <w:noProof/>
        <w:lang w:eastAsia="en-AU"/>
      </w:rPr>
    </w:pPr>
    <w:r w:rsidRPr="00347824">
      <w:rPr>
        <w:noProof/>
        <w:lang w:val="en-GB" w:eastAsia="en-GB"/>
      </w:rPr>
      <w:drawing>
        <wp:anchor distT="0" distB="0" distL="114300" distR="114300" simplePos="0" relativeHeight="251659264" behindDoc="1" locked="0" layoutInCell="1" allowOverlap="1" wp14:anchorId="2AEEEDD5" wp14:editId="2B26DCDF">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5C7C2" w14:textId="77777777" w:rsidR="001A4383" w:rsidRDefault="001A43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501CD" w14:textId="77777777" w:rsidR="001A4383" w:rsidRDefault="001A4383">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0C6" w14:textId="77777777" w:rsidR="001A4383" w:rsidRDefault="001A438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6688" w14:textId="77777777" w:rsidR="001A4383" w:rsidRDefault="001A43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F523" w14:textId="77777777" w:rsidR="001A4383" w:rsidRDefault="001A4383"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F974E" w14:textId="77777777" w:rsidR="001A4383" w:rsidRDefault="001A4383" w:rsidP="006E08B3">
    <w:r>
      <w:t>Therapeutic Goods Administration</w:t>
    </w:r>
  </w:p>
  <w:p w14:paraId="17FC4EED" w14:textId="77777777" w:rsidR="001A4383" w:rsidRDefault="001A4383"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544AF3A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7D67626"/>
    <w:multiLevelType w:val="hybridMultilevel"/>
    <w:tmpl w:val="CE02D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num>
  <w:num w:numId="2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9"/>
  </w:num>
  <w:num w:numId="28">
    <w:abstractNumId w:val="12"/>
  </w:num>
  <w:num w:numId="29">
    <w:abstractNumId w:val="6"/>
  </w:num>
  <w:num w:numId="30">
    <w:abstractNumId w:val="8"/>
  </w:num>
  <w:num w:numId="31">
    <w:abstractNumId w:val="4"/>
  </w:num>
  <w:num w:numId="32">
    <w:abstractNumId w:val="10"/>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101"/>
    <w:rsid w:val="00002031"/>
    <w:rsid w:val="00002818"/>
    <w:rsid w:val="00004734"/>
    <w:rsid w:val="00006B22"/>
    <w:rsid w:val="00006FAB"/>
    <w:rsid w:val="0001276A"/>
    <w:rsid w:val="00017C0F"/>
    <w:rsid w:val="000246AE"/>
    <w:rsid w:val="00025C67"/>
    <w:rsid w:val="00025EBB"/>
    <w:rsid w:val="00043F77"/>
    <w:rsid w:val="00044772"/>
    <w:rsid w:val="0004541C"/>
    <w:rsid w:val="0005559E"/>
    <w:rsid w:val="000604D6"/>
    <w:rsid w:val="0006105B"/>
    <w:rsid w:val="000734D8"/>
    <w:rsid w:val="00077775"/>
    <w:rsid w:val="000868AA"/>
    <w:rsid w:val="00090471"/>
    <w:rsid w:val="00096AA7"/>
    <w:rsid w:val="000A04CF"/>
    <w:rsid w:val="000A3AED"/>
    <w:rsid w:val="000B1D28"/>
    <w:rsid w:val="000B3532"/>
    <w:rsid w:val="000B3A75"/>
    <w:rsid w:val="000B5E74"/>
    <w:rsid w:val="000C00C2"/>
    <w:rsid w:val="000C690F"/>
    <w:rsid w:val="000C6AFF"/>
    <w:rsid w:val="000D1295"/>
    <w:rsid w:val="000D391B"/>
    <w:rsid w:val="000D3D6D"/>
    <w:rsid w:val="000D4FC7"/>
    <w:rsid w:val="000D70E5"/>
    <w:rsid w:val="000E6196"/>
    <w:rsid w:val="000F4869"/>
    <w:rsid w:val="000F5B42"/>
    <w:rsid w:val="000F66DF"/>
    <w:rsid w:val="000F6E6F"/>
    <w:rsid w:val="0010601F"/>
    <w:rsid w:val="0010788A"/>
    <w:rsid w:val="00107A31"/>
    <w:rsid w:val="00110EA5"/>
    <w:rsid w:val="00112F56"/>
    <w:rsid w:val="00117C1F"/>
    <w:rsid w:val="0012281B"/>
    <w:rsid w:val="00122C2E"/>
    <w:rsid w:val="00124ACD"/>
    <w:rsid w:val="00125318"/>
    <w:rsid w:val="001305A2"/>
    <w:rsid w:val="00133238"/>
    <w:rsid w:val="00133A1B"/>
    <w:rsid w:val="001347C4"/>
    <w:rsid w:val="0014197B"/>
    <w:rsid w:val="00143F2C"/>
    <w:rsid w:val="001447CD"/>
    <w:rsid w:val="00144E5D"/>
    <w:rsid w:val="00145BF3"/>
    <w:rsid w:val="001516B1"/>
    <w:rsid w:val="00152CA5"/>
    <w:rsid w:val="00154EBB"/>
    <w:rsid w:val="00156316"/>
    <w:rsid w:val="00161181"/>
    <w:rsid w:val="00161D56"/>
    <w:rsid w:val="00162D14"/>
    <w:rsid w:val="00163780"/>
    <w:rsid w:val="00165389"/>
    <w:rsid w:val="00170857"/>
    <w:rsid w:val="0017693F"/>
    <w:rsid w:val="00177470"/>
    <w:rsid w:val="0017788F"/>
    <w:rsid w:val="0018110E"/>
    <w:rsid w:val="00181684"/>
    <w:rsid w:val="00181D67"/>
    <w:rsid w:val="001843C6"/>
    <w:rsid w:val="001850E0"/>
    <w:rsid w:val="00185407"/>
    <w:rsid w:val="001862D4"/>
    <w:rsid w:val="00192311"/>
    <w:rsid w:val="001A03AF"/>
    <w:rsid w:val="001A2158"/>
    <w:rsid w:val="001A4383"/>
    <w:rsid w:val="001A525F"/>
    <w:rsid w:val="001A5A00"/>
    <w:rsid w:val="001A66B8"/>
    <w:rsid w:val="001B09F9"/>
    <w:rsid w:val="001B1DA4"/>
    <w:rsid w:val="001B5C90"/>
    <w:rsid w:val="001B6448"/>
    <w:rsid w:val="001B653F"/>
    <w:rsid w:val="001C32CD"/>
    <w:rsid w:val="001D2984"/>
    <w:rsid w:val="001E07CF"/>
    <w:rsid w:val="001E0E64"/>
    <w:rsid w:val="001E359E"/>
    <w:rsid w:val="001E59F1"/>
    <w:rsid w:val="001F2CEE"/>
    <w:rsid w:val="001F3C82"/>
    <w:rsid w:val="001F49EB"/>
    <w:rsid w:val="001F6CBA"/>
    <w:rsid w:val="00201D4E"/>
    <w:rsid w:val="002076C9"/>
    <w:rsid w:val="00220B8A"/>
    <w:rsid w:val="002257F3"/>
    <w:rsid w:val="00226A21"/>
    <w:rsid w:val="002314EA"/>
    <w:rsid w:val="002329CC"/>
    <w:rsid w:val="00233456"/>
    <w:rsid w:val="002339A5"/>
    <w:rsid w:val="00237457"/>
    <w:rsid w:val="00250271"/>
    <w:rsid w:val="00250F35"/>
    <w:rsid w:val="00257848"/>
    <w:rsid w:val="002578E8"/>
    <w:rsid w:val="0027084A"/>
    <w:rsid w:val="00271E85"/>
    <w:rsid w:val="002727A2"/>
    <w:rsid w:val="00277B2F"/>
    <w:rsid w:val="00280265"/>
    <w:rsid w:val="002813DD"/>
    <w:rsid w:val="00286434"/>
    <w:rsid w:val="00286C59"/>
    <w:rsid w:val="00291957"/>
    <w:rsid w:val="00292A7A"/>
    <w:rsid w:val="002942D1"/>
    <w:rsid w:val="0029451C"/>
    <w:rsid w:val="00294B4A"/>
    <w:rsid w:val="0029501A"/>
    <w:rsid w:val="002A3721"/>
    <w:rsid w:val="002B1638"/>
    <w:rsid w:val="002B3624"/>
    <w:rsid w:val="002C08D9"/>
    <w:rsid w:val="002C4E2C"/>
    <w:rsid w:val="002D0952"/>
    <w:rsid w:val="002D4247"/>
    <w:rsid w:val="002E40B3"/>
    <w:rsid w:val="002E4C9A"/>
    <w:rsid w:val="002F0059"/>
    <w:rsid w:val="002F11F8"/>
    <w:rsid w:val="002F3F56"/>
    <w:rsid w:val="002F436B"/>
    <w:rsid w:val="002F44B5"/>
    <w:rsid w:val="002F5122"/>
    <w:rsid w:val="00300850"/>
    <w:rsid w:val="00300ED2"/>
    <w:rsid w:val="00306A1E"/>
    <w:rsid w:val="0030705D"/>
    <w:rsid w:val="00311AC0"/>
    <w:rsid w:val="003176FC"/>
    <w:rsid w:val="00324E45"/>
    <w:rsid w:val="0032583B"/>
    <w:rsid w:val="00327883"/>
    <w:rsid w:val="00332715"/>
    <w:rsid w:val="00335504"/>
    <w:rsid w:val="0034013E"/>
    <w:rsid w:val="00340C18"/>
    <w:rsid w:val="00342D3C"/>
    <w:rsid w:val="003442FD"/>
    <w:rsid w:val="0034703B"/>
    <w:rsid w:val="00347824"/>
    <w:rsid w:val="00350567"/>
    <w:rsid w:val="00351608"/>
    <w:rsid w:val="003521E8"/>
    <w:rsid w:val="003614E1"/>
    <w:rsid w:val="0036282D"/>
    <w:rsid w:val="00365CFE"/>
    <w:rsid w:val="00370CE3"/>
    <w:rsid w:val="00372460"/>
    <w:rsid w:val="003728F3"/>
    <w:rsid w:val="003735BC"/>
    <w:rsid w:val="0037496E"/>
    <w:rsid w:val="00383221"/>
    <w:rsid w:val="00386150"/>
    <w:rsid w:val="003874CE"/>
    <w:rsid w:val="00390900"/>
    <w:rsid w:val="00390F21"/>
    <w:rsid w:val="00397B33"/>
    <w:rsid w:val="003A47CD"/>
    <w:rsid w:val="003A7F6C"/>
    <w:rsid w:val="003B4D60"/>
    <w:rsid w:val="003B7E39"/>
    <w:rsid w:val="003C58DC"/>
    <w:rsid w:val="003C5B43"/>
    <w:rsid w:val="003C7CA8"/>
    <w:rsid w:val="003D1E62"/>
    <w:rsid w:val="003E0B99"/>
    <w:rsid w:val="003E2486"/>
    <w:rsid w:val="003E3208"/>
    <w:rsid w:val="003E358D"/>
    <w:rsid w:val="003E769D"/>
    <w:rsid w:val="003F0B04"/>
    <w:rsid w:val="003F1682"/>
    <w:rsid w:val="003F6E9C"/>
    <w:rsid w:val="00400A1C"/>
    <w:rsid w:val="0040134E"/>
    <w:rsid w:val="0040369E"/>
    <w:rsid w:val="00406CE7"/>
    <w:rsid w:val="00414101"/>
    <w:rsid w:val="00422B30"/>
    <w:rsid w:val="0042345C"/>
    <w:rsid w:val="00431B1D"/>
    <w:rsid w:val="004334C7"/>
    <w:rsid w:val="00440A2D"/>
    <w:rsid w:val="00441637"/>
    <w:rsid w:val="00441C3F"/>
    <w:rsid w:val="0044441F"/>
    <w:rsid w:val="00444D1A"/>
    <w:rsid w:val="0045186A"/>
    <w:rsid w:val="00454BDC"/>
    <w:rsid w:val="00455B34"/>
    <w:rsid w:val="004564A7"/>
    <w:rsid w:val="00456765"/>
    <w:rsid w:val="00460036"/>
    <w:rsid w:val="004617BF"/>
    <w:rsid w:val="00463658"/>
    <w:rsid w:val="004637A0"/>
    <w:rsid w:val="004722CC"/>
    <w:rsid w:val="0047297E"/>
    <w:rsid w:val="00480047"/>
    <w:rsid w:val="004802D6"/>
    <w:rsid w:val="00490483"/>
    <w:rsid w:val="004936E4"/>
    <w:rsid w:val="00494E60"/>
    <w:rsid w:val="0049709B"/>
    <w:rsid w:val="00497487"/>
    <w:rsid w:val="004A2771"/>
    <w:rsid w:val="004A6189"/>
    <w:rsid w:val="004A7390"/>
    <w:rsid w:val="004B0EE9"/>
    <w:rsid w:val="004B27CA"/>
    <w:rsid w:val="004B7B76"/>
    <w:rsid w:val="004C239D"/>
    <w:rsid w:val="004C2B1B"/>
    <w:rsid w:val="004C2DCA"/>
    <w:rsid w:val="004C4FBE"/>
    <w:rsid w:val="004C61D2"/>
    <w:rsid w:val="004C7727"/>
    <w:rsid w:val="004C79CC"/>
    <w:rsid w:val="004D1018"/>
    <w:rsid w:val="004D34B7"/>
    <w:rsid w:val="004E2552"/>
    <w:rsid w:val="004F0C4A"/>
    <w:rsid w:val="004F0F38"/>
    <w:rsid w:val="004F47D6"/>
    <w:rsid w:val="00500337"/>
    <w:rsid w:val="00501921"/>
    <w:rsid w:val="00505417"/>
    <w:rsid w:val="0052149B"/>
    <w:rsid w:val="0052317A"/>
    <w:rsid w:val="0052392C"/>
    <w:rsid w:val="00523A21"/>
    <w:rsid w:val="00530354"/>
    <w:rsid w:val="0053625B"/>
    <w:rsid w:val="00540235"/>
    <w:rsid w:val="005434C6"/>
    <w:rsid w:val="00543B39"/>
    <w:rsid w:val="00545CDB"/>
    <w:rsid w:val="00546154"/>
    <w:rsid w:val="00550096"/>
    <w:rsid w:val="005528EE"/>
    <w:rsid w:val="00555280"/>
    <w:rsid w:val="00557397"/>
    <w:rsid w:val="00557FF9"/>
    <w:rsid w:val="005605F6"/>
    <w:rsid w:val="00562327"/>
    <w:rsid w:val="005711D5"/>
    <w:rsid w:val="00575BF6"/>
    <w:rsid w:val="00576378"/>
    <w:rsid w:val="00577130"/>
    <w:rsid w:val="00577945"/>
    <w:rsid w:val="00577E38"/>
    <w:rsid w:val="00585322"/>
    <w:rsid w:val="005857C6"/>
    <w:rsid w:val="005862A4"/>
    <w:rsid w:val="00592F6E"/>
    <w:rsid w:val="00593AD1"/>
    <w:rsid w:val="00595CF4"/>
    <w:rsid w:val="00596A29"/>
    <w:rsid w:val="00597D49"/>
    <w:rsid w:val="005A1FA6"/>
    <w:rsid w:val="005A46B6"/>
    <w:rsid w:val="005A68B6"/>
    <w:rsid w:val="005A79F5"/>
    <w:rsid w:val="005C0A5F"/>
    <w:rsid w:val="005C494B"/>
    <w:rsid w:val="005C5570"/>
    <w:rsid w:val="005C5B66"/>
    <w:rsid w:val="005C79A4"/>
    <w:rsid w:val="005C7E9E"/>
    <w:rsid w:val="005D5442"/>
    <w:rsid w:val="005E03E4"/>
    <w:rsid w:val="005E4392"/>
    <w:rsid w:val="005E538F"/>
    <w:rsid w:val="00603F32"/>
    <w:rsid w:val="00605AD4"/>
    <w:rsid w:val="006136D7"/>
    <w:rsid w:val="00622AAE"/>
    <w:rsid w:val="00622BB0"/>
    <w:rsid w:val="00625A6E"/>
    <w:rsid w:val="00627AF4"/>
    <w:rsid w:val="00632398"/>
    <w:rsid w:val="00640FC3"/>
    <w:rsid w:val="006416DF"/>
    <w:rsid w:val="00642020"/>
    <w:rsid w:val="006430EE"/>
    <w:rsid w:val="00643CE5"/>
    <w:rsid w:val="0065337B"/>
    <w:rsid w:val="0065419D"/>
    <w:rsid w:val="00657791"/>
    <w:rsid w:val="006603BC"/>
    <w:rsid w:val="006604D8"/>
    <w:rsid w:val="00664A5B"/>
    <w:rsid w:val="0066735C"/>
    <w:rsid w:val="00673EA0"/>
    <w:rsid w:val="006763D2"/>
    <w:rsid w:val="00677C80"/>
    <w:rsid w:val="00680C08"/>
    <w:rsid w:val="00681EA5"/>
    <w:rsid w:val="00685188"/>
    <w:rsid w:val="00686284"/>
    <w:rsid w:val="0068654C"/>
    <w:rsid w:val="006901BA"/>
    <w:rsid w:val="006916A0"/>
    <w:rsid w:val="006931B1"/>
    <w:rsid w:val="006A15C0"/>
    <w:rsid w:val="006A49C8"/>
    <w:rsid w:val="006A58A8"/>
    <w:rsid w:val="006A7A6D"/>
    <w:rsid w:val="006B4ED7"/>
    <w:rsid w:val="006B73A5"/>
    <w:rsid w:val="006C3E2A"/>
    <w:rsid w:val="006C642F"/>
    <w:rsid w:val="006D03E5"/>
    <w:rsid w:val="006D5D3E"/>
    <w:rsid w:val="006D798B"/>
    <w:rsid w:val="006E08B3"/>
    <w:rsid w:val="006E410F"/>
    <w:rsid w:val="006E46FB"/>
    <w:rsid w:val="006E7601"/>
    <w:rsid w:val="006E7D4A"/>
    <w:rsid w:val="006F15BA"/>
    <w:rsid w:val="006F17AC"/>
    <w:rsid w:val="006F25B8"/>
    <w:rsid w:val="006F572E"/>
    <w:rsid w:val="0070023F"/>
    <w:rsid w:val="00703A3B"/>
    <w:rsid w:val="007046D6"/>
    <w:rsid w:val="00705DB0"/>
    <w:rsid w:val="0072292E"/>
    <w:rsid w:val="00722B57"/>
    <w:rsid w:val="007254C6"/>
    <w:rsid w:val="0073081E"/>
    <w:rsid w:val="00730F8A"/>
    <w:rsid w:val="00735A8C"/>
    <w:rsid w:val="00737BDF"/>
    <w:rsid w:val="0074163C"/>
    <w:rsid w:val="0074253D"/>
    <w:rsid w:val="00744121"/>
    <w:rsid w:val="0074429B"/>
    <w:rsid w:val="00746923"/>
    <w:rsid w:val="007615BC"/>
    <w:rsid w:val="00761EA9"/>
    <w:rsid w:val="00762F05"/>
    <w:rsid w:val="007652FF"/>
    <w:rsid w:val="00766813"/>
    <w:rsid w:val="007703EF"/>
    <w:rsid w:val="00770CAC"/>
    <w:rsid w:val="00770EF1"/>
    <w:rsid w:val="0077131A"/>
    <w:rsid w:val="00773EF7"/>
    <w:rsid w:val="00774E1D"/>
    <w:rsid w:val="007765D8"/>
    <w:rsid w:val="0077675A"/>
    <w:rsid w:val="00780355"/>
    <w:rsid w:val="007819FD"/>
    <w:rsid w:val="00781EC5"/>
    <w:rsid w:val="00785717"/>
    <w:rsid w:val="00785721"/>
    <w:rsid w:val="00785B4D"/>
    <w:rsid w:val="00793A59"/>
    <w:rsid w:val="00797FCB"/>
    <w:rsid w:val="007A46F5"/>
    <w:rsid w:val="007A6505"/>
    <w:rsid w:val="007B1D80"/>
    <w:rsid w:val="007B4AC9"/>
    <w:rsid w:val="007B6132"/>
    <w:rsid w:val="007B6A3A"/>
    <w:rsid w:val="007B6E9F"/>
    <w:rsid w:val="007C1216"/>
    <w:rsid w:val="007C1AF7"/>
    <w:rsid w:val="007C6B9B"/>
    <w:rsid w:val="007D53B6"/>
    <w:rsid w:val="00804D99"/>
    <w:rsid w:val="008056B5"/>
    <w:rsid w:val="00805D27"/>
    <w:rsid w:val="00806DCB"/>
    <w:rsid w:val="008110BC"/>
    <w:rsid w:val="008174B2"/>
    <w:rsid w:val="00820FDD"/>
    <w:rsid w:val="00821776"/>
    <w:rsid w:val="008321F5"/>
    <w:rsid w:val="00832369"/>
    <w:rsid w:val="0083397E"/>
    <w:rsid w:val="00833ED8"/>
    <w:rsid w:val="00834660"/>
    <w:rsid w:val="00836BC2"/>
    <w:rsid w:val="008507CC"/>
    <w:rsid w:val="0085156D"/>
    <w:rsid w:val="00852B28"/>
    <w:rsid w:val="0085641B"/>
    <w:rsid w:val="00857136"/>
    <w:rsid w:val="0086155E"/>
    <w:rsid w:val="00862EB8"/>
    <w:rsid w:val="008640DA"/>
    <w:rsid w:val="00865B03"/>
    <w:rsid w:val="00871E04"/>
    <w:rsid w:val="00872AB9"/>
    <w:rsid w:val="00874D2B"/>
    <w:rsid w:val="008759A1"/>
    <w:rsid w:val="00875A6B"/>
    <w:rsid w:val="00876E77"/>
    <w:rsid w:val="00881453"/>
    <w:rsid w:val="00882DBB"/>
    <w:rsid w:val="00885B11"/>
    <w:rsid w:val="00886D15"/>
    <w:rsid w:val="00887DD8"/>
    <w:rsid w:val="00891BA9"/>
    <w:rsid w:val="00892C9E"/>
    <w:rsid w:val="00896018"/>
    <w:rsid w:val="008960DD"/>
    <w:rsid w:val="0089635C"/>
    <w:rsid w:val="008A0F0C"/>
    <w:rsid w:val="008A2B9D"/>
    <w:rsid w:val="008A3D9F"/>
    <w:rsid w:val="008A4028"/>
    <w:rsid w:val="008A5E0B"/>
    <w:rsid w:val="008A6D59"/>
    <w:rsid w:val="008B4B03"/>
    <w:rsid w:val="008B596F"/>
    <w:rsid w:val="008C159F"/>
    <w:rsid w:val="008C1623"/>
    <w:rsid w:val="008C1850"/>
    <w:rsid w:val="008C51A9"/>
    <w:rsid w:val="008D6574"/>
    <w:rsid w:val="008E1837"/>
    <w:rsid w:val="008E7846"/>
    <w:rsid w:val="008F02E5"/>
    <w:rsid w:val="008F1CCC"/>
    <w:rsid w:val="008F20AF"/>
    <w:rsid w:val="008F2967"/>
    <w:rsid w:val="008F6943"/>
    <w:rsid w:val="00902A21"/>
    <w:rsid w:val="0091523F"/>
    <w:rsid w:val="00917A3D"/>
    <w:rsid w:val="00920330"/>
    <w:rsid w:val="009219D7"/>
    <w:rsid w:val="00922D53"/>
    <w:rsid w:val="00923B70"/>
    <w:rsid w:val="00924482"/>
    <w:rsid w:val="00930237"/>
    <w:rsid w:val="009357BB"/>
    <w:rsid w:val="00937C17"/>
    <w:rsid w:val="00940A89"/>
    <w:rsid w:val="00941F77"/>
    <w:rsid w:val="00946EA5"/>
    <w:rsid w:val="009556D7"/>
    <w:rsid w:val="00960520"/>
    <w:rsid w:val="009622EC"/>
    <w:rsid w:val="00962534"/>
    <w:rsid w:val="00963C08"/>
    <w:rsid w:val="00967EB7"/>
    <w:rsid w:val="0097099B"/>
    <w:rsid w:val="009752A5"/>
    <w:rsid w:val="0098585A"/>
    <w:rsid w:val="009863EE"/>
    <w:rsid w:val="009870D3"/>
    <w:rsid w:val="00993F51"/>
    <w:rsid w:val="00994A1D"/>
    <w:rsid w:val="009A0864"/>
    <w:rsid w:val="009A4CED"/>
    <w:rsid w:val="009A690D"/>
    <w:rsid w:val="009B19A3"/>
    <w:rsid w:val="009B1D12"/>
    <w:rsid w:val="009B416B"/>
    <w:rsid w:val="009B6431"/>
    <w:rsid w:val="009C4BD5"/>
    <w:rsid w:val="009C6E72"/>
    <w:rsid w:val="009D40D8"/>
    <w:rsid w:val="009D5FA6"/>
    <w:rsid w:val="009D7B77"/>
    <w:rsid w:val="009E0BB0"/>
    <w:rsid w:val="009E3FBB"/>
    <w:rsid w:val="009E5404"/>
    <w:rsid w:val="009E5A87"/>
    <w:rsid w:val="009E6A53"/>
    <w:rsid w:val="009F13CA"/>
    <w:rsid w:val="009F2673"/>
    <w:rsid w:val="009F418B"/>
    <w:rsid w:val="009F7353"/>
    <w:rsid w:val="00A02457"/>
    <w:rsid w:val="00A04F85"/>
    <w:rsid w:val="00A05FA4"/>
    <w:rsid w:val="00A102E4"/>
    <w:rsid w:val="00A1219C"/>
    <w:rsid w:val="00A125F8"/>
    <w:rsid w:val="00A12C42"/>
    <w:rsid w:val="00A14D1E"/>
    <w:rsid w:val="00A14DF7"/>
    <w:rsid w:val="00A17B72"/>
    <w:rsid w:val="00A17CA8"/>
    <w:rsid w:val="00A20C2D"/>
    <w:rsid w:val="00A22D57"/>
    <w:rsid w:val="00A23DE2"/>
    <w:rsid w:val="00A300E0"/>
    <w:rsid w:val="00A317C9"/>
    <w:rsid w:val="00A3246D"/>
    <w:rsid w:val="00A36FA7"/>
    <w:rsid w:val="00A44DDB"/>
    <w:rsid w:val="00A475B7"/>
    <w:rsid w:val="00A47AF7"/>
    <w:rsid w:val="00A47C3E"/>
    <w:rsid w:val="00A50226"/>
    <w:rsid w:val="00A60BAD"/>
    <w:rsid w:val="00A61512"/>
    <w:rsid w:val="00A617E9"/>
    <w:rsid w:val="00A70387"/>
    <w:rsid w:val="00A70BCD"/>
    <w:rsid w:val="00A77F87"/>
    <w:rsid w:val="00A80B5B"/>
    <w:rsid w:val="00A8218E"/>
    <w:rsid w:val="00A84E36"/>
    <w:rsid w:val="00A850E2"/>
    <w:rsid w:val="00A93B0B"/>
    <w:rsid w:val="00A964D1"/>
    <w:rsid w:val="00AA0ED0"/>
    <w:rsid w:val="00AA1BD7"/>
    <w:rsid w:val="00AB4BF6"/>
    <w:rsid w:val="00AC2B40"/>
    <w:rsid w:val="00AC2BB2"/>
    <w:rsid w:val="00AC2C3C"/>
    <w:rsid w:val="00AC512D"/>
    <w:rsid w:val="00AC7EF5"/>
    <w:rsid w:val="00AD0083"/>
    <w:rsid w:val="00AD3935"/>
    <w:rsid w:val="00AE65EB"/>
    <w:rsid w:val="00AE67A7"/>
    <w:rsid w:val="00AF1D94"/>
    <w:rsid w:val="00AF2313"/>
    <w:rsid w:val="00AF60C5"/>
    <w:rsid w:val="00B009C6"/>
    <w:rsid w:val="00B01548"/>
    <w:rsid w:val="00B04362"/>
    <w:rsid w:val="00B130C5"/>
    <w:rsid w:val="00B13EBD"/>
    <w:rsid w:val="00B1406F"/>
    <w:rsid w:val="00B21D29"/>
    <w:rsid w:val="00B22807"/>
    <w:rsid w:val="00B23B09"/>
    <w:rsid w:val="00B25034"/>
    <w:rsid w:val="00B3333B"/>
    <w:rsid w:val="00B33588"/>
    <w:rsid w:val="00B33863"/>
    <w:rsid w:val="00B35074"/>
    <w:rsid w:val="00B367C7"/>
    <w:rsid w:val="00B375D4"/>
    <w:rsid w:val="00B37D17"/>
    <w:rsid w:val="00B40245"/>
    <w:rsid w:val="00B4175E"/>
    <w:rsid w:val="00B41C85"/>
    <w:rsid w:val="00B452CE"/>
    <w:rsid w:val="00B54C25"/>
    <w:rsid w:val="00B55A00"/>
    <w:rsid w:val="00B66261"/>
    <w:rsid w:val="00B72C6F"/>
    <w:rsid w:val="00B76B91"/>
    <w:rsid w:val="00B77EB1"/>
    <w:rsid w:val="00B811C6"/>
    <w:rsid w:val="00B855B0"/>
    <w:rsid w:val="00B86844"/>
    <w:rsid w:val="00B92E08"/>
    <w:rsid w:val="00BA7E80"/>
    <w:rsid w:val="00BB0B78"/>
    <w:rsid w:val="00BB6054"/>
    <w:rsid w:val="00BB75D6"/>
    <w:rsid w:val="00BC622A"/>
    <w:rsid w:val="00BE0A78"/>
    <w:rsid w:val="00BE5DB6"/>
    <w:rsid w:val="00BE6542"/>
    <w:rsid w:val="00BE79F0"/>
    <w:rsid w:val="00BF046D"/>
    <w:rsid w:val="00BF1190"/>
    <w:rsid w:val="00BF3774"/>
    <w:rsid w:val="00BF5D04"/>
    <w:rsid w:val="00BF7063"/>
    <w:rsid w:val="00C009AA"/>
    <w:rsid w:val="00C01956"/>
    <w:rsid w:val="00C1013B"/>
    <w:rsid w:val="00C1164D"/>
    <w:rsid w:val="00C16861"/>
    <w:rsid w:val="00C264F4"/>
    <w:rsid w:val="00C2725C"/>
    <w:rsid w:val="00C34133"/>
    <w:rsid w:val="00C346AB"/>
    <w:rsid w:val="00C404A6"/>
    <w:rsid w:val="00C40A36"/>
    <w:rsid w:val="00C44419"/>
    <w:rsid w:val="00C45E7B"/>
    <w:rsid w:val="00C471B1"/>
    <w:rsid w:val="00C525A2"/>
    <w:rsid w:val="00C52E24"/>
    <w:rsid w:val="00C57EDF"/>
    <w:rsid w:val="00C60E6B"/>
    <w:rsid w:val="00C6316B"/>
    <w:rsid w:val="00C634A9"/>
    <w:rsid w:val="00C64586"/>
    <w:rsid w:val="00C70A36"/>
    <w:rsid w:val="00C70D53"/>
    <w:rsid w:val="00C71F05"/>
    <w:rsid w:val="00C71FE9"/>
    <w:rsid w:val="00C73D0B"/>
    <w:rsid w:val="00C74173"/>
    <w:rsid w:val="00C74F5C"/>
    <w:rsid w:val="00C772FF"/>
    <w:rsid w:val="00C80137"/>
    <w:rsid w:val="00C801AF"/>
    <w:rsid w:val="00C80256"/>
    <w:rsid w:val="00C94CD4"/>
    <w:rsid w:val="00C9747E"/>
    <w:rsid w:val="00CB6293"/>
    <w:rsid w:val="00CB6BC0"/>
    <w:rsid w:val="00CC01D0"/>
    <w:rsid w:val="00CC0BAE"/>
    <w:rsid w:val="00CC141C"/>
    <w:rsid w:val="00CC1A9C"/>
    <w:rsid w:val="00CC1B7C"/>
    <w:rsid w:val="00CC4188"/>
    <w:rsid w:val="00CC5044"/>
    <w:rsid w:val="00CC727F"/>
    <w:rsid w:val="00CD71B1"/>
    <w:rsid w:val="00CE5202"/>
    <w:rsid w:val="00CE60EE"/>
    <w:rsid w:val="00CF15C3"/>
    <w:rsid w:val="00CF1E93"/>
    <w:rsid w:val="00CF2B6F"/>
    <w:rsid w:val="00CF2F3E"/>
    <w:rsid w:val="00CF58B6"/>
    <w:rsid w:val="00CF5DAD"/>
    <w:rsid w:val="00D0062D"/>
    <w:rsid w:val="00D017ED"/>
    <w:rsid w:val="00D040D3"/>
    <w:rsid w:val="00D04C65"/>
    <w:rsid w:val="00D14A60"/>
    <w:rsid w:val="00D153D8"/>
    <w:rsid w:val="00D16455"/>
    <w:rsid w:val="00D201D2"/>
    <w:rsid w:val="00D212F3"/>
    <w:rsid w:val="00D224FE"/>
    <w:rsid w:val="00D23139"/>
    <w:rsid w:val="00D425BB"/>
    <w:rsid w:val="00D453FA"/>
    <w:rsid w:val="00D50680"/>
    <w:rsid w:val="00D56348"/>
    <w:rsid w:val="00D63903"/>
    <w:rsid w:val="00D6493E"/>
    <w:rsid w:val="00D7195D"/>
    <w:rsid w:val="00D72CBA"/>
    <w:rsid w:val="00D7301E"/>
    <w:rsid w:val="00D739A3"/>
    <w:rsid w:val="00D825EC"/>
    <w:rsid w:val="00D83AE1"/>
    <w:rsid w:val="00D854AC"/>
    <w:rsid w:val="00D855D4"/>
    <w:rsid w:val="00D902C9"/>
    <w:rsid w:val="00D932D6"/>
    <w:rsid w:val="00D93466"/>
    <w:rsid w:val="00DA1124"/>
    <w:rsid w:val="00DA22DC"/>
    <w:rsid w:val="00DA64CB"/>
    <w:rsid w:val="00DB06B8"/>
    <w:rsid w:val="00DB06EE"/>
    <w:rsid w:val="00DB2567"/>
    <w:rsid w:val="00DB5FF7"/>
    <w:rsid w:val="00DB6124"/>
    <w:rsid w:val="00DB6CD7"/>
    <w:rsid w:val="00DB750B"/>
    <w:rsid w:val="00DB75B7"/>
    <w:rsid w:val="00DC0A2F"/>
    <w:rsid w:val="00DC1948"/>
    <w:rsid w:val="00DC1A5C"/>
    <w:rsid w:val="00DC5C2C"/>
    <w:rsid w:val="00DC6E02"/>
    <w:rsid w:val="00DD0731"/>
    <w:rsid w:val="00DD28CD"/>
    <w:rsid w:val="00DE02AE"/>
    <w:rsid w:val="00DE0301"/>
    <w:rsid w:val="00DE1E92"/>
    <w:rsid w:val="00DE39D1"/>
    <w:rsid w:val="00DE56C3"/>
    <w:rsid w:val="00DF1D7F"/>
    <w:rsid w:val="00DF4BE4"/>
    <w:rsid w:val="00DF7C6F"/>
    <w:rsid w:val="00E02382"/>
    <w:rsid w:val="00E02FB4"/>
    <w:rsid w:val="00E04795"/>
    <w:rsid w:val="00E13FC7"/>
    <w:rsid w:val="00E20571"/>
    <w:rsid w:val="00E22668"/>
    <w:rsid w:val="00E235F7"/>
    <w:rsid w:val="00E23659"/>
    <w:rsid w:val="00E239D4"/>
    <w:rsid w:val="00E2569E"/>
    <w:rsid w:val="00E26130"/>
    <w:rsid w:val="00E26292"/>
    <w:rsid w:val="00E335BF"/>
    <w:rsid w:val="00E33D42"/>
    <w:rsid w:val="00E40450"/>
    <w:rsid w:val="00E40B22"/>
    <w:rsid w:val="00E429D0"/>
    <w:rsid w:val="00E44ED1"/>
    <w:rsid w:val="00E45619"/>
    <w:rsid w:val="00E4564A"/>
    <w:rsid w:val="00E4588F"/>
    <w:rsid w:val="00E46CC0"/>
    <w:rsid w:val="00E46DA3"/>
    <w:rsid w:val="00E51BB1"/>
    <w:rsid w:val="00E55CB0"/>
    <w:rsid w:val="00E624A5"/>
    <w:rsid w:val="00E64736"/>
    <w:rsid w:val="00E64BA4"/>
    <w:rsid w:val="00E7344E"/>
    <w:rsid w:val="00E82665"/>
    <w:rsid w:val="00E85719"/>
    <w:rsid w:val="00EA073F"/>
    <w:rsid w:val="00EB0798"/>
    <w:rsid w:val="00EB36D6"/>
    <w:rsid w:val="00EB40AD"/>
    <w:rsid w:val="00EB586E"/>
    <w:rsid w:val="00EB5FC8"/>
    <w:rsid w:val="00EB7E79"/>
    <w:rsid w:val="00EC463D"/>
    <w:rsid w:val="00EC4DFA"/>
    <w:rsid w:val="00EC7A85"/>
    <w:rsid w:val="00ED2907"/>
    <w:rsid w:val="00ED2922"/>
    <w:rsid w:val="00ED3AB5"/>
    <w:rsid w:val="00ED3CAD"/>
    <w:rsid w:val="00ED58BF"/>
    <w:rsid w:val="00ED5A41"/>
    <w:rsid w:val="00ED5B9E"/>
    <w:rsid w:val="00EE1DE8"/>
    <w:rsid w:val="00EE27C2"/>
    <w:rsid w:val="00EE5CF0"/>
    <w:rsid w:val="00EF254D"/>
    <w:rsid w:val="00EF317B"/>
    <w:rsid w:val="00EF4BAD"/>
    <w:rsid w:val="00EF59DC"/>
    <w:rsid w:val="00EF644B"/>
    <w:rsid w:val="00EF6EC4"/>
    <w:rsid w:val="00F00766"/>
    <w:rsid w:val="00F02C7B"/>
    <w:rsid w:val="00F02E81"/>
    <w:rsid w:val="00F033EC"/>
    <w:rsid w:val="00F04F68"/>
    <w:rsid w:val="00F10600"/>
    <w:rsid w:val="00F12670"/>
    <w:rsid w:val="00F14B27"/>
    <w:rsid w:val="00F22ACE"/>
    <w:rsid w:val="00F3148D"/>
    <w:rsid w:val="00F32314"/>
    <w:rsid w:val="00F325C5"/>
    <w:rsid w:val="00F32FE0"/>
    <w:rsid w:val="00F35298"/>
    <w:rsid w:val="00F36319"/>
    <w:rsid w:val="00F45AC4"/>
    <w:rsid w:val="00F47333"/>
    <w:rsid w:val="00F47E37"/>
    <w:rsid w:val="00F53C07"/>
    <w:rsid w:val="00F54B65"/>
    <w:rsid w:val="00F63519"/>
    <w:rsid w:val="00F63DBF"/>
    <w:rsid w:val="00F640B6"/>
    <w:rsid w:val="00F66DF2"/>
    <w:rsid w:val="00F70728"/>
    <w:rsid w:val="00F80E40"/>
    <w:rsid w:val="00F848D9"/>
    <w:rsid w:val="00F85EEC"/>
    <w:rsid w:val="00F86B72"/>
    <w:rsid w:val="00F931CE"/>
    <w:rsid w:val="00F95687"/>
    <w:rsid w:val="00FA4BBA"/>
    <w:rsid w:val="00FA5069"/>
    <w:rsid w:val="00FA5B82"/>
    <w:rsid w:val="00FA639E"/>
    <w:rsid w:val="00FC1FCA"/>
    <w:rsid w:val="00FC25E4"/>
    <w:rsid w:val="00FC4EF7"/>
    <w:rsid w:val="00FD0824"/>
    <w:rsid w:val="00FD119B"/>
    <w:rsid w:val="00FD1EDC"/>
    <w:rsid w:val="00FE1DEE"/>
    <w:rsid w:val="00FF2126"/>
    <w:rsid w:val="00FF5755"/>
    <w:rsid w:val="00FF5AE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3CECD0"/>
  <w15:docId w15:val="{186FD541-71EF-4244-B640-DE5012AAC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74173"/>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ED2907"/>
    <w:pPr>
      <w:autoSpaceDE w:val="0"/>
      <w:autoSpaceDN w:val="0"/>
      <w:adjustRightInd w:val="0"/>
      <w:spacing w:after="0" w:line="240" w:lineRule="auto"/>
    </w:pPr>
    <w:rPr>
      <w:rFonts w:ascii="Arial Narrow" w:hAnsi="Arial Narrow" w:cs="Arial Narrow"/>
      <w:color w:val="000000"/>
      <w:sz w:val="24"/>
      <w:szCs w:val="24"/>
    </w:rPr>
  </w:style>
  <w:style w:type="paragraph" w:styleId="ListParagraph">
    <w:name w:val="List Paragraph"/>
    <w:basedOn w:val="Normal"/>
    <w:uiPriority w:val="34"/>
    <w:rsid w:val="00144E5D"/>
    <w:pPr>
      <w:ind w:left="720"/>
      <w:contextualSpacing/>
    </w:pPr>
  </w:style>
  <w:style w:type="table" w:customStyle="1" w:styleId="TableGrid1">
    <w:name w:val="Table Grid1"/>
    <w:basedOn w:val="TableNormal"/>
    <w:next w:val="TableGrid"/>
    <w:uiPriority w:val="59"/>
    <w:rsid w:val="00EF6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rsid w:val="00EF6EC4"/>
    <w:rPr>
      <w:rFonts w:ascii="Cambria" w:eastAsia="Cambria" w:hAnsi="Cambria" w:cs="Times New Roman"/>
      <w:sz w:val="19"/>
    </w:rPr>
  </w:style>
  <w:style w:type="paragraph" w:styleId="NormalWeb">
    <w:name w:val="Normal (Web)"/>
    <w:basedOn w:val="Normal"/>
    <w:uiPriority w:val="99"/>
    <w:unhideWhenUsed/>
    <w:rsid w:val="00E46CC0"/>
    <w:pPr>
      <w:spacing w:before="100" w:beforeAutospacing="1" w:after="100" w:afterAutospacing="1" w:line="240" w:lineRule="auto"/>
    </w:pPr>
    <w:rPr>
      <w:rFonts w:ascii="Times New Roman" w:eastAsia="Times New Roman" w:hAnsi="Times New Roman"/>
      <w:sz w:val="24"/>
      <w:szCs w:val="24"/>
      <w:lang w:val="en-GB" w:eastAsia="en-GB"/>
    </w:rPr>
  </w:style>
  <w:style w:type="table" w:customStyle="1" w:styleId="TableGrid0">
    <w:name w:val="TableGrid"/>
    <w:rsid w:val="001862D4"/>
    <w:pPr>
      <w:spacing w:after="0" w:line="240" w:lineRule="auto"/>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26488">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425537464">
      <w:bodyDiv w:val="1"/>
      <w:marLeft w:val="0"/>
      <w:marRight w:val="0"/>
      <w:marTop w:val="0"/>
      <w:marBottom w:val="0"/>
      <w:divBdr>
        <w:top w:val="none" w:sz="0" w:space="0" w:color="auto"/>
        <w:left w:val="none" w:sz="0" w:space="0" w:color="auto"/>
        <w:bottom w:val="none" w:sz="0" w:space="0" w:color="auto"/>
        <w:right w:val="none" w:sz="0" w:space="0" w:color="auto"/>
      </w:divBdr>
    </w:div>
    <w:div w:id="433284702">
      <w:bodyDiv w:val="1"/>
      <w:marLeft w:val="0"/>
      <w:marRight w:val="0"/>
      <w:marTop w:val="0"/>
      <w:marBottom w:val="0"/>
      <w:divBdr>
        <w:top w:val="none" w:sz="0" w:space="0" w:color="auto"/>
        <w:left w:val="none" w:sz="0" w:space="0" w:color="auto"/>
        <w:bottom w:val="none" w:sz="0" w:space="0" w:color="auto"/>
        <w:right w:val="none" w:sz="0" w:space="0" w:color="auto"/>
      </w:divBdr>
      <w:divsChild>
        <w:div w:id="300036133">
          <w:marLeft w:val="0"/>
          <w:marRight w:val="0"/>
          <w:marTop w:val="0"/>
          <w:marBottom w:val="0"/>
          <w:divBdr>
            <w:top w:val="none" w:sz="0" w:space="0" w:color="auto"/>
            <w:left w:val="none" w:sz="0" w:space="0" w:color="auto"/>
            <w:bottom w:val="none" w:sz="0" w:space="0" w:color="auto"/>
            <w:right w:val="none" w:sz="0" w:space="0" w:color="auto"/>
          </w:divBdr>
          <w:divsChild>
            <w:div w:id="1749307848">
              <w:marLeft w:val="0"/>
              <w:marRight w:val="0"/>
              <w:marTop w:val="0"/>
              <w:marBottom w:val="0"/>
              <w:divBdr>
                <w:top w:val="none" w:sz="0" w:space="0" w:color="auto"/>
                <w:left w:val="none" w:sz="0" w:space="0" w:color="auto"/>
                <w:bottom w:val="none" w:sz="0" w:space="0" w:color="auto"/>
                <w:right w:val="none" w:sz="0" w:space="0" w:color="auto"/>
              </w:divBdr>
              <w:divsChild>
                <w:div w:id="1785415771">
                  <w:marLeft w:val="0"/>
                  <w:marRight w:val="0"/>
                  <w:marTop w:val="0"/>
                  <w:marBottom w:val="0"/>
                  <w:divBdr>
                    <w:top w:val="none" w:sz="0" w:space="0" w:color="auto"/>
                    <w:left w:val="none" w:sz="0" w:space="0" w:color="auto"/>
                    <w:bottom w:val="none" w:sz="0" w:space="0" w:color="auto"/>
                    <w:right w:val="none" w:sz="0" w:space="0" w:color="auto"/>
                  </w:divBdr>
                  <w:divsChild>
                    <w:div w:id="1310403550">
                      <w:marLeft w:val="0"/>
                      <w:marRight w:val="0"/>
                      <w:marTop w:val="0"/>
                      <w:marBottom w:val="0"/>
                      <w:divBdr>
                        <w:top w:val="none" w:sz="0" w:space="0" w:color="auto"/>
                        <w:left w:val="none" w:sz="0" w:space="0" w:color="auto"/>
                        <w:bottom w:val="none" w:sz="0" w:space="0" w:color="auto"/>
                        <w:right w:val="none" w:sz="0" w:space="0" w:color="auto"/>
                      </w:divBdr>
                      <w:divsChild>
                        <w:div w:id="418411650">
                          <w:marLeft w:val="0"/>
                          <w:marRight w:val="0"/>
                          <w:marTop w:val="0"/>
                          <w:marBottom w:val="0"/>
                          <w:divBdr>
                            <w:top w:val="none" w:sz="0" w:space="0" w:color="auto"/>
                            <w:left w:val="none" w:sz="0" w:space="0" w:color="auto"/>
                            <w:bottom w:val="none" w:sz="0" w:space="0" w:color="auto"/>
                            <w:right w:val="none" w:sz="0" w:space="0" w:color="auto"/>
                          </w:divBdr>
                          <w:divsChild>
                            <w:div w:id="1532112266">
                              <w:marLeft w:val="0"/>
                              <w:marRight w:val="0"/>
                              <w:marTop w:val="0"/>
                              <w:marBottom w:val="0"/>
                              <w:divBdr>
                                <w:top w:val="none" w:sz="0" w:space="0" w:color="auto"/>
                                <w:left w:val="none" w:sz="0" w:space="0" w:color="auto"/>
                                <w:bottom w:val="none" w:sz="0" w:space="0" w:color="auto"/>
                                <w:right w:val="none" w:sz="0" w:space="0" w:color="auto"/>
                              </w:divBdr>
                              <w:divsChild>
                                <w:div w:id="1917938825">
                                  <w:marLeft w:val="0"/>
                                  <w:marRight w:val="0"/>
                                  <w:marTop w:val="0"/>
                                  <w:marBottom w:val="0"/>
                                  <w:divBdr>
                                    <w:top w:val="none" w:sz="0" w:space="0" w:color="auto"/>
                                    <w:left w:val="none" w:sz="0" w:space="0" w:color="auto"/>
                                    <w:bottom w:val="none" w:sz="0" w:space="0" w:color="auto"/>
                                    <w:right w:val="none" w:sz="0" w:space="0" w:color="auto"/>
                                  </w:divBdr>
                                  <w:divsChild>
                                    <w:div w:id="69810947">
                                      <w:marLeft w:val="0"/>
                                      <w:marRight w:val="0"/>
                                      <w:marTop w:val="0"/>
                                      <w:marBottom w:val="0"/>
                                      <w:divBdr>
                                        <w:top w:val="none" w:sz="0" w:space="0" w:color="auto"/>
                                        <w:left w:val="none" w:sz="0" w:space="0" w:color="auto"/>
                                        <w:bottom w:val="none" w:sz="0" w:space="0" w:color="auto"/>
                                        <w:right w:val="none" w:sz="0" w:space="0" w:color="auto"/>
                                      </w:divBdr>
                                      <w:divsChild>
                                        <w:div w:id="396707098">
                                          <w:marLeft w:val="0"/>
                                          <w:marRight w:val="0"/>
                                          <w:marTop w:val="0"/>
                                          <w:marBottom w:val="0"/>
                                          <w:divBdr>
                                            <w:top w:val="none" w:sz="0" w:space="0" w:color="auto"/>
                                            <w:left w:val="none" w:sz="0" w:space="0" w:color="auto"/>
                                            <w:bottom w:val="none" w:sz="0" w:space="0" w:color="auto"/>
                                            <w:right w:val="none" w:sz="0" w:space="0" w:color="auto"/>
                                          </w:divBdr>
                                          <w:divsChild>
                                            <w:div w:id="1554195249">
                                              <w:marLeft w:val="0"/>
                                              <w:marRight w:val="0"/>
                                              <w:marTop w:val="0"/>
                                              <w:marBottom w:val="0"/>
                                              <w:divBdr>
                                                <w:top w:val="none" w:sz="0" w:space="0" w:color="auto"/>
                                                <w:left w:val="none" w:sz="0" w:space="0" w:color="auto"/>
                                                <w:bottom w:val="none" w:sz="0" w:space="0" w:color="auto"/>
                                                <w:right w:val="none" w:sz="0" w:space="0" w:color="auto"/>
                                              </w:divBdr>
                                              <w:divsChild>
                                                <w:div w:id="845290106">
                                                  <w:marLeft w:val="0"/>
                                                  <w:marRight w:val="0"/>
                                                  <w:marTop w:val="360"/>
                                                  <w:marBottom w:val="0"/>
                                                  <w:divBdr>
                                                    <w:top w:val="none" w:sz="0" w:space="0" w:color="auto"/>
                                                    <w:left w:val="none" w:sz="0" w:space="0" w:color="auto"/>
                                                    <w:bottom w:val="none" w:sz="0" w:space="0" w:color="auto"/>
                                                    <w:right w:val="none" w:sz="0" w:space="0" w:color="auto"/>
                                                  </w:divBdr>
                                                  <w:divsChild>
                                                    <w:div w:id="549849150">
                                                      <w:marLeft w:val="0"/>
                                                      <w:marRight w:val="0"/>
                                                      <w:marTop w:val="0"/>
                                                      <w:marBottom w:val="0"/>
                                                      <w:divBdr>
                                                        <w:top w:val="none" w:sz="0" w:space="0" w:color="auto"/>
                                                        <w:left w:val="none" w:sz="0" w:space="0" w:color="auto"/>
                                                        <w:bottom w:val="none" w:sz="0" w:space="0" w:color="auto"/>
                                                        <w:right w:val="none" w:sz="0" w:space="0" w:color="auto"/>
                                                      </w:divBdr>
                                                      <w:divsChild>
                                                        <w:div w:id="1247836730">
                                                          <w:marLeft w:val="0"/>
                                                          <w:marRight w:val="0"/>
                                                          <w:marTop w:val="0"/>
                                                          <w:marBottom w:val="0"/>
                                                          <w:divBdr>
                                                            <w:top w:val="none" w:sz="0" w:space="0" w:color="auto"/>
                                                            <w:left w:val="none" w:sz="0" w:space="0" w:color="auto"/>
                                                            <w:bottom w:val="none" w:sz="0" w:space="0" w:color="auto"/>
                                                            <w:right w:val="none" w:sz="0" w:space="0" w:color="auto"/>
                                                          </w:divBdr>
                                                          <w:divsChild>
                                                            <w:div w:id="11463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0932531">
      <w:bodyDiv w:val="1"/>
      <w:marLeft w:val="0"/>
      <w:marRight w:val="0"/>
      <w:marTop w:val="0"/>
      <w:marBottom w:val="0"/>
      <w:divBdr>
        <w:top w:val="none" w:sz="0" w:space="0" w:color="auto"/>
        <w:left w:val="none" w:sz="0" w:space="0" w:color="auto"/>
        <w:bottom w:val="none" w:sz="0" w:space="0" w:color="auto"/>
        <w:right w:val="none" w:sz="0" w:space="0" w:color="auto"/>
      </w:divBdr>
    </w:div>
    <w:div w:id="1036193840">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28878120">
      <w:bodyDiv w:val="1"/>
      <w:marLeft w:val="0"/>
      <w:marRight w:val="0"/>
      <w:marTop w:val="0"/>
      <w:marBottom w:val="0"/>
      <w:divBdr>
        <w:top w:val="none" w:sz="0" w:space="0" w:color="auto"/>
        <w:left w:val="none" w:sz="0" w:space="0" w:color="auto"/>
        <w:bottom w:val="none" w:sz="0" w:space="0" w:color="auto"/>
        <w:right w:val="none" w:sz="0" w:space="0" w:color="auto"/>
      </w:divBdr>
    </w:div>
    <w:div w:id="2000960272">
      <w:bodyDiv w:val="1"/>
      <w:marLeft w:val="0"/>
      <w:marRight w:val="0"/>
      <w:marTop w:val="0"/>
      <w:marBottom w:val="0"/>
      <w:divBdr>
        <w:top w:val="none" w:sz="0" w:space="0" w:color="auto"/>
        <w:left w:val="none" w:sz="0" w:space="0" w:color="auto"/>
        <w:bottom w:val="none" w:sz="0" w:space="0" w:color="auto"/>
        <w:right w:val="none" w:sz="0" w:space="0" w:color="auto"/>
      </w:divBdr>
      <w:divsChild>
        <w:div w:id="1100292652">
          <w:marLeft w:val="0"/>
          <w:marRight w:val="0"/>
          <w:marTop w:val="0"/>
          <w:marBottom w:val="0"/>
          <w:divBdr>
            <w:top w:val="none" w:sz="0" w:space="0" w:color="auto"/>
            <w:left w:val="none" w:sz="0" w:space="0" w:color="auto"/>
            <w:bottom w:val="none" w:sz="0" w:space="0" w:color="auto"/>
            <w:right w:val="none" w:sz="0" w:space="0" w:color="auto"/>
          </w:divBdr>
          <w:divsChild>
            <w:div w:id="1883053443">
              <w:marLeft w:val="0"/>
              <w:marRight w:val="0"/>
              <w:marTop w:val="0"/>
              <w:marBottom w:val="0"/>
              <w:divBdr>
                <w:top w:val="none" w:sz="0" w:space="0" w:color="auto"/>
                <w:left w:val="none" w:sz="0" w:space="0" w:color="auto"/>
                <w:bottom w:val="none" w:sz="0" w:space="0" w:color="auto"/>
                <w:right w:val="none" w:sz="0" w:space="0" w:color="auto"/>
              </w:divBdr>
              <w:divsChild>
                <w:div w:id="302934326">
                  <w:marLeft w:val="0"/>
                  <w:marRight w:val="0"/>
                  <w:marTop w:val="0"/>
                  <w:marBottom w:val="0"/>
                  <w:divBdr>
                    <w:top w:val="none" w:sz="0" w:space="0" w:color="auto"/>
                    <w:left w:val="none" w:sz="0" w:space="0" w:color="auto"/>
                    <w:bottom w:val="none" w:sz="0" w:space="0" w:color="auto"/>
                    <w:right w:val="none" w:sz="0" w:space="0" w:color="auto"/>
                  </w:divBdr>
                  <w:divsChild>
                    <w:div w:id="976766221">
                      <w:marLeft w:val="0"/>
                      <w:marRight w:val="0"/>
                      <w:marTop w:val="0"/>
                      <w:marBottom w:val="0"/>
                      <w:divBdr>
                        <w:top w:val="none" w:sz="0" w:space="0" w:color="auto"/>
                        <w:left w:val="none" w:sz="0" w:space="0" w:color="auto"/>
                        <w:bottom w:val="none" w:sz="0" w:space="0" w:color="auto"/>
                        <w:right w:val="none" w:sz="0" w:space="0" w:color="auto"/>
                      </w:divBdr>
                      <w:divsChild>
                        <w:div w:id="2117169642">
                          <w:marLeft w:val="0"/>
                          <w:marRight w:val="0"/>
                          <w:marTop w:val="0"/>
                          <w:marBottom w:val="0"/>
                          <w:divBdr>
                            <w:top w:val="none" w:sz="0" w:space="0" w:color="auto"/>
                            <w:left w:val="none" w:sz="0" w:space="0" w:color="auto"/>
                            <w:bottom w:val="none" w:sz="0" w:space="0" w:color="auto"/>
                            <w:right w:val="none" w:sz="0" w:space="0" w:color="auto"/>
                          </w:divBdr>
                          <w:divsChild>
                            <w:div w:id="2121294241">
                              <w:marLeft w:val="0"/>
                              <w:marRight w:val="0"/>
                              <w:marTop w:val="0"/>
                              <w:marBottom w:val="0"/>
                              <w:divBdr>
                                <w:top w:val="none" w:sz="0" w:space="0" w:color="auto"/>
                                <w:left w:val="none" w:sz="0" w:space="0" w:color="auto"/>
                                <w:bottom w:val="none" w:sz="0" w:space="0" w:color="auto"/>
                                <w:right w:val="none" w:sz="0" w:space="0" w:color="auto"/>
                              </w:divBdr>
                              <w:divsChild>
                                <w:div w:id="328139089">
                                  <w:marLeft w:val="0"/>
                                  <w:marRight w:val="0"/>
                                  <w:marTop w:val="0"/>
                                  <w:marBottom w:val="0"/>
                                  <w:divBdr>
                                    <w:top w:val="none" w:sz="0" w:space="0" w:color="auto"/>
                                    <w:left w:val="none" w:sz="0" w:space="0" w:color="auto"/>
                                    <w:bottom w:val="none" w:sz="0" w:space="0" w:color="auto"/>
                                    <w:right w:val="none" w:sz="0" w:space="0" w:color="auto"/>
                                  </w:divBdr>
                                  <w:divsChild>
                                    <w:div w:id="315492947">
                                      <w:marLeft w:val="0"/>
                                      <w:marRight w:val="0"/>
                                      <w:marTop w:val="0"/>
                                      <w:marBottom w:val="0"/>
                                      <w:divBdr>
                                        <w:top w:val="none" w:sz="0" w:space="0" w:color="auto"/>
                                        <w:left w:val="none" w:sz="0" w:space="0" w:color="auto"/>
                                        <w:bottom w:val="none" w:sz="0" w:space="0" w:color="auto"/>
                                        <w:right w:val="none" w:sz="0" w:space="0" w:color="auto"/>
                                      </w:divBdr>
                                      <w:divsChild>
                                        <w:div w:id="1869223644">
                                          <w:marLeft w:val="0"/>
                                          <w:marRight w:val="0"/>
                                          <w:marTop w:val="0"/>
                                          <w:marBottom w:val="0"/>
                                          <w:divBdr>
                                            <w:top w:val="none" w:sz="0" w:space="0" w:color="auto"/>
                                            <w:left w:val="none" w:sz="0" w:space="0" w:color="auto"/>
                                            <w:bottom w:val="none" w:sz="0" w:space="0" w:color="auto"/>
                                            <w:right w:val="none" w:sz="0" w:space="0" w:color="auto"/>
                                          </w:divBdr>
                                          <w:divsChild>
                                            <w:div w:id="1070813302">
                                              <w:marLeft w:val="0"/>
                                              <w:marRight w:val="0"/>
                                              <w:marTop w:val="0"/>
                                              <w:marBottom w:val="0"/>
                                              <w:divBdr>
                                                <w:top w:val="none" w:sz="0" w:space="0" w:color="auto"/>
                                                <w:left w:val="none" w:sz="0" w:space="0" w:color="auto"/>
                                                <w:bottom w:val="none" w:sz="0" w:space="0" w:color="auto"/>
                                                <w:right w:val="none" w:sz="0" w:space="0" w:color="auto"/>
                                              </w:divBdr>
                                              <w:divsChild>
                                                <w:div w:id="2108236594">
                                                  <w:marLeft w:val="0"/>
                                                  <w:marRight w:val="0"/>
                                                  <w:marTop w:val="360"/>
                                                  <w:marBottom w:val="0"/>
                                                  <w:divBdr>
                                                    <w:top w:val="none" w:sz="0" w:space="0" w:color="auto"/>
                                                    <w:left w:val="none" w:sz="0" w:space="0" w:color="auto"/>
                                                    <w:bottom w:val="none" w:sz="0" w:space="0" w:color="auto"/>
                                                    <w:right w:val="none" w:sz="0" w:space="0" w:color="auto"/>
                                                  </w:divBdr>
                                                  <w:divsChild>
                                                    <w:div w:id="6448505">
                                                      <w:marLeft w:val="0"/>
                                                      <w:marRight w:val="0"/>
                                                      <w:marTop w:val="0"/>
                                                      <w:marBottom w:val="0"/>
                                                      <w:divBdr>
                                                        <w:top w:val="none" w:sz="0" w:space="0" w:color="auto"/>
                                                        <w:left w:val="none" w:sz="0" w:space="0" w:color="auto"/>
                                                        <w:bottom w:val="none" w:sz="0" w:space="0" w:color="auto"/>
                                                        <w:right w:val="none" w:sz="0" w:space="0" w:color="auto"/>
                                                      </w:divBdr>
                                                      <w:divsChild>
                                                        <w:div w:id="1875147838">
                                                          <w:marLeft w:val="0"/>
                                                          <w:marRight w:val="0"/>
                                                          <w:marTop w:val="0"/>
                                                          <w:marBottom w:val="0"/>
                                                          <w:divBdr>
                                                            <w:top w:val="none" w:sz="0" w:space="0" w:color="auto"/>
                                                            <w:left w:val="none" w:sz="0" w:space="0" w:color="auto"/>
                                                            <w:bottom w:val="none" w:sz="0" w:space="0" w:color="auto"/>
                                                            <w:right w:val="none" w:sz="0" w:space="0" w:color="auto"/>
                                                          </w:divBdr>
                                                          <w:divsChild>
                                                            <w:div w:id="5747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ginasthma.org/reports" TargetMode="External"/><Relationship Id="rId26" Type="http://schemas.microsoft.com/office/2007/relationships/hdphoto" Target="media/hdphoto3.wdp"/><Relationship Id="rId39" Type="http://schemas.openxmlformats.org/officeDocument/2006/relationships/header" Target="header5.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hyperlink" Target="https://www.tga.gov.au/tgas-risk-management-approach" TargetMode="External"/><Relationship Id="rId42" Type="http://schemas.openxmlformats.org/officeDocument/2006/relationships/hyperlink" Target="https://www.tga.gov.au" TargetMode="External"/><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resources/resource/international-scientific-guidelines/international-scientific-guideline-guideline-clinical-investigation-medicinal-products-treatment-asthma" TargetMode="External"/><Relationship Id="rId25" Type="http://schemas.openxmlformats.org/officeDocument/2006/relationships/image" Target="media/image6.png"/><Relationship Id="rId33" Type="http://schemas.openxmlformats.org/officeDocument/2006/relationships/hyperlink" Target="https://www.tga.gov.au/publication/risk-management-plans-medicines-and-biologicals" TargetMode="External"/><Relationship Id="rId38" Type="http://schemas.openxmlformats.org/officeDocument/2006/relationships/header" Target="header4.xm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tga.gov.au/picmi-search-facility" TargetMode="Externa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header" Target="header3.xml"/><Relationship Id="rId40" Type="http://schemas.openxmlformats.org/officeDocument/2006/relationships/footer" Target="footer2.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tga.gov.au/australia-canada-singapore-switzerland-united-kingdom-access-consortium" TargetMode="External"/><Relationship Id="rId23" Type="http://schemas.microsoft.com/office/2007/relationships/hdphoto" Target="media/hdphoto2.wdp"/><Relationship Id="rId28" Type="http://schemas.openxmlformats.org/officeDocument/2006/relationships/image" Target="media/image8.png"/><Relationship Id="rId36" Type="http://schemas.openxmlformats.org/officeDocument/2006/relationships/hyperlink" Target="https://www.tga.gov.au/picmi-search-facility" TargetMode="External"/><Relationship Id="rId49"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tga.gov.au/committee/advisory-committee-medicines-acm" TargetMode="External"/><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auspar/auspar-dupilumab-0" TargetMode="External"/><Relationship Id="rId2" Type="http://schemas.openxmlformats.org/officeDocument/2006/relationships/hyperlink" Target="https://www.tga.gov.au/resources/auspar/auspar-dupilumab" TargetMode="External"/><Relationship Id="rId1" Type="http://schemas.openxmlformats.org/officeDocument/2006/relationships/hyperlink" Target="https://www.ginasthm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kit\AppData\Local\Hewlett-Packard\HP%20TRIM\TEMP\HPTRIM.4152\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158E6-798C-47FD-B717-786340A10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1088</TotalTime>
  <Pages>39</Pages>
  <Words>12251</Words>
  <Characters>69834</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81922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Dupixent</dc:title>
  <dc:subject>prescription medicine regulation</dc:subject>
  <dc:creator>Therapeutic Goods Administration</dc:creator>
  <cp:keywords/>
  <cp:lastModifiedBy>PITKIN, Brendan</cp:lastModifiedBy>
  <cp:revision>26</cp:revision>
  <cp:lastPrinted>2019-08-14T04:30:00Z</cp:lastPrinted>
  <dcterms:created xsi:type="dcterms:W3CDTF">2023-03-07T02:14:00Z</dcterms:created>
  <dcterms:modified xsi:type="dcterms:W3CDTF">2023-03-17T00:48:00Z</dcterms:modified>
  <cp:category/>
</cp:coreProperties>
</file>