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vertAnchor="page" w:horzAnchor="margin" w:tblpY="31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5660C" w14:paraId="487E857D" w14:textId="77777777" w:rsidTr="00E04ABD">
        <w:tc>
          <w:tcPr>
            <w:tcW w:w="8720" w:type="dxa"/>
          </w:tcPr>
          <w:p w14:paraId="158C7559" w14:textId="4B164D06" w:rsidR="0025660C" w:rsidRPr="00077548" w:rsidRDefault="00597B50" w:rsidP="00E04ABD">
            <w:pPr>
              <w:pStyle w:val="Title"/>
            </w:pPr>
            <w:r w:rsidRPr="00597B50">
              <w:t>Notice of final decisions to amend (or not amend) the current Poisons Standard</w:t>
            </w:r>
            <w:r w:rsidR="0010351E">
              <w:t xml:space="preserve"> in relation to </w:t>
            </w:r>
            <w:proofErr w:type="spellStart"/>
            <w:r w:rsidR="0010351E">
              <w:t>psilocybine</w:t>
            </w:r>
            <w:proofErr w:type="spellEnd"/>
            <w:r w:rsidR="0010351E">
              <w:t xml:space="preserve"> and MDMA</w:t>
            </w:r>
          </w:p>
        </w:tc>
      </w:tr>
      <w:tr w:rsidR="0025660C" w14:paraId="3393FE2A" w14:textId="77777777" w:rsidTr="00E04ABD">
        <w:trPr>
          <w:trHeight w:val="810"/>
        </w:trPr>
        <w:tc>
          <w:tcPr>
            <w:tcW w:w="8720" w:type="dxa"/>
          </w:tcPr>
          <w:p w14:paraId="38D3E20E" w14:textId="14FCB5F4" w:rsidR="0025660C" w:rsidRPr="00077548" w:rsidRDefault="00100847" w:rsidP="00E04ABD">
            <w:pPr>
              <w:pStyle w:val="Subtitle"/>
              <w:tabs>
                <w:tab w:val="left" w:pos="5310"/>
              </w:tabs>
              <w:ind w:left="0"/>
            </w:pPr>
            <w:r>
              <w:t xml:space="preserve">3 </w:t>
            </w:r>
            <w:r w:rsidR="0010351E">
              <w:t>February</w:t>
            </w:r>
            <w:r w:rsidR="002339DF">
              <w:t xml:space="preserve"> 2023</w:t>
            </w:r>
            <w:r w:rsidR="00AA34FC">
              <w:t xml:space="preserve"> </w:t>
            </w:r>
          </w:p>
        </w:tc>
      </w:tr>
      <w:tr w:rsidR="0025660C" w14:paraId="0C412F80" w14:textId="77777777" w:rsidTr="00E04ABD">
        <w:trPr>
          <w:trHeight w:val="884"/>
        </w:trPr>
        <w:tc>
          <w:tcPr>
            <w:tcW w:w="8720" w:type="dxa"/>
          </w:tcPr>
          <w:p w14:paraId="4F8A6B3F" w14:textId="222527CF" w:rsidR="005A5916" w:rsidRPr="00EB4571" w:rsidRDefault="005A5916" w:rsidP="00E04ABD">
            <w:pPr>
              <w:pStyle w:val="NonTOCheading2"/>
              <w:spacing w:before="240"/>
              <w:rPr>
                <w:rFonts w:asciiTheme="majorHAnsi" w:hAnsiTheme="majorHAnsi" w:cstheme="majorHAnsi"/>
                <w:b w:val="0"/>
                <w:szCs w:val="22"/>
              </w:rPr>
            </w:pPr>
          </w:p>
        </w:tc>
      </w:tr>
      <w:tr w:rsidR="0025660C" w14:paraId="7FC07B7E" w14:textId="77777777" w:rsidTr="00E04ABD">
        <w:trPr>
          <w:trHeight w:val="601"/>
        </w:trPr>
        <w:tc>
          <w:tcPr>
            <w:tcW w:w="8720" w:type="dxa"/>
          </w:tcPr>
          <w:p w14:paraId="3BC7EC49" w14:textId="762FD230" w:rsidR="0025660C" w:rsidRDefault="0025660C" w:rsidP="00E04ABD">
            <w:pPr>
              <w:pStyle w:val="Date"/>
            </w:pPr>
          </w:p>
        </w:tc>
      </w:tr>
    </w:tbl>
    <w:p w14:paraId="6D852DDD" w14:textId="77777777" w:rsidR="0025660C" w:rsidRDefault="0025660C" w:rsidP="0025660C">
      <w:pPr>
        <w:sectPr w:rsidR="0025660C" w:rsidSect="00E57B71">
          <w:headerReference w:type="default" r:id="rId8"/>
          <w:footerReference w:type="default" r:id="rId9"/>
          <w:headerReference w:type="first" r:id="rId10"/>
          <w:pgSz w:w="11906" w:h="16838" w:code="9"/>
          <w:pgMar w:top="1134" w:right="1418" w:bottom="1361" w:left="1418" w:header="851" w:footer="768" w:gutter="0"/>
          <w:cols w:space="708"/>
          <w:titlePg/>
          <w:docGrid w:linePitch="360"/>
        </w:sectPr>
      </w:pPr>
      <w:r>
        <w:br w:type="page"/>
      </w:r>
    </w:p>
    <w:p w14:paraId="30F6686F" w14:textId="02FB7BF9" w:rsidR="007907BF" w:rsidRPr="005D4EA1" w:rsidRDefault="007907BF" w:rsidP="007907BF">
      <w:pPr>
        <w:pStyle w:val="LegalSubheading"/>
        <w:pageBreakBefore/>
      </w:pPr>
      <w:r w:rsidRPr="00691723">
        <w:lastRenderedPageBreak/>
        <w:t>Copyright</w:t>
      </w:r>
    </w:p>
    <w:p w14:paraId="781131BA" w14:textId="0B36DC0D" w:rsidR="007907BF" w:rsidRDefault="007907BF" w:rsidP="007907BF">
      <w:pPr>
        <w:pStyle w:val="LegalCopy"/>
      </w:pPr>
      <w:r w:rsidRPr="009401F6">
        <w:t>© Commonwealth of Australia 20</w:t>
      </w:r>
      <w:r>
        <w:t>2</w:t>
      </w:r>
      <w:r w:rsidR="00D77C24">
        <w:t>3</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w:t>
      </w:r>
      <w:proofErr w:type="gramStart"/>
      <w:r w:rsidRPr="009401F6">
        <w:t>reserved</w:t>
      </w:r>
      <w:proofErr w:type="gramEnd"/>
      <w:r w:rsidRPr="009401F6">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1" w:history="1">
        <w:r w:rsidRPr="009401F6">
          <w:rPr>
            <w:rStyle w:val="Hyperlink"/>
            <w:rFonts w:cs="Arial"/>
          </w:rPr>
          <w:t>tga.copyright@tga.gov.au</w:t>
        </w:r>
      </w:hyperlink>
      <w:r w:rsidRPr="009401F6">
        <w:t>&gt;</w:t>
      </w:r>
    </w:p>
    <w:p w14:paraId="48F61410" w14:textId="22E93990" w:rsidR="0025660C" w:rsidRPr="00766888" w:rsidRDefault="00597B50" w:rsidP="00ED6B23">
      <w:pPr>
        <w:pStyle w:val="LegalCopy"/>
        <w:tabs>
          <w:tab w:val="clear" w:pos="4513"/>
          <w:tab w:val="clear" w:pos="9026"/>
          <w:tab w:val="left" w:pos="2027"/>
        </w:tabs>
        <w:spacing w:before="12000"/>
      </w:pPr>
      <w:r>
        <w:lastRenderedPageBreak/>
        <w:tab/>
      </w:r>
    </w:p>
    <w:bookmarkStart w:id="0" w:name="_Toc323740419" w:displacedByCustomXml="next"/>
    <w:bookmarkStart w:id="1" w:name="_Toc328388475" w:displacedByCustomXml="next"/>
    <w:bookmarkStart w:id="2" w:name="_Toc323740418" w:displacedByCustomXml="next"/>
    <w:sdt>
      <w:sdtPr>
        <w:rPr>
          <w:rFonts w:ascii="Arial" w:hAnsi="Arial"/>
          <w:b/>
        </w:rPr>
        <w:id w:val="21514559"/>
        <w:docPartObj>
          <w:docPartGallery w:val="Table of Contents"/>
          <w:docPartUnique/>
        </w:docPartObj>
      </w:sdtPr>
      <w:sdtEndPr/>
      <w:sdtContent>
        <w:p w14:paraId="3FF74295" w14:textId="77777777" w:rsidR="002504C2" w:rsidRDefault="0025660C">
          <w:pPr>
            <w:pStyle w:val="TOC2"/>
            <w:tabs>
              <w:tab w:val="left" w:pos="851"/>
            </w:tabs>
            <w:rPr>
              <w:noProof/>
            </w:rPr>
          </w:pPr>
          <w:r w:rsidRPr="005D16DC">
            <w:rPr>
              <w:rFonts w:asciiTheme="majorHAnsi" w:hAnsiTheme="majorHAnsi" w:cstheme="majorHAnsi"/>
              <w:sz w:val="28"/>
              <w:szCs w:val="28"/>
            </w:rPr>
            <w:t>Contents</w:t>
          </w:r>
          <w:r w:rsidR="008D3724">
            <w:rPr>
              <w:sz w:val="32"/>
            </w:rPr>
            <w:fldChar w:fldCharType="begin"/>
          </w:r>
          <w:r w:rsidR="008D3724">
            <w:rPr>
              <w:sz w:val="32"/>
            </w:rPr>
            <w:instrText xml:space="preserve"> TOC \o "1-3" \h \z \u </w:instrText>
          </w:r>
          <w:r w:rsidR="008D3724">
            <w:rPr>
              <w:sz w:val="32"/>
            </w:rPr>
            <w:fldChar w:fldCharType="separate"/>
          </w:r>
        </w:p>
        <w:p w14:paraId="0BC23575" w14:textId="1B64157B" w:rsidR="002504C2" w:rsidRDefault="00611169">
          <w:pPr>
            <w:pStyle w:val="TOC2"/>
            <w:tabs>
              <w:tab w:val="left" w:pos="851"/>
            </w:tabs>
            <w:rPr>
              <w:rFonts w:asciiTheme="minorHAnsi" w:eastAsiaTheme="minorEastAsia" w:hAnsiTheme="minorHAnsi" w:cstheme="minorBidi"/>
              <w:noProof/>
              <w:szCs w:val="22"/>
              <w:lang w:eastAsia="en-AU"/>
            </w:rPr>
          </w:pPr>
          <w:hyperlink w:anchor="_Toc123573016" w:history="1">
            <w:r w:rsidR="002504C2" w:rsidRPr="00ED2D1C">
              <w:rPr>
                <w:rStyle w:val="Hyperlink"/>
                <w:noProof/>
              </w:rPr>
              <w:t>1</w:t>
            </w:r>
            <w:r w:rsidR="002504C2">
              <w:rPr>
                <w:rFonts w:asciiTheme="minorHAnsi" w:eastAsiaTheme="minorEastAsia" w:hAnsiTheme="minorHAnsi" w:cstheme="minorBidi"/>
                <w:noProof/>
                <w:szCs w:val="22"/>
                <w:lang w:eastAsia="en-AU"/>
              </w:rPr>
              <w:tab/>
            </w:r>
            <w:r w:rsidR="002504C2" w:rsidRPr="00ED2D1C">
              <w:rPr>
                <w:rStyle w:val="Hyperlink"/>
                <w:noProof/>
              </w:rPr>
              <w:t xml:space="preserve">Notice of final decisions to amend (or not amend) the current Poisons Standard </w:t>
            </w:r>
            <w:r w:rsidR="002504C2">
              <w:rPr>
                <w:noProof/>
                <w:webHidden/>
              </w:rPr>
              <w:tab/>
            </w:r>
            <w:r w:rsidR="002504C2">
              <w:rPr>
                <w:noProof/>
                <w:webHidden/>
              </w:rPr>
              <w:fldChar w:fldCharType="begin"/>
            </w:r>
            <w:r w:rsidR="002504C2">
              <w:rPr>
                <w:noProof/>
                <w:webHidden/>
              </w:rPr>
              <w:instrText xml:space="preserve"> PAGEREF _Toc123573016 \h </w:instrText>
            </w:r>
            <w:r w:rsidR="002504C2">
              <w:rPr>
                <w:noProof/>
                <w:webHidden/>
              </w:rPr>
            </w:r>
            <w:r w:rsidR="002504C2">
              <w:rPr>
                <w:noProof/>
                <w:webHidden/>
              </w:rPr>
              <w:fldChar w:fldCharType="separate"/>
            </w:r>
            <w:r w:rsidR="003E4137">
              <w:rPr>
                <w:noProof/>
                <w:webHidden/>
              </w:rPr>
              <w:t>4</w:t>
            </w:r>
            <w:r w:rsidR="002504C2">
              <w:rPr>
                <w:noProof/>
                <w:webHidden/>
              </w:rPr>
              <w:fldChar w:fldCharType="end"/>
            </w:r>
          </w:hyperlink>
        </w:p>
        <w:p w14:paraId="34898F7D" w14:textId="2412CC60" w:rsidR="002504C2" w:rsidRDefault="00611169">
          <w:pPr>
            <w:pStyle w:val="TOC2"/>
            <w:tabs>
              <w:tab w:val="left" w:pos="851"/>
            </w:tabs>
            <w:rPr>
              <w:rFonts w:asciiTheme="minorHAnsi" w:eastAsiaTheme="minorEastAsia" w:hAnsiTheme="minorHAnsi" w:cstheme="minorBidi"/>
              <w:noProof/>
              <w:szCs w:val="22"/>
              <w:lang w:eastAsia="en-AU"/>
            </w:rPr>
          </w:pPr>
          <w:hyperlink w:anchor="_Toc123573017" w:history="1">
            <w:r w:rsidR="002504C2" w:rsidRPr="00ED2D1C">
              <w:rPr>
                <w:rStyle w:val="Hyperlink"/>
                <w:noProof/>
              </w:rPr>
              <w:t>2</w:t>
            </w:r>
            <w:r w:rsidR="002504C2">
              <w:rPr>
                <w:rFonts w:asciiTheme="minorHAnsi" w:eastAsiaTheme="minorEastAsia" w:hAnsiTheme="minorHAnsi" w:cstheme="minorBidi"/>
                <w:noProof/>
                <w:szCs w:val="22"/>
                <w:lang w:eastAsia="en-AU"/>
              </w:rPr>
              <w:tab/>
            </w:r>
            <w:r w:rsidR="002504C2" w:rsidRPr="00ED2D1C">
              <w:rPr>
                <w:rStyle w:val="Hyperlink"/>
                <w:noProof/>
              </w:rPr>
              <w:t>Final decisions on proposed amendments referred to the Advisory Committee on Medicines Scheduling (ACMS #38, June 2022)</w:t>
            </w:r>
            <w:r w:rsidR="002504C2">
              <w:rPr>
                <w:noProof/>
                <w:webHidden/>
              </w:rPr>
              <w:tab/>
            </w:r>
            <w:r w:rsidR="002504C2">
              <w:rPr>
                <w:noProof/>
                <w:webHidden/>
              </w:rPr>
              <w:fldChar w:fldCharType="begin"/>
            </w:r>
            <w:r w:rsidR="002504C2">
              <w:rPr>
                <w:noProof/>
                <w:webHidden/>
              </w:rPr>
              <w:instrText xml:space="preserve"> PAGEREF _Toc123573017 \h </w:instrText>
            </w:r>
            <w:r w:rsidR="002504C2">
              <w:rPr>
                <w:noProof/>
                <w:webHidden/>
              </w:rPr>
            </w:r>
            <w:r w:rsidR="002504C2">
              <w:rPr>
                <w:noProof/>
                <w:webHidden/>
              </w:rPr>
              <w:fldChar w:fldCharType="separate"/>
            </w:r>
            <w:r w:rsidR="003E4137">
              <w:rPr>
                <w:noProof/>
                <w:webHidden/>
              </w:rPr>
              <w:t>4</w:t>
            </w:r>
            <w:r w:rsidR="002504C2">
              <w:rPr>
                <w:noProof/>
                <w:webHidden/>
              </w:rPr>
              <w:fldChar w:fldCharType="end"/>
            </w:r>
          </w:hyperlink>
        </w:p>
        <w:p w14:paraId="1C527AEA" w14:textId="7BF73F46" w:rsidR="002504C2" w:rsidRDefault="00611169">
          <w:pPr>
            <w:pStyle w:val="TOC3"/>
            <w:tabs>
              <w:tab w:val="left" w:pos="1701"/>
            </w:tabs>
            <w:rPr>
              <w:rFonts w:asciiTheme="minorHAnsi" w:eastAsiaTheme="minorEastAsia" w:hAnsiTheme="minorHAnsi" w:cstheme="minorBidi"/>
              <w:noProof/>
              <w:sz w:val="22"/>
              <w:szCs w:val="22"/>
              <w:lang w:eastAsia="en-AU"/>
            </w:rPr>
          </w:pPr>
          <w:hyperlink w:anchor="_Toc123573018" w:history="1">
            <w:r w:rsidR="002504C2" w:rsidRPr="00ED2D1C">
              <w:rPr>
                <w:rStyle w:val="Hyperlink"/>
                <w:noProof/>
              </w:rPr>
              <w:t>2.1</w:t>
            </w:r>
            <w:r w:rsidR="002504C2">
              <w:rPr>
                <w:rFonts w:asciiTheme="minorHAnsi" w:eastAsiaTheme="minorEastAsia" w:hAnsiTheme="minorHAnsi" w:cstheme="minorBidi"/>
                <w:noProof/>
                <w:sz w:val="22"/>
                <w:szCs w:val="22"/>
                <w:lang w:eastAsia="en-AU"/>
              </w:rPr>
              <w:tab/>
            </w:r>
            <w:r w:rsidR="002504C2" w:rsidRPr="00ED2D1C">
              <w:rPr>
                <w:rStyle w:val="Hyperlink"/>
                <w:noProof/>
              </w:rPr>
              <w:t>Final decision in relation to psilocybine and MDMA</w:t>
            </w:r>
            <w:r w:rsidR="002504C2">
              <w:rPr>
                <w:noProof/>
                <w:webHidden/>
              </w:rPr>
              <w:tab/>
            </w:r>
            <w:r w:rsidR="002504C2">
              <w:rPr>
                <w:noProof/>
                <w:webHidden/>
              </w:rPr>
              <w:fldChar w:fldCharType="begin"/>
            </w:r>
            <w:r w:rsidR="002504C2">
              <w:rPr>
                <w:noProof/>
                <w:webHidden/>
              </w:rPr>
              <w:instrText xml:space="preserve"> PAGEREF _Toc123573018 \h </w:instrText>
            </w:r>
            <w:r w:rsidR="002504C2">
              <w:rPr>
                <w:noProof/>
                <w:webHidden/>
              </w:rPr>
            </w:r>
            <w:r w:rsidR="002504C2">
              <w:rPr>
                <w:noProof/>
                <w:webHidden/>
              </w:rPr>
              <w:fldChar w:fldCharType="separate"/>
            </w:r>
            <w:r w:rsidR="003E4137">
              <w:rPr>
                <w:noProof/>
                <w:webHidden/>
              </w:rPr>
              <w:t>4</w:t>
            </w:r>
            <w:r w:rsidR="002504C2">
              <w:rPr>
                <w:noProof/>
                <w:webHidden/>
              </w:rPr>
              <w:fldChar w:fldCharType="end"/>
            </w:r>
          </w:hyperlink>
        </w:p>
        <w:p w14:paraId="7DF331EE" w14:textId="6117D5D1" w:rsidR="0025660C" w:rsidRDefault="008D3724" w:rsidP="008D3724">
          <w:pPr>
            <w:pStyle w:val="NonTOCheading2"/>
          </w:pPr>
          <w:r>
            <w:rPr>
              <w:sz w:val="32"/>
            </w:rPr>
            <w:fldChar w:fldCharType="end"/>
          </w:r>
        </w:p>
      </w:sdtContent>
    </w:sdt>
    <w:p w14:paraId="3445656D" w14:textId="540444A0" w:rsidR="0025660C" w:rsidRPr="00BC2009" w:rsidRDefault="00597B50" w:rsidP="00BC2009">
      <w:pPr>
        <w:pStyle w:val="Heading2"/>
        <w:pageBreakBefore/>
        <w:ind w:left="431" w:hanging="431"/>
      </w:pPr>
      <w:bookmarkStart w:id="3" w:name="_Toc123573016"/>
      <w:bookmarkEnd w:id="2"/>
      <w:bookmarkEnd w:id="1"/>
      <w:bookmarkEnd w:id="0"/>
      <w:r w:rsidRPr="00597B50">
        <w:lastRenderedPageBreak/>
        <w:t xml:space="preserve">Notice of final decisions to amend (or not amend) the current Poisons Standard </w:t>
      </w:r>
      <w:bookmarkEnd w:id="3"/>
    </w:p>
    <w:p w14:paraId="6885013C" w14:textId="60A672FF" w:rsidR="00597B50" w:rsidRPr="00544DDF" w:rsidRDefault="00597B50">
      <w:r w:rsidRPr="00544DDF">
        <w:t xml:space="preserve">This web publication constitutes a notice for the purposes of regulation 42ZCZS of the </w:t>
      </w:r>
      <w:r w:rsidRPr="00544DDF">
        <w:rPr>
          <w:i/>
        </w:rPr>
        <w:t xml:space="preserve">Therapeutic Goods Regulations 1990 </w:t>
      </w:r>
      <w:r w:rsidRPr="00544DDF">
        <w:t xml:space="preserve">(the </w:t>
      </w:r>
      <w:r w:rsidRPr="00544DDF">
        <w:rPr>
          <w:b/>
        </w:rPr>
        <w:t>Regulations</w:t>
      </w:r>
      <w:r w:rsidRPr="00544DDF">
        <w:t>). In accordance with regulations 42ZCZS, this notice publishes:</w:t>
      </w:r>
    </w:p>
    <w:p w14:paraId="518D5BAC" w14:textId="6CBF33C3" w:rsidR="00597B50" w:rsidRPr="00544DDF" w:rsidRDefault="00597B50">
      <w:pPr>
        <w:pStyle w:val="ListBullet"/>
      </w:pPr>
      <w:r w:rsidRPr="00544DDF">
        <w:t>the decisions made by a delegate</w:t>
      </w:r>
      <w:r w:rsidR="00A53DC8" w:rsidRPr="00544DDF">
        <w:rPr>
          <w:rStyle w:val="FootnoteReference"/>
        </w:rPr>
        <w:footnoteReference w:id="1"/>
      </w:r>
      <w:r w:rsidR="00C05254" w:rsidRPr="00544DDF">
        <w:t xml:space="preserve"> </w:t>
      </w:r>
      <w:r w:rsidRPr="00544DDF">
        <w:t xml:space="preserve">of the Secretary </w:t>
      </w:r>
      <w:r w:rsidR="00B23D7A" w:rsidRPr="00544DDF">
        <w:t xml:space="preserve">of the Department of Health and Aged Care </w:t>
      </w:r>
      <w:r w:rsidR="00C05254" w:rsidRPr="00544DDF">
        <w:t xml:space="preserve">(the </w:t>
      </w:r>
      <w:r w:rsidR="00C05254" w:rsidRPr="00544DDF">
        <w:rPr>
          <w:b/>
          <w:bCs/>
        </w:rPr>
        <w:t>Delegate</w:t>
      </w:r>
      <w:r w:rsidR="00C05254" w:rsidRPr="00544DDF">
        <w:t xml:space="preserve">) </w:t>
      </w:r>
      <w:r w:rsidRPr="00544DDF">
        <w:t xml:space="preserve">pursuant to regulations </w:t>
      </w:r>
      <w:proofErr w:type="gramStart"/>
      <w:r w:rsidRPr="00544DDF">
        <w:t>42ZCZR;</w:t>
      </w:r>
      <w:proofErr w:type="gramEnd"/>
    </w:p>
    <w:p w14:paraId="3702BF82" w14:textId="6B71466E" w:rsidR="00597B50" w:rsidRPr="00544DDF" w:rsidRDefault="00597B50">
      <w:pPr>
        <w:pStyle w:val="ListBullet"/>
      </w:pPr>
      <w:r w:rsidRPr="00544DDF">
        <w:t xml:space="preserve">the reasons for those final decisions; and </w:t>
      </w:r>
    </w:p>
    <w:p w14:paraId="7555EE59" w14:textId="3BD2DCBD" w:rsidR="006558C7" w:rsidRDefault="00597B50" w:rsidP="006558C7">
      <w:pPr>
        <w:pStyle w:val="ListBullet"/>
      </w:pPr>
      <w:r w:rsidRPr="00544DDF">
        <w:t>the date of effect of those decisions.</w:t>
      </w:r>
    </w:p>
    <w:p w14:paraId="4214D372" w14:textId="34EC2D5E" w:rsidR="00FA029A" w:rsidRPr="00FA029A" w:rsidRDefault="00F41DCE" w:rsidP="00E951D8">
      <w:pPr>
        <w:pStyle w:val="Heading2"/>
      </w:pPr>
      <w:bookmarkStart w:id="4" w:name="_Toc123573017"/>
      <w:r>
        <w:t>Final</w:t>
      </w:r>
      <w:r w:rsidR="00FA029A" w:rsidRPr="00FA029A">
        <w:t xml:space="preserve"> decisions on proposed amendments referred to the Advisory Committee o</w:t>
      </w:r>
      <w:r w:rsidR="00FA029A">
        <w:t>n Medicines Scheduling (ACMS #</w:t>
      </w:r>
      <w:r w:rsidR="00904486">
        <w:t>38</w:t>
      </w:r>
      <w:r w:rsidR="00FA029A">
        <w:t xml:space="preserve">, </w:t>
      </w:r>
      <w:r w:rsidR="00904486">
        <w:t>June</w:t>
      </w:r>
      <w:r w:rsidR="00FA029A">
        <w:t xml:space="preserve"> 2</w:t>
      </w:r>
      <w:r w:rsidR="00904486">
        <w:t>022</w:t>
      </w:r>
      <w:r w:rsidR="00FA029A" w:rsidRPr="00FA029A">
        <w:t>)</w:t>
      </w:r>
      <w:bookmarkStart w:id="5" w:name="_Toc46325255"/>
      <w:bookmarkStart w:id="6" w:name="_Toc46325611"/>
      <w:bookmarkStart w:id="7" w:name="_Toc46327427"/>
      <w:bookmarkStart w:id="8" w:name="_Toc46412213"/>
      <w:bookmarkStart w:id="9" w:name="_Final_decision_in"/>
      <w:bookmarkStart w:id="10" w:name="_Toc46325256"/>
      <w:bookmarkStart w:id="11" w:name="_Toc46325612"/>
      <w:bookmarkStart w:id="12" w:name="_Toc46327428"/>
      <w:bookmarkStart w:id="13" w:name="_Toc46412214"/>
      <w:bookmarkStart w:id="14" w:name="_Toc46325257"/>
      <w:bookmarkStart w:id="15" w:name="_Toc46325613"/>
      <w:bookmarkStart w:id="16" w:name="_Toc46327429"/>
      <w:bookmarkStart w:id="17" w:name="_Toc46412215"/>
      <w:bookmarkStart w:id="18" w:name="_Toc46325258"/>
      <w:bookmarkStart w:id="19" w:name="_Toc46325614"/>
      <w:bookmarkStart w:id="20" w:name="_Toc46327430"/>
      <w:bookmarkStart w:id="21" w:name="_Toc46412216"/>
      <w:bookmarkStart w:id="22" w:name="_Toc46325259"/>
      <w:bookmarkStart w:id="23" w:name="_Toc46325615"/>
      <w:bookmarkStart w:id="24" w:name="_Toc46327431"/>
      <w:bookmarkStart w:id="25" w:name="_Toc46412217"/>
      <w:bookmarkStart w:id="26" w:name="_Final_decision_in_1"/>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A15A616" w14:textId="3919BC07" w:rsidR="006558C7" w:rsidRPr="006558C7" w:rsidRDefault="00792B5F" w:rsidP="0010351E">
      <w:pPr>
        <w:pStyle w:val="Heading3"/>
      </w:pPr>
      <w:bookmarkStart w:id="27" w:name="_Toc123573018"/>
      <w:bookmarkStart w:id="28" w:name="_Hlk121294095"/>
      <w:r>
        <w:t xml:space="preserve">Final decision in relation to </w:t>
      </w:r>
      <w:proofErr w:type="spellStart"/>
      <w:r>
        <w:t>psilocybine</w:t>
      </w:r>
      <w:proofErr w:type="spellEnd"/>
      <w:r>
        <w:t xml:space="preserve"> </w:t>
      </w:r>
      <w:r w:rsidR="00C27566">
        <w:t>and MDMA</w:t>
      </w:r>
      <w:bookmarkEnd w:id="27"/>
    </w:p>
    <w:bookmarkEnd w:id="28"/>
    <w:p w14:paraId="0F00A8DF" w14:textId="356351FC" w:rsidR="00696670" w:rsidRPr="00D274B2" w:rsidRDefault="00EA0F92" w:rsidP="00134004">
      <w:pPr>
        <w:rPr>
          <w:b/>
          <w:bCs/>
          <w:i/>
        </w:rPr>
      </w:pPr>
      <w:r w:rsidRPr="00D274B2">
        <w:t>This section contains two independent final decisions in re</w:t>
      </w:r>
      <w:r w:rsidR="00707F8B" w:rsidRPr="00D274B2">
        <w:t>lation</w:t>
      </w:r>
      <w:r w:rsidRPr="00D274B2">
        <w:t xml:space="preserve"> to (</w:t>
      </w:r>
      <w:proofErr w:type="spellStart"/>
      <w:r w:rsidRPr="00D274B2">
        <w:t>i</w:t>
      </w:r>
      <w:proofErr w:type="spellEnd"/>
      <w:r w:rsidRPr="00D274B2">
        <w:t xml:space="preserve">) </w:t>
      </w:r>
      <w:proofErr w:type="spellStart"/>
      <w:r w:rsidRPr="00D274B2">
        <w:t>psilocybine</w:t>
      </w:r>
      <w:proofErr w:type="spellEnd"/>
      <w:r w:rsidRPr="00D274B2">
        <w:t xml:space="preserve"> and (ii) MDMA (the </w:t>
      </w:r>
      <w:r w:rsidR="00D319C0" w:rsidRPr="00134004">
        <w:rPr>
          <w:b/>
          <w:bCs/>
        </w:rPr>
        <w:t>S</w:t>
      </w:r>
      <w:r w:rsidRPr="00134004">
        <w:rPr>
          <w:b/>
          <w:bCs/>
        </w:rPr>
        <w:t>ubstances</w:t>
      </w:r>
      <w:r w:rsidRPr="00D274B2">
        <w:t xml:space="preserve">). Given the current scheduling and amendments to the Poisons Standard in relation to the </w:t>
      </w:r>
      <w:r w:rsidR="00A84167" w:rsidRPr="00D274B2">
        <w:t>S</w:t>
      </w:r>
      <w:r w:rsidRPr="00D274B2">
        <w:t xml:space="preserve">ubstances are </w:t>
      </w:r>
      <w:r w:rsidR="002504C2" w:rsidRPr="00D274B2">
        <w:t>similar</w:t>
      </w:r>
      <w:r w:rsidRPr="00D274B2">
        <w:t>, the reasons for making the final decision for each substance are substantially the same. As such, the reasons have been consolidated to assist the reader.</w:t>
      </w:r>
    </w:p>
    <w:p w14:paraId="1C18780A" w14:textId="6FABCF99" w:rsidR="00792B5F" w:rsidRPr="00D274B2" w:rsidRDefault="00792B5F" w:rsidP="00792B5F">
      <w:pPr>
        <w:pStyle w:val="Heading5"/>
        <w:rPr>
          <w:color w:val="auto"/>
        </w:rPr>
      </w:pPr>
      <w:r w:rsidRPr="00D274B2">
        <w:rPr>
          <w:color w:val="auto"/>
        </w:rPr>
        <w:t>Proposal</w:t>
      </w:r>
      <w:r w:rsidR="00EA0F92" w:rsidRPr="00D274B2">
        <w:rPr>
          <w:color w:val="auto"/>
        </w:rPr>
        <w:t>s</w:t>
      </w:r>
    </w:p>
    <w:p w14:paraId="06BD7877" w14:textId="42DF539D" w:rsidR="00EA0F92" w:rsidRPr="00135364" w:rsidRDefault="00EA0F92" w:rsidP="00EA0F92">
      <w:pPr>
        <w:rPr>
          <w:i/>
          <w:iCs/>
        </w:rPr>
      </w:pPr>
      <w:proofErr w:type="spellStart"/>
      <w:r w:rsidRPr="00135364">
        <w:rPr>
          <w:i/>
          <w:iCs/>
        </w:rPr>
        <w:t>Psilocybine</w:t>
      </w:r>
      <w:proofErr w:type="spellEnd"/>
    </w:p>
    <w:p w14:paraId="2DC32906" w14:textId="4F0A1A41" w:rsidR="00EA0F92" w:rsidRDefault="00EA0F92" w:rsidP="00EA0F92">
      <w:pPr>
        <w:rPr>
          <w:szCs w:val="22"/>
        </w:rPr>
      </w:pPr>
      <w:r w:rsidRPr="00B4065C">
        <w:rPr>
          <w:szCs w:val="22"/>
        </w:rPr>
        <w:t xml:space="preserve">The applicant proposed the creation of a Schedule 8 entry for the use of </w:t>
      </w:r>
      <w:proofErr w:type="spellStart"/>
      <w:r w:rsidRPr="00B4065C">
        <w:rPr>
          <w:szCs w:val="22"/>
        </w:rPr>
        <w:t>psilocybine</w:t>
      </w:r>
      <w:proofErr w:type="spellEnd"/>
      <w:r w:rsidRPr="00B4065C">
        <w:rPr>
          <w:szCs w:val="22"/>
        </w:rPr>
        <w:t xml:space="preserve"> in combination with psychotherapy for treatment</w:t>
      </w:r>
      <w:r w:rsidR="002504C2">
        <w:rPr>
          <w:szCs w:val="22"/>
        </w:rPr>
        <w:t>-</w:t>
      </w:r>
      <w:r w:rsidRPr="00B4065C">
        <w:rPr>
          <w:szCs w:val="22"/>
        </w:rPr>
        <w:t xml:space="preserve">resistant mental illness in medically controlled environments in certain circumstances (the </w:t>
      </w:r>
      <w:r w:rsidRPr="00AA0ED2">
        <w:rPr>
          <w:b/>
          <w:bCs/>
          <w:szCs w:val="22"/>
        </w:rPr>
        <w:t>current</w:t>
      </w:r>
      <w:r>
        <w:rPr>
          <w:szCs w:val="22"/>
        </w:rPr>
        <w:t xml:space="preserve"> </w:t>
      </w:r>
      <w:proofErr w:type="spellStart"/>
      <w:r>
        <w:rPr>
          <w:b/>
          <w:bCs/>
          <w:szCs w:val="22"/>
        </w:rPr>
        <w:t>psilocybine</w:t>
      </w:r>
      <w:proofErr w:type="spellEnd"/>
      <w:r>
        <w:rPr>
          <w:b/>
          <w:bCs/>
          <w:szCs w:val="22"/>
        </w:rPr>
        <w:t xml:space="preserve"> p</w:t>
      </w:r>
      <w:r w:rsidRPr="00B4065C">
        <w:rPr>
          <w:b/>
          <w:bCs/>
          <w:szCs w:val="22"/>
        </w:rPr>
        <w:t>roposal</w:t>
      </w:r>
      <w:r w:rsidRPr="00B4065C">
        <w:rPr>
          <w:szCs w:val="22"/>
        </w:rPr>
        <w:t xml:space="preserve">). </w:t>
      </w:r>
      <w:proofErr w:type="spellStart"/>
      <w:r w:rsidRPr="00B4065C">
        <w:rPr>
          <w:szCs w:val="22"/>
        </w:rPr>
        <w:t>Psilocybine</w:t>
      </w:r>
      <w:proofErr w:type="spellEnd"/>
      <w:r w:rsidRPr="00B4065C">
        <w:rPr>
          <w:szCs w:val="22"/>
        </w:rPr>
        <w:t xml:space="preserve"> is currently included in Schedule 9, which limits its use to authorised research and analytical purposes only.</w:t>
      </w:r>
    </w:p>
    <w:p w14:paraId="215D47F5" w14:textId="176C2DA7" w:rsidR="00792B5F" w:rsidRPr="00135364" w:rsidRDefault="00792B5F" w:rsidP="00792B5F">
      <w:pPr>
        <w:rPr>
          <w:i/>
          <w:iCs/>
          <w:szCs w:val="22"/>
        </w:rPr>
      </w:pPr>
      <w:r w:rsidRPr="00135364">
        <w:rPr>
          <w:i/>
          <w:iCs/>
          <w:szCs w:val="22"/>
        </w:rPr>
        <w:t>MDMA</w:t>
      </w:r>
    </w:p>
    <w:p w14:paraId="129E41FF" w14:textId="4A2FEE54" w:rsidR="00792B5F" w:rsidRPr="00582E1A" w:rsidRDefault="00792B5F" w:rsidP="00792B5F">
      <w:pPr>
        <w:rPr>
          <w:szCs w:val="22"/>
        </w:rPr>
      </w:pPr>
      <w:r w:rsidRPr="00582E1A">
        <w:rPr>
          <w:szCs w:val="22"/>
        </w:rPr>
        <w:t>The applicant proposed the creation of a S</w:t>
      </w:r>
      <w:r>
        <w:rPr>
          <w:szCs w:val="22"/>
        </w:rPr>
        <w:t>chedule 8 entry for the use of MDMA in combination with psychotherapy for treatment</w:t>
      </w:r>
      <w:r w:rsidR="002504C2">
        <w:rPr>
          <w:szCs w:val="22"/>
        </w:rPr>
        <w:t>-</w:t>
      </w:r>
      <w:r>
        <w:rPr>
          <w:szCs w:val="22"/>
        </w:rPr>
        <w:t xml:space="preserve">resistant mental illness in medically controlled environments in certain circumstances (the </w:t>
      </w:r>
      <w:r w:rsidRPr="00AA0ED2">
        <w:rPr>
          <w:b/>
          <w:bCs/>
          <w:szCs w:val="22"/>
        </w:rPr>
        <w:t>current</w:t>
      </w:r>
      <w:r>
        <w:rPr>
          <w:szCs w:val="22"/>
        </w:rPr>
        <w:t xml:space="preserve"> </w:t>
      </w:r>
      <w:r>
        <w:rPr>
          <w:b/>
          <w:bCs/>
          <w:szCs w:val="22"/>
        </w:rPr>
        <w:t>MDMA proposal</w:t>
      </w:r>
      <w:r>
        <w:rPr>
          <w:szCs w:val="22"/>
        </w:rPr>
        <w:t>). MDMA is currently included in Schedule 9, which limits use to authorised research and analytical purposes only.</w:t>
      </w:r>
    </w:p>
    <w:p w14:paraId="5B08D957" w14:textId="2BD6DBF1" w:rsidR="00792B5F" w:rsidRPr="008036B7" w:rsidRDefault="00792B5F" w:rsidP="00792B5F">
      <w:pPr>
        <w:pStyle w:val="Heading5"/>
      </w:pPr>
      <w:r>
        <w:t>Final decision</w:t>
      </w:r>
      <w:r w:rsidR="00252494">
        <w:t>s</w:t>
      </w:r>
    </w:p>
    <w:p w14:paraId="459CBF03" w14:textId="6CC074B4" w:rsidR="00252494" w:rsidRDefault="00792B5F" w:rsidP="00792B5F">
      <w:r>
        <w:t>Pursuant to regulation 42ZCZR of the Regulations, the Delegate has made final decision</w:t>
      </w:r>
      <w:r w:rsidR="00C51785">
        <w:t>s</w:t>
      </w:r>
      <w:r>
        <w:t xml:space="preserve"> to </w:t>
      </w:r>
      <w:r w:rsidR="002504C2">
        <w:t>vary</w:t>
      </w:r>
      <w:r w:rsidRPr="00002586">
        <w:t xml:space="preserve"> the interim decision</w:t>
      </w:r>
      <w:r w:rsidR="002504C2">
        <w:t>s</w:t>
      </w:r>
      <w:r w:rsidRPr="00002586">
        <w:t xml:space="preserve"> </w:t>
      </w:r>
      <w:r w:rsidR="002504C2">
        <w:t>and</w:t>
      </w:r>
      <w:r w:rsidR="00F04336" w:rsidRPr="00002586">
        <w:t xml:space="preserve"> </w:t>
      </w:r>
      <w:r w:rsidRPr="00002586">
        <w:t xml:space="preserve">amend the current Poisons Standard in relation to </w:t>
      </w:r>
      <w:r w:rsidR="00F04336" w:rsidRPr="00002586">
        <w:t xml:space="preserve">both </w:t>
      </w:r>
      <w:proofErr w:type="spellStart"/>
      <w:r w:rsidR="00F04336" w:rsidRPr="00002586">
        <w:t>psilocybine</w:t>
      </w:r>
      <w:proofErr w:type="spellEnd"/>
      <w:r w:rsidR="00EA0F92">
        <w:t xml:space="preserve"> and MDMA</w:t>
      </w:r>
      <w:r w:rsidR="00252494">
        <w:t>.</w:t>
      </w:r>
    </w:p>
    <w:p w14:paraId="620F9972" w14:textId="6BA1F480" w:rsidR="00252494" w:rsidRDefault="00252494" w:rsidP="00792B5F">
      <w:r>
        <w:lastRenderedPageBreak/>
        <w:t xml:space="preserve">The final decision in relation to </w:t>
      </w:r>
      <w:proofErr w:type="spellStart"/>
      <w:r>
        <w:t>psilocybine</w:t>
      </w:r>
      <w:proofErr w:type="spellEnd"/>
      <w:r>
        <w:t xml:space="preserve"> is</w:t>
      </w:r>
      <w:r w:rsidR="002504C2">
        <w:t xml:space="preserve"> as follows</w:t>
      </w:r>
      <w:r>
        <w:t>:</w:t>
      </w:r>
      <w:r w:rsidR="002504C2">
        <w:rPr>
          <w:rStyle w:val="FootnoteReference"/>
        </w:rPr>
        <w:footnoteReference w:id="2"/>
      </w:r>
    </w:p>
    <w:p w14:paraId="6CB7A364" w14:textId="77777777" w:rsidR="005A2385" w:rsidRPr="005A2385" w:rsidRDefault="005A2385" w:rsidP="00B7316D">
      <w:pPr>
        <w:ind w:left="425"/>
        <w:rPr>
          <w:b/>
          <w:bCs/>
        </w:rPr>
      </w:pPr>
      <w:r w:rsidRPr="005A2385">
        <w:rPr>
          <w:b/>
          <w:bCs/>
        </w:rPr>
        <w:t>Schedule 9 – Amend entries</w:t>
      </w:r>
    </w:p>
    <w:p w14:paraId="236891B6" w14:textId="77777777" w:rsidR="005A2385" w:rsidRPr="005A2385" w:rsidRDefault="005A2385" w:rsidP="00B7316D">
      <w:pPr>
        <w:spacing w:before="180" w:after="240"/>
        <w:ind w:firstLine="720"/>
        <w:rPr>
          <w:color w:val="00B050"/>
        </w:rPr>
      </w:pPr>
      <w:r w:rsidRPr="005A2385">
        <w:t xml:space="preserve">PSILOCYBINE </w:t>
      </w:r>
      <w:r w:rsidRPr="005A2385">
        <w:rPr>
          <w:b/>
          <w:bCs/>
          <w:color w:val="00B050"/>
          <w:u w:val="single"/>
        </w:rPr>
        <w:t>except</w:t>
      </w:r>
      <w:r w:rsidRPr="005A2385">
        <w:rPr>
          <w:color w:val="00B050"/>
          <w:u w:val="single"/>
        </w:rPr>
        <w:t xml:space="preserve"> when included in Schedule 8</w:t>
      </w:r>
      <w:r w:rsidRPr="00B7316D">
        <w:t>.</w:t>
      </w:r>
    </w:p>
    <w:p w14:paraId="7DAAB74C" w14:textId="77777777" w:rsidR="005A2385" w:rsidRPr="005A2385" w:rsidRDefault="005A2385" w:rsidP="00B7316D">
      <w:pPr>
        <w:ind w:left="425"/>
        <w:rPr>
          <w:b/>
          <w:bCs/>
        </w:rPr>
      </w:pPr>
      <w:r w:rsidRPr="005A2385">
        <w:rPr>
          <w:b/>
          <w:bCs/>
        </w:rPr>
        <w:t>Schedule 8 – New entries</w:t>
      </w:r>
    </w:p>
    <w:p w14:paraId="508DCFE9" w14:textId="7746BA03" w:rsidR="005A2385" w:rsidRPr="005A2385" w:rsidRDefault="005A2385" w:rsidP="002614B0">
      <w:pPr>
        <w:spacing w:before="180" w:after="240"/>
        <w:ind w:left="709" w:firstLine="11"/>
        <w:rPr>
          <w:color w:val="00B050"/>
          <w:u w:val="single"/>
        </w:rPr>
      </w:pPr>
      <w:r w:rsidRPr="005A2385">
        <w:rPr>
          <w:color w:val="00B050"/>
          <w:u w:val="single"/>
        </w:rPr>
        <w:t xml:space="preserve"># PSILOCYBINE </w:t>
      </w:r>
      <w:r w:rsidR="00100847">
        <w:rPr>
          <w:color w:val="00B050"/>
          <w:u w:val="single"/>
        </w:rPr>
        <w:t>in preparations for human therapeutic use</w:t>
      </w:r>
      <w:r w:rsidR="00100847" w:rsidRPr="005A2385">
        <w:rPr>
          <w:color w:val="00B050"/>
          <w:u w:val="single"/>
        </w:rPr>
        <w:t xml:space="preserve"> </w:t>
      </w:r>
      <w:r w:rsidRPr="005A2385">
        <w:rPr>
          <w:color w:val="00B050"/>
          <w:u w:val="single"/>
        </w:rPr>
        <w:t>for the treatment of treatment-resistant depression.</w:t>
      </w:r>
    </w:p>
    <w:p w14:paraId="6B6DF9A7" w14:textId="77777777" w:rsidR="005A2385" w:rsidRPr="005A2385" w:rsidRDefault="005A2385" w:rsidP="00B7316D">
      <w:pPr>
        <w:ind w:left="425"/>
        <w:rPr>
          <w:b/>
          <w:bCs/>
        </w:rPr>
      </w:pPr>
      <w:r w:rsidRPr="005A2385">
        <w:rPr>
          <w:b/>
          <w:bCs/>
        </w:rPr>
        <w:t>Appendix D – New entries</w:t>
      </w:r>
    </w:p>
    <w:p w14:paraId="7855E8A9" w14:textId="77777777" w:rsidR="002934EF" w:rsidRDefault="002934EF" w:rsidP="002934EF">
      <w:pPr>
        <w:pStyle w:val="ListParagraph"/>
        <w:numPr>
          <w:ilvl w:val="0"/>
          <w:numId w:val="29"/>
        </w:numPr>
        <w:spacing w:after="120" w:line="240" w:lineRule="auto"/>
        <w:ind w:left="1134"/>
        <w:contextualSpacing w:val="0"/>
        <w:rPr>
          <w:rFonts w:eastAsia="Times New Roman"/>
          <w:b/>
          <w:bCs/>
        </w:rPr>
      </w:pPr>
      <w:r w:rsidRPr="00F82507">
        <w:rPr>
          <w:rFonts w:eastAsia="Times New Roman"/>
          <w:b/>
          <w:bCs/>
        </w:rPr>
        <w:t>Poisons for which possession without authority is illegal (</w:t>
      </w:r>
      <w:proofErr w:type="gramStart"/>
      <w:r w:rsidRPr="00F82507">
        <w:rPr>
          <w:rFonts w:eastAsia="Times New Roman"/>
          <w:b/>
          <w:bCs/>
        </w:rPr>
        <w:t>e.g.</w:t>
      </w:r>
      <w:proofErr w:type="gramEnd"/>
      <w:r w:rsidRPr="00F82507">
        <w:rPr>
          <w:rFonts w:eastAsia="Times New Roman"/>
          <w:b/>
          <w:bCs/>
        </w:rPr>
        <w:t xml:space="preserve"> possession other than in accordance with a legal prescription)</w:t>
      </w:r>
      <w:r>
        <w:rPr>
          <w:rFonts w:eastAsia="Times New Roman"/>
          <w:b/>
          <w:bCs/>
        </w:rPr>
        <w:t>:</w:t>
      </w:r>
    </w:p>
    <w:p w14:paraId="28D22642" w14:textId="073860AD" w:rsidR="002934EF" w:rsidRPr="00167DFF" w:rsidRDefault="00100847" w:rsidP="002934EF">
      <w:pPr>
        <w:pStyle w:val="ListParagraph"/>
        <w:spacing w:after="120" w:line="240" w:lineRule="auto"/>
        <w:ind w:left="1134"/>
        <w:contextualSpacing w:val="0"/>
        <w:rPr>
          <w:rFonts w:eastAsia="Times New Roman"/>
        </w:rPr>
      </w:pPr>
      <w:r>
        <w:rPr>
          <w:color w:val="00B050"/>
          <w:u w:val="single"/>
        </w:rPr>
        <w:t>26A</w:t>
      </w:r>
      <w:r w:rsidR="002934EF">
        <w:rPr>
          <w:color w:val="00B050"/>
        </w:rPr>
        <w:t xml:space="preserve">          </w:t>
      </w:r>
      <w:r w:rsidR="002934EF" w:rsidRPr="00167DFF">
        <w:rPr>
          <w:color w:val="00B050"/>
          <w:u w:val="single"/>
        </w:rPr>
        <w:t>PSILOCYBINE.</w:t>
      </w:r>
    </w:p>
    <w:p w14:paraId="21127BDC" w14:textId="77777777" w:rsidR="002934EF" w:rsidRPr="00577E4A" w:rsidRDefault="002934EF" w:rsidP="00B7316D">
      <w:pPr>
        <w:spacing w:before="180" w:line="240" w:lineRule="auto"/>
        <w:ind w:left="709"/>
        <w:rPr>
          <w:rFonts w:eastAsia="Times New Roman"/>
          <w:b/>
          <w:bCs/>
        </w:rPr>
      </w:pPr>
      <w:r w:rsidRPr="00577E4A">
        <w:rPr>
          <w:rFonts w:eastAsia="Times New Roman"/>
          <w:b/>
          <w:bCs/>
        </w:rPr>
        <w:t>10.  Poison available only when prescribed or authorised in certain circumstances</w:t>
      </w:r>
    </w:p>
    <w:p w14:paraId="1F88E553" w14:textId="77777777" w:rsidR="00100847" w:rsidRPr="001E2299" w:rsidRDefault="00100847" w:rsidP="002614B0">
      <w:pPr>
        <w:spacing w:after="120" w:line="240" w:lineRule="auto"/>
        <w:ind w:left="1134"/>
        <w:rPr>
          <w:rFonts w:eastAsia="Times New Roman"/>
          <w:color w:val="00B050"/>
          <w:u w:val="single"/>
        </w:rPr>
      </w:pPr>
      <w:r w:rsidRPr="001E2299">
        <w:rPr>
          <w:color w:val="00B050"/>
          <w:u w:val="single"/>
        </w:rPr>
        <w:t xml:space="preserve">PSILOCYBINE </w:t>
      </w:r>
      <w:r w:rsidRPr="001E2299">
        <w:rPr>
          <w:rFonts w:eastAsia="Times New Roman"/>
          <w:color w:val="00B050"/>
          <w:u w:val="single"/>
        </w:rPr>
        <w:t>in preparations for human use may be supplied only for the treatment of treatment-resistant depression:</w:t>
      </w:r>
    </w:p>
    <w:p w14:paraId="61D26CAE" w14:textId="77777777" w:rsidR="00100847" w:rsidRPr="001E2299" w:rsidRDefault="00100847" w:rsidP="001E2299">
      <w:pPr>
        <w:pStyle w:val="ListParagraph"/>
        <w:numPr>
          <w:ilvl w:val="0"/>
          <w:numId w:val="31"/>
        </w:numPr>
        <w:spacing w:after="120" w:line="240" w:lineRule="auto"/>
        <w:ind w:left="1985" w:hanging="437"/>
        <w:contextualSpacing w:val="0"/>
        <w:rPr>
          <w:rFonts w:eastAsia="Times New Roman"/>
          <w:color w:val="00B050"/>
          <w:u w:val="single"/>
        </w:rPr>
      </w:pPr>
      <w:r w:rsidRPr="001E2299">
        <w:rPr>
          <w:rFonts w:eastAsia="Times New Roman"/>
          <w:color w:val="00B050"/>
          <w:u w:val="single"/>
        </w:rPr>
        <w:t xml:space="preserve">if </w:t>
      </w:r>
      <w:proofErr w:type="spellStart"/>
      <w:r w:rsidRPr="001E2299">
        <w:rPr>
          <w:rFonts w:eastAsia="Times New Roman"/>
          <w:color w:val="00B050"/>
          <w:u w:val="single"/>
        </w:rPr>
        <w:t>psilocybine</w:t>
      </w:r>
      <w:proofErr w:type="spellEnd"/>
      <w:r w:rsidRPr="001E2299">
        <w:rPr>
          <w:rFonts w:eastAsia="Times New Roman"/>
          <w:color w:val="00B050"/>
          <w:u w:val="single"/>
        </w:rPr>
        <w:t xml:space="preserve"> is prescribed, or its supply is authorised, by a medical practitioner:</w:t>
      </w:r>
    </w:p>
    <w:p w14:paraId="60A02CA5" w14:textId="77777777" w:rsidR="00100847" w:rsidRPr="001E2299" w:rsidRDefault="00100847" w:rsidP="002614B0">
      <w:pPr>
        <w:pStyle w:val="ListParagraph"/>
        <w:numPr>
          <w:ilvl w:val="1"/>
          <w:numId w:val="31"/>
        </w:numPr>
        <w:spacing w:after="120" w:line="240" w:lineRule="auto"/>
        <w:ind w:left="2628"/>
        <w:rPr>
          <w:rFonts w:eastAsia="Times New Roman"/>
          <w:color w:val="00B050"/>
          <w:u w:val="single"/>
        </w:rPr>
      </w:pPr>
      <w:r w:rsidRPr="001E2299">
        <w:rPr>
          <w:rFonts w:eastAsia="Times New Roman"/>
          <w:color w:val="00B050"/>
          <w:u w:val="single"/>
        </w:rPr>
        <w:t>registered under State or Territory legislation that forms part of the Health Practitioner Regulation National Law as a specialist psychiatrist; and</w:t>
      </w:r>
    </w:p>
    <w:p w14:paraId="7BDDA32F" w14:textId="77777777" w:rsidR="00100847" w:rsidRPr="001E2299" w:rsidRDefault="00100847" w:rsidP="002614B0">
      <w:pPr>
        <w:pStyle w:val="ListParagraph"/>
        <w:numPr>
          <w:ilvl w:val="1"/>
          <w:numId w:val="31"/>
        </w:numPr>
        <w:spacing w:after="120" w:line="240" w:lineRule="auto"/>
        <w:ind w:left="2628"/>
        <w:rPr>
          <w:rFonts w:eastAsia="Times New Roman"/>
          <w:color w:val="00B050"/>
          <w:u w:val="single"/>
        </w:rPr>
      </w:pPr>
      <w:r w:rsidRPr="001E2299">
        <w:rPr>
          <w:color w:val="00B050"/>
          <w:u w:val="single"/>
        </w:rPr>
        <w:t xml:space="preserve">for whom an authority under subsection 19(5) of the Act that covers </w:t>
      </w:r>
      <w:proofErr w:type="spellStart"/>
      <w:r w:rsidRPr="001E2299">
        <w:rPr>
          <w:color w:val="00B050"/>
          <w:u w:val="single"/>
        </w:rPr>
        <w:t>psilocybine</w:t>
      </w:r>
      <w:proofErr w:type="spellEnd"/>
      <w:r w:rsidRPr="001E2299">
        <w:rPr>
          <w:color w:val="00B050"/>
          <w:u w:val="single"/>
        </w:rPr>
        <w:t xml:space="preserve"> is in force;</w:t>
      </w:r>
      <w:r w:rsidRPr="001E2299">
        <w:rPr>
          <w:rFonts w:eastAsia="Times New Roman"/>
          <w:color w:val="00B050"/>
          <w:u w:val="single"/>
        </w:rPr>
        <w:t xml:space="preserve"> or</w:t>
      </w:r>
    </w:p>
    <w:p w14:paraId="00CA3BD6" w14:textId="77777777" w:rsidR="00100847" w:rsidRPr="001E2299" w:rsidRDefault="00100847" w:rsidP="001E2299">
      <w:pPr>
        <w:spacing w:after="120" w:line="240" w:lineRule="auto"/>
        <w:ind w:left="1985" w:hanging="437"/>
        <w:rPr>
          <w:rFonts w:eastAsia="Times New Roman"/>
          <w:color w:val="00B050"/>
          <w:u w:val="single"/>
        </w:rPr>
      </w:pPr>
      <w:r w:rsidRPr="001E2299">
        <w:rPr>
          <w:rFonts w:eastAsia="Times New Roman"/>
          <w:color w:val="00B050"/>
          <w:u w:val="single"/>
        </w:rPr>
        <w:t>(b)</w:t>
      </w:r>
      <w:r w:rsidRPr="00404734">
        <w:rPr>
          <w:rFonts w:eastAsia="Times New Roman"/>
          <w:color w:val="00B050"/>
        </w:rPr>
        <w:tab/>
      </w:r>
      <w:r w:rsidRPr="001E2299">
        <w:rPr>
          <w:rFonts w:eastAsia="Times New Roman"/>
          <w:color w:val="00B050"/>
          <w:u w:val="single"/>
        </w:rPr>
        <w:t>for use in a clinical trial that is approved by, or notified to, the Secretary under the Act.</w:t>
      </w:r>
    </w:p>
    <w:p w14:paraId="3C447D63" w14:textId="68DFA546" w:rsidR="00252494" w:rsidRDefault="00252494" w:rsidP="00252494">
      <w:r>
        <w:t>The final decision in relation to MDMA is as follows:</w:t>
      </w:r>
    </w:p>
    <w:p w14:paraId="7D0FC0C1" w14:textId="77777777" w:rsidR="00252494" w:rsidRPr="005A2385" w:rsidRDefault="00252494" w:rsidP="00252494">
      <w:pPr>
        <w:ind w:left="425"/>
        <w:rPr>
          <w:b/>
          <w:bCs/>
        </w:rPr>
      </w:pPr>
      <w:r w:rsidRPr="005A2385">
        <w:rPr>
          <w:b/>
          <w:bCs/>
        </w:rPr>
        <w:t>Schedule 9 – Amend entries</w:t>
      </w:r>
    </w:p>
    <w:p w14:paraId="6062B17C" w14:textId="77777777" w:rsidR="00252494" w:rsidRPr="005A2385" w:rsidRDefault="00252494" w:rsidP="00252494">
      <w:pPr>
        <w:ind w:left="720"/>
        <w:rPr>
          <w:color w:val="00B050"/>
        </w:rPr>
      </w:pPr>
      <w:proofErr w:type="gramStart"/>
      <w:r w:rsidRPr="005A2385">
        <w:t>N,α</w:t>
      </w:r>
      <w:proofErr w:type="gramEnd"/>
      <w:r w:rsidRPr="005A2385">
        <w:t xml:space="preserve">-DIMETHYL-3,4-(METHYLENEDIOXY)PHENYLETHYLAMINE *(MDMA) </w:t>
      </w:r>
      <w:r w:rsidRPr="005A2385">
        <w:rPr>
          <w:b/>
          <w:bCs/>
          <w:color w:val="00B050"/>
          <w:u w:val="single"/>
        </w:rPr>
        <w:t>except</w:t>
      </w:r>
      <w:r w:rsidRPr="005A2385">
        <w:rPr>
          <w:color w:val="00B050"/>
          <w:u w:val="single"/>
        </w:rPr>
        <w:t xml:space="preserve"> when included in Schedule 8</w:t>
      </w:r>
      <w:r w:rsidRPr="00B7316D">
        <w:t>.</w:t>
      </w:r>
    </w:p>
    <w:p w14:paraId="3AEF2FEE" w14:textId="77777777" w:rsidR="00252494" w:rsidRPr="005A2385" w:rsidRDefault="00252494" w:rsidP="00252494">
      <w:pPr>
        <w:ind w:left="425"/>
        <w:rPr>
          <w:b/>
          <w:bCs/>
        </w:rPr>
      </w:pPr>
      <w:r w:rsidRPr="005A2385">
        <w:rPr>
          <w:b/>
          <w:bCs/>
        </w:rPr>
        <w:t>Schedule 8 – New entries</w:t>
      </w:r>
    </w:p>
    <w:p w14:paraId="050E7F2D" w14:textId="37C3D592" w:rsidR="00252494" w:rsidRPr="005A2385" w:rsidRDefault="00252494" w:rsidP="00252494">
      <w:pPr>
        <w:ind w:left="720"/>
        <w:rPr>
          <w:color w:val="00B050"/>
          <w:u w:val="single"/>
        </w:rPr>
      </w:pPr>
      <w:r w:rsidRPr="005A2385">
        <w:rPr>
          <w:color w:val="00B050"/>
          <w:u w:val="single"/>
        </w:rPr>
        <w:t xml:space="preserve"># </w:t>
      </w:r>
      <w:proofErr w:type="gramStart"/>
      <w:r w:rsidRPr="005A2385">
        <w:rPr>
          <w:color w:val="00B050"/>
          <w:u w:val="single"/>
        </w:rPr>
        <w:t>N,α</w:t>
      </w:r>
      <w:proofErr w:type="gramEnd"/>
      <w:r w:rsidRPr="005A2385">
        <w:rPr>
          <w:color w:val="00B050"/>
          <w:u w:val="single"/>
        </w:rPr>
        <w:t xml:space="preserve">-DIMETHYL-3,4-(METHYLENEDIOXY)PHENYLETHYLAMINE *(MDMA) </w:t>
      </w:r>
      <w:r w:rsidR="00100847">
        <w:rPr>
          <w:color w:val="00B050"/>
          <w:u w:val="single"/>
        </w:rPr>
        <w:t xml:space="preserve">in preparations for human therapeutic use </w:t>
      </w:r>
      <w:r w:rsidR="00100847" w:rsidRPr="00C64AB1">
        <w:rPr>
          <w:color w:val="00B050"/>
          <w:u w:val="single"/>
        </w:rPr>
        <w:t>for the treatment of post-traumatic stress disorder</w:t>
      </w:r>
      <w:r w:rsidRPr="005A2385">
        <w:rPr>
          <w:color w:val="00B050"/>
          <w:u w:val="single"/>
        </w:rPr>
        <w:t>.</w:t>
      </w:r>
    </w:p>
    <w:p w14:paraId="42DF008A" w14:textId="77777777" w:rsidR="00252494" w:rsidRPr="005A2385" w:rsidRDefault="00252494" w:rsidP="00252494">
      <w:pPr>
        <w:ind w:left="425"/>
        <w:rPr>
          <w:b/>
          <w:bCs/>
        </w:rPr>
      </w:pPr>
      <w:r w:rsidRPr="005A2385">
        <w:rPr>
          <w:b/>
          <w:bCs/>
        </w:rPr>
        <w:t>Appendix D – New entries</w:t>
      </w:r>
    </w:p>
    <w:p w14:paraId="002476D1" w14:textId="77777777" w:rsidR="00252494" w:rsidRDefault="00252494" w:rsidP="002A1C3F">
      <w:pPr>
        <w:pStyle w:val="ListParagraph"/>
        <w:numPr>
          <w:ilvl w:val="0"/>
          <w:numId w:val="34"/>
        </w:numPr>
        <w:spacing w:after="120" w:line="240" w:lineRule="auto"/>
        <w:ind w:left="1134"/>
        <w:contextualSpacing w:val="0"/>
        <w:rPr>
          <w:rFonts w:eastAsia="Times New Roman"/>
          <w:b/>
          <w:bCs/>
        </w:rPr>
      </w:pPr>
      <w:r w:rsidRPr="00F82507">
        <w:rPr>
          <w:rFonts w:eastAsia="Times New Roman"/>
          <w:b/>
          <w:bCs/>
        </w:rPr>
        <w:t>Poisons for which possession without authority is illegal (</w:t>
      </w:r>
      <w:proofErr w:type="gramStart"/>
      <w:r w:rsidRPr="00F82507">
        <w:rPr>
          <w:rFonts w:eastAsia="Times New Roman"/>
          <w:b/>
          <w:bCs/>
        </w:rPr>
        <w:t>e.g.</w:t>
      </w:r>
      <w:proofErr w:type="gramEnd"/>
      <w:r w:rsidRPr="00F82507">
        <w:rPr>
          <w:rFonts w:eastAsia="Times New Roman"/>
          <w:b/>
          <w:bCs/>
        </w:rPr>
        <w:t xml:space="preserve"> possession other than in accordance with a legal prescription)</w:t>
      </w:r>
      <w:r>
        <w:rPr>
          <w:rFonts w:eastAsia="Times New Roman"/>
          <w:b/>
          <w:bCs/>
        </w:rPr>
        <w:t>:</w:t>
      </w:r>
    </w:p>
    <w:p w14:paraId="11EEEABF" w14:textId="6EE50F10" w:rsidR="00252494" w:rsidRPr="00167DFF" w:rsidRDefault="00100847" w:rsidP="00252494">
      <w:pPr>
        <w:pStyle w:val="ListParagraph"/>
        <w:spacing w:after="120"/>
        <w:ind w:left="1134"/>
        <w:contextualSpacing w:val="0"/>
        <w:rPr>
          <w:color w:val="00B050"/>
          <w:u w:val="single"/>
        </w:rPr>
      </w:pPr>
      <w:r>
        <w:rPr>
          <w:color w:val="00B050"/>
          <w:u w:val="single"/>
        </w:rPr>
        <w:t>22A</w:t>
      </w:r>
      <w:r w:rsidR="00252494">
        <w:rPr>
          <w:color w:val="00B050"/>
        </w:rPr>
        <w:t xml:space="preserve">          </w:t>
      </w:r>
      <w:proofErr w:type="gramStart"/>
      <w:r w:rsidR="00252494" w:rsidRPr="00167DFF">
        <w:rPr>
          <w:color w:val="00B050"/>
          <w:u w:val="single"/>
        </w:rPr>
        <w:t>N,</w:t>
      </w:r>
      <w:r w:rsidR="00252494" w:rsidRPr="00167DFF">
        <w:rPr>
          <w:rFonts w:cstheme="minorHAnsi"/>
          <w:color w:val="00B050"/>
          <w:u w:val="single"/>
        </w:rPr>
        <w:t>α</w:t>
      </w:r>
      <w:proofErr w:type="gramEnd"/>
      <w:r w:rsidR="00252494" w:rsidRPr="00167DFF">
        <w:rPr>
          <w:color w:val="00B050"/>
          <w:u w:val="single"/>
        </w:rPr>
        <w:t>-DIMETHYL-3,4-(METHYLENEDIOXY)PHENYLETHYLAMINE *(MDMA).</w:t>
      </w:r>
    </w:p>
    <w:p w14:paraId="2C15BB66" w14:textId="77777777" w:rsidR="00252494" w:rsidRPr="00577E4A" w:rsidRDefault="00252494" w:rsidP="00B7629F">
      <w:pPr>
        <w:keepNext/>
        <w:spacing w:before="180" w:line="240" w:lineRule="auto"/>
        <w:ind w:left="709"/>
        <w:rPr>
          <w:rFonts w:eastAsia="Times New Roman"/>
          <w:b/>
          <w:bCs/>
        </w:rPr>
      </w:pPr>
      <w:r w:rsidRPr="00577E4A">
        <w:rPr>
          <w:rFonts w:eastAsia="Times New Roman"/>
          <w:b/>
          <w:bCs/>
        </w:rPr>
        <w:lastRenderedPageBreak/>
        <w:t>10.  Poison available only when prescribed or authorised in certain circumstances</w:t>
      </w:r>
    </w:p>
    <w:p w14:paraId="69EF6ED6" w14:textId="77777777" w:rsidR="00100847" w:rsidRPr="00577E4A" w:rsidRDefault="00100847" w:rsidP="002614B0">
      <w:pPr>
        <w:spacing w:after="120" w:line="240" w:lineRule="auto"/>
        <w:ind w:left="1134"/>
        <w:rPr>
          <w:rFonts w:eastAsia="Times New Roman"/>
          <w:color w:val="00B050"/>
          <w:u w:val="single"/>
        </w:rPr>
      </w:pPr>
      <w:proofErr w:type="gramStart"/>
      <w:r w:rsidRPr="00167DFF">
        <w:rPr>
          <w:color w:val="00B050"/>
          <w:u w:val="single"/>
        </w:rPr>
        <w:t>N,</w:t>
      </w:r>
      <w:r w:rsidRPr="00167DFF">
        <w:rPr>
          <w:rFonts w:cstheme="minorHAnsi"/>
          <w:color w:val="00B050"/>
          <w:u w:val="single"/>
        </w:rPr>
        <w:t>α</w:t>
      </w:r>
      <w:proofErr w:type="gramEnd"/>
      <w:r w:rsidRPr="00167DFF">
        <w:rPr>
          <w:color w:val="00B050"/>
          <w:u w:val="single"/>
        </w:rPr>
        <w:t>-DIMETHYL-3,4-(METHYLENEDIOXY)PHENYLETHYLAMINE *(MDMA)</w:t>
      </w:r>
      <w:r w:rsidRPr="00577E4A">
        <w:rPr>
          <w:color w:val="00B050"/>
          <w:u w:val="single"/>
        </w:rPr>
        <w:t xml:space="preserve"> </w:t>
      </w:r>
      <w:r w:rsidRPr="00577E4A">
        <w:rPr>
          <w:rFonts w:eastAsia="Times New Roman"/>
          <w:color w:val="00B050"/>
          <w:u w:val="single"/>
        </w:rPr>
        <w:t>in preparations for human use may be supplied only</w:t>
      </w:r>
      <w:r>
        <w:rPr>
          <w:rFonts w:eastAsia="Times New Roman"/>
          <w:color w:val="00B050"/>
          <w:u w:val="single"/>
        </w:rPr>
        <w:t xml:space="preserve"> for the treatment of post-traumatic stress disorder</w:t>
      </w:r>
      <w:r w:rsidRPr="00577E4A">
        <w:rPr>
          <w:rFonts w:eastAsia="Times New Roman"/>
          <w:color w:val="00B050"/>
          <w:u w:val="single"/>
        </w:rPr>
        <w:t>:</w:t>
      </w:r>
    </w:p>
    <w:p w14:paraId="217BEAE0" w14:textId="77777777" w:rsidR="00100847" w:rsidRPr="00577E4A" w:rsidRDefault="00100847" w:rsidP="001E2299">
      <w:pPr>
        <w:pStyle w:val="ListParagraph"/>
        <w:numPr>
          <w:ilvl w:val="0"/>
          <w:numId w:val="30"/>
        </w:numPr>
        <w:spacing w:after="120" w:line="240" w:lineRule="auto"/>
        <w:ind w:left="1985" w:hanging="437"/>
        <w:contextualSpacing w:val="0"/>
        <w:rPr>
          <w:rFonts w:eastAsia="Times New Roman"/>
          <w:color w:val="00B050"/>
          <w:u w:val="single"/>
        </w:rPr>
      </w:pPr>
      <w:r w:rsidRPr="00577E4A">
        <w:rPr>
          <w:rFonts w:eastAsia="Times New Roman"/>
          <w:color w:val="00B050"/>
          <w:u w:val="single"/>
        </w:rPr>
        <w:t xml:space="preserve">if </w:t>
      </w:r>
      <w:r>
        <w:rPr>
          <w:rFonts w:eastAsia="Times New Roman"/>
          <w:color w:val="00B050"/>
          <w:u w:val="single"/>
        </w:rPr>
        <w:t xml:space="preserve">MDMA is </w:t>
      </w:r>
      <w:r w:rsidRPr="00577E4A">
        <w:rPr>
          <w:rFonts w:eastAsia="Times New Roman"/>
          <w:color w:val="00B050"/>
          <w:u w:val="single"/>
        </w:rPr>
        <w:t>prescribed, or its supply is authorised, by a medical practitioner</w:t>
      </w:r>
      <w:r>
        <w:rPr>
          <w:rFonts w:eastAsia="Times New Roman"/>
          <w:color w:val="00B050"/>
          <w:u w:val="single"/>
        </w:rPr>
        <w:t>:</w:t>
      </w:r>
      <w:r w:rsidRPr="00577E4A">
        <w:rPr>
          <w:rFonts w:eastAsia="Times New Roman"/>
          <w:color w:val="00B050"/>
          <w:u w:val="single"/>
        </w:rPr>
        <w:t xml:space="preserve"> </w:t>
      </w:r>
    </w:p>
    <w:p w14:paraId="29EE52C4" w14:textId="77777777" w:rsidR="00100847" w:rsidRPr="00577E4A" w:rsidRDefault="00100847" w:rsidP="002614B0">
      <w:pPr>
        <w:pStyle w:val="ListParagraph"/>
        <w:numPr>
          <w:ilvl w:val="1"/>
          <w:numId w:val="30"/>
        </w:numPr>
        <w:spacing w:after="120" w:line="240" w:lineRule="auto"/>
        <w:ind w:left="2628"/>
        <w:rPr>
          <w:rFonts w:eastAsia="Times New Roman"/>
          <w:color w:val="00B050"/>
          <w:u w:val="single"/>
        </w:rPr>
      </w:pPr>
      <w:r w:rsidRPr="00577E4A">
        <w:rPr>
          <w:rFonts w:eastAsia="Times New Roman"/>
          <w:color w:val="00B050"/>
          <w:u w:val="single"/>
        </w:rPr>
        <w:t>registered under State or Territory legislation that forms part of the Health Practitioner Regulation National Law as a specialist psychiatrist; and</w:t>
      </w:r>
    </w:p>
    <w:p w14:paraId="36E9F64E" w14:textId="77777777" w:rsidR="00100847" w:rsidRPr="00577E4A" w:rsidRDefault="00100847" w:rsidP="002614B0">
      <w:pPr>
        <w:pStyle w:val="ListParagraph"/>
        <w:numPr>
          <w:ilvl w:val="1"/>
          <w:numId w:val="30"/>
        </w:numPr>
        <w:spacing w:after="120" w:line="240" w:lineRule="auto"/>
        <w:ind w:left="2628"/>
        <w:rPr>
          <w:rFonts w:eastAsia="Times New Roman"/>
          <w:color w:val="00B050"/>
          <w:u w:val="single"/>
        </w:rPr>
      </w:pPr>
      <w:r w:rsidRPr="00577E4A">
        <w:rPr>
          <w:color w:val="00B050"/>
          <w:u w:val="single"/>
        </w:rPr>
        <w:t xml:space="preserve">for whom an authority under </w:t>
      </w:r>
      <w:r>
        <w:rPr>
          <w:color w:val="00B050"/>
          <w:u w:val="single"/>
        </w:rPr>
        <w:t>sub</w:t>
      </w:r>
      <w:r w:rsidRPr="00577E4A">
        <w:rPr>
          <w:color w:val="00B050"/>
          <w:u w:val="single"/>
        </w:rPr>
        <w:t xml:space="preserve">section 19(5) of the Act that covers </w:t>
      </w:r>
      <w:r>
        <w:rPr>
          <w:color w:val="00B050"/>
          <w:u w:val="single"/>
        </w:rPr>
        <w:t>MDMA</w:t>
      </w:r>
      <w:r w:rsidRPr="00577E4A">
        <w:rPr>
          <w:color w:val="00B050"/>
          <w:u w:val="single"/>
        </w:rPr>
        <w:t xml:space="preserve"> is in force; or</w:t>
      </w:r>
    </w:p>
    <w:p w14:paraId="489AE4A7" w14:textId="77777777" w:rsidR="00100847" w:rsidRPr="00577E4A" w:rsidRDefault="00100847" w:rsidP="001E2299">
      <w:pPr>
        <w:spacing w:after="120" w:line="240" w:lineRule="auto"/>
        <w:ind w:left="1985" w:hanging="437"/>
        <w:rPr>
          <w:rFonts w:eastAsia="Times New Roman"/>
          <w:color w:val="00B050"/>
          <w:u w:val="single"/>
        </w:rPr>
      </w:pPr>
      <w:r w:rsidRPr="00577E4A">
        <w:rPr>
          <w:rFonts w:eastAsia="Times New Roman"/>
          <w:color w:val="00B050"/>
          <w:u w:val="single"/>
        </w:rPr>
        <w:t>(b)</w:t>
      </w:r>
      <w:r w:rsidRPr="00404734">
        <w:rPr>
          <w:rFonts w:eastAsia="Times New Roman"/>
          <w:color w:val="00B050"/>
        </w:rPr>
        <w:tab/>
      </w:r>
      <w:r w:rsidRPr="00577E4A">
        <w:rPr>
          <w:rFonts w:eastAsia="Times New Roman"/>
          <w:color w:val="00B050"/>
          <w:u w:val="single"/>
        </w:rPr>
        <w:t>for use in a clinical trial that is approved by, or notified to, the Secretary under the Act.</w:t>
      </w:r>
    </w:p>
    <w:p w14:paraId="55F38F09" w14:textId="2BB84C03" w:rsidR="00252494" w:rsidRPr="002A1C3F" w:rsidRDefault="00252494" w:rsidP="002614B0">
      <w:pPr>
        <w:rPr>
          <w:rFonts w:eastAsia="Times New Roman"/>
        </w:rPr>
      </w:pPr>
    </w:p>
    <w:p w14:paraId="38BA0CE9" w14:textId="7D1225E3" w:rsidR="00792B5F" w:rsidRDefault="00792B5F" w:rsidP="00792B5F">
      <w:pPr>
        <w:pStyle w:val="Heading5"/>
      </w:pPr>
      <w:r>
        <w:t xml:space="preserve">Materials considered </w:t>
      </w:r>
    </w:p>
    <w:p w14:paraId="548E061C" w14:textId="275CD4BA" w:rsidR="00792B5F" w:rsidRDefault="00792B5F" w:rsidP="00792B5F">
      <w:r>
        <w:t xml:space="preserve">In making </w:t>
      </w:r>
      <w:r w:rsidR="00252494">
        <w:t xml:space="preserve">these </w:t>
      </w:r>
      <w:r>
        <w:t>final decision</w:t>
      </w:r>
      <w:r w:rsidR="00252494">
        <w:t>s</w:t>
      </w:r>
      <w:r>
        <w:t>, the Delegate considered the following material</w:t>
      </w:r>
      <w:r w:rsidR="001025C4">
        <w:t>:</w:t>
      </w:r>
    </w:p>
    <w:p w14:paraId="6C228A1D" w14:textId="7C6CD540" w:rsidR="00EA0F92" w:rsidRPr="001025C4" w:rsidRDefault="00EA0F92" w:rsidP="00792B5F">
      <w:pPr>
        <w:rPr>
          <w:i/>
          <w:iCs/>
        </w:rPr>
      </w:pPr>
      <w:r>
        <w:rPr>
          <w:i/>
          <w:iCs/>
        </w:rPr>
        <w:t xml:space="preserve">In relation to </w:t>
      </w:r>
      <w:proofErr w:type="spellStart"/>
      <w:r>
        <w:rPr>
          <w:i/>
          <w:iCs/>
        </w:rPr>
        <w:t>psilocybine</w:t>
      </w:r>
      <w:proofErr w:type="spellEnd"/>
    </w:p>
    <w:p w14:paraId="678D343D" w14:textId="4CC25C6F" w:rsidR="00792B5F" w:rsidRDefault="00792B5F" w:rsidP="00792B5F">
      <w:pPr>
        <w:pStyle w:val="ListBullet"/>
      </w:pPr>
      <w:r>
        <w:t xml:space="preserve">The </w:t>
      </w:r>
      <w:hyperlink r:id="rId12" w:history="1">
        <w:r w:rsidR="002C37C0">
          <w:rPr>
            <w:rStyle w:val="Hyperlink"/>
          </w:rPr>
          <w:t>application</w:t>
        </w:r>
      </w:hyperlink>
      <w:r>
        <w:t xml:space="preserve"> to amend the current Poisons Standard with respect to </w:t>
      </w:r>
      <w:proofErr w:type="spellStart"/>
      <w:r w:rsidR="002C37C0">
        <w:t>psilocybin</w:t>
      </w:r>
      <w:r w:rsidR="00EA0F92">
        <w:t>e</w:t>
      </w:r>
      <w:proofErr w:type="spellEnd"/>
      <w:r>
        <w:t xml:space="preserve"> (the </w:t>
      </w:r>
      <w:proofErr w:type="spellStart"/>
      <w:r w:rsidR="00B7629F">
        <w:rPr>
          <w:b/>
          <w:bCs/>
        </w:rPr>
        <w:t>p</w:t>
      </w:r>
      <w:r w:rsidR="00EA0F92">
        <w:rPr>
          <w:b/>
          <w:bCs/>
        </w:rPr>
        <w:t>silocybine</w:t>
      </w:r>
      <w:proofErr w:type="spellEnd"/>
      <w:r w:rsidR="00EA0F92">
        <w:rPr>
          <w:b/>
          <w:bCs/>
        </w:rPr>
        <w:t xml:space="preserve"> </w:t>
      </w:r>
      <w:r w:rsidR="00B7629F">
        <w:rPr>
          <w:b/>
          <w:bCs/>
        </w:rPr>
        <w:t>a</w:t>
      </w:r>
      <w:r w:rsidRPr="002F4418">
        <w:rPr>
          <w:b/>
          <w:bCs/>
        </w:rPr>
        <w:t>pplication</w:t>
      </w:r>
      <w:r>
        <w:t>);</w:t>
      </w:r>
    </w:p>
    <w:p w14:paraId="2F1A00B9" w14:textId="0AC2DF2B" w:rsidR="00792B5F" w:rsidRDefault="00792B5F" w:rsidP="00792B5F">
      <w:pPr>
        <w:pStyle w:val="ListBullet"/>
      </w:pPr>
      <w:r>
        <w:t xml:space="preserve">The </w:t>
      </w:r>
      <w:r w:rsidR="00EA0F92" w:rsidRPr="001025C4">
        <w:t>6,650</w:t>
      </w:r>
      <w:r>
        <w:t xml:space="preserve"> </w:t>
      </w:r>
      <w:hyperlink r:id="rId13" w:history="1">
        <w:r w:rsidRPr="007F489D">
          <w:rPr>
            <w:rStyle w:val="Hyperlink"/>
          </w:rPr>
          <w:t>public submission</w:t>
        </w:r>
        <w:r w:rsidRPr="001025C4">
          <w:rPr>
            <w:rStyle w:val="Hyperlink"/>
          </w:rPr>
          <w:t>s</w:t>
        </w:r>
      </w:hyperlink>
      <w:r w:rsidR="00EA0F92">
        <w:t xml:space="preserve"> on the current </w:t>
      </w:r>
      <w:proofErr w:type="spellStart"/>
      <w:r w:rsidR="00EA0F92">
        <w:t>psilocybine</w:t>
      </w:r>
      <w:proofErr w:type="spellEnd"/>
      <w:r w:rsidR="00EA0F92">
        <w:t xml:space="preserve"> proposal, including 2,332 with a written component, </w:t>
      </w:r>
      <w:r>
        <w:t xml:space="preserve">received in response to the </w:t>
      </w:r>
      <w:hyperlink r:id="rId14" w:history="1">
        <w:r w:rsidRPr="001025C4">
          <w:rPr>
            <w:rStyle w:val="Hyperlink"/>
          </w:rPr>
          <w:t>pre-meeting consultation</w:t>
        </w:r>
      </w:hyperlink>
      <w:r>
        <w:t xml:space="preserve"> under regulation 42ZCZK of the Regulations; </w:t>
      </w:r>
    </w:p>
    <w:p w14:paraId="139A76A7" w14:textId="228FB910" w:rsidR="00792B5F" w:rsidRDefault="00792B5F" w:rsidP="00792B5F">
      <w:pPr>
        <w:pStyle w:val="ListBullet"/>
      </w:pPr>
      <w:r>
        <w:t xml:space="preserve">The advice </w:t>
      </w:r>
      <w:r w:rsidR="00EA0F92">
        <w:t xml:space="preserve">concerning the </w:t>
      </w:r>
      <w:proofErr w:type="spellStart"/>
      <w:r w:rsidR="00EA0F92">
        <w:t>Psilocybine</w:t>
      </w:r>
      <w:proofErr w:type="spellEnd"/>
      <w:r w:rsidR="00EA0F92">
        <w:t xml:space="preserve"> Application </w:t>
      </w:r>
      <w:r>
        <w:t>received from t</w:t>
      </w:r>
      <w:r w:rsidRPr="00F04336">
        <w:t xml:space="preserve">he 38th meeting of the Advisory Committee on Medicines Scheduling (the </w:t>
      </w:r>
      <w:r w:rsidRPr="00F04336">
        <w:rPr>
          <w:b/>
          <w:bCs/>
        </w:rPr>
        <w:t>Committee</w:t>
      </w:r>
      <w:r w:rsidRPr="00F04336">
        <w:t>)</w:t>
      </w:r>
      <w:r w:rsidRPr="00F04336">
        <w:rPr>
          <w:rStyle w:val="FootnoteReference"/>
        </w:rPr>
        <w:footnoteReference w:id="3"/>
      </w:r>
      <w:r w:rsidRPr="00F04336">
        <w:t>;</w:t>
      </w:r>
    </w:p>
    <w:p w14:paraId="32236574" w14:textId="5B71B229" w:rsidR="007F489D" w:rsidRDefault="00EA0F92" w:rsidP="001025C4">
      <w:pPr>
        <w:pStyle w:val="ListBullet"/>
        <w:spacing w:before="240"/>
      </w:pPr>
      <w:r>
        <w:t xml:space="preserve">The Delegate’s </w:t>
      </w:r>
      <w:hyperlink r:id="rId15" w:history="1">
        <w:r w:rsidRPr="00A84167">
          <w:rPr>
            <w:rStyle w:val="Hyperlink"/>
          </w:rPr>
          <w:t>final decision</w:t>
        </w:r>
      </w:hyperlink>
      <w:r>
        <w:t xml:space="preserve"> to not amend the Poisons Standard in relation to </w:t>
      </w:r>
      <w:proofErr w:type="spellStart"/>
      <w:r>
        <w:t>psilocybine</w:t>
      </w:r>
      <w:proofErr w:type="spellEnd"/>
      <w:r>
        <w:t xml:space="preserve"> on 15 December 2021 </w:t>
      </w:r>
      <w:r w:rsidR="007F489D">
        <w:t xml:space="preserve">and the materials considered in making </w:t>
      </w:r>
      <w:r w:rsidR="006777EB">
        <w:t>that</w:t>
      </w:r>
      <w:r w:rsidR="007F489D">
        <w:t xml:space="preserve"> decision;</w:t>
      </w:r>
    </w:p>
    <w:p w14:paraId="5FDDF7CD" w14:textId="70266FB9" w:rsidR="006777EB" w:rsidRDefault="006777EB" w:rsidP="001025C4">
      <w:pPr>
        <w:pStyle w:val="ListBullet"/>
        <w:spacing w:before="240"/>
      </w:pPr>
      <w:r>
        <w:t xml:space="preserve">The Delegate’s </w:t>
      </w:r>
      <w:hyperlink r:id="rId16" w:history="1">
        <w:r w:rsidRPr="006777EB">
          <w:rPr>
            <w:rStyle w:val="Hyperlink"/>
          </w:rPr>
          <w:t>interim decision</w:t>
        </w:r>
      </w:hyperlink>
      <w:r>
        <w:t xml:space="preserve"> to not amend the Poisons Standard in relation to the </w:t>
      </w:r>
      <w:proofErr w:type="spellStart"/>
      <w:r>
        <w:t>psilocybine</w:t>
      </w:r>
      <w:proofErr w:type="spellEnd"/>
      <w:r>
        <w:t xml:space="preserve"> application on 21 October 2022 and the materials considered in making that decision;</w:t>
      </w:r>
    </w:p>
    <w:p w14:paraId="27C6960C" w14:textId="5799C752" w:rsidR="00792B5F" w:rsidRDefault="00792B5F" w:rsidP="00792B5F">
      <w:pPr>
        <w:pStyle w:val="ListBullet"/>
      </w:pPr>
      <w:r>
        <w:t xml:space="preserve">The </w:t>
      </w:r>
      <w:r w:rsidR="00C41FCC">
        <w:t>3,442</w:t>
      </w:r>
      <w:r>
        <w:t xml:space="preserve"> </w:t>
      </w:r>
      <w:hyperlink r:id="rId17" w:history="1">
        <w:r w:rsidRPr="002469CC">
          <w:rPr>
            <w:rStyle w:val="Hyperlink"/>
          </w:rPr>
          <w:t>public submission</w:t>
        </w:r>
        <w:r w:rsidRPr="001025C4">
          <w:rPr>
            <w:rStyle w:val="Hyperlink"/>
          </w:rPr>
          <w:t>s</w:t>
        </w:r>
      </w:hyperlink>
      <w:r w:rsidR="007F489D">
        <w:t xml:space="preserve"> on the current </w:t>
      </w:r>
      <w:proofErr w:type="spellStart"/>
      <w:r w:rsidR="007F489D">
        <w:t>psilocybine</w:t>
      </w:r>
      <w:proofErr w:type="spellEnd"/>
      <w:r w:rsidR="007F489D">
        <w:t xml:space="preserve"> proposal, including </w:t>
      </w:r>
      <w:r w:rsidR="00C41FCC">
        <w:t>1,</w:t>
      </w:r>
      <w:r w:rsidR="00A417EE">
        <w:t>758</w:t>
      </w:r>
      <w:r w:rsidR="007F489D">
        <w:t xml:space="preserve"> with a written component, </w:t>
      </w:r>
      <w:r>
        <w:t xml:space="preserve">received in response to the </w:t>
      </w:r>
      <w:hyperlink r:id="rId18" w:history="1">
        <w:r w:rsidRPr="002469CC">
          <w:rPr>
            <w:rStyle w:val="Hyperlink"/>
          </w:rPr>
          <w:t>interim decision consultation</w:t>
        </w:r>
      </w:hyperlink>
      <w:r>
        <w:t xml:space="preserve"> </w:t>
      </w:r>
      <w:r w:rsidRPr="002C1418">
        <w:t>under regulation 42ZCZP of the Regulations</w:t>
      </w:r>
      <w:r w:rsidR="007F489D">
        <w:t xml:space="preserve"> (the </w:t>
      </w:r>
      <w:proofErr w:type="spellStart"/>
      <w:r w:rsidR="007F489D">
        <w:rPr>
          <w:b/>
          <w:bCs/>
        </w:rPr>
        <w:t>psilocybine</w:t>
      </w:r>
      <w:proofErr w:type="spellEnd"/>
      <w:r w:rsidR="007F489D">
        <w:rPr>
          <w:b/>
          <w:bCs/>
        </w:rPr>
        <w:t xml:space="preserve"> interim submissions</w:t>
      </w:r>
      <w:r w:rsidR="007F489D">
        <w:t>)</w:t>
      </w:r>
      <w:r w:rsidR="00617489">
        <w:t>; and</w:t>
      </w:r>
    </w:p>
    <w:p w14:paraId="41806ACF" w14:textId="2FB1D165" w:rsidR="00617489" w:rsidRDefault="00617489" w:rsidP="00792B5F">
      <w:pPr>
        <w:pStyle w:val="ListBullet"/>
      </w:pPr>
      <w:r>
        <w:t xml:space="preserve">The published study titled </w:t>
      </w:r>
      <w:hyperlink r:id="rId19" w:history="1">
        <w:r w:rsidRPr="00EF5254">
          <w:rPr>
            <w:rStyle w:val="Hyperlink"/>
            <w:i/>
            <w:iCs/>
          </w:rPr>
          <w:t>Single-Dose Psilocybin for a Treatment-Resistant Episode of Major Depression</w:t>
        </w:r>
      </w:hyperlink>
      <w:r w:rsidRPr="00617489">
        <w:t>,</w:t>
      </w:r>
      <w:bookmarkStart w:id="30" w:name="_Ref124329253"/>
      <w:r w:rsidRPr="00617489">
        <w:rPr>
          <w:rStyle w:val="FootnoteReference"/>
        </w:rPr>
        <w:footnoteReference w:id="4"/>
      </w:r>
      <w:bookmarkEnd w:id="30"/>
      <w:r>
        <w:t xml:space="preserve"> published in the New England Journal of Medicine on 3 November 2022.</w:t>
      </w:r>
    </w:p>
    <w:p w14:paraId="55D52063" w14:textId="7D59421F" w:rsidR="007F489D" w:rsidRDefault="007F489D" w:rsidP="007F489D">
      <w:pPr>
        <w:pStyle w:val="ListBullet"/>
        <w:numPr>
          <w:ilvl w:val="0"/>
          <w:numId w:val="0"/>
        </w:numPr>
        <w:rPr>
          <w:i/>
          <w:iCs/>
        </w:rPr>
      </w:pPr>
      <w:r>
        <w:rPr>
          <w:i/>
          <w:iCs/>
        </w:rPr>
        <w:t>In relation to MDMA</w:t>
      </w:r>
    </w:p>
    <w:p w14:paraId="08C2DF7B" w14:textId="111F161F" w:rsidR="007F489D" w:rsidRDefault="007F489D" w:rsidP="007F489D">
      <w:pPr>
        <w:pStyle w:val="ListBullet"/>
      </w:pPr>
      <w:r>
        <w:t xml:space="preserve">The </w:t>
      </w:r>
      <w:hyperlink r:id="rId20" w:history="1">
        <w:r>
          <w:rPr>
            <w:rStyle w:val="Hyperlink"/>
          </w:rPr>
          <w:t>application</w:t>
        </w:r>
      </w:hyperlink>
      <w:r>
        <w:t xml:space="preserve"> to amend the current Poisons Standard with respect to MDMA (the </w:t>
      </w:r>
      <w:r>
        <w:rPr>
          <w:b/>
          <w:bCs/>
        </w:rPr>
        <w:t>MDMA a</w:t>
      </w:r>
      <w:r w:rsidRPr="002F4418">
        <w:rPr>
          <w:b/>
          <w:bCs/>
        </w:rPr>
        <w:t>pplication</w:t>
      </w:r>
      <w:r>
        <w:t>);</w:t>
      </w:r>
    </w:p>
    <w:p w14:paraId="37041B1F" w14:textId="7C4243C3" w:rsidR="007F489D" w:rsidRDefault="007F489D" w:rsidP="007F489D">
      <w:pPr>
        <w:pStyle w:val="ListBullet"/>
      </w:pPr>
      <w:r>
        <w:lastRenderedPageBreak/>
        <w:t xml:space="preserve">The 6,505 </w:t>
      </w:r>
      <w:hyperlink r:id="rId21" w:history="1">
        <w:r w:rsidRPr="007F489D">
          <w:rPr>
            <w:rStyle w:val="Hyperlink"/>
          </w:rPr>
          <w:t>public submission</w:t>
        </w:r>
        <w:r w:rsidRPr="00D319C0">
          <w:rPr>
            <w:rStyle w:val="Hyperlink"/>
          </w:rPr>
          <w:t>s</w:t>
        </w:r>
      </w:hyperlink>
      <w:r>
        <w:t xml:space="preserve"> on the current MDMA proposal, including 2,068 with a written component, received in response to the </w:t>
      </w:r>
      <w:hyperlink r:id="rId22" w:history="1">
        <w:r w:rsidRPr="00E700A3">
          <w:rPr>
            <w:rStyle w:val="Hyperlink"/>
          </w:rPr>
          <w:t>pre-meeting consultation</w:t>
        </w:r>
      </w:hyperlink>
      <w:r>
        <w:t xml:space="preserve"> under regulation 42ZCZK of the Regulations;</w:t>
      </w:r>
    </w:p>
    <w:p w14:paraId="33914746" w14:textId="1BE7BD7A" w:rsidR="007F489D" w:rsidRDefault="007F489D" w:rsidP="007F489D">
      <w:pPr>
        <w:pStyle w:val="ListBullet"/>
      </w:pPr>
      <w:r>
        <w:t>The advice concerning the MDMA Application received from t</w:t>
      </w:r>
      <w:r w:rsidRPr="00F04336">
        <w:t xml:space="preserve">he 38th meeting of the </w:t>
      </w:r>
      <w:proofErr w:type="gramStart"/>
      <w:r w:rsidRPr="00F04336">
        <w:t>Committee;</w:t>
      </w:r>
      <w:proofErr w:type="gramEnd"/>
    </w:p>
    <w:p w14:paraId="40E5E7B1" w14:textId="152E846E" w:rsidR="006777EB" w:rsidRDefault="007F489D" w:rsidP="007F489D">
      <w:pPr>
        <w:pStyle w:val="ListBullet"/>
        <w:spacing w:before="240"/>
      </w:pPr>
      <w:r>
        <w:t xml:space="preserve">The Delegate’s </w:t>
      </w:r>
      <w:hyperlink r:id="rId23" w:history="1">
        <w:r w:rsidRPr="00A84167">
          <w:rPr>
            <w:rStyle w:val="Hyperlink"/>
          </w:rPr>
          <w:t>final decision</w:t>
        </w:r>
      </w:hyperlink>
      <w:r>
        <w:t xml:space="preserve"> to not amend the Poisons Standard in relation to MDMA on 15 December 2021 and the materials considered in making those decisions;</w:t>
      </w:r>
    </w:p>
    <w:p w14:paraId="67681CDF" w14:textId="18525B0A" w:rsidR="007F489D" w:rsidRDefault="006777EB" w:rsidP="006777EB">
      <w:pPr>
        <w:pStyle w:val="ListBullet"/>
        <w:spacing w:before="240"/>
      </w:pPr>
      <w:r>
        <w:t xml:space="preserve">The Delegate’s </w:t>
      </w:r>
      <w:hyperlink r:id="rId24" w:history="1">
        <w:r w:rsidRPr="006777EB">
          <w:rPr>
            <w:rStyle w:val="Hyperlink"/>
          </w:rPr>
          <w:t>interim decision</w:t>
        </w:r>
      </w:hyperlink>
      <w:r>
        <w:t xml:space="preserve"> to not amend the Poisons Standard in relation to the MDMA application on 21 October 2022 and the materials considered in making that decision; </w:t>
      </w:r>
      <w:r w:rsidR="007F489D">
        <w:t>and</w:t>
      </w:r>
    </w:p>
    <w:p w14:paraId="20288C0D" w14:textId="69D24DB8" w:rsidR="007F489D" w:rsidRDefault="007F489D" w:rsidP="007F489D">
      <w:pPr>
        <w:pStyle w:val="ListBullet"/>
      </w:pPr>
      <w:r>
        <w:t xml:space="preserve">The </w:t>
      </w:r>
      <w:r w:rsidR="00C41FCC" w:rsidRPr="00CE06DE">
        <w:t>3,403</w:t>
      </w:r>
      <w:r>
        <w:t xml:space="preserve"> </w:t>
      </w:r>
      <w:hyperlink r:id="rId25" w:history="1">
        <w:r w:rsidRPr="002469CC">
          <w:rPr>
            <w:rStyle w:val="Hyperlink"/>
          </w:rPr>
          <w:t>public submission</w:t>
        </w:r>
        <w:r w:rsidRPr="00D319C0">
          <w:rPr>
            <w:rStyle w:val="Hyperlink"/>
          </w:rPr>
          <w:t>s</w:t>
        </w:r>
      </w:hyperlink>
      <w:r>
        <w:t xml:space="preserve"> on the current MDMA proposal, including </w:t>
      </w:r>
      <w:r w:rsidR="00C41FCC">
        <w:t>1,6</w:t>
      </w:r>
      <w:r w:rsidR="00A417EE">
        <w:t>58</w:t>
      </w:r>
      <w:r>
        <w:t xml:space="preserve"> with a written component, received in response to the </w:t>
      </w:r>
      <w:hyperlink r:id="rId26" w:history="1">
        <w:r w:rsidRPr="002469CC">
          <w:rPr>
            <w:rStyle w:val="Hyperlink"/>
          </w:rPr>
          <w:t>interim decision consultation</w:t>
        </w:r>
      </w:hyperlink>
      <w:r>
        <w:t xml:space="preserve"> </w:t>
      </w:r>
      <w:r w:rsidRPr="002C1418">
        <w:t>under regulation 42ZCZP of the Regulations</w:t>
      </w:r>
      <w:r>
        <w:t xml:space="preserve"> (the </w:t>
      </w:r>
      <w:r>
        <w:rPr>
          <w:b/>
          <w:bCs/>
        </w:rPr>
        <w:t>MDMA interim submissions</w:t>
      </w:r>
      <w:r>
        <w:t>).</w:t>
      </w:r>
    </w:p>
    <w:p w14:paraId="38079971" w14:textId="197DEC60" w:rsidR="007F489D" w:rsidRPr="00D319C0" w:rsidRDefault="007F489D" w:rsidP="00D319C0">
      <w:pPr>
        <w:pStyle w:val="ListBullet"/>
        <w:numPr>
          <w:ilvl w:val="0"/>
          <w:numId w:val="0"/>
        </w:numPr>
        <w:rPr>
          <w:b/>
          <w:bCs/>
          <w:i/>
          <w:iCs/>
        </w:rPr>
      </w:pPr>
      <w:r>
        <w:rPr>
          <w:i/>
          <w:iCs/>
        </w:rPr>
        <w:t xml:space="preserve">In relation to both </w:t>
      </w:r>
      <w:r w:rsidRPr="008B30C7">
        <w:rPr>
          <w:i/>
          <w:iCs/>
        </w:rPr>
        <w:t>Substances</w:t>
      </w:r>
    </w:p>
    <w:p w14:paraId="257B156E" w14:textId="59AE54BE" w:rsidR="007F489D" w:rsidRDefault="007F489D" w:rsidP="00792B5F">
      <w:pPr>
        <w:pStyle w:val="ListBullet"/>
      </w:pPr>
      <w:r>
        <w:t xml:space="preserve">The </w:t>
      </w:r>
      <w:hyperlink r:id="rId27" w:history="1">
        <w:r w:rsidRPr="007F489D">
          <w:rPr>
            <w:rStyle w:val="Hyperlink"/>
          </w:rPr>
          <w:t>Independent expert panel report</w:t>
        </w:r>
      </w:hyperlink>
      <w:r>
        <w:t xml:space="preserve"> </w:t>
      </w:r>
      <w:r w:rsidR="00CE06DE">
        <w:t>titled</w:t>
      </w:r>
      <w:r>
        <w:t xml:space="preserve"> </w:t>
      </w:r>
      <w:r w:rsidR="00CE06DE">
        <w:rPr>
          <w:i/>
          <w:iCs/>
        </w:rPr>
        <w:t>”A</w:t>
      </w:r>
      <w:r>
        <w:rPr>
          <w:i/>
          <w:iCs/>
        </w:rPr>
        <w:t xml:space="preserve">n evaluation of the therapeutic value, benefits and risks of methylenedioxymethamphetamine (MDMA) and </w:t>
      </w:r>
      <w:r w:rsidRPr="00D319C0">
        <w:rPr>
          <w:i/>
          <w:iCs/>
        </w:rPr>
        <w:t>psilocybin</w:t>
      </w:r>
      <w:r>
        <w:rPr>
          <w:b/>
          <w:bCs/>
          <w:i/>
          <w:iCs/>
        </w:rPr>
        <w:t xml:space="preserve"> </w:t>
      </w:r>
      <w:r>
        <w:rPr>
          <w:i/>
          <w:iCs/>
        </w:rPr>
        <w:t>for the treatment of mental, behavioural or developmental disorders</w:t>
      </w:r>
      <w:r w:rsidR="00CE06DE">
        <w:rPr>
          <w:i/>
          <w:iCs/>
        </w:rPr>
        <w:t>”</w:t>
      </w:r>
      <w:r>
        <w:rPr>
          <w:i/>
          <w:iCs/>
        </w:rPr>
        <w:t xml:space="preserve"> </w:t>
      </w:r>
      <w:r>
        <w:t xml:space="preserve">(the </w:t>
      </w:r>
      <w:r>
        <w:rPr>
          <w:b/>
          <w:bCs/>
        </w:rPr>
        <w:t>Expert Report</w:t>
      </w:r>
      <w:r>
        <w:t>);</w:t>
      </w:r>
    </w:p>
    <w:p w14:paraId="77AE3963" w14:textId="1851C118" w:rsidR="007F489D" w:rsidRDefault="007F489D" w:rsidP="00792B5F">
      <w:pPr>
        <w:pStyle w:val="ListBullet"/>
      </w:pPr>
      <w:r>
        <w:t xml:space="preserve">The Royal Australian and New Zealand College of Psychiatrists’ (RANZCP) </w:t>
      </w:r>
      <w:hyperlink r:id="rId28" w:history="1">
        <w:r w:rsidRPr="007F489D">
          <w:rPr>
            <w:rStyle w:val="Hyperlink"/>
          </w:rPr>
          <w:t>clinical memorandum</w:t>
        </w:r>
      </w:hyperlink>
      <w:r>
        <w:t xml:space="preserve"> on the therapeutic use of psychedelic substances published in July 2022;</w:t>
      </w:r>
    </w:p>
    <w:p w14:paraId="13696E4B" w14:textId="5B806368" w:rsidR="00920E85" w:rsidRDefault="00920E85" w:rsidP="00792B5F">
      <w:pPr>
        <w:pStyle w:val="ListBullet"/>
      </w:pPr>
      <w:r>
        <w:t xml:space="preserve">A presentation to the Therapeutic Goods Administration (TGA) by Professor David Nutt on 21 November </w:t>
      </w:r>
      <w:proofErr w:type="gramStart"/>
      <w:r>
        <w:t>2022;</w:t>
      </w:r>
      <w:proofErr w:type="gramEnd"/>
    </w:p>
    <w:p w14:paraId="322B99E8" w14:textId="582391ED" w:rsidR="00B54F86" w:rsidRDefault="00B54F86" w:rsidP="00792B5F">
      <w:pPr>
        <w:pStyle w:val="ListBullet"/>
      </w:pPr>
      <w:r>
        <w:t xml:space="preserve">The international regulatory status </w:t>
      </w:r>
      <w:r w:rsidR="004C0C40">
        <w:t>o</w:t>
      </w:r>
      <w:r>
        <w:t xml:space="preserve">f the Substances and access </w:t>
      </w:r>
      <w:proofErr w:type="gramStart"/>
      <w:r>
        <w:t>pathways;</w:t>
      </w:r>
      <w:proofErr w:type="gramEnd"/>
    </w:p>
    <w:p w14:paraId="087718BD" w14:textId="1BFE0A08" w:rsidR="00792B5F" w:rsidRDefault="00792B5F" w:rsidP="00792B5F">
      <w:pPr>
        <w:pStyle w:val="ListBullet"/>
      </w:pPr>
      <w:r w:rsidRPr="001169AC">
        <w:t xml:space="preserve">Subsection 52E(1) of </w:t>
      </w:r>
      <w:r w:rsidRPr="001169AC">
        <w:rPr>
          <w:i/>
        </w:rPr>
        <w:t>the Therapeutic Goods Act 1989</w:t>
      </w:r>
      <w:r>
        <w:rPr>
          <w:i/>
        </w:rPr>
        <w:t xml:space="preserve"> </w:t>
      </w:r>
      <w:r>
        <w:rPr>
          <w:iCs/>
        </w:rPr>
        <w:t>(</w:t>
      </w:r>
      <w:proofErr w:type="spellStart"/>
      <w:r>
        <w:rPr>
          <w:iCs/>
        </w:rPr>
        <w:t>Cth</w:t>
      </w:r>
      <w:proofErr w:type="spellEnd"/>
      <w:r>
        <w:rPr>
          <w:iCs/>
        </w:rPr>
        <w:t xml:space="preserve">) (the </w:t>
      </w:r>
      <w:r w:rsidRPr="00EA2090">
        <w:rPr>
          <w:b/>
          <w:bCs/>
          <w:iCs/>
        </w:rPr>
        <w:t>Act</w:t>
      </w:r>
      <w:r>
        <w:rPr>
          <w:iCs/>
        </w:rPr>
        <w:t>)</w:t>
      </w:r>
      <w:r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p>
    <w:p w14:paraId="5BFCBDFC" w14:textId="2BF90796" w:rsidR="00792B5F" w:rsidRDefault="00792B5F" w:rsidP="00792B5F">
      <w:pPr>
        <w:pStyle w:val="ListBullet"/>
      </w:pPr>
      <w:r w:rsidRPr="002C1418">
        <w:t xml:space="preserve">The </w:t>
      </w:r>
      <w:hyperlink r:id="rId29" w:history="1">
        <w:r w:rsidRPr="001A7580">
          <w:rPr>
            <w:rStyle w:val="Hyperlink"/>
          </w:rPr>
          <w:t>Scheduling Policy Framework</w:t>
        </w:r>
      </w:hyperlink>
      <w:r>
        <w:t xml:space="preserve"> 2018 (the </w:t>
      </w:r>
      <w:r w:rsidRPr="00EA2090">
        <w:rPr>
          <w:b/>
          <w:bCs/>
        </w:rPr>
        <w:t>SPF</w:t>
      </w:r>
      <w:r>
        <w:t xml:space="preserve">), pursuant to paragraph 52E(2)(a) of the Act; </w:t>
      </w:r>
      <w:r w:rsidR="00B54F86">
        <w:t>and</w:t>
      </w:r>
    </w:p>
    <w:p w14:paraId="5635D992" w14:textId="3390FDE8" w:rsidR="00792B5F" w:rsidRDefault="00792B5F" w:rsidP="00F04336">
      <w:pPr>
        <w:pStyle w:val="ListBullet"/>
      </w:pPr>
      <w:r>
        <w:t xml:space="preserve">The </w:t>
      </w:r>
      <w:hyperlink r:id="rId30" w:history="1">
        <w:r w:rsidRPr="001A7580">
          <w:rPr>
            <w:rStyle w:val="Hyperlink"/>
          </w:rPr>
          <w:t>Scheduling handbook: Guidance for amending the Poisons Standard</w:t>
        </w:r>
      </w:hyperlink>
      <w:r w:rsidR="00404734">
        <w:t xml:space="preserve"> (the </w:t>
      </w:r>
      <w:r w:rsidR="00404734" w:rsidRPr="00404734">
        <w:rPr>
          <w:b/>
          <w:bCs/>
        </w:rPr>
        <w:t>Handbook</w:t>
      </w:r>
      <w:r w:rsidR="00404734">
        <w:t>)</w:t>
      </w:r>
    </w:p>
    <w:p w14:paraId="6AE8A9E0" w14:textId="7A5488D6" w:rsidR="00792B5F" w:rsidRDefault="00792B5F" w:rsidP="00792B5F">
      <w:pPr>
        <w:pStyle w:val="Heading5"/>
      </w:pPr>
      <w:r w:rsidRPr="00436C41">
        <w:t>Reasons for the final decision</w:t>
      </w:r>
      <w:r w:rsidR="009E5A04">
        <w:t>s</w:t>
      </w:r>
      <w:r w:rsidRPr="00436C41">
        <w:t xml:space="preserve"> (including findings on material questions of fact)</w:t>
      </w:r>
    </w:p>
    <w:p w14:paraId="212F9AC2" w14:textId="77777777" w:rsidR="00083091" w:rsidRDefault="00792B5F" w:rsidP="00134004">
      <w:r w:rsidRPr="000473A3">
        <w:t xml:space="preserve">I have made </w:t>
      </w:r>
      <w:r w:rsidR="009E5A04">
        <w:t xml:space="preserve">two independent </w:t>
      </w:r>
      <w:r w:rsidRPr="000473A3">
        <w:t>final decision</w:t>
      </w:r>
      <w:r w:rsidR="009E5A04">
        <w:t>s</w:t>
      </w:r>
      <w:r w:rsidRPr="000473A3">
        <w:t xml:space="preserve"> to </w:t>
      </w:r>
      <w:r w:rsidR="00C51785">
        <w:t>vary</w:t>
      </w:r>
      <w:r w:rsidRPr="000473A3">
        <w:t xml:space="preserve"> my</w:t>
      </w:r>
      <w:r w:rsidR="00B7629F">
        <w:t xml:space="preserve"> </w:t>
      </w:r>
      <w:proofErr w:type="spellStart"/>
      <w:r w:rsidR="00B7629F">
        <w:t>psilocybine</w:t>
      </w:r>
      <w:proofErr w:type="spellEnd"/>
      <w:r w:rsidRPr="000473A3">
        <w:t xml:space="preserve"> interim decision</w:t>
      </w:r>
      <w:r w:rsidR="00B7629F">
        <w:t xml:space="preserve"> and my MDMA interim </w:t>
      </w:r>
      <w:proofErr w:type="gramStart"/>
      <w:r w:rsidR="00B7629F">
        <w:t>decision,</w:t>
      </w:r>
      <w:r w:rsidRPr="000473A3">
        <w:t xml:space="preserve"> </w:t>
      </w:r>
      <w:r w:rsidR="00C51785">
        <w:t>and</w:t>
      </w:r>
      <w:proofErr w:type="gramEnd"/>
      <w:r w:rsidRPr="000473A3">
        <w:t xml:space="preserve"> amend the current Poisons Standard </w:t>
      </w:r>
      <w:r w:rsidR="00C51785">
        <w:t>in relation</w:t>
      </w:r>
      <w:r w:rsidRPr="000473A3">
        <w:t xml:space="preserve"> to </w:t>
      </w:r>
      <w:proofErr w:type="spellStart"/>
      <w:r w:rsidR="00F04336" w:rsidRPr="000473A3">
        <w:t>psilocybine</w:t>
      </w:r>
      <w:proofErr w:type="spellEnd"/>
      <w:r w:rsidR="009E5A04">
        <w:t xml:space="preserve"> and MDMA</w:t>
      </w:r>
      <w:r w:rsidR="00DB4D99">
        <w:t xml:space="preserve"> </w:t>
      </w:r>
      <w:r w:rsidR="00020F6C">
        <w:t>for treatment</w:t>
      </w:r>
      <w:r w:rsidR="003D0A98">
        <w:t>-</w:t>
      </w:r>
      <w:r w:rsidR="00020F6C">
        <w:t xml:space="preserve">resistant depression (TRD) and </w:t>
      </w:r>
      <w:r w:rsidR="00521B63">
        <w:t>post-traumatic stress disorder (</w:t>
      </w:r>
      <w:r w:rsidR="00020F6C">
        <w:t>PTSD</w:t>
      </w:r>
      <w:r w:rsidR="00521B63">
        <w:t>)</w:t>
      </w:r>
      <w:r w:rsidR="00020F6C">
        <w:t>, respectively</w:t>
      </w:r>
      <w:r w:rsidR="00521B63">
        <w:t>,</w:t>
      </w:r>
      <w:r w:rsidR="00020F6C">
        <w:t xml:space="preserve"> </w:t>
      </w:r>
      <w:r w:rsidR="00DB4D99">
        <w:t>as set out above</w:t>
      </w:r>
      <w:r w:rsidRPr="000473A3">
        <w:t>.</w:t>
      </w:r>
      <w:r w:rsidR="007647D1">
        <w:t xml:space="preserve"> </w:t>
      </w:r>
    </w:p>
    <w:p w14:paraId="132B9FD1" w14:textId="77777777" w:rsidR="00083091" w:rsidRDefault="007647D1" w:rsidP="00134004">
      <w:r>
        <w:t xml:space="preserve">The amendments </w:t>
      </w:r>
      <w:r w:rsidR="008428C7">
        <w:t xml:space="preserve">allow </w:t>
      </w:r>
      <w:r w:rsidR="00556802">
        <w:t>expand</w:t>
      </w:r>
      <w:r w:rsidR="008428C7">
        <w:t>ed</w:t>
      </w:r>
      <w:r>
        <w:t xml:space="preserve"> access to the Substances </w:t>
      </w:r>
      <w:r w:rsidR="00556802">
        <w:t xml:space="preserve">outside of clinical trials </w:t>
      </w:r>
      <w:r>
        <w:t xml:space="preserve">as Schedule 8 medicines subject to </w:t>
      </w:r>
      <w:r w:rsidR="00DB4D99">
        <w:t xml:space="preserve">controls </w:t>
      </w:r>
      <w:r w:rsidR="0015684F">
        <w:t xml:space="preserve">over prescribing </w:t>
      </w:r>
      <w:r w:rsidR="005540E7">
        <w:t xml:space="preserve">rights </w:t>
      </w:r>
      <w:r w:rsidR="0015684F">
        <w:t xml:space="preserve">and </w:t>
      </w:r>
      <w:r w:rsidR="0015684F" w:rsidRPr="002614B0">
        <w:t>treatment protocol</w:t>
      </w:r>
      <w:r w:rsidR="005540E7" w:rsidRPr="002614B0">
        <w:t>s</w:t>
      </w:r>
      <w:r w:rsidR="0015684F">
        <w:t xml:space="preserve">, thereby sufficiently </w:t>
      </w:r>
      <w:r w:rsidR="00DA1294">
        <w:t>mitigat</w:t>
      </w:r>
      <w:r w:rsidR="0015684F">
        <w:t>ing the</w:t>
      </w:r>
      <w:r w:rsidR="00DA1294">
        <w:t xml:space="preserve"> risks expressed in my interim decision</w:t>
      </w:r>
      <w:r w:rsidR="00DB4D99">
        <w:t>s</w:t>
      </w:r>
      <w:r w:rsidR="00083091">
        <w:t xml:space="preserve">. The </w:t>
      </w:r>
      <w:r w:rsidR="00DA1294">
        <w:t>benefits</w:t>
      </w:r>
      <w:r w:rsidR="00495F65">
        <w:t xml:space="preserve"> to patients and public health</w:t>
      </w:r>
      <w:r w:rsidR="00DA1294">
        <w:t xml:space="preserve"> </w:t>
      </w:r>
      <w:r w:rsidR="00DB4D99">
        <w:t>of my final decision</w:t>
      </w:r>
      <w:r w:rsidR="00D14F67">
        <w:t>s</w:t>
      </w:r>
      <w:r w:rsidR="00DB4D99">
        <w:t xml:space="preserve"> </w:t>
      </w:r>
      <w:r w:rsidR="00083091">
        <w:t xml:space="preserve">will therefore </w:t>
      </w:r>
      <w:r w:rsidR="00DB4D99">
        <w:t xml:space="preserve">outweigh </w:t>
      </w:r>
      <w:r w:rsidR="00DA1294">
        <w:t>the risks</w:t>
      </w:r>
      <w:r w:rsidR="00495F65">
        <w:t xml:space="preserve">. </w:t>
      </w:r>
    </w:p>
    <w:p w14:paraId="5412B28B" w14:textId="34A7965E" w:rsidR="00EF5254" w:rsidRDefault="009969F5" w:rsidP="00134004">
      <w:r w:rsidRPr="00F655CA">
        <w:lastRenderedPageBreak/>
        <w:t>I</w:t>
      </w:r>
      <w:r>
        <w:t>n making my final decisions, I</w:t>
      </w:r>
      <w:r w:rsidRPr="00F655CA">
        <w:t xml:space="preserve"> have </w:t>
      </w:r>
      <w:proofErr w:type="gramStart"/>
      <w:r>
        <w:t>taken into account</w:t>
      </w:r>
      <w:proofErr w:type="gramEnd"/>
      <w:r>
        <w:t xml:space="preserve"> the material detailed in the interim decisions and the responses</w:t>
      </w:r>
      <w:r w:rsidR="000E34E9">
        <w:t xml:space="preserve"> received</w:t>
      </w:r>
      <w:r>
        <w:t xml:space="preserve"> after the second call for public submissions, published on 21 October 2022 </w:t>
      </w:r>
      <w:r w:rsidRPr="00F655CA">
        <w:t>under regulation 42ZCZP of the Regulations.</w:t>
      </w:r>
    </w:p>
    <w:p w14:paraId="4F03B3FE" w14:textId="51197F75" w:rsidR="00DE65DB" w:rsidRDefault="00D14F67" w:rsidP="00134004">
      <w:r>
        <w:t xml:space="preserve">I have decided to place </w:t>
      </w:r>
      <w:r w:rsidR="00061B7A">
        <w:t xml:space="preserve">several </w:t>
      </w:r>
      <w:r w:rsidR="005540E7">
        <w:t xml:space="preserve">controls </w:t>
      </w:r>
      <w:r>
        <w:t xml:space="preserve">over access to </w:t>
      </w:r>
      <w:proofErr w:type="spellStart"/>
      <w:r w:rsidR="000E34E9">
        <w:t>psilocybine</w:t>
      </w:r>
      <w:proofErr w:type="spellEnd"/>
      <w:r w:rsidR="000E34E9">
        <w:t xml:space="preserve"> and MDMA</w:t>
      </w:r>
      <w:r>
        <w:t xml:space="preserve"> as Schedule 8 medicines</w:t>
      </w:r>
      <w:r w:rsidR="00E67420">
        <w:t xml:space="preserve"> through amendment of </w:t>
      </w:r>
      <w:r w:rsidR="00031A34">
        <w:t>Appendix D of the Poisons Standard</w:t>
      </w:r>
      <w:r w:rsidR="00E67420">
        <w:t xml:space="preserve">, </w:t>
      </w:r>
      <w:r w:rsidR="00061B7A">
        <w:t>the first of which are to limit access to the</w:t>
      </w:r>
      <w:r w:rsidR="00E67420">
        <w:t xml:space="preserve"> Substances only </w:t>
      </w:r>
      <w:r w:rsidR="00061B7A">
        <w:t>if</w:t>
      </w:r>
      <w:r w:rsidR="00E67420">
        <w:t xml:space="preserve"> prescribed by</w:t>
      </w:r>
      <w:r w:rsidR="006025C7">
        <w:t xml:space="preserve"> psychiatrists who have </w:t>
      </w:r>
      <w:r w:rsidR="00836519">
        <w:t xml:space="preserve">been authorised </w:t>
      </w:r>
      <w:r w:rsidR="006025C7">
        <w:t>to do so under the</w:t>
      </w:r>
      <w:r w:rsidR="001444C0">
        <w:t xml:space="preserve"> </w:t>
      </w:r>
      <w:hyperlink r:id="rId31" w:history="1">
        <w:r w:rsidR="006025C7" w:rsidRPr="00EF3A51">
          <w:rPr>
            <w:rStyle w:val="Hyperlink"/>
          </w:rPr>
          <w:t>Authorised Prescriber Scheme</w:t>
        </w:r>
      </w:hyperlink>
      <w:r w:rsidR="006D5341" w:rsidRPr="006D5341">
        <w:rPr>
          <w:rStyle w:val="Hyperlink"/>
          <w:color w:val="auto"/>
          <w:u w:val="none"/>
        </w:rPr>
        <w:t xml:space="preserve"> (the </w:t>
      </w:r>
      <w:r w:rsidR="006D5341" w:rsidRPr="006D5341">
        <w:rPr>
          <w:rStyle w:val="Hyperlink"/>
          <w:b/>
          <w:bCs/>
          <w:color w:val="auto"/>
          <w:u w:val="none"/>
        </w:rPr>
        <w:t>AP scheme</w:t>
      </w:r>
      <w:r w:rsidR="006D5341" w:rsidRPr="006D5341">
        <w:rPr>
          <w:rStyle w:val="Hyperlink"/>
          <w:color w:val="auto"/>
          <w:u w:val="none"/>
        </w:rPr>
        <w:t>)</w:t>
      </w:r>
      <w:r w:rsidR="00E67420">
        <w:rPr>
          <w:rStyle w:val="Hyperlink"/>
          <w:color w:val="auto"/>
          <w:u w:val="none"/>
        </w:rPr>
        <w:t xml:space="preserve"> under section 19(5) of the Act. </w:t>
      </w:r>
    </w:p>
    <w:p w14:paraId="0BA512C6" w14:textId="27EDEE90" w:rsidR="00331127" w:rsidRDefault="0015684F" w:rsidP="00134004">
      <w:r>
        <w:t xml:space="preserve">The applicant proposed that </w:t>
      </w:r>
      <w:r w:rsidR="009D3360">
        <w:t xml:space="preserve">medical practitioners prescribe </w:t>
      </w:r>
      <w:r>
        <w:t>the Substances only on the authorisation of psychiatrist</w:t>
      </w:r>
      <w:r w:rsidR="005540E7">
        <w:t>s.</w:t>
      </w:r>
      <w:r>
        <w:t xml:space="preserve"> </w:t>
      </w:r>
      <w:r w:rsidR="00331127">
        <w:t xml:space="preserve">I </w:t>
      </w:r>
      <w:r w:rsidR="00894697">
        <w:t xml:space="preserve">consider that registered psychiatrists </w:t>
      </w:r>
      <w:r w:rsidR="00083091">
        <w:t xml:space="preserve">have the training and expertise </w:t>
      </w:r>
      <w:r w:rsidR="00894697">
        <w:t xml:space="preserve">to diagnose and appropriately treat </w:t>
      </w:r>
      <w:r w:rsidR="00061B7A">
        <w:t>those</w:t>
      </w:r>
      <w:r w:rsidR="00894697">
        <w:t xml:space="preserve"> </w:t>
      </w:r>
      <w:r w:rsidR="007020B1">
        <w:t xml:space="preserve">conditions for which there is emerging evidence </w:t>
      </w:r>
      <w:r w:rsidR="00061B7A">
        <w:t>for</w:t>
      </w:r>
      <w:r w:rsidR="007020B1">
        <w:t xml:space="preserve"> the use of the Substances</w:t>
      </w:r>
      <w:r w:rsidR="00083091">
        <w:t xml:space="preserve">. As such, they are </w:t>
      </w:r>
      <w:r w:rsidR="00061B7A">
        <w:t xml:space="preserve">suitably placed to </w:t>
      </w:r>
      <w:r w:rsidR="007E4844">
        <w:t xml:space="preserve">prescribe the Substances and </w:t>
      </w:r>
      <w:r w:rsidR="00894697">
        <w:t xml:space="preserve">monitor the outcome of therapy. This extends to any </w:t>
      </w:r>
      <w:r w:rsidR="00A52D43">
        <w:t>adjunct</w:t>
      </w:r>
      <w:r w:rsidR="00894697">
        <w:t xml:space="preserve"> therapies that are deemed appropriate by the physician for each patient. </w:t>
      </w:r>
      <w:proofErr w:type="gramStart"/>
      <w:r w:rsidR="007020B1">
        <w:t xml:space="preserve">In particular, </w:t>
      </w:r>
      <w:r w:rsidR="00143203">
        <w:t>in</w:t>
      </w:r>
      <w:proofErr w:type="gramEnd"/>
      <w:r w:rsidR="00143203">
        <w:t xml:space="preserve"> addressing the issues previously identified in the interim decision</w:t>
      </w:r>
      <w:r w:rsidR="00A52D43">
        <w:t>s</w:t>
      </w:r>
      <w:r w:rsidR="00143203">
        <w:t xml:space="preserve"> under paragraph 52E(1)(f) of the Act, </w:t>
      </w:r>
      <w:r w:rsidR="007020B1">
        <w:t xml:space="preserve">clinical decisions best reside with a specialist </w:t>
      </w:r>
      <w:r w:rsidR="00545C14">
        <w:t xml:space="preserve">psychiatrist </w:t>
      </w:r>
      <w:r w:rsidR="007020B1">
        <w:t>for</w:t>
      </w:r>
      <w:r w:rsidR="00143203">
        <w:t>:</w:t>
      </w:r>
      <w:r w:rsidR="00061B7A">
        <w:t xml:space="preserve"> </w:t>
      </w:r>
      <w:r w:rsidR="007020B1">
        <w:t>therapies for which there is only emerging evidence of therapeutic benefit</w:t>
      </w:r>
      <w:r w:rsidR="00061B7A">
        <w:t xml:space="preserve">; </w:t>
      </w:r>
      <w:r w:rsidR="007020B1">
        <w:t>where the treatment protocols are not yet established</w:t>
      </w:r>
      <w:r w:rsidR="00061B7A">
        <w:t>,</w:t>
      </w:r>
      <w:r w:rsidR="007020B1">
        <w:t xml:space="preserve"> </w:t>
      </w:r>
      <w:r w:rsidR="002A237A">
        <w:t>and</w:t>
      </w:r>
      <w:r w:rsidR="00061B7A">
        <w:t xml:space="preserve"> </w:t>
      </w:r>
      <w:r w:rsidR="007020B1">
        <w:t>the justification for treatment with the Substances is strongest for those resistant to existing treatments and thereby already under the management of a specialist</w:t>
      </w:r>
      <w:r w:rsidR="00061B7A">
        <w:t xml:space="preserve">. </w:t>
      </w:r>
      <w:r w:rsidR="000D7FD0">
        <w:t xml:space="preserve"> </w:t>
      </w:r>
      <w:proofErr w:type="gramStart"/>
      <w:r w:rsidR="00061B7A">
        <w:t>A</w:t>
      </w:r>
      <w:r w:rsidR="000D7FD0">
        <w:t>ll of</w:t>
      </w:r>
      <w:proofErr w:type="gramEnd"/>
      <w:r w:rsidR="000D7FD0">
        <w:t xml:space="preserve"> </w:t>
      </w:r>
      <w:r w:rsidR="00061B7A">
        <w:t xml:space="preserve">these circumstances </w:t>
      </w:r>
      <w:r w:rsidR="000D7FD0">
        <w:t xml:space="preserve">are pertinent to </w:t>
      </w:r>
      <w:r w:rsidR="00061B7A">
        <w:t xml:space="preserve">the intended therapeutic </w:t>
      </w:r>
      <w:r w:rsidR="000D7FD0">
        <w:t>use</w:t>
      </w:r>
      <w:r w:rsidR="00061B7A">
        <w:t>s</w:t>
      </w:r>
      <w:r w:rsidR="000D7FD0">
        <w:t xml:space="preserve"> of the Substances</w:t>
      </w:r>
      <w:r w:rsidR="007020B1">
        <w:t xml:space="preserve">. </w:t>
      </w:r>
      <w:r w:rsidR="00894697">
        <w:t xml:space="preserve">I would like to emphasise that psychiatrists who have been </w:t>
      </w:r>
      <w:r w:rsidR="00836519">
        <w:t xml:space="preserve">authorised </w:t>
      </w:r>
      <w:r w:rsidR="00894697">
        <w:t>to prescribe the Substances under the AP scheme will still be required to comply with the relevant legislation of the State or Territory in which they practice.</w:t>
      </w:r>
    </w:p>
    <w:p w14:paraId="14A581D1" w14:textId="34307642" w:rsidR="00EE565C" w:rsidRDefault="00DE65DB" w:rsidP="00134004">
      <w:r>
        <w:t>The AP scheme allows authorised medical practitioners to supply therapeutic goods that are not included in the Australian Register of Therapeutic Goods (ARTG) to specified patients under their immediate care with a particular medical condition</w:t>
      </w:r>
      <w:r w:rsidR="008043B8">
        <w:t xml:space="preserve"> subject to certain conditions</w:t>
      </w:r>
      <w:r>
        <w:t>.</w:t>
      </w:r>
      <w:r w:rsidR="008043B8">
        <w:t xml:space="preserve"> </w:t>
      </w:r>
      <w:proofErr w:type="gramStart"/>
      <w:r w:rsidR="008043B8">
        <w:t xml:space="preserve">In particular, </w:t>
      </w:r>
      <w:r>
        <w:t>approval</w:t>
      </w:r>
      <w:proofErr w:type="gramEnd"/>
      <w:r>
        <w:t xml:space="preserve"> </w:t>
      </w:r>
      <w:r w:rsidR="008043B8">
        <w:t xml:space="preserve">must be granted by both a Human Research Ethics Committee (HREC) </w:t>
      </w:r>
      <w:r w:rsidR="002614B0">
        <w:t xml:space="preserve">that is registered with the National Health and Medical Research Council (NHMRC) </w:t>
      </w:r>
      <w:r w:rsidR="008043B8">
        <w:t>and</w:t>
      </w:r>
      <w:r w:rsidR="00195C03">
        <w:t>, only once that approval has been granted,</w:t>
      </w:r>
      <w:r w:rsidR="008043B8">
        <w:t xml:space="preserve"> a senior medical officer at the TGA in their capacity as a delegate of the Secretary of the Department of Health and Aged Care</w:t>
      </w:r>
      <w:r>
        <w:t>.</w:t>
      </w:r>
      <w:r w:rsidR="002614B0">
        <w:t xml:space="preserve"> The TGA delegate will also</w:t>
      </w:r>
      <w:r w:rsidR="002614B0" w:rsidRPr="002614B0">
        <w:t xml:space="preserve"> expect that psychiatrists will have considered all clinically appropriate treatment options that are included in the ARTG before applying to access </w:t>
      </w:r>
      <w:r w:rsidR="002614B0">
        <w:t xml:space="preserve">a </w:t>
      </w:r>
      <w:proofErr w:type="spellStart"/>
      <w:r w:rsidR="002614B0" w:rsidRPr="002614B0">
        <w:t>psilocybin</w:t>
      </w:r>
      <w:r w:rsidR="00083091">
        <w:t>e</w:t>
      </w:r>
      <w:proofErr w:type="spellEnd"/>
      <w:r w:rsidR="002614B0">
        <w:t>- or MDMA-</w:t>
      </w:r>
      <w:r w:rsidR="002614B0" w:rsidRPr="002614B0">
        <w:t>containing product for their patient under the AP scheme.</w:t>
      </w:r>
    </w:p>
    <w:p w14:paraId="407AD66D" w14:textId="7E359B9D" w:rsidR="00BF5C3A" w:rsidRDefault="00BF5C3A" w:rsidP="00134004">
      <w:r>
        <w:t xml:space="preserve">The AP scheme is an established, </w:t>
      </w:r>
      <w:proofErr w:type="gramStart"/>
      <w:r>
        <w:t>proven</w:t>
      </w:r>
      <w:proofErr w:type="gramEnd"/>
      <w:r>
        <w:t xml:space="preserve"> and robust pathway for permitting therapeutic use of </w:t>
      </w:r>
      <w:r w:rsidR="00061B7A">
        <w:t>unapproved</w:t>
      </w:r>
      <w:r>
        <w:t xml:space="preserve"> medicines, with sufficient oversight and monitoring, to ensure safe use of the Substances and address many of the concerns </w:t>
      </w:r>
      <w:r w:rsidR="00061B7A">
        <w:t>articulated</w:t>
      </w:r>
      <w:r>
        <w:t xml:space="preserve"> in the interim decisions. </w:t>
      </w:r>
      <w:r w:rsidR="00BD5B3A">
        <w:t xml:space="preserve">While </w:t>
      </w:r>
      <w:r w:rsidR="007E4844">
        <w:t xml:space="preserve">the Special Access Scheme (SAS) </w:t>
      </w:r>
      <w:r w:rsidR="00BD5B3A">
        <w:t xml:space="preserve">permits </w:t>
      </w:r>
      <w:r w:rsidR="007E4844">
        <w:t>access to the Substances</w:t>
      </w:r>
      <w:r w:rsidR="00BD5B3A">
        <w:t xml:space="preserve"> on a patient-by-patient basis</w:t>
      </w:r>
      <w:r w:rsidR="007E4844">
        <w:t>, t</w:t>
      </w:r>
      <w:r w:rsidRPr="00C92C2B">
        <w:t xml:space="preserve">he standard pathway of approval for the AP scheme entails a rigorous application process </w:t>
      </w:r>
      <w:r w:rsidR="00BD5B3A">
        <w:t xml:space="preserve">for a qualified medical professional </w:t>
      </w:r>
      <w:r w:rsidRPr="00C92C2B">
        <w:t>through both the TGA and a</w:t>
      </w:r>
      <w:r w:rsidR="00083091">
        <w:t>n</w:t>
      </w:r>
      <w:r w:rsidRPr="00C92C2B">
        <w:t xml:space="preserve"> HREC.</w:t>
      </w:r>
      <w:r>
        <w:t xml:space="preserve"> Under th</w:t>
      </w:r>
      <w:r w:rsidR="007E4844">
        <w:t>e</w:t>
      </w:r>
      <w:r>
        <w:t xml:space="preserve"> </w:t>
      </w:r>
      <w:r w:rsidR="007E4844">
        <w:t xml:space="preserve">AP </w:t>
      </w:r>
      <w:r>
        <w:t xml:space="preserve">approval process, </w:t>
      </w:r>
      <w:r w:rsidR="00320B73">
        <w:t xml:space="preserve">I am confident that </w:t>
      </w:r>
      <w:r>
        <w:t>the TGA</w:t>
      </w:r>
      <w:r w:rsidR="00320B73">
        <w:t xml:space="preserve"> decision maker</w:t>
      </w:r>
      <w:r>
        <w:t xml:space="preserve"> and HREC will ensure they are satisfied of matters including </w:t>
      </w:r>
      <w:r w:rsidR="00271F13">
        <w:t>the</w:t>
      </w:r>
      <w:r w:rsidR="00C64F8C">
        <w:t xml:space="preserve"> </w:t>
      </w:r>
      <w:r w:rsidR="00083091">
        <w:t>applicant</w:t>
      </w:r>
      <w:r w:rsidR="00271F13">
        <w:t xml:space="preserve"> prescriber’s </w:t>
      </w:r>
      <w:r>
        <w:t>clinical justification for the</w:t>
      </w:r>
      <w:r w:rsidR="00271F13">
        <w:t>ir</w:t>
      </w:r>
      <w:r>
        <w:t xml:space="preserve"> treatment </w:t>
      </w:r>
      <w:r w:rsidR="00083091">
        <w:t>regimen</w:t>
      </w:r>
      <w:r>
        <w:t xml:space="preserve">, governance over the treatment process, and </w:t>
      </w:r>
      <w:r w:rsidR="00320B73">
        <w:t>the use of</w:t>
      </w:r>
      <w:r>
        <w:t xml:space="preserve"> suitable measures </w:t>
      </w:r>
      <w:r w:rsidR="00320B73">
        <w:t>to protect</w:t>
      </w:r>
      <w:r>
        <w:t xml:space="preserve"> patients, such as records of informed consent. </w:t>
      </w:r>
      <w:r w:rsidRPr="00430503">
        <w:t>Consistent with the terms of the AP scheme, authorised prescribers will be required to submit regular reports on the numbers of patients treated and any associated adverse events.</w:t>
      </w:r>
    </w:p>
    <w:p w14:paraId="06D4DB6B" w14:textId="699FC766" w:rsidR="006B1BDC" w:rsidRDefault="00DE65DB" w:rsidP="00134004">
      <w:r>
        <w:lastRenderedPageBreak/>
        <w:t>I am of the view that consideration of these factors should alleviate concerns raised in the RANZCP clinical memorandum</w:t>
      </w:r>
      <w:r w:rsidR="00271F13">
        <w:t>.</w:t>
      </w:r>
      <w:r>
        <w:rPr>
          <w:rStyle w:val="FootnoteReference"/>
        </w:rPr>
        <w:footnoteReference w:id="5"/>
      </w:r>
      <w:r>
        <w:t xml:space="preserve"> The memorand</w:t>
      </w:r>
      <w:r w:rsidR="006B1BDC">
        <w:t>um</w:t>
      </w:r>
      <w:r>
        <w:t xml:space="preserve"> urged caution on permitting access to the Substances for </w:t>
      </w:r>
      <w:r w:rsidRPr="00430503">
        <w:t xml:space="preserve">therapeutic use due, in part, to the lack of established treatment protocols. </w:t>
      </w:r>
      <w:r w:rsidR="006B1BDC">
        <w:t xml:space="preserve">However, under the AP scheme, an HREC and authorising officer at the TGA will be able to require that a prospective </w:t>
      </w:r>
      <w:r w:rsidR="008043B8">
        <w:t xml:space="preserve">prescribing </w:t>
      </w:r>
      <w:r w:rsidR="006B1BDC">
        <w:t xml:space="preserve">psychiatrist </w:t>
      </w:r>
      <w:r w:rsidR="00BF5C3A">
        <w:t xml:space="preserve">provides evidence and justification that a </w:t>
      </w:r>
      <w:r w:rsidR="006B1BDC">
        <w:t xml:space="preserve">suitably robust treatment protocol has been developed. </w:t>
      </w:r>
      <w:r w:rsidR="00B924E9">
        <w:t xml:space="preserve">I agree with the RANZCP that there does not </w:t>
      </w:r>
      <w:r w:rsidR="006B1BDC">
        <w:t xml:space="preserve">currently </w:t>
      </w:r>
      <w:r w:rsidR="00B924E9">
        <w:t xml:space="preserve">appear to be </w:t>
      </w:r>
      <w:r w:rsidR="006B1BDC">
        <w:t>any established treatment protocols</w:t>
      </w:r>
      <w:r w:rsidR="00B924E9">
        <w:t>. However, my decision recognises</w:t>
      </w:r>
      <w:r w:rsidR="006B1BDC">
        <w:t xml:space="preserve"> </w:t>
      </w:r>
      <w:r w:rsidR="00B924E9">
        <w:t xml:space="preserve">that </w:t>
      </w:r>
      <w:r w:rsidR="006B1BDC">
        <w:t xml:space="preserve">the evidence landscape is rapidly evolving toward establishing such protocols, and so places the onus and opportunity with a prospective </w:t>
      </w:r>
      <w:r w:rsidR="008043B8">
        <w:t xml:space="preserve">prescriber of the Substances </w:t>
      </w:r>
      <w:r w:rsidR="00B924E9">
        <w:t xml:space="preserve">to </w:t>
      </w:r>
      <w:r w:rsidR="009D3360">
        <w:t xml:space="preserve">devise and </w:t>
      </w:r>
      <w:r w:rsidR="00B924E9">
        <w:t>prov</w:t>
      </w:r>
      <w:r w:rsidR="009D3360">
        <w:t>id</w:t>
      </w:r>
      <w:r w:rsidR="00B924E9">
        <w:t xml:space="preserve">e </w:t>
      </w:r>
      <w:r w:rsidR="009D3360">
        <w:t xml:space="preserve">evidence of a suitable treatment protocol </w:t>
      </w:r>
      <w:r w:rsidR="00B924E9">
        <w:t>to the HREC and authorising TGA officer.</w:t>
      </w:r>
    </w:p>
    <w:p w14:paraId="10DAC953" w14:textId="31B18D84" w:rsidR="00430503" w:rsidRDefault="00430503" w:rsidP="00134004">
      <w:r>
        <w:t xml:space="preserve">I have also considered the </w:t>
      </w:r>
      <w:r w:rsidR="006B33FF">
        <w:t>concerns</w:t>
      </w:r>
      <w:r>
        <w:t xml:space="preserve"> of </w:t>
      </w:r>
      <w:r w:rsidR="005540E7">
        <w:t>all</w:t>
      </w:r>
      <w:r>
        <w:t xml:space="preserve"> stakeholders, including relevant peak bodies and </w:t>
      </w:r>
      <w:r w:rsidR="006B33FF">
        <w:t>s</w:t>
      </w:r>
      <w:r>
        <w:t xml:space="preserve">tate and </w:t>
      </w:r>
      <w:r w:rsidR="006B33FF">
        <w:t>t</w:t>
      </w:r>
      <w:r>
        <w:t xml:space="preserve">erritory health authorities, regarding the various controls included in the applicant’s original proposal for new Schedule 8 entries. </w:t>
      </w:r>
      <w:r w:rsidR="006B33FF">
        <w:t>This</w:t>
      </w:r>
      <w:r>
        <w:t xml:space="preserve"> </w:t>
      </w:r>
      <w:r w:rsidR="006B33FF">
        <w:t xml:space="preserve">related to use of </w:t>
      </w:r>
      <w:r>
        <w:t xml:space="preserve">the </w:t>
      </w:r>
      <w:r w:rsidR="006B33FF">
        <w:t>S</w:t>
      </w:r>
      <w:r>
        <w:t>ubstances in conjunction with psychotherapy in medically controlled environments, specific training for prescribers, and the requirement for two independent psychiatrists to review each patient’s diagnosis and proposed treatment plan. The interim decisions identified the potential difficulties in the implementation of these conditions as proposed by the applicant.</w:t>
      </w:r>
    </w:p>
    <w:p w14:paraId="0058BC6C" w14:textId="038EC54B" w:rsidR="00660218" w:rsidRDefault="00660218" w:rsidP="00134004">
      <w:r>
        <w:t>However, i</w:t>
      </w:r>
      <w:r w:rsidRPr="00430503">
        <w:t>t is t</w:t>
      </w:r>
      <w:r>
        <w:t>hrough</w:t>
      </w:r>
      <w:r w:rsidR="00083091">
        <w:t xml:space="preserve"> the</w:t>
      </w:r>
      <w:r>
        <w:t xml:space="preserve"> </w:t>
      </w:r>
      <w:r w:rsidR="006B33FF">
        <w:t xml:space="preserve">suite of </w:t>
      </w:r>
      <w:r w:rsidR="002A237A">
        <w:t>all</w:t>
      </w:r>
      <w:r>
        <w:t xml:space="preserve"> the </w:t>
      </w:r>
      <w:proofErr w:type="gramStart"/>
      <w:r>
        <w:t>above</w:t>
      </w:r>
      <w:r w:rsidR="00AC0929">
        <w:t xml:space="preserve"> </w:t>
      </w:r>
      <w:r>
        <w:t>mentioned</w:t>
      </w:r>
      <w:proofErr w:type="gramEnd"/>
      <w:r>
        <w:t xml:space="preserve"> elements of the AP scheme</w:t>
      </w:r>
      <w:r w:rsidR="006B33FF">
        <w:t xml:space="preserve"> and other controls set out below</w:t>
      </w:r>
      <w:r>
        <w:t xml:space="preserve"> that I am satisfied that the risks</w:t>
      </w:r>
      <w:r w:rsidR="00C67B8B">
        <w:t xml:space="preserve"> of prescribing the Substances</w:t>
      </w:r>
      <w:r>
        <w:t xml:space="preserve"> to vulnerable patients will be sufficiently mitigated</w:t>
      </w:r>
      <w:r w:rsidR="00C67B8B">
        <w:t xml:space="preserve">. In </w:t>
      </w:r>
      <w:r w:rsidR="006B33FF">
        <w:t>balancing</w:t>
      </w:r>
      <w:r w:rsidR="00C67B8B">
        <w:t xml:space="preserve"> these</w:t>
      </w:r>
      <w:r w:rsidR="00C20E25">
        <w:t xml:space="preserve"> mitigated</w:t>
      </w:r>
      <w:r w:rsidR="00C67B8B">
        <w:t xml:space="preserve"> risks against the potential benefits with reference to paragraph 52E(1)(a) of the Act,</w:t>
      </w:r>
      <w:r>
        <w:t xml:space="preserve"> I am satisfied to amend the scheduling for the Substances under these conditions.</w:t>
      </w:r>
    </w:p>
    <w:p w14:paraId="0F3CF96A" w14:textId="633C0D2B" w:rsidR="007E4844" w:rsidRDefault="00C64F8C" w:rsidP="00134004">
      <w:r>
        <w:t xml:space="preserve">To </w:t>
      </w:r>
      <w:r w:rsidR="00BD5B3A">
        <w:t xml:space="preserve">further </w:t>
      </w:r>
      <w:r>
        <w:t xml:space="preserve">address my concerns from the interim decisions regarding </w:t>
      </w:r>
      <w:r w:rsidR="003A2B05">
        <w:t xml:space="preserve">paragraph 52E(1)(e) of the Act, specifically </w:t>
      </w:r>
      <w:r>
        <w:t xml:space="preserve">the risks of improper access to the Substances throughout the supply chain, </w:t>
      </w:r>
      <w:r w:rsidR="007E4844">
        <w:t xml:space="preserve">I have also decided to include an entry </w:t>
      </w:r>
      <w:r>
        <w:t xml:space="preserve">for each of the Substances </w:t>
      </w:r>
      <w:r w:rsidR="007E4844">
        <w:t>in item 5 of Appendix D</w:t>
      </w:r>
      <w:r>
        <w:t>. This provides</w:t>
      </w:r>
      <w:r w:rsidR="007E4844">
        <w:t xml:space="preserve"> that possession of the Substances </w:t>
      </w:r>
      <w:r>
        <w:t>without a valid prescription is illegal and is c</w:t>
      </w:r>
      <w:r w:rsidR="007E4844">
        <w:t>onsistent with the applicant’s original proposal.</w:t>
      </w:r>
    </w:p>
    <w:p w14:paraId="7EB7CD67" w14:textId="1733748A" w:rsidR="00DE65DB" w:rsidRDefault="00894697" w:rsidP="00134004">
      <w:r w:rsidRPr="002A1C3F">
        <w:t xml:space="preserve">The </w:t>
      </w:r>
      <w:r w:rsidR="001C4335">
        <w:t>new Schedule 8 entries</w:t>
      </w:r>
      <w:r w:rsidR="00BF5C3A">
        <w:t xml:space="preserve"> limit the therapeutic use of the Substances to TRD for </w:t>
      </w:r>
      <w:proofErr w:type="spellStart"/>
      <w:r w:rsidR="00BF5C3A">
        <w:t>psilocybine</w:t>
      </w:r>
      <w:proofErr w:type="spellEnd"/>
      <w:r w:rsidR="00BF5C3A">
        <w:t xml:space="preserve">, and PTSD for MDMA. This provides for narrower access than originally proposed by the applicant, but </w:t>
      </w:r>
      <w:r w:rsidR="006B33FF">
        <w:t>in view of</w:t>
      </w:r>
      <w:r w:rsidR="003A2B05">
        <w:t xml:space="preserve"> paragraph</w:t>
      </w:r>
      <w:r w:rsidR="006B33FF">
        <w:t>s</w:t>
      </w:r>
      <w:r w:rsidR="003A2B05">
        <w:t xml:space="preserve"> 52E(1)</w:t>
      </w:r>
      <w:r w:rsidR="006B33FF">
        <w:t xml:space="preserve">(a) and </w:t>
      </w:r>
      <w:r w:rsidR="003A2B05">
        <w:t xml:space="preserve">(b) of the Act, </w:t>
      </w:r>
      <w:r w:rsidR="00BF5C3A">
        <w:t>is aligned</w:t>
      </w:r>
      <w:r w:rsidR="00660218">
        <w:t xml:space="preserve"> with</w:t>
      </w:r>
      <w:r w:rsidR="00BF5C3A">
        <w:t xml:space="preserve"> the current body of clinical evidence supporting the therapeutic use of the Substances that pertains primarily to these mental health conditions. The use of </w:t>
      </w:r>
      <w:proofErr w:type="spellStart"/>
      <w:r w:rsidR="00BF5C3A">
        <w:t>psilocybine</w:t>
      </w:r>
      <w:proofErr w:type="spellEnd"/>
      <w:r w:rsidR="00BF5C3A">
        <w:t xml:space="preserve"> and MDMA to treat all indications other than TRD and PTSD, respectively, will remain captured by the existing Schedule 9 entries for the Substances, limiting their use to medical and scientific research</w:t>
      </w:r>
      <w:r w:rsidR="006B33FF">
        <w:t>, including clinical trials</w:t>
      </w:r>
      <w:r w:rsidR="00BF5C3A">
        <w:t xml:space="preserve">. I consider that the body of evidence demonstrating the efficacy of the Substances for the treatment of other indications is insufficient </w:t>
      </w:r>
      <w:proofErr w:type="gramStart"/>
      <w:r w:rsidR="00BF5C3A">
        <w:t>at this time</w:t>
      </w:r>
      <w:proofErr w:type="gramEnd"/>
      <w:r w:rsidR="00BF5C3A">
        <w:t xml:space="preserve"> to justify increased access for therapeutic use.</w:t>
      </w:r>
    </w:p>
    <w:p w14:paraId="3A8DA583" w14:textId="5882E8A8" w:rsidR="00DE65DB" w:rsidRDefault="00DE65DB" w:rsidP="00134004">
      <w:r>
        <w:t xml:space="preserve">In addition to the evidence previously considered, I have noted the recently completed study published in the </w:t>
      </w:r>
      <w:r w:rsidR="00976AD8" w:rsidRPr="002A1C3F">
        <w:t>New England Journal of Medicine</w:t>
      </w:r>
      <w:r w:rsidRPr="00A23982">
        <w:rPr>
          <w:vertAlign w:val="superscript"/>
        </w:rPr>
        <w:fldChar w:fldCharType="begin"/>
      </w:r>
      <w:r w:rsidRPr="00A23982">
        <w:rPr>
          <w:vertAlign w:val="superscript"/>
        </w:rPr>
        <w:instrText xml:space="preserve"> NOTEREF _Ref124329253 \h </w:instrText>
      </w:r>
      <w:r>
        <w:rPr>
          <w:vertAlign w:val="superscript"/>
        </w:rPr>
        <w:instrText xml:space="preserve"> \* MERGEFORMAT </w:instrText>
      </w:r>
      <w:r w:rsidRPr="00A23982">
        <w:rPr>
          <w:vertAlign w:val="superscript"/>
        </w:rPr>
      </w:r>
      <w:r w:rsidRPr="00A23982">
        <w:rPr>
          <w:vertAlign w:val="superscript"/>
        </w:rPr>
        <w:fldChar w:fldCharType="separate"/>
      </w:r>
      <w:r w:rsidRPr="00A23982">
        <w:rPr>
          <w:vertAlign w:val="superscript"/>
        </w:rPr>
        <w:t>4</w:t>
      </w:r>
      <w:r w:rsidRPr="00A23982">
        <w:rPr>
          <w:vertAlign w:val="superscript"/>
        </w:rPr>
        <w:fldChar w:fldCharType="end"/>
      </w:r>
      <w:r>
        <w:t xml:space="preserve"> on the use of </w:t>
      </w:r>
      <w:proofErr w:type="spellStart"/>
      <w:r>
        <w:t>psilocybine</w:t>
      </w:r>
      <w:proofErr w:type="spellEnd"/>
      <w:r>
        <w:t xml:space="preserve"> for the treatment of TRD, which indicated that a single dose of 25 mg reduced depression scores significantly more than a 1 mg dose over a period of 3 weeks. The results of this study further strengthen the already promising body of evidence for the efficacy of </w:t>
      </w:r>
      <w:proofErr w:type="spellStart"/>
      <w:r>
        <w:t>psilocybine</w:t>
      </w:r>
      <w:proofErr w:type="spellEnd"/>
      <w:r>
        <w:t xml:space="preserve"> in the treatment of TRD and support my decision to increase the accessibility of this substance for this purpose.</w:t>
      </w:r>
    </w:p>
    <w:p w14:paraId="31244FB2" w14:textId="30A154CC" w:rsidR="00020F6C" w:rsidRDefault="002A1C3F" w:rsidP="00134004">
      <w:r>
        <w:lastRenderedPageBreak/>
        <w:t xml:space="preserve">I have considered the Schedule 8 scheduling factors in the SPF in relation to the degree to the available evidence for the therapeutic value of the Substances. </w:t>
      </w:r>
      <w:r w:rsidR="002167D5">
        <w:t>I acknowledge</w:t>
      </w:r>
      <w:r>
        <w:t>, as stated in my interim decisions,</w:t>
      </w:r>
      <w:r w:rsidR="002167D5">
        <w:t xml:space="preserve"> </w:t>
      </w:r>
      <w:r>
        <w:t>and</w:t>
      </w:r>
      <w:r w:rsidR="002167D5">
        <w:t xml:space="preserve"> even for the narrow indications included in this decision, </w:t>
      </w:r>
      <w:r w:rsidR="002B3F5D">
        <w:t xml:space="preserve">the therapeutic value of </w:t>
      </w:r>
      <w:r w:rsidR="002167D5">
        <w:t>each of the S</w:t>
      </w:r>
      <w:r w:rsidR="002B3F5D">
        <w:t>ubstances</w:t>
      </w:r>
      <w:r w:rsidR="002167D5">
        <w:t xml:space="preserve"> is</w:t>
      </w:r>
      <w:r w:rsidR="002B3F5D">
        <w:t xml:space="preserve"> not established</w:t>
      </w:r>
      <w:r w:rsidR="002167D5">
        <w:t xml:space="preserve"> at this time. However</w:t>
      </w:r>
      <w:r w:rsidR="002B3F5D">
        <w:t xml:space="preserve">, </w:t>
      </w:r>
      <w:proofErr w:type="gramStart"/>
      <w:r w:rsidR="002B3F5D">
        <w:t>taking into account</w:t>
      </w:r>
      <w:proofErr w:type="gramEnd"/>
      <w:r w:rsidR="002B3F5D">
        <w:t xml:space="preserve"> all the factors I am required to consider under </w:t>
      </w:r>
      <w:r>
        <w:t>section</w:t>
      </w:r>
      <w:r w:rsidR="002B3F5D">
        <w:t xml:space="preserve"> 52E of the Act, and in particular the benefits and risks of the access to these substances under </w:t>
      </w:r>
      <w:r w:rsidR="002167D5">
        <w:t xml:space="preserve">a </w:t>
      </w:r>
      <w:r w:rsidR="002B3F5D">
        <w:t>S</w:t>
      </w:r>
      <w:r w:rsidR="002167D5">
        <w:t xml:space="preserve">chedule </w:t>
      </w:r>
      <w:r w:rsidR="002B3F5D">
        <w:t>8</w:t>
      </w:r>
      <w:r w:rsidR="002167D5">
        <w:t xml:space="preserve"> classification</w:t>
      </w:r>
      <w:r w:rsidR="002B3F5D">
        <w:t>, I</w:t>
      </w:r>
      <w:r w:rsidR="002167D5">
        <w:t xml:space="preserve"> am</w:t>
      </w:r>
      <w:r w:rsidR="002B3F5D">
        <w:t xml:space="preserve"> satisfied that the amendment I have decided to make is</w:t>
      </w:r>
      <w:r>
        <w:t xml:space="preserve"> appropriate and</w:t>
      </w:r>
      <w:r w:rsidR="002B3F5D">
        <w:t xml:space="preserve"> consistent with the intent of the framework.</w:t>
      </w:r>
    </w:p>
    <w:p w14:paraId="1432AF7B" w14:textId="2DD3257C" w:rsidR="00A513EB" w:rsidRDefault="00A513EB" w:rsidP="00134004">
      <w:r>
        <w:t>I have considered the written public submissions received in response to the interim decisions on the Substances. Many of these were oppos</w:t>
      </w:r>
      <w:r w:rsidR="00362224">
        <w:t>ed</w:t>
      </w:r>
      <w:r>
        <w:t xml:space="preserve"> to the interim decision</w:t>
      </w:r>
      <w:r w:rsidR="002A1C3F">
        <w:t>s</w:t>
      </w:r>
      <w:r>
        <w:t xml:space="preserve"> to not amend the Poisons Standard in relation to </w:t>
      </w:r>
      <w:proofErr w:type="spellStart"/>
      <w:r>
        <w:t>psilocybine</w:t>
      </w:r>
      <w:proofErr w:type="spellEnd"/>
      <w:r>
        <w:t xml:space="preserve"> and MDMA and followed a similar pattern to the pre-meeting submissions. </w:t>
      </w:r>
      <w:proofErr w:type="gramStart"/>
      <w:r>
        <w:t>The majority of</w:t>
      </w:r>
      <w:proofErr w:type="gramEnd"/>
      <w:r>
        <w:t xml:space="preserve"> the submissions relating to the Substances were brief, related to personal circumstances, and did not attempt to address the issues raised in the interim decision</w:t>
      </w:r>
      <w:r w:rsidR="002A1C3F">
        <w:t>s</w:t>
      </w:r>
      <w:r>
        <w:t xml:space="preserve">, particularly the lack of established therapeutic value for the Substances for the treatment of mental health conditions. However, I am of the view that the number of such submissions is a reasonable indicator of the scope </w:t>
      </w:r>
      <w:r w:rsidR="002A1C3F">
        <w:t xml:space="preserve">and gravity </w:t>
      </w:r>
      <w:r>
        <w:t xml:space="preserve">of the issues </w:t>
      </w:r>
      <w:r w:rsidR="002A1C3F">
        <w:t xml:space="preserve">for individual and public health </w:t>
      </w:r>
      <w:r>
        <w:t xml:space="preserve">addressed in the </w:t>
      </w:r>
      <w:r w:rsidR="00357E6E">
        <w:t>application</w:t>
      </w:r>
      <w:r w:rsidR="00920E85">
        <w:t>. I</w:t>
      </w:r>
      <w:r w:rsidR="004D0A7C">
        <w:t>n consideration of paragraph 52E(1)(a) of the Act,</w:t>
      </w:r>
      <w:r>
        <w:t xml:space="preserve"> </w:t>
      </w:r>
      <w:r w:rsidR="00920E85">
        <w:t xml:space="preserve">the submissions </w:t>
      </w:r>
      <w:r w:rsidR="00357E6E">
        <w:t>confirm</w:t>
      </w:r>
      <w:r w:rsidR="00920E85">
        <w:t xml:space="preserve"> </w:t>
      </w:r>
      <w:r>
        <w:t xml:space="preserve">the need for greater access to alternative treatments for </w:t>
      </w:r>
      <w:r w:rsidR="0013388E">
        <w:t xml:space="preserve">patients with </w:t>
      </w:r>
      <w:r w:rsidR="00362224">
        <w:t xml:space="preserve">persistent </w:t>
      </w:r>
      <w:r>
        <w:t>mental health conditions</w:t>
      </w:r>
      <w:r w:rsidR="00362224">
        <w:t xml:space="preserve"> where currently available treatments have not been effective</w:t>
      </w:r>
      <w:r>
        <w:t xml:space="preserve">. In balancing this clinical need against the current level of evidence of </w:t>
      </w:r>
      <w:r w:rsidR="008C20CB">
        <w:t xml:space="preserve">safety and </w:t>
      </w:r>
      <w:r>
        <w:t xml:space="preserve">efficacy, I consider that it is justified to increase access to the Substances </w:t>
      </w:r>
      <w:r w:rsidR="00E76C97">
        <w:t xml:space="preserve">under </w:t>
      </w:r>
      <w:r>
        <w:t xml:space="preserve">the </w:t>
      </w:r>
      <w:r w:rsidR="00E76C97">
        <w:t>controls explained above</w:t>
      </w:r>
      <w:r>
        <w:t>.</w:t>
      </w:r>
    </w:p>
    <w:p w14:paraId="6053CEBB" w14:textId="1C8258E0" w:rsidR="000F10A9" w:rsidRDefault="000F10A9" w:rsidP="00134004">
      <w:r w:rsidRPr="00A513EB">
        <w:t xml:space="preserve">Contrary to the claims made in a significant number of submissions, </w:t>
      </w:r>
      <w:r w:rsidR="00C27566" w:rsidRPr="00A513EB">
        <w:t xml:space="preserve">I note that </w:t>
      </w:r>
      <w:r w:rsidRPr="00A513EB">
        <w:t xml:space="preserve">the </w:t>
      </w:r>
      <w:r w:rsidR="007233A3">
        <w:t xml:space="preserve">therapeutic use of the </w:t>
      </w:r>
      <w:r w:rsidRPr="00A513EB">
        <w:t>Substances remain</w:t>
      </w:r>
      <w:r w:rsidR="007233A3">
        <w:t>s</w:t>
      </w:r>
      <w:r w:rsidRPr="00A513EB">
        <w:t xml:space="preserve"> </w:t>
      </w:r>
      <w:r w:rsidR="007233A3">
        <w:t xml:space="preserve">largely </w:t>
      </w:r>
      <w:r w:rsidRPr="00A513EB">
        <w:t xml:space="preserve">prohibited outside of clinical trials in many countries, including Canada, New Zealand, the United </w:t>
      </w:r>
      <w:proofErr w:type="gramStart"/>
      <w:r w:rsidRPr="00A513EB">
        <w:t>Kingdom</w:t>
      </w:r>
      <w:proofErr w:type="gramEnd"/>
      <w:r w:rsidRPr="00A513EB">
        <w:t xml:space="preserve"> and most of the European Union. </w:t>
      </w:r>
      <w:r w:rsidR="00A513EB" w:rsidRPr="00A513EB">
        <w:t xml:space="preserve">However, </w:t>
      </w:r>
      <w:r w:rsidRPr="00A513EB">
        <w:t>I recognise that the status of the Substances is under review in many of these countries, such as the USA where the Food and Drugs Administration</w:t>
      </w:r>
      <w:r w:rsidR="00357E6E">
        <w:t xml:space="preserve"> (FDA)</w:t>
      </w:r>
      <w:r w:rsidRPr="00A513EB">
        <w:t xml:space="preserve"> has designated MDMA as a “breakthrough therapy” for </w:t>
      </w:r>
      <w:r w:rsidR="00357E6E">
        <w:t>TRD</w:t>
      </w:r>
      <w:r w:rsidRPr="00A513EB">
        <w:t xml:space="preserve">. </w:t>
      </w:r>
      <w:r w:rsidR="00A513EB" w:rsidRPr="00A513EB">
        <w:t xml:space="preserve">While </w:t>
      </w:r>
      <w:r w:rsidRPr="00A513EB">
        <w:t xml:space="preserve">it is important to note that this status is designed to expedite the development and review of </w:t>
      </w:r>
      <w:proofErr w:type="gramStart"/>
      <w:r w:rsidRPr="00A513EB">
        <w:t xml:space="preserve">particular </w:t>
      </w:r>
      <w:r w:rsidR="004D0A7C">
        <w:t>medicine</w:t>
      </w:r>
      <w:r w:rsidRPr="00A513EB">
        <w:t>s</w:t>
      </w:r>
      <w:proofErr w:type="gramEnd"/>
      <w:r w:rsidRPr="00A513EB">
        <w:t xml:space="preserve"> and is not an endorsement or approval for the therapeutic use of MDMA</w:t>
      </w:r>
      <w:r w:rsidR="00C27566" w:rsidRPr="00A513EB">
        <w:t xml:space="preserve"> outside of a clinical trial environment</w:t>
      </w:r>
      <w:r w:rsidR="00A513EB" w:rsidRPr="00A513EB">
        <w:t xml:space="preserve">, </w:t>
      </w:r>
      <w:r w:rsidR="00B9243D">
        <w:t xml:space="preserve">with reference to paragraph 52E(1)(f) of the Act, </w:t>
      </w:r>
      <w:r w:rsidR="00A513EB" w:rsidRPr="00A513EB">
        <w:t>it is indicative of the FDA’s standpoint on the potential of MDMA for the treatment of TRD</w:t>
      </w:r>
      <w:r w:rsidRPr="00A513EB">
        <w:t>.</w:t>
      </w:r>
    </w:p>
    <w:p w14:paraId="0CF40FA5" w14:textId="4F776893" w:rsidR="00A513EB" w:rsidRDefault="000F10A9" w:rsidP="00134004">
      <w:r>
        <w:t>I</w:t>
      </w:r>
      <w:r w:rsidR="00CB41F0">
        <w:t xml:space="preserve">n response to many comments in the public submissions, I would like to clarify that the </w:t>
      </w:r>
      <w:r w:rsidR="004974E1">
        <w:t xml:space="preserve">both the </w:t>
      </w:r>
      <w:r w:rsidR="00A513EB">
        <w:t xml:space="preserve">existing </w:t>
      </w:r>
      <w:r w:rsidR="00CB41F0">
        <w:t xml:space="preserve">Schedule 9 </w:t>
      </w:r>
      <w:r w:rsidR="0013371D">
        <w:t>entries</w:t>
      </w:r>
      <w:r w:rsidR="00A52D43">
        <w:t>, and the entries as amended according to my final decisions,</w:t>
      </w:r>
      <w:r w:rsidR="00CB41F0">
        <w:t xml:space="preserve"> </w:t>
      </w:r>
      <w:r w:rsidR="008D0867">
        <w:t>relating to</w:t>
      </w:r>
      <w:r>
        <w:t xml:space="preserve"> the Substances </w:t>
      </w:r>
      <w:r w:rsidR="00CB41F0">
        <w:t xml:space="preserve">do not prohibit </w:t>
      </w:r>
      <w:r w:rsidR="00A513EB">
        <w:t xml:space="preserve">their </w:t>
      </w:r>
      <w:r w:rsidR="00CB41F0">
        <w:t>use in research and clinical trials</w:t>
      </w:r>
      <w:r w:rsidR="00A513EB">
        <w:t xml:space="preserve">. </w:t>
      </w:r>
      <w:r w:rsidR="00976AD8">
        <w:t>While my decision</w:t>
      </w:r>
      <w:r w:rsidR="00A52D43">
        <w:t>s</w:t>
      </w:r>
      <w:r w:rsidR="00976AD8">
        <w:t xml:space="preserve"> restrict therapeutic use of the Substances to the indications specified in each of the new Schedule 8 entries, it should be noted that the Schedule 9 entry has no such restrictions on the indications that can be investigated for the Substances in clinical research. </w:t>
      </w:r>
      <w:r w:rsidR="00E8347B">
        <w:t>I note with interest that at the time of writing</w:t>
      </w:r>
      <w:r w:rsidR="0013388E">
        <w:t xml:space="preserve"> </w:t>
      </w:r>
      <w:r w:rsidR="00357E6E">
        <w:t xml:space="preserve">this decision </w:t>
      </w:r>
      <w:r w:rsidR="00E8347B">
        <w:t xml:space="preserve">there are three Phase </w:t>
      </w:r>
      <w:r w:rsidR="00357E6E">
        <w:t>II</w:t>
      </w:r>
      <w:r w:rsidR="00E8347B">
        <w:t xml:space="preserve"> clinical trials in Australia that are recruiting patients to investigate the use of </w:t>
      </w:r>
      <w:proofErr w:type="spellStart"/>
      <w:r w:rsidR="00E8347B">
        <w:t>psilocybine</w:t>
      </w:r>
      <w:proofErr w:type="spellEnd"/>
      <w:r w:rsidR="00E8347B">
        <w:t xml:space="preserve"> in the treatment of depression and/or anxiety disorders, and one mixed </w:t>
      </w:r>
      <w:r w:rsidR="00921DA5">
        <w:t xml:space="preserve">Phase I/II </w:t>
      </w:r>
      <w:r w:rsidR="00E8347B">
        <w:t xml:space="preserve">trial investigating the use of MDMA-assisted psychotherapy for the treatment of </w:t>
      </w:r>
      <w:r w:rsidR="00C27566">
        <w:t>PTSD</w:t>
      </w:r>
      <w:r w:rsidR="00E8347B">
        <w:t>.</w:t>
      </w:r>
      <w:r w:rsidR="0071530B">
        <w:t xml:space="preserve"> </w:t>
      </w:r>
      <w:r>
        <w:t xml:space="preserve">These trials are in addition to the </w:t>
      </w:r>
      <w:r w:rsidR="00841987" w:rsidRPr="002A1C3F">
        <w:t>second MAPS-sponsored Phase III trial of MDMA-assisted therapy for PTSD</w:t>
      </w:r>
      <w:r>
        <w:t>,</w:t>
      </w:r>
      <w:r w:rsidR="00841987">
        <w:rPr>
          <w:rStyle w:val="FootnoteReference"/>
        </w:rPr>
        <w:footnoteReference w:id="6"/>
      </w:r>
      <w:r>
        <w:t xml:space="preserve"> which was recently completed and is expected to have results publicly available </w:t>
      </w:r>
      <w:r w:rsidR="00EC4ABD">
        <w:t xml:space="preserve">later </w:t>
      </w:r>
      <w:r>
        <w:t>in 2023</w:t>
      </w:r>
      <w:r w:rsidR="00A52D43">
        <w:rPr>
          <w:rStyle w:val="FootnoteReference"/>
        </w:rPr>
        <w:footnoteReference w:id="7"/>
      </w:r>
      <w:r w:rsidR="004B6723">
        <w:t>, and the Swinburne University trial investigat</w:t>
      </w:r>
      <w:r w:rsidR="00083769">
        <w:t>ing</w:t>
      </w:r>
      <w:r w:rsidR="004B6723">
        <w:t xml:space="preserve"> </w:t>
      </w:r>
      <w:proofErr w:type="spellStart"/>
      <w:r w:rsidR="004B6723">
        <w:t>psilocybine</w:t>
      </w:r>
      <w:proofErr w:type="spellEnd"/>
      <w:r w:rsidR="004B6723">
        <w:t xml:space="preserve"> for the treatment of TRD</w:t>
      </w:r>
      <w:r w:rsidR="00083769">
        <w:t>,</w:t>
      </w:r>
      <w:r w:rsidR="004B6723">
        <w:t xml:space="preserve"> which will commence in 2023.</w:t>
      </w:r>
      <w:r w:rsidR="004B6723">
        <w:rPr>
          <w:rStyle w:val="FootnoteReference"/>
        </w:rPr>
        <w:footnoteReference w:id="8"/>
      </w:r>
      <w:r>
        <w:t xml:space="preserve"> </w:t>
      </w:r>
      <w:r w:rsidR="00976AD8">
        <w:t xml:space="preserve">The </w:t>
      </w:r>
      <w:r w:rsidR="00976AD8">
        <w:lastRenderedPageBreak/>
        <w:t>evidence arising from current and future trials investigating the therapeutic benefits of the Substances will continue to be monitored and considered in the context of any future applications to further amend the scheduling for the Substances.</w:t>
      </w:r>
    </w:p>
    <w:p w14:paraId="4F67D352" w14:textId="3611B74A" w:rsidR="009969F5" w:rsidRDefault="00C93BB0" w:rsidP="00134004">
      <w:r>
        <w:t>T</w:t>
      </w:r>
      <w:r w:rsidR="001D144E">
        <w:t>o address a point raised in many of the public submissions, I</w:t>
      </w:r>
      <w:r w:rsidR="00865EFD">
        <w:t xml:space="preserve"> would like to reiterate that the term “</w:t>
      </w:r>
      <w:proofErr w:type="spellStart"/>
      <w:r w:rsidR="00865EFD">
        <w:t>psilocybine</w:t>
      </w:r>
      <w:proofErr w:type="spellEnd"/>
      <w:r w:rsidR="00865EFD">
        <w:t xml:space="preserve">” is included in the Poisons Standard, as this is the International </w:t>
      </w:r>
      <w:proofErr w:type="spellStart"/>
      <w:r w:rsidR="00865EFD">
        <w:t>Nonproprietary</w:t>
      </w:r>
      <w:proofErr w:type="spellEnd"/>
      <w:r w:rsidR="00865EFD">
        <w:t xml:space="preserve"> Name (INN) and British Approved Name (BAN) for the substance, and is the spelling used in the </w:t>
      </w:r>
      <w:hyperlink r:id="rId32" w:history="1">
        <w:r w:rsidR="00865EFD" w:rsidRPr="00865EFD">
          <w:rPr>
            <w:rStyle w:val="Hyperlink"/>
          </w:rPr>
          <w:t>United Nations Convention on Psychotropic Substances 1971</w:t>
        </w:r>
      </w:hyperlink>
      <w:r w:rsidR="00865EFD">
        <w:t>.</w:t>
      </w:r>
      <w:r w:rsidR="00A52D43">
        <w:t xml:space="preserve"> The substance is also commonly known by its synonym, “psilocybin”.</w:t>
      </w:r>
    </w:p>
    <w:p w14:paraId="126BB9B6" w14:textId="1BCC846E" w:rsidR="0077542B" w:rsidRDefault="0077542B" w:rsidP="0077542B">
      <w:pPr>
        <w:pStyle w:val="Heading5"/>
      </w:pPr>
      <w:r>
        <w:t>Implementation date</w:t>
      </w:r>
    </w:p>
    <w:p w14:paraId="29F50892" w14:textId="7BD3A5FA" w:rsidR="00E06A1B" w:rsidRPr="003E4137" w:rsidRDefault="0077542B" w:rsidP="003E4137">
      <w:pPr>
        <w:pStyle w:val="ListBullet"/>
        <w:numPr>
          <w:ilvl w:val="0"/>
          <w:numId w:val="0"/>
        </w:numPr>
      </w:pPr>
      <w:r>
        <w:t xml:space="preserve">1 </w:t>
      </w:r>
      <w:r w:rsidR="002614B0">
        <w:t xml:space="preserve">July </w:t>
      </w:r>
      <w:r>
        <w:t>2023</w:t>
      </w:r>
      <w:bookmarkStart w:id="31" w:name="_Final_decision_in_2"/>
      <w:bookmarkEnd w:id="31"/>
    </w:p>
    <w:sectPr w:rsidR="00E06A1B" w:rsidRPr="003E4137" w:rsidSect="003A48A2">
      <w:headerReference w:type="default" r:id="rId33"/>
      <w:footerReference w:type="default" r:id="rId34"/>
      <w:headerReference w:type="first" r:id="rId35"/>
      <w:footerReference w:type="first" r:id="rId36"/>
      <w:type w:val="continuous"/>
      <w:pgSz w:w="11906" w:h="16838" w:code="9"/>
      <w:pgMar w:top="1134" w:right="1418" w:bottom="1361" w:left="1418" w:header="42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553C0" w14:textId="77777777" w:rsidR="0020028F" w:rsidRDefault="0020028F" w:rsidP="00C40A36">
      <w:pPr>
        <w:spacing w:after="0"/>
      </w:pPr>
      <w:r>
        <w:separator/>
      </w:r>
    </w:p>
  </w:endnote>
  <w:endnote w:type="continuationSeparator" w:id="0">
    <w:p w14:paraId="0C4EF2A3" w14:textId="77777777" w:rsidR="0020028F" w:rsidRDefault="0020028F"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382"/>
    </w:tblGrid>
    <w:tr w:rsidR="00E40BD2" w:rsidRPr="00257138" w14:paraId="14B40608" w14:textId="77777777" w:rsidTr="009B00CC">
      <w:trPr>
        <w:trHeight w:val="423"/>
      </w:trPr>
      <w:tc>
        <w:tcPr>
          <w:tcW w:w="7338" w:type="dxa"/>
          <w:tcBorders>
            <w:top w:val="single" w:sz="4" w:space="0" w:color="auto"/>
          </w:tcBorders>
        </w:tcPr>
        <w:p w14:paraId="01C0B506" w14:textId="77777777" w:rsidR="00E40BD2" w:rsidRDefault="00E40BD2" w:rsidP="003F3095">
          <w:pPr>
            <w:pStyle w:val="Footer"/>
          </w:pPr>
          <w:r>
            <w:t>Record of the 29th meeting of the Advisory Committee on Medicines Scheduling</w:t>
          </w:r>
        </w:p>
        <w:p w14:paraId="5C7A2176" w14:textId="13ECDCE6" w:rsidR="00E40BD2" w:rsidRPr="00257138" w:rsidRDefault="00E40BD2" w:rsidP="003F3095">
          <w:pPr>
            <w:pStyle w:val="Footer"/>
          </w:pPr>
          <w:r>
            <w:t>12 March 2020</w:t>
          </w:r>
          <w:r>
            <w:br/>
          </w:r>
        </w:p>
      </w:tc>
      <w:tc>
        <w:tcPr>
          <w:tcW w:w="1382" w:type="dxa"/>
          <w:tcBorders>
            <w:top w:val="single" w:sz="4" w:space="0" w:color="auto"/>
          </w:tcBorders>
        </w:tcPr>
        <w:sdt>
          <w:sdtPr>
            <w:id w:val="21514580"/>
            <w:docPartObj>
              <w:docPartGallery w:val="Page Numbers (Top of Page)"/>
              <w:docPartUnique/>
            </w:docPartObj>
          </w:sdtPr>
          <w:sdtEndPr/>
          <w:sdtContent>
            <w:p w14:paraId="54629571" w14:textId="77777777" w:rsidR="00E40BD2" w:rsidRDefault="00E40BD2" w:rsidP="00782870">
              <w:pPr>
                <w:pStyle w:val="Footer"/>
                <w:jc w:val="right"/>
              </w:pPr>
            </w:p>
            <w:p w14:paraId="650BE744" w14:textId="16F39822" w:rsidR="00E40BD2" w:rsidRPr="00257138" w:rsidRDefault="00E40BD2" w:rsidP="00782870">
              <w:pPr>
                <w:pStyle w:val="Footer"/>
                <w:jc w:val="right"/>
              </w:pPr>
              <w:r w:rsidRPr="00257138">
                <w:t xml:space="preserve">Page </w:t>
              </w:r>
              <w:r>
                <w:fldChar w:fldCharType="begin"/>
              </w:r>
              <w:r>
                <w:instrText xml:space="preserve"> PAGE </w:instrText>
              </w:r>
              <w:r>
                <w:fldChar w:fldCharType="separate"/>
              </w:r>
              <w:r w:rsidR="00ED6B23">
                <w:rPr>
                  <w:noProof/>
                </w:rPr>
                <w:t>2</w:t>
              </w:r>
              <w:r>
                <w:rPr>
                  <w:noProof/>
                </w:rPr>
                <w:fldChar w:fldCharType="end"/>
              </w:r>
              <w:r w:rsidRPr="00257138">
                <w:t xml:space="preserve"> of </w:t>
              </w:r>
              <w:r w:rsidR="00611169">
                <w:fldChar w:fldCharType="begin"/>
              </w:r>
              <w:r w:rsidR="00611169">
                <w:instrText xml:space="preserve"> NUMPAGES  </w:instrText>
              </w:r>
              <w:r w:rsidR="00611169">
                <w:fldChar w:fldCharType="separate"/>
              </w:r>
              <w:r w:rsidR="00ED6B23">
                <w:rPr>
                  <w:noProof/>
                </w:rPr>
                <w:t>6</w:t>
              </w:r>
              <w:r w:rsidR="00611169">
                <w:rPr>
                  <w:noProof/>
                </w:rPr>
                <w:fldChar w:fldCharType="end"/>
              </w:r>
            </w:p>
          </w:sdtContent>
        </w:sdt>
      </w:tc>
    </w:tr>
    <w:tr w:rsidR="00E40BD2" w:rsidRPr="00257138" w14:paraId="10AB8BED" w14:textId="77777777" w:rsidTr="009B00CC">
      <w:trPr>
        <w:trHeight w:val="263"/>
      </w:trPr>
      <w:tc>
        <w:tcPr>
          <w:tcW w:w="7338" w:type="dxa"/>
        </w:tcPr>
        <w:p w14:paraId="59580AB7" w14:textId="19B73688" w:rsidR="00E40BD2" w:rsidRPr="00257138" w:rsidRDefault="00E40BD2" w:rsidP="00782870">
          <w:pPr>
            <w:pStyle w:val="Footer"/>
          </w:pPr>
        </w:p>
      </w:tc>
      <w:tc>
        <w:tcPr>
          <w:tcW w:w="1382" w:type="dxa"/>
        </w:tcPr>
        <w:p w14:paraId="219FF5F5" w14:textId="77777777" w:rsidR="00E40BD2" w:rsidRPr="00257138" w:rsidRDefault="00E40BD2" w:rsidP="00782870">
          <w:pPr>
            <w:pStyle w:val="Footer"/>
            <w:jc w:val="right"/>
          </w:pPr>
        </w:p>
      </w:tc>
    </w:tr>
  </w:tbl>
  <w:p w14:paraId="2023C75C" w14:textId="77777777" w:rsidR="00E40BD2" w:rsidRPr="00826007" w:rsidRDefault="00E40BD2" w:rsidP="002001F1">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7338"/>
      <w:gridCol w:w="1734"/>
    </w:tblGrid>
    <w:tr w:rsidR="00E40BD2" w:rsidRPr="00257138" w14:paraId="11075AFF" w14:textId="77777777" w:rsidTr="00AE3703">
      <w:trPr>
        <w:trHeight w:val="423"/>
      </w:trPr>
      <w:tc>
        <w:tcPr>
          <w:tcW w:w="7338" w:type="dxa"/>
        </w:tcPr>
        <w:p w14:paraId="13E7B9DF" w14:textId="646845CE" w:rsidR="00E40BD2" w:rsidRPr="00257138" w:rsidRDefault="00516E40">
          <w:pPr>
            <w:pStyle w:val="Footer"/>
          </w:pPr>
          <w:r>
            <w:t>Delegate’s final decisions and reasons for decisions</w:t>
          </w:r>
          <w:r w:rsidR="007147E1">
            <w:t xml:space="preserve"> in relation to </w:t>
          </w:r>
          <w:proofErr w:type="spellStart"/>
          <w:r w:rsidR="007147E1">
            <w:t>psilocybine</w:t>
          </w:r>
          <w:proofErr w:type="spellEnd"/>
          <w:r w:rsidR="007147E1">
            <w:t xml:space="preserve"> and MDMA</w:t>
          </w:r>
          <w:r>
            <w:t xml:space="preserve"> (</w:t>
          </w:r>
          <w:r w:rsidR="00E81BC9">
            <w:t>ACMS#</w:t>
          </w:r>
          <w:r w:rsidR="00792B5F">
            <w:t>38</w:t>
          </w:r>
          <w:r w:rsidR="007147E1">
            <w:t xml:space="preserve">, </w:t>
          </w:r>
          <w:r w:rsidR="00792B5F">
            <w:t>June 2022</w:t>
          </w:r>
          <w:r>
            <w:t>)</w:t>
          </w:r>
          <w:r w:rsidR="00E40BD2">
            <w:br/>
          </w:r>
        </w:p>
      </w:tc>
      <w:tc>
        <w:tcPr>
          <w:tcW w:w="1734" w:type="dxa"/>
        </w:tcPr>
        <w:sdt>
          <w:sdtPr>
            <w:id w:val="6788836"/>
            <w:docPartObj>
              <w:docPartGallery w:val="Page Numbers (Top of Page)"/>
              <w:docPartUnique/>
            </w:docPartObj>
          </w:sdtPr>
          <w:sdtEndPr/>
          <w:sdtContent>
            <w:p w14:paraId="3BD26206" w14:textId="7BDCABDC" w:rsidR="00E40BD2" w:rsidRPr="00257138" w:rsidRDefault="00E40BD2" w:rsidP="009468C6">
              <w:pPr>
                <w:pStyle w:val="Footer"/>
                <w:jc w:val="right"/>
              </w:pPr>
              <w:r w:rsidRPr="00257138">
                <w:t xml:space="preserve">Page </w:t>
              </w:r>
              <w:r>
                <w:fldChar w:fldCharType="begin"/>
              </w:r>
              <w:r>
                <w:instrText xml:space="preserve"> PAGE </w:instrText>
              </w:r>
              <w:r>
                <w:fldChar w:fldCharType="separate"/>
              </w:r>
              <w:r w:rsidR="004B32D0">
                <w:rPr>
                  <w:noProof/>
                </w:rPr>
                <w:t>14</w:t>
              </w:r>
              <w:r>
                <w:fldChar w:fldCharType="end"/>
              </w:r>
              <w:r w:rsidRPr="00257138">
                <w:t xml:space="preserve"> of </w:t>
              </w:r>
              <w:r w:rsidR="00611169">
                <w:fldChar w:fldCharType="begin"/>
              </w:r>
              <w:r w:rsidR="00611169">
                <w:instrText xml:space="preserve"> NUMPAGES  </w:instrText>
              </w:r>
              <w:r w:rsidR="00611169">
                <w:fldChar w:fldCharType="separate"/>
              </w:r>
              <w:r w:rsidR="004B32D0">
                <w:rPr>
                  <w:noProof/>
                </w:rPr>
                <w:t>14</w:t>
              </w:r>
              <w:r w:rsidR="00611169">
                <w:rPr>
                  <w:noProof/>
                </w:rPr>
                <w:fldChar w:fldCharType="end"/>
              </w:r>
            </w:p>
          </w:sdtContent>
        </w:sdt>
      </w:tc>
    </w:tr>
  </w:tbl>
  <w:p w14:paraId="623AA1CE" w14:textId="77777777" w:rsidR="00E40BD2" w:rsidRPr="00826007" w:rsidRDefault="00E40BD2" w:rsidP="002001F1">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7338"/>
      <w:gridCol w:w="1734"/>
    </w:tblGrid>
    <w:tr w:rsidR="00E40BD2" w:rsidRPr="00257138" w14:paraId="76052F65" w14:textId="77777777" w:rsidTr="002A7487">
      <w:trPr>
        <w:trHeight w:val="423"/>
      </w:trPr>
      <w:tc>
        <w:tcPr>
          <w:tcW w:w="7338" w:type="dxa"/>
        </w:tcPr>
        <w:p w14:paraId="6A331473" w14:textId="4875FC0C" w:rsidR="00E40BD2" w:rsidRPr="00257138" w:rsidRDefault="00656080">
          <w:pPr>
            <w:pStyle w:val="Footer"/>
          </w:pPr>
          <w:r>
            <w:t xml:space="preserve">Delegate’s final decisions and reasons for decisions in relation to </w:t>
          </w:r>
          <w:proofErr w:type="spellStart"/>
          <w:r>
            <w:t>psilocybine</w:t>
          </w:r>
          <w:proofErr w:type="spellEnd"/>
          <w:r>
            <w:t xml:space="preserve"> and MDMA (ACMS#38, June 2022)</w:t>
          </w:r>
        </w:p>
      </w:tc>
      <w:tc>
        <w:tcPr>
          <w:tcW w:w="1734" w:type="dxa"/>
        </w:tcPr>
        <w:sdt>
          <w:sdtPr>
            <w:id w:val="5342774"/>
            <w:docPartObj>
              <w:docPartGallery w:val="Page Numbers (Top of Page)"/>
              <w:docPartUnique/>
            </w:docPartObj>
          </w:sdtPr>
          <w:sdtEndPr/>
          <w:sdtContent>
            <w:p w14:paraId="44A48167" w14:textId="6E064382" w:rsidR="00E40BD2" w:rsidRPr="00257138" w:rsidRDefault="00E40BD2" w:rsidP="003A48A2">
              <w:pPr>
                <w:pStyle w:val="Footer"/>
                <w:jc w:val="right"/>
              </w:pPr>
              <w:r w:rsidRPr="00257138">
                <w:t xml:space="preserve">Page </w:t>
              </w:r>
              <w:r>
                <w:fldChar w:fldCharType="begin"/>
              </w:r>
              <w:r>
                <w:instrText xml:space="preserve"> PAGE </w:instrText>
              </w:r>
              <w:r>
                <w:fldChar w:fldCharType="separate"/>
              </w:r>
              <w:r w:rsidR="004B32D0">
                <w:rPr>
                  <w:noProof/>
                </w:rPr>
                <w:t>2</w:t>
              </w:r>
              <w:r>
                <w:rPr>
                  <w:noProof/>
                </w:rPr>
                <w:fldChar w:fldCharType="end"/>
              </w:r>
              <w:r w:rsidRPr="00257138">
                <w:t xml:space="preserve"> of </w:t>
              </w:r>
              <w:r w:rsidR="00611169">
                <w:fldChar w:fldCharType="begin"/>
              </w:r>
              <w:r w:rsidR="00611169">
                <w:instrText xml:space="preserve"> NUMPAGES  </w:instrText>
              </w:r>
              <w:r w:rsidR="00611169">
                <w:fldChar w:fldCharType="separate"/>
              </w:r>
              <w:r w:rsidR="004B32D0">
                <w:rPr>
                  <w:noProof/>
                </w:rPr>
                <w:t>14</w:t>
              </w:r>
              <w:r w:rsidR="00611169">
                <w:rPr>
                  <w:noProof/>
                </w:rPr>
                <w:fldChar w:fldCharType="end"/>
              </w:r>
            </w:p>
          </w:sdtContent>
        </w:sdt>
      </w:tc>
    </w:tr>
  </w:tbl>
  <w:p w14:paraId="3FF833DF" w14:textId="77777777" w:rsidR="00E40BD2" w:rsidRDefault="00E4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CF089" w14:textId="77777777" w:rsidR="0020028F" w:rsidRDefault="0020028F" w:rsidP="00C40A36">
      <w:pPr>
        <w:spacing w:after="0"/>
      </w:pPr>
      <w:r>
        <w:separator/>
      </w:r>
    </w:p>
  </w:footnote>
  <w:footnote w:type="continuationSeparator" w:id="0">
    <w:p w14:paraId="2B89C9CE" w14:textId="77777777" w:rsidR="0020028F" w:rsidRDefault="0020028F" w:rsidP="00C40A36">
      <w:pPr>
        <w:spacing w:after="0"/>
      </w:pPr>
      <w:r>
        <w:continuationSeparator/>
      </w:r>
    </w:p>
  </w:footnote>
  <w:footnote w:id="1">
    <w:p w14:paraId="76BF7115" w14:textId="6B609DD2" w:rsidR="00A53DC8" w:rsidRPr="00C51785" w:rsidRDefault="00A53DC8">
      <w:pPr>
        <w:pStyle w:val="FootnoteText"/>
        <w:rPr>
          <w:sz w:val="18"/>
          <w:szCs w:val="18"/>
        </w:rPr>
      </w:pPr>
      <w:r w:rsidRPr="00C51785">
        <w:rPr>
          <w:rStyle w:val="FootnoteReference"/>
          <w:sz w:val="18"/>
          <w:szCs w:val="18"/>
        </w:rPr>
        <w:footnoteRef/>
      </w:r>
      <w:r w:rsidRPr="00C51785">
        <w:rPr>
          <w:sz w:val="18"/>
          <w:szCs w:val="18"/>
        </w:rPr>
        <w:t xml:space="preserve"> For the purposes of s 52D of the </w:t>
      </w:r>
      <w:r w:rsidRPr="00C51785">
        <w:rPr>
          <w:i/>
          <w:iCs/>
          <w:sz w:val="18"/>
          <w:szCs w:val="18"/>
        </w:rPr>
        <w:t>Therapeutic Goods Act 1989</w:t>
      </w:r>
      <w:r w:rsidRPr="00C51785">
        <w:rPr>
          <w:sz w:val="18"/>
          <w:szCs w:val="18"/>
        </w:rPr>
        <w:t xml:space="preserve"> (</w:t>
      </w:r>
      <w:proofErr w:type="spellStart"/>
      <w:r w:rsidRPr="00C51785">
        <w:rPr>
          <w:sz w:val="18"/>
          <w:szCs w:val="18"/>
        </w:rPr>
        <w:t>Cth</w:t>
      </w:r>
      <w:proofErr w:type="spellEnd"/>
      <w:r w:rsidRPr="00C51785">
        <w:rPr>
          <w:sz w:val="18"/>
          <w:szCs w:val="18"/>
        </w:rPr>
        <w:t xml:space="preserve">). </w:t>
      </w:r>
    </w:p>
  </w:footnote>
  <w:footnote w:id="2">
    <w:p w14:paraId="563511B7" w14:textId="702CB4AE" w:rsidR="002504C2" w:rsidRPr="005A2385" w:rsidRDefault="002504C2">
      <w:pPr>
        <w:pStyle w:val="FootnoteText"/>
        <w:rPr>
          <w:sz w:val="18"/>
          <w:szCs w:val="18"/>
        </w:rPr>
      </w:pPr>
      <w:r w:rsidRPr="005A2385">
        <w:rPr>
          <w:rStyle w:val="FootnoteReference"/>
          <w:sz w:val="18"/>
          <w:szCs w:val="18"/>
        </w:rPr>
        <w:footnoteRef/>
      </w:r>
      <w:r w:rsidRPr="005A2385">
        <w:rPr>
          <w:sz w:val="18"/>
          <w:szCs w:val="18"/>
        </w:rPr>
        <w:t xml:space="preserve"> </w:t>
      </w:r>
      <w:bookmarkStart w:id="29" w:name="_Hlk117709548"/>
      <w:r w:rsidR="005A2385" w:rsidRPr="005A2385">
        <w:rPr>
          <w:sz w:val="18"/>
          <w:szCs w:val="18"/>
        </w:rPr>
        <w:t xml:space="preserve">Proposed additions are shown in green underlined font, proposed deletions are shown in red strikethrough font, and text without this formatting represents the current text in the Poisons Standard. </w:t>
      </w:r>
      <w:bookmarkEnd w:id="29"/>
    </w:p>
  </w:footnote>
  <w:footnote w:id="3">
    <w:p w14:paraId="7CAF5791" w14:textId="77777777" w:rsidR="00463F45" w:rsidRDefault="00792B5F" w:rsidP="00617489">
      <w:pPr>
        <w:spacing w:before="0" w:after="0"/>
        <w:contextualSpacing/>
      </w:pPr>
      <w:r w:rsidRPr="00C51785">
        <w:rPr>
          <w:rStyle w:val="FootnoteReference"/>
          <w:sz w:val="18"/>
          <w:szCs w:val="16"/>
        </w:rPr>
        <w:footnoteRef/>
      </w:r>
      <w:r w:rsidRPr="00C51785">
        <w:rPr>
          <w:sz w:val="18"/>
          <w:szCs w:val="16"/>
        </w:rPr>
        <w:t xml:space="preserve"> Established under sections 52B and 52C of the </w:t>
      </w:r>
      <w:r w:rsidRPr="00C51785">
        <w:rPr>
          <w:i/>
          <w:iCs/>
          <w:sz w:val="18"/>
          <w:szCs w:val="16"/>
        </w:rPr>
        <w:t>Therapeutic Goods Act 1989</w:t>
      </w:r>
      <w:r w:rsidRPr="00C51785">
        <w:rPr>
          <w:sz w:val="18"/>
          <w:szCs w:val="16"/>
        </w:rPr>
        <w:t xml:space="preserve"> (</w:t>
      </w:r>
      <w:proofErr w:type="spellStart"/>
      <w:r w:rsidRPr="00C51785">
        <w:rPr>
          <w:sz w:val="18"/>
          <w:szCs w:val="16"/>
        </w:rPr>
        <w:t>Cth</w:t>
      </w:r>
      <w:proofErr w:type="spellEnd"/>
      <w:r w:rsidRPr="00C51785">
        <w:rPr>
          <w:sz w:val="18"/>
          <w:szCs w:val="16"/>
        </w:rPr>
        <w:t>).</w:t>
      </w:r>
    </w:p>
  </w:footnote>
  <w:footnote w:id="4">
    <w:p w14:paraId="67612622" w14:textId="395FA381" w:rsidR="00617489" w:rsidRPr="00617489" w:rsidRDefault="00617489">
      <w:pPr>
        <w:pStyle w:val="FootnoteText"/>
        <w:contextualSpacing/>
        <w:rPr>
          <w:sz w:val="18"/>
          <w:szCs w:val="18"/>
        </w:rPr>
      </w:pPr>
      <w:r w:rsidRPr="00617489">
        <w:rPr>
          <w:rStyle w:val="FootnoteReference"/>
          <w:sz w:val="18"/>
          <w:szCs w:val="18"/>
        </w:rPr>
        <w:footnoteRef/>
      </w:r>
      <w:r w:rsidRPr="00617489">
        <w:rPr>
          <w:sz w:val="18"/>
          <w:szCs w:val="18"/>
        </w:rPr>
        <w:t xml:space="preserve"> </w:t>
      </w:r>
      <w:r w:rsidRPr="00EF5254">
        <w:rPr>
          <w:sz w:val="18"/>
          <w:szCs w:val="18"/>
        </w:rPr>
        <w:t xml:space="preserve">Goodwin et al, N </w:t>
      </w:r>
      <w:proofErr w:type="spellStart"/>
      <w:r w:rsidRPr="00EF5254">
        <w:rPr>
          <w:sz w:val="18"/>
          <w:szCs w:val="18"/>
        </w:rPr>
        <w:t>Engl</w:t>
      </w:r>
      <w:proofErr w:type="spellEnd"/>
      <w:r w:rsidRPr="00EF5254">
        <w:rPr>
          <w:sz w:val="18"/>
          <w:szCs w:val="18"/>
        </w:rPr>
        <w:t xml:space="preserve"> J Med 2022; 387:1637-1648</w:t>
      </w:r>
      <w:r w:rsidR="00EF5254">
        <w:rPr>
          <w:sz w:val="18"/>
          <w:szCs w:val="18"/>
        </w:rPr>
        <w:t xml:space="preserve"> </w:t>
      </w:r>
      <w:hyperlink r:id="rId1" w:history="1">
        <w:r w:rsidR="00EF5254" w:rsidRPr="00EF5254">
          <w:rPr>
            <w:rStyle w:val="Hyperlink"/>
            <w:sz w:val="18"/>
            <w:szCs w:val="18"/>
          </w:rPr>
          <w:t>https://www.nejm.org/doi/full/10.1056/NEJMoa2206443</w:t>
        </w:r>
      </w:hyperlink>
    </w:p>
  </w:footnote>
  <w:footnote w:id="5">
    <w:p w14:paraId="1052EBD4" w14:textId="77777777" w:rsidR="00DE65DB" w:rsidRDefault="00DE65DB" w:rsidP="00DE65DB">
      <w:pPr>
        <w:pStyle w:val="FootnoteText"/>
      </w:pPr>
      <w:r>
        <w:rPr>
          <w:rStyle w:val="FootnoteReference"/>
        </w:rPr>
        <w:footnoteRef/>
      </w:r>
      <w:r>
        <w:t xml:space="preserve"> RANZCP clinical memorandum of the therapeutic use of psychedelic substances, July 2022 </w:t>
      </w:r>
      <w:hyperlink r:id="rId2" w:history="1">
        <w:r w:rsidRPr="00A92223">
          <w:rPr>
            <w:rStyle w:val="Hyperlink"/>
          </w:rPr>
          <w:t>http://www.ranzcp.org/files/resources/college_statements/clinical_memoranda/cm-therapeutic-use-of-psychedelics.aspx</w:t>
        </w:r>
      </w:hyperlink>
    </w:p>
  </w:footnote>
  <w:footnote w:id="6">
    <w:p w14:paraId="308E9E87" w14:textId="3C2134C5" w:rsidR="00841987" w:rsidRDefault="00841987">
      <w:pPr>
        <w:pStyle w:val="FootnoteText"/>
      </w:pPr>
      <w:r>
        <w:rPr>
          <w:rStyle w:val="FootnoteReference"/>
        </w:rPr>
        <w:footnoteRef/>
      </w:r>
      <w:r>
        <w:t xml:space="preserve"> </w:t>
      </w:r>
      <w:r w:rsidR="00A52D43">
        <w:t>https://</w:t>
      </w:r>
      <w:r w:rsidRPr="00841987">
        <w:t>maps.org/2022/11/17/mapp2-second-maps-sponsored-phase-3-trial-of-mdma-assisted-therapy-for-ptsd-completed/</w:t>
      </w:r>
    </w:p>
  </w:footnote>
  <w:footnote w:id="7">
    <w:p w14:paraId="7B8C2380" w14:textId="656F7E24" w:rsidR="00A52D43" w:rsidRDefault="00A52D43">
      <w:pPr>
        <w:pStyle w:val="FootnoteText"/>
      </w:pPr>
      <w:r>
        <w:rPr>
          <w:rStyle w:val="FootnoteReference"/>
        </w:rPr>
        <w:footnoteRef/>
      </w:r>
      <w:r>
        <w:t xml:space="preserve"> </w:t>
      </w:r>
      <w:r w:rsidRPr="00A52D43">
        <w:t>https://maps.org/2023/01/05/prior-positive-results-confirmed/</w:t>
      </w:r>
    </w:p>
  </w:footnote>
  <w:footnote w:id="8">
    <w:p w14:paraId="67061D2D" w14:textId="7C645FF3" w:rsidR="004B6723" w:rsidRDefault="004B6723">
      <w:pPr>
        <w:pStyle w:val="FootnoteText"/>
      </w:pPr>
      <w:r>
        <w:rPr>
          <w:rStyle w:val="FootnoteReference"/>
        </w:rPr>
        <w:footnoteRef/>
      </w:r>
      <w:r>
        <w:t xml:space="preserve"> </w:t>
      </w:r>
      <w:r w:rsidRPr="004B6723">
        <w:t>https://www.swinburne.edu.au/news/2023/01/Australias-biggest-research-trial-using-psychedelics-to-treat-depression-to-commence-in-2023/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4035"/>
      <w:gridCol w:w="4685"/>
    </w:tblGrid>
    <w:tr w:rsidR="00E40BD2" w:rsidRPr="00DA24C7" w14:paraId="081A8C01" w14:textId="77777777" w:rsidTr="00F923D6">
      <w:trPr>
        <w:trHeight w:val="709"/>
      </w:trPr>
      <w:tc>
        <w:tcPr>
          <w:tcW w:w="4035" w:type="dxa"/>
        </w:tcPr>
        <w:p w14:paraId="32A34B13" w14:textId="77777777" w:rsidR="00E40BD2" w:rsidRPr="00DA24C7" w:rsidRDefault="00E40BD2" w:rsidP="00DA24C7">
          <w:pPr>
            <w:rPr>
              <w:rStyle w:val="HeaderChar"/>
              <w:sz w:val="32"/>
            </w:rPr>
          </w:pPr>
          <w:r w:rsidRPr="00DA24C7">
            <w:rPr>
              <w:rStyle w:val="HeaderChar"/>
              <w:sz w:val="32"/>
            </w:rPr>
            <w:t>INTERNAL USE ONLY</w:t>
          </w:r>
        </w:p>
      </w:tc>
      <w:tc>
        <w:tcPr>
          <w:tcW w:w="4685" w:type="dxa"/>
          <w:tcBorders>
            <w:bottom w:val="single" w:sz="4" w:space="0" w:color="auto"/>
          </w:tcBorders>
          <w:vAlign w:val="bottom"/>
        </w:tcPr>
        <w:p w14:paraId="3D83E5FA" w14:textId="77777777" w:rsidR="00E40BD2" w:rsidRPr="000F5176" w:rsidRDefault="00E40BD2" w:rsidP="000F5176">
          <w:pPr>
            <w:pStyle w:val="HeaderNoLine"/>
            <w:rPr>
              <w:rStyle w:val="HeaderChar"/>
            </w:rPr>
          </w:pPr>
          <w:r w:rsidRPr="000F5176">
            <w:t>Therapeutic Goods Administration</w:t>
          </w:r>
        </w:p>
      </w:tc>
    </w:tr>
  </w:tbl>
  <w:p w14:paraId="7D79B037" w14:textId="77777777" w:rsidR="00E40BD2" w:rsidRDefault="00E40BD2" w:rsidP="00F923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314CE" w14:textId="60332676" w:rsidR="00E40BD2" w:rsidRDefault="00E04ABD" w:rsidP="006E08B3">
    <w:pPr>
      <w:rPr>
        <w:noProof/>
      </w:rPr>
    </w:pPr>
    <w:r w:rsidRPr="00F3255D">
      <w:rPr>
        <w:noProof/>
        <w:lang w:eastAsia="en-AU"/>
      </w:rPr>
      <w:drawing>
        <wp:anchor distT="0" distB="0" distL="114300" distR="114300" simplePos="0" relativeHeight="251664384" behindDoc="0" locked="0" layoutInCell="1" allowOverlap="1" wp14:anchorId="25575D01" wp14:editId="60006046">
          <wp:simplePos x="0" y="0"/>
          <wp:positionH relativeFrom="column">
            <wp:posOffset>-194310</wp:posOffset>
          </wp:positionH>
          <wp:positionV relativeFrom="paragraph">
            <wp:posOffset>133350</wp:posOffset>
          </wp:positionV>
          <wp:extent cx="3524400" cy="820800"/>
          <wp:effectExtent l="0" t="0" r="0" b="0"/>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24400" cy="820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CE47A24" w14:textId="29E36093" w:rsidR="00E40BD2" w:rsidRDefault="00317355" w:rsidP="006D03E5">
    <w:r>
      <w:rPr>
        <w:noProof/>
        <w:lang w:eastAsia="en-AU"/>
      </w:rPr>
      <w:drawing>
        <wp:anchor distT="0" distB="0" distL="114300" distR="114300" simplePos="0" relativeHeight="251666432" behindDoc="0" locked="0" layoutInCell="0" allowOverlap="1" wp14:anchorId="12FCA66C" wp14:editId="12C02F8A">
          <wp:simplePos x="0" y="0"/>
          <wp:positionH relativeFrom="column">
            <wp:posOffset>-900430</wp:posOffset>
          </wp:positionH>
          <wp:positionV relativeFrom="page">
            <wp:posOffset>4173220</wp:posOffset>
          </wp:positionV>
          <wp:extent cx="7599600" cy="2458800"/>
          <wp:effectExtent l="0" t="0" r="1905" b="0"/>
          <wp:wrapNone/>
          <wp:docPr id="37"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2" cstate="print"/>
                  <a:srcRect/>
                  <a:stretch>
                    <a:fillRect/>
                  </a:stretch>
                </pic:blipFill>
                <pic:spPr bwMode="auto">
                  <a:xfrm>
                    <a:off x="0" y="0"/>
                    <a:ext cx="7599600" cy="245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Borders>
        <w:bottom w:val="single" w:sz="4" w:space="0" w:color="auto"/>
      </w:tblBorders>
      <w:tblCellMar>
        <w:left w:w="0" w:type="dxa"/>
        <w:right w:w="0" w:type="dxa"/>
      </w:tblCellMar>
      <w:tblLook w:val="04A0" w:firstRow="1" w:lastRow="0" w:firstColumn="1" w:lastColumn="0" w:noHBand="0" w:noVBand="1"/>
    </w:tblPr>
    <w:tblGrid>
      <w:gridCol w:w="4035"/>
      <w:gridCol w:w="5037"/>
    </w:tblGrid>
    <w:tr w:rsidR="00E40BD2" w:rsidRPr="00DA24C7" w14:paraId="7C724D59" w14:textId="77777777" w:rsidTr="00AE3703">
      <w:trPr>
        <w:trHeight w:val="558"/>
      </w:trPr>
      <w:tc>
        <w:tcPr>
          <w:tcW w:w="4035" w:type="dxa"/>
          <w:vAlign w:val="center"/>
        </w:tcPr>
        <w:p w14:paraId="047292FC" w14:textId="62B95FE3" w:rsidR="00E40BD2" w:rsidRPr="00EB74A7" w:rsidRDefault="00E40BD2" w:rsidP="00C6376F">
          <w:pPr>
            <w:rPr>
              <w:rStyle w:val="HeaderChar"/>
              <w:rFonts w:ascii="Arial" w:hAnsi="Arial" w:cs="Arial"/>
              <w:b/>
              <w:sz w:val="28"/>
              <w:szCs w:val="28"/>
            </w:rPr>
          </w:pPr>
        </w:p>
      </w:tc>
      <w:tc>
        <w:tcPr>
          <w:tcW w:w="5037" w:type="dxa"/>
          <w:vAlign w:val="center"/>
        </w:tcPr>
        <w:p w14:paraId="3A7D855E" w14:textId="77777777" w:rsidR="00E40BD2" w:rsidRPr="000F5176" w:rsidRDefault="00E40BD2" w:rsidP="00AE3703">
          <w:pPr>
            <w:pStyle w:val="HeaderNoLine"/>
            <w:ind w:right="5"/>
            <w:rPr>
              <w:rStyle w:val="HeaderChar"/>
            </w:rPr>
          </w:pPr>
          <w:r w:rsidRPr="000F5176">
            <w:t>Therapeutic Goods Administration</w:t>
          </w:r>
        </w:p>
      </w:tc>
    </w:tr>
  </w:tbl>
  <w:p w14:paraId="480E463E" w14:textId="77777777" w:rsidR="00E40BD2" w:rsidRDefault="00E40BD2" w:rsidP="0010176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27" w:type="dxa"/>
      <w:tblBorders>
        <w:bottom w:val="single" w:sz="4" w:space="0" w:color="auto"/>
      </w:tblBorders>
      <w:tblCellMar>
        <w:left w:w="0" w:type="dxa"/>
        <w:right w:w="0" w:type="dxa"/>
      </w:tblCellMar>
      <w:tblLook w:val="04A0" w:firstRow="1" w:lastRow="0" w:firstColumn="1" w:lastColumn="0" w:noHBand="0" w:noVBand="1"/>
    </w:tblPr>
    <w:tblGrid>
      <w:gridCol w:w="4186"/>
      <w:gridCol w:w="5041"/>
    </w:tblGrid>
    <w:tr w:rsidR="002A7487" w:rsidRPr="00DA24C7" w14:paraId="6195BDC9" w14:textId="77777777" w:rsidTr="00C22E8E">
      <w:trPr>
        <w:trHeight w:val="588"/>
      </w:trPr>
      <w:tc>
        <w:tcPr>
          <w:tcW w:w="4186" w:type="dxa"/>
          <w:vAlign w:val="center"/>
        </w:tcPr>
        <w:p w14:paraId="6180D540" w14:textId="7975D466" w:rsidR="002A7487" w:rsidRPr="00EB74A7" w:rsidRDefault="002A7487" w:rsidP="002A7487">
          <w:pPr>
            <w:spacing w:before="0" w:after="0"/>
            <w:rPr>
              <w:rStyle w:val="HeaderChar"/>
              <w:rFonts w:ascii="Arial" w:hAnsi="Arial" w:cs="Arial"/>
              <w:b/>
              <w:sz w:val="28"/>
              <w:szCs w:val="28"/>
            </w:rPr>
          </w:pPr>
          <w:bookmarkStart w:id="32" w:name="_Hlk109644329"/>
          <w:bookmarkStart w:id="33" w:name="_Hlk109644330"/>
        </w:p>
      </w:tc>
      <w:tc>
        <w:tcPr>
          <w:tcW w:w="5041" w:type="dxa"/>
          <w:vAlign w:val="center"/>
        </w:tcPr>
        <w:p w14:paraId="2681EE0A" w14:textId="77777777" w:rsidR="002A7487" w:rsidRPr="000F5176" w:rsidRDefault="002A7487" w:rsidP="002A7487">
          <w:pPr>
            <w:pStyle w:val="HeaderNoLine"/>
            <w:spacing w:before="0" w:after="0"/>
            <w:rPr>
              <w:rStyle w:val="HeaderChar"/>
            </w:rPr>
          </w:pPr>
          <w:bookmarkStart w:id="34" w:name="_Hlk109644399"/>
          <w:r w:rsidRPr="000F5176">
            <w:t>Therapeutic Goods Administration</w:t>
          </w:r>
          <w:bookmarkEnd w:id="34"/>
        </w:p>
      </w:tc>
    </w:tr>
    <w:bookmarkEnd w:id="32"/>
    <w:bookmarkEnd w:id="33"/>
  </w:tbl>
  <w:p w14:paraId="3D9C25A3" w14:textId="1D72ED11" w:rsidR="00E40BD2" w:rsidRDefault="00E40BD2" w:rsidP="004E576B">
    <w:pPr>
      <w:tabs>
        <w:tab w:val="left" w:pos="75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0CD6B4"/>
    <w:lvl w:ilvl="0">
      <w:start w:val="1"/>
      <w:numFmt w:val="decimal"/>
      <w:pStyle w:val="BodyText"/>
      <w:lvlText w:val="%1."/>
      <w:lvlJc w:val="left"/>
      <w:pPr>
        <w:tabs>
          <w:tab w:val="num" w:pos="643"/>
        </w:tabs>
        <w:ind w:left="643" w:hanging="360"/>
      </w:pPr>
      <w:rPr>
        <w:rFonts w:cs="Times New Roman"/>
        <w:b w:val="0"/>
        <w:bCs/>
      </w:rPr>
    </w:lvl>
  </w:abstractNum>
  <w:abstractNum w:abstractNumId="1" w15:restartNumberingAfterBreak="0">
    <w:nsid w:val="FFFFFF89"/>
    <w:multiLevelType w:val="singleLevel"/>
    <w:tmpl w:val="5CE2DAE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585DB7"/>
    <w:multiLevelType w:val="hybridMultilevel"/>
    <w:tmpl w:val="EB5A5AE8"/>
    <w:lvl w:ilvl="0" w:tplc="FE603E86">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05D23DF"/>
    <w:multiLevelType w:val="hybridMultilevel"/>
    <w:tmpl w:val="9F88A6A2"/>
    <w:lvl w:ilvl="0" w:tplc="EF400E2C">
      <w:start w:val="3"/>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07347B6B"/>
    <w:multiLevelType w:val="hybridMultilevel"/>
    <w:tmpl w:val="72A23B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B847F79"/>
    <w:multiLevelType w:val="hybridMultilevel"/>
    <w:tmpl w:val="0DD26D72"/>
    <w:lvl w:ilvl="0" w:tplc="E83283DC">
      <w:start w:val="1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11A4C6C"/>
    <w:multiLevelType w:val="hybridMultilevel"/>
    <w:tmpl w:val="192ABC6A"/>
    <w:lvl w:ilvl="0" w:tplc="73F64608">
      <w:start w:val="1"/>
      <w:numFmt w:val="lowerRoman"/>
      <w:lvlText w:val="(%1)"/>
      <w:lvlJc w:val="left"/>
      <w:pPr>
        <w:ind w:left="1080" w:hanging="720"/>
      </w:pPr>
      <w:rPr>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1ABD74D0"/>
    <w:multiLevelType w:val="hybridMultilevel"/>
    <w:tmpl w:val="64BE2784"/>
    <w:lvl w:ilvl="0" w:tplc="4BD20BAA">
      <w:start w:val="1"/>
      <w:numFmt w:val="lowerRoman"/>
      <w:pStyle w:val="ListBulleti"/>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15:restartNumberingAfterBreak="0">
    <w:nsid w:val="1CEF3ACD"/>
    <w:multiLevelType w:val="multilevel"/>
    <w:tmpl w:val="0748BD50"/>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E027C78"/>
    <w:multiLevelType w:val="hybridMultilevel"/>
    <w:tmpl w:val="C0FAD7B2"/>
    <w:lvl w:ilvl="0" w:tplc="96F0DB1A">
      <w:start w:val="1"/>
      <w:numFmt w:val="lowerLetter"/>
      <w:lvlText w:val="(%1)"/>
      <w:lvlJc w:val="left"/>
      <w:pPr>
        <w:ind w:left="1494" w:hanging="360"/>
      </w:pPr>
      <w:rPr>
        <w:rFonts w:hint="default"/>
      </w:rPr>
    </w:lvl>
    <w:lvl w:ilvl="1" w:tplc="542A6494">
      <w:start w:val="1"/>
      <w:numFmt w:val="lowerRoman"/>
      <w:lvlText w:val="(%2)"/>
      <w:lvlJc w:val="left"/>
      <w:pPr>
        <w:ind w:left="2214" w:hanging="360"/>
      </w:pPr>
      <w:rPr>
        <w:rFonts w:asciiTheme="minorHAnsi" w:eastAsia="Times New Roman" w:hAnsiTheme="minorHAnsi" w:cstheme="minorBidi"/>
      </w:r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2" w15:restartNumberingAfterBreak="0">
    <w:nsid w:val="23E65A0F"/>
    <w:multiLevelType w:val="hybridMultilevel"/>
    <w:tmpl w:val="630ADDCE"/>
    <w:lvl w:ilvl="0" w:tplc="7AD6C8AC">
      <w:start w:val="1"/>
      <w:numFmt w:val="lowerLetter"/>
      <w:lvlText w:val="%1)"/>
      <w:lvlJc w:val="left"/>
      <w:pPr>
        <w:ind w:left="1146" w:hanging="360"/>
      </w:pPr>
      <w:rPr>
        <w:b w:val="0"/>
        <w:bCs/>
      </w:rPr>
    </w:lvl>
    <w:lvl w:ilvl="1" w:tplc="0FD483CA">
      <w:start w:val="1"/>
      <w:numFmt w:val="lowerRoman"/>
      <w:lvlText w:val="%2)"/>
      <w:lvlJc w:val="left"/>
      <w:pPr>
        <w:ind w:left="1866" w:hanging="360"/>
      </w:pPr>
    </w:lvl>
    <w:lvl w:ilvl="2" w:tplc="0C09001B">
      <w:start w:val="1"/>
      <w:numFmt w:val="lowerRoman"/>
      <w:lvlText w:val="%3."/>
      <w:lvlJc w:val="right"/>
      <w:pPr>
        <w:ind w:left="2586" w:hanging="180"/>
      </w:pPr>
    </w:lvl>
    <w:lvl w:ilvl="3" w:tplc="0C09000F">
      <w:start w:val="1"/>
      <w:numFmt w:val="decimal"/>
      <w:lvlText w:val="%4."/>
      <w:lvlJc w:val="left"/>
      <w:pPr>
        <w:ind w:left="3306" w:hanging="360"/>
      </w:pPr>
    </w:lvl>
    <w:lvl w:ilvl="4" w:tplc="0C090019">
      <w:start w:val="1"/>
      <w:numFmt w:val="lowerLetter"/>
      <w:lvlText w:val="%5."/>
      <w:lvlJc w:val="left"/>
      <w:pPr>
        <w:ind w:left="4026" w:hanging="360"/>
      </w:pPr>
    </w:lvl>
    <w:lvl w:ilvl="5" w:tplc="0C09001B">
      <w:start w:val="1"/>
      <w:numFmt w:val="lowerRoman"/>
      <w:lvlText w:val="%6."/>
      <w:lvlJc w:val="right"/>
      <w:pPr>
        <w:ind w:left="4746" w:hanging="180"/>
      </w:pPr>
    </w:lvl>
    <w:lvl w:ilvl="6" w:tplc="0C09000F">
      <w:start w:val="1"/>
      <w:numFmt w:val="decimal"/>
      <w:lvlText w:val="%7."/>
      <w:lvlJc w:val="left"/>
      <w:pPr>
        <w:ind w:left="5466" w:hanging="360"/>
      </w:pPr>
    </w:lvl>
    <w:lvl w:ilvl="7" w:tplc="0C090019">
      <w:start w:val="1"/>
      <w:numFmt w:val="lowerLetter"/>
      <w:lvlText w:val="%8."/>
      <w:lvlJc w:val="left"/>
      <w:pPr>
        <w:ind w:left="6186" w:hanging="360"/>
      </w:pPr>
    </w:lvl>
    <w:lvl w:ilvl="8" w:tplc="0C09001B">
      <w:start w:val="1"/>
      <w:numFmt w:val="lowerRoman"/>
      <w:lvlText w:val="%9."/>
      <w:lvlJc w:val="right"/>
      <w:pPr>
        <w:ind w:left="6906" w:hanging="180"/>
      </w:pPr>
    </w:lvl>
  </w:abstractNum>
  <w:abstractNum w:abstractNumId="13" w15:restartNumberingAfterBreak="0">
    <w:nsid w:val="2E924211"/>
    <w:multiLevelType w:val="hybridMultilevel"/>
    <w:tmpl w:val="34C493BE"/>
    <w:lvl w:ilvl="0" w:tplc="5E685644">
      <w:start w:val="1"/>
      <w:numFmt w:val="lowerLetter"/>
      <w:pStyle w:val="ListBulleta"/>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4" w15:restartNumberingAfterBreak="0">
    <w:nsid w:val="32E37B36"/>
    <w:multiLevelType w:val="hybridMultilevel"/>
    <w:tmpl w:val="8AEE675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393A34E4"/>
    <w:multiLevelType w:val="hybridMultilevel"/>
    <w:tmpl w:val="FAF4E60A"/>
    <w:lvl w:ilvl="0" w:tplc="ABE62E42">
      <w:start w:val="1"/>
      <w:numFmt w:val="decimal"/>
      <w:lvlText w:val="%1."/>
      <w:lvlJc w:val="left"/>
      <w:pPr>
        <w:ind w:left="360" w:hanging="360"/>
      </w:pPr>
      <w:rPr>
        <w:rFonts w:ascii="Cambria" w:eastAsia="Times New Roman" w:hAnsi="Cambria" w:cs="Times New Roman"/>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6" w15:restartNumberingAfterBreak="0">
    <w:nsid w:val="39E96229"/>
    <w:multiLevelType w:val="hybridMultilevel"/>
    <w:tmpl w:val="1CD69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9F799C"/>
    <w:multiLevelType w:val="hybridMultilevel"/>
    <w:tmpl w:val="EB7A41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2ED3268"/>
    <w:multiLevelType w:val="hybridMultilevel"/>
    <w:tmpl w:val="771E3DB4"/>
    <w:lvl w:ilvl="0" w:tplc="9EF22EEC">
      <w:start w:val="1"/>
      <w:numFmt w:val="lowerLetter"/>
      <w:lvlText w:val="(%1)"/>
      <w:lvlJc w:val="left"/>
      <w:pPr>
        <w:ind w:left="1494" w:hanging="360"/>
      </w:pPr>
      <w:rPr>
        <w:rFonts w:hint="default"/>
        <w:u w:val="single"/>
      </w:rPr>
    </w:lvl>
    <w:lvl w:ilvl="1" w:tplc="F76A6178">
      <w:start w:val="1"/>
      <w:numFmt w:val="lowerRoman"/>
      <w:lvlText w:val="(%2)"/>
      <w:lvlJc w:val="left"/>
      <w:pPr>
        <w:ind w:left="2214" w:hanging="360"/>
      </w:pPr>
      <w:rPr>
        <w:rFonts w:asciiTheme="minorHAnsi" w:eastAsia="Times New Roman" w:hAnsiTheme="minorHAnsi" w:cstheme="minorBidi"/>
      </w:r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9" w15:restartNumberingAfterBreak="0">
    <w:nsid w:val="44D8678D"/>
    <w:multiLevelType w:val="hybridMultilevel"/>
    <w:tmpl w:val="A53210D6"/>
    <w:lvl w:ilvl="0" w:tplc="A258A794">
      <w:start w:val="5"/>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498657B2"/>
    <w:multiLevelType w:val="hybridMultilevel"/>
    <w:tmpl w:val="35BAB2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1AE535A"/>
    <w:multiLevelType w:val="hybridMultilevel"/>
    <w:tmpl w:val="BAF4B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672A5F"/>
    <w:multiLevelType w:val="hybridMultilevel"/>
    <w:tmpl w:val="771AB600"/>
    <w:lvl w:ilvl="0" w:tplc="987EB072">
      <w:numFmt w:val="bullet"/>
      <w:lvlText w:val=""/>
      <w:lvlJc w:val="left"/>
      <w:pPr>
        <w:ind w:left="720" w:hanging="360"/>
      </w:pPr>
      <w:rPr>
        <w:rFonts w:ascii="Symbol" w:eastAsia="Cambr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5D0184"/>
    <w:multiLevelType w:val="hybridMultilevel"/>
    <w:tmpl w:val="CD3E5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1F0342"/>
    <w:multiLevelType w:val="hybridMultilevel"/>
    <w:tmpl w:val="630ADDCE"/>
    <w:lvl w:ilvl="0" w:tplc="7AD6C8AC">
      <w:start w:val="1"/>
      <w:numFmt w:val="lowerLetter"/>
      <w:lvlText w:val="%1)"/>
      <w:lvlJc w:val="left"/>
      <w:pPr>
        <w:ind w:left="1146" w:hanging="360"/>
      </w:pPr>
      <w:rPr>
        <w:b w:val="0"/>
        <w:bCs/>
      </w:rPr>
    </w:lvl>
    <w:lvl w:ilvl="1" w:tplc="0FD483CA">
      <w:start w:val="1"/>
      <w:numFmt w:val="lowerRoman"/>
      <w:lvlText w:val="%2)"/>
      <w:lvlJc w:val="left"/>
      <w:pPr>
        <w:ind w:left="1866" w:hanging="360"/>
      </w:pPr>
    </w:lvl>
    <w:lvl w:ilvl="2" w:tplc="0C09001B">
      <w:start w:val="1"/>
      <w:numFmt w:val="lowerRoman"/>
      <w:lvlText w:val="%3."/>
      <w:lvlJc w:val="right"/>
      <w:pPr>
        <w:ind w:left="2586" w:hanging="180"/>
      </w:pPr>
    </w:lvl>
    <w:lvl w:ilvl="3" w:tplc="0C09000F">
      <w:start w:val="1"/>
      <w:numFmt w:val="decimal"/>
      <w:lvlText w:val="%4."/>
      <w:lvlJc w:val="left"/>
      <w:pPr>
        <w:ind w:left="3306" w:hanging="360"/>
      </w:pPr>
    </w:lvl>
    <w:lvl w:ilvl="4" w:tplc="0C090019">
      <w:start w:val="1"/>
      <w:numFmt w:val="lowerLetter"/>
      <w:lvlText w:val="%5."/>
      <w:lvlJc w:val="left"/>
      <w:pPr>
        <w:ind w:left="4026" w:hanging="360"/>
      </w:pPr>
    </w:lvl>
    <w:lvl w:ilvl="5" w:tplc="0C09001B">
      <w:start w:val="1"/>
      <w:numFmt w:val="lowerRoman"/>
      <w:lvlText w:val="%6."/>
      <w:lvlJc w:val="right"/>
      <w:pPr>
        <w:ind w:left="4746" w:hanging="180"/>
      </w:pPr>
    </w:lvl>
    <w:lvl w:ilvl="6" w:tplc="0C09000F">
      <w:start w:val="1"/>
      <w:numFmt w:val="decimal"/>
      <w:lvlText w:val="%7."/>
      <w:lvlJc w:val="left"/>
      <w:pPr>
        <w:ind w:left="5466" w:hanging="360"/>
      </w:pPr>
    </w:lvl>
    <w:lvl w:ilvl="7" w:tplc="0C090019">
      <w:start w:val="1"/>
      <w:numFmt w:val="lowerLetter"/>
      <w:lvlText w:val="%8."/>
      <w:lvlJc w:val="left"/>
      <w:pPr>
        <w:ind w:left="6186" w:hanging="360"/>
      </w:pPr>
    </w:lvl>
    <w:lvl w:ilvl="8" w:tplc="0C09001B">
      <w:start w:val="1"/>
      <w:numFmt w:val="lowerRoman"/>
      <w:lvlText w:val="%9."/>
      <w:lvlJc w:val="right"/>
      <w:pPr>
        <w:ind w:left="6906" w:hanging="180"/>
      </w:pPr>
    </w:lvl>
  </w:abstractNum>
  <w:abstractNum w:abstractNumId="25" w15:restartNumberingAfterBreak="0">
    <w:nsid w:val="64182898"/>
    <w:multiLevelType w:val="hybridMultilevel"/>
    <w:tmpl w:val="12721364"/>
    <w:lvl w:ilvl="0" w:tplc="FFEA52AA">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E394B1A"/>
    <w:multiLevelType w:val="hybridMultilevel"/>
    <w:tmpl w:val="BEF8E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1836D1"/>
    <w:multiLevelType w:val="hybridMultilevel"/>
    <w:tmpl w:val="630ADDCE"/>
    <w:lvl w:ilvl="0" w:tplc="7AD6C8AC">
      <w:start w:val="1"/>
      <w:numFmt w:val="lowerLetter"/>
      <w:lvlText w:val="%1)"/>
      <w:lvlJc w:val="left"/>
      <w:pPr>
        <w:ind w:left="1146" w:hanging="360"/>
      </w:pPr>
      <w:rPr>
        <w:b w:val="0"/>
        <w:bCs/>
      </w:rPr>
    </w:lvl>
    <w:lvl w:ilvl="1" w:tplc="0FD483CA">
      <w:start w:val="1"/>
      <w:numFmt w:val="lowerRoman"/>
      <w:lvlText w:val="%2)"/>
      <w:lvlJc w:val="left"/>
      <w:pPr>
        <w:ind w:left="1866" w:hanging="360"/>
      </w:pPr>
    </w:lvl>
    <w:lvl w:ilvl="2" w:tplc="0C09001B">
      <w:start w:val="1"/>
      <w:numFmt w:val="lowerRoman"/>
      <w:lvlText w:val="%3."/>
      <w:lvlJc w:val="right"/>
      <w:pPr>
        <w:ind w:left="2586" w:hanging="180"/>
      </w:pPr>
    </w:lvl>
    <w:lvl w:ilvl="3" w:tplc="0C09000F">
      <w:start w:val="1"/>
      <w:numFmt w:val="decimal"/>
      <w:lvlText w:val="%4."/>
      <w:lvlJc w:val="left"/>
      <w:pPr>
        <w:ind w:left="3306" w:hanging="360"/>
      </w:pPr>
    </w:lvl>
    <w:lvl w:ilvl="4" w:tplc="0C090019">
      <w:start w:val="1"/>
      <w:numFmt w:val="lowerLetter"/>
      <w:lvlText w:val="%5."/>
      <w:lvlJc w:val="left"/>
      <w:pPr>
        <w:ind w:left="4026" w:hanging="360"/>
      </w:pPr>
    </w:lvl>
    <w:lvl w:ilvl="5" w:tplc="0C09001B">
      <w:start w:val="1"/>
      <w:numFmt w:val="lowerRoman"/>
      <w:lvlText w:val="%6."/>
      <w:lvlJc w:val="right"/>
      <w:pPr>
        <w:ind w:left="4746" w:hanging="180"/>
      </w:pPr>
    </w:lvl>
    <w:lvl w:ilvl="6" w:tplc="0C09000F">
      <w:start w:val="1"/>
      <w:numFmt w:val="decimal"/>
      <w:lvlText w:val="%7."/>
      <w:lvlJc w:val="left"/>
      <w:pPr>
        <w:ind w:left="5466" w:hanging="360"/>
      </w:pPr>
    </w:lvl>
    <w:lvl w:ilvl="7" w:tplc="0C090019">
      <w:start w:val="1"/>
      <w:numFmt w:val="lowerLetter"/>
      <w:lvlText w:val="%8."/>
      <w:lvlJc w:val="left"/>
      <w:pPr>
        <w:ind w:left="6186" w:hanging="360"/>
      </w:pPr>
    </w:lvl>
    <w:lvl w:ilvl="8" w:tplc="0C09001B">
      <w:start w:val="1"/>
      <w:numFmt w:val="lowerRoman"/>
      <w:lvlText w:val="%9."/>
      <w:lvlJc w:val="right"/>
      <w:pPr>
        <w:ind w:left="6906" w:hanging="180"/>
      </w:pPr>
    </w:lvl>
  </w:abstractNum>
  <w:abstractNum w:abstractNumId="28" w15:restartNumberingAfterBreak="0">
    <w:nsid w:val="79160F32"/>
    <w:multiLevelType w:val="hybridMultilevel"/>
    <w:tmpl w:val="F9164E3C"/>
    <w:lvl w:ilvl="0" w:tplc="D936AEE2">
      <w:start w:val="1"/>
      <w:numFmt w:val="lowerLetter"/>
      <w:lvlText w:val="(%1)"/>
      <w:lvlJc w:val="left"/>
      <w:pPr>
        <w:ind w:left="1494" w:hanging="360"/>
      </w:pPr>
      <w:rPr>
        <w:rFonts w:hint="default"/>
        <w:u w:val="single"/>
      </w:rPr>
    </w:lvl>
    <w:lvl w:ilvl="1" w:tplc="542A6494">
      <w:start w:val="1"/>
      <w:numFmt w:val="lowerRoman"/>
      <w:lvlText w:val="(%2)"/>
      <w:lvlJc w:val="left"/>
      <w:pPr>
        <w:ind w:left="2214" w:hanging="360"/>
      </w:pPr>
      <w:rPr>
        <w:rFonts w:asciiTheme="minorHAnsi" w:eastAsia="Times New Roman" w:hAnsiTheme="minorHAnsi" w:cstheme="minorBidi"/>
      </w:r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num w:numId="1">
    <w:abstractNumId w:val="8"/>
  </w:num>
  <w:num w:numId="2">
    <w:abstractNumId w:val="6"/>
  </w:num>
  <w:num w:numId="3">
    <w:abstractNumId w:val="8"/>
  </w:num>
  <w:num w:numId="4">
    <w:abstractNumId w:val="6"/>
  </w:num>
  <w:num w:numId="5">
    <w:abstractNumId w:val="10"/>
  </w:num>
  <w:num w:numId="6">
    <w:abstractNumId w:val="13"/>
  </w:num>
  <w:num w:numId="7">
    <w:abstractNumId w:val="9"/>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4"/>
  </w:num>
  <w:num w:numId="13">
    <w:abstractNumId w:val="0"/>
  </w:num>
  <w:num w:numId="14">
    <w:abstractNumId w:val="21"/>
  </w:num>
  <w:num w:numId="15">
    <w:abstractNumId w:val="26"/>
  </w:num>
  <w:num w:numId="16">
    <w:abstractNumId w:val="16"/>
  </w:num>
  <w:num w:numId="17">
    <w:abstractNumId w:val="20"/>
  </w:num>
  <w:num w:numId="18">
    <w:abstractNumId w:val="12"/>
  </w:num>
  <w:num w:numId="19">
    <w:abstractNumId w:val="7"/>
  </w:num>
  <w:num w:numId="20">
    <w:abstractNumId w:val="27"/>
  </w:num>
  <w:num w:numId="21">
    <w:abstractNumId w:val="1"/>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3"/>
  </w:num>
  <w:num w:numId="28">
    <w:abstractNumId w:val="25"/>
  </w:num>
  <w:num w:numId="29">
    <w:abstractNumId w:val="19"/>
  </w:num>
  <w:num w:numId="30">
    <w:abstractNumId w:val="18"/>
  </w:num>
  <w:num w:numId="31">
    <w:abstractNumId w:val="28"/>
  </w:num>
  <w:num w:numId="32">
    <w:abstractNumId w:val="11"/>
  </w:num>
  <w:num w:numId="33">
    <w:abstractNumId w:val="17"/>
  </w:num>
  <w:num w:numId="34">
    <w:abstractNumId w:val="2"/>
  </w:num>
  <w:num w:numId="35">
    <w:abstractNumId w:val="22"/>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648"/>
    <w:rsid w:val="00001B6C"/>
    <w:rsid w:val="00001B7D"/>
    <w:rsid w:val="00002031"/>
    <w:rsid w:val="00002586"/>
    <w:rsid w:val="00003EE4"/>
    <w:rsid w:val="000042DA"/>
    <w:rsid w:val="00004734"/>
    <w:rsid w:val="00006AE7"/>
    <w:rsid w:val="00006B22"/>
    <w:rsid w:val="00010FAA"/>
    <w:rsid w:val="0001276A"/>
    <w:rsid w:val="00012D9E"/>
    <w:rsid w:val="00014609"/>
    <w:rsid w:val="00020F6C"/>
    <w:rsid w:val="000217B5"/>
    <w:rsid w:val="00023C6E"/>
    <w:rsid w:val="000246AE"/>
    <w:rsid w:val="00025266"/>
    <w:rsid w:val="00025C67"/>
    <w:rsid w:val="00030297"/>
    <w:rsid w:val="000316EB"/>
    <w:rsid w:val="00031A34"/>
    <w:rsid w:val="000335FC"/>
    <w:rsid w:val="00033F14"/>
    <w:rsid w:val="00041297"/>
    <w:rsid w:val="00042573"/>
    <w:rsid w:val="000465B5"/>
    <w:rsid w:val="000473A3"/>
    <w:rsid w:val="0005081A"/>
    <w:rsid w:val="00052322"/>
    <w:rsid w:val="00053C6C"/>
    <w:rsid w:val="0005559E"/>
    <w:rsid w:val="00056156"/>
    <w:rsid w:val="00057FFC"/>
    <w:rsid w:val="00060748"/>
    <w:rsid w:val="000608B2"/>
    <w:rsid w:val="00061765"/>
    <w:rsid w:val="00061B7A"/>
    <w:rsid w:val="0006427F"/>
    <w:rsid w:val="00065585"/>
    <w:rsid w:val="00065D1A"/>
    <w:rsid w:val="00067013"/>
    <w:rsid w:val="00072D02"/>
    <w:rsid w:val="00074EBD"/>
    <w:rsid w:val="000755F8"/>
    <w:rsid w:val="00077548"/>
    <w:rsid w:val="00077775"/>
    <w:rsid w:val="00081C98"/>
    <w:rsid w:val="00083091"/>
    <w:rsid w:val="00083769"/>
    <w:rsid w:val="0008417D"/>
    <w:rsid w:val="00085DD5"/>
    <w:rsid w:val="000860B4"/>
    <w:rsid w:val="000869F6"/>
    <w:rsid w:val="00090471"/>
    <w:rsid w:val="000A3085"/>
    <w:rsid w:val="000A56BE"/>
    <w:rsid w:val="000B0759"/>
    <w:rsid w:val="000B2A33"/>
    <w:rsid w:val="000B30EF"/>
    <w:rsid w:val="000B3532"/>
    <w:rsid w:val="000B3A75"/>
    <w:rsid w:val="000B56DE"/>
    <w:rsid w:val="000B7084"/>
    <w:rsid w:val="000C31F2"/>
    <w:rsid w:val="000C3488"/>
    <w:rsid w:val="000C5F0B"/>
    <w:rsid w:val="000C6B99"/>
    <w:rsid w:val="000C7F9A"/>
    <w:rsid w:val="000D0ABB"/>
    <w:rsid w:val="000D2B49"/>
    <w:rsid w:val="000D391B"/>
    <w:rsid w:val="000D3D6D"/>
    <w:rsid w:val="000D45F7"/>
    <w:rsid w:val="000D4FC7"/>
    <w:rsid w:val="000D601E"/>
    <w:rsid w:val="000D7FD0"/>
    <w:rsid w:val="000E34E9"/>
    <w:rsid w:val="000F04C4"/>
    <w:rsid w:val="000F10A9"/>
    <w:rsid w:val="000F3A5D"/>
    <w:rsid w:val="000F4869"/>
    <w:rsid w:val="000F5176"/>
    <w:rsid w:val="000F5B42"/>
    <w:rsid w:val="000F6E6F"/>
    <w:rsid w:val="001003F2"/>
    <w:rsid w:val="00100847"/>
    <w:rsid w:val="00101762"/>
    <w:rsid w:val="001025C4"/>
    <w:rsid w:val="0010351E"/>
    <w:rsid w:val="0010601F"/>
    <w:rsid w:val="00106BF9"/>
    <w:rsid w:val="00110AE1"/>
    <w:rsid w:val="00110EA5"/>
    <w:rsid w:val="00112440"/>
    <w:rsid w:val="001149E5"/>
    <w:rsid w:val="00115240"/>
    <w:rsid w:val="001157F7"/>
    <w:rsid w:val="00116990"/>
    <w:rsid w:val="001169AC"/>
    <w:rsid w:val="00117127"/>
    <w:rsid w:val="00123BB2"/>
    <w:rsid w:val="00125091"/>
    <w:rsid w:val="00125148"/>
    <w:rsid w:val="00125318"/>
    <w:rsid w:val="0012669D"/>
    <w:rsid w:val="001268BE"/>
    <w:rsid w:val="001305A2"/>
    <w:rsid w:val="00130EB7"/>
    <w:rsid w:val="00131F89"/>
    <w:rsid w:val="001327EC"/>
    <w:rsid w:val="00133238"/>
    <w:rsid w:val="0013371D"/>
    <w:rsid w:val="0013388E"/>
    <w:rsid w:val="00134004"/>
    <w:rsid w:val="00135364"/>
    <w:rsid w:val="00140FE3"/>
    <w:rsid w:val="0014197B"/>
    <w:rsid w:val="00143203"/>
    <w:rsid w:val="00143B58"/>
    <w:rsid w:val="001444C0"/>
    <w:rsid w:val="001447CD"/>
    <w:rsid w:val="00150A66"/>
    <w:rsid w:val="001516B1"/>
    <w:rsid w:val="001525B4"/>
    <w:rsid w:val="00155651"/>
    <w:rsid w:val="00156316"/>
    <w:rsid w:val="00156847"/>
    <w:rsid w:val="0015684F"/>
    <w:rsid w:val="00157601"/>
    <w:rsid w:val="001578C5"/>
    <w:rsid w:val="00160449"/>
    <w:rsid w:val="00161226"/>
    <w:rsid w:val="00165389"/>
    <w:rsid w:val="001653CE"/>
    <w:rsid w:val="00173C6A"/>
    <w:rsid w:val="00174A93"/>
    <w:rsid w:val="00174AEA"/>
    <w:rsid w:val="0017517A"/>
    <w:rsid w:val="0017693F"/>
    <w:rsid w:val="00176CB0"/>
    <w:rsid w:val="00176E2F"/>
    <w:rsid w:val="0018056A"/>
    <w:rsid w:val="0018110E"/>
    <w:rsid w:val="00181684"/>
    <w:rsid w:val="00182A4A"/>
    <w:rsid w:val="001843C6"/>
    <w:rsid w:val="001850E0"/>
    <w:rsid w:val="00185CE9"/>
    <w:rsid w:val="00186517"/>
    <w:rsid w:val="00193183"/>
    <w:rsid w:val="00195C03"/>
    <w:rsid w:val="001A25DD"/>
    <w:rsid w:val="001A2654"/>
    <w:rsid w:val="001A3925"/>
    <w:rsid w:val="001A525F"/>
    <w:rsid w:val="001A5FFE"/>
    <w:rsid w:val="001B00C6"/>
    <w:rsid w:val="001B09F9"/>
    <w:rsid w:val="001B0F8B"/>
    <w:rsid w:val="001B5CE3"/>
    <w:rsid w:val="001B6448"/>
    <w:rsid w:val="001C0629"/>
    <w:rsid w:val="001C0D8C"/>
    <w:rsid w:val="001C2A9E"/>
    <w:rsid w:val="001C2D91"/>
    <w:rsid w:val="001C4335"/>
    <w:rsid w:val="001C5266"/>
    <w:rsid w:val="001C682A"/>
    <w:rsid w:val="001C7F0A"/>
    <w:rsid w:val="001D144E"/>
    <w:rsid w:val="001D2B23"/>
    <w:rsid w:val="001D3637"/>
    <w:rsid w:val="001E07CF"/>
    <w:rsid w:val="001E2299"/>
    <w:rsid w:val="001E51C6"/>
    <w:rsid w:val="001E5555"/>
    <w:rsid w:val="001E59F1"/>
    <w:rsid w:val="001F04D7"/>
    <w:rsid w:val="001F18D2"/>
    <w:rsid w:val="001F32EC"/>
    <w:rsid w:val="001F49EB"/>
    <w:rsid w:val="001F6CBA"/>
    <w:rsid w:val="002001F1"/>
    <w:rsid w:val="0020028B"/>
    <w:rsid w:val="0020028F"/>
    <w:rsid w:val="00200A9C"/>
    <w:rsid w:val="00201D4E"/>
    <w:rsid w:val="00202086"/>
    <w:rsid w:val="00204DF0"/>
    <w:rsid w:val="0020793B"/>
    <w:rsid w:val="002101CA"/>
    <w:rsid w:val="002147E0"/>
    <w:rsid w:val="002167D5"/>
    <w:rsid w:val="00220B8A"/>
    <w:rsid w:val="00220D79"/>
    <w:rsid w:val="002226DD"/>
    <w:rsid w:val="002227FE"/>
    <w:rsid w:val="002257F3"/>
    <w:rsid w:val="0023267B"/>
    <w:rsid w:val="00233456"/>
    <w:rsid w:val="002339A5"/>
    <w:rsid w:val="002339DF"/>
    <w:rsid w:val="00236140"/>
    <w:rsid w:val="00240781"/>
    <w:rsid w:val="00242707"/>
    <w:rsid w:val="00243FA4"/>
    <w:rsid w:val="002445F4"/>
    <w:rsid w:val="002458D4"/>
    <w:rsid w:val="00245CF3"/>
    <w:rsid w:val="002469CC"/>
    <w:rsid w:val="00247223"/>
    <w:rsid w:val="002504C2"/>
    <w:rsid w:val="0025120A"/>
    <w:rsid w:val="00252494"/>
    <w:rsid w:val="0025660C"/>
    <w:rsid w:val="00257138"/>
    <w:rsid w:val="00257848"/>
    <w:rsid w:val="002614B0"/>
    <w:rsid w:val="00267925"/>
    <w:rsid w:val="0027084A"/>
    <w:rsid w:val="00271214"/>
    <w:rsid w:val="00271F13"/>
    <w:rsid w:val="00275590"/>
    <w:rsid w:val="00280363"/>
    <w:rsid w:val="00283DA5"/>
    <w:rsid w:val="00286434"/>
    <w:rsid w:val="00286C59"/>
    <w:rsid w:val="00292821"/>
    <w:rsid w:val="002929C2"/>
    <w:rsid w:val="00292BB3"/>
    <w:rsid w:val="002934EF"/>
    <w:rsid w:val="002942D1"/>
    <w:rsid w:val="002A026F"/>
    <w:rsid w:val="002A0556"/>
    <w:rsid w:val="002A1C3F"/>
    <w:rsid w:val="002A237A"/>
    <w:rsid w:val="002A26C4"/>
    <w:rsid w:val="002A3961"/>
    <w:rsid w:val="002A5857"/>
    <w:rsid w:val="002A5F56"/>
    <w:rsid w:val="002A6E38"/>
    <w:rsid w:val="002A7487"/>
    <w:rsid w:val="002B0E0E"/>
    <w:rsid w:val="002B1638"/>
    <w:rsid w:val="002B3304"/>
    <w:rsid w:val="002B3F5D"/>
    <w:rsid w:val="002B5A2A"/>
    <w:rsid w:val="002C07AF"/>
    <w:rsid w:val="002C1418"/>
    <w:rsid w:val="002C22AC"/>
    <w:rsid w:val="002C37C0"/>
    <w:rsid w:val="002C383A"/>
    <w:rsid w:val="002C43C3"/>
    <w:rsid w:val="002C48BF"/>
    <w:rsid w:val="002C6D34"/>
    <w:rsid w:val="002D0B05"/>
    <w:rsid w:val="002E430E"/>
    <w:rsid w:val="002E4C9A"/>
    <w:rsid w:val="002E5C31"/>
    <w:rsid w:val="002E69BE"/>
    <w:rsid w:val="002F11F8"/>
    <w:rsid w:val="002F3F56"/>
    <w:rsid w:val="002F4418"/>
    <w:rsid w:val="002F44B5"/>
    <w:rsid w:val="002F53E0"/>
    <w:rsid w:val="00302504"/>
    <w:rsid w:val="00303418"/>
    <w:rsid w:val="00303CBB"/>
    <w:rsid w:val="0030508C"/>
    <w:rsid w:val="003055BD"/>
    <w:rsid w:val="00311AC0"/>
    <w:rsid w:val="00314331"/>
    <w:rsid w:val="00316F8D"/>
    <w:rsid w:val="00317355"/>
    <w:rsid w:val="003208A0"/>
    <w:rsid w:val="0032097A"/>
    <w:rsid w:val="00320B73"/>
    <w:rsid w:val="003251D0"/>
    <w:rsid w:val="003261C8"/>
    <w:rsid w:val="00331127"/>
    <w:rsid w:val="00331DBB"/>
    <w:rsid w:val="00334439"/>
    <w:rsid w:val="00335BEC"/>
    <w:rsid w:val="003367E4"/>
    <w:rsid w:val="00343736"/>
    <w:rsid w:val="003521E8"/>
    <w:rsid w:val="00352A2E"/>
    <w:rsid w:val="00352F19"/>
    <w:rsid w:val="00353AC2"/>
    <w:rsid w:val="003555D7"/>
    <w:rsid w:val="00356F04"/>
    <w:rsid w:val="00357E6E"/>
    <w:rsid w:val="00360648"/>
    <w:rsid w:val="00360DFD"/>
    <w:rsid w:val="00362224"/>
    <w:rsid w:val="00362473"/>
    <w:rsid w:val="0036288A"/>
    <w:rsid w:val="00362F16"/>
    <w:rsid w:val="003662D5"/>
    <w:rsid w:val="003664BF"/>
    <w:rsid w:val="0036794C"/>
    <w:rsid w:val="0037036E"/>
    <w:rsid w:val="0037215C"/>
    <w:rsid w:val="003728F3"/>
    <w:rsid w:val="00373D31"/>
    <w:rsid w:val="0038110B"/>
    <w:rsid w:val="00386152"/>
    <w:rsid w:val="003874D5"/>
    <w:rsid w:val="00390900"/>
    <w:rsid w:val="003964E2"/>
    <w:rsid w:val="00397242"/>
    <w:rsid w:val="003A0110"/>
    <w:rsid w:val="003A0B29"/>
    <w:rsid w:val="003A0B68"/>
    <w:rsid w:val="003A19BA"/>
    <w:rsid w:val="003A2B05"/>
    <w:rsid w:val="003A48A2"/>
    <w:rsid w:val="003B1FAD"/>
    <w:rsid w:val="003B3601"/>
    <w:rsid w:val="003B3C0D"/>
    <w:rsid w:val="003B629A"/>
    <w:rsid w:val="003B6E20"/>
    <w:rsid w:val="003B7E39"/>
    <w:rsid w:val="003C04B2"/>
    <w:rsid w:val="003C1BBB"/>
    <w:rsid w:val="003C58DC"/>
    <w:rsid w:val="003C62FC"/>
    <w:rsid w:val="003C7673"/>
    <w:rsid w:val="003D0A98"/>
    <w:rsid w:val="003D1DEC"/>
    <w:rsid w:val="003D26B4"/>
    <w:rsid w:val="003D497F"/>
    <w:rsid w:val="003D57F3"/>
    <w:rsid w:val="003D5D86"/>
    <w:rsid w:val="003E0E6A"/>
    <w:rsid w:val="003E1118"/>
    <w:rsid w:val="003E1945"/>
    <w:rsid w:val="003E2889"/>
    <w:rsid w:val="003E3208"/>
    <w:rsid w:val="003E33D4"/>
    <w:rsid w:val="003E3CA3"/>
    <w:rsid w:val="003E4137"/>
    <w:rsid w:val="003E7390"/>
    <w:rsid w:val="003F0B04"/>
    <w:rsid w:val="003F3092"/>
    <w:rsid w:val="003F3095"/>
    <w:rsid w:val="003F48DD"/>
    <w:rsid w:val="003F60A7"/>
    <w:rsid w:val="0040134E"/>
    <w:rsid w:val="00402EF6"/>
    <w:rsid w:val="00403ACE"/>
    <w:rsid w:val="00403D3E"/>
    <w:rsid w:val="00404734"/>
    <w:rsid w:val="00404AD5"/>
    <w:rsid w:val="0040598C"/>
    <w:rsid w:val="0040726C"/>
    <w:rsid w:val="004072A5"/>
    <w:rsid w:val="0041016F"/>
    <w:rsid w:val="00411710"/>
    <w:rsid w:val="0041244F"/>
    <w:rsid w:val="00412E40"/>
    <w:rsid w:val="00413DEE"/>
    <w:rsid w:val="00414BA2"/>
    <w:rsid w:val="00420235"/>
    <w:rsid w:val="00421B7E"/>
    <w:rsid w:val="00423F10"/>
    <w:rsid w:val="004247DA"/>
    <w:rsid w:val="004302D1"/>
    <w:rsid w:val="004302D7"/>
    <w:rsid w:val="00430503"/>
    <w:rsid w:val="0043074F"/>
    <w:rsid w:val="00430AAA"/>
    <w:rsid w:val="00432A32"/>
    <w:rsid w:val="00432CDD"/>
    <w:rsid w:val="00433211"/>
    <w:rsid w:val="00435B13"/>
    <w:rsid w:val="00436C41"/>
    <w:rsid w:val="004407B2"/>
    <w:rsid w:val="00440A2D"/>
    <w:rsid w:val="004422DF"/>
    <w:rsid w:val="004432FB"/>
    <w:rsid w:val="004446E3"/>
    <w:rsid w:val="004454B4"/>
    <w:rsid w:val="0044589C"/>
    <w:rsid w:val="0044722D"/>
    <w:rsid w:val="0044785B"/>
    <w:rsid w:val="004522D0"/>
    <w:rsid w:val="00455ECA"/>
    <w:rsid w:val="004564A7"/>
    <w:rsid w:val="00457FE3"/>
    <w:rsid w:val="004617BF"/>
    <w:rsid w:val="004618AB"/>
    <w:rsid w:val="00461999"/>
    <w:rsid w:val="00463B17"/>
    <w:rsid w:val="00463F45"/>
    <w:rsid w:val="00464DFB"/>
    <w:rsid w:val="0046516E"/>
    <w:rsid w:val="004658BC"/>
    <w:rsid w:val="00470EC2"/>
    <w:rsid w:val="00472080"/>
    <w:rsid w:val="00484BAB"/>
    <w:rsid w:val="00485BFD"/>
    <w:rsid w:val="00487716"/>
    <w:rsid w:val="00487767"/>
    <w:rsid w:val="004923FF"/>
    <w:rsid w:val="004929C5"/>
    <w:rsid w:val="00493F51"/>
    <w:rsid w:val="00494742"/>
    <w:rsid w:val="00494E60"/>
    <w:rsid w:val="00495F65"/>
    <w:rsid w:val="004970FD"/>
    <w:rsid w:val="004974E1"/>
    <w:rsid w:val="004A2400"/>
    <w:rsid w:val="004A6F05"/>
    <w:rsid w:val="004B21D7"/>
    <w:rsid w:val="004B2BD3"/>
    <w:rsid w:val="004B32D0"/>
    <w:rsid w:val="004B545E"/>
    <w:rsid w:val="004B6701"/>
    <w:rsid w:val="004B6723"/>
    <w:rsid w:val="004B7B76"/>
    <w:rsid w:val="004C0070"/>
    <w:rsid w:val="004C0C40"/>
    <w:rsid w:val="004C241F"/>
    <w:rsid w:val="004C3BFD"/>
    <w:rsid w:val="004C4791"/>
    <w:rsid w:val="004C60B4"/>
    <w:rsid w:val="004D0A7C"/>
    <w:rsid w:val="004D51A6"/>
    <w:rsid w:val="004D6739"/>
    <w:rsid w:val="004D7224"/>
    <w:rsid w:val="004D722C"/>
    <w:rsid w:val="004E2EBC"/>
    <w:rsid w:val="004E5523"/>
    <w:rsid w:val="004E576B"/>
    <w:rsid w:val="004F0F38"/>
    <w:rsid w:val="004F4580"/>
    <w:rsid w:val="005009C0"/>
    <w:rsid w:val="00500ACD"/>
    <w:rsid w:val="00501179"/>
    <w:rsid w:val="00501921"/>
    <w:rsid w:val="00501CBA"/>
    <w:rsid w:val="005042C1"/>
    <w:rsid w:val="005164BD"/>
    <w:rsid w:val="005168C9"/>
    <w:rsid w:val="00516E40"/>
    <w:rsid w:val="00520746"/>
    <w:rsid w:val="00520F6C"/>
    <w:rsid w:val="00521B63"/>
    <w:rsid w:val="00521BEF"/>
    <w:rsid w:val="005220E5"/>
    <w:rsid w:val="005221E1"/>
    <w:rsid w:val="00524F08"/>
    <w:rsid w:val="005274DA"/>
    <w:rsid w:val="005302F5"/>
    <w:rsid w:val="00530354"/>
    <w:rsid w:val="00533970"/>
    <w:rsid w:val="00534871"/>
    <w:rsid w:val="0053538C"/>
    <w:rsid w:val="0053781A"/>
    <w:rsid w:val="00537EA9"/>
    <w:rsid w:val="00541352"/>
    <w:rsid w:val="0054163A"/>
    <w:rsid w:val="00542CCA"/>
    <w:rsid w:val="005434C6"/>
    <w:rsid w:val="00543B39"/>
    <w:rsid w:val="00544DDF"/>
    <w:rsid w:val="00545C14"/>
    <w:rsid w:val="00546E47"/>
    <w:rsid w:val="00550096"/>
    <w:rsid w:val="00551F1D"/>
    <w:rsid w:val="00552DB2"/>
    <w:rsid w:val="005540E7"/>
    <w:rsid w:val="005540F9"/>
    <w:rsid w:val="00556802"/>
    <w:rsid w:val="005576C9"/>
    <w:rsid w:val="00557FF9"/>
    <w:rsid w:val="00560BAF"/>
    <w:rsid w:val="00561B1B"/>
    <w:rsid w:val="00562840"/>
    <w:rsid w:val="0056751A"/>
    <w:rsid w:val="005729B0"/>
    <w:rsid w:val="00575A6D"/>
    <w:rsid w:val="00576378"/>
    <w:rsid w:val="00577E38"/>
    <w:rsid w:val="005824DB"/>
    <w:rsid w:val="00585069"/>
    <w:rsid w:val="00585322"/>
    <w:rsid w:val="0058774D"/>
    <w:rsid w:val="00591975"/>
    <w:rsid w:val="00593AD1"/>
    <w:rsid w:val="0059543D"/>
    <w:rsid w:val="005955CF"/>
    <w:rsid w:val="005961DA"/>
    <w:rsid w:val="00597B50"/>
    <w:rsid w:val="005A1131"/>
    <w:rsid w:val="005A2385"/>
    <w:rsid w:val="005A3F2F"/>
    <w:rsid w:val="005A5916"/>
    <w:rsid w:val="005A5A5E"/>
    <w:rsid w:val="005A6611"/>
    <w:rsid w:val="005B1DEF"/>
    <w:rsid w:val="005C03F2"/>
    <w:rsid w:val="005C0499"/>
    <w:rsid w:val="005C1D90"/>
    <w:rsid w:val="005C200C"/>
    <w:rsid w:val="005C22EA"/>
    <w:rsid w:val="005C2732"/>
    <w:rsid w:val="005C2FB2"/>
    <w:rsid w:val="005C3414"/>
    <w:rsid w:val="005C5570"/>
    <w:rsid w:val="005C6864"/>
    <w:rsid w:val="005C6D87"/>
    <w:rsid w:val="005C79A4"/>
    <w:rsid w:val="005D04E2"/>
    <w:rsid w:val="005D060C"/>
    <w:rsid w:val="005D16DC"/>
    <w:rsid w:val="005D2809"/>
    <w:rsid w:val="005D4E06"/>
    <w:rsid w:val="005D5442"/>
    <w:rsid w:val="005D7DBD"/>
    <w:rsid w:val="005E1A89"/>
    <w:rsid w:val="005E3393"/>
    <w:rsid w:val="005E4DB8"/>
    <w:rsid w:val="005E5885"/>
    <w:rsid w:val="005E6395"/>
    <w:rsid w:val="005F05D8"/>
    <w:rsid w:val="005F3EA0"/>
    <w:rsid w:val="005F4381"/>
    <w:rsid w:val="00601594"/>
    <w:rsid w:val="00601FD3"/>
    <w:rsid w:val="006025A6"/>
    <w:rsid w:val="006025C7"/>
    <w:rsid w:val="0060581D"/>
    <w:rsid w:val="00611169"/>
    <w:rsid w:val="00611AD9"/>
    <w:rsid w:val="00612B30"/>
    <w:rsid w:val="006131AB"/>
    <w:rsid w:val="00613211"/>
    <w:rsid w:val="006132E8"/>
    <w:rsid w:val="00617489"/>
    <w:rsid w:val="006210F2"/>
    <w:rsid w:val="00621C62"/>
    <w:rsid w:val="0062266E"/>
    <w:rsid w:val="00623676"/>
    <w:rsid w:val="006238C7"/>
    <w:rsid w:val="00632D4C"/>
    <w:rsid w:val="006352D8"/>
    <w:rsid w:val="006400CB"/>
    <w:rsid w:val="00640FC3"/>
    <w:rsid w:val="00642020"/>
    <w:rsid w:val="00650434"/>
    <w:rsid w:val="00651316"/>
    <w:rsid w:val="00652CEE"/>
    <w:rsid w:val="0065337B"/>
    <w:rsid w:val="0065419D"/>
    <w:rsid w:val="00654B6B"/>
    <w:rsid w:val="006558C7"/>
    <w:rsid w:val="00656080"/>
    <w:rsid w:val="00657D27"/>
    <w:rsid w:val="0066006C"/>
    <w:rsid w:val="00660218"/>
    <w:rsid w:val="006604D8"/>
    <w:rsid w:val="00664A5B"/>
    <w:rsid w:val="006664CB"/>
    <w:rsid w:val="00667942"/>
    <w:rsid w:val="006733CD"/>
    <w:rsid w:val="00674BA2"/>
    <w:rsid w:val="00677050"/>
    <w:rsid w:val="006777EB"/>
    <w:rsid w:val="006804A8"/>
    <w:rsid w:val="00680C08"/>
    <w:rsid w:val="0068543D"/>
    <w:rsid w:val="00686C19"/>
    <w:rsid w:val="0068741A"/>
    <w:rsid w:val="00690225"/>
    <w:rsid w:val="00691DBE"/>
    <w:rsid w:val="006931B1"/>
    <w:rsid w:val="0069633B"/>
    <w:rsid w:val="00696670"/>
    <w:rsid w:val="006A15C0"/>
    <w:rsid w:val="006A1DC0"/>
    <w:rsid w:val="006A3560"/>
    <w:rsid w:val="006A57CB"/>
    <w:rsid w:val="006A64F4"/>
    <w:rsid w:val="006A7FD9"/>
    <w:rsid w:val="006B0909"/>
    <w:rsid w:val="006B1BCF"/>
    <w:rsid w:val="006B1BDC"/>
    <w:rsid w:val="006B33FF"/>
    <w:rsid w:val="006B3B74"/>
    <w:rsid w:val="006B3CF2"/>
    <w:rsid w:val="006C0A51"/>
    <w:rsid w:val="006C1A83"/>
    <w:rsid w:val="006C1AD9"/>
    <w:rsid w:val="006C1F3B"/>
    <w:rsid w:val="006C3E2A"/>
    <w:rsid w:val="006C450D"/>
    <w:rsid w:val="006C57B7"/>
    <w:rsid w:val="006C642F"/>
    <w:rsid w:val="006C7281"/>
    <w:rsid w:val="006D03E5"/>
    <w:rsid w:val="006D08C1"/>
    <w:rsid w:val="006D5341"/>
    <w:rsid w:val="006D5D3E"/>
    <w:rsid w:val="006D6A23"/>
    <w:rsid w:val="006E08B3"/>
    <w:rsid w:val="006E2E49"/>
    <w:rsid w:val="006E5071"/>
    <w:rsid w:val="006E5916"/>
    <w:rsid w:val="006F01FE"/>
    <w:rsid w:val="006F1A67"/>
    <w:rsid w:val="006F572E"/>
    <w:rsid w:val="006F65A9"/>
    <w:rsid w:val="007020B1"/>
    <w:rsid w:val="0070399F"/>
    <w:rsid w:val="007046D6"/>
    <w:rsid w:val="007058B4"/>
    <w:rsid w:val="00705DB0"/>
    <w:rsid w:val="00706AFE"/>
    <w:rsid w:val="00707F8B"/>
    <w:rsid w:val="007105C8"/>
    <w:rsid w:val="00711BAE"/>
    <w:rsid w:val="007127A7"/>
    <w:rsid w:val="007147E1"/>
    <w:rsid w:val="0071530B"/>
    <w:rsid w:val="00715A36"/>
    <w:rsid w:val="00717545"/>
    <w:rsid w:val="00717B5D"/>
    <w:rsid w:val="007233A3"/>
    <w:rsid w:val="007249F8"/>
    <w:rsid w:val="00730F64"/>
    <w:rsid w:val="0073205A"/>
    <w:rsid w:val="0073223B"/>
    <w:rsid w:val="00732B06"/>
    <w:rsid w:val="0073345D"/>
    <w:rsid w:val="00736B85"/>
    <w:rsid w:val="00736EFA"/>
    <w:rsid w:val="00737627"/>
    <w:rsid w:val="0074253D"/>
    <w:rsid w:val="0074429B"/>
    <w:rsid w:val="007477F8"/>
    <w:rsid w:val="00750368"/>
    <w:rsid w:val="007560C5"/>
    <w:rsid w:val="00756ABF"/>
    <w:rsid w:val="007575C7"/>
    <w:rsid w:val="007615BC"/>
    <w:rsid w:val="00761AA7"/>
    <w:rsid w:val="00762F05"/>
    <w:rsid w:val="007637F0"/>
    <w:rsid w:val="00763BB7"/>
    <w:rsid w:val="007647D1"/>
    <w:rsid w:val="007652FF"/>
    <w:rsid w:val="00765C7B"/>
    <w:rsid w:val="00766729"/>
    <w:rsid w:val="00766888"/>
    <w:rsid w:val="00771329"/>
    <w:rsid w:val="00773480"/>
    <w:rsid w:val="00773EF7"/>
    <w:rsid w:val="007748DC"/>
    <w:rsid w:val="00774E1D"/>
    <w:rsid w:val="0077542B"/>
    <w:rsid w:val="0077675A"/>
    <w:rsid w:val="0077691E"/>
    <w:rsid w:val="00780355"/>
    <w:rsid w:val="00782870"/>
    <w:rsid w:val="00783116"/>
    <w:rsid w:val="00784124"/>
    <w:rsid w:val="00785721"/>
    <w:rsid w:val="007907BF"/>
    <w:rsid w:val="00792B5F"/>
    <w:rsid w:val="00793A59"/>
    <w:rsid w:val="00794519"/>
    <w:rsid w:val="007954D4"/>
    <w:rsid w:val="00797C67"/>
    <w:rsid w:val="007A2162"/>
    <w:rsid w:val="007A2B0B"/>
    <w:rsid w:val="007A58C5"/>
    <w:rsid w:val="007A6E36"/>
    <w:rsid w:val="007B0412"/>
    <w:rsid w:val="007B0A15"/>
    <w:rsid w:val="007B1ED1"/>
    <w:rsid w:val="007B7F38"/>
    <w:rsid w:val="007C0F3D"/>
    <w:rsid w:val="007C1AF7"/>
    <w:rsid w:val="007C689A"/>
    <w:rsid w:val="007D2CFA"/>
    <w:rsid w:val="007D31C7"/>
    <w:rsid w:val="007D404B"/>
    <w:rsid w:val="007D4385"/>
    <w:rsid w:val="007D7B54"/>
    <w:rsid w:val="007E29E1"/>
    <w:rsid w:val="007E3E3E"/>
    <w:rsid w:val="007E4844"/>
    <w:rsid w:val="007E4DCE"/>
    <w:rsid w:val="007E662C"/>
    <w:rsid w:val="007F489D"/>
    <w:rsid w:val="008030CD"/>
    <w:rsid w:val="00803384"/>
    <w:rsid w:val="00804357"/>
    <w:rsid w:val="008043B8"/>
    <w:rsid w:val="0080449A"/>
    <w:rsid w:val="00811949"/>
    <w:rsid w:val="00812029"/>
    <w:rsid w:val="008122AC"/>
    <w:rsid w:val="00813E46"/>
    <w:rsid w:val="00817471"/>
    <w:rsid w:val="00817BC9"/>
    <w:rsid w:val="00821776"/>
    <w:rsid w:val="00826007"/>
    <w:rsid w:val="0082653E"/>
    <w:rsid w:val="008266E2"/>
    <w:rsid w:val="00826939"/>
    <w:rsid w:val="00831DB3"/>
    <w:rsid w:val="0083209C"/>
    <w:rsid w:val="008321F5"/>
    <w:rsid w:val="00832369"/>
    <w:rsid w:val="00832486"/>
    <w:rsid w:val="00832D81"/>
    <w:rsid w:val="0083329F"/>
    <w:rsid w:val="00834660"/>
    <w:rsid w:val="008357ED"/>
    <w:rsid w:val="00836519"/>
    <w:rsid w:val="00836BC2"/>
    <w:rsid w:val="0084109D"/>
    <w:rsid w:val="00841987"/>
    <w:rsid w:val="008423DC"/>
    <w:rsid w:val="008428C7"/>
    <w:rsid w:val="008440A7"/>
    <w:rsid w:val="00846E23"/>
    <w:rsid w:val="0085641B"/>
    <w:rsid w:val="00857136"/>
    <w:rsid w:val="008611DA"/>
    <w:rsid w:val="008617CA"/>
    <w:rsid w:val="00861B8C"/>
    <w:rsid w:val="00862A10"/>
    <w:rsid w:val="00865EFD"/>
    <w:rsid w:val="008702B3"/>
    <w:rsid w:val="008707DF"/>
    <w:rsid w:val="00871E49"/>
    <w:rsid w:val="00872807"/>
    <w:rsid w:val="00876EAC"/>
    <w:rsid w:val="00877F8C"/>
    <w:rsid w:val="0088186A"/>
    <w:rsid w:val="00881EA0"/>
    <w:rsid w:val="0088496A"/>
    <w:rsid w:val="0088678E"/>
    <w:rsid w:val="008871FB"/>
    <w:rsid w:val="0089392A"/>
    <w:rsid w:val="00893C5D"/>
    <w:rsid w:val="00894697"/>
    <w:rsid w:val="0089554D"/>
    <w:rsid w:val="00895D8E"/>
    <w:rsid w:val="00896018"/>
    <w:rsid w:val="00896E1F"/>
    <w:rsid w:val="008A00FE"/>
    <w:rsid w:val="008A07F0"/>
    <w:rsid w:val="008A2B9D"/>
    <w:rsid w:val="008A2D18"/>
    <w:rsid w:val="008A5E0B"/>
    <w:rsid w:val="008A69D0"/>
    <w:rsid w:val="008A6A7F"/>
    <w:rsid w:val="008A6B96"/>
    <w:rsid w:val="008A6D59"/>
    <w:rsid w:val="008B0015"/>
    <w:rsid w:val="008B0BAE"/>
    <w:rsid w:val="008B2B27"/>
    <w:rsid w:val="008B2BFC"/>
    <w:rsid w:val="008B30C7"/>
    <w:rsid w:val="008B393A"/>
    <w:rsid w:val="008B4B03"/>
    <w:rsid w:val="008B4DD7"/>
    <w:rsid w:val="008B596F"/>
    <w:rsid w:val="008B7C43"/>
    <w:rsid w:val="008C0C69"/>
    <w:rsid w:val="008C159F"/>
    <w:rsid w:val="008C1623"/>
    <w:rsid w:val="008C20CB"/>
    <w:rsid w:val="008C2B58"/>
    <w:rsid w:val="008C51A9"/>
    <w:rsid w:val="008C5225"/>
    <w:rsid w:val="008C7E46"/>
    <w:rsid w:val="008D0620"/>
    <w:rsid w:val="008D0867"/>
    <w:rsid w:val="008D1287"/>
    <w:rsid w:val="008D3724"/>
    <w:rsid w:val="008D3FCE"/>
    <w:rsid w:val="008D67F7"/>
    <w:rsid w:val="008D786F"/>
    <w:rsid w:val="008D7BD4"/>
    <w:rsid w:val="008E6463"/>
    <w:rsid w:val="008F1CCC"/>
    <w:rsid w:val="008F2967"/>
    <w:rsid w:val="008F2AD4"/>
    <w:rsid w:val="008F371F"/>
    <w:rsid w:val="008F4A62"/>
    <w:rsid w:val="008F57B4"/>
    <w:rsid w:val="00904486"/>
    <w:rsid w:val="00911585"/>
    <w:rsid w:val="0091165D"/>
    <w:rsid w:val="00915525"/>
    <w:rsid w:val="00917AB4"/>
    <w:rsid w:val="00920330"/>
    <w:rsid w:val="009207ED"/>
    <w:rsid w:val="00920E85"/>
    <w:rsid w:val="00920FF4"/>
    <w:rsid w:val="009219D7"/>
    <w:rsid w:val="00921DA5"/>
    <w:rsid w:val="00922D53"/>
    <w:rsid w:val="00923B70"/>
    <w:rsid w:val="0092465F"/>
    <w:rsid w:val="00924FB8"/>
    <w:rsid w:val="00925333"/>
    <w:rsid w:val="0092600B"/>
    <w:rsid w:val="00926BE5"/>
    <w:rsid w:val="00926F1C"/>
    <w:rsid w:val="00930237"/>
    <w:rsid w:val="009310B4"/>
    <w:rsid w:val="00931FAD"/>
    <w:rsid w:val="0093749E"/>
    <w:rsid w:val="00942751"/>
    <w:rsid w:val="00943A3F"/>
    <w:rsid w:val="00944B14"/>
    <w:rsid w:val="00945041"/>
    <w:rsid w:val="009468C6"/>
    <w:rsid w:val="00951677"/>
    <w:rsid w:val="00952C3D"/>
    <w:rsid w:val="00953EA8"/>
    <w:rsid w:val="00955A46"/>
    <w:rsid w:val="009628B7"/>
    <w:rsid w:val="00963A5E"/>
    <w:rsid w:val="00963BD9"/>
    <w:rsid w:val="00963C08"/>
    <w:rsid w:val="00963C0D"/>
    <w:rsid w:val="00966970"/>
    <w:rsid w:val="00966B60"/>
    <w:rsid w:val="00967C5A"/>
    <w:rsid w:val="00970367"/>
    <w:rsid w:val="00970F03"/>
    <w:rsid w:val="009741DD"/>
    <w:rsid w:val="009752DD"/>
    <w:rsid w:val="00975379"/>
    <w:rsid w:val="00976AD8"/>
    <w:rsid w:val="00981AC6"/>
    <w:rsid w:val="00981D0A"/>
    <w:rsid w:val="009833AF"/>
    <w:rsid w:val="009835B6"/>
    <w:rsid w:val="00984CAD"/>
    <w:rsid w:val="00984E90"/>
    <w:rsid w:val="00985844"/>
    <w:rsid w:val="00987D65"/>
    <w:rsid w:val="009927F3"/>
    <w:rsid w:val="00993AB0"/>
    <w:rsid w:val="0099683C"/>
    <w:rsid w:val="009969F5"/>
    <w:rsid w:val="009A1168"/>
    <w:rsid w:val="009A190E"/>
    <w:rsid w:val="009A4825"/>
    <w:rsid w:val="009A4CED"/>
    <w:rsid w:val="009B00CC"/>
    <w:rsid w:val="009B1D12"/>
    <w:rsid w:val="009B20A0"/>
    <w:rsid w:val="009B223F"/>
    <w:rsid w:val="009B2B3C"/>
    <w:rsid w:val="009B3475"/>
    <w:rsid w:val="009B416B"/>
    <w:rsid w:val="009B6348"/>
    <w:rsid w:val="009C313E"/>
    <w:rsid w:val="009C4BD5"/>
    <w:rsid w:val="009C5F04"/>
    <w:rsid w:val="009C683C"/>
    <w:rsid w:val="009C7C25"/>
    <w:rsid w:val="009D0801"/>
    <w:rsid w:val="009D0A6D"/>
    <w:rsid w:val="009D0DC8"/>
    <w:rsid w:val="009D2144"/>
    <w:rsid w:val="009D2E04"/>
    <w:rsid w:val="009D3360"/>
    <w:rsid w:val="009D59C9"/>
    <w:rsid w:val="009D6295"/>
    <w:rsid w:val="009D7B77"/>
    <w:rsid w:val="009E0BB0"/>
    <w:rsid w:val="009E37F8"/>
    <w:rsid w:val="009E3FBB"/>
    <w:rsid w:val="009E4E36"/>
    <w:rsid w:val="009E5A04"/>
    <w:rsid w:val="009F018D"/>
    <w:rsid w:val="009F01FD"/>
    <w:rsid w:val="009F207B"/>
    <w:rsid w:val="009F20E4"/>
    <w:rsid w:val="00A0147E"/>
    <w:rsid w:val="00A0156E"/>
    <w:rsid w:val="00A10C68"/>
    <w:rsid w:val="00A1235B"/>
    <w:rsid w:val="00A14BD6"/>
    <w:rsid w:val="00A14DF7"/>
    <w:rsid w:val="00A15799"/>
    <w:rsid w:val="00A21A6F"/>
    <w:rsid w:val="00A22E19"/>
    <w:rsid w:val="00A23982"/>
    <w:rsid w:val="00A26263"/>
    <w:rsid w:val="00A27B10"/>
    <w:rsid w:val="00A31294"/>
    <w:rsid w:val="00A3246D"/>
    <w:rsid w:val="00A32C51"/>
    <w:rsid w:val="00A342E4"/>
    <w:rsid w:val="00A36E8D"/>
    <w:rsid w:val="00A36FA7"/>
    <w:rsid w:val="00A40944"/>
    <w:rsid w:val="00A417EE"/>
    <w:rsid w:val="00A41E88"/>
    <w:rsid w:val="00A46A96"/>
    <w:rsid w:val="00A47209"/>
    <w:rsid w:val="00A475B7"/>
    <w:rsid w:val="00A47AF7"/>
    <w:rsid w:val="00A47C3E"/>
    <w:rsid w:val="00A50226"/>
    <w:rsid w:val="00A50992"/>
    <w:rsid w:val="00A513EB"/>
    <w:rsid w:val="00A52D43"/>
    <w:rsid w:val="00A53DC8"/>
    <w:rsid w:val="00A54EF1"/>
    <w:rsid w:val="00A60BAD"/>
    <w:rsid w:val="00A63FF3"/>
    <w:rsid w:val="00A73339"/>
    <w:rsid w:val="00A737A1"/>
    <w:rsid w:val="00A73A8D"/>
    <w:rsid w:val="00A75017"/>
    <w:rsid w:val="00A77C3E"/>
    <w:rsid w:val="00A77C79"/>
    <w:rsid w:val="00A8051A"/>
    <w:rsid w:val="00A806AE"/>
    <w:rsid w:val="00A84167"/>
    <w:rsid w:val="00A8571D"/>
    <w:rsid w:val="00A87334"/>
    <w:rsid w:val="00A92E6D"/>
    <w:rsid w:val="00A934D5"/>
    <w:rsid w:val="00A957C4"/>
    <w:rsid w:val="00AA0127"/>
    <w:rsid w:val="00AA34FC"/>
    <w:rsid w:val="00AB201E"/>
    <w:rsid w:val="00AB3F92"/>
    <w:rsid w:val="00AB42C4"/>
    <w:rsid w:val="00AB448A"/>
    <w:rsid w:val="00AB581C"/>
    <w:rsid w:val="00AB5C96"/>
    <w:rsid w:val="00AC0929"/>
    <w:rsid w:val="00AC262B"/>
    <w:rsid w:val="00AC2B40"/>
    <w:rsid w:val="00AC2BB2"/>
    <w:rsid w:val="00AC2C3C"/>
    <w:rsid w:val="00AC3BD9"/>
    <w:rsid w:val="00AC44FA"/>
    <w:rsid w:val="00AC54D1"/>
    <w:rsid w:val="00AC6EBE"/>
    <w:rsid w:val="00AC74F0"/>
    <w:rsid w:val="00AD4722"/>
    <w:rsid w:val="00AD58C6"/>
    <w:rsid w:val="00AD7E78"/>
    <w:rsid w:val="00AE2270"/>
    <w:rsid w:val="00AE3703"/>
    <w:rsid w:val="00AE4205"/>
    <w:rsid w:val="00AE6155"/>
    <w:rsid w:val="00AE65EB"/>
    <w:rsid w:val="00AE670F"/>
    <w:rsid w:val="00AF1A3B"/>
    <w:rsid w:val="00AF1D94"/>
    <w:rsid w:val="00AF27F0"/>
    <w:rsid w:val="00AF316D"/>
    <w:rsid w:val="00AF3A8C"/>
    <w:rsid w:val="00AF60C5"/>
    <w:rsid w:val="00AF77FE"/>
    <w:rsid w:val="00B009C6"/>
    <w:rsid w:val="00B011A9"/>
    <w:rsid w:val="00B01548"/>
    <w:rsid w:val="00B138BE"/>
    <w:rsid w:val="00B15AE2"/>
    <w:rsid w:val="00B15C1C"/>
    <w:rsid w:val="00B17A0B"/>
    <w:rsid w:val="00B17CB3"/>
    <w:rsid w:val="00B21D29"/>
    <w:rsid w:val="00B21FC5"/>
    <w:rsid w:val="00B23D7A"/>
    <w:rsid w:val="00B25034"/>
    <w:rsid w:val="00B26D10"/>
    <w:rsid w:val="00B27B29"/>
    <w:rsid w:val="00B27EA3"/>
    <w:rsid w:val="00B325C7"/>
    <w:rsid w:val="00B33863"/>
    <w:rsid w:val="00B343C6"/>
    <w:rsid w:val="00B34F51"/>
    <w:rsid w:val="00B37D17"/>
    <w:rsid w:val="00B4175E"/>
    <w:rsid w:val="00B4454F"/>
    <w:rsid w:val="00B45BE8"/>
    <w:rsid w:val="00B50EE7"/>
    <w:rsid w:val="00B510E1"/>
    <w:rsid w:val="00B5397B"/>
    <w:rsid w:val="00B54C25"/>
    <w:rsid w:val="00B54F86"/>
    <w:rsid w:val="00B55E71"/>
    <w:rsid w:val="00B57049"/>
    <w:rsid w:val="00B572B2"/>
    <w:rsid w:val="00B60801"/>
    <w:rsid w:val="00B617EA"/>
    <w:rsid w:val="00B6409A"/>
    <w:rsid w:val="00B649FB"/>
    <w:rsid w:val="00B6677B"/>
    <w:rsid w:val="00B71B18"/>
    <w:rsid w:val="00B7316D"/>
    <w:rsid w:val="00B7359B"/>
    <w:rsid w:val="00B7629F"/>
    <w:rsid w:val="00B7672F"/>
    <w:rsid w:val="00B76B91"/>
    <w:rsid w:val="00B806FE"/>
    <w:rsid w:val="00B83FC7"/>
    <w:rsid w:val="00B8473E"/>
    <w:rsid w:val="00B863A6"/>
    <w:rsid w:val="00B86F81"/>
    <w:rsid w:val="00B9243D"/>
    <w:rsid w:val="00B924E9"/>
    <w:rsid w:val="00B929EB"/>
    <w:rsid w:val="00B94276"/>
    <w:rsid w:val="00B94618"/>
    <w:rsid w:val="00B965B7"/>
    <w:rsid w:val="00B96AF4"/>
    <w:rsid w:val="00B978A9"/>
    <w:rsid w:val="00BA3184"/>
    <w:rsid w:val="00BB0BD8"/>
    <w:rsid w:val="00BB2859"/>
    <w:rsid w:val="00BB538A"/>
    <w:rsid w:val="00BB6DFC"/>
    <w:rsid w:val="00BB7F56"/>
    <w:rsid w:val="00BC1CAB"/>
    <w:rsid w:val="00BC2009"/>
    <w:rsid w:val="00BC50DB"/>
    <w:rsid w:val="00BC526C"/>
    <w:rsid w:val="00BC5AC3"/>
    <w:rsid w:val="00BC5AE6"/>
    <w:rsid w:val="00BC622A"/>
    <w:rsid w:val="00BD48EC"/>
    <w:rsid w:val="00BD5B3A"/>
    <w:rsid w:val="00BE0A78"/>
    <w:rsid w:val="00BE79F0"/>
    <w:rsid w:val="00BF046D"/>
    <w:rsid w:val="00BF46E4"/>
    <w:rsid w:val="00BF5C3A"/>
    <w:rsid w:val="00BF5D04"/>
    <w:rsid w:val="00BF6D2F"/>
    <w:rsid w:val="00C007D3"/>
    <w:rsid w:val="00C013C1"/>
    <w:rsid w:val="00C019E6"/>
    <w:rsid w:val="00C0357E"/>
    <w:rsid w:val="00C041A8"/>
    <w:rsid w:val="00C05254"/>
    <w:rsid w:val="00C1305B"/>
    <w:rsid w:val="00C13563"/>
    <w:rsid w:val="00C16CCE"/>
    <w:rsid w:val="00C17E00"/>
    <w:rsid w:val="00C20E25"/>
    <w:rsid w:val="00C22294"/>
    <w:rsid w:val="00C24035"/>
    <w:rsid w:val="00C25FC2"/>
    <w:rsid w:val="00C27566"/>
    <w:rsid w:val="00C31D44"/>
    <w:rsid w:val="00C32A88"/>
    <w:rsid w:val="00C33FDE"/>
    <w:rsid w:val="00C3534F"/>
    <w:rsid w:val="00C3536F"/>
    <w:rsid w:val="00C364D5"/>
    <w:rsid w:val="00C36810"/>
    <w:rsid w:val="00C404A6"/>
    <w:rsid w:val="00C40A36"/>
    <w:rsid w:val="00C41FCC"/>
    <w:rsid w:val="00C434EA"/>
    <w:rsid w:val="00C44419"/>
    <w:rsid w:val="00C44889"/>
    <w:rsid w:val="00C45E7B"/>
    <w:rsid w:val="00C471B1"/>
    <w:rsid w:val="00C51785"/>
    <w:rsid w:val="00C54222"/>
    <w:rsid w:val="00C55437"/>
    <w:rsid w:val="00C55C1A"/>
    <w:rsid w:val="00C6204C"/>
    <w:rsid w:val="00C6316B"/>
    <w:rsid w:val="00C634A9"/>
    <w:rsid w:val="00C6376F"/>
    <w:rsid w:val="00C64F8C"/>
    <w:rsid w:val="00C651B1"/>
    <w:rsid w:val="00C669EE"/>
    <w:rsid w:val="00C67ADC"/>
    <w:rsid w:val="00C67B8B"/>
    <w:rsid w:val="00C71938"/>
    <w:rsid w:val="00C73315"/>
    <w:rsid w:val="00C741A3"/>
    <w:rsid w:val="00C74DD6"/>
    <w:rsid w:val="00C76E42"/>
    <w:rsid w:val="00C772FF"/>
    <w:rsid w:val="00C801AF"/>
    <w:rsid w:val="00C80256"/>
    <w:rsid w:val="00C81696"/>
    <w:rsid w:val="00C8270C"/>
    <w:rsid w:val="00C87CA5"/>
    <w:rsid w:val="00C91F5D"/>
    <w:rsid w:val="00C93228"/>
    <w:rsid w:val="00C93BB0"/>
    <w:rsid w:val="00C94239"/>
    <w:rsid w:val="00C95D76"/>
    <w:rsid w:val="00CA068B"/>
    <w:rsid w:val="00CA0F79"/>
    <w:rsid w:val="00CA3A38"/>
    <w:rsid w:val="00CA62E0"/>
    <w:rsid w:val="00CA7499"/>
    <w:rsid w:val="00CA7F35"/>
    <w:rsid w:val="00CB27FE"/>
    <w:rsid w:val="00CB41F0"/>
    <w:rsid w:val="00CB6BC0"/>
    <w:rsid w:val="00CC1B7C"/>
    <w:rsid w:val="00CC314F"/>
    <w:rsid w:val="00CC491F"/>
    <w:rsid w:val="00CC50DE"/>
    <w:rsid w:val="00CC727F"/>
    <w:rsid w:val="00CD241D"/>
    <w:rsid w:val="00CD6EB8"/>
    <w:rsid w:val="00CE06DE"/>
    <w:rsid w:val="00CE5BB0"/>
    <w:rsid w:val="00CE5E4B"/>
    <w:rsid w:val="00CF15C3"/>
    <w:rsid w:val="00CF2B6F"/>
    <w:rsid w:val="00CF3BC4"/>
    <w:rsid w:val="00CF6340"/>
    <w:rsid w:val="00D017ED"/>
    <w:rsid w:val="00D028DD"/>
    <w:rsid w:val="00D02AD9"/>
    <w:rsid w:val="00D07496"/>
    <w:rsid w:val="00D075C1"/>
    <w:rsid w:val="00D07BFC"/>
    <w:rsid w:val="00D12D62"/>
    <w:rsid w:val="00D135F8"/>
    <w:rsid w:val="00D14F67"/>
    <w:rsid w:val="00D153B1"/>
    <w:rsid w:val="00D1617A"/>
    <w:rsid w:val="00D224FE"/>
    <w:rsid w:val="00D229BA"/>
    <w:rsid w:val="00D2375D"/>
    <w:rsid w:val="00D24C02"/>
    <w:rsid w:val="00D274B2"/>
    <w:rsid w:val="00D319C0"/>
    <w:rsid w:val="00D32896"/>
    <w:rsid w:val="00D35FFA"/>
    <w:rsid w:val="00D445C0"/>
    <w:rsid w:val="00D46E89"/>
    <w:rsid w:val="00D47415"/>
    <w:rsid w:val="00D51CD8"/>
    <w:rsid w:val="00D55A5F"/>
    <w:rsid w:val="00D624D6"/>
    <w:rsid w:val="00D63084"/>
    <w:rsid w:val="00D63F91"/>
    <w:rsid w:val="00D6493E"/>
    <w:rsid w:val="00D6762F"/>
    <w:rsid w:val="00D72783"/>
    <w:rsid w:val="00D73A46"/>
    <w:rsid w:val="00D73C01"/>
    <w:rsid w:val="00D74637"/>
    <w:rsid w:val="00D763E2"/>
    <w:rsid w:val="00D77C24"/>
    <w:rsid w:val="00D80DD3"/>
    <w:rsid w:val="00D82F24"/>
    <w:rsid w:val="00D834EE"/>
    <w:rsid w:val="00D84A25"/>
    <w:rsid w:val="00D855AE"/>
    <w:rsid w:val="00D85742"/>
    <w:rsid w:val="00D86C12"/>
    <w:rsid w:val="00D87F31"/>
    <w:rsid w:val="00D9728D"/>
    <w:rsid w:val="00D97D00"/>
    <w:rsid w:val="00DA096A"/>
    <w:rsid w:val="00DA1124"/>
    <w:rsid w:val="00DA1294"/>
    <w:rsid w:val="00DA24C7"/>
    <w:rsid w:val="00DA2BE7"/>
    <w:rsid w:val="00DA3BFE"/>
    <w:rsid w:val="00DA44D5"/>
    <w:rsid w:val="00DA5B9B"/>
    <w:rsid w:val="00DA7A0C"/>
    <w:rsid w:val="00DB105D"/>
    <w:rsid w:val="00DB3079"/>
    <w:rsid w:val="00DB33CF"/>
    <w:rsid w:val="00DB34F5"/>
    <w:rsid w:val="00DB4D99"/>
    <w:rsid w:val="00DC38FE"/>
    <w:rsid w:val="00DC55B7"/>
    <w:rsid w:val="00DC694C"/>
    <w:rsid w:val="00DC7746"/>
    <w:rsid w:val="00DC79D6"/>
    <w:rsid w:val="00DC7EE4"/>
    <w:rsid w:val="00DD75A3"/>
    <w:rsid w:val="00DE02AE"/>
    <w:rsid w:val="00DE19E5"/>
    <w:rsid w:val="00DE65DB"/>
    <w:rsid w:val="00DE6A0C"/>
    <w:rsid w:val="00DE6C04"/>
    <w:rsid w:val="00DF1D7F"/>
    <w:rsid w:val="00DF2F50"/>
    <w:rsid w:val="00DF5E2A"/>
    <w:rsid w:val="00E02FB4"/>
    <w:rsid w:val="00E03BEE"/>
    <w:rsid w:val="00E04ABD"/>
    <w:rsid w:val="00E05B04"/>
    <w:rsid w:val="00E06A1B"/>
    <w:rsid w:val="00E1165A"/>
    <w:rsid w:val="00E1340C"/>
    <w:rsid w:val="00E2020C"/>
    <w:rsid w:val="00E20571"/>
    <w:rsid w:val="00E207D9"/>
    <w:rsid w:val="00E21651"/>
    <w:rsid w:val="00E235F7"/>
    <w:rsid w:val="00E238F6"/>
    <w:rsid w:val="00E239D4"/>
    <w:rsid w:val="00E313A8"/>
    <w:rsid w:val="00E35534"/>
    <w:rsid w:val="00E40B22"/>
    <w:rsid w:val="00E40BD2"/>
    <w:rsid w:val="00E41AD2"/>
    <w:rsid w:val="00E42068"/>
    <w:rsid w:val="00E4307C"/>
    <w:rsid w:val="00E4588F"/>
    <w:rsid w:val="00E46DA3"/>
    <w:rsid w:val="00E476C8"/>
    <w:rsid w:val="00E57B71"/>
    <w:rsid w:val="00E631B9"/>
    <w:rsid w:val="00E67420"/>
    <w:rsid w:val="00E72FC4"/>
    <w:rsid w:val="00E73ADE"/>
    <w:rsid w:val="00E76C97"/>
    <w:rsid w:val="00E77B79"/>
    <w:rsid w:val="00E81BC9"/>
    <w:rsid w:val="00E8347B"/>
    <w:rsid w:val="00E85439"/>
    <w:rsid w:val="00E85D19"/>
    <w:rsid w:val="00E85D5D"/>
    <w:rsid w:val="00E860E0"/>
    <w:rsid w:val="00E86A1F"/>
    <w:rsid w:val="00E8778C"/>
    <w:rsid w:val="00E9008E"/>
    <w:rsid w:val="00E951D8"/>
    <w:rsid w:val="00E9579B"/>
    <w:rsid w:val="00E97275"/>
    <w:rsid w:val="00EA0A0F"/>
    <w:rsid w:val="00EA0F92"/>
    <w:rsid w:val="00EA16DE"/>
    <w:rsid w:val="00EA2090"/>
    <w:rsid w:val="00EA406B"/>
    <w:rsid w:val="00EA5776"/>
    <w:rsid w:val="00EB0798"/>
    <w:rsid w:val="00EB28AE"/>
    <w:rsid w:val="00EB2F97"/>
    <w:rsid w:val="00EB34F1"/>
    <w:rsid w:val="00EB40AD"/>
    <w:rsid w:val="00EB4571"/>
    <w:rsid w:val="00EB5786"/>
    <w:rsid w:val="00EB586E"/>
    <w:rsid w:val="00EB5FC8"/>
    <w:rsid w:val="00EB74A7"/>
    <w:rsid w:val="00EC384E"/>
    <w:rsid w:val="00EC4910"/>
    <w:rsid w:val="00EC4ABD"/>
    <w:rsid w:val="00EC580A"/>
    <w:rsid w:val="00ED1C7A"/>
    <w:rsid w:val="00ED5A41"/>
    <w:rsid w:val="00ED5D05"/>
    <w:rsid w:val="00ED6B23"/>
    <w:rsid w:val="00EE00CA"/>
    <w:rsid w:val="00EE2CC3"/>
    <w:rsid w:val="00EE3577"/>
    <w:rsid w:val="00EE565C"/>
    <w:rsid w:val="00EE706F"/>
    <w:rsid w:val="00EF1963"/>
    <w:rsid w:val="00EF3A51"/>
    <w:rsid w:val="00EF3C6A"/>
    <w:rsid w:val="00EF5254"/>
    <w:rsid w:val="00EF578B"/>
    <w:rsid w:val="00EF5EE3"/>
    <w:rsid w:val="00EF7B95"/>
    <w:rsid w:val="00F033EC"/>
    <w:rsid w:val="00F04336"/>
    <w:rsid w:val="00F0438D"/>
    <w:rsid w:val="00F049A1"/>
    <w:rsid w:val="00F04F68"/>
    <w:rsid w:val="00F10A73"/>
    <w:rsid w:val="00F10BD8"/>
    <w:rsid w:val="00F12670"/>
    <w:rsid w:val="00F12717"/>
    <w:rsid w:val="00F14B27"/>
    <w:rsid w:val="00F20118"/>
    <w:rsid w:val="00F23105"/>
    <w:rsid w:val="00F2355B"/>
    <w:rsid w:val="00F25577"/>
    <w:rsid w:val="00F2700C"/>
    <w:rsid w:val="00F3147E"/>
    <w:rsid w:val="00F3148D"/>
    <w:rsid w:val="00F32D36"/>
    <w:rsid w:val="00F3509E"/>
    <w:rsid w:val="00F35298"/>
    <w:rsid w:val="00F3529E"/>
    <w:rsid w:val="00F402CB"/>
    <w:rsid w:val="00F41DCE"/>
    <w:rsid w:val="00F443FD"/>
    <w:rsid w:val="00F46F9A"/>
    <w:rsid w:val="00F47D14"/>
    <w:rsid w:val="00F47E37"/>
    <w:rsid w:val="00F50ADC"/>
    <w:rsid w:val="00F50B5E"/>
    <w:rsid w:val="00F53E24"/>
    <w:rsid w:val="00F56D63"/>
    <w:rsid w:val="00F640B6"/>
    <w:rsid w:val="00F647EA"/>
    <w:rsid w:val="00F655CA"/>
    <w:rsid w:val="00F65B15"/>
    <w:rsid w:val="00F70540"/>
    <w:rsid w:val="00F712CD"/>
    <w:rsid w:val="00F76802"/>
    <w:rsid w:val="00F80E40"/>
    <w:rsid w:val="00F84417"/>
    <w:rsid w:val="00F91585"/>
    <w:rsid w:val="00F919D1"/>
    <w:rsid w:val="00F923D6"/>
    <w:rsid w:val="00F92A3B"/>
    <w:rsid w:val="00F942E9"/>
    <w:rsid w:val="00F95CA6"/>
    <w:rsid w:val="00F9705F"/>
    <w:rsid w:val="00FA029A"/>
    <w:rsid w:val="00FA144A"/>
    <w:rsid w:val="00FA2018"/>
    <w:rsid w:val="00FA3338"/>
    <w:rsid w:val="00FA5B82"/>
    <w:rsid w:val="00FA639E"/>
    <w:rsid w:val="00FA7966"/>
    <w:rsid w:val="00FA7DF1"/>
    <w:rsid w:val="00FB1703"/>
    <w:rsid w:val="00FB1B89"/>
    <w:rsid w:val="00FB3817"/>
    <w:rsid w:val="00FB7CDD"/>
    <w:rsid w:val="00FC03C8"/>
    <w:rsid w:val="00FC25E4"/>
    <w:rsid w:val="00FC42B9"/>
    <w:rsid w:val="00FC4EF7"/>
    <w:rsid w:val="00FD56A0"/>
    <w:rsid w:val="00FD5947"/>
    <w:rsid w:val="00FD62E3"/>
    <w:rsid w:val="00FE1DEE"/>
    <w:rsid w:val="00FE705F"/>
    <w:rsid w:val="00FE71BE"/>
    <w:rsid w:val="00FF01FE"/>
    <w:rsid w:val="00FF1448"/>
    <w:rsid w:val="00FF2126"/>
    <w:rsid w:val="00FF25D3"/>
    <w:rsid w:val="00FF4170"/>
    <w:rsid w:val="00FF59FF"/>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5E7007"/>
  <w15:docId w15:val="{9FB8A505-8DA2-46F1-8113-1A546668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B32D0"/>
    <w:pPr>
      <w:spacing w:before="120" w:after="180" w:line="240" w:lineRule="atLeast"/>
    </w:pPr>
    <w:rPr>
      <w:sz w:val="22"/>
      <w:lang w:eastAsia="en-US"/>
    </w:rPr>
  </w:style>
  <w:style w:type="paragraph" w:styleId="Heading1">
    <w:name w:val="heading 1"/>
    <w:basedOn w:val="Heading2"/>
    <w:next w:val="Normal"/>
    <w:link w:val="Heading1Char"/>
    <w:rsid w:val="00D97D00"/>
    <w:pPr>
      <w:outlineLvl w:val="0"/>
    </w:pPr>
  </w:style>
  <w:style w:type="paragraph" w:styleId="Heading2">
    <w:name w:val="heading 2"/>
    <w:basedOn w:val="Normal"/>
    <w:next w:val="Normal"/>
    <w:link w:val="Heading2Char"/>
    <w:qFormat/>
    <w:rsid w:val="00BC2009"/>
    <w:pPr>
      <w:keepNext/>
      <w:keepLines/>
      <w:numPr>
        <w:numId w:val="5"/>
      </w:numPr>
      <w:spacing w:before="480" w:after="120"/>
      <w:outlineLvl w:val="1"/>
    </w:pPr>
    <w:rPr>
      <w:rFonts w:ascii="Arial" w:eastAsia="Times New Roman" w:hAnsi="Arial"/>
      <w:b/>
      <w:bCs/>
      <w:sz w:val="32"/>
      <w:szCs w:val="32"/>
    </w:rPr>
  </w:style>
  <w:style w:type="paragraph" w:styleId="Heading3">
    <w:name w:val="heading 3"/>
    <w:basedOn w:val="Normal"/>
    <w:next w:val="Normal"/>
    <w:link w:val="Heading3Char"/>
    <w:qFormat/>
    <w:rsid w:val="00BC2009"/>
    <w:pPr>
      <w:keepNext/>
      <w:keepLines/>
      <w:numPr>
        <w:ilvl w:val="1"/>
        <w:numId w:val="5"/>
      </w:numPr>
      <w:spacing w:before="480" w:after="120"/>
      <w:outlineLvl w:val="2"/>
    </w:pPr>
    <w:rPr>
      <w:rFonts w:ascii="Arial" w:eastAsia="Times New Roman" w:hAnsi="Arial"/>
      <w:b/>
      <w:bCs/>
      <w:sz w:val="28"/>
      <w:szCs w:val="32"/>
    </w:rPr>
  </w:style>
  <w:style w:type="paragraph" w:styleId="Heading4">
    <w:name w:val="heading 4"/>
    <w:basedOn w:val="Normal"/>
    <w:next w:val="Normal"/>
    <w:link w:val="Heading4Char"/>
    <w:qFormat/>
    <w:rsid w:val="00E97275"/>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6C57B7"/>
    <w:pPr>
      <w:keepNext/>
      <w:keepLines/>
      <w:spacing w:before="240" w:after="120"/>
      <w:ind w:left="1008" w:hanging="1008"/>
      <w:outlineLvl w:val="4"/>
    </w:pPr>
    <w:rPr>
      <w:rFonts w:eastAsia="Times New Roman"/>
      <w:b/>
      <w:bCs/>
      <w:i/>
      <w:color w:val="001523"/>
      <w:szCs w:val="26"/>
    </w:rPr>
  </w:style>
  <w:style w:type="paragraph" w:styleId="Heading6">
    <w:name w:val="heading 6"/>
    <w:basedOn w:val="Normal"/>
    <w:next w:val="Normal"/>
    <w:link w:val="Heading6Char"/>
    <w:uiPriority w:val="9"/>
    <w:rsid w:val="00B138BE"/>
    <w:pPr>
      <w:keepNext/>
      <w:keepLines/>
      <w:numPr>
        <w:ilvl w:val="5"/>
        <w:numId w:val="5"/>
      </w:numPr>
      <w:spacing w:before="240" w:after="120"/>
      <w:outlineLvl w:val="5"/>
    </w:pPr>
    <w:rPr>
      <w:rFonts w:eastAsia="Times New Roman"/>
      <w:b/>
      <w:bCs/>
      <w:i/>
      <w:szCs w:val="21"/>
    </w:rPr>
  </w:style>
  <w:style w:type="paragraph" w:styleId="Heading7">
    <w:name w:val="heading 7"/>
    <w:basedOn w:val="Normal"/>
    <w:next w:val="Normal"/>
    <w:link w:val="Heading7Char"/>
    <w:uiPriority w:val="9"/>
    <w:rsid w:val="00B138BE"/>
    <w:pPr>
      <w:keepNext/>
      <w:keepLines/>
      <w:numPr>
        <w:ilvl w:val="6"/>
        <w:numId w:val="5"/>
      </w:numPr>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semiHidden/>
    <w:unhideWhenUsed/>
    <w:qFormat/>
    <w:rsid w:val="00430AAA"/>
    <w:pPr>
      <w:keepNext/>
      <w:keepLines/>
      <w:numPr>
        <w:ilvl w:val="7"/>
        <w:numId w:val="5"/>
      </w:numPr>
      <w:spacing w:before="200" w:after="0"/>
      <w:outlineLvl w:val="7"/>
    </w:pPr>
    <w:rPr>
      <w:rFonts w:asciiTheme="majorHAnsi" w:eastAsiaTheme="majorEastAsia" w:hAnsiTheme="majorHAnsi" w:cstheme="majorBidi"/>
      <w:color w:val="0070B5" w:themeColor="text1" w:themeTint="BF"/>
      <w:sz w:val="20"/>
    </w:rPr>
  </w:style>
  <w:style w:type="paragraph" w:styleId="Heading9">
    <w:name w:val="heading 9"/>
    <w:basedOn w:val="Normal"/>
    <w:next w:val="Normal"/>
    <w:link w:val="Heading9Char"/>
    <w:uiPriority w:val="9"/>
    <w:semiHidden/>
    <w:unhideWhenUsed/>
    <w:qFormat/>
    <w:rsid w:val="00430AAA"/>
    <w:pPr>
      <w:keepNext/>
      <w:keepLines/>
      <w:numPr>
        <w:ilvl w:val="8"/>
        <w:numId w:val="5"/>
      </w:numPr>
      <w:spacing w:before="200" w:after="0"/>
      <w:outlineLvl w:val="8"/>
    </w:pPr>
    <w:rPr>
      <w:rFonts w:asciiTheme="majorHAnsi" w:eastAsiaTheme="majorEastAsia" w:hAnsiTheme="majorHAnsi" w:cstheme="majorBidi"/>
      <w:i/>
      <w:iCs/>
      <w:color w:val="0070B5"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7D00"/>
    <w:rPr>
      <w:rFonts w:ascii="Arial" w:eastAsia="Times New Roman" w:hAnsi="Arial"/>
      <w:b/>
      <w:bCs/>
      <w:sz w:val="32"/>
      <w:szCs w:val="32"/>
      <w:lang w:eastAsia="en-US"/>
    </w:rPr>
  </w:style>
  <w:style w:type="character" w:customStyle="1" w:styleId="Heading2Char">
    <w:name w:val="Heading 2 Char"/>
    <w:basedOn w:val="DefaultParagraphFont"/>
    <w:link w:val="Heading2"/>
    <w:rsid w:val="00BC2009"/>
    <w:rPr>
      <w:rFonts w:ascii="Arial" w:eastAsia="Times New Roman" w:hAnsi="Arial"/>
      <w:b/>
      <w:bCs/>
      <w:sz w:val="32"/>
      <w:szCs w:val="32"/>
      <w:lang w:eastAsia="en-US"/>
    </w:rPr>
  </w:style>
  <w:style w:type="character" w:customStyle="1" w:styleId="Heading3Char">
    <w:name w:val="Heading 3 Char"/>
    <w:basedOn w:val="DefaultParagraphFont"/>
    <w:link w:val="Heading3"/>
    <w:rsid w:val="00BC2009"/>
    <w:rPr>
      <w:rFonts w:ascii="Arial" w:eastAsia="Times New Roman" w:hAnsi="Arial"/>
      <w:b/>
      <w:bCs/>
      <w:sz w:val="28"/>
      <w:szCs w:val="32"/>
      <w:lang w:eastAsia="en-US"/>
    </w:rPr>
  </w:style>
  <w:style w:type="paragraph" w:customStyle="1" w:styleId="Figuredescription">
    <w:name w:val="Figure description"/>
    <w:basedOn w:val="Normal"/>
    <w:next w:val="Normal"/>
    <w:rsid w:val="00CA62E0"/>
    <w:pPr>
      <w:spacing w:after="240" w:line="180" w:lineRule="atLeast"/>
    </w:pPr>
    <w:rPr>
      <w:sz w:val="18"/>
    </w:rPr>
  </w:style>
  <w:style w:type="paragraph" w:customStyle="1" w:styleId="Figuretitle">
    <w:name w:val="Figure title"/>
    <w:basedOn w:val="Normal"/>
    <w:next w:val="Normal"/>
    <w:rsid w:val="00CA62E0"/>
    <w:pPr>
      <w:outlineLvl w:val="4"/>
    </w:pPr>
    <w:rPr>
      <w:b/>
    </w:rPr>
  </w:style>
  <w:style w:type="paragraph" w:styleId="DocumentMap">
    <w:name w:val="Document Map"/>
    <w:basedOn w:val="Normal"/>
    <w:link w:val="DocumentMapChar"/>
    <w:uiPriority w:val="99"/>
    <w:semiHidden/>
    <w:unhideWhenUsed/>
    <w:rsid w:val="001B5CE3"/>
    <w:pPr>
      <w:spacing w:before="0" w:after="0" w:line="240" w:lineRule="auto"/>
    </w:pPr>
    <w:rPr>
      <w:rFonts w:ascii="Tahoma" w:hAnsi="Tahoma" w:cs="Tahoma"/>
      <w:sz w:val="16"/>
      <w:szCs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DocumentMapChar">
    <w:name w:val="Document Map Char"/>
    <w:basedOn w:val="DefaultParagraphFont"/>
    <w:link w:val="DocumentMap"/>
    <w:uiPriority w:val="99"/>
    <w:semiHidden/>
    <w:rsid w:val="001B5CE3"/>
    <w:rPr>
      <w:rFonts w:ascii="Tahoma" w:hAnsi="Tahoma" w:cs="Tahoma"/>
      <w:sz w:val="16"/>
      <w:szCs w:val="16"/>
      <w:lang w:eastAsia="en-US"/>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E97275"/>
    <w:rPr>
      <w:rFonts w:ascii="Arial" w:hAnsi="Arial"/>
      <w:b/>
      <w:bCs/>
      <w:sz w:val="26"/>
      <w:szCs w:val="26"/>
      <w:lang w:eastAsia="en-US"/>
    </w:rPr>
  </w:style>
  <w:style w:type="character" w:styleId="FollowedHyperlink">
    <w:name w:val="FollowedHyperlink"/>
    <w:basedOn w:val="DefaultParagraphFont"/>
    <w:semiHidden/>
    <w:unhideWhenUsed/>
    <w:rsid w:val="006B3CF2"/>
    <w:rPr>
      <w:color w:val="800080"/>
      <w:u w:val="single"/>
    </w:rPr>
  </w:style>
  <w:style w:type="paragraph" w:styleId="Footer">
    <w:name w:val="footer"/>
    <w:basedOn w:val="Normal"/>
    <w:link w:val="FooterChar"/>
    <w:uiPriority w:val="99"/>
    <w:rsid w:val="00B138BE"/>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B138BE"/>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EB74A7"/>
    <w:pPr>
      <w:pBdr>
        <w:bottom w:val="none" w:sz="0" w:space="0" w:color="auto"/>
      </w:pBdr>
      <w:spacing w:before="240" w:after="120"/>
    </w:pPr>
  </w:style>
  <w:style w:type="character" w:customStyle="1" w:styleId="Heading5Char">
    <w:name w:val="Heading 5 Char"/>
    <w:basedOn w:val="DefaultParagraphFont"/>
    <w:link w:val="Heading5"/>
    <w:uiPriority w:val="9"/>
    <w:rsid w:val="006C57B7"/>
    <w:rPr>
      <w:rFonts w:eastAsia="Times New Roman"/>
      <w:b/>
      <w:bCs/>
      <w:i/>
      <w:color w:val="001523"/>
      <w:sz w:val="22"/>
      <w:szCs w:val="26"/>
      <w:lang w:eastAsia="en-US"/>
    </w:rPr>
  </w:style>
  <w:style w:type="character" w:customStyle="1" w:styleId="Heading6Char">
    <w:name w:val="Heading 6 Char"/>
    <w:basedOn w:val="DefaultParagraphFont"/>
    <w:link w:val="Heading6"/>
    <w:uiPriority w:val="9"/>
    <w:rsid w:val="00F3148D"/>
    <w:rPr>
      <w:rFonts w:eastAsia="Times New Roman"/>
      <w:b/>
      <w:bCs/>
      <w:i/>
      <w:sz w:val="22"/>
      <w:szCs w:val="21"/>
      <w:lang w:eastAsia="en-US"/>
    </w:rPr>
  </w:style>
  <w:style w:type="character" w:customStyle="1" w:styleId="Heading7Char">
    <w:name w:val="Heading 7 Char"/>
    <w:basedOn w:val="DefaultParagraphFont"/>
    <w:link w:val="Heading7"/>
    <w:uiPriority w:val="9"/>
    <w:rsid w:val="00F3148D"/>
    <w:rPr>
      <w:rFonts w:eastAsia="Times New Roman"/>
      <w:bCs/>
      <w:i/>
      <w:sz w:val="22"/>
      <w:szCs w:val="22"/>
      <w:lang w:eastAsia="en-US"/>
    </w:rPr>
  </w:style>
  <w:style w:type="character" w:styleId="Hyperlink">
    <w:name w:val="Hyperlink"/>
    <w:aliases w:val="OECD Hyperlink"/>
    <w:basedOn w:val="DefaultParagraphFont"/>
    <w:uiPriority w:val="99"/>
    <w:unhideWhenUsed/>
    <w:rsid w:val="00B138BE"/>
    <w:rPr>
      <w:color w:val="0000FF"/>
      <w:u w:val="single"/>
    </w:rPr>
  </w:style>
  <w:style w:type="paragraph" w:customStyle="1" w:styleId="LegalCopy">
    <w:name w:val="Legal Copy"/>
    <w:basedOn w:val="Footer"/>
    <w:unhideWhenUsed/>
    <w:rsid w:val="006B3CF2"/>
  </w:style>
  <w:style w:type="paragraph" w:customStyle="1" w:styleId="LegalSubheading">
    <w:name w:val="Legal Subheading"/>
    <w:basedOn w:val="Footer"/>
    <w:unhideWhenUsed/>
    <w:rsid w:val="006B3CF2"/>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E313A8"/>
    <w:pPr>
      <w:numPr>
        <w:numId w:val="3"/>
      </w:numPr>
    </w:pPr>
  </w:style>
  <w:style w:type="paragraph" w:styleId="ListBullet2">
    <w:name w:val="List Bullet 2"/>
    <w:basedOn w:val="Normal"/>
    <w:uiPriority w:val="99"/>
    <w:qFormat/>
    <w:rsid w:val="00E313A8"/>
    <w:pPr>
      <w:numPr>
        <w:ilvl w:val="1"/>
        <w:numId w:val="3"/>
      </w:numPr>
    </w:pPr>
  </w:style>
  <w:style w:type="paragraph" w:styleId="ListBullet3">
    <w:name w:val="List Bullet 3"/>
    <w:basedOn w:val="Normal"/>
    <w:uiPriority w:val="99"/>
    <w:qFormat/>
    <w:rsid w:val="00E313A8"/>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E313A8"/>
    <w:pPr>
      <w:numPr>
        <w:numId w:val="4"/>
      </w:numPr>
    </w:pPr>
  </w:style>
  <w:style w:type="paragraph" w:customStyle="1" w:styleId="Numberbullet2">
    <w:name w:val="Number bullet 2"/>
    <w:basedOn w:val="ListBullet2"/>
    <w:qFormat/>
    <w:rsid w:val="00E313A8"/>
    <w:pPr>
      <w:numPr>
        <w:numId w:val="4"/>
      </w:numPr>
      <w:ind w:left="850" w:hanging="425"/>
    </w:pPr>
  </w:style>
  <w:style w:type="paragraph" w:customStyle="1" w:styleId="Numberbullet3">
    <w:name w:val="Number bullet 3"/>
    <w:basedOn w:val="ListBullet3"/>
    <w:qFormat/>
    <w:rsid w:val="00E313A8"/>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B138BE"/>
    <w:pPr>
      <w:spacing w:before="40" w:after="0"/>
      <w:ind w:left="170" w:hanging="170"/>
    </w:pPr>
    <w:rPr>
      <w:sz w:val="19"/>
    </w:rPr>
  </w:style>
  <w:style w:type="paragraph" w:styleId="Subtitle">
    <w:name w:val="Subtitle"/>
    <w:basedOn w:val="Normal"/>
    <w:next w:val="Normal"/>
    <w:link w:val="SubtitleChar"/>
    <w:uiPriority w:val="11"/>
    <w:unhideWhenUsed/>
    <w:rsid w:val="001F04D7"/>
    <w:pPr>
      <w:numPr>
        <w:ilvl w:val="1"/>
      </w:numPr>
      <w:spacing w:after="12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1F04D7"/>
    <w:rPr>
      <w:rFonts w:ascii="Arial" w:eastAsia="Times New Roman" w:hAnsi="Arial"/>
      <w:bCs/>
      <w:iCs/>
      <w:color w:val="006DA7"/>
      <w:sz w:val="40"/>
      <w:szCs w:val="24"/>
      <w:lang w:eastAsia="en-US"/>
    </w:rPr>
  </w:style>
  <w:style w:type="table" w:styleId="TableGrid">
    <w:name w:val="Table Grid"/>
    <w:basedOn w:val="TableNormal"/>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E860E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E860E0"/>
    <w:pPr>
      <w:keepNext/>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styleId="Title">
    <w:name w:val="Title"/>
    <w:next w:val="Normal"/>
    <w:link w:val="TitleChar"/>
    <w:uiPriority w:val="10"/>
    <w:unhideWhenUsed/>
    <w:rsid w:val="009F20E4"/>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9F20E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D3724"/>
    <w:pPr>
      <w:keepNext/>
      <w:keepLines/>
      <w:tabs>
        <w:tab w:val="right" w:leader="underscore" w:pos="8505"/>
      </w:tabs>
      <w:spacing w:after="200"/>
    </w:pPr>
    <w:rPr>
      <w:rFonts w:ascii="Arial" w:hAnsi="Arial"/>
      <w:b/>
    </w:rPr>
  </w:style>
  <w:style w:type="paragraph" w:styleId="TOC2">
    <w:name w:val="toc 2"/>
    <w:basedOn w:val="Normal"/>
    <w:next w:val="Normal"/>
    <w:uiPriority w:val="39"/>
    <w:unhideWhenUsed/>
    <w:rsid w:val="008D3724"/>
    <w:pPr>
      <w:keepNext/>
      <w:keepLines/>
      <w:tabs>
        <w:tab w:val="right" w:leader="underscore" w:pos="8505"/>
      </w:tabs>
      <w:spacing w:after="100"/>
      <w:ind w:left="425"/>
    </w:pPr>
  </w:style>
  <w:style w:type="paragraph" w:styleId="TOC3">
    <w:name w:val="toc 3"/>
    <w:basedOn w:val="Normal"/>
    <w:next w:val="Normal"/>
    <w:uiPriority w:val="39"/>
    <w:unhideWhenUsed/>
    <w:rsid w:val="008D3724"/>
    <w:pPr>
      <w:keepNext/>
      <w:keepLines/>
      <w:tabs>
        <w:tab w:val="right" w:leader="hyphen" w:pos="8505"/>
      </w:tabs>
      <w:spacing w:after="100"/>
      <w:ind w:left="851"/>
    </w:pPr>
    <w:rPr>
      <w:sz w:val="20"/>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B138BE"/>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unhideWhenUsed/>
    <w:rsid w:val="001525B4"/>
    <w:rPr>
      <w:vertAlign w:val="superscript"/>
    </w:rPr>
  </w:style>
  <w:style w:type="paragraph" w:customStyle="1" w:styleId="NonTOCheading2">
    <w:name w:val="Non TOC heading 2"/>
    <w:basedOn w:val="Normal"/>
    <w:next w:val="Normal"/>
    <w:rsid w:val="008D3724"/>
    <w:pPr>
      <w:keepNext/>
      <w:keepLines/>
      <w:spacing w:before="360"/>
    </w:pPr>
    <w:rPr>
      <w:rFonts w:ascii="Arial" w:hAnsi="Arial"/>
      <w:b/>
    </w:rPr>
  </w:style>
  <w:style w:type="paragraph" w:customStyle="1" w:styleId="Quotation">
    <w:name w:val="Quotation"/>
    <w:basedOn w:val="Normal"/>
    <w:next w:val="Normal"/>
    <w:uiPriority w:val="4"/>
    <w:qFormat/>
    <w:rsid w:val="00B138BE"/>
    <w:pPr>
      <w:ind w:left="425"/>
    </w:pPr>
    <w:rPr>
      <w:sz w:val="20"/>
    </w:rPr>
  </w:style>
  <w:style w:type="paragraph" w:customStyle="1" w:styleId="Tabledescription">
    <w:name w:val="Table description"/>
    <w:basedOn w:val="Figuredescription"/>
    <w:next w:val="Normal"/>
    <w:rsid w:val="00CA62E0"/>
  </w:style>
  <w:style w:type="paragraph" w:customStyle="1" w:styleId="Tabletitle">
    <w:name w:val="Table title"/>
    <w:basedOn w:val="Normal"/>
    <w:next w:val="Normal"/>
    <w:rsid w:val="00041297"/>
    <w:pPr>
      <w:keepNext/>
      <w:outlineLvl w:val="4"/>
    </w:pPr>
    <w:rPr>
      <w:b/>
    </w:rPr>
  </w:style>
  <w:style w:type="paragraph" w:styleId="TOC4">
    <w:name w:val="toc 4"/>
    <w:basedOn w:val="Normal"/>
    <w:next w:val="Normal"/>
    <w:autoRedefine/>
    <w:uiPriority w:val="39"/>
    <w:semiHidden/>
    <w:unhideWhenUsed/>
    <w:rsid w:val="00B138BE"/>
    <w:pPr>
      <w:tabs>
        <w:tab w:val="right" w:leader="hyphen" w:pos="8505"/>
      </w:tabs>
      <w:spacing w:after="100"/>
      <w:ind w:left="1276"/>
    </w:pPr>
  </w:style>
  <w:style w:type="paragraph" w:styleId="TOC5">
    <w:name w:val="toc 5"/>
    <w:basedOn w:val="Normal"/>
    <w:next w:val="Normal"/>
    <w:autoRedefine/>
    <w:uiPriority w:val="39"/>
    <w:semiHidden/>
    <w:unhideWhenUsed/>
    <w:rsid w:val="00B138BE"/>
    <w:pPr>
      <w:tabs>
        <w:tab w:val="right" w:leader="dot" w:pos="8505"/>
      </w:tabs>
      <w:spacing w:after="100"/>
      <w:ind w:left="1701"/>
    </w:pPr>
    <w:rPr>
      <w:noProof/>
    </w:rPr>
  </w:style>
  <w:style w:type="paragraph" w:styleId="TOC6">
    <w:name w:val="toc 6"/>
    <w:basedOn w:val="Normal"/>
    <w:next w:val="Normal"/>
    <w:autoRedefine/>
    <w:uiPriority w:val="39"/>
    <w:semiHidden/>
    <w:unhideWhenUsed/>
    <w:rsid w:val="00B138BE"/>
    <w:pPr>
      <w:tabs>
        <w:tab w:val="right" w:pos="8505"/>
      </w:tabs>
      <w:spacing w:after="100"/>
      <w:ind w:left="2126"/>
    </w:pPr>
  </w:style>
  <w:style w:type="paragraph" w:styleId="EndnoteText">
    <w:name w:val="endnote text"/>
    <w:basedOn w:val="FootnoteText"/>
    <w:link w:val="EndnoteTextChar"/>
    <w:semiHidden/>
    <w:unhideWhenUsed/>
    <w:rsid w:val="00732B06"/>
    <w:rPr>
      <w:rFonts w:asciiTheme="minorHAnsi" w:hAnsiTheme="minorHAnsi" w:cstheme="minorBidi"/>
      <w:szCs w:val="22"/>
    </w:rPr>
  </w:style>
  <w:style w:type="character" w:customStyle="1" w:styleId="EndnoteTextChar">
    <w:name w:val="Endnote Text Char"/>
    <w:basedOn w:val="DefaultParagraphFont"/>
    <w:link w:val="EndnoteText"/>
    <w:semiHidden/>
    <w:rsid w:val="00732B06"/>
    <w:rPr>
      <w:rFonts w:asciiTheme="minorHAnsi" w:hAnsiTheme="minorHAnsi" w:cstheme="minorBidi"/>
      <w:szCs w:val="22"/>
      <w:lang w:eastAsia="en-US"/>
    </w:rPr>
  </w:style>
  <w:style w:type="paragraph" w:styleId="ListParagraph">
    <w:name w:val="List Paragraph"/>
    <w:basedOn w:val="Normal"/>
    <w:uiPriority w:val="34"/>
    <w:qFormat/>
    <w:rsid w:val="008D3FCE"/>
    <w:pPr>
      <w:ind w:left="720"/>
      <w:contextualSpacing/>
    </w:pPr>
  </w:style>
  <w:style w:type="character" w:customStyle="1" w:styleId="Heading8Char">
    <w:name w:val="Heading 8 Char"/>
    <w:basedOn w:val="DefaultParagraphFont"/>
    <w:link w:val="Heading8"/>
    <w:uiPriority w:val="9"/>
    <w:semiHidden/>
    <w:rsid w:val="00430AAA"/>
    <w:rPr>
      <w:rFonts w:asciiTheme="majorHAnsi" w:eastAsiaTheme="majorEastAsia" w:hAnsiTheme="majorHAnsi" w:cstheme="majorBidi"/>
      <w:color w:val="0070B5" w:themeColor="text1" w:themeTint="BF"/>
      <w:lang w:eastAsia="en-US"/>
    </w:rPr>
  </w:style>
  <w:style w:type="character" w:customStyle="1" w:styleId="Heading9Char">
    <w:name w:val="Heading 9 Char"/>
    <w:basedOn w:val="DefaultParagraphFont"/>
    <w:link w:val="Heading9"/>
    <w:uiPriority w:val="9"/>
    <w:semiHidden/>
    <w:rsid w:val="00430AAA"/>
    <w:rPr>
      <w:rFonts w:asciiTheme="majorHAnsi" w:eastAsiaTheme="majorEastAsia" w:hAnsiTheme="majorHAnsi" w:cstheme="majorBidi"/>
      <w:i/>
      <w:iCs/>
      <w:color w:val="0070B5" w:themeColor="text1" w:themeTint="BF"/>
      <w:lang w:eastAsia="en-US"/>
    </w:rPr>
  </w:style>
  <w:style w:type="character" w:styleId="CommentReference">
    <w:name w:val="annotation reference"/>
    <w:basedOn w:val="DefaultParagraphFont"/>
    <w:uiPriority w:val="99"/>
    <w:semiHidden/>
    <w:unhideWhenUsed/>
    <w:rsid w:val="00A342E4"/>
    <w:rPr>
      <w:sz w:val="16"/>
      <w:szCs w:val="16"/>
    </w:rPr>
  </w:style>
  <w:style w:type="paragraph" w:styleId="CommentText">
    <w:name w:val="annotation text"/>
    <w:basedOn w:val="Normal"/>
    <w:link w:val="CommentTextChar"/>
    <w:uiPriority w:val="99"/>
    <w:unhideWhenUsed/>
    <w:rsid w:val="00A342E4"/>
    <w:pPr>
      <w:spacing w:line="240" w:lineRule="auto"/>
    </w:pPr>
    <w:rPr>
      <w:sz w:val="20"/>
    </w:rPr>
  </w:style>
  <w:style w:type="character" w:customStyle="1" w:styleId="CommentTextChar">
    <w:name w:val="Comment Text Char"/>
    <w:basedOn w:val="DefaultParagraphFont"/>
    <w:link w:val="CommentText"/>
    <w:uiPriority w:val="99"/>
    <w:rsid w:val="00A342E4"/>
    <w:rPr>
      <w:lang w:eastAsia="en-US"/>
    </w:rPr>
  </w:style>
  <w:style w:type="paragraph" w:styleId="CommentSubject">
    <w:name w:val="annotation subject"/>
    <w:basedOn w:val="CommentText"/>
    <w:next w:val="CommentText"/>
    <w:link w:val="CommentSubjectChar"/>
    <w:uiPriority w:val="99"/>
    <w:semiHidden/>
    <w:unhideWhenUsed/>
    <w:rsid w:val="00A342E4"/>
    <w:rPr>
      <w:b/>
      <w:bCs/>
    </w:rPr>
  </w:style>
  <w:style w:type="character" w:customStyle="1" w:styleId="CommentSubjectChar">
    <w:name w:val="Comment Subject Char"/>
    <w:basedOn w:val="CommentTextChar"/>
    <w:link w:val="CommentSubject"/>
    <w:uiPriority w:val="99"/>
    <w:semiHidden/>
    <w:rsid w:val="00A342E4"/>
    <w:rPr>
      <w:b/>
      <w:bCs/>
      <w:lang w:eastAsia="en-US"/>
    </w:rPr>
  </w:style>
  <w:style w:type="table" w:styleId="LightList-Accent1">
    <w:name w:val="Light List Accent 1"/>
    <w:basedOn w:val="TableNormal"/>
    <w:uiPriority w:val="61"/>
    <w:rsid w:val="00D47415"/>
    <w:rPr>
      <w:rFonts w:asciiTheme="minorHAnsi" w:eastAsiaTheme="minorEastAsia" w:hAnsiTheme="minorHAnsi" w:cstheme="minorBidi"/>
      <w:sz w:val="22"/>
      <w:szCs w:val="22"/>
      <w:lang w:eastAsia="en-US"/>
    </w:rPr>
    <w:tblPr>
      <w:tblStyleRowBandSize w:val="1"/>
      <w:tblStyleColBandSize w:val="1"/>
      <w:tblBorders>
        <w:top w:val="single" w:sz="8" w:space="0" w:color="006EA8" w:themeColor="accent1"/>
        <w:left w:val="single" w:sz="8" w:space="0" w:color="006EA8" w:themeColor="accent1"/>
        <w:bottom w:val="single" w:sz="8" w:space="0" w:color="006EA8" w:themeColor="accent1"/>
        <w:right w:val="single" w:sz="8" w:space="0" w:color="006EA8" w:themeColor="accent1"/>
      </w:tblBorders>
    </w:tblPr>
    <w:tblStylePr w:type="firstRow">
      <w:pPr>
        <w:spacing w:before="0" w:after="0" w:line="240" w:lineRule="auto"/>
      </w:pPr>
      <w:rPr>
        <w:b/>
        <w:bCs/>
        <w:color w:val="FFFFFF" w:themeColor="background1"/>
      </w:rPr>
      <w:tblPr/>
      <w:tcPr>
        <w:shd w:val="clear" w:color="auto" w:fill="006EA8" w:themeFill="accent1"/>
      </w:tcPr>
    </w:tblStylePr>
    <w:tblStylePr w:type="lastRow">
      <w:pPr>
        <w:spacing w:before="0" w:after="0" w:line="240" w:lineRule="auto"/>
      </w:pPr>
      <w:rPr>
        <w:b/>
        <w:bCs/>
      </w:rPr>
      <w:tblPr/>
      <w:tcPr>
        <w:tcBorders>
          <w:top w:val="double" w:sz="6" w:space="0" w:color="006EA8" w:themeColor="accent1"/>
          <w:left w:val="single" w:sz="8" w:space="0" w:color="006EA8" w:themeColor="accent1"/>
          <w:bottom w:val="single" w:sz="8" w:space="0" w:color="006EA8" w:themeColor="accent1"/>
          <w:right w:val="single" w:sz="8" w:space="0" w:color="006EA8" w:themeColor="accent1"/>
        </w:tcBorders>
      </w:tcPr>
    </w:tblStylePr>
    <w:tblStylePr w:type="firstCol">
      <w:rPr>
        <w:b/>
        <w:bCs/>
      </w:rPr>
    </w:tblStylePr>
    <w:tblStylePr w:type="lastCol">
      <w:rPr>
        <w:b/>
        <w:bCs/>
      </w:rPr>
    </w:tblStylePr>
    <w:tblStylePr w:type="band1Vert">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tblStylePr w:type="band1Horz">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style>
  <w:style w:type="paragraph" w:styleId="TOC9">
    <w:name w:val="toc 9"/>
    <w:basedOn w:val="Normal"/>
    <w:next w:val="Normal"/>
    <w:autoRedefine/>
    <w:uiPriority w:val="39"/>
    <w:semiHidden/>
    <w:unhideWhenUsed/>
    <w:rsid w:val="008D3724"/>
    <w:pPr>
      <w:spacing w:after="100"/>
      <w:ind w:left="1760"/>
    </w:pPr>
  </w:style>
  <w:style w:type="paragraph" w:customStyle="1" w:styleId="TableTitle0">
    <w:name w:val="Table Title"/>
    <w:basedOn w:val="Normal"/>
    <w:next w:val="Normal"/>
    <w:qFormat/>
    <w:rsid w:val="00FA7DF1"/>
    <w:pPr>
      <w:spacing w:before="180"/>
    </w:pPr>
    <w:rPr>
      <w:b/>
    </w:rPr>
  </w:style>
  <w:style w:type="character" w:styleId="Strong">
    <w:name w:val="Strong"/>
    <w:basedOn w:val="DefaultParagraphFont"/>
    <w:uiPriority w:val="22"/>
    <w:qFormat/>
    <w:rsid w:val="00FA7DF1"/>
    <w:rPr>
      <w:b/>
      <w:bCs/>
    </w:rPr>
  </w:style>
  <w:style w:type="paragraph" w:customStyle="1" w:styleId="Default">
    <w:name w:val="Default"/>
    <w:rsid w:val="00AE6155"/>
    <w:pPr>
      <w:autoSpaceDE w:val="0"/>
      <w:autoSpaceDN w:val="0"/>
      <w:adjustRightInd w:val="0"/>
    </w:pPr>
    <w:rPr>
      <w:rFonts w:ascii="Times New Roman" w:hAnsi="Times New Roman"/>
      <w:color w:val="000000"/>
      <w:sz w:val="24"/>
      <w:szCs w:val="24"/>
    </w:rPr>
  </w:style>
  <w:style w:type="character" w:styleId="EndnoteReference">
    <w:name w:val="endnote reference"/>
    <w:basedOn w:val="DefaultParagraphFont"/>
    <w:uiPriority w:val="99"/>
    <w:semiHidden/>
    <w:unhideWhenUsed/>
    <w:rsid w:val="00871E49"/>
    <w:rPr>
      <w:vertAlign w:val="superscript"/>
    </w:rPr>
  </w:style>
  <w:style w:type="character" w:customStyle="1" w:styleId="fontstyle01">
    <w:name w:val="fontstyle01"/>
    <w:basedOn w:val="DefaultParagraphFont"/>
    <w:rsid w:val="002B3304"/>
    <w:rPr>
      <w:rFonts w:ascii="Cambria" w:hAnsi="Cambria" w:hint="default"/>
      <w:b w:val="0"/>
      <w:bCs w:val="0"/>
      <w:i w:val="0"/>
      <w:iCs w:val="0"/>
      <w:color w:val="000000"/>
      <w:sz w:val="22"/>
      <w:szCs w:val="22"/>
    </w:rPr>
  </w:style>
  <w:style w:type="character" w:customStyle="1" w:styleId="fontstyle21">
    <w:name w:val="fontstyle21"/>
    <w:basedOn w:val="DefaultParagraphFont"/>
    <w:rsid w:val="002B3304"/>
    <w:rPr>
      <w:rFonts w:ascii="Cambria-Bold" w:hAnsi="Cambria-Bold" w:hint="default"/>
      <w:b/>
      <w:bCs/>
      <w:i w:val="0"/>
      <w:iCs w:val="0"/>
      <w:color w:val="000000"/>
      <w:sz w:val="22"/>
      <w:szCs w:val="22"/>
    </w:rPr>
  </w:style>
  <w:style w:type="paragraph" w:styleId="Revision">
    <w:name w:val="Revision"/>
    <w:hidden/>
    <w:uiPriority w:val="99"/>
    <w:semiHidden/>
    <w:rsid w:val="002C48BF"/>
    <w:rPr>
      <w:sz w:val="22"/>
      <w:lang w:eastAsia="en-US"/>
    </w:rPr>
  </w:style>
  <w:style w:type="paragraph" w:customStyle="1" w:styleId="ListBulleta">
    <w:name w:val="List Bullet a)"/>
    <w:basedOn w:val="ListBullet"/>
    <w:uiPriority w:val="1"/>
    <w:qFormat/>
    <w:rsid w:val="005302F5"/>
    <w:pPr>
      <w:numPr>
        <w:numId w:val="6"/>
      </w:numPr>
    </w:pPr>
  </w:style>
  <w:style w:type="paragraph" w:customStyle="1" w:styleId="ListBulleti">
    <w:name w:val="List Bullet i)"/>
    <w:basedOn w:val="ListBullet"/>
    <w:uiPriority w:val="1"/>
    <w:qFormat/>
    <w:rsid w:val="005302F5"/>
    <w:pPr>
      <w:numPr>
        <w:numId w:val="7"/>
      </w:numPr>
    </w:pPr>
  </w:style>
  <w:style w:type="character" w:customStyle="1" w:styleId="Style1">
    <w:name w:val="Style1"/>
    <w:basedOn w:val="DefaultParagraphFont"/>
    <w:uiPriority w:val="1"/>
    <w:rsid w:val="005A5916"/>
    <w:rPr>
      <w:rFonts w:ascii="Cambria" w:hAnsi="Cambria"/>
      <w:sz w:val="22"/>
    </w:rPr>
  </w:style>
  <w:style w:type="paragraph" w:styleId="NormalWeb">
    <w:name w:val="Normal (Web)"/>
    <w:basedOn w:val="Normal"/>
    <w:uiPriority w:val="99"/>
    <w:semiHidden/>
    <w:unhideWhenUsed/>
    <w:rsid w:val="004B545E"/>
    <w:pPr>
      <w:spacing w:before="100" w:beforeAutospacing="1" w:after="100" w:afterAutospacing="1" w:line="240" w:lineRule="auto"/>
    </w:pPr>
    <w:rPr>
      <w:rFonts w:ascii="Times New Roman" w:eastAsia="Times New Roman" w:hAnsi="Times New Roman"/>
      <w:sz w:val="24"/>
      <w:szCs w:val="24"/>
      <w:lang w:eastAsia="en-AU"/>
    </w:rPr>
  </w:style>
  <w:style w:type="character" w:styleId="UnresolvedMention">
    <w:name w:val="Unresolved Mention"/>
    <w:basedOn w:val="DefaultParagraphFont"/>
    <w:uiPriority w:val="99"/>
    <w:semiHidden/>
    <w:unhideWhenUsed/>
    <w:rsid w:val="00792B5F"/>
    <w:rPr>
      <w:color w:val="605E5C"/>
      <w:shd w:val="clear" w:color="auto" w:fill="E1DFDD"/>
    </w:rPr>
  </w:style>
  <w:style w:type="paragraph" w:customStyle="1" w:styleId="paragraph">
    <w:name w:val="paragraph"/>
    <w:basedOn w:val="Normal"/>
    <w:rsid w:val="000473A3"/>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normaltextrun">
    <w:name w:val="normaltextrun"/>
    <w:basedOn w:val="DefaultParagraphFont"/>
    <w:rsid w:val="000473A3"/>
  </w:style>
  <w:style w:type="character" w:customStyle="1" w:styleId="eop">
    <w:name w:val="eop"/>
    <w:basedOn w:val="DefaultParagraphFont"/>
    <w:rsid w:val="000473A3"/>
  </w:style>
  <w:style w:type="character" w:customStyle="1" w:styleId="scxw215137901">
    <w:name w:val="scxw215137901"/>
    <w:basedOn w:val="DefaultParagraphFont"/>
    <w:rsid w:val="000473A3"/>
  </w:style>
  <w:style w:type="paragraph" w:styleId="BodyText">
    <w:name w:val="Body Text"/>
    <w:basedOn w:val="Normal"/>
    <w:link w:val="BodyTextChar"/>
    <w:uiPriority w:val="99"/>
    <w:rsid w:val="00DC694C"/>
    <w:pPr>
      <w:numPr>
        <w:numId w:val="13"/>
      </w:numPr>
      <w:spacing w:before="0" w:after="240" w:line="240" w:lineRule="auto"/>
    </w:pPr>
    <w:rPr>
      <w:rFonts w:ascii="Times New Roman" w:eastAsia="Times New Roman" w:hAnsi="Times New Roman"/>
      <w:sz w:val="24"/>
      <w:szCs w:val="24"/>
      <w:lang w:eastAsia="en-AU"/>
    </w:rPr>
  </w:style>
  <w:style w:type="character" w:customStyle="1" w:styleId="BodyTextChar">
    <w:name w:val="Body Text Char"/>
    <w:basedOn w:val="DefaultParagraphFont"/>
    <w:link w:val="BodyText"/>
    <w:uiPriority w:val="99"/>
    <w:rsid w:val="00DC694C"/>
    <w:rPr>
      <w:rFonts w:ascii="Times New Roman" w:eastAsia="Times New Roman" w:hAnsi="Times New Roman"/>
      <w:sz w:val="24"/>
      <w:szCs w:val="24"/>
    </w:rPr>
  </w:style>
  <w:style w:type="paragraph" w:styleId="ListNumber">
    <w:name w:val="List Number"/>
    <w:basedOn w:val="Normal"/>
    <w:uiPriority w:val="99"/>
    <w:unhideWhenUsed/>
    <w:rsid w:val="00DC694C"/>
    <w:pPr>
      <w:tabs>
        <w:tab w:val="num" w:pos="432"/>
        <w:tab w:val="num" w:pos="720"/>
        <w:tab w:val="left" w:pos="1440"/>
      </w:tabs>
      <w:spacing w:before="0" w:after="240" w:line="240" w:lineRule="auto"/>
      <w:ind w:left="360" w:hanging="360"/>
      <w:contextualSpacing/>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86088">
      <w:bodyDiv w:val="1"/>
      <w:marLeft w:val="0"/>
      <w:marRight w:val="0"/>
      <w:marTop w:val="0"/>
      <w:marBottom w:val="0"/>
      <w:divBdr>
        <w:top w:val="none" w:sz="0" w:space="0" w:color="auto"/>
        <w:left w:val="none" w:sz="0" w:space="0" w:color="auto"/>
        <w:bottom w:val="none" w:sz="0" w:space="0" w:color="auto"/>
        <w:right w:val="none" w:sz="0" w:space="0" w:color="auto"/>
      </w:divBdr>
    </w:div>
    <w:div w:id="286005808">
      <w:bodyDiv w:val="1"/>
      <w:marLeft w:val="0"/>
      <w:marRight w:val="0"/>
      <w:marTop w:val="0"/>
      <w:marBottom w:val="0"/>
      <w:divBdr>
        <w:top w:val="none" w:sz="0" w:space="0" w:color="auto"/>
        <w:left w:val="none" w:sz="0" w:space="0" w:color="auto"/>
        <w:bottom w:val="none" w:sz="0" w:space="0" w:color="auto"/>
        <w:right w:val="none" w:sz="0" w:space="0" w:color="auto"/>
      </w:divBdr>
    </w:div>
    <w:div w:id="351495527">
      <w:bodyDiv w:val="1"/>
      <w:marLeft w:val="0"/>
      <w:marRight w:val="0"/>
      <w:marTop w:val="0"/>
      <w:marBottom w:val="0"/>
      <w:divBdr>
        <w:top w:val="none" w:sz="0" w:space="0" w:color="auto"/>
        <w:left w:val="none" w:sz="0" w:space="0" w:color="auto"/>
        <w:bottom w:val="none" w:sz="0" w:space="0" w:color="auto"/>
        <w:right w:val="none" w:sz="0" w:space="0" w:color="auto"/>
      </w:divBdr>
    </w:div>
    <w:div w:id="466774976">
      <w:bodyDiv w:val="1"/>
      <w:marLeft w:val="0"/>
      <w:marRight w:val="0"/>
      <w:marTop w:val="0"/>
      <w:marBottom w:val="0"/>
      <w:divBdr>
        <w:top w:val="none" w:sz="0" w:space="0" w:color="auto"/>
        <w:left w:val="none" w:sz="0" w:space="0" w:color="auto"/>
        <w:bottom w:val="none" w:sz="0" w:space="0" w:color="auto"/>
        <w:right w:val="none" w:sz="0" w:space="0" w:color="auto"/>
      </w:divBdr>
    </w:div>
    <w:div w:id="510415311">
      <w:bodyDiv w:val="1"/>
      <w:marLeft w:val="0"/>
      <w:marRight w:val="0"/>
      <w:marTop w:val="0"/>
      <w:marBottom w:val="0"/>
      <w:divBdr>
        <w:top w:val="none" w:sz="0" w:space="0" w:color="auto"/>
        <w:left w:val="none" w:sz="0" w:space="0" w:color="auto"/>
        <w:bottom w:val="none" w:sz="0" w:space="0" w:color="auto"/>
        <w:right w:val="none" w:sz="0" w:space="0" w:color="auto"/>
      </w:divBdr>
    </w:div>
    <w:div w:id="1044670861">
      <w:bodyDiv w:val="1"/>
      <w:marLeft w:val="0"/>
      <w:marRight w:val="0"/>
      <w:marTop w:val="0"/>
      <w:marBottom w:val="0"/>
      <w:divBdr>
        <w:top w:val="none" w:sz="0" w:space="0" w:color="auto"/>
        <w:left w:val="none" w:sz="0" w:space="0" w:color="auto"/>
        <w:bottom w:val="none" w:sz="0" w:space="0" w:color="auto"/>
        <w:right w:val="none" w:sz="0" w:space="0" w:color="auto"/>
      </w:divBdr>
    </w:div>
    <w:div w:id="1510682378">
      <w:bodyDiv w:val="1"/>
      <w:marLeft w:val="0"/>
      <w:marRight w:val="0"/>
      <w:marTop w:val="0"/>
      <w:marBottom w:val="0"/>
      <w:divBdr>
        <w:top w:val="none" w:sz="0" w:space="0" w:color="auto"/>
        <w:left w:val="none" w:sz="0" w:space="0" w:color="auto"/>
        <w:bottom w:val="none" w:sz="0" w:space="0" w:color="auto"/>
        <w:right w:val="none" w:sz="0" w:space="0" w:color="auto"/>
      </w:divBdr>
    </w:div>
    <w:div w:id="1619021903">
      <w:bodyDiv w:val="1"/>
      <w:marLeft w:val="0"/>
      <w:marRight w:val="0"/>
      <w:marTop w:val="0"/>
      <w:marBottom w:val="0"/>
      <w:divBdr>
        <w:top w:val="none" w:sz="0" w:space="0" w:color="auto"/>
        <w:left w:val="none" w:sz="0" w:space="0" w:color="auto"/>
        <w:bottom w:val="none" w:sz="0" w:space="0" w:color="auto"/>
        <w:right w:val="none" w:sz="0" w:space="0" w:color="auto"/>
      </w:divBdr>
    </w:div>
    <w:div w:id="1898591833">
      <w:bodyDiv w:val="1"/>
      <w:marLeft w:val="0"/>
      <w:marRight w:val="0"/>
      <w:marTop w:val="0"/>
      <w:marBottom w:val="0"/>
      <w:divBdr>
        <w:top w:val="none" w:sz="0" w:space="0" w:color="auto"/>
        <w:left w:val="none" w:sz="0" w:space="0" w:color="auto"/>
        <w:bottom w:val="none" w:sz="0" w:space="0" w:color="auto"/>
        <w:right w:val="none" w:sz="0" w:space="0" w:color="auto"/>
      </w:divBdr>
    </w:div>
    <w:div w:id="2036542369">
      <w:bodyDiv w:val="1"/>
      <w:marLeft w:val="0"/>
      <w:marRight w:val="0"/>
      <w:marTop w:val="0"/>
      <w:marBottom w:val="0"/>
      <w:divBdr>
        <w:top w:val="none" w:sz="0" w:space="0" w:color="auto"/>
        <w:left w:val="none" w:sz="0" w:space="0" w:color="auto"/>
        <w:bottom w:val="none" w:sz="0" w:space="0" w:color="auto"/>
        <w:right w:val="none" w:sz="0" w:space="0" w:color="auto"/>
      </w:divBdr>
    </w:div>
    <w:div w:id="211525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nsultations.tga.gov.au/tga/proposed_admendments_june-2022/" TargetMode="External"/><Relationship Id="rId18" Type="http://schemas.openxmlformats.org/officeDocument/2006/relationships/hyperlink" Target="https://www.tga.gov.au/sites/default/files/2022-10/notice-of-interim-decisions-on-proposed-amendments-to-the-poisons-standard-acms-38-joint-acms-accs-31-accs-34-meetings-june-2022.pdf" TargetMode="External"/><Relationship Id="rId26" Type="http://schemas.openxmlformats.org/officeDocument/2006/relationships/hyperlink" Target="https://www.tga.gov.au/sites/default/files/2022-10/notice-of-interim-decisions-on-proposed-amendments-to-the-poisons-standard-acms-38-joint-acms-accs-31-accs-34-meetings-june-2022.pdf" TargetMode="External"/><Relationship Id="rId3" Type="http://schemas.openxmlformats.org/officeDocument/2006/relationships/styles" Target="styles.xml"/><Relationship Id="rId21" Type="http://schemas.openxmlformats.org/officeDocument/2006/relationships/hyperlink" Target="https://consultations.tga.gov.au/tga/proposed_admendments_june-2022/"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tga.gov.au/resources/consultation/consultation-proposed-amendments-poisons-standard-accs-acms-and-joint-accsacms-meetings-june-2022" TargetMode="External"/><Relationship Id="rId17" Type="http://schemas.openxmlformats.org/officeDocument/2006/relationships/hyperlink" Target="https://consultations.tga.gov.au/tga/mdma-ps-of-june-2022-interims/" TargetMode="External"/><Relationship Id="rId25" Type="http://schemas.openxmlformats.org/officeDocument/2006/relationships/hyperlink" Target="https://consultations.tga.gov.au/tga/mdma-ps-of-june-2022-interims/" TargetMode="Externa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ga.gov.au/resources/publication/scheduling-decisions-interim/notice-interim-decisions-proposed-amendments-poisons-standard-acms-38-accs-34-joint-acms-accs-31-june-2022" TargetMode="External"/><Relationship Id="rId20" Type="http://schemas.openxmlformats.org/officeDocument/2006/relationships/hyperlink" Target="https://www.tga.gov.au/resources/consultation/consultation-proposed-amendments-poisons-standard-accs-acms-and-joint-accsacms-meetings-june-2022" TargetMode="External"/><Relationship Id="rId29" Type="http://schemas.openxmlformats.org/officeDocument/2006/relationships/hyperlink" Target="https://www.tga.gov.au/publication/ahmac-scheduling-policy-framework-medicines-and-chemica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a.copyright@tga.gov.au" TargetMode="External"/><Relationship Id="rId24" Type="http://schemas.openxmlformats.org/officeDocument/2006/relationships/hyperlink" Target="https://www.tga.gov.au/resources/publication/scheduling-decisions-interim/notice-interim-decisions-proposed-amendments-poisons-standard-acms-38-accs-34-joint-acms-accs-31-june-2022" TargetMode="External"/><Relationship Id="rId32" Type="http://schemas.openxmlformats.org/officeDocument/2006/relationships/hyperlink" Target="https://www.unodc.org/pdf/convention_1971_en.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ga.gov.au/resources/publication/scheduling-decisions-final/notice-final-decisions-amend-or-not-amend-current-poisons-standard-relation-psilocybin-and-mdma" TargetMode="External"/><Relationship Id="rId23" Type="http://schemas.openxmlformats.org/officeDocument/2006/relationships/hyperlink" Target="https://www.tga.gov.au/resources/publication/scheduling-decisions-final/notice-final-decisions-amend-or-not-amend-current-poisons-standard-relation-psilocybin-and-mdma" TargetMode="External"/><Relationship Id="rId28" Type="http://schemas.openxmlformats.org/officeDocument/2006/relationships/hyperlink" Target="https://www.ranzcp.org/files/resources/college_statements/clinical_memoranda/cm-therapeutic-use-of-psychedelics.aspx" TargetMode="External"/><Relationship Id="rId36"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www.nejm.org/doi/full/10.1056/NEJMoa2206443" TargetMode="External"/><Relationship Id="rId31" Type="http://schemas.openxmlformats.org/officeDocument/2006/relationships/hyperlink" Target="https://www.tga.gov.au/resources/resource/guidance/authorised-prescriber-schem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resources/consultation/consultation-proposed-amendments-poisons-standard-accs-acms-and-joint-accsacms-meetings-june-2022" TargetMode="External"/><Relationship Id="rId22" Type="http://schemas.openxmlformats.org/officeDocument/2006/relationships/hyperlink" Target="https://www.tga.gov.au/resources/consultation/consultation-proposed-amendments-poisons-standard-accs-acms-and-joint-accsacms-meetings-june-2022" TargetMode="External"/><Relationship Id="rId27" Type="http://schemas.openxmlformats.org/officeDocument/2006/relationships/hyperlink" Target="https://www.tga.gov.au/resources/publication/publications/independent-expert-panel-mdma-and-psilocybin" TargetMode="External"/><Relationship Id="rId30" Type="http://schemas.openxmlformats.org/officeDocument/2006/relationships/hyperlink" Target="https://www.tga.gov.au/publication/scheduling-handbook-guidance-amending-poisons-standard" TargetMode="External"/><Relationship Id="rId35"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www.ranzcp.org/files/resources/college_statements/clinical_memoranda/cm-therapeutic-use-of-psychedelics.aspx" TargetMode="External"/><Relationship Id="rId1" Type="http://schemas.openxmlformats.org/officeDocument/2006/relationships/hyperlink" Target="https://www.nejm.org/doi/full/10.1056/NEJMoa220644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mic\AppData\Local\Hewlett-Packard\HP%20TRIM\TEMP\HPTRIM.7372\R14%201178772%20%20Template%20%23011%20-%20Minutes%20-%20ACMS.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53532-0F79-47E1-9479-D7FCFD6C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R14 1178772  Template #011 - Minutes - ACMS.DOTX</Template>
  <TotalTime>5532</TotalTime>
  <Pages>11</Pages>
  <Words>3832</Words>
  <Characters>21844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Department of Health and Aged Care</Company>
  <LinksUpToDate>false</LinksUpToDate>
  <CharactersWithSpaces>25625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decisions to amend (or not amend) the current Poisons Standard in relation to psilocybine and MDMA</dc:title>
  <dc:creator>Therapeutic Goods Administration</dc:creator>
  <dc:description/>
  <cp:lastModifiedBy>PITKIN, Brendan</cp:lastModifiedBy>
  <cp:revision>79</cp:revision>
  <cp:lastPrinted>2020-05-01T05:17:00Z</cp:lastPrinted>
  <dcterms:created xsi:type="dcterms:W3CDTF">2022-12-06T21:41:00Z</dcterms:created>
  <dcterms:modified xsi:type="dcterms:W3CDTF">2023-02-02T22:21:00Z</dcterms:modified>
</cp:coreProperties>
</file>