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B2BB081" w14:textId="77777777" w:rsidTr="0032583B">
        <w:trPr>
          <w:trHeight w:val="868"/>
        </w:trPr>
        <w:tc>
          <w:tcPr>
            <w:tcW w:w="9079" w:type="dxa"/>
          </w:tcPr>
          <w:p w14:paraId="1F5FD99A" w14:textId="5446D977" w:rsidR="0032583B" w:rsidRPr="00855B73" w:rsidRDefault="0032583B" w:rsidP="00F931CE">
            <w:pPr>
              <w:pStyle w:val="Title"/>
              <w:framePr w:hSpace="0" w:wrap="auto" w:vAnchor="margin" w:yAlign="inline"/>
              <w:rPr>
                <w:color w:val="001871"/>
              </w:rPr>
            </w:pPr>
            <w:r w:rsidRPr="00855B73">
              <w:rPr>
                <w:color w:val="001871"/>
              </w:rPr>
              <w:t>Australian Public Assessment Report for</w:t>
            </w:r>
            <w:r w:rsidR="00AF2313" w:rsidRPr="00855B73">
              <w:rPr>
                <w:color w:val="001871"/>
              </w:rPr>
              <w:t xml:space="preserve"> </w:t>
            </w:r>
            <w:proofErr w:type="spellStart"/>
            <w:r w:rsidR="0017530B" w:rsidRPr="00855B73">
              <w:rPr>
                <w:color w:val="001871"/>
              </w:rPr>
              <w:t>Vumerity</w:t>
            </w:r>
            <w:proofErr w:type="spellEnd"/>
          </w:p>
        </w:tc>
      </w:tr>
      <w:tr w:rsidR="0032583B" w:rsidRPr="00B64760" w14:paraId="3FD8F45E" w14:textId="77777777" w:rsidTr="0032583B">
        <w:tc>
          <w:tcPr>
            <w:tcW w:w="9079" w:type="dxa"/>
          </w:tcPr>
          <w:p w14:paraId="161F0A40" w14:textId="21359802" w:rsidR="0032583B" w:rsidRPr="00855B73" w:rsidRDefault="00BB75D6" w:rsidP="00F931CE">
            <w:pPr>
              <w:pStyle w:val="Subtitle"/>
              <w:framePr w:hSpace="0" w:wrap="auto" w:vAnchor="margin" w:yAlign="inline"/>
              <w:rPr>
                <w:color w:val="006BA6"/>
              </w:rPr>
            </w:pPr>
            <w:r w:rsidRPr="00855B73">
              <w:rPr>
                <w:color w:val="006BA6"/>
              </w:rPr>
              <w:t>Active ingredients</w:t>
            </w:r>
            <w:r w:rsidR="0032583B" w:rsidRPr="00855B73">
              <w:rPr>
                <w:color w:val="006BA6"/>
              </w:rPr>
              <w:t xml:space="preserve">: </w:t>
            </w:r>
            <w:r w:rsidR="0017530B" w:rsidRPr="00855B73">
              <w:rPr>
                <w:color w:val="006BA6"/>
              </w:rPr>
              <w:t>Diroximel fumarate</w:t>
            </w:r>
          </w:p>
        </w:tc>
      </w:tr>
      <w:tr w:rsidR="0032583B" w:rsidRPr="00B64760" w14:paraId="4EBFEDC3" w14:textId="77777777" w:rsidTr="0032583B">
        <w:trPr>
          <w:trHeight w:val="486"/>
        </w:trPr>
        <w:tc>
          <w:tcPr>
            <w:tcW w:w="9079" w:type="dxa"/>
          </w:tcPr>
          <w:p w14:paraId="0123A00E" w14:textId="66396826" w:rsidR="0032583B" w:rsidRPr="00855B73" w:rsidRDefault="00460036" w:rsidP="009556D7">
            <w:pPr>
              <w:pStyle w:val="Subtitle"/>
              <w:framePr w:hSpace="0" w:wrap="auto" w:vAnchor="margin" w:yAlign="inline"/>
              <w:rPr>
                <w:color w:val="006BA6"/>
              </w:rPr>
            </w:pPr>
            <w:r w:rsidRPr="00855B73">
              <w:rPr>
                <w:color w:val="006BA6"/>
              </w:rPr>
              <w:t xml:space="preserve">Sponsor: </w:t>
            </w:r>
            <w:r w:rsidR="0017530B" w:rsidRPr="00855B73">
              <w:rPr>
                <w:color w:val="006BA6"/>
              </w:rPr>
              <w:t>Biogen Australia Pty Ltd</w:t>
            </w:r>
          </w:p>
        </w:tc>
      </w:tr>
      <w:tr w:rsidR="00855B73" w:rsidRPr="00B64760" w14:paraId="5FD76EDD" w14:textId="77777777" w:rsidTr="0032583B">
        <w:trPr>
          <w:trHeight w:val="486"/>
        </w:trPr>
        <w:tc>
          <w:tcPr>
            <w:tcW w:w="9079" w:type="dxa"/>
          </w:tcPr>
          <w:p w14:paraId="4244AE17" w14:textId="2BC8846F" w:rsidR="00855B73" w:rsidRPr="00855B73" w:rsidRDefault="00855B73" w:rsidP="009556D7">
            <w:pPr>
              <w:pStyle w:val="Subtitle"/>
              <w:framePr w:hSpace="0" w:wrap="auto" w:vAnchor="margin" w:yAlign="inline"/>
              <w:rPr>
                <w:color w:val="333F4A"/>
                <w:sz w:val="28"/>
                <w:szCs w:val="28"/>
              </w:rPr>
            </w:pPr>
            <w:r w:rsidRPr="00855B73">
              <w:rPr>
                <w:color w:val="333F4A"/>
                <w:sz w:val="28"/>
                <w:szCs w:val="28"/>
              </w:rPr>
              <w:t>February 2023</w:t>
            </w:r>
          </w:p>
        </w:tc>
      </w:tr>
    </w:tbl>
    <w:p w14:paraId="34111FEB" w14:textId="77777777" w:rsidR="008E7846" w:rsidRPr="0085156D" w:rsidRDefault="008E7846" w:rsidP="0085156D">
      <w:r w:rsidRPr="0085156D">
        <w:br w:type="page"/>
      </w:r>
    </w:p>
    <w:p w14:paraId="100243A7" w14:textId="77777777" w:rsidR="008E7846" w:rsidRPr="001F6CBA" w:rsidRDefault="008E7846" w:rsidP="008E7846">
      <w:pPr>
        <w:pStyle w:val="NonTOCHeading2"/>
      </w:pPr>
      <w:r w:rsidRPr="001F6CBA">
        <w:lastRenderedPageBreak/>
        <w:t>About the Therapeutic Goods Administration (TGA)</w:t>
      </w:r>
    </w:p>
    <w:p w14:paraId="41EA29DF"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4F551F6F"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0FA3D3D9"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1B02DC3D"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57C7D0AC" w14:textId="53CED53E"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11" w:history="1">
        <w:r w:rsidRPr="000F15B4">
          <w:rPr>
            <w:rStyle w:val="Hyperlink"/>
          </w:rPr>
          <w:t>TGA website</w:t>
        </w:r>
      </w:hyperlink>
      <w:r w:rsidRPr="003C6D1F">
        <w:t>.</w:t>
      </w:r>
    </w:p>
    <w:p w14:paraId="279D3F63" w14:textId="77777777" w:rsidR="008E7846" w:rsidRDefault="008E7846" w:rsidP="00875A6B">
      <w:pPr>
        <w:pStyle w:val="NonTOCHeading2"/>
      </w:pPr>
      <w:r>
        <w:t xml:space="preserve">About </w:t>
      </w:r>
      <w:proofErr w:type="spellStart"/>
      <w:r>
        <w:t>AusPARs</w:t>
      </w:r>
      <w:proofErr w:type="spellEnd"/>
    </w:p>
    <w:p w14:paraId="569577D4" w14:textId="40D79313" w:rsidR="00AF2313" w:rsidRPr="003C6D1F" w:rsidRDefault="00AF2313" w:rsidP="00AF2313">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2" w:history="1">
        <w:r w:rsidRPr="005A2EB8">
          <w:rPr>
            <w:rStyle w:val="Hyperlink"/>
          </w:rPr>
          <w:t>Australian Public Assessment Report (AusPAR) guidance</w:t>
        </w:r>
      </w:hyperlink>
      <w:r>
        <w:t>.</w:t>
      </w:r>
    </w:p>
    <w:p w14:paraId="3F22E911"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3953FDFA"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AusPAR is an important part of the transparency of the TGA’s decision-making process.</w:t>
      </w:r>
    </w:p>
    <w:p w14:paraId="664340A0" w14:textId="77777777" w:rsidR="00AF2313" w:rsidRPr="003C6D1F" w:rsidRDefault="00AF2313" w:rsidP="00AF2313">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3D132E0A" w14:textId="77777777" w:rsidR="00924482" w:rsidRPr="00DF1D7F" w:rsidRDefault="00924482" w:rsidP="00F54B65">
      <w:pPr>
        <w:pStyle w:val="LegalSubheading"/>
        <w:spacing w:before="3120"/>
      </w:pPr>
      <w:r w:rsidRPr="00DF1D7F">
        <w:t>Copyright</w:t>
      </w:r>
    </w:p>
    <w:p w14:paraId="23DA0F66" w14:textId="6213CF44"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FE3E0A">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3" w:history="1">
        <w:r w:rsidRPr="00191B3B">
          <w:rPr>
            <w:rStyle w:val="Hyperlink"/>
            <w:rFonts w:cs="Arial"/>
            <w:lang w:val="en-GB"/>
          </w:rPr>
          <w:t>tga.copyright@tga.gov.au</w:t>
        </w:r>
      </w:hyperlink>
      <w:r w:rsidRPr="00191B3B">
        <w:rPr>
          <w:rFonts w:cs="Arial"/>
        </w:rPr>
        <w:t>&gt;.</w:t>
      </w:r>
    </w:p>
    <w:p w14:paraId="7F8D86C1" w14:textId="77777777" w:rsidR="00924482" w:rsidRDefault="00924482" w:rsidP="00924482">
      <w:pPr>
        <w:pStyle w:val="LegalCopy"/>
        <w:sectPr w:rsidR="00924482"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73779DFC" w14:textId="77777777" w:rsidR="0089635C" w:rsidRPr="0089635C" w:rsidRDefault="0089635C" w:rsidP="0010788A">
          <w:pPr>
            <w:pStyle w:val="Contents"/>
          </w:pPr>
          <w:r w:rsidRPr="0010788A">
            <w:t>Contents</w:t>
          </w:r>
        </w:p>
        <w:p w14:paraId="7E57F4F4" w14:textId="3B5CC531" w:rsidR="00FE3E0A"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22084907" w:history="1">
            <w:r w:rsidR="00FE3E0A" w:rsidRPr="000F6ECC">
              <w:rPr>
                <w:rStyle w:val="Hyperlink"/>
                <w:noProof/>
              </w:rPr>
              <w:t>List of abbreviations</w:t>
            </w:r>
            <w:r w:rsidR="00FE3E0A">
              <w:rPr>
                <w:noProof/>
                <w:webHidden/>
              </w:rPr>
              <w:tab/>
            </w:r>
            <w:r w:rsidR="00FE3E0A">
              <w:rPr>
                <w:noProof/>
                <w:webHidden/>
              </w:rPr>
              <w:fldChar w:fldCharType="begin"/>
            </w:r>
            <w:r w:rsidR="00FE3E0A">
              <w:rPr>
                <w:noProof/>
                <w:webHidden/>
              </w:rPr>
              <w:instrText xml:space="preserve"> PAGEREF _Toc122084907 \h </w:instrText>
            </w:r>
            <w:r w:rsidR="00FE3E0A">
              <w:rPr>
                <w:noProof/>
                <w:webHidden/>
              </w:rPr>
            </w:r>
            <w:r w:rsidR="00FE3E0A">
              <w:rPr>
                <w:noProof/>
                <w:webHidden/>
              </w:rPr>
              <w:fldChar w:fldCharType="separate"/>
            </w:r>
            <w:r w:rsidR="00FE3E0A">
              <w:rPr>
                <w:noProof/>
                <w:webHidden/>
              </w:rPr>
              <w:t>4</w:t>
            </w:r>
            <w:r w:rsidR="00FE3E0A">
              <w:rPr>
                <w:noProof/>
                <w:webHidden/>
              </w:rPr>
              <w:fldChar w:fldCharType="end"/>
            </w:r>
          </w:hyperlink>
        </w:p>
        <w:p w14:paraId="0F5D3B71" w14:textId="1E53367C" w:rsidR="00FE3E0A" w:rsidRDefault="00AF2FD1">
          <w:pPr>
            <w:pStyle w:val="TOC1"/>
            <w:rPr>
              <w:rFonts w:asciiTheme="minorHAnsi" w:eastAsiaTheme="minorEastAsia" w:hAnsiTheme="minorHAnsi" w:cstheme="minorBidi"/>
              <w:b w:val="0"/>
              <w:noProof/>
              <w:sz w:val="22"/>
              <w:lang w:eastAsia="en-AU"/>
            </w:rPr>
          </w:pPr>
          <w:hyperlink w:anchor="_Toc122084908" w:history="1">
            <w:r w:rsidR="00FE3E0A" w:rsidRPr="000F6ECC">
              <w:rPr>
                <w:rStyle w:val="Hyperlink"/>
                <w:noProof/>
              </w:rPr>
              <w:t>Product submission</w:t>
            </w:r>
            <w:r w:rsidR="00FE3E0A">
              <w:rPr>
                <w:noProof/>
                <w:webHidden/>
              </w:rPr>
              <w:tab/>
            </w:r>
            <w:r w:rsidR="00FE3E0A">
              <w:rPr>
                <w:noProof/>
                <w:webHidden/>
              </w:rPr>
              <w:fldChar w:fldCharType="begin"/>
            </w:r>
            <w:r w:rsidR="00FE3E0A">
              <w:rPr>
                <w:noProof/>
                <w:webHidden/>
              </w:rPr>
              <w:instrText xml:space="preserve"> PAGEREF _Toc122084908 \h </w:instrText>
            </w:r>
            <w:r w:rsidR="00FE3E0A">
              <w:rPr>
                <w:noProof/>
                <w:webHidden/>
              </w:rPr>
            </w:r>
            <w:r w:rsidR="00FE3E0A">
              <w:rPr>
                <w:noProof/>
                <w:webHidden/>
              </w:rPr>
              <w:fldChar w:fldCharType="separate"/>
            </w:r>
            <w:r w:rsidR="00FE3E0A">
              <w:rPr>
                <w:noProof/>
                <w:webHidden/>
              </w:rPr>
              <w:t>6</w:t>
            </w:r>
            <w:r w:rsidR="00FE3E0A">
              <w:rPr>
                <w:noProof/>
                <w:webHidden/>
              </w:rPr>
              <w:fldChar w:fldCharType="end"/>
            </w:r>
          </w:hyperlink>
        </w:p>
        <w:p w14:paraId="06BE08D7" w14:textId="28372F7A" w:rsidR="00FE3E0A" w:rsidRDefault="00AF2FD1">
          <w:pPr>
            <w:pStyle w:val="TOC2"/>
            <w:rPr>
              <w:rFonts w:asciiTheme="minorHAnsi" w:eastAsiaTheme="minorEastAsia" w:hAnsiTheme="minorHAnsi" w:cstheme="minorBidi"/>
              <w:b w:val="0"/>
              <w:noProof/>
              <w:sz w:val="22"/>
              <w:lang w:eastAsia="en-AU"/>
            </w:rPr>
          </w:pPr>
          <w:hyperlink w:anchor="_Toc122084909" w:history="1">
            <w:r w:rsidR="00FE3E0A" w:rsidRPr="000F6ECC">
              <w:rPr>
                <w:rStyle w:val="Hyperlink"/>
                <w:noProof/>
                <w:lang w:eastAsia="en-AU"/>
              </w:rPr>
              <w:t>Submission details</w:t>
            </w:r>
            <w:r w:rsidR="00FE3E0A">
              <w:rPr>
                <w:noProof/>
                <w:webHidden/>
              </w:rPr>
              <w:tab/>
            </w:r>
            <w:r w:rsidR="00FE3E0A">
              <w:rPr>
                <w:noProof/>
                <w:webHidden/>
              </w:rPr>
              <w:fldChar w:fldCharType="begin"/>
            </w:r>
            <w:r w:rsidR="00FE3E0A">
              <w:rPr>
                <w:noProof/>
                <w:webHidden/>
              </w:rPr>
              <w:instrText xml:space="preserve"> PAGEREF _Toc122084909 \h </w:instrText>
            </w:r>
            <w:r w:rsidR="00FE3E0A">
              <w:rPr>
                <w:noProof/>
                <w:webHidden/>
              </w:rPr>
            </w:r>
            <w:r w:rsidR="00FE3E0A">
              <w:rPr>
                <w:noProof/>
                <w:webHidden/>
              </w:rPr>
              <w:fldChar w:fldCharType="separate"/>
            </w:r>
            <w:r w:rsidR="00FE3E0A">
              <w:rPr>
                <w:noProof/>
                <w:webHidden/>
              </w:rPr>
              <w:t>6</w:t>
            </w:r>
            <w:r w:rsidR="00FE3E0A">
              <w:rPr>
                <w:noProof/>
                <w:webHidden/>
              </w:rPr>
              <w:fldChar w:fldCharType="end"/>
            </w:r>
          </w:hyperlink>
        </w:p>
        <w:p w14:paraId="4365C8B7" w14:textId="57E87FF6" w:rsidR="00FE3E0A" w:rsidRDefault="00AF2FD1">
          <w:pPr>
            <w:pStyle w:val="TOC2"/>
            <w:rPr>
              <w:rFonts w:asciiTheme="minorHAnsi" w:eastAsiaTheme="minorEastAsia" w:hAnsiTheme="minorHAnsi" w:cstheme="minorBidi"/>
              <w:b w:val="0"/>
              <w:noProof/>
              <w:sz w:val="22"/>
              <w:lang w:eastAsia="en-AU"/>
            </w:rPr>
          </w:pPr>
          <w:hyperlink w:anchor="_Toc122084910" w:history="1">
            <w:r w:rsidR="00FE3E0A" w:rsidRPr="000F6ECC">
              <w:rPr>
                <w:rStyle w:val="Hyperlink"/>
                <w:noProof/>
              </w:rPr>
              <w:t>Product background</w:t>
            </w:r>
            <w:r w:rsidR="00FE3E0A">
              <w:rPr>
                <w:noProof/>
                <w:webHidden/>
              </w:rPr>
              <w:tab/>
            </w:r>
            <w:r w:rsidR="00FE3E0A">
              <w:rPr>
                <w:noProof/>
                <w:webHidden/>
              </w:rPr>
              <w:fldChar w:fldCharType="begin"/>
            </w:r>
            <w:r w:rsidR="00FE3E0A">
              <w:rPr>
                <w:noProof/>
                <w:webHidden/>
              </w:rPr>
              <w:instrText xml:space="preserve"> PAGEREF _Toc122084910 \h </w:instrText>
            </w:r>
            <w:r w:rsidR="00FE3E0A">
              <w:rPr>
                <w:noProof/>
                <w:webHidden/>
              </w:rPr>
            </w:r>
            <w:r w:rsidR="00FE3E0A">
              <w:rPr>
                <w:noProof/>
                <w:webHidden/>
              </w:rPr>
              <w:fldChar w:fldCharType="separate"/>
            </w:r>
            <w:r w:rsidR="00FE3E0A">
              <w:rPr>
                <w:noProof/>
                <w:webHidden/>
              </w:rPr>
              <w:t>7</w:t>
            </w:r>
            <w:r w:rsidR="00FE3E0A">
              <w:rPr>
                <w:noProof/>
                <w:webHidden/>
              </w:rPr>
              <w:fldChar w:fldCharType="end"/>
            </w:r>
          </w:hyperlink>
        </w:p>
        <w:p w14:paraId="32D1FF8E" w14:textId="57694A12" w:rsidR="00FE3E0A" w:rsidRDefault="00AF2FD1">
          <w:pPr>
            <w:pStyle w:val="TOC2"/>
            <w:rPr>
              <w:rFonts w:asciiTheme="minorHAnsi" w:eastAsiaTheme="minorEastAsia" w:hAnsiTheme="minorHAnsi" w:cstheme="minorBidi"/>
              <w:b w:val="0"/>
              <w:noProof/>
              <w:sz w:val="22"/>
              <w:lang w:eastAsia="en-AU"/>
            </w:rPr>
          </w:pPr>
          <w:hyperlink w:anchor="_Toc122084911" w:history="1">
            <w:r w:rsidR="00FE3E0A" w:rsidRPr="000F6ECC">
              <w:rPr>
                <w:rStyle w:val="Hyperlink"/>
                <w:noProof/>
              </w:rPr>
              <w:t>Regulatory status</w:t>
            </w:r>
            <w:r w:rsidR="00FE3E0A">
              <w:rPr>
                <w:noProof/>
                <w:webHidden/>
              </w:rPr>
              <w:tab/>
            </w:r>
            <w:r w:rsidR="00FE3E0A">
              <w:rPr>
                <w:noProof/>
                <w:webHidden/>
              </w:rPr>
              <w:fldChar w:fldCharType="begin"/>
            </w:r>
            <w:r w:rsidR="00FE3E0A">
              <w:rPr>
                <w:noProof/>
                <w:webHidden/>
              </w:rPr>
              <w:instrText xml:space="preserve"> PAGEREF _Toc122084911 \h </w:instrText>
            </w:r>
            <w:r w:rsidR="00FE3E0A">
              <w:rPr>
                <w:noProof/>
                <w:webHidden/>
              </w:rPr>
            </w:r>
            <w:r w:rsidR="00FE3E0A">
              <w:rPr>
                <w:noProof/>
                <w:webHidden/>
              </w:rPr>
              <w:fldChar w:fldCharType="separate"/>
            </w:r>
            <w:r w:rsidR="00FE3E0A">
              <w:rPr>
                <w:noProof/>
                <w:webHidden/>
              </w:rPr>
              <w:t>8</w:t>
            </w:r>
            <w:r w:rsidR="00FE3E0A">
              <w:rPr>
                <w:noProof/>
                <w:webHidden/>
              </w:rPr>
              <w:fldChar w:fldCharType="end"/>
            </w:r>
          </w:hyperlink>
        </w:p>
        <w:p w14:paraId="3D45B3B7" w14:textId="04A39CDD" w:rsidR="00FE3E0A" w:rsidRDefault="00AF2FD1">
          <w:pPr>
            <w:pStyle w:val="TOC2"/>
            <w:rPr>
              <w:rFonts w:asciiTheme="minorHAnsi" w:eastAsiaTheme="minorEastAsia" w:hAnsiTheme="minorHAnsi" w:cstheme="minorBidi"/>
              <w:b w:val="0"/>
              <w:noProof/>
              <w:sz w:val="22"/>
              <w:lang w:eastAsia="en-AU"/>
            </w:rPr>
          </w:pPr>
          <w:hyperlink w:anchor="_Toc122084912" w:history="1">
            <w:r w:rsidR="00FE3E0A" w:rsidRPr="000F6ECC">
              <w:rPr>
                <w:rStyle w:val="Hyperlink"/>
                <w:noProof/>
              </w:rPr>
              <w:t>Product Information</w:t>
            </w:r>
            <w:r w:rsidR="00FE3E0A">
              <w:rPr>
                <w:noProof/>
                <w:webHidden/>
              </w:rPr>
              <w:tab/>
            </w:r>
            <w:r w:rsidR="00FE3E0A">
              <w:rPr>
                <w:noProof/>
                <w:webHidden/>
              </w:rPr>
              <w:fldChar w:fldCharType="begin"/>
            </w:r>
            <w:r w:rsidR="00FE3E0A">
              <w:rPr>
                <w:noProof/>
                <w:webHidden/>
              </w:rPr>
              <w:instrText xml:space="preserve"> PAGEREF _Toc122084912 \h </w:instrText>
            </w:r>
            <w:r w:rsidR="00FE3E0A">
              <w:rPr>
                <w:noProof/>
                <w:webHidden/>
              </w:rPr>
            </w:r>
            <w:r w:rsidR="00FE3E0A">
              <w:rPr>
                <w:noProof/>
                <w:webHidden/>
              </w:rPr>
              <w:fldChar w:fldCharType="separate"/>
            </w:r>
            <w:r w:rsidR="00FE3E0A">
              <w:rPr>
                <w:noProof/>
                <w:webHidden/>
              </w:rPr>
              <w:t>9</w:t>
            </w:r>
            <w:r w:rsidR="00FE3E0A">
              <w:rPr>
                <w:noProof/>
                <w:webHidden/>
              </w:rPr>
              <w:fldChar w:fldCharType="end"/>
            </w:r>
          </w:hyperlink>
        </w:p>
        <w:p w14:paraId="360C581C" w14:textId="632F8359" w:rsidR="00FE3E0A" w:rsidRDefault="00AF2FD1">
          <w:pPr>
            <w:pStyle w:val="TOC1"/>
            <w:rPr>
              <w:rFonts w:asciiTheme="minorHAnsi" w:eastAsiaTheme="minorEastAsia" w:hAnsiTheme="minorHAnsi" w:cstheme="minorBidi"/>
              <w:b w:val="0"/>
              <w:noProof/>
              <w:sz w:val="22"/>
              <w:lang w:eastAsia="en-AU"/>
            </w:rPr>
          </w:pPr>
          <w:hyperlink w:anchor="_Toc122084913" w:history="1">
            <w:r w:rsidR="00FE3E0A" w:rsidRPr="000F6ECC">
              <w:rPr>
                <w:rStyle w:val="Hyperlink"/>
                <w:noProof/>
              </w:rPr>
              <w:t>Registration timeline</w:t>
            </w:r>
            <w:r w:rsidR="00FE3E0A">
              <w:rPr>
                <w:noProof/>
                <w:webHidden/>
              </w:rPr>
              <w:tab/>
            </w:r>
            <w:r w:rsidR="00FE3E0A">
              <w:rPr>
                <w:noProof/>
                <w:webHidden/>
              </w:rPr>
              <w:fldChar w:fldCharType="begin"/>
            </w:r>
            <w:r w:rsidR="00FE3E0A">
              <w:rPr>
                <w:noProof/>
                <w:webHidden/>
              </w:rPr>
              <w:instrText xml:space="preserve"> PAGEREF _Toc122084913 \h </w:instrText>
            </w:r>
            <w:r w:rsidR="00FE3E0A">
              <w:rPr>
                <w:noProof/>
                <w:webHidden/>
              </w:rPr>
            </w:r>
            <w:r w:rsidR="00FE3E0A">
              <w:rPr>
                <w:noProof/>
                <w:webHidden/>
              </w:rPr>
              <w:fldChar w:fldCharType="separate"/>
            </w:r>
            <w:r w:rsidR="00FE3E0A">
              <w:rPr>
                <w:noProof/>
                <w:webHidden/>
              </w:rPr>
              <w:t>9</w:t>
            </w:r>
            <w:r w:rsidR="00FE3E0A">
              <w:rPr>
                <w:noProof/>
                <w:webHidden/>
              </w:rPr>
              <w:fldChar w:fldCharType="end"/>
            </w:r>
          </w:hyperlink>
        </w:p>
        <w:p w14:paraId="129D01D7" w14:textId="555BAE90" w:rsidR="00FE3E0A" w:rsidRDefault="00AF2FD1">
          <w:pPr>
            <w:pStyle w:val="TOC1"/>
            <w:rPr>
              <w:rFonts w:asciiTheme="minorHAnsi" w:eastAsiaTheme="minorEastAsia" w:hAnsiTheme="minorHAnsi" w:cstheme="minorBidi"/>
              <w:b w:val="0"/>
              <w:noProof/>
              <w:sz w:val="22"/>
              <w:lang w:eastAsia="en-AU"/>
            </w:rPr>
          </w:pPr>
          <w:hyperlink w:anchor="_Toc122084914" w:history="1">
            <w:r w:rsidR="00FE3E0A" w:rsidRPr="000F6ECC">
              <w:rPr>
                <w:rStyle w:val="Hyperlink"/>
                <w:noProof/>
              </w:rPr>
              <w:t>Submission overview and risk/benefit assessment</w:t>
            </w:r>
            <w:r w:rsidR="00FE3E0A">
              <w:rPr>
                <w:noProof/>
                <w:webHidden/>
              </w:rPr>
              <w:tab/>
            </w:r>
            <w:r w:rsidR="00FE3E0A">
              <w:rPr>
                <w:noProof/>
                <w:webHidden/>
              </w:rPr>
              <w:fldChar w:fldCharType="begin"/>
            </w:r>
            <w:r w:rsidR="00FE3E0A">
              <w:rPr>
                <w:noProof/>
                <w:webHidden/>
              </w:rPr>
              <w:instrText xml:space="preserve"> PAGEREF _Toc122084914 \h </w:instrText>
            </w:r>
            <w:r w:rsidR="00FE3E0A">
              <w:rPr>
                <w:noProof/>
                <w:webHidden/>
              </w:rPr>
            </w:r>
            <w:r w:rsidR="00FE3E0A">
              <w:rPr>
                <w:noProof/>
                <w:webHidden/>
              </w:rPr>
              <w:fldChar w:fldCharType="separate"/>
            </w:r>
            <w:r w:rsidR="00FE3E0A">
              <w:rPr>
                <w:noProof/>
                <w:webHidden/>
              </w:rPr>
              <w:t>10</w:t>
            </w:r>
            <w:r w:rsidR="00FE3E0A">
              <w:rPr>
                <w:noProof/>
                <w:webHidden/>
              </w:rPr>
              <w:fldChar w:fldCharType="end"/>
            </w:r>
          </w:hyperlink>
        </w:p>
        <w:p w14:paraId="2C5C5C83" w14:textId="2C5848D5" w:rsidR="00FE3E0A" w:rsidRDefault="00AF2FD1">
          <w:pPr>
            <w:pStyle w:val="TOC2"/>
            <w:rPr>
              <w:rFonts w:asciiTheme="minorHAnsi" w:eastAsiaTheme="minorEastAsia" w:hAnsiTheme="minorHAnsi" w:cstheme="minorBidi"/>
              <w:b w:val="0"/>
              <w:noProof/>
              <w:sz w:val="22"/>
              <w:lang w:eastAsia="en-AU"/>
            </w:rPr>
          </w:pPr>
          <w:hyperlink w:anchor="_Toc122084915" w:history="1">
            <w:r w:rsidR="00FE3E0A" w:rsidRPr="000F6ECC">
              <w:rPr>
                <w:rStyle w:val="Hyperlink"/>
                <w:noProof/>
              </w:rPr>
              <w:t>Quality</w:t>
            </w:r>
            <w:r w:rsidR="00FE3E0A">
              <w:rPr>
                <w:noProof/>
                <w:webHidden/>
              </w:rPr>
              <w:tab/>
            </w:r>
            <w:r w:rsidR="00FE3E0A">
              <w:rPr>
                <w:noProof/>
                <w:webHidden/>
              </w:rPr>
              <w:fldChar w:fldCharType="begin"/>
            </w:r>
            <w:r w:rsidR="00FE3E0A">
              <w:rPr>
                <w:noProof/>
                <w:webHidden/>
              </w:rPr>
              <w:instrText xml:space="preserve"> PAGEREF _Toc122084915 \h </w:instrText>
            </w:r>
            <w:r w:rsidR="00FE3E0A">
              <w:rPr>
                <w:noProof/>
                <w:webHidden/>
              </w:rPr>
            </w:r>
            <w:r w:rsidR="00FE3E0A">
              <w:rPr>
                <w:noProof/>
                <w:webHidden/>
              </w:rPr>
              <w:fldChar w:fldCharType="separate"/>
            </w:r>
            <w:r w:rsidR="00FE3E0A">
              <w:rPr>
                <w:noProof/>
                <w:webHidden/>
              </w:rPr>
              <w:t>10</w:t>
            </w:r>
            <w:r w:rsidR="00FE3E0A">
              <w:rPr>
                <w:noProof/>
                <w:webHidden/>
              </w:rPr>
              <w:fldChar w:fldCharType="end"/>
            </w:r>
          </w:hyperlink>
        </w:p>
        <w:p w14:paraId="6E55EB66" w14:textId="743F91DD" w:rsidR="00FE3E0A" w:rsidRDefault="00AF2FD1">
          <w:pPr>
            <w:pStyle w:val="TOC2"/>
            <w:rPr>
              <w:rFonts w:asciiTheme="minorHAnsi" w:eastAsiaTheme="minorEastAsia" w:hAnsiTheme="minorHAnsi" w:cstheme="minorBidi"/>
              <w:b w:val="0"/>
              <w:noProof/>
              <w:sz w:val="22"/>
              <w:lang w:eastAsia="en-AU"/>
            </w:rPr>
          </w:pPr>
          <w:hyperlink w:anchor="_Toc122084916" w:history="1">
            <w:r w:rsidR="00FE3E0A" w:rsidRPr="000F6ECC">
              <w:rPr>
                <w:rStyle w:val="Hyperlink"/>
                <w:noProof/>
              </w:rPr>
              <w:t>Nonclinical</w:t>
            </w:r>
            <w:r w:rsidR="00FE3E0A">
              <w:rPr>
                <w:noProof/>
                <w:webHidden/>
              </w:rPr>
              <w:tab/>
            </w:r>
            <w:r w:rsidR="00FE3E0A">
              <w:rPr>
                <w:noProof/>
                <w:webHidden/>
              </w:rPr>
              <w:fldChar w:fldCharType="begin"/>
            </w:r>
            <w:r w:rsidR="00FE3E0A">
              <w:rPr>
                <w:noProof/>
                <w:webHidden/>
              </w:rPr>
              <w:instrText xml:space="preserve"> PAGEREF _Toc122084916 \h </w:instrText>
            </w:r>
            <w:r w:rsidR="00FE3E0A">
              <w:rPr>
                <w:noProof/>
                <w:webHidden/>
              </w:rPr>
            </w:r>
            <w:r w:rsidR="00FE3E0A">
              <w:rPr>
                <w:noProof/>
                <w:webHidden/>
              </w:rPr>
              <w:fldChar w:fldCharType="separate"/>
            </w:r>
            <w:r w:rsidR="00FE3E0A">
              <w:rPr>
                <w:noProof/>
                <w:webHidden/>
              </w:rPr>
              <w:t>11</w:t>
            </w:r>
            <w:r w:rsidR="00FE3E0A">
              <w:rPr>
                <w:noProof/>
                <w:webHidden/>
              </w:rPr>
              <w:fldChar w:fldCharType="end"/>
            </w:r>
          </w:hyperlink>
        </w:p>
        <w:p w14:paraId="713491C7" w14:textId="20F758CB" w:rsidR="00FE3E0A" w:rsidRDefault="00AF2FD1">
          <w:pPr>
            <w:pStyle w:val="TOC2"/>
            <w:rPr>
              <w:rFonts w:asciiTheme="minorHAnsi" w:eastAsiaTheme="minorEastAsia" w:hAnsiTheme="minorHAnsi" w:cstheme="minorBidi"/>
              <w:b w:val="0"/>
              <w:noProof/>
              <w:sz w:val="22"/>
              <w:lang w:eastAsia="en-AU"/>
            </w:rPr>
          </w:pPr>
          <w:hyperlink w:anchor="_Toc122084917" w:history="1">
            <w:r w:rsidR="00FE3E0A" w:rsidRPr="000F6ECC">
              <w:rPr>
                <w:rStyle w:val="Hyperlink"/>
                <w:noProof/>
              </w:rPr>
              <w:t>Clinical</w:t>
            </w:r>
            <w:r w:rsidR="00FE3E0A">
              <w:rPr>
                <w:noProof/>
                <w:webHidden/>
              </w:rPr>
              <w:tab/>
            </w:r>
            <w:r w:rsidR="00FE3E0A">
              <w:rPr>
                <w:noProof/>
                <w:webHidden/>
              </w:rPr>
              <w:fldChar w:fldCharType="begin"/>
            </w:r>
            <w:r w:rsidR="00FE3E0A">
              <w:rPr>
                <w:noProof/>
                <w:webHidden/>
              </w:rPr>
              <w:instrText xml:space="preserve"> PAGEREF _Toc122084917 \h </w:instrText>
            </w:r>
            <w:r w:rsidR="00FE3E0A">
              <w:rPr>
                <w:noProof/>
                <w:webHidden/>
              </w:rPr>
            </w:r>
            <w:r w:rsidR="00FE3E0A">
              <w:rPr>
                <w:noProof/>
                <w:webHidden/>
              </w:rPr>
              <w:fldChar w:fldCharType="separate"/>
            </w:r>
            <w:r w:rsidR="00FE3E0A">
              <w:rPr>
                <w:noProof/>
                <w:webHidden/>
              </w:rPr>
              <w:t>12</w:t>
            </w:r>
            <w:r w:rsidR="00FE3E0A">
              <w:rPr>
                <w:noProof/>
                <w:webHidden/>
              </w:rPr>
              <w:fldChar w:fldCharType="end"/>
            </w:r>
          </w:hyperlink>
        </w:p>
        <w:p w14:paraId="08C96486" w14:textId="68443FF0" w:rsidR="00FE3E0A" w:rsidRDefault="00AF2FD1">
          <w:pPr>
            <w:pStyle w:val="TOC2"/>
            <w:rPr>
              <w:rFonts w:asciiTheme="minorHAnsi" w:eastAsiaTheme="minorEastAsia" w:hAnsiTheme="minorHAnsi" w:cstheme="minorBidi"/>
              <w:b w:val="0"/>
              <w:noProof/>
              <w:sz w:val="22"/>
              <w:lang w:eastAsia="en-AU"/>
            </w:rPr>
          </w:pPr>
          <w:hyperlink w:anchor="_Toc122084918" w:history="1">
            <w:r w:rsidR="00FE3E0A" w:rsidRPr="000F6ECC">
              <w:rPr>
                <w:rStyle w:val="Hyperlink"/>
                <w:noProof/>
                <w:lang w:eastAsia="en-AU"/>
              </w:rPr>
              <w:t>Risk management plan</w:t>
            </w:r>
            <w:r w:rsidR="00FE3E0A">
              <w:rPr>
                <w:noProof/>
                <w:webHidden/>
              </w:rPr>
              <w:tab/>
            </w:r>
            <w:r w:rsidR="00FE3E0A">
              <w:rPr>
                <w:noProof/>
                <w:webHidden/>
              </w:rPr>
              <w:fldChar w:fldCharType="begin"/>
            </w:r>
            <w:r w:rsidR="00FE3E0A">
              <w:rPr>
                <w:noProof/>
                <w:webHidden/>
              </w:rPr>
              <w:instrText xml:space="preserve"> PAGEREF _Toc122084918 \h </w:instrText>
            </w:r>
            <w:r w:rsidR="00FE3E0A">
              <w:rPr>
                <w:noProof/>
                <w:webHidden/>
              </w:rPr>
            </w:r>
            <w:r w:rsidR="00FE3E0A">
              <w:rPr>
                <w:noProof/>
                <w:webHidden/>
              </w:rPr>
              <w:fldChar w:fldCharType="separate"/>
            </w:r>
            <w:r w:rsidR="00FE3E0A">
              <w:rPr>
                <w:noProof/>
                <w:webHidden/>
              </w:rPr>
              <w:t>30</w:t>
            </w:r>
            <w:r w:rsidR="00FE3E0A">
              <w:rPr>
                <w:noProof/>
                <w:webHidden/>
              </w:rPr>
              <w:fldChar w:fldCharType="end"/>
            </w:r>
          </w:hyperlink>
        </w:p>
        <w:p w14:paraId="31222B71" w14:textId="0B3A00A7" w:rsidR="00FE3E0A" w:rsidRDefault="00AF2FD1">
          <w:pPr>
            <w:pStyle w:val="TOC2"/>
            <w:rPr>
              <w:rFonts w:asciiTheme="minorHAnsi" w:eastAsiaTheme="minorEastAsia" w:hAnsiTheme="minorHAnsi" w:cstheme="minorBidi"/>
              <w:b w:val="0"/>
              <w:noProof/>
              <w:sz w:val="22"/>
              <w:lang w:eastAsia="en-AU"/>
            </w:rPr>
          </w:pPr>
          <w:hyperlink w:anchor="_Toc122084919" w:history="1">
            <w:r w:rsidR="00FE3E0A" w:rsidRPr="000F6ECC">
              <w:rPr>
                <w:rStyle w:val="Hyperlink"/>
                <w:noProof/>
              </w:rPr>
              <w:t>Risk-benefit analysis</w:t>
            </w:r>
            <w:r w:rsidR="00FE3E0A">
              <w:rPr>
                <w:noProof/>
                <w:webHidden/>
              </w:rPr>
              <w:tab/>
            </w:r>
            <w:r w:rsidR="00FE3E0A">
              <w:rPr>
                <w:noProof/>
                <w:webHidden/>
              </w:rPr>
              <w:fldChar w:fldCharType="begin"/>
            </w:r>
            <w:r w:rsidR="00FE3E0A">
              <w:rPr>
                <w:noProof/>
                <w:webHidden/>
              </w:rPr>
              <w:instrText xml:space="preserve"> PAGEREF _Toc122084919 \h </w:instrText>
            </w:r>
            <w:r w:rsidR="00FE3E0A">
              <w:rPr>
                <w:noProof/>
                <w:webHidden/>
              </w:rPr>
            </w:r>
            <w:r w:rsidR="00FE3E0A">
              <w:rPr>
                <w:noProof/>
                <w:webHidden/>
              </w:rPr>
              <w:fldChar w:fldCharType="separate"/>
            </w:r>
            <w:r w:rsidR="00FE3E0A">
              <w:rPr>
                <w:noProof/>
                <w:webHidden/>
              </w:rPr>
              <w:t>32</w:t>
            </w:r>
            <w:r w:rsidR="00FE3E0A">
              <w:rPr>
                <w:noProof/>
                <w:webHidden/>
              </w:rPr>
              <w:fldChar w:fldCharType="end"/>
            </w:r>
          </w:hyperlink>
        </w:p>
        <w:p w14:paraId="06E961D3" w14:textId="24C3F90D" w:rsidR="00FE3E0A" w:rsidRDefault="00AF2FD1">
          <w:pPr>
            <w:pStyle w:val="TOC1"/>
            <w:rPr>
              <w:rFonts w:asciiTheme="minorHAnsi" w:eastAsiaTheme="minorEastAsia" w:hAnsiTheme="minorHAnsi" w:cstheme="minorBidi"/>
              <w:b w:val="0"/>
              <w:noProof/>
              <w:sz w:val="22"/>
              <w:lang w:eastAsia="en-AU"/>
            </w:rPr>
          </w:pPr>
          <w:hyperlink w:anchor="_Toc122084920" w:history="1">
            <w:r w:rsidR="00FE3E0A" w:rsidRPr="000F6ECC">
              <w:rPr>
                <w:rStyle w:val="Hyperlink"/>
                <w:noProof/>
              </w:rPr>
              <w:t>Outcome</w:t>
            </w:r>
            <w:r w:rsidR="00FE3E0A">
              <w:rPr>
                <w:noProof/>
                <w:webHidden/>
              </w:rPr>
              <w:tab/>
            </w:r>
            <w:r w:rsidR="00FE3E0A">
              <w:rPr>
                <w:noProof/>
                <w:webHidden/>
              </w:rPr>
              <w:fldChar w:fldCharType="begin"/>
            </w:r>
            <w:r w:rsidR="00FE3E0A">
              <w:rPr>
                <w:noProof/>
                <w:webHidden/>
              </w:rPr>
              <w:instrText xml:space="preserve"> PAGEREF _Toc122084920 \h </w:instrText>
            </w:r>
            <w:r w:rsidR="00FE3E0A">
              <w:rPr>
                <w:noProof/>
                <w:webHidden/>
              </w:rPr>
            </w:r>
            <w:r w:rsidR="00FE3E0A">
              <w:rPr>
                <w:noProof/>
                <w:webHidden/>
              </w:rPr>
              <w:fldChar w:fldCharType="separate"/>
            </w:r>
            <w:r w:rsidR="00FE3E0A">
              <w:rPr>
                <w:noProof/>
                <w:webHidden/>
              </w:rPr>
              <w:t>36</w:t>
            </w:r>
            <w:r w:rsidR="00FE3E0A">
              <w:rPr>
                <w:noProof/>
                <w:webHidden/>
              </w:rPr>
              <w:fldChar w:fldCharType="end"/>
            </w:r>
          </w:hyperlink>
        </w:p>
        <w:p w14:paraId="425A91FA" w14:textId="7A960554" w:rsidR="00FE3E0A" w:rsidRDefault="00AF2FD1">
          <w:pPr>
            <w:pStyle w:val="TOC2"/>
            <w:rPr>
              <w:rFonts w:asciiTheme="minorHAnsi" w:eastAsiaTheme="minorEastAsia" w:hAnsiTheme="minorHAnsi" w:cstheme="minorBidi"/>
              <w:b w:val="0"/>
              <w:noProof/>
              <w:sz w:val="22"/>
              <w:lang w:eastAsia="en-AU"/>
            </w:rPr>
          </w:pPr>
          <w:hyperlink w:anchor="_Toc122084921" w:history="1">
            <w:r w:rsidR="00FE3E0A" w:rsidRPr="000F6ECC">
              <w:rPr>
                <w:rStyle w:val="Hyperlink"/>
                <w:noProof/>
              </w:rPr>
              <w:t>Specific conditions of registration applying to these goods</w:t>
            </w:r>
            <w:r w:rsidR="00FE3E0A">
              <w:rPr>
                <w:noProof/>
                <w:webHidden/>
              </w:rPr>
              <w:tab/>
            </w:r>
            <w:r w:rsidR="00FE3E0A">
              <w:rPr>
                <w:noProof/>
                <w:webHidden/>
              </w:rPr>
              <w:fldChar w:fldCharType="begin"/>
            </w:r>
            <w:r w:rsidR="00FE3E0A">
              <w:rPr>
                <w:noProof/>
                <w:webHidden/>
              </w:rPr>
              <w:instrText xml:space="preserve"> PAGEREF _Toc122084921 \h </w:instrText>
            </w:r>
            <w:r w:rsidR="00FE3E0A">
              <w:rPr>
                <w:noProof/>
                <w:webHidden/>
              </w:rPr>
            </w:r>
            <w:r w:rsidR="00FE3E0A">
              <w:rPr>
                <w:noProof/>
                <w:webHidden/>
              </w:rPr>
              <w:fldChar w:fldCharType="separate"/>
            </w:r>
            <w:r w:rsidR="00FE3E0A">
              <w:rPr>
                <w:noProof/>
                <w:webHidden/>
              </w:rPr>
              <w:t>36</w:t>
            </w:r>
            <w:r w:rsidR="00FE3E0A">
              <w:rPr>
                <w:noProof/>
                <w:webHidden/>
              </w:rPr>
              <w:fldChar w:fldCharType="end"/>
            </w:r>
          </w:hyperlink>
        </w:p>
        <w:p w14:paraId="279EF1BF" w14:textId="271AA99E" w:rsidR="00FE3E0A" w:rsidRDefault="00AF2FD1">
          <w:pPr>
            <w:pStyle w:val="TOC1"/>
            <w:rPr>
              <w:rFonts w:asciiTheme="minorHAnsi" w:eastAsiaTheme="minorEastAsia" w:hAnsiTheme="minorHAnsi" w:cstheme="minorBidi"/>
              <w:b w:val="0"/>
              <w:noProof/>
              <w:sz w:val="22"/>
              <w:lang w:eastAsia="en-AU"/>
            </w:rPr>
          </w:pPr>
          <w:hyperlink w:anchor="_Toc122084922" w:history="1">
            <w:r w:rsidR="00FE3E0A" w:rsidRPr="000F6ECC">
              <w:rPr>
                <w:rStyle w:val="Hyperlink"/>
                <w:noProof/>
              </w:rPr>
              <w:t>Attachment 1. Product Information</w:t>
            </w:r>
            <w:r w:rsidR="00FE3E0A">
              <w:rPr>
                <w:noProof/>
                <w:webHidden/>
              </w:rPr>
              <w:tab/>
            </w:r>
            <w:r w:rsidR="00FE3E0A">
              <w:rPr>
                <w:noProof/>
                <w:webHidden/>
              </w:rPr>
              <w:fldChar w:fldCharType="begin"/>
            </w:r>
            <w:r w:rsidR="00FE3E0A">
              <w:rPr>
                <w:noProof/>
                <w:webHidden/>
              </w:rPr>
              <w:instrText xml:space="preserve"> PAGEREF _Toc122084922 \h </w:instrText>
            </w:r>
            <w:r w:rsidR="00FE3E0A">
              <w:rPr>
                <w:noProof/>
                <w:webHidden/>
              </w:rPr>
            </w:r>
            <w:r w:rsidR="00FE3E0A">
              <w:rPr>
                <w:noProof/>
                <w:webHidden/>
              </w:rPr>
              <w:fldChar w:fldCharType="separate"/>
            </w:r>
            <w:r w:rsidR="00FE3E0A">
              <w:rPr>
                <w:noProof/>
                <w:webHidden/>
              </w:rPr>
              <w:t>37</w:t>
            </w:r>
            <w:r w:rsidR="00FE3E0A">
              <w:rPr>
                <w:noProof/>
                <w:webHidden/>
              </w:rPr>
              <w:fldChar w:fldCharType="end"/>
            </w:r>
          </w:hyperlink>
        </w:p>
        <w:p w14:paraId="51D4E1B0" w14:textId="17AD02A2" w:rsidR="003A7F6C" w:rsidRPr="00B811C6" w:rsidRDefault="00C525A2" w:rsidP="00EB36D6">
          <w:r>
            <w:fldChar w:fldCharType="end"/>
          </w:r>
        </w:p>
      </w:sdtContent>
    </w:sdt>
    <w:bookmarkStart w:id="2" w:name="_Toc314842482" w:displacedByCustomXml="prev"/>
    <w:p w14:paraId="6EE30B74" w14:textId="77777777" w:rsidR="00FD119B" w:rsidRDefault="00FD119B">
      <w:pPr>
        <w:spacing w:before="0" w:after="200" w:line="0" w:lineRule="auto"/>
      </w:pPr>
      <w:r>
        <w:br w:type="page"/>
      </w:r>
    </w:p>
    <w:p w14:paraId="3CE8C952" w14:textId="17C9DC5F" w:rsidR="00833ED8" w:rsidRPr="0017530B" w:rsidRDefault="00AF2313" w:rsidP="0017530B">
      <w:pPr>
        <w:pStyle w:val="Heading2"/>
      </w:pPr>
      <w:bookmarkStart w:id="3" w:name="_Toc98931917"/>
      <w:bookmarkStart w:id="4" w:name="_Toc122084907"/>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C82D1E" w14:paraId="6C0B450A" w14:textId="77777777" w:rsidTr="00C82D1E">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23D890CE" w14:textId="77777777" w:rsidR="00C82D1E" w:rsidRDefault="00C82D1E">
            <w:pPr>
              <w:rPr>
                <w:color w:val="FFFFFF"/>
              </w:rPr>
            </w:pPr>
            <w:r>
              <w:t>Abbreviation</w:t>
            </w:r>
          </w:p>
        </w:tc>
        <w:tc>
          <w:tcPr>
            <w:tcW w:w="3282" w:type="pct"/>
            <w:hideMark/>
          </w:tcPr>
          <w:p w14:paraId="4637F6FE" w14:textId="77777777" w:rsidR="00C82D1E" w:rsidRDefault="00C82D1E">
            <w:r>
              <w:t>Meaning</w:t>
            </w:r>
          </w:p>
        </w:tc>
      </w:tr>
      <w:tr w:rsidR="00C82D1E" w14:paraId="076D53BA"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7647783" w14:textId="77777777" w:rsidR="00C82D1E" w:rsidRDefault="00C82D1E">
            <w:r>
              <w:t>ACM</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4499F34" w14:textId="77777777" w:rsidR="00C82D1E" w:rsidRDefault="00C82D1E">
            <w:r>
              <w:t>Advisory Committee on Medicines</w:t>
            </w:r>
          </w:p>
        </w:tc>
      </w:tr>
      <w:tr w:rsidR="00C82D1E" w14:paraId="46E3B41D"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831C524" w14:textId="77777777" w:rsidR="00C82D1E" w:rsidRDefault="00C82D1E">
            <w:pPr>
              <w:rPr>
                <w:color w:val="000000"/>
              </w:rPr>
            </w:pPr>
            <w:r>
              <w:rPr>
                <w:color w:val="000000"/>
              </w:rPr>
              <w:t>AE</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8649CE3" w14:textId="77777777" w:rsidR="00C82D1E" w:rsidRDefault="00C82D1E">
            <w:r>
              <w:t>Adverse event</w:t>
            </w:r>
          </w:p>
        </w:tc>
      </w:tr>
      <w:tr w:rsidR="00C82D1E" w14:paraId="41931A28"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8819BEC" w14:textId="77777777" w:rsidR="00C82D1E" w:rsidRDefault="00C82D1E">
            <w:pPr>
              <w:rPr>
                <w:color w:val="000000"/>
              </w:rPr>
            </w:pPr>
            <w:r>
              <w:t>AESI</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F4768FB" w14:textId="77777777" w:rsidR="00C82D1E" w:rsidRDefault="00C82D1E">
            <w:r>
              <w:t>Adverse event of special interest</w:t>
            </w:r>
          </w:p>
        </w:tc>
      </w:tr>
      <w:tr w:rsidR="00C82D1E" w14:paraId="0A9202F6"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435F5A7B" w14:textId="77777777" w:rsidR="00C82D1E" w:rsidRDefault="00C82D1E">
            <w:pPr>
              <w:rPr>
                <w:color w:val="000000"/>
              </w:rPr>
            </w:pPr>
            <w:r>
              <w:rPr>
                <w:color w:val="000000"/>
              </w:rPr>
              <w:t>ALT</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C1EF461" w14:textId="77777777" w:rsidR="00C82D1E" w:rsidRDefault="00C82D1E">
            <w:r>
              <w:t>Alanine transaminase</w:t>
            </w:r>
          </w:p>
        </w:tc>
      </w:tr>
      <w:tr w:rsidR="00C82D1E" w14:paraId="30A5C3D7"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E88430E" w14:textId="77777777" w:rsidR="00C82D1E" w:rsidRDefault="00C82D1E">
            <w:pPr>
              <w:rPr>
                <w:color w:val="000000"/>
              </w:rPr>
            </w:pPr>
            <w:r>
              <w:rPr>
                <w:color w:val="000000"/>
              </w:rPr>
              <w:t>ARR</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6C811F97" w14:textId="77777777" w:rsidR="00C82D1E" w:rsidRDefault="00C82D1E">
            <w:pPr>
              <w:rPr>
                <w:color w:val="000000"/>
              </w:rPr>
            </w:pPr>
            <w:r>
              <w:t>Annualised relapse rate</w:t>
            </w:r>
          </w:p>
        </w:tc>
      </w:tr>
      <w:tr w:rsidR="00C82D1E" w14:paraId="740B1A97"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256DCCE" w14:textId="77777777" w:rsidR="00C82D1E" w:rsidRDefault="00C82D1E">
            <w:r>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961B28A" w14:textId="77777777" w:rsidR="00C82D1E" w:rsidRDefault="00C82D1E">
            <w:r>
              <w:t>Australian Register of Therapeutic Goods</w:t>
            </w:r>
          </w:p>
        </w:tc>
      </w:tr>
      <w:tr w:rsidR="00C82D1E" w14:paraId="30AEBDF1"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908177A" w14:textId="77777777" w:rsidR="00C82D1E" w:rsidRDefault="00C82D1E">
            <w:r>
              <w:t>ASA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67990A3" w14:textId="77777777" w:rsidR="00C82D1E" w:rsidRDefault="00C82D1E">
            <w:r>
              <w:t>Australia specific annex</w:t>
            </w:r>
          </w:p>
        </w:tc>
      </w:tr>
      <w:tr w:rsidR="00C82D1E" w14:paraId="64668BE4"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AB9A2CA" w14:textId="77777777" w:rsidR="00C82D1E" w:rsidRDefault="00C82D1E">
            <w:pPr>
              <w:rPr>
                <w:color w:val="000000"/>
              </w:rPr>
            </w:pPr>
            <w:r>
              <w:rPr>
                <w:color w:val="000000"/>
              </w:rPr>
              <w:t>AST</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EA6E9DC" w14:textId="77777777" w:rsidR="00C82D1E" w:rsidRDefault="00C82D1E">
            <w:r>
              <w:t>Aspartate transaminase</w:t>
            </w:r>
          </w:p>
        </w:tc>
      </w:tr>
      <w:tr w:rsidR="00C82D1E" w14:paraId="7005A87A"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4D11841E" w14:textId="77777777" w:rsidR="00C82D1E" w:rsidRDefault="00C82D1E">
            <w:pPr>
              <w:rPr>
                <w:color w:val="000000"/>
              </w:rPr>
            </w:pPr>
            <w:r>
              <w:rPr>
                <w:color w:val="000000"/>
              </w:rPr>
              <w:t>AUC</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4064805" w14:textId="06192246" w:rsidR="00C82D1E" w:rsidRDefault="00C82D1E">
            <w:pPr>
              <w:rPr>
                <w:color w:val="000000"/>
              </w:rPr>
            </w:pPr>
            <w:r>
              <w:t xml:space="preserve">Area under </w:t>
            </w:r>
            <w:r w:rsidR="00341DFD">
              <w:t xml:space="preserve">the </w:t>
            </w:r>
            <w:r>
              <w:t>concentration</w:t>
            </w:r>
            <w:r w:rsidR="00341DFD">
              <w:noBreakHyphen/>
            </w:r>
            <w:r>
              <w:t>time curve</w:t>
            </w:r>
          </w:p>
        </w:tc>
      </w:tr>
      <w:tr w:rsidR="00C82D1E" w14:paraId="2EE9BF7F"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41D4729" w14:textId="77777777" w:rsidR="00C82D1E" w:rsidRDefault="00C82D1E">
            <w:pPr>
              <w:rPr>
                <w:color w:val="000000"/>
              </w:rPr>
            </w:pPr>
            <w:r>
              <w:t>AUC</w:t>
            </w:r>
            <w:r>
              <w:rPr>
                <w:vertAlign w:val="subscript"/>
              </w:rPr>
              <w:t>0-∞</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23FA6AC" w14:textId="0D448E81" w:rsidR="00C82D1E" w:rsidRDefault="00C82D1E">
            <w:pPr>
              <w:rPr>
                <w:color w:val="000000"/>
              </w:rPr>
            </w:pPr>
            <w:r>
              <w:t xml:space="preserve">Area under </w:t>
            </w:r>
            <w:r w:rsidR="00341DFD">
              <w:t xml:space="preserve">the </w:t>
            </w:r>
            <w:r>
              <w:t>concentration</w:t>
            </w:r>
            <w:r w:rsidR="00341DFD">
              <w:noBreakHyphen/>
            </w:r>
            <w:r>
              <w:t>time curve from</w:t>
            </w:r>
            <w:r w:rsidR="00341DFD">
              <w:t xml:space="preserve"> time</w:t>
            </w:r>
            <w:r>
              <w:t xml:space="preserve"> zero to infinity</w:t>
            </w:r>
          </w:p>
        </w:tc>
      </w:tr>
      <w:tr w:rsidR="00C82D1E" w14:paraId="4808EC7E"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86428A7" w14:textId="77777777" w:rsidR="00C82D1E" w:rsidRDefault="00C82D1E">
            <w:pPr>
              <w:rPr>
                <w:color w:val="000000"/>
              </w:rPr>
            </w:pPr>
            <w:r>
              <w:t>AUC</w:t>
            </w:r>
            <w:r>
              <w:rPr>
                <w:vertAlign w:val="subscript"/>
              </w:rPr>
              <w:t>0-last</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5786D61" w14:textId="1A1BB1C0" w:rsidR="00C82D1E" w:rsidRDefault="00C82D1E">
            <w:pPr>
              <w:rPr>
                <w:color w:val="000000"/>
              </w:rPr>
            </w:pPr>
            <w:r>
              <w:t xml:space="preserve">Area under </w:t>
            </w:r>
            <w:r w:rsidR="00341DFD">
              <w:t xml:space="preserve">the </w:t>
            </w:r>
            <w:r>
              <w:t>concentration</w:t>
            </w:r>
            <w:r w:rsidR="00341DFD">
              <w:noBreakHyphen/>
            </w:r>
            <w:r>
              <w:t>time curve from zero to last measured concentration</w:t>
            </w:r>
          </w:p>
        </w:tc>
      </w:tr>
      <w:tr w:rsidR="00C82D1E" w14:paraId="49C49DD1"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96577D7" w14:textId="77777777" w:rsidR="00C82D1E" w:rsidRDefault="00C82D1E">
            <w:pPr>
              <w:rPr>
                <w:color w:val="000000"/>
              </w:rPr>
            </w:pPr>
            <w:proofErr w:type="spellStart"/>
            <w:proofErr w:type="gramStart"/>
            <w:r>
              <w:t>AUC</w:t>
            </w:r>
            <w:r>
              <w:rPr>
                <w:vertAlign w:val="subscript"/>
              </w:rPr>
              <w:t>tau,ss</w:t>
            </w:r>
            <w:proofErr w:type="spellEnd"/>
            <w:proofErr w:type="gramEnd"/>
          </w:p>
        </w:tc>
        <w:tc>
          <w:tcPr>
            <w:tcW w:w="3987" w:type="pct"/>
            <w:gridSpan w:val="2"/>
            <w:tcBorders>
              <w:top w:val="single" w:sz="8" w:space="0" w:color="002C47"/>
              <w:left w:val="single" w:sz="8" w:space="0" w:color="002C47"/>
              <w:bottom w:val="single" w:sz="8" w:space="0" w:color="002C47"/>
              <w:right w:val="single" w:sz="8" w:space="0" w:color="002C47"/>
            </w:tcBorders>
            <w:hideMark/>
          </w:tcPr>
          <w:p w14:paraId="64B33351" w14:textId="20903BDE" w:rsidR="00C82D1E" w:rsidRDefault="00C82D1E">
            <w:pPr>
              <w:rPr>
                <w:color w:val="000000"/>
              </w:rPr>
            </w:pPr>
            <w:r>
              <w:t>Area under the concentration</w:t>
            </w:r>
            <w:r w:rsidR="00341DFD">
              <w:noBreakHyphen/>
            </w:r>
            <w:r>
              <w:t>time curve from time zero to the end of the dosing interval at steady state</w:t>
            </w:r>
          </w:p>
        </w:tc>
      </w:tr>
      <w:tr w:rsidR="00C82D1E" w14:paraId="670BC612"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6E72A47" w14:textId="77777777" w:rsidR="00C82D1E" w:rsidRDefault="00C82D1E">
            <w:pPr>
              <w:rPr>
                <w:color w:val="000000"/>
              </w:rPr>
            </w:pPr>
            <w:r>
              <w:rPr>
                <w:color w:val="000000"/>
              </w:rPr>
              <w:t>CI</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D4DA6FB" w14:textId="77777777" w:rsidR="00C82D1E" w:rsidRDefault="00C82D1E">
            <w:pPr>
              <w:rPr>
                <w:color w:val="000000"/>
              </w:rPr>
            </w:pPr>
            <w:r>
              <w:t>Confidence interval</w:t>
            </w:r>
          </w:p>
        </w:tc>
      </w:tr>
      <w:tr w:rsidR="00C82D1E" w14:paraId="6573278E"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49BA870A" w14:textId="77777777" w:rsidR="00C82D1E" w:rsidRDefault="00C82D1E">
            <w:pPr>
              <w:rPr>
                <w:color w:val="000000"/>
              </w:rPr>
            </w:pPr>
            <w:r>
              <w:rPr>
                <w:color w:val="000000"/>
              </w:rPr>
              <w:t>CL/F</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3DB770F" w14:textId="77777777" w:rsidR="00C82D1E" w:rsidRDefault="00C82D1E">
            <w:pPr>
              <w:rPr>
                <w:color w:val="000000"/>
              </w:rPr>
            </w:pPr>
            <w:r>
              <w:rPr>
                <w:color w:val="000000"/>
              </w:rPr>
              <w:t>Apparent oral clearance</w:t>
            </w:r>
          </w:p>
        </w:tc>
      </w:tr>
      <w:tr w:rsidR="00C82D1E" w14:paraId="2B4EA7FF"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DC159C4" w14:textId="77777777" w:rsidR="00C82D1E" w:rsidRDefault="00C82D1E">
            <w:pPr>
              <w:rPr>
                <w:color w:val="000000"/>
              </w:rPr>
            </w:pPr>
            <w:r>
              <w:t>C</w:t>
            </w:r>
            <w:r>
              <w:rPr>
                <w:vertAlign w:val="subscript"/>
              </w:rPr>
              <w:t>max</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D9D6C40" w14:textId="77777777" w:rsidR="00C82D1E" w:rsidRDefault="00C82D1E">
            <w:pPr>
              <w:rPr>
                <w:color w:val="000000"/>
              </w:rPr>
            </w:pPr>
            <w:r>
              <w:t>Maximum concentration</w:t>
            </w:r>
          </w:p>
        </w:tc>
      </w:tr>
      <w:tr w:rsidR="00C82D1E" w14:paraId="03A04744"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38FA5D3" w14:textId="77777777" w:rsidR="00C82D1E" w:rsidRDefault="00C82D1E">
            <w:pPr>
              <w:rPr>
                <w:color w:val="000000"/>
              </w:rPr>
            </w:pPr>
            <w:r>
              <w:rPr>
                <w:color w:val="000000"/>
              </w:rPr>
              <w:t>CMI</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8D94E5E" w14:textId="77777777" w:rsidR="00C82D1E" w:rsidRDefault="00C82D1E">
            <w:pPr>
              <w:rPr>
                <w:color w:val="000000"/>
              </w:rPr>
            </w:pPr>
            <w:r>
              <w:rPr>
                <w:color w:val="000000"/>
              </w:rPr>
              <w:t>Consumer Medicine Information</w:t>
            </w:r>
          </w:p>
        </w:tc>
      </w:tr>
      <w:tr w:rsidR="00C82D1E" w14:paraId="629494FD"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6DAAA62" w14:textId="77777777" w:rsidR="00C82D1E" w:rsidRDefault="00C82D1E">
            <w:pPr>
              <w:rPr>
                <w:color w:val="000000"/>
              </w:rPr>
            </w:pPr>
            <w:r>
              <w:rPr>
                <w:color w:val="000000"/>
              </w:rPr>
              <w:t>CMI</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DC751A8" w14:textId="77777777" w:rsidR="00C82D1E" w:rsidRDefault="00C82D1E">
            <w:r>
              <w:t>Consumer Medicines Information</w:t>
            </w:r>
          </w:p>
        </w:tc>
      </w:tr>
      <w:tr w:rsidR="00C82D1E" w14:paraId="526F9A78"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9248A98" w14:textId="77777777" w:rsidR="00C82D1E" w:rsidRDefault="00C82D1E">
            <w:pPr>
              <w:rPr>
                <w:color w:val="000000"/>
              </w:rPr>
            </w:pPr>
            <w:r>
              <w:rPr>
                <w:color w:val="000000"/>
              </w:rPr>
              <w:t>CNS</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9E5DD83" w14:textId="77777777" w:rsidR="00C82D1E" w:rsidRDefault="00C82D1E">
            <w:pPr>
              <w:rPr>
                <w:color w:val="000000"/>
              </w:rPr>
            </w:pPr>
            <w:r>
              <w:rPr>
                <w:color w:val="000000"/>
              </w:rPr>
              <w:t>Central nervous system</w:t>
            </w:r>
          </w:p>
        </w:tc>
      </w:tr>
      <w:tr w:rsidR="00C82D1E" w14:paraId="1B8C9034"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E85CA0F" w14:textId="77777777" w:rsidR="00C82D1E" w:rsidRDefault="00C82D1E">
            <w:r>
              <w:t>DLP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DA55A79" w14:textId="77777777" w:rsidR="00C82D1E" w:rsidRDefault="00C82D1E">
            <w:r>
              <w:t>Data lock point</w:t>
            </w:r>
          </w:p>
        </w:tc>
      </w:tr>
      <w:tr w:rsidR="00C82D1E" w14:paraId="001840A5"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A84CFDD" w14:textId="77777777" w:rsidR="00C82D1E" w:rsidRDefault="00C82D1E">
            <w:pPr>
              <w:rPr>
                <w:color w:val="000000"/>
              </w:rPr>
            </w:pPr>
            <w:r>
              <w:rPr>
                <w:color w:val="000000"/>
              </w:rPr>
              <w:t>DMT</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4273B3C" w14:textId="77777777" w:rsidR="00C82D1E" w:rsidRDefault="00C82D1E">
            <w:pPr>
              <w:rPr>
                <w:color w:val="000000"/>
              </w:rPr>
            </w:pPr>
            <w:r>
              <w:t>Disease modifying treatment</w:t>
            </w:r>
          </w:p>
        </w:tc>
      </w:tr>
      <w:tr w:rsidR="00C82D1E" w14:paraId="2255F234"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D74B73C" w14:textId="77777777" w:rsidR="00C82D1E" w:rsidRDefault="00C82D1E">
            <w:pPr>
              <w:rPr>
                <w:color w:val="000000"/>
              </w:rPr>
            </w:pPr>
            <w:r>
              <w:rPr>
                <w:color w:val="000000"/>
              </w:rPr>
              <w:t>EDSS</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1A6429A" w14:textId="46CD2051" w:rsidR="00C82D1E" w:rsidRDefault="00C82D1E">
            <w:r>
              <w:t xml:space="preserve">Expanded </w:t>
            </w:r>
            <w:r w:rsidR="00014387">
              <w:t>D</w:t>
            </w:r>
            <w:r>
              <w:t xml:space="preserve">isability </w:t>
            </w:r>
            <w:r w:rsidR="00014387">
              <w:t>S</w:t>
            </w:r>
            <w:r>
              <w:t xml:space="preserve">tatus </w:t>
            </w:r>
            <w:r w:rsidR="00014387">
              <w:t>S</w:t>
            </w:r>
            <w:r>
              <w:t>cale</w:t>
            </w:r>
          </w:p>
        </w:tc>
      </w:tr>
      <w:tr w:rsidR="00014387" w14:paraId="1E0A3E16"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tcPr>
          <w:p w14:paraId="3582D965" w14:textId="0D13845D" w:rsidR="00014387" w:rsidRDefault="00014387">
            <w:pPr>
              <w:rPr>
                <w:color w:val="000000"/>
              </w:rPr>
            </w:pPr>
            <w:r>
              <w:rPr>
                <w:color w:val="000000"/>
              </w:rPr>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77DAC025" w14:textId="2B3826D7" w:rsidR="00014387" w:rsidRDefault="00014387">
            <w:r>
              <w:t>European Medicines Agency (European Union)</w:t>
            </w:r>
          </w:p>
        </w:tc>
      </w:tr>
      <w:tr w:rsidR="00014387" w14:paraId="195040F7"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tcPr>
          <w:p w14:paraId="1953E295" w14:textId="530BFE1A" w:rsidR="00014387" w:rsidRDefault="00014387">
            <w:pPr>
              <w:rPr>
                <w:color w:val="000000"/>
              </w:rPr>
            </w:pPr>
            <w:r>
              <w:rPr>
                <w:color w:val="000000"/>
              </w:rPr>
              <w:t>EPAR</w:t>
            </w:r>
          </w:p>
        </w:tc>
        <w:tc>
          <w:tcPr>
            <w:tcW w:w="3987" w:type="pct"/>
            <w:gridSpan w:val="2"/>
            <w:tcBorders>
              <w:top w:val="single" w:sz="8" w:space="0" w:color="002C47"/>
              <w:left w:val="single" w:sz="8" w:space="0" w:color="002C47"/>
              <w:bottom w:val="single" w:sz="8" w:space="0" w:color="002C47"/>
              <w:right w:val="single" w:sz="8" w:space="0" w:color="002C47"/>
            </w:tcBorders>
          </w:tcPr>
          <w:p w14:paraId="42282640" w14:textId="5AFDD232" w:rsidR="00014387" w:rsidRDefault="00014387">
            <w:r>
              <w:t>European Public Access Report (European Medicines Agency)</w:t>
            </w:r>
          </w:p>
        </w:tc>
      </w:tr>
      <w:tr w:rsidR="00C82D1E" w14:paraId="600A56B5"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63969B7" w14:textId="77777777" w:rsidR="00C82D1E" w:rsidRDefault="00C82D1E">
            <w:pPr>
              <w:rPr>
                <w:color w:val="000000"/>
              </w:rPr>
            </w:pPr>
            <w:r>
              <w:rPr>
                <w:color w:val="000000"/>
              </w:rPr>
              <w:lastRenderedPageBreak/>
              <w:t>EU</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3996D7D" w14:textId="77777777" w:rsidR="00C82D1E" w:rsidRDefault="00C82D1E">
            <w:pPr>
              <w:rPr>
                <w:color w:val="000000"/>
              </w:rPr>
            </w:pPr>
            <w:r>
              <w:rPr>
                <w:color w:val="000000"/>
              </w:rPr>
              <w:t>European Union</w:t>
            </w:r>
          </w:p>
        </w:tc>
      </w:tr>
      <w:tr w:rsidR="00C82D1E" w14:paraId="2C81BA3C"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7AD592A" w14:textId="77777777" w:rsidR="00C82D1E" w:rsidRDefault="00C82D1E">
            <w:pPr>
              <w:rPr>
                <w:color w:val="000000"/>
              </w:rPr>
            </w:pPr>
            <w:r>
              <w:t>GGISIS</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04259F4" w14:textId="77777777" w:rsidR="00C82D1E" w:rsidRDefault="00C82D1E">
            <w:r>
              <w:t>Global Gastrointestinal Symptom and Impact Scale</w:t>
            </w:r>
          </w:p>
        </w:tc>
      </w:tr>
      <w:tr w:rsidR="00C82D1E" w14:paraId="41D122CF"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7D26C69" w14:textId="77777777" w:rsidR="00C82D1E" w:rsidRDefault="00C82D1E">
            <w:pPr>
              <w:rPr>
                <w:color w:val="000000"/>
              </w:rPr>
            </w:pPr>
            <w:r>
              <w:rPr>
                <w:color w:val="000000"/>
              </w:rPr>
              <w:t>GI</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E95BF1A" w14:textId="77777777" w:rsidR="00C82D1E" w:rsidRDefault="00C82D1E">
            <w:r>
              <w:t>Gastrointestinal</w:t>
            </w:r>
          </w:p>
        </w:tc>
      </w:tr>
      <w:tr w:rsidR="00C82D1E" w14:paraId="474D2072"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F313B4A" w14:textId="77777777" w:rsidR="00C82D1E" w:rsidRDefault="00C82D1E">
            <w:pPr>
              <w:rPr>
                <w:color w:val="000000"/>
              </w:rPr>
            </w:pPr>
            <w:r>
              <w:t>IGISIS</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6EBC426C" w14:textId="77777777" w:rsidR="00C82D1E" w:rsidRDefault="00C82D1E">
            <w:r>
              <w:t>Individual Gastrointestinal Symptom and Impact Scale</w:t>
            </w:r>
          </w:p>
        </w:tc>
      </w:tr>
      <w:tr w:rsidR="00C82D1E" w14:paraId="4CDF5C7F"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4E28EF3" w14:textId="77777777" w:rsidR="00C82D1E" w:rsidRDefault="00C82D1E">
            <w:pPr>
              <w:rPr>
                <w:color w:val="000000"/>
              </w:rPr>
            </w:pPr>
            <w:r>
              <w:rPr>
                <w:color w:val="000000"/>
              </w:rPr>
              <w:t>LLOQ</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29302CE" w14:textId="77777777" w:rsidR="00C82D1E" w:rsidRDefault="00C82D1E">
            <w:pPr>
              <w:rPr>
                <w:color w:val="000000"/>
              </w:rPr>
            </w:pPr>
            <w:r>
              <w:t>Lower limit of quantification</w:t>
            </w:r>
          </w:p>
        </w:tc>
      </w:tr>
      <w:tr w:rsidR="00C82D1E" w14:paraId="387BE4F6"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FEC4ECD" w14:textId="77777777" w:rsidR="00C82D1E" w:rsidRDefault="00C82D1E">
            <w:pPr>
              <w:rPr>
                <w:color w:val="000000"/>
              </w:rPr>
            </w:pPr>
            <w:r>
              <w:rPr>
                <w:color w:val="000000"/>
              </w:rPr>
              <w:t>MRI</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797E013" w14:textId="77777777" w:rsidR="00C82D1E" w:rsidRDefault="00C82D1E">
            <w:pPr>
              <w:rPr>
                <w:color w:val="000000"/>
              </w:rPr>
            </w:pPr>
            <w:r>
              <w:t>Magnetic resonance imaging</w:t>
            </w:r>
          </w:p>
        </w:tc>
      </w:tr>
      <w:tr w:rsidR="00C82D1E" w14:paraId="5AB49D6B"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40B83B8" w14:textId="77777777" w:rsidR="00C82D1E" w:rsidRDefault="00C82D1E">
            <w:pPr>
              <w:rPr>
                <w:color w:val="000000"/>
              </w:rPr>
            </w:pPr>
            <w:r>
              <w:rPr>
                <w:color w:val="000000"/>
              </w:rPr>
              <w:t>MS</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8C8CEDC" w14:textId="77777777" w:rsidR="00C82D1E" w:rsidRDefault="00C82D1E">
            <w:pPr>
              <w:rPr>
                <w:color w:val="000000"/>
              </w:rPr>
            </w:pPr>
            <w:r>
              <w:rPr>
                <w:color w:val="000000"/>
              </w:rPr>
              <w:t>Multiple sclerosis</w:t>
            </w:r>
          </w:p>
        </w:tc>
      </w:tr>
      <w:tr w:rsidR="00C82D1E" w14:paraId="615A9E6D"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E08075B" w14:textId="77777777" w:rsidR="00C82D1E" w:rsidRDefault="00C82D1E">
            <w:pPr>
              <w:rPr>
                <w:color w:val="000000"/>
              </w:rPr>
            </w:pPr>
            <w:r>
              <w:t>Nrf2</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50F2711" w14:textId="77777777" w:rsidR="00C82D1E" w:rsidRDefault="00C82D1E">
            <w:pPr>
              <w:rPr>
                <w:color w:val="000000"/>
              </w:rPr>
            </w:pPr>
            <w:r>
              <w:t>Nuclear factor (erythroid-derived 2)-like 2</w:t>
            </w:r>
          </w:p>
        </w:tc>
      </w:tr>
      <w:tr w:rsidR="00C82D1E" w14:paraId="5F7218E7"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C7CA120" w14:textId="77777777" w:rsidR="00C82D1E" w:rsidRDefault="00C82D1E">
            <w:pPr>
              <w:rPr>
                <w:color w:val="000000"/>
              </w:rPr>
            </w:pPr>
            <w:r>
              <w:rPr>
                <w:color w:val="000000"/>
              </w:rPr>
              <w:t>OI</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43E2730" w14:textId="77777777" w:rsidR="00C82D1E" w:rsidRDefault="00C82D1E">
            <w:r>
              <w:t>Opportunistic infection</w:t>
            </w:r>
          </w:p>
        </w:tc>
      </w:tr>
      <w:tr w:rsidR="00C82D1E" w14:paraId="7179F380"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7324629" w14:textId="77777777" w:rsidR="00C82D1E" w:rsidRDefault="00C82D1E">
            <w:pPr>
              <w:rPr>
                <w:color w:val="000000"/>
              </w:rPr>
            </w:pPr>
            <w:r>
              <w:rPr>
                <w:color w:val="000000"/>
              </w:rPr>
              <w:t>PI</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EBA707B" w14:textId="77777777" w:rsidR="00C82D1E" w:rsidRDefault="00C82D1E">
            <w:pPr>
              <w:rPr>
                <w:color w:val="000000"/>
              </w:rPr>
            </w:pPr>
            <w:r>
              <w:rPr>
                <w:color w:val="000000"/>
              </w:rPr>
              <w:t>Product Information</w:t>
            </w:r>
          </w:p>
        </w:tc>
      </w:tr>
      <w:tr w:rsidR="00C82D1E" w14:paraId="1933A895"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E7F6704" w14:textId="77777777" w:rsidR="00C82D1E" w:rsidRDefault="00C82D1E">
            <w:pPr>
              <w:rPr>
                <w:color w:val="000000"/>
              </w:rPr>
            </w:pPr>
            <w:r>
              <w:rPr>
                <w:color w:val="000000"/>
              </w:rPr>
              <w:t>PK</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89FE57D" w14:textId="77777777" w:rsidR="00C82D1E" w:rsidRDefault="00C82D1E">
            <w:pPr>
              <w:rPr>
                <w:color w:val="000000"/>
              </w:rPr>
            </w:pPr>
            <w:r>
              <w:rPr>
                <w:color w:val="000000"/>
              </w:rPr>
              <w:t>Pharmacokinetic(s)</w:t>
            </w:r>
          </w:p>
        </w:tc>
      </w:tr>
      <w:tr w:rsidR="00C82D1E" w14:paraId="13C60AA2"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DD70A22" w14:textId="77777777" w:rsidR="00C82D1E" w:rsidRDefault="00C82D1E">
            <w:pPr>
              <w:rPr>
                <w:color w:val="000000"/>
              </w:rPr>
            </w:pPr>
            <w:r>
              <w:rPr>
                <w:color w:val="000000"/>
              </w:rPr>
              <w:t>PML</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6DACA86B" w14:textId="77777777" w:rsidR="00C82D1E" w:rsidRDefault="00C82D1E">
            <w:r>
              <w:t>Progressive multifocal leukoencephalopathy</w:t>
            </w:r>
          </w:p>
        </w:tc>
      </w:tr>
      <w:tr w:rsidR="00C82D1E" w14:paraId="3FAEE16D"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F92A2C6" w14:textId="77777777" w:rsidR="00C82D1E" w:rsidRDefault="00C82D1E">
            <w:pPr>
              <w:rPr>
                <w:color w:val="000000"/>
              </w:rPr>
            </w:pPr>
            <w:r>
              <w:rPr>
                <w:color w:val="000000"/>
              </w:rPr>
              <w:t>PSUR</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77B4911" w14:textId="77777777" w:rsidR="00C82D1E" w:rsidRDefault="00C82D1E">
            <w:r>
              <w:t>Periodic safety update report</w:t>
            </w:r>
          </w:p>
        </w:tc>
      </w:tr>
      <w:tr w:rsidR="00C82D1E" w14:paraId="7A56D8B9"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30ADAAE" w14:textId="77777777" w:rsidR="00C82D1E" w:rsidRDefault="00C82D1E">
            <w:r>
              <w:t>RMP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2741502" w14:textId="77777777" w:rsidR="00C82D1E" w:rsidRDefault="00C82D1E">
            <w:r>
              <w:t>Risk management plan</w:t>
            </w:r>
          </w:p>
        </w:tc>
      </w:tr>
      <w:tr w:rsidR="00C82D1E" w14:paraId="419207D0"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0C519BB" w14:textId="77777777" w:rsidR="00C82D1E" w:rsidRDefault="00C82D1E">
            <w:pPr>
              <w:rPr>
                <w:color w:val="000000"/>
              </w:rPr>
            </w:pPr>
            <w:r>
              <w:rPr>
                <w:color w:val="000000"/>
              </w:rPr>
              <w:t>RRMS</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47903C2" w14:textId="77777777" w:rsidR="00C82D1E" w:rsidRDefault="00C82D1E">
            <w:pPr>
              <w:rPr>
                <w:color w:val="000000"/>
              </w:rPr>
            </w:pPr>
            <w:r>
              <w:t>Relapsing remitting m</w:t>
            </w:r>
            <w:r>
              <w:rPr>
                <w:color w:val="000000"/>
              </w:rPr>
              <w:t>ultiple sclerosis</w:t>
            </w:r>
          </w:p>
        </w:tc>
      </w:tr>
      <w:tr w:rsidR="00C82D1E" w14:paraId="7E446058"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A428457" w14:textId="77777777" w:rsidR="00C82D1E" w:rsidRDefault="00C82D1E">
            <w:pPr>
              <w:rPr>
                <w:color w:val="000000"/>
              </w:rPr>
            </w:pPr>
            <w:r>
              <w:rPr>
                <w:color w:val="000000"/>
              </w:rPr>
              <w:t>SAE</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4DBC5EA" w14:textId="77777777" w:rsidR="00C82D1E" w:rsidRDefault="00C82D1E">
            <w:r>
              <w:t>Serious adverse event</w:t>
            </w:r>
          </w:p>
        </w:tc>
      </w:tr>
      <w:tr w:rsidR="00C82D1E" w14:paraId="53BC144B"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03114F8" w14:textId="77777777" w:rsidR="00C82D1E" w:rsidRDefault="00C82D1E">
            <w:pPr>
              <w:rPr>
                <w:color w:val="000000"/>
              </w:rPr>
            </w:pPr>
            <w:r>
              <w:rPr>
                <w:color w:val="000000"/>
              </w:rPr>
              <w:t>SmPC</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5FE3175" w14:textId="0F6CF6A1" w:rsidR="00C82D1E" w:rsidRDefault="00C82D1E">
            <w:r>
              <w:t xml:space="preserve">Summary of </w:t>
            </w:r>
            <w:r w:rsidR="00014387">
              <w:t>P</w:t>
            </w:r>
            <w:r>
              <w:t xml:space="preserve">roduct </w:t>
            </w:r>
            <w:r w:rsidR="00014387">
              <w:t>C</w:t>
            </w:r>
            <w:r>
              <w:t>haracteristic</w:t>
            </w:r>
            <w:r w:rsidR="00014387">
              <w:t xml:space="preserve"> (European Union)</w:t>
            </w:r>
          </w:p>
        </w:tc>
      </w:tr>
      <w:tr w:rsidR="00C82D1E" w14:paraId="7CC1CF1E"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1636353" w14:textId="77777777" w:rsidR="00C82D1E" w:rsidRDefault="00C82D1E">
            <w:pPr>
              <w:rPr>
                <w:color w:val="000000"/>
              </w:rPr>
            </w:pPr>
            <w:bookmarkStart w:id="5" w:name="_Hlk122081861"/>
            <w:r>
              <w:t>t½</w:t>
            </w:r>
            <w:bookmarkEnd w:id="5"/>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CE65E71" w14:textId="77777777" w:rsidR="00C82D1E" w:rsidRDefault="00C82D1E">
            <w:pPr>
              <w:rPr>
                <w:color w:val="000000"/>
              </w:rPr>
            </w:pPr>
            <w:r>
              <w:rPr>
                <w:color w:val="000000"/>
              </w:rPr>
              <w:t>Half-life</w:t>
            </w:r>
          </w:p>
        </w:tc>
      </w:tr>
      <w:tr w:rsidR="00C82D1E" w14:paraId="6825EFD2"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233A956" w14:textId="77777777" w:rsidR="00C82D1E" w:rsidRDefault="00C82D1E">
            <w:pPr>
              <w:rPr>
                <w:color w:val="000000"/>
              </w:rPr>
            </w:pPr>
            <w:r>
              <w:rPr>
                <w:color w:val="000000"/>
              </w:rPr>
              <w:t>TEAE</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2F41067" w14:textId="77777777" w:rsidR="00C82D1E" w:rsidRDefault="00C82D1E">
            <w:r>
              <w:t>Treatment emergent adverse events</w:t>
            </w:r>
          </w:p>
        </w:tc>
      </w:tr>
      <w:tr w:rsidR="00C82D1E" w14:paraId="6FA6820E"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26E322C" w14:textId="77777777" w:rsidR="00C82D1E" w:rsidRDefault="00C82D1E">
            <w:r>
              <w:t>TGA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887752A" w14:textId="77777777" w:rsidR="00C82D1E" w:rsidRDefault="00C82D1E">
            <w:r>
              <w:t>Therapeutic Goods Administration</w:t>
            </w:r>
          </w:p>
        </w:tc>
      </w:tr>
      <w:tr w:rsidR="00C82D1E" w14:paraId="166D306E"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1D83CF5" w14:textId="77777777" w:rsidR="00C82D1E" w:rsidRDefault="00C82D1E">
            <w:pPr>
              <w:rPr>
                <w:color w:val="000000"/>
              </w:rPr>
            </w:pPr>
            <w:proofErr w:type="spellStart"/>
            <w:r>
              <w:rPr>
                <w:color w:val="000000"/>
              </w:rPr>
              <w:t>T</w:t>
            </w:r>
            <w:r>
              <w:rPr>
                <w:color w:val="000000"/>
                <w:vertAlign w:val="subscript"/>
              </w:rPr>
              <w:t>max</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FA7762B" w14:textId="77777777" w:rsidR="00C82D1E" w:rsidRDefault="00C82D1E">
            <w:pPr>
              <w:rPr>
                <w:color w:val="000000"/>
              </w:rPr>
            </w:pPr>
            <w:r>
              <w:t>Time to reach maximum concentration</w:t>
            </w:r>
          </w:p>
        </w:tc>
      </w:tr>
      <w:tr w:rsidR="00C82D1E" w14:paraId="75AE5DE9" w14:textId="77777777" w:rsidTr="00C82D1E">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5E7B982" w14:textId="77777777" w:rsidR="00C82D1E" w:rsidRDefault="00C82D1E">
            <w:pPr>
              <w:rPr>
                <w:color w:val="000000"/>
              </w:rPr>
            </w:pPr>
            <w:r>
              <w:rPr>
                <w:color w:val="000000"/>
              </w:rPr>
              <w:t>USA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5C4B05A" w14:textId="77777777" w:rsidR="00C82D1E" w:rsidRDefault="00C82D1E">
            <w:pPr>
              <w:rPr>
                <w:color w:val="000000"/>
              </w:rPr>
            </w:pPr>
            <w:r>
              <w:rPr>
                <w:color w:val="000000"/>
              </w:rPr>
              <w:t>United States (of America)</w:t>
            </w:r>
          </w:p>
        </w:tc>
      </w:tr>
    </w:tbl>
    <w:p w14:paraId="4B76D73B" w14:textId="3D559F18" w:rsidR="00FD119B" w:rsidRPr="00FD119B" w:rsidRDefault="00C82D1E" w:rsidP="00FD119B">
      <w:pPr>
        <w:spacing w:before="0" w:after="200" w:line="0" w:lineRule="auto"/>
        <w:rPr>
          <w:b/>
          <w:i/>
          <w:sz w:val="24"/>
          <w:szCs w:val="24"/>
        </w:rPr>
      </w:pPr>
      <w:r w:rsidRPr="00FD119B">
        <w:rPr>
          <w:b/>
          <w:i/>
          <w:sz w:val="24"/>
          <w:szCs w:val="24"/>
        </w:rPr>
        <w:t xml:space="preserve"> </w:t>
      </w:r>
      <w:r w:rsidR="00FD119B" w:rsidRPr="00FD119B">
        <w:rPr>
          <w:b/>
          <w:i/>
          <w:sz w:val="24"/>
          <w:szCs w:val="24"/>
        </w:rPr>
        <w:br w:type="page"/>
      </w:r>
    </w:p>
    <w:p w14:paraId="46CB2A94" w14:textId="77777777" w:rsidR="008E7846" w:rsidRDefault="009F2673" w:rsidP="008E7846">
      <w:pPr>
        <w:pStyle w:val="Heading2"/>
      </w:pPr>
      <w:bookmarkStart w:id="6" w:name="_Toc122084908"/>
      <w:r>
        <w:lastRenderedPageBreak/>
        <w:t>Pr</w:t>
      </w:r>
      <w:r w:rsidR="008E7846">
        <w:t>oduct submission</w:t>
      </w:r>
      <w:bookmarkEnd w:id="6"/>
      <w:bookmarkEnd w:id="0"/>
      <w:bookmarkEnd w:id="2"/>
    </w:p>
    <w:p w14:paraId="13289416" w14:textId="77777777" w:rsidR="008E7846" w:rsidRDefault="008E7846" w:rsidP="009E5A87">
      <w:pPr>
        <w:pStyle w:val="Heading3"/>
        <w:rPr>
          <w:lang w:eastAsia="en-AU"/>
        </w:rPr>
      </w:pPr>
      <w:bookmarkStart w:id="7" w:name="_Toc247691502"/>
      <w:bookmarkStart w:id="8" w:name="_Toc314842483"/>
      <w:bookmarkStart w:id="9" w:name="_Toc122084909"/>
      <w:r>
        <w:rPr>
          <w:lang w:eastAsia="en-AU"/>
        </w:rPr>
        <w:t>Submission details</w:t>
      </w:r>
      <w:bookmarkEnd w:id="7"/>
      <w:bookmarkEnd w:id="8"/>
      <w:bookmarkEnd w:id="9"/>
    </w:p>
    <w:tbl>
      <w:tblPr>
        <w:tblW w:w="5000" w:type="pct"/>
        <w:tblLook w:val="01E0" w:firstRow="1" w:lastRow="1" w:firstColumn="1" w:lastColumn="1" w:noHBand="0" w:noVBand="0"/>
      </w:tblPr>
      <w:tblGrid>
        <w:gridCol w:w="2682"/>
        <w:gridCol w:w="5822"/>
      </w:tblGrid>
      <w:tr w:rsidR="009F2673" w:rsidRPr="003D1E62" w14:paraId="2F43662B" w14:textId="77777777" w:rsidTr="0017530B">
        <w:tc>
          <w:tcPr>
            <w:tcW w:w="1577" w:type="pct"/>
          </w:tcPr>
          <w:p w14:paraId="16C5D95A" w14:textId="77777777" w:rsidR="009F2673" w:rsidRPr="003D1E62" w:rsidRDefault="009F2673" w:rsidP="009E5A87">
            <w:pPr>
              <w:rPr>
                <w:i/>
              </w:rPr>
            </w:pPr>
            <w:r>
              <w:rPr>
                <w:i/>
              </w:rPr>
              <w:t>Type of s</w:t>
            </w:r>
            <w:r w:rsidRPr="003D1E62">
              <w:rPr>
                <w:i/>
              </w:rPr>
              <w:t>ubmission</w:t>
            </w:r>
            <w:r>
              <w:rPr>
                <w:i/>
              </w:rPr>
              <w:t>:</w:t>
            </w:r>
          </w:p>
        </w:tc>
        <w:tc>
          <w:tcPr>
            <w:tcW w:w="3423" w:type="pct"/>
          </w:tcPr>
          <w:p w14:paraId="3F2FFE81" w14:textId="53E4A52F" w:rsidR="009F2673" w:rsidRPr="003D1E62" w:rsidRDefault="009F2673" w:rsidP="009E5A87">
            <w:r w:rsidRPr="003D1E62">
              <w:t xml:space="preserve">New </w:t>
            </w:r>
            <w:r>
              <w:t>c</w:t>
            </w:r>
            <w:r w:rsidRPr="003D1E62">
              <w:t xml:space="preserve">hemical </w:t>
            </w:r>
            <w:r>
              <w:t>e</w:t>
            </w:r>
            <w:r w:rsidRPr="003D1E62">
              <w:t>ntity</w:t>
            </w:r>
          </w:p>
        </w:tc>
      </w:tr>
      <w:tr w:rsidR="009F2673" w:rsidRPr="003D1E62" w14:paraId="16325BC8" w14:textId="77777777" w:rsidTr="0017530B">
        <w:tc>
          <w:tcPr>
            <w:tcW w:w="1577" w:type="pct"/>
          </w:tcPr>
          <w:p w14:paraId="47B34827" w14:textId="19B19FF1" w:rsidR="009F2673" w:rsidRPr="003D1E62" w:rsidRDefault="009F2673" w:rsidP="009E5A87">
            <w:pPr>
              <w:rPr>
                <w:i/>
              </w:rPr>
            </w:pPr>
            <w:r w:rsidRPr="00460036">
              <w:rPr>
                <w:i/>
              </w:rPr>
              <w:t>Product name:</w:t>
            </w:r>
          </w:p>
        </w:tc>
        <w:tc>
          <w:tcPr>
            <w:tcW w:w="3423" w:type="pct"/>
          </w:tcPr>
          <w:p w14:paraId="43E3D36A" w14:textId="36F43899" w:rsidR="009F2673" w:rsidRPr="003D1E62" w:rsidRDefault="0017530B" w:rsidP="009E5A87">
            <w:proofErr w:type="spellStart"/>
            <w:r>
              <w:t>Vumerity</w:t>
            </w:r>
            <w:proofErr w:type="spellEnd"/>
          </w:p>
        </w:tc>
      </w:tr>
      <w:tr w:rsidR="009F2673" w:rsidRPr="003D1E62" w14:paraId="64060FDB" w14:textId="77777777" w:rsidTr="0017530B">
        <w:tc>
          <w:tcPr>
            <w:tcW w:w="1577" w:type="pct"/>
          </w:tcPr>
          <w:p w14:paraId="24F7CC11" w14:textId="517EB02F" w:rsidR="009F2673" w:rsidRPr="003D1E62" w:rsidRDefault="009F2673" w:rsidP="009E5A87">
            <w:pPr>
              <w:rPr>
                <w:i/>
              </w:rPr>
            </w:pPr>
            <w:r w:rsidRPr="00460036">
              <w:rPr>
                <w:i/>
              </w:rPr>
              <w:t>Active ingredient:</w:t>
            </w:r>
          </w:p>
        </w:tc>
        <w:tc>
          <w:tcPr>
            <w:tcW w:w="3423" w:type="pct"/>
          </w:tcPr>
          <w:p w14:paraId="515C7BCC" w14:textId="744E4C8A" w:rsidR="009F2673" w:rsidRPr="003D1E62" w:rsidRDefault="0017530B" w:rsidP="009E5A87">
            <w:r>
              <w:t>D</w:t>
            </w:r>
            <w:r w:rsidRPr="001F046D">
              <w:t>iroximel fumarate</w:t>
            </w:r>
          </w:p>
        </w:tc>
      </w:tr>
      <w:tr w:rsidR="009F2673" w:rsidRPr="003D1E62" w14:paraId="41843C56" w14:textId="77777777" w:rsidTr="0017530B">
        <w:tc>
          <w:tcPr>
            <w:tcW w:w="1577" w:type="pct"/>
          </w:tcPr>
          <w:p w14:paraId="579B4117" w14:textId="77777777" w:rsidR="009F2673" w:rsidRPr="009F2673" w:rsidRDefault="009F2673" w:rsidP="009E5A87">
            <w:pPr>
              <w:rPr>
                <w:i/>
              </w:rPr>
            </w:pPr>
            <w:r w:rsidRPr="003D1E62">
              <w:rPr>
                <w:i/>
              </w:rPr>
              <w:t>Decision</w:t>
            </w:r>
            <w:r w:rsidRPr="009F2673">
              <w:rPr>
                <w:i/>
              </w:rPr>
              <w:t>:</w:t>
            </w:r>
          </w:p>
        </w:tc>
        <w:tc>
          <w:tcPr>
            <w:tcW w:w="3423" w:type="pct"/>
          </w:tcPr>
          <w:p w14:paraId="7A1CE4D8" w14:textId="3DEE90B6" w:rsidR="009F2673" w:rsidRPr="003D1E62" w:rsidRDefault="009F2673" w:rsidP="009E5A87">
            <w:r w:rsidRPr="00460036">
              <w:t>Approved</w:t>
            </w:r>
          </w:p>
        </w:tc>
      </w:tr>
      <w:tr w:rsidR="009F2673" w:rsidRPr="003D1E62" w14:paraId="6291031D" w14:textId="77777777" w:rsidTr="0017530B">
        <w:tc>
          <w:tcPr>
            <w:tcW w:w="1577" w:type="pct"/>
          </w:tcPr>
          <w:p w14:paraId="090B917A" w14:textId="77777777" w:rsidR="009F2673" w:rsidRPr="003D1E62" w:rsidRDefault="009F2673" w:rsidP="009E5A87">
            <w:pPr>
              <w:rPr>
                <w:i/>
              </w:rPr>
            </w:pPr>
            <w:r w:rsidRPr="003D1E62">
              <w:rPr>
                <w:i/>
              </w:rPr>
              <w:t xml:space="preserve">Date of </w:t>
            </w:r>
            <w:r>
              <w:rPr>
                <w:i/>
              </w:rPr>
              <w:t>d</w:t>
            </w:r>
            <w:r w:rsidRPr="003D1E62">
              <w:rPr>
                <w:i/>
              </w:rPr>
              <w:t>ecision:</w:t>
            </w:r>
          </w:p>
        </w:tc>
        <w:tc>
          <w:tcPr>
            <w:tcW w:w="3423" w:type="pct"/>
          </w:tcPr>
          <w:p w14:paraId="1BD8ADD2" w14:textId="11701FD8" w:rsidR="009F2673" w:rsidRPr="003D1E62" w:rsidRDefault="0017530B" w:rsidP="009E5A87">
            <w:r>
              <w:t>18 March 2022</w:t>
            </w:r>
          </w:p>
        </w:tc>
      </w:tr>
      <w:tr w:rsidR="009F2673" w:rsidRPr="003D1E62" w14:paraId="63B88F0A" w14:textId="77777777" w:rsidTr="0017530B">
        <w:tc>
          <w:tcPr>
            <w:tcW w:w="1577" w:type="pct"/>
          </w:tcPr>
          <w:p w14:paraId="703167B8" w14:textId="77777777" w:rsidR="009F2673" w:rsidRPr="00441C3F" w:rsidRDefault="009F2673" w:rsidP="009E5A87">
            <w:pPr>
              <w:rPr>
                <w:i/>
              </w:rPr>
            </w:pPr>
            <w:r w:rsidRPr="00441C3F">
              <w:rPr>
                <w:i/>
              </w:rPr>
              <w:t>Date of entry onto ARTG</w:t>
            </w:r>
            <w:r>
              <w:rPr>
                <w:i/>
              </w:rPr>
              <w:t>:</w:t>
            </w:r>
          </w:p>
        </w:tc>
        <w:tc>
          <w:tcPr>
            <w:tcW w:w="3423" w:type="pct"/>
          </w:tcPr>
          <w:p w14:paraId="3264E52C" w14:textId="3AC16E08" w:rsidR="009F2673" w:rsidRPr="009F2673" w:rsidRDefault="0017530B" w:rsidP="009E5A87">
            <w:r>
              <w:t>21 March 2022</w:t>
            </w:r>
            <w:r w:rsidR="009F2673" w:rsidRPr="009F2673">
              <w:t xml:space="preserve"> </w:t>
            </w:r>
          </w:p>
        </w:tc>
      </w:tr>
      <w:tr w:rsidR="009F2673" w:rsidRPr="003D1E62" w14:paraId="39338C31" w14:textId="77777777" w:rsidTr="0017530B">
        <w:tc>
          <w:tcPr>
            <w:tcW w:w="1577" w:type="pct"/>
          </w:tcPr>
          <w:p w14:paraId="3A546C78" w14:textId="74F1E51B" w:rsidR="009F2673" w:rsidRPr="00441C3F" w:rsidRDefault="009F2673" w:rsidP="009E5A87">
            <w:pPr>
              <w:rPr>
                <w:i/>
              </w:rPr>
            </w:pPr>
            <w:r>
              <w:rPr>
                <w:i/>
              </w:rPr>
              <w:t>ARTG number:</w:t>
            </w:r>
          </w:p>
        </w:tc>
        <w:tc>
          <w:tcPr>
            <w:tcW w:w="3423" w:type="pct"/>
          </w:tcPr>
          <w:p w14:paraId="53D1F868" w14:textId="536AE3DB" w:rsidR="009F2673" w:rsidRPr="00441C3F" w:rsidRDefault="0017530B" w:rsidP="009E5A87">
            <w:r w:rsidRPr="003715DB">
              <w:t>354530</w:t>
            </w:r>
          </w:p>
        </w:tc>
      </w:tr>
      <w:tr w:rsidR="009F2673" w:rsidRPr="003D1E62" w14:paraId="1D994032" w14:textId="77777777" w:rsidTr="0017530B">
        <w:tc>
          <w:tcPr>
            <w:tcW w:w="1577" w:type="pct"/>
          </w:tcPr>
          <w:p w14:paraId="0996088C" w14:textId="69C0CAE5" w:rsidR="009F2673" w:rsidRDefault="001B1DA4" w:rsidP="009E5A87">
            <w:pPr>
              <w:rPr>
                <w:i/>
              </w:rPr>
            </w:pPr>
            <w:r>
              <w:rPr>
                <w:rFonts w:ascii="Wingdings 3" w:hAnsi="Wingdings 3"/>
                <w:sz w:val="34"/>
                <w:szCs w:val="34"/>
                <w:lang w:eastAsia="en-AU"/>
              </w:rPr>
              <w:t></w:t>
            </w:r>
            <w:hyperlink r:id="rId17" w:history="1">
              <w:r w:rsidR="009F2673" w:rsidRPr="009F2673">
                <w:rPr>
                  <w:rStyle w:val="Hyperlink"/>
                  <w:i/>
                </w:rPr>
                <w:t>Black Triangle Scheme</w:t>
              </w:r>
            </w:hyperlink>
            <w:r w:rsidR="009F2673">
              <w:rPr>
                <w:i/>
              </w:rPr>
              <w:t>:</w:t>
            </w:r>
          </w:p>
        </w:tc>
        <w:tc>
          <w:tcPr>
            <w:tcW w:w="3423" w:type="pct"/>
          </w:tcPr>
          <w:p w14:paraId="5BD2A70B" w14:textId="7425CBEF" w:rsidR="009F2673" w:rsidRDefault="009F2673" w:rsidP="009E5A87">
            <w:r>
              <w:t>Yes</w:t>
            </w:r>
          </w:p>
          <w:p w14:paraId="7719387E" w14:textId="5717D09F" w:rsidR="009F2673" w:rsidRPr="00487162" w:rsidRDefault="009F2673" w:rsidP="009E5A87">
            <w:r>
              <w:t xml:space="preserve">This product will remain in the scheme for 5 years, starting on the date the product is first supplied in </w:t>
            </w:r>
            <w:r w:rsidRPr="00D453FA">
              <w:t>Australia</w:t>
            </w:r>
          </w:p>
        </w:tc>
      </w:tr>
      <w:tr w:rsidR="009F2673" w:rsidRPr="003D1E62" w14:paraId="0ECF8219" w14:textId="77777777" w:rsidTr="0017530B">
        <w:tc>
          <w:tcPr>
            <w:tcW w:w="1577" w:type="pct"/>
          </w:tcPr>
          <w:p w14:paraId="1B4092E9"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4A04EBB8" w14:textId="77777777" w:rsidR="009F2673" w:rsidRDefault="0017530B" w:rsidP="009E5A87">
            <w:pPr>
              <w:rPr>
                <w:lang w:val="es-ES"/>
              </w:rPr>
            </w:pPr>
            <w:r w:rsidRPr="003715DB">
              <w:rPr>
                <w:lang w:val="es-ES"/>
              </w:rPr>
              <w:t xml:space="preserve">Biogen Australia </w:t>
            </w:r>
            <w:proofErr w:type="spellStart"/>
            <w:r w:rsidRPr="003715DB">
              <w:rPr>
                <w:lang w:val="es-ES"/>
              </w:rPr>
              <w:t>Pty</w:t>
            </w:r>
            <w:proofErr w:type="spellEnd"/>
            <w:r w:rsidRPr="003715DB">
              <w:rPr>
                <w:lang w:val="es-ES"/>
              </w:rPr>
              <w:t xml:space="preserve"> </w:t>
            </w:r>
            <w:proofErr w:type="spellStart"/>
            <w:r w:rsidRPr="003715DB">
              <w:rPr>
                <w:lang w:val="es-ES"/>
              </w:rPr>
              <w:t>Ltd</w:t>
            </w:r>
            <w:proofErr w:type="spellEnd"/>
          </w:p>
          <w:p w14:paraId="637E3C8F" w14:textId="77777777" w:rsidR="0017530B" w:rsidRPr="003715DB" w:rsidRDefault="0017530B" w:rsidP="0017530B">
            <w:pPr>
              <w:rPr>
                <w:lang w:val="es-ES"/>
              </w:rPr>
            </w:pPr>
            <w:proofErr w:type="spellStart"/>
            <w:r w:rsidRPr="003715DB">
              <w:rPr>
                <w:lang w:val="es-ES"/>
              </w:rPr>
              <w:t>Level</w:t>
            </w:r>
            <w:proofErr w:type="spellEnd"/>
            <w:r w:rsidRPr="003715DB">
              <w:rPr>
                <w:lang w:val="es-ES"/>
              </w:rPr>
              <w:t xml:space="preserve"> 4, 2 Banfield Road</w:t>
            </w:r>
          </w:p>
          <w:p w14:paraId="1750B8D5" w14:textId="7CE631AE" w:rsidR="0017530B" w:rsidRDefault="0017530B" w:rsidP="0017530B">
            <w:r w:rsidRPr="003715DB">
              <w:rPr>
                <w:lang w:val="es-ES"/>
              </w:rPr>
              <w:t>Macquarie Park, NSW 2113</w:t>
            </w:r>
          </w:p>
        </w:tc>
      </w:tr>
      <w:tr w:rsidR="009F2673" w:rsidRPr="003D1E62" w14:paraId="5E4DA44A" w14:textId="77777777" w:rsidTr="0017530B">
        <w:tc>
          <w:tcPr>
            <w:tcW w:w="1577" w:type="pct"/>
          </w:tcPr>
          <w:p w14:paraId="49BEADD5" w14:textId="1157165E" w:rsidR="009F2673" w:rsidRPr="00487162" w:rsidRDefault="009F2673" w:rsidP="009E5A87">
            <w:pPr>
              <w:rPr>
                <w:i/>
              </w:rPr>
            </w:pPr>
            <w:r>
              <w:rPr>
                <w:i/>
              </w:rPr>
              <w:t>Dose form:</w:t>
            </w:r>
          </w:p>
        </w:tc>
        <w:tc>
          <w:tcPr>
            <w:tcW w:w="3423" w:type="pct"/>
          </w:tcPr>
          <w:p w14:paraId="331F996C" w14:textId="2B055673" w:rsidR="009F2673" w:rsidRDefault="0017530B" w:rsidP="009E5A87">
            <w:r>
              <w:t>Capsule</w:t>
            </w:r>
            <w:r w:rsidR="00341DFD">
              <w:t xml:space="preserve"> (</w:t>
            </w:r>
            <w:r>
              <w:t>enteric</w:t>
            </w:r>
            <w:r w:rsidR="00341DFD">
              <w:t>/gastro-resistant)</w:t>
            </w:r>
          </w:p>
        </w:tc>
      </w:tr>
      <w:tr w:rsidR="009F2673" w:rsidRPr="003D1E62" w14:paraId="10972ACE" w14:textId="77777777" w:rsidTr="0017530B">
        <w:tc>
          <w:tcPr>
            <w:tcW w:w="1577" w:type="pct"/>
          </w:tcPr>
          <w:p w14:paraId="63A4A5D7" w14:textId="38159B66" w:rsidR="009F2673" w:rsidRPr="00487162" w:rsidRDefault="009F2673" w:rsidP="009E5A87">
            <w:pPr>
              <w:rPr>
                <w:i/>
              </w:rPr>
            </w:pPr>
            <w:r w:rsidRPr="00487162">
              <w:rPr>
                <w:i/>
              </w:rPr>
              <w:t>Strength:</w:t>
            </w:r>
          </w:p>
        </w:tc>
        <w:tc>
          <w:tcPr>
            <w:tcW w:w="3423" w:type="pct"/>
          </w:tcPr>
          <w:p w14:paraId="3E7B05B8" w14:textId="49791E8E" w:rsidR="009F2673" w:rsidRDefault="0017530B" w:rsidP="009E5A87">
            <w:r w:rsidRPr="003715DB">
              <w:t>231</w:t>
            </w:r>
            <w:r>
              <w:t> </w:t>
            </w:r>
            <w:r w:rsidRPr="003715DB">
              <w:t>mg</w:t>
            </w:r>
          </w:p>
        </w:tc>
      </w:tr>
      <w:tr w:rsidR="009F2673" w:rsidRPr="003D1E62" w14:paraId="1D7034EC" w14:textId="77777777" w:rsidTr="0017530B">
        <w:tc>
          <w:tcPr>
            <w:tcW w:w="1577" w:type="pct"/>
          </w:tcPr>
          <w:p w14:paraId="1251D4D7" w14:textId="751F5F36" w:rsidR="009F2673" w:rsidRPr="00487162" w:rsidRDefault="009F2673" w:rsidP="009E5A87">
            <w:pPr>
              <w:rPr>
                <w:i/>
              </w:rPr>
            </w:pPr>
            <w:r w:rsidRPr="00487162">
              <w:rPr>
                <w:i/>
              </w:rPr>
              <w:t>Container:</w:t>
            </w:r>
          </w:p>
        </w:tc>
        <w:tc>
          <w:tcPr>
            <w:tcW w:w="3423" w:type="pct"/>
          </w:tcPr>
          <w:p w14:paraId="685EF1D4" w14:textId="78730007" w:rsidR="009F2673" w:rsidRDefault="0017530B" w:rsidP="009E5A87">
            <w:r>
              <w:t>Bottle</w:t>
            </w:r>
          </w:p>
        </w:tc>
      </w:tr>
      <w:tr w:rsidR="009F2673" w:rsidRPr="003D1E62" w14:paraId="04341791" w14:textId="77777777" w:rsidTr="0017530B">
        <w:tc>
          <w:tcPr>
            <w:tcW w:w="1577" w:type="pct"/>
          </w:tcPr>
          <w:p w14:paraId="74AB1294" w14:textId="20B23D80" w:rsidR="009F2673" w:rsidRPr="00487162" w:rsidRDefault="009F2673" w:rsidP="009E5A87">
            <w:pPr>
              <w:rPr>
                <w:i/>
              </w:rPr>
            </w:pPr>
            <w:r w:rsidRPr="00487162">
              <w:rPr>
                <w:i/>
              </w:rPr>
              <w:t>Pack size:</w:t>
            </w:r>
          </w:p>
        </w:tc>
        <w:tc>
          <w:tcPr>
            <w:tcW w:w="3423" w:type="pct"/>
          </w:tcPr>
          <w:p w14:paraId="61F4B797" w14:textId="498DDF01" w:rsidR="009F2673" w:rsidRDefault="0017530B" w:rsidP="009E5A87">
            <w:r>
              <w:t>120</w:t>
            </w:r>
            <w:r w:rsidR="00341DFD">
              <w:t xml:space="preserve"> capsules</w:t>
            </w:r>
          </w:p>
        </w:tc>
      </w:tr>
      <w:tr w:rsidR="009F2673" w:rsidRPr="003D1E62" w14:paraId="2F97B3BA" w14:textId="77777777" w:rsidTr="0017530B">
        <w:tc>
          <w:tcPr>
            <w:tcW w:w="1577" w:type="pct"/>
          </w:tcPr>
          <w:p w14:paraId="5D78C4E1"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23" w:type="pct"/>
          </w:tcPr>
          <w:p w14:paraId="7D25D635" w14:textId="520CFBF9" w:rsidR="009F2673" w:rsidRPr="0017530B" w:rsidRDefault="0017530B" w:rsidP="009E5A87">
            <w:pPr>
              <w:rPr>
                <w:i/>
                <w:iCs/>
              </w:rPr>
            </w:pPr>
            <w:proofErr w:type="spellStart"/>
            <w:r w:rsidRPr="0017530B">
              <w:rPr>
                <w:i/>
                <w:iCs/>
              </w:rPr>
              <w:t>Vumerity</w:t>
            </w:r>
            <w:proofErr w:type="spellEnd"/>
            <w:r w:rsidRPr="0017530B">
              <w:rPr>
                <w:i/>
                <w:iCs/>
              </w:rPr>
              <w:t xml:space="preserve"> is indicated in patients with relapsing multiple sclerosis to reduce the frequency of relapses and to delay the progression of disability.</w:t>
            </w:r>
          </w:p>
        </w:tc>
      </w:tr>
      <w:tr w:rsidR="009F2673" w:rsidRPr="003D1E62" w14:paraId="1AA3EC72" w14:textId="77777777" w:rsidTr="0017530B">
        <w:tc>
          <w:tcPr>
            <w:tcW w:w="1577" w:type="pct"/>
          </w:tcPr>
          <w:p w14:paraId="69D6C5CD" w14:textId="00A1B40B" w:rsidR="009F2673" w:rsidRPr="00487162" w:rsidRDefault="009F2673" w:rsidP="009E5A87">
            <w:pPr>
              <w:rPr>
                <w:i/>
              </w:rPr>
            </w:pPr>
            <w:r w:rsidRPr="00487162">
              <w:rPr>
                <w:i/>
              </w:rPr>
              <w:t>Route of administration:</w:t>
            </w:r>
          </w:p>
        </w:tc>
        <w:tc>
          <w:tcPr>
            <w:tcW w:w="3423" w:type="pct"/>
          </w:tcPr>
          <w:p w14:paraId="6F6F4481" w14:textId="4A4B8074" w:rsidR="009F2673" w:rsidRPr="00487162" w:rsidRDefault="0017530B" w:rsidP="009E5A87">
            <w:r>
              <w:t>Oral</w:t>
            </w:r>
          </w:p>
        </w:tc>
      </w:tr>
      <w:tr w:rsidR="009F2673" w:rsidRPr="003D1E62" w14:paraId="41D07DD3" w14:textId="77777777" w:rsidTr="0017530B">
        <w:tc>
          <w:tcPr>
            <w:tcW w:w="1577" w:type="pct"/>
          </w:tcPr>
          <w:p w14:paraId="1DB29454" w14:textId="77777777" w:rsidR="009F2673" w:rsidRPr="00487162" w:rsidRDefault="009F2673" w:rsidP="009E5A87">
            <w:pPr>
              <w:rPr>
                <w:i/>
              </w:rPr>
            </w:pPr>
            <w:r w:rsidRPr="00487162">
              <w:rPr>
                <w:i/>
              </w:rPr>
              <w:t>Dosage:</w:t>
            </w:r>
          </w:p>
        </w:tc>
        <w:tc>
          <w:tcPr>
            <w:tcW w:w="3423" w:type="pct"/>
          </w:tcPr>
          <w:p w14:paraId="4EFF4B9B" w14:textId="315D7237" w:rsidR="00FE638A" w:rsidRDefault="00A35851" w:rsidP="009E5A87">
            <w:r>
              <w:t>The maximum daily dose is 924 mg (total of four 231 mg capsules/day), administered as two capsules (462 mg) taken twice a day.</w:t>
            </w:r>
          </w:p>
          <w:p w14:paraId="1B85275E" w14:textId="658C424C" w:rsidR="00FE638A" w:rsidRDefault="00FE638A" w:rsidP="00FE638A">
            <w:r>
              <w:t>Treatment should be started gradually to reduce the occurrence of flushing and gastroint</w:t>
            </w:r>
            <w:r w:rsidR="00A35851">
              <w:t>estinal adverse reactions (see S</w:t>
            </w:r>
            <w:r>
              <w:t xml:space="preserve">ection 4.2 </w:t>
            </w:r>
            <w:r w:rsidRPr="005670AE">
              <w:rPr>
                <w:i/>
              </w:rPr>
              <w:t>Dose and method of administration</w:t>
            </w:r>
            <w:r w:rsidR="00A35851">
              <w:t xml:space="preserve"> of the Product Information</w:t>
            </w:r>
            <w:r>
              <w:t>).</w:t>
            </w:r>
          </w:p>
          <w:p w14:paraId="01C3805F" w14:textId="77777777" w:rsidR="00A35851" w:rsidRDefault="0017530B" w:rsidP="009E5A87">
            <w:r w:rsidRPr="00F62D8F">
              <w:t xml:space="preserve">The starting dose for </w:t>
            </w:r>
            <w:proofErr w:type="spellStart"/>
            <w:r w:rsidRPr="00F62D8F">
              <w:t>V</w:t>
            </w:r>
            <w:r>
              <w:t>umerity</w:t>
            </w:r>
            <w:proofErr w:type="spellEnd"/>
            <w:r w:rsidRPr="00F62D8F">
              <w:t xml:space="preserve"> is 231</w:t>
            </w:r>
            <w:r>
              <w:t> </w:t>
            </w:r>
            <w:r w:rsidRPr="00F62D8F">
              <w:t>mg twice a day orally. After 7 days, the dose should be increased to the maintenance dose of 462</w:t>
            </w:r>
            <w:r>
              <w:t> </w:t>
            </w:r>
            <w:r w:rsidRPr="00F62D8F">
              <w:t>mg (administered as two 231</w:t>
            </w:r>
            <w:r>
              <w:t> </w:t>
            </w:r>
            <w:r w:rsidRPr="00F62D8F">
              <w:t>mg capsules) twice a day orally.</w:t>
            </w:r>
          </w:p>
          <w:p w14:paraId="3B25231E" w14:textId="06D24BAE" w:rsidR="00A35851" w:rsidRDefault="0017530B" w:rsidP="009E5A87">
            <w:r w:rsidRPr="00F62D8F">
              <w:lastRenderedPageBreak/>
              <w:t>Temporary dose reductions to 231</w:t>
            </w:r>
            <w:r>
              <w:t> </w:t>
            </w:r>
            <w:r w:rsidRPr="00F62D8F">
              <w:t>mg twice a day may be considered for individuals who do not tolerate the maintenance dose.</w:t>
            </w:r>
          </w:p>
          <w:p w14:paraId="2509CC58" w14:textId="4CADF3C7" w:rsidR="00FE638A" w:rsidRDefault="0017530B" w:rsidP="009E5A87">
            <w:r w:rsidRPr="00F62D8F">
              <w:t>Within 4 weeks, the recommended dose of 462</w:t>
            </w:r>
            <w:r>
              <w:t> </w:t>
            </w:r>
            <w:r w:rsidRPr="00F62D8F">
              <w:t xml:space="preserve">mg twice a day should be resumed. Discontinuation of </w:t>
            </w:r>
            <w:proofErr w:type="spellStart"/>
            <w:r w:rsidRPr="00F62D8F">
              <w:t>V</w:t>
            </w:r>
            <w:r>
              <w:t>umerity</w:t>
            </w:r>
            <w:proofErr w:type="spellEnd"/>
            <w:r w:rsidRPr="00F62D8F">
              <w:t xml:space="preserve"> should be considered for patients unable to tolerate return to the maintenance dose.</w:t>
            </w:r>
          </w:p>
          <w:p w14:paraId="055DE863" w14:textId="74135752" w:rsidR="00341DFD" w:rsidRDefault="00341DFD" w:rsidP="009E5A87">
            <w:proofErr w:type="spellStart"/>
            <w:r>
              <w:t>Vumerity</w:t>
            </w:r>
            <w:proofErr w:type="spellEnd"/>
            <w:r>
              <w:t xml:space="preserve"> should be swallowed whole and intact. </w:t>
            </w:r>
            <w:proofErr w:type="spellStart"/>
            <w:r>
              <w:t>Vumerity</w:t>
            </w:r>
            <w:proofErr w:type="spellEnd"/>
            <w:r>
              <w:t xml:space="preserve"> should not be crushed or </w:t>
            </w:r>
            <w:proofErr w:type="gramStart"/>
            <w:r>
              <w:t>chewed</w:t>
            </w:r>
            <w:proofErr w:type="gramEnd"/>
            <w:r>
              <w:t xml:space="preserve"> and the capsule contents should not be sprinkled on food.</w:t>
            </w:r>
          </w:p>
          <w:p w14:paraId="4CDE647B" w14:textId="77777777" w:rsidR="00FE638A" w:rsidRDefault="00FE638A" w:rsidP="009E5A87">
            <w:proofErr w:type="spellStart"/>
            <w:r>
              <w:t>Vumerity</w:t>
            </w:r>
            <w:proofErr w:type="spellEnd"/>
            <w:r>
              <w:t xml:space="preserve"> </w:t>
            </w:r>
            <w:r w:rsidR="00341DFD">
              <w:t xml:space="preserve">can </w:t>
            </w:r>
            <w:r>
              <w:t xml:space="preserve">however </w:t>
            </w:r>
            <w:r w:rsidR="00341DFD">
              <w:t>be taken with or without food</w:t>
            </w:r>
            <w:r>
              <w:t xml:space="preserve"> (that is, shortly before, during or after a meal).</w:t>
            </w:r>
          </w:p>
          <w:p w14:paraId="7592E2E5" w14:textId="77777777" w:rsidR="00FE638A" w:rsidRDefault="00341DFD" w:rsidP="009E5A87">
            <w:r>
              <w:t>If a patient misses a dose, a double dose should not be taken. The patient may take the missed dose only if they leave 4 hours between doses. Otherwise, the patient should wait</w:t>
            </w:r>
            <w:r w:rsidR="00FE638A">
              <w:t xml:space="preserve"> until the next scheduled dose.</w:t>
            </w:r>
          </w:p>
          <w:p w14:paraId="09DFFEA6" w14:textId="0CC1C661" w:rsidR="00341DFD" w:rsidRDefault="00341DFD" w:rsidP="009E5A87">
            <w:r>
              <w:t xml:space="preserve">Administration of 325 mg non-enteric coated aspirin prior to </w:t>
            </w:r>
            <w:proofErr w:type="spellStart"/>
            <w:r w:rsidR="00FE638A">
              <w:t>Vumerity</w:t>
            </w:r>
            <w:proofErr w:type="spellEnd"/>
            <w:r w:rsidR="00FE638A">
              <w:t xml:space="preserve"> </w:t>
            </w:r>
            <w:r>
              <w:t xml:space="preserve">dosing may reduce the occurrence and severity of flushing (See Section 4.5 </w:t>
            </w:r>
            <w:r w:rsidRPr="005670AE">
              <w:rPr>
                <w:i/>
              </w:rPr>
              <w:t>Interactions with other medicines and other forms of interactions</w:t>
            </w:r>
            <w:r w:rsidR="00FE638A">
              <w:t xml:space="preserve"> of the Product Information for information</w:t>
            </w:r>
            <w:r>
              <w:t>).</w:t>
            </w:r>
          </w:p>
          <w:p w14:paraId="00E438CE" w14:textId="7DE04DB6" w:rsidR="00FE638A" w:rsidRDefault="00FE638A" w:rsidP="00FE638A">
            <w:proofErr w:type="spellStart"/>
            <w:r>
              <w:t>Vumerity</w:t>
            </w:r>
            <w:proofErr w:type="spellEnd"/>
            <w:r>
              <w:t xml:space="preserve"> is metabolised to monomethyl fumarate upon oral administration (see Section 4.2 Dose and method of administration of the Product Information). The risks associated with </w:t>
            </w:r>
            <w:proofErr w:type="spellStart"/>
            <w:r>
              <w:t>Vumerity</w:t>
            </w:r>
            <w:proofErr w:type="spellEnd"/>
            <w:r>
              <w:t xml:space="preserve"> are expected to be </w:t>
            </w:r>
            <w:proofErr w:type="gramStart"/>
            <w:r>
              <w:t>similar to</w:t>
            </w:r>
            <w:proofErr w:type="gramEnd"/>
            <w:r>
              <w:t xml:space="preserve"> those reported for dimethyl fumarate, even though not all the risks listed below have been observed specifically with </w:t>
            </w:r>
            <w:proofErr w:type="spellStart"/>
            <w:r>
              <w:t>Vumerity</w:t>
            </w:r>
            <w:proofErr w:type="spellEnd"/>
            <w:r>
              <w:t xml:space="preserve">. Dimethyl fumarate or fumaric acid derivatives should not be used concomitantly with </w:t>
            </w:r>
            <w:proofErr w:type="spellStart"/>
            <w:r>
              <w:t>Vumerity</w:t>
            </w:r>
            <w:proofErr w:type="spellEnd"/>
            <w:r>
              <w:t>.</w:t>
            </w:r>
          </w:p>
          <w:p w14:paraId="2E1A32F6" w14:textId="77777777" w:rsidR="00FE638A" w:rsidRDefault="00FE638A" w:rsidP="00FE638A">
            <w:proofErr w:type="spellStart"/>
            <w:r>
              <w:t>Vumerity</w:t>
            </w:r>
            <w:proofErr w:type="spellEnd"/>
            <w:r>
              <w:t xml:space="preserve"> is contraindicated in patients with known hypersensitivity to diroximel fumarate, any excipients in this product, or other fumaric acid derivatives.</w:t>
            </w:r>
          </w:p>
          <w:p w14:paraId="48FE1639" w14:textId="591C4C45" w:rsidR="00FE638A" w:rsidRDefault="00FE638A" w:rsidP="00FE638A">
            <w:proofErr w:type="spellStart"/>
            <w:r>
              <w:t>Vumerity</w:t>
            </w:r>
            <w:proofErr w:type="spellEnd"/>
            <w:r>
              <w:t xml:space="preserve"> is contraindicated in patients with suspected or confirmed progressive multifocal leukoencephalopathy (PML).</w:t>
            </w:r>
          </w:p>
          <w:p w14:paraId="49E06D5E" w14:textId="77777777" w:rsidR="009F2673" w:rsidRPr="00487162" w:rsidRDefault="009F2673" w:rsidP="009E5A87">
            <w:r w:rsidRPr="00460036">
              <w:t>For further information regarding dosage, refer to the Product Information.</w:t>
            </w:r>
          </w:p>
        </w:tc>
      </w:tr>
      <w:tr w:rsidR="009F2673" w:rsidRPr="003D1E62" w14:paraId="70FE27D1" w14:textId="77777777" w:rsidTr="0017530B">
        <w:tc>
          <w:tcPr>
            <w:tcW w:w="1577" w:type="pct"/>
          </w:tcPr>
          <w:p w14:paraId="7677D6D9" w14:textId="77777777" w:rsidR="009F2673" w:rsidRPr="00487162" w:rsidRDefault="009F2673" w:rsidP="009E5A87">
            <w:pPr>
              <w:rPr>
                <w:i/>
              </w:rPr>
            </w:pPr>
            <w:r w:rsidRPr="00460036">
              <w:rPr>
                <w:i/>
              </w:rPr>
              <w:lastRenderedPageBreak/>
              <w:t>Pregnancy category</w:t>
            </w:r>
            <w:r>
              <w:rPr>
                <w:i/>
              </w:rPr>
              <w:t>:</w:t>
            </w:r>
          </w:p>
        </w:tc>
        <w:tc>
          <w:tcPr>
            <w:tcW w:w="3423" w:type="pct"/>
          </w:tcPr>
          <w:p w14:paraId="09F4551F" w14:textId="77777777" w:rsidR="0017530B" w:rsidRDefault="0017530B" w:rsidP="0017530B">
            <w:r>
              <w:t>B3</w:t>
            </w:r>
          </w:p>
          <w:p w14:paraId="7D723F6E" w14:textId="77777777" w:rsidR="0017530B" w:rsidRPr="0046410D" w:rsidRDefault="0017530B" w:rsidP="0017530B">
            <w:r w:rsidRPr="0046410D">
              <w:t xml:space="preserve">Drugs which have been taken by only a limited number of pregnant women and women of childbearing age, without an increase in the frequency of malformation or other direct or indirect harmful effects on the human </w:t>
            </w:r>
            <w:proofErr w:type="spellStart"/>
            <w:r w:rsidRPr="0046410D">
              <w:t>fetus</w:t>
            </w:r>
            <w:proofErr w:type="spellEnd"/>
            <w:r w:rsidRPr="0046410D">
              <w:t xml:space="preserve"> having been observed.</w:t>
            </w:r>
          </w:p>
          <w:p w14:paraId="22F84F81" w14:textId="77777777" w:rsidR="0017530B" w:rsidRPr="0046410D" w:rsidRDefault="0017530B" w:rsidP="0017530B">
            <w:r w:rsidRPr="0046410D">
              <w:t>Studies in animals have shown evidence of an increased occurrence of fetal damage, the significance of which is considered uncertain in humans.</w:t>
            </w:r>
          </w:p>
          <w:p w14:paraId="1B218BD5" w14:textId="7A5780C7" w:rsidR="009F2673" w:rsidRPr="00487162" w:rsidRDefault="009F2673" w:rsidP="009E5A87">
            <w:r>
              <w:t xml:space="preserve">The use of any medicine during pregnancy requires careful consideration of both risks and benefits by the treating </w:t>
            </w:r>
            <w:r>
              <w:lastRenderedPageBreak/>
              <w:t>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614A7B07" w14:textId="77777777" w:rsidR="008E7846" w:rsidRDefault="008E7846" w:rsidP="008E7846">
      <w:pPr>
        <w:pStyle w:val="Heading3"/>
      </w:pPr>
      <w:bookmarkStart w:id="10" w:name="_Toc247691503"/>
      <w:bookmarkStart w:id="11" w:name="_Toc314842484"/>
      <w:bookmarkStart w:id="12" w:name="_Toc122084910"/>
      <w:r>
        <w:lastRenderedPageBreak/>
        <w:t>Product background</w:t>
      </w:r>
      <w:bookmarkEnd w:id="10"/>
      <w:bookmarkEnd w:id="11"/>
      <w:bookmarkEnd w:id="12"/>
    </w:p>
    <w:p w14:paraId="015EB05C" w14:textId="56C2FA85" w:rsidR="009F2673" w:rsidRDefault="009F2673" w:rsidP="009F2673">
      <w:r w:rsidRPr="000A4A42">
        <w:t xml:space="preserve">This AusPAR describes the </w:t>
      </w:r>
      <w:r w:rsidR="001E359E">
        <w:t>submission</w:t>
      </w:r>
      <w:r w:rsidRPr="000A4A42">
        <w:t xml:space="preserve"> by</w:t>
      </w:r>
      <w:r w:rsidR="00685351" w:rsidRPr="00685351">
        <w:t xml:space="preserve"> Biogen Australia Pty Ltd</w:t>
      </w:r>
      <w:r w:rsidRPr="000A4A42">
        <w:t xml:space="preserve"> (the sponsor) to register </w:t>
      </w:r>
      <w:proofErr w:type="spellStart"/>
      <w:r w:rsidR="00685351" w:rsidRPr="00685351">
        <w:t>V</w:t>
      </w:r>
      <w:r w:rsidR="00D67064">
        <w:t>umerity</w:t>
      </w:r>
      <w:proofErr w:type="spellEnd"/>
      <w:r w:rsidR="00685351" w:rsidRPr="00685351">
        <w:t xml:space="preserve"> (diroximel fumarate)</w:t>
      </w:r>
      <w:r w:rsidR="00685351">
        <w:t>,</w:t>
      </w:r>
      <w:r w:rsidR="00014387">
        <w:t xml:space="preserve"> </w:t>
      </w:r>
      <w:r w:rsidR="00685351" w:rsidRPr="00685351">
        <w:t>231 mg modified release capsules</w:t>
      </w:r>
      <w:r w:rsidR="00D67064">
        <w:t>,</w:t>
      </w:r>
      <w:r w:rsidR="00685351" w:rsidRPr="00685351">
        <w:t xml:space="preserve"> bottle</w:t>
      </w:r>
      <w:r w:rsidR="00D67064">
        <w:t xml:space="preserve">, </w:t>
      </w:r>
      <w:r w:rsidRPr="000A4A42">
        <w:t>for the following proposed indication:</w:t>
      </w:r>
    </w:p>
    <w:p w14:paraId="5F988396" w14:textId="164BCC31" w:rsidR="00D67064" w:rsidRPr="00D67064" w:rsidRDefault="00D67064" w:rsidP="00D67064">
      <w:pPr>
        <w:ind w:left="720"/>
        <w:rPr>
          <w:i/>
          <w:iCs/>
        </w:rPr>
      </w:pPr>
      <w:r w:rsidRPr="00D67064">
        <w:rPr>
          <w:i/>
          <w:iCs/>
        </w:rPr>
        <w:t xml:space="preserve">For the treatment of patients with relapsing </w:t>
      </w:r>
      <w:r w:rsidRPr="0017530B">
        <w:rPr>
          <w:i/>
          <w:iCs/>
        </w:rPr>
        <w:t>multiple sclerosis</w:t>
      </w:r>
      <w:r w:rsidRPr="00D67064">
        <w:rPr>
          <w:i/>
          <w:iCs/>
        </w:rPr>
        <w:t xml:space="preserve"> to reduce the frequency of relapses and to delay the progression of disability</w:t>
      </w:r>
      <w:r>
        <w:rPr>
          <w:i/>
          <w:iCs/>
        </w:rPr>
        <w:t>.</w:t>
      </w:r>
    </w:p>
    <w:p w14:paraId="7F3197EE" w14:textId="486E0185" w:rsidR="00D67064" w:rsidRDefault="00D67064" w:rsidP="00D67064">
      <w:bookmarkStart w:id="13" w:name="_Toc314842485"/>
      <w:bookmarkStart w:id="14" w:name="_Toc247691504"/>
      <w:r>
        <w:t>Multiple sclerosis (MS) is an immune mediated inflammatory demyelinating disease of the central nervous system.</w:t>
      </w:r>
      <w:r>
        <w:rPr>
          <w:rStyle w:val="FootnoteReference"/>
        </w:rPr>
        <w:footnoteReference w:id="2"/>
      </w:r>
      <w:r>
        <w:t xml:space="preserve"> </w:t>
      </w:r>
      <w:r w:rsidR="00A35851">
        <w:t xml:space="preserve">Multiple sclerosis </w:t>
      </w:r>
      <w:r>
        <w:t>is considered as a leading cause of disability in young adults.</w:t>
      </w:r>
      <w:r>
        <w:rPr>
          <w:rStyle w:val="FootnoteReference"/>
        </w:rPr>
        <w:footnoteReference w:id="3"/>
      </w:r>
      <w:r>
        <w:t xml:space="preserve"> The pathophysiology of MS </w:t>
      </w:r>
      <w:proofErr w:type="gramStart"/>
      <w:r>
        <w:t>is considered to be</w:t>
      </w:r>
      <w:proofErr w:type="gramEnd"/>
      <w:r>
        <w:t xml:space="preserve"> driven by the activated immune cells that invade the central nervous system (CNS), causing inflammation, demyelination, axonal loss and gliosis.</w:t>
      </w:r>
      <w:bookmarkStart w:id="15" w:name="_Ref120714120"/>
      <w:r>
        <w:rPr>
          <w:rStyle w:val="FootnoteReference"/>
        </w:rPr>
        <w:footnoteReference w:id="4"/>
      </w:r>
      <w:bookmarkEnd w:id="15"/>
    </w:p>
    <w:p w14:paraId="2C9E7F39" w14:textId="3F3D1831" w:rsidR="00D67064" w:rsidRDefault="00D67064" w:rsidP="00D67064">
      <w:r>
        <w:t>Multiple sclerosis is the most common disabling neurological disease of young adults, with initial symptoms manifesting in approximately 70% of patients between the age of 20 and 40 years. The disease is more common in women than men. The prevalence appears to be generally increased with geographic latitude.</w:t>
      </w:r>
      <w:r>
        <w:fldChar w:fldCharType="begin"/>
      </w:r>
      <w:r>
        <w:instrText xml:space="preserve"> NOTEREF _Ref120714120 \f \h </w:instrText>
      </w:r>
      <w:r>
        <w:fldChar w:fldCharType="separate"/>
      </w:r>
      <w:r w:rsidR="00FE3E0A" w:rsidRPr="00FE3E0A">
        <w:rPr>
          <w:rStyle w:val="FootnoteReference"/>
        </w:rPr>
        <w:t>3</w:t>
      </w:r>
      <w:r>
        <w:fldChar w:fldCharType="end"/>
      </w:r>
      <w:r>
        <w:t xml:space="preserve"> </w:t>
      </w:r>
      <w:r w:rsidR="00A35851">
        <w:t xml:space="preserve">Multiple sclerosis </w:t>
      </w:r>
      <w:r>
        <w:t>is a significant cause of neurological disease burden, affecting approximately 2.3 million individuals worldwide, with a median global MS prevalence of 33 individuals per 100,000. In 2017, prevalence of MS in Australia was estimated at 95.5 per 100,000. Currently, it is estimated that around 25,600 Australians are living with MS.</w:t>
      </w:r>
      <w:r>
        <w:rPr>
          <w:rStyle w:val="FootnoteReference"/>
        </w:rPr>
        <w:footnoteReference w:id="5"/>
      </w:r>
    </w:p>
    <w:p w14:paraId="72D9030D" w14:textId="59813184" w:rsidR="00D67064" w:rsidRDefault="00D67064" w:rsidP="00D67064">
      <w:r>
        <w:t xml:space="preserve">Multiple sclerosis may manifest in relapsing and progressive forms. Most patients </w:t>
      </w:r>
      <w:r w:rsidR="00A35851">
        <w:t xml:space="preserve">with MS </w:t>
      </w:r>
      <w:r>
        <w:t>(85%) initially present with the relapsing remitting form of the disease (</w:t>
      </w:r>
      <w:r w:rsidR="00A35851">
        <w:t xml:space="preserve">relapse-remitting multiple sclerosis; </w:t>
      </w:r>
      <w:r>
        <w:t>RRMS), with relapses caused by focal demyelinating lesions, or ‘plaques,’ disseminated in time and space in the CNS. It is characterised by alternating exacerbations of neurological dysfunction followed by periods of remission with partial or total recovery and clinical stability, which can last for months or years</w:t>
      </w:r>
      <w:r w:rsidR="00A35851">
        <w:t>.</w:t>
      </w:r>
      <w:r>
        <w:t xml:space="preserve"> Without treatment, patients </w:t>
      </w:r>
      <w:r w:rsidR="00A35851">
        <w:t xml:space="preserve">with RRMS </w:t>
      </w:r>
      <w:r>
        <w:t xml:space="preserve">can experience frequent relapses with accumulating disability, evolving to the more severe secondary progressive </w:t>
      </w:r>
      <w:r w:rsidR="00A35851">
        <w:t>multiple sclerosis (SP</w:t>
      </w:r>
      <w:r>
        <w:t>MS</w:t>
      </w:r>
      <w:r w:rsidR="00A35851">
        <w:t>)</w:t>
      </w:r>
      <w:r>
        <w:t>.</w:t>
      </w:r>
      <w:r>
        <w:rPr>
          <w:rStyle w:val="FootnoteReference"/>
        </w:rPr>
        <w:footnoteReference w:id="6"/>
      </w:r>
      <w:r>
        <w:t xml:space="preserve"> Approximately 10% to 15% of patients </w:t>
      </w:r>
      <w:r w:rsidR="00A35851">
        <w:t xml:space="preserve">with MS </w:t>
      </w:r>
      <w:r>
        <w:t xml:space="preserve">present with an insidious progressive course from onset that is termed as primary progressive </w:t>
      </w:r>
      <w:r w:rsidR="00A35851">
        <w:t>multiple sclerosis (PPMS</w:t>
      </w:r>
      <w:proofErr w:type="gramStart"/>
      <w:r w:rsidR="00A35851">
        <w:t xml:space="preserve">) </w:t>
      </w:r>
      <w:r>
        <w:t>.</w:t>
      </w:r>
      <w:proofErr w:type="gramEnd"/>
      <w:r>
        <w:t xml:space="preserve"> Physical disability typically manifests within 15 to 20 years after presentation with MS.</w:t>
      </w:r>
    </w:p>
    <w:p w14:paraId="7B659B55" w14:textId="77777777" w:rsidR="00D67064" w:rsidRDefault="00D67064" w:rsidP="00D67064">
      <w:pPr>
        <w:pStyle w:val="Heading4"/>
      </w:pPr>
      <w:r>
        <w:lastRenderedPageBreak/>
        <w:t>Current treatment options</w:t>
      </w:r>
    </w:p>
    <w:p w14:paraId="040516F3" w14:textId="4C558439" w:rsidR="00D67064" w:rsidRDefault="00D67064" w:rsidP="00D67064">
      <w:r>
        <w:t xml:space="preserve">There is no curative treatment for </w:t>
      </w:r>
      <w:r w:rsidR="00A35851">
        <w:t xml:space="preserve">multiple </w:t>
      </w:r>
      <w:proofErr w:type="gramStart"/>
      <w:r w:rsidR="00A35851">
        <w:t xml:space="preserve">sclerosis </w:t>
      </w:r>
      <w:r>
        <w:t>.</w:t>
      </w:r>
      <w:bookmarkStart w:id="16" w:name="_Ref120714310"/>
      <w:proofErr w:type="gramEnd"/>
      <w:r>
        <w:rPr>
          <w:rStyle w:val="FootnoteReference"/>
        </w:rPr>
        <w:footnoteReference w:id="7"/>
      </w:r>
      <w:bookmarkEnd w:id="16"/>
      <w:r w:rsidRPr="00D67064">
        <w:rPr>
          <w:vertAlign w:val="superscript"/>
        </w:rPr>
        <w:t>,</w:t>
      </w:r>
      <w:bookmarkStart w:id="17" w:name="_Ref120714313"/>
      <w:r>
        <w:rPr>
          <w:rStyle w:val="FootnoteReference"/>
        </w:rPr>
        <w:footnoteReference w:id="8"/>
      </w:r>
      <w:bookmarkEnd w:id="17"/>
    </w:p>
    <w:p w14:paraId="524E208C" w14:textId="77777777" w:rsidR="00D67064" w:rsidRDefault="00D67064" w:rsidP="00D67064">
      <w:r>
        <w:t>Current therapies for MS generally fall within the following categories:</w:t>
      </w:r>
    </w:p>
    <w:p w14:paraId="1A438483" w14:textId="309F8994" w:rsidR="00D67064" w:rsidRDefault="00D67064" w:rsidP="00D67064">
      <w:pPr>
        <w:pStyle w:val="ListBullet"/>
      </w:pPr>
      <w:r>
        <w:t>treatment for acute relapses</w:t>
      </w:r>
    </w:p>
    <w:p w14:paraId="2B3F4D6A" w14:textId="3378E2BD" w:rsidR="00D67064" w:rsidRDefault="00D67064" w:rsidP="00D67064">
      <w:pPr>
        <w:pStyle w:val="ListBullet"/>
      </w:pPr>
      <w:r>
        <w:t>symptomatic therapies; and</w:t>
      </w:r>
    </w:p>
    <w:p w14:paraId="36899B59" w14:textId="3663E1A3" w:rsidR="00D67064" w:rsidRDefault="00D67064" w:rsidP="00D67064">
      <w:pPr>
        <w:pStyle w:val="ListBullet"/>
      </w:pPr>
      <w:r>
        <w:t>disease modifying therapies.</w:t>
      </w:r>
    </w:p>
    <w:p w14:paraId="581975E1" w14:textId="75B432EC" w:rsidR="00D67064" w:rsidRDefault="00D67064" w:rsidP="00D67064">
      <w:r>
        <w:t>Available therapies generally aim to modify the evolution of the disease, alleviate the symptoms, control episodes of neuroinflammation and reduce accumulation of disability over time.</w:t>
      </w:r>
      <w:bookmarkStart w:id="18" w:name="_Ref120714314"/>
      <w:r>
        <w:rPr>
          <w:rStyle w:val="FootnoteReference"/>
        </w:rPr>
        <w:footnoteReference w:id="9"/>
      </w:r>
      <w:bookmarkEnd w:id="18"/>
    </w:p>
    <w:p w14:paraId="63CC1CB1" w14:textId="07BE4E6F" w:rsidR="00D67064" w:rsidRDefault="00D67064" w:rsidP="00D67064">
      <w:r>
        <w:t xml:space="preserve">All approved disease modifying treatments (DMTs) show reductions in clinical </w:t>
      </w:r>
      <w:r w:rsidR="00A35851">
        <w:t xml:space="preserve">outcomes, </w:t>
      </w:r>
      <w:r w:rsidR="00DE537F">
        <w:t>(</w:t>
      </w:r>
      <w:r w:rsidR="00A35851">
        <w:t xml:space="preserve">such as frequency, </w:t>
      </w:r>
      <w:proofErr w:type="gramStart"/>
      <w:r w:rsidR="00A35851">
        <w:t>severity</w:t>
      </w:r>
      <w:proofErr w:type="gramEnd"/>
      <w:r w:rsidR="00A35851">
        <w:t xml:space="preserve"> and duration of MS episodes</w:t>
      </w:r>
      <w:r w:rsidR="00DE537F">
        <w:t>)</w:t>
      </w:r>
      <w:r w:rsidR="00A35851">
        <w:t xml:space="preserve">; </w:t>
      </w:r>
      <w:r>
        <w:t xml:space="preserve">and </w:t>
      </w:r>
      <w:r w:rsidR="00DE537F">
        <w:t xml:space="preserve">reductions in </w:t>
      </w:r>
      <w:r>
        <w:t>magnetic resonance imaging (MRI)</w:t>
      </w:r>
      <w:r w:rsidR="00DE537F">
        <w:t xml:space="preserve"> findings</w:t>
      </w:r>
      <w:r>
        <w:t>. The magnitude of clinical efficacy and safety profile of these agents are quite variable.</w:t>
      </w:r>
      <w:r>
        <w:fldChar w:fldCharType="begin"/>
      </w:r>
      <w:r>
        <w:instrText xml:space="preserve"> NOTEREF _Ref120714310 \f \h </w:instrText>
      </w:r>
      <w:r>
        <w:fldChar w:fldCharType="separate"/>
      </w:r>
      <w:r w:rsidR="00FE3E0A" w:rsidRPr="00FE3E0A">
        <w:rPr>
          <w:rStyle w:val="FootnoteReference"/>
        </w:rPr>
        <w:t>6</w:t>
      </w:r>
      <w:r>
        <w:fldChar w:fldCharType="end"/>
      </w:r>
      <w:r w:rsidRPr="00D67064">
        <w:rPr>
          <w:vertAlign w:val="superscript"/>
        </w:rPr>
        <w:t>,</w:t>
      </w:r>
      <w:r>
        <w:fldChar w:fldCharType="begin"/>
      </w:r>
      <w:r>
        <w:instrText xml:space="preserve"> NOTEREF _Ref120714313 \f \h </w:instrText>
      </w:r>
      <w:r>
        <w:fldChar w:fldCharType="separate"/>
      </w:r>
      <w:r w:rsidR="00FE3E0A" w:rsidRPr="00FE3E0A">
        <w:rPr>
          <w:rStyle w:val="FootnoteReference"/>
        </w:rPr>
        <w:t>7</w:t>
      </w:r>
      <w:r>
        <w:fldChar w:fldCharType="end"/>
      </w:r>
      <w:r w:rsidRPr="00D67064">
        <w:rPr>
          <w:vertAlign w:val="superscript"/>
        </w:rPr>
        <w:t>,</w:t>
      </w:r>
      <w:r>
        <w:fldChar w:fldCharType="begin"/>
      </w:r>
      <w:r>
        <w:instrText xml:space="preserve"> NOTEREF _Ref120714314 \f \h </w:instrText>
      </w:r>
      <w:r>
        <w:fldChar w:fldCharType="separate"/>
      </w:r>
      <w:r w:rsidR="00FE3E0A" w:rsidRPr="00FE3E0A">
        <w:rPr>
          <w:rStyle w:val="FootnoteReference"/>
        </w:rPr>
        <w:t>8</w:t>
      </w:r>
      <w:r>
        <w:fldChar w:fldCharType="end"/>
      </w:r>
      <w:r>
        <w:t xml:space="preserve"> Immunomodulatory agents have beneficial effects for patients with RRMS, mainly a decreased relapse rate and a slower accumulation of brain lesions on MRI.</w:t>
      </w:r>
      <w:r>
        <w:fldChar w:fldCharType="begin"/>
      </w:r>
      <w:r>
        <w:instrText xml:space="preserve"> NOTEREF _Ref120714310 \f \h </w:instrText>
      </w:r>
      <w:r>
        <w:fldChar w:fldCharType="separate"/>
      </w:r>
      <w:r w:rsidR="00FE3E0A" w:rsidRPr="00FE3E0A">
        <w:rPr>
          <w:rStyle w:val="FootnoteReference"/>
        </w:rPr>
        <w:t>6</w:t>
      </w:r>
      <w:r>
        <w:fldChar w:fldCharType="end"/>
      </w:r>
    </w:p>
    <w:p w14:paraId="287597FB" w14:textId="77777777" w:rsidR="00D67064" w:rsidRDefault="00D67064" w:rsidP="00D67064">
      <w:pPr>
        <w:pStyle w:val="Heading4"/>
      </w:pPr>
      <w:r>
        <w:t>Australian regulatory status</w:t>
      </w:r>
    </w:p>
    <w:p w14:paraId="42543E51" w14:textId="2BBA271E" w:rsidR="00D67064" w:rsidRDefault="00D67064" w:rsidP="00D67064">
      <w:r>
        <w:t xml:space="preserve">This application to register </w:t>
      </w:r>
      <w:proofErr w:type="spellStart"/>
      <w:r>
        <w:t>Vumerity</w:t>
      </w:r>
      <w:proofErr w:type="spellEnd"/>
      <w:r>
        <w:t xml:space="preserve"> (</w:t>
      </w:r>
      <w:r w:rsidR="0038189F" w:rsidRPr="001F046D">
        <w:t>diroximel fumarate</w:t>
      </w:r>
      <w:r w:rsidR="0038189F">
        <w:t>)</w:t>
      </w:r>
      <w:r>
        <w:t xml:space="preserve"> relies on bridging efficacy data and, in part, safety data for the Australian approved medicine for an identical indication of RRMS, Tecfidera (dimethyl fumarate</w:t>
      </w:r>
      <w:r w:rsidR="004B2203">
        <w:t>).</w:t>
      </w:r>
      <w:bookmarkStart w:id="19" w:name="_Ref121906479"/>
      <w:r w:rsidR="004B2203">
        <w:rPr>
          <w:rStyle w:val="FootnoteReference"/>
        </w:rPr>
        <w:footnoteReference w:id="10"/>
      </w:r>
      <w:bookmarkEnd w:id="19"/>
      <w:r w:rsidR="004E66A9">
        <w:rPr>
          <w:vertAlign w:val="superscript"/>
        </w:rPr>
        <w:t>,</w:t>
      </w:r>
      <w:bookmarkStart w:id="20" w:name="_Ref126656824"/>
      <w:r w:rsidR="004E66A9">
        <w:rPr>
          <w:rStyle w:val="FootnoteReference"/>
        </w:rPr>
        <w:footnoteReference w:id="11"/>
      </w:r>
      <w:bookmarkEnd w:id="20"/>
      <w:r w:rsidR="005670AE">
        <w:t xml:space="preserve"> </w:t>
      </w:r>
      <w:r>
        <w:t xml:space="preserve">The rationale for this approach is that the </w:t>
      </w:r>
      <w:proofErr w:type="spellStart"/>
      <w:r>
        <w:t>Vumerity</w:t>
      </w:r>
      <w:proofErr w:type="spellEnd"/>
      <w:r>
        <w:t xml:space="preserve"> and Tecfidera have the same active moiety that is, </w:t>
      </w:r>
      <w:r w:rsidR="0038189F">
        <w:t xml:space="preserve">monomethyl fumarate </w:t>
      </w:r>
      <w:r>
        <w:t xml:space="preserve">and a bioequivalence between </w:t>
      </w:r>
      <w:r w:rsidR="0038189F">
        <w:t>pharmacokinetics (</w:t>
      </w:r>
      <w:r>
        <w:t>PK</w:t>
      </w:r>
      <w:r w:rsidR="0038189F">
        <w:t>)</w:t>
      </w:r>
      <w:r>
        <w:t xml:space="preserve"> parameters of </w:t>
      </w:r>
      <w:r w:rsidR="0038189F" w:rsidRPr="001F046D">
        <w:t>diroximel fumarate</w:t>
      </w:r>
      <w:r>
        <w:t xml:space="preserve"> and </w:t>
      </w:r>
      <w:r w:rsidR="0038189F">
        <w:t>dimethyl fumarate</w:t>
      </w:r>
      <w:r>
        <w:t xml:space="preserve"> has been demonstrated.</w:t>
      </w:r>
    </w:p>
    <w:p w14:paraId="3BD87487" w14:textId="16F9978F" w:rsidR="00D67064" w:rsidRDefault="004B2203" w:rsidP="00D67064">
      <w:r>
        <w:t>Tecfidera</w:t>
      </w:r>
      <w:r w:rsidR="00D67064">
        <w:t xml:space="preserve"> 120 mg and 240 mg modified release capsules</w:t>
      </w:r>
      <w:r w:rsidR="00131A80">
        <w:t>;</w:t>
      </w:r>
      <w:r>
        <w:fldChar w:fldCharType="begin"/>
      </w:r>
      <w:r>
        <w:instrText xml:space="preserve"> NOTEREF _Ref121906479 \f \h </w:instrText>
      </w:r>
      <w:r>
        <w:fldChar w:fldCharType="separate"/>
      </w:r>
      <w:r w:rsidR="00FE3E0A" w:rsidRPr="00FE3E0A">
        <w:rPr>
          <w:rStyle w:val="FootnoteReference"/>
        </w:rPr>
        <w:t>9</w:t>
      </w:r>
      <w:r>
        <w:fldChar w:fldCharType="end"/>
      </w:r>
      <w:r w:rsidR="004E66A9">
        <w:rPr>
          <w:vertAlign w:val="superscript"/>
        </w:rPr>
        <w:t>,</w:t>
      </w:r>
      <w:r w:rsidR="004E66A9">
        <w:rPr>
          <w:vertAlign w:val="superscript"/>
        </w:rPr>
        <w:fldChar w:fldCharType="begin"/>
      </w:r>
      <w:r w:rsidR="004E66A9">
        <w:rPr>
          <w:vertAlign w:val="superscript"/>
        </w:rPr>
        <w:instrText xml:space="preserve"> NOTEREF _Ref126656824 \h </w:instrText>
      </w:r>
      <w:r w:rsidR="004E66A9">
        <w:rPr>
          <w:vertAlign w:val="superscript"/>
        </w:rPr>
      </w:r>
      <w:r w:rsidR="004E66A9">
        <w:rPr>
          <w:vertAlign w:val="superscript"/>
        </w:rPr>
        <w:fldChar w:fldCharType="separate"/>
      </w:r>
      <w:r w:rsidR="004E66A9">
        <w:rPr>
          <w:vertAlign w:val="superscript"/>
        </w:rPr>
        <w:t>10</w:t>
      </w:r>
      <w:r w:rsidR="004E66A9">
        <w:rPr>
          <w:vertAlign w:val="superscript"/>
        </w:rPr>
        <w:fldChar w:fldCharType="end"/>
      </w:r>
      <w:r w:rsidR="00131A80">
        <w:t xml:space="preserve"> </w:t>
      </w:r>
      <w:r w:rsidR="00D67064">
        <w:t>was registered on the ARTG in 2013 and a generic dimethyl fumarate product was registered in 2021.</w:t>
      </w:r>
    </w:p>
    <w:p w14:paraId="10362AB9" w14:textId="1D4D7412" w:rsidR="00131A80" w:rsidRPr="001D111E" w:rsidRDefault="00131A80" w:rsidP="005670AE">
      <w:pPr>
        <w:spacing w:before="0" w:after="200" w:line="0" w:lineRule="auto"/>
      </w:pPr>
      <w:r>
        <w:br w:type="page"/>
      </w:r>
    </w:p>
    <w:p w14:paraId="6F0E657D" w14:textId="77777777" w:rsidR="008E7846" w:rsidRPr="003F31A2" w:rsidRDefault="00386150" w:rsidP="008E7846">
      <w:pPr>
        <w:pStyle w:val="Heading3"/>
      </w:pPr>
      <w:bookmarkStart w:id="21" w:name="_Toc122084911"/>
      <w:r>
        <w:lastRenderedPageBreak/>
        <w:t>Regulatory s</w:t>
      </w:r>
      <w:r w:rsidR="008E7846">
        <w:t>tatus</w:t>
      </w:r>
      <w:bookmarkEnd w:id="13"/>
      <w:bookmarkEnd w:id="14"/>
      <w:bookmarkEnd w:id="21"/>
    </w:p>
    <w:p w14:paraId="16586D4A" w14:textId="2C35E3A6" w:rsidR="00332715" w:rsidRDefault="00332715" w:rsidP="00332715">
      <w:bookmarkStart w:id="22" w:name="_Toc247691505"/>
      <w:bookmarkStart w:id="23" w:name="_Toc314842486"/>
      <w:r>
        <w:t>This product is considered a new chemical for Australian regulatory purposes.</w:t>
      </w:r>
    </w:p>
    <w:p w14:paraId="1000F4F9" w14:textId="3B663C59" w:rsidR="00332715" w:rsidRDefault="00332715" w:rsidP="00332715">
      <w:r>
        <w:t xml:space="preserve">At the time the TGA considered this </w:t>
      </w:r>
      <w:r w:rsidR="00BB0B78">
        <w:t>submission</w:t>
      </w:r>
      <w:r>
        <w:t xml:space="preserve">, a similar </w:t>
      </w:r>
      <w:r w:rsidR="00BB0B78">
        <w:t>submission</w:t>
      </w:r>
      <w:r>
        <w:t xml:space="preserve"> had been approved in</w:t>
      </w:r>
      <w:r w:rsidR="0038189F">
        <w:t xml:space="preserve"> United States of America</w:t>
      </w:r>
      <w:r>
        <w:t xml:space="preserve"> </w:t>
      </w:r>
      <w:r w:rsidR="00F367AD">
        <w:t xml:space="preserve">(USA) </w:t>
      </w:r>
      <w:r>
        <w:t xml:space="preserve">on </w:t>
      </w:r>
      <w:r w:rsidR="0038189F">
        <w:t>19 October 2019 and Switzerland on 20 September 2021</w:t>
      </w:r>
      <w:r>
        <w:t xml:space="preserve">. A similar </w:t>
      </w:r>
      <w:r w:rsidR="00BB0B78">
        <w:t>submission</w:t>
      </w:r>
      <w:r>
        <w:t xml:space="preserve"> was under consideration in </w:t>
      </w:r>
      <w:r w:rsidR="008C2728">
        <w:t xml:space="preserve">European Union (EU) and </w:t>
      </w:r>
      <w:r w:rsidR="0038189F">
        <w:t>Canada</w:t>
      </w:r>
      <w:r w:rsidR="008C2728">
        <w:t>.</w:t>
      </w:r>
    </w:p>
    <w:p w14:paraId="38249F58" w14:textId="77777777" w:rsidR="00332715" w:rsidRDefault="0072292E" w:rsidP="00332715">
      <w:r>
        <w:t xml:space="preserve">The following table </w:t>
      </w:r>
      <w:r w:rsidR="00332715">
        <w:t xml:space="preserve">summarises these </w:t>
      </w:r>
      <w:r w:rsidR="00BB0B78">
        <w:t>submissions</w:t>
      </w:r>
      <w:r w:rsidR="00332715">
        <w:t xml:space="preserve"> and provides the indications where approved.</w:t>
      </w:r>
    </w:p>
    <w:p w14:paraId="7001C59D" w14:textId="7BC31004" w:rsidR="00324E45" w:rsidRPr="00F0146F" w:rsidRDefault="00324E45" w:rsidP="00324E45">
      <w:pPr>
        <w:pStyle w:val="TableTitle"/>
      </w:pPr>
      <w:bookmarkStart w:id="24" w:name="_Ref99705479"/>
      <w:r>
        <w:t xml:space="preserve">Table </w:t>
      </w:r>
      <w:r>
        <w:fldChar w:fldCharType="begin"/>
      </w:r>
      <w:r>
        <w:instrText>SEQ Table \* ARABIC</w:instrText>
      </w:r>
      <w:r>
        <w:fldChar w:fldCharType="separate"/>
      </w:r>
      <w:r w:rsidR="00FE3E0A">
        <w:rPr>
          <w:noProof/>
        </w:rPr>
        <w:t>1</w:t>
      </w:r>
      <w:r>
        <w:fldChar w:fldCharType="end"/>
      </w:r>
      <w:bookmarkEnd w:id="24"/>
      <w:r>
        <w:t>: International regulatory status</w:t>
      </w:r>
    </w:p>
    <w:tbl>
      <w:tblPr>
        <w:tblStyle w:val="TableTGAblue"/>
        <w:tblW w:w="8635" w:type="dxa"/>
        <w:tblLook w:val="04A0" w:firstRow="1" w:lastRow="0" w:firstColumn="1" w:lastColumn="0" w:noHBand="0" w:noVBand="1"/>
      </w:tblPr>
      <w:tblGrid>
        <w:gridCol w:w="1885"/>
        <w:gridCol w:w="2070"/>
        <w:gridCol w:w="2250"/>
        <w:gridCol w:w="2430"/>
      </w:tblGrid>
      <w:tr w:rsidR="0038189F" w:rsidRPr="00131A80" w14:paraId="05601E08" w14:textId="77777777" w:rsidTr="005670AE">
        <w:trPr>
          <w:cnfStyle w:val="100000000000" w:firstRow="1" w:lastRow="0" w:firstColumn="0" w:lastColumn="0" w:oddVBand="0" w:evenVBand="0" w:oddHBand="0" w:evenHBand="0" w:firstRowFirstColumn="0" w:firstRowLastColumn="0" w:lastRowFirstColumn="0" w:lastRowLastColumn="0"/>
        </w:trPr>
        <w:tc>
          <w:tcPr>
            <w:tcW w:w="1885" w:type="dxa"/>
            <w:tcBorders>
              <w:top w:val="single" w:sz="4" w:space="0" w:color="auto"/>
              <w:left w:val="single" w:sz="4" w:space="0" w:color="auto"/>
              <w:bottom w:val="single" w:sz="4" w:space="0" w:color="auto"/>
              <w:right w:val="single" w:sz="4" w:space="0" w:color="auto"/>
            </w:tcBorders>
          </w:tcPr>
          <w:p w14:paraId="0F06FF4A" w14:textId="77777777" w:rsidR="00006FAB" w:rsidRPr="005670AE" w:rsidRDefault="00006FAB" w:rsidP="00006FAB">
            <w:pPr>
              <w:ind w:left="0" w:right="0"/>
              <w:rPr>
                <w:sz w:val="21"/>
              </w:rPr>
            </w:pPr>
            <w:r w:rsidRPr="005670AE">
              <w:rPr>
                <w:sz w:val="21"/>
              </w:rPr>
              <w:t>Region</w:t>
            </w:r>
          </w:p>
        </w:tc>
        <w:tc>
          <w:tcPr>
            <w:tcW w:w="2070" w:type="dxa"/>
            <w:tcBorders>
              <w:top w:val="single" w:sz="4" w:space="0" w:color="auto"/>
              <w:left w:val="single" w:sz="4" w:space="0" w:color="auto"/>
              <w:bottom w:val="single" w:sz="4" w:space="0" w:color="auto"/>
              <w:right w:val="single" w:sz="4" w:space="0" w:color="auto"/>
            </w:tcBorders>
          </w:tcPr>
          <w:p w14:paraId="1A7C790D" w14:textId="77777777" w:rsidR="00006FAB" w:rsidRPr="005670AE" w:rsidRDefault="00006FAB" w:rsidP="00006FAB">
            <w:pPr>
              <w:ind w:left="0" w:right="0"/>
              <w:rPr>
                <w:sz w:val="21"/>
              </w:rPr>
            </w:pPr>
            <w:r w:rsidRPr="005670AE">
              <w:rPr>
                <w:sz w:val="21"/>
              </w:rPr>
              <w:t>Submission date</w:t>
            </w:r>
          </w:p>
        </w:tc>
        <w:tc>
          <w:tcPr>
            <w:tcW w:w="2250" w:type="dxa"/>
            <w:tcBorders>
              <w:top w:val="single" w:sz="4" w:space="0" w:color="auto"/>
              <w:left w:val="single" w:sz="4" w:space="0" w:color="auto"/>
              <w:bottom w:val="single" w:sz="4" w:space="0" w:color="auto"/>
              <w:right w:val="single" w:sz="4" w:space="0" w:color="auto"/>
            </w:tcBorders>
          </w:tcPr>
          <w:p w14:paraId="343C9FEC" w14:textId="77777777" w:rsidR="00006FAB" w:rsidRPr="005670AE" w:rsidRDefault="00006FAB" w:rsidP="00006FAB">
            <w:pPr>
              <w:ind w:left="0" w:right="0"/>
              <w:rPr>
                <w:sz w:val="21"/>
              </w:rPr>
            </w:pPr>
            <w:r w:rsidRPr="005670AE">
              <w:rPr>
                <w:sz w:val="21"/>
              </w:rPr>
              <w:t>Status</w:t>
            </w:r>
          </w:p>
        </w:tc>
        <w:tc>
          <w:tcPr>
            <w:tcW w:w="2430" w:type="dxa"/>
            <w:tcBorders>
              <w:top w:val="single" w:sz="4" w:space="0" w:color="auto"/>
              <w:left w:val="single" w:sz="4" w:space="0" w:color="auto"/>
              <w:bottom w:val="single" w:sz="4" w:space="0" w:color="auto"/>
              <w:right w:val="single" w:sz="4" w:space="0" w:color="auto"/>
            </w:tcBorders>
          </w:tcPr>
          <w:p w14:paraId="14CFDD0E" w14:textId="77777777" w:rsidR="00006FAB" w:rsidRPr="005670AE" w:rsidRDefault="00006FAB" w:rsidP="00006FAB">
            <w:pPr>
              <w:ind w:left="0" w:right="0"/>
              <w:rPr>
                <w:sz w:val="21"/>
              </w:rPr>
            </w:pPr>
            <w:r w:rsidRPr="005670AE">
              <w:rPr>
                <w:sz w:val="21"/>
              </w:rPr>
              <w:t>Approved indications</w:t>
            </w:r>
          </w:p>
        </w:tc>
      </w:tr>
      <w:tr w:rsidR="0038189F" w:rsidRPr="00131A80" w14:paraId="142933BF" w14:textId="77777777" w:rsidTr="005670AE">
        <w:tc>
          <w:tcPr>
            <w:tcW w:w="1885" w:type="dxa"/>
            <w:tcBorders>
              <w:top w:val="single" w:sz="4" w:space="0" w:color="auto"/>
            </w:tcBorders>
          </w:tcPr>
          <w:p w14:paraId="545A388B" w14:textId="77777777" w:rsidR="00006FAB" w:rsidRPr="005670AE" w:rsidRDefault="0038189F" w:rsidP="00006FAB">
            <w:pPr>
              <w:ind w:left="0" w:right="0"/>
              <w:rPr>
                <w:sz w:val="21"/>
              </w:rPr>
            </w:pPr>
            <w:r w:rsidRPr="005670AE">
              <w:rPr>
                <w:sz w:val="21"/>
              </w:rPr>
              <w:t>European Union</w:t>
            </w:r>
          </w:p>
          <w:p w14:paraId="7F2965C1" w14:textId="39BD29B6" w:rsidR="0038189F" w:rsidRPr="005670AE" w:rsidRDefault="0038189F" w:rsidP="0038189F">
            <w:pPr>
              <w:ind w:left="0"/>
              <w:rPr>
                <w:sz w:val="21"/>
              </w:rPr>
            </w:pPr>
            <w:r w:rsidRPr="005670AE">
              <w:rPr>
                <w:sz w:val="21"/>
              </w:rPr>
              <w:t>(</w:t>
            </w:r>
            <w:proofErr w:type="gramStart"/>
            <w:r w:rsidRPr="005670AE">
              <w:rPr>
                <w:sz w:val="21"/>
              </w:rPr>
              <w:t>via</w:t>
            </w:r>
            <w:proofErr w:type="gramEnd"/>
            <w:r w:rsidRPr="005670AE">
              <w:rPr>
                <w:sz w:val="21"/>
              </w:rPr>
              <w:t xml:space="preserve"> centralised procedure)</w:t>
            </w:r>
          </w:p>
          <w:p w14:paraId="723190CD" w14:textId="77777777" w:rsidR="0038189F" w:rsidRPr="005670AE" w:rsidRDefault="0038189F" w:rsidP="0038189F">
            <w:pPr>
              <w:ind w:left="0"/>
              <w:rPr>
                <w:sz w:val="21"/>
              </w:rPr>
            </w:pPr>
            <w:r w:rsidRPr="005670AE">
              <w:rPr>
                <w:sz w:val="21"/>
              </w:rPr>
              <w:t>Rapporteur – Germany</w:t>
            </w:r>
          </w:p>
          <w:p w14:paraId="536CD85F" w14:textId="728CF3B1" w:rsidR="0038189F" w:rsidRPr="005670AE" w:rsidRDefault="0038189F" w:rsidP="0038189F">
            <w:pPr>
              <w:ind w:left="0" w:right="0"/>
              <w:rPr>
                <w:sz w:val="21"/>
              </w:rPr>
            </w:pPr>
            <w:r w:rsidRPr="005670AE">
              <w:rPr>
                <w:sz w:val="21"/>
              </w:rPr>
              <w:t>Co-Rapporteur - Sweden</w:t>
            </w:r>
          </w:p>
        </w:tc>
        <w:tc>
          <w:tcPr>
            <w:tcW w:w="2070" w:type="dxa"/>
            <w:tcBorders>
              <w:top w:val="single" w:sz="4" w:space="0" w:color="auto"/>
            </w:tcBorders>
          </w:tcPr>
          <w:p w14:paraId="11B58896" w14:textId="68AEC4FD" w:rsidR="00006FAB" w:rsidRPr="005670AE" w:rsidRDefault="0038189F" w:rsidP="00006FAB">
            <w:pPr>
              <w:ind w:left="0" w:right="0"/>
              <w:rPr>
                <w:sz w:val="21"/>
              </w:rPr>
            </w:pPr>
            <w:r w:rsidRPr="005670AE">
              <w:rPr>
                <w:sz w:val="21"/>
              </w:rPr>
              <w:t>16 November 2020</w:t>
            </w:r>
          </w:p>
        </w:tc>
        <w:tc>
          <w:tcPr>
            <w:tcW w:w="2250" w:type="dxa"/>
            <w:tcBorders>
              <w:top w:val="single" w:sz="4" w:space="0" w:color="auto"/>
            </w:tcBorders>
          </w:tcPr>
          <w:p w14:paraId="7C458E52" w14:textId="722266FC" w:rsidR="00006FAB" w:rsidRPr="005670AE" w:rsidRDefault="0038189F" w:rsidP="0038189F">
            <w:pPr>
              <w:ind w:left="0"/>
              <w:rPr>
                <w:sz w:val="21"/>
              </w:rPr>
            </w:pPr>
            <w:r w:rsidRPr="005670AE">
              <w:rPr>
                <w:sz w:val="21"/>
              </w:rPr>
              <w:t xml:space="preserve">Positive </w:t>
            </w:r>
            <w:r w:rsidR="00F367AD" w:rsidRPr="005670AE">
              <w:rPr>
                <w:sz w:val="21"/>
              </w:rPr>
              <w:t>Committee for Medicinal Products for Human Use</w:t>
            </w:r>
            <w:r w:rsidRPr="005670AE">
              <w:rPr>
                <w:sz w:val="21"/>
              </w:rPr>
              <w:t xml:space="preserve"> opinion granted 16</w:t>
            </w:r>
            <w:r w:rsidR="00131A80">
              <w:rPr>
                <w:sz w:val="21"/>
              </w:rPr>
              <w:t> </w:t>
            </w:r>
            <w:r w:rsidRPr="005670AE">
              <w:rPr>
                <w:sz w:val="21"/>
              </w:rPr>
              <w:t>September 2021</w:t>
            </w:r>
          </w:p>
        </w:tc>
        <w:tc>
          <w:tcPr>
            <w:tcW w:w="2430" w:type="dxa"/>
            <w:tcBorders>
              <w:top w:val="single" w:sz="4" w:space="0" w:color="auto"/>
            </w:tcBorders>
          </w:tcPr>
          <w:p w14:paraId="1371E9F6" w14:textId="66137698" w:rsidR="00006FAB" w:rsidRPr="005670AE" w:rsidRDefault="0038189F" w:rsidP="0038189F">
            <w:pPr>
              <w:ind w:left="0"/>
              <w:rPr>
                <w:i/>
                <w:iCs/>
                <w:sz w:val="21"/>
              </w:rPr>
            </w:pPr>
            <w:proofErr w:type="spellStart"/>
            <w:r w:rsidRPr="005670AE">
              <w:rPr>
                <w:i/>
                <w:iCs/>
                <w:sz w:val="21"/>
              </w:rPr>
              <w:t>Vumerity</w:t>
            </w:r>
            <w:proofErr w:type="spellEnd"/>
            <w:r w:rsidRPr="005670AE">
              <w:rPr>
                <w:i/>
                <w:iCs/>
                <w:sz w:val="21"/>
              </w:rPr>
              <w:t xml:space="preserve"> is indicated for the treatment of adult patients with relapsing remitting multiple sclerosis.</w:t>
            </w:r>
          </w:p>
        </w:tc>
      </w:tr>
      <w:tr w:rsidR="0038189F" w:rsidRPr="00131A80" w14:paraId="50AE1C98" w14:textId="77777777" w:rsidTr="005670AE">
        <w:tc>
          <w:tcPr>
            <w:tcW w:w="1885" w:type="dxa"/>
          </w:tcPr>
          <w:p w14:paraId="0BB2F4C4" w14:textId="4A42581D" w:rsidR="00006FAB" w:rsidRPr="005670AE" w:rsidRDefault="0038189F" w:rsidP="00006FAB">
            <w:pPr>
              <w:ind w:left="0" w:right="0"/>
              <w:rPr>
                <w:sz w:val="21"/>
              </w:rPr>
            </w:pPr>
            <w:r w:rsidRPr="005670AE">
              <w:rPr>
                <w:sz w:val="21"/>
              </w:rPr>
              <w:t>USA</w:t>
            </w:r>
          </w:p>
        </w:tc>
        <w:tc>
          <w:tcPr>
            <w:tcW w:w="2070" w:type="dxa"/>
          </w:tcPr>
          <w:p w14:paraId="6B64B687" w14:textId="282DC14A" w:rsidR="00006FAB" w:rsidRPr="005670AE" w:rsidRDefault="0038189F" w:rsidP="00006FAB">
            <w:pPr>
              <w:ind w:left="0" w:right="0"/>
              <w:rPr>
                <w:sz w:val="21"/>
              </w:rPr>
            </w:pPr>
            <w:r w:rsidRPr="005670AE">
              <w:rPr>
                <w:sz w:val="21"/>
              </w:rPr>
              <w:t>13 December 2018</w:t>
            </w:r>
          </w:p>
        </w:tc>
        <w:tc>
          <w:tcPr>
            <w:tcW w:w="2250" w:type="dxa"/>
          </w:tcPr>
          <w:p w14:paraId="11BB4325" w14:textId="2CD5D1E7" w:rsidR="00006FAB" w:rsidRPr="005670AE" w:rsidRDefault="0038189F" w:rsidP="00006FAB">
            <w:pPr>
              <w:ind w:left="0" w:right="0"/>
              <w:rPr>
                <w:sz w:val="21"/>
              </w:rPr>
            </w:pPr>
            <w:r w:rsidRPr="005670AE">
              <w:rPr>
                <w:sz w:val="21"/>
              </w:rPr>
              <w:t>Approved on 19</w:t>
            </w:r>
            <w:r w:rsidR="00131A80">
              <w:rPr>
                <w:sz w:val="21"/>
              </w:rPr>
              <w:t> </w:t>
            </w:r>
            <w:r w:rsidRPr="005670AE">
              <w:rPr>
                <w:sz w:val="21"/>
              </w:rPr>
              <w:t>October 2019</w:t>
            </w:r>
          </w:p>
        </w:tc>
        <w:tc>
          <w:tcPr>
            <w:tcW w:w="2430" w:type="dxa"/>
          </w:tcPr>
          <w:p w14:paraId="580B9DB5" w14:textId="3AA28FFE" w:rsidR="00006FAB" w:rsidRPr="005670AE" w:rsidRDefault="0038189F" w:rsidP="0038189F">
            <w:pPr>
              <w:ind w:left="0"/>
              <w:rPr>
                <w:i/>
                <w:iCs/>
                <w:sz w:val="21"/>
              </w:rPr>
            </w:pPr>
            <w:proofErr w:type="spellStart"/>
            <w:r w:rsidRPr="005670AE">
              <w:rPr>
                <w:i/>
                <w:iCs/>
                <w:sz w:val="21"/>
              </w:rPr>
              <w:t>Vumerity</w:t>
            </w:r>
            <w:proofErr w:type="spellEnd"/>
            <w:r w:rsidRPr="005670AE">
              <w:rPr>
                <w:i/>
                <w:iCs/>
                <w:sz w:val="21"/>
              </w:rPr>
              <w:t xml:space="preserve"> is indicated for the treatment of relapsing forms of multiple sclerosis (MS), to include clinically isolated syndrome, relapsing-remitting disease, and active secondary progressive disease, in adults.</w:t>
            </w:r>
          </w:p>
        </w:tc>
      </w:tr>
      <w:tr w:rsidR="0038189F" w:rsidRPr="00131A80" w14:paraId="49915420" w14:textId="77777777" w:rsidTr="005670AE">
        <w:tc>
          <w:tcPr>
            <w:tcW w:w="1885" w:type="dxa"/>
          </w:tcPr>
          <w:p w14:paraId="40BCBBF0" w14:textId="54E9A0EE" w:rsidR="0038189F" w:rsidRPr="005670AE" w:rsidRDefault="0038189F" w:rsidP="0038189F">
            <w:pPr>
              <w:ind w:left="0"/>
              <w:rPr>
                <w:sz w:val="21"/>
              </w:rPr>
            </w:pPr>
            <w:r w:rsidRPr="005670AE">
              <w:rPr>
                <w:sz w:val="21"/>
              </w:rPr>
              <w:t>Canada</w:t>
            </w:r>
          </w:p>
        </w:tc>
        <w:tc>
          <w:tcPr>
            <w:tcW w:w="2070" w:type="dxa"/>
          </w:tcPr>
          <w:p w14:paraId="2382BA42" w14:textId="32103A8C" w:rsidR="0038189F" w:rsidRPr="005670AE" w:rsidRDefault="0038189F" w:rsidP="0038189F">
            <w:pPr>
              <w:ind w:left="0"/>
              <w:rPr>
                <w:sz w:val="21"/>
              </w:rPr>
            </w:pPr>
            <w:r w:rsidRPr="005670AE">
              <w:rPr>
                <w:sz w:val="21"/>
              </w:rPr>
              <w:t>29 May 2020</w:t>
            </w:r>
          </w:p>
        </w:tc>
        <w:tc>
          <w:tcPr>
            <w:tcW w:w="2250" w:type="dxa"/>
          </w:tcPr>
          <w:p w14:paraId="6930482C" w14:textId="248F7312" w:rsidR="0038189F" w:rsidRPr="005670AE" w:rsidRDefault="0038189F" w:rsidP="0038189F">
            <w:pPr>
              <w:ind w:left="0"/>
              <w:rPr>
                <w:sz w:val="21"/>
              </w:rPr>
            </w:pPr>
            <w:r w:rsidRPr="005670AE">
              <w:rPr>
                <w:sz w:val="21"/>
              </w:rPr>
              <w:t>Under consideration</w:t>
            </w:r>
          </w:p>
        </w:tc>
        <w:tc>
          <w:tcPr>
            <w:tcW w:w="2430" w:type="dxa"/>
          </w:tcPr>
          <w:p w14:paraId="7C4DA3C9" w14:textId="6A8910AC" w:rsidR="0038189F" w:rsidRPr="005670AE" w:rsidRDefault="0038189F" w:rsidP="0038189F">
            <w:pPr>
              <w:ind w:left="0"/>
              <w:rPr>
                <w:sz w:val="21"/>
              </w:rPr>
            </w:pPr>
            <w:r w:rsidRPr="005670AE">
              <w:rPr>
                <w:sz w:val="21"/>
              </w:rPr>
              <w:t>Under consideration</w:t>
            </w:r>
          </w:p>
        </w:tc>
      </w:tr>
      <w:tr w:rsidR="0038189F" w:rsidRPr="00131A80" w14:paraId="7BD79882" w14:textId="77777777" w:rsidTr="005670AE">
        <w:tc>
          <w:tcPr>
            <w:tcW w:w="1885" w:type="dxa"/>
          </w:tcPr>
          <w:p w14:paraId="2530AEC3" w14:textId="0E0FCB97" w:rsidR="0038189F" w:rsidRPr="005670AE" w:rsidRDefault="0038189F" w:rsidP="0038189F">
            <w:pPr>
              <w:ind w:left="0"/>
              <w:rPr>
                <w:sz w:val="21"/>
              </w:rPr>
            </w:pPr>
            <w:r w:rsidRPr="005670AE">
              <w:rPr>
                <w:sz w:val="21"/>
              </w:rPr>
              <w:t>Switzerland</w:t>
            </w:r>
          </w:p>
        </w:tc>
        <w:tc>
          <w:tcPr>
            <w:tcW w:w="2070" w:type="dxa"/>
          </w:tcPr>
          <w:p w14:paraId="57AD25C3" w14:textId="25A13560" w:rsidR="0038189F" w:rsidRPr="005670AE" w:rsidRDefault="0038189F" w:rsidP="0038189F">
            <w:pPr>
              <w:ind w:left="0"/>
              <w:rPr>
                <w:sz w:val="21"/>
              </w:rPr>
            </w:pPr>
            <w:r w:rsidRPr="005670AE">
              <w:rPr>
                <w:sz w:val="21"/>
              </w:rPr>
              <w:t>26 June 2020</w:t>
            </w:r>
          </w:p>
        </w:tc>
        <w:tc>
          <w:tcPr>
            <w:tcW w:w="2250" w:type="dxa"/>
          </w:tcPr>
          <w:p w14:paraId="288E8926" w14:textId="4D6A13DC" w:rsidR="0038189F" w:rsidRPr="005670AE" w:rsidRDefault="0038189F" w:rsidP="0038189F">
            <w:pPr>
              <w:ind w:left="0"/>
              <w:rPr>
                <w:sz w:val="21"/>
              </w:rPr>
            </w:pPr>
            <w:r w:rsidRPr="005670AE">
              <w:rPr>
                <w:sz w:val="21"/>
              </w:rPr>
              <w:t>Approved on 20 September 2021</w:t>
            </w:r>
          </w:p>
        </w:tc>
        <w:tc>
          <w:tcPr>
            <w:tcW w:w="2430" w:type="dxa"/>
          </w:tcPr>
          <w:p w14:paraId="7F305270" w14:textId="333AE864" w:rsidR="0038189F" w:rsidRPr="005670AE" w:rsidRDefault="0038189F" w:rsidP="0038189F">
            <w:pPr>
              <w:ind w:left="0"/>
              <w:rPr>
                <w:i/>
                <w:iCs/>
                <w:sz w:val="21"/>
              </w:rPr>
            </w:pPr>
            <w:proofErr w:type="spellStart"/>
            <w:r w:rsidRPr="005670AE">
              <w:rPr>
                <w:i/>
                <w:iCs/>
                <w:sz w:val="21"/>
              </w:rPr>
              <w:t>Vumerity</w:t>
            </w:r>
            <w:proofErr w:type="spellEnd"/>
            <w:r w:rsidRPr="005670AE">
              <w:rPr>
                <w:i/>
                <w:iCs/>
                <w:sz w:val="21"/>
              </w:rPr>
              <w:t xml:space="preserve"> is indicated for the treatment of patients with relapsing remitting multiple sclerosis (MS) for reducing the frequency of relapses.</w:t>
            </w:r>
          </w:p>
        </w:tc>
      </w:tr>
    </w:tbl>
    <w:p w14:paraId="428BC604" w14:textId="77777777" w:rsidR="008E7846" w:rsidRDefault="008E7846" w:rsidP="00940A89">
      <w:pPr>
        <w:pStyle w:val="Heading3"/>
      </w:pPr>
      <w:bookmarkStart w:id="25" w:name="_Toc122084912"/>
      <w:r>
        <w:t>Product Information</w:t>
      </w:r>
      <w:bookmarkEnd w:id="22"/>
      <w:bookmarkEnd w:id="23"/>
      <w:bookmarkEnd w:id="25"/>
    </w:p>
    <w:p w14:paraId="07385648" w14:textId="28EE7B1B" w:rsidR="00332715" w:rsidRDefault="00332715" w:rsidP="00332715">
      <w:bookmarkStart w:id="26" w:name="_Toc504480011"/>
      <w:bookmarkStart w:id="27" w:name="_Toc247691506"/>
      <w:bookmarkStart w:id="28" w:name="_Toc314842487"/>
      <w:r>
        <w:t xml:space="preserve">The Product Information (PI) approved with the submission which is described in this AusPAR can be found as Attachment 1. For the most recent PI, please refer to the TGA </w:t>
      </w:r>
      <w:hyperlink r:id="rId18" w:history="1">
        <w:r>
          <w:rPr>
            <w:rStyle w:val="Hyperlink"/>
          </w:rPr>
          <w:t>PI/CMI search facility</w:t>
        </w:r>
        <w:r w:rsidRPr="009556D7">
          <w:rPr>
            <w:rStyle w:val="Hyperlink"/>
            <w:color w:val="auto"/>
            <w:u w:val="none"/>
          </w:rPr>
          <w:t>.</w:t>
        </w:r>
      </w:hyperlink>
    </w:p>
    <w:p w14:paraId="5C7381D5" w14:textId="77777777" w:rsidR="00500337" w:rsidRDefault="00500337" w:rsidP="00500337">
      <w:pPr>
        <w:pStyle w:val="Heading2"/>
      </w:pPr>
      <w:bookmarkStart w:id="29" w:name="_Toc122084913"/>
      <w:r>
        <w:t>Registration timeline</w:t>
      </w:r>
      <w:bookmarkEnd w:id="26"/>
      <w:bookmarkEnd w:id="29"/>
    </w:p>
    <w:p w14:paraId="5648AC42" w14:textId="77777777" w:rsidR="0074163C" w:rsidRPr="00C93EC1" w:rsidRDefault="0074163C" w:rsidP="0074163C">
      <w:r w:rsidRPr="00C93EC1">
        <w:t xml:space="preserve">The following table captures the key steps and dates for this </w:t>
      </w:r>
      <w:r w:rsidR="00804D99">
        <w:t>submission</w:t>
      </w:r>
      <w:r w:rsidRPr="00C93EC1">
        <w:t>.</w:t>
      </w:r>
    </w:p>
    <w:p w14:paraId="7552484F" w14:textId="6C9570A3" w:rsidR="0074163C" w:rsidRPr="00F367AD" w:rsidRDefault="0074163C" w:rsidP="00F367AD">
      <w:pPr>
        <w:pStyle w:val="TableTitle"/>
      </w:pPr>
      <w:r>
        <w:lastRenderedPageBreak/>
        <w:t xml:space="preserve">Table </w:t>
      </w:r>
      <w:r>
        <w:fldChar w:fldCharType="begin"/>
      </w:r>
      <w:r>
        <w:instrText>SEQ Table \* ARABIC</w:instrText>
      </w:r>
      <w:r>
        <w:fldChar w:fldCharType="separate"/>
      </w:r>
      <w:r w:rsidR="00FE3E0A">
        <w:rPr>
          <w:noProof/>
        </w:rPr>
        <w:t>2</w:t>
      </w:r>
      <w:r>
        <w:fldChar w:fldCharType="end"/>
      </w:r>
      <w:r>
        <w:t>:</w:t>
      </w:r>
      <w:r w:rsidRPr="006A58A8">
        <w:t xml:space="preserve"> Timeline for Submission PM-20</w:t>
      </w:r>
      <w:r>
        <w:t>2</w:t>
      </w:r>
      <w:r w:rsidR="00685351">
        <w:t>1</w:t>
      </w:r>
      <w:r w:rsidRPr="006A58A8">
        <w:t>-</w:t>
      </w:r>
      <w:r w:rsidR="00685351">
        <w:t>00385</w:t>
      </w:r>
      <w:r w:rsidRPr="006A58A8">
        <w:t>-1-</w:t>
      </w:r>
      <w:r w:rsidR="00685351">
        <w:t>1</w:t>
      </w:r>
    </w:p>
    <w:tbl>
      <w:tblPr>
        <w:tblStyle w:val="TableTGAblue"/>
        <w:tblW w:w="0" w:type="auto"/>
        <w:tblLook w:val="04A0" w:firstRow="1" w:lastRow="0" w:firstColumn="1" w:lastColumn="0" w:noHBand="0" w:noVBand="1"/>
      </w:tblPr>
      <w:tblGrid>
        <w:gridCol w:w="4256"/>
        <w:gridCol w:w="4238"/>
      </w:tblGrid>
      <w:tr w:rsidR="0074163C" w14:paraId="68B3327F" w14:textId="77777777" w:rsidTr="009E5A87">
        <w:trPr>
          <w:cnfStyle w:val="100000000000" w:firstRow="1" w:lastRow="0" w:firstColumn="0" w:lastColumn="0" w:oddVBand="0" w:evenVBand="0" w:oddHBand="0" w:evenHBand="0" w:firstRowFirstColumn="0" w:firstRowLastColumn="0" w:lastRowFirstColumn="0" w:lastRowLastColumn="0"/>
        </w:trPr>
        <w:tc>
          <w:tcPr>
            <w:tcW w:w="4360" w:type="dxa"/>
            <w:tcBorders>
              <w:top w:val="single" w:sz="4" w:space="0" w:color="auto"/>
              <w:left w:val="single" w:sz="4" w:space="0" w:color="auto"/>
              <w:bottom w:val="single" w:sz="4" w:space="0" w:color="auto"/>
              <w:right w:val="single" w:sz="4" w:space="0" w:color="auto"/>
            </w:tcBorders>
          </w:tcPr>
          <w:p w14:paraId="70ACF469" w14:textId="77777777" w:rsidR="0074163C" w:rsidRDefault="0074163C" w:rsidP="009E5A87">
            <w:r>
              <w:t>Description</w:t>
            </w:r>
          </w:p>
        </w:tc>
        <w:tc>
          <w:tcPr>
            <w:tcW w:w="4360" w:type="dxa"/>
            <w:tcBorders>
              <w:top w:val="single" w:sz="4" w:space="0" w:color="auto"/>
              <w:left w:val="single" w:sz="4" w:space="0" w:color="auto"/>
              <w:bottom w:val="single" w:sz="4" w:space="0" w:color="auto"/>
              <w:right w:val="single" w:sz="4" w:space="0" w:color="auto"/>
            </w:tcBorders>
          </w:tcPr>
          <w:p w14:paraId="362947C5" w14:textId="77777777" w:rsidR="0074163C" w:rsidRDefault="0074163C" w:rsidP="009E5A87">
            <w:r>
              <w:t>Date</w:t>
            </w:r>
          </w:p>
        </w:tc>
      </w:tr>
      <w:tr w:rsidR="0074163C" w14:paraId="12B82589" w14:textId="77777777" w:rsidTr="009E5A87">
        <w:tc>
          <w:tcPr>
            <w:tcW w:w="4360" w:type="dxa"/>
            <w:tcBorders>
              <w:top w:val="single" w:sz="4" w:space="0" w:color="auto"/>
            </w:tcBorders>
          </w:tcPr>
          <w:p w14:paraId="3DA51B7D" w14:textId="77777777" w:rsidR="0074163C" w:rsidRDefault="0074163C" w:rsidP="009E5A87">
            <w:r>
              <w:t>Submission dossier accepted and first round evaluation commenced</w:t>
            </w:r>
          </w:p>
        </w:tc>
        <w:tc>
          <w:tcPr>
            <w:tcW w:w="4360" w:type="dxa"/>
            <w:tcBorders>
              <w:top w:val="single" w:sz="4" w:space="0" w:color="auto"/>
            </w:tcBorders>
          </w:tcPr>
          <w:p w14:paraId="021C4CBA" w14:textId="61376342" w:rsidR="0074163C" w:rsidRDefault="00685351" w:rsidP="009E5A87">
            <w:r>
              <w:t>31 March 2021</w:t>
            </w:r>
          </w:p>
        </w:tc>
      </w:tr>
      <w:tr w:rsidR="0074163C" w14:paraId="50023561" w14:textId="77777777" w:rsidTr="009E5A87">
        <w:tc>
          <w:tcPr>
            <w:tcW w:w="4360" w:type="dxa"/>
          </w:tcPr>
          <w:p w14:paraId="3D84A175" w14:textId="77777777" w:rsidR="0074163C" w:rsidRDefault="0074163C" w:rsidP="009E5A87">
            <w:r>
              <w:t>First round evaluation completed</w:t>
            </w:r>
          </w:p>
        </w:tc>
        <w:tc>
          <w:tcPr>
            <w:tcW w:w="4360" w:type="dxa"/>
          </w:tcPr>
          <w:p w14:paraId="2432E830" w14:textId="7D3FBC84" w:rsidR="0074163C" w:rsidRDefault="00685351" w:rsidP="009E5A87">
            <w:r>
              <w:t>31 August 2021</w:t>
            </w:r>
          </w:p>
        </w:tc>
      </w:tr>
      <w:tr w:rsidR="0074163C" w14:paraId="0ADC533D" w14:textId="77777777" w:rsidTr="009E5A87">
        <w:tc>
          <w:tcPr>
            <w:tcW w:w="4360" w:type="dxa"/>
          </w:tcPr>
          <w:p w14:paraId="7FC6B010" w14:textId="77777777" w:rsidR="0074163C" w:rsidRDefault="0074163C" w:rsidP="009E5A87">
            <w:r>
              <w:t>Sponsor provides responses on questions raised in first round evaluation</w:t>
            </w:r>
          </w:p>
        </w:tc>
        <w:tc>
          <w:tcPr>
            <w:tcW w:w="4360" w:type="dxa"/>
          </w:tcPr>
          <w:p w14:paraId="045D5040" w14:textId="0FEC80D7" w:rsidR="0074163C" w:rsidRDefault="00685351" w:rsidP="009E5A87">
            <w:r>
              <w:t>28 October 2021</w:t>
            </w:r>
          </w:p>
        </w:tc>
      </w:tr>
      <w:tr w:rsidR="0074163C" w14:paraId="68DAFCF4" w14:textId="77777777" w:rsidTr="009E5A87">
        <w:tc>
          <w:tcPr>
            <w:tcW w:w="4360" w:type="dxa"/>
          </w:tcPr>
          <w:p w14:paraId="4171F02D" w14:textId="77777777" w:rsidR="0074163C" w:rsidRDefault="0074163C" w:rsidP="009E5A87">
            <w:r>
              <w:t>Second round evaluation completed</w:t>
            </w:r>
          </w:p>
        </w:tc>
        <w:tc>
          <w:tcPr>
            <w:tcW w:w="4360" w:type="dxa"/>
          </w:tcPr>
          <w:p w14:paraId="4B17BDD9" w14:textId="06D993B8" w:rsidR="00685351" w:rsidRDefault="00685351" w:rsidP="00685351">
            <w:r>
              <w:t>22 December 2021</w:t>
            </w:r>
          </w:p>
        </w:tc>
      </w:tr>
      <w:tr w:rsidR="0074163C" w14:paraId="0B95F4F8" w14:textId="77777777" w:rsidTr="009E5A87">
        <w:tc>
          <w:tcPr>
            <w:tcW w:w="4360" w:type="dxa"/>
          </w:tcPr>
          <w:p w14:paraId="342715A7" w14:textId="4946A440" w:rsidR="0074163C" w:rsidRDefault="0074163C" w:rsidP="009E5A87">
            <w:r>
              <w:t xml:space="preserve">Delegate’s Overall benefit-risk </w:t>
            </w:r>
            <w:r w:rsidRPr="00685351">
              <w:rPr>
                <w:color w:val="auto"/>
              </w:rPr>
              <w:t>assessment and request for Advisory Committee advice</w:t>
            </w:r>
          </w:p>
        </w:tc>
        <w:tc>
          <w:tcPr>
            <w:tcW w:w="4360" w:type="dxa"/>
          </w:tcPr>
          <w:p w14:paraId="5A76688E" w14:textId="36FDA30B" w:rsidR="0074163C" w:rsidRDefault="00685351" w:rsidP="009E5A87">
            <w:r>
              <w:t>22 December 2021</w:t>
            </w:r>
          </w:p>
        </w:tc>
      </w:tr>
      <w:tr w:rsidR="0074163C" w14:paraId="2B3731F5" w14:textId="77777777" w:rsidTr="009E5A87">
        <w:tc>
          <w:tcPr>
            <w:tcW w:w="4360" w:type="dxa"/>
          </w:tcPr>
          <w:p w14:paraId="12E3785B" w14:textId="77777777" w:rsidR="0074163C" w:rsidRDefault="0074163C" w:rsidP="009E5A87">
            <w:r>
              <w:t>Sponsor’s pre-Advisory Committee response</w:t>
            </w:r>
          </w:p>
        </w:tc>
        <w:tc>
          <w:tcPr>
            <w:tcW w:w="4360" w:type="dxa"/>
          </w:tcPr>
          <w:p w14:paraId="3B8CFF9E" w14:textId="018BE531" w:rsidR="0074163C" w:rsidRDefault="00685351" w:rsidP="009E5A87">
            <w:r>
              <w:t>14 January 2022</w:t>
            </w:r>
          </w:p>
        </w:tc>
      </w:tr>
      <w:tr w:rsidR="0074163C" w14:paraId="473BFBAD" w14:textId="77777777" w:rsidTr="009E5A87">
        <w:tc>
          <w:tcPr>
            <w:tcW w:w="4360" w:type="dxa"/>
          </w:tcPr>
          <w:p w14:paraId="7F844A82" w14:textId="77777777" w:rsidR="0074163C" w:rsidRDefault="0074163C" w:rsidP="009E5A87">
            <w:r>
              <w:t>Advisory Committee meeting</w:t>
            </w:r>
          </w:p>
        </w:tc>
        <w:tc>
          <w:tcPr>
            <w:tcW w:w="4360" w:type="dxa"/>
          </w:tcPr>
          <w:p w14:paraId="112B5A83" w14:textId="22369529" w:rsidR="0074163C" w:rsidRDefault="00685351" w:rsidP="009E5A87">
            <w:r>
              <w:t>3 and 4 February 2022</w:t>
            </w:r>
          </w:p>
        </w:tc>
      </w:tr>
      <w:tr w:rsidR="0074163C" w14:paraId="4992081D" w14:textId="77777777" w:rsidTr="009E5A87">
        <w:tc>
          <w:tcPr>
            <w:tcW w:w="4360" w:type="dxa"/>
          </w:tcPr>
          <w:p w14:paraId="6332FC81" w14:textId="77777777" w:rsidR="0074163C" w:rsidRDefault="0074163C" w:rsidP="009E5A87">
            <w:r>
              <w:t>Registration decision (Outcome)</w:t>
            </w:r>
          </w:p>
        </w:tc>
        <w:tc>
          <w:tcPr>
            <w:tcW w:w="4360" w:type="dxa"/>
          </w:tcPr>
          <w:p w14:paraId="360DC6D7" w14:textId="7D94A0AF" w:rsidR="0074163C" w:rsidRDefault="00685351" w:rsidP="009E5A87">
            <w:r>
              <w:t>18 March 2022</w:t>
            </w:r>
          </w:p>
        </w:tc>
      </w:tr>
      <w:tr w:rsidR="0074163C" w14:paraId="09F0716F" w14:textId="77777777" w:rsidTr="009E5A87">
        <w:tc>
          <w:tcPr>
            <w:tcW w:w="4360" w:type="dxa"/>
          </w:tcPr>
          <w:p w14:paraId="024E0A7E" w14:textId="77777777" w:rsidR="0074163C" w:rsidRDefault="0074163C" w:rsidP="009E5A87">
            <w:r w:rsidRPr="005A79F5">
              <w:t>Completion of administrative activities and registration on the ARTG</w:t>
            </w:r>
          </w:p>
        </w:tc>
        <w:tc>
          <w:tcPr>
            <w:tcW w:w="4360" w:type="dxa"/>
          </w:tcPr>
          <w:p w14:paraId="06F541F8" w14:textId="590F2E9B" w:rsidR="0074163C" w:rsidRDefault="00685351" w:rsidP="009E5A87">
            <w:r>
              <w:t>21 March 2022</w:t>
            </w:r>
          </w:p>
        </w:tc>
      </w:tr>
      <w:tr w:rsidR="0074163C" w14:paraId="6441A6EB" w14:textId="77777777" w:rsidTr="009E5A87">
        <w:tc>
          <w:tcPr>
            <w:tcW w:w="4360" w:type="dxa"/>
          </w:tcPr>
          <w:p w14:paraId="683C6B7B" w14:textId="77777777" w:rsidR="0074163C" w:rsidRDefault="0074163C" w:rsidP="009E5A87">
            <w:r>
              <w:t>Number of working days from submission dossier acceptance to registration decision*</w:t>
            </w:r>
          </w:p>
        </w:tc>
        <w:tc>
          <w:tcPr>
            <w:tcW w:w="4360" w:type="dxa"/>
          </w:tcPr>
          <w:p w14:paraId="70F43928" w14:textId="628393E4" w:rsidR="0074163C" w:rsidRDefault="00685351" w:rsidP="009E5A87">
            <w:r>
              <w:t>197</w:t>
            </w:r>
          </w:p>
        </w:tc>
      </w:tr>
    </w:tbl>
    <w:p w14:paraId="2AD2ADA8" w14:textId="588886DC" w:rsidR="0074163C" w:rsidRDefault="0074163C" w:rsidP="00685351">
      <w:pPr>
        <w:pStyle w:val="TableDescription"/>
      </w:pPr>
      <w:r>
        <w:t>*</w:t>
      </w:r>
      <w:r w:rsidRPr="00BF3774">
        <w:t xml:space="preserve">Statutory </w:t>
      </w:r>
      <w:r>
        <w:t xml:space="preserve">timeframe for standard </w:t>
      </w:r>
      <w:r w:rsidR="00BB0B78">
        <w:t>submission</w:t>
      </w:r>
      <w:r>
        <w:t>s is 255 working days</w:t>
      </w:r>
    </w:p>
    <w:p w14:paraId="6F5CC173" w14:textId="77777777" w:rsidR="008E7846" w:rsidRPr="00792A32" w:rsidRDefault="00006FAB" w:rsidP="008E7846">
      <w:pPr>
        <w:pStyle w:val="Heading2"/>
      </w:pPr>
      <w:bookmarkStart w:id="30" w:name="_Toc196046504"/>
      <w:bookmarkStart w:id="31" w:name="_Toc247691527"/>
      <w:bookmarkStart w:id="32" w:name="_Toc314842510"/>
      <w:bookmarkStart w:id="33" w:name="_Toc122084914"/>
      <w:bookmarkStart w:id="34" w:name="_Toc163441390"/>
      <w:bookmarkEnd w:id="27"/>
      <w:bookmarkEnd w:id="28"/>
      <w:bookmarkEnd w:id="1"/>
      <w:r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0"/>
      <w:bookmarkEnd w:id="31"/>
      <w:bookmarkEnd w:id="32"/>
      <w:bookmarkEnd w:id="33"/>
    </w:p>
    <w:p w14:paraId="54764B31" w14:textId="77777777" w:rsidR="005A79F5" w:rsidRDefault="005A79F5" w:rsidP="0074163C">
      <w:pPr>
        <w:pStyle w:val="Instructions"/>
        <w:rPr>
          <w:i w:val="0"/>
          <w:color w:val="auto"/>
        </w:rPr>
      </w:pPr>
      <w:bookmarkStart w:id="35" w:name="_Toc247691528"/>
      <w:bookmarkStart w:id="36" w:name="_Toc314842511"/>
      <w:r w:rsidRPr="005A79F5">
        <w:rPr>
          <w:i w:val="0"/>
          <w:color w:val="auto"/>
        </w:rPr>
        <w:t>A summary of the TGA’s assessment for this submission is provided below</w:t>
      </w:r>
      <w:r>
        <w:rPr>
          <w:i w:val="0"/>
          <w:color w:val="auto"/>
        </w:rPr>
        <w:t>.</w:t>
      </w:r>
    </w:p>
    <w:p w14:paraId="056B654E" w14:textId="77777777" w:rsidR="008E7846" w:rsidRDefault="008E7846" w:rsidP="008E7846">
      <w:pPr>
        <w:pStyle w:val="Heading3"/>
      </w:pPr>
      <w:bookmarkStart w:id="37" w:name="_Toc122084915"/>
      <w:r>
        <w:t>Quality</w:t>
      </w:r>
      <w:bookmarkEnd w:id="35"/>
      <w:bookmarkEnd w:id="36"/>
      <w:bookmarkEnd w:id="37"/>
    </w:p>
    <w:p w14:paraId="283A3ED4" w14:textId="504E9C37" w:rsidR="00131A80" w:rsidRDefault="008C2728" w:rsidP="0074163C">
      <w:proofErr w:type="spellStart"/>
      <w:r>
        <w:t>Vumerity</w:t>
      </w:r>
      <w:proofErr w:type="spellEnd"/>
      <w:r w:rsidRPr="0030138F">
        <w:t xml:space="preserve"> is a white </w:t>
      </w:r>
      <w:proofErr w:type="spellStart"/>
      <w:r w:rsidRPr="0030138F">
        <w:t>hypromellose</w:t>
      </w:r>
      <w:proofErr w:type="spellEnd"/>
      <w:r w:rsidRPr="0030138F">
        <w:t xml:space="preserve"> capsule shell containing </w:t>
      </w:r>
      <w:r w:rsidR="00131A80">
        <w:t xml:space="preserve">enteric-coated minitablets containing </w:t>
      </w:r>
      <w:r w:rsidRPr="0030138F">
        <w:t>the drug substance</w:t>
      </w:r>
      <w:r w:rsidR="00131A80">
        <w:t xml:space="preserve"> diroximel fumarate</w:t>
      </w:r>
      <w:r w:rsidRPr="0030138F">
        <w:t>.</w:t>
      </w:r>
      <w:r w:rsidR="00BA6A6F">
        <w:t xml:space="preserve"> </w:t>
      </w:r>
      <w:r w:rsidR="00131A80">
        <w:t>The c</w:t>
      </w:r>
      <w:r w:rsidR="00BA6A6F">
        <w:t xml:space="preserve">hemical structure of </w:t>
      </w:r>
      <w:r w:rsidR="00131A80">
        <w:t xml:space="preserve">diroximel fumarate </w:t>
      </w:r>
      <w:r w:rsidR="00BA6A6F">
        <w:t xml:space="preserve">is shown </w:t>
      </w:r>
      <w:r w:rsidR="00131A80">
        <w:t xml:space="preserve">below </w:t>
      </w:r>
      <w:r w:rsidR="00BA6A6F">
        <w:t xml:space="preserve">in </w:t>
      </w:r>
      <w:r w:rsidR="00BA6A6F">
        <w:fldChar w:fldCharType="begin"/>
      </w:r>
      <w:r w:rsidR="00BA6A6F">
        <w:instrText xml:space="preserve"> REF _Ref120775793 \h </w:instrText>
      </w:r>
      <w:r w:rsidR="00BA6A6F">
        <w:fldChar w:fldCharType="separate"/>
      </w:r>
      <w:r w:rsidR="00FE3E0A" w:rsidRPr="008C2728">
        <w:t xml:space="preserve">Figure </w:t>
      </w:r>
      <w:r w:rsidR="00FE3E0A">
        <w:rPr>
          <w:noProof/>
        </w:rPr>
        <w:t>1</w:t>
      </w:r>
      <w:r w:rsidR="00BA6A6F">
        <w:fldChar w:fldCharType="end"/>
      </w:r>
      <w:r w:rsidR="00131A80">
        <w:t>.</w:t>
      </w:r>
    </w:p>
    <w:p w14:paraId="3EB72E11" w14:textId="72CBD3DA" w:rsidR="00131A80" w:rsidRDefault="008C2728" w:rsidP="0074163C">
      <w:r w:rsidRPr="0030138F">
        <w:t>The capsule</w:t>
      </w:r>
      <w:r w:rsidR="00131A80">
        <w:t>, once swallowed,</w:t>
      </w:r>
      <w:r w:rsidRPr="0030138F">
        <w:t xml:space="preserve"> dissolves in the stomach releasing the polymer-coated (delayed released) </w:t>
      </w:r>
      <w:r w:rsidR="00BA6A6F">
        <w:t>drug sub</w:t>
      </w:r>
      <w:r w:rsidR="004F369E">
        <w:t>s</w:t>
      </w:r>
      <w:r w:rsidR="00BA6A6F">
        <w:t>tance</w:t>
      </w:r>
      <w:r w:rsidR="00131A80">
        <w:t xml:space="preserve"> diroximel fumarate</w:t>
      </w:r>
      <w:r w:rsidRPr="0030138F">
        <w:t xml:space="preserve">, which </w:t>
      </w:r>
      <w:r w:rsidR="00131A80">
        <w:t xml:space="preserve">are enteric coated and </w:t>
      </w:r>
      <w:r w:rsidRPr="0030138F">
        <w:t>do not dissolve until passing the stomach.</w:t>
      </w:r>
    </w:p>
    <w:p w14:paraId="62D18D78" w14:textId="722CB41B" w:rsidR="008C2728" w:rsidRDefault="008C2728" w:rsidP="0074163C">
      <w:pPr>
        <w:rPr>
          <w:lang w:val="en-US"/>
        </w:rPr>
      </w:pPr>
      <w:r w:rsidRPr="0030138F">
        <w:t>The capsule shells have ‘DRF 231 mg’ printed on the body in black ink.</w:t>
      </w:r>
      <w:r w:rsidR="00BA6A6F">
        <w:rPr>
          <w:lang w:val="en-US"/>
        </w:rPr>
        <w:t xml:space="preserve"> </w:t>
      </w:r>
      <w:proofErr w:type="spellStart"/>
      <w:r w:rsidR="00131A80">
        <w:rPr>
          <w:lang w:val="en-US"/>
        </w:rPr>
        <w:t>Vumerity</w:t>
      </w:r>
      <w:proofErr w:type="spellEnd"/>
      <w:r w:rsidR="00131A80">
        <w:rPr>
          <w:lang w:val="en-US"/>
        </w:rPr>
        <w:t xml:space="preserve"> is to be supplied as </w:t>
      </w:r>
      <w:r w:rsidRPr="0030138F">
        <w:rPr>
          <w:lang w:val="en-US"/>
        </w:rPr>
        <w:t>120 capsules</w:t>
      </w:r>
      <w:r w:rsidR="00131A80">
        <w:rPr>
          <w:lang w:val="en-US"/>
        </w:rPr>
        <w:t xml:space="preserve"> </w:t>
      </w:r>
      <w:r w:rsidRPr="0030138F">
        <w:rPr>
          <w:lang w:val="en-US"/>
        </w:rPr>
        <w:t xml:space="preserve">packaged in bottles with child-resistant </w:t>
      </w:r>
      <w:r w:rsidR="00F367AD">
        <w:rPr>
          <w:lang w:val="en-US"/>
        </w:rPr>
        <w:t>s</w:t>
      </w:r>
      <w:r w:rsidRPr="0030138F">
        <w:rPr>
          <w:lang w:val="en-US"/>
        </w:rPr>
        <w:t>crew caps.</w:t>
      </w:r>
    </w:p>
    <w:p w14:paraId="59F8A223" w14:textId="1D34FF1B" w:rsidR="00131A80" w:rsidRPr="00BA6A6F" w:rsidRDefault="00131A80" w:rsidP="0074163C">
      <w:pPr>
        <w:rPr>
          <w:lang w:val="en-US"/>
        </w:rPr>
      </w:pPr>
      <w:proofErr w:type="spellStart"/>
      <w:r>
        <w:rPr>
          <w:lang w:val="en-US"/>
        </w:rPr>
        <w:t>Vumerity</w:t>
      </w:r>
      <w:proofErr w:type="spellEnd"/>
      <w:r>
        <w:rPr>
          <w:lang w:val="en-US"/>
        </w:rPr>
        <w:t xml:space="preserve"> capsules </w:t>
      </w:r>
      <w:r>
        <w:t>should be stored below 25°C in the original bottle to protect from moisture.</w:t>
      </w:r>
    </w:p>
    <w:p w14:paraId="78BB4876" w14:textId="1570D744" w:rsidR="008C2728" w:rsidRDefault="008C2728" w:rsidP="008C2728">
      <w:pPr>
        <w:pStyle w:val="FigureTitle"/>
      </w:pPr>
      <w:bookmarkStart w:id="38" w:name="_Ref120775793"/>
      <w:r w:rsidRPr="008C2728">
        <w:lastRenderedPageBreak/>
        <w:t xml:space="preserve">Figure </w:t>
      </w:r>
      <w:r>
        <w:fldChar w:fldCharType="begin"/>
      </w:r>
      <w:r>
        <w:instrText>SEQ Figure \* ARABIC</w:instrText>
      </w:r>
      <w:r>
        <w:fldChar w:fldCharType="separate"/>
      </w:r>
      <w:r w:rsidR="00FE3E0A">
        <w:rPr>
          <w:noProof/>
        </w:rPr>
        <w:t>1</w:t>
      </w:r>
      <w:r>
        <w:fldChar w:fldCharType="end"/>
      </w:r>
      <w:bookmarkEnd w:id="38"/>
      <w:r>
        <w:t xml:space="preserve">: Chemical structure of </w:t>
      </w:r>
      <w:proofErr w:type="spellStart"/>
      <w:r>
        <w:t>Vumerity</w:t>
      </w:r>
      <w:proofErr w:type="spellEnd"/>
    </w:p>
    <w:p w14:paraId="55698F18" w14:textId="77777777" w:rsidR="00BA6A6F" w:rsidRDefault="008C2728" w:rsidP="00BA6A6F">
      <w:r w:rsidRPr="003410EF">
        <w:rPr>
          <w:noProof/>
          <w:lang w:val="en-GB" w:eastAsia="en-GB"/>
        </w:rPr>
        <w:drawing>
          <wp:inline distT="0" distB="0" distL="0" distR="0" wp14:anchorId="7DBB2FF7" wp14:editId="112C088D">
            <wp:extent cx="2253083" cy="8967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4225" cy="917081"/>
                    </a:xfrm>
                    <a:prstGeom prst="rect">
                      <a:avLst/>
                    </a:prstGeom>
                    <a:noFill/>
                    <a:ln>
                      <a:noFill/>
                    </a:ln>
                  </pic:spPr>
                </pic:pic>
              </a:graphicData>
            </a:graphic>
          </wp:inline>
        </w:drawing>
      </w:r>
    </w:p>
    <w:p w14:paraId="2C69C441" w14:textId="684668CE" w:rsidR="008C2728" w:rsidRPr="008C2728" w:rsidRDefault="000C2F6E" w:rsidP="008C2728">
      <w:r>
        <w:t>Following TGA evaluation, a</w:t>
      </w:r>
      <w:r w:rsidR="00BA6A6F" w:rsidRPr="008C2728">
        <w:t>pproval is recommended for registration of the proposed product from a pharmaceutical chemistry perspective</w:t>
      </w:r>
      <w:r w:rsidR="00BA6A6F">
        <w:t>.</w:t>
      </w:r>
    </w:p>
    <w:p w14:paraId="2D71D642" w14:textId="36FE5ABE" w:rsidR="00BA6A6F" w:rsidRDefault="008E7846" w:rsidP="00BA6A6F">
      <w:pPr>
        <w:pStyle w:val="Heading3"/>
      </w:pPr>
      <w:bookmarkStart w:id="39" w:name="_Toc314842512"/>
      <w:bookmarkStart w:id="40" w:name="_Toc122084916"/>
      <w:r>
        <w:t>Nonclinical</w:t>
      </w:r>
      <w:bookmarkEnd w:id="39"/>
      <w:bookmarkEnd w:id="40"/>
    </w:p>
    <w:p w14:paraId="0335718E" w14:textId="02CF8576" w:rsidR="00BA6A6F" w:rsidRDefault="00BA6A6F" w:rsidP="00711D50">
      <w:r>
        <w:t xml:space="preserve">Diroximel fumarate belongs to the same pharmacological class as dimethyl fumarate. </w:t>
      </w:r>
      <w:r w:rsidR="00711D50">
        <w:t>Diroximel fumarate</w:t>
      </w:r>
      <w:r>
        <w:t xml:space="preserve">, like </w:t>
      </w:r>
      <w:r w:rsidR="00711D50">
        <w:t>dimethyl fumarate</w:t>
      </w:r>
      <w:r>
        <w:t xml:space="preserve">, undergoes rapid hydrolysis before reaching the systemic circulation to produce the major active metabolite monomethyl fumarate. The pharmacological action involves activation of nuclear factor </w:t>
      </w:r>
      <w:r w:rsidR="00711D50">
        <w:t>(</w:t>
      </w:r>
      <w:r w:rsidRPr="00711D50">
        <w:rPr>
          <w:i/>
          <w:iCs/>
        </w:rPr>
        <w:t>erythroid-derived-2</w:t>
      </w:r>
      <w:r w:rsidR="00711D50">
        <w:t>)</w:t>
      </w:r>
      <w:r w:rsidRPr="00711D50">
        <w:rPr>
          <w:i/>
          <w:iCs/>
        </w:rPr>
        <w:t>-like 2</w:t>
      </w:r>
      <w:r>
        <w:t xml:space="preserve"> (</w:t>
      </w:r>
      <w:r w:rsidRPr="00711D50">
        <w:rPr>
          <w:i/>
          <w:iCs/>
        </w:rPr>
        <w:t>Nrf2</w:t>
      </w:r>
      <w:r>
        <w:t xml:space="preserve">), a transcriptional factor that regulates antioxidant responses in a similar manner to </w:t>
      </w:r>
      <w:r w:rsidR="00711D50">
        <w:t>dimethyl fumarate</w:t>
      </w:r>
      <w:r>
        <w:t xml:space="preserve">. </w:t>
      </w:r>
      <w:r w:rsidR="00711D50">
        <w:t>Diroximel fumarate</w:t>
      </w:r>
      <w:r>
        <w:t xml:space="preserve"> demonstrated similar efficacy to that of </w:t>
      </w:r>
      <w:r w:rsidR="00711D50">
        <w:t>monomethyl fumarate</w:t>
      </w:r>
      <w:r>
        <w:t xml:space="preserve"> (active metabolite of </w:t>
      </w:r>
      <w:r w:rsidR="00711D50">
        <w:t>diroximel fumarate</w:t>
      </w:r>
      <w:r>
        <w:t xml:space="preserve"> and </w:t>
      </w:r>
      <w:r w:rsidR="00711D50">
        <w:t>dimethyl fumarate</w:t>
      </w:r>
      <w:r>
        <w:t xml:space="preserve">) and </w:t>
      </w:r>
      <w:r w:rsidR="00711D50">
        <w:t>dimethyl fumarate</w:t>
      </w:r>
      <w:r>
        <w:t xml:space="preserve"> </w:t>
      </w:r>
      <w:r>
        <w:rPr>
          <w:i/>
          <w:iCs/>
        </w:rPr>
        <w:t xml:space="preserve">in vivo </w:t>
      </w:r>
      <w:r>
        <w:t>when evaluated in the Lewis rat experimental autoimmune encephalomyelitis model.</w:t>
      </w:r>
    </w:p>
    <w:p w14:paraId="34520451" w14:textId="1C968B3B" w:rsidR="00BA6A6F" w:rsidRDefault="00BA6A6F" w:rsidP="00BA6A6F">
      <w:r>
        <w:t>No clinically relevant inhibition was seen on a set of potential off</w:t>
      </w:r>
      <w:r w:rsidR="00456BC7">
        <w:t xml:space="preserve"> </w:t>
      </w:r>
      <w:r>
        <w:t xml:space="preserve">target sites including receptors, ion channels, </w:t>
      </w:r>
      <w:proofErr w:type="gramStart"/>
      <w:r>
        <w:t>enzymes</w:t>
      </w:r>
      <w:proofErr w:type="gramEnd"/>
      <w:r>
        <w:t xml:space="preserve"> and transporters.</w:t>
      </w:r>
    </w:p>
    <w:p w14:paraId="497C65F4" w14:textId="5668263B" w:rsidR="00BA6A6F" w:rsidRDefault="00711D50" w:rsidP="00BA6A6F">
      <w:r>
        <w:t>S</w:t>
      </w:r>
      <w:r w:rsidR="00BA6A6F">
        <w:t xml:space="preserve">pecialised safety pharmacology with </w:t>
      </w:r>
      <w:r w:rsidR="00456BC7">
        <w:t>d</w:t>
      </w:r>
      <w:r>
        <w:t>iroximel fumarate</w:t>
      </w:r>
      <w:r w:rsidR="00BA6A6F">
        <w:t xml:space="preserve"> (or its metabolites) revealed no clinically relevant effects on central nervous, </w:t>
      </w:r>
      <w:proofErr w:type="gramStart"/>
      <w:r w:rsidR="00BA6A6F">
        <w:t>cardiovascular</w:t>
      </w:r>
      <w:proofErr w:type="gramEnd"/>
      <w:r w:rsidR="00BA6A6F">
        <w:t xml:space="preserve"> or respiratory function.</w:t>
      </w:r>
    </w:p>
    <w:p w14:paraId="446019E8" w14:textId="3071A4AA" w:rsidR="00BA6A6F" w:rsidRDefault="00BA6A6F" w:rsidP="00BA6A6F">
      <w:r>
        <w:t xml:space="preserve">Based on </w:t>
      </w:r>
      <w:r>
        <w:rPr>
          <w:i/>
          <w:iCs/>
        </w:rPr>
        <w:t xml:space="preserve">in vitro </w:t>
      </w:r>
      <w:r>
        <w:t xml:space="preserve">studies, there is limited potential for pharmacokinetic </w:t>
      </w:r>
      <w:r w:rsidR="000C2F6E">
        <w:t xml:space="preserve">(PK) </w:t>
      </w:r>
      <w:r>
        <w:t>drug</w:t>
      </w:r>
      <w:r w:rsidR="000C2F6E">
        <w:t>-drug</w:t>
      </w:r>
      <w:r>
        <w:t xml:space="preserve"> interactions by </w:t>
      </w:r>
      <w:r w:rsidR="00456BC7">
        <w:t>d</w:t>
      </w:r>
      <w:r w:rsidR="00711D50">
        <w:t>iroximel fumarate</w:t>
      </w:r>
      <w:r>
        <w:t xml:space="preserve"> and its metabolites </w:t>
      </w:r>
      <w:r w:rsidR="00456BC7">
        <w:t>monomethyl fumarate</w:t>
      </w:r>
      <w:r>
        <w:t xml:space="preserve"> and </w:t>
      </w:r>
      <w:r w:rsidR="0092133A" w:rsidRPr="0092133A">
        <w:t>2</w:t>
      </w:r>
      <w:r w:rsidR="000C2F6E">
        <w:noBreakHyphen/>
      </w:r>
      <w:r w:rsidR="0092133A" w:rsidRPr="0092133A">
        <w:t>hydroxyethyl succinimide</w:t>
      </w:r>
      <w:r>
        <w:t xml:space="preserve"> involving CYPs</w:t>
      </w:r>
      <w:r w:rsidR="000C2F6E">
        <w:t xml:space="preserve"> P450 enzymes;</w:t>
      </w:r>
      <w:bookmarkStart w:id="41" w:name="_Ref122079999"/>
      <w:r w:rsidR="00456BC7">
        <w:rPr>
          <w:rStyle w:val="FootnoteReference"/>
        </w:rPr>
        <w:footnoteReference w:id="12"/>
      </w:r>
      <w:bookmarkEnd w:id="41"/>
      <w:r>
        <w:t xml:space="preserve"> and transporters. However, </w:t>
      </w:r>
      <w:proofErr w:type="gramStart"/>
      <w:r>
        <w:t>a number of</w:t>
      </w:r>
      <w:proofErr w:type="gramEnd"/>
      <w:r>
        <w:t xml:space="preserve"> limitations in the data were noted and some possible interactions could not be dismissed. Nonetheless, the risks of PK drug interactions with </w:t>
      </w:r>
      <w:r w:rsidR="00456BC7">
        <w:t>d</w:t>
      </w:r>
      <w:r w:rsidR="00711D50">
        <w:t xml:space="preserve">iroximel fumarate </w:t>
      </w:r>
      <w:r>
        <w:t xml:space="preserve">are likely to be </w:t>
      </w:r>
      <w:proofErr w:type="gramStart"/>
      <w:r>
        <w:t>similar to</w:t>
      </w:r>
      <w:proofErr w:type="gramEnd"/>
      <w:r>
        <w:t xml:space="preserve"> those with </w:t>
      </w:r>
      <w:r w:rsidR="00711D50">
        <w:t>dimethyl fumarate</w:t>
      </w:r>
      <w:r>
        <w:t xml:space="preserve">. </w:t>
      </w:r>
    </w:p>
    <w:p w14:paraId="35CEB212" w14:textId="76306CBC" w:rsidR="00BA6A6F" w:rsidRDefault="00711D50" w:rsidP="00BA6A6F">
      <w:r>
        <w:t>Diroximel fumarate</w:t>
      </w:r>
      <w:r w:rsidR="00BA6A6F">
        <w:t xml:space="preserve"> metabolite, </w:t>
      </w:r>
      <w:r w:rsidR="00456BC7">
        <w:t>monomethyl fumarate</w:t>
      </w:r>
      <w:r w:rsidR="00BA6A6F">
        <w:t xml:space="preserve">, had a low order of acute toxicity in mice, rats and monkeys. Metabolite </w:t>
      </w:r>
      <w:r w:rsidR="0092133A" w:rsidRPr="0092133A">
        <w:t>2-hydroxyethyl succinimide</w:t>
      </w:r>
      <w:r w:rsidR="00BA6A6F">
        <w:t xml:space="preserve"> had a moderate order of acute toxicity.</w:t>
      </w:r>
    </w:p>
    <w:p w14:paraId="55923FBE" w14:textId="4D863740" w:rsidR="00BA6A6F" w:rsidRDefault="00BA6A6F" w:rsidP="00BA6A6F">
      <w:r>
        <w:t xml:space="preserve">Kidneys were one of the target organs in the assessment for toxicity. Findings suggestive of renal toxicity was more severe with </w:t>
      </w:r>
      <w:r w:rsidR="00456BC7">
        <w:t>d</w:t>
      </w:r>
      <w:r w:rsidR="00711D50">
        <w:t>iroximel fumarate</w:t>
      </w:r>
      <w:r>
        <w:t xml:space="preserve"> than </w:t>
      </w:r>
      <w:r w:rsidR="00711D50">
        <w:t>dimethyl fumarate</w:t>
      </w:r>
      <w:r>
        <w:t xml:space="preserve">. The </w:t>
      </w:r>
      <w:r w:rsidR="00456BC7">
        <w:t xml:space="preserve">nonclinical </w:t>
      </w:r>
      <w:r>
        <w:t xml:space="preserve">evaluator has commented that the overall toxicity profile of </w:t>
      </w:r>
      <w:r w:rsidR="00456BC7">
        <w:t>d</w:t>
      </w:r>
      <w:r w:rsidR="00711D50">
        <w:t xml:space="preserve">iroximel fumarate </w:t>
      </w:r>
      <w:r>
        <w:t xml:space="preserve">was </w:t>
      </w:r>
      <w:proofErr w:type="gramStart"/>
      <w:r>
        <w:t>similar to</w:t>
      </w:r>
      <w:proofErr w:type="gramEnd"/>
      <w:r>
        <w:t xml:space="preserve"> </w:t>
      </w:r>
      <w:r w:rsidR="00711D50">
        <w:t>dimethyl fumarate</w:t>
      </w:r>
      <w:r>
        <w:t>.</w:t>
      </w:r>
    </w:p>
    <w:p w14:paraId="66A448BE" w14:textId="2C485911" w:rsidR="00BA6A6F" w:rsidRDefault="00BA6A6F" w:rsidP="00BA6A6F">
      <w:r>
        <w:lastRenderedPageBreak/>
        <w:t>The carcinogenicity</w:t>
      </w:r>
      <w:r w:rsidR="00456BC7">
        <w:t xml:space="preserve"> </w:t>
      </w:r>
      <w:r>
        <w:t xml:space="preserve">related findings were observed in rats treated with the related compound, </w:t>
      </w:r>
      <w:r w:rsidR="00711D50">
        <w:t>dimethyl fumarate</w:t>
      </w:r>
      <w:r>
        <w:t>, and no difference in carcinogenic risk exists between the two compounds.</w:t>
      </w:r>
    </w:p>
    <w:p w14:paraId="4787905E" w14:textId="12C6E14E" w:rsidR="00BA6A6F" w:rsidRDefault="00BA6A6F" w:rsidP="00BA6A6F">
      <w:r>
        <w:t xml:space="preserve">Fertility was unaffected in male and female rats treated with </w:t>
      </w:r>
      <w:r w:rsidR="00456BC7">
        <w:t>d</w:t>
      </w:r>
      <w:r w:rsidR="00711D50">
        <w:t>iroximel fumarate</w:t>
      </w:r>
      <w:r>
        <w:t xml:space="preserve"> at exposure levels 6 and 7 times the clinical </w:t>
      </w:r>
      <w:r w:rsidR="00456BC7">
        <w:t>area under concentration</w:t>
      </w:r>
      <w:r w:rsidR="000C2F6E">
        <w:t>-</w:t>
      </w:r>
      <w:r w:rsidR="00456BC7">
        <w:t>time curve (</w:t>
      </w:r>
      <w:r>
        <w:t>AUC</w:t>
      </w:r>
      <w:r w:rsidR="00456BC7">
        <w:t>)</w:t>
      </w:r>
      <w:r>
        <w:t xml:space="preserve"> for </w:t>
      </w:r>
      <w:r w:rsidR="00456BC7">
        <w:t>monomethyl fumarate</w:t>
      </w:r>
      <w:r>
        <w:t xml:space="preserve"> (and </w:t>
      </w:r>
      <w:r w:rsidR="0092133A" w:rsidRPr="0092133A">
        <w:t>2-hydroxyethyl succinimide</w:t>
      </w:r>
      <w:r>
        <w:t>) in males and females, respectively.</w:t>
      </w:r>
    </w:p>
    <w:p w14:paraId="562C917C" w14:textId="4C775F00" w:rsidR="00BA6A6F" w:rsidRDefault="00456BC7" w:rsidP="00BA6A6F">
      <w:r>
        <w:t>Diroximel fumarate</w:t>
      </w:r>
      <w:r w:rsidRPr="00456BC7">
        <w:t xml:space="preserve"> is not proposed for paediatric use. In studies with </w:t>
      </w:r>
      <w:r>
        <w:t>diroximel fumarate</w:t>
      </w:r>
      <w:r w:rsidRPr="00456BC7">
        <w:t xml:space="preserve"> in juvenile rats, direct effects on bone development were observed (decreased bone mineral density and changes in bone geometry) at 600 mg/kg/day.</w:t>
      </w:r>
    </w:p>
    <w:p w14:paraId="1A8456B3" w14:textId="24DFB4C0" w:rsidR="00456BC7" w:rsidRPr="0074163C" w:rsidRDefault="00456BC7" w:rsidP="00BA6A6F">
      <w:r w:rsidRPr="00456BC7">
        <w:t>There are no nonclinical objections to registration of</w:t>
      </w:r>
      <w:r>
        <w:t xml:space="preserve"> </w:t>
      </w:r>
      <w:proofErr w:type="spellStart"/>
      <w:r>
        <w:t>Vumerity</w:t>
      </w:r>
      <w:proofErr w:type="spellEnd"/>
      <w:r>
        <w:t xml:space="preserve"> </w:t>
      </w:r>
      <w:r w:rsidRPr="00456BC7">
        <w:t>for the proposed indications.</w:t>
      </w:r>
    </w:p>
    <w:p w14:paraId="4B58D30C" w14:textId="77777777" w:rsidR="008E7846" w:rsidRDefault="008E7846" w:rsidP="008E7846">
      <w:pPr>
        <w:pStyle w:val="Heading3"/>
      </w:pPr>
      <w:bookmarkStart w:id="42" w:name="_Toc247691530"/>
      <w:bookmarkStart w:id="43" w:name="_Toc314842513"/>
      <w:bookmarkStart w:id="44" w:name="_Toc122084917"/>
      <w:r>
        <w:t>Clinical</w:t>
      </w:r>
      <w:bookmarkEnd w:id="42"/>
      <w:bookmarkEnd w:id="43"/>
      <w:bookmarkEnd w:id="44"/>
    </w:p>
    <w:p w14:paraId="4547926F" w14:textId="77777777" w:rsidR="0074163C" w:rsidRDefault="0074163C" w:rsidP="0074163C">
      <w:pPr>
        <w:pStyle w:val="Heading4"/>
      </w:pPr>
      <w:bookmarkStart w:id="45" w:name="_Toc98931928"/>
      <w:r>
        <w:t>Summary of clinical studies</w:t>
      </w:r>
      <w:bookmarkEnd w:id="45"/>
    </w:p>
    <w:p w14:paraId="65C979A6" w14:textId="77777777" w:rsidR="0074163C" w:rsidRDefault="0074163C" w:rsidP="0074163C">
      <w:r>
        <w:t>The clinical dossier consisted of</w:t>
      </w:r>
      <w:r w:rsidR="00EB36D6">
        <w:t>:</w:t>
      </w:r>
    </w:p>
    <w:p w14:paraId="7D4CC086" w14:textId="52E5B21A" w:rsidR="0074163C" w:rsidRDefault="00740C4A" w:rsidP="0074163C">
      <w:pPr>
        <w:pStyle w:val="ListBullet"/>
      </w:pPr>
      <w:r>
        <w:t>ten</w:t>
      </w:r>
      <w:r w:rsidR="0074163C">
        <w:t xml:space="preserve"> Phase I studies</w:t>
      </w:r>
      <w:r w:rsidR="000C2F6E">
        <w:t>, including:</w:t>
      </w:r>
    </w:p>
    <w:p w14:paraId="50EE6E4E" w14:textId="0AC9FB5A" w:rsidR="000C2F6E" w:rsidRDefault="000C2F6E" w:rsidP="00F24E9C">
      <w:pPr>
        <w:pStyle w:val="ListBullet2"/>
      </w:pPr>
      <w:r>
        <w:t xml:space="preserve">Studies A103 and A104, two oral bioequivalence studies in healthy adults with the </w:t>
      </w:r>
      <w:r w:rsidR="0045302C">
        <w:t xml:space="preserve">formulation as proposed for </w:t>
      </w:r>
      <w:proofErr w:type="gramStart"/>
      <w:r w:rsidR="0045302C">
        <w:t>approval;</w:t>
      </w:r>
      <w:proofErr w:type="gramEnd"/>
    </w:p>
    <w:p w14:paraId="01BC6F23" w14:textId="401F80D3" w:rsidR="0045302C" w:rsidRDefault="0045302C" w:rsidP="00F24E9C">
      <w:pPr>
        <w:pStyle w:val="ListBullet2"/>
      </w:pPr>
      <w:r>
        <w:t>Study A109</w:t>
      </w:r>
    </w:p>
    <w:p w14:paraId="0482D21D" w14:textId="3D37F80F" w:rsidR="0074163C" w:rsidRDefault="00884315" w:rsidP="0074163C">
      <w:pPr>
        <w:pStyle w:val="ListBullet"/>
      </w:pPr>
      <w:r>
        <w:t>two</w:t>
      </w:r>
      <w:r w:rsidR="0074163C">
        <w:t xml:space="preserve"> Phase II</w:t>
      </w:r>
      <w:r>
        <w:t>I</w:t>
      </w:r>
      <w:r w:rsidR="0074163C">
        <w:t xml:space="preserve"> studies</w:t>
      </w:r>
      <w:r w:rsidR="000C2F6E">
        <w:t>: Study 109MS301 and Study 109MS302; and</w:t>
      </w:r>
    </w:p>
    <w:p w14:paraId="0494D8F0" w14:textId="3CC46648" w:rsidR="000C2F6E" w:rsidRPr="009B2911" w:rsidRDefault="000C2F6E" w:rsidP="0074163C">
      <w:pPr>
        <w:pStyle w:val="ListBullet"/>
      </w:pPr>
      <w:r>
        <w:t>one Phase III non-controlled extension study (Study 109MS303) in participants originally randomised in Studies 109MS301/302.</w:t>
      </w:r>
    </w:p>
    <w:p w14:paraId="5C97D655" w14:textId="77777777" w:rsidR="00884315" w:rsidRDefault="00884315" w:rsidP="00884315">
      <w:r>
        <w:t xml:space="preserve">The </w:t>
      </w:r>
      <w:proofErr w:type="gramStart"/>
      <w:r>
        <w:t>two Phase III</w:t>
      </w:r>
      <w:proofErr w:type="gramEnd"/>
      <w:r>
        <w:t xml:space="preserve"> studies were safety and tolerability studies conducted in individuals with MS. The ten Phase I studies were clinical pharmacology studies conducted in healthy subjects, and one Phase I clinical pharmacology study included subjects with renal impairment in addition to healthy subjects.</w:t>
      </w:r>
    </w:p>
    <w:p w14:paraId="480653D2" w14:textId="06089A31" w:rsidR="00884315" w:rsidRDefault="00884315" w:rsidP="00884315">
      <w:r>
        <w:t xml:space="preserve">Bridging (extrapolation) of dimethyl fumarate clinical (efficacy and safety) data to the </w:t>
      </w:r>
      <w:r w:rsidR="004F369E">
        <w:t>diroximel</w:t>
      </w:r>
      <w:r>
        <w:t xml:space="preserve"> fumarate application was focused primarily on demonstrated bioequivalence between dimethyl fumarate and </w:t>
      </w:r>
      <w:r w:rsidR="004F369E">
        <w:t>diroximel</w:t>
      </w:r>
      <w:r>
        <w:t xml:space="preserve"> fumarate and results of two pivotal Phase III diroximel fumarate studies that is, Studies 109MS301 and 109MS302.</w:t>
      </w:r>
    </w:p>
    <w:p w14:paraId="70A088F3" w14:textId="130FF8A2" w:rsidR="00884315" w:rsidRDefault="00884315" w:rsidP="00884315">
      <w:r>
        <w:t xml:space="preserve">The clinical dossier also included the final study report for the uncontrolled extension Phase III dimethyl fumarate study (Study 109MS303), that assessed the </w:t>
      </w:r>
      <w:proofErr w:type="gramStart"/>
      <w:r>
        <w:t>long term</w:t>
      </w:r>
      <w:proofErr w:type="gramEnd"/>
      <w:r>
        <w:t xml:space="preserve"> safety of dimethyl fumarate. The sponsor has relied on data from this study to extrapolate the </w:t>
      </w:r>
      <w:proofErr w:type="gramStart"/>
      <w:r>
        <w:t>long term</w:t>
      </w:r>
      <w:proofErr w:type="gramEnd"/>
      <w:r>
        <w:t xml:space="preserve"> safety findings of dimethyl fumarate to </w:t>
      </w:r>
      <w:r w:rsidR="004F369E">
        <w:t>diroximel</w:t>
      </w:r>
      <w:r>
        <w:t xml:space="preserve"> fumarate.</w:t>
      </w:r>
    </w:p>
    <w:p w14:paraId="584BB6B3" w14:textId="65A475BB" w:rsidR="00884315" w:rsidRDefault="00884315" w:rsidP="00884315">
      <w:pPr>
        <w:pStyle w:val="Heading4"/>
      </w:pPr>
      <w:r>
        <w:t>Pharmacokinetics</w:t>
      </w:r>
    </w:p>
    <w:p w14:paraId="6BACD98D" w14:textId="77777777" w:rsidR="00884315" w:rsidRDefault="00884315" w:rsidP="00884315">
      <w:pPr>
        <w:pStyle w:val="Heading5"/>
      </w:pPr>
      <w:r>
        <w:t>Absorption</w:t>
      </w:r>
    </w:p>
    <w:p w14:paraId="6122DEF9" w14:textId="414B2F66" w:rsidR="00884315" w:rsidRDefault="00884315" w:rsidP="00884315">
      <w:r>
        <w:t xml:space="preserve">After oral administration, </w:t>
      </w:r>
      <w:r w:rsidR="004F369E">
        <w:t>diroximel</w:t>
      </w:r>
      <w:r>
        <w:t xml:space="preserve"> fumarate was almost completely absorbed. Monomethyl fumarate concentration time profiles displayed high inter- and intra</w:t>
      </w:r>
      <w:r w:rsidR="000C2F6E">
        <w:noBreakHyphen/>
      </w:r>
      <w:r>
        <w:t xml:space="preserve">individual variability and irregular shape which may in part be due to multiple absorption sites along </w:t>
      </w:r>
      <w:r w:rsidR="003E76A6">
        <w:t>the gastrointestinal (GI)</w:t>
      </w:r>
      <w:r>
        <w:t xml:space="preserve"> tract.</w:t>
      </w:r>
    </w:p>
    <w:p w14:paraId="11D0CDE7" w14:textId="78B57DC8" w:rsidR="00884315" w:rsidRDefault="00884315" w:rsidP="00884315">
      <w:r>
        <w:t>The time to reach maximum concentration (</w:t>
      </w:r>
      <w:proofErr w:type="spellStart"/>
      <w:r>
        <w:t>T</w:t>
      </w:r>
      <w:r w:rsidRPr="00884315">
        <w:rPr>
          <w:vertAlign w:val="subscript"/>
        </w:rPr>
        <w:t>max</w:t>
      </w:r>
      <w:proofErr w:type="spellEnd"/>
      <w:r>
        <w:t xml:space="preserve">) for </w:t>
      </w:r>
      <w:r w:rsidR="004F369E">
        <w:t>diroximel</w:t>
      </w:r>
      <w:r w:rsidR="0092133A">
        <w:t xml:space="preserve"> fumarate</w:t>
      </w:r>
      <w:r>
        <w:t xml:space="preserve"> was dose independent. After single oral </w:t>
      </w:r>
      <w:r w:rsidR="004F369E">
        <w:t>diroximel</w:t>
      </w:r>
      <w:r w:rsidR="0092133A">
        <w:t xml:space="preserve"> fumarate</w:t>
      </w:r>
      <w:r>
        <w:t xml:space="preserve"> dose over the range 420</w:t>
      </w:r>
      <w:r w:rsidR="0092133A">
        <w:t> </w:t>
      </w:r>
      <w:r>
        <w:t xml:space="preserve">mg in healthy </w:t>
      </w:r>
      <w:r>
        <w:lastRenderedPageBreak/>
        <w:t xml:space="preserve">adults in the fasted state, </w:t>
      </w:r>
      <w:r w:rsidR="0092133A">
        <w:t xml:space="preserve">monomethyl fumarate </w:t>
      </w:r>
      <w:r>
        <w:t xml:space="preserve">was rapidly absorbed, with a median time to </w:t>
      </w:r>
      <w:proofErr w:type="spellStart"/>
      <w:r w:rsidR="0092133A">
        <w:t>T</w:t>
      </w:r>
      <w:r w:rsidRPr="0092133A">
        <w:rPr>
          <w:vertAlign w:val="subscript"/>
        </w:rPr>
        <w:t>max</w:t>
      </w:r>
      <w:proofErr w:type="spellEnd"/>
      <w:r>
        <w:t xml:space="preserve"> of 1.75 to 3 h</w:t>
      </w:r>
      <w:r w:rsidR="0092133A">
        <w:t>ours</w:t>
      </w:r>
      <w:r>
        <w:t>.</w:t>
      </w:r>
    </w:p>
    <w:p w14:paraId="1277C96C" w14:textId="77777777" w:rsidR="00884315" w:rsidRDefault="00884315" w:rsidP="00884315">
      <w:pPr>
        <w:pStyle w:val="Heading5"/>
      </w:pPr>
      <w:r>
        <w:t>Bioavailability</w:t>
      </w:r>
    </w:p>
    <w:p w14:paraId="1876F80C" w14:textId="4F5C1DDA" w:rsidR="00884315" w:rsidRDefault="00884315" w:rsidP="00884315">
      <w:r>
        <w:t xml:space="preserve">The </w:t>
      </w:r>
      <w:r w:rsidR="0092133A">
        <w:t xml:space="preserve">clinical </w:t>
      </w:r>
      <w:r>
        <w:t>evaluat</w:t>
      </w:r>
      <w:r w:rsidR="000C2F6E">
        <w:t>ion</w:t>
      </w:r>
      <w:r>
        <w:t xml:space="preserve"> highlighted the lack of a study to assess the absolute bioavailability of </w:t>
      </w:r>
      <w:r w:rsidR="004F369E">
        <w:t>diroximel</w:t>
      </w:r>
      <w:r w:rsidR="0092133A">
        <w:t xml:space="preserve"> fumarate </w:t>
      </w:r>
      <w:r>
        <w:t xml:space="preserve">in the dossier and requested the sponsor to clarify. The sponsor’s response was that </w:t>
      </w:r>
      <w:r w:rsidR="004F369E">
        <w:t>diroximel</w:t>
      </w:r>
      <w:r w:rsidR="0092133A">
        <w:t xml:space="preserve"> fumarate</w:t>
      </w:r>
      <w:r>
        <w:t xml:space="preserve"> was a prodrug that was rapidly hydrolysed by </w:t>
      </w:r>
      <w:proofErr w:type="spellStart"/>
      <w:r>
        <w:t>esterases</w:t>
      </w:r>
      <w:proofErr w:type="spellEnd"/>
      <w:r>
        <w:t xml:space="preserve"> upon administration to its pharmacologically active moiety </w:t>
      </w:r>
      <w:r w:rsidR="0092133A">
        <w:t>monomethyl fumarate</w:t>
      </w:r>
      <w:r>
        <w:t xml:space="preserve"> and its major inactive metabolite </w:t>
      </w:r>
      <w:r w:rsidR="0092133A" w:rsidRPr="0092133A">
        <w:t>2-hydroxyethyl succinimide</w:t>
      </w:r>
      <w:r>
        <w:t xml:space="preserve">. </w:t>
      </w:r>
      <w:r w:rsidR="0092133A">
        <w:t>Monomethyl fumarate</w:t>
      </w:r>
      <w:r>
        <w:t xml:space="preserve"> is also the active metabolite of </w:t>
      </w:r>
      <w:r w:rsidR="0092133A">
        <w:t>dimethyl fumarate</w:t>
      </w:r>
      <w:r>
        <w:t xml:space="preserve"> (Tecfidera)</w:t>
      </w:r>
      <w:r w:rsidR="0092133A">
        <w:t>;</w:t>
      </w:r>
      <w:r w:rsidR="004E66A9">
        <w:fldChar w:fldCharType="begin"/>
      </w:r>
      <w:r w:rsidR="004E66A9">
        <w:instrText xml:space="preserve"> NOTEREF _Ref121906479 \f \h </w:instrText>
      </w:r>
      <w:r w:rsidR="004E66A9">
        <w:fldChar w:fldCharType="separate"/>
      </w:r>
      <w:r w:rsidR="004E66A9" w:rsidRPr="00FE3E0A">
        <w:rPr>
          <w:rStyle w:val="FootnoteReference"/>
        </w:rPr>
        <w:t>9</w:t>
      </w:r>
      <w:r w:rsidR="004E66A9">
        <w:fldChar w:fldCharType="end"/>
      </w:r>
      <w:r w:rsidR="004E66A9">
        <w:rPr>
          <w:vertAlign w:val="superscript"/>
        </w:rPr>
        <w:t>,</w:t>
      </w:r>
      <w:r w:rsidR="004E66A9">
        <w:rPr>
          <w:vertAlign w:val="superscript"/>
        </w:rPr>
        <w:fldChar w:fldCharType="begin"/>
      </w:r>
      <w:r w:rsidR="004E66A9">
        <w:rPr>
          <w:vertAlign w:val="superscript"/>
        </w:rPr>
        <w:instrText xml:space="preserve"> NOTEREF _Ref126656824 \h </w:instrText>
      </w:r>
      <w:r w:rsidR="004E66A9">
        <w:rPr>
          <w:vertAlign w:val="superscript"/>
        </w:rPr>
      </w:r>
      <w:r w:rsidR="004E66A9">
        <w:rPr>
          <w:vertAlign w:val="superscript"/>
        </w:rPr>
        <w:fldChar w:fldCharType="separate"/>
      </w:r>
      <w:r w:rsidR="004E66A9">
        <w:rPr>
          <w:vertAlign w:val="superscript"/>
        </w:rPr>
        <w:t>10</w:t>
      </w:r>
      <w:r w:rsidR="004E66A9">
        <w:rPr>
          <w:vertAlign w:val="superscript"/>
        </w:rPr>
        <w:fldChar w:fldCharType="end"/>
      </w:r>
      <w:r w:rsidR="00740C4A">
        <w:t xml:space="preserve"> </w:t>
      </w:r>
      <w:r>
        <w:t xml:space="preserve">and bioequivalence was demonstrated between </w:t>
      </w:r>
      <w:r w:rsidR="004F369E">
        <w:t>diroximel</w:t>
      </w:r>
      <w:r w:rsidR="0092133A">
        <w:t xml:space="preserve"> fumarate</w:t>
      </w:r>
      <w:r>
        <w:t xml:space="preserve"> and </w:t>
      </w:r>
      <w:r w:rsidR="0092133A">
        <w:t>dimethyl fumarate</w:t>
      </w:r>
      <w:r>
        <w:t xml:space="preserve">. The </w:t>
      </w:r>
      <w:r w:rsidR="0092133A">
        <w:t xml:space="preserve">clinical </w:t>
      </w:r>
      <w:r>
        <w:t>evaluator considered this rationale as acceptable.</w:t>
      </w:r>
    </w:p>
    <w:p w14:paraId="2716A699" w14:textId="304EFCD6" w:rsidR="00884315" w:rsidRDefault="00884315" w:rsidP="00884315">
      <w:r>
        <w:t xml:space="preserve">Findings of the mass balance study suggested </w:t>
      </w:r>
      <w:r w:rsidR="004F369E">
        <w:t>diroximel</w:t>
      </w:r>
      <w:r w:rsidR="00244297">
        <w:t xml:space="preserve"> fumarate</w:t>
      </w:r>
      <w:r>
        <w:t xml:space="preserve"> had high oral bioavailability, since </w:t>
      </w:r>
      <w:r w:rsidR="00740C4A">
        <w:t>less than</w:t>
      </w:r>
      <w:r>
        <w:t xml:space="preserve"> 1% of radiolabelled </w:t>
      </w:r>
      <w:r w:rsidR="004F369E">
        <w:t>diroximel</w:t>
      </w:r>
      <w:r w:rsidR="00244297">
        <w:t xml:space="preserve"> fumarate</w:t>
      </w:r>
      <w:r>
        <w:t xml:space="preserve"> 462 mg was recovered in faeces after </w:t>
      </w:r>
      <w:proofErr w:type="gramStart"/>
      <w:r>
        <w:t>288 h</w:t>
      </w:r>
      <w:r w:rsidR="00244297">
        <w:t>our</w:t>
      </w:r>
      <w:proofErr w:type="gramEnd"/>
      <w:r>
        <w:t xml:space="preserve"> post-dose, compared to 85.7% of the oral </w:t>
      </w:r>
      <w:r w:rsidR="004F369E">
        <w:t>diroximel</w:t>
      </w:r>
      <w:r w:rsidR="00244297">
        <w:t xml:space="preserve"> fumarate</w:t>
      </w:r>
      <w:r>
        <w:t xml:space="preserve"> dose recovered in urine 288 h</w:t>
      </w:r>
      <w:r w:rsidR="00244297">
        <w:t>our</w:t>
      </w:r>
      <w:r>
        <w:t xml:space="preserve"> post-dose.</w:t>
      </w:r>
    </w:p>
    <w:p w14:paraId="2B0204F0" w14:textId="676C208A" w:rsidR="00884315" w:rsidRDefault="00884315" w:rsidP="00884315">
      <w:r>
        <w:t xml:space="preserve">The two </w:t>
      </w:r>
      <w:r w:rsidR="00244297">
        <w:t>P</w:t>
      </w:r>
      <w:r>
        <w:t>hase I, single</w:t>
      </w:r>
      <w:r w:rsidR="00244297">
        <w:t xml:space="preserve"> </w:t>
      </w:r>
      <w:r>
        <w:t xml:space="preserve">dose, oral human </w:t>
      </w:r>
      <w:r w:rsidR="00244297">
        <w:t>bioequivalen</w:t>
      </w:r>
      <w:r w:rsidR="000C2F6E">
        <w:t>ce</w:t>
      </w:r>
      <w:r>
        <w:t xml:space="preserve"> studies (</w:t>
      </w:r>
      <w:r w:rsidR="00244297">
        <w:t xml:space="preserve">Studies </w:t>
      </w:r>
      <w:r>
        <w:t>A103</w:t>
      </w:r>
      <w:r w:rsidR="00244297">
        <w:t xml:space="preserve"> and</w:t>
      </w:r>
      <w:r>
        <w:t xml:space="preserve"> A104) were conducted in healthy adults using the proposed </w:t>
      </w:r>
      <w:r w:rsidR="004F369E">
        <w:t>diroximel</w:t>
      </w:r>
      <w:r w:rsidR="00244297">
        <w:t xml:space="preserve"> fumarate</w:t>
      </w:r>
      <w:r>
        <w:t xml:space="preserve"> 462</w:t>
      </w:r>
      <w:r w:rsidR="00244297">
        <w:t> </w:t>
      </w:r>
      <w:r>
        <w:t>mg commercial formulation (as two capsules of 231 mg)</w:t>
      </w:r>
      <w:r w:rsidR="00244297">
        <w:t>.</w:t>
      </w:r>
    </w:p>
    <w:p w14:paraId="07843E5D" w14:textId="77777777" w:rsidR="00884315" w:rsidRDefault="00884315" w:rsidP="00F24E9C">
      <w:pPr>
        <w:pStyle w:val="Heading6"/>
      </w:pPr>
      <w:r>
        <w:t>Study A103</w:t>
      </w:r>
    </w:p>
    <w:p w14:paraId="77591AB9" w14:textId="3A2945A5" w:rsidR="00884315" w:rsidRDefault="00884315" w:rsidP="00884315">
      <w:r>
        <w:t xml:space="preserve">Subjects were randomised to </w:t>
      </w:r>
      <w:r w:rsidR="004F369E">
        <w:t>diroximel</w:t>
      </w:r>
      <w:r w:rsidR="00244297">
        <w:t xml:space="preserve"> fumarate</w:t>
      </w:r>
      <w:r>
        <w:t xml:space="preserve"> 462 mg or </w:t>
      </w:r>
      <w:r w:rsidR="00244297">
        <w:t>dimethyl fumarate</w:t>
      </w:r>
      <w:r>
        <w:t xml:space="preserve"> 240</w:t>
      </w:r>
      <w:r w:rsidR="00244297">
        <w:t> </w:t>
      </w:r>
      <w:r>
        <w:t>mg in a fasted state</w:t>
      </w:r>
      <w:r w:rsidR="00244297">
        <w:t xml:space="preserve"> </w:t>
      </w:r>
      <w:r>
        <w:t>and crossed</w:t>
      </w:r>
      <w:r w:rsidR="00244297">
        <w:t xml:space="preserve"> </w:t>
      </w:r>
      <w:r>
        <w:t xml:space="preserve">over after a </w:t>
      </w:r>
      <w:proofErr w:type="gramStart"/>
      <w:r>
        <w:t>7</w:t>
      </w:r>
      <w:r w:rsidR="00244297">
        <w:t xml:space="preserve"> </w:t>
      </w:r>
      <w:r>
        <w:t>day</w:t>
      </w:r>
      <w:proofErr w:type="gramEnd"/>
      <w:r>
        <w:t xml:space="preserve"> washout period.</w:t>
      </w:r>
    </w:p>
    <w:p w14:paraId="6AD27219" w14:textId="587C9BC2" w:rsidR="00884315" w:rsidRDefault="00884315" w:rsidP="00884315">
      <w:r>
        <w:t>The mean concentration</w:t>
      </w:r>
      <w:r w:rsidR="00244297">
        <w:t xml:space="preserve"> </w:t>
      </w:r>
      <w:r>
        <w:t xml:space="preserve">time profiles for </w:t>
      </w:r>
      <w:r w:rsidR="004F369E">
        <w:t>diroximel</w:t>
      </w:r>
      <w:r w:rsidR="00244297">
        <w:t xml:space="preserve"> fumarate</w:t>
      </w:r>
      <w:r>
        <w:t xml:space="preserve"> and </w:t>
      </w:r>
      <w:r w:rsidR="00244297">
        <w:t>dimethyl fumarate</w:t>
      </w:r>
      <w:r>
        <w:t xml:space="preserve"> were comparable. A delayed absorption of </w:t>
      </w:r>
      <w:r w:rsidR="00244297">
        <w:t>monomethyl fumarate</w:t>
      </w:r>
      <w:r>
        <w:t xml:space="preserve"> in the plasma and rapid elimination with time following achievement of peak</w:t>
      </w:r>
      <w:r w:rsidR="00244297" w:rsidRPr="00244297">
        <w:t xml:space="preserve"> </w:t>
      </w:r>
      <w:r w:rsidR="00244297">
        <w:t xml:space="preserve">concentrations was noted for both </w:t>
      </w:r>
      <w:r w:rsidR="004F369E">
        <w:t>diroximel</w:t>
      </w:r>
      <w:r w:rsidR="00244297">
        <w:t xml:space="preserve"> fumarate and dimethyl fumarate. Mean monomethyl fumarate concentrations were less than the lower limit of quantification (LLOQ) by 8 hours post-dose following both treatments.</w:t>
      </w:r>
    </w:p>
    <w:p w14:paraId="0784830B" w14:textId="3F70461B" w:rsidR="00244297" w:rsidRDefault="00244297" w:rsidP="00244297">
      <w:pPr>
        <w:pStyle w:val="FigureTitle"/>
      </w:pPr>
      <w:r w:rsidRPr="00244297">
        <w:t xml:space="preserve">Figure </w:t>
      </w:r>
      <w:r>
        <w:fldChar w:fldCharType="begin"/>
      </w:r>
      <w:r>
        <w:instrText>SEQ Figure \* ARABIC</w:instrText>
      </w:r>
      <w:r>
        <w:fldChar w:fldCharType="separate"/>
      </w:r>
      <w:r w:rsidR="00FE3E0A">
        <w:rPr>
          <w:noProof/>
        </w:rPr>
        <w:t>2</w:t>
      </w:r>
      <w:r>
        <w:fldChar w:fldCharType="end"/>
      </w:r>
      <w:r>
        <w:t xml:space="preserve">: </w:t>
      </w:r>
      <w:r w:rsidR="0045302C">
        <w:t xml:space="preserve">Study A103 </w:t>
      </w:r>
      <w:r>
        <w:t xml:space="preserve">Concentration time profiles for </w:t>
      </w:r>
      <w:r w:rsidR="004F369E">
        <w:t>diroximel</w:t>
      </w:r>
      <w:r>
        <w:t xml:space="preserve"> fumarate and dimethyl fumarate</w:t>
      </w:r>
    </w:p>
    <w:p w14:paraId="659E6059" w14:textId="51342E1C" w:rsidR="00244297" w:rsidRDefault="007307E6" w:rsidP="00244297">
      <w:r w:rsidRPr="007307E6">
        <w:rPr>
          <w:noProof/>
          <w:lang w:val="en-GB" w:eastAsia="en-GB"/>
        </w:rPr>
        <w:drawing>
          <wp:inline distT="0" distB="0" distL="0" distR="0" wp14:anchorId="59D9D03F" wp14:editId="43605E8F">
            <wp:extent cx="5271715" cy="2873283"/>
            <wp:effectExtent l="0" t="0" r="5715" b="3810"/>
            <wp:docPr id="1" name="Picture 1" descr="Concentration time profiles for diroxymal fumarate and dimethyl fuma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centration time profiles for diroxymal fumarate and dimethyl fumarate"/>
                    <pic:cNvPicPr/>
                  </pic:nvPicPr>
                  <pic:blipFill>
                    <a:blip r:embed="rId20"/>
                    <a:stretch>
                      <a:fillRect/>
                    </a:stretch>
                  </pic:blipFill>
                  <pic:spPr>
                    <a:xfrm>
                      <a:off x="0" y="0"/>
                      <a:ext cx="5276528" cy="2875906"/>
                    </a:xfrm>
                    <a:prstGeom prst="rect">
                      <a:avLst/>
                    </a:prstGeom>
                  </pic:spPr>
                </pic:pic>
              </a:graphicData>
            </a:graphic>
          </wp:inline>
        </w:drawing>
      </w:r>
    </w:p>
    <w:p w14:paraId="0F1190A6" w14:textId="7802317F" w:rsidR="00244297" w:rsidRDefault="0045302C" w:rsidP="00244297">
      <w:pPr>
        <w:pStyle w:val="FigureDescription"/>
      </w:pPr>
      <w:r>
        <w:t xml:space="preserve">Abbreviations: </w:t>
      </w:r>
      <w:r w:rsidR="00244297">
        <w:t xml:space="preserve">DR = </w:t>
      </w:r>
      <w:r w:rsidR="00740C4A">
        <w:t>delayed</w:t>
      </w:r>
      <w:r w:rsidR="00244297">
        <w:t xml:space="preserve"> release; DMF = dimethyl </w:t>
      </w:r>
      <w:proofErr w:type="spellStart"/>
      <w:r w:rsidR="00244297">
        <w:t>fumaraite</w:t>
      </w:r>
      <w:proofErr w:type="spellEnd"/>
      <w:r w:rsidR="00244297">
        <w:t>; MMF = monomethyl fumarate; PK = pharmacokinetics; SE = standard error</w:t>
      </w:r>
    </w:p>
    <w:p w14:paraId="2642F8F8" w14:textId="7F28D2CC" w:rsidR="00244297" w:rsidRDefault="00244297" w:rsidP="00244297">
      <w:r>
        <w:lastRenderedPageBreak/>
        <w:t>Bioequivalence was adequately demonstrated for mean systemic monomethyl fumarate exposure parameters such as area under concentration time curve from zero to last measured concentration (AUC</w:t>
      </w:r>
      <w:r w:rsidRPr="00244297">
        <w:rPr>
          <w:vertAlign w:val="subscript"/>
        </w:rPr>
        <w:t>0-last</w:t>
      </w:r>
      <w:r>
        <w:t>), area under concentration time curve from zero to infinity (AUC</w:t>
      </w:r>
      <w:r w:rsidRPr="00244297">
        <w:rPr>
          <w:vertAlign w:val="subscript"/>
        </w:rPr>
        <w:t>0-∞</w:t>
      </w:r>
      <w:r>
        <w:t>) and maximum concentration (C</w:t>
      </w:r>
      <w:r w:rsidRPr="00244297">
        <w:rPr>
          <w:vertAlign w:val="subscript"/>
        </w:rPr>
        <w:t>max</w:t>
      </w:r>
      <w:r>
        <w:t>).</w:t>
      </w:r>
    </w:p>
    <w:p w14:paraId="3D2CCA37" w14:textId="4C65C961" w:rsidR="00244297" w:rsidRDefault="00244297" w:rsidP="00244297">
      <w:r>
        <w:t>The mean C</w:t>
      </w:r>
      <w:r w:rsidRPr="00244297">
        <w:rPr>
          <w:vertAlign w:val="subscript"/>
        </w:rPr>
        <w:t>max</w:t>
      </w:r>
      <w:r>
        <w:t xml:space="preserve"> was 1.697 and 1.833 µg/mL</w:t>
      </w:r>
      <w:r w:rsidR="007307E6">
        <w:t xml:space="preserve"> (</w:t>
      </w:r>
      <w:r w:rsidR="007307E6">
        <w:fldChar w:fldCharType="begin"/>
      </w:r>
      <w:r w:rsidR="007307E6">
        <w:instrText xml:space="preserve"> REF _Ref121216133 \h </w:instrText>
      </w:r>
      <w:r w:rsidR="007307E6">
        <w:fldChar w:fldCharType="separate"/>
      </w:r>
      <w:r w:rsidR="00FE3E0A" w:rsidRPr="006C26C6">
        <w:t xml:space="preserve">Figure </w:t>
      </w:r>
      <w:r w:rsidR="00FE3E0A">
        <w:rPr>
          <w:noProof/>
        </w:rPr>
        <w:t>3</w:t>
      </w:r>
      <w:r w:rsidR="007307E6">
        <w:fldChar w:fldCharType="end"/>
      </w:r>
      <w:r w:rsidR="007307E6">
        <w:t>)</w:t>
      </w:r>
      <w:r>
        <w:t xml:space="preserve">, with median </w:t>
      </w:r>
      <w:proofErr w:type="spellStart"/>
      <w:r>
        <w:t>T</w:t>
      </w:r>
      <w:r w:rsidRPr="00244297">
        <w:rPr>
          <w:vertAlign w:val="subscript"/>
        </w:rPr>
        <w:t>max</w:t>
      </w:r>
      <w:proofErr w:type="spellEnd"/>
      <w:r>
        <w:t xml:space="preserve"> of 2.5 and 3 hours for </w:t>
      </w:r>
      <w:r w:rsidR="004F369E">
        <w:t>diroximel</w:t>
      </w:r>
      <w:r w:rsidRPr="00244297">
        <w:t xml:space="preserve"> fumarate and dimethyl fumarate</w:t>
      </w:r>
      <w:r>
        <w:t>, respectively. The mean AUC last was 3.524 and 3.299 h*</w:t>
      </w:r>
      <w:r w:rsidR="00B25C17">
        <w:t>µ</w:t>
      </w:r>
      <w:r>
        <w:t>g/mL, and AUC∞ was 3.813 and 3.665 h</w:t>
      </w:r>
      <w:r w:rsidR="00B25C17">
        <w:t>*µ</w:t>
      </w:r>
      <w:r>
        <w:t xml:space="preserve">g/mL for </w:t>
      </w:r>
      <w:r w:rsidR="004F369E">
        <w:t>diroximel</w:t>
      </w:r>
      <w:r w:rsidR="00B25C17" w:rsidRPr="00244297">
        <w:t xml:space="preserve"> fumarate and dimethyl fumarate</w:t>
      </w:r>
      <w:r>
        <w:t>, respectively</w:t>
      </w:r>
      <w:r w:rsidR="007307E6">
        <w:t xml:space="preserve"> (</w:t>
      </w:r>
      <w:r w:rsidR="007307E6">
        <w:fldChar w:fldCharType="begin"/>
      </w:r>
      <w:r w:rsidR="007307E6">
        <w:instrText xml:space="preserve"> REF _Ref121216150 \h </w:instrText>
      </w:r>
      <w:r w:rsidR="007307E6">
        <w:fldChar w:fldCharType="separate"/>
      </w:r>
      <w:r w:rsidR="00FE3E0A">
        <w:t xml:space="preserve">Figure </w:t>
      </w:r>
      <w:r w:rsidR="00FE3E0A">
        <w:rPr>
          <w:noProof/>
        </w:rPr>
        <w:t>4</w:t>
      </w:r>
      <w:r w:rsidR="007307E6">
        <w:fldChar w:fldCharType="end"/>
      </w:r>
      <w:r w:rsidR="007307E6">
        <w:t>)</w:t>
      </w:r>
      <w:r>
        <w:t xml:space="preserve">. The median </w:t>
      </w:r>
      <w:r w:rsidR="00B25C17">
        <w:t>half-life (t</w:t>
      </w:r>
      <w:r>
        <w:t>½</w:t>
      </w:r>
      <w:r w:rsidR="00B25C17">
        <w:t>)</w:t>
      </w:r>
      <w:r w:rsidR="007307E6">
        <w:t xml:space="preserve"> </w:t>
      </w:r>
      <w:r>
        <w:t xml:space="preserve">of </w:t>
      </w:r>
      <w:r w:rsidR="00B25C17">
        <w:t>monomethyl fumarate</w:t>
      </w:r>
      <w:r>
        <w:t xml:space="preserve"> in plasma was 0.746 and 0.679 hours for </w:t>
      </w:r>
      <w:r w:rsidR="004F369E">
        <w:t>diroximel</w:t>
      </w:r>
      <w:r w:rsidR="00B25C17" w:rsidRPr="00244297">
        <w:t xml:space="preserve"> fumarate and dimethyl fumarate</w:t>
      </w:r>
      <w:r>
        <w:t>, respectively.</w:t>
      </w:r>
    </w:p>
    <w:p w14:paraId="42E62329" w14:textId="305BDA94" w:rsidR="00B25C17" w:rsidRDefault="00B25C17" w:rsidP="006C26C6">
      <w:pPr>
        <w:pStyle w:val="FigureTitle"/>
      </w:pPr>
      <w:bookmarkStart w:id="46" w:name="_Ref121216133"/>
      <w:r w:rsidRPr="006C26C6">
        <w:t xml:space="preserve">Figure </w:t>
      </w:r>
      <w:r>
        <w:fldChar w:fldCharType="begin"/>
      </w:r>
      <w:r>
        <w:instrText>SEQ Figure \* ARABIC</w:instrText>
      </w:r>
      <w:r>
        <w:fldChar w:fldCharType="separate"/>
      </w:r>
      <w:r w:rsidR="00FE3E0A">
        <w:rPr>
          <w:noProof/>
        </w:rPr>
        <w:t>3</w:t>
      </w:r>
      <w:r>
        <w:fldChar w:fldCharType="end"/>
      </w:r>
      <w:bookmarkEnd w:id="46"/>
      <w:r>
        <w:t>:</w:t>
      </w:r>
      <w:r w:rsidR="00C82D1E">
        <w:t xml:space="preserve"> </w:t>
      </w:r>
      <w:r w:rsidR="006C26C6">
        <w:t xml:space="preserve">Study A103 </w:t>
      </w:r>
      <w:r w:rsidR="00C82D1E" w:rsidRPr="00C82D1E">
        <w:t xml:space="preserve">Boxplot </w:t>
      </w:r>
      <w:r w:rsidR="008943F7">
        <w:t xml:space="preserve">comparison </w:t>
      </w:r>
      <w:r w:rsidR="00C82D1E" w:rsidRPr="00C82D1E">
        <w:t xml:space="preserve">of </w:t>
      </w:r>
      <w:r w:rsidR="0045302C">
        <w:t xml:space="preserve">diroximel fumarate and dimethyl fumarate </w:t>
      </w:r>
      <w:r w:rsidR="00C82D1E" w:rsidRPr="00C82D1E">
        <w:t>maximum concentration</w:t>
      </w:r>
    </w:p>
    <w:p w14:paraId="090EF8B6" w14:textId="5EAD717E" w:rsidR="00B25C17" w:rsidRDefault="007307E6" w:rsidP="00B25C17">
      <w:r w:rsidRPr="007307E6">
        <w:rPr>
          <w:noProof/>
          <w:lang w:val="en-GB" w:eastAsia="en-GB"/>
        </w:rPr>
        <w:drawing>
          <wp:inline distT="0" distB="0" distL="0" distR="0" wp14:anchorId="38F7718D" wp14:editId="15BCFEC0">
            <wp:extent cx="5400040" cy="2629535"/>
            <wp:effectExtent l="0" t="0" r="0" b="0"/>
            <wp:docPr id="6" name="Picture 6" descr="Study A103 Boxplot of maximum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A103 Boxplot of maximum concentration"/>
                    <pic:cNvPicPr/>
                  </pic:nvPicPr>
                  <pic:blipFill>
                    <a:blip r:embed="rId21"/>
                    <a:stretch>
                      <a:fillRect/>
                    </a:stretch>
                  </pic:blipFill>
                  <pic:spPr>
                    <a:xfrm>
                      <a:off x="0" y="0"/>
                      <a:ext cx="5400040" cy="2629535"/>
                    </a:xfrm>
                    <a:prstGeom prst="rect">
                      <a:avLst/>
                    </a:prstGeom>
                  </pic:spPr>
                </pic:pic>
              </a:graphicData>
            </a:graphic>
          </wp:inline>
        </w:drawing>
      </w:r>
    </w:p>
    <w:p w14:paraId="3EE7C730" w14:textId="485FFF3E" w:rsidR="0045302C" w:rsidRDefault="0045302C" w:rsidP="00F24E9C">
      <w:pPr>
        <w:pStyle w:val="FigureDescription"/>
      </w:pPr>
      <w:r>
        <w:t>Abbreviations: ALKS 8700 DR = diroximel fumarate; Conc = concentration; DMF = dimethyl fumarate; max = maximum</w:t>
      </w:r>
    </w:p>
    <w:p w14:paraId="5B938747" w14:textId="77EB77F6" w:rsidR="007307E6" w:rsidRDefault="007307E6" w:rsidP="006C26C6">
      <w:pPr>
        <w:pStyle w:val="FigureTitle"/>
      </w:pPr>
      <w:bookmarkStart w:id="47" w:name="_Ref121216150"/>
      <w:r>
        <w:t xml:space="preserve">Figure </w:t>
      </w:r>
      <w:r>
        <w:fldChar w:fldCharType="begin"/>
      </w:r>
      <w:r>
        <w:instrText>SEQ Figure \* ARABIC</w:instrText>
      </w:r>
      <w:r>
        <w:fldChar w:fldCharType="separate"/>
      </w:r>
      <w:r w:rsidR="00FE3E0A">
        <w:rPr>
          <w:noProof/>
        </w:rPr>
        <w:t>4</w:t>
      </w:r>
      <w:r>
        <w:fldChar w:fldCharType="end"/>
      </w:r>
      <w:bookmarkEnd w:id="47"/>
      <w:r>
        <w:t>:</w:t>
      </w:r>
      <w:r w:rsidR="006C26C6" w:rsidRPr="006C26C6">
        <w:t xml:space="preserve"> </w:t>
      </w:r>
      <w:r w:rsidR="006C26C6">
        <w:t xml:space="preserve">Study A103 </w:t>
      </w:r>
      <w:r w:rsidR="006C26C6" w:rsidRPr="00C82D1E">
        <w:t xml:space="preserve">Boxplot </w:t>
      </w:r>
      <w:r w:rsidR="008943F7">
        <w:t xml:space="preserve">comparison </w:t>
      </w:r>
      <w:r w:rsidR="006C26C6" w:rsidRPr="00C82D1E">
        <w:t xml:space="preserve">of </w:t>
      </w:r>
      <w:r w:rsidR="0045302C">
        <w:t>diroximel fumarate and dimethyl fumarate</w:t>
      </w:r>
      <w:r w:rsidR="008943F7">
        <w:t xml:space="preserve"> exposure</w:t>
      </w:r>
      <w:r w:rsidR="0045302C">
        <w:t xml:space="preserve"> (AUC</w:t>
      </w:r>
      <w:r w:rsidR="0045302C" w:rsidRPr="00F24E9C">
        <w:rPr>
          <w:vertAlign w:val="subscript"/>
        </w:rPr>
        <w:t>0-last</w:t>
      </w:r>
      <w:r w:rsidR="0045302C">
        <w:t>)</w:t>
      </w:r>
    </w:p>
    <w:p w14:paraId="2B65D5F8" w14:textId="43588363" w:rsidR="007307E6" w:rsidRDefault="007307E6" w:rsidP="007307E6">
      <w:r w:rsidRPr="007307E6">
        <w:rPr>
          <w:noProof/>
          <w:lang w:val="en-GB" w:eastAsia="en-GB"/>
        </w:rPr>
        <w:drawing>
          <wp:inline distT="0" distB="0" distL="0" distR="0" wp14:anchorId="14ED13C7" wp14:editId="1EE0DF17">
            <wp:extent cx="5400040" cy="2476500"/>
            <wp:effectExtent l="0" t="0" r="0" b="0"/>
            <wp:docPr id="5" name="Picture 5" descr="Study A103 Boxplot of area under concentration time curve curve from zero to last measured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A103 Boxplot of area under concentration time curve curve from zero to last measured concentration"/>
                    <pic:cNvPicPr/>
                  </pic:nvPicPr>
                  <pic:blipFill>
                    <a:blip r:embed="rId22"/>
                    <a:stretch>
                      <a:fillRect/>
                    </a:stretch>
                  </pic:blipFill>
                  <pic:spPr>
                    <a:xfrm>
                      <a:off x="0" y="0"/>
                      <a:ext cx="5400040" cy="2476500"/>
                    </a:xfrm>
                    <a:prstGeom prst="rect">
                      <a:avLst/>
                    </a:prstGeom>
                  </pic:spPr>
                </pic:pic>
              </a:graphicData>
            </a:graphic>
          </wp:inline>
        </w:drawing>
      </w:r>
    </w:p>
    <w:p w14:paraId="402D9D55" w14:textId="2BDE8B95" w:rsidR="0045302C" w:rsidRDefault="0045302C" w:rsidP="00F24E9C">
      <w:pPr>
        <w:pStyle w:val="FigureDescription"/>
      </w:pPr>
      <w:r>
        <w:t>Abbreviations: ALKS 8700 DR = diroximel fumarate; AUC</w:t>
      </w:r>
      <w:r w:rsidRPr="001D0DA7">
        <w:rPr>
          <w:vertAlign w:val="subscript"/>
        </w:rPr>
        <w:t>0-last</w:t>
      </w:r>
      <w:r>
        <w:t xml:space="preserve"> = area under concentration time curve from zero to last measured concentration; DMF = dimethyl fumarate</w:t>
      </w:r>
    </w:p>
    <w:p w14:paraId="35B5587D" w14:textId="3964C6A6" w:rsidR="0045302C" w:rsidRDefault="0045302C"/>
    <w:p w14:paraId="68AF07E2" w14:textId="5D658DBA" w:rsidR="007307E6" w:rsidRDefault="007307E6" w:rsidP="007307E6">
      <w:r w:rsidRPr="007307E6">
        <w:lastRenderedPageBreak/>
        <w:t xml:space="preserve">In </w:t>
      </w:r>
      <w:r w:rsidR="00CB787E">
        <w:t xml:space="preserve">the </w:t>
      </w:r>
      <w:r w:rsidRPr="007307E6">
        <w:t>fasted state, the geometric mean ratios for the key PK parameters were close to 1, and the 90% confidence intervals (CIs) were contained within the standard boundaries of 0.8 to 1.25 used to evaluate bioequivalence</w:t>
      </w:r>
      <w:r>
        <w:t xml:space="preserve"> (</w:t>
      </w:r>
      <w:r>
        <w:fldChar w:fldCharType="begin"/>
      </w:r>
      <w:r>
        <w:instrText xml:space="preserve"> REF _Ref121216102 \h </w:instrText>
      </w:r>
      <w:r>
        <w:fldChar w:fldCharType="separate"/>
      </w:r>
      <w:r w:rsidR="00FE3E0A" w:rsidRPr="006C26C6">
        <w:t xml:space="preserve">Table </w:t>
      </w:r>
      <w:r w:rsidR="00FE3E0A">
        <w:rPr>
          <w:noProof/>
        </w:rPr>
        <w:t>3</w:t>
      </w:r>
      <w:r>
        <w:fldChar w:fldCharType="end"/>
      </w:r>
      <w:r>
        <w:t>)</w:t>
      </w:r>
      <w:r w:rsidRPr="007307E6">
        <w:t>.</w:t>
      </w:r>
    </w:p>
    <w:p w14:paraId="0532C5FF" w14:textId="1F65FD86" w:rsidR="007307E6" w:rsidRDefault="007307E6" w:rsidP="00F24E9C">
      <w:pPr>
        <w:pStyle w:val="Tabletitle0"/>
      </w:pPr>
      <w:bookmarkStart w:id="48" w:name="_Ref121216102"/>
      <w:r w:rsidRPr="006C26C6">
        <w:t xml:space="preserve">Table </w:t>
      </w:r>
      <w:r>
        <w:fldChar w:fldCharType="begin"/>
      </w:r>
      <w:r>
        <w:instrText>SEQ Table \* ARABIC</w:instrText>
      </w:r>
      <w:r>
        <w:fldChar w:fldCharType="separate"/>
      </w:r>
      <w:r w:rsidR="00FE3E0A">
        <w:rPr>
          <w:noProof/>
        </w:rPr>
        <w:t>3</w:t>
      </w:r>
      <w:r>
        <w:fldChar w:fldCharType="end"/>
      </w:r>
      <w:bookmarkEnd w:id="48"/>
      <w:r>
        <w:t>:</w:t>
      </w:r>
      <w:r w:rsidR="00CB787E">
        <w:t xml:space="preserve"> </w:t>
      </w:r>
      <w:r w:rsidR="006C26C6">
        <w:t xml:space="preserve">Study A103 </w:t>
      </w:r>
      <w:r w:rsidR="008943F7">
        <w:t>Comparison of g</w:t>
      </w:r>
      <w:r w:rsidR="006C26C6" w:rsidRPr="007307E6">
        <w:t xml:space="preserve">eometric mean ratios for </w:t>
      </w:r>
      <w:r w:rsidR="00CB787E">
        <w:t xml:space="preserve">key </w:t>
      </w:r>
      <w:r w:rsidR="006C26C6">
        <w:t>pharmacokinetic</w:t>
      </w:r>
      <w:r w:rsidR="006C26C6" w:rsidRPr="007307E6">
        <w:t xml:space="preserve"> parameters</w:t>
      </w:r>
      <w:r w:rsidR="008943F7">
        <w:t xml:space="preserve"> of diroximel fumarate and dimethyl fumarate</w:t>
      </w:r>
    </w:p>
    <w:p w14:paraId="48ED7C9E" w14:textId="60B60E52" w:rsidR="007307E6" w:rsidRDefault="007307E6" w:rsidP="007307E6">
      <w:r w:rsidRPr="007307E6">
        <w:rPr>
          <w:noProof/>
          <w:lang w:val="en-GB" w:eastAsia="en-GB"/>
        </w:rPr>
        <w:drawing>
          <wp:inline distT="0" distB="0" distL="0" distR="0" wp14:anchorId="47A3F9C3" wp14:editId="2C117B7B">
            <wp:extent cx="5400040" cy="1730375"/>
            <wp:effectExtent l="0" t="0" r="0" b="3175"/>
            <wp:docPr id="8" name="Picture 8" descr="Study A103 Geometric mean ratios for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y A103 Geometric mean ratios for pharmacokinetic parameters"/>
                    <pic:cNvPicPr/>
                  </pic:nvPicPr>
                  <pic:blipFill>
                    <a:blip r:embed="rId23"/>
                    <a:stretch>
                      <a:fillRect/>
                    </a:stretch>
                  </pic:blipFill>
                  <pic:spPr>
                    <a:xfrm>
                      <a:off x="0" y="0"/>
                      <a:ext cx="5400040" cy="1730375"/>
                    </a:xfrm>
                    <a:prstGeom prst="rect">
                      <a:avLst/>
                    </a:prstGeom>
                  </pic:spPr>
                </pic:pic>
              </a:graphicData>
            </a:graphic>
          </wp:inline>
        </w:drawing>
      </w:r>
    </w:p>
    <w:p w14:paraId="435040E5" w14:textId="26BBB98D" w:rsidR="00740C4A" w:rsidRPr="00740C4A" w:rsidRDefault="00740C4A" w:rsidP="00740C4A">
      <w:pPr>
        <w:pStyle w:val="TableDescription"/>
      </w:pPr>
      <w:r>
        <w:t>Abbreviation: AUC</w:t>
      </w:r>
      <w:r w:rsidRPr="00244297">
        <w:rPr>
          <w:vertAlign w:val="subscript"/>
        </w:rPr>
        <w:t>0-last</w:t>
      </w:r>
      <w:r>
        <w:rPr>
          <w:vertAlign w:val="subscript"/>
        </w:rPr>
        <w:t xml:space="preserve"> </w:t>
      </w:r>
      <w:r w:rsidRPr="00740C4A">
        <w:t xml:space="preserve">= </w:t>
      </w:r>
      <w:r>
        <w:t>area under concentration time curve from zero to last measured concentration; AUC</w:t>
      </w:r>
      <w:r w:rsidRPr="00244297">
        <w:rPr>
          <w:vertAlign w:val="subscript"/>
        </w:rPr>
        <w:t>0-∞</w:t>
      </w:r>
      <w:r>
        <w:rPr>
          <w:vertAlign w:val="subscript"/>
        </w:rPr>
        <w:t xml:space="preserve"> </w:t>
      </w:r>
      <w:r>
        <w:t>= area under concentration time curve from zero to infinity; CI = confidence interval; C</w:t>
      </w:r>
      <w:r w:rsidRPr="00740C4A">
        <w:rPr>
          <w:vertAlign w:val="subscript"/>
        </w:rPr>
        <w:t>max</w:t>
      </w:r>
      <w:r>
        <w:t xml:space="preserve"> = maximum concentration,</w:t>
      </w:r>
      <w:r w:rsidR="00AA3865">
        <w:t xml:space="preserve"> ALKS 8700</w:t>
      </w:r>
      <w:r>
        <w:t xml:space="preserve"> </w:t>
      </w:r>
      <w:r w:rsidR="009F2A3C">
        <w:t xml:space="preserve">DR = </w:t>
      </w:r>
      <w:r w:rsidR="004F369E">
        <w:t>diroximel</w:t>
      </w:r>
      <w:r w:rsidR="009F2A3C" w:rsidRPr="00244297">
        <w:t xml:space="preserve"> fumarate</w:t>
      </w:r>
      <w:r w:rsidR="009F2A3C">
        <w:t xml:space="preserve">; DMF = </w:t>
      </w:r>
      <w:r w:rsidR="009F2A3C" w:rsidRPr="00244297">
        <w:t>dimethyl fumarate</w:t>
      </w:r>
      <w:r w:rsidR="009F2A3C">
        <w:t xml:space="preserve">; </w:t>
      </w:r>
      <w:r>
        <w:t>PK = pharmacokinetics; SE = standard error</w:t>
      </w:r>
      <w:r w:rsidR="009F2A3C">
        <w:t>.</w:t>
      </w:r>
    </w:p>
    <w:p w14:paraId="7ED75F04" w14:textId="0ACA0EB9" w:rsidR="007307E6" w:rsidRDefault="007307E6" w:rsidP="007307E6">
      <w:pPr>
        <w:rPr>
          <w:sz w:val="14"/>
          <w:szCs w:val="14"/>
        </w:rPr>
      </w:pPr>
      <w:r w:rsidRPr="00740C4A">
        <w:t>I</w:t>
      </w:r>
      <w:r>
        <w:t xml:space="preserve">nter-individual variability in </w:t>
      </w:r>
      <w:r w:rsidR="00CB787E">
        <w:t xml:space="preserve">maximum concentration </w:t>
      </w:r>
      <w:r w:rsidR="00CB787E" w:rsidRPr="00CB787E">
        <w:t>(</w:t>
      </w:r>
      <w:proofErr w:type="spellStart"/>
      <w:r w:rsidRPr="00CB787E">
        <w:t>C</w:t>
      </w:r>
      <w:r w:rsidRPr="00F24E9C">
        <w:rPr>
          <w:vertAlign w:val="subscript"/>
        </w:rPr>
        <w:t>max</w:t>
      </w:r>
      <w:proofErr w:type="spellEnd"/>
      <w:r w:rsidR="00CB787E" w:rsidRPr="00F24E9C">
        <w:t>)</w:t>
      </w:r>
      <w:r w:rsidR="00CB787E" w:rsidRPr="00CB787E">
        <w:rPr>
          <w:sz w:val="14"/>
          <w:szCs w:val="14"/>
        </w:rPr>
        <w:t xml:space="preserve"> </w:t>
      </w:r>
      <w:r>
        <w:t xml:space="preserve">and AUC parameters for </w:t>
      </w:r>
      <w:r w:rsidR="00DC7E9E">
        <w:t>diroximel fumarate</w:t>
      </w:r>
      <w:r>
        <w:t xml:space="preserve"> in healthy subjects was moderate to high under fasted conditions and ranged from 23.3% to 57.2% for C</w:t>
      </w:r>
      <w:r>
        <w:rPr>
          <w:sz w:val="14"/>
          <w:szCs w:val="14"/>
        </w:rPr>
        <w:t xml:space="preserve">max </w:t>
      </w:r>
      <w:r>
        <w:t xml:space="preserve">and from 18.8% to 50.4% for </w:t>
      </w:r>
      <w:r w:rsidRPr="00CB787E">
        <w:t>AUC</w:t>
      </w:r>
      <w:r w:rsidR="00CB787E" w:rsidRPr="00CB787E">
        <w:rPr>
          <w:vertAlign w:val="subscript"/>
        </w:rPr>
        <w:t>0-</w:t>
      </w:r>
      <w:r w:rsidRPr="00F24E9C">
        <w:rPr>
          <w:vertAlign w:val="subscript"/>
        </w:rPr>
        <w:t>last.</w:t>
      </w:r>
    </w:p>
    <w:p w14:paraId="4754CB60" w14:textId="77777777" w:rsidR="007307E6" w:rsidRDefault="007307E6" w:rsidP="00F24E9C">
      <w:pPr>
        <w:pStyle w:val="Heading6"/>
      </w:pPr>
      <w:r>
        <w:t>Study A104</w:t>
      </w:r>
    </w:p>
    <w:p w14:paraId="1B0B0E00" w14:textId="0F9A0818" w:rsidR="007307E6" w:rsidRDefault="007307E6" w:rsidP="007307E6">
      <w:r>
        <w:t xml:space="preserve">Subjects were randomised to 462 mg of </w:t>
      </w:r>
      <w:r w:rsidR="004F369E">
        <w:t>diroximel</w:t>
      </w:r>
      <w:r w:rsidRPr="00244297">
        <w:t xml:space="preserve"> fumarate</w:t>
      </w:r>
      <w:r>
        <w:t xml:space="preserve"> or 240 mg of </w:t>
      </w:r>
      <w:r w:rsidRPr="00244297">
        <w:t>dimethyl fumarate</w:t>
      </w:r>
      <w:r>
        <w:t xml:space="preserve"> and crossed over after a </w:t>
      </w:r>
      <w:proofErr w:type="gramStart"/>
      <w:r>
        <w:t>24 hour</w:t>
      </w:r>
      <w:proofErr w:type="gramEnd"/>
      <w:r>
        <w:t xml:space="preserve"> washout period. Subjects consumed a high</w:t>
      </w:r>
      <w:r w:rsidR="00CB787E">
        <w:t> </w:t>
      </w:r>
      <w:r>
        <w:t>fat/high calorie (approximately 900 to 1000 calories) morning meal before study drug was administered on Days 1 and 3.</w:t>
      </w:r>
    </w:p>
    <w:p w14:paraId="19144FDE" w14:textId="36F3E674" w:rsidR="007307E6" w:rsidRDefault="007307E6" w:rsidP="007307E6">
      <w:r>
        <w:t xml:space="preserve">The mean concentration time profiles for </w:t>
      </w:r>
      <w:r w:rsidR="004F369E">
        <w:t>diroximel</w:t>
      </w:r>
      <w:r w:rsidRPr="00244297">
        <w:t xml:space="preserve"> fumarate and dimethyl fumarate</w:t>
      </w:r>
      <w:r>
        <w:t xml:space="preserve"> were comparable and generally similar to that observed in the fasted state</w:t>
      </w:r>
      <w:r w:rsidR="00FA45B1">
        <w:t xml:space="preserve"> (</w:t>
      </w:r>
      <w:r w:rsidR="00CB787E">
        <w:t xml:space="preserve">see </w:t>
      </w:r>
      <w:r w:rsidR="00FA45B1">
        <w:fldChar w:fldCharType="begin"/>
      </w:r>
      <w:r w:rsidR="00FA45B1">
        <w:instrText xml:space="preserve"> REF _Ref122084553 \h </w:instrText>
      </w:r>
      <w:r w:rsidR="00FA45B1">
        <w:fldChar w:fldCharType="separate"/>
      </w:r>
      <w:r w:rsidR="00FE3E0A" w:rsidRPr="00FA45B1">
        <w:t>Figure</w:t>
      </w:r>
      <w:r w:rsidR="00CB787E">
        <w:t>s</w:t>
      </w:r>
      <w:r w:rsidR="00FE3E0A" w:rsidRPr="00FA45B1">
        <w:t xml:space="preserve"> </w:t>
      </w:r>
      <w:r w:rsidR="00FE3E0A">
        <w:rPr>
          <w:noProof/>
        </w:rPr>
        <w:t>5</w:t>
      </w:r>
      <w:r w:rsidR="00FA45B1">
        <w:fldChar w:fldCharType="end"/>
      </w:r>
      <w:r w:rsidR="00CB787E">
        <w:t xml:space="preserve"> and</w:t>
      </w:r>
      <w:r w:rsidR="00FA45B1">
        <w:fldChar w:fldCharType="begin"/>
      </w:r>
      <w:r w:rsidR="00FA45B1">
        <w:instrText xml:space="preserve"> REF _Ref122084592 \h </w:instrText>
      </w:r>
      <w:r w:rsidR="00FA45B1">
        <w:fldChar w:fldCharType="separate"/>
      </w:r>
      <w:r w:rsidR="00FE3E0A">
        <w:t xml:space="preserve"> </w:t>
      </w:r>
      <w:r w:rsidR="00FE3E0A">
        <w:rPr>
          <w:noProof/>
        </w:rPr>
        <w:t>6</w:t>
      </w:r>
      <w:r w:rsidR="00FA45B1">
        <w:fldChar w:fldCharType="end"/>
      </w:r>
      <w:r w:rsidR="00CB787E">
        <w:t>,</w:t>
      </w:r>
      <w:r w:rsidR="00FA45B1">
        <w:t xml:space="preserve"> and </w:t>
      </w:r>
      <w:r w:rsidR="00FA45B1">
        <w:fldChar w:fldCharType="begin"/>
      </w:r>
      <w:r w:rsidR="00FA45B1">
        <w:instrText xml:space="preserve"> REF _Ref122084564 \h </w:instrText>
      </w:r>
      <w:r w:rsidR="00FA45B1">
        <w:fldChar w:fldCharType="separate"/>
      </w:r>
      <w:r w:rsidR="00FE3E0A">
        <w:t xml:space="preserve">Table </w:t>
      </w:r>
      <w:r w:rsidR="00FE3E0A">
        <w:rPr>
          <w:noProof/>
        </w:rPr>
        <w:t>4</w:t>
      </w:r>
      <w:r w:rsidR="00FA45B1">
        <w:fldChar w:fldCharType="end"/>
      </w:r>
      <w:r w:rsidR="00CB787E">
        <w:t>, below</w:t>
      </w:r>
      <w:r w:rsidR="00FA45B1">
        <w:t>)</w:t>
      </w:r>
      <w:r>
        <w:t>.</w:t>
      </w:r>
    </w:p>
    <w:p w14:paraId="7B6DAB2F" w14:textId="45DCB513" w:rsidR="007307E6" w:rsidRDefault="007307E6" w:rsidP="00FA45B1">
      <w:pPr>
        <w:pStyle w:val="FigureTitle"/>
      </w:pPr>
      <w:bookmarkStart w:id="49" w:name="_Ref122084553"/>
      <w:r w:rsidRPr="00FA45B1">
        <w:t xml:space="preserve">Figure </w:t>
      </w:r>
      <w:r>
        <w:fldChar w:fldCharType="begin"/>
      </w:r>
      <w:r>
        <w:instrText>SEQ Figure \* ARABIC</w:instrText>
      </w:r>
      <w:r>
        <w:fldChar w:fldCharType="separate"/>
      </w:r>
      <w:r w:rsidR="00FE3E0A">
        <w:rPr>
          <w:noProof/>
        </w:rPr>
        <w:t>5</w:t>
      </w:r>
      <w:r>
        <w:fldChar w:fldCharType="end"/>
      </w:r>
      <w:bookmarkEnd w:id="49"/>
      <w:r>
        <w:t>:</w:t>
      </w:r>
      <w:r w:rsidR="006C26C6">
        <w:t xml:space="preserve"> Study A104 </w:t>
      </w:r>
      <w:r w:rsidR="00FA45B1">
        <w:t xml:space="preserve">Plasma concentration of monomethyl fumarate (mean </w:t>
      </w:r>
      <w:r w:rsidR="00CB787E">
        <w:t>±</w:t>
      </w:r>
      <w:r w:rsidR="00FA45B1">
        <w:t xml:space="preserve"> standard error) in linear scale by nominal sampling time</w:t>
      </w:r>
    </w:p>
    <w:p w14:paraId="6654E9B7" w14:textId="290D597D" w:rsidR="007307E6" w:rsidRDefault="007307E6" w:rsidP="007307E6">
      <w:r w:rsidRPr="007307E6">
        <w:rPr>
          <w:noProof/>
          <w:lang w:val="en-GB" w:eastAsia="en-GB"/>
        </w:rPr>
        <w:drawing>
          <wp:inline distT="0" distB="0" distL="0" distR="0" wp14:anchorId="73CC0884" wp14:editId="18B827DD">
            <wp:extent cx="4611757" cy="2549373"/>
            <wp:effectExtent l="0" t="0" r="0" b="3810"/>
            <wp:docPr id="9" name="Picture 9" descr="Study A104 Plasma concentration of monomethyl fumarate (mean + standard error) in linear scale by nominal sampli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y A104 Plasma concentration of monomethyl fumarate (mean + standard error) in linear scale by nominal sampling time"/>
                    <pic:cNvPicPr/>
                  </pic:nvPicPr>
                  <pic:blipFill>
                    <a:blip r:embed="rId24"/>
                    <a:stretch>
                      <a:fillRect/>
                    </a:stretch>
                  </pic:blipFill>
                  <pic:spPr>
                    <a:xfrm>
                      <a:off x="0" y="0"/>
                      <a:ext cx="4632021" cy="2560575"/>
                    </a:xfrm>
                    <a:prstGeom prst="rect">
                      <a:avLst/>
                    </a:prstGeom>
                  </pic:spPr>
                </pic:pic>
              </a:graphicData>
            </a:graphic>
          </wp:inline>
        </w:drawing>
      </w:r>
    </w:p>
    <w:p w14:paraId="002EE648" w14:textId="3F1B77F0" w:rsidR="007307E6" w:rsidRDefault="007307E6" w:rsidP="007307E6">
      <w:pPr>
        <w:pStyle w:val="FigureDescription"/>
      </w:pPr>
      <w:r>
        <w:t>Abbreviation</w:t>
      </w:r>
      <w:r w:rsidR="00CB787E">
        <w:t>s</w:t>
      </w:r>
      <w:r>
        <w:t xml:space="preserve">: </w:t>
      </w:r>
      <w:r w:rsidR="00CB787E">
        <w:t xml:space="preserve">ALKS 8700 DR = diroximel fumarate; DMF = dimethyl fumarate; </w:t>
      </w:r>
      <w:r>
        <w:t xml:space="preserve">PK = </w:t>
      </w:r>
      <w:r w:rsidR="00B47846">
        <w:t>pharmacokinetic;</w:t>
      </w:r>
      <w:r>
        <w:t xml:space="preserve"> SE = standard error</w:t>
      </w:r>
      <w:r w:rsidR="00CB787E">
        <w:t>.</w:t>
      </w:r>
    </w:p>
    <w:p w14:paraId="66144A39" w14:textId="56FEDCEE" w:rsidR="00B47846" w:rsidRDefault="00B47846" w:rsidP="00F24E9C">
      <w:pPr>
        <w:pStyle w:val="Tabletitle0"/>
      </w:pPr>
      <w:bookmarkStart w:id="50" w:name="_Ref122084564"/>
      <w:r>
        <w:lastRenderedPageBreak/>
        <w:t xml:space="preserve">Table </w:t>
      </w:r>
      <w:r>
        <w:fldChar w:fldCharType="begin"/>
      </w:r>
      <w:r>
        <w:instrText>SEQ Table \* ARABIC</w:instrText>
      </w:r>
      <w:r>
        <w:fldChar w:fldCharType="separate"/>
      </w:r>
      <w:r w:rsidR="00FE3E0A">
        <w:rPr>
          <w:noProof/>
        </w:rPr>
        <w:t>4</w:t>
      </w:r>
      <w:r>
        <w:fldChar w:fldCharType="end"/>
      </w:r>
      <w:bookmarkEnd w:id="50"/>
      <w:r>
        <w:t>:</w:t>
      </w:r>
      <w:r w:rsidR="00FA45B1">
        <w:t xml:space="preserve"> Study </w:t>
      </w:r>
      <w:r w:rsidR="00CB787E">
        <w:t>A</w:t>
      </w:r>
      <w:r w:rsidR="00FA45B1">
        <w:t xml:space="preserve">104 </w:t>
      </w:r>
      <w:r w:rsidR="00CB787E">
        <w:t>Comparison of key pharmacokinetic parameters for diroximel fumarate and dimethyl fumarate</w:t>
      </w:r>
    </w:p>
    <w:p w14:paraId="24EA115B" w14:textId="017DC4DF" w:rsidR="00B47846" w:rsidRDefault="00B47846" w:rsidP="00B47846">
      <w:r w:rsidRPr="00B47846">
        <w:rPr>
          <w:noProof/>
          <w:lang w:val="en-GB" w:eastAsia="en-GB"/>
        </w:rPr>
        <w:drawing>
          <wp:inline distT="0" distB="0" distL="0" distR="0" wp14:anchorId="70D534FD" wp14:editId="6E9E93BB">
            <wp:extent cx="5160010" cy="2751115"/>
            <wp:effectExtent l="0" t="0" r="2540" b="0"/>
            <wp:docPr id="10" name="Picture 10" descr="Study 104 Maximum concentration and time to reach maximum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104 Maximum concentration and time to reach maximum concentration"/>
                    <pic:cNvPicPr/>
                  </pic:nvPicPr>
                  <pic:blipFill>
                    <a:blip r:embed="rId25"/>
                    <a:stretch>
                      <a:fillRect/>
                    </a:stretch>
                  </pic:blipFill>
                  <pic:spPr>
                    <a:xfrm>
                      <a:off x="0" y="0"/>
                      <a:ext cx="5163760" cy="2753114"/>
                    </a:xfrm>
                    <a:prstGeom prst="rect">
                      <a:avLst/>
                    </a:prstGeom>
                  </pic:spPr>
                </pic:pic>
              </a:graphicData>
            </a:graphic>
          </wp:inline>
        </w:drawing>
      </w:r>
    </w:p>
    <w:p w14:paraId="50F64A05" w14:textId="4B3E5B7A" w:rsidR="00CB787E" w:rsidRDefault="00CB787E" w:rsidP="00F24E9C">
      <w:pPr>
        <w:pStyle w:val="TableDescription"/>
      </w:pPr>
      <w:r>
        <w:t>Abbreviations: C</w:t>
      </w:r>
      <w:r w:rsidRPr="00F24E9C">
        <w:rPr>
          <w:vertAlign w:val="subscript"/>
        </w:rPr>
        <w:t>max</w:t>
      </w:r>
      <w:r>
        <w:t xml:space="preserve"> = maximum concentration; CV% = coefficient of variance; hr = hours; max = maximum; min = minimum; SD = standard deviation; </w:t>
      </w:r>
      <w:proofErr w:type="spellStart"/>
      <w:r>
        <w:t>t</w:t>
      </w:r>
      <w:r w:rsidRPr="00F24E9C">
        <w:rPr>
          <w:vertAlign w:val="subscript"/>
        </w:rPr>
        <w:t>max</w:t>
      </w:r>
      <w:proofErr w:type="spellEnd"/>
      <w:r>
        <w:t xml:space="preserve"> = time of maximum concentration</w:t>
      </w:r>
    </w:p>
    <w:p w14:paraId="62F60414" w14:textId="0A6E79AB" w:rsidR="00B47846" w:rsidRDefault="00B47846" w:rsidP="00FA45B1">
      <w:pPr>
        <w:pStyle w:val="FigureTitle"/>
      </w:pPr>
      <w:bookmarkStart w:id="51" w:name="_Ref122084592"/>
      <w:r>
        <w:t xml:space="preserve">Figure </w:t>
      </w:r>
      <w:r>
        <w:fldChar w:fldCharType="begin"/>
      </w:r>
      <w:r>
        <w:instrText>SEQ Figure \* ARABIC</w:instrText>
      </w:r>
      <w:r>
        <w:fldChar w:fldCharType="separate"/>
      </w:r>
      <w:r w:rsidR="00FE3E0A">
        <w:rPr>
          <w:noProof/>
        </w:rPr>
        <w:t>6</w:t>
      </w:r>
      <w:r>
        <w:fldChar w:fldCharType="end"/>
      </w:r>
      <w:bookmarkEnd w:id="51"/>
      <w:r>
        <w:t>:</w:t>
      </w:r>
      <w:r w:rsidR="00FA45B1">
        <w:t xml:space="preserve"> Study A104 </w:t>
      </w:r>
      <w:r w:rsidR="00FA45B1" w:rsidRPr="00FA45B1">
        <w:t xml:space="preserve">Boxplot </w:t>
      </w:r>
      <w:r w:rsidR="008943F7">
        <w:t xml:space="preserve">comparison of diroximel fumarate and dimethyl fumarate </w:t>
      </w:r>
      <w:r w:rsidR="00FA45B1" w:rsidRPr="00FA45B1">
        <w:t>maximum concentration</w:t>
      </w:r>
    </w:p>
    <w:p w14:paraId="7683F4C8" w14:textId="55AC22A3" w:rsidR="00B47846" w:rsidRDefault="00B47846" w:rsidP="00B47846">
      <w:r w:rsidRPr="00B47846">
        <w:rPr>
          <w:noProof/>
          <w:lang w:val="en-GB" w:eastAsia="en-GB"/>
        </w:rPr>
        <w:drawing>
          <wp:inline distT="0" distB="0" distL="0" distR="0" wp14:anchorId="458C436A" wp14:editId="2CE5F9A9">
            <wp:extent cx="5224007" cy="2479315"/>
            <wp:effectExtent l="0" t="0" r="0" b="0"/>
            <wp:docPr id="11" name="Picture 11" descr="Study A104 Boxplot of maximum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udy A104 Boxplot of maximum concentration"/>
                    <pic:cNvPicPr/>
                  </pic:nvPicPr>
                  <pic:blipFill>
                    <a:blip r:embed="rId26"/>
                    <a:stretch>
                      <a:fillRect/>
                    </a:stretch>
                  </pic:blipFill>
                  <pic:spPr>
                    <a:xfrm>
                      <a:off x="0" y="0"/>
                      <a:ext cx="5228173" cy="2481292"/>
                    </a:xfrm>
                    <a:prstGeom prst="rect">
                      <a:avLst/>
                    </a:prstGeom>
                  </pic:spPr>
                </pic:pic>
              </a:graphicData>
            </a:graphic>
          </wp:inline>
        </w:drawing>
      </w:r>
    </w:p>
    <w:p w14:paraId="0CB844B9" w14:textId="0D1567B2" w:rsidR="008943F7" w:rsidRDefault="008943F7" w:rsidP="00F24E9C">
      <w:pPr>
        <w:pStyle w:val="FigureDescription"/>
      </w:pPr>
      <w:r>
        <w:t xml:space="preserve">Abbreviations: ALKS 8700 DR = diroximel fumarate; conc = concentration; DMF = dimethyl fumarate; max = </w:t>
      </w:r>
      <w:proofErr w:type="spellStart"/>
      <w:r>
        <w:t>maximu</w:t>
      </w:r>
      <w:proofErr w:type="spellEnd"/>
    </w:p>
    <w:p w14:paraId="4CE37A20" w14:textId="46D47AF6" w:rsidR="00B47846" w:rsidRDefault="00B47846" w:rsidP="00B47846">
      <w:r w:rsidRPr="00B47846">
        <w:t>Bioequivalence in the fed state appeared to be demonstrated</w:t>
      </w:r>
      <w:r w:rsidR="00FA45B1">
        <w:t xml:space="preserve"> (</w:t>
      </w:r>
      <w:r w:rsidR="008943F7">
        <w:t xml:space="preserve">as shown above in </w:t>
      </w:r>
      <w:r w:rsidR="00FA45B1">
        <w:fldChar w:fldCharType="begin"/>
      </w:r>
      <w:r w:rsidR="00FA45B1">
        <w:instrText xml:space="preserve"> REF _Ref122084592 \h </w:instrText>
      </w:r>
      <w:r w:rsidR="00FA45B1">
        <w:fldChar w:fldCharType="separate"/>
      </w:r>
      <w:r w:rsidR="008943F7">
        <w:t xml:space="preserve">Figure </w:t>
      </w:r>
      <w:r w:rsidR="008943F7">
        <w:rPr>
          <w:noProof/>
        </w:rPr>
        <w:t>6</w:t>
      </w:r>
      <w:r w:rsidR="00FA45B1">
        <w:fldChar w:fldCharType="end"/>
      </w:r>
      <w:r w:rsidR="00FA45B1">
        <w:t>)</w:t>
      </w:r>
      <w:r w:rsidRPr="00B47846">
        <w:t>.</w:t>
      </w:r>
    </w:p>
    <w:p w14:paraId="6654BCA6" w14:textId="324846AA" w:rsidR="0085599E" w:rsidRDefault="0085599E" w:rsidP="00FA45B1">
      <w:pPr>
        <w:pStyle w:val="TableTitle"/>
      </w:pPr>
      <w:r w:rsidRPr="00FA45B1">
        <w:lastRenderedPageBreak/>
        <w:t xml:space="preserve">Table </w:t>
      </w:r>
      <w:r>
        <w:fldChar w:fldCharType="begin"/>
      </w:r>
      <w:r>
        <w:instrText>SEQ Table \* ARABIC</w:instrText>
      </w:r>
      <w:r>
        <w:fldChar w:fldCharType="separate"/>
      </w:r>
      <w:r w:rsidR="00FE3E0A">
        <w:rPr>
          <w:noProof/>
        </w:rPr>
        <w:t>5</w:t>
      </w:r>
      <w:r>
        <w:fldChar w:fldCharType="end"/>
      </w:r>
      <w:r>
        <w:t>:</w:t>
      </w:r>
      <w:r w:rsidR="00FA45B1">
        <w:t xml:space="preserve"> Study A104 </w:t>
      </w:r>
      <w:r w:rsidR="008943F7">
        <w:t>Comparison of g</w:t>
      </w:r>
      <w:r w:rsidR="00FA45B1" w:rsidRPr="00FA45B1">
        <w:t xml:space="preserve">eometric mean ratios for </w:t>
      </w:r>
      <w:r w:rsidR="008943F7">
        <w:t xml:space="preserve">key </w:t>
      </w:r>
      <w:r w:rsidR="00FA45B1" w:rsidRPr="00FA45B1">
        <w:t>pharmacokinetic parameters</w:t>
      </w:r>
      <w:r w:rsidR="008943F7">
        <w:t xml:space="preserve"> of diroximel fumarate and dimethyl fumarate</w:t>
      </w:r>
      <w:r w:rsidRPr="0085599E">
        <w:rPr>
          <w:noProof/>
          <w:lang w:val="en-GB" w:eastAsia="en-GB"/>
        </w:rPr>
        <w:drawing>
          <wp:inline distT="0" distB="0" distL="0" distR="0" wp14:anchorId="5932171E" wp14:editId="3A1F26A7">
            <wp:extent cx="5223510" cy="1675037"/>
            <wp:effectExtent l="0" t="0" r="0" b="1905"/>
            <wp:docPr id="12" name="Picture 12" descr="Study A104 Geometric mean ratios for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udy A104 Geometric mean ratios for pharmacokinetic parameters"/>
                    <pic:cNvPicPr/>
                  </pic:nvPicPr>
                  <pic:blipFill>
                    <a:blip r:embed="rId27"/>
                    <a:stretch>
                      <a:fillRect/>
                    </a:stretch>
                  </pic:blipFill>
                  <pic:spPr>
                    <a:xfrm>
                      <a:off x="0" y="0"/>
                      <a:ext cx="5235788" cy="1678974"/>
                    </a:xfrm>
                    <a:prstGeom prst="rect">
                      <a:avLst/>
                    </a:prstGeom>
                  </pic:spPr>
                </pic:pic>
              </a:graphicData>
            </a:graphic>
          </wp:inline>
        </w:drawing>
      </w:r>
    </w:p>
    <w:p w14:paraId="372460AC" w14:textId="19CBBE74" w:rsidR="009F2A3C" w:rsidRPr="009F2A3C" w:rsidRDefault="009F2A3C" w:rsidP="009F2A3C">
      <w:pPr>
        <w:pStyle w:val="TableDescription"/>
      </w:pPr>
      <w:r>
        <w:t>Abbreviation: AUC</w:t>
      </w:r>
      <w:r w:rsidRPr="00244297">
        <w:rPr>
          <w:vertAlign w:val="subscript"/>
        </w:rPr>
        <w:t>0-last</w:t>
      </w:r>
      <w:r>
        <w:rPr>
          <w:vertAlign w:val="subscript"/>
        </w:rPr>
        <w:t xml:space="preserve"> </w:t>
      </w:r>
      <w:r w:rsidRPr="00740C4A">
        <w:t xml:space="preserve">= </w:t>
      </w:r>
      <w:r>
        <w:t>area under concentration time curve from zero to last measured concentration; AUC</w:t>
      </w:r>
      <w:r w:rsidRPr="00244297">
        <w:rPr>
          <w:vertAlign w:val="subscript"/>
        </w:rPr>
        <w:t>0-∞</w:t>
      </w:r>
      <w:r>
        <w:rPr>
          <w:vertAlign w:val="subscript"/>
        </w:rPr>
        <w:t xml:space="preserve"> </w:t>
      </w:r>
      <w:r>
        <w:t>= area under concentration time curve from zero to infinity; CI = confidence interval; C</w:t>
      </w:r>
      <w:r w:rsidRPr="00740C4A">
        <w:rPr>
          <w:vertAlign w:val="subscript"/>
        </w:rPr>
        <w:t>max</w:t>
      </w:r>
      <w:r>
        <w:t xml:space="preserve"> = maximum concentration,</w:t>
      </w:r>
      <w:r w:rsidR="00AA3865">
        <w:t xml:space="preserve"> ALKS 8700</w:t>
      </w:r>
      <w:r>
        <w:t xml:space="preserve"> DR = </w:t>
      </w:r>
      <w:r w:rsidR="004F369E">
        <w:t>diroximel</w:t>
      </w:r>
      <w:r w:rsidRPr="00244297">
        <w:t xml:space="preserve"> fumarate</w:t>
      </w:r>
      <w:r>
        <w:t xml:space="preserve">; DMF = </w:t>
      </w:r>
      <w:r w:rsidRPr="00244297">
        <w:t>dimethyl fumarate</w:t>
      </w:r>
      <w:r>
        <w:t>; PK = pharmacokinetics; SE = standard error.</w:t>
      </w:r>
    </w:p>
    <w:p w14:paraId="18C51B3D" w14:textId="2F0FE766" w:rsidR="0085599E" w:rsidRPr="0085599E" w:rsidRDefault="00B9020D" w:rsidP="0085599E">
      <w:r>
        <w:t xml:space="preserve">The monomethyl fumarate median </w:t>
      </w:r>
      <w:r w:rsidR="004204EB">
        <w:t>time to maximum concentration (</w:t>
      </w:r>
      <w:proofErr w:type="spellStart"/>
      <w:r>
        <w:t>t</w:t>
      </w:r>
      <w:r w:rsidRPr="00F24E9C">
        <w:rPr>
          <w:vertAlign w:val="subscript"/>
        </w:rPr>
        <w:t>max</w:t>
      </w:r>
      <w:proofErr w:type="spellEnd"/>
      <w:r w:rsidR="004204EB">
        <w:t>)</w:t>
      </w:r>
      <w:r>
        <w:t xml:space="preserve">and </w:t>
      </w:r>
      <w:r w:rsidR="004204EB">
        <w:t>lag time (</w:t>
      </w:r>
      <w:proofErr w:type="spellStart"/>
      <w:r>
        <w:t>t</w:t>
      </w:r>
      <w:r w:rsidRPr="00F24E9C">
        <w:rPr>
          <w:vertAlign w:val="subscript"/>
        </w:rPr>
        <w:t>lag</w:t>
      </w:r>
      <w:proofErr w:type="spellEnd"/>
      <w:r w:rsidR="004204EB">
        <w:t xml:space="preserve">) </w:t>
      </w:r>
      <w:r>
        <w:t>increased in the presence of food. The impact of meal type on the monomethyl fumarate C</w:t>
      </w:r>
      <w:r w:rsidRPr="00F24E9C">
        <w:rPr>
          <w:vertAlign w:val="subscript"/>
        </w:rPr>
        <w:t>max</w:t>
      </w:r>
      <w:r>
        <w:t xml:space="preserve"> was related to the fat or caloric content in an inverse relationship. Hence, low reductions in </w:t>
      </w:r>
      <w:proofErr w:type="spellStart"/>
      <w:r>
        <w:t>C</w:t>
      </w:r>
      <w:r w:rsidRPr="00F24E9C">
        <w:rPr>
          <w:vertAlign w:val="subscript"/>
        </w:rPr>
        <w:t>max</w:t>
      </w:r>
      <w:proofErr w:type="spellEnd"/>
      <w:r w:rsidRPr="00F24E9C">
        <w:rPr>
          <w:vertAlign w:val="subscript"/>
        </w:rPr>
        <w:t xml:space="preserve"> </w:t>
      </w:r>
      <w:r>
        <w:t xml:space="preserve">occurred following </w:t>
      </w:r>
      <w:r w:rsidR="004204EB">
        <w:t>diroximel fumarate</w:t>
      </w:r>
      <w:r>
        <w:t xml:space="preserve"> co-administration with a low-fat meal (12%) and this compared to 44% with a high-fat meal (44%), respectively. There was no clinically meaningful impact on monomethyl fumarate AUC in the presence of a high-fat/high-calorie, medium-fat/medium-calorie, or low-fat/low-calorie meal in healthy subjects (Studies A102, A104</w:t>
      </w:r>
      <w:r w:rsidR="004204EB">
        <w:t xml:space="preserve"> and </w:t>
      </w:r>
      <w:r>
        <w:t>A109). The magnitude of the reduction in C</w:t>
      </w:r>
      <w:r w:rsidRPr="00F24E9C">
        <w:rPr>
          <w:vertAlign w:val="subscript"/>
        </w:rPr>
        <w:t>max</w:t>
      </w:r>
      <w:r>
        <w:t xml:space="preserve"> following a high-fat/high-calorie meal in the </w:t>
      </w:r>
      <w:r w:rsidRPr="00244297">
        <w:t>dimethyl fumarate</w:t>
      </w:r>
      <w:r>
        <w:t xml:space="preserve"> 240 mg application was 41% (</w:t>
      </w:r>
      <w:r w:rsidR="004204EB">
        <w:t xml:space="preserve">from the original submission to the TGA to approve Tecfidera (dimethyl </w:t>
      </w:r>
      <w:proofErr w:type="spellStart"/>
      <w:r w:rsidR="004204EB">
        <w:t>fumurate</w:t>
      </w:r>
      <w:proofErr w:type="spellEnd"/>
      <w:r w:rsidR="004204EB">
        <w:t>)</w:t>
      </w:r>
      <w:r w:rsidR="004E66A9">
        <w:fldChar w:fldCharType="begin"/>
      </w:r>
      <w:r w:rsidR="004E66A9">
        <w:instrText xml:space="preserve"> NOTEREF _Ref121906479 \f \h </w:instrText>
      </w:r>
      <w:r w:rsidR="004E66A9">
        <w:fldChar w:fldCharType="separate"/>
      </w:r>
      <w:r w:rsidR="004E66A9" w:rsidRPr="00FE3E0A">
        <w:rPr>
          <w:rStyle w:val="FootnoteReference"/>
        </w:rPr>
        <w:t>9</w:t>
      </w:r>
      <w:r w:rsidR="004E66A9">
        <w:fldChar w:fldCharType="end"/>
      </w:r>
      <w:r w:rsidR="004E66A9">
        <w:rPr>
          <w:vertAlign w:val="superscript"/>
        </w:rPr>
        <w:t>,</w:t>
      </w:r>
      <w:r w:rsidR="004E66A9">
        <w:rPr>
          <w:vertAlign w:val="superscript"/>
        </w:rPr>
        <w:fldChar w:fldCharType="begin"/>
      </w:r>
      <w:r w:rsidR="004E66A9">
        <w:rPr>
          <w:vertAlign w:val="superscript"/>
        </w:rPr>
        <w:instrText xml:space="preserve"> NOTEREF _Ref126656824 \h </w:instrText>
      </w:r>
      <w:r w:rsidR="004E66A9">
        <w:rPr>
          <w:vertAlign w:val="superscript"/>
        </w:rPr>
      </w:r>
      <w:r w:rsidR="004E66A9">
        <w:rPr>
          <w:vertAlign w:val="superscript"/>
        </w:rPr>
        <w:fldChar w:fldCharType="separate"/>
      </w:r>
      <w:r w:rsidR="004E66A9">
        <w:rPr>
          <w:vertAlign w:val="superscript"/>
        </w:rPr>
        <w:t>10</w:t>
      </w:r>
      <w:r w:rsidR="004E66A9">
        <w:rPr>
          <w:vertAlign w:val="superscript"/>
        </w:rPr>
        <w:fldChar w:fldCharType="end"/>
      </w:r>
      <w:r>
        <w:t>)</w:t>
      </w:r>
      <w:r w:rsidR="004204EB">
        <w:t>;</w:t>
      </w:r>
      <w:r>
        <w:t xml:space="preserve"> which was comparable to 44% for the proposed diroximel</w:t>
      </w:r>
      <w:r w:rsidRPr="00244297">
        <w:t xml:space="preserve"> fumarate</w:t>
      </w:r>
      <w:r>
        <w:t xml:space="preserve"> 462 mg therapeutic dose in this application</w:t>
      </w:r>
      <w:r w:rsidR="0085599E" w:rsidRPr="0085599E">
        <w:t>.</w:t>
      </w:r>
    </w:p>
    <w:p w14:paraId="5CB2C458" w14:textId="1452DEEC" w:rsidR="0085599E" w:rsidRPr="0085599E" w:rsidRDefault="0085599E" w:rsidP="0085599E">
      <w:r w:rsidRPr="0085599E">
        <w:t xml:space="preserve">The high variability in PK measurements that was observed across treatments were </w:t>
      </w:r>
      <w:proofErr w:type="gramStart"/>
      <w:r w:rsidRPr="0085599E">
        <w:t>taken into account</w:t>
      </w:r>
      <w:proofErr w:type="gramEnd"/>
      <w:r w:rsidRPr="0085599E">
        <w:t xml:space="preserve">. Since the range of </w:t>
      </w:r>
      <w:r w:rsidR="00DC7E9E">
        <w:t xml:space="preserve">diroximel fumarate </w:t>
      </w:r>
      <w:proofErr w:type="spellStart"/>
      <w:r w:rsidRPr="0085599E">
        <w:t>C</w:t>
      </w:r>
      <w:r w:rsidRPr="006F4BD5">
        <w:rPr>
          <w:vertAlign w:val="subscript"/>
        </w:rPr>
        <w:t>max</w:t>
      </w:r>
      <w:proofErr w:type="spellEnd"/>
      <w:r w:rsidRPr="0085599E">
        <w:t xml:space="preserve"> (0.38</w:t>
      </w:r>
      <w:r w:rsidR="006F4BD5">
        <w:t xml:space="preserve"> to </w:t>
      </w:r>
      <w:r w:rsidRPr="0085599E">
        <w:t xml:space="preserve">2.37) values fell within the values for </w:t>
      </w:r>
      <w:r w:rsidR="009F2A3C" w:rsidRPr="00244297">
        <w:t>dimethyl fumarate</w:t>
      </w:r>
      <w:r w:rsidRPr="0085599E">
        <w:t xml:space="preserve"> C</w:t>
      </w:r>
      <w:r w:rsidRPr="006F4BD5">
        <w:rPr>
          <w:vertAlign w:val="subscript"/>
        </w:rPr>
        <w:t>max</w:t>
      </w:r>
      <w:r w:rsidRPr="0085599E">
        <w:t xml:space="preserve"> (0.39</w:t>
      </w:r>
      <w:r w:rsidR="006F4BD5">
        <w:t xml:space="preserve"> to </w:t>
      </w:r>
      <w:r w:rsidRPr="0085599E">
        <w:t xml:space="preserve">4.80), and they had similar </w:t>
      </w:r>
      <w:proofErr w:type="spellStart"/>
      <w:r w:rsidR="009F2A3C">
        <w:t>T</w:t>
      </w:r>
      <w:r w:rsidRPr="009F2A3C">
        <w:rPr>
          <w:vertAlign w:val="subscript"/>
        </w:rPr>
        <w:t>max</w:t>
      </w:r>
      <w:proofErr w:type="spellEnd"/>
      <w:r w:rsidRPr="0085599E">
        <w:t xml:space="preserve"> values, the evaluator considered that it was reasonable to assume </w:t>
      </w:r>
      <w:r w:rsidR="00DC7E9E">
        <w:t>diroximel fumarate</w:t>
      </w:r>
      <w:r w:rsidRPr="0085599E">
        <w:t xml:space="preserve"> and </w:t>
      </w:r>
      <w:r w:rsidR="009F2A3C" w:rsidRPr="00244297">
        <w:t>dimethyl fumarate</w:t>
      </w:r>
      <w:r w:rsidRPr="0085599E">
        <w:t xml:space="preserve"> had comparable absorption and acceptable evidence to suggest bioequivalence in the fed state.</w:t>
      </w:r>
    </w:p>
    <w:p w14:paraId="5123499C" w14:textId="18E0E24E" w:rsidR="0085599E" w:rsidRPr="0085599E" w:rsidRDefault="0085599E" w:rsidP="0085599E">
      <w:r w:rsidRPr="0085599E">
        <w:t>Relevant statements related to the lower C</w:t>
      </w:r>
      <w:r w:rsidRPr="006F4BD5">
        <w:rPr>
          <w:vertAlign w:val="subscript"/>
        </w:rPr>
        <w:t xml:space="preserve">max </w:t>
      </w:r>
      <w:r w:rsidRPr="0085599E">
        <w:t>are inserted in the proposed PI.</w:t>
      </w:r>
    </w:p>
    <w:p w14:paraId="51CBBB8A" w14:textId="1BD36BF2" w:rsidR="0085599E" w:rsidRPr="0085599E" w:rsidRDefault="0085599E" w:rsidP="00F24E9C">
      <w:pPr>
        <w:pStyle w:val="Heading6"/>
        <w:rPr>
          <w:rFonts w:eastAsiaTheme="minorHAnsi"/>
        </w:rPr>
      </w:pPr>
      <w:r w:rsidRPr="0085599E">
        <w:rPr>
          <w:rFonts w:eastAsiaTheme="minorHAnsi"/>
        </w:rPr>
        <w:t>Study A109</w:t>
      </w:r>
    </w:p>
    <w:p w14:paraId="0FE67D1F" w14:textId="66ECD769" w:rsidR="0085599E" w:rsidRPr="0085599E" w:rsidRDefault="0085599E" w:rsidP="0085599E">
      <w:r w:rsidRPr="0085599E">
        <w:t xml:space="preserve">The primary objective was to compare the PK of </w:t>
      </w:r>
      <w:r w:rsidR="00F367AD">
        <w:t>monomethyl fumarate</w:t>
      </w:r>
      <w:r w:rsidRPr="0085599E">
        <w:t xml:space="preserve"> following a single dose of </w:t>
      </w:r>
      <w:r w:rsidR="00DC7E9E">
        <w:t>diroximel fumarate</w:t>
      </w:r>
      <w:r w:rsidRPr="0085599E">
        <w:t xml:space="preserve"> administered after a low fat/low calorie or medium fat/medium calorie meal, relative to a single dose of </w:t>
      </w:r>
      <w:r w:rsidR="009F2A3C" w:rsidRPr="00244297">
        <w:t>dimethyl fumarate</w:t>
      </w:r>
      <w:r w:rsidRPr="0085599E">
        <w:t xml:space="preserve"> administered to fasted healthy adults. </w:t>
      </w:r>
    </w:p>
    <w:p w14:paraId="5E48F1BD" w14:textId="2F0DA3CC" w:rsidR="0085599E" w:rsidRDefault="0085599E" w:rsidP="0085599E">
      <w:r w:rsidRPr="0085599E">
        <w:t xml:space="preserve">Subjects were randomised in a 1:1:1:1 ratio to one of four treatment sequences. Each sequence was divided into 4 groups of 12 and received a single dose of either </w:t>
      </w:r>
      <w:r w:rsidR="009F2A3C" w:rsidRPr="0085599E">
        <w:t>240 m</w:t>
      </w:r>
      <w:r w:rsidR="009F2A3C">
        <w:t xml:space="preserve">g of </w:t>
      </w:r>
      <w:r w:rsidR="009F2A3C" w:rsidRPr="00244297">
        <w:t>dimethyl fumarate</w:t>
      </w:r>
      <w:r w:rsidRPr="0085599E">
        <w:t xml:space="preserve"> under fasted conditions (Group A), or </w:t>
      </w:r>
      <w:r w:rsidR="009F2A3C">
        <w:t>2</w:t>
      </w:r>
      <w:r w:rsidRPr="0085599E">
        <w:t>40 mg</w:t>
      </w:r>
      <w:r w:rsidR="009F2A3C">
        <w:t xml:space="preserve"> of </w:t>
      </w:r>
      <w:r w:rsidR="009F2A3C" w:rsidRPr="00244297">
        <w:t>dimethyl fumarate</w:t>
      </w:r>
      <w:r w:rsidRPr="0085599E">
        <w:t xml:space="preserve"> under fed conditions (high fat/high calorie meal; Group B) or </w:t>
      </w:r>
      <w:r w:rsidR="009F2A3C" w:rsidRPr="0085599E">
        <w:t xml:space="preserve">462 mg </w:t>
      </w:r>
      <w:r w:rsidR="009F2A3C">
        <w:t xml:space="preserve">of </w:t>
      </w:r>
      <w:r w:rsidR="00DC7E9E">
        <w:t>diroximel fumarate</w:t>
      </w:r>
      <w:r w:rsidRPr="0085599E">
        <w:t xml:space="preserve"> (2 x 231 mg capsules; commercial formulation) under either of the two fed conditions (low fat/low calorie meal; Group C or a medium fat/medium calorie meal; Group D).</w:t>
      </w:r>
    </w:p>
    <w:p w14:paraId="088FD877" w14:textId="514DA86E" w:rsidR="006F4BD5" w:rsidRDefault="006F4BD5" w:rsidP="006F4BD5">
      <w:r>
        <w:t>The mean concentration</w:t>
      </w:r>
      <w:r w:rsidR="009F2A3C">
        <w:t xml:space="preserve"> </w:t>
      </w:r>
      <w:r>
        <w:t xml:space="preserve">time profiles for </w:t>
      </w:r>
      <w:r w:rsidR="009F2A3C" w:rsidRPr="00244297">
        <w:t>dimethyl fumarate</w:t>
      </w:r>
      <w:r>
        <w:t xml:space="preserve"> and </w:t>
      </w:r>
      <w:r w:rsidR="00DC7E9E">
        <w:t>diroximel fumarate</w:t>
      </w:r>
      <w:r>
        <w:t xml:space="preserve"> were characterised by a delay in the absorption of </w:t>
      </w:r>
      <w:r w:rsidR="00F367AD">
        <w:t>monomethyl fumarate</w:t>
      </w:r>
      <w:r>
        <w:t xml:space="preserve"> in the plasma in the fed conditions with the longest lag following administration of a high fat/high calorie meal.</w:t>
      </w:r>
    </w:p>
    <w:p w14:paraId="1170002F" w14:textId="338822E5" w:rsidR="006F4BD5" w:rsidRDefault="006F4BD5" w:rsidP="006F4BD5">
      <w:r w:rsidRPr="00F24E9C">
        <w:rPr>
          <w:i/>
        </w:rPr>
        <w:lastRenderedPageBreak/>
        <w:t>Relative bioavailability</w:t>
      </w:r>
      <w:r>
        <w:t xml:space="preserve">: </w:t>
      </w:r>
      <w:proofErr w:type="gramStart"/>
      <w:r>
        <w:t>A greater degree of</w:t>
      </w:r>
      <w:proofErr w:type="gramEnd"/>
      <w:r>
        <w:t xml:space="preserve"> overlap in levels of systemic concentration was observed when </w:t>
      </w:r>
      <w:r w:rsidR="00DC7E9E">
        <w:t>diroximel fumarate</w:t>
      </w:r>
      <w:r>
        <w:t xml:space="preserve"> and </w:t>
      </w:r>
      <w:r w:rsidR="009F2A3C" w:rsidRPr="00244297">
        <w:t>dimethyl fumarate</w:t>
      </w:r>
      <w:r>
        <w:t xml:space="preserve"> were administered under both fasted and fed conditions.</w:t>
      </w:r>
    </w:p>
    <w:p w14:paraId="757D8DA6" w14:textId="34AFCCF4" w:rsidR="006F4BD5" w:rsidRDefault="006F4BD5" w:rsidP="009F2A3C">
      <w:pPr>
        <w:pStyle w:val="FigureTitle"/>
      </w:pPr>
      <w:r w:rsidRPr="009F2A3C">
        <w:t xml:space="preserve">Figure </w:t>
      </w:r>
      <w:r>
        <w:fldChar w:fldCharType="begin"/>
      </w:r>
      <w:r>
        <w:instrText>SEQ Figure \* ARABIC</w:instrText>
      </w:r>
      <w:r>
        <w:fldChar w:fldCharType="separate"/>
      </w:r>
      <w:r w:rsidR="00FE3E0A">
        <w:rPr>
          <w:noProof/>
        </w:rPr>
        <w:t>7</w:t>
      </w:r>
      <w:r>
        <w:fldChar w:fldCharType="end"/>
      </w:r>
      <w:r>
        <w:t>:</w:t>
      </w:r>
      <w:r w:rsidR="004204EB">
        <w:t xml:space="preserve"> </w:t>
      </w:r>
      <w:r w:rsidR="00FA45B1">
        <w:t>Study A109</w:t>
      </w:r>
      <w:r>
        <w:t xml:space="preserve"> Plasma concentration (</w:t>
      </w:r>
      <w:r w:rsidR="00FA7A3D">
        <w:t xml:space="preserve">mean </w:t>
      </w:r>
      <w:r w:rsidR="004204EB">
        <w:t>±</w:t>
      </w:r>
      <w:r w:rsidR="00FA7A3D">
        <w:t xml:space="preserve"> </w:t>
      </w:r>
      <w:r w:rsidR="009F2A3C">
        <w:t>standard error</w:t>
      </w:r>
      <w:r w:rsidR="00FA7A3D">
        <w:t>) in linear scale by nominal sampling time</w:t>
      </w:r>
      <w:r w:rsidR="001C2910">
        <w:t>;</w:t>
      </w:r>
      <w:r w:rsidR="00FA7A3D">
        <w:t xml:space="preserve"> </w:t>
      </w:r>
      <w:r w:rsidR="00F367AD">
        <w:t>monomethyl fumarate</w:t>
      </w:r>
      <w:r w:rsidR="00FA7A3D">
        <w:t xml:space="preserve"> </w:t>
      </w:r>
      <w:r w:rsidR="009F2A3C">
        <w:t>pharmacokinetics</w:t>
      </w:r>
      <w:r w:rsidR="00FA7A3D">
        <w:t xml:space="preserve"> population</w:t>
      </w:r>
      <w:r w:rsidR="009F2A3C">
        <w:t>s</w:t>
      </w:r>
      <w:r w:rsidR="00FA7A3D">
        <w:t xml:space="preserve"> excluding samples with incorrect sample preparation</w:t>
      </w:r>
    </w:p>
    <w:p w14:paraId="4CDE6742" w14:textId="1E415E9E" w:rsidR="006F4BD5" w:rsidRDefault="00FA7A3D" w:rsidP="006F4BD5">
      <w:r w:rsidRPr="00FA7A3D">
        <w:rPr>
          <w:noProof/>
          <w:lang w:val="en-GB" w:eastAsia="en-GB"/>
        </w:rPr>
        <w:drawing>
          <wp:inline distT="0" distB="0" distL="0" distR="0" wp14:anchorId="1C9F80D4" wp14:editId="26D24971">
            <wp:extent cx="5400040" cy="2801620"/>
            <wp:effectExtent l="0" t="0" r="0" b="0"/>
            <wp:docPr id="14" name="Picture 14" descr="Study A109 Plasma concentration (mean + standard error) in linear scale by nominal sampling time – monomethyl fumarate pharmacokinetics populations excluding samples with incorrect sample pr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y A109 Plasma concentration (mean + standard error) in linear scale by nominal sampling time – monomethyl fumarate pharmacokinetics populations excluding samples with incorrect sample preparation"/>
                    <pic:cNvPicPr/>
                  </pic:nvPicPr>
                  <pic:blipFill>
                    <a:blip r:embed="rId28"/>
                    <a:stretch>
                      <a:fillRect/>
                    </a:stretch>
                  </pic:blipFill>
                  <pic:spPr>
                    <a:xfrm>
                      <a:off x="0" y="0"/>
                      <a:ext cx="5400040" cy="2801620"/>
                    </a:xfrm>
                    <a:prstGeom prst="rect">
                      <a:avLst/>
                    </a:prstGeom>
                  </pic:spPr>
                </pic:pic>
              </a:graphicData>
            </a:graphic>
          </wp:inline>
        </w:drawing>
      </w:r>
    </w:p>
    <w:p w14:paraId="4CD7A538" w14:textId="149CB164" w:rsidR="001C2910" w:rsidRDefault="001C2910" w:rsidP="00F24E9C">
      <w:pPr>
        <w:pStyle w:val="FigureDescription"/>
      </w:pPr>
      <w:r>
        <w:t>Abbreviations: ALKS 9700 = diroximel fumarate; DMF = dimethyl fumarate.</w:t>
      </w:r>
    </w:p>
    <w:p w14:paraId="2EC12C2F" w14:textId="575686B4" w:rsidR="00FA7A3D" w:rsidRDefault="00FA7A3D" w:rsidP="009F2A3C">
      <w:pPr>
        <w:pStyle w:val="FigureTitle"/>
      </w:pPr>
      <w:r w:rsidRPr="009F2A3C">
        <w:t xml:space="preserve">Figure </w:t>
      </w:r>
      <w:r>
        <w:fldChar w:fldCharType="begin"/>
      </w:r>
      <w:r>
        <w:instrText>SEQ Figure \* ARABIC</w:instrText>
      </w:r>
      <w:r>
        <w:fldChar w:fldCharType="separate"/>
      </w:r>
      <w:r w:rsidR="00FE3E0A">
        <w:rPr>
          <w:noProof/>
        </w:rPr>
        <w:t>8</w:t>
      </w:r>
      <w:r>
        <w:fldChar w:fldCharType="end"/>
      </w:r>
      <w:r>
        <w:t xml:space="preserve">: </w:t>
      </w:r>
      <w:r w:rsidR="00FA45B1">
        <w:t xml:space="preserve">Study A109 </w:t>
      </w:r>
      <w:r>
        <w:t xml:space="preserve">Boxplot of </w:t>
      </w:r>
      <w:r w:rsidR="009F2A3C">
        <w:t>maximum concentration</w:t>
      </w:r>
      <w:r w:rsidR="001C2910">
        <w:t xml:space="preserve">; </w:t>
      </w:r>
      <w:r w:rsidR="00F367AD">
        <w:t>monomethyl fumarate</w:t>
      </w:r>
      <w:r>
        <w:t xml:space="preserve"> </w:t>
      </w:r>
      <w:r w:rsidR="009F2A3C">
        <w:t xml:space="preserve">pharmacokinetics </w:t>
      </w:r>
      <w:r>
        <w:t>population</w:t>
      </w:r>
      <w:r w:rsidR="009F2A3C">
        <w:t>s</w:t>
      </w:r>
    </w:p>
    <w:p w14:paraId="512F73C9" w14:textId="55382B62" w:rsidR="00FA7A3D" w:rsidRDefault="00FA7A3D" w:rsidP="00FA7A3D">
      <w:r w:rsidRPr="00FA7A3D">
        <w:rPr>
          <w:noProof/>
          <w:lang w:val="en-GB" w:eastAsia="en-GB"/>
        </w:rPr>
        <w:drawing>
          <wp:inline distT="0" distB="0" distL="0" distR="0" wp14:anchorId="67F241C9" wp14:editId="0A9E193B">
            <wp:extent cx="5400040" cy="2362835"/>
            <wp:effectExtent l="0" t="0" r="0" b="0"/>
            <wp:docPr id="15" name="Picture 15" descr="Study A109 Boxplot of maximum concentration – monomethyl fumarate pharmacokinetic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y A109 Boxplot of maximum concentration – monomethyl fumarate pharmacokinetics populations"/>
                    <pic:cNvPicPr/>
                  </pic:nvPicPr>
                  <pic:blipFill>
                    <a:blip r:embed="rId29"/>
                    <a:stretch>
                      <a:fillRect/>
                    </a:stretch>
                  </pic:blipFill>
                  <pic:spPr>
                    <a:xfrm>
                      <a:off x="0" y="0"/>
                      <a:ext cx="5400040" cy="2362835"/>
                    </a:xfrm>
                    <a:prstGeom prst="rect">
                      <a:avLst/>
                    </a:prstGeom>
                  </pic:spPr>
                </pic:pic>
              </a:graphicData>
            </a:graphic>
          </wp:inline>
        </w:drawing>
      </w:r>
    </w:p>
    <w:p w14:paraId="14849650" w14:textId="2D7A8DF8" w:rsidR="009F2A3C" w:rsidRDefault="00AA3865" w:rsidP="00FA7A3D">
      <w:pPr>
        <w:pStyle w:val="FigureDescription"/>
      </w:pPr>
      <w:r>
        <w:t xml:space="preserve">Abbreviation: ALKS 8700 = </w:t>
      </w:r>
      <w:r w:rsidR="004F369E">
        <w:t>diroximel</w:t>
      </w:r>
      <w:r w:rsidRPr="00244297">
        <w:t xml:space="preserve"> fumarate</w:t>
      </w:r>
      <w:r>
        <w:t xml:space="preserve">; DMF = </w:t>
      </w:r>
      <w:r w:rsidRPr="00244297">
        <w:t>dimethyl fumarate</w:t>
      </w:r>
      <w:r>
        <w:t xml:space="preserve">. </w:t>
      </w:r>
      <w:r w:rsidR="00FA7A3D">
        <w:t xml:space="preserve">Note: The bottom and top of the box represent the </w:t>
      </w:r>
      <w:r w:rsidR="00FA7A3D" w:rsidRPr="001C2910">
        <w:t>25</w:t>
      </w:r>
      <w:r w:rsidR="00FA7A3D" w:rsidRPr="00F24E9C">
        <w:t>th</w:t>
      </w:r>
      <w:r w:rsidR="00FA7A3D" w:rsidRPr="001C2910">
        <w:t xml:space="preserve"> and 75</w:t>
      </w:r>
      <w:r w:rsidR="00FA7A3D" w:rsidRPr="00F24E9C">
        <w:t>th</w:t>
      </w:r>
      <w:r w:rsidR="00FA7A3D" w:rsidRPr="001C2910">
        <w:t xml:space="preserve"> </w:t>
      </w:r>
      <w:r w:rsidR="00FA7A3D">
        <w:t>percentiles, respectively; the whiskers represent the 10th and 90th percentiles; the line within the box represents the median</w:t>
      </w:r>
      <w:r w:rsidR="009F2A3C">
        <w:t>.</w:t>
      </w:r>
    </w:p>
    <w:p w14:paraId="1046901F" w14:textId="4C633211" w:rsidR="00FA7A3D" w:rsidRDefault="00FA7A3D" w:rsidP="00FA7A3D">
      <w:pPr>
        <w:pStyle w:val="FigureDescription"/>
      </w:pPr>
      <w:r>
        <w:t xml:space="preserve">The star represents the mean. The squares represent the values smaller than (the </w:t>
      </w:r>
      <w:r w:rsidRPr="001C2910">
        <w:t>25</w:t>
      </w:r>
      <w:r w:rsidRPr="00F24E9C">
        <w:t>th</w:t>
      </w:r>
      <w:r w:rsidRPr="001C2910">
        <w:t xml:space="preserve"> </w:t>
      </w:r>
      <w:r>
        <w:t>percentiles - 1.5 interquartile range (IQR)) or values greater than (the 7</w:t>
      </w:r>
      <w:r w:rsidRPr="001C2910">
        <w:t>5</w:t>
      </w:r>
      <w:r w:rsidRPr="00F24E9C">
        <w:t>th</w:t>
      </w:r>
      <w:r w:rsidRPr="001C2910">
        <w:t xml:space="preserve"> </w:t>
      </w:r>
      <w:r>
        <w:t>percentile + 1.5 x IQR).</w:t>
      </w:r>
    </w:p>
    <w:p w14:paraId="6D6070FD" w14:textId="3F059198" w:rsidR="00FA7A3D" w:rsidRDefault="00FA7A3D" w:rsidP="009F2A3C">
      <w:pPr>
        <w:pStyle w:val="FigureTitle"/>
      </w:pPr>
      <w:r w:rsidRPr="009F2A3C">
        <w:lastRenderedPageBreak/>
        <w:t xml:space="preserve">Figure </w:t>
      </w:r>
      <w:r>
        <w:fldChar w:fldCharType="begin"/>
      </w:r>
      <w:r>
        <w:instrText>SEQ Figure \* ARABIC</w:instrText>
      </w:r>
      <w:r>
        <w:fldChar w:fldCharType="separate"/>
      </w:r>
      <w:r w:rsidR="00FE3E0A">
        <w:rPr>
          <w:noProof/>
        </w:rPr>
        <w:t>9</w:t>
      </w:r>
      <w:r>
        <w:fldChar w:fldCharType="end"/>
      </w:r>
      <w:r>
        <w:t xml:space="preserve">: </w:t>
      </w:r>
      <w:r w:rsidR="00FA45B1">
        <w:t xml:space="preserve">Study A109 </w:t>
      </w:r>
      <w:r>
        <w:t xml:space="preserve">Boxplot </w:t>
      </w:r>
      <w:r w:rsidR="001C2910">
        <w:t>of exposure (AUC</w:t>
      </w:r>
      <w:r w:rsidR="001C2910">
        <w:rPr>
          <w:vertAlign w:val="subscript"/>
        </w:rPr>
        <w:t>0-last</w:t>
      </w:r>
      <w:r w:rsidR="001C2910">
        <w:t xml:space="preserve">); </w:t>
      </w:r>
      <w:r w:rsidR="00F367AD">
        <w:t>monomethyl fumarate</w:t>
      </w:r>
      <w:r>
        <w:t xml:space="preserve"> </w:t>
      </w:r>
      <w:r w:rsidR="009F2A3C">
        <w:t xml:space="preserve">pharmacokinetics </w:t>
      </w:r>
      <w:r>
        <w:t>population</w:t>
      </w:r>
      <w:r w:rsidR="009F2A3C">
        <w:t>s</w:t>
      </w:r>
    </w:p>
    <w:p w14:paraId="2610B8C9" w14:textId="2A4FC354" w:rsidR="00FA7A3D" w:rsidRDefault="00FA7A3D" w:rsidP="00FA7A3D">
      <w:r w:rsidRPr="00FA7A3D">
        <w:rPr>
          <w:noProof/>
          <w:lang w:val="en-GB" w:eastAsia="en-GB"/>
        </w:rPr>
        <w:drawing>
          <wp:inline distT="0" distB="0" distL="0" distR="0" wp14:anchorId="46F4A5C2" wp14:editId="78B4396F">
            <wp:extent cx="5400040" cy="2232025"/>
            <wp:effectExtent l="0" t="0" r="0" b="0"/>
            <wp:docPr id="16" name="Picture 16" descr="Study A109 Boxplot of area under concentration time curve from zero to infinity – monomethyl fumarate pharmacokinetic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A109 Boxplot of area under concentration time curve from zero to infinity – monomethyl fumarate pharmacokinetics populations"/>
                    <pic:cNvPicPr/>
                  </pic:nvPicPr>
                  <pic:blipFill>
                    <a:blip r:embed="rId30"/>
                    <a:stretch>
                      <a:fillRect/>
                    </a:stretch>
                  </pic:blipFill>
                  <pic:spPr>
                    <a:xfrm>
                      <a:off x="0" y="0"/>
                      <a:ext cx="5400040" cy="2232025"/>
                    </a:xfrm>
                    <a:prstGeom prst="rect">
                      <a:avLst/>
                    </a:prstGeom>
                  </pic:spPr>
                </pic:pic>
              </a:graphicData>
            </a:graphic>
          </wp:inline>
        </w:drawing>
      </w:r>
    </w:p>
    <w:p w14:paraId="745F02C0" w14:textId="53AF5AB8" w:rsidR="009F2A3C" w:rsidRDefault="00AA3865" w:rsidP="00FA7A3D">
      <w:pPr>
        <w:pStyle w:val="FigureDescription"/>
      </w:pPr>
      <w:r>
        <w:t xml:space="preserve">Abbreviation: ALKS 8700 = </w:t>
      </w:r>
      <w:r w:rsidR="004F369E">
        <w:t>diroximel</w:t>
      </w:r>
      <w:r w:rsidRPr="00244297">
        <w:t xml:space="preserve"> fumarate</w:t>
      </w:r>
      <w:r>
        <w:t xml:space="preserve">; </w:t>
      </w:r>
      <w:r w:rsidR="001C2910" w:rsidRPr="001C2910">
        <w:t>AUC</w:t>
      </w:r>
      <w:r w:rsidR="001C2910">
        <w:rPr>
          <w:vertAlign w:val="subscript"/>
        </w:rPr>
        <w:t>0-last</w:t>
      </w:r>
      <w:r w:rsidR="001C2910">
        <w:t xml:space="preserve"> = area under the concentration-time curve from time zero (dosing) to last measured concentration; </w:t>
      </w:r>
      <w:r w:rsidRPr="001C2910">
        <w:t>DMF</w:t>
      </w:r>
      <w:r>
        <w:t xml:space="preserve"> = </w:t>
      </w:r>
      <w:r w:rsidRPr="00244297">
        <w:t>dimethyl fumarate</w:t>
      </w:r>
      <w:r>
        <w:t xml:space="preserve">. </w:t>
      </w:r>
      <w:r w:rsidR="00FA7A3D">
        <w:t xml:space="preserve">Note: The bottom and top of the box represent the </w:t>
      </w:r>
      <w:r w:rsidR="00FA7A3D" w:rsidRPr="001C2910">
        <w:t>25</w:t>
      </w:r>
      <w:r w:rsidR="00FA7A3D" w:rsidRPr="00F24E9C">
        <w:t>th</w:t>
      </w:r>
      <w:r w:rsidR="00FA7A3D" w:rsidRPr="001C2910">
        <w:t xml:space="preserve"> and 75</w:t>
      </w:r>
      <w:r w:rsidR="00FA7A3D" w:rsidRPr="00F24E9C">
        <w:t>th</w:t>
      </w:r>
      <w:r w:rsidR="00FA7A3D">
        <w:t xml:space="preserve"> percentiles, respectively; the whiskers represent the 10th and 90th percentiles; the line within the box represents the median</w:t>
      </w:r>
      <w:r w:rsidR="009F2A3C">
        <w:t>.</w:t>
      </w:r>
    </w:p>
    <w:p w14:paraId="51053812" w14:textId="4C1247F3" w:rsidR="00FA7A3D" w:rsidRDefault="00FA7A3D" w:rsidP="00FA7A3D">
      <w:pPr>
        <w:pStyle w:val="FigureDescription"/>
      </w:pPr>
      <w:r>
        <w:t>The star represents the mean. The squares represent the values smaller than (the 2</w:t>
      </w:r>
      <w:r w:rsidRPr="001C2910">
        <w:t>5</w:t>
      </w:r>
      <w:r w:rsidRPr="00F24E9C">
        <w:t>th</w:t>
      </w:r>
      <w:r w:rsidRPr="001C2910">
        <w:t xml:space="preserve"> </w:t>
      </w:r>
      <w:r>
        <w:t xml:space="preserve">percentiles - 1.5 interquartile range (IQR)) or values greater than (the </w:t>
      </w:r>
      <w:r w:rsidRPr="001C2910">
        <w:t>75</w:t>
      </w:r>
      <w:r w:rsidRPr="00F24E9C">
        <w:t>th</w:t>
      </w:r>
      <w:r w:rsidRPr="001C2910">
        <w:t xml:space="preserve"> </w:t>
      </w:r>
      <w:r>
        <w:t>percentile + 1.5 x IQR).</w:t>
      </w:r>
    </w:p>
    <w:p w14:paraId="43AF4C0A" w14:textId="77777777" w:rsidR="00FA7A3D" w:rsidRPr="00AA3865" w:rsidRDefault="00FA7A3D" w:rsidP="00FA7A3D">
      <w:pPr>
        <w:pStyle w:val="Heading5"/>
      </w:pPr>
      <w:r w:rsidRPr="00AA3865">
        <w:t>Dose proportionality</w:t>
      </w:r>
    </w:p>
    <w:p w14:paraId="14063856" w14:textId="09383145" w:rsidR="00FA7A3D" w:rsidRDefault="00FA7A3D" w:rsidP="00FA7A3D">
      <w:r w:rsidRPr="00AA3865">
        <w:t xml:space="preserve">Peak </w:t>
      </w:r>
      <w:r w:rsidR="00F367AD" w:rsidRPr="00AA3865">
        <w:t>monomethyl fumarate</w:t>
      </w:r>
      <w:r w:rsidRPr="00AA3865">
        <w:t xml:space="preserve"> plasma concentrations (C</w:t>
      </w:r>
      <w:r w:rsidRPr="00AA3865">
        <w:rPr>
          <w:vertAlign w:val="subscript"/>
        </w:rPr>
        <w:t>max</w:t>
      </w:r>
      <w:r w:rsidRPr="00AA3865">
        <w:t>) and overall exposure (AUC</w:t>
      </w:r>
      <w:r w:rsidR="001C2910">
        <w:rPr>
          <w:vertAlign w:val="subscript"/>
        </w:rPr>
        <w:t>0-∞</w:t>
      </w:r>
      <w:r w:rsidRPr="00AA3865">
        <w:t>) increased in an approximately dose-proportional manner over multiple dose ranges 49 mg to 980 mg dose-range, as single and multiple (</w:t>
      </w:r>
      <w:r w:rsidR="00AA3865" w:rsidRPr="00AA3865">
        <w:t>twice daily)</w:t>
      </w:r>
      <w:r w:rsidRPr="00AA3865">
        <w:t xml:space="preserve"> </w:t>
      </w:r>
      <w:r w:rsidR="00DC7E9E" w:rsidRPr="00AA3865">
        <w:t>diroximel fumarate</w:t>
      </w:r>
      <w:r w:rsidRPr="00AA3865">
        <w:t xml:space="preserve"> doses, in healthy adult subjects in the fasted state.</w:t>
      </w:r>
    </w:p>
    <w:p w14:paraId="5E4D53E9" w14:textId="3B4EA15C" w:rsidR="00FA7A3D" w:rsidRDefault="00FA7A3D" w:rsidP="00FA7A3D">
      <w:r>
        <w:t xml:space="preserve">Minimal or no </w:t>
      </w:r>
      <w:r w:rsidR="00F367AD">
        <w:t>monomethyl fumarate</w:t>
      </w:r>
      <w:r>
        <w:t xml:space="preserve"> accumulation (0.9- to 1.2-fold) was observed after </w:t>
      </w:r>
      <w:r w:rsidR="00AA3865">
        <w:t>twice daily</w:t>
      </w:r>
      <w:r>
        <w:t xml:space="preserve"> dosing. </w:t>
      </w:r>
      <w:r w:rsidR="00AA3865">
        <w:t>Hydroxyethyl succinimide</w:t>
      </w:r>
      <w:r>
        <w:t xml:space="preserve"> exhibited a </w:t>
      </w:r>
      <w:r w:rsidR="00AA3865">
        <w:t xml:space="preserve">half-life </w:t>
      </w:r>
      <w:r>
        <w:t xml:space="preserve">in plasma that was greater than the dosing interval, resulting in a 2.1- to 2.5-fold accumulation with </w:t>
      </w:r>
      <w:r w:rsidR="00AA3865">
        <w:t xml:space="preserve">twice daily </w:t>
      </w:r>
      <w:r>
        <w:t xml:space="preserve">administration of </w:t>
      </w:r>
      <w:r w:rsidR="00DC7E9E">
        <w:t>diroximel fumarate</w:t>
      </w:r>
      <w:r>
        <w:t xml:space="preserve">. </w:t>
      </w:r>
      <w:r w:rsidR="00AA3865">
        <w:t>Hydroxyethyl succinimide</w:t>
      </w:r>
      <w:r>
        <w:t xml:space="preserve"> exposure was 10- to 13-fold greater than </w:t>
      </w:r>
      <w:r w:rsidR="00F367AD">
        <w:t>monomethyl fumarate</w:t>
      </w:r>
      <w:r>
        <w:t xml:space="preserve"> exposure at steady state in healthy participants.</w:t>
      </w:r>
    </w:p>
    <w:p w14:paraId="5798F7D8" w14:textId="77777777" w:rsidR="00FA7A3D" w:rsidRDefault="00FA7A3D" w:rsidP="00FA7A3D">
      <w:pPr>
        <w:pStyle w:val="Heading5"/>
      </w:pPr>
      <w:r>
        <w:t>Distribution</w:t>
      </w:r>
    </w:p>
    <w:p w14:paraId="22691062" w14:textId="1868AC3B" w:rsidR="00FA7A3D" w:rsidRDefault="00FA7A3D" w:rsidP="00FA7A3D">
      <w:r>
        <w:t xml:space="preserve">Across studies, mean apparent volume of distribution of </w:t>
      </w:r>
      <w:r w:rsidR="00F367AD">
        <w:t>monomethyl fumarate</w:t>
      </w:r>
      <w:r>
        <w:t xml:space="preserve"> after single oral administration of </w:t>
      </w:r>
      <w:r w:rsidR="00DC7E9E">
        <w:t>diroximel fumarate</w:t>
      </w:r>
      <w:r>
        <w:t xml:space="preserve"> to healthy fasted subjects ranged from 63.9 L to 130 L over the dose</w:t>
      </w:r>
      <w:r w:rsidR="00AA3865">
        <w:t xml:space="preserve"> </w:t>
      </w:r>
      <w:r>
        <w:t xml:space="preserve">range 210 mg to 980 mg. The apparent volume of distribution of pooled human plasma results for </w:t>
      </w:r>
      <w:r w:rsidR="00F367AD">
        <w:t>monomethyl fumarate</w:t>
      </w:r>
      <w:r>
        <w:t xml:space="preserve"> in the Tecfidera PI</w:t>
      </w:r>
      <w:r w:rsidR="004E66A9">
        <w:t>;</w:t>
      </w:r>
      <w:r w:rsidR="004E66A9">
        <w:fldChar w:fldCharType="begin"/>
      </w:r>
      <w:r w:rsidR="004E66A9">
        <w:instrText xml:space="preserve"> NOTEREF _Ref121906479 \f \h </w:instrText>
      </w:r>
      <w:r w:rsidR="004E66A9">
        <w:fldChar w:fldCharType="separate"/>
      </w:r>
      <w:r w:rsidR="004E66A9" w:rsidRPr="00FE3E0A">
        <w:rPr>
          <w:rStyle w:val="FootnoteReference"/>
        </w:rPr>
        <w:t>9</w:t>
      </w:r>
      <w:r w:rsidR="004E66A9">
        <w:fldChar w:fldCharType="end"/>
      </w:r>
      <w:r w:rsidR="004E66A9">
        <w:rPr>
          <w:vertAlign w:val="superscript"/>
        </w:rPr>
        <w:t>,</w:t>
      </w:r>
      <w:r w:rsidR="004E66A9">
        <w:rPr>
          <w:vertAlign w:val="superscript"/>
        </w:rPr>
        <w:fldChar w:fldCharType="begin"/>
      </w:r>
      <w:r w:rsidR="004E66A9">
        <w:rPr>
          <w:vertAlign w:val="superscript"/>
        </w:rPr>
        <w:instrText xml:space="preserve"> NOTEREF _Ref126656824 \h </w:instrText>
      </w:r>
      <w:r w:rsidR="004E66A9">
        <w:rPr>
          <w:vertAlign w:val="superscript"/>
        </w:rPr>
      </w:r>
      <w:r w:rsidR="004E66A9">
        <w:rPr>
          <w:vertAlign w:val="superscript"/>
        </w:rPr>
        <w:fldChar w:fldCharType="separate"/>
      </w:r>
      <w:r w:rsidR="004E66A9">
        <w:rPr>
          <w:vertAlign w:val="superscript"/>
        </w:rPr>
        <w:t>10</w:t>
      </w:r>
      <w:r w:rsidR="004E66A9">
        <w:rPr>
          <w:vertAlign w:val="superscript"/>
        </w:rPr>
        <w:fldChar w:fldCharType="end"/>
      </w:r>
      <w:r>
        <w:t xml:space="preserve"> for an oral dose of </w:t>
      </w:r>
      <w:r w:rsidR="00AA3865" w:rsidRPr="00244297">
        <w:t>dimethyl fumarate</w:t>
      </w:r>
      <w:r>
        <w:t xml:space="preserve"> 240 mg (60 L to 90 L) was similar to an oral dose of </w:t>
      </w:r>
      <w:r w:rsidR="00DC7E9E">
        <w:t>diroximel fumarate</w:t>
      </w:r>
      <w:r>
        <w:t xml:space="preserve"> 462 mg in this application (72 L to 83 L). Protein binding was not found to be </w:t>
      </w:r>
      <w:proofErr w:type="gramStart"/>
      <w:r>
        <w:t>concentration-dependent</w:t>
      </w:r>
      <w:proofErr w:type="gramEnd"/>
      <w:r>
        <w:t>.</w:t>
      </w:r>
    </w:p>
    <w:p w14:paraId="33A63D32" w14:textId="77777777" w:rsidR="00FA7A3D" w:rsidRDefault="00FA7A3D" w:rsidP="00FA7A3D">
      <w:pPr>
        <w:pStyle w:val="Heading5"/>
      </w:pPr>
      <w:r>
        <w:t>Metabolism</w:t>
      </w:r>
    </w:p>
    <w:p w14:paraId="0B86667B" w14:textId="725553DE" w:rsidR="00FA7A3D" w:rsidRDefault="00AA3865" w:rsidP="00FA7A3D">
      <w:r>
        <w:t>D</w:t>
      </w:r>
      <w:r w:rsidR="00DC7E9E">
        <w:t>iroximel fumarate</w:t>
      </w:r>
      <w:r w:rsidR="00FA7A3D">
        <w:t xml:space="preserve"> is metabolised to the active moiety </w:t>
      </w:r>
      <w:r w:rsidR="00F367AD">
        <w:t>monomethyl fumarate</w:t>
      </w:r>
      <w:r w:rsidR="00FA7A3D">
        <w:t xml:space="preserve"> and the primary, inactive metabolite</w:t>
      </w:r>
      <w:r>
        <w:t xml:space="preserve"> hydroxyethyl succinimide</w:t>
      </w:r>
      <w:r w:rsidR="00FA7A3D">
        <w:t xml:space="preserve"> and to a lesser extent another inactive metabolite, RDC-8439. Metabolism of </w:t>
      </w:r>
      <w:r w:rsidR="00F367AD">
        <w:t>monomethyl fumarate</w:t>
      </w:r>
      <w:r w:rsidR="00FA7A3D">
        <w:t xml:space="preserve"> is well established and occurs via </w:t>
      </w:r>
      <w:proofErr w:type="spellStart"/>
      <w:r w:rsidR="00FA7A3D">
        <w:t>esterases</w:t>
      </w:r>
      <w:proofErr w:type="spellEnd"/>
      <w:r w:rsidR="00FA7A3D">
        <w:t xml:space="preserve"> followed by the </w:t>
      </w:r>
      <w:r w:rsidRPr="00AA3865">
        <w:t>tricarboxylic acid</w:t>
      </w:r>
      <w:r w:rsidR="00FA7A3D">
        <w:t xml:space="preserve"> cycle, and the primary route of </w:t>
      </w:r>
      <w:r w:rsidR="00F367AD">
        <w:t>monomethyl fumarate</w:t>
      </w:r>
      <w:r w:rsidR="00FA7A3D">
        <w:t xml:space="preserve"> elimination is exhalation of </w:t>
      </w:r>
      <w:r w:rsidR="00F367AD">
        <w:t>carbon dioxide</w:t>
      </w:r>
      <w:r w:rsidR="00FA7A3D">
        <w:t xml:space="preserve">. </w:t>
      </w:r>
      <w:r w:rsidR="00F367AD">
        <w:t>Monomethyl fumarate</w:t>
      </w:r>
      <w:r w:rsidR="00FA7A3D">
        <w:t xml:space="preserve"> was eliminated rapidly from plasma with a mean half-life (t½) of around 0.6 to 0.9 hours. </w:t>
      </w:r>
      <w:r>
        <w:t>Hydroxyethyl succinimide</w:t>
      </w:r>
      <w:r w:rsidR="00FA7A3D">
        <w:t xml:space="preserve"> is primarily excreted unchanged in urine and to a lesser extent </w:t>
      </w:r>
      <w:r w:rsidR="00FA7A3D">
        <w:lastRenderedPageBreak/>
        <w:t xml:space="preserve">further metabolised to two additional minor metabolites. </w:t>
      </w:r>
      <w:r>
        <w:t>Hydroxyethyl succinimide</w:t>
      </w:r>
      <w:r w:rsidR="00FA7A3D">
        <w:t xml:space="preserve"> was eliminated more slowly from plasma with a mean t½ of around 8 to 22 hours.</w:t>
      </w:r>
    </w:p>
    <w:p w14:paraId="3E1642D1" w14:textId="77777777" w:rsidR="00FA7A3D" w:rsidRDefault="00FA7A3D" w:rsidP="00FA7A3D">
      <w:pPr>
        <w:pStyle w:val="Heading5"/>
      </w:pPr>
      <w:r>
        <w:t>Clearance</w:t>
      </w:r>
    </w:p>
    <w:p w14:paraId="770E265C" w14:textId="1DA7C40A" w:rsidR="00FA7A3D" w:rsidRDefault="00F367AD" w:rsidP="00FA7A3D">
      <w:r>
        <w:t>Monomethyl fumarate</w:t>
      </w:r>
      <w:r w:rsidR="00FA7A3D">
        <w:t xml:space="preserve"> is predominantly excreted as </w:t>
      </w:r>
      <w:r>
        <w:t xml:space="preserve">carbon </w:t>
      </w:r>
      <w:r w:rsidR="00AA3865">
        <w:t>dioxide</w:t>
      </w:r>
      <w:r w:rsidR="00FA7A3D">
        <w:t xml:space="preserve">. Mean </w:t>
      </w:r>
      <w:r w:rsidR="00AA3865">
        <w:t>apparent oral clearance (</w:t>
      </w:r>
      <w:r w:rsidR="00FA7A3D">
        <w:t>CL/F</w:t>
      </w:r>
      <w:r w:rsidR="00AA3865">
        <w:t>)</w:t>
      </w:r>
      <w:r w:rsidR="00FA7A3D">
        <w:t xml:space="preserve"> of </w:t>
      </w:r>
      <w:r>
        <w:t>monomethyl fumarate</w:t>
      </w:r>
      <w:r w:rsidR="00FA7A3D">
        <w:t xml:space="preserve"> following single oral </w:t>
      </w:r>
      <w:r w:rsidR="00AA3865">
        <w:t xml:space="preserve">dose of 462 mg </w:t>
      </w:r>
      <w:r w:rsidR="00DC7E9E">
        <w:t>diroximel fumarate</w:t>
      </w:r>
      <w:r w:rsidR="00AA3865">
        <w:t xml:space="preserve"> </w:t>
      </w:r>
      <w:r w:rsidR="00FA7A3D">
        <w:t xml:space="preserve">was 78.1 L/h in healthy subjects compared to 56.4 L/h to 60.3 L/h in the renal impairment groups. The evaluator did not consider renal impairment to have a clinically meaningful impact on </w:t>
      </w:r>
      <w:r>
        <w:t>monomethyl fumarate</w:t>
      </w:r>
      <w:r w:rsidR="00FA7A3D">
        <w:t xml:space="preserve"> clearance. Hence, no dose</w:t>
      </w:r>
      <w:r w:rsidR="00AA3865">
        <w:t xml:space="preserve"> </w:t>
      </w:r>
      <w:r w:rsidR="00FA7A3D">
        <w:t xml:space="preserve">adjustment is needed in patients with mild-to-severe forms of renal impairment. This finding was further supported by the </w:t>
      </w:r>
      <w:r w:rsidR="00AA3865">
        <w:t>population pharmacokinetics</w:t>
      </w:r>
      <w:r w:rsidR="00FA7A3D">
        <w:t xml:space="preserve"> findings. The evaluator has highlighted that the renal clearance accounted for 15.5% of a radio-labelled </w:t>
      </w:r>
      <w:r w:rsidR="00AA3865">
        <w:t xml:space="preserve">240 mg of </w:t>
      </w:r>
      <w:r w:rsidR="00AA3865" w:rsidRPr="00244297">
        <w:t>dimethyl fumarate</w:t>
      </w:r>
      <w:r w:rsidR="00FA7A3D">
        <w:t>.</w:t>
      </w:r>
      <w:r w:rsidR="004F626C">
        <w:fldChar w:fldCharType="begin"/>
      </w:r>
      <w:r w:rsidR="004F626C">
        <w:instrText xml:space="preserve"> NOTEREF _Ref121906479 \f \h </w:instrText>
      </w:r>
      <w:r w:rsidR="004F626C">
        <w:fldChar w:fldCharType="separate"/>
      </w:r>
      <w:r w:rsidR="00FE3E0A" w:rsidRPr="00FE3E0A">
        <w:rPr>
          <w:rStyle w:val="FootnoteReference"/>
        </w:rPr>
        <w:t>9</w:t>
      </w:r>
      <w:r w:rsidR="004F626C">
        <w:fldChar w:fldCharType="end"/>
      </w:r>
    </w:p>
    <w:p w14:paraId="74E2A0D6" w14:textId="4BC6D12C" w:rsidR="00FA7A3D" w:rsidRDefault="00FA7A3D" w:rsidP="00FA7A3D">
      <w:r w:rsidRPr="00AD27E2">
        <w:t xml:space="preserve">The evaluator has highlighted that no studies were undertaken in dialysis patients, </w:t>
      </w:r>
      <w:r w:rsidR="00DC7E9E" w:rsidRPr="00AD27E2">
        <w:t>diroximel fumarate</w:t>
      </w:r>
      <w:r w:rsidRPr="00AD27E2">
        <w:t xml:space="preserve"> dose-adjustment should not be necessary for this patient group, provided </w:t>
      </w:r>
      <w:r w:rsidR="00AA3865" w:rsidRPr="00AD27E2">
        <w:t>hydroxyethyl succinimide</w:t>
      </w:r>
      <w:r w:rsidRPr="00AD27E2">
        <w:t xml:space="preserve"> accumulation is not associated with an unacceptable level of toxicity. In consideration of the fact that </w:t>
      </w:r>
      <w:r w:rsidR="00AA3865" w:rsidRPr="00AD27E2">
        <w:t>hydroxyethyl succinimide</w:t>
      </w:r>
      <w:r w:rsidRPr="00AD27E2">
        <w:t xml:space="preserve"> is not pharmacologically active, the </w:t>
      </w:r>
      <w:r w:rsidR="008251EC">
        <w:t>D</w:t>
      </w:r>
      <w:r w:rsidRPr="00AD27E2">
        <w:t xml:space="preserve">elegate considers the occurrence of toxicity with potential high levels of </w:t>
      </w:r>
      <w:r w:rsidR="00AA3865" w:rsidRPr="00AD27E2">
        <w:t>hydroxyethyl succinimide</w:t>
      </w:r>
      <w:r w:rsidRPr="00AD27E2">
        <w:t xml:space="preserve"> as unlikely.</w:t>
      </w:r>
    </w:p>
    <w:p w14:paraId="3541370A" w14:textId="25536C2A" w:rsidR="00FA7A3D" w:rsidRDefault="00FA7A3D" w:rsidP="00FA7A3D">
      <w:r>
        <w:t xml:space="preserve">The </w:t>
      </w:r>
      <w:r w:rsidR="00AD27E2">
        <w:t>s</w:t>
      </w:r>
      <w:r>
        <w:t xml:space="preserve">ponsor did not specifically assess PK of </w:t>
      </w:r>
      <w:r w:rsidR="00DC7E9E">
        <w:t>diroximel fumarate</w:t>
      </w:r>
      <w:r>
        <w:t>/</w:t>
      </w:r>
      <w:r w:rsidR="00F367AD">
        <w:t>monomethyl fumarate</w:t>
      </w:r>
      <w:r>
        <w:t xml:space="preserve"> in hepatic impairment based on the rationale that metabolism of </w:t>
      </w:r>
      <w:r w:rsidR="00DC7E9E">
        <w:t>diroximel fumarate</w:t>
      </w:r>
      <w:r>
        <w:t xml:space="preserve"> and its metabolites do not proceed via hepatic enzymes. Hence, no impact would be anticipated based in patients with impaired hepatic function. The </w:t>
      </w:r>
      <w:r w:rsidR="008251EC">
        <w:t xml:space="preserve">evaluation </w:t>
      </w:r>
      <w:r>
        <w:t>considered this approach as reasonable.</w:t>
      </w:r>
    </w:p>
    <w:p w14:paraId="00160C55" w14:textId="28E2FBF8" w:rsidR="00FA7A3D" w:rsidRDefault="00FA7A3D" w:rsidP="00FA7A3D">
      <w:r>
        <w:t xml:space="preserve">Age had no clinically meaningful impact on PK of </w:t>
      </w:r>
      <w:r w:rsidR="00F367AD">
        <w:t>monomethyl fumarate</w:t>
      </w:r>
      <w:r>
        <w:t xml:space="preserve"> or </w:t>
      </w:r>
      <w:r w:rsidR="00AA3865">
        <w:t>hydroxyethyl succinimide</w:t>
      </w:r>
      <w:r>
        <w:t xml:space="preserve"> in the </w:t>
      </w:r>
      <w:r w:rsidR="00AD27E2">
        <w:t>population pharmacokinetics</w:t>
      </w:r>
      <w:r>
        <w:t xml:space="preserve"> analysis. Median subject age was 35 years (</w:t>
      </w:r>
      <w:r w:rsidR="00AD27E2">
        <w:t>r</w:t>
      </w:r>
      <w:r>
        <w:t xml:space="preserve">ange: 18 to 75 years). There is very limited information about PK of </w:t>
      </w:r>
      <w:r w:rsidR="00F367AD">
        <w:t>monomethyl fumarate</w:t>
      </w:r>
      <w:r>
        <w:t xml:space="preserve"> in the elderly subjects.</w:t>
      </w:r>
    </w:p>
    <w:p w14:paraId="3E7FFC1C" w14:textId="381D3233" w:rsidR="00FA7A3D" w:rsidRPr="00FA7A3D" w:rsidRDefault="00FA7A3D" w:rsidP="00FA7A3D">
      <w:pPr>
        <w:pStyle w:val="Heading5"/>
        <w:rPr>
          <w:rFonts w:eastAsiaTheme="minorHAnsi"/>
        </w:rPr>
      </w:pPr>
      <w:r w:rsidRPr="00FA7A3D">
        <w:rPr>
          <w:rFonts w:eastAsiaTheme="minorHAnsi"/>
        </w:rPr>
        <w:t>Pop</w:t>
      </w:r>
      <w:r>
        <w:rPr>
          <w:rFonts w:eastAsiaTheme="minorHAnsi"/>
        </w:rPr>
        <w:t>ulation pharmacokinetics</w:t>
      </w:r>
    </w:p>
    <w:p w14:paraId="4EF78414" w14:textId="1358AC4D" w:rsidR="00FA7A3D" w:rsidRPr="00FA7A3D" w:rsidRDefault="00FA7A3D" w:rsidP="00FA7A3D">
      <w:r w:rsidRPr="00FA7A3D">
        <w:t xml:space="preserve">The </w:t>
      </w:r>
      <w:r w:rsidR="00AD27E2">
        <w:t>population pharmacokinetics</w:t>
      </w:r>
      <w:r w:rsidRPr="00FA7A3D">
        <w:t xml:space="preserve"> analysis included </w:t>
      </w:r>
      <w:r w:rsidR="00F367AD">
        <w:t>monomethyl fumarate</w:t>
      </w:r>
      <w:r w:rsidRPr="00FA7A3D">
        <w:t xml:space="preserve"> and </w:t>
      </w:r>
      <w:r w:rsidR="00AA3865">
        <w:t>hydroxyethyl succinimide</w:t>
      </w:r>
      <w:r w:rsidRPr="00FA7A3D">
        <w:t xml:space="preserve"> concentration-time data from 11 studies, including eight </w:t>
      </w:r>
      <w:r w:rsidR="00AD27E2">
        <w:t>P</w:t>
      </w:r>
      <w:r w:rsidRPr="00FA7A3D">
        <w:t xml:space="preserve">hase I studies in healthy subjects, one </w:t>
      </w:r>
      <w:r w:rsidR="00AD27E2">
        <w:t>P</w:t>
      </w:r>
      <w:r w:rsidRPr="00FA7A3D">
        <w:t xml:space="preserve">hase I renal impairment study and two </w:t>
      </w:r>
      <w:r w:rsidR="00AD27E2">
        <w:t>P</w:t>
      </w:r>
      <w:r w:rsidRPr="00FA7A3D">
        <w:t>hase III studies in patients with MS (Studies A301, A302).</w:t>
      </w:r>
    </w:p>
    <w:p w14:paraId="1C68D64B" w14:textId="11F03D80" w:rsidR="00FA7A3D" w:rsidRDefault="00FA7A3D" w:rsidP="00FA7A3D">
      <w:r w:rsidRPr="00FA7A3D">
        <w:t>Study population: 341 (88%) healthy subjects and 48 (12%) MS patients. Of 389 subjects, 197 (51%) were male. Median age across 11 studies was 35 years (</w:t>
      </w:r>
      <w:r w:rsidR="00AD27E2">
        <w:t>r</w:t>
      </w:r>
      <w:r w:rsidRPr="00FA7A3D">
        <w:t>ange: 18 to 75 years). Median baseline bodyweight was 78 kg (</w:t>
      </w:r>
      <w:r w:rsidR="00AD27E2">
        <w:t>r</w:t>
      </w:r>
      <w:r w:rsidRPr="00FA7A3D">
        <w:t xml:space="preserve">ange: 47.4 kg to 126.3 kg). Most subjects were </w:t>
      </w:r>
      <w:r w:rsidR="00AD27E2">
        <w:t>W</w:t>
      </w:r>
      <w:r w:rsidRPr="00FA7A3D">
        <w:t>hite (66.3%).</w:t>
      </w:r>
    </w:p>
    <w:p w14:paraId="1E8077D7" w14:textId="6E14879D" w:rsidR="00FA7A3D" w:rsidRDefault="00FA7A3D" w:rsidP="00FA7A3D">
      <w:r>
        <w:t xml:space="preserve">Most (75.5%; n = 294) had normal renal function, 20.0% (n = 78) had mild renal impairment, 2.3% (n = 9) had mild moderate impairment and 2.0% (n = 8) had severe impairment based on </w:t>
      </w:r>
      <w:r w:rsidR="00AD27E2" w:rsidRPr="00AD27E2">
        <w:t xml:space="preserve">estimated glomerular filtration rate </w:t>
      </w:r>
      <w:r w:rsidR="00AD27E2">
        <w:t>(</w:t>
      </w:r>
      <w:r>
        <w:t>eGFR).</w:t>
      </w:r>
    </w:p>
    <w:p w14:paraId="41824693" w14:textId="5CCD5CF1" w:rsidR="00FA7A3D" w:rsidRDefault="00AD27E2" w:rsidP="00FA7A3D">
      <w:pPr>
        <w:pStyle w:val="ListBullet"/>
      </w:pPr>
      <w:r>
        <w:t>Pharmacokinetics</w:t>
      </w:r>
      <w:r w:rsidR="00FA7A3D">
        <w:t xml:space="preserve"> data were described by a </w:t>
      </w:r>
      <w:r>
        <w:t xml:space="preserve">one </w:t>
      </w:r>
      <w:r w:rsidR="00FA7A3D">
        <w:t xml:space="preserve">compartment disposition model with transit compartment absorption for </w:t>
      </w:r>
      <w:r w:rsidR="00F367AD">
        <w:t>monomethyl fumarate</w:t>
      </w:r>
      <w:r w:rsidR="00FA7A3D">
        <w:t xml:space="preserve"> and </w:t>
      </w:r>
      <w:r w:rsidR="00AA3865">
        <w:t>hydroxyethyl succinimide</w:t>
      </w:r>
      <w:r w:rsidR="00FA7A3D">
        <w:t>, and first-order elimination for each metabolite</w:t>
      </w:r>
    </w:p>
    <w:p w14:paraId="3DDA5C94" w14:textId="09DBB1D1" w:rsidR="00FA7A3D" w:rsidRDefault="00FA7A3D" w:rsidP="00FA7A3D">
      <w:pPr>
        <w:pStyle w:val="ListBullet"/>
      </w:pPr>
      <w:r>
        <w:t xml:space="preserve">Baseline body weight was the main statistically significant covariate for </w:t>
      </w:r>
      <w:r w:rsidR="00F367AD">
        <w:t>monomethyl fumarate</w:t>
      </w:r>
      <w:r>
        <w:t xml:space="preserve"> and </w:t>
      </w:r>
      <w:r w:rsidR="00AA3865">
        <w:t>hydroxyethyl succinimide</w:t>
      </w:r>
      <w:r>
        <w:t xml:space="preserve"> in the model. </w:t>
      </w:r>
      <w:r w:rsidR="000B3686">
        <w:t>The m</w:t>
      </w:r>
      <w:r>
        <w:t>odel</w:t>
      </w:r>
      <w:r w:rsidR="000B3686">
        <w:noBreakHyphen/>
      </w:r>
      <w:r>
        <w:t xml:space="preserve">predicted </w:t>
      </w:r>
      <w:r w:rsidR="00AD27E2" w:rsidRPr="00AD27E2">
        <w:t>area under the concentration</w:t>
      </w:r>
      <w:r w:rsidR="00AD27E2">
        <w:t xml:space="preserve"> </w:t>
      </w:r>
      <w:r w:rsidR="00AD27E2" w:rsidRPr="00AD27E2">
        <w:t>time curve from time zero to the end of the dosing interval</w:t>
      </w:r>
      <w:r w:rsidR="00AD27E2">
        <w:t xml:space="preserve"> at steady state (</w:t>
      </w:r>
      <w:proofErr w:type="spellStart"/>
      <w:proofErr w:type="gramStart"/>
      <w:r>
        <w:t>AUC</w:t>
      </w:r>
      <w:r w:rsidRPr="00AD27E2">
        <w:rPr>
          <w:vertAlign w:val="subscript"/>
        </w:rPr>
        <w:t>tau,ss</w:t>
      </w:r>
      <w:proofErr w:type="spellEnd"/>
      <w:proofErr w:type="gramEnd"/>
      <w:r w:rsidR="00AD27E2">
        <w:t>)</w:t>
      </w:r>
      <w:r>
        <w:t xml:space="preserve"> was 32% higher for </w:t>
      </w:r>
      <w:r w:rsidR="00F367AD">
        <w:t>monomethyl fumarate</w:t>
      </w:r>
      <w:r>
        <w:t xml:space="preserve"> and 14% higher for </w:t>
      </w:r>
      <w:r w:rsidR="00AA3865">
        <w:t>hydroxyethyl succinimide</w:t>
      </w:r>
      <w:r>
        <w:t xml:space="preserve"> with low body weight (55 kg) and 19% lower for </w:t>
      </w:r>
      <w:r w:rsidR="00F367AD">
        <w:t>monomethyl fumarate</w:t>
      </w:r>
      <w:r>
        <w:t xml:space="preserve"> and 8% lower for </w:t>
      </w:r>
      <w:r w:rsidR="00AA3865">
        <w:t>hydroxyethyl succinimide</w:t>
      </w:r>
      <w:r>
        <w:t xml:space="preserve"> with high body weight (100 kg), compared with patients with median body weight (78 kg). Overall, </w:t>
      </w:r>
      <w:r>
        <w:lastRenderedPageBreak/>
        <w:t>the observations were not considered clinically meaningful and hence no dose</w:t>
      </w:r>
      <w:r w:rsidR="00D749B7">
        <w:t xml:space="preserve"> </w:t>
      </w:r>
      <w:r>
        <w:t>adjustment based on body weight was recommended by the evaluator.</w:t>
      </w:r>
    </w:p>
    <w:p w14:paraId="7D1E782C" w14:textId="02B237B2" w:rsidR="00FA7A3D" w:rsidRDefault="00FA7A3D" w:rsidP="00FA7A3D">
      <w:pPr>
        <w:pStyle w:val="ListBullet"/>
      </w:pPr>
      <w:r>
        <w:t>The concentration</w:t>
      </w:r>
      <w:r w:rsidR="00D749B7">
        <w:t xml:space="preserve"> </w:t>
      </w:r>
      <w:r>
        <w:t xml:space="preserve">time profiles in </w:t>
      </w:r>
      <w:r w:rsidR="00EF56AE">
        <w:t>multiple sclerosis</w:t>
      </w:r>
      <w:r>
        <w:t xml:space="preserve"> </w:t>
      </w:r>
      <w:r w:rsidR="00EF56AE">
        <w:t xml:space="preserve">(MS) </w:t>
      </w:r>
      <w:r>
        <w:t xml:space="preserve">patients were broadly consistent with healthy volunteers. Although MS patients displayed statistically significantly higher exposure of </w:t>
      </w:r>
      <w:r w:rsidR="00F367AD">
        <w:t>monomethyl fumarate</w:t>
      </w:r>
      <w:r>
        <w:t xml:space="preserve"> and </w:t>
      </w:r>
      <w:r w:rsidR="00AA3865">
        <w:t>hydroxyethyl succinimide</w:t>
      </w:r>
      <w:r>
        <w:t xml:space="preserve"> compared to healthy subjects (based on reduced clearance and increased absorption), the results do not suggest dose</w:t>
      </w:r>
      <w:r w:rsidR="00D749B7">
        <w:t xml:space="preserve"> </w:t>
      </w:r>
      <w:r>
        <w:t>adjustment is needed for the target population based on disease (MS) status</w:t>
      </w:r>
      <w:r w:rsidR="00EF56AE">
        <w:t>.</w:t>
      </w:r>
    </w:p>
    <w:p w14:paraId="14F52B18" w14:textId="0A0F5659" w:rsidR="00FA7A3D" w:rsidRDefault="000B3686" w:rsidP="00FA7A3D">
      <w:pPr>
        <w:pStyle w:val="ListBullet"/>
      </w:pPr>
      <w:r>
        <w:t>M</w:t>
      </w:r>
      <w:r w:rsidR="00F367AD">
        <w:t>onomethyl fumarate</w:t>
      </w:r>
      <w:r w:rsidR="00FA7A3D">
        <w:t xml:space="preserve"> and </w:t>
      </w:r>
      <w:r w:rsidR="00AA3865">
        <w:t>hydroxyethyl succinimide</w:t>
      </w:r>
      <w:r w:rsidR="00FA7A3D">
        <w:t xml:space="preserve"> absorption rate decreased with increasing dietary fat content (from approx</w:t>
      </w:r>
      <w:r w:rsidR="00D749B7">
        <w:t>imately</w:t>
      </w:r>
      <w:r w:rsidR="00FA7A3D">
        <w:t xml:space="preserve"> 30% with low</w:t>
      </w:r>
      <w:r w:rsidR="00D749B7">
        <w:t xml:space="preserve"> </w:t>
      </w:r>
      <w:r w:rsidR="00FA7A3D">
        <w:t>fat meals to approx</w:t>
      </w:r>
      <w:r w:rsidR="00D749B7">
        <w:t>imately</w:t>
      </w:r>
      <w:r w:rsidR="00FA7A3D">
        <w:t xml:space="preserve"> 60% with high</w:t>
      </w:r>
      <w:r w:rsidR="00D749B7">
        <w:t xml:space="preserve"> </w:t>
      </w:r>
      <w:r w:rsidR="00FA7A3D">
        <w:t xml:space="preserve">fat meals for both </w:t>
      </w:r>
      <w:r w:rsidR="00F367AD">
        <w:t>monomethyl fumarate</w:t>
      </w:r>
      <w:r w:rsidR="00FA7A3D">
        <w:t xml:space="preserve"> and </w:t>
      </w:r>
      <w:r w:rsidR="00AA3865">
        <w:t>hydroxyethyl succinimide</w:t>
      </w:r>
      <w:r w:rsidR="00FA7A3D">
        <w:t xml:space="preserve">). The bioavailability of </w:t>
      </w:r>
      <w:r w:rsidR="00F367AD">
        <w:t>monomethyl fumarate</w:t>
      </w:r>
      <w:r w:rsidR="00FA7A3D">
        <w:t xml:space="preserve"> was reduced up to 30% with dietary fat.</w:t>
      </w:r>
    </w:p>
    <w:p w14:paraId="1C82FBFB" w14:textId="4FC1655A" w:rsidR="00FA7A3D" w:rsidRDefault="00FA7A3D" w:rsidP="00FA7A3D">
      <w:pPr>
        <w:pStyle w:val="ListBullet"/>
      </w:pPr>
      <w:r>
        <w:t>No clinically significant drug-drug interactions were reported</w:t>
      </w:r>
    </w:p>
    <w:p w14:paraId="680991DD" w14:textId="4CBDDB12" w:rsidR="00FA7A3D" w:rsidRDefault="00FA7A3D" w:rsidP="00FA7A3D">
      <w:pPr>
        <w:pStyle w:val="ListBullet"/>
      </w:pPr>
      <w:r>
        <w:t xml:space="preserve">In a dedicated clinical </w:t>
      </w:r>
      <w:r w:rsidR="00D749B7">
        <w:t xml:space="preserve">drug-drug interaction </w:t>
      </w:r>
      <w:r>
        <w:t xml:space="preserve">study in healthy subjects, digoxin systemic exposure decreased 10% to 13.2% in the presence of </w:t>
      </w:r>
      <w:r w:rsidR="00DC7E9E">
        <w:t>diroximel fumarate</w:t>
      </w:r>
      <w:r>
        <w:t xml:space="preserve"> 462</w:t>
      </w:r>
      <w:r w:rsidR="00D749B7">
        <w:t> </w:t>
      </w:r>
      <w:r>
        <w:t>mg. The concentration</w:t>
      </w:r>
      <w:r w:rsidR="00D749B7">
        <w:t xml:space="preserve"> </w:t>
      </w:r>
      <w:r>
        <w:t xml:space="preserve">time PK profiles of </w:t>
      </w:r>
      <w:r w:rsidR="00DC7E9E">
        <w:t>diroximel fumarate</w:t>
      </w:r>
      <w:r>
        <w:t xml:space="preserve"> with or without digoxin were generally consistent. Hence, the evaluator concluded that no dose</w:t>
      </w:r>
      <w:r w:rsidR="00D749B7">
        <w:t xml:space="preserve"> </w:t>
      </w:r>
      <w:r>
        <w:t xml:space="preserve">adjustment would be necessary for either digoxin or </w:t>
      </w:r>
      <w:r w:rsidR="00DC7E9E">
        <w:t>diroximel fumarate</w:t>
      </w:r>
      <w:r>
        <w:t xml:space="preserve"> when this drug combination is used.</w:t>
      </w:r>
    </w:p>
    <w:p w14:paraId="522DC8A4" w14:textId="1CB1F38E" w:rsidR="00FA7A3D" w:rsidRDefault="00FA7A3D" w:rsidP="00FA7A3D">
      <w:pPr>
        <w:pStyle w:val="ListBullet"/>
      </w:pPr>
      <w:r>
        <w:t xml:space="preserve">The </w:t>
      </w:r>
      <w:r w:rsidR="00DC7E9E">
        <w:t>diroximel fumarate</w:t>
      </w:r>
      <w:r>
        <w:t xml:space="preserve"> dose is not likely to need adjustment in the setting of hepatic impairment since hepatic enzyme systems are not involved in its metabolism. Also, PK in the MS population does not appear to be clinically meaningfully different to healthy volunteers.</w:t>
      </w:r>
    </w:p>
    <w:p w14:paraId="417710FF" w14:textId="50BDA7F7" w:rsidR="00FA7A3D" w:rsidRDefault="00FA7A3D" w:rsidP="00FA7A3D">
      <w:r>
        <w:t xml:space="preserve">The evaluator has highlighted the </w:t>
      </w:r>
      <w:r w:rsidR="00AA3865">
        <w:t>hydroxyethyl succinimide</w:t>
      </w:r>
      <w:r>
        <w:t xml:space="preserve"> accumulation that was reported across </w:t>
      </w:r>
      <w:r w:rsidR="00DC7E9E">
        <w:t>diroximel fumarate</w:t>
      </w:r>
      <w:r>
        <w:t xml:space="preserve"> (and </w:t>
      </w:r>
      <w:r w:rsidR="00D749B7" w:rsidRPr="00244297">
        <w:t>dimethyl fumarate</w:t>
      </w:r>
      <w:r>
        <w:t>). PK studies at steady</w:t>
      </w:r>
      <w:r w:rsidR="00D749B7">
        <w:t xml:space="preserve"> </w:t>
      </w:r>
      <w:r>
        <w:t xml:space="preserve">state in healthy adults also reported the increasing </w:t>
      </w:r>
      <w:r w:rsidR="00AA3865">
        <w:t>hydroxyethyl succinimide</w:t>
      </w:r>
      <w:r>
        <w:t xml:space="preserve"> accumulation with worsening renal function. Although </w:t>
      </w:r>
      <w:r w:rsidR="00AA3865">
        <w:t>hydroxyethyl succinimide</w:t>
      </w:r>
      <w:r>
        <w:t xml:space="preserve"> has not demonstrated any clinically meaningful impact on efficacy, the impact of long-term dosing on safety had not been fully characterised in this application.</w:t>
      </w:r>
    </w:p>
    <w:p w14:paraId="0FD3E32D" w14:textId="2C2C393A" w:rsidR="00FA7A3D" w:rsidRDefault="00FA7A3D" w:rsidP="00FA7A3D">
      <w:pPr>
        <w:pStyle w:val="Heading4"/>
      </w:pPr>
      <w:r>
        <w:t>Pharmacodynamics</w:t>
      </w:r>
    </w:p>
    <w:p w14:paraId="4EBEF556" w14:textId="09704E08" w:rsidR="00FA7A3D" w:rsidRDefault="00FA7A3D" w:rsidP="00FA7A3D">
      <w:r>
        <w:t xml:space="preserve">The exact mechanism by which </w:t>
      </w:r>
      <w:r w:rsidR="00DC7E9E">
        <w:t>diroximel fumarate</w:t>
      </w:r>
      <w:r>
        <w:t xml:space="preserve"> and </w:t>
      </w:r>
      <w:r w:rsidR="00D749B7" w:rsidRPr="00244297">
        <w:t>dimethyl fumarate</w:t>
      </w:r>
      <w:r>
        <w:t xml:space="preserve"> exerts its therapeutic effect in </w:t>
      </w:r>
      <w:r w:rsidR="00EF56AE">
        <w:t xml:space="preserve">multiple sclerosis </w:t>
      </w:r>
      <w:r>
        <w:t>is not fully understood.</w:t>
      </w:r>
    </w:p>
    <w:p w14:paraId="0ED6C2BB" w14:textId="06B832A5" w:rsidR="00FA7A3D" w:rsidRDefault="00FA7A3D" w:rsidP="00FA7A3D">
      <w:r>
        <w:t xml:space="preserve">The pathophysiology of </w:t>
      </w:r>
      <w:r w:rsidR="00EF56AE">
        <w:t xml:space="preserve">multiple sclerosis </w:t>
      </w:r>
      <w:r>
        <w:t>is multifaceted and propagated through ongoing inflammatory and neurodegenerative stimuli, mediated at least in part by toxic oxidative stress. Pre</w:t>
      </w:r>
      <w:r w:rsidR="00D749B7">
        <w:noBreakHyphen/>
      </w:r>
      <w:r>
        <w:t xml:space="preserve">clinical studies indicated that </w:t>
      </w:r>
      <w:r w:rsidR="00DC7E9E">
        <w:t>diroximel fumarate</w:t>
      </w:r>
      <w:r>
        <w:t xml:space="preserve"> </w:t>
      </w:r>
      <w:r w:rsidR="00D749B7">
        <w:t>pharmacodynamics</w:t>
      </w:r>
      <w:r>
        <w:t xml:space="preserve"> responses appeared to be mediated, at least in part, through activation of the transcriptional pathway </w:t>
      </w:r>
      <w:r w:rsidR="00D749B7">
        <w:t>that is</w:t>
      </w:r>
      <w:r>
        <w:t xml:space="preserve"> nuclear factor (erythroid-derived 2)-like 2 (Nrf2). </w:t>
      </w:r>
      <w:r w:rsidR="00D749B7">
        <w:t>D</w:t>
      </w:r>
      <w:r w:rsidR="00D749B7" w:rsidRPr="00244297">
        <w:t>imethyl fumarate</w:t>
      </w:r>
      <w:r>
        <w:t xml:space="preserve"> reduces inflammatory responses in both peripheral and central cells and promotes </w:t>
      </w:r>
      <w:proofErr w:type="spellStart"/>
      <w:r>
        <w:t>cytoprotection</w:t>
      </w:r>
      <w:proofErr w:type="spellEnd"/>
      <w:r>
        <w:t xml:space="preserve"> of CNS cells against toxic oxidative damage, thereby demonstrating effects on pathways known to exacerbate </w:t>
      </w:r>
      <w:r w:rsidR="00EF56AE">
        <w:t xml:space="preserve">multiple sclerosis </w:t>
      </w:r>
      <w:r>
        <w:t xml:space="preserve">pathology. </w:t>
      </w:r>
      <w:r w:rsidR="00D749B7">
        <w:t>D</w:t>
      </w:r>
      <w:r w:rsidR="00D749B7" w:rsidRPr="00244297">
        <w:t>imethyl fumarate</w:t>
      </w:r>
      <w:r>
        <w:t xml:space="preserve"> has also been shown to up</w:t>
      </w:r>
      <w:r w:rsidR="00D749B7">
        <w:t xml:space="preserve"> </w:t>
      </w:r>
      <w:r>
        <w:t xml:space="preserve">regulate Nrf2-dependent antioxidant genes in patients, thereby confirming clinical </w:t>
      </w:r>
      <w:r w:rsidR="00D749B7">
        <w:t>pharmacodynamics</w:t>
      </w:r>
      <w:r>
        <w:t xml:space="preserve"> activity in humans.</w:t>
      </w:r>
    </w:p>
    <w:p w14:paraId="5FF93548" w14:textId="624B4047" w:rsidR="00FA7A3D" w:rsidRDefault="00FA7A3D" w:rsidP="00FA7A3D">
      <w:r>
        <w:lastRenderedPageBreak/>
        <w:t xml:space="preserve">No clinically significant effects of </w:t>
      </w:r>
      <w:r w:rsidR="00F367AD">
        <w:t>monomethyl fumarate</w:t>
      </w:r>
      <w:r>
        <w:t xml:space="preserve"> on</w:t>
      </w:r>
      <w:r w:rsidR="00EF56AE">
        <w:t xml:space="preserve"> cardiac</w:t>
      </w:r>
      <w:r>
        <w:t xml:space="preserve"> QT interval,</w:t>
      </w:r>
      <w:r w:rsidR="00EF6E36">
        <w:rPr>
          <w:rStyle w:val="FootnoteReference"/>
        </w:rPr>
        <w:footnoteReference w:id="13"/>
      </w:r>
      <w:r>
        <w:t xml:space="preserve"> heart rate and rhythm were reported.</w:t>
      </w:r>
    </w:p>
    <w:p w14:paraId="767DF195" w14:textId="77777777" w:rsidR="00FA7A3D" w:rsidRDefault="00FA7A3D" w:rsidP="00FA7A3D">
      <w:pPr>
        <w:pStyle w:val="Heading4"/>
      </w:pPr>
      <w:r>
        <w:t>Efficacy</w:t>
      </w:r>
    </w:p>
    <w:p w14:paraId="6356F204" w14:textId="637B8AAD" w:rsidR="00FA7A3D" w:rsidRDefault="00FA7A3D" w:rsidP="00FA7A3D">
      <w:r>
        <w:t xml:space="preserve">The </w:t>
      </w:r>
      <w:r w:rsidR="00DC7E9E">
        <w:t>diroximel fumarate</w:t>
      </w:r>
      <w:r>
        <w:t xml:space="preserve"> 462 mg </w:t>
      </w:r>
      <w:r w:rsidR="00EF6E36">
        <w:t>twice daily</w:t>
      </w:r>
      <w:r>
        <w:t xml:space="preserve"> maintenance dose was selected for the </w:t>
      </w:r>
      <w:r w:rsidR="00EF6E36">
        <w:t>P</w:t>
      </w:r>
      <w:r>
        <w:t>hase</w:t>
      </w:r>
      <w:r w:rsidR="00EF56AE">
        <w:t> </w:t>
      </w:r>
      <w:r>
        <w:t xml:space="preserve">III studies based on systemic exposure of </w:t>
      </w:r>
      <w:r w:rsidR="00F367AD">
        <w:t>monomethyl fumarate</w:t>
      </w:r>
      <w:r>
        <w:t xml:space="preserve"> observed in </w:t>
      </w:r>
      <w:r w:rsidR="00EF6E36">
        <w:t>three</w:t>
      </w:r>
      <w:r>
        <w:t xml:space="preserve"> </w:t>
      </w:r>
      <w:r w:rsidR="00EF6E36">
        <w:t>P</w:t>
      </w:r>
      <w:r>
        <w:t xml:space="preserve">hase I </w:t>
      </w:r>
      <w:r w:rsidR="00EF6E36" w:rsidRPr="00EF6E36">
        <w:t>bioavailability</w:t>
      </w:r>
      <w:r w:rsidR="00EF6E36">
        <w:t>/</w:t>
      </w:r>
      <w:r w:rsidR="00EF6E36" w:rsidRPr="00EF6E36">
        <w:t>bioequivalence</w:t>
      </w:r>
      <w:r>
        <w:t xml:space="preserve"> studies (</w:t>
      </w:r>
      <w:r w:rsidR="00EF6E36">
        <w:t xml:space="preserve">Studies </w:t>
      </w:r>
      <w:r>
        <w:t xml:space="preserve">A103, A104, </w:t>
      </w:r>
      <w:r w:rsidR="00EF56AE">
        <w:t xml:space="preserve">and </w:t>
      </w:r>
      <w:r>
        <w:t>A109).</w:t>
      </w:r>
    </w:p>
    <w:p w14:paraId="020DE9F6" w14:textId="631300A6" w:rsidR="00FA7A3D" w:rsidRDefault="00FA7A3D" w:rsidP="00FA7A3D">
      <w:r>
        <w:t>Dose</w:t>
      </w:r>
      <w:r w:rsidR="00EF6E36">
        <w:t xml:space="preserve"> </w:t>
      </w:r>
      <w:r>
        <w:t>proportionality was demonstrated in the single</w:t>
      </w:r>
      <w:r w:rsidR="00EF6E36">
        <w:t xml:space="preserve"> </w:t>
      </w:r>
      <w:r>
        <w:t>ascending (Study 001) and multiple</w:t>
      </w:r>
      <w:r w:rsidR="00EF6E36">
        <w:t xml:space="preserve"> </w:t>
      </w:r>
      <w:r>
        <w:t xml:space="preserve">ascending (Study A102) dose </w:t>
      </w:r>
      <w:r w:rsidR="00EF6E36">
        <w:t>P</w:t>
      </w:r>
      <w:r>
        <w:t>hase I studies over the dose</w:t>
      </w:r>
      <w:r w:rsidR="00EF6E36">
        <w:t xml:space="preserve"> </w:t>
      </w:r>
      <w:r>
        <w:t>range</w:t>
      </w:r>
      <w:r w:rsidR="00EF6E36">
        <w:t xml:space="preserve"> of</w:t>
      </w:r>
      <w:r>
        <w:t xml:space="preserve"> 49 mg to 980</w:t>
      </w:r>
      <w:r w:rsidR="00EF6E36">
        <w:t> </w:t>
      </w:r>
      <w:r>
        <w:t>mg.</w:t>
      </w:r>
    </w:p>
    <w:p w14:paraId="6AD5237C" w14:textId="15840B88" w:rsidR="00FA7A3D" w:rsidRDefault="00FA7A3D" w:rsidP="00FA7A3D">
      <w:r>
        <w:t xml:space="preserve">In the </w:t>
      </w:r>
      <w:r w:rsidR="00DC7E9E">
        <w:t>P</w:t>
      </w:r>
      <w:r>
        <w:t xml:space="preserve">hase III </w:t>
      </w:r>
      <w:r w:rsidR="00DC7E9E">
        <w:t>diroximel fumarate</w:t>
      </w:r>
      <w:r>
        <w:t xml:space="preserve"> studies (</w:t>
      </w:r>
      <w:r w:rsidR="00EF6E36">
        <w:t xml:space="preserve">Studies </w:t>
      </w:r>
      <w:r>
        <w:t xml:space="preserve">A301 and A302), subjects received an initial </w:t>
      </w:r>
      <w:proofErr w:type="gramStart"/>
      <w:r w:rsidR="00C66951">
        <w:t>one</w:t>
      </w:r>
      <w:r w:rsidR="00EF6E36">
        <w:t xml:space="preserve"> </w:t>
      </w:r>
      <w:r>
        <w:t>week</w:t>
      </w:r>
      <w:proofErr w:type="gramEnd"/>
      <w:r>
        <w:t xml:space="preserve"> dose</w:t>
      </w:r>
      <w:r w:rsidR="00EF6E36">
        <w:t xml:space="preserve"> </w:t>
      </w:r>
      <w:r>
        <w:t xml:space="preserve">titration with </w:t>
      </w:r>
      <w:r w:rsidR="00DC7E9E">
        <w:t>diroximel fumarate</w:t>
      </w:r>
      <w:r>
        <w:t xml:space="preserve"> 231 mg administered </w:t>
      </w:r>
      <w:r w:rsidR="00EF6E36">
        <w:t>twice daily</w:t>
      </w:r>
      <w:r>
        <w:t xml:space="preserve"> for </w:t>
      </w:r>
      <w:r w:rsidR="00C66951">
        <w:t>seven</w:t>
      </w:r>
      <w:r>
        <w:t xml:space="preserve"> days followed by </w:t>
      </w:r>
      <w:r w:rsidR="00EF6E36">
        <w:t xml:space="preserve">462 mg of </w:t>
      </w:r>
      <w:r w:rsidR="00DC7E9E">
        <w:t>diroximel fumarate</w:t>
      </w:r>
      <w:r>
        <w:t xml:space="preserve">, administered as two 231 mg capsules, </w:t>
      </w:r>
      <w:r w:rsidR="00EF6E36">
        <w:t>twice daily</w:t>
      </w:r>
      <w:r>
        <w:t>. This dose regimen is identical to the currently approved Tecfidera (</w:t>
      </w:r>
      <w:r w:rsidR="00C66951" w:rsidRPr="00244297">
        <w:t>dimethyl fumarate</w:t>
      </w:r>
      <w:r>
        <w:t>).</w:t>
      </w:r>
      <w:r w:rsidR="004E66A9">
        <w:fldChar w:fldCharType="begin"/>
      </w:r>
      <w:r w:rsidR="004E66A9">
        <w:instrText xml:space="preserve"> NOTEREF _Ref121906479 \f \h </w:instrText>
      </w:r>
      <w:r w:rsidR="004E66A9">
        <w:fldChar w:fldCharType="separate"/>
      </w:r>
      <w:r w:rsidR="004E66A9" w:rsidRPr="00FE3E0A">
        <w:rPr>
          <w:rStyle w:val="FootnoteReference"/>
        </w:rPr>
        <w:t>9</w:t>
      </w:r>
      <w:r w:rsidR="004E66A9">
        <w:fldChar w:fldCharType="end"/>
      </w:r>
      <w:r w:rsidR="004E66A9">
        <w:rPr>
          <w:vertAlign w:val="superscript"/>
        </w:rPr>
        <w:t>,</w:t>
      </w:r>
      <w:r w:rsidR="004E66A9">
        <w:rPr>
          <w:vertAlign w:val="superscript"/>
        </w:rPr>
        <w:fldChar w:fldCharType="begin"/>
      </w:r>
      <w:r w:rsidR="004E66A9">
        <w:rPr>
          <w:vertAlign w:val="superscript"/>
        </w:rPr>
        <w:instrText xml:space="preserve"> NOTEREF _Ref126656824 \h </w:instrText>
      </w:r>
      <w:r w:rsidR="004E66A9">
        <w:rPr>
          <w:vertAlign w:val="superscript"/>
        </w:rPr>
      </w:r>
      <w:r w:rsidR="004E66A9">
        <w:rPr>
          <w:vertAlign w:val="superscript"/>
        </w:rPr>
        <w:fldChar w:fldCharType="separate"/>
      </w:r>
      <w:r w:rsidR="004E66A9">
        <w:rPr>
          <w:vertAlign w:val="superscript"/>
        </w:rPr>
        <w:t>10</w:t>
      </w:r>
      <w:r w:rsidR="004E66A9">
        <w:rPr>
          <w:vertAlign w:val="superscript"/>
        </w:rPr>
        <w:fldChar w:fldCharType="end"/>
      </w:r>
      <w:r w:rsidR="004E66A9" w:rsidDel="004E66A9">
        <w:t xml:space="preserve"> </w:t>
      </w:r>
    </w:p>
    <w:p w14:paraId="0DBF30D5" w14:textId="03F52BD0" w:rsidR="00FA7A3D" w:rsidRDefault="00FA7A3D" w:rsidP="00FA7A3D">
      <w:r>
        <w:t xml:space="preserve">The primary evaluation of </w:t>
      </w:r>
      <w:r w:rsidR="00DC7E9E">
        <w:t>diroximel fumarate</w:t>
      </w:r>
      <w:r>
        <w:t xml:space="preserve"> efficacy is based on PK bridging between </w:t>
      </w:r>
      <w:r w:rsidR="00DC7E9E">
        <w:t>diroximel fumarate</w:t>
      </w:r>
      <w:r>
        <w:t xml:space="preserve"> and </w:t>
      </w:r>
      <w:r w:rsidR="00C66951" w:rsidRPr="00244297">
        <w:t>dimethyl fumarate</w:t>
      </w:r>
      <w:r>
        <w:t xml:space="preserve"> with respect to their active metabolite, </w:t>
      </w:r>
      <w:r w:rsidR="00F367AD">
        <w:t>monomethyl fumarate</w:t>
      </w:r>
      <w:r>
        <w:t>. Bioequivalence between the 462</w:t>
      </w:r>
      <w:r w:rsidR="00C66951">
        <w:t xml:space="preserve"> </w:t>
      </w:r>
      <w:r>
        <w:t xml:space="preserve">mg of </w:t>
      </w:r>
      <w:r w:rsidR="00DC7E9E">
        <w:t>diroximel fumarate</w:t>
      </w:r>
      <w:r>
        <w:t xml:space="preserve"> and the approved dose of 240mg </w:t>
      </w:r>
      <w:r w:rsidR="00C66951" w:rsidRPr="00244297">
        <w:t>dimethyl fumarate</w:t>
      </w:r>
      <w:r>
        <w:t xml:space="preserve"> was demonstrated in PK studies. Efficacy for </w:t>
      </w:r>
      <w:r w:rsidR="00DC7E9E">
        <w:t>diroximel fumarate</w:t>
      </w:r>
      <w:r>
        <w:t xml:space="preserve"> was then extrapolated from the efficacy findings of </w:t>
      </w:r>
      <w:r w:rsidR="00C66951" w:rsidRPr="00244297">
        <w:t>dimethyl fumarate</w:t>
      </w:r>
      <w:r w:rsidR="00C66951">
        <w:t xml:space="preserve"> </w:t>
      </w:r>
      <w:r>
        <w:t xml:space="preserve">reported in two pivotal </w:t>
      </w:r>
      <w:r w:rsidR="00C66951">
        <w:t>P</w:t>
      </w:r>
      <w:r>
        <w:t>hase III studies from the Tecfidera</w:t>
      </w:r>
      <w:r w:rsidR="00C66951">
        <w:t xml:space="preserve"> previous</w:t>
      </w:r>
      <w:r>
        <w:t xml:space="preserve"> application</w:t>
      </w:r>
      <w:r w:rsidR="004E66A9">
        <w:fldChar w:fldCharType="begin"/>
      </w:r>
      <w:r w:rsidR="004E66A9">
        <w:instrText xml:space="preserve"> NOTEREF _Ref121906479 \f \h </w:instrText>
      </w:r>
      <w:r w:rsidR="004E66A9">
        <w:fldChar w:fldCharType="separate"/>
      </w:r>
      <w:r w:rsidR="004E66A9" w:rsidRPr="00FE3E0A">
        <w:rPr>
          <w:rStyle w:val="FootnoteReference"/>
        </w:rPr>
        <w:t>9</w:t>
      </w:r>
      <w:r w:rsidR="004E66A9">
        <w:fldChar w:fldCharType="end"/>
      </w:r>
      <w:r w:rsidR="004E66A9">
        <w:rPr>
          <w:vertAlign w:val="superscript"/>
        </w:rPr>
        <w:t>,</w:t>
      </w:r>
      <w:r w:rsidR="004E66A9">
        <w:rPr>
          <w:vertAlign w:val="superscript"/>
        </w:rPr>
        <w:fldChar w:fldCharType="begin"/>
      </w:r>
      <w:r w:rsidR="004E66A9">
        <w:rPr>
          <w:vertAlign w:val="superscript"/>
        </w:rPr>
        <w:instrText xml:space="preserve"> NOTEREF _Ref126656824 \h </w:instrText>
      </w:r>
      <w:r w:rsidR="004E66A9">
        <w:rPr>
          <w:vertAlign w:val="superscript"/>
        </w:rPr>
      </w:r>
      <w:r w:rsidR="004E66A9">
        <w:rPr>
          <w:vertAlign w:val="superscript"/>
        </w:rPr>
        <w:fldChar w:fldCharType="separate"/>
      </w:r>
      <w:r w:rsidR="004E66A9">
        <w:rPr>
          <w:vertAlign w:val="superscript"/>
        </w:rPr>
        <w:t>10</w:t>
      </w:r>
      <w:r w:rsidR="004E66A9">
        <w:rPr>
          <w:vertAlign w:val="superscript"/>
        </w:rPr>
        <w:fldChar w:fldCharType="end"/>
      </w:r>
      <w:r>
        <w:t>:</w:t>
      </w:r>
    </w:p>
    <w:p w14:paraId="7AC10B41" w14:textId="2145E2AC" w:rsidR="00FA7A3D" w:rsidRDefault="00C66951" w:rsidP="00C66951">
      <w:pPr>
        <w:pStyle w:val="ListBullet"/>
      </w:pPr>
      <w:r>
        <w:t xml:space="preserve">Study </w:t>
      </w:r>
      <w:r w:rsidR="00FA7A3D">
        <w:t>109MS301</w:t>
      </w:r>
    </w:p>
    <w:p w14:paraId="5AD9BF70" w14:textId="05BB1D7A" w:rsidR="00FA7A3D" w:rsidRDefault="00C66951" w:rsidP="00C66951">
      <w:pPr>
        <w:pStyle w:val="ListBullet"/>
      </w:pPr>
      <w:r>
        <w:t xml:space="preserve">Study </w:t>
      </w:r>
      <w:r w:rsidR="00FA7A3D">
        <w:t>109MS302</w:t>
      </w:r>
    </w:p>
    <w:p w14:paraId="6E920B38" w14:textId="76668637" w:rsidR="00FA7A3D" w:rsidRDefault="00FA7A3D" w:rsidP="00FA7A3D">
      <w:r>
        <w:t xml:space="preserve">Efficacy data from </w:t>
      </w:r>
      <w:r w:rsidR="00C66951">
        <w:t>S</w:t>
      </w:r>
      <w:r>
        <w:t>tudy A301 (E</w:t>
      </w:r>
      <w:r w:rsidR="00C66951">
        <w:t>VOLVE</w:t>
      </w:r>
      <w:r>
        <w:t>-MS1</w:t>
      </w:r>
      <w:r w:rsidR="00C66951">
        <w:t xml:space="preserve"> trial</w:t>
      </w:r>
      <w:r>
        <w:t xml:space="preserve">) with </w:t>
      </w:r>
      <w:r w:rsidR="00DC7E9E">
        <w:t>diroximel fumarate</w:t>
      </w:r>
      <w:r>
        <w:t xml:space="preserve"> and </w:t>
      </w:r>
      <w:r w:rsidR="00C66951">
        <w:t>Study</w:t>
      </w:r>
      <w:r w:rsidR="004E66A9">
        <w:t> </w:t>
      </w:r>
      <w:r>
        <w:t>109MS303 (E</w:t>
      </w:r>
      <w:r w:rsidR="00C66951">
        <w:t>NDORSE trial</w:t>
      </w:r>
      <w:r>
        <w:t xml:space="preserve">) with </w:t>
      </w:r>
      <w:r w:rsidR="00C66951" w:rsidRPr="00244297">
        <w:t>dimethyl fumarate</w:t>
      </w:r>
      <w:r>
        <w:t xml:space="preserve"> were also </w:t>
      </w:r>
      <w:proofErr w:type="gramStart"/>
      <w:r>
        <w:t>taken into account</w:t>
      </w:r>
      <w:proofErr w:type="gramEnd"/>
      <w:r>
        <w:t>.</w:t>
      </w:r>
    </w:p>
    <w:p w14:paraId="73C553E2" w14:textId="77777777" w:rsidR="00FA7A3D" w:rsidRDefault="00FA7A3D" w:rsidP="00FA7A3D">
      <w:pPr>
        <w:pStyle w:val="Heading5"/>
      </w:pPr>
      <w:r>
        <w:t>Study 109MS301</w:t>
      </w:r>
    </w:p>
    <w:p w14:paraId="742FFEB5" w14:textId="5637F553" w:rsidR="00FA7A3D" w:rsidRDefault="00FA7A3D" w:rsidP="00FA7A3D">
      <w:r>
        <w:t xml:space="preserve">A </w:t>
      </w:r>
      <w:proofErr w:type="gramStart"/>
      <w:r>
        <w:t>double</w:t>
      </w:r>
      <w:r w:rsidR="00C66951">
        <w:t xml:space="preserve"> </w:t>
      </w:r>
      <w:r>
        <w:t>blind</w:t>
      </w:r>
      <w:proofErr w:type="gramEnd"/>
      <w:r>
        <w:t xml:space="preserve"> </w:t>
      </w:r>
      <w:r w:rsidR="00C66951">
        <w:t xml:space="preserve">randomised control trial </w:t>
      </w:r>
      <w:r>
        <w:t xml:space="preserve">that included a comparison of two dosage regimens of </w:t>
      </w:r>
      <w:r w:rsidR="00C66951" w:rsidRPr="00244297">
        <w:t>dimethyl fumarate</w:t>
      </w:r>
      <w:r>
        <w:t xml:space="preserve"> in subjects with </w:t>
      </w:r>
      <w:r w:rsidR="004E66A9">
        <w:t>relapse-remitting multiple sclerosis (RRMS)</w:t>
      </w:r>
      <w:r>
        <w:t>.</w:t>
      </w:r>
    </w:p>
    <w:p w14:paraId="704B5E76" w14:textId="5D4CE291" w:rsidR="00FA7A3D" w:rsidRDefault="00FA7A3D" w:rsidP="00FA7A3D">
      <w:r>
        <w:t>Subject recruitment criteria were based on the 2005 McDonald Criteria.</w:t>
      </w:r>
      <w:r w:rsidR="00EF1B48">
        <w:rPr>
          <w:rStyle w:val="FootnoteReference"/>
        </w:rPr>
        <w:footnoteReference w:id="14"/>
      </w:r>
      <w:r>
        <w:t xml:space="preserve"> Eligible subjects had active disease, defined as either a relapse within the prior 12 months, or an active MRI.</w:t>
      </w:r>
    </w:p>
    <w:p w14:paraId="1673C6B0" w14:textId="6123D4E0" w:rsidR="00FA7A3D" w:rsidRDefault="00FA7A3D" w:rsidP="00FA7A3D">
      <w:r>
        <w:t xml:space="preserve">1417 subjects were randomised 1:1:1 into </w:t>
      </w:r>
      <w:r w:rsidR="00F52523">
        <w:t xml:space="preserve">240 mg of </w:t>
      </w:r>
      <w:r w:rsidR="005E5286" w:rsidRPr="00244297">
        <w:t>dimethyl fumarate</w:t>
      </w:r>
      <w:r>
        <w:t xml:space="preserve"> </w:t>
      </w:r>
      <w:r w:rsidR="00F52523">
        <w:t>twice daily</w:t>
      </w:r>
      <w:r>
        <w:t xml:space="preserve"> (Group 1), </w:t>
      </w:r>
      <w:r w:rsidR="00F52523">
        <w:t>240 mg</w:t>
      </w:r>
      <w:r w:rsidR="00F52523" w:rsidRPr="00244297">
        <w:t xml:space="preserve"> </w:t>
      </w:r>
      <w:r w:rsidR="00F52523">
        <w:t xml:space="preserve">of </w:t>
      </w:r>
      <w:r w:rsidR="005E5286" w:rsidRPr="00244297">
        <w:t>dimethyl fumarate</w:t>
      </w:r>
      <w:r>
        <w:t xml:space="preserve"> </w:t>
      </w:r>
      <w:r w:rsidR="00F52523">
        <w:t>thrice daily</w:t>
      </w:r>
      <w:r>
        <w:t xml:space="preserve"> (Group 2) or to receive placebo (Group 3) for 96 weeks.</w:t>
      </w:r>
    </w:p>
    <w:p w14:paraId="7299FE1D" w14:textId="3BCB490B" w:rsidR="00FA7A3D" w:rsidRDefault="00FA7A3D" w:rsidP="00FA7A3D">
      <w:r w:rsidRPr="00F24E9C">
        <w:rPr>
          <w:i/>
        </w:rPr>
        <w:t xml:space="preserve">Primary </w:t>
      </w:r>
      <w:r w:rsidR="004E66A9" w:rsidRPr="00F24E9C">
        <w:rPr>
          <w:i/>
        </w:rPr>
        <w:t>e</w:t>
      </w:r>
      <w:r w:rsidRPr="00F24E9C">
        <w:rPr>
          <w:i/>
        </w:rPr>
        <w:t>ndpoint</w:t>
      </w:r>
      <w:r>
        <w:t xml:space="preserve">: At 96 weeks, </w:t>
      </w:r>
      <w:r w:rsidR="00F52523" w:rsidRPr="00F52523">
        <w:t>dimethyl fumarate</w:t>
      </w:r>
      <w:r w:rsidR="00F52523">
        <w:t xml:space="preserve"> twice daily </w:t>
      </w:r>
      <w:r>
        <w:t xml:space="preserve">and </w:t>
      </w:r>
      <w:r w:rsidR="00F52523" w:rsidRPr="00F52523">
        <w:t>dimethyl fumarate</w:t>
      </w:r>
      <w:r>
        <w:t xml:space="preserve"> </w:t>
      </w:r>
      <w:r w:rsidR="00F52523">
        <w:t>thrice daily</w:t>
      </w:r>
      <w:r>
        <w:t xml:space="preserve"> reduced the risk of relapse at 2 years by 49% (p &lt;</w:t>
      </w:r>
      <w:r w:rsidR="00F52523">
        <w:t> </w:t>
      </w:r>
      <w:r>
        <w:t>0.0001) and 50% (p</w:t>
      </w:r>
      <w:r w:rsidR="00F52523">
        <w:t> </w:t>
      </w:r>
      <w:r>
        <w:t>&lt;</w:t>
      </w:r>
      <w:r w:rsidR="00F52523">
        <w:t> </w:t>
      </w:r>
      <w:r>
        <w:t>0.0001), respectively.</w:t>
      </w:r>
    </w:p>
    <w:p w14:paraId="18B696DF" w14:textId="4926437B" w:rsidR="00FA7A3D" w:rsidRDefault="00FA7A3D" w:rsidP="00FA7A3D">
      <w:r>
        <w:t xml:space="preserve">Key secondary outcomes were supportive of the greater treatment benefit for </w:t>
      </w:r>
      <w:r w:rsidR="003E76A6">
        <w:t>dimethyl fumarate</w:t>
      </w:r>
      <w:r>
        <w:t>, compared to placebo.</w:t>
      </w:r>
    </w:p>
    <w:p w14:paraId="2FC6B810" w14:textId="457F0EB7" w:rsidR="00FA7A3D" w:rsidRDefault="00FA7A3D" w:rsidP="00FA7A3D">
      <w:pPr>
        <w:pStyle w:val="ListBullet"/>
      </w:pPr>
      <w:r>
        <w:t xml:space="preserve">Annualised </w:t>
      </w:r>
      <w:r w:rsidR="00F52523">
        <w:t>r</w:t>
      </w:r>
      <w:r>
        <w:t xml:space="preserve">elapse </w:t>
      </w:r>
      <w:r w:rsidR="00F52523">
        <w:t>r</w:t>
      </w:r>
      <w:r>
        <w:t xml:space="preserve">ate (ARR) for subjects in </w:t>
      </w:r>
      <w:r w:rsidR="00F52523" w:rsidRPr="00F52523">
        <w:t>dimethyl fumarate</w:t>
      </w:r>
      <w:r>
        <w:t xml:space="preserve"> groups was around 50% less than that their counterparts in placebo group.</w:t>
      </w:r>
    </w:p>
    <w:p w14:paraId="7590097D" w14:textId="123D16B5" w:rsidR="00FA7A3D" w:rsidRDefault="00FA7A3D" w:rsidP="00FA7A3D">
      <w:pPr>
        <w:pStyle w:val="ListBullet"/>
      </w:pPr>
      <w:r>
        <w:lastRenderedPageBreak/>
        <w:t xml:space="preserve">Relative reductions of 39% and 35% in sustained progression of disease were reported for </w:t>
      </w:r>
      <w:r w:rsidR="00F52523">
        <w:t>twice</w:t>
      </w:r>
      <w:r>
        <w:t xml:space="preserve"> and </w:t>
      </w:r>
      <w:r w:rsidR="00F52523">
        <w:t>thrice daily</w:t>
      </w:r>
      <w:r>
        <w:t xml:space="preserve"> groups, compared to placebo.</w:t>
      </w:r>
    </w:p>
    <w:p w14:paraId="31C8EBC9" w14:textId="3652FEC5" w:rsidR="00FA7A3D" w:rsidRDefault="00FA7A3D" w:rsidP="00FA7A3D">
      <w:pPr>
        <w:pStyle w:val="ListBullet"/>
      </w:pPr>
      <w:r>
        <w:t xml:space="preserve">Significant reduction in the proportion of patients showing sustained progression (for ≥ 12 weeks) in </w:t>
      </w:r>
      <w:r w:rsidR="00F52523" w:rsidRPr="00F52523">
        <w:t>dimethyl fumarate</w:t>
      </w:r>
      <w:r>
        <w:t xml:space="preserve"> group, compared to placebo.</w:t>
      </w:r>
    </w:p>
    <w:p w14:paraId="040A3CBD" w14:textId="6F66FE13" w:rsidR="00FA7A3D" w:rsidRDefault="00FA7A3D" w:rsidP="00FA7A3D">
      <w:pPr>
        <w:pStyle w:val="ListBullet"/>
      </w:pPr>
      <w:r>
        <w:t>75</w:t>
      </w:r>
      <w:r w:rsidR="00F52523">
        <w:t xml:space="preserve"> to </w:t>
      </w:r>
      <w:r>
        <w:t xml:space="preserve">85% reduction in the mean number of new or newly enlarging lesions detected with MRI imaging in the </w:t>
      </w:r>
      <w:r w:rsidR="00F52523" w:rsidRPr="00F52523">
        <w:t>dimethyl fumarate</w:t>
      </w:r>
      <w:r>
        <w:t xml:space="preserve"> arms, compared to placebo.</w:t>
      </w:r>
    </w:p>
    <w:p w14:paraId="17C8D36A" w14:textId="4927D1B3" w:rsidR="00FA7A3D" w:rsidRDefault="00FA7A3D" w:rsidP="00FA7A3D">
      <w:r>
        <w:t xml:space="preserve">The treatment differences between </w:t>
      </w:r>
      <w:r w:rsidR="00F52523" w:rsidRPr="00F52523">
        <w:t>dimethyl fumarate</w:t>
      </w:r>
      <w:r>
        <w:t xml:space="preserve"> and placebo arms for all the above secondary endpoints were statistically significant.</w:t>
      </w:r>
    </w:p>
    <w:p w14:paraId="0E633831" w14:textId="77777777" w:rsidR="00FA7A3D" w:rsidRDefault="00FA7A3D" w:rsidP="00FA7A3D">
      <w:pPr>
        <w:pStyle w:val="Heading5"/>
      </w:pPr>
      <w:r>
        <w:t>Study 109MS302</w:t>
      </w:r>
    </w:p>
    <w:p w14:paraId="0F6F6980" w14:textId="58567C2A" w:rsidR="00FA7A3D" w:rsidRDefault="00FA7A3D" w:rsidP="00FA7A3D">
      <w:r>
        <w:t xml:space="preserve">The study design </w:t>
      </w:r>
      <w:r w:rsidR="004E66A9">
        <w:t xml:space="preserve">for Study 109MS302 </w:t>
      </w:r>
      <w:r>
        <w:t xml:space="preserve">was identical to </w:t>
      </w:r>
      <w:r w:rsidR="00F52523">
        <w:t>S</w:t>
      </w:r>
      <w:r>
        <w:t xml:space="preserve">tudy </w:t>
      </w:r>
      <w:r w:rsidR="004E66A9">
        <w:t>109MS</w:t>
      </w:r>
      <w:r>
        <w:t>301</w:t>
      </w:r>
      <w:r w:rsidR="004E66A9">
        <w:t xml:space="preserve"> (see above)</w:t>
      </w:r>
      <w:r>
        <w:t>, except that an additional treatment arm with glatiramer-acetate</w:t>
      </w:r>
      <w:r w:rsidR="00F52523">
        <w:t xml:space="preserve"> </w:t>
      </w:r>
      <w:r>
        <w:t xml:space="preserve">as an active </w:t>
      </w:r>
      <w:r w:rsidR="00FA6DBF">
        <w:t xml:space="preserve">reference </w:t>
      </w:r>
      <w:r>
        <w:t xml:space="preserve">comparator was included. Treatment with </w:t>
      </w:r>
      <w:r w:rsidR="00F52523">
        <w:t>2</w:t>
      </w:r>
      <w:r>
        <w:t xml:space="preserve">40 mg </w:t>
      </w:r>
      <w:r w:rsidR="00F52523">
        <w:t xml:space="preserve">of </w:t>
      </w:r>
      <w:r w:rsidR="00F52523" w:rsidRPr="00F52523">
        <w:t>dimethyl fumarate</w:t>
      </w:r>
      <w:r w:rsidR="00F52523">
        <w:t xml:space="preserve"> </w:t>
      </w:r>
      <w:r>
        <w:t xml:space="preserve">administered </w:t>
      </w:r>
      <w:r w:rsidR="00F52523">
        <w:t>twice</w:t>
      </w:r>
      <w:r>
        <w:t xml:space="preserve"> and </w:t>
      </w:r>
      <w:r w:rsidR="00F52523">
        <w:t>thrice daily</w:t>
      </w:r>
      <w:r>
        <w:t xml:space="preserve"> reduced the </w:t>
      </w:r>
      <w:r w:rsidR="004E66A9">
        <w:t>annualised relapse rate (</w:t>
      </w:r>
      <w:r w:rsidR="00F52523">
        <w:t>ARR</w:t>
      </w:r>
      <w:r w:rsidR="004E66A9">
        <w:t>)</w:t>
      </w:r>
      <w:r>
        <w:t xml:space="preserve"> at 2 years by 44% and 50.5%, respectively, over placebo (p &lt; 0.0001 for both comparisons) (comparable to </w:t>
      </w:r>
      <w:r w:rsidR="00F52523">
        <w:t>S</w:t>
      </w:r>
      <w:r>
        <w:t>tudy 301).</w:t>
      </w:r>
    </w:p>
    <w:p w14:paraId="402F01BB" w14:textId="7D2ED322" w:rsidR="00FA7A3D" w:rsidRDefault="00FA7A3D" w:rsidP="00FA7A3D">
      <w:r>
        <w:t xml:space="preserve">The relative reduction in 2-year risk for relapse was 29%, 41% and 22% for the </w:t>
      </w:r>
      <w:r w:rsidR="00F52523">
        <w:t>three</w:t>
      </w:r>
      <w:r>
        <w:t xml:space="preserve"> active treatments </w:t>
      </w:r>
      <w:r w:rsidR="00F52523" w:rsidRPr="00F52523">
        <w:t>dimethyl fumarate</w:t>
      </w:r>
      <w:r>
        <w:t xml:space="preserve"> </w:t>
      </w:r>
      <w:r w:rsidR="00F52523">
        <w:t>twice daily</w:t>
      </w:r>
      <w:r>
        <w:t xml:space="preserve">, </w:t>
      </w:r>
      <w:r w:rsidR="00F52523" w:rsidRPr="00F52523">
        <w:t>dimethyl fumarate</w:t>
      </w:r>
      <w:r w:rsidR="00F52523">
        <w:t xml:space="preserve"> thrice daily</w:t>
      </w:r>
      <w:r>
        <w:t xml:space="preserve"> and </w:t>
      </w:r>
      <w:r w:rsidR="00F52523">
        <w:t>glatiramer-acetate</w:t>
      </w:r>
      <w:r>
        <w:t xml:space="preserve"> v</w:t>
      </w:r>
      <w:r w:rsidR="00F52523">
        <w:t>ersus</w:t>
      </w:r>
      <w:r>
        <w:t xml:space="preserve"> placebo respectively.</w:t>
      </w:r>
    </w:p>
    <w:p w14:paraId="66623F8B" w14:textId="3218DCB5" w:rsidR="00FA7A3D" w:rsidRDefault="00FA7A3D" w:rsidP="00FA7A3D">
      <w:r>
        <w:t xml:space="preserve">The mean number of adjusted T2 hyperintensity lesions was 17.4 in the placebo group, compared to 5.1 and 4.7 in the </w:t>
      </w:r>
      <w:r w:rsidR="00F52523">
        <w:t>twice</w:t>
      </w:r>
      <w:r>
        <w:t xml:space="preserve"> and </w:t>
      </w:r>
      <w:r w:rsidR="00F52523">
        <w:t>thrice daily</w:t>
      </w:r>
      <w:r>
        <w:t xml:space="preserve"> groups, respectively, an adjusted reduction of 71% and 73% respectively. The treatment difference was statistically significant.</w:t>
      </w:r>
    </w:p>
    <w:p w14:paraId="7ED13062" w14:textId="41FE680A" w:rsidR="00FA7A3D" w:rsidRDefault="00FA7A3D" w:rsidP="00FA7A3D">
      <w:pPr>
        <w:pStyle w:val="Heading5"/>
      </w:pPr>
      <w:r>
        <w:t>Study 109MS303</w:t>
      </w:r>
    </w:p>
    <w:p w14:paraId="707B5AA0" w14:textId="23386CAF" w:rsidR="00FA7A3D" w:rsidRDefault="00FA7A3D" w:rsidP="00FA7A3D">
      <w:r>
        <w:t>Phase III open</w:t>
      </w:r>
      <w:r w:rsidR="006F3A29">
        <w:t xml:space="preserve"> </w:t>
      </w:r>
      <w:r>
        <w:t xml:space="preserve">label extension study with </w:t>
      </w:r>
      <w:r w:rsidR="006F3A29" w:rsidRPr="00F52523">
        <w:t>dimethyl fumarate</w:t>
      </w:r>
      <w:r>
        <w:t xml:space="preserve">. Assessments of efficacy endpoints (ARR and relapse) were secondary objectives. Subjects who completed either of these </w:t>
      </w:r>
      <w:r w:rsidR="006F3A29">
        <w:t>P</w:t>
      </w:r>
      <w:r>
        <w:t>hase III pivotal study (</w:t>
      </w:r>
      <w:r w:rsidR="006F3A29">
        <w:t xml:space="preserve">Study </w:t>
      </w:r>
      <w:r>
        <w:t xml:space="preserve">109MS301 or 109MS302), or had received an </w:t>
      </w:r>
      <w:r w:rsidR="006F3A29">
        <w:t>open labelled</w:t>
      </w:r>
      <w:r>
        <w:t xml:space="preserve"> approved MS therapy, were </w:t>
      </w:r>
      <w:proofErr w:type="gramStart"/>
      <w:r>
        <w:t>enrolled</w:t>
      </w:r>
      <w:proofErr w:type="gramEnd"/>
      <w:r>
        <w:t xml:space="preserve"> and followed for 8 years. Subjects who were randomised to </w:t>
      </w:r>
      <w:r w:rsidR="006F3A29">
        <w:t xml:space="preserve">240 mg of </w:t>
      </w:r>
      <w:r w:rsidR="006F3A29" w:rsidRPr="00F52523">
        <w:t>dimethyl fumarate</w:t>
      </w:r>
      <w:r>
        <w:t xml:space="preserve"> </w:t>
      </w:r>
      <w:r w:rsidR="006F3A29">
        <w:t>twice</w:t>
      </w:r>
      <w:r>
        <w:t xml:space="preserve"> or </w:t>
      </w:r>
      <w:r w:rsidR="006F3A29">
        <w:t>thrice daily</w:t>
      </w:r>
      <w:r>
        <w:t xml:space="preserve"> in a pivotal study continued at the same dose in </w:t>
      </w:r>
      <w:r w:rsidR="006F3A29">
        <w:t>open labelled</w:t>
      </w:r>
      <w:r>
        <w:t xml:space="preserve"> phase; those randomised to placebo were randomised 1: 1 to </w:t>
      </w:r>
      <w:r w:rsidR="006F3A29" w:rsidRPr="00F52523">
        <w:t>dimethyl fumarate</w:t>
      </w:r>
      <w:r>
        <w:t xml:space="preserve"> </w:t>
      </w:r>
      <w:r w:rsidR="006F3A29">
        <w:t>twice</w:t>
      </w:r>
      <w:r>
        <w:t xml:space="preserve"> or </w:t>
      </w:r>
      <w:r w:rsidR="006F3A29">
        <w:t>thrice daily</w:t>
      </w:r>
      <w:r>
        <w:t xml:space="preserve"> in the extension phase. The evaluator has highlighted that after a protocol amendment (</w:t>
      </w:r>
      <w:r w:rsidR="006F3A29">
        <w:t>version 3</w:t>
      </w:r>
      <w:r>
        <w:t xml:space="preserve">), all subjects received </w:t>
      </w:r>
      <w:r w:rsidR="006F3A29">
        <w:t xml:space="preserve">240 mg of </w:t>
      </w:r>
      <w:r w:rsidR="006F3A29" w:rsidRPr="00F52523">
        <w:t>dimethyl fumarate</w:t>
      </w:r>
      <w:r>
        <w:t xml:space="preserve"> </w:t>
      </w:r>
      <w:r w:rsidR="006F3A29">
        <w:t>twice daily</w:t>
      </w:r>
      <w:r>
        <w:t xml:space="preserve"> (the marketed dose). 992 subjects received </w:t>
      </w:r>
      <w:r w:rsidR="006F3A29">
        <w:t>open labelled</w:t>
      </w:r>
      <w:r>
        <w:t xml:space="preserve"> treatment.</w:t>
      </w:r>
    </w:p>
    <w:p w14:paraId="4750A030" w14:textId="3834DD9E" w:rsidR="00FA7A3D" w:rsidRDefault="00FA7A3D" w:rsidP="00FA7A3D">
      <w:pPr>
        <w:pStyle w:val="ListBullet"/>
      </w:pPr>
      <w:r>
        <w:t>Adjusted</w:t>
      </w:r>
      <w:r w:rsidR="004E66A9">
        <w:t xml:space="preserve"> relapse rates </w:t>
      </w:r>
      <w:r>
        <w:t>(objective relapses) generally remained low over time and across subgroups:</w:t>
      </w:r>
    </w:p>
    <w:p w14:paraId="7B1E3936" w14:textId="09943353" w:rsidR="00FA7A3D" w:rsidRDefault="00FA7A3D" w:rsidP="00FA7A3D">
      <w:pPr>
        <w:pStyle w:val="ListBullet2"/>
      </w:pPr>
      <w:r>
        <w:t xml:space="preserve">Year 1: 0.125 to </w:t>
      </w:r>
      <w:proofErr w:type="gramStart"/>
      <w:r>
        <w:t>0.183;</w:t>
      </w:r>
      <w:proofErr w:type="gramEnd"/>
    </w:p>
    <w:p w14:paraId="5185BC69" w14:textId="2ACF1069" w:rsidR="00FA7A3D" w:rsidRDefault="00FA7A3D" w:rsidP="00FA7A3D">
      <w:pPr>
        <w:pStyle w:val="ListBullet2"/>
      </w:pPr>
      <w:r>
        <w:t>Year 8: 0.077 to 0.129; and</w:t>
      </w:r>
    </w:p>
    <w:p w14:paraId="1299E249" w14:textId="1D5B6EA1" w:rsidR="00FA7A3D" w:rsidRDefault="00FA7A3D" w:rsidP="00FA7A3D">
      <w:pPr>
        <w:pStyle w:val="ListBullet2"/>
      </w:pPr>
      <w:r>
        <w:t>Overall: 0.126 to 0.185.</w:t>
      </w:r>
    </w:p>
    <w:p w14:paraId="348AD1B4" w14:textId="2CAEB537" w:rsidR="00FA7A3D" w:rsidRDefault="00FA7A3D" w:rsidP="00FA7A3D">
      <w:pPr>
        <w:pStyle w:val="ListBullet"/>
      </w:pPr>
      <w:r>
        <w:t>Disability progression (</w:t>
      </w:r>
      <w:r w:rsidR="00263494">
        <w:t>on E</w:t>
      </w:r>
      <w:r w:rsidR="0059592B" w:rsidRPr="00134F00">
        <w:t xml:space="preserve">xpanded </w:t>
      </w:r>
      <w:r w:rsidR="00263494">
        <w:t>D</w:t>
      </w:r>
      <w:r w:rsidR="0059592B" w:rsidRPr="00134F00">
        <w:t xml:space="preserve">isability </w:t>
      </w:r>
      <w:r w:rsidR="00263494">
        <w:t>S</w:t>
      </w:r>
      <w:r w:rsidR="0059592B" w:rsidRPr="00134F00">
        <w:t xml:space="preserve">tatus </w:t>
      </w:r>
      <w:r w:rsidR="00263494">
        <w:t>S</w:t>
      </w:r>
      <w:r w:rsidR="0059592B" w:rsidRPr="00134F00">
        <w:t>cale</w:t>
      </w:r>
      <w:r w:rsidR="0059592B">
        <w:t xml:space="preserve">, </w:t>
      </w:r>
      <w:r>
        <w:t>EDSS)</w:t>
      </w:r>
      <w:bookmarkStart w:id="52" w:name="_Ref126659576"/>
      <w:r w:rsidR="003D059C">
        <w:rPr>
          <w:rStyle w:val="FootnoteReference"/>
        </w:rPr>
        <w:footnoteReference w:id="15"/>
      </w:r>
      <w:bookmarkEnd w:id="52"/>
      <w:r>
        <w:t>: The proportion who progressed ranged from 21% to 37% across treatment subgroups. Most subjects remained steady over the duration of the study.</w:t>
      </w:r>
    </w:p>
    <w:p w14:paraId="4C9BAF4C" w14:textId="4E297FFA" w:rsidR="00FA7A3D" w:rsidRDefault="00FA7A3D" w:rsidP="00FA7A3D">
      <w:pPr>
        <w:pStyle w:val="ListBullet"/>
      </w:pPr>
      <w:r>
        <w:lastRenderedPageBreak/>
        <w:t xml:space="preserve">The adjusted mean and median number of </w:t>
      </w:r>
      <w:proofErr w:type="gramStart"/>
      <w:r w:rsidR="006F3A29">
        <w:t>g</w:t>
      </w:r>
      <w:r w:rsidR="006F3A29" w:rsidRPr="006F3A29">
        <w:t>adolinium</w:t>
      </w:r>
      <w:proofErr w:type="gramEnd"/>
      <w:r w:rsidR="006F3A29" w:rsidRPr="006F3A29">
        <w:t xml:space="preserve"> </w:t>
      </w:r>
      <w:r>
        <w:t>enhancing lesions remained low over time and across subgroups.</w:t>
      </w:r>
    </w:p>
    <w:p w14:paraId="0BA0C656" w14:textId="4951AA25" w:rsidR="00FA7A3D" w:rsidRDefault="00FA7A3D" w:rsidP="00FA7A3D">
      <w:pPr>
        <w:pStyle w:val="Heading5"/>
      </w:pPr>
      <w:r>
        <w:t>Study A301</w:t>
      </w:r>
    </w:p>
    <w:p w14:paraId="31E58EE9" w14:textId="73BEEEF2" w:rsidR="00FA7A3D" w:rsidRDefault="00C27AAC" w:rsidP="00FA7A3D">
      <w:r>
        <w:t>Study A301 is a</w:t>
      </w:r>
      <w:r w:rsidR="00FA7A3D">
        <w:t>n ongoing single</w:t>
      </w:r>
      <w:r>
        <w:t xml:space="preserve"> </w:t>
      </w:r>
      <w:r w:rsidR="00FA7A3D">
        <w:t>arm</w:t>
      </w:r>
      <w:r>
        <w:t>,</w:t>
      </w:r>
      <w:r w:rsidR="006F3A29">
        <w:t xml:space="preserve"> </w:t>
      </w:r>
      <w:r>
        <w:t>P</w:t>
      </w:r>
      <w:r w:rsidR="00FA7A3D">
        <w:t xml:space="preserve">hase III open label study with </w:t>
      </w:r>
      <w:r w:rsidR="00DC7E9E">
        <w:t>diroximel fumarate</w:t>
      </w:r>
      <w:r w:rsidR="00FA7A3D">
        <w:t>.</w:t>
      </w:r>
    </w:p>
    <w:p w14:paraId="4EA846ED" w14:textId="78543561" w:rsidR="00FA7A3D" w:rsidRDefault="00FA7A3D" w:rsidP="00FA7A3D">
      <w:r>
        <w:t xml:space="preserve">Rollover subjects who had completed the treatment period of Study A302 (or had previously received </w:t>
      </w:r>
      <w:r w:rsidR="006F3A29" w:rsidRPr="00F52523">
        <w:t>dimethyl fumarate</w:t>
      </w:r>
      <w:r>
        <w:t xml:space="preserve">) within 7 days of Visit 2 were enrolled. The study period consisted of 96-weeks of treatment period with </w:t>
      </w:r>
      <w:r w:rsidR="00DC7E9E">
        <w:t>diroximel fumarate</w:t>
      </w:r>
      <w:r>
        <w:t xml:space="preserve"> 462 mg </w:t>
      </w:r>
      <w:r w:rsidR="006F3A29">
        <w:t>twice daily</w:t>
      </w:r>
      <w:r>
        <w:t xml:space="preserve"> treatment and 2 weeks follow</w:t>
      </w:r>
      <w:r w:rsidR="00AE50B8">
        <w:t xml:space="preserve"> </w:t>
      </w:r>
      <w:r>
        <w:t>up.</w:t>
      </w:r>
    </w:p>
    <w:p w14:paraId="28B5DA79" w14:textId="624F62DC" w:rsidR="00FA7A3D" w:rsidRDefault="00FA7A3D" w:rsidP="00FA7A3D">
      <w:r>
        <w:t>Treatments</w:t>
      </w:r>
      <w:r w:rsidR="00134F00">
        <w:t xml:space="preserve"> consist of:</w:t>
      </w:r>
    </w:p>
    <w:p w14:paraId="3EE2531D" w14:textId="2D57D59F" w:rsidR="00134F00" w:rsidRDefault="003D059C" w:rsidP="00134F00">
      <w:pPr>
        <w:pStyle w:val="ListBullet"/>
      </w:pPr>
      <w:r>
        <w:rPr>
          <w:i/>
          <w:iCs/>
        </w:rPr>
        <w:t>d</w:t>
      </w:r>
      <w:r w:rsidR="00FA7A3D" w:rsidRPr="00134F00">
        <w:rPr>
          <w:i/>
          <w:iCs/>
        </w:rPr>
        <w:t xml:space="preserve">e </w:t>
      </w:r>
      <w:r w:rsidR="004E66A9">
        <w:rPr>
          <w:i/>
          <w:iCs/>
        </w:rPr>
        <w:t>n</w:t>
      </w:r>
      <w:r w:rsidR="00FA7A3D" w:rsidRPr="00134F00">
        <w:rPr>
          <w:i/>
          <w:iCs/>
        </w:rPr>
        <w:t>ovo</w:t>
      </w:r>
      <w:r w:rsidR="004E66A9">
        <w:rPr>
          <w:i/>
          <w:iCs/>
        </w:rPr>
        <w:t xml:space="preserve"> </w:t>
      </w:r>
      <w:r w:rsidR="004E66A9">
        <w:rPr>
          <w:iCs/>
        </w:rPr>
        <w:t>treatment</w:t>
      </w:r>
      <w:r w:rsidR="00FA7A3D">
        <w:t xml:space="preserve">: </w:t>
      </w:r>
      <w:r w:rsidR="00DC7E9E">
        <w:t>diroximel fumarate</w:t>
      </w:r>
      <w:r w:rsidR="00FA7A3D">
        <w:t xml:space="preserve"> 231 mg capsules </w:t>
      </w:r>
      <w:r w:rsidR="006F3A29">
        <w:t>twice daily</w:t>
      </w:r>
      <w:r w:rsidR="00FA7A3D">
        <w:t xml:space="preserve"> for </w:t>
      </w:r>
      <w:r w:rsidR="006F3A29">
        <w:t xml:space="preserve">one </w:t>
      </w:r>
      <w:r w:rsidR="00FA7A3D">
        <w:t xml:space="preserve">week then </w:t>
      </w:r>
      <w:r w:rsidR="00DC7E9E">
        <w:t>diroximel fumarate</w:t>
      </w:r>
      <w:r w:rsidR="00FA7A3D">
        <w:t xml:space="preserve"> 462 mg capsules </w:t>
      </w:r>
      <w:r w:rsidR="006F3A29">
        <w:t>twice daily</w:t>
      </w:r>
      <w:r w:rsidR="00FA7A3D">
        <w:t xml:space="preserve"> thereafter;</w:t>
      </w:r>
      <w:r w:rsidR="00134F00">
        <w:t xml:space="preserve"> or</w:t>
      </w:r>
    </w:p>
    <w:p w14:paraId="638B2EC5" w14:textId="3EFDBE99" w:rsidR="00FA7A3D" w:rsidRDefault="00134F00" w:rsidP="00134F00">
      <w:pPr>
        <w:pStyle w:val="ListBullet"/>
      </w:pPr>
      <w:r>
        <w:t>r</w:t>
      </w:r>
      <w:r w:rsidR="00FA7A3D">
        <w:t>ollover</w:t>
      </w:r>
      <w:r w:rsidR="004E66A9">
        <w:t xml:space="preserve"> treatment</w:t>
      </w:r>
      <w:r w:rsidR="00FA7A3D">
        <w:t xml:space="preserve">: </w:t>
      </w:r>
      <w:r w:rsidR="00DC7E9E">
        <w:t>diroximel fumarate</w:t>
      </w:r>
      <w:r w:rsidR="00FA7A3D">
        <w:t xml:space="preserve"> 462 mg capsules </w:t>
      </w:r>
      <w:r w:rsidR="006F3A29">
        <w:t xml:space="preserve">twice daily </w:t>
      </w:r>
      <w:r w:rsidR="00FA7A3D">
        <w:t xml:space="preserve">from </w:t>
      </w:r>
      <w:r>
        <w:t>D</w:t>
      </w:r>
      <w:r w:rsidR="00FA7A3D">
        <w:t>ay 1.</w:t>
      </w:r>
    </w:p>
    <w:p w14:paraId="7FB27E9F" w14:textId="611ADD13" w:rsidR="00FA7A3D" w:rsidRDefault="00FA7A3D" w:rsidP="00FA7A3D">
      <w:r>
        <w:t>Subjects were instructed to avoid high</w:t>
      </w:r>
      <w:r w:rsidR="006F3A29">
        <w:t xml:space="preserve"> </w:t>
      </w:r>
      <w:r>
        <w:t>fat meals.</w:t>
      </w:r>
      <w:r w:rsidR="00134F00">
        <w:t xml:space="preserve"> </w:t>
      </w:r>
      <w:r>
        <w:t>1057</w:t>
      </w:r>
      <w:r w:rsidR="00134F00">
        <w:t xml:space="preserve"> participants</w:t>
      </w:r>
      <w:r>
        <w:t xml:space="preserve"> (593 </w:t>
      </w:r>
      <w:r w:rsidRPr="00134F00">
        <w:rPr>
          <w:i/>
          <w:iCs/>
        </w:rPr>
        <w:t>De Novo</w:t>
      </w:r>
      <w:r>
        <w:t xml:space="preserve"> </w:t>
      </w:r>
      <w:r w:rsidR="006F3A29">
        <w:t>plus</w:t>
      </w:r>
      <w:r>
        <w:t xml:space="preserve"> 464 </w:t>
      </w:r>
      <w:proofErr w:type="gramStart"/>
      <w:r w:rsidR="00134F00">
        <w:t>r</w:t>
      </w:r>
      <w:r>
        <w:t>ollover</w:t>
      </w:r>
      <w:proofErr w:type="gramEnd"/>
      <w:r>
        <w:t xml:space="preserve"> </w:t>
      </w:r>
      <w:r w:rsidR="006F3A29">
        <w:t>plus</w:t>
      </w:r>
      <w:r>
        <w:t xml:space="preserve"> 225 previously treated with </w:t>
      </w:r>
      <w:r w:rsidR="006F3A29" w:rsidRPr="00F52523">
        <w:t>dimethyl fumarate</w:t>
      </w:r>
      <w:r>
        <w:t>) were enrolled. Overall mean age was 42.5 years (</w:t>
      </w:r>
      <w:r w:rsidR="00134F00">
        <w:t>r</w:t>
      </w:r>
      <w:r>
        <w:t xml:space="preserve">ange: 18 to 65 years), most subjects were female (72%) and Caucasian (92.2%). Overall, mean EDSS score at </w:t>
      </w:r>
      <w:r w:rsidR="00134F00">
        <w:t>B</w:t>
      </w:r>
      <w:r>
        <w:t xml:space="preserve">aseline was 2.69. Baseline disease characteristics were generally balanced across the </w:t>
      </w:r>
      <w:r w:rsidR="00134F00">
        <w:t>three</w:t>
      </w:r>
      <w:r>
        <w:t xml:space="preserve"> groups.</w:t>
      </w:r>
    </w:p>
    <w:p w14:paraId="57EA2717" w14:textId="0D8BF00F" w:rsidR="00FA7A3D" w:rsidRDefault="00134F00" w:rsidP="006F3A29">
      <w:pPr>
        <w:pStyle w:val="TableTitle"/>
      </w:pPr>
      <w:r w:rsidRPr="006F3A29">
        <w:t xml:space="preserve">Table </w:t>
      </w:r>
      <w:r>
        <w:fldChar w:fldCharType="begin"/>
      </w:r>
      <w:r>
        <w:instrText>SEQ Table \* ARABIC</w:instrText>
      </w:r>
      <w:r>
        <w:fldChar w:fldCharType="separate"/>
      </w:r>
      <w:r w:rsidR="00FE3E0A">
        <w:rPr>
          <w:noProof/>
        </w:rPr>
        <w:t>6</w:t>
      </w:r>
      <w:r>
        <w:fldChar w:fldCharType="end"/>
      </w:r>
      <w:r w:rsidRPr="006F3A29">
        <w:t>:</w:t>
      </w:r>
      <w:r>
        <w:t xml:space="preserve"> </w:t>
      </w:r>
      <w:r w:rsidR="003D059C">
        <w:t xml:space="preserve">Study A301 </w:t>
      </w:r>
      <w:r>
        <w:t xml:space="preserve">Efficacy endpoint at Week 48 and 96 </w:t>
      </w:r>
      <w:r w:rsidR="00FA7A3D">
        <w:t>(</w:t>
      </w:r>
      <w:r>
        <w:t xml:space="preserve">data </w:t>
      </w:r>
      <w:r w:rsidR="00FA7A3D">
        <w:t>cut</w:t>
      </w:r>
      <w:r w:rsidR="003D059C">
        <w:t>-</w:t>
      </w:r>
      <w:r w:rsidR="00FA7A3D">
        <w:t xml:space="preserve">off: 7 February 2020; </w:t>
      </w:r>
      <w:proofErr w:type="gramStart"/>
      <w:r w:rsidR="00FA7A3D">
        <w:t>96</w:t>
      </w:r>
      <w:r w:rsidR="003D059C">
        <w:t> </w:t>
      </w:r>
      <w:r w:rsidR="00FA7A3D">
        <w:t>week</w:t>
      </w:r>
      <w:proofErr w:type="gramEnd"/>
      <w:r w:rsidR="00FA7A3D">
        <w:t xml:space="preserve"> results: 1041</w:t>
      </w:r>
      <w:r w:rsidR="006F0334">
        <w:t xml:space="preserve"> participants</w:t>
      </w:r>
      <w:r w:rsidR="00FA7A3D">
        <w:t>)</w:t>
      </w:r>
    </w:p>
    <w:p w14:paraId="07B6EDF1" w14:textId="456BECBB" w:rsidR="00134F00" w:rsidRDefault="00134F00" w:rsidP="00134F00">
      <w:r w:rsidRPr="00134F00">
        <w:rPr>
          <w:noProof/>
          <w:lang w:val="en-GB" w:eastAsia="en-GB"/>
        </w:rPr>
        <w:drawing>
          <wp:inline distT="0" distB="0" distL="0" distR="0" wp14:anchorId="009C01D8" wp14:editId="4659B5BF">
            <wp:extent cx="5002524" cy="1995777"/>
            <wp:effectExtent l="0" t="0" r="8255" b="5080"/>
            <wp:docPr id="2" name="Picture 2" descr="Efficacy endpoint at Week 48 and 96 (data cutoff: 7 February 2020; 96-week results: N =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fficacy endpoint at Week 48 and 96 (data cutoff: 7 February 2020; 96-week results: N = 1041)"/>
                    <pic:cNvPicPr/>
                  </pic:nvPicPr>
                  <pic:blipFill rotWithShape="1">
                    <a:blip r:embed="rId31"/>
                    <a:srcRect b="11291"/>
                    <a:stretch/>
                  </pic:blipFill>
                  <pic:spPr bwMode="auto">
                    <a:xfrm>
                      <a:off x="0" y="0"/>
                      <a:ext cx="5021684" cy="2003421"/>
                    </a:xfrm>
                    <a:prstGeom prst="rect">
                      <a:avLst/>
                    </a:prstGeom>
                    <a:ln>
                      <a:noFill/>
                    </a:ln>
                    <a:extLst>
                      <a:ext uri="{53640926-AAD7-44D8-BBD7-CCE9431645EC}">
                        <a14:shadowObscured xmlns:a14="http://schemas.microsoft.com/office/drawing/2010/main"/>
                      </a:ext>
                    </a:extLst>
                  </pic:spPr>
                </pic:pic>
              </a:graphicData>
            </a:graphic>
          </wp:inline>
        </w:drawing>
      </w:r>
    </w:p>
    <w:p w14:paraId="58659BFF" w14:textId="33A49DEB" w:rsidR="00134F00" w:rsidRDefault="00134F00" w:rsidP="00134F00">
      <w:pPr>
        <w:pStyle w:val="TableDescription"/>
      </w:pPr>
      <w:r>
        <w:t>* Most endpoint results are listed by change from Baseline</w:t>
      </w:r>
    </w:p>
    <w:p w14:paraId="4D4B1EB5" w14:textId="2C34BD47" w:rsidR="00134F00" w:rsidRDefault="00134F00" w:rsidP="00134F00">
      <w:pPr>
        <w:pStyle w:val="TableDescription"/>
      </w:pPr>
      <w:r>
        <w:t xml:space="preserve">** Based on </w:t>
      </w:r>
      <w:r w:rsidR="003D059C">
        <w:rPr>
          <w:i/>
          <w:iCs/>
        </w:rPr>
        <w:t>d</w:t>
      </w:r>
      <w:r w:rsidRPr="00134F00">
        <w:rPr>
          <w:i/>
          <w:iCs/>
        </w:rPr>
        <w:t xml:space="preserve">e </w:t>
      </w:r>
      <w:r w:rsidR="003D059C">
        <w:rPr>
          <w:i/>
          <w:iCs/>
        </w:rPr>
        <w:t>n</w:t>
      </w:r>
      <w:r w:rsidRPr="00134F00">
        <w:rPr>
          <w:i/>
          <w:iCs/>
        </w:rPr>
        <w:t>ovo</w:t>
      </w:r>
      <w:r>
        <w:t xml:space="preserve"> subgroup only</w:t>
      </w:r>
    </w:p>
    <w:p w14:paraId="6DEAC45A" w14:textId="7E4E1851" w:rsidR="00134F00" w:rsidRDefault="00134F00" w:rsidP="00134F00">
      <w:r>
        <w:t>The clinical evaluat</w:t>
      </w:r>
      <w:r w:rsidR="006F0334">
        <w:t xml:space="preserve">ion </w:t>
      </w:r>
      <w:r>
        <w:t>considered that the efficacy analyses conducted in this study as exploratory. The rationale was the single</w:t>
      </w:r>
      <w:r w:rsidR="002C3655">
        <w:t xml:space="preserve"> </w:t>
      </w:r>
      <w:r>
        <w:t>arm</w:t>
      </w:r>
      <w:r w:rsidR="002C3655">
        <w:t xml:space="preserve">, open label </w:t>
      </w:r>
      <w:r>
        <w:t xml:space="preserve">study design that lacked a placebo or active control. The </w:t>
      </w:r>
      <w:r w:rsidR="002C3655">
        <w:t xml:space="preserve">clinical </w:t>
      </w:r>
      <w:r>
        <w:t>evaluator has also highlighted that this study was not designed to provide an efficacy (or safety) analysis by disease severity (low v</w:t>
      </w:r>
      <w:r w:rsidR="002C3655">
        <w:t>ersus</w:t>
      </w:r>
      <w:r>
        <w:t xml:space="preserve"> high disease activity).</w:t>
      </w:r>
    </w:p>
    <w:p w14:paraId="627BA26F" w14:textId="21D742C4" w:rsidR="00134F00" w:rsidRDefault="00134F00" w:rsidP="00134F00">
      <w:r>
        <w:t xml:space="preserve">The </w:t>
      </w:r>
      <w:r w:rsidRPr="002C3655">
        <w:t xml:space="preserve">reported </w:t>
      </w:r>
      <w:r w:rsidR="002C3655" w:rsidRPr="002C3655">
        <w:t>absolute risk reduction</w:t>
      </w:r>
      <w:r>
        <w:t xml:space="preserve"> and protocol</w:t>
      </w:r>
      <w:r w:rsidR="002C3655">
        <w:t xml:space="preserve"> </w:t>
      </w:r>
      <w:r>
        <w:t xml:space="preserve">defined relapse rate overall, and in each subgroup, were generally low across a </w:t>
      </w:r>
      <w:proofErr w:type="gramStart"/>
      <w:r w:rsidR="006F3A29">
        <w:t xml:space="preserve">two </w:t>
      </w:r>
      <w:r>
        <w:t>year</w:t>
      </w:r>
      <w:proofErr w:type="gramEnd"/>
      <w:r>
        <w:t xml:space="preserve"> period (96 weeks). Most other exploratory endpoints after </w:t>
      </w:r>
      <w:r w:rsidR="006F3A29">
        <w:t xml:space="preserve">462 mg of </w:t>
      </w:r>
      <w:r w:rsidR="00DC7E9E">
        <w:t>diroximel fumarate</w:t>
      </w:r>
      <w:r>
        <w:t xml:space="preserve"> </w:t>
      </w:r>
      <w:r w:rsidR="006F3A29">
        <w:t>twice daily</w:t>
      </w:r>
      <w:r>
        <w:t xml:space="preserve"> treatment either showed a reduction in disease activity or stabilisation of their MS.</w:t>
      </w:r>
    </w:p>
    <w:p w14:paraId="3C137256" w14:textId="5C7B6DA8" w:rsidR="00134F00" w:rsidRDefault="00134F00" w:rsidP="00134F00">
      <w:r>
        <w:t xml:space="preserve">Overall, the trends and magnitude of the observed treatment effects over the 2-year study period in this study was comparable to the pivotal study findings with </w:t>
      </w:r>
      <w:r w:rsidR="006F3A29" w:rsidRPr="00F52523">
        <w:t>dimethyl fumarate</w:t>
      </w:r>
      <w:r>
        <w:t>.</w:t>
      </w:r>
    </w:p>
    <w:p w14:paraId="65AD2815" w14:textId="45785CD3" w:rsidR="002C3655" w:rsidRDefault="002C3655" w:rsidP="009F087E">
      <w:pPr>
        <w:pStyle w:val="Heading5"/>
      </w:pPr>
      <w:r>
        <w:t>Study A302</w:t>
      </w:r>
    </w:p>
    <w:p w14:paraId="3EE78C0A" w14:textId="356F6A98" w:rsidR="002C3655" w:rsidRDefault="009F087E" w:rsidP="002C3655">
      <w:r>
        <w:t xml:space="preserve">Study A302 is a Phase III, </w:t>
      </w:r>
      <w:r w:rsidR="002C3655">
        <w:t>double blind</w:t>
      </w:r>
      <w:r>
        <w:t xml:space="preserve">, randomised control trial </w:t>
      </w:r>
      <w:r w:rsidR="002C3655">
        <w:t xml:space="preserve">in adults with </w:t>
      </w:r>
      <w:r w:rsidR="006F0334">
        <w:t>relapse remitting multiple sclerosis (</w:t>
      </w:r>
      <w:r w:rsidR="002C3655">
        <w:t>RRMS</w:t>
      </w:r>
      <w:r w:rsidR="006F0334">
        <w:t>)</w:t>
      </w:r>
      <w:r w:rsidR="002C3655">
        <w:t>, with safety as the primary outcome.</w:t>
      </w:r>
    </w:p>
    <w:p w14:paraId="53F43060" w14:textId="7E3DC87B" w:rsidR="002C3655" w:rsidRDefault="002C3655" w:rsidP="002C3655">
      <w:r>
        <w:lastRenderedPageBreak/>
        <w:t xml:space="preserve">The study was aimed to evaluate the </w:t>
      </w:r>
      <w:r w:rsidR="003E76A6">
        <w:t>GI</w:t>
      </w:r>
      <w:r>
        <w:t xml:space="preserve"> tolerability of </w:t>
      </w:r>
      <w:r w:rsidR="00DC7E9E">
        <w:t>diroximel fumarate</w:t>
      </w:r>
      <w:r>
        <w:t xml:space="preserve"> and to compare with </w:t>
      </w:r>
      <w:r w:rsidR="009F087E">
        <w:t>d</w:t>
      </w:r>
      <w:r w:rsidR="009F087E" w:rsidRPr="002C3655">
        <w:t>imethyl fumarate</w:t>
      </w:r>
      <w:r>
        <w:t xml:space="preserve">. Overall safety of </w:t>
      </w:r>
      <w:r w:rsidR="00DC7E9E">
        <w:t>diroximel fumarate</w:t>
      </w:r>
      <w:r>
        <w:t xml:space="preserve"> was also evaluated during the study period.</w:t>
      </w:r>
    </w:p>
    <w:p w14:paraId="59F0BD6C" w14:textId="6476A6CD" w:rsidR="002C3655" w:rsidRDefault="002C3655" w:rsidP="002C3655">
      <w:r>
        <w:t>The study was conducted in two parts, Parts A and B. Both Parts A and B were identical in study design and included a 5-week, double blind treatment period with two blinded treatment arms (</w:t>
      </w:r>
      <w:r w:rsidR="00DC7E9E">
        <w:t>diroximel fumarate</w:t>
      </w:r>
      <w:r>
        <w:t xml:space="preserve"> and </w:t>
      </w:r>
      <w:r w:rsidR="00052AA5">
        <w:t>d</w:t>
      </w:r>
      <w:r w:rsidR="00052AA5" w:rsidRPr="002C3655">
        <w:t>imethyl fumarate</w:t>
      </w:r>
      <w:r>
        <w:t xml:space="preserve">). The study had an adaptive design such that data from Part A could be used to modify the </w:t>
      </w:r>
      <w:r w:rsidR="006F0334">
        <w:t xml:space="preserve">gastrointestinal (GI) </w:t>
      </w:r>
      <w:r>
        <w:t>tolerability endpoints and sample size in the study. In those aspects, the findings of Part A were considered as exploratory.</w:t>
      </w:r>
    </w:p>
    <w:p w14:paraId="0FA81965" w14:textId="36E9E06D" w:rsidR="002C3655" w:rsidRDefault="002C3655" w:rsidP="002C3655">
      <w:r>
        <w:t>The first 120 eligible subjects were randomi</w:t>
      </w:r>
      <w:r w:rsidR="00052AA5">
        <w:t>s</w:t>
      </w:r>
      <w:r>
        <w:t xml:space="preserve">ed to one of the two treatment groups in Part A (n = 60 per group). Once the enrolment for Part A was complete, the next </w:t>
      </w:r>
      <w:r w:rsidR="00ED76B5">
        <w:t>380</w:t>
      </w:r>
      <w:r>
        <w:t xml:space="preserve"> eligible subjects were to be enrolled into one of the two treatment groups in Part B (n = 150 per group). Following completion of </w:t>
      </w:r>
      <w:proofErr w:type="gramStart"/>
      <w:r>
        <w:t>Part</w:t>
      </w:r>
      <w:proofErr w:type="gramEnd"/>
      <w:r>
        <w:t xml:space="preserve"> A, the sponsor conducted a planned, unblinded exploratory analysis of the Part A</w:t>
      </w:r>
      <w:r w:rsidR="006F0334">
        <w:t>,</w:t>
      </w:r>
      <w:r>
        <w:t xml:space="preserve"> </w:t>
      </w:r>
      <w:r w:rsidR="003E76A6">
        <w:t>GI</w:t>
      </w:r>
      <w:r>
        <w:t xml:space="preserve"> tolerability and safety data.</w:t>
      </w:r>
    </w:p>
    <w:p w14:paraId="0757210A" w14:textId="75376A45" w:rsidR="002C3655" w:rsidRDefault="002C3655" w:rsidP="00052AA5">
      <w:pPr>
        <w:pStyle w:val="FigureTitle"/>
      </w:pPr>
      <w:r w:rsidRPr="00052AA5">
        <w:t xml:space="preserve">Figure </w:t>
      </w:r>
      <w:r>
        <w:fldChar w:fldCharType="begin"/>
      </w:r>
      <w:r>
        <w:instrText>SEQ Figure \* ARABIC</w:instrText>
      </w:r>
      <w:r>
        <w:fldChar w:fldCharType="separate"/>
      </w:r>
      <w:r w:rsidR="00FE3E0A">
        <w:rPr>
          <w:noProof/>
        </w:rPr>
        <w:t>10</w:t>
      </w:r>
      <w:r>
        <w:fldChar w:fldCharType="end"/>
      </w:r>
      <w:r>
        <w:t>:</w:t>
      </w:r>
      <w:r w:rsidR="00BC29CC">
        <w:t xml:space="preserve"> </w:t>
      </w:r>
      <w:r w:rsidR="00BC29CC" w:rsidRPr="00BC29CC">
        <w:t>Study</w:t>
      </w:r>
      <w:r w:rsidR="00052AA5">
        <w:t xml:space="preserve"> A302</w:t>
      </w:r>
      <w:r w:rsidR="00BC29CC" w:rsidRPr="00BC29CC">
        <w:t xml:space="preserve"> Design Schematic (Parts A and B)</w:t>
      </w:r>
    </w:p>
    <w:p w14:paraId="389DBB0C" w14:textId="0D21D96D" w:rsidR="002C3655" w:rsidRDefault="00BC29CC" w:rsidP="002C3655">
      <w:r w:rsidRPr="00BC29CC">
        <w:rPr>
          <w:noProof/>
          <w:lang w:val="en-GB" w:eastAsia="en-GB"/>
        </w:rPr>
        <w:drawing>
          <wp:inline distT="0" distB="0" distL="0" distR="0" wp14:anchorId="669EF513" wp14:editId="1FE8481A">
            <wp:extent cx="5296204" cy="2194711"/>
            <wp:effectExtent l="0" t="0" r="0" b="0"/>
            <wp:docPr id="19" name="Picture 19" descr="Study Design Schematic (Parts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y Design Schematic (Parts A and B)"/>
                    <pic:cNvPicPr/>
                  </pic:nvPicPr>
                  <pic:blipFill>
                    <a:blip r:embed="rId32"/>
                    <a:stretch>
                      <a:fillRect/>
                    </a:stretch>
                  </pic:blipFill>
                  <pic:spPr>
                    <a:xfrm>
                      <a:off x="0" y="0"/>
                      <a:ext cx="5296752" cy="2194938"/>
                    </a:xfrm>
                    <a:prstGeom prst="rect">
                      <a:avLst/>
                    </a:prstGeom>
                  </pic:spPr>
                </pic:pic>
              </a:graphicData>
            </a:graphic>
          </wp:inline>
        </w:drawing>
      </w:r>
    </w:p>
    <w:p w14:paraId="5A156C77" w14:textId="2C5F1470" w:rsidR="002C3655" w:rsidRDefault="002C3655" w:rsidP="002C3655">
      <w:pPr>
        <w:pStyle w:val="FigureDescription"/>
      </w:pPr>
      <w:r>
        <w:t>Abbreviation</w:t>
      </w:r>
      <w:r w:rsidR="006F0334">
        <w:t>s</w:t>
      </w:r>
      <w:r>
        <w:t>: BID = twice daily; DMF = dimethyl fumarate; ET = early termination; V = visit.</w:t>
      </w:r>
    </w:p>
    <w:p w14:paraId="22088773" w14:textId="67DC08DD" w:rsidR="002C3655" w:rsidRDefault="002C3655" w:rsidP="002C3655">
      <w:pPr>
        <w:pStyle w:val="FigureDescription"/>
      </w:pPr>
      <w:r>
        <w:t xml:space="preserve">Subjects completing the </w:t>
      </w:r>
      <w:proofErr w:type="gramStart"/>
      <w:r>
        <w:t>5 week</w:t>
      </w:r>
      <w:proofErr w:type="gramEnd"/>
      <w:r>
        <w:t xml:space="preserve"> treatment period either continued into Study ALK8700-A301, long term safety study or entered the safety follow up period and return for Visit 9.</w:t>
      </w:r>
    </w:p>
    <w:p w14:paraId="30C09082" w14:textId="45537E94" w:rsidR="002C3655" w:rsidRDefault="002C3655" w:rsidP="002C3655">
      <w:r>
        <w:t xml:space="preserve">Adults with RRMS </w:t>
      </w:r>
      <w:r w:rsidR="00A874FC">
        <w:t>who had</w:t>
      </w:r>
      <w:r>
        <w:t xml:space="preserve"> a</w:t>
      </w:r>
      <w:r w:rsidR="00A874FC">
        <w:t>n</w:t>
      </w:r>
      <w:r>
        <w:t xml:space="preserve"> EDSS score at </w:t>
      </w:r>
      <w:r w:rsidR="00052AA5">
        <w:t>B</w:t>
      </w:r>
      <w:r>
        <w:t>aseline between 0 to 6</w:t>
      </w:r>
      <w:r w:rsidR="00A874FC">
        <w:t>;</w:t>
      </w:r>
      <w:r w:rsidR="00A874FC" w:rsidRPr="00F24E9C">
        <w:rPr>
          <w:vertAlign w:val="superscript"/>
        </w:rPr>
        <w:fldChar w:fldCharType="begin"/>
      </w:r>
      <w:r w:rsidR="00A874FC" w:rsidRPr="00F24E9C">
        <w:rPr>
          <w:vertAlign w:val="superscript"/>
        </w:rPr>
        <w:instrText xml:space="preserve"> NOTEREF _Ref126659576 \h </w:instrText>
      </w:r>
      <w:r w:rsidR="00A874FC">
        <w:rPr>
          <w:vertAlign w:val="superscript"/>
        </w:rPr>
        <w:instrText xml:space="preserve"> \* MERGEFORMAT </w:instrText>
      </w:r>
      <w:r w:rsidR="00A874FC" w:rsidRPr="00F24E9C">
        <w:rPr>
          <w:vertAlign w:val="superscript"/>
        </w:rPr>
      </w:r>
      <w:r w:rsidR="00A874FC" w:rsidRPr="00F24E9C">
        <w:rPr>
          <w:vertAlign w:val="superscript"/>
        </w:rPr>
        <w:fldChar w:fldCharType="separate"/>
      </w:r>
      <w:r w:rsidR="00A874FC" w:rsidRPr="00F24E9C">
        <w:rPr>
          <w:vertAlign w:val="superscript"/>
        </w:rPr>
        <w:t>14</w:t>
      </w:r>
      <w:r w:rsidR="00A874FC" w:rsidRPr="00F24E9C">
        <w:rPr>
          <w:vertAlign w:val="superscript"/>
        </w:rPr>
        <w:fldChar w:fldCharType="end"/>
      </w:r>
      <w:r>
        <w:t xml:space="preserve"> were randomise</w:t>
      </w:r>
      <w:r w:rsidR="00A874FC">
        <w:t>d</w:t>
      </w:r>
      <w:r w:rsidR="006F0334">
        <w:t xml:space="preserve"> into the stu</w:t>
      </w:r>
      <w:r>
        <w:t>d</w:t>
      </w:r>
      <w:r w:rsidR="006F0334">
        <w:t>y</w:t>
      </w:r>
      <w:r>
        <w:t xml:space="preserve">. Subjects with history of significant recurring or active </w:t>
      </w:r>
      <w:r w:rsidR="003E76A6">
        <w:t>GI</w:t>
      </w:r>
      <w:r>
        <w:t xml:space="preserve"> symptoms within three months of screening, chronic use (≥ 7 days) of medical therapy to treat any </w:t>
      </w:r>
      <w:r w:rsidR="003E76A6">
        <w:t>GI</w:t>
      </w:r>
      <w:r>
        <w:t xml:space="preserve"> symptoms within </w:t>
      </w:r>
      <w:r w:rsidR="00052AA5">
        <w:t>one</w:t>
      </w:r>
      <w:r>
        <w:t xml:space="preserve"> month of screening, had 2 or more </w:t>
      </w:r>
      <w:r w:rsidR="0059592B" w:rsidRPr="0059592B">
        <w:t xml:space="preserve">Individual Gastrointestinal Symptom and Impact Scale </w:t>
      </w:r>
      <w:r w:rsidR="0059592B">
        <w:t>(</w:t>
      </w:r>
      <w:r>
        <w:t>IGISIS</w:t>
      </w:r>
      <w:r w:rsidR="0059592B">
        <w:t>);</w:t>
      </w:r>
      <w:r w:rsidR="0059592B">
        <w:rPr>
          <w:rStyle w:val="FootnoteReference"/>
        </w:rPr>
        <w:footnoteReference w:id="16"/>
      </w:r>
      <w:r>
        <w:t xml:space="preserve"> individual symptom intensity scores ≥ 3 during the 1-week lead-in prior to randomisation were excluded.</w:t>
      </w:r>
    </w:p>
    <w:p w14:paraId="667489A4" w14:textId="2F2BCA76" w:rsidR="002C3655" w:rsidRDefault="002C3655" w:rsidP="002C3655">
      <w:r>
        <w:t xml:space="preserve">Gastrointestinal tolerability was assessed using the IGISIS and </w:t>
      </w:r>
      <w:r w:rsidR="00A874FC">
        <w:t xml:space="preserve">the </w:t>
      </w:r>
      <w:r w:rsidR="0059592B" w:rsidRPr="0059592B">
        <w:t xml:space="preserve">Global Gastrointestinal Symptom and Impact Scale </w:t>
      </w:r>
      <w:r>
        <w:t>(GGISIS</w:t>
      </w:r>
      <w:r w:rsidR="0059592B">
        <w:t>).</w:t>
      </w:r>
      <w:r w:rsidR="00BE362A">
        <w:rPr>
          <w:rStyle w:val="FootnoteReference"/>
        </w:rPr>
        <w:footnoteReference w:id="17"/>
      </w:r>
    </w:p>
    <w:p w14:paraId="1FD13E2F" w14:textId="6518A31F" w:rsidR="002C3655" w:rsidRDefault="002C3655" w:rsidP="002C3655">
      <w:r>
        <w:lastRenderedPageBreak/>
        <w:t xml:space="preserve">Following </w:t>
      </w:r>
      <w:proofErr w:type="gramStart"/>
      <w:r>
        <w:t>Part</w:t>
      </w:r>
      <w:proofErr w:type="gramEnd"/>
      <w:r>
        <w:t xml:space="preserve"> A review, </w:t>
      </w:r>
      <w:proofErr w:type="spellStart"/>
      <w:r>
        <w:t>cutoff</w:t>
      </w:r>
      <w:proofErr w:type="spellEnd"/>
      <w:r>
        <w:t xml:space="preserve"> for the primary endpoint (IGISIS) was revised from ≥ 3 to ≥</w:t>
      </w:r>
      <w:r w:rsidR="0059592B">
        <w:t> </w:t>
      </w:r>
      <w:r>
        <w:t>2 (and the decision to use pooled</w:t>
      </w:r>
      <w:r w:rsidR="0059592B">
        <w:t xml:space="preserve"> Part</w:t>
      </w:r>
      <w:r>
        <w:t xml:space="preserve"> A and B data rather than Part B data as the primary endpoint). The latter was determined to be more sensitive in detecting differences between treatments. Similarly, IGISIS was determined to be more sensitive than the GGISIS.</w:t>
      </w:r>
    </w:p>
    <w:p w14:paraId="394B503D" w14:textId="77777777" w:rsidR="002C3655" w:rsidRDefault="002C3655" w:rsidP="002C3655">
      <w:r w:rsidRPr="00F24E9C">
        <w:rPr>
          <w:i/>
        </w:rPr>
        <w:t>Primary endpoint</w:t>
      </w:r>
      <w:r>
        <w:t>: Number of days with any IGISIS individual symptom intensity score ≥ 2 relative to exposure days during study period.</w:t>
      </w:r>
    </w:p>
    <w:p w14:paraId="7F4CF76C" w14:textId="0C1C0B2B" w:rsidR="002C3655" w:rsidRDefault="0059592B" w:rsidP="00052AA5">
      <w:pPr>
        <w:pStyle w:val="TableTitle"/>
      </w:pPr>
      <w:r w:rsidRPr="00052AA5">
        <w:t xml:space="preserve">Table </w:t>
      </w:r>
      <w:r>
        <w:fldChar w:fldCharType="begin"/>
      </w:r>
      <w:r>
        <w:instrText>SEQ Table \* ARABIC</w:instrText>
      </w:r>
      <w:r>
        <w:fldChar w:fldCharType="separate"/>
      </w:r>
      <w:r w:rsidR="00FE3E0A">
        <w:rPr>
          <w:noProof/>
        </w:rPr>
        <w:t>7</w:t>
      </w:r>
      <w:r>
        <w:fldChar w:fldCharType="end"/>
      </w:r>
      <w:r>
        <w:t xml:space="preserve">: </w:t>
      </w:r>
      <w:r w:rsidR="00A927D3" w:rsidRPr="00A927D3">
        <w:t xml:space="preserve">Study </w:t>
      </w:r>
      <w:r w:rsidR="00BE362A">
        <w:t xml:space="preserve">A302 </w:t>
      </w:r>
      <w:r w:rsidR="00A927D3" w:rsidRPr="00A927D3">
        <w:t xml:space="preserve">Drug </w:t>
      </w:r>
      <w:r w:rsidR="00BE362A">
        <w:t>d</w:t>
      </w:r>
      <w:r w:rsidR="00A927D3" w:rsidRPr="00A927D3">
        <w:t xml:space="preserve">osing </w:t>
      </w:r>
      <w:r w:rsidR="00BE362A">
        <w:t>s</w:t>
      </w:r>
      <w:r w:rsidR="00A927D3" w:rsidRPr="00A927D3">
        <w:t>chedule (Parts A and B)</w:t>
      </w:r>
    </w:p>
    <w:p w14:paraId="6A0B18E2" w14:textId="506E0F1D" w:rsidR="0059592B" w:rsidRDefault="00A927D3" w:rsidP="0059592B">
      <w:r w:rsidRPr="00A927D3">
        <w:rPr>
          <w:noProof/>
          <w:lang w:val="en-GB" w:eastAsia="en-GB"/>
        </w:rPr>
        <w:drawing>
          <wp:inline distT="0" distB="0" distL="0" distR="0" wp14:anchorId="53FAF38A" wp14:editId="6B56A608">
            <wp:extent cx="5400040" cy="1670050"/>
            <wp:effectExtent l="0" t="0" r="0" b="6350"/>
            <wp:docPr id="20" name="Picture 20" descr="Study Drug Dosing Schedule (Parts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y Drug Dosing Schedule (Parts A and B)"/>
                    <pic:cNvPicPr/>
                  </pic:nvPicPr>
                  <pic:blipFill>
                    <a:blip r:embed="rId33"/>
                    <a:stretch>
                      <a:fillRect/>
                    </a:stretch>
                  </pic:blipFill>
                  <pic:spPr>
                    <a:xfrm>
                      <a:off x="0" y="0"/>
                      <a:ext cx="5400040" cy="1670050"/>
                    </a:xfrm>
                    <a:prstGeom prst="rect">
                      <a:avLst/>
                    </a:prstGeom>
                  </pic:spPr>
                </pic:pic>
              </a:graphicData>
            </a:graphic>
          </wp:inline>
        </w:drawing>
      </w:r>
    </w:p>
    <w:p w14:paraId="2946B0B1" w14:textId="3B0C93AA" w:rsidR="00A927D3" w:rsidRDefault="00A927D3" w:rsidP="00A927D3">
      <w:pPr>
        <w:pStyle w:val="TableDescription"/>
      </w:pPr>
      <w:r w:rsidRPr="00A927D3">
        <w:t>Abbreviations: BID=twice daily; DMF=dimethyl fumarate.</w:t>
      </w:r>
    </w:p>
    <w:p w14:paraId="3CECE45F" w14:textId="1CC434F0" w:rsidR="0059592B" w:rsidRDefault="00BE362A" w:rsidP="0059592B">
      <w:r>
        <w:t xml:space="preserve">Overall, </w:t>
      </w:r>
      <w:r w:rsidR="0059592B">
        <w:t>504 subjects were enrolled.</w:t>
      </w:r>
    </w:p>
    <w:p w14:paraId="0C578846" w14:textId="03440D21" w:rsidR="0059592B" w:rsidRDefault="0059592B" w:rsidP="0059592B">
      <w:r>
        <w:t xml:space="preserve">A total of 120 subjects in Part A (60 per group) and 386 subjects in Part B (194 in the </w:t>
      </w:r>
      <w:r w:rsidR="00DC7E9E">
        <w:t>diroximel fumarate</w:t>
      </w:r>
      <w:r>
        <w:t xml:space="preserve"> group and 192 in the </w:t>
      </w:r>
      <w:r w:rsidR="00052AA5" w:rsidRPr="00A927D3">
        <w:t>dimethyl fumarate</w:t>
      </w:r>
      <w:r>
        <w:t xml:space="preserve"> group) were enrolled. Approximately 92% of subjects who completed the study rolled over into Study A301.</w:t>
      </w:r>
    </w:p>
    <w:p w14:paraId="4C117760" w14:textId="354D31BE" w:rsidR="0059592B" w:rsidRDefault="0059592B" w:rsidP="00052AA5">
      <w:pPr>
        <w:pStyle w:val="FigureTitle"/>
      </w:pPr>
      <w:r w:rsidRPr="00052AA5">
        <w:t xml:space="preserve">Figure </w:t>
      </w:r>
      <w:r>
        <w:fldChar w:fldCharType="begin"/>
      </w:r>
      <w:r>
        <w:instrText>SEQ Figure \* ARABIC</w:instrText>
      </w:r>
      <w:r>
        <w:fldChar w:fldCharType="separate"/>
      </w:r>
      <w:r w:rsidR="00FE3E0A">
        <w:rPr>
          <w:noProof/>
        </w:rPr>
        <w:t>11</w:t>
      </w:r>
      <w:r>
        <w:fldChar w:fldCharType="end"/>
      </w:r>
      <w:r>
        <w:t>:</w:t>
      </w:r>
      <w:r w:rsidR="00052AA5">
        <w:t xml:space="preserve">Study </w:t>
      </w:r>
      <w:r w:rsidR="005F37CE" w:rsidRPr="005F37CE">
        <w:t>A3</w:t>
      </w:r>
      <w:r w:rsidR="005F37CE">
        <w:t xml:space="preserve">02 </w:t>
      </w:r>
      <w:r w:rsidR="00BE362A">
        <w:t xml:space="preserve">Participant </w:t>
      </w:r>
      <w:r w:rsidR="00052AA5">
        <w:t>flow</w:t>
      </w:r>
    </w:p>
    <w:p w14:paraId="40A96F38" w14:textId="345FE551" w:rsidR="0059592B" w:rsidRDefault="00A927D3" w:rsidP="0059592B">
      <w:r w:rsidRPr="00A927D3">
        <w:rPr>
          <w:noProof/>
          <w:lang w:val="en-GB" w:eastAsia="en-GB"/>
        </w:rPr>
        <w:drawing>
          <wp:inline distT="0" distB="0" distL="0" distR="0" wp14:anchorId="1FF01540" wp14:editId="363AB745">
            <wp:extent cx="4659465" cy="2684233"/>
            <wp:effectExtent l="0" t="0" r="8255" b="1905"/>
            <wp:docPr id="21" name="Picture 21" descr="Study A320 flow&#10;A total of 854 subjects underwent screening, 506 subjects were enrolled in this study, and 504 subjects received at least one dose of study drug. One hundred twenty subjects in Part A (60 per group) and 386 subjects in Part B (194 subjects in the ALKS 8700 group and 192 subjects in the DMF group) were enrolled in this study. A total of 504 subjects were included in the Safety population. A total of 502 subjects had at least one postbaseline GI tolerability assessment (GGISIS or IGISIS) on or before the last dose date and were included in the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A320 flow&#10;A total of 854 subjects underwent screening, 506 subjects were enrolled in this study, and 504 subjects received at least one dose of study drug. One hundred twenty subjects in Part A (60 per group) and 386 subjects in Part B (194 subjects in the ALKS 8700 group and 192 subjects in the DMF group) were enrolled in this study. A total of 504 subjects were included in the Safety population. A total of 502 subjects had at least one postbaseline GI tolerability assessment (GGISIS or IGISIS) on or before the last dose date and were included in the FAS population."/>
                    <pic:cNvPicPr/>
                  </pic:nvPicPr>
                  <pic:blipFill>
                    <a:blip r:embed="rId34"/>
                    <a:stretch>
                      <a:fillRect/>
                    </a:stretch>
                  </pic:blipFill>
                  <pic:spPr>
                    <a:xfrm>
                      <a:off x="0" y="0"/>
                      <a:ext cx="4671781" cy="2691328"/>
                    </a:xfrm>
                    <a:prstGeom prst="rect">
                      <a:avLst/>
                    </a:prstGeom>
                  </pic:spPr>
                </pic:pic>
              </a:graphicData>
            </a:graphic>
          </wp:inline>
        </w:drawing>
      </w:r>
    </w:p>
    <w:p w14:paraId="5DED27D2" w14:textId="755B5EF2" w:rsidR="00A927D3" w:rsidRDefault="00A927D3" w:rsidP="00A927D3">
      <w:pPr>
        <w:pStyle w:val="FigureDescription"/>
      </w:pPr>
      <w:r w:rsidRPr="00A927D3">
        <w:t>Abbreviations: AE=adverse event;</w:t>
      </w:r>
      <w:r w:rsidR="00052AA5">
        <w:t xml:space="preserve"> ALKS 8700 462 mg = diroximel fumarate;</w:t>
      </w:r>
      <w:r w:rsidRPr="00A927D3">
        <w:t xml:space="preserve"> DMF=dimethyl fumarate; n=number of subjects.</w:t>
      </w:r>
    </w:p>
    <w:p w14:paraId="6451F09F" w14:textId="6BDF2A95" w:rsidR="0059592B" w:rsidRDefault="0059592B" w:rsidP="0059592B">
      <w:r w:rsidRPr="0059592B">
        <w:lastRenderedPageBreak/>
        <w:t xml:space="preserve">It was noted that in the </w:t>
      </w:r>
      <w:r w:rsidR="00A874FC" w:rsidRPr="0059592B">
        <w:t xml:space="preserve">statistical analysis plan, </w:t>
      </w:r>
      <w:r w:rsidRPr="0059592B">
        <w:t>no corrections for multiple comparisons were applied.</w:t>
      </w:r>
    </w:p>
    <w:p w14:paraId="2934407F" w14:textId="076E2FDC" w:rsidR="0059592B" w:rsidRPr="0059592B" w:rsidRDefault="0059592B" w:rsidP="0059592B">
      <w:r>
        <w:t>At Baseline, the overall median subject age was 44 years, most subjects were female (72.8%), with median body mass index of 26.3 kg/m</w:t>
      </w:r>
      <w:r w:rsidRPr="0059592B">
        <w:rPr>
          <w:vertAlign w:val="superscript"/>
        </w:rPr>
        <w:t>2</w:t>
      </w:r>
      <w:r>
        <w:t>. EDSS score was 2.71 (Range: 0 to 6), number of years since MS diagnosis was 7.7 years, number of years since onset of MS was 9.8 years, number of previous DMTs was 1.3 (33.5% had no previous DMT), number of relapses within the 12 months prior to screening was 0.6 (</w:t>
      </w:r>
      <w:r w:rsidR="00052AA5">
        <w:t>r</w:t>
      </w:r>
      <w:r>
        <w:t xml:space="preserve">ange 0 to 5) and number of </w:t>
      </w:r>
      <w:r w:rsidRPr="0059592B">
        <w:t>gadolinium-enhancing lesions was 1 (70.4% had no lesions).</w:t>
      </w:r>
    </w:p>
    <w:p w14:paraId="549B0CB2" w14:textId="4EBA0745" w:rsidR="0059592B" w:rsidRDefault="0059592B" w:rsidP="0059592B">
      <w:r>
        <w:t xml:space="preserve">The study met the primary endpoint. The number of days with any IGISIS symptom intensity score ≥ 2 relative to exposure days in Parts A and B was lower in the </w:t>
      </w:r>
      <w:r w:rsidR="00DC7E9E">
        <w:t>diroximel fumarate</w:t>
      </w:r>
      <w:r>
        <w:t xml:space="preserve"> group (1.5 </w:t>
      </w:r>
      <w:r w:rsidR="00BE362A">
        <w:t>(</w:t>
      </w:r>
      <w:r>
        <w:t>2.85</w:t>
      </w:r>
      <w:r w:rsidR="00BE362A">
        <w:t>)</w:t>
      </w:r>
      <w:r>
        <w:t xml:space="preserve"> days) compared to the </w:t>
      </w:r>
      <w:r w:rsidR="00052AA5" w:rsidRPr="00A927D3">
        <w:t>dimethyl fumarate</w:t>
      </w:r>
      <w:r>
        <w:t xml:space="preserve"> group (2.5 </w:t>
      </w:r>
      <w:r w:rsidR="00BE362A">
        <w:t>(</w:t>
      </w:r>
      <w:r>
        <w:t>4.68</w:t>
      </w:r>
      <w:r w:rsidR="00BE362A">
        <w:t>)</w:t>
      </w:r>
      <w:r>
        <w:t xml:space="preserve"> days). The treatment difference was statistically significant (p = 0.0003). However, it should be noted that multiplicity has not been addressed in this assessment. The rate ratio was calculated as 0.542 (95% CIs: 0.390, 0.754), which represented a 45.8% relative reduction in the </w:t>
      </w:r>
      <w:r w:rsidR="00DC7E9E">
        <w:t>diroximel fumarate</w:t>
      </w:r>
      <w:r>
        <w:t xml:space="preserve"> group compared to the </w:t>
      </w:r>
      <w:r w:rsidR="00052AA5" w:rsidRPr="00A927D3">
        <w:t>dimethyl fumarate</w:t>
      </w:r>
      <w:r>
        <w:t xml:space="preserve"> group.</w:t>
      </w:r>
    </w:p>
    <w:p w14:paraId="5B42EA38" w14:textId="1941EA78" w:rsidR="0059592B" w:rsidRDefault="0059592B" w:rsidP="0059592B">
      <w:r>
        <w:t xml:space="preserve">Most of the secondary endpoints were met, which were measures of IGISIS scores with an intensity score ≥ 1,2 and 3 </w:t>
      </w:r>
      <w:proofErr w:type="gramStart"/>
      <w:r>
        <w:t>relative</w:t>
      </w:r>
      <w:proofErr w:type="gramEnd"/>
      <w:r>
        <w:t xml:space="preserve"> to exposure days in either/or Part A and B. Overall, the results were consistent with the primary outcome.</w:t>
      </w:r>
    </w:p>
    <w:p w14:paraId="0ED61B92" w14:textId="77777777" w:rsidR="00A874FC" w:rsidRDefault="00A874FC" w:rsidP="00A874FC">
      <w:pPr>
        <w:pStyle w:val="Heading4"/>
      </w:pPr>
      <w:r>
        <w:t>Safety</w:t>
      </w:r>
    </w:p>
    <w:p w14:paraId="46EC74C0" w14:textId="5BD37B59" w:rsidR="00A874FC" w:rsidRPr="00510E85" w:rsidRDefault="00A874FC" w:rsidP="00F24E9C">
      <w:pPr>
        <w:pStyle w:val="Heading5"/>
      </w:pPr>
      <w:r>
        <w:t>Studies providing safety data</w:t>
      </w:r>
    </w:p>
    <w:p w14:paraId="7847B2E0" w14:textId="77777777" w:rsidR="00A874FC" w:rsidRDefault="00A874FC" w:rsidP="00A874FC">
      <w:r>
        <w:t xml:space="preserve">Studies A301 and A302 were Phase III studies that contributed to the safety and tolerability data for diroximel fumarate. The diroximel fumarate safety database includes 1461 participants across </w:t>
      </w:r>
      <w:r w:rsidRPr="00F23ECB">
        <w:t xml:space="preserve">12 </w:t>
      </w:r>
      <w:r>
        <w:t>clinical studies who received at least one dose of diroximel fumarate. This includes 1071 participants with MS in the Phase III studies, representing around 1500 participant-years of exposure to diroximel fumarate.</w:t>
      </w:r>
    </w:p>
    <w:p w14:paraId="10CCBF89" w14:textId="23EF21A9" w:rsidR="00A874FC" w:rsidRDefault="00A874FC" w:rsidP="0059592B">
      <w:r w:rsidRPr="009F39F5">
        <w:t>Safety for diroximel fumarate was also extrapolated from the two pivotal Phase III studies from the dimethyl fumarate application: Studies 109MS301 and 109MS302.</w:t>
      </w:r>
      <w:r>
        <w:fldChar w:fldCharType="begin"/>
      </w:r>
      <w:r>
        <w:instrText xml:space="preserve"> NOTEREF _Ref121906479 \f \h </w:instrText>
      </w:r>
      <w:r>
        <w:fldChar w:fldCharType="separate"/>
      </w:r>
      <w:r>
        <w:rPr>
          <w:rStyle w:val="FootnoteReference"/>
        </w:rPr>
        <w:t>9</w:t>
      </w:r>
      <w:r>
        <w:fldChar w:fldCharType="end"/>
      </w:r>
      <w:r>
        <w:rPr>
          <w:vertAlign w:val="superscript"/>
        </w:rPr>
        <w:t>,</w:t>
      </w:r>
      <w:r>
        <w:rPr>
          <w:vertAlign w:val="superscript"/>
        </w:rPr>
        <w:fldChar w:fldCharType="begin"/>
      </w:r>
      <w:r>
        <w:rPr>
          <w:vertAlign w:val="superscript"/>
        </w:rPr>
        <w:instrText xml:space="preserve"> NOTEREF _Ref126656824 \h </w:instrText>
      </w:r>
      <w:r>
        <w:rPr>
          <w:vertAlign w:val="superscript"/>
        </w:rPr>
      </w:r>
      <w:r>
        <w:rPr>
          <w:vertAlign w:val="superscript"/>
        </w:rPr>
        <w:fldChar w:fldCharType="separate"/>
      </w:r>
      <w:r>
        <w:rPr>
          <w:vertAlign w:val="superscript"/>
        </w:rPr>
        <w:t>10</w:t>
      </w:r>
      <w:r>
        <w:rPr>
          <w:vertAlign w:val="superscript"/>
        </w:rPr>
        <w:fldChar w:fldCharType="end"/>
      </w:r>
    </w:p>
    <w:p w14:paraId="31205337" w14:textId="76BD661C" w:rsidR="0059592B" w:rsidRDefault="0059592B" w:rsidP="0059592B">
      <w:pPr>
        <w:pStyle w:val="Heading5"/>
      </w:pPr>
      <w:r>
        <w:t>Adverse events and treatment emergent adverse events</w:t>
      </w:r>
    </w:p>
    <w:p w14:paraId="40253BE6" w14:textId="389FB631" w:rsidR="0059592B" w:rsidRDefault="00EE4B23" w:rsidP="0059592B">
      <w:r>
        <w:t>T</w:t>
      </w:r>
      <w:r w:rsidR="0059592B">
        <w:t>he most common treatment</w:t>
      </w:r>
      <w:r w:rsidR="00BE362A">
        <w:t>-</w:t>
      </w:r>
      <w:r w:rsidR="0059592B">
        <w:t>emergent adverse events (TEAEs) in Study A301 were flushing (</w:t>
      </w:r>
      <w:r w:rsidR="0064502C">
        <w:t>27.2%</w:t>
      </w:r>
      <w:r w:rsidR="0059592B">
        <w:t>), MS relapse (18.3%), upper respiratory tract infection (13.9%), nasopharyngitis (12.6%), diarrhoea (</w:t>
      </w:r>
      <w:r w:rsidR="004D4810">
        <w:t>10.1%</w:t>
      </w:r>
      <w:r w:rsidR="0059592B">
        <w:t>), and lymphopenia (10.1%).</w:t>
      </w:r>
    </w:p>
    <w:p w14:paraId="6F77B501" w14:textId="77777777" w:rsidR="0059592B" w:rsidRDefault="0059592B" w:rsidP="0059592B">
      <w:pPr>
        <w:pStyle w:val="Heading6"/>
      </w:pPr>
      <w:r>
        <w:t>Lymphopenia</w:t>
      </w:r>
    </w:p>
    <w:p w14:paraId="2CD0A55C" w14:textId="0DDD7FED" w:rsidR="0059592B" w:rsidRDefault="0059592B" w:rsidP="0059592B">
      <w:r>
        <w:t xml:space="preserve">In Study A302, adverse event (AE) associated with lymphopenia were reported in four subjects (0.8%). One subject (0.4%) in the </w:t>
      </w:r>
      <w:r w:rsidR="00DC7E9E">
        <w:t>diroximel fumarate</w:t>
      </w:r>
      <w:r>
        <w:t xml:space="preserve"> group and three subjects (1.2%) in the </w:t>
      </w:r>
      <w:r w:rsidR="00052AA5" w:rsidRPr="00A927D3">
        <w:t>dimethyl fumarate</w:t>
      </w:r>
      <w:r>
        <w:t xml:space="preserve"> group. All these events were mild and did not lead to change in dose or treatment discontinuation. Two events in the </w:t>
      </w:r>
      <w:r w:rsidR="00052AA5" w:rsidRPr="00A927D3">
        <w:t>dimethyl fumarate</w:t>
      </w:r>
      <w:r>
        <w:t xml:space="preserve"> group were reported as not resolved by the end of study period.</w:t>
      </w:r>
    </w:p>
    <w:p w14:paraId="701FD63C" w14:textId="4DE93DE5" w:rsidR="00BE362A" w:rsidRDefault="00BE362A" w:rsidP="00F24E9C">
      <w:pPr>
        <w:spacing w:before="0" w:after="200" w:line="0" w:lineRule="auto"/>
      </w:pPr>
      <w:r>
        <w:br w:type="page"/>
      </w:r>
    </w:p>
    <w:p w14:paraId="43E47A20" w14:textId="12FDB8DE" w:rsidR="0059592B" w:rsidRDefault="00BC29CC" w:rsidP="00052AA5">
      <w:pPr>
        <w:pStyle w:val="TableTitle"/>
      </w:pPr>
      <w:r w:rsidRPr="00052AA5">
        <w:lastRenderedPageBreak/>
        <w:t xml:space="preserve">Table </w:t>
      </w:r>
      <w:r>
        <w:fldChar w:fldCharType="begin"/>
      </w:r>
      <w:r>
        <w:instrText>SEQ Table \* ARABIC</w:instrText>
      </w:r>
      <w:r>
        <w:fldChar w:fldCharType="separate"/>
      </w:r>
      <w:r w:rsidR="00FE3E0A">
        <w:rPr>
          <w:noProof/>
        </w:rPr>
        <w:t>8</w:t>
      </w:r>
      <w:r>
        <w:fldChar w:fldCharType="end"/>
      </w:r>
      <w:r>
        <w:t xml:space="preserve">: </w:t>
      </w:r>
      <w:r w:rsidR="00052AA5">
        <w:t>Study A302 adverse event associated with lymphopenia</w:t>
      </w:r>
    </w:p>
    <w:p w14:paraId="39DAF469" w14:textId="37F77811" w:rsidR="00BC29CC" w:rsidRDefault="00A927D3" w:rsidP="00BC29CC">
      <w:r w:rsidRPr="00A927D3">
        <w:rPr>
          <w:noProof/>
          <w:lang w:val="en-GB" w:eastAsia="en-GB"/>
        </w:rPr>
        <w:drawing>
          <wp:inline distT="0" distB="0" distL="0" distR="0" wp14:anchorId="69A25223" wp14:editId="0A37C8DB">
            <wp:extent cx="5400040" cy="1131570"/>
            <wp:effectExtent l="0" t="0" r="0" b="0"/>
            <wp:docPr id="22" name="Picture 22" descr="Study A302 adverse event associated with lymphop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y A302 adverse event associated with lymphopenia"/>
                    <pic:cNvPicPr/>
                  </pic:nvPicPr>
                  <pic:blipFill>
                    <a:blip r:embed="rId35"/>
                    <a:stretch>
                      <a:fillRect/>
                    </a:stretch>
                  </pic:blipFill>
                  <pic:spPr>
                    <a:xfrm>
                      <a:off x="0" y="0"/>
                      <a:ext cx="5400040" cy="1131570"/>
                    </a:xfrm>
                    <a:prstGeom prst="rect">
                      <a:avLst/>
                    </a:prstGeom>
                  </pic:spPr>
                </pic:pic>
              </a:graphicData>
            </a:graphic>
          </wp:inline>
        </w:drawing>
      </w:r>
    </w:p>
    <w:p w14:paraId="08470155" w14:textId="00F409D8" w:rsidR="00A927D3" w:rsidRDefault="00A927D3" w:rsidP="00A927D3">
      <w:pPr>
        <w:pStyle w:val="TableDescription"/>
      </w:pPr>
      <w:r>
        <w:t>Abbreviations: AE=adverse event; AESI=adverse events of special interest; DMF=dimethyl fumarate; N=total number of subjects; n=number of subjects.</w:t>
      </w:r>
    </w:p>
    <w:p w14:paraId="270ACF28" w14:textId="77777777" w:rsidR="00A927D3" w:rsidRDefault="00A927D3" w:rsidP="00A927D3">
      <w:pPr>
        <w:pStyle w:val="TableDescription"/>
      </w:pPr>
      <w:r>
        <w:t>Note: Only lymphocyte-relevant events were counted.</w:t>
      </w:r>
    </w:p>
    <w:p w14:paraId="2BC5E836" w14:textId="2D2A5107" w:rsidR="00A927D3" w:rsidRDefault="00A927D3" w:rsidP="00A927D3">
      <w:pPr>
        <w:pStyle w:val="TableDescription"/>
      </w:pPr>
      <w:r>
        <w:t>Note: If a subject experiences more than one AE in a category, the subject is counted only once in that category.</w:t>
      </w:r>
    </w:p>
    <w:p w14:paraId="713B75A5" w14:textId="65B04E1F" w:rsidR="00A927D3" w:rsidRDefault="00A927D3" w:rsidP="00A927D3">
      <w:pPr>
        <w:pStyle w:val="Heading6"/>
      </w:pPr>
      <w:r>
        <w:t xml:space="preserve">Progressive </w:t>
      </w:r>
      <w:r w:rsidR="00052AA5">
        <w:t>m</w:t>
      </w:r>
      <w:r>
        <w:t xml:space="preserve">ultifocal </w:t>
      </w:r>
      <w:r w:rsidR="00052AA5">
        <w:t>l</w:t>
      </w:r>
      <w:r>
        <w:t>eukoencephalopathy</w:t>
      </w:r>
    </w:p>
    <w:p w14:paraId="111D3959" w14:textId="5B3E883C" w:rsidR="00A927D3" w:rsidRDefault="00A927D3" w:rsidP="00A927D3">
      <w:r>
        <w:t>Rare events of p</w:t>
      </w:r>
      <w:r w:rsidRPr="00A927D3">
        <w:t xml:space="preserve">rogressive </w:t>
      </w:r>
      <w:r>
        <w:t>m</w:t>
      </w:r>
      <w:r w:rsidRPr="00A927D3">
        <w:t xml:space="preserve">ultifocal </w:t>
      </w:r>
      <w:r>
        <w:t>l</w:t>
      </w:r>
      <w:r w:rsidRPr="00A927D3">
        <w:t>eukoencephalopathy</w:t>
      </w:r>
      <w:r>
        <w:t xml:space="preserve"> (PML) have been associated with </w:t>
      </w:r>
      <w:r w:rsidR="00052AA5">
        <w:t>dimethyl fumarate</w:t>
      </w:r>
      <w:r>
        <w:t xml:space="preserve"> treatment in patients with lymphopenia. The safety signal for PML arose early after approval of Tecfidera</w:t>
      </w:r>
      <w:r w:rsidR="00101F31">
        <w:t>;</w:t>
      </w:r>
      <w:r w:rsidR="00101F31">
        <w:fldChar w:fldCharType="begin"/>
      </w:r>
      <w:r w:rsidR="00101F31">
        <w:instrText xml:space="preserve"> NOTEREF _Ref121906479 \f \h </w:instrText>
      </w:r>
      <w:r w:rsidR="00101F31">
        <w:fldChar w:fldCharType="separate"/>
      </w:r>
      <w:r w:rsidR="00101F31">
        <w:rPr>
          <w:rStyle w:val="FootnoteReference"/>
        </w:rPr>
        <w:t>9</w:t>
      </w:r>
      <w:r w:rsidR="00101F31">
        <w:fldChar w:fldCharType="end"/>
      </w:r>
      <w:r w:rsidR="00101F31">
        <w:rPr>
          <w:vertAlign w:val="superscript"/>
        </w:rPr>
        <w:t>,</w:t>
      </w:r>
      <w:r w:rsidR="00101F31">
        <w:rPr>
          <w:vertAlign w:val="superscript"/>
        </w:rPr>
        <w:fldChar w:fldCharType="begin"/>
      </w:r>
      <w:r w:rsidR="00101F31">
        <w:rPr>
          <w:vertAlign w:val="superscript"/>
        </w:rPr>
        <w:instrText xml:space="preserve"> NOTEREF _Ref126656824 \h </w:instrText>
      </w:r>
      <w:r w:rsidR="00101F31">
        <w:rPr>
          <w:vertAlign w:val="superscript"/>
        </w:rPr>
      </w:r>
      <w:r w:rsidR="00101F31">
        <w:rPr>
          <w:vertAlign w:val="superscript"/>
        </w:rPr>
        <w:fldChar w:fldCharType="separate"/>
      </w:r>
      <w:r w:rsidR="00101F31">
        <w:rPr>
          <w:vertAlign w:val="superscript"/>
        </w:rPr>
        <w:t>10</w:t>
      </w:r>
      <w:r w:rsidR="00101F31">
        <w:rPr>
          <w:vertAlign w:val="superscript"/>
        </w:rPr>
        <w:fldChar w:fldCharType="end"/>
      </w:r>
      <w:r>
        <w:t xml:space="preserve"> following the first confirmed case of PML (a fatal event) in a patient with severe prolonged lymphopenia (&gt; 3.5 years) in a clinical study.</w:t>
      </w:r>
    </w:p>
    <w:p w14:paraId="292DCF4B" w14:textId="5D4362CB" w:rsidR="00A927D3" w:rsidRDefault="00A927D3" w:rsidP="00A927D3">
      <w:r>
        <w:t>So far, 12 PML cases have been confirmed for d</w:t>
      </w:r>
      <w:r w:rsidRPr="00A927D3">
        <w:t>imethyl fumarate</w:t>
      </w:r>
      <w:r>
        <w:t xml:space="preserve">, which all occurred in patients with </w:t>
      </w:r>
      <w:r w:rsidR="00052AA5">
        <w:t>absolute lymphocytes count</w:t>
      </w:r>
      <w:r>
        <w:t xml:space="preserve"> below </w:t>
      </w:r>
      <w:r w:rsidR="00052AA5">
        <w:t>lower limits of normal</w:t>
      </w:r>
      <w:r>
        <w:t xml:space="preserve"> (&lt; 0.91</w:t>
      </w:r>
      <w:r w:rsidR="00BE362A">
        <w:t xml:space="preserve"> </w:t>
      </w:r>
      <w:r>
        <w:t>x</w:t>
      </w:r>
      <w:r w:rsidR="00BE362A">
        <w:t xml:space="preserve"> </w:t>
      </w:r>
      <w:r>
        <w:t>10</w:t>
      </w:r>
      <w:r w:rsidRPr="00F24E9C">
        <w:rPr>
          <w:vertAlign w:val="superscript"/>
        </w:rPr>
        <w:t>9</w:t>
      </w:r>
      <w:r>
        <w:t xml:space="preserve">/L), and 11 of these cases occurred in the post market setting. Following these findings, additional statement as a contraindication (contraindicated in patients with suspected or confirmed PML has been introduced in the EU </w:t>
      </w:r>
      <w:r w:rsidR="00052AA5">
        <w:t>summary of product characteristic</w:t>
      </w:r>
      <w:r w:rsidR="006801C3">
        <w:t xml:space="preserve"> (SmPC)</w:t>
      </w:r>
      <w:r w:rsidR="00052AA5">
        <w:t xml:space="preserve"> </w:t>
      </w:r>
      <w:r>
        <w:t>for Tecfidera.</w:t>
      </w:r>
      <w:r w:rsidR="00052AA5">
        <w:rPr>
          <w:rStyle w:val="FootnoteReference"/>
        </w:rPr>
        <w:footnoteReference w:id="18"/>
      </w:r>
      <w:r>
        <w:t xml:space="preserve"> The </w:t>
      </w:r>
      <w:r w:rsidR="009708B7">
        <w:t>D</w:t>
      </w:r>
      <w:r>
        <w:t xml:space="preserve">elegate has recommended to insert a similar statement in the </w:t>
      </w:r>
      <w:proofErr w:type="spellStart"/>
      <w:r>
        <w:t>Vumerity</w:t>
      </w:r>
      <w:proofErr w:type="spellEnd"/>
      <w:r>
        <w:t xml:space="preserve"> PI. Additional warning statements were also inserted. Based on </w:t>
      </w:r>
      <w:r w:rsidR="00F367AD">
        <w:t>monomethyl fumarate</w:t>
      </w:r>
      <w:r>
        <w:t xml:space="preserve"> being the same active moiety of </w:t>
      </w:r>
      <w:r w:rsidR="009708B7">
        <w:t>dimethyl fumarate</w:t>
      </w:r>
      <w:r>
        <w:t xml:space="preserve"> and </w:t>
      </w:r>
      <w:r w:rsidR="00DC7E9E">
        <w:t>diroximel fumarate</w:t>
      </w:r>
      <w:r>
        <w:t xml:space="preserve">, the </w:t>
      </w:r>
      <w:r w:rsidR="009708B7">
        <w:t>D</w:t>
      </w:r>
      <w:r>
        <w:t xml:space="preserve">elegate considers that the same risk applies to </w:t>
      </w:r>
      <w:r w:rsidR="00DC7E9E">
        <w:t>diroximel fumarate</w:t>
      </w:r>
      <w:r>
        <w:t>.</w:t>
      </w:r>
    </w:p>
    <w:p w14:paraId="45EA53BC" w14:textId="639B3AF6" w:rsidR="00B9020D" w:rsidRDefault="00B9020D" w:rsidP="00B9020D">
      <w:pPr>
        <w:pStyle w:val="Heading6"/>
      </w:pPr>
      <w:r>
        <w:t>Other adverse events</w:t>
      </w:r>
    </w:p>
    <w:p w14:paraId="4B733DCE" w14:textId="621D3D6E" w:rsidR="00A927D3" w:rsidRDefault="00A927D3" w:rsidP="00A927D3">
      <w:r>
        <w:t xml:space="preserve">The proposed PI for </w:t>
      </w:r>
      <w:r w:rsidR="00DC7E9E">
        <w:t>diroximel fumarate</w:t>
      </w:r>
      <w:r w:rsidR="00BE362A">
        <w:t xml:space="preserve"> (</w:t>
      </w:r>
      <w:proofErr w:type="spellStart"/>
      <w:r w:rsidR="00BE362A">
        <w:t>Vumerity</w:t>
      </w:r>
      <w:proofErr w:type="spellEnd"/>
      <w:r w:rsidR="00BE362A">
        <w:t xml:space="preserve">) </w:t>
      </w:r>
      <w:r>
        <w:t xml:space="preserve">and the approved PI for </w:t>
      </w:r>
      <w:r w:rsidR="009708B7">
        <w:t>dimethyl fumarate</w:t>
      </w:r>
      <w:r w:rsidR="00BE362A">
        <w:t xml:space="preserve"> (Tecfide</w:t>
      </w:r>
      <w:r w:rsidR="00101F31">
        <w:t>r</w:t>
      </w:r>
      <w:r w:rsidR="00BE362A">
        <w:t>a</w:t>
      </w:r>
      <w:r w:rsidR="00101F31">
        <w:t>)</w:t>
      </w:r>
      <w:r w:rsidR="00101F31">
        <w:fldChar w:fldCharType="begin"/>
      </w:r>
      <w:r w:rsidR="00101F31">
        <w:instrText xml:space="preserve"> NOTEREF _Ref121906479 \f \h </w:instrText>
      </w:r>
      <w:r w:rsidR="00101F31">
        <w:fldChar w:fldCharType="separate"/>
      </w:r>
      <w:r w:rsidR="00101F31">
        <w:rPr>
          <w:rStyle w:val="FootnoteReference"/>
        </w:rPr>
        <w:t>9</w:t>
      </w:r>
      <w:r w:rsidR="00101F31">
        <w:fldChar w:fldCharType="end"/>
      </w:r>
      <w:r w:rsidR="00101F31">
        <w:rPr>
          <w:vertAlign w:val="superscript"/>
        </w:rPr>
        <w:t>,</w:t>
      </w:r>
      <w:r w:rsidR="00101F31">
        <w:rPr>
          <w:vertAlign w:val="superscript"/>
        </w:rPr>
        <w:fldChar w:fldCharType="begin"/>
      </w:r>
      <w:r w:rsidR="00101F31">
        <w:rPr>
          <w:vertAlign w:val="superscript"/>
        </w:rPr>
        <w:instrText xml:space="preserve"> NOTEREF _Ref126656824 \h </w:instrText>
      </w:r>
      <w:r w:rsidR="00101F31">
        <w:rPr>
          <w:vertAlign w:val="superscript"/>
        </w:rPr>
      </w:r>
      <w:r w:rsidR="00101F31">
        <w:rPr>
          <w:vertAlign w:val="superscript"/>
        </w:rPr>
        <w:fldChar w:fldCharType="separate"/>
      </w:r>
      <w:r w:rsidR="00101F31">
        <w:rPr>
          <w:vertAlign w:val="superscript"/>
        </w:rPr>
        <w:t>10</w:t>
      </w:r>
      <w:r w:rsidR="00101F31">
        <w:rPr>
          <w:vertAlign w:val="superscript"/>
        </w:rPr>
        <w:fldChar w:fldCharType="end"/>
      </w:r>
      <w:r>
        <w:t xml:space="preserve"> has statements to inform the prescriber to monitor lymphocyte counts and liver function periodically. Events of PML with </w:t>
      </w:r>
      <w:r w:rsidR="009708B7">
        <w:t>dimethyl fumarate</w:t>
      </w:r>
      <w:r>
        <w:t xml:space="preserve"> has mostly been reported in the post</w:t>
      </w:r>
      <w:r w:rsidR="009708B7">
        <w:noBreakHyphen/>
      </w:r>
      <w:r>
        <w:t>market setting.</w:t>
      </w:r>
    </w:p>
    <w:p w14:paraId="17E43253" w14:textId="7529A535" w:rsidR="00A927D3" w:rsidRDefault="00A927D3" w:rsidP="00A927D3">
      <w:r>
        <w:t xml:space="preserve">Overall, the incidence of AEs </w:t>
      </w:r>
      <w:proofErr w:type="gramStart"/>
      <w:r>
        <w:t>were</w:t>
      </w:r>
      <w:proofErr w:type="gramEnd"/>
      <w:r>
        <w:t xml:space="preserve"> comparable across subjects treated with </w:t>
      </w:r>
      <w:r w:rsidR="009708B7">
        <w:t>dimethyl fumarate</w:t>
      </w:r>
      <w:r>
        <w:t xml:space="preserve"> and </w:t>
      </w:r>
      <w:r w:rsidR="00DC7E9E">
        <w:t>diroximel fumarate</w:t>
      </w:r>
      <w:r w:rsidR="00F01CD2">
        <w:t xml:space="preserve"> in </w:t>
      </w:r>
      <w:r w:rsidR="00101F31">
        <w:t>S</w:t>
      </w:r>
      <w:r w:rsidR="00F01CD2">
        <w:t>tudy A302</w:t>
      </w:r>
      <w:r>
        <w:t xml:space="preserve">. </w:t>
      </w:r>
      <w:r w:rsidR="003E76A6">
        <w:t xml:space="preserve">GI </w:t>
      </w:r>
      <w:r>
        <w:t>disorders were the commonest (41.9%), followed by vascular (3</w:t>
      </w:r>
      <w:r w:rsidR="00F33E2A">
        <w:t>6</w:t>
      </w:r>
      <w:r>
        <w:t>.7%) and skin (21.2%) disorders.</w:t>
      </w:r>
    </w:p>
    <w:p w14:paraId="286B5187" w14:textId="25BC60F1" w:rsidR="00A927D3" w:rsidRDefault="0065496C" w:rsidP="00A927D3">
      <w:r>
        <w:t>In study 302, t</w:t>
      </w:r>
      <w:r w:rsidR="00A927D3">
        <w:t xml:space="preserve">he incidence of TEAEs were comparable at 65.2% in the </w:t>
      </w:r>
      <w:r w:rsidR="00DC7E9E">
        <w:t>diroximel fumarate</w:t>
      </w:r>
      <w:r w:rsidR="00A927D3">
        <w:t xml:space="preserve"> group v</w:t>
      </w:r>
      <w:r w:rsidR="009708B7">
        <w:t>ersus</w:t>
      </w:r>
      <w:r w:rsidR="00A927D3">
        <w:t xml:space="preserve"> 72.1% in the </w:t>
      </w:r>
      <w:r w:rsidR="009708B7">
        <w:t>dimethyl fumarate</w:t>
      </w:r>
      <w:r w:rsidR="00A927D3">
        <w:t xml:space="preserve"> group. Flushing was the most frequent event: 32.8% v</w:t>
      </w:r>
      <w:r w:rsidR="009708B7">
        <w:t>ersus</w:t>
      </w:r>
      <w:r w:rsidR="00A927D3">
        <w:t xml:space="preserve"> 40.2% in </w:t>
      </w:r>
      <w:r w:rsidR="00DC7E9E">
        <w:t>diroximel fumarate</w:t>
      </w:r>
      <w:r w:rsidR="00A927D3">
        <w:t xml:space="preserve"> and </w:t>
      </w:r>
      <w:r w:rsidR="009708B7">
        <w:t>dimethyl fumarate</w:t>
      </w:r>
      <w:r w:rsidR="00A927D3">
        <w:t xml:space="preserve"> respectively</w:t>
      </w:r>
      <w:r w:rsidR="00F24E9C">
        <w:t>.</w:t>
      </w:r>
    </w:p>
    <w:p w14:paraId="38236470" w14:textId="1A774C79" w:rsidR="00A927D3" w:rsidRDefault="00A927D3" w:rsidP="00A927D3">
      <w:r>
        <w:t xml:space="preserve">No events of opportunistic infections and serious infections were reported with </w:t>
      </w:r>
      <w:r w:rsidR="00DC7E9E">
        <w:t>diroximel fumarate</w:t>
      </w:r>
      <w:r>
        <w:t xml:space="preserve"> and </w:t>
      </w:r>
      <w:r w:rsidR="009708B7">
        <w:t>dimethyl fumarate</w:t>
      </w:r>
      <w:r>
        <w:t xml:space="preserve"> in Study A302.</w:t>
      </w:r>
    </w:p>
    <w:p w14:paraId="40D0DF99" w14:textId="37F8E4C4" w:rsidR="00A927D3" w:rsidRDefault="00A927D3" w:rsidP="00A927D3">
      <w:r>
        <w:t xml:space="preserve">In Study A301, lymphocyte counts were monitored to mitigate the risk for life-threatening infections (including PML). 0.6% of subjects reported opportunistic infections (OIs) (oral candidiasis, three subjects; vulvovaginal candidiasis, two subjects; candida infection, two subjects; oesophageal candidiasis, one subject); one subject had both OIs of oral candidiasis and candida infection, and one subject had both OIs of oesophageal candidiasis and candida infection. OIs were mild (four subjects) or moderate (two subjects), not </w:t>
      </w:r>
      <w:r>
        <w:lastRenderedPageBreak/>
        <w:t>serious or associated with lymphopenia, and rated not related to study treatment, except for the</w:t>
      </w:r>
      <w:r w:rsidR="009708B7">
        <w:t xml:space="preserve"> </w:t>
      </w:r>
      <w:r>
        <w:t xml:space="preserve">TEAEs of oral candidiasis and candida infection; all but the TEAE of candida infection resolved by the cut-off date. </w:t>
      </w:r>
      <w:r w:rsidRPr="00B8144C">
        <w:t xml:space="preserve">22 subjects (2.1%) have been identified with mild to moderate Herpes Zoster and one subject with varicella zoster virus infection in </w:t>
      </w:r>
      <w:r w:rsidR="009708B7" w:rsidRPr="00B8144C">
        <w:t>Study</w:t>
      </w:r>
      <w:r w:rsidR="00101F31">
        <w:t> </w:t>
      </w:r>
      <w:r w:rsidRPr="00B8144C">
        <w:t>A301. Herpes Zoster is a known risk with Tecfidera treatment and labelled in the product information.</w:t>
      </w:r>
    </w:p>
    <w:p w14:paraId="03CE5795" w14:textId="270FDF6C" w:rsidR="00A927D3" w:rsidRDefault="00A927D3" w:rsidP="00A927D3">
      <w:r>
        <w:t xml:space="preserve">Overall, </w:t>
      </w:r>
      <w:r w:rsidR="00101F31">
        <w:t>adverse events (</w:t>
      </w:r>
      <w:r>
        <w:t>AEs</w:t>
      </w:r>
      <w:r w:rsidR="00101F31">
        <w:t>)</w:t>
      </w:r>
      <w:r>
        <w:t xml:space="preserve"> led to study discontinuation in 3.6% of subjects during the treatment period: 1.6% in the </w:t>
      </w:r>
      <w:r w:rsidR="00DC7E9E">
        <w:t>diroximel fumarate</w:t>
      </w:r>
      <w:r>
        <w:t xml:space="preserve"> group v</w:t>
      </w:r>
      <w:r w:rsidR="009708B7">
        <w:t>ersus</w:t>
      </w:r>
      <w:r>
        <w:t xml:space="preserve"> 5.6% in the </w:t>
      </w:r>
      <w:r w:rsidR="009708B7">
        <w:t>dimethyl fumarate</w:t>
      </w:r>
      <w:r>
        <w:t xml:space="preserve"> group, respectively. Of these, 0.8% of subjects in the </w:t>
      </w:r>
      <w:r w:rsidR="00DC7E9E">
        <w:t>diroximel fumarate</w:t>
      </w:r>
      <w:r>
        <w:t xml:space="preserve"> group and 4.8% of subjects in the </w:t>
      </w:r>
      <w:r w:rsidR="009708B7">
        <w:t>dimethyl fumarate</w:t>
      </w:r>
      <w:r>
        <w:t xml:space="preserve"> group discontinued the study due to </w:t>
      </w:r>
      <w:r w:rsidR="003E76A6">
        <w:t>GI</w:t>
      </w:r>
      <w:r>
        <w:t xml:space="preserve"> AEs.</w:t>
      </w:r>
    </w:p>
    <w:p w14:paraId="54ADE627" w14:textId="4E092F7D" w:rsidR="00A927D3" w:rsidRDefault="00A927D3" w:rsidP="00A927D3">
      <w:pPr>
        <w:pStyle w:val="Heading6"/>
      </w:pPr>
      <w:r>
        <w:t>Deaths and serious adverse events</w:t>
      </w:r>
    </w:p>
    <w:p w14:paraId="2E634434" w14:textId="3F9A2BD5" w:rsidR="00A927D3" w:rsidRDefault="00A927D3" w:rsidP="00A927D3">
      <w:r>
        <w:t>No deaths were reported in Study A302. There were four serious adverse events (SAEs) with fatal outcomes as of at the cut</w:t>
      </w:r>
      <w:r w:rsidR="00101F31">
        <w:t>-</w:t>
      </w:r>
      <w:r>
        <w:t>off date in Study A301 (7 February 2020). All events were considered by the investigator as unrelated to the study treatment.</w:t>
      </w:r>
    </w:p>
    <w:p w14:paraId="313C5728" w14:textId="30AD0DF3" w:rsidR="00A927D3" w:rsidRDefault="00A927D3" w:rsidP="00A927D3">
      <w:r>
        <w:t xml:space="preserve">In Study A301, MS relapse was the </w:t>
      </w:r>
      <w:proofErr w:type="gramStart"/>
      <w:r>
        <w:t>most commonly reported</w:t>
      </w:r>
      <w:proofErr w:type="gramEnd"/>
      <w:r>
        <w:t xml:space="preserve"> SAE. 15% of subjects experienced </w:t>
      </w:r>
      <w:r w:rsidR="003E76A6">
        <w:t>GI</w:t>
      </w:r>
      <w:r>
        <w:t xml:space="preserve"> TEAEs (diarrhoea, nausea, vomiting, abdominal pain upper, abdominal pain, and constipation. Majority of subjects recovered from the events. 17 participants had severe events that were listed as </w:t>
      </w:r>
      <w:r w:rsidR="003E76A6">
        <w:t>GI</w:t>
      </w:r>
      <w:r>
        <w:t xml:space="preserve"> disorders. Discontinuations due to these events were minimal (0.8%) and most of these events recovered during study period.</w:t>
      </w:r>
    </w:p>
    <w:p w14:paraId="72E87252" w14:textId="74E7FAB7" w:rsidR="00A927D3" w:rsidRDefault="00A927D3" w:rsidP="00A927D3">
      <w:r>
        <w:t xml:space="preserve">In the </w:t>
      </w:r>
      <w:r w:rsidR="00DC7E9E">
        <w:t>diroximel fumarate</w:t>
      </w:r>
      <w:r>
        <w:t xml:space="preserve"> clinical studies, there were no SAE reports of lymphopenia or lymphocyte count decreased, and there were no infections associated with lymphopenia or lymphocyte count decreased.</w:t>
      </w:r>
    </w:p>
    <w:p w14:paraId="5A7696FE" w14:textId="59AB5F55" w:rsidR="00A927D3" w:rsidRDefault="00A927D3" w:rsidP="00A927D3">
      <w:r>
        <w:t xml:space="preserve">In </w:t>
      </w:r>
      <w:r w:rsidR="00327AA4">
        <w:t>S</w:t>
      </w:r>
      <w:r>
        <w:t xml:space="preserve">tudy 302, SAEs were reported by 1.4% of subjects, with similar incidence in both the </w:t>
      </w:r>
      <w:r w:rsidR="00DC7E9E">
        <w:t>diroximel fumarate</w:t>
      </w:r>
      <w:r>
        <w:t xml:space="preserve"> and </w:t>
      </w:r>
      <w:r w:rsidR="00327AA4">
        <w:t>dimethyl fumarate</w:t>
      </w:r>
      <w:r>
        <w:t xml:space="preserve"> groups. No SAE was considered drug</w:t>
      </w:r>
      <w:r w:rsidR="0059445F">
        <w:t xml:space="preserve"> </w:t>
      </w:r>
      <w:r>
        <w:t>related, and all the events resolved within the study period.</w:t>
      </w:r>
    </w:p>
    <w:p w14:paraId="128B7AFF" w14:textId="6B4FA3A1" w:rsidR="00A927D3" w:rsidRDefault="00A927D3" w:rsidP="00A927D3">
      <w:r>
        <w:t xml:space="preserve">In studies with </w:t>
      </w:r>
      <w:r w:rsidR="00DC7E9E">
        <w:t>diroximel fumarate</w:t>
      </w:r>
      <w:r>
        <w:t xml:space="preserve">, no </w:t>
      </w:r>
      <w:r w:rsidR="00327AA4">
        <w:t>adverse events of special interest (</w:t>
      </w:r>
      <w:r>
        <w:t>AESI</w:t>
      </w:r>
      <w:r w:rsidR="00327AA4">
        <w:t>s)</w:t>
      </w:r>
      <w:r>
        <w:t xml:space="preserve"> associated with serious infections were reported in Study A302. Overall, frequency of serious infections at the February 2020 </w:t>
      </w:r>
      <w:proofErr w:type="spellStart"/>
      <w:r>
        <w:t>cutoff</w:t>
      </w:r>
      <w:proofErr w:type="spellEnd"/>
      <w:r>
        <w:t xml:space="preserve"> was low (&lt;</w:t>
      </w:r>
      <w:r w:rsidR="0059445F">
        <w:t> </w:t>
      </w:r>
      <w:r>
        <w:t xml:space="preserve">1%). No serious infection led to discontinuation, except </w:t>
      </w:r>
      <w:r w:rsidR="0059445F">
        <w:t>one</w:t>
      </w:r>
      <w:r>
        <w:t xml:space="preserve"> fatal SAE of pneumonia.</w:t>
      </w:r>
    </w:p>
    <w:p w14:paraId="0BFA519F" w14:textId="7AB52D99" w:rsidR="00A927D3" w:rsidRDefault="00A927D3" w:rsidP="00A927D3">
      <w:pPr>
        <w:pStyle w:val="Heading6"/>
      </w:pPr>
      <w:r>
        <w:t>Gastrointestinal tolerability</w:t>
      </w:r>
    </w:p>
    <w:p w14:paraId="51E0FC1C" w14:textId="69611933" w:rsidR="00A927D3" w:rsidRDefault="00A927D3" w:rsidP="00A927D3">
      <w:r>
        <w:t xml:space="preserve">In Study A302, the incidence of </w:t>
      </w:r>
      <w:r w:rsidR="003E76A6">
        <w:t>GI</w:t>
      </w:r>
      <w:r>
        <w:t xml:space="preserve"> tolerability AESIs was 0.8% of subjects in the </w:t>
      </w:r>
      <w:r w:rsidR="00DC7E9E">
        <w:t>diroximel fumarate</w:t>
      </w:r>
      <w:r>
        <w:t xml:space="preserve"> group v</w:t>
      </w:r>
      <w:r w:rsidR="0059445F">
        <w:t>ersus</w:t>
      </w:r>
      <w:r>
        <w:t xml:space="preserve"> 4.8% of subjects in the </w:t>
      </w:r>
      <w:r w:rsidR="00327AA4">
        <w:t>dimethyl fumarate</w:t>
      </w:r>
      <w:r>
        <w:t xml:space="preserve"> group. 34.8% of subjects in </w:t>
      </w:r>
      <w:r w:rsidR="00DC7E9E">
        <w:t>diroximel fumarate</w:t>
      </w:r>
      <w:r>
        <w:t xml:space="preserve"> group experienced </w:t>
      </w:r>
      <w:r w:rsidR="003E76A6">
        <w:t>GI</w:t>
      </w:r>
      <w:r w:rsidR="0059445F">
        <w:t xml:space="preserve"> </w:t>
      </w:r>
      <w:r>
        <w:t xml:space="preserve">related TEAEs, compared to 49% in the </w:t>
      </w:r>
      <w:r w:rsidR="00DC7E9E">
        <w:t>diroximel fumarate</w:t>
      </w:r>
      <w:r>
        <w:t xml:space="preserve"> group. Most AEs resolved by </w:t>
      </w:r>
      <w:r w:rsidR="00122227">
        <w:t xml:space="preserve">end of </w:t>
      </w:r>
      <w:r>
        <w:t>study.</w:t>
      </w:r>
      <w:r w:rsidR="00327AA4">
        <w:t xml:space="preserve"> </w:t>
      </w:r>
      <w:r w:rsidR="0059445F">
        <w:t>M</w:t>
      </w:r>
      <w:r>
        <w:t xml:space="preserve">edian onset of common </w:t>
      </w:r>
      <w:r w:rsidR="003E76A6">
        <w:t>GI</w:t>
      </w:r>
      <w:r>
        <w:t xml:space="preserve"> symptoms was similar between groups, except vomiting, which had shorter onset time for </w:t>
      </w:r>
      <w:r w:rsidR="00DC7E9E">
        <w:t>diroximel fumarate</w:t>
      </w:r>
      <w:r>
        <w:t xml:space="preserve"> (7 days) v</w:t>
      </w:r>
      <w:r w:rsidR="0059445F">
        <w:t>ersus</w:t>
      </w:r>
      <w:r>
        <w:t xml:space="preserve"> </w:t>
      </w:r>
      <w:r w:rsidR="00327AA4">
        <w:t>dimethyl fumarate</w:t>
      </w:r>
      <w:r>
        <w:t xml:space="preserve"> (16</w:t>
      </w:r>
      <w:r w:rsidR="0059445F">
        <w:t xml:space="preserve"> </w:t>
      </w:r>
      <w:r>
        <w:t>days</w:t>
      </w:r>
      <w:r w:rsidRPr="00776F77">
        <w:t xml:space="preserve">). The hazard ratio of discontinuation rates due to </w:t>
      </w:r>
      <w:r w:rsidR="003E76A6" w:rsidRPr="00776F77">
        <w:t>GI</w:t>
      </w:r>
      <w:r w:rsidRPr="00776F77">
        <w:t xml:space="preserve"> AEs was 0.16 (95% CI: 0.04, 0.72), which demonstrated a statistically significant lower rate (p</w:t>
      </w:r>
      <w:r w:rsidR="00F32A70" w:rsidRPr="00776F77">
        <w:t> </w:t>
      </w:r>
      <w:r w:rsidRPr="00776F77">
        <w:t>=</w:t>
      </w:r>
      <w:r w:rsidR="00F32A70" w:rsidRPr="00776F77">
        <w:t> </w:t>
      </w:r>
      <w:r w:rsidRPr="00776F77">
        <w:t xml:space="preserve">0.02) for </w:t>
      </w:r>
      <w:r w:rsidR="00DC7E9E" w:rsidRPr="00776F77">
        <w:t>diroximel fumarate</w:t>
      </w:r>
      <w:r w:rsidRPr="00776F77">
        <w:t xml:space="preserve"> treatment v</w:t>
      </w:r>
      <w:r w:rsidR="00F32A70" w:rsidRPr="00776F77">
        <w:t>ersus</w:t>
      </w:r>
      <w:r w:rsidRPr="00776F77">
        <w:t xml:space="preserve"> </w:t>
      </w:r>
      <w:r w:rsidR="00122227" w:rsidRPr="00776F77">
        <w:t xml:space="preserve">dimethyl fumarate </w:t>
      </w:r>
      <w:r w:rsidRPr="00776F77">
        <w:t>treatment.</w:t>
      </w:r>
    </w:p>
    <w:p w14:paraId="4F52B1E7" w14:textId="421E695B" w:rsidR="00F32A70" w:rsidRPr="00122227" w:rsidRDefault="00F32A70" w:rsidP="00122227">
      <w:pPr>
        <w:rPr>
          <w:bCs/>
        </w:rPr>
      </w:pPr>
      <w:r w:rsidRPr="00F32A70">
        <w:t xml:space="preserve">In Study A302, flushing and related AEs occurred in 45.8% in the </w:t>
      </w:r>
      <w:r w:rsidR="00DC7E9E">
        <w:t>diroximel fumarate</w:t>
      </w:r>
      <w:r w:rsidRPr="00F32A70">
        <w:t xml:space="preserve"> group v</w:t>
      </w:r>
      <w:r>
        <w:t>ersus</w:t>
      </w:r>
      <w:r w:rsidRPr="00F32A70">
        <w:t xml:space="preserve"> 55% in the </w:t>
      </w:r>
      <w:r w:rsidR="00122227">
        <w:t>dimethyl fumarate</w:t>
      </w:r>
      <w:r w:rsidRPr="00F32A70">
        <w:t xml:space="preserve"> group. Most events occurred on Day 1 of treatment. All </w:t>
      </w:r>
      <w:r>
        <w:t>five</w:t>
      </w:r>
      <w:r w:rsidRPr="00F32A70">
        <w:t xml:space="preserve"> severe AEs occurred in the </w:t>
      </w:r>
      <w:r w:rsidR="00122227">
        <w:t>dimethyl fumarate</w:t>
      </w:r>
      <w:r w:rsidRPr="00F32A70">
        <w:t xml:space="preserve"> group: three events resolved by study end, none required dose change or resulted in discontinuation.</w:t>
      </w:r>
    </w:p>
    <w:p w14:paraId="16EB1B69" w14:textId="1DAB4A6B" w:rsidR="00F32A70" w:rsidRDefault="00F32A70" w:rsidP="00F32A70">
      <w:pPr>
        <w:pStyle w:val="Heading6"/>
      </w:pPr>
      <w:r>
        <w:t>Malignancy</w:t>
      </w:r>
    </w:p>
    <w:p w14:paraId="54873BB2" w14:textId="77777777" w:rsidR="00F32A70" w:rsidRDefault="00F32A70" w:rsidP="00F32A70">
      <w:r>
        <w:t>There were no reports of malignancies or premalignant events in Study A302.</w:t>
      </w:r>
    </w:p>
    <w:p w14:paraId="630A107A" w14:textId="626CFEE1" w:rsidR="00F32A70" w:rsidRDefault="00F32A70" w:rsidP="00F32A70">
      <w:r>
        <w:t xml:space="preserve">In Study A301, 0.5% of subjects (n = 5) reported malignancies (basal cell carcinoma, Bowen’s disease (squamous cell carcinoma), diffuse large B-cell lymphoma, invasive ductal breast carcinoma, and malignant melanoma). 0.7% of patients (n = 7) reported </w:t>
      </w:r>
      <w:r>
        <w:lastRenderedPageBreak/>
        <w:t>premalignant conditions (endometrial hyperplasia (</w:t>
      </w:r>
      <w:r w:rsidR="00122227">
        <w:t>three</w:t>
      </w:r>
      <w:r>
        <w:t xml:space="preserve"> patients), cervical dysplasia, dysplastic naevus, large intestine polyp, laryngeal dysplasia, and </w:t>
      </w:r>
      <w:proofErr w:type="spellStart"/>
      <w:r>
        <w:t>leu</w:t>
      </w:r>
      <w:r w:rsidR="00101F31">
        <w:t>k</w:t>
      </w:r>
      <w:r>
        <w:t>oplakia</w:t>
      </w:r>
      <w:proofErr w:type="spellEnd"/>
      <w:r>
        <w:t>).</w:t>
      </w:r>
    </w:p>
    <w:p w14:paraId="1426F8FB" w14:textId="03FEFA4F" w:rsidR="00F32A70" w:rsidRDefault="00F32A70" w:rsidP="00F32A70">
      <w:r>
        <w:t xml:space="preserve">Overall, the incidence of malignancies was </w:t>
      </w:r>
      <w:proofErr w:type="gramStart"/>
      <w:r>
        <w:t>similar to</w:t>
      </w:r>
      <w:proofErr w:type="gramEnd"/>
      <w:r>
        <w:t xml:space="preserve"> that in the controlled Tecfidera clinical programme.</w:t>
      </w:r>
      <w:r w:rsidR="00101F31">
        <w:fldChar w:fldCharType="begin"/>
      </w:r>
      <w:r w:rsidR="00101F31">
        <w:instrText xml:space="preserve"> NOTEREF _Ref121906479 \f \h </w:instrText>
      </w:r>
      <w:r w:rsidR="00101F31">
        <w:fldChar w:fldCharType="separate"/>
      </w:r>
      <w:r w:rsidR="00101F31">
        <w:rPr>
          <w:rStyle w:val="FootnoteReference"/>
        </w:rPr>
        <w:t>9</w:t>
      </w:r>
      <w:r w:rsidR="00101F31">
        <w:fldChar w:fldCharType="end"/>
      </w:r>
      <w:r w:rsidR="00101F31">
        <w:rPr>
          <w:vertAlign w:val="superscript"/>
        </w:rPr>
        <w:t>,</w:t>
      </w:r>
      <w:r w:rsidR="00101F31">
        <w:rPr>
          <w:vertAlign w:val="superscript"/>
        </w:rPr>
        <w:fldChar w:fldCharType="begin"/>
      </w:r>
      <w:r w:rsidR="00101F31">
        <w:rPr>
          <w:vertAlign w:val="superscript"/>
        </w:rPr>
        <w:instrText xml:space="preserve"> NOTEREF _Ref126656824 \h </w:instrText>
      </w:r>
      <w:r w:rsidR="00101F31">
        <w:rPr>
          <w:vertAlign w:val="superscript"/>
        </w:rPr>
      </w:r>
      <w:r w:rsidR="00101F31">
        <w:rPr>
          <w:vertAlign w:val="superscript"/>
        </w:rPr>
        <w:fldChar w:fldCharType="separate"/>
      </w:r>
      <w:r w:rsidR="00101F31">
        <w:rPr>
          <w:vertAlign w:val="superscript"/>
        </w:rPr>
        <w:t>10</w:t>
      </w:r>
      <w:r w:rsidR="00101F31">
        <w:rPr>
          <w:vertAlign w:val="superscript"/>
        </w:rPr>
        <w:fldChar w:fldCharType="end"/>
      </w:r>
    </w:p>
    <w:p w14:paraId="362A74CC" w14:textId="77777777" w:rsidR="00F32A70" w:rsidRDefault="00F32A70" w:rsidP="00F32A70">
      <w:pPr>
        <w:pStyle w:val="Heading6"/>
      </w:pPr>
      <w:r>
        <w:t>Liver function and toxicity</w:t>
      </w:r>
    </w:p>
    <w:p w14:paraId="15CF981E" w14:textId="603AD55E" w:rsidR="00F32A70" w:rsidRDefault="00F32A70" w:rsidP="00F32A70">
      <w:r>
        <w:t xml:space="preserve">High post-baseline values were observed mostly for </w:t>
      </w:r>
      <w:r w:rsidR="00FA25E0" w:rsidRPr="00FA25E0">
        <w:t xml:space="preserve">alanine transaminase </w:t>
      </w:r>
      <w:r w:rsidR="00FA25E0">
        <w:t>(</w:t>
      </w:r>
      <w:r>
        <w:t>ALT</w:t>
      </w:r>
      <w:r w:rsidR="00FA25E0">
        <w:t>)</w:t>
      </w:r>
      <w:r>
        <w:t xml:space="preserve"> and</w:t>
      </w:r>
      <w:r w:rsidR="00122227">
        <w:t xml:space="preserve"> a</w:t>
      </w:r>
      <w:r w:rsidR="00122227" w:rsidRPr="00122227">
        <w:t xml:space="preserve">spartate transaminase </w:t>
      </w:r>
      <w:r w:rsidR="00122227">
        <w:t>(</w:t>
      </w:r>
      <w:r>
        <w:t>AST</w:t>
      </w:r>
      <w:r w:rsidR="00122227">
        <w:t>)</w:t>
      </w:r>
      <w:r>
        <w:t xml:space="preserve">, and more frequently in the </w:t>
      </w:r>
      <w:r w:rsidR="00DC7E9E">
        <w:t>diroximel fumarate</w:t>
      </w:r>
      <w:r>
        <w:t xml:space="preserve"> group </w:t>
      </w:r>
      <w:r w:rsidRPr="00151196">
        <w:t xml:space="preserve">(25.9% and 15.8%) versus the </w:t>
      </w:r>
      <w:r w:rsidR="00122227" w:rsidRPr="00151196">
        <w:t>dimethyl fumarate</w:t>
      </w:r>
      <w:r w:rsidRPr="00151196">
        <w:t xml:space="preserve"> group (16.4% and 9%). It was noted that most elevations were &lt; 3</w:t>
      </w:r>
      <w:r w:rsidR="00101F31">
        <w:t xml:space="preserve"> </w:t>
      </w:r>
      <w:r w:rsidRPr="00151196">
        <w:t xml:space="preserve">x </w:t>
      </w:r>
      <w:r w:rsidR="00FA25E0" w:rsidRPr="00151196">
        <w:t>upper limit of normal</w:t>
      </w:r>
      <w:r w:rsidRPr="00151196">
        <w:t>.</w:t>
      </w:r>
    </w:p>
    <w:p w14:paraId="580B80DA" w14:textId="284DBC2D" w:rsidR="00F32A70" w:rsidRDefault="00DC7E9E" w:rsidP="00F32A70">
      <w:r>
        <w:t>Diroximel fumarate</w:t>
      </w:r>
      <w:r w:rsidR="00F32A70">
        <w:t xml:space="preserve"> has not been administered to subjects with MS and comorbid liver impairment. Subjects with ALT or AST values ≥ 2</w:t>
      </w:r>
      <w:r w:rsidR="00101F31">
        <w:t xml:space="preserve"> x</w:t>
      </w:r>
      <w:r w:rsidR="00F32A70">
        <w:t xml:space="preserve"> </w:t>
      </w:r>
      <w:r w:rsidR="00FA25E0">
        <w:t>upper limit of normal</w:t>
      </w:r>
      <w:r w:rsidR="00F32A70">
        <w:t xml:space="preserve"> at screening were excluded from Phase III studies. Also, subjects discontinued treatment if ALT or AST values remained &gt; 3× </w:t>
      </w:r>
      <w:r w:rsidR="00FA25E0">
        <w:t>upper limit of normal</w:t>
      </w:r>
      <w:r w:rsidR="00F32A70">
        <w:t xml:space="preserve"> for ≥ 4 weeks in the 2-year Study A301 and ≥</w:t>
      </w:r>
      <w:r w:rsidR="00101F31">
        <w:t> </w:t>
      </w:r>
      <w:r w:rsidR="00F32A70">
        <w:t xml:space="preserve">2 weeks in the 5-week Study A302. In both studies, transient increases in liver transaminases were observed with treatment initiation, with greater mean increases from baseline in ALT than in AST, which subsided with continued treatment. They were not associated with symptoms of liver injury or disease. As </w:t>
      </w:r>
      <w:r>
        <w:t>diroximel fumarate</w:t>
      </w:r>
      <w:r w:rsidR="00F32A70">
        <w:t xml:space="preserve"> metabolism does not involve CYP enzymes,</w:t>
      </w:r>
      <w:r w:rsidR="00FA25E0">
        <w:fldChar w:fldCharType="begin"/>
      </w:r>
      <w:r w:rsidR="00FA25E0">
        <w:instrText xml:space="preserve"> NOTEREF _Ref122079999 \f \h </w:instrText>
      </w:r>
      <w:r w:rsidR="00FA25E0">
        <w:fldChar w:fldCharType="separate"/>
      </w:r>
      <w:r w:rsidR="00FE3E0A" w:rsidRPr="00FE3E0A">
        <w:rPr>
          <w:rStyle w:val="FootnoteReference"/>
        </w:rPr>
        <w:t>10</w:t>
      </w:r>
      <w:r w:rsidR="00FA25E0">
        <w:fldChar w:fldCharType="end"/>
      </w:r>
      <w:r w:rsidR="00F32A70">
        <w:t xml:space="preserve"> the evaluator considered that it is unlikely to cause clinically relevant PK interactions with drugs metabolised by CYP enzymes.</w:t>
      </w:r>
    </w:p>
    <w:p w14:paraId="4C5B0FC0" w14:textId="77777777" w:rsidR="00F32A70" w:rsidRDefault="00F32A70" w:rsidP="00F32A70">
      <w:pPr>
        <w:pStyle w:val="Heading6"/>
      </w:pPr>
      <w:r>
        <w:t>Renal function and toxicity</w:t>
      </w:r>
    </w:p>
    <w:p w14:paraId="5C780972" w14:textId="77777777" w:rsidR="00F32A70" w:rsidRDefault="00F32A70" w:rsidP="00F32A70">
      <w:r>
        <w:t>The percentage of subjects with shifts in renal parameters was similar between treatment groups.</w:t>
      </w:r>
    </w:p>
    <w:p w14:paraId="040F4C4F" w14:textId="366E239F" w:rsidR="00F32A70" w:rsidRDefault="00F32A70" w:rsidP="00F32A70">
      <w:r>
        <w:t xml:space="preserve">However, it was noted that subjects were excluded from </w:t>
      </w:r>
      <w:r w:rsidR="00FA25E0">
        <w:t>P</w:t>
      </w:r>
      <w:r>
        <w:t xml:space="preserve">hase III studies if they had an </w:t>
      </w:r>
      <w:r w:rsidR="00FA25E0" w:rsidRPr="00FA25E0">
        <w:t>estimated glomerular filtration rate</w:t>
      </w:r>
      <w:r>
        <w:t xml:space="preserve"> ≤ 60 mL/min/1.73m</w:t>
      </w:r>
      <w:r w:rsidRPr="00FA25E0">
        <w:rPr>
          <w:vertAlign w:val="superscript"/>
        </w:rPr>
        <w:t>2</w:t>
      </w:r>
      <w:r>
        <w:t xml:space="preserve"> at screening or were discontinued if the </w:t>
      </w:r>
      <w:r w:rsidR="00FA25E0" w:rsidRPr="00FA25E0">
        <w:t>estimated glomerular filtration</w:t>
      </w:r>
      <w:r w:rsidR="00FA25E0">
        <w:t xml:space="preserve"> rate</w:t>
      </w:r>
      <w:r>
        <w:t xml:space="preserve"> remained &lt; 60 mL/min/1.73m</w:t>
      </w:r>
      <w:r w:rsidRPr="00FA25E0">
        <w:rPr>
          <w:vertAlign w:val="superscript"/>
        </w:rPr>
        <w:t>2</w:t>
      </w:r>
      <w:r>
        <w:t xml:space="preserve"> for ≥ 4 weeks after temporarily withholding study treatment. Hence, there are no data available on long-term use of </w:t>
      </w:r>
      <w:r w:rsidR="00DC7E9E">
        <w:t>diroximel fumarate</w:t>
      </w:r>
      <w:r>
        <w:t xml:space="preserve"> in patients with moderate or severe renal impairment. </w:t>
      </w:r>
      <w:r w:rsidRPr="00F868E1">
        <w:t xml:space="preserve">All TEAEs in the renal injury category were mild or moderate in severity, with most (54.5%) assessed as unrelated to </w:t>
      </w:r>
      <w:r w:rsidR="00DC7E9E" w:rsidRPr="00F868E1">
        <w:t>diroximel fumarate</w:t>
      </w:r>
      <w:r>
        <w:t>. Relevant statements are included in the proposed PI.</w:t>
      </w:r>
    </w:p>
    <w:p w14:paraId="59EF29C5" w14:textId="77777777" w:rsidR="00F32A70" w:rsidRDefault="00F32A70" w:rsidP="00F32A70">
      <w:r>
        <w:t>There were no clinically meaningful changes in electrolytes, creatine kinase or metabolic parameters overall and across treatments. The percentages of subjects with shifts in electrolytes and creatine kinase (&lt; 6%) were small and similar between groups</w:t>
      </w:r>
    </w:p>
    <w:p w14:paraId="330AAB50" w14:textId="38AACD20" w:rsidR="00F32A70" w:rsidRPr="00BC29CC" w:rsidRDefault="00F32A70" w:rsidP="00F32A70">
      <w:proofErr w:type="gramStart"/>
      <w:r>
        <w:t>Similar to</w:t>
      </w:r>
      <w:proofErr w:type="gramEnd"/>
      <w:r>
        <w:t xml:space="preserve"> </w:t>
      </w:r>
      <w:r w:rsidR="006801C3">
        <w:t>dimethyl fumarate</w:t>
      </w:r>
      <w:r>
        <w:t>, there are no well</w:t>
      </w:r>
      <w:r w:rsidR="006801C3">
        <w:t xml:space="preserve"> </w:t>
      </w:r>
      <w:r>
        <w:t xml:space="preserve">controlled studies with </w:t>
      </w:r>
      <w:r w:rsidR="00DC7E9E">
        <w:t>diroximel fumarate</w:t>
      </w:r>
      <w:r>
        <w:t xml:space="preserve"> in pregnant women. Female subjects were excluded from studies with </w:t>
      </w:r>
      <w:r w:rsidR="00DC7E9E">
        <w:t>diroximel fumarate</w:t>
      </w:r>
      <w:r>
        <w:t xml:space="preserve"> if they were pregnant, planning to become pregnant, or breastfeeding.</w:t>
      </w:r>
    </w:p>
    <w:p w14:paraId="416488F5" w14:textId="77777777" w:rsidR="008E7846" w:rsidRDefault="00386150" w:rsidP="007B6132">
      <w:pPr>
        <w:pStyle w:val="Heading3"/>
        <w:rPr>
          <w:lang w:eastAsia="en-AU"/>
        </w:rPr>
      </w:pPr>
      <w:bookmarkStart w:id="53" w:name="_Toc314842514"/>
      <w:bookmarkStart w:id="54" w:name="_Toc122084918"/>
      <w:r>
        <w:rPr>
          <w:lang w:eastAsia="en-AU"/>
        </w:rPr>
        <w:t>Risk m</w:t>
      </w:r>
      <w:r w:rsidR="008E7846">
        <w:rPr>
          <w:lang w:eastAsia="en-AU"/>
        </w:rPr>
        <w:t xml:space="preserve">anagement </w:t>
      </w:r>
      <w:r>
        <w:rPr>
          <w:lang w:eastAsia="en-AU"/>
        </w:rPr>
        <w:t>p</w:t>
      </w:r>
      <w:r w:rsidR="008E7846">
        <w:rPr>
          <w:lang w:eastAsia="en-AU"/>
        </w:rPr>
        <w:t>lan</w:t>
      </w:r>
      <w:bookmarkEnd w:id="53"/>
      <w:bookmarkEnd w:id="54"/>
    </w:p>
    <w:p w14:paraId="4DD80F92" w14:textId="18A4E41D" w:rsidR="00DB6400" w:rsidRDefault="00DB6400" w:rsidP="00DB6400">
      <w:bookmarkStart w:id="55" w:name="_Toc247691531"/>
      <w:bookmarkStart w:id="56" w:name="_Toc314842515"/>
      <w:bookmarkStart w:id="57" w:name="_Toc196046505"/>
      <w:bookmarkStart w:id="58" w:name="_Toc196046949"/>
      <w:r>
        <w:t xml:space="preserve">The sponsor has submitted EU-risk management plan (RMP) version 0.1 (date 2 November 2020; data lock point (DLP) 7 February 2020 for </w:t>
      </w:r>
      <w:proofErr w:type="spellStart"/>
      <w:r>
        <w:t>Vumerity</w:t>
      </w:r>
      <w:proofErr w:type="spellEnd"/>
      <w:r>
        <w:t xml:space="preserve">, 25 June 2020 for Tecfidera) and Australia specific annex (ASA) version 1.0 (date 1 February 2021) in support of this application. At second round of RMP evaluation, the sponsor submitted EU-RMP version 1.0 (date 9 September 2021; DLP 1 September 2020 for </w:t>
      </w:r>
      <w:proofErr w:type="spellStart"/>
      <w:r>
        <w:t>Vumerity</w:t>
      </w:r>
      <w:proofErr w:type="spellEnd"/>
      <w:r>
        <w:t>, 26 March 2021 for Tecfidera) and ASA version 1.0 (date October 2021).</w:t>
      </w:r>
    </w:p>
    <w:p w14:paraId="61C83269" w14:textId="3D68823C" w:rsidR="0074163C" w:rsidRDefault="0074163C" w:rsidP="0074163C">
      <w:r>
        <w:t>The summary of safety concerns and their associated risk monitoring and mitigation strategies are summarised in</w:t>
      </w:r>
      <w:r w:rsidR="006801C3">
        <w:t xml:space="preserve"> </w:t>
      </w:r>
      <w:r w:rsidR="006801C3">
        <w:fldChar w:fldCharType="begin"/>
      </w:r>
      <w:r w:rsidR="006801C3">
        <w:instrText xml:space="preserve"> REF _Ref97629131 \h </w:instrText>
      </w:r>
      <w:r w:rsidR="006801C3">
        <w:fldChar w:fldCharType="separate"/>
      </w:r>
      <w:r w:rsidR="00FE3E0A">
        <w:t xml:space="preserve">Table </w:t>
      </w:r>
      <w:r w:rsidR="00FE3E0A">
        <w:rPr>
          <w:noProof/>
        </w:rPr>
        <w:t>9</w:t>
      </w:r>
      <w:r w:rsidR="006801C3">
        <w:fldChar w:fldCharType="end"/>
      </w:r>
      <w:r>
        <w:t xml:space="preserve">. Further information regarding </w:t>
      </w:r>
      <w:r w:rsidR="00CC5044">
        <w:t>the TGA</w:t>
      </w:r>
      <w:r w:rsidR="00BF7063">
        <w:t>’</w:t>
      </w:r>
      <w:r w:rsidR="00CC5044">
        <w:t>s r</w:t>
      </w:r>
      <w:r>
        <w:t xml:space="preserve">isk management approach can be found in </w:t>
      </w:r>
      <w:hyperlink r:id="rId36" w:history="1">
        <w:r w:rsidRPr="0023444E">
          <w:rPr>
            <w:rStyle w:val="Hyperlink"/>
          </w:rPr>
          <w:t>risk management plans for medicines and biologicals</w:t>
        </w:r>
      </w:hyperlink>
      <w:r>
        <w:t xml:space="preserve"> and </w:t>
      </w:r>
      <w:hyperlink r:id="rId37" w:history="1">
        <w:r w:rsidRPr="0023444E">
          <w:rPr>
            <w:rStyle w:val="Hyperlink"/>
          </w:rPr>
          <w:t>the TGA's risk management approach</w:t>
        </w:r>
      </w:hyperlink>
      <w:r>
        <w:t>.</w:t>
      </w:r>
    </w:p>
    <w:p w14:paraId="5842E419" w14:textId="51CE24C7" w:rsidR="0074163C" w:rsidRDefault="0074163C" w:rsidP="0074163C">
      <w:pPr>
        <w:pStyle w:val="TableTitle"/>
      </w:pPr>
      <w:bookmarkStart w:id="59" w:name="_Ref97629131"/>
      <w:bookmarkStart w:id="60" w:name="_Ref122081396"/>
      <w:r>
        <w:lastRenderedPageBreak/>
        <w:t xml:space="preserve">Table </w:t>
      </w:r>
      <w:r>
        <w:fldChar w:fldCharType="begin"/>
      </w:r>
      <w:r>
        <w:instrText>SEQ Table \* ARABIC</w:instrText>
      </w:r>
      <w:r>
        <w:fldChar w:fldCharType="separate"/>
      </w:r>
      <w:r w:rsidR="00FE3E0A">
        <w:rPr>
          <w:noProof/>
        </w:rPr>
        <w:t>9</w:t>
      </w:r>
      <w:r>
        <w:fldChar w:fldCharType="end"/>
      </w:r>
      <w:bookmarkEnd w:id="59"/>
      <w:r>
        <w:t>: Summary of safety concerns</w:t>
      </w:r>
      <w:bookmarkEnd w:id="60"/>
    </w:p>
    <w:tbl>
      <w:tblPr>
        <w:tblStyle w:val="TableTGAblue"/>
        <w:tblW w:w="5000" w:type="pct"/>
        <w:tblLook w:val="04A0" w:firstRow="1" w:lastRow="0" w:firstColumn="1" w:lastColumn="0" w:noHBand="0" w:noVBand="1"/>
      </w:tblPr>
      <w:tblGrid>
        <w:gridCol w:w="1442"/>
        <w:gridCol w:w="2683"/>
        <w:gridCol w:w="992"/>
        <w:gridCol w:w="1193"/>
        <w:gridCol w:w="992"/>
        <w:gridCol w:w="1192"/>
      </w:tblGrid>
      <w:tr w:rsidR="00DB6400" w:rsidRPr="00DB6400" w14:paraId="6ED1F4A8" w14:textId="77777777" w:rsidTr="00DB6400">
        <w:trPr>
          <w:cnfStyle w:val="100000000000" w:firstRow="1" w:lastRow="0" w:firstColumn="0" w:lastColumn="0" w:oddVBand="0" w:evenVBand="0" w:oddHBand="0" w:evenHBand="0" w:firstRowFirstColumn="0" w:firstRowLastColumn="0" w:lastRowFirstColumn="0" w:lastRowLastColumn="0"/>
          <w:trHeight w:val="131"/>
        </w:trPr>
        <w:tc>
          <w:tcPr>
            <w:tcW w:w="2429" w:type="pct"/>
            <w:gridSpan w:val="2"/>
            <w:vMerge w:val="restart"/>
            <w:tcBorders>
              <w:top w:val="single" w:sz="4" w:space="0" w:color="auto"/>
              <w:left w:val="single" w:sz="4" w:space="0" w:color="auto"/>
              <w:bottom w:val="single" w:sz="4" w:space="0" w:color="auto"/>
              <w:right w:val="single" w:sz="4" w:space="0" w:color="auto"/>
            </w:tcBorders>
          </w:tcPr>
          <w:p w14:paraId="3DE258E8" w14:textId="77777777" w:rsidR="00DB6400" w:rsidRPr="00DB6400" w:rsidRDefault="00DB6400">
            <w:pPr>
              <w:pStyle w:val="Tabletext"/>
              <w:rPr>
                <w:b w:val="0"/>
              </w:rPr>
            </w:pPr>
            <w:r w:rsidRPr="00DB6400">
              <w:t>Summary of safety concerns</w:t>
            </w:r>
          </w:p>
        </w:tc>
        <w:tc>
          <w:tcPr>
            <w:tcW w:w="1286" w:type="pct"/>
            <w:gridSpan w:val="2"/>
            <w:tcBorders>
              <w:top w:val="single" w:sz="4" w:space="0" w:color="auto"/>
              <w:left w:val="single" w:sz="4" w:space="0" w:color="auto"/>
              <w:bottom w:val="single" w:sz="4" w:space="0" w:color="auto"/>
              <w:right w:val="single" w:sz="4" w:space="0" w:color="auto"/>
            </w:tcBorders>
          </w:tcPr>
          <w:p w14:paraId="2F79881C" w14:textId="77777777" w:rsidR="00DB6400" w:rsidRPr="00DB6400" w:rsidRDefault="00DB6400">
            <w:pPr>
              <w:pStyle w:val="Tabletext"/>
              <w:rPr>
                <w:b w:val="0"/>
                <w:sz w:val="18"/>
              </w:rPr>
            </w:pPr>
            <w:r w:rsidRPr="00DB6400">
              <w:rPr>
                <w:sz w:val="18"/>
              </w:rPr>
              <w:t>Pharmacovigilance</w:t>
            </w:r>
          </w:p>
        </w:tc>
        <w:tc>
          <w:tcPr>
            <w:tcW w:w="1286" w:type="pct"/>
            <w:gridSpan w:val="2"/>
            <w:tcBorders>
              <w:top w:val="single" w:sz="4" w:space="0" w:color="auto"/>
              <w:left w:val="single" w:sz="4" w:space="0" w:color="auto"/>
              <w:bottom w:val="single" w:sz="4" w:space="0" w:color="auto"/>
              <w:right w:val="single" w:sz="4" w:space="0" w:color="auto"/>
            </w:tcBorders>
          </w:tcPr>
          <w:p w14:paraId="64676D1E" w14:textId="77777777" w:rsidR="00DB6400" w:rsidRPr="00DB6400" w:rsidRDefault="00DB6400">
            <w:pPr>
              <w:pStyle w:val="Tabletext"/>
              <w:rPr>
                <w:b w:val="0"/>
                <w:sz w:val="18"/>
              </w:rPr>
            </w:pPr>
            <w:r w:rsidRPr="00DB6400">
              <w:rPr>
                <w:sz w:val="18"/>
              </w:rPr>
              <w:t>Risk Minimisation</w:t>
            </w:r>
          </w:p>
        </w:tc>
      </w:tr>
      <w:tr w:rsidR="00DB6400" w:rsidRPr="00DB6400" w14:paraId="0CB85119" w14:textId="77777777" w:rsidTr="00DB6400">
        <w:trPr>
          <w:trHeight w:val="150"/>
        </w:trPr>
        <w:tc>
          <w:tcPr>
            <w:tcW w:w="2429" w:type="pct"/>
            <w:gridSpan w:val="2"/>
            <w:vMerge/>
            <w:tcBorders>
              <w:top w:val="single" w:sz="4" w:space="0" w:color="auto"/>
              <w:left w:val="single" w:sz="4" w:space="0" w:color="auto"/>
              <w:bottom w:val="single" w:sz="4" w:space="0" w:color="auto"/>
              <w:right w:val="single" w:sz="4" w:space="0" w:color="auto"/>
            </w:tcBorders>
            <w:shd w:val="clear" w:color="auto" w:fill="006DA7"/>
          </w:tcPr>
          <w:p w14:paraId="07A3CC4B" w14:textId="77777777" w:rsidR="00DB6400" w:rsidRPr="00DB6400" w:rsidRDefault="00DB6400">
            <w:pPr>
              <w:pStyle w:val="Tabletext"/>
              <w:rPr>
                <w:b/>
                <w:color w:val="FFFFFF" w:themeColor="background1"/>
              </w:rPr>
            </w:pPr>
          </w:p>
        </w:tc>
        <w:tc>
          <w:tcPr>
            <w:tcW w:w="584" w:type="pct"/>
            <w:tcBorders>
              <w:top w:val="single" w:sz="4" w:space="0" w:color="auto"/>
              <w:left w:val="single" w:sz="4" w:space="0" w:color="auto"/>
              <w:bottom w:val="single" w:sz="4" w:space="0" w:color="auto"/>
              <w:right w:val="single" w:sz="4" w:space="0" w:color="auto"/>
            </w:tcBorders>
            <w:shd w:val="clear" w:color="auto" w:fill="006DA7"/>
          </w:tcPr>
          <w:p w14:paraId="31E10515" w14:textId="77777777" w:rsidR="00DB6400" w:rsidRPr="00DB6400" w:rsidRDefault="00DB6400" w:rsidP="00DB6400">
            <w:pPr>
              <w:pStyle w:val="Tabletext"/>
              <w:ind w:left="0"/>
              <w:rPr>
                <w:color w:val="FFFFFF" w:themeColor="background1"/>
                <w:sz w:val="18"/>
              </w:rPr>
            </w:pPr>
            <w:r w:rsidRPr="00DB6400">
              <w:rPr>
                <w:color w:val="FFFFFF" w:themeColor="background1"/>
                <w:sz w:val="18"/>
              </w:rPr>
              <w:t>Routine</w:t>
            </w:r>
          </w:p>
        </w:tc>
        <w:tc>
          <w:tcPr>
            <w:tcW w:w="702" w:type="pct"/>
            <w:tcBorders>
              <w:top w:val="single" w:sz="4" w:space="0" w:color="auto"/>
              <w:left w:val="single" w:sz="4" w:space="0" w:color="auto"/>
              <w:bottom w:val="single" w:sz="4" w:space="0" w:color="auto"/>
              <w:right w:val="single" w:sz="4" w:space="0" w:color="auto"/>
            </w:tcBorders>
            <w:shd w:val="clear" w:color="auto" w:fill="006DA7"/>
          </w:tcPr>
          <w:p w14:paraId="208CB413" w14:textId="77777777" w:rsidR="00DB6400" w:rsidRPr="00DB6400" w:rsidRDefault="00DB6400" w:rsidP="00DB6400">
            <w:pPr>
              <w:pStyle w:val="Tabletext"/>
              <w:ind w:left="0"/>
              <w:rPr>
                <w:color w:val="FFFFFF" w:themeColor="background1"/>
                <w:sz w:val="18"/>
              </w:rPr>
            </w:pPr>
            <w:r w:rsidRPr="00DB6400">
              <w:rPr>
                <w:color w:val="FFFFFF" w:themeColor="background1"/>
                <w:sz w:val="18"/>
              </w:rPr>
              <w:t>Additional</w:t>
            </w:r>
          </w:p>
        </w:tc>
        <w:tc>
          <w:tcPr>
            <w:tcW w:w="584" w:type="pct"/>
            <w:tcBorders>
              <w:top w:val="single" w:sz="4" w:space="0" w:color="auto"/>
              <w:left w:val="single" w:sz="4" w:space="0" w:color="auto"/>
              <w:bottom w:val="single" w:sz="4" w:space="0" w:color="auto"/>
              <w:right w:val="single" w:sz="4" w:space="0" w:color="auto"/>
            </w:tcBorders>
            <w:shd w:val="clear" w:color="auto" w:fill="006DA7"/>
          </w:tcPr>
          <w:p w14:paraId="50E4EE48" w14:textId="77777777" w:rsidR="00DB6400" w:rsidRPr="00DB6400" w:rsidRDefault="00DB6400" w:rsidP="00DB6400">
            <w:pPr>
              <w:pStyle w:val="Tabletext"/>
              <w:ind w:left="0"/>
              <w:rPr>
                <w:color w:val="FFFFFF" w:themeColor="background1"/>
                <w:sz w:val="18"/>
              </w:rPr>
            </w:pPr>
            <w:r w:rsidRPr="00DB6400">
              <w:rPr>
                <w:color w:val="FFFFFF" w:themeColor="background1"/>
                <w:sz w:val="18"/>
              </w:rPr>
              <w:t>Routine</w:t>
            </w:r>
          </w:p>
        </w:tc>
        <w:tc>
          <w:tcPr>
            <w:tcW w:w="702" w:type="pct"/>
            <w:tcBorders>
              <w:top w:val="single" w:sz="4" w:space="0" w:color="auto"/>
              <w:left w:val="single" w:sz="4" w:space="0" w:color="auto"/>
              <w:bottom w:val="single" w:sz="4" w:space="0" w:color="auto"/>
              <w:right w:val="single" w:sz="4" w:space="0" w:color="auto"/>
            </w:tcBorders>
            <w:shd w:val="clear" w:color="auto" w:fill="006DA7"/>
          </w:tcPr>
          <w:p w14:paraId="79960E87" w14:textId="77777777" w:rsidR="00DB6400" w:rsidRPr="00DB6400" w:rsidRDefault="00DB6400" w:rsidP="00DB6400">
            <w:pPr>
              <w:pStyle w:val="Tabletext"/>
              <w:ind w:left="0"/>
              <w:rPr>
                <w:color w:val="FFFFFF" w:themeColor="background1"/>
                <w:sz w:val="18"/>
              </w:rPr>
            </w:pPr>
            <w:r w:rsidRPr="00DB6400">
              <w:rPr>
                <w:color w:val="FFFFFF" w:themeColor="background1"/>
                <w:sz w:val="18"/>
              </w:rPr>
              <w:t>Additional</w:t>
            </w:r>
          </w:p>
        </w:tc>
      </w:tr>
      <w:tr w:rsidR="00DB6400" w:rsidRPr="00BF52F4" w14:paraId="6196AEE1" w14:textId="77777777" w:rsidTr="00DB6400">
        <w:trPr>
          <w:trHeight w:val="137"/>
        </w:trPr>
        <w:tc>
          <w:tcPr>
            <w:tcW w:w="849" w:type="pct"/>
            <w:vMerge w:val="restart"/>
            <w:tcBorders>
              <w:top w:val="single" w:sz="4" w:space="0" w:color="auto"/>
            </w:tcBorders>
          </w:tcPr>
          <w:p w14:paraId="160BEFE5" w14:textId="77777777" w:rsidR="00DB6400" w:rsidRPr="00BF52F4" w:rsidRDefault="00DB6400" w:rsidP="00DB6400">
            <w:pPr>
              <w:pStyle w:val="Tabletext"/>
              <w:ind w:left="0"/>
              <w:rPr>
                <w:b/>
              </w:rPr>
            </w:pPr>
            <w:r w:rsidRPr="00BF52F4">
              <w:rPr>
                <w:b/>
              </w:rPr>
              <w:t>Important identified risks</w:t>
            </w:r>
          </w:p>
        </w:tc>
        <w:tc>
          <w:tcPr>
            <w:tcW w:w="1580" w:type="pct"/>
            <w:tcBorders>
              <w:top w:val="single" w:sz="4" w:space="0" w:color="auto"/>
            </w:tcBorders>
          </w:tcPr>
          <w:p w14:paraId="62FEE66D" w14:textId="77777777" w:rsidR="00DB6400" w:rsidRPr="00BF52F4" w:rsidRDefault="00DB6400">
            <w:pPr>
              <w:pStyle w:val="Tabletext"/>
            </w:pPr>
            <w:r>
              <w:t xml:space="preserve">Progressive multifocal </w:t>
            </w:r>
            <w:r w:rsidRPr="00D72854">
              <w:t>leukoencephalopathy</w:t>
            </w:r>
            <w:r>
              <w:t xml:space="preserve"> (PML)</w:t>
            </w:r>
          </w:p>
        </w:tc>
        <w:tc>
          <w:tcPr>
            <w:tcW w:w="584" w:type="pct"/>
            <w:tcBorders>
              <w:top w:val="single" w:sz="4" w:space="0" w:color="auto"/>
            </w:tcBorders>
          </w:tcPr>
          <w:p w14:paraId="67DAD350" w14:textId="77777777" w:rsidR="00DB6400" w:rsidRPr="00C75713" w:rsidRDefault="00DB6400">
            <w:pPr>
              <w:pStyle w:val="Tabletext"/>
              <w:jc w:val="center"/>
            </w:pPr>
            <w:r w:rsidRPr="00C75713">
              <w:rPr>
                <w:rFonts w:ascii="Wingdings" w:eastAsia="Wingdings" w:hAnsi="Wingdings" w:cs="Wingdings"/>
              </w:rPr>
              <w:t></w:t>
            </w:r>
            <w:r w:rsidRPr="00C75713">
              <w:t>*</w:t>
            </w:r>
            <w:r w:rsidRPr="0026071C">
              <w:rPr>
                <w:color w:val="7030A0"/>
              </w:rPr>
              <w:t>ǁ</w:t>
            </w:r>
          </w:p>
        </w:tc>
        <w:tc>
          <w:tcPr>
            <w:tcW w:w="702" w:type="pct"/>
            <w:tcBorders>
              <w:top w:val="single" w:sz="4" w:space="0" w:color="auto"/>
            </w:tcBorders>
          </w:tcPr>
          <w:p w14:paraId="50E99D98" w14:textId="77777777" w:rsidR="00DB6400" w:rsidRPr="0080150D" w:rsidRDefault="00DB6400">
            <w:pPr>
              <w:pStyle w:val="Tabletext"/>
              <w:jc w:val="center"/>
            </w:pPr>
            <w:r w:rsidRPr="0080150D">
              <w:t>–</w:t>
            </w:r>
          </w:p>
        </w:tc>
        <w:tc>
          <w:tcPr>
            <w:tcW w:w="584" w:type="pct"/>
            <w:tcBorders>
              <w:top w:val="single" w:sz="4" w:space="0" w:color="auto"/>
            </w:tcBorders>
          </w:tcPr>
          <w:p w14:paraId="2D4FC1E3" w14:textId="77777777" w:rsidR="00DB6400" w:rsidRPr="0080150D" w:rsidRDefault="00DB6400">
            <w:pPr>
              <w:pStyle w:val="Tabletext"/>
              <w:jc w:val="center"/>
            </w:pPr>
            <w:r w:rsidRPr="0080150D">
              <w:rPr>
                <w:rFonts w:ascii="Wingdings" w:eastAsia="Wingdings" w:hAnsi="Wingdings" w:cs="Wingdings"/>
              </w:rPr>
              <w:t></w:t>
            </w:r>
          </w:p>
        </w:tc>
        <w:tc>
          <w:tcPr>
            <w:tcW w:w="702" w:type="pct"/>
            <w:tcBorders>
              <w:top w:val="single" w:sz="4" w:space="0" w:color="auto"/>
            </w:tcBorders>
          </w:tcPr>
          <w:p w14:paraId="67CDE9FE" w14:textId="77777777" w:rsidR="00DB6400" w:rsidRPr="0080150D" w:rsidRDefault="00DB6400">
            <w:pPr>
              <w:pStyle w:val="Tabletext"/>
              <w:jc w:val="center"/>
            </w:pPr>
            <w:r w:rsidRPr="0080150D">
              <w:t>–</w:t>
            </w:r>
          </w:p>
        </w:tc>
      </w:tr>
      <w:tr w:rsidR="00DB6400" w:rsidRPr="00BF52F4" w14:paraId="5D8B1C8C" w14:textId="77777777" w:rsidTr="00DB6400">
        <w:trPr>
          <w:trHeight w:val="94"/>
        </w:trPr>
        <w:tc>
          <w:tcPr>
            <w:tcW w:w="849" w:type="pct"/>
            <w:vMerge/>
          </w:tcPr>
          <w:p w14:paraId="6CBFE65F" w14:textId="77777777" w:rsidR="00DB6400" w:rsidRPr="00BF52F4" w:rsidRDefault="00DB6400">
            <w:pPr>
              <w:pStyle w:val="Tabletext"/>
              <w:rPr>
                <w:b/>
              </w:rPr>
            </w:pPr>
          </w:p>
        </w:tc>
        <w:tc>
          <w:tcPr>
            <w:tcW w:w="1580" w:type="pct"/>
          </w:tcPr>
          <w:p w14:paraId="18F5B54A" w14:textId="77777777" w:rsidR="00DB6400" w:rsidRPr="00BF52F4" w:rsidRDefault="00DB6400">
            <w:pPr>
              <w:pStyle w:val="Tabletext"/>
            </w:pPr>
            <w:r>
              <w:t xml:space="preserve">Decreases in leukocyte and </w:t>
            </w:r>
            <w:r w:rsidRPr="00D72854">
              <w:t>lymphocyte counts</w:t>
            </w:r>
          </w:p>
        </w:tc>
        <w:tc>
          <w:tcPr>
            <w:tcW w:w="584" w:type="pct"/>
          </w:tcPr>
          <w:p w14:paraId="25388537" w14:textId="77777777" w:rsidR="00DB6400" w:rsidRPr="00C75713" w:rsidRDefault="00DB6400">
            <w:pPr>
              <w:pStyle w:val="Tabletext"/>
              <w:jc w:val="center"/>
            </w:pPr>
            <w:r w:rsidRPr="00C75713">
              <w:rPr>
                <w:rFonts w:ascii="Wingdings" w:eastAsia="Wingdings" w:hAnsi="Wingdings" w:cs="Wingdings"/>
              </w:rPr>
              <w:t></w:t>
            </w:r>
            <w:r w:rsidRPr="00B41B01">
              <w:rPr>
                <w:color w:val="7030A0"/>
              </w:rPr>
              <w:t>*</w:t>
            </w:r>
          </w:p>
        </w:tc>
        <w:tc>
          <w:tcPr>
            <w:tcW w:w="702" w:type="pct"/>
          </w:tcPr>
          <w:p w14:paraId="045B64B4" w14:textId="77777777" w:rsidR="00DB6400" w:rsidRPr="0080150D" w:rsidRDefault="00DB6400">
            <w:pPr>
              <w:pStyle w:val="Tabletext"/>
              <w:jc w:val="center"/>
            </w:pPr>
            <w:r w:rsidRPr="0080150D">
              <w:rPr>
                <w:rFonts w:ascii="Wingdings" w:eastAsia="Wingdings" w:hAnsi="Wingdings" w:cs="Wingdings"/>
              </w:rPr>
              <w:t></w:t>
            </w:r>
            <w:r w:rsidRPr="00016EDD">
              <w:t>†</w:t>
            </w:r>
            <w:r w:rsidRPr="001D7669">
              <w:t>‡</w:t>
            </w:r>
          </w:p>
        </w:tc>
        <w:tc>
          <w:tcPr>
            <w:tcW w:w="584" w:type="pct"/>
          </w:tcPr>
          <w:p w14:paraId="4132F913" w14:textId="77777777" w:rsidR="00DB6400" w:rsidRPr="0080150D" w:rsidRDefault="00DB6400">
            <w:pPr>
              <w:pStyle w:val="Tabletext"/>
              <w:jc w:val="center"/>
            </w:pPr>
            <w:r w:rsidRPr="0080150D">
              <w:rPr>
                <w:rFonts w:ascii="Wingdings" w:eastAsia="Wingdings" w:hAnsi="Wingdings" w:cs="Wingdings"/>
              </w:rPr>
              <w:t></w:t>
            </w:r>
          </w:p>
        </w:tc>
        <w:tc>
          <w:tcPr>
            <w:tcW w:w="702" w:type="pct"/>
          </w:tcPr>
          <w:p w14:paraId="5B8A23C5" w14:textId="77777777" w:rsidR="00DB6400" w:rsidRPr="0080150D" w:rsidRDefault="00DB6400">
            <w:pPr>
              <w:pStyle w:val="Tabletext"/>
              <w:jc w:val="center"/>
            </w:pPr>
            <w:r w:rsidRPr="0080150D">
              <w:t>–</w:t>
            </w:r>
          </w:p>
        </w:tc>
      </w:tr>
      <w:tr w:rsidR="00DB6400" w:rsidRPr="00BF52F4" w14:paraId="59487FB5" w14:textId="77777777" w:rsidTr="00DB6400">
        <w:trPr>
          <w:trHeight w:val="187"/>
        </w:trPr>
        <w:tc>
          <w:tcPr>
            <w:tcW w:w="849" w:type="pct"/>
            <w:vMerge/>
          </w:tcPr>
          <w:p w14:paraId="3CD31AD9" w14:textId="77777777" w:rsidR="00DB6400" w:rsidRPr="00BF52F4" w:rsidRDefault="00DB6400">
            <w:pPr>
              <w:pStyle w:val="Tabletext"/>
              <w:rPr>
                <w:b/>
              </w:rPr>
            </w:pPr>
          </w:p>
        </w:tc>
        <w:tc>
          <w:tcPr>
            <w:tcW w:w="1580" w:type="pct"/>
          </w:tcPr>
          <w:p w14:paraId="09B9D791" w14:textId="77777777" w:rsidR="00DB6400" w:rsidRPr="00D72854" w:rsidRDefault="00DB6400">
            <w:pPr>
              <w:pStyle w:val="Tabletext"/>
            </w:pPr>
            <w:r>
              <w:t xml:space="preserve">Drug induced liver </w:t>
            </w:r>
            <w:r w:rsidRPr="00D72854">
              <w:t>injury</w:t>
            </w:r>
          </w:p>
        </w:tc>
        <w:tc>
          <w:tcPr>
            <w:tcW w:w="584" w:type="pct"/>
          </w:tcPr>
          <w:p w14:paraId="398F9C42" w14:textId="77777777" w:rsidR="00DB6400" w:rsidRPr="00C75713" w:rsidRDefault="00DB6400">
            <w:pPr>
              <w:pStyle w:val="Tabletext"/>
              <w:jc w:val="center"/>
            </w:pPr>
            <w:r w:rsidRPr="00C75713">
              <w:rPr>
                <w:rFonts w:ascii="Wingdings" w:eastAsia="Wingdings" w:hAnsi="Wingdings" w:cs="Wingdings"/>
              </w:rPr>
              <w:t></w:t>
            </w:r>
            <w:r w:rsidRPr="00C75713">
              <w:t>*</w:t>
            </w:r>
          </w:p>
        </w:tc>
        <w:tc>
          <w:tcPr>
            <w:tcW w:w="702" w:type="pct"/>
          </w:tcPr>
          <w:p w14:paraId="556A6DDC" w14:textId="77777777" w:rsidR="00DB6400" w:rsidRPr="0080150D" w:rsidRDefault="00DB6400">
            <w:pPr>
              <w:pStyle w:val="Tabletext"/>
              <w:jc w:val="center"/>
            </w:pPr>
            <w:r w:rsidRPr="0080150D">
              <w:rPr>
                <w:rFonts w:ascii="Wingdings" w:eastAsia="Wingdings" w:hAnsi="Wingdings" w:cs="Wingdings"/>
              </w:rPr>
              <w:t></w:t>
            </w:r>
            <w:r w:rsidRPr="00016EDD">
              <w:t>†</w:t>
            </w:r>
            <w:r w:rsidRPr="001D7669">
              <w:t>‡</w:t>
            </w:r>
          </w:p>
        </w:tc>
        <w:tc>
          <w:tcPr>
            <w:tcW w:w="584" w:type="pct"/>
          </w:tcPr>
          <w:p w14:paraId="6F05819D" w14:textId="77777777" w:rsidR="00DB6400" w:rsidRPr="0080150D" w:rsidRDefault="00DB6400">
            <w:pPr>
              <w:pStyle w:val="Tabletext"/>
              <w:jc w:val="center"/>
            </w:pPr>
            <w:r w:rsidRPr="0080150D">
              <w:rPr>
                <w:rFonts w:ascii="Wingdings" w:eastAsia="Wingdings" w:hAnsi="Wingdings" w:cs="Wingdings"/>
              </w:rPr>
              <w:t></w:t>
            </w:r>
          </w:p>
        </w:tc>
        <w:tc>
          <w:tcPr>
            <w:tcW w:w="702" w:type="pct"/>
          </w:tcPr>
          <w:p w14:paraId="414A4511" w14:textId="77777777" w:rsidR="00DB6400" w:rsidRPr="0080150D" w:rsidRDefault="00DB6400">
            <w:pPr>
              <w:pStyle w:val="Tabletext"/>
              <w:jc w:val="center"/>
            </w:pPr>
            <w:r w:rsidRPr="0080150D">
              <w:t>–</w:t>
            </w:r>
          </w:p>
        </w:tc>
      </w:tr>
      <w:tr w:rsidR="00DB6400" w:rsidRPr="00BF52F4" w14:paraId="20FFD1A7" w14:textId="77777777" w:rsidTr="00DB6400">
        <w:trPr>
          <w:trHeight w:val="159"/>
        </w:trPr>
        <w:tc>
          <w:tcPr>
            <w:tcW w:w="849" w:type="pct"/>
            <w:vMerge w:val="restart"/>
          </w:tcPr>
          <w:p w14:paraId="4D58171F" w14:textId="77777777" w:rsidR="00DB6400" w:rsidRPr="00BF52F4" w:rsidRDefault="00DB6400" w:rsidP="00DB6400">
            <w:pPr>
              <w:pStyle w:val="Tabletext"/>
              <w:ind w:left="0"/>
              <w:rPr>
                <w:b/>
              </w:rPr>
            </w:pPr>
            <w:r w:rsidRPr="00BF52F4">
              <w:rPr>
                <w:b/>
              </w:rPr>
              <w:t>Important potential risks</w:t>
            </w:r>
          </w:p>
        </w:tc>
        <w:tc>
          <w:tcPr>
            <w:tcW w:w="1580" w:type="pct"/>
          </w:tcPr>
          <w:p w14:paraId="477BEE55" w14:textId="77777777" w:rsidR="00DB6400" w:rsidRPr="00DB6400" w:rsidRDefault="00DB6400">
            <w:pPr>
              <w:pStyle w:val="Tabletext"/>
              <w:rPr>
                <w:color w:val="auto"/>
              </w:rPr>
            </w:pPr>
            <w:r w:rsidRPr="00DB6400">
              <w:rPr>
                <w:color w:val="auto"/>
              </w:rPr>
              <w:t>Serious and opportunistic infections (other than PML and herpes zoster)</w:t>
            </w:r>
          </w:p>
        </w:tc>
        <w:tc>
          <w:tcPr>
            <w:tcW w:w="584" w:type="pct"/>
          </w:tcPr>
          <w:p w14:paraId="78730632" w14:textId="77777777" w:rsidR="00DB6400" w:rsidRPr="00DB6400" w:rsidRDefault="00DB6400">
            <w:pPr>
              <w:pStyle w:val="Tabletext"/>
              <w:jc w:val="center"/>
              <w:rPr>
                <w:color w:val="auto"/>
              </w:rPr>
            </w:pPr>
            <w:r w:rsidRPr="00DB6400">
              <w:rPr>
                <w:rFonts w:ascii="Wingdings" w:eastAsia="Wingdings" w:hAnsi="Wingdings" w:cs="Wingdings"/>
                <w:color w:val="auto"/>
              </w:rPr>
              <w:t></w:t>
            </w:r>
            <w:r w:rsidRPr="00DB6400">
              <w:rPr>
                <w:color w:val="auto"/>
              </w:rPr>
              <w:t>*</w:t>
            </w:r>
          </w:p>
        </w:tc>
        <w:tc>
          <w:tcPr>
            <w:tcW w:w="702" w:type="pct"/>
          </w:tcPr>
          <w:p w14:paraId="6FC1ABC4" w14:textId="77777777" w:rsidR="00DB6400" w:rsidRPr="00DB6400" w:rsidRDefault="00DB6400">
            <w:pPr>
              <w:pStyle w:val="Tabletext"/>
              <w:jc w:val="center"/>
              <w:rPr>
                <w:color w:val="auto"/>
              </w:rPr>
            </w:pPr>
            <w:r w:rsidRPr="00DB6400">
              <w:rPr>
                <w:rFonts w:ascii="Wingdings" w:eastAsia="Wingdings" w:hAnsi="Wingdings" w:cs="Wingdings"/>
                <w:color w:val="auto"/>
              </w:rPr>
              <w:t></w:t>
            </w:r>
            <w:r w:rsidRPr="00DB6400">
              <w:rPr>
                <w:color w:val="auto"/>
              </w:rPr>
              <w:t>†‡</w:t>
            </w:r>
          </w:p>
        </w:tc>
        <w:tc>
          <w:tcPr>
            <w:tcW w:w="584" w:type="pct"/>
          </w:tcPr>
          <w:p w14:paraId="73E764ED" w14:textId="77777777" w:rsidR="00DB6400" w:rsidRPr="00DB6400" w:rsidRDefault="00DB6400">
            <w:pPr>
              <w:pStyle w:val="Tabletext"/>
              <w:jc w:val="center"/>
              <w:rPr>
                <w:color w:val="auto"/>
              </w:rPr>
            </w:pPr>
            <w:r w:rsidRPr="00DB6400">
              <w:rPr>
                <w:rFonts w:ascii="Wingdings" w:eastAsia="Wingdings" w:hAnsi="Wingdings" w:cs="Wingdings"/>
                <w:color w:val="auto"/>
              </w:rPr>
              <w:t></w:t>
            </w:r>
          </w:p>
        </w:tc>
        <w:tc>
          <w:tcPr>
            <w:tcW w:w="702" w:type="pct"/>
          </w:tcPr>
          <w:p w14:paraId="0F17D981" w14:textId="77777777" w:rsidR="00DB6400" w:rsidRPr="00DB6400" w:rsidRDefault="00DB6400">
            <w:pPr>
              <w:pStyle w:val="Tabletext"/>
              <w:jc w:val="center"/>
              <w:rPr>
                <w:color w:val="auto"/>
              </w:rPr>
            </w:pPr>
            <w:r w:rsidRPr="00DB6400">
              <w:rPr>
                <w:color w:val="auto"/>
              </w:rPr>
              <w:t>–</w:t>
            </w:r>
          </w:p>
        </w:tc>
      </w:tr>
      <w:tr w:rsidR="00DB6400" w:rsidRPr="00BF52F4" w14:paraId="61338E47" w14:textId="77777777" w:rsidTr="00DB6400">
        <w:trPr>
          <w:trHeight w:val="122"/>
        </w:trPr>
        <w:tc>
          <w:tcPr>
            <w:tcW w:w="849" w:type="pct"/>
            <w:vMerge/>
          </w:tcPr>
          <w:p w14:paraId="111AB875" w14:textId="77777777" w:rsidR="00DB6400" w:rsidRPr="00BF52F4" w:rsidRDefault="00DB6400">
            <w:pPr>
              <w:pStyle w:val="Tabletext"/>
              <w:rPr>
                <w:b/>
              </w:rPr>
            </w:pPr>
          </w:p>
        </w:tc>
        <w:tc>
          <w:tcPr>
            <w:tcW w:w="1580" w:type="pct"/>
          </w:tcPr>
          <w:p w14:paraId="49230A3D" w14:textId="77777777" w:rsidR="00DB6400" w:rsidRPr="00DB6400" w:rsidRDefault="00DB6400">
            <w:pPr>
              <w:pStyle w:val="Tabletext"/>
              <w:rPr>
                <w:color w:val="auto"/>
              </w:rPr>
            </w:pPr>
            <w:r w:rsidRPr="00DB6400">
              <w:rPr>
                <w:color w:val="auto"/>
              </w:rPr>
              <w:t>Malignancies</w:t>
            </w:r>
          </w:p>
        </w:tc>
        <w:tc>
          <w:tcPr>
            <w:tcW w:w="584" w:type="pct"/>
          </w:tcPr>
          <w:p w14:paraId="604CA6AB" w14:textId="77777777" w:rsidR="00DB6400" w:rsidRPr="00DB6400" w:rsidRDefault="00DB6400">
            <w:pPr>
              <w:pStyle w:val="Tabletext"/>
              <w:jc w:val="center"/>
              <w:rPr>
                <w:color w:val="auto"/>
              </w:rPr>
            </w:pPr>
            <w:r w:rsidRPr="00DB6400">
              <w:rPr>
                <w:rFonts w:ascii="Wingdings" w:eastAsia="Wingdings" w:hAnsi="Wingdings" w:cs="Wingdings"/>
                <w:color w:val="auto"/>
              </w:rPr>
              <w:t></w:t>
            </w:r>
            <w:r w:rsidRPr="00DB6400">
              <w:rPr>
                <w:color w:val="auto"/>
              </w:rPr>
              <w:t>*</w:t>
            </w:r>
          </w:p>
        </w:tc>
        <w:tc>
          <w:tcPr>
            <w:tcW w:w="702" w:type="pct"/>
          </w:tcPr>
          <w:p w14:paraId="77A2C629" w14:textId="77777777" w:rsidR="00DB6400" w:rsidRPr="00DB6400" w:rsidRDefault="00DB6400">
            <w:pPr>
              <w:pStyle w:val="Tabletext"/>
              <w:jc w:val="center"/>
              <w:rPr>
                <w:color w:val="auto"/>
              </w:rPr>
            </w:pPr>
            <w:r w:rsidRPr="00DB6400">
              <w:rPr>
                <w:rFonts w:ascii="Wingdings" w:eastAsia="Wingdings" w:hAnsi="Wingdings" w:cs="Wingdings"/>
                <w:color w:val="auto"/>
              </w:rPr>
              <w:t></w:t>
            </w:r>
            <w:r w:rsidRPr="00DB6400">
              <w:rPr>
                <w:color w:val="auto"/>
              </w:rPr>
              <w:t>†‡</w:t>
            </w:r>
          </w:p>
        </w:tc>
        <w:tc>
          <w:tcPr>
            <w:tcW w:w="584" w:type="pct"/>
          </w:tcPr>
          <w:p w14:paraId="3A98FD25" w14:textId="77777777" w:rsidR="00DB6400" w:rsidRPr="00DB6400" w:rsidRDefault="00DB6400">
            <w:pPr>
              <w:pStyle w:val="Tabletext"/>
              <w:jc w:val="center"/>
              <w:rPr>
                <w:color w:val="auto"/>
              </w:rPr>
            </w:pPr>
            <w:r w:rsidRPr="00DB6400">
              <w:rPr>
                <w:rFonts w:ascii="Wingdings" w:eastAsia="Wingdings" w:hAnsi="Wingdings" w:cs="Wingdings"/>
                <w:color w:val="auto"/>
              </w:rPr>
              <w:t></w:t>
            </w:r>
          </w:p>
        </w:tc>
        <w:tc>
          <w:tcPr>
            <w:tcW w:w="702" w:type="pct"/>
          </w:tcPr>
          <w:p w14:paraId="1A343DCD" w14:textId="77777777" w:rsidR="00DB6400" w:rsidRPr="00DB6400" w:rsidRDefault="00DB6400">
            <w:pPr>
              <w:pStyle w:val="Tabletext"/>
              <w:jc w:val="center"/>
              <w:rPr>
                <w:color w:val="auto"/>
              </w:rPr>
            </w:pPr>
            <w:r w:rsidRPr="00DB6400">
              <w:rPr>
                <w:color w:val="auto"/>
              </w:rPr>
              <w:t>–</w:t>
            </w:r>
          </w:p>
        </w:tc>
      </w:tr>
      <w:tr w:rsidR="00DB6400" w:rsidRPr="00BF52F4" w14:paraId="0A2F4430" w14:textId="77777777" w:rsidTr="00DB6400">
        <w:trPr>
          <w:trHeight w:val="122"/>
        </w:trPr>
        <w:tc>
          <w:tcPr>
            <w:tcW w:w="849" w:type="pct"/>
            <w:vMerge/>
          </w:tcPr>
          <w:p w14:paraId="11E62B76" w14:textId="77777777" w:rsidR="00DB6400" w:rsidRPr="00BF52F4" w:rsidRDefault="00DB6400">
            <w:pPr>
              <w:pStyle w:val="Tabletext"/>
              <w:rPr>
                <w:b/>
              </w:rPr>
            </w:pPr>
          </w:p>
        </w:tc>
        <w:tc>
          <w:tcPr>
            <w:tcW w:w="1580" w:type="pct"/>
          </w:tcPr>
          <w:p w14:paraId="461E1666" w14:textId="77777777" w:rsidR="00DB6400" w:rsidRDefault="00DB6400">
            <w:pPr>
              <w:pStyle w:val="Tabletext"/>
            </w:pPr>
            <w:r>
              <w:t xml:space="preserve">Effects on pregnancy </w:t>
            </w:r>
            <w:r w:rsidRPr="00A82734">
              <w:t>outcome</w:t>
            </w:r>
          </w:p>
        </w:tc>
        <w:tc>
          <w:tcPr>
            <w:tcW w:w="584" w:type="pct"/>
          </w:tcPr>
          <w:p w14:paraId="0B4E1A4E" w14:textId="77777777" w:rsidR="00DB6400" w:rsidRPr="00C75713" w:rsidRDefault="00DB6400">
            <w:pPr>
              <w:pStyle w:val="Tabletext"/>
              <w:jc w:val="center"/>
            </w:pPr>
            <w:r w:rsidRPr="00C75713">
              <w:rPr>
                <w:rFonts w:ascii="Wingdings" w:eastAsia="Wingdings" w:hAnsi="Wingdings" w:cs="Wingdings"/>
              </w:rPr>
              <w:t></w:t>
            </w:r>
          </w:p>
        </w:tc>
        <w:tc>
          <w:tcPr>
            <w:tcW w:w="702" w:type="pct"/>
          </w:tcPr>
          <w:p w14:paraId="4E53CE3E" w14:textId="77777777" w:rsidR="00DB6400" w:rsidRPr="0080150D" w:rsidRDefault="00DB6400">
            <w:pPr>
              <w:pStyle w:val="Tabletext"/>
              <w:jc w:val="center"/>
            </w:pPr>
            <w:r w:rsidRPr="0080150D">
              <w:rPr>
                <w:rFonts w:ascii="Wingdings" w:eastAsia="Wingdings" w:hAnsi="Wingdings" w:cs="Wingdings"/>
              </w:rPr>
              <w:t></w:t>
            </w:r>
            <w:r w:rsidRPr="00526293">
              <w:t>§</w:t>
            </w:r>
            <w:r w:rsidRPr="00B41B01">
              <w:rPr>
                <w:color w:val="7030A0"/>
              </w:rPr>
              <w:t>†</w:t>
            </w:r>
          </w:p>
        </w:tc>
        <w:tc>
          <w:tcPr>
            <w:tcW w:w="584" w:type="pct"/>
          </w:tcPr>
          <w:p w14:paraId="001C0B4D" w14:textId="77777777" w:rsidR="00DB6400" w:rsidRPr="0080150D" w:rsidRDefault="00DB6400">
            <w:pPr>
              <w:pStyle w:val="Tabletext"/>
              <w:jc w:val="center"/>
            </w:pPr>
            <w:r w:rsidRPr="0080150D">
              <w:rPr>
                <w:rFonts w:ascii="Wingdings" w:eastAsia="Wingdings" w:hAnsi="Wingdings" w:cs="Wingdings"/>
              </w:rPr>
              <w:t></w:t>
            </w:r>
          </w:p>
        </w:tc>
        <w:tc>
          <w:tcPr>
            <w:tcW w:w="702" w:type="pct"/>
          </w:tcPr>
          <w:p w14:paraId="4EEA363B" w14:textId="77777777" w:rsidR="00DB6400" w:rsidRPr="0080150D" w:rsidRDefault="00DB6400">
            <w:pPr>
              <w:pStyle w:val="Tabletext"/>
              <w:jc w:val="center"/>
            </w:pPr>
            <w:r w:rsidRPr="0080150D">
              <w:t>–</w:t>
            </w:r>
          </w:p>
        </w:tc>
      </w:tr>
      <w:tr w:rsidR="00DB6400" w:rsidRPr="00BF52F4" w14:paraId="0011869C" w14:textId="77777777" w:rsidTr="00DB6400">
        <w:trPr>
          <w:trHeight w:val="112"/>
        </w:trPr>
        <w:tc>
          <w:tcPr>
            <w:tcW w:w="849" w:type="pct"/>
            <w:vMerge/>
          </w:tcPr>
          <w:p w14:paraId="5257A3A1" w14:textId="77777777" w:rsidR="00DB6400" w:rsidRPr="00BF52F4" w:rsidRDefault="00DB6400">
            <w:pPr>
              <w:pStyle w:val="Tabletext"/>
              <w:rPr>
                <w:b/>
              </w:rPr>
            </w:pPr>
          </w:p>
        </w:tc>
        <w:tc>
          <w:tcPr>
            <w:tcW w:w="1580" w:type="pct"/>
          </w:tcPr>
          <w:p w14:paraId="072D2831" w14:textId="77777777" w:rsidR="00DB6400" w:rsidRPr="00A82734" w:rsidRDefault="00DB6400">
            <w:pPr>
              <w:pStyle w:val="Tabletext"/>
            </w:pPr>
            <w:r>
              <w:t xml:space="preserve">Interaction with nephrotoxic </w:t>
            </w:r>
            <w:r w:rsidRPr="00A82734">
              <w:t>medications leading</w:t>
            </w:r>
          </w:p>
          <w:p w14:paraId="6A6B84F7" w14:textId="77777777" w:rsidR="00DB6400" w:rsidRPr="00BF52F4" w:rsidRDefault="00DB6400">
            <w:pPr>
              <w:pStyle w:val="Tabletext"/>
            </w:pPr>
            <w:r w:rsidRPr="00A82734">
              <w:t>to renal toxicity</w:t>
            </w:r>
          </w:p>
        </w:tc>
        <w:tc>
          <w:tcPr>
            <w:tcW w:w="584" w:type="pct"/>
          </w:tcPr>
          <w:p w14:paraId="39D8D52B" w14:textId="77777777" w:rsidR="00DB6400" w:rsidRPr="00C75713" w:rsidRDefault="00DB6400">
            <w:pPr>
              <w:pStyle w:val="Tabletext"/>
              <w:jc w:val="center"/>
            </w:pPr>
            <w:r w:rsidRPr="00C75713">
              <w:rPr>
                <w:rFonts w:ascii="Wingdings" w:eastAsia="Wingdings" w:hAnsi="Wingdings" w:cs="Wingdings"/>
              </w:rPr>
              <w:t></w:t>
            </w:r>
          </w:p>
        </w:tc>
        <w:tc>
          <w:tcPr>
            <w:tcW w:w="702" w:type="pct"/>
          </w:tcPr>
          <w:p w14:paraId="4E769981" w14:textId="77777777" w:rsidR="00DB6400" w:rsidRPr="0080150D" w:rsidRDefault="00DB6400">
            <w:pPr>
              <w:pStyle w:val="Tabletext"/>
              <w:jc w:val="center"/>
            </w:pPr>
            <w:r w:rsidRPr="0080150D">
              <w:rPr>
                <w:rFonts w:ascii="Wingdings" w:eastAsia="Wingdings" w:hAnsi="Wingdings" w:cs="Wingdings"/>
              </w:rPr>
              <w:t></w:t>
            </w:r>
            <w:r w:rsidRPr="001D7669">
              <w:t>‡</w:t>
            </w:r>
          </w:p>
        </w:tc>
        <w:tc>
          <w:tcPr>
            <w:tcW w:w="584" w:type="pct"/>
          </w:tcPr>
          <w:p w14:paraId="36EBBD42" w14:textId="77777777" w:rsidR="00DB6400" w:rsidRPr="0080150D" w:rsidRDefault="00DB6400">
            <w:pPr>
              <w:pStyle w:val="Tabletext"/>
              <w:jc w:val="center"/>
            </w:pPr>
            <w:r w:rsidRPr="0080150D">
              <w:rPr>
                <w:rFonts w:ascii="Wingdings" w:eastAsia="Wingdings" w:hAnsi="Wingdings" w:cs="Wingdings"/>
              </w:rPr>
              <w:t></w:t>
            </w:r>
          </w:p>
        </w:tc>
        <w:tc>
          <w:tcPr>
            <w:tcW w:w="702" w:type="pct"/>
          </w:tcPr>
          <w:p w14:paraId="0CC86D30" w14:textId="77777777" w:rsidR="00DB6400" w:rsidRPr="0080150D" w:rsidRDefault="00DB6400">
            <w:pPr>
              <w:pStyle w:val="Tabletext"/>
              <w:jc w:val="center"/>
            </w:pPr>
            <w:r w:rsidRPr="0080150D">
              <w:t>–</w:t>
            </w:r>
          </w:p>
        </w:tc>
      </w:tr>
      <w:tr w:rsidR="00DB6400" w:rsidRPr="00BF52F4" w14:paraId="69AE2FE9" w14:textId="77777777" w:rsidTr="00DB6400">
        <w:trPr>
          <w:trHeight w:val="178"/>
        </w:trPr>
        <w:tc>
          <w:tcPr>
            <w:tcW w:w="849" w:type="pct"/>
            <w:vMerge w:val="restart"/>
          </w:tcPr>
          <w:p w14:paraId="3B65BCAE" w14:textId="77777777" w:rsidR="00DB6400" w:rsidRPr="00BF52F4" w:rsidRDefault="00DB6400" w:rsidP="00DB6400">
            <w:pPr>
              <w:pStyle w:val="Tabletext"/>
              <w:ind w:left="0"/>
              <w:rPr>
                <w:b/>
              </w:rPr>
            </w:pPr>
            <w:r w:rsidRPr="00BF52F4">
              <w:rPr>
                <w:b/>
              </w:rPr>
              <w:t>Missing information</w:t>
            </w:r>
          </w:p>
        </w:tc>
        <w:tc>
          <w:tcPr>
            <w:tcW w:w="1580" w:type="pct"/>
          </w:tcPr>
          <w:p w14:paraId="490426EB" w14:textId="77777777" w:rsidR="00DB6400" w:rsidRPr="00BF52F4" w:rsidRDefault="00DB6400">
            <w:pPr>
              <w:pStyle w:val="Tabletext"/>
            </w:pPr>
            <w:r>
              <w:t xml:space="preserve">Safety profile in patients over the age </w:t>
            </w:r>
            <w:r w:rsidRPr="00A82734">
              <w:t>of 65 years</w:t>
            </w:r>
          </w:p>
        </w:tc>
        <w:tc>
          <w:tcPr>
            <w:tcW w:w="584" w:type="pct"/>
          </w:tcPr>
          <w:p w14:paraId="3F55E654" w14:textId="77777777" w:rsidR="00DB6400" w:rsidRPr="00C75713" w:rsidRDefault="00DB6400">
            <w:pPr>
              <w:pStyle w:val="Tabletext"/>
              <w:jc w:val="center"/>
            </w:pPr>
            <w:r w:rsidRPr="00C75713">
              <w:rPr>
                <w:rFonts w:ascii="Wingdings" w:eastAsia="Wingdings" w:hAnsi="Wingdings" w:cs="Wingdings"/>
              </w:rPr>
              <w:t></w:t>
            </w:r>
          </w:p>
        </w:tc>
        <w:tc>
          <w:tcPr>
            <w:tcW w:w="702" w:type="pct"/>
          </w:tcPr>
          <w:p w14:paraId="5D720000" w14:textId="77777777" w:rsidR="00DB6400" w:rsidRPr="0080150D" w:rsidRDefault="00DB6400">
            <w:pPr>
              <w:pStyle w:val="Tabletext"/>
              <w:jc w:val="center"/>
            </w:pPr>
            <w:r w:rsidRPr="0080150D">
              <w:rPr>
                <w:rFonts w:ascii="Wingdings" w:eastAsia="Wingdings" w:hAnsi="Wingdings" w:cs="Wingdings"/>
              </w:rPr>
              <w:t></w:t>
            </w:r>
            <w:r w:rsidRPr="001D7669">
              <w:t>‡</w:t>
            </w:r>
          </w:p>
        </w:tc>
        <w:tc>
          <w:tcPr>
            <w:tcW w:w="584" w:type="pct"/>
          </w:tcPr>
          <w:p w14:paraId="7976F7E2" w14:textId="77777777" w:rsidR="00DB6400" w:rsidRPr="0080150D" w:rsidRDefault="00DB6400">
            <w:pPr>
              <w:pStyle w:val="Tabletext"/>
              <w:jc w:val="center"/>
            </w:pPr>
            <w:r w:rsidRPr="0080150D">
              <w:rPr>
                <w:rFonts w:ascii="Wingdings" w:eastAsia="Wingdings" w:hAnsi="Wingdings" w:cs="Wingdings"/>
              </w:rPr>
              <w:t></w:t>
            </w:r>
          </w:p>
        </w:tc>
        <w:tc>
          <w:tcPr>
            <w:tcW w:w="702" w:type="pct"/>
          </w:tcPr>
          <w:p w14:paraId="64108AEA" w14:textId="77777777" w:rsidR="00DB6400" w:rsidRPr="0080150D" w:rsidRDefault="00DB6400">
            <w:pPr>
              <w:pStyle w:val="Tabletext"/>
              <w:jc w:val="center"/>
            </w:pPr>
            <w:r w:rsidRPr="0080150D">
              <w:t>–</w:t>
            </w:r>
          </w:p>
        </w:tc>
      </w:tr>
      <w:tr w:rsidR="00DB6400" w:rsidRPr="00BF52F4" w14:paraId="6429DE10" w14:textId="77777777" w:rsidTr="00DB6400">
        <w:trPr>
          <w:trHeight w:val="103"/>
        </w:trPr>
        <w:tc>
          <w:tcPr>
            <w:tcW w:w="849" w:type="pct"/>
            <w:vMerge/>
          </w:tcPr>
          <w:p w14:paraId="5A70F5FA" w14:textId="77777777" w:rsidR="00DB6400" w:rsidRPr="00BF52F4" w:rsidRDefault="00DB6400">
            <w:pPr>
              <w:pStyle w:val="Tabletext"/>
            </w:pPr>
          </w:p>
        </w:tc>
        <w:tc>
          <w:tcPr>
            <w:tcW w:w="1580" w:type="pct"/>
          </w:tcPr>
          <w:p w14:paraId="3A996D15" w14:textId="77777777" w:rsidR="00DB6400" w:rsidRPr="00A82734" w:rsidRDefault="00DB6400">
            <w:pPr>
              <w:pStyle w:val="Tabletext"/>
            </w:pPr>
            <w:r>
              <w:t xml:space="preserve">Safety profile in patients with </w:t>
            </w:r>
            <w:r w:rsidRPr="00A82734">
              <w:t>moderate to severe</w:t>
            </w:r>
          </w:p>
          <w:p w14:paraId="2AFAA2BC" w14:textId="77777777" w:rsidR="00DB6400" w:rsidRPr="00BF52F4" w:rsidRDefault="00DB6400">
            <w:pPr>
              <w:pStyle w:val="Tabletext"/>
            </w:pPr>
            <w:r w:rsidRPr="00A82734">
              <w:t>renal impairment</w:t>
            </w:r>
          </w:p>
        </w:tc>
        <w:tc>
          <w:tcPr>
            <w:tcW w:w="584" w:type="pct"/>
          </w:tcPr>
          <w:p w14:paraId="6C41D38C" w14:textId="77777777" w:rsidR="00DB6400" w:rsidRPr="00C75713" w:rsidRDefault="00DB6400">
            <w:pPr>
              <w:pStyle w:val="Tabletext"/>
              <w:jc w:val="center"/>
            </w:pPr>
            <w:r w:rsidRPr="00C75713">
              <w:rPr>
                <w:rFonts w:ascii="Wingdings" w:eastAsia="Wingdings" w:hAnsi="Wingdings" w:cs="Wingdings"/>
              </w:rPr>
              <w:t></w:t>
            </w:r>
          </w:p>
        </w:tc>
        <w:tc>
          <w:tcPr>
            <w:tcW w:w="702" w:type="pct"/>
          </w:tcPr>
          <w:p w14:paraId="345D861D" w14:textId="77777777" w:rsidR="00DB6400" w:rsidRPr="0080150D" w:rsidRDefault="00DB6400">
            <w:pPr>
              <w:pStyle w:val="Tabletext"/>
              <w:jc w:val="center"/>
            </w:pPr>
            <w:r w:rsidRPr="0080150D">
              <w:rPr>
                <w:rFonts w:ascii="Wingdings" w:eastAsia="Wingdings" w:hAnsi="Wingdings" w:cs="Wingdings"/>
              </w:rPr>
              <w:t></w:t>
            </w:r>
            <w:r w:rsidRPr="001D7669">
              <w:t>‡</w:t>
            </w:r>
          </w:p>
        </w:tc>
        <w:tc>
          <w:tcPr>
            <w:tcW w:w="584" w:type="pct"/>
          </w:tcPr>
          <w:p w14:paraId="02EEE1E0" w14:textId="77777777" w:rsidR="00DB6400" w:rsidRPr="0080150D" w:rsidRDefault="00DB6400">
            <w:pPr>
              <w:pStyle w:val="Tabletext"/>
              <w:jc w:val="center"/>
            </w:pPr>
            <w:r w:rsidRPr="0080150D">
              <w:rPr>
                <w:rFonts w:ascii="Wingdings" w:eastAsia="Wingdings" w:hAnsi="Wingdings" w:cs="Wingdings"/>
              </w:rPr>
              <w:t></w:t>
            </w:r>
          </w:p>
        </w:tc>
        <w:tc>
          <w:tcPr>
            <w:tcW w:w="702" w:type="pct"/>
          </w:tcPr>
          <w:p w14:paraId="215C11F6" w14:textId="77777777" w:rsidR="00DB6400" w:rsidRPr="0080150D" w:rsidRDefault="00DB6400">
            <w:pPr>
              <w:pStyle w:val="Tabletext"/>
              <w:jc w:val="center"/>
            </w:pPr>
            <w:r w:rsidRPr="0080150D">
              <w:t>–</w:t>
            </w:r>
          </w:p>
        </w:tc>
      </w:tr>
      <w:tr w:rsidR="00DB6400" w:rsidRPr="00BF52F4" w14:paraId="25294C7B" w14:textId="77777777" w:rsidTr="00DB6400">
        <w:trPr>
          <w:trHeight w:val="103"/>
        </w:trPr>
        <w:tc>
          <w:tcPr>
            <w:tcW w:w="849" w:type="pct"/>
            <w:vMerge/>
          </w:tcPr>
          <w:p w14:paraId="3538F889" w14:textId="77777777" w:rsidR="00DB6400" w:rsidRPr="00BF52F4" w:rsidRDefault="00DB6400">
            <w:pPr>
              <w:pStyle w:val="Tabletext"/>
            </w:pPr>
          </w:p>
        </w:tc>
        <w:tc>
          <w:tcPr>
            <w:tcW w:w="1580" w:type="pct"/>
          </w:tcPr>
          <w:p w14:paraId="65A368BF" w14:textId="77777777" w:rsidR="00DB6400" w:rsidRPr="00BF52F4" w:rsidRDefault="00DB6400">
            <w:pPr>
              <w:pStyle w:val="Tabletext"/>
            </w:pPr>
            <w:r>
              <w:t xml:space="preserve">Safety profile in patients with hepatic </w:t>
            </w:r>
            <w:r w:rsidRPr="00A82734">
              <w:t>impairment</w:t>
            </w:r>
          </w:p>
        </w:tc>
        <w:tc>
          <w:tcPr>
            <w:tcW w:w="584" w:type="pct"/>
          </w:tcPr>
          <w:p w14:paraId="48F66471" w14:textId="77777777" w:rsidR="00DB6400" w:rsidRPr="00C75713" w:rsidRDefault="00DB6400">
            <w:pPr>
              <w:pStyle w:val="Tabletext"/>
              <w:jc w:val="center"/>
            </w:pPr>
            <w:r w:rsidRPr="00C75713">
              <w:rPr>
                <w:rFonts w:ascii="Wingdings" w:eastAsia="Wingdings" w:hAnsi="Wingdings" w:cs="Wingdings"/>
              </w:rPr>
              <w:t></w:t>
            </w:r>
          </w:p>
        </w:tc>
        <w:tc>
          <w:tcPr>
            <w:tcW w:w="702" w:type="pct"/>
          </w:tcPr>
          <w:p w14:paraId="2F7822F6" w14:textId="77777777" w:rsidR="00DB6400" w:rsidRPr="0080150D" w:rsidRDefault="00DB6400">
            <w:pPr>
              <w:pStyle w:val="Tabletext"/>
              <w:jc w:val="center"/>
            </w:pPr>
            <w:r w:rsidRPr="0080150D">
              <w:rPr>
                <w:rFonts w:ascii="Wingdings" w:eastAsia="Wingdings" w:hAnsi="Wingdings" w:cs="Wingdings"/>
              </w:rPr>
              <w:t></w:t>
            </w:r>
            <w:r w:rsidRPr="001D7669">
              <w:t>‡</w:t>
            </w:r>
          </w:p>
        </w:tc>
        <w:tc>
          <w:tcPr>
            <w:tcW w:w="584" w:type="pct"/>
          </w:tcPr>
          <w:p w14:paraId="2EE1FE07" w14:textId="77777777" w:rsidR="00DB6400" w:rsidRPr="0080150D" w:rsidRDefault="00DB6400">
            <w:pPr>
              <w:pStyle w:val="Tabletext"/>
              <w:jc w:val="center"/>
            </w:pPr>
            <w:r w:rsidRPr="0080150D">
              <w:rPr>
                <w:rFonts w:ascii="Wingdings" w:eastAsia="Wingdings" w:hAnsi="Wingdings" w:cs="Wingdings"/>
              </w:rPr>
              <w:t></w:t>
            </w:r>
          </w:p>
        </w:tc>
        <w:tc>
          <w:tcPr>
            <w:tcW w:w="702" w:type="pct"/>
          </w:tcPr>
          <w:p w14:paraId="2EDB1109" w14:textId="77777777" w:rsidR="00DB6400" w:rsidRPr="0080150D" w:rsidRDefault="00DB6400">
            <w:pPr>
              <w:pStyle w:val="Tabletext"/>
              <w:jc w:val="center"/>
            </w:pPr>
            <w:r w:rsidRPr="0080150D">
              <w:t>–</w:t>
            </w:r>
          </w:p>
        </w:tc>
      </w:tr>
      <w:tr w:rsidR="00DB6400" w:rsidRPr="00BF52F4" w14:paraId="698B5A54" w14:textId="77777777" w:rsidTr="00DB6400">
        <w:trPr>
          <w:trHeight w:val="103"/>
        </w:trPr>
        <w:tc>
          <w:tcPr>
            <w:tcW w:w="849" w:type="pct"/>
            <w:vMerge/>
          </w:tcPr>
          <w:p w14:paraId="3C67C5BA" w14:textId="77777777" w:rsidR="00DB6400" w:rsidRPr="00BF52F4" w:rsidRDefault="00DB6400">
            <w:pPr>
              <w:pStyle w:val="Tabletext"/>
            </w:pPr>
          </w:p>
        </w:tc>
        <w:tc>
          <w:tcPr>
            <w:tcW w:w="1580" w:type="pct"/>
          </w:tcPr>
          <w:p w14:paraId="74194F80" w14:textId="77777777" w:rsidR="00DB6400" w:rsidRPr="00BF52F4" w:rsidRDefault="00DB6400">
            <w:pPr>
              <w:pStyle w:val="Tabletext"/>
            </w:pPr>
            <w:r>
              <w:t xml:space="preserve">Safety profile in patients with severe </w:t>
            </w:r>
            <w:r w:rsidRPr="00A82734">
              <w:t>active GI disease</w:t>
            </w:r>
          </w:p>
        </w:tc>
        <w:tc>
          <w:tcPr>
            <w:tcW w:w="584" w:type="pct"/>
          </w:tcPr>
          <w:p w14:paraId="0A0BE707" w14:textId="77777777" w:rsidR="00DB6400" w:rsidRPr="00C75713" w:rsidRDefault="00DB6400">
            <w:pPr>
              <w:pStyle w:val="Tabletext"/>
              <w:jc w:val="center"/>
            </w:pPr>
            <w:r w:rsidRPr="00C75713">
              <w:rPr>
                <w:rFonts w:ascii="Wingdings" w:eastAsia="Wingdings" w:hAnsi="Wingdings" w:cs="Wingdings"/>
              </w:rPr>
              <w:t></w:t>
            </w:r>
          </w:p>
        </w:tc>
        <w:tc>
          <w:tcPr>
            <w:tcW w:w="702" w:type="pct"/>
          </w:tcPr>
          <w:p w14:paraId="05AA9F09" w14:textId="77777777" w:rsidR="00DB6400" w:rsidRPr="0080150D" w:rsidRDefault="00DB6400">
            <w:pPr>
              <w:pStyle w:val="Tabletext"/>
              <w:jc w:val="center"/>
            </w:pPr>
            <w:r w:rsidRPr="0080150D">
              <w:rPr>
                <w:rFonts w:ascii="Wingdings" w:eastAsia="Wingdings" w:hAnsi="Wingdings" w:cs="Wingdings"/>
              </w:rPr>
              <w:t></w:t>
            </w:r>
            <w:r w:rsidRPr="001D7669">
              <w:t>‡</w:t>
            </w:r>
          </w:p>
        </w:tc>
        <w:tc>
          <w:tcPr>
            <w:tcW w:w="584" w:type="pct"/>
          </w:tcPr>
          <w:p w14:paraId="7DA3C52D" w14:textId="77777777" w:rsidR="00DB6400" w:rsidRPr="0080150D" w:rsidRDefault="00DB6400">
            <w:pPr>
              <w:pStyle w:val="Tabletext"/>
              <w:jc w:val="center"/>
            </w:pPr>
            <w:r w:rsidRPr="0080150D">
              <w:rPr>
                <w:rFonts w:ascii="Wingdings" w:eastAsia="Wingdings" w:hAnsi="Wingdings" w:cs="Wingdings"/>
              </w:rPr>
              <w:t></w:t>
            </w:r>
          </w:p>
        </w:tc>
        <w:tc>
          <w:tcPr>
            <w:tcW w:w="702" w:type="pct"/>
          </w:tcPr>
          <w:p w14:paraId="0ED0564C" w14:textId="77777777" w:rsidR="00DB6400" w:rsidRPr="0080150D" w:rsidRDefault="00DB6400">
            <w:pPr>
              <w:pStyle w:val="Tabletext"/>
              <w:jc w:val="center"/>
            </w:pPr>
            <w:r w:rsidRPr="0080150D">
              <w:t>–</w:t>
            </w:r>
          </w:p>
        </w:tc>
      </w:tr>
      <w:tr w:rsidR="00DB6400" w:rsidRPr="00BF52F4" w14:paraId="4682AD1C" w14:textId="77777777" w:rsidTr="00DB6400">
        <w:trPr>
          <w:trHeight w:val="103"/>
        </w:trPr>
        <w:tc>
          <w:tcPr>
            <w:tcW w:w="849" w:type="pct"/>
            <w:vMerge/>
          </w:tcPr>
          <w:p w14:paraId="2215359D" w14:textId="77777777" w:rsidR="00DB6400" w:rsidRPr="00BF52F4" w:rsidRDefault="00DB6400">
            <w:pPr>
              <w:pStyle w:val="Tabletext"/>
            </w:pPr>
          </w:p>
        </w:tc>
        <w:tc>
          <w:tcPr>
            <w:tcW w:w="1580" w:type="pct"/>
          </w:tcPr>
          <w:p w14:paraId="22B68D7F" w14:textId="77777777" w:rsidR="00DB6400" w:rsidRPr="00A82734" w:rsidRDefault="00DB6400">
            <w:pPr>
              <w:pStyle w:val="Tabletext"/>
            </w:pPr>
            <w:r>
              <w:t xml:space="preserve">Increased risk of infection in patients concomitantly taking </w:t>
            </w:r>
            <w:r w:rsidRPr="00A82734">
              <w:t>antineoplastic or</w:t>
            </w:r>
          </w:p>
          <w:p w14:paraId="505F0339" w14:textId="77777777" w:rsidR="00DB6400" w:rsidRDefault="00DB6400">
            <w:pPr>
              <w:pStyle w:val="Tabletext"/>
            </w:pPr>
            <w:r>
              <w:t xml:space="preserve">Immunosuppressive </w:t>
            </w:r>
            <w:r w:rsidRPr="00A82734">
              <w:t>therapies</w:t>
            </w:r>
          </w:p>
        </w:tc>
        <w:tc>
          <w:tcPr>
            <w:tcW w:w="584" w:type="pct"/>
          </w:tcPr>
          <w:p w14:paraId="680B837D" w14:textId="77777777" w:rsidR="00DB6400" w:rsidRPr="00C75713" w:rsidRDefault="00DB6400">
            <w:pPr>
              <w:pStyle w:val="Tabletext"/>
              <w:jc w:val="center"/>
            </w:pPr>
            <w:r w:rsidRPr="00C75713">
              <w:rPr>
                <w:rFonts w:ascii="Wingdings" w:eastAsia="Wingdings" w:hAnsi="Wingdings" w:cs="Wingdings"/>
              </w:rPr>
              <w:t></w:t>
            </w:r>
          </w:p>
        </w:tc>
        <w:tc>
          <w:tcPr>
            <w:tcW w:w="702" w:type="pct"/>
          </w:tcPr>
          <w:p w14:paraId="1CC02DD3" w14:textId="77777777" w:rsidR="00DB6400" w:rsidRPr="0080150D" w:rsidRDefault="00DB6400">
            <w:pPr>
              <w:pStyle w:val="Tabletext"/>
              <w:jc w:val="center"/>
            </w:pPr>
            <w:r w:rsidRPr="0080150D">
              <w:rPr>
                <w:rFonts w:ascii="Wingdings" w:eastAsia="Wingdings" w:hAnsi="Wingdings" w:cs="Wingdings"/>
              </w:rPr>
              <w:t></w:t>
            </w:r>
            <w:r w:rsidRPr="001D7669">
              <w:t>‡</w:t>
            </w:r>
          </w:p>
        </w:tc>
        <w:tc>
          <w:tcPr>
            <w:tcW w:w="584" w:type="pct"/>
          </w:tcPr>
          <w:p w14:paraId="13AAC236" w14:textId="77777777" w:rsidR="00DB6400" w:rsidRPr="0080150D" w:rsidRDefault="00DB6400">
            <w:pPr>
              <w:pStyle w:val="Tabletext"/>
              <w:jc w:val="center"/>
            </w:pPr>
            <w:r w:rsidRPr="0080150D">
              <w:t>–</w:t>
            </w:r>
          </w:p>
        </w:tc>
        <w:tc>
          <w:tcPr>
            <w:tcW w:w="702" w:type="pct"/>
          </w:tcPr>
          <w:p w14:paraId="18E93AD5" w14:textId="77777777" w:rsidR="00DB6400" w:rsidRPr="0080150D" w:rsidRDefault="00DB6400">
            <w:pPr>
              <w:pStyle w:val="Tabletext"/>
              <w:jc w:val="center"/>
            </w:pPr>
            <w:r w:rsidRPr="0080150D">
              <w:t>–</w:t>
            </w:r>
          </w:p>
        </w:tc>
      </w:tr>
      <w:tr w:rsidR="00DB6400" w:rsidRPr="00BF52F4" w14:paraId="4EAC7E37" w14:textId="77777777" w:rsidTr="00DB6400">
        <w:trPr>
          <w:trHeight w:val="140"/>
        </w:trPr>
        <w:tc>
          <w:tcPr>
            <w:tcW w:w="849" w:type="pct"/>
            <w:vMerge/>
          </w:tcPr>
          <w:p w14:paraId="1E37D9B3" w14:textId="77777777" w:rsidR="00DB6400" w:rsidRPr="00BF52F4" w:rsidRDefault="00DB6400">
            <w:pPr>
              <w:pStyle w:val="Tabletext"/>
            </w:pPr>
          </w:p>
        </w:tc>
        <w:tc>
          <w:tcPr>
            <w:tcW w:w="1580" w:type="pct"/>
          </w:tcPr>
          <w:p w14:paraId="5FA7694A" w14:textId="77777777" w:rsidR="00DB6400" w:rsidRPr="00DB6400" w:rsidRDefault="00DB6400">
            <w:pPr>
              <w:pStyle w:val="Tabletext"/>
              <w:rPr>
                <w:color w:val="auto"/>
              </w:rPr>
            </w:pPr>
            <w:r w:rsidRPr="00DB6400">
              <w:rPr>
                <w:color w:val="auto"/>
              </w:rPr>
              <w:t>Long-term efficacy and safety</w:t>
            </w:r>
          </w:p>
        </w:tc>
        <w:tc>
          <w:tcPr>
            <w:tcW w:w="584" w:type="pct"/>
          </w:tcPr>
          <w:p w14:paraId="347F1DBD" w14:textId="77777777" w:rsidR="00DB6400" w:rsidRPr="00DB6400" w:rsidRDefault="00DB6400">
            <w:pPr>
              <w:pStyle w:val="Tabletext"/>
              <w:jc w:val="center"/>
              <w:rPr>
                <w:color w:val="auto"/>
              </w:rPr>
            </w:pPr>
            <w:r w:rsidRPr="00DB6400">
              <w:rPr>
                <w:rFonts w:ascii="Wingdings" w:eastAsia="Wingdings" w:hAnsi="Wingdings" w:cs="Wingdings"/>
                <w:color w:val="auto"/>
              </w:rPr>
              <w:t></w:t>
            </w:r>
          </w:p>
        </w:tc>
        <w:tc>
          <w:tcPr>
            <w:tcW w:w="702" w:type="pct"/>
          </w:tcPr>
          <w:p w14:paraId="67C78E10" w14:textId="77777777" w:rsidR="00DB6400" w:rsidRDefault="00DB6400">
            <w:pPr>
              <w:pStyle w:val="Tabletext"/>
              <w:jc w:val="center"/>
              <w:rPr>
                <w:color w:val="auto"/>
              </w:rPr>
            </w:pPr>
            <w:r w:rsidRPr="00DB6400">
              <w:rPr>
                <w:rFonts w:ascii="Wingdings" w:eastAsia="Wingdings" w:hAnsi="Wingdings" w:cs="Wingdings"/>
                <w:color w:val="auto"/>
              </w:rPr>
              <w:t></w:t>
            </w:r>
            <w:r w:rsidRPr="00DB6400">
              <w:rPr>
                <w:color w:val="auto"/>
              </w:rPr>
              <w:t>†</w:t>
            </w:r>
          </w:p>
          <w:p w14:paraId="0BA4BE0B" w14:textId="4EF5FB96" w:rsidR="00E87248" w:rsidRPr="00DB6400" w:rsidRDefault="00581860">
            <w:pPr>
              <w:pStyle w:val="Tabletext"/>
              <w:jc w:val="center"/>
              <w:rPr>
                <w:color w:val="auto"/>
              </w:rPr>
            </w:pPr>
            <w:r>
              <w:rPr>
                <w:color w:val="auto"/>
              </w:rPr>
              <w:t>*</w:t>
            </w:r>
          </w:p>
        </w:tc>
        <w:tc>
          <w:tcPr>
            <w:tcW w:w="584" w:type="pct"/>
          </w:tcPr>
          <w:p w14:paraId="4A1B726E" w14:textId="77777777" w:rsidR="00DB6400" w:rsidRPr="00DB6400" w:rsidRDefault="00DB6400">
            <w:pPr>
              <w:pStyle w:val="Tabletext"/>
              <w:jc w:val="center"/>
              <w:rPr>
                <w:color w:val="auto"/>
              </w:rPr>
            </w:pPr>
            <w:r w:rsidRPr="00DB6400">
              <w:rPr>
                <w:rFonts w:ascii="Wingdings" w:eastAsia="Wingdings" w:hAnsi="Wingdings" w:cs="Wingdings"/>
                <w:color w:val="auto"/>
              </w:rPr>
              <w:t></w:t>
            </w:r>
          </w:p>
        </w:tc>
        <w:tc>
          <w:tcPr>
            <w:tcW w:w="702" w:type="pct"/>
          </w:tcPr>
          <w:p w14:paraId="1A01B5E9" w14:textId="77777777" w:rsidR="00DB6400" w:rsidRPr="00DB6400" w:rsidRDefault="00DB6400">
            <w:pPr>
              <w:pStyle w:val="Tabletext"/>
              <w:jc w:val="center"/>
              <w:rPr>
                <w:color w:val="auto"/>
              </w:rPr>
            </w:pPr>
            <w:r w:rsidRPr="00DB6400">
              <w:rPr>
                <w:color w:val="auto"/>
              </w:rPr>
              <w:t>–</w:t>
            </w:r>
          </w:p>
        </w:tc>
      </w:tr>
    </w:tbl>
    <w:p w14:paraId="05294F5F" w14:textId="77777777" w:rsidR="00DB6400" w:rsidRPr="00DB6400" w:rsidRDefault="00DB6400" w:rsidP="00DB6400">
      <w:pPr>
        <w:pStyle w:val="TableDescription"/>
      </w:pPr>
      <w:r w:rsidRPr="00DB6400">
        <w:t>* Follow up form</w:t>
      </w:r>
    </w:p>
    <w:p w14:paraId="1CD6A649" w14:textId="77777777" w:rsidR="00DB6400" w:rsidRPr="00DB6400" w:rsidRDefault="00DB6400" w:rsidP="00DB6400">
      <w:pPr>
        <w:pStyle w:val="TableDescription"/>
      </w:pPr>
      <w:r w:rsidRPr="00DB6400">
        <w:t>† EVOLVE-MS-1 clinical trial</w:t>
      </w:r>
    </w:p>
    <w:p w14:paraId="71B60FE4" w14:textId="77777777" w:rsidR="00DB6400" w:rsidRPr="00DB6400" w:rsidRDefault="00DB6400" w:rsidP="00DB6400">
      <w:pPr>
        <w:pStyle w:val="TableDescription"/>
      </w:pPr>
      <w:r w:rsidRPr="00DB6400">
        <w:lastRenderedPageBreak/>
        <w:t>‡ ESTEEM PASS study (Dimethyl fumarate only)</w:t>
      </w:r>
    </w:p>
    <w:p w14:paraId="708C81B4" w14:textId="28CF99F5" w:rsidR="00DB6400" w:rsidRDefault="00DB6400" w:rsidP="00DB6400">
      <w:pPr>
        <w:pStyle w:val="TableDescription"/>
      </w:pPr>
      <w:r w:rsidRPr="00DB6400">
        <w:t xml:space="preserve">§ Pregnancy exposure registry </w:t>
      </w:r>
    </w:p>
    <w:p w14:paraId="3F520F11" w14:textId="1B848F60" w:rsidR="00581860" w:rsidRPr="00130ABA" w:rsidRDefault="00581860" w:rsidP="00130ABA">
      <w:pPr>
        <w:pStyle w:val="ListBullet"/>
        <w:numPr>
          <w:ilvl w:val="0"/>
          <w:numId w:val="0"/>
        </w:numPr>
        <w:ind w:left="360" w:hanging="360"/>
        <w:rPr>
          <w:sz w:val="18"/>
          <w:szCs w:val="18"/>
        </w:rPr>
      </w:pPr>
      <w:r w:rsidRPr="00130ABA">
        <w:rPr>
          <w:sz w:val="18"/>
          <w:szCs w:val="18"/>
        </w:rPr>
        <w:t>*</w:t>
      </w:r>
      <w:r w:rsidR="00B75E02" w:rsidRPr="00130ABA">
        <w:rPr>
          <w:sz w:val="18"/>
          <w:szCs w:val="18"/>
        </w:rPr>
        <w:t>Re</w:t>
      </w:r>
      <w:r w:rsidR="00B75E02">
        <w:rPr>
          <w:sz w:val="18"/>
          <w:szCs w:val="18"/>
        </w:rPr>
        <w:t>gistry</w:t>
      </w:r>
      <w:r w:rsidR="00130ABA">
        <w:rPr>
          <w:sz w:val="18"/>
          <w:szCs w:val="18"/>
        </w:rPr>
        <w:t>-based study for long term safety</w:t>
      </w:r>
    </w:p>
    <w:p w14:paraId="5958DB89" w14:textId="77777777" w:rsidR="00DB6400" w:rsidRPr="00DB6400" w:rsidRDefault="00DB6400" w:rsidP="00DB6400">
      <w:pPr>
        <w:pStyle w:val="TableDescription"/>
      </w:pPr>
      <w:r w:rsidRPr="00DB6400">
        <w:t>ǁ Case reports submitted in PSUR</w:t>
      </w:r>
    </w:p>
    <w:p w14:paraId="2341DAF9" w14:textId="55656CA0" w:rsidR="00DB6400" w:rsidRDefault="00DB6400" w:rsidP="00DB6400">
      <w:r>
        <w:t>At second round of RMP evaluation, the summary of safety concerns in the EU-RMP and ASA was updated to include the important potential risk of ‘</w:t>
      </w:r>
      <w:proofErr w:type="gramStart"/>
      <w:r>
        <w:t>malignancies’</w:t>
      </w:r>
      <w:proofErr w:type="gramEnd"/>
      <w:r>
        <w:t xml:space="preserve"> and the missing information ‘long term safety’. The safety concerns included in the ASA for </w:t>
      </w:r>
      <w:proofErr w:type="spellStart"/>
      <w:r>
        <w:t>Vumerity</w:t>
      </w:r>
      <w:proofErr w:type="spellEnd"/>
      <w:r>
        <w:t xml:space="preserve"> align with the EU-RMP and with the safety specification for Tecfidera.</w:t>
      </w:r>
      <w:r w:rsidR="00101F31">
        <w:fldChar w:fldCharType="begin"/>
      </w:r>
      <w:r w:rsidR="00101F31">
        <w:instrText xml:space="preserve"> NOTEREF _Ref121906479 \f \h </w:instrText>
      </w:r>
      <w:r w:rsidR="00101F31">
        <w:fldChar w:fldCharType="separate"/>
      </w:r>
      <w:r w:rsidR="00101F31">
        <w:rPr>
          <w:rStyle w:val="FootnoteReference"/>
        </w:rPr>
        <w:t>9</w:t>
      </w:r>
      <w:r w:rsidR="00101F31">
        <w:fldChar w:fldCharType="end"/>
      </w:r>
      <w:r w:rsidR="00101F31">
        <w:rPr>
          <w:vertAlign w:val="superscript"/>
        </w:rPr>
        <w:t>,</w:t>
      </w:r>
      <w:r w:rsidR="00101F31">
        <w:rPr>
          <w:vertAlign w:val="superscript"/>
        </w:rPr>
        <w:fldChar w:fldCharType="begin"/>
      </w:r>
      <w:r w:rsidR="00101F31">
        <w:rPr>
          <w:vertAlign w:val="superscript"/>
        </w:rPr>
        <w:instrText xml:space="preserve"> NOTEREF _Ref126656824 \h </w:instrText>
      </w:r>
      <w:r w:rsidR="00101F31">
        <w:rPr>
          <w:vertAlign w:val="superscript"/>
        </w:rPr>
      </w:r>
      <w:r w:rsidR="00101F31">
        <w:rPr>
          <w:vertAlign w:val="superscript"/>
        </w:rPr>
        <w:fldChar w:fldCharType="separate"/>
      </w:r>
      <w:r w:rsidR="00101F31">
        <w:rPr>
          <w:vertAlign w:val="superscript"/>
        </w:rPr>
        <w:t>10</w:t>
      </w:r>
      <w:r w:rsidR="00101F31">
        <w:rPr>
          <w:vertAlign w:val="superscript"/>
        </w:rPr>
        <w:fldChar w:fldCharType="end"/>
      </w:r>
      <w:r>
        <w:t xml:space="preserve"> The summary of safety concerns is acceptable.</w:t>
      </w:r>
    </w:p>
    <w:p w14:paraId="307A478B" w14:textId="70B312DF" w:rsidR="00DB6400" w:rsidRDefault="00DB6400" w:rsidP="00DB6400">
      <w:r>
        <w:t xml:space="preserve">Routine pharmacovigilance is proposed for all safety concerns. Adverse drug reaction </w:t>
      </w:r>
      <w:proofErr w:type="gramStart"/>
      <w:r>
        <w:t>follow</w:t>
      </w:r>
      <w:proofErr w:type="gramEnd"/>
      <w:r>
        <w:t xml:space="preserve"> up forms are proposed for ‘</w:t>
      </w:r>
      <w:r w:rsidRPr="00DB6400">
        <w:t>progressive multifocal leukoencephalopathy</w:t>
      </w:r>
      <w:r>
        <w:t xml:space="preserve">’, ‘drug induced liver injury’ and ‘serious and opportunistic infections’. Additional pharmacovigilance is proposed for all safety concerns except PML. At </w:t>
      </w:r>
      <w:r w:rsidR="00666188">
        <w:t>second round of RMP evaluation</w:t>
      </w:r>
      <w:r>
        <w:t xml:space="preserve"> the sponsor has also included follow up forms for ‘malignancies’ and ‘decreases in leukocyte and lymphocyte counts’ and will submit case reports of PML in </w:t>
      </w:r>
      <w:r w:rsidR="003E76A6" w:rsidRPr="00BF52F4">
        <w:t>periodic safety update report</w:t>
      </w:r>
      <w:r w:rsidR="003E76A6">
        <w:t>s</w:t>
      </w:r>
      <w:r w:rsidR="003E76A6" w:rsidRPr="00BF52F4">
        <w:t xml:space="preserve"> </w:t>
      </w:r>
      <w:r w:rsidR="003E76A6">
        <w:t>(</w:t>
      </w:r>
      <w:r>
        <w:t>PSUR</w:t>
      </w:r>
      <w:r w:rsidR="003E76A6">
        <w:t>)</w:t>
      </w:r>
      <w:r>
        <w:t>. The sponsor intends to include Australian patients in the pregnancy registry. The pharmacovigilance plan is acceptable.</w:t>
      </w:r>
    </w:p>
    <w:p w14:paraId="0EC2ACD3" w14:textId="0970E4A8" w:rsidR="00DB6400" w:rsidRDefault="00DB6400" w:rsidP="00DB6400">
      <w:r>
        <w:t xml:space="preserve">Routine risk minimisation is proposed for all safety concerns except for the missing information ‘Increased risk of infection in patients concomitantly taking antineoplastic or immunosuppressive </w:t>
      </w:r>
      <w:proofErr w:type="gramStart"/>
      <w:r>
        <w:t>therapies’</w:t>
      </w:r>
      <w:proofErr w:type="gramEnd"/>
      <w:r>
        <w:t xml:space="preserve">. This corresponds with information provided in the Australian PI but not the </w:t>
      </w:r>
      <w:r w:rsidR="00101F31">
        <w:t xml:space="preserve">EU </w:t>
      </w:r>
      <w:r>
        <w:t xml:space="preserve">SmPC, which includes wording relating to this safety concern. This issue, as well as other discrepancies between the warnings and precautions in the SmPC and PI have been referred to the </w:t>
      </w:r>
      <w:r w:rsidR="003E76A6">
        <w:t>D</w:t>
      </w:r>
      <w:r>
        <w:t xml:space="preserve">elegate for consideration. Additional risk minimisation is not proposed. At </w:t>
      </w:r>
      <w:r w:rsidR="00666188">
        <w:t>second round of RMP evaluation</w:t>
      </w:r>
      <w:r>
        <w:t xml:space="preserve">, the sponsor has updated the </w:t>
      </w:r>
      <w:r w:rsidR="00666188">
        <w:t>Consumer Medicines Information (</w:t>
      </w:r>
      <w:r>
        <w:t>CMI</w:t>
      </w:r>
      <w:r w:rsidR="00666188">
        <w:t>)</w:t>
      </w:r>
      <w:r>
        <w:t xml:space="preserve"> as </w:t>
      </w:r>
      <w:r w:rsidR="00666188">
        <w:t>requested,</w:t>
      </w:r>
      <w:r>
        <w:t xml:space="preserve"> and the risk minimisation plan is acceptable subject to the </w:t>
      </w:r>
      <w:r w:rsidR="000B35F6">
        <w:t>D</w:t>
      </w:r>
      <w:r>
        <w:t>elegate’s consideration of referred PI issues.</w:t>
      </w:r>
    </w:p>
    <w:p w14:paraId="1650E09A" w14:textId="6E773BCC" w:rsidR="000B35F6" w:rsidRPr="00D516AC" w:rsidRDefault="000B35F6" w:rsidP="000B35F6">
      <w:pPr>
        <w:pStyle w:val="Heading4"/>
      </w:pPr>
      <w:bookmarkStart w:id="61" w:name="_Toc90645929"/>
      <w:r>
        <w:t>Proposed w</w:t>
      </w:r>
      <w:r w:rsidRPr="00BF52F4">
        <w:t>ording for conditions of registration</w:t>
      </w:r>
      <w:bookmarkEnd w:id="61"/>
    </w:p>
    <w:p w14:paraId="37C526AC" w14:textId="77777777" w:rsidR="000B35F6" w:rsidRPr="00BF52F4" w:rsidRDefault="000B35F6" w:rsidP="000B35F6">
      <w:r w:rsidRPr="00BF52F4">
        <w:t xml:space="preserve">Any changes to which the sponsor has agreed should be included in a revised RMP and ASA. However, irrespective of </w:t>
      </w:r>
      <w:proofErr w:type="gramStart"/>
      <w:r w:rsidRPr="00BF52F4">
        <w:t>whether or not</w:t>
      </w:r>
      <w:proofErr w:type="gramEnd"/>
      <w:r w:rsidRPr="00BF52F4">
        <w:t xml:space="preserve"> they are included in the currently available version of the RMP document, the agreed changes become part of the risk management system. </w:t>
      </w:r>
    </w:p>
    <w:p w14:paraId="21696D34" w14:textId="6F3DE2F7" w:rsidR="000B35F6" w:rsidRPr="00BF52F4" w:rsidRDefault="000B35F6" w:rsidP="000B35F6">
      <w:r w:rsidRPr="00BF52F4">
        <w:t>The suggested wording is:</w:t>
      </w:r>
    </w:p>
    <w:p w14:paraId="648F19C3" w14:textId="381E678E" w:rsidR="000B35F6" w:rsidRPr="000B35F6" w:rsidRDefault="000B35F6" w:rsidP="00F24E9C">
      <w:pPr>
        <w:ind w:left="720"/>
      </w:pPr>
      <w:r w:rsidRPr="000B35F6">
        <w:t xml:space="preserve">‘The </w:t>
      </w:r>
      <w:proofErr w:type="spellStart"/>
      <w:r w:rsidRPr="000B35F6">
        <w:t>Vumerity</w:t>
      </w:r>
      <w:proofErr w:type="spellEnd"/>
      <w:r w:rsidRPr="000B35F6">
        <w:t xml:space="preserve"> EU-Risk Management Plan (RMP) (version 1.0, dated 9 September 2021, data lock point 1 September 2020 (</w:t>
      </w:r>
      <w:proofErr w:type="spellStart"/>
      <w:r w:rsidRPr="000B35F6">
        <w:t>Vumerity</w:t>
      </w:r>
      <w:proofErr w:type="spellEnd"/>
      <w:r w:rsidRPr="000B35F6">
        <w:t>); 26 March 2021 (Tecfidera)), with Australian Specific Annex (version 1.0, dated October 2021), included with submission PM-2021-00385-1-1, and any subsequent revisions, as agreed with the TGA will be implemented in Australia.’</w:t>
      </w:r>
    </w:p>
    <w:p w14:paraId="60DC3EAE" w14:textId="77777777" w:rsidR="000B35F6" w:rsidRPr="00BF52F4" w:rsidRDefault="000B35F6" w:rsidP="000B35F6">
      <w:r w:rsidRPr="00BF52F4">
        <w:t>The following wording is recommended for the PSUR requirement</w:t>
      </w:r>
      <w:r>
        <w:t>:</w:t>
      </w:r>
    </w:p>
    <w:p w14:paraId="7C5D882D" w14:textId="724C4C15" w:rsidR="000B35F6" w:rsidRPr="0090020C" w:rsidRDefault="000B35F6" w:rsidP="00F24E9C">
      <w:pPr>
        <w:ind w:left="720"/>
      </w:pPr>
      <w:r>
        <w:t>‘</w:t>
      </w:r>
      <w:r w:rsidRPr="00BF52F4">
        <w:t xml:space="preserve">An obligatory component of risk management plans is routine pharmacovigilance. Routine pharmacovigilance includes the submission of periodic safety update reports (PSURs). </w:t>
      </w:r>
    </w:p>
    <w:p w14:paraId="2B3E26ED" w14:textId="77777777" w:rsidR="000B35F6" w:rsidRPr="00BF52F4" w:rsidRDefault="000B35F6" w:rsidP="00F24E9C">
      <w:pPr>
        <w:ind w:left="720"/>
      </w:pPr>
      <w:r w:rsidRPr="00BF52F4">
        <w:t>Reports are to be provided in line with the current published list of EU reference dates and frequency of submission of PSURs until the period covered by such reports is not less than three years from the date of this approval letter.</w:t>
      </w:r>
    </w:p>
    <w:p w14:paraId="0A682040" w14:textId="2A8C97BD" w:rsidR="000B35F6" w:rsidRPr="00BF52F4" w:rsidRDefault="000B35F6" w:rsidP="00F24E9C">
      <w:pPr>
        <w:ind w:left="720"/>
      </w:pPr>
      <w:r w:rsidRPr="00BF52F4">
        <w:t xml:space="preserve">The reports are to at least meet the requirements for PSURs as described in the European Medicines Agency’s Guideline on good pharmacovigilance practices </w:t>
      </w:r>
      <w:r w:rsidRPr="00BF52F4">
        <w:lastRenderedPageBreak/>
        <w:t>(GVP) Module VII-periodic safety update report (Rev 1), Part VII.B Structures and processes. Note that submission of a PSUR does not constitute an application to vary the registration.</w:t>
      </w:r>
      <w:r>
        <w:t>’</w:t>
      </w:r>
    </w:p>
    <w:p w14:paraId="57A9FC08" w14:textId="77777777" w:rsidR="000B35F6" w:rsidRPr="00BF52F4" w:rsidRDefault="000B35F6" w:rsidP="000B35F6">
      <w:r w:rsidRPr="00BF52F4">
        <w:t xml:space="preserve">As </w:t>
      </w:r>
      <w:proofErr w:type="spellStart"/>
      <w:r>
        <w:t>Vumerity</w:t>
      </w:r>
      <w:proofErr w:type="spellEnd"/>
      <w:r w:rsidRPr="00BF52F4">
        <w:t xml:space="preserve"> is a new chemical entity it should be included in the Black Triangle Scheme as a condition of registration. The following wording is recommended for the condition of registration: </w:t>
      </w:r>
    </w:p>
    <w:p w14:paraId="2547349A" w14:textId="76DFF747" w:rsidR="000B35F6" w:rsidRDefault="000B35F6" w:rsidP="00F24E9C">
      <w:pPr>
        <w:ind w:left="720"/>
      </w:pPr>
      <w:r>
        <w:t>‘</w:t>
      </w:r>
      <w:proofErr w:type="spellStart"/>
      <w:r>
        <w:t>Vumerity</w:t>
      </w:r>
      <w:proofErr w:type="spellEnd"/>
      <w:r w:rsidRPr="00BF52F4">
        <w:t xml:space="preserve"> (</w:t>
      </w:r>
      <w:r>
        <w:t>diroximel fumarate</w:t>
      </w:r>
      <w:r w:rsidRPr="00BF52F4">
        <w:t xml:space="preserve">) is to be included in the Black Triangle Scheme. The PI and CMI for </w:t>
      </w:r>
      <w:proofErr w:type="spellStart"/>
      <w:r>
        <w:t>Vumerity</w:t>
      </w:r>
      <w:proofErr w:type="spellEnd"/>
      <w:r w:rsidRPr="00BF52F4">
        <w:t xml:space="preserve"> must include the black triangle symbol and mandatory accompanying text for five years, which starts from the date that the sponsor notifies the TGA of supply of the product.</w:t>
      </w:r>
      <w:r>
        <w:t>’</w:t>
      </w:r>
    </w:p>
    <w:p w14:paraId="2266EF4A" w14:textId="77777777" w:rsidR="008E7846" w:rsidRDefault="00AA0ED0" w:rsidP="008E7846">
      <w:pPr>
        <w:pStyle w:val="Heading3"/>
      </w:pPr>
      <w:bookmarkStart w:id="62" w:name="_Toc122084919"/>
      <w:r>
        <w:t>Risk-benefit a</w:t>
      </w:r>
      <w:r w:rsidR="008E7846">
        <w:t>nalysis</w:t>
      </w:r>
      <w:bookmarkEnd w:id="55"/>
      <w:bookmarkEnd w:id="56"/>
      <w:bookmarkEnd w:id="62"/>
    </w:p>
    <w:p w14:paraId="61F6BA47" w14:textId="77777777" w:rsidR="0074163C" w:rsidRDefault="0074163C" w:rsidP="0074163C">
      <w:pPr>
        <w:pStyle w:val="Heading4"/>
      </w:pPr>
      <w:bookmarkStart w:id="63" w:name="_Toc98931932"/>
      <w:r>
        <w:t>Delegate’s considerations</w:t>
      </w:r>
      <w:bookmarkEnd w:id="63"/>
    </w:p>
    <w:p w14:paraId="53969783" w14:textId="048A9705" w:rsidR="000B35F6" w:rsidRDefault="000B35F6" w:rsidP="000B35F6">
      <w:r>
        <w:t xml:space="preserve">The sponsor’s proposed dose of 462 mg of </w:t>
      </w:r>
      <w:r w:rsidR="00DC7E9E">
        <w:t>diroximel fumarate</w:t>
      </w:r>
      <w:r>
        <w:t xml:space="preserve"> </w:t>
      </w:r>
      <w:r w:rsidR="00101F31">
        <w:t xml:space="preserve">(as </w:t>
      </w:r>
      <w:proofErr w:type="spellStart"/>
      <w:r w:rsidR="00101F31">
        <w:t>Vumerity</w:t>
      </w:r>
      <w:proofErr w:type="spellEnd"/>
      <w:r w:rsidR="00101F31">
        <w:t xml:space="preserve">) </w:t>
      </w:r>
      <w:r>
        <w:t>appears to be bioequivalent to 240</w:t>
      </w:r>
      <w:r w:rsidR="00101F31">
        <w:t xml:space="preserve"> </w:t>
      </w:r>
      <w:r>
        <w:t xml:space="preserve">mg of </w:t>
      </w:r>
      <w:r w:rsidR="003E76A6">
        <w:t>dimethyl fumarate</w:t>
      </w:r>
      <w:r w:rsidR="00101F31">
        <w:t xml:space="preserve"> (as Tecfidera)</w:t>
      </w:r>
      <w:r>
        <w:t>.</w:t>
      </w:r>
      <w:r w:rsidR="00101F31">
        <w:fldChar w:fldCharType="begin"/>
      </w:r>
      <w:r w:rsidR="00101F31">
        <w:instrText xml:space="preserve"> NOTEREF _Ref121906479 \f \h </w:instrText>
      </w:r>
      <w:r w:rsidR="00101F31">
        <w:fldChar w:fldCharType="separate"/>
      </w:r>
      <w:r w:rsidR="00101F31">
        <w:rPr>
          <w:rStyle w:val="FootnoteReference"/>
        </w:rPr>
        <w:t>9</w:t>
      </w:r>
      <w:r w:rsidR="00101F31">
        <w:fldChar w:fldCharType="end"/>
      </w:r>
      <w:r w:rsidR="00101F31">
        <w:rPr>
          <w:vertAlign w:val="superscript"/>
        </w:rPr>
        <w:t>,</w:t>
      </w:r>
      <w:r w:rsidR="00101F31">
        <w:rPr>
          <w:vertAlign w:val="superscript"/>
        </w:rPr>
        <w:fldChar w:fldCharType="begin"/>
      </w:r>
      <w:r w:rsidR="00101F31">
        <w:rPr>
          <w:vertAlign w:val="superscript"/>
        </w:rPr>
        <w:instrText xml:space="preserve"> NOTEREF _Ref126656824 \h </w:instrText>
      </w:r>
      <w:r w:rsidR="00101F31">
        <w:rPr>
          <w:vertAlign w:val="superscript"/>
        </w:rPr>
      </w:r>
      <w:r w:rsidR="00101F31">
        <w:rPr>
          <w:vertAlign w:val="superscript"/>
        </w:rPr>
        <w:fldChar w:fldCharType="separate"/>
      </w:r>
      <w:r w:rsidR="00101F31">
        <w:rPr>
          <w:vertAlign w:val="superscript"/>
        </w:rPr>
        <w:t>10</w:t>
      </w:r>
      <w:r w:rsidR="00101F31">
        <w:rPr>
          <w:vertAlign w:val="superscript"/>
        </w:rPr>
        <w:fldChar w:fldCharType="end"/>
      </w:r>
      <w:r>
        <w:t xml:space="preserve"> In consideration of the same active moiety that is responsible for the pharmacodynamic effects of both substances, it will be expected that </w:t>
      </w:r>
      <w:r w:rsidR="00DC7E9E">
        <w:t>diroximel fumarate</w:t>
      </w:r>
      <w:r>
        <w:t xml:space="preserve"> and </w:t>
      </w:r>
      <w:r w:rsidR="003E76A6">
        <w:t>dimethyl fumarate</w:t>
      </w:r>
      <w:r>
        <w:t xml:space="preserve"> will have comparable efficacy. The mechanistic basis for </w:t>
      </w:r>
      <w:r w:rsidR="00DC7E9E">
        <w:t>diroximel fumarate</w:t>
      </w:r>
      <w:r>
        <w:t xml:space="preserve"> to provide a better </w:t>
      </w:r>
      <w:r w:rsidR="00101F31">
        <w:t>gastrointestinal (</w:t>
      </w:r>
      <w:r w:rsidR="003E76A6">
        <w:t>GI</w:t>
      </w:r>
      <w:r w:rsidR="00101F31">
        <w:t>)</w:t>
      </w:r>
      <w:r>
        <w:t xml:space="preserve"> tolerability for patients with </w:t>
      </w:r>
      <w:r w:rsidR="00101F31">
        <w:t>multiple sclerosis (</w:t>
      </w:r>
      <w:r>
        <w:t>MS</w:t>
      </w:r>
      <w:r w:rsidR="00101F31">
        <w:t>)</w:t>
      </w:r>
      <w:r>
        <w:t xml:space="preserve"> may contribute to increased compliance and patient reported outcomes. The exploratory efficacy and </w:t>
      </w:r>
      <w:r w:rsidR="003E76A6">
        <w:t>GI</w:t>
      </w:r>
      <w:r>
        <w:t xml:space="preserve"> tolerability findings are supportive of the demonstrated bioequivalence between </w:t>
      </w:r>
      <w:r w:rsidR="00101F31">
        <w:t>pharmacokinetic (</w:t>
      </w:r>
      <w:r>
        <w:t>PK</w:t>
      </w:r>
      <w:r w:rsidR="00101F31">
        <w:t>)</w:t>
      </w:r>
      <w:r>
        <w:t xml:space="preserve"> parameters of </w:t>
      </w:r>
      <w:r w:rsidR="003E76A6">
        <w:t>dimethyl fumarate</w:t>
      </w:r>
      <w:r>
        <w:t xml:space="preserve"> and </w:t>
      </w:r>
      <w:r w:rsidR="00DC7E9E">
        <w:t>diroximel fumarate</w:t>
      </w:r>
      <w:r>
        <w:t xml:space="preserve">. A high variability and a lower </w:t>
      </w:r>
      <w:proofErr w:type="spellStart"/>
      <w:r>
        <w:t>C</w:t>
      </w:r>
      <w:r w:rsidRPr="003E76A6">
        <w:rPr>
          <w:vertAlign w:val="subscript"/>
        </w:rPr>
        <w:t>max</w:t>
      </w:r>
      <w:proofErr w:type="spellEnd"/>
      <w:r>
        <w:t xml:space="preserve"> for </w:t>
      </w:r>
      <w:r w:rsidR="00DC7E9E">
        <w:t>diroximel fumarate</w:t>
      </w:r>
      <w:r>
        <w:t xml:space="preserve">, compared to </w:t>
      </w:r>
      <w:r w:rsidR="003E76A6">
        <w:t>dimethyl fumarate</w:t>
      </w:r>
      <w:r>
        <w:t xml:space="preserve"> was noted in fed conditions, especially with high fat high calorie diet.</w:t>
      </w:r>
    </w:p>
    <w:p w14:paraId="533F675D" w14:textId="38DE988E" w:rsidR="000B35F6" w:rsidRDefault="000B35F6" w:rsidP="000B35F6">
      <w:r>
        <w:t xml:space="preserve">The inactive metabolite </w:t>
      </w:r>
      <w:r w:rsidR="00AA3865">
        <w:t>hydroxyethyl succinimide</w:t>
      </w:r>
      <w:r>
        <w:t xml:space="preserve"> is only found when </w:t>
      </w:r>
      <w:r w:rsidR="00DC7E9E">
        <w:t>diroximel fumarate</w:t>
      </w:r>
      <w:r>
        <w:t xml:space="preserve"> is administered and not for </w:t>
      </w:r>
      <w:r w:rsidR="003E76A6">
        <w:t>dimethyl fumarate</w:t>
      </w:r>
      <w:r>
        <w:t xml:space="preserve">. A relatively longer </w:t>
      </w:r>
      <w:r w:rsidR="00101F31">
        <w:t>half-life (</w:t>
      </w:r>
      <w:r>
        <w:t xml:space="preserve">2.1 to </w:t>
      </w:r>
      <w:proofErr w:type="gramStart"/>
      <w:r>
        <w:t>2.5 fold</w:t>
      </w:r>
      <w:proofErr w:type="gramEnd"/>
      <w:r>
        <w:t>) and greater exposure (10</w:t>
      </w:r>
      <w:r w:rsidR="003E76A6">
        <w:t xml:space="preserve"> to </w:t>
      </w:r>
      <w:r>
        <w:t xml:space="preserve">13 fold) of </w:t>
      </w:r>
      <w:r w:rsidR="00AA3865">
        <w:t>hydroxyethyl succinimide</w:t>
      </w:r>
      <w:r>
        <w:t xml:space="preserve">, compared to </w:t>
      </w:r>
      <w:r w:rsidR="00F367AD">
        <w:t>monomethyl fumarate</w:t>
      </w:r>
      <w:r>
        <w:t xml:space="preserve"> was noted. Due to its long </w:t>
      </w:r>
      <w:r w:rsidR="00101F31">
        <w:t>half-life</w:t>
      </w:r>
      <w:r>
        <w:t xml:space="preserve">, it is the primary metabolite found in plasma at exposure 10- to 13-fold greater than </w:t>
      </w:r>
      <w:r w:rsidR="00F367AD">
        <w:t>monomethyl fumarate</w:t>
      </w:r>
      <w:r>
        <w:t xml:space="preserve"> exposure at steady state. </w:t>
      </w:r>
      <w:r w:rsidR="00AA3865">
        <w:t>Hydroxyethyl succinimide</w:t>
      </w:r>
      <w:r>
        <w:t xml:space="preserve"> metabolism and excretion was characterised in a mass</w:t>
      </w:r>
      <w:r w:rsidR="003E76A6">
        <w:t xml:space="preserve"> </w:t>
      </w:r>
      <w:r>
        <w:t xml:space="preserve">balance study. The potential effects due to cumulative exposure to </w:t>
      </w:r>
      <w:r w:rsidR="00AA3865">
        <w:t>hydroxyethyl succinimide</w:t>
      </w:r>
      <w:r>
        <w:t xml:space="preserve"> is unknown. However, it was noted that </w:t>
      </w:r>
      <w:r w:rsidR="00AA3865">
        <w:t>hydroxyethyl succinimide</w:t>
      </w:r>
      <w:r>
        <w:t xml:space="preserve"> is an inactive metabolite.</w:t>
      </w:r>
    </w:p>
    <w:p w14:paraId="426D39DF" w14:textId="4E8F4558" w:rsidR="000B35F6" w:rsidRDefault="000B35F6" w:rsidP="000B35F6">
      <w:r>
        <w:t xml:space="preserve">Gastrointestinal adverse events such as nausea, vomiting, abdominal pain, and </w:t>
      </w:r>
      <w:r w:rsidR="00101F31">
        <w:t>diarrhoea</w:t>
      </w:r>
      <w:r>
        <w:t xml:space="preserve"> are known adverse events with the use of </w:t>
      </w:r>
      <w:r w:rsidR="003E76A6">
        <w:t>dimethyl fumarate</w:t>
      </w:r>
      <w:r>
        <w:t>. In the single study (</w:t>
      </w:r>
      <w:r w:rsidR="003E76A6">
        <w:t xml:space="preserve">Study </w:t>
      </w:r>
      <w:r>
        <w:t xml:space="preserve">A302) that compared GI tolerability between </w:t>
      </w:r>
      <w:r w:rsidR="003E76A6">
        <w:t>dimethyl fumarate</w:t>
      </w:r>
      <w:r>
        <w:t xml:space="preserve"> and </w:t>
      </w:r>
      <w:r w:rsidR="00DC7E9E">
        <w:t>diroximel fumarate</w:t>
      </w:r>
      <w:r>
        <w:t xml:space="preserve">, around </w:t>
      </w:r>
      <w:r w:rsidRPr="00F868E1">
        <w:t xml:space="preserve">45% reduction in the incidence of GI </w:t>
      </w:r>
      <w:r w:rsidR="00101F31">
        <w:t>adverse events (</w:t>
      </w:r>
      <w:r w:rsidRPr="00F868E1">
        <w:t>AEs</w:t>
      </w:r>
      <w:r w:rsidR="00101F31">
        <w:t>)</w:t>
      </w:r>
      <w:r>
        <w:t xml:space="preserve"> were reported in </w:t>
      </w:r>
      <w:r w:rsidR="00DC7E9E">
        <w:t>diroximel fumarate</w:t>
      </w:r>
      <w:r>
        <w:t xml:space="preserve"> group, compared to </w:t>
      </w:r>
      <w:r w:rsidR="003E76A6">
        <w:t>dimethyl fumarate</w:t>
      </w:r>
      <w:r>
        <w:t xml:space="preserve"> group. The sponsor claims that the distinct chemical structure of </w:t>
      </w:r>
      <w:r w:rsidR="00DC7E9E">
        <w:t>diroximel fumarate</w:t>
      </w:r>
      <w:r>
        <w:t xml:space="preserve"> might benefit with less irritation in the GI tract than </w:t>
      </w:r>
      <w:r w:rsidR="003E76A6">
        <w:t>dimethyl fumarate</w:t>
      </w:r>
      <w:r>
        <w:t xml:space="preserve"> through lower production of methanol (a GI-irritating </w:t>
      </w:r>
      <w:proofErr w:type="spellStart"/>
      <w:r>
        <w:t>promoiety</w:t>
      </w:r>
      <w:proofErr w:type="spellEnd"/>
      <w:r>
        <w:t xml:space="preserve">), and less reactivity with pre-systemic off-target proteins or receptors. The five weeks treatment period of Study A302 limits the ability to assess the potential for any GI symptoms associated with longer term treatment with </w:t>
      </w:r>
      <w:r w:rsidR="00DC7E9E">
        <w:t>diroximel fumarate</w:t>
      </w:r>
      <w:r>
        <w:t>. GI events were mostly reported within the 1</w:t>
      </w:r>
      <w:r w:rsidR="003E76A6">
        <w:t xml:space="preserve"> to </w:t>
      </w:r>
      <w:r>
        <w:t xml:space="preserve">2 months after commencement of treatment with </w:t>
      </w:r>
      <w:r w:rsidR="003E76A6">
        <w:t>dimethyl fumarate</w:t>
      </w:r>
      <w:r>
        <w:t xml:space="preserve">. </w:t>
      </w:r>
      <w:r w:rsidRPr="00F868E1">
        <w:t xml:space="preserve">In that aspect, the treatment period of 5 weeks with </w:t>
      </w:r>
      <w:r w:rsidR="00DC7E9E" w:rsidRPr="00F868E1">
        <w:t>diroximel fumarate</w:t>
      </w:r>
      <w:r w:rsidRPr="00F868E1">
        <w:t xml:space="preserve"> is not adequately long to assess the comparability between </w:t>
      </w:r>
      <w:r w:rsidR="003E76A6" w:rsidRPr="00F868E1">
        <w:t>dimethyl fumarate</w:t>
      </w:r>
      <w:r w:rsidRPr="00F868E1">
        <w:t xml:space="preserve"> and </w:t>
      </w:r>
      <w:r w:rsidR="00DC7E9E" w:rsidRPr="00F868E1">
        <w:t>diroximel fumarate</w:t>
      </w:r>
      <w:r>
        <w:t>.</w:t>
      </w:r>
    </w:p>
    <w:p w14:paraId="7351E6BE" w14:textId="410361C2" w:rsidR="000B35F6" w:rsidRDefault="000B35F6" w:rsidP="000B35F6">
      <w:r>
        <w:t xml:space="preserve">In comparison with </w:t>
      </w:r>
      <w:r w:rsidR="003E76A6">
        <w:t>dimethyl fumarate</w:t>
      </w:r>
      <w:r>
        <w:t xml:space="preserve">, higher </w:t>
      </w:r>
      <w:proofErr w:type="gramStart"/>
      <w:r>
        <w:t>incidence</w:t>
      </w:r>
      <w:proofErr w:type="gramEnd"/>
      <w:r>
        <w:t xml:space="preserve"> and magnitude of increase in liver enzymes were reported with </w:t>
      </w:r>
      <w:r w:rsidR="00DC7E9E">
        <w:t>diroximel fumarate</w:t>
      </w:r>
      <w:r>
        <w:t xml:space="preserve">. As previously reported with studies </w:t>
      </w:r>
      <w:r>
        <w:lastRenderedPageBreak/>
        <w:t xml:space="preserve">involving </w:t>
      </w:r>
      <w:r w:rsidR="003E76A6">
        <w:t>dimethyl fumarate</w:t>
      </w:r>
      <w:r>
        <w:t xml:space="preserve">, flushing was the commonest (around 30% subjects) </w:t>
      </w:r>
      <w:r w:rsidR="00101F31">
        <w:t>treatment-emergent adverse event (</w:t>
      </w:r>
      <w:r>
        <w:t>TEAE</w:t>
      </w:r>
      <w:r w:rsidR="00101F31">
        <w:t>)</w:t>
      </w:r>
      <w:r>
        <w:t xml:space="preserve"> reported across </w:t>
      </w:r>
      <w:r w:rsidR="003E76A6">
        <w:t>S</w:t>
      </w:r>
      <w:r>
        <w:t xml:space="preserve">tudies A301 and A302 with </w:t>
      </w:r>
      <w:r w:rsidR="00DC7E9E">
        <w:t>diroximel fumarate</w:t>
      </w:r>
      <w:r>
        <w:t>.</w:t>
      </w:r>
    </w:p>
    <w:p w14:paraId="280DF2D9" w14:textId="1FE5B9E3" w:rsidR="000B35F6" w:rsidRDefault="000B35F6" w:rsidP="000B35F6">
      <w:r>
        <w:t xml:space="preserve">Lymphopenia had an incidence of around 10% in studies with </w:t>
      </w:r>
      <w:r w:rsidR="00DC7E9E">
        <w:t>diroximel fumarate</w:t>
      </w:r>
      <w:r>
        <w:t xml:space="preserve">. It is a known safety issue with </w:t>
      </w:r>
      <w:r w:rsidR="003E76A6">
        <w:t>dimethyl fumarate</w:t>
      </w:r>
      <w:r>
        <w:t xml:space="preserve">. One fatal event following </w:t>
      </w:r>
      <w:r w:rsidR="00101F31">
        <w:t>a serious adverse event (</w:t>
      </w:r>
      <w:r>
        <w:t>SAE</w:t>
      </w:r>
      <w:r w:rsidR="00101F31">
        <w:t>)</w:t>
      </w:r>
      <w:r>
        <w:t xml:space="preserve"> of pneumonia was noted, which was not considered by the investigator as treatment related. Overall, the incidence of infections, discontinuations and its severity were comparable to studies with </w:t>
      </w:r>
      <w:r w:rsidR="003E76A6">
        <w:t>dimethyl fumarate</w:t>
      </w:r>
      <w:r>
        <w:t xml:space="preserve">. Relevant precautionary statements are inserted in the proposed PI. Risk for opportunistic infections, particularly with prolonged treatment with </w:t>
      </w:r>
      <w:r w:rsidR="00DC7E9E">
        <w:t>diroximel fumarate</w:t>
      </w:r>
      <w:r>
        <w:t xml:space="preserve"> should be weighed against the treatment benefit. Results from ongoing </w:t>
      </w:r>
      <w:r w:rsidR="003E76A6">
        <w:t>S</w:t>
      </w:r>
      <w:r>
        <w:t>tudy A301 might provide safety data in this aspect.</w:t>
      </w:r>
    </w:p>
    <w:p w14:paraId="3A2A30FF" w14:textId="39CA2C63" w:rsidR="000B35F6" w:rsidRDefault="000B35F6" w:rsidP="000B35F6">
      <w:r>
        <w:t>Long term safety data is lacking in this submission. Safety data from Study 302 was limited by the treatment period of 5 weeks and Study 301 was confounded by the open label design and lack of comparator. Safety data is limited for both subjects &gt; 65 years of age (3</w:t>
      </w:r>
      <w:r w:rsidR="00101F31">
        <w:t> </w:t>
      </w:r>
      <w:r>
        <w:t xml:space="preserve">subjects) and subjects &gt; 55 years (around 13%) of age. Safety profile of </w:t>
      </w:r>
      <w:r w:rsidR="00DC7E9E">
        <w:t>diroximel fumarate</w:t>
      </w:r>
      <w:r>
        <w:t xml:space="preserve"> in subjects &gt; 65 years of age is listed as a missing information in the proposed RMP.</w:t>
      </w:r>
    </w:p>
    <w:p w14:paraId="6AC80A0F" w14:textId="1C15B4CC" w:rsidR="000B35F6" w:rsidRPr="000B35F6" w:rsidRDefault="000B35F6" w:rsidP="000B35F6">
      <w:r>
        <w:t xml:space="preserve">In contrast to </w:t>
      </w:r>
      <w:r w:rsidR="003E76A6">
        <w:t>dimethyl fumarate</w:t>
      </w:r>
      <w:r>
        <w:t>, the proposed pregnancy category B1</w:t>
      </w:r>
      <w:r w:rsidR="003E76A6">
        <w:t>;</w:t>
      </w:r>
      <w:bookmarkStart w:id="64" w:name="_Ref126662480"/>
      <w:r w:rsidR="003E76A6">
        <w:rPr>
          <w:rStyle w:val="FootnoteReference"/>
        </w:rPr>
        <w:footnoteReference w:id="19"/>
      </w:r>
      <w:bookmarkEnd w:id="64"/>
      <w:r>
        <w:t xml:space="preserve"> has not been considered as acceptable by the nonclinical evaluator. This approach was based on nonclinical findings such as malformations in embryofetal development studies with </w:t>
      </w:r>
      <w:r w:rsidR="00DC7E9E">
        <w:t>diroximel fumarate</w:t>
      </w:r>
      <w:r w:rsidR="00101F31">
        <w:t xml:space="preserve"> (</w:t>
      </w:r>
      <w:proofErr w:type="spellStart"/>
      <w:r w:rsidR="00101F31">
        <w:t>Vumerity</w:t>
      </w:r>
      <w:proofErr w:type="spellEnd"/>
      <w:r w:rsidR="00101F31">
        <w:t>)</w:t>
      </w:r>
      <w:r>
        <w:t xml:space="preserve">. These events were not observed in studies with </w:t>
      </w:r>
      <w:r w:rsidR="003E76A6">
        <w:t>dimethyl fumarate</w:t>
      </w:r>
      <w:r w:rsidR="00101F31">
        <w:t xml:space="preserve"> (Tecfidera)</w:t>
      </w:r>
      <w:r>
        <w:t>.</w:t>
      </w:r>
      <w:r w:rsidR="00101F31">
        <w:fldChar w:fldCharType="begin"/>
      </w:r>
      <w:r w:rsidR="00101F31">
        <w:instrText xml:space="preserve"> NOTEREF _Ref121906479 \f \h </w:instrText>
      </w:r>
      <w:r w:rsidR="00101F31">
        <w:fldChar w:fldCharType="separate"/>
      </w:r>
      <w:r w:rsidR="00101F31">
        <w:rPr>
          <w:rStyle w:val="FootnoteReference"/>
        </w:rPr>
        <w:t>9</w:t>
      </w:r>
      <w:r w:rsidR="00101F31">
        <w:fldChar w:fldCharType="end"/>
      </w:r>
      <w:r w:rsidR="00101F31">
        <w:rPr>
          <w:vertAlign w:val="superscript"/>
        </w:rPr>
        <w:t>,</w:t>
      </w:r>
      <w:r w:rsidR="00101F31">
        <w:rPr>
          <w:vertAlign w:val="superscript"/>
        </w:rPr>
        <w:fldChar w:fldCharType="begin"/>
      </w:r>
      <w:r w:rsidR="00101F31">
        <w:rPr>
          <w:vertAlign w:val="superscript"/>
        </w:rPr>
        <w:instrText xml:space="preserve"> NOTEREF _Ref126656824 \h </w:instrText>
      </w:r>
      <w:r w:rsidR="00101F31">
        <w:rPr>
          <w:vertAlign w:val="superscript"/>
        </w:rPr>
      </w:r>
      <w:r w:rsidR="00101F31">
        <w:rPr>
          <w:vertAlign w:val="superscript"/>
        </w:rPr>
        <w:fldChar w:fldCharType="separate"/>
      </w:r>
      <w:r w:rsidR="00101F31">
        <w:rPr>
          <w:vertAlign w:val="superscript"/>
        </w:rPr>
        <w:t>10</w:t>
      </w:r>
      <w:r w:rsidR="00101F31">
        <w:rPr>
          <w:vertAlign w:val="superscript"/>
        </w:rPr>
        <w:fldChar w:fldCharType="end"/>
      </w:r>
      <w:r>
        <w:t xml:space="preserve"> The evaluator has recommended pregnancy category B3</w:t>
      </w:r>
      <w:r w:rsidR="003E76A6">
        <w:t>;</w:t>
      </w:r>
      <w:bookmarkStart w:id="65" w:name="_Ref126662212"/>
      <w:r w:rsidR="003E76A6">
        <w:rPr>
          <w:rStyle w:val="FootnoteReference"/>
        </w:rPr>
        <w:footnoteReference w:id="20"/>
      </w:r>
      <w:bookmarkEnd w:id="65"/>
      <w:r>
        <w:t xml:space="preserve"> for </w:t>
      </w:r>
      <w:r w:rsidR="00DC7E9E">
        <w:t>diroximel fumarate</w:t>
      </w:r>
      <w:r>
        <w:t xml:space="preserve">. The </w:t>
      </w:r>
      <w:r w:rsidR="003E76A6">
        <w:t>D</w:t>
      </w:r>
      <w:r>
        <w:t>elegate agrees with this recommendation.</w:t>
      </w:r>
    </w:p>
    <w:p w14:paraId="66D31CAA" w14:textId="2A314944" w:rsidR="0074163C" w:rsidRDefault="0074163C" w:rsidP="000B35F6">
      <w:pPr>
        <w:pStyle w:val="Heading4"/>
      </w:pPr>
      <w:bookmarkStart w:id="66" w:name="_Toc98931933"/>
      <w:r w:rsidRPr="00D23139">
        <w:t>Proposed action</w:t>
      </w:r>
      <w:bookmarkEnd w:id="66"/>
    </w:p>
    <w:p w14:paraId="0E1D3BAE" w14:textId="65BA627A" w:rsidR="000B35F6" w:rsidRPr="000B35F6" w:rsidRDefault="000B35F6" w:rsidP="000B35F6">
      <w:r w:rsidRPr="000B35F6">
        <w:t xml:space="preserve">Bioequivalence between therapeutic doses of </w:t>
      </w:r>
      <w:r w:rsidR="00DC7E9E">
        <w:t>diroximel fumarate</w:t>
      </w:r>
      <w:r w:rsidRPr="000B35F6">
        <w:t xml:space="preserve"> and </w:t>
      </w:r>
      <w:r w:rsidR="003E76A6">
        <w:t>dimethyl fumarate</w:t>
      </w:r>
      <w:r w:rsidRPr="000B35F6">
        <w:t xml:space="preserve"> has been adequately demonstrated. The exploratory efficacy findings with </w:t>
      </w:r>
      <w:r w:rsidR="00DC7E9E">
        <w:t>diroximel fumarate</w:t>
      </w:r>
      <w:r w:rsidRPr="000B35F6">
        <w:t xml:space="preserve"> and its safety profile are largely comparable with </w:t>
      </w:r>
      <w:r w:rsidR="003E76A6">
        <w:t>dimethyl fumarate</w:t>
      </w:r>
      <w:r w:rsidRPr="000B35F6">
        <w:t xml:space="preserve">. Better GI tolerability with </w:t>
      </w:r>
      <w:r w:rsidR="00DC7E9E">
        <w:t>diroximel fumarate</w:t>
      </w:r>
      <w:r w:rsidRPr="000B35F6">
        <w:t xml:space="preserve">, compared to </w:t>
      </w:r>
      <w:r w:rsidR="003E76A6">
        <w:t>dimethyl fumarate</w:t>
      </w:r>
      <w:r w:rsidRPr="000B35F6">
        <w:t xml:space="preserve"> may contribute to increased treatment compliance.</w:t>
      </w:r>
    </w:p>
    <w:p w14:paraId="4BFF873D" w14:textId="77777777" w:rsidR="0074163C" w:rsidRDefault="0074163C" w:rsidP="0074163C">
      <w:pPr>
        <w:pStyle w:val="Heading4"/>
      </w:pPr>
      <w:bookmarkStart w:id="67" w:name="_Toc98931934"/>
      <w:r>
        <w:t>Questions for the sponsor</w:t>
      </w:r>
      <w:bookmarkEnd w:id="67"/>
    </w:p>
    <w:p w14:paraId="685A8A35" w14:textId="07C5BFFE" w:rsidR="006C0D9E" w:rsidRDefault="0074163C" w:rsidP="006C0D9E">
      <w:r>
        <w:t xml:space="preserve">The sponsor provided the following response to </w:t>
      </w:r>
      <w:r w:rsidR="00191358">
        <w:t xml:space="preserve">a </w:t>
      </w:r>
      <w:r>
        <w:t>question from the Delegate.</w:t>
      </w:r>
    </w:p>
    <w:p w14:paraId="767DD81A" w14:textId="77777777" w:rsidR="007D7598" w:rsidRDefault="006C0D9E" w:rsidP="006C0D9E">
      <w:pPr>
        <w:pStyle w:val="Numberbullet0"/>
        <w:rPr>
          <w:b/>
          <w:bCs/>
          <w:i/>
          <w:iCs/>
        </w:rPr>
      </w:pPr>
      <w:r w:rsidRPr="004E423A">
        <w:rPr>
          <w:b/>
          <w:bCs/>
          <w:i/>
          <w:iCs/>
        </w:rPr>
        <w:t xml:space="preserve">It was noted that </w:t>
      </w:r>
      <w:r w:rsidR="00DC7E9E">
        <w:rPr>
          <w:b/>
          <w:bCs/>
          <w:i/>
          <w:iCs/>
        </w:rPr>
        <w:t>diroximel fumarate</w:t>
      </w:r>
      <w:r w:rsidR="00101F31">
        <w:rPr>
          <w:b/>
          <w:bCs/>
          <w:i/>
          <w:iCs/>
        </w:rPr>
        <w:t xml:space="preserve"> (</w:t>
      </w:r>
      <w:proofErr w:type="spellStart"/>
      <w:r w:rsidR="00101F31">
        <w:rPr>
          <w:b/>
          <w:bCs/>
          <w:i/>
          <w:iCs/>
        </w:rPr>
        <w:t>Vumerity</w:t>
      </w:r>
      <w:proofErr w:type="spellEnd"/>
      <w:r w:rsidR="00101F31">
        <w:rPr>
          <w:b/>
          <w:bCs/>
          <w:i/>
          <w:iCs/>
        </w:rPr>
        <w:t>)</w:t>
      </w:r>
      <w:r w:rsidRPr="004E423A">
        <w:rPr>
          <w:b/>
          <w:bCs/>
          <w:i/>
          <w:iCs/>
        </w:rPr>
        <w:t xml:space="preserve"> has not been studied in women who are pregnant or lactating. Female subjects were excluded from studies with </w:t>
      </w:r>
      <w:r w:rsidR="00DC7E9E">
        <w:rPr>
          <w:b/>
          <w:bCs/>
          <w:i/>
          <w:iCs/>
        </w:rPr>
        <w:t>diroximel fumarate</w:t>
      </w:r>
      <w:r w:rsidRPr="004E423A">
        <w:rPr>
          <w:b/>
          <w:bCs/>
          <w:i/>
          <w:iCs/>
        </w:rPr>
        <w:t xml:space="preserve"> if they were pregnant, planning to become pregnant, or breastfeeding.</w:t>
      </w:r>
    </w:p>
    <w:p w14:paraId="33E39B5B" w14:textId="70123A31" w:rsidR="006C0D9E" w:rsidRPr="004E423A" w:rsidRDefault="006C0D9E" w:rsidP="00F24E9C">
      <w:pPr>
        <w:pStyle w:val="Numberbullet0"/>
        <w:numPr>
          <w:ilvl w:val="0"/>
          <w:numId w:val="0"/>
        </w:numPr>
        <w:ind w:left="425"/>
        <w:rPr>
          <w:b/>
          <w:bCs/>
          <w:i/>
          <w:iCs/>
        </w:rPr>
      </w:pPr>
      <w:r w:rsidRPr="004E423A">
        <w:rPr>
          <w:b/>
          <w:bCs/>
          <w:i/>
          <w:iCs/>
        </w:rPr>
        <w:t xml:space="preserve">The Delegate has also noted in the </w:t>
      </w:r>
      <w:r w:rsidR="00101F31">
        <w:rPr>
          <w:b/>
          <w:bCs/>
          <w:i/>
          <w:iCs/>
        </w:rPr>
        <w:t>European Public Access Report (</w:t>
      </w:r>
      <w:r w:rsidRPr="004E423A">
        <w:rPr>
          <w:b/>
          <w:bCs/>
          <w:i/>
          <w:iCs/>
        </w:rPr>
        <w:t>EPAR</w:t>
      </w:r>
      <w:r w:rsidR="00101F31">
        <w:rPr>
          <w:b/>
          <w:bCs/>
          <w:i/>
          <w:iCs/>
        </w:rPr>
        <w:t>)</w:t>
      </w:r>
      <w:r w:rsidRPr="004E423A">
        <w:rPr>
          <w:b/>
          <w:bCs/>
          <w:i/>
          <w:iCs/>
        </w:rPr>
        <w:t xml:space="preserve"> </w:t>
      </w:r>
      <w:r w:rsidR="00101F31">
        <w:rPr>
          <w:b/>
          <w:bCs/>
          <w:i/>
          <w:iCs/>
        </w:rPr>
        <w:t>describing</w:t>
      </w:r>
      <w:r w:rsidRPr="004E423A">
        <w:rPr>
          <w:b/>
          <w:bCs/>
          <w:i/>
          <w:iCs/>
        </w:rPr>
        <w:t xml:space="preserve"> the </w:t>
      </w:r>
      <w:r w:rsidR="00DC7E9E">
        <w:rPr>
          <w:b/>
          <w:bCs/>
          <w:i/>
          <w:iCs/>
        </w:rPr>
        <w:t>diroximel fumarate</w:t>
      </w:r>
      <w:r w:rsidRPr="004E423A">
        <w:rPr>
          <w:b/>
          <w:bCs/>
          <w:i/>
          <w:iCs/>
        </w:rPr>
        <w:t xml:space="preserve"> evaluation</w:t>
      </w:r>
      <w:r w:rsidR="00101F31">
        <w:rPr>
          <w:b/>
          <w:bCs/>
          <w:i/>
          <w:iCs/>
        </w:rPr>
        <w:t>;</w:t>
      </w:r>
      <w:r w:rsidR="00101F31">
        <w:rPr>
          <w:rStyle w:val="FootnoteReference"/>
          <w:b/>
          <w:bCs/>
          <w:i/>
          <w:iCs/>
        </w:rPr>
        <w:footnoteReference w:id="21"/>
      </w:r>
      <w:r w:rsidRPr="004E423A">
        <w:rPr>
          <w:b/>
          <w:bCs/>
          <w:i/>
          <w:iCs/>
        </w:rPr>
        <w:t xml:space="preserve"> the report</w:t>
      </w:r>
      <w:r w:rsidR="00101F31">
        <w:rPr>
          <w:b/>
          <w:bCs/>
          <w:i/>
          <w:iCs/>
        </w:rPr>
        <w:t>ing</w:t>
      </w:r>
      <w:r w:rsidRPr="004E423A">
        <w:rPr>
          <w:b/>
          <w:bCs/>
          <w:i/>
          <w:iCs/>
        </w:rPr>
        <w:t xml:space="preserve"> of 3 cases of congenital malformations; no such cases have been reported with Tecfidera</w:t>
      </w:r>
      <w:r w:rsidR="005670AE">
        <w:rPr>
          <w:b/>
          <w:bCs/>
          <w:i/>
          <w:iCs/>
        </w:rPr>
        <w:t xml:space="preserve"> </w:t>
      </w:r>
      <w:r w:rsidR="00101F31">
        <w:rPr>
          <w:b/>
          <w:bCs/>
          <w:i/>
          <w:iCs/>
        </w:rPr>
        <w:lastRenderedPageBreak/>
        <w:t xml:space="preserve">(dimethyl fumarate) </w:t>
      </w:r>
      <w:r w:rsidRPr="004E423A">
        <w:rPr>
          <w:b/>
          <w:bCs/>
          <w:i/>
          <w:iCs/>
        </w:rPr>
        <w:t xml:space="preserve">in clinical studies so far. Like Tecfidera, </w:t>
      </w:r>
      <w:proofErr w:type="spellStart"/>
      <w:r w:rsidRPr="004E423A">
        <w:rPr>
          <w:b/>
          <w:bCs/>
          <w:i/>
          <w:iCs/>
        </w:rPr>
        <w:t>Vumerity</w:t>
      </w:r>
      <w:proofErr w:type="spellEnd"/>
      <w:r w:rsidRPr="004E423A">
        <w:rPr>
          <w:b/>
          <w:bCs/>
          <w:i/>
          <w:iCs/>
        </w:rPr>
        <w:t xml:space="preserve"> should be used during pregnancy only if clearly needed and if the potential benefit justifies the potential risk to the </w:t>
      </w:r>
      <w:proofErr w:type="spellStart"/>
      <w:r w:rsidRPr="004E423A">
        <w:rPr>
          <w:b/>
          <w:bCs/>
          <w:i/>
          <w:iCs/>
        </w:rPr>
        <w:t>fetus</w:t>
      </w:r>
      <w:proofErr w:type="spellEnd"/>
      <w:r w:rsidRPr="004E423A">
        <w:rPr>
          <w:b/>
          <w:bCs/>
          <w:i/>
          <w:iCs/>
        </w:rPr>
        <w:t xml:space="preserve">. </w:t>
      </w:r>
    </w:p>
    <w:p w14:paraId="468412A2" w14:textId="0E626A48" w:rsidR="006C0D9E" w:rsidRPr="004E423A" w:rsidRDefault="006C0D9E" w:rsidP="006C0D9E">
      <w:pPr>
        <w:pStyle w:val="Numberbullet0"/>
        <w:numPr>
          <w:ilvl w:val="0"/>
          <w:numId w:val="0"/>
        </w:numPr>
        <w:ind w:left="425"/>
        <w:rPr>
          <w:b/>
          <w:bCs/>
          <w:i/>
          <w:iCs/>
        </w:rPr>
      </w:pPr>
      <w:r w:rsidRPr="004E423A">
        <w:rPr>
          <w:b/>
          <w:bCs/>
          <w:i/>
          <w:iCs/>
        </w:rPr>
        <w:t>Please provide case narratives and overview of these cases.</w:t>
      </w:r>
    </w:p>
    <w:p w14:paraId="316C0E51" w14:textId="2C176163" w:rsidR="004E423A" w:rsidRDefault="004E423A" w:rsidP="004E423A">
      <w:r>
        <w:t xml:space="preserve">The </w:t>
      </w:r>
      <w:r w:rsidR="00C82D1E">
        <w:t>s</w:t>
      </w:r>
      <w:r>
        <w:t xml:space="preserve">ponsor has noticed an error in the </w:t>
      </w:r>
      <w:proofErr w:type="spellStart"/>
      <w:r>
        <w:t>V</w:t>
      </w:r>
      <w:r w:rsidR="0002471D">
        <w:t>umerity</w:t>
      </w:r>
      <w:proofErr w:type="spellEnd"/>
      <w:r>
        <w:t xml:space="preserve"> EPAR document. The 3 congenital malformations occurred in the setting of T</w:t>
      </w:r>
      <w:r w:rsidR="0002471D">
        <w:t>ecfidera</w:t>
      </w:r>
      <w:r w:rsidR="007D7598">
        <w:t xml:space="preserve"> (dimethyl fumarate)</w:t>
      </w:r>
      <w:r>
        <w:t xml:space="preserve"> in </w:t>
      </w:r>
      <w:r w:rsidR="0002471D">
        <w:t>S</w:t>
      </w:r>
      <w:r>
        <w:t>tudy</w:t>
      </w:r>
      <w:r w:rsidR="007D7598">
        <w:t> </w:t>
      </w:r>
      <w:r>
        <w:t xml:space="preserve">109MS303. There have been no cases of congenital malformations reported in the clinical studies for </w:t>
      </w:r>
      <w:proofErr w:type="spellStart"/>
      <w:r>
        <w:t>V</w:t>
      </w:r>
      <w:r w:rsidR="0002471D">
        <w:t>umerity</w:t>
      </w:r>
      <w:proofErr w:type="spellEnd"/>
      <w:r>
        <w:t>. The statement should read ‘</w:t>
      </w:r>
      <w:r w:rsidRPr="00F24E9C">
        <w:rPr>
          <w:i/>
        </w:rPr>
        <w:t xml:space="preserve">no such cases have been reported with </w:t>
      </w:r>
      <w:proofErr w:type="spellStart"/>
      <w:r w:rsidR="0002471D" w:rsidRPr="00F24E9C">
        <w:rPr>
          <w:i/>
        </w:rPr>
        <w:t>Vumerity</w:t>
      </w:r>
      <w:proofErr w:type="spellEnd"/>
      <w:r w:rsidRPr="00F24E9C">
        <w:rPr>
          <w:i/>
        </w:rPr>
        <w:t xml:space="preserve"> in clinical studies so far.</w:t>
      </w:r>
      <w:r>
        <w:t xml:space="preserve">’ A summary and corresponding narratives for the three cases that occurred in the setting of </w:t>
      </w:r>
      <w:r w:rsidR="0002471D">
        <w:t>Tecfidera</w:t>
      </w:r>
      <w:r>
        <w:t xml:space="preserve"> in </w:t>
      </w:r>
      <w:r w:rsidR="0002471D">
        <w:t>S</w:t>
      </w:r>
      <w:r>
        <w:t>tudy 109MS303</w:t>
      </w:r>
      <w:r w:rsidR="007D7598">
        <w:t xml:space="preserve"> […were </w:t>
      </w:r>
      <w:r>
        <w:t xml:space="preserve">provided as </w:t>
      </w:r>
      <w:r w:rsidR="007D7598">
        <w:t>to the Delegate for this submission]</w:t>
      </w:r>
      <w:r>
        <w:t xml:space="preserve">. None of these events were considered by the </w:t>
      </w:r>
      <w:r w:rsidR="007D7598">
        <w:t xml:space="preserve">[study] </w:t>
      </w:r>
      <w:r>
        <w:t xml:space="preserve">investigator as related to </w:t>
      </w:r>
      <w:r w:rsidR="0002471D">
        <w:t>Tecfidera</w:t>
      </w:r>
      <w:r>
        <w:t>.</w:t>
      </w:r>
    </w:p>
    <w:p w14:paraId="7093FC08" w14:textId="17FFE504" w:rsidR="004E423A" w:rsidRPr="00955A16" w:rsidRDefault="004E423A" w:rsidP="004E423A">
      <w:r>
        <w:t xml:space="preserve">Current data from clinical trials and the ongoing Biogen MS Pregnancy Exposure Registry (Study 109MS402) do not suggest that </w:t>
      </w:r>
      <w:r w:rsidR="0002471D">
        <w:t>Tecfidera</w:t>
      </w:r>
      <w:r>
        <w:t>, when taken early in pregnancy, has an adverse or negative effect on pregnancy outcome. Cumulatively, to 26 Mar</w:t>
      </w:r>
      <w:r w:rsidR="00C82D1E">
        <w:t>ch</w:t>
      </w:r>
      <w:r>
        <w:t xml:space="preserve"> 2021, 5104</w:t>
      </w:r>
      <w:r w:rsidR="007D7598">
        <w:t> </w:t>
      </w:r>
      <w:r>
        <w:t xml:space="preserve">cases reporting 6913 events involving maternal exposure to </w:t>
      </w:r>
      <w:r w:rsidR="0002471D">
        <w:t>Tecfidera</w:t>
      </w:r>
      <w:r>
        <w:t xml:space="preserve"> during pregnancy were received. The prevalence rate for congenital anomalies with </w:t>
      </w:r>
      <w:r w:rsidR="0002471D">
        <w:t>Tecfidera</w:t>
      </w:r>
      <w:r>
        <w:t xml:space="preserve"> was within the EUROCAT background rate.</w:t>
      </w:r>
      <w:r w:rsidR="007D7598">
        <w:rPr>
          <w:rStyle w:val="FootnoteReference"/>
        </w:rPr>
        <w:footnoteReference w:id="22"/>
      </w:r>
      <w:r>
        <w:t xml:space="preserve"> The observations from these datasets are relevant to </w:t>
      </w:r>
      <w:proofErr w:type="spellStart"/>
      <w:r w:rsidR="0002471D">
        <w:t>Vumerity</w:t>
      </w:r>
      <w:proofErr w:type="spellEnd"/>
      <w:r>
        <w:t xml:space="preserve">, given the shared common active metabolite, </w:t>
      </w:r>
      <w:r w:rsidR="00F367AD">
        <w:t>monomethyl fumarate</w:t>
      </w:r>
      <w:r>
        <w:t xml:space="preserve">, with </w:t>
      </w:r>
      <w:r w:rsidR="0002471D">
        <w:t>Tecfidera</w:t>
      </w:r>
      <w:r>
        <w:t xml:space="preserve">. Therefore, the </w:t>
      </w:r>
      <w:r w:rsidR="00C82D1E">
        <w:t>s</w:t>
      </w:r>
      <w:r>
        <w:t>ponsor proposes that the same pregnancy categori</w:t>
      </w:r>
      <w:r w:rsidR="00C82D1E">
        <w:t>s</w:t>
      </w:r>
      <w:r>
        <w:t xml:space="preserve">ation apply to </w:t>
      </w:r>
      <w:proofErr w:type="spellStart"/>
      <w:r w:rsidR="0002471D">
        <w:t>Vumerity</w:t>
      </w:r>
      <w:proofErr w:type="spellEnd"/>
      <w:r w:rsidR="0002471D">
        <w:t>.</w:t>
      </w:r>
    </w:p>
    <w:p w14:paraId="2404C21D" w14:textId="77777777" w:rsidR="0074163C" w:rsidRPr="00F73346" w:rsidRDefault="0074163C" w:rsidP="0074163C">
      <w:pPr>
        <w:pStyle w:val="Heading4"/>
      </w:pPr>
      <w:bookmarkStart w:id="68" w:name="_Toc98931936"/>
      <w:bookmarkStart w:id="69" w:name="_Toc247691532"/>
      <w:bookmarkStart w:id="70" w:name="_Toc314842516"/>
      <w:bookmarkEnd w:id="34"/>
      <w:bookmarkEnd w:id="57"/>
      <w:bookmarkEnd w:id="58"/>
      <w:r w:rsidRPr="00F73346">
        <w:t>Advisory Committee considerations</w:t>
      </w:r>
      <w:bookmarkEnd w:id="68"/>
    </w:p>
    <w:p w14:paraId="6597AB2C" w14:textId="580FC153" w:rsidR="0074163C" w:rsidRDefault="0074163C" w:rsidP="0074163C">
      <w:pPr>
        <w:rPr>
          <w:bCs/>
        </w:rPr>
      </w:pPr>
      <w:r w:rsidRPr="00456765">
        <w:rPr>
          <w:bCs/>
        </w:rPr>
        <w:t xml:space="preserve">The </w:t>
      </w:r>
      <w:hyperlink r:id="rId38" w:history="1">
        <w:r w:rsidRPr="00C65E63">
          <w:rPr>
            <w:rStyle w:val="Hyperlink"/>
            <w:szCs w:val="21"/>
          </w:rPr>
          <w:t>Advisory Committee on Medicines (ACM)</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068EB29F" w14:textId="77777777" w:rsidR="0074163C" w:rsidRPr="00F73346" w:rsidRDefault="0074163C" w:rsidP="0074163C">
      <w:pPr>
        <w:pStyle w:val="Heading5"/>
      </w:pPr>
      <w:r w:rsidRPr="00F73346">
        <w:t>Specific advice to the Delegate</w:t>
      </w:r>
    </w:p>
    <w:p w14:paraId="6EE91AB8" w14:textId="2DF3CD7D" w:rsidR="006C0D9E" w:rsidRPr="008B3796" w:rsidRDefault="006C0D9E" w:rsidP="006C0D9E">
      <w:pPr>
        <w:pStyle w:val="Numberbullet0"/>
        <w:numPr>
          <w:ilvl w:val="0"/>
          <w:numId w:val="33"/>
        </w:numPr>
        <w:rPr>
          <w:b/>
          <w:bCs/>
          <w:i/>
          <w:iCs/>
        </w:rPr>
      </w:pPr>
      <w:r w:rsidRPr="008B3796">
        <w:rPr>
          <w:b/>
          <w:bCs/>
          <w:i/>
          <w:iCs/>
        </w:rPr>
        <w:t xml:space="preserve">Please comment on the adequacy of PK data with </w:t>
      </w:r>
      <w:r w:rsidR="00DC7E9E">
        <w:rPr>
          <w:b/>
          <w:bCs/>
          <w:i/>
          <w:iCs/>
        </w:rPr>
        <w:t>diroximel fumarate</w:t>
      </w:r>
      <w:r w:rsidRPr="008B3796">
        <w:rPr>
          <w:b/>
          <w:bCs/>
          <w:i/>
          <w:iCs/>
        </w:rPr>
        <w:t xml:space="preserve"> that the sponsor has relied on to extrapolate efficacy and safety of </w:t>
      </w:r>
      <w:r w:rsidR="003E76A6">
        <w:rPr>
          <w:b/>
          <w:bCs/>
          <w:i/>
          <w:iCs/>
        </w:rPr>
        <w:t>dimethyl fumarate</w:t>
      </w:r>
      <w:r w:rsidRPr="008B3796">
        <w:rPr>
          <w:b/>
          <w:bCs/>
          <w:i/>
          <w:iCs/>
        </w:rPr>
        <w:t xml:space="preserve"> to </w:t>
      </w:r>
      <w:r w:rsidR="00DC7E9E">
        <w:rPr>
          <w:b/>
          <w:bCs/>
          <w:i/>
          <w:iCs/>
        </w:rPr>
        <w:t>diroximel fumarate</w:t>
      </w:r>
      <w:r w:rsidRPr="008B3796">
        <w:rPr>
          <w:b/>
          <w:bCs/>
          <w:i/>
          <w:iCs/>
        </w:rPr>
        <w:t>.</w:t>
      </w:r>
    </w:p>
    <w:p w14:paraId="7FB2F502" w14:textId="0220A849" w:rsidR="006C0D9E" w:rsidRDefault="006C0D9E" w:rsidP="006C0D9E">
      <w:r>
        <w:t xml:space="preserve">The ACM noted the hybrid nature of this application which relied on efficacy data in support of </w:t>
      </w:r>
      <w:r w:rsidR="003E76A6">
        <w:t>dimethyl fumarate</w:t>
      </w:r>
      <w:r>
        <w:t xml:space="preserve"> and some </w:t>
      </w:r>
      <w:r w:rsidR="00191358">
        <w:t>pharmacokinetic (</w:t>
      </w:r>
      <w:r>
        <w:t>PK</w:t>
      </w:r>
      <w:r w:rsidR="00191358">
        <w:t>)</w:t>
      </w:r>
      <w:r>
        <w:t xml:space="preserve"> data.</w:t>
      </w:r>
    </w:p>
    <w:p w14:paraId="0F6E4AC9" w14:textId="5915BC95" w:rsidR="006C0D9E" w:rsidRDefault="006C0D9E" w:rsidP="006C0D9E">
      <w:r>
        <w:t xml:space="preserve">The ACM was of the view that the PK data for </w:t>
      </w:r>
      <w:r w:rsidR="00DC7E9E">
        <w:t>diroximel fumarate</w:t>
      </w:r>
      <w:r>
        <w:t xml:space="preserve"> could be extrapolated to demonstrate sufficient efficacy. This was on the basis that both </w:t>
      </w:r>
      <w:r w:rsidR="003E76A6">
        <w:t>dimethyl fumarate</w:t>
      </w:r>
      <w:r>
        <w:t xml:space="preserve"> and </w:t>
      </w:r>
      <w:r w:rsidR="00DC7E9E">
        <w:t>diroximel fumarate</w:t>
      </w:r>
      <w:r>
        <w:t xml:space="preserve"> are converted to </w:t>
      </w:r>
      <w:r w:rsidR="00F367AD">
        <w:t>monomethyl fumarate</w:t>
      </w:r>
      <w:r>
        <w:t xml:space="preserve"> and </w:t>
      </w:r>
      <w:r w:rsidR="00AA3865">
        <w:t>hydroxyethyl succinimide</w:t>
      </w:r>
      <w:r>
        <w:t xml:space="preserve"> as the active and inactive metabolites respectively.</w:t>
      </w:r>
    </w:p>
    <w:p w14:paraId="1537BAA4" w14:textId="35A41459" w:rsidR="006C0D9E" w:rsidRDefault="006C0D9E" w:rsidP="006C0D9E">
      <w:r>
        <w:t xml:space="preserve">The ACM discussed that bioequivalence for </w:t>
      </w:r>
      <w:r w:rsidR="00DC7E9E">
        <w:t>diroximel fumarate</w:t>
      </w:r>
      <w:r>
        <w:t xml:space="preserve"> was evident in both the fed and fasted state, as well as confirming appropriate dose equivalence. The ACM noted that while </w:t>
      </w:r>
      <w:r w:rsidR="00DC7E9E">
        <w:t>diroximel fumarate</w:t>
      </w:r>
      <w:r>
        <w:t xml:space="preserve"> demonstrated less inter-patient variability than </w:t>
      </w:r>
      <w:r w:rsidR="003E76A6">
        <w:t>dimethyl fumarate</w:t>
      </w:r>
      <w:r>
        <w:t xml:space="preserve">, the AUC was very similar for both. The ACM also noted that the bridging efficacy data for </w:t>
      </w:r>
      <w:r w:rsidR="00F367AD">
        <w:t>monomethyl fumarate</w:t>
      </w:r>
      <w:r>
        <w:t xml:space="preserve"> as the active metabolite was sufficient, with the effects of </w:t>
      </w:r>
      <w:r w:rsidR="00AA3865">
        <w:t>hydroxyethyl succinimide</w:t>
      </w:r>
      <w:r>
        <w:t xml:space="preserve"> as the inactive metabolite not reflected by the PK dataset. Despite this, the ACM was of the view that the unknowns associated with </w:t>
      </w:r>
      <w:r w:rsidR="00AA3865">
        <w:t>hydroxyethyl succinimide</w:t>
      </w:r>
      <w:r>
        <w:t xml:space="preserve"> was appropriately mitigated by the PI and RMP conditions.</w:t>
      </w:r>
    </w:p>
    <w:p w14:paraId="15FFF335" w14:textId="13039A34" w:rsidR="006C0D9E" w:rsidRPr="006C0D9E" w:rsidRDefault="006C0D9E" w:rsidP="006C0D9E">
      <w:pPr>
        <w:pStyle w:val="Numberbullet0"/>
        <w:rPr>
          <w:b/>
          <w:bCs/>
          <w:i/>
          <w:iCs/>
        </w:rPr>
      </w:pPr>
      <w:r w:rsidRPr="006C0D9E">
        <w:rPr>
          <w:b/>
          <w:bCs/>
          <w:i/>
          <w:iCs/>
        </w:rPr>
        <w:lastRenderedPageBreak/>
        <w:t xml:space="preserve">Please comment on the adequacy of PI statements to reflect the safety data of </w:t>
      </w:r>
      <w:r w:rsidR="00DC7E9E">
        <w:rPr>
          <w:b/>
          <w:bCs/>
          <w:i/>
          <w:iCs/>
        </w:rPr>
        <w:t>diroximel fumarate</w:t>
      </w:r>
      <w:r w:rsidRPr="006C0D9E">
        <w:rPr>
          <w:b/>
          <w:bCs/>
          <w:i/>
          <w:iCs/>
        </w:rPr>
        <w:t>, including the pregnancy category.</w:t>
      </w:r>
    </w:p>
    <w:p w14:paraId="1721F2A0" w14:textId="69307CC4" w:rsidR="006C0D9E" w:rsidRDefault="006C0D9E" w:rsidP="006C0D9E">
      <w:r>
        <w:t xml:space="preserve">The ACM was of the view that </w:t>
      </w:r>
      <w:proofErr w:type="spellStart"/>
      <w:r>
        <w:t>Vumerity</w:t>
      </w:r>
      <w:proofErr w:type="spellEnd"/>
      <w:r>
        <w:t xml:space="preserve"> should be </w:t>
      </w:r>
      <w:r w:rsidR="00C82D1E">
        <w:t>p</w:t>
      </w:r>
      <w:r>
        <w:t xml:space="preserve">regnancy </w:t>
      </w:r>
      <w:r w:rsidR="00C82D1E">
        <w:t>c</w:t>
      </w:r>
      <w:r>
        <w:t>ategory B3</w:t>
      </w:r>
      <w:r w:rsidR="00191358">
        <w:t>;</w:t>
      </w:r>
      <w:r w:rsidR="00191358" w:rsidRPr="00F24E9C">
        <w:rPr>
          <w:vertAlign w:val="superscript"/>
        </w:rPr>
        <w:fldChar w:fldCharType="begin"/>
      </w:r>
      <w:r w:rsidR="00191358" w:rsidRPr="00F24E9C">
        <w:rPr>
          <w:vertAlign w:val="superscript"/>
        </w:rPr>
        <w:instrText xml:space="preserve"> NOTEREF _Ref126662212 \h </w:instrText>
      </w:r>
      <w:r w:rsidR="00191358">
        <w:rPr>
          <w:vertAlign w:val="superscript"/>
        </w:rPr>
        <w:instrText xml:space="preserve"> \* MERGEFORMAT </w:instrText>
      </w:r>
      <w:r w:rsidR="00191358" w:rsidRPr="00F24E9C">
        <w:rPr>
          <w:vertAlign w:val="superscript"/>
        </w:rPr>
      </w:r>
      <w:r w:rsidR="00191358" w:rsidRPr="00F24E9C">
        <w:rPr>
          <w:vertAlign w:val="superscript"/>
        </w:rPr>
        <w:fldChar w:fldCharType="separate"/>
      </w:r>
      <w:r w:rsidR="00191358" w:rsidRPr="00F24E9C">
        <w:rPr>
          <w:vertAlign w:val="superscript"/>
        </w:rPr>
        <w:t>20</w:t>
      </w:r>
      <w:r w:rsidR="00191358" w:rsidRPr="00F24E9C">
        <w:rPr>
          <w:vertAlign w:val="superscript"/>
        </w:rPr>
        <w:fldChar w:fldCharType="end"/>
      </w:r>
      <w:r>
        <w:t xml:space="preserve"> based on the significant unknown potential safety concerns for </w:t>
      </w:r>
      <w:r w:rsidR="00F367AD">
        <w:t>monomethyl fumarate</w:t>
      </w:r>
      <w:r>
        <w:t xml:space="preserve"> and </w:t>
      </w:r>
      <w:r w:rsidR="00AA3865">
        <w:t>hydroxyethyl succinimide</w:t>
      </w:r>
      <w:r>
        <w:t xml:space="preserve"> accumulation, as well as the lack of human pregnancy data. The ACM noted that this view is consistent with the US </w:t>
      </w:r>
      <w:r w:rsidR="00191358">
        <w:t>Food and Drug Administration (</w:t>
      </w:r>
      <w:r>
        <w:t>FDA</w:t>
      </w:r>
      <w:r w:rsidR="00191358">
        <w:t>)</w:t>
      </w:r>
      <w:r>
        <w:t xml:space="preserve"> and </w:t>
      </w:r>
      <w:r w:rsidR="00191358">
        <w:t>the European Medicine Agency (</w:t>
      </w:r>
      <w:r>
        <w:t>EMA</w:t>
      </w:r>
      <w:r w:rsidR="00191358">
        <w:t>)</w:t>
      </w:r>
      <w:r>
        <w:t xml:space="preserve"> categorisations.</w:t>
      </w:r>
    </w:p>
    <w:p w14:paraId="0C65AAB6" w14:textId="77777777" w:rsidR="006C0D9E" w:rsidRDefault="006C0D9E" w:rsidP="006C0D9E">
      <w:r>
        <w:t>The ACM was supportive of the PI changes recommended by the Delegate regarding pregnancy, as outlined below:</w:t>
      </w:r>
    </w:p>
    <w:p w14:paraId="3352BFA4" w14:textId="77777777" w:rsidR="006C0D9E" w:rsidRDefault="006C0D9E" w:rsidP="006C0D9E">
      <w:pPr>
        <w:ind w:left="720"/>
      </w:pPr>
      <w:r>
        <w:t>‘4.6 Fertility, Pregnancy and Lactation</w:t>
      </w:r>
    </w:p>
    <w:p w14:paraId="088EC0E9" w14:textId="77777777" w:rsidR="006C0D9E" w:rsidRDefault="006C0D9E" w:rsidP="006C0D9E">
      <w:pPr>
        <w:ind w:left="720"/>
      </w:pPr>
      <w:r>
        <w:t>Use in pregnancy – Category B3</w:t>
      </w:r>
    </w:p>
    <w:p w14:paraId="678B6550" w14:textId="77777777" w:rsidR="006C0D9E" w:rsidRDefault="006C0D9E" w:rsidP="006C0D9E">
      <w:pPr>
        <w:ind w:left="720"/>
      </w:pPr>
      <w:r>
        <w:t>There are no adequate and well-controlled studies in pregnant women.</w:t>
      </w:r>
    </w:p>
    <w:p w14:paraId="69BA9084" w14:textId="06B08BFE" w:rsidR="006C0D9E" w:rsidRDefault="006C0D9E" w:rsidP="006C0D9E">
      <w:pPr>
        <w:ind w:left="720"/>
      </w:pPr>
      <w:r>
        <w:t xml:space="preserve">Animal developmental toxicity studies indicated adverse embryofetal effects, likely secondary to maternal toxicity, at </w:t>
      </w:r>
      <w:r w:rsidR="00F367AD">
        <w:t>monomethyl fumarate (</w:t>
      </w:r>
      <w:r>
        <w:t xml:space="preserve">MMF and </w:t>
      </w:r>
      <w:r w:rsidR="00AA3865">
        <w:t>hydroxyethyl succinimide</w:t>
      </w:r>
      <w:r>
        <w:t xml:space="preserve"> exposures at least 6</w:t>
      </w:r>
      <w:r w:rsidR="00191358">
        <w:t xml:space="preserve"> x</w:t>
      </w:r>
      <w:r>
        <w:t xml:space="preserve"> and 2</w:t>
      </w:r>
      <w:r w:rsidR="00191358">
        <w:t xml:space="preserve"> x</w:t>
      </w:r>
      <w:r>
        <w:t xml:space="preserve"> the respective AUC </w:t>
      </w:r>
      <w:r w:rsidR="00191358">
        <w:t xml:space="preserve">[area under the concentration-time curve] </w:t>
      </w:r>
      <w:r>
        <w:t>at the MRHD</w:t>
      </w:r>
      <w:r w:rsidR="00191358">
        <w:t xml:space="preserve"> [maximum recommended human dose]</w:t>
      </w:r>
      <w:r>
        <w:t xml:space="preserve"> of diroximel fumarate.</w:t>
      </w:r>
    </w:p>
    <w:p w14:paraId="35470BB8" w14:textId="1A359CA6" w:rsidR="006C0D9E" w:rsidRDefault="006C0D9E" w:rsidP="006C0D9E">
      <w:pPr>
        <w:ind w:left="720"/>
      </w:pPr>
      <w:r>
        <w:t xml:space="preserve">Oral administration of diroximel fumarate (up to 400 mg/kg/day) to pregnant rats throughout organogenesis resulted in lower fetal body weights and an increase in fetal skeletal variations at the highest dose tested, which was associated with maternal toxicity. Plasma exposures (AUC) for MMF and </w:t>
      </w:r>
      <w:r w:rsidR="00AA3865">
        <w:t>hydroxyethyl succinimide</w:t>
      </w:r>
      <w:r>
        <w:t xml:space="preserve"> (the major circulating drug-related compound in humans) at the no effect dose (100 mg/kg/day) for adverse effects on embryofetal development were each approximately 2 times those in humans at the MRHD.</w:t>
      </w:r>
    </w:p>
    <w:p w14:paraId="01995DAD" w14:textId="3DF73689" w:rsidR="006C0D9E" w:rsidRDefault="006C0D9E" w:rsidP="006C0D9E">
      <w:pPr>
        <w:ind w:left="720"/>
      </w:pPr>
      <w:r>
        <w:t xml:space="preserve">Oral administration of diroximel fumarate (up to 350 mg/kg/day) to pregnant rabbits throughout organogenesis resulted in an increase in fetal skeletal malformations at the mid and high doses and lower fetal body weight and increases in embryofetal death and fetal skeletal variations at the highest dose tested. The mid and high dose was associated with maternal toxicity. Plasma exposures (AUC) for MMF and </w:t>
      </w:r>
      <w:r w:rsidR="00AA3865">
        <w:t>hydroxyethyl succinimide</w:t>
      </w:r>
      <w:r>
        <w:t xml:space="preserve"> at the no-effect dose (50</w:t>
      </w:r>
      <w:r w:rsidR="00191358">
        <w:t> </w:t>
      </w:r>
      <w:r>
        <w:t xml:space="preserve">mg/kg/day) for adverse effects on embryofetal development were respectively 2 times and </w:t>
      </w:r>
      <w:proofErr w:type="gramStart"/>
      <w:r>
        <w:t>similar to</w:t>
      </w:r>
      <w:proofErr w:type="gramEnd"/>
      <w:r>
        <w:t xml:space="preserve"> those in humans at the MRHD.</w:t>
      </w:r>
    </w:p>
    <w:p w14:paraId="73AB626D" w14:textId="77777777" w:rsidR="006C0D9E" w:rsidRDefault="006C0D9E" w:rsidP="006C0D9E">
      <w:pPr>
        <w:ind w:left="720"/>
      </w:pPr>
      <w:r>
        <w:t xml:space="preserve">Because animal reproduction studies are not always predictive of human response, this drug should be used during pregnancy only if clearly needed and if the potential benefit justifies the potential risk to the </w:t>
      </w:r>
      <w:proofErr w:type="spellStart"/>
      <w:r>
        <w:t>fetus</w:t>
      </w:r>
      <w:proofErr w:type="spellEnd"/>
      <w:r>
        <w:t>.</w:t>
      </w:r>
    </w:p>
    <w:p w14:paraId="10EBF2BA" w14:textId="6C8BDEE4" w:rsidR="006C0D9E" w:rsidRDefault="006C0D9E" w:rsidP="006C0D9E">
      <w:pPr>
        <w:ind w:left="720"/>
      </w:pPr>
      <w:r>
        <w:t xml:space="preserve">The effects of </w:t>
      </w:r>
      <w:proofErr w:type="spellStart"/>
      <w:r>
        <w:t>Vumerity</w:t>
      </w:r>
      <w:proofErr w:type="spellEnd"/>
      <w:r>
        <w:t xml:space="preserve"> on labour and delivery are unknown.’</w:t>
      </w:r>
    </w:p>
    <w:p w14:paraId="46CB83A4" w14:textId="4FF40680" w:rsidR="006C0D9E" w:rsidRDefault="006C0D9E" w:rsidP="006C0D9E">
      <w:r>
        <w:t xml:space="preserve">The ACM noted that </w:t>
      </w:r>
      <w:r w:rsidR="00191358">
        <w:t xml:space="preserve">multiple sclerosis </w:t>
      </w:r>
      <w:r>
        <w:t>commonly affects women of childbearing age and stressed the importance of proactively discussing family and pregnancy planning.</w:t>
      </w:r>
    </w:p>
    <w:p w14:paraId="0885FBA7" w14:textId="77777777" w:rsidR="006C0D9E" w:rsidRPr="008B3796" w:rsidRDefault="006C0D9E" w:rsidP="006C0D9E">
      <w:pPr>
        <w:pStyle w:val="Numberbullet0"/>
        <w:numPr>
          <w:ilvl w:val="0"/>
          <w:numId w:val="8"/>
        </w:numPr>
        <w:rPr>
          <w:b/>
          <w:bCs/>
          <w:i/>
          <w:iCs/>
        </w:rPr>
      </w:pPr>
      <w:r w:rsidRPr="008B3796">
        <w:rPr>
          <w:b/>
          <w:bCs/>
          <w:i/>
          <w:iCs/>
        </w:rPr>
        <w:t>Please comment on the sponsor’s response to the Delegate’s question that was related to congenital malformations.</w:t>
      </w:r>
    </w:p>
    <w:p w14:paraId="1713FDAD" w14:textId="53FE7B8E" w:rsidR="006C0D9E" w:rsidRDefault="006C0D9E" w:rsidP="006C0D9E">
      <w:pPr>
        <w:pStyle w:val="Numberbullet0"/>
        <w:numPr>
          <w:ilvl w:val="0"/>
          <w:numId w:val="0"/>
        </w:numPr>
      </w:pPr>
      <w:r>
        <w:t xml:space="preserve">The ACM discussed the </w:t>
      </w:r>
      <w:r w:rsidR="00C82D1E">
        <w:t>three</w:t>
      </w:r>
      <w:r>
        <w:t xml:space="preserve"> cases of congenital malformations reported within Study 109MS303 and noted that these cases related to Tecfidera (</w:t>
      </w:r>
      <w:r w:rsidR="003E76A6">
        <w:t>dimethyl fumarate</w:t>
      </w:r>
      <w:r>
        <w:t xml:space="preserve">) rather than </w:t>
      </w:r>
      <w:proofErr w:type="spellStart"/>
      <w:r>
        <w:t>Vumerity</w:t>
      </w:r>
      <w:proofErr w:type="spellEnd"/>
      <w:r>
        <w:t xml:space="preserve"> (</w:t>
      </w:r>
      <w:r w:rsidR="00DC7E9E">
        <w:t>diroximel fumarate</w:t>
      </w:r>
      <w:r>
        <w:t xml:space="preserve">) as previously incorrectly reported. The ACM commented that no particular pattern of anomalies was </w:t>
      </w:r>
      <w:proofErr w:type="gramStart"/>
      <w:r>
        <w:t>noted</w:t>
      </w:r>
      <w:proofErr w:type="gramEnd"/>
      <w:r>
        <w:t xml:space="preserve"> and the rate appears consistent with background rates.</w:t>
      </w:r>
    </w:p>
    <w:p w14:paraId="74F79EAD" w14:textId="22D0784D" w:rsidR="006C0D9E" w:rsidRPr="008B3796" w:rsidRDefault="006C0D9E" w:rsidP="006C0D9E">
      <w:pPr>
        <w:pStyle w:val="Numberbullet0"/>
        <w:numPr>
          <w:ilvl w:val="0"/>
          <w:numId w:val="0"/>
        </w:numPr>
      </w:pPr>
      <w:r>
        <w:t xml:space="preserve">The ACM noted that </w:t>
      </w:r>
      <w:r w:rsidR="00191358">
        <w:t>Tecfidera (</w:t>
      </w:r>
      <w:r w:rsidR="003E76A6">
        <w:t>dimethyl fumarate</w:t>
      </w:r>
      <w:r w:rsidR="00191358">
        <w:t>)</w:t>
      </w:r>
      <w:r>
        <w:t xml:space="preserve"> is classified as Pregnancy Category B1</w:t>
      </w:r>
      <w:r w:rsidR="00191358">
        <w:t>;</w:t>
      </w:r>
      <w:r w:rsidR="00191358" w:rsidRPr="00F24E9C">
        <w:rPr>
          <w:vertAlign w:val="superscript"/>
        </w:rPr>
        <w:fldChar w:fldCharType="begin"/>
      </w:r>
      <w:r w:rsidR="00191358" w:rsidRPr="00F24E9C">
        <w:rPr>
          <w:vertAlign w:val="superscript"/>
        </w:rPr>
        <w:instrText xml:space="preserve"> NOTEREF _Ref126662480 \h </w:instrText>
      </w:r>
      <w:r w:rsidR="00191358">
        <w:rPr>
          <w:vertAlign w:val="superscript"/>
        </w:rPr>
        <w:instrText xml:space="preserve"> \* MERGEFORMAT </w:instrText>
      </w:r>
      <w:r w:rsidR="00191358" w:rsidRPr="00F24E9C">
        <w:rPr>
          <w:vertAlign w:val="superscript"/>
        </w:rPr>
      </w:r>
      <w:r w:rsidR="00191358" w:rsidRPr="00F24E9C">
        <w:rPr>
          <w:vertAlign w:val="superscript"/>
        </w:rPr>
        <w:fldChar w:fldCharType="separate"/>
      </w:r>
      <w:r w:rsidR="00191358" w:rsidRPr="00F24E9C">
        <w:rPr>
          <w:vertAlign w:val="superscript"/>
        </w:rPr>
        <w:t>19</w:t>
      </w:r>
      <w:r w:rsidR="00191358" w:rsidRPr="00F24E9C">
        <w:rPr>
          <w:vertAlign w:val="superscript"/>
        </w:rPr>
        <w:fldChar w:fldCharType="end"/>
      </w:r>
      <w:r>
        <w:t xml:space="preserve"> primarily because no malformations have been observed in either rats or rabbits at any dose. The ACM commented that unlike </w:t>
      </w:r>
      <w:r w:rsidR="003E76A6">
        <w:t>dimethyl fumarate</w:t>
      </w:r>
      <w:r>
        <w:t xml:space="preserve">, malformations were seen </w:t>
      </w:r>
      <w:r>
        <w:lastRenderedPageBreak/>
        <w:t xml:space="preserve">in embryofetal development studies with </w:t>
      </w:r>
      <w:r w:rsidR="00DC7E9E">
        <w:t>diroximel fumarate</w:t>
      </w:r>
      <w:r>
        <w:t xml:space="preserve">. The ACM reiterated that </w:t>
      </w:r>
      <w:r w:rsidR="00191358">
        <w:t>P</w:t>
      </w:r>
      <w:r>
        <w:t xml:space="preserve">regnancy </w:t>
      </w:r>
      <w:r w:rsidR="00191358">
        <w:t>C</w:t>
      </w:r>
      <w:r>
        <w:t>ategory B3</w:t>
      </w:r>
      <w:r w:rsidR="00191358">
        <w:t>;</w:t>
      </w:r>
      <w:r w:rsidR="00191358" w:rsidRPr="00F24E9C">
        <w:rPr>
          <w:vertAlign w:val="superscript"/>
        </w:rPr>
        <w:fldChar w:fldCharType="begin"/>
      </w:r>
      <w:r w:rsidR="00191358" w:rsidRPr="00F24E9C">
        <w:rPr>
          <w:vertAlign w:val="superscript"/>
        </w:rPr>
        <w:instrText xml:space="preserve"> NOTEREF _Ref126662212 \h </w:instrText>
      </w:r>
      <w:r w:rsidR="00191358">
        <w:rPr>
          <w:vertAlign w:val="superscript"/>
        </w:rPr>
        <w:instrText xml:space="preserve"> \* MERGEFORMAT </w:instrText>
      </w:r>
      <w:r w:rsidR="00191358" w:rsidRPr="00F24E9C">
        <w:rPr>
          <w:vertAlign w:val="superscript"/>
        </w:rPr>
      </w:r>
      <w:r w:rsidR="00191358" w:rsidRPr="00F24E9C">
        <w:rPr>
          <w:vertAlign w:val="superscript"/>
        </w:rPr>
        <w:fldChar w:fldCharType="separate"/>
      </w:r>
      <w:r w:rsidR="00191358" w:rsidRPr="00F24E9C">
        <w:rPr>
          <w:vertAlign w:val="superscript"/>
        </w:rPr>
        <w:t>20</w:t>
      </w:r>
      <w:r w:rsidR="00191358" w:rsidRPr="00F24E9C">
        <w:rPr>
          <w:vertAlign w:val="superscript"/>
        </w:rPr>
        <w:fldChar w:fldCharType="end"/>
      </w:r>
      <w:r>
        <w:t xml:space="preserve"> is appropriate for </w:t>
      </w:r>
      <w:r w:rsidR="00DC7E9E">
        <w:t>diroximel fumarate</w:t>
      </w:r>
      <w:r>
        <w:t xml:space="preserve"> based on the currently available data.</w:t>
      </w:r>
    </w:p>
    <w:p w14:paraId="5A8F41F7" w14:textId="77777777" w:rsidR="006C0D9E" w:rsidRPr="008B3796" w:rsidRDefault="006C0D9E" w:rsidP="006C0D9E">
      <w:pPr>
        <w:pStyle w:val="Numberbullet0"/>
        <w:numPr>
          <w:ilvl w:val="0"/>
          <w:numId w:val="8"/>
        </w:numPr>
        <w:rPr>
          <w:b/>
          <w:bCs/>
          <w:i/>
          <w:iCs/>
        </w:rPr>
      </w:pPr>
      <w:r w:rsidRPr="008B3796">
        <w:rPr>
          <w:b/>
          <w:bCs/>
          <w:i/>
          <w:iCs/>
        </w:rPr>
        <w:t xml:space="preserve">Please comment on any other aspects of this submission that are relevant for the approval of the proposed indication. </w:t>
      </w:r>
    </w:p>
    <w:p w14:paraId="1CDE2E6D" w14:textId="45800D76" w:rsidR="006C0D9E" w:rsidRPr="006C0D9E" w:rsidRDefault="006C0D9E" w:rsidP="006C0D9E">
      <w:r>
        <w:t xml:space="preserve">The ACM noted there is limited knowledge about the excretion of </w:t>
      </w:r>
      <w:r w:rsidR="00DC7E9E">
        <w:t>diroximel fumarate</w:t>
      </w:r>
      <w:r>
        <w:t xml:space="preserve"> and its metabolites into milk. As such, the ACM commented that appropriate advice to breastfeeding women should be included in the PI and CMI.</w:t>
      </w:r>
    </w:p>
    <w:p w14:paraId="2F29963B" w14:textId="77777777" w:rsidR="0074163C" w:rsidRPr="00F73346" w:rsidRDefault="0074163C" w:rsidP="0074163C">
      <w:pPr>
        <w:pStyle w:val="Heading5"/>
      </w:pPr>
      <w:r w:rsidRPr="00F73346">
        <w:t>Conclusion</w:t>
      </w:r>
    </w:p>
    <w:p w14:paraId="7584AC00" w14:textId="77777777" w:rsidR="006C0D9E" w:rsidRDefault="006C0D9E" w:rsidP="006C0D9E">
      <w:r w:rsidRPr="007E73DB">
        <w:t xml:space="preserve">The </w:t>
      </w:r>
      <w:r w:rsidRPr="00C12AE4">
        <w:t xml:space="preserve">ACM considered this product to have an </w:t>
      </w:r>
      <w:r w:rsidRPr="001E4AEE">
        <w:t>overall positive</w:t>
      </w:r>
      <w:r w:rsidRPr="00C12AE4">
        <w:t xml:space="preserve"> benefit-risk profile</w:t>
      </w:r>
      <w:r>
        <w:t xml:space="preserve"> for the indication:</w:t>
      </w:r>
    </w:p>
    <w:p w14:paraId="62C7F686" w14:textId="52A3A916" w:rsidR="006C0D9E" w:rsidRPr="007D53B6" w:rsidRDefault="006C0D9E" w:rsidP="006C0D9E">
      <w:pPr>
        <w:ind w:left="720"/>
      </w:pPr>
      <w:proofErr w:type="spellStart"/>
      <w:r w:rsidRPr="00C82DB8">
        <w:rPr>
          <w:i/>
          <w:iCs/>
        </w:rPr>
        <w:t>Vumerity</w:t>
      </w:r>
      <w:proofErr w:type="spellEnd"/>
      <w:r w:rsidRPr="00C82DB8">
        <w:rPr>
          <w:i/>
          <w:iCs/>
        </w:rPr>
        <w:t xml:space="preserve"> is indicated in patients with relapsing multiple sclerosis to reduce the frequency of relapses and to delay the progression of disability</w:t>
      </w:r>
      <w:r w:rsidRPr="008B5E2F">
        <w:t>.</w:t>
      </w:r>
    </w:p>
    <w:p w14:paraId="5C982282" w14:textId="77777777" w:rsidR="008E7846" w:rsidRPr="002E238E" w:rsidRDefault="008E7846" w:rsidP="00D212F3">
      <w:pPr>
        <w:pStyle w:val="Heading2"/>
      </w:pPr>
      <w:bookmarkStart w:id="71" w:name="_Toc122084920"/>
      <w:r>
        <w:t>Outcome</w:t>
      </w:r>
      <w:bookmarkEnd w:id="69"/>
      <w:bookmarkEnd w:id="70"/>
      <w:bookmarkEnd w:id="71"/>
    </w:p>
    <w:p w14:paraId="29E9B7F2" w14:textId="1DA99787" w:rsidR="0074163C" w:rsidRDefault="0074163C" w:rsidP="0074163C">
      <w:bookmarkStart w:id="72" w:name="_Toc247691533"/>
      <w:bookmarkStart w:id="73" w:name="_Toc314842517"/>
      <w:r>
        <w:t xml:space="preserve">Based on a review of quality, </w:t>
      </w:r>
      <w:r w:rsidR="00CC5044">
        <w:t>safety,</w:t>
      </w:r>
      <w:r>
        <w:t xml:space="preserve"> and efficacy, the TGA approved the registration of </w:t>
      </w:r>
      <w:proofErr w:type="spellStart"/>
      <w:r w:rsidR="006C0D9E" w:rsidRPr="00685351">
        <w:t>V</w:t>
      </w:r>
      <w:r w:rsidR="006C0D9E">
        <w:t>umerity</w:t>
      </w:r>
      <w:proofErr w:type="spellEnd"/>
      <w:r w:rsidR="006C0D9E" w:rsidRPr="00685351">
        <w:t xml:space="preserve"> (diroximel fumarate)</w:t>
      </w:r>
      <w:r w:rsidR="006C0D9E">
        <w:t>,</w:t>
      </w:r>
      <w:r w:rsidR="00191358">
        <w:t xml:space="preserve"> </w:t>
      </w:r>
      <w:r w:rsidR="006C0D9E" w:rsidRPr="00685351">
        <w:t>231 mg modified release capsules</w:t>
      </w:r>
      <w:r w:rsidR="006C0D9E">
        <w:t>,</w:t>
      </w:r>
      <w:r w:rsidR="006C0D9E" w:rsidRPr="00685351">
        <w:t xml:space="preserve"> bottle</w:t>
      </w:r>
      <w:r>
        <w:t>, indicated for:</w:t>
      </w:r>
    </w:p>
    <w:p w14:paraId="6B913504" w14:textId="2AB39186" w:rsidR="0074163C" w:rsidRPr="00685351" w:rsidRDefault="00685351" w:rsidP="00685351">
      <w:pPr>
        <w:ind w:left="720"/>
        <w:rPr>
          <w:i/>
          <w:iCs/>
        </w:rPr>
      </w:pPr>
      <w:proofErr w:type="spellStart"/>
      <w:r w:rsidRPr="00F62D8F">
        <w:rPr>
          <w:i/>
          <w:iCs/>
        </w:rPr>
        <w:t>Vumerity</w:t>
      </w:r>
      <w:proofErr w:type="spellEnd"/>
      <w:r w:rsidRPr="00F62D8F">
        <w:rPr>
          <w:i/>
          <w:iCs/>
        </w:rPr>
        <w:t xml:space="preserve"> is indicated in patients with relapsing multiple sclerosis to reduce the frequency of relapses and to delay the progression of disability.</w:t>
      </w:r>
    </w:p>
    <w:p w14:paraId="3CABBEB5" w14:textId="77777777" w:rsidR="00D23139" w:rsidRPr="00D23139" w:rsidRDefault="00D23139" w:rsidP="00D212F3">
      <w:pPr>
        <w:pStyle w:val="Heading3"/>
      </w:pPr>
      <w:bookmarkStart w:id="74" w:name="_Toc122084921"/>
      <w:r w:rsidRPr="00D23139">
        <w:t>Specific conditions of registration applying to these goods</w:t>
      </w:r>
      <w:bookmarkEnd w:id="74"/>
    </w:p>
    <w:p w14:paraId="4D1DF541" w14:textId="77777777" w:rsidR="0017530B" w:rsidRPr="00625A20" w:rsidRDefault="0017530B" w:rsidP="0017530B">
      <w:pPr>
        <w:pStyle w:val="ListBullet"/>
      </w:pPr>
      <w:proofErr w:type="spellStart"/>
      <w:r w:rsidRPr="00625A20">
        <w:t>Vumerity</w:t>
      </w:r>
      <w:proofErr w:type="spellEnd"/>
      <w:r w:rsidRPr="00625A20">
        <w:t xml:space="preserve"> (diroximel fumarate) is to be included in the Black Triangle Scheme. The </w:t>
      </w:r>
      <w:r>
        <w:t>Product Information (</w:t>
      </w:r>
      <w:r w:rsidRPr="00625A20">
        <w:t>PI</w:t>
      </w:r>
      <w:r>
        <w:t>)</w:t>
      </w:r>
      <w:r w:rsidRPr="00625A20">
        <w:t xml:space="preserve"> and </w:t>
      </w:r>
      <w:r>
        <w:t>Consumer Medicines Information (</w:t>
      </w:r>
      <w:r w:rsidRPr="00625A20">
        <w:t>CMI</w:t>
      </w:r>
      <w:r>
        <w:t>)</w:t>
      </w:r>
      <w:r w:rsidRPr="00625A20">
        <w:t xml:space="preserve"> for </w:t>
      </w:r>
      <w:proofErr w:type="spellStart"/>
      <w:r w:rsidRPr="00625A20">
        <w:t>Vumerity</w:t>
      </w:r>
      <w:proofErr w:type="spellEnd"/>
      <w:r w:rsidRPr="00625A20">
        <w:t xml:space="preserve"> must include the black triangle symbol and mandatory accompanying text for five years, which starts from the date that the sponsor notifies the TGA of supply of the product.</w:t>
      </w:r>
    </w:p>
    <w:p w14:paraId="11569323" w14:textId="77777777" w:rsidR="0017530B" w:rsidRPr="00625A20" w:rsidRDefault="0017530B" w:rsidP="0017530B">
      <w:pPr>
        <w:pStyle w:val="ListBullet"/>
      </w:pPr>
      <w:r w:rsidRPr="00625A20">
        <w:t xml:space="preserve">The </w:t>
      </w:r>
      <w:proofErr w:type="spellStart"/>
      <w:r w:rsidRPr="00625A20">
        <w:t>Vumerity</w:t>
      </w:r>
      <w:proofErr w:type="spellEnd"/>
      <w:r w:rsidRPr="00625A20">
        <w:t xml:space="preserve"> </w:t>
      </w:r>
      <w:r>
        <w:t>European Union (</w:t>
      </w:r>
      <w:r w:rsidRPr="00625A20">
        <w:t>EU</w:t>
      </w:r>
      <w:r>
        <w:t>)</w:t>
      </w:r>
      <w:r>
        <w:noBreakHyphen/>
        <w:t>r</w:t>
      </w:r>
      <w:r w:rsidRPr="00625A20">
        <w:t xml:space="preserve">isk </w:t>
      </w:r>
      <w:r>
        <w:t>m</w:t>
      </w:r>
      <w:r w:rsidRPr="00625A20">
        <w:t xml:space="preserve">anagement </w:t>
      </w:r>
      <w:r>
        <w:t>p</w:t>
      </w:r>
      <w:r w:rsidRPr="00625A20">
        <w:t>lan (RMP) (version 1.0, dated 9 September 2021, data lock point 1 September 2020 (</w:t>
      </w:r>
      <w:proofErr w:type="spellStart"/>
      <w:r w:rsidRPr="00625A20">
        <w:t>Vumerity</w:t>
      </w:r>
      <w:proofErr w:type="spellEnd"/>
      <w:r w:rsidRPr="00625A20">
        <w:t xml:space="preserve">); 26 March 2021 (Tecfidera)), with Australian </w:t>
      </w:r>
      <w:r>
        <w:t>s</w:t>
      </w:r>
      <w:r w:rsidRPr="00625A20">
        <w:t xml:space="preserve">pecific </w:t>
      </w:r>
      <w:r>
        <w:t>a</w:t>
      </w:r>
      <w:r w:rsidRPr="00625A20">
        <w:t xml:space="preserve">nnex (version 1.0, dated October 2021), included with </w:t>
      </w:r>
      <w:r>
        <w:t>S</w:t>
      </w:r>
      <w:r w:rsidRPr="00625A20">
        <w:t>ubmission PM</w:t>
      </w:r>
      <w:r>
        <w:noBreakHyphen/>
      </w:r>
      <w:r w:rsidRPr="00625A20">
        <w:t>2021</w:t>
      </w:r>
      <w:r>
        <w:noBreakHyphen/>
      </w:r>
      <w:r w:rsidRPr="00625A20">
        <w:t>00385</w:t>
      </w:r>
      <w:r>
        <w:noBreakHyphen/>
      </w:r>
      <w:r w:rsidRPr="00625A20">
        <w:t>1</w:t>
      </w:r>
      <w:r>
        <w:noBreakHyphen/>
      </w:r>
      <w:r w:rsidRPr="00625A20">
        <w:t>1, and any subsequent revisions, as agreed with the TGA will be implemented in Australia.</w:t>
      </w:r>
    </w:p>
    <w:p w14:paraId="415754FF" w14:textId="77777777" w:rsidR="0017530B" w:rsidRPr="00625A20" w:rsidRDefault="0017530B" w:rsidP="0017530B">
      <w:pPr>
        <w:pStyle w:val="ListBullet"/>
        <w:numPr>
          <w:ilvl w:val="0"/>
          <w:numId w:val="0"/>
        </w:numPr>
        <w:ind w:left="360"/>
      </w:pPr>
      <w:r w:rsidRPr="00625A20">
        <w:t>An obligatory component of risk management plans is routine pharmacovigilance. Routine pharmacovigilance includes the submission of periodic safety update reports (PSURs).</w:t>
      </w:r>
    </w:p>
    <w:p w14:paraId="4E6485B7" w14:textId="77777777" w:rsidR="0017530B" w:rsidRPr="00625A20" w:rsidRDefault="0017530B" w:rsidP="0017530B">
      <w:pPr>
        <w:pStyle w:val="ListBullet"/>
        <w:numPr>
          <w:ilvl w:val="0"/>
          <w:numId w:val="0"/>
        </w:numPr>
        <w:ind w:left="360"/>
      </w:pPr>
      <w:r w:rsidRPr="00625A20">
        <w:t>Reports are to be provided in line with the current published list of EU reference dates and frequency of submission of PSURs until the period covered by such reports is not less than three years from the date of th</w:t>
      </w:r>
      <w:r>
        <w:t>e</w:t>
      </w:r>
      <w:r w:rsidRPr="00625A20">
        <w:t xml:space="preserve"> approval letter.</w:t>
      </w:r>
    </w:p>
    <w:p w14:paraId="016A9779" w14:textId="77777777" w:rsidR="0017530B" w:rsidRDefault="0017530B" w:rsidP="0017530B">
      <w:pPr>
        <w:pStyle w:val="ListBullet"/>
        <w:numPr>
          <w:ilvl w:val="0"/>
          <w:numId w:val="0"/>
        </w:numPr>
        <w:ind w:left="360"/>
      </w:pPr>
      <w:r w:rsidRPr="00625A20">
        <w:t xml:space="preserve">The reports are to at least meet the requirements for PSURs as described in the European Medicines Agency’s </w:t>
      </w:r>
      <w:r>
        <w:t>g</w:t>
      </w:r>
      <w:r w:rsidRPr="00625A20">
        <w:t xml:space="preserve">uideline on </w:t>
      </w:r>
      <w:r>
        <w:t>G</w:t>
      </w:r>
      <w:r w:rsidRPr="00625A20">
        <w:t xml:space="preserve">ood </w:t>
      </w:r>
      <w:r>
        <w:t>P</w:t>
      </w:r>
      <w:r w:rsidRPr="00625A20">
        <w:t xml:space="preserve">harmacovigilance </w:t>
      </w:r>
      <w:r>
        <w:t>P</w:t>
      </w:r>
      <w:r w:rsidRPr="00625A20">
        <w:t>ractices (GVP) Module</w:t>
      </w:r>
      <w:r>
        <w:t> </w:t>
      </w:r>
      <w:r w:rsidRPr="00625A20">
        <w:t>VII-periodic safety update report (</w:t>
      </w:r>
      <w:r>
        <w:t>revision</w:t>
      </w:r>
      <w:r w:rsidRPr="00625A20">
        <w:t xml:space="preserve"> 1), Part</w:t>
      </w:r>
      <w:r>
        <w:t> </w:t>
      </w:r>
      <w:r w:rsidRPr="00625A20">
        <w:t xml:space="preserve">VII.B </w:t>
      </w:r>
      <w:r>
        <w:t>s</w:t>
      </w:r>
      <w:r w:rsidRPr="00625A20">
        <w:t>tructures and processes. Note that submission of a PSUR does not constitute an application to vary the registration.</w:t>
      </w:r>
    </w:p>
    <w:p w14:paraId="7141B633" w14:textId="77777777" w:rsidR="0017530B" w:rsidRPr="00625A20" w:rsidRDefault="0017530B" w:rsidP="0017530B">
      <w:pPr>
        <w:pStyle w:val="ListBullet"/>
      </w:pPr>
      <w:r>
        <w:t>Sponsor to s</w:t>
      </w:r>
      <w:r w:rsidRPr="00625A20">
        <w:t xml:space="preserve">ubmit results of the </w:t>
      </w:r>
      <w:r>
        <w:t>S</w:t>
      </w:r>
      <w:r w:rsidRPr="00625A20">
        <w:t>tudy</w:t>
      </w:r>
      <w:r>
        <w:t> </w:t>
      </w:r>
      <w:r w:rsidRPr="00625A20">
        <w:t>A</w:t>
      </w:r>
      <w:r>
        <w:t> </w:t>
      </w:r>
      <w:r w:rsidRPr="00625A20">
        <w:t>301 to the TGA, when completed.</w:t>
      </w:r>
    </w:p>
    <w:p w14:paraId="36A29B82" w14:textId="77777777" w:rsidR="008E7846" w:rsidRDefault="00A80B5B" w:rsidP="00D23139">
      <w:pPr>
        <w:pStyle w:val="Heading2"/>
      </w:pPr>
      <w:bookmarkStart w:id="75" w:name="_Toc122084922"/>
      <w:r>
        <w:lastRenderedPageBreak/>
        <w:t xml:space="preserve">Attachment 1. </w:t>
      </w:r>
      <w:r w:rsidR="008E7846">
        <w:t xml:space="preserve">Product </w:t>
      </w:r>
      <w:r w:rsidR="00AA0ED0">
        <w:t>I</w:t>
      </w:r>
      <w:r w:rsidR="008E7846">
        <w:t>nformation</w:t>
      </w:r>
      <w:bookmarkEnd w:id="72"/>
      <w:bookmarkEnd w:id="73"/>
      <w:bookmarkEnd w:id="75"/>
    </w:p>
    <w:p w14:paraId="17349BAD" w14:textId="5A5B3179" w:rsidR="00523A21" w:rsidRDefault="006136D7" w:rsidP="00C80137">
      <w:r w:rsidRPr="002B3624">
        <w:t xml:space="preserve">The </w:t>
      </w:r>
      <w:r>
        <w:t>PI</w:t>
      </w:r>
      <w:r w:rsidRPr="002B3624">
        <w:t xml:space="preserve"> for </w:t>
      </w:r>
      <w:proofErr w:type="spellStart"/>
      <w:r w:rsidR="0017530B">
        <w:t>Vumerity</w:t>
      </w:r>
      <w:proofErr w:type="spellEnd"/>
      <w:r w:rsidR="0074163C">
        <w:t xml:space="preserve"> </w:t>
      </w:r>
      <w:r>
        <w:t xml:space="preserve">approved with the submission which is described in </w:t>
      </w:r>
      <w:r w:rsidRPr="002B3624">
        <w:t>this AusPAR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39" w:history="1">
        <w:r w:rsidR="0074163C" w:rsidRPr="008A698E">
          <w:rPr>
            <w:rStyle w:val="Hyperlink"/>
          </w:rPr>
          <w:t>PI/CMI search facility</w:t>
        </w:r>
        <w:r w:rsidR="0074163C" w:rsidRPr="00EB36D6">
          <w:rPr>
            <w:rStyle w:val="Hyperlink"/>
            <w:color w:val="auto"/>
            <w:u w:val="none"/>
          </w:rPr>
          <w:t>.</w:t>
        </w:r>
      </w:hyperlink>
    </w:p>
    <w:p w14:paraId="7C92DE3F" w14:textId="77777777" w:rsidR="008E7846" w:rsidRPr="00EB36D6" w:rsidRDefault="008E7846" w:rsidP="00EB36D6">
      <w:r w:rsidRPr="00C80137">
        <w:br w:type="page"/>
      </w:r>
    </w:p>
    <w:p w14:paraId="13689526" w14:textId="77777777" w:rsidR="00C80137" w:rsidRPr="001D043B" w:rsidRDefault="00C80137" w:rsidP="003A7F6C">
      <w:pPr>
        <w:pStyle w:val="TableTitle"/>
        <w:sectPr w:rsidR="00C80137" w:rsidRPr="001D043B" w:rsidSect="00B452CE">
          <w:headerReference w:type="even" r:id="rId40"/>
          <w:headerReference w:type="default" r:id="rId41"/>
          <w:headerReference w:type="first" r:id="rId42"/>
          <w:footerReference w:type="first" r:id="rId4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A07A826" w14:textId="77777777" w:rsidTr="00A05FA4">
        <w:trPr>
          <w:trHeight w:hRule="exact" w:val="704"/>
        </w:trPr>
        <w:tc>
          <w:tcPr>
            <w:tcW w:w="9175" w:type="dxa"/>
          </w:tcPr>
          <w:p w14:paraId="2E2E8742" w14:textId="77777777" w:rsidR="001C32CD" w:rsidRPr="00487162" w:rsidRDefault="001C32CD" w:rsidP="00A05FA4">
            <w:pPr>
              <w:pStyle w:val="TGASignoff"/>
            </w:pPr>
            <w:r w:rsidRPr="00487162">
              <w:lastRenderedPageBreak/>
              <w:t>Therapeutic Goods Administration</w:t>
            </w:r>
          </w:p>
        </w:tc>
      </w:tr>
      <w:tr w:rsidR="001C32CD" w:rsidRPr="004C239D" w14:paraId="032C8B73" w14:textId="77777777" w:rsidTr="00A05FA4">
        <w:trPr>
          <w:trHeight w:val="1221"/>
        </w:trPr>
        <w:tc>
          <w:tcPr>
            <w:tcW w:w="9175" w:type="dxa"/>
            <w:tcMar>
              <w:top w:w="28" w:type="dxa"/>
            </w:tcMar>
          </w:tcPr>
          <w:p w14:paraId="22CA83FC" w14:textId="77777777" w:rsidR="001C32CD" w:rsidRPr="00487162" w:rsidRDefault="001C32CD" w:rsidP="00A05FA4">
            <w:pPr>
              <w:pStyle w:val="Address"/>
            </w:pPr>
            <w:r w:rsidRPr="00487162">
              <w:t>PO Box 100 Woden ACT 2606 Australia</w:t>
            </w:r>
          </w:p>
          <w:p w14:paraId="4E362DA4" w14:textId="7785D8E7" w:rsidR="001C32CD" w:rsidRPr="00487162" w:rsidRDefault="001C32CD" w:rsidP="00A05FA4">
            <w:pPr>
              <w:pStyle w:val="Address"/>
            </w:pPr>
            <w:r w:rsidRPr="00487162">
              <w:t xml:space="preserve">Email: </w:t>
            </w:r>
            <w:hyperlink r:id="rId44"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0F81D747" w14:textId="64DF0FF9" w:rsidR="001C32CD" w:rsidRPr="004C239D" w:rsidRDefault="00AF2FD1" w:rsidP="00A05FA4">
            <w:pPr>
              <w:pStyle w:val="Address"/>
              <w:spacing w:line="260" w:lineRule="atLeast"/>
              <w:rPr>
                <w:b/>
                <w:color w:val="0000FF"/>
                <w:u w:val="single"/>
              </w:rPr>
            </w:pPr>
            <w:hyperlink r:id="rId45" w:history="1">
              <w:r w:rsidR="007C6B9B" w:rsidRPr="007C6B9B">
                <w:rPr>
                  <w:rStyle w:val="Hyperlink"/>
                  <w:b/>
                </w:rPr>
                <w:t>https://www.tga.gov.au</w:t>
              </w:r>
            </w:hyperlink>
          </w:p>
        </w:tc>
      </w:tr>
    </w:tbl>
    <w:p w14:paraId="5EEE6748" w14:textId="77777777" w:rsidR="00774E1D" w:rsidRPr="008A5E0B" w:rsidRDefault="00774E1D" w:rsidP="004C239D"/>
    <w:sectPr w:rsidR="00774E1D" w:rsidRPr="008A5E0B" w:rsidSect="001C32CD">
      <w:headerReference w:type="even" r:id="rId46"/>
      <w:headerReference w:type="default" r:id="rId47"/>
      <w:footerReference w:type="default" r:id="rId48"/>
      <w:headerReference w:type="first" r:id="rId49"/>
      <w:footerReference w:type="first" r:id="rId5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32AEC" w14:textId="77777777" w:rsidR="000B14C3" w:rsidRDefault="000B14C3" w:rsidP="00C40A36">
      <w:pPr>
        <w:spacing w:after="0"/>
      </w:pPr>
      <w:r>
        <w:separator/>
      </w:r>
    </w:p>
  </w:endnote>
  <w:endnote w:type="continuationSeparator" w:id="0">
    <w:p w14:paraId="1C8AAABB" w14:textId="77777777" w:rsidR="000B14C3" w:rsidRDefault="000B14C3" w:rsidP="00C40A36">
      <w:pPr>
        <w:spacing w:after="0"/>
      </w:pPr>
      <w:r>
        <w:continuationSeparator/>
      </w:r>
    </w:p>
  </w:endnote>
  <w:endnote w:type="continuationNotice" w:id="1">
    <w:p w14:paraId="24DE8460" w14:textId="77777777" w:rsidR="000B14C3" w:rsidRDefault="000B14C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E66A9" w:rsidRPr="00487162" w14:paraId="5926CB60" w14:textId="77777777" w:rsidTr="00DB750B">
      <w:trPr>
        <w:trHeight w:val="269"/>
      </w:trPr>
      <w:tc>
        <w:tcPr>
          <w:tcW w:w="7371" w:type="dxa"/>
          <w:tcMar>
            <w:top w:w="142" w:type="dxa"/>
            <w:bottom w:w="0" w:type="dxa"/>
          </w:tcMar>
        </w:tcPr>
        <w:p w14:paraId="68E073B9" w14:textId="1F0FB238" w:rsidR="004E66A9" w:rsidRPr="00487162" w:rsidRDefault="004E66A9" w:rsidP="00460036">
          <w:pPr>
            <w:pStyle w:val="Footer"/>
          </w:pPr>
          <w:proofErr w:type="spellStart"/>
          <w:r w:rsidRPr="00487162">
            <w:t>AusPA</w:t>
          </w:r>
          <w:r>
            <w:t>R</w:t>
          </w:r>
          <w:proofErr w:type="spellEnd"/>
          <w:r>
            <w:t xml:space="preserve"> - </w:t>
          </w:r>
          <w:proofErr w:type="spellStart"/>
          <w:r>
            <w:t>Vumerity</w:t>
          </w:r>
          <w:proofErr w:type="spellEnd"/>
          <w:r>
            <w:t xml:space="preserve"> –</w:t>
          </w:r>
          <w:r w:rsidRPr="001F046D">
            <w:t xml:space="preserve"> diroximel fumarate </w:t>
          </w:r>
          <w:r>
            <w:t>–</w:t>
          </w:r>
          <w:r w:rsidRPr="001F046D">
            <w:t xml:space="preserve"> Biogen Australia Pty Ltd </w:t>
          </w:r>
          <w:r>
            <w:t>–</w:t>
          </w:r>
          <w:r w:rsidRPr="001F046D">
            <w:t xml:space="preserve"> PM</w:t>
          </w:r>
          <w:r>
            <w:noBreakHyphen/>
          </w:r>
          <w:r w:rsidRPr="001F046D">
            <w:t>2021</w:t>
          </w:r>
          <w:r>
            <w:noBreakHyphen/>
          </w:r>
          <w:r w:rsidRPr="001F046D">
            <w:t>00385</w:t>
          </w:r>
          <w:r>
            <w:noBreakHyphen/>
          </w:r>
          <w:r w:rsidRPr="001F046D">
            <w:t>1</w:t>
          </w:r>
          <w:r>
            <w:noBreakHyphen/>
          </w:r>
          <w:r w:rsidRPr="001F046D">
            <w:t>1</w:t>
          </w:r>
          <w:r>
            <w:br/>
          </w:r>
          <w:r w:rsidR="005670AE">
            <w:t>FINAL</w:t>
          </w:r>
          <w:r w:rsidRPr="00487162">
            <w:t xml:space="preserve"> </w:t>
          </w:r>
          <w:r w:rsidR="005670AE">
            <w:t>8 February</w:t>
          </w:r>
          <w:r>
            <w:t xml:space="preserve"> 2023</w:t>
          </w:r>
        </w:p>
      </w:tc>
      <w:tc>
        <w:tcPr>
          <w:tcW w:w="1490" w:type="dxa"/>
          <w:tcMar>
            <w:top w:w="142" w:type="dxa"/>
            <w:bottom w:w="0" w:type="dxa"/>
          </w:tcMar>
        </w:tcPr>
        <w:p w14:paraId="05C45CBF" w14:textId="0EADB726" w:rsidR="004E66A9" w:rsidRPr="00487162" w:rsidRDefault="004E66A9" w:rsidP="00DB750B">
          <w:pPr>
            <w:pStyle w:val="Footer"/>
            <w:jc w:val="right"/>
          </w:pPr>
          <w:r w:rsidRPr="00487162">
            <w:t xml:space="preserve">Page </w:t>
          </w:r>
          <w:r>
            <w:fldChar w:fldCharType="begin"/>
          </w:r>
          <w:r>
            <w:instrText xml:space="preserve"> PAGE  \* Arabic </w:instrText>
          </w:r>
          <w:r>
            <w:fldChar w:fldCharType="separate"/>
          </w:r>
          <w:r w:rsidR="00014387">
            <w:rPr>
              <w:noProof/>
            </w:rPr>
            <w:t>4</w:t>
          </w:r>
          <w:r>
            <w:fldChar w:fldCharType="end"/>
          </w:r>
          <w:r w:rsidRPr="00487162">
            <w:t xml:space="preserve"> of </w:t>
          </w:r>
          <w:r>
            <w:fldChar w:fldCharType="begin"/>
          </w:r>
          <w:r>
            <w:instrText>NUMPAGES  \* Arabic</w:instrText>
          </w:r>
          <w:r>
            <w:fldChar w:fldCharType="separate"/>
          </w:r>
          <w:r w:rsidR="00014387">
            <w:rPr>
              <w:noProof/>
            </w:rPr>
            <w:t>40</w:t>
          </w:r>
          <w:r>
            <w:fldChar w:fldCharType="end"/>
          </w:r>
        </w:p>
      </w:tc>
    </w:tr>
  </w:tbl>
  <w:p w14:paraId="4055005C" w14:textId="77777777" w:rsidR="004E66A9" w:rsidRDefault="004E66A9"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E66A9" w:rsidRPr="00487162" w14:paraId="59AFAEE2" w14:textId="77777777" w:rsidTr="00E45619">
      <w:trPr>
        <w:trHeight w:val="269"/>
      </w:trPr>
      <w:tc>
        <w:tcPr>
          <w:tcW w:w="4519" w:type="dxa"/>
          <w:tcBorders>
            <w:top w:val="single" w:sz="4" w:space="0" w:color="auto"/>
          </w:tcBorders>
          <w:tcMar>
            <w:top w:w="142" w:type="dxa"/>
            <w:bottom w:w="0" w:type="dxa"/>
          </w:tcMar>
        </w:tcPr>
        <w:p w14:paraId="7A62A8DF" w14:textId="77777777" w:rsidR="004E66A9" w:rsidRPr="00487162" w:rsidRDefault="004E66A9" w:rsidP="00FE1DEE">
          <w:pPr>
            <w:pStyle w:val="Footer"/>
          </w:pPr>
          <w:r w:rsidRPr="00487162">
            <w:t>Document title, Part #, Section # - Section title</w:t>
          </w:r>
        </w:p>
        <w:p w14:paraId="35F559E4" w14:textId="77777777" w:rsidR="004E66A9" w:rsidRPr="00487162" w:rsidRDefault="004E66A9" w:rsidP="00FE1DEE">
          <w:pPr>
            <w:pStyle w:val="Footer"/>
          </w:pPr>
          <w:r w:rsidRPr="00487162">
            <w:t>V1.0 October 2010</w:t>
          </w:r>
        </w:p>
      </w:tc>
      <w:tc>
        <w:tcPr>
          <w:tcW w:w="4342" w:type="dxa"/>
          <w:tcBorders>
            <w:top w:val="single" w:sz="4" w:space="0" w:color="auto"/>
          </w:tcBorders>
          <w:tcMar>
            <w:top w:w="142" w:type="dxa"/>
            <w:bottom w:w="0" w:type="dxa"/>
          </w:tcMar>
        </w:tcPr>
        <w:p w14:paraId="20864271" w14:textId="77777777" w:rsidR="004E66A9" w:rsidRPr="00487162" w:rsidRDefault="004E66A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NUMPAGES</w:instrText>
          </w:r>
          <w:r>
            <w:fldChar w:fldCharType="separate"/>
          </w:r>
          <w:r>
            <w:rPr>
              <w:noProof/>
            </w:rPr>
            <w:t>21</w:t>
          </w:r>
          <w:r>
            <w:fldChar w:fldCharType="end"/>
          </w:r>
        </w:p>
      </w:tc>
    </w:tr>
  </w:tbl>
  <w:p w14:paraId="43D4F908" w14:textId="77777777" w:rsidR="004E66A9" w:rsidRDefault="004E66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2BA5" w14:textId="77777777" w:rsidR="004E66A9" w:rsidRPr="001C32CD" w:rsidRDefault="004E66A9"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E66A9" w14:paraId="0C2AC64A" w14:textId="77777777" w:rsidTr="0010601F">
      <w:trPr>
        <w:trHeight w:val="108"/>
      </w:trPr>
      <w:tc>
        <w:tcPr>
          <w:tcW w:w="8875" w:type="dxa"/>
          <w:gridSpan w:val="2"/>
          <w:tcBorders>
            <w:bottom w:val="single" w:sz="4" w:space="0" w:color="auto"/>
          </w:tcBorders>
          <w:tcMar>
            <w:right w:w="284" w:type="dxa"/>
          </w:tcMar>
        </w:tcPr>
        <w:p w14:paraId="73B50D23" w14:textId="77777777" w:rsidR="004E66A9" w:rsidRDefault="004E66A9" w:rsidP="006E08B3">
          <w:pPr>
            <w:pStyle w:val="Heading3"/>
          </w:pPr>
          <w:r>
            <w:t>Copyright</w:t>
          </w:r>
        </w:p>
        <w:p w14:paraId="03C5E258" w14:textId="77777777" w:rsidR="004E66A9" w:rsidRDefault="004E66A9" w:rsidP="006E08B3">
          <w:r>
            <w:rPr>
              <w:rFonts w:cs="Arial"/>
            </w:rPr>
            <w:t>©</w:t>
          </w:r>
          <w:r>
            <w:t xml:space="preserve"> Commonwealth of Australia [add year]</w:t>
          </w:r>
        </w:p>
        <w:p w14:paraId="5988E95D" w14:textId="77777777" w:rsidR="004E66A9" w:rsidRDefault="004E66A9" w:rsidP="006E08B3"/>
        <w:p w14:paraId="746D72BE" w14:textId="77777777" w:rsidR="004E66A9" w:rsidRDefault="004E66A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25D7DAB0" w14:textId="77777777" w:rsidR="004E66A9" w:rsidRDefault="004E66A9" w:rsidP="006E08B3"/>
        <w:p w14:paraId="64ED488F" w14:textId="77777777" w:rsidR="004E66A9" w:rsidRDefault="004E66A9" w:rsidP="006E08B3">
          <w:pPr>
            <w:pStyle w:val="Heading3"/>
          </w:pPr>
          <w:r>
            <w:t>Confidentiality</w:t>
          </w:r>
        </w:p>
        <w:p w14:paraId="7E057FBF" w14:textId="77777777" w:rsidR="004E66A9" w:rsidRDefault="004E66A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402AE82" w14:textId="77777777" w:rsidR="004E66A9" w:rsidRDefault="004E66A9" w:rsidP="006E08B3"/>
        <w:p w14:paraId="65ED8F42" w14:textId="77777777" w:rsidR="004E66A9" w:rsidRDefault="004E66A9" w:rsidP="006E08B3">
          <w:r>
            <w:t>For submission made by individuals, all personal details, other than your name, will be removed from your submission before it is published on the TGA’s Internet site.</w:t>
          </w:r>
        </w:p>
        <w:p w14:paraId="659DD59A" w14:textId="77777777" w:rsidR="004E66A9" w:rsidRDefault="004E66A9" w:rsidP="006E08B3"/>
        <w:p w14:paraId="73187419" w14:textId="77777777" w:rsidR="004E66A9" w:rsidRDefault="004E66A9" w:rsidP="006E08B3">
          <w:r>
            <w:t>In addition, a list of parties making submissions will be published. If you do not wish to be identified with your submission you must specifically request this in the space provided in the submission coversheet.</w:t>
          </w:r>
        </w:p>
      </w:tc>
    </w:tr>
    <w:tr w:rsidR="004E66A9" w14:paraId="3144A87F" w14:textId="77777777" w:rsidTr="0010601F">
      <w:trPr>
        <w:trHeight w:val="417"/>
      </w:trPr>
      <w:tc>
        <w:tcPr>
          <w:tcW w:w="4519" w:type="dxa"/>
          <w:tcBorders>
            <w:top w:val="single" w:sz="4" w:space="0" w:color="auto"/>
          </w:tcBorders>
          <w:tcMar>
            <w:top w:w="142" w:type="dxa"/>
            <w:bottom w:w="0" w:type="dxa"/>
          </w:tcMar>
        </w:tcPr>
        <w:p w14:paraId="6005CB3D" w14:textId="77777777" w:rsidR="004E66A9" w:rsidRDefault="004E66A9" w:rsidP="006E08B3">
          <w:r>
            <w:t>Document title, Part #, Section # - Section title</w:t>
          </w:r>
        </w:p>
        <w:p w14:paraId="5952D281" w14:textId="77777777" w:rsidR="004E66A9" w:rsidRDefault="004E66A9" w:rsidP="006E08B3">
          <w:r>
            <w:t>V1.0 October 2010</w:t>
          </w:r>
        </w:p>
      </w:tc>
      <w:tc>
        <w:tcPr>
          <w:tcW w:w="4356" w:type="dxa"/>
          <w:tcBorders>
            <w:top w:val="single" w:sz="4" w:space="0" w:color="auto"/>
          </w:tcBorders>
          <w:tcMar>
            <w:top w:w="142" w:type="dxa"/>
            <w:bottom w:w="0" w:type="dxa"/>
          </w:tcMar>
        </w:tcPr>
        <w:p w14:paraId="5962758E" w14:textId="77777777" w:rsidR="004E66A9" w:rsidRDefault="004E66A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NUMPAGES  \* Arabic</w:instrText>
          </w:r>
          <w:r>
            <w:fldChar w:fldCharType="separate"/>
          </w:r>
          <w:r>
            <w:rPr>
              <w:noProof/>
            </w:rPr>
            <w:t>21</w:t>
          </w:r>
          <w:r>
            <w:fldChar w:fldCharType="end"/>
          </w:r>
          <w:r>
            <w:t xml:space="preserve">  </w:t>
          </w:r>
        </w:p>
      </w:tc>
    </w:tr>
  </w:tbl>
  <w:p w14:paraId="3200D6CC" w14:textId="77777777" w:rsidR="004E66A9" w:rsidRDefault="004E66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ED641" w14:textId="77777777" w:rsidR="000B14C3" w:rsidRDefault="000B14C3" w:rsidP="00C40A36">
      <w:pPr>
        <w:spacing w:after="0"/>
      </w:pPr>
      <w:r>
        <w:separator/>
      </w:r>
    </w:p>
  </w:footnote>
  <w:footnote w:type="continuationSeparator" w:id="0">
    <w:p w14:paraId="50D337FD" w14:textId="77777777" w:rsidR="000B14C3" w:rsidRDefault="000B14C3" w:rsidP="00C40A36">
      <w:pPr>
        <w:spacing w:after="0"/>
      </w:pPr>
      <w:r>
        <w:continuationSeparator/>
      </w:r>
    </w:p>
  </w:footnote>
  <w:footnote w:type="continuationNotice" w:id="1">
    <w:p w14:paraId="752E4FB6" w14:textId="77777777" w:rsidR="000B14C3" w:rsidRDefault="000B14C3">
      <w:pPr>
        <w:spacing w:before="0" w:after="0" w:line="240" w:lineRule="auto"/>
      </w:pPr>
    </w:p>
  </w:footnote>
  <w:footnote w:id="2">
    <w:p w14:paraId="40A397BD" w14:textId="775294D5" w:rsidR="004E66A9" w:rsidRDefault="004E66A9">
      <w:pPr>
        <w:pStyle w:val="FootnoteText"/>
      </w:pPr>
      <w:r>
        <w:rPr>
          <w:rStyle w:val="FootnoteReference"/>
        </w:rPr>
        <w:footnoteRef/>
      </w:r>
      <w:r>
        <w:t xml:space="preserve"> </w:t>
      </w:r>
      <w:r w:rsidRPr="00D67064">
        <w:t xml:space="preserve">Owens, B., Multiple sclerosis. </w:t>
      </w:r>
      <w:r w:rsidRPr="00D67064">
        <w:rPr>
          <w:i/>
          <w:iCs/>
        </w:rPr>
        <w:t>Nature</w:t>
      </w:r>
      <w:r w:rsidRPr="00D67064">
        <w:t>, 2016. 540(7631): p. S1</w:t>
      </w:r>
    </w:p>
  </w:footnote>
  <w:footnote w:id="3">
    <w:p w14:paraId="15CF1407" w14:textId="17CBCB30" w:rsidR="004E66A9" w:rsidRDefault="004E66A9">
      <w:pPr>
        <w:pStyle w:val="FootnoteText"/>
      </w:pPr>
      <w:r>
        <w:rPr>
          <w:rStyle w:val="FootnoteReference"/>
        </w:rPr>
        <w:footnoteRef/>
      </w:r>
      <w:r>
        <w:t xml:space="preserve"> </w:t>
      </w:r>
      <w:r w:rsidRPr="00D67064">
        <w:t xml:space="preserve">Oh, J., </w:t>
      </w:r>
      <w:r>
        <w:t>et al.</w:t>
      </w:r>
      <w:r w:rsidRPr="00D67064">
        <w:t xml:space="preserve"> Multiple sclerosis: clinical aspects. </w:t>
      </w:r>
      <w:r w:rsidRPr="00D67064">
        <w:rPr>
          <w:i/>
          <w:iCs/>
        </w:rPr>
        <w:t>Curr Opin Neurol</w:t>
      </w:r>
      <w:r w:rsidRPr="00D67064">
        <w:t>, 2018. 31(6): p. 752-759.</w:t>
      </w:r>
    </w:p>
  </w:footnote>
  <w:footnote w:id="4">
    <w:p w14:paraId="45E93EE4" w14:textId="72A7C1E5" w:rsidR="004E66A9" w:rsidRDefault="004E66A9">
      <w:pPr>
        <w:pStyle w:val="FootnoteText"/>
      </w:pPr>
      <w:r>
        <w:rPr>
          <w:rStyle w:val="FootnoteReference"/>
        </w:rPr>
        <w:footnoteRef/>
      </w:r>
      <w:r>
        <w:t xml:space="preserve"> </w:t>
      </w:r>
      <w:r w:rsidRPr="00D67064">
        <w:t xml:space="preserve">Dobson, </w:t>
      </w:r>
      <w:r w:rsidRPr="00D67064">
        <w:t xml:space="preserve">R. and G. </w:t>
      </w:r>
      <w:r w:rsidRPr="00D67064">
        <w:t xml:space="preserve">Giovannoni, Multiple sclerosis - a review. </w:t>
      </w:r>
      <w:r w:rsidRPr="00D67064">
        <w:rPr>
          <w:i/>
          <w:iCs/>
        </w:rPr>
        <w:t>Eur J Neurol</w:t>
      </w:r>
      <w:r w:rsidRPr="00D67064">
        <w:t>, 2019. 26(1): p. 27-40.</w:t>
      </w:r>
    </w:p>
  </w:footnote>
  <w:footnote w:id="5">
    <w:p w14:paraId="458D2765" w14:textId="19A140C0" w:rsidR="004E66A9" w:rsidRDefault="004E66A9">
      <w:pPr>
        <w:pStyle w:val="FootnoteText"/>
      </w:pPr>
      <w:r>
        <w:rPr>
          <w:rStyle w:val="FootnoteReference"/>
        </w:rPr>
        <w:footnoteRef/>
      </w:r>
      <w:r>
        <w:t xml:space="preserve"> Statistics from </w:t>
      </w:r>
      <w:r w:rsidRPr="00D67064">
        <w:t>https://www.msaustralia.org.au/news/ms-rise-australia-still-flying-radar/</w:t>
      </w:r>
    </w:p>
  </w:footnote>
  <w:footnote w:id="6">
    <w:p w14:paraId="218524A6" w14:textId="6ADF81DF" w:rsidR="004E66A9" w:rsidRDefault="004E66A9">
      <w:pPr>
        <w:pStyle w:val="FootnoteText"/>
      </w:pPr>
      <w:r>
        <w:rPr>
          <w:rStyle w:val="FootnoteReference"/>
        </w:rPr>
        <w:footnoteRef/>
      </w:r>
      <w:r>
        <w:t xml:space="preserve"> </w:t>
      </w:r>
      <w:r w:rsidRPr="00D67064">
        <w:t xml:space="preserve">Karussis, D., The diagnosis of multiple sclerosis and the various related demyelinating syndromes: a critical review. </w:t>
      </w:r>
      <w:r w:rsidRPr="00D67064">
        <w:rPr>
          <w:i/>
          <w:iCs/>
        </w:rPr>
        <w:t>J Autoimmun</w:t>
      </w:r>
      <w:r w:rsidRPr="00D67064">
        <w:t>, 2014. 48-49: p. 134-42.</w:t>
      </w:r>
    </w:p>
  </w:footnote>
  <w:footnote w:id="7">
    <w:p w14:paraId="435715BD" w14:textId="28FA8909" w:rsidR="004E66A9" w:rsidRDefault="004E66A9">
      <w:pPr>
        <w:pStyle w:val="FootnoteText"/>
      </w:pPr>
      <w:r>
        <w:rPr>
          <w:rStyle w:val="FootnoteReference"/>
        </w:rPr>
        <w:footnoteRef/>
      </w:r>
      <w:r>
        <w:t xml:space="preserve"> </w:t>
      </w:r>
      <w:r w:rsidRPr="00D67064">
        <w:t xml:space="preserve">Bourque, </w:t>
      </w:r>
      <w:r w:rsidRPr="00D67064">
        <w:t xml:space="preserve">J. and D. </w:t>
      </w:r>
      <w:r w:rsidRPr="00D67064">
        <w:t xml:space="preserve">Hawiger, Current and Future Immunotherapies for Multiple Sclerosis. </w:t>
      </w:r>
      <w:r w:rsidRPr="00D67064">
        <w:rPr>
          <w:i/>
          <w:iCs/>
        </w:rPr>
        <w:t>Mo Med</w:t>
      </w:r>
      <w:r w:rsidRPr="00D67064">
        <w:t>, 2021. 118(4): p. 334-339.</w:t>
      </w:r>
    </w:p>
  </w:footnote>
  <w:footnote w:id="8">
    <w:p w14:paraId="3753B903" w14:textId="10FAE21E" w:rsidR="004E66A9" w:rsidRDefault="004E66A9">
      <w:pPr>
        <w:pStyle w:val="FootnoteText"/>
      </w:pPr>
      <w:r>
        <w:rPr>
          <w:rStyle w:val="FootnoteReference"/>
        </w:rPr>
        <w:footnoteRef/>
      </w:r>
      <w:r>
        <w:t xml:space="preserve"> </w:t>
      </w:r>
      <w:r w:rsidRPr="00D67064">
        <w:t xml:space="preserve">Hart, F.M. and J. Bainbridge, Current and emerging treatment of multiple sclerosis. </w:t>
      </w:r>
      <w:r w:rsidRPr="00D67064">
        <w:rPr>
          <w:i/>
          <w:iCs/>
        </w:rPr>
        <w:t xml:space="preserve">Am J </w:t>
      </w:r>
      <w:r w:rsidRPr="00D67064">
        <w:rPr>
          <w:i/>
          <w:iCs/>
        </w:rPr>
        <w:t>Manag Care</w:t>
      </w:r>
      <w:r w:rsidRPr="00D67064">
        <w:t>, 2016. 22(6 Suppl): p. s159-70.</w:t>
      </w:r>
    </w:p>
  </w:footnote>
  <w:footnote w:id="9">
    <w:p w14:paraId="1D12901B" w14:textId="338B6968" w:rsidR="004E66A9" w:rsidRDefault="004E66A9">
      <w:pPr>
        <w:pStyle w:val="FootnoteText"/>
      </w:pPr>
      <w:r>
        <w:rPr>
          <w:rStyle w:val="FootnoteReference"/>
        </w:rPr>
        <w:footnoteRef/>
      </w:r>
      <w:r>
        <w:t xml:space="preserve"> </w:t>
      </w:r>
      <w:r w:rsidRPr="00D67064">
        <w:t xml:space="preserve">Perrin Ross, A., Management of multiple sclerosis. </w:t>
      </w:r>
      <w:r w:rsidRPr="00D67064">
        <w:rPr>
          <w:i/>
          <w:iCs/>
        </w:rPr>
        <w:t xml:space="preserve">Am J </w:t>
      </w:r>
      <w:r w:rsidRPr="00D67064">
        <w:rPr>
          <w:i/>
          <w:iCs/>
        </w:rPr>
        <w:t>Manag Care</w:t>
      </w:r>
      <w:r w:rsidRPr="00D67064">
        <w:t>, 2013. 19(16 Suppl): p. s301-6.</w:t>
      </w:r>
    </w:p>
  </w:footnote>
  <w:footnote w:id="10">
    <w:p w14:paraId="1526FD55" w14:textId="77777777" w:rsidR="004E66A9" w:rsidRDefault="004E66A9" w:rsidP="004B2203">
      <w:pPr>
        <w:pStyle w:val="FootnoteText"/>
      </w:pPr>
      <w:r>
        <w:rPr>
          <w:rStyle w:val="FootnoteReference"/>
        </w:rPr>
        <w:footnoteRef/>
      </w:r>
      <w:r>
        <w:t xml:space="preserve"> Tecfidera was first registered in Australia on 11 July 2013. ARTG number: 197118, 197119.</w:t>
      </w:r>
    </w:p>
  </w:footnote>
  <w:footnote w:id="11">
    <w:p w14:paraId="35DB4A89" w14:textId="77777777" w:rsidR="004E66A9" w:rsidRPr="00510E85" w:rsidRDefault="004E66A9" w:rsidP="004E66A9">
      <w:pPr>
        <w:pStyle w:val="FootnoteText"/>
        <w:rPr>
          <w:lang w:val="en-GB"/>
        </w:rPr>
      </w:pPr>
      <w:r>
        <w:rPr>
          <w:rStyle w:val="FootnoteReference"/>
        </w:rPr>
        <w:footnoteRef/>
      </w:r>
      <w:r>
        <w:t xml:space="preserve"> </w:t>
      </w:r>
      <w:r>
        <w:rPr>
          <w:lang w:val="en-GB"/>
        </w:rPr>
        <w:t>AusPAR for Tecfidera (d</w:t>
      </w:r>
      <w:r w:rsidRPr="004204EB">
        <w:rPr>
          <w:lang w:val="en-GB"/>
        </w:rPr>
        <w:t>imethyl fumarate</w:t>
      </w:r>
      <w:r>
        <w:rPr>
          <w:lang w:val="en-GB"/>
        </w:rPr>
        <w:t xml:space="preserve">), </w:t>
      </w:r>
      <w:r w:rsidRPr="004204EB">
        <w:rPr>
          <w:lang w:val="en-GB"/>
        </w:rPr>
        <w:t>Biogen Idec Australia Pty Ltd</w:t>
      </w:r>
      <w:r>
        <w:rPr>
          <w:lang w:val="en-GB"/>
        </w:rPr>
        <w:t xml:space="preserve">. Submission </w:t>
      </w:r>
      <w:r w:rsidRPr="004204EB">
        <w:rPr>
          <w:lang w:val="en-GB"/>
        </w:rPr>
        <w:t>PM-2012-00808-3-1</w:t>
      </w:r>
      <w:r>
        <w:rPr>
          <w:lang w:val="en-GB"/>
        </w:rPr>
        <w:t xml:space="preserve">. Published online November 2013. Available at: </w:t>
      </w:r>
      <w:hyperlink r:id="rId1" w:history="1">
        <w:r>
          <w:rPr>
            <w:rStyle w:val="Hyperlink"/>
          </w:rPr>
          <w:t>AusPAR: Dimethyl fumarate | Therapeutic Goods Administration (TGA)</w:t>
        </w:r>
      </w:hyperlink>
    </w:p>
  </w:footnote>
  <w:footnote w:id="12">
    <w:p w14:paraId="74C1E244" w14:textId="77777777" w:rsidR="004E66A9" w:rsidRDefault="004E66A9" w:rsidP="00F367AD">
      <w:pPr>
        <w:pStyle w:val="FootnoteText"/>
      </w:pPr>
      <w:r>
        <w:rPr>
          <w:rStyle w:val="FootnoteReference"/>
        </w:rPr>
        <w:footnoteRef/>
      </w:r>
      <w:r>
        <w:t xml:space="preserve"> </w:t>
      </w:r>
      <w:r w:rsidRPr="00F367AD">
        <w:rPr>
          <w:b/>
          <w:bCs/>
        </w:rPr>
        <w:t>Cytochrome P450</w:t>
      </w:r>
      <w:r>
        <w:t xml:space="preserve"> (CYP) enzymes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262C54A0" w14:textId="50242B5F" w:rsidR="004E66A9" w:rsidRDefault="004E66A9" w:rsidP="00F367AD">
      <w:pPr>
        <w:pStyle w:val="FootnoteText"/>
      </w:pPr>
      <w:r>
        <w:t xml:space="preserve">Many drugs may increase or decrease the activity of various CYP isozymes either by inducing the biosynthesis of an isozyme (enzyme induction) or by directly inhibiting the activity of the CYP (enzyme inhibition). This is a major source of adverse drug </w:t>
      </w:r>
      <w:r>
        <w:t>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13">
    <w:p w14:paraId="3FEE7EC3" w14:textId="030FA03B" w:rsidR="004E66A9" w:rsidRDefault="004E66A9">
      <w:pPr>
        <w:pStyle w:val="FootnoteText"/>
      </w:pPr>
      <w:r>
        <w:rPr>
          <w:rStyle w:val="FootnoteReference"/>
        </w:rPr>
        <w:footnoteRef/>
      </w:r>
      <w:r>
        <w:t xml:space="preserve"> </w:t>
      </w:r>
      <w:r w:rsidRPr="00EF6E36">
        <w:t xml:space="preserve">The </w:t>
      </w:r>
      <w:r w:rsidRPr="00EF6E36">
        <w:rPr>
          <w:b/>
          <w:bCs/>
        </w:rPr>
        <w:t>QT interval</w:t>
      </w:r>
      <w:r w:rsidRPr="00EF6E36">
        <w:t xml:space="preserve"> is the time from the start of the QRS wave complex to the end of the corresponding T wave. It approximates to the time taken for ventricular depolarisation and repolarisation</w:t>
      </w:r>
      <w:r w:rsidRPr="00EF6E36">
        <w:t>, that is to say, the period of ventricular systole from ventricular isovolumetric contraction to isovolumetric relaxation.</w:t>
      </w:r>
    </w:p>
  </w:footnote>
  <w:footnote w:id="14">
    <w:p w14:paraId="699CC8D0" w14:textId="1E666924" w:rsidR="004E66A9" w:rsidRDefault="004E66A9">
      <w:pPr>
        <w:pStyle w:val="FootnoteText"/>
      </w:pPr>
      <w:r>
        <w:rPr>
          <w:rStyle w:val="FootnoteReference"/>
        </w:rPr>
        <w:footnoteRef/>
      </w:r>
      <w:r>
        <w:t xml:space="preserve"> </w:t>
      </w:r>
      <w:r w:rsidRPr="00F52523">
        <w:t xml:space="preserve">McDonald WI, et al. Recommended diagnostic criteria for multiple sclerosis: guidelines from the International Panel on the diagnosis of multiple sclerosis. </w:t>
      </w:r>
      <w:r w:rsidRPr="00F52523">
        <w:rPr>
          <w:i/>
          <w:iCs/>
        </w:rPr>
        <w:t>Ann Neurol</w:t>
      </w:r>
      <w:r w:rsidRPr="00F52523">
        <w:t xml:space="preserve"> 2001; 50: 121– 127.</w:t>
      </w:r>
    </w:p>
  </w:footnote>
  <w:footnote w:id="15">
    <w:p w14:paraId="3C2A726B" w14:textId="1FC22F00" w:rsidR="003D059C" w:rsidRPr="00F24E9C" w:rsidRDefault="003D059C">
      <w:pPr>
        <w:pStyle w:val="FootnoteText"/>
        <w:rPr>
          <w:lang w:val="en-GB"/>
        </w:rPr>
      </w:pPr>
      <w:r>
        <w:rPr>
          <w:rStyle w:val="FootnoteReference"/>
        </w:rPr>
        <w:footnoteRef/>
      </w:r>
      <w:r>
        <w:t xml:space="preserve"> </w:t>
      </w:r>
      <w:r w:rsidRPr="003D059C">
        <w:t xml:space="preserve">The </w:t>
      </w:r>
      <w:r w:rsidRPr="00F24E9C">
        <w:rPr>
          <w:b/>
        </w:rPr>
        <w:t>Expanded Disability Status Scale (EDSS)</w:t>
      </w:r>
      <w:r w:rsidRPr="003D059C">
        <w:t xml:space="preserve"> is a method of quantifying disability in multiple sclerosis and monitoring changes in the level of disability over time. </w:t>
      </w:r>
      <w:r>
        <w:t xml:space="preserve">Scoring is </w:t>
      </w:r>
      <w:r>
        <w:t xml:space="preserve">base on neurologist examination and carried out across 8 defined functional systems. </w:t>
      </w:r>
      <w:r w:rsidRPr="003D059C">
        <w:t>The EDSS scale ranges from 0 to 10 in 0.5 unit increments that represent higher levels of disability</w:t>
      </w:r>
      <w:r>
        <w:t>;</w:t>
      </w:r>
      <w:r w:rsidRPr="003D059C">
        <w:t xml:space="preserve"> </w:t>
      </w:r>
      <w:r>
        <w:t>score of zero reflects normal neurological status and 10 reflects death due to MS).</w:t>
      </w:r>
    </w:p>
  </w:footnote>
  <w:footnote w:id="16">
    <w:p w14:paraId="60A8B6EB" w14:textId="0639518A" w:rsidR="004E66A9" w:rsidRDefault="004E66A9">
      <w:pPr>
        <w:pStyle w:val="FootnoteText"/>
      </w:pPr>
      <w:r>
        <w:rPr>
          <w:rStyle w:val="FootnoteReference"/>
        </w:rPr>
        <w:footnoteRef/>
      </w:r>
      <w:r>
        <w:t xml:space="preserve"> </w:t>
      </w:r>
      <w:r w:rsidR="009B1FEC">
        <w:t>The I</w:t>
      </w:r>
      <w:r w:rsidR="009B1FEC" w:rsidRPr="0059592B">
        <w:t xml:space="preserve">ndividual </w:t>
      </w:r>
      <w:r w:rsidRPr="0059592B">
        <w:t>Gastrointestinal Symptom and Impact Scale</w:t>
      </w:r>
      <w:r w:rsidR="00BE362A">
        <w:t xml:space="preserve"> (IGISIS)</w:t>
      </w:r>
      <w:r>
        <w:t xml:space="preserve"> is </w:t>
      </w:r>
      <w:r w:rsidR="00A874FC">
        <w:t xml:space="preserve">sponsor-developed outcome measure </w:t>
      </w:r>
      <w:r>
        <w:t xml:space="preserve">designed to assess incidence, intensity, onset, </w:t>
      </w:r>
      <w:r>
        <w:t>duration and functional impact of 5 individual GI symptoms: nausea, vomiting, diarrhoea and abdominal pain (upper and lower)</w:t>
      </w:r>
      <w:r w:rsidR="00A874FC">
        <w:t xml:space="preserve">. </w:t>
      </w:r>
      <w:r w:rsidR="00A874FC" w:rsidRPr="00A874FC">
        <w:t xml:space="preserve">Participants </w:t>
      </w:r>
      <w:r w:rsidR="009B1FEC">
        <w:t>are asked to rate</w:t>
      </w:r>
      <w:r w:rsidR="00A874FC" w:rsidRPr="00A874FC">
        <w:t xml:space="preserve"> the intensity of each individual symptom via an 11-point numeric rating scale ranging from 0 (did not have) to 10 (extreme).</w:t>
      </w:r>
      <w:r w:rsidR="009B1FEC">
        <w:t xml:space="preserve"> Subjects rated how much each symptom interfered with their ability to accomplish their regular daily activities</w:t>
      </w:r>
      <w:r w:rsidR="00BE362A">
        <w:t xml:space="preserve"> using a 5-point Likert scale (‘Not at all’</w:t>
      </w:r>
      <w:r w:rsidR="009B1FEC">
        <w:t xml:space="preserve"> </w:t>
      </w:r>
      <w:r w:rsidR="00BE362A">
        <w:t>&lt; ‘Moderately’ &lt; ‘Quite a bit’ &lt; ‘Extremely’</w:t>
      </w:r>
      <w:r w:rsidR="009B1FEC">
        <w:t>). An interference score is not reported for a symptom when the intensity score is 0 or if the symptom is still ongoing</w:t>
      </w:r>
      <w:r w:rsidR="00BE362A">
        <w:t>.</w:t>
      </w:r>
    </w:p>
  </w:footnote>
  <w:footnote w:id="17">
    <w:p w14:paraId="43B41D6E" w14:textId="67C07373" w:rsidR="00BE362A" w:rsidRDefault="00BE362A" w:rsidP="00BE362A">
      <w:pPr>
        <w:pStyle w:val="FootnoteText"/>
      </w:pPr>
      <w:r>
        <w:rPr>
          <w:rStyle w:val="FootnoteReference"/>
        </w:rPr>
        <w:footnoteRef/>
      </w:r>
      <w:r>
        <w:t xml:space="preserve"> The Global </w:t>
      </w:r>
      <w:r w:rsidRPr="0059592B">
        <w:t>Gastrointestinal Symptom and Impact Scale</w:t>
      </w:r>
      <w:r>
        <w:t xml:space="preserve"> (GGISIS) is a sponsor developed outcome measure designed as a global scale to assess overall intensity, level of bothersome and functional impact of the GI symptoms experienced within the previous 24 hours (nausea, vomiting, upper abdominal pain, lower abdominal pain, and diarrhoea). Subjects rate the intensity and </w:t>
      </w:r>
      <w:r>
        <w:t>bothersomeness of GI symptoms via an 11-point numeric rating scale ranging from 0 (did not have) to 10 (extreme). Subjects rate how much each symptom interfered their ability to accomplish their regular daily activities</w:t>
      </w:r>
      <w:r w:rsidR="005670AE">
        <w:t xml:space="preserve"> </w:t>
      </w:r>
      <w:r>
        <w:t xml:space="preserve">and, if employed, with their work productivity using </w:t>
      </w:r>
      <w:r>
        <w:t>5 point Likert scales (‘Not at all’ &lt; ‘Slightly’ &lt; ‘Moderately’ &lt; ‘Quite a bit’ &lt; ‘Extremely’). Subjects also indicated whether they were employed at the time of completing the GGISIS and, if employed, the hours of work missed due to GI symptoms during the past 24 hours</w:t>
      </w:r>
    </w:p>
  </w:footnote>
  <w:footnote w:id="18">
    <w:p w14:paraId="071BB2A1" w14:textId="0005AD5F" w:rsidR="004E66A9" w:rsidRDefault="004E66A9">
      <w:pPr>
        <w:pStyle w:val="FootnoteText"/>
      </w:pPr>
      <w:r>
        <w:rPr>
          <w:rStyle w:val="FootnoteReference"/>
        </w:rPr>
        <w:footnoteRef/>
      </w:r>
      <w:r>
        <w:t xml:space="preserve"> Tecfidera summary of </w:t>
      </w:r>
      <w:r>
        <w:t xml:space="preserve">productr characteristic available via </w:t>
      </w:r>
      <w:r w:rsidRPr="009708B7">
        <w:t>www.ema.europa.eu</w:t>
      </w:r>
      <w:r>
        <w:t>.</w:t>
      </w:r>
    </w:p>
  </w:footnote>
  <w:footnote w:id="19">
    <w:p w14:paraId="535A4C15" w14:textId="1DB6EA9A" w:rsidR="004E66A9" w:rsidRDefault="004E66A9" w:rsidP="003E76A6">
      <w:pPr>
        <w:pStyle w:val="FootnoteText"/>
      </w:pPr>
      <w:r>
        <w:rPr>
          <w:rStyle w:val="FootnoteReference"/>
        </w:rPr>
        <w:footnoteRef/>
      </w:r>
      <w:r>
        <w:t xml:space="preserve"> Category B1: Drugs which have been taken by only a limited number of pregnant women and women of childbearing age, without an increase in the frequency of malformation or other direct or indirect harmful effects on the human </w:t>
      </w:r>
      <w:r>
        <w:t>fetus having been observed.</w:t>
      </w:r>
    </w:p>
    <w:p w14:paraId="78725B56" w14:textId="23A6EFC8" w:rsidR="004E66A9" w:rsidRDefault="004E66A9" w:rsidP="003E76A6">
      <w:pPr>
        <w:pStyle w:val="FootnoteText"/>
      </w:pPr>
      <w:r>
        <w:t>Studies in animals have not shown evidence of an increased occurrence of fetal damage.</w:t>
      </w:r>
    </w:p>
  </w:footnote>
  <w:footnote w:id="20">
    <w:p w14:paraId="79E858EA" w14:textId="5B54327F" w:rsidR="004E66A9" w:rsidRDefault="004E66A9" w:rsidP="003E76A6">
      <w:pPr>
        <w:pStyle w:val="FootnoteText"/>
      </w:pPr>
      <w:r>
        <w:rPr>
          <w:rStyle w:val="FootnoteReference"/>
        </w:rPr>
        <w:footnoteRef/>
      </w:r>
      <w:r>
        <w:t xml:space="preserve"> Category B3: Drugs which have been taken by only a limited number of pregnant women and women of childbearing age, without an increase in the frequency of malformation or other direct or indirect harmful effects on the human </w:t>
      </w:r>
      <w:r>
        <w:t>fetus having been observed.</w:t>
      </w:r>
    </w:p>
    <w:p w14:paraId="5B1053CC" w14:textId="61A7F979" w:rsidR="004E66A9" w:rsidRDefault="004E66A9" w:rsidP="003E76A6">
      <w:pPr>
        <w:pStyle w:val="FootnoteText"/>
      </w:pPr>
      <w:r>
        <w:t>Studies in animals have shown evidence of an increased occurrence of fetal damage, the significance of which is considered uncertain in humans.</w:t>
      </w:r>
    </w:p>
  </w:footnote>
  <w:footnote w:id="21">
    <w:p w14:paraId="6A7F20AB" w14:textId="23C151B8" w:rsidR="00101F31" w:rsidRPr="007D7598" w:rsidRDefault="00101F31" w:rsidP="007D7598">
      <w:pPr>
        <w:pStyle w:val="FootnoteText"/>
      </w:pPr>
      <w:r>
        <w:rPr>
          <w:rStyle w:val="FootnoteReference"/>
        </w:rPr>
        <w:footnoteRef/>
      </w:r>
      <w:r w:rsidR="007D7598">
        <w:t xml:space="preserve"> </w:t>
      </w:r>
      <w:r w:rsidR="007D7598">
        <w:t xml:space="preserve">Vumerity : EPAR - Public assessment report (EMA/CHMP/555028/2021). First published 24 February 2021. Available at: </w:t>
      </w:r>
      <w:hyperlink r:id="rId2" w:history="1">
        <w:r w:rsidR="007D7598">
          <w:rPr>
            <w:rStyle w:val="Hyperlink"/>
          </w:rPr>
          <w:t>Vumerity, INN-diroximel fumarate (europa.eu)</w:t>
        </w:r>
      </w:hyperlink>
    </w:p>
  </w:footnote>
  <w:footnote w:id="22">
    <w:p w14:paraId="4306D2E5" w14:textId="33FC111A" w:rsidR="007D7598" w:rsidRPr="007D7598" w:rsidRDefault="007D7598" w:rsidP="007D7598">
      <w:pPr>
        <w:pStyle w:val="FootnoteText"/>
      </w:pPr>
      <w:r>
        <w:rPr>
          <w:rStyle w:val="FootnoteReference"/>
        </w:rPr>
        <w:footnoteRef/>
      </w:r>
      <w:r>
        <w:t xml:space="preserve"> EUROCAT is a European network of population-based registries for the epidemiological surveillance of congenital anomalies. The </w:t>
      </w:r>
      <w:r w:rsidRPr="007D7598">
        <w:t>network has 43 member registries from 23 countries covering more than 25% of European births per year.</w:t>
      </w:r>
      <w:r w:rsidR="00191358">
        <w:t xml:space="preserve"> The central registry is part of the </w:t>
      </w:r>
      <w:r w:rsidR="00191358" w:rsidRPr="00191358">
        <w:t>European Commission’s</w:t>
      </w:r>
      <w:r w:rsidR="00191358">
        <w:t xml:space="preserve"> (European Union)</w:t>
      </w:r>
      <w:r w:rsidR="00191358" w:rsidRPr="00191358">
        <w:t xml:space="preserve"> Joint Research Centre </w:t>
      </w:r>
      <w:r w:rsidR="00191358" w:rsidRPr="00191358">
        <w:t>in and it is now an integral part of the European Platform on Rare Disease Registration</w:t>
      </w:r>
      <w:r w:rsidR="0019135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F2743" w14:textId="77777777" w:rsidR="004E66A9" w:rsidRDefault="004E66A9"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EFC8" w14:textId="753B8AF4" w:rsidR="004E66A9" w:rsidRDefault="00B91177" w:rsidP="00855B73">
    <w:pPr>
      <w:tabs>
        <w:tab w:val="left" w:pos="5774"/>
      </w:tabs>
      <w:rPr>
        <w:noProof/>
        <w:lang w:eastAsia="en-AU"/>
      </w:rPr>
    </w:pPr>
    <w:r>
      <w:rPr>
        <w:noProof/>
      </w:rPr>
      <w:drawing>
        <wp:anchor distT="0" distB="0" distL="114300" distR="114300" simplePos="0" relativeHeight="251658240" behindDoc="0" locked="0" layoutInCell="1" allowOverlap="1" wp14:anchorId="4B091A71" wp14:editId="62F29DEB">
          <wp:simplePos x="0" y="0"/>
          <wp:positionH relativeFrom="column">
            <wp:posOffset>-399415</wp:posOffset>
          </wp:positionH>
          <wp:positionV relativeFrom="paragraph">
            <wp:posOffset>-114935</wp:posOffset>
          </wp:positionV>
          <wp:extent cx="2678400" cy="622800"/>
          <wp:effectExtent l="0" t="0" r="0" b="6350"/>
          <wp:wrapTopAndBottom/>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78400" cy="62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0FE5060" wp14:editId="3FA7DCC3">
          <wp:simplePos x="1078302" y="1362974"/>
          <wp:positionH relativeFrom="page">
            <wp:align>left</wp:align>
          </wp:positionH>
          <wp:positionV relativeFrom="page">
            <wp:posOffset>3240405</wp:posOffset>
          </wp:positionV>
          <wp:extent cx="7664400" cy="432360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bwMode="auto">
                  <a:xfrm>
                    <a:off x="0" y="0"/>
                    <a:ext cx="7664400" cy="432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DD6B1" w14:textId="77777777" w:rsidR="004E66A9" w:rsidRDefault="004E66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01DA" w14:textId="77777777" w:rsidR="004E66A9" w:rsidRDefault="004E66A9">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1C7B" w14:textId="77777777" w:rsidR="004E66A9" w:rsidRDefault="004E66A9">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283EA" w14:textId="77777777" w:rsidR="004E66A9" w:rsidRDefault="004E66A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0A10" w14:textId="77777777" w:rsidR="004E66A9" w:rsidRDefault="004E66A9"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59B12" w14:textId="77777777" w:rsidR="004E66A9" w:rsidRDefault="004E66A9" w:rsidP="006E08B3">
    <w:r>
      <w:t>Therapeutic Goods Administration</w:t>
    </w:r>
  </w:p>
  <w:p w14:paraId="4C8AD1B6" w14:textId="77777777" w:rsidR="004E66A9" w:rsidRDefault="004E66A9"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9"/>
  </w:num>
  <w:num w:numId="28">
    <w:abstractNumId w:val="11"/>
  </w:num>
  <w:num w:numId="29">
    <w:abstractNumId w:val="6"/>
  </w:num>
  <w:num w:numId="30">
    <w:abstractNumId w:val="8"/>
  </w:num>
  <w:num w:numId="31">
    <w:abstractNumId w:val="4"/>
  </w:num>
  <w:num w:numId="32">
    <w:abstractNumId w:val="10"/>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30B"/>
    <w:rsid w:val="00002031"/>
    <w:rsid w:val="00004734"/>
    <w:rsid w:val="00006B22"/>
    <w:rsid w:val="00006FAB"/>
    <w:rsid w:val="0001276A"/>
    <w:rsid w:val="00014387"/>
    <w:rsid w:val="000246AE"/>
    <w:rsid w:val="0002471D"/>
    <w:rsid w:val="00025C67"/>
    <w:rsid w:val="00027F7E"/>
    <w:rsid w:val="00030C2E"/>
    <w:rsid w:val="00044772"/>
    <w:rsid w:val="0004541C"/>
    <w:rsid w:val="00052AA5"/>
    <w:rsid w:val="0005559E"/>
    <w:rsid w:val="00056B5A"/>
    <w:rsid w:val="000604D6"/>
    <w:rsid w:val="00070943"/>
    <w:rsid w:val="000734D8"/>
    <w:rsid w:val="00077775"/>
    <w:rsid w:val="000868E7"/>
    <w:rsid w:val="00090471"/>
    <w:rsid w:val="00095508"/>
    <w:rsid w:val="00096AA7"/>
    <w:rsid w:val="000A3AED"/>
    <w:rsid w:val="000B14C3"/>
    <w:rsid w:val="000B3532"/>
    <w:rsid w:val="000B35F6"/>
    <w:rsid w:val="000B3686"/>
    <w:rsid w:val="000B3A75"/>
    <w:rsid w:val="000C00C2"/>
    <w:rsid w:val="000C2F6E"/>
    <w:rsid w:val="000C39BC"/>
    <w:rsid w:val="000C690F"/>
    <w:rsid w:val="000D1295"/>
    <w:rsid w:val="000D391B"/>
    <w:rsid w:val="000D3D6D"/>
    <w:rsid w:val="000D4FC7"/>
    <w:rsid w:val="000E6196"/>
    <w:rsid w:val="000E7933"/>
    <w:rsid w:val="000F4869"/>
    <w:rsid w:val="000F5B42"/>
    <w:rsid w:val="000F6E6F"/>
    <w:rsid w:val="00101F31"/>
    <w:rsid w:val="0010601F"/>
    <w:rsid w:val="0010655F"/>
    <w:rsid w:val="0010788A"/>
    <w:rsid w:val="00107A31"/>
    <w:rsid w:val="00110EA5"/>
    <w:rsid w:val="00112F56"/>
    <w:rsid w:val="0011615B"/>
    <w:rsid w:val="00117C1F"/>
    <w:rsid w:val="00122227"/>
    <w:rsid w:val="00122C2E"/>
    <w:rsid w:val="00124ACD"/>
    <w:rsid w:val="00125318"/>
    <w:rsid w:val="001305A2"/>
    <w:rsid w:val="00130ABA"/>
    <w:rsid w:val="00131A80"/>
    <w:rsid w:val="00133238"/>
    <w:rsid w:val="00133A1B"/>
    <w:rsid w:val="00134F00"/>
    <w:rsid w:val="0014197B"/>
    <w:rsid w:val="001447CD"/>
    <w:rsid w:val="00146B65"/>
    <w:rsid w:val="00151196"/>
    <w:rsid w:val="001516B1"/>
    <w:rsid w:val="00154EBB"/>
    <w:rsid w:val="00156316"/>
    <w:rsid w:val="00161181"/>
    <w:rsid w:val="00161D56"/>
    <w:rsid w:val="00162D14"/>
    <w:rsid w:val="00163780"/>
    <w:rsid w:val="00165389"/>
    <w:rsid w:val="0017530B"/>
    <w:rsid w:val="0017693F"/>
    <w:rsid w:val="0018110E"/>
    <w:rsid w:val="00181684"/>
    <w:rsid w:val="00181C01"/>
    <w:rsid w:val="001843C6"/>
    <w:rsid w:val="001850E0"/>
    <w:rsid w:val="00185407"/>
    <w:rsid w:val="00191358"/>
    <w:rsid w:val="001916F4"/>
    <w:rsid w:val="001A03AF"/>
    <w:rsid w:val="001A1423"/>
    <w:rsid w:val="001A2158"/>
    <w:rsid w:val="001A525F"/>
    <w:rsid w:val="001A5A00"/>
    <w:rsid w:val="001A66B8"/>
    <w:rsid w:val="001B09F9"/>
    <w:rsid w:val="001B1DA4"/>
    <w:rsid w:val="001B5C90"/>
    <w:rsid w:val="001B6448"/>
    <w:rsid w:val="001C2910"/>
    <w:rsid w:val="001C32CD"/>
    <w:rsid w:val="001C405A"/>
    <w:rsid w:val="001D2984"/>
    <w:rsid w:val="001E07CF"/>
    <w:rsid w:val="001E359E"/>
    <w:rsid w:val="001E59F1"/>
    <w:rsid w:val="001F0527"/>
    <w:rsid w:val="001F0C06"/>
    <w:rsid w:val="001F1FA4"/>
    <w:rsid w:val="001F2CEE"/>
    <w:rsid w:val="001F49EB"/>
    <w:rsid w:val="001F6CBA"/>
    <w:rsid w:val="00201D4E"/>
    <w:rsid w:val="00202E9F"/>
    <w:rsid w:val="00203CF9"/>
    <w:rsid w:val="00204264"/>
    <w:rsid w:val="002076C9"/>
    <w:rsid w:val="00220B8A"/>
    <w:rsid w:val="002257F3"/>
    <w:rsid w:val="002314EA"/>
    <w:rsid w:val="00233456"/>
    <w:rsid w:val="002339A5"/>
    <w:rsid w:val="00244297"/>
    <w:rsid w:val="00250271"/>
    <w:rsid w:val="00250F35"/>
    <w:rsid w:val="00255E8E"/>
    <w:rsid w:val="00257848"/>
    <w:rsid w:val="002578E8"/>
    <w:rsid w:val="00263494"/>
    <w:rsid w:val="0027084A"/>
    <w:rsid w:val="00270D86"/>
    <w:rsid w:val="00271E85"/>
    <w:rsid w:val="00272BD6"/>
    <w:rsid w:val="00280265"/>
    <w:rsid w:val="00286434"/>
    <w:rsid w:val="00286C59"/>
    <w:rsid w:val="00287DCA"/>
    <w:rsid w:val="00290D92"/>
    <w:rsid w:val="00291957"/>
    <w:rsid w:val="002942D1"/>
    <w:rsid w:val="0029501A"/>
    <w:rsid w:val="002A3721"/>
    <w:rsid w:val="002A76C4"/>
    <w:rsid w:val="002B1638"/>
    <w:rsid w:val="002B3624"/>
    <w:rsid w:val="002B4359"/>
    <w:rsid w:val="002B7059"/>
    <w:rsid w:val="002C1E4C"/>
    <w:rsid w:val="002C3655"/>
    <w:rsid w:val="002D0952"/>
    <w:rsid w:val="002D3E1A"/>
    <w:rsid w:val="002E40B3"/>
    <w:rsid w:val="002E4C9A"/>
    <w:rsid w:val="002F11F8"/>
    <w:rsid w:val="002F3D34"/>
    <w:rsid w:val="002F3F56"/>
    <w:rsid w:val="002F44B5"/>
    <w:rsid w:val="002F5122"/>
    <w:rsid w:val="00302AE5"/>
    <w:rsid w:val="00307EEE"/>
    <w:rsid w:val="00311AC0"/>
    <w:rsid w:val="003176FC"/>
    <w:rsid w:val="00324E45"/>
    <w:rsid w:val="0032583B"/>
    <w:rsid w:val="00327128"/>
    <w:rsid w:val="00327883"/>
    <w:rsid w:val="00327AA4"/>
    <w:rsid w:val="00332715"/>
    <w:rsid w:val="00335504"/>
    <w:rsid w:val="00340C18"/>
    <w:rsid w:val="00341DFD"/>
    <w:rsid w:val="003442FD"/>
    <w:rsid w:val="00347824"/>
    <w:rsid w:val="00350567"/>
    <w:rsid w:val="003521E8"/>
    <w:rsid w:val="00370CE3"/>
    <w:rsid w:val="003710D5"/>
    <w:rsid w:val="003728F3"/>
    <w:rsid w:val="003735BC"/>
    <w:rsid w:val="0037496E"/>
    <w:rsid w:val="0038189F"/>
    <w:rsid w:val="00383221"/>
    <w:rsid w:val="00386150"/>
    <w:rsid w:val="003874CE"/>
    <w:rsid w:val="00390900"/>
    <w:rsid w:val="003A56EC"/>
    <w:rsid w:val="003A7F6C"/>
    <w:rsid w:val="003B4D60"/>
    <w:rsid w:val="003B7E39"/>
    <w:rsid w:val="003C0ACD"/>
    <w:rsid w:val="003C58DC"/>
    <w:rsid w:val="003D059C"/>
    <w:rsid w:val="003D1E62"/>
    <w:rsid w:val="003D4E3D"/>
    <w:rsid w:val="003E0B99"/>
    <w:rsid w:val="003E237B"/>
    <w:rsid w:val="003E2486"/>
    <w:rsid w:val="003E3208"/>
    <w:rsid w:val="003E76A6"/>
    <w:rsid w:val="003F0B04"/>
    <w:rsid w:val="0040134E"/>
    <w:rsid w:val="00402206"/>
    <w:rsid w:val="004022AE"/>
    <w:rsid w:val="004204EB"/>
    <w:rsid w:val="00427EB9"/>
    <w:rsid w:val="004334C7"/>
    <w:rsid w:val="00434A91"/>
    <w:rsid w:val="00440A2D"/>
    <w:rsid w:val="00441C3F"/>
    <w:rsid w:val="004428AC"/>
    <w:rsid w:val="00444D1A"/>
    <w:rsid w:val="0045186A"/>
    <w:rsid w:val="0045302C"/>
    <w:rsid w:val="00454BDC"/>
    <w:rsid w:val="004564A7"/>
    <w:rsid w:val="00456765"/>
    <w:rsid w:val="00456BC7"/>
    <w:rsid w:val="00460036"/>
    <w:rsid w:val="004617BF"/>
    <w:rsid w:val="00463658"/>
    <w:rsid w:val="004637A0"/>
    <w:rsid w:val="004722CC"/>
    <w:rsid w:val="00475642"/>
    <w:rsid w:val="00490483"/>
    <w:rsid w:val="004936E4"/>
    <w:rsid w:val="00494E60"/>
    <w:rsid w:val="00496E10"/>
    <w:rsid w:val="00497487"/>
    <w:rsid w:val="004975AF"/>
    <w:rsid w:val="004A2771"/>
    <w:rsid w:val="004A6189"/>
    <w:rsid w:val="004A7390"/>
    <w:rsid w:val="004B2203"/>
    <w:rsid w:val="004B353E"/>
    <w:rsid w:val="004B7B76"/>
    <w:rsid w:val="004C239D"/>
    <w:rsid w:val="004C2B1B"/>
    <w:rsid w:val="004C2DCA"/>
    <w:rsid w:val="004C4F67"/>
    <w:rsid w:val="004C4FBE"/>
    <w:rsid w:val="004C61D2"/>
    <w:rsid w:val="004D4217"/>
    <w:rsid w:val="004D4810"/>
    <w:rsid w:val="004E423A"/>
    <w:rsid w:val="004E66A9"/>
    <w:rsid w:val="004F0C4A"/>
    <w:rsid w:val="004F0F38"/>
    <w:rsid w:val="004F369E"/>
    <w:rsid w:val="004F47D6"/>
    <w:rsid w:val="004F626C"/>
    <w:rsid w:val="00500337"/>
    <w:rsid w:val="00501921"/>
    <w:rsid w:val="005047B6"/>
    <w:rsid w:val="00505417"/>
    <w:rsid w:val="0052149B"/>
    <w:rsid w:val="00523A21"/>
    <w:rsid w:val="00530354"/>
    <w:rsid w:val="0053625B"/>
    <w:rsid w:val="005434C6"/>
    <w:rsid w:val="00543B39"/>
    <w:rsid w:val="00545CDB"/>
    <w:rsid w:val="00546154"/>
    <w:rsid w:val="00550096"/>
    <w:rsid w:val="005502D3"/>
    <w:rsid w:val="00555280"/>
    <w:rsid w:val="00557FF9"/>
    <w:rsid w:val="00562327"/>
    <w:rsid w:val="00565A66"/>
    <w:rsid w:val="00565D44"/>
    <w:rsid w:val="005670AE"/>
    <w:rsid w:val="005711D5"/>
    <w:rsid w:val="00576378"/>
    <w:rsid w:val="00577130"/>
    <w:rsid w:val="00577945"/>
    <w:rsid w:val="00577E38"/>
    <w:rsid w:val="00581860"/>
    <w:rsid w:val="00585322"/>
    <w:rsid w:val="005857C6"/>
    <w:rsid w:val="00592F6E"/>
    <w:rsid w:val="00593AD1"/>
    <w:rsid w:val="0059445F"/>
    <w:rsid w:val="0059592B"/>
    <w:rsid w:val="005A68B6"/>
    <w:rsid w:val="005A79F5"/>
    <w:rsid w:val="005C494B"/>
    <w:rsid w:val="005C5570"/>
    <w:rsid w:val="005C5B66"/>
    <w:rsid w:val="005C79A4"/>
    <w:rsid w:val="005D5442"/>
    <w:rsid w:val="005D7DD0"/>
    <w:rsid w:val="005E5286"/>
    <w:rsid w:val="005F37CE"/>
    <w:rsid w:val="005F4C06"/>
    <w:rsid w:val="00603F32"/>
    <w:rsid w:val="006047F2"/>
    <w:rsid w:val="00605AD4"/>
    <w:rsid w:val="006136D7"/>
    <w:rsid w:val="00625A6E"/>
    <w:rsid w:val="00632398"/>
    <w:rsid w:val="00632639"/>
    <w:rsid w:val="006335D9"/>
    <w:rsid w:val="00640FC3"/>
    <w:rsid w:val="00642020"/>
    <w:rsid w:val="006430EE"/>
    <w:rsid w:val="00643CE5"/>
    <w:rsid w:val="0064502C"/>
    <w:rsid w:val="00647CE9"/>
    <w:rsid w:val="0065337B"/>
    <w:rsid w:val="0065419D"/>
    <w:rsid w:val="0065496C"/>
    <w:rsid w:val="006603BC"/>
    <w:rsid w:val="006604D8"/>
    <w:rsid w:val="006647B4"/>
    <w:rsid w:val="00664A5B"/>
    <w:rsid w:val="00666188"/>
    <w:rsid w:val="0066735C"/>
    <w:rsid w:val="006763D2"/>
    <w:rsid w:val="006801C3"/>
    <w:rsid w:val="00680C08"/>
    <w:rsid w:val="00685351"/>
    <w:rsid w:val="006901BA"/>
    <w:rsid w:val="006916A0"/>
    <w:rsid w:val="006931B1"/>
    <w:rsid w:val="00693C5D"/>
    <w:rsid w:val="006A15C0"/>
    <w:rsid w:val="006A58A8"/>
    <w:rsid w:val="006B3CF5"/>
    <w:rsid w:val="006B4D2A"/>
    <w:rsid w:val="006B7A7D"/>
    <w:rsid w:val="006C0D9E"/>
    <w:rsid w:val="006C26C6"/>
    <w:rsid w:val="006C3AEC"/>
    <w:rsid w:val="006C3E2A"/>
    <w:rsid w:val="006C642F"/>
    <w:rsid w:val="006D03E5"/>
    <w:rsid w:val="006D09CF"/>
    <w:rsid w:val="006D1E1A"/>
    <w:rsid w:val="006D2632"/>
    <w:rsid w:val="006D5D3E"/>
    <w:rsid w:val="006E08B3"/>
    <w:rsid w:val="006E4715"/>
    <w:rsid w:val="006E7D4A"/>
    <w:rsid w:val="006F0334"/>
    <w:rsid w:val="006F17AC"/>
    <w:rsid w:val="006F25B8"/>
    <w:rsid w:val="006F3A29"/>
    <w:rsid w:val="006F4BD5"/>
    <w:rsid w:val="006F572E"/>
    <w:rsid w:val="007046D6"/>
    <w:rsid w:val="00705DB0"/>
    <w:rsid w:val="00711D50"/>
    <w:rsid w:val="0072292E"/>
    <w:rsid w:val="00722B57"/>
    <w:rsid w:val="007307E6"/>
    <w:rsid w:val="00730F8A"/>
    <w:rsid w:val="00735A8C"/>
    <w:rsid w:val="00740C4A"/>
    <w:rsid w:val="0074163C"/>
    <w:rsid w:val="0074253D"/>
    <w:rsid w:val="00744121"/>
    <w:rsid w:val="0074429B"/>
    <w:rsid w:val="00747ED8"/>
    <w:rsid w:val="007615BC"/>
    <w:rsid w:val="00762F05"/>
    <w:rsid w:val="007652FF"/>
    <w:rsid w:val="007703EF"/>
    <w:rsid w:val="00770CAC"/>
    <w:rsid w:val="00770EF1"/>
    <w:rsid w:val="0077131A"/>
    <w:rsid w:val="00773EF7"/>
    <w:rsid w:val="00774E1D"/>
    <w:rsid w:val="007765D8"/>
    <w:rsid w:val="0077675A"/>
    <w:rsid w:val="0077681F"/>
    <w:rsid w:val="00776F77"/>
    <w:rsid w:val="00780355"/>
    <w:rsid w:val="007819FD"/>
    <w:rsid w:val="00782BD5"/>
    <w:rsid w:val="00785717"/>
    <w:rsid w:val="00785721"/>
    <w:rsid w:val="00793A59"/>
    <w:rsid w:val="00794F7B"/>
    <w:rsid w:val="007A2C0F"/>
    <w:rsid w:val="007A46F5"/>
    <w:rsid w:val="007A613D"/>
    <w:rsid w:val="007A6505"/>
    <w:rsid w:val="007B6132"/>
    <w:rsid w:val="007B6E9F"/>
    <w:rsid w:val="007C1216"/>
    <w:rsid w:val="007C1AF7"/>
    <w:rsid w:val="007C5B53"/>
    <w:rsid w:val="007C6B9B"/>
    <w:rsid w:val="007D53B6"/>
    <w:rsid w:val="007D584F"/>
    <w:rsid w:val="007D7598"/>
    <w:rsid w:val="007E42B0"/>
    <w:rsid w:val="007E581B"/>
    <w:rsid w:val="007F31D3"/>
    <w:rsid w:val="00804D99"/>
    <w:rsid w:val="00805D27"/>
    <w:rsid w:val="00806DCB"/>
    <w:rsid w:val="008110BC"/>
    <w:rsid w:val="0081415B"/>
    <w:rsid w:val="00821776"/>
    <w:rsid w:val="008251EC"/>
    <w:rsid w:val="008321F5"/>
    <w:rsid w:val="00832369"/>
    <w:rsid w:val="00833ED8"/>
    <w:rsid w:val="00834660"/>
    <w:rsid w:val="00836BC2"/>
    <w:rsid w:val="00847BCD"/>
    <w:rsid w:val="0085156D"/>
    <w:rsid w:val="00852B28"/>
    <w:rsid w:val="0085599E"/>
    <w:rsid w:val="00855B73"/>
    <w:rsid w:val="0085641B"/>
    <w:rsid w:val="00857136"/>
    <w:rsid w:val="00865B03"/>
    <w:rsid w:val="00866A62"/>
    <w:rsid w:val="00866BB8"/>
    <w:rsid w:val="00875A6B"/>
    <w:rsid w:val="00884315"/>
    <w:rsid w:val="00885B11"/>
    <w:rsid w:val="00886D15"/>
    <w:rsid w:val="00887DD8"/>
    <w:rsid w:val="00891BA9"/>
    <w:rsid w:val="008943F7"/>
    <w:rsid w:val="00896018"/>
    <w:rsid w:val="008960DD"/>
    <w:rsid w:val="0089635C"/>
    <w:rsid w:val="008A2B9D"/>
    <w:rsid w:val="008A3D9F"/>
    <w:rsid w:val="008A5E0B"/>
    <w:rsid w:val="008A6D59"/>
    <w:rsid w:val="008A7AC2"/>
    <w:rsid w:val="008B0CD5"/>
    <w:rsid w:val="008B18C8"/>
    <w:rsid w:val="008B4B03"/>
    <w:rsid w:val="008B596F"/>
    <w:rsid w:val="008B7AB4"/>
    <w:rsid w:val="008C159F"/>
    <w:rsid w:val="008C1623"/>
    <w:rsid w:val="008C1850"/>
    <w:rsid w:val="008C1F15"/>
    <w:rsid w:val="008C2728"/>
    <w:rsid w:val="008C51A9"/>
    <w:rsid w:val="008C659F"/>
    <w:rsid w:val="008E4A77"/>
    <w:rsid w:val="008E4ED2"/>
    <w:rsid w:val="008E7846"/>
    <w:rsid w:val="008F02E5"/>
    <w:rsid w:val="008F1CCC"/>
    <w:rsid w:val="008F2967"/>
    <w:rsid w:val="008F6943"/>
    <w:rsid w:val="008F7DC6"/>
    <w:rsid w:val="00902A21"/>
    <w:rsid w:val="0090360D"/>
    <w:rsid w:val="00907930"/>
    <w:rsid w:val="0091523F"/>
    <w:rsid w:val="00920330"/>
    <w:rsid w:val="0092133A"/>
    <w:rsid w:val="009219D7"/>
    <w:rsid w:val="00922D53"/>
    <w:rsid w:val="00923B70"/>
    <w:rsid w:val="00924482"/>
    <w:rsid w:val="00930237"/>
    <w:rsid w:val="00937C17"/>
    <w:rsid w:val="00940A89"/>
    <w:rsid w:val="00941F77"/>
    <w:rsid w:val="00946EA5"/>
    <w:rsid w:val="00951976"/>
    <w:rsid w:val="009556D7"/>
    <w:rsid w:val="00960520"/>
    <w:rsid w:val="00963C08"/>
    <w:rsid w:val="009708B7"/>
    <w:rsid w:val="009752A5"/>
    <w:rsid w:val="00981FED"/>
    <w:rsid w:val="0098585A"/>
    <w:rsid w:val="00985B85"/>
    <w:rsid w:val="009963AE"/>
    <w:rsid w:val="009A4CED"/>
    <w:rsid w:val="009A690D"/>
    <w:rsid w:val="009B1D12"/>
    <w:rsid w:val="009B1FEC"/>
    <w:rsid w:val="009B416B"/>
    <w:rsid w:val="009C4BD5"/>
    <w:rsid w:val="009D2AA2"/>
    <w:rsid w:val="009D7B77"/>
    <w:rsid w:val="009E0BB0"/>
    <w:rsid w:val="009E3FBB"/>
    <w:rsid w:val="009E5A87"/>
    <w:rsid w:val="009F087E"/>
    <w:rsid w:val="009F2673"/>
    <w:rsid w:val="009F2A3C"/>
    <w:rsid w:val="009F39F5"/>
    <w:rsid w:val="009F7353"/>
    <w:rsid w:val="00A049FD"/>
    <w:rsid w:val="00A04F85"/>
    <w:rsid w:val="00A05FA4"/>
    <w:rsid w:val="00A102E4"/>
    <w:rsid w:val="00A1219C"/>
    <w:rsid w:val="00A12C42"/>
    <w:rsid w:val="00A14DF7"/>
    <w:rsid w:val="00A22D57"/>
    <w:rsid w:val="00A3246D"/>
    <w:rsid w:val="00A35851"/>
    <w:rsid w:val="00A36FA7"/>
    <w:rsid w:val="00A37094"/>
    <w:rsid w:val="00A44DDB"/>
    <w:rsid w:val="00A475B7"/>
    <w:rsid w:val="00A47AF7"/>
    <w:rsid w:val="00A47C3E"/>
    <w:rsid w:val="00A50226"/>
    <w:rsid w:val="00A60BAD"/>
    <w:rsid w:val="00A67785"/>
    <w:rsid w:val="00A73759"/>
    <w:rsid w:val="00A77F87"/>
    <w:rsid w:val="00A80B5B"/>
    <w:rsid w:val="00A84E36"/>
    <w:rsid w:val="00A874FC"/>
    <w:rsid w:val="00A927D3"/>
    <w:rsid w:val="00A964D1"/>
    <w:rsid w:val="00AA0ED0"/>
    <w:rsid w:val="00AA3865"/>
    <w:rsid w:val="00AA4500"/>
    <w:rsid w:val="00AB2A14"/>
    <w:rsid w:val="00AB5CE7"/>
    <w:rsid w:val="00AB6E54"/>
    <w:rsid w:val="00AC2B40"/>
    <w:rsid w:val="00AC2BB2"/>
    <w:rsid w:val="00AC2C3C"/>
    <w:rsid w:val="00AC512D"/>
    <w:rsid w:val="00AC7A2C"/>
    <w:rsid w:val="00AD0083"/>
    <w:rsid w:val="00AD27E2"/>
    <w:rsid w:val="00AD3935"/>
    <w:rsid w:val="00AE50B8"/>
    <w:rsid w:val="00AE65EB"/>
    <w:rsid w:val="00AE67A7"/>
    <w:rsid w:val="00AF1D94"/>
    <w:rsid w:val="00AF2313"/>
    <w:rsid w:val="00AF2FD1"/>
    <w:rsid w:val="00AF60C5"/>
    <w:rsid w:val="00B009C6"/>
    <w:rsid w:val="00B01548"/>
    <w:rsid w:val="00B04034"/>
    <w:rsid w:val="00B130C5"/>
    <w:rsid w:val="00B13EBD"/>
    <w:rsid w:val="00B1406F"/>
    <w:rsid w:val="00B21D29"/>
    <w:rsid w:val="00B24E6A"/>
    <w:rsid w:val="00B25034"/>
    <w:rsid w:val="00B25C17"/>
    <w:rsid w:val="00B33588"/>
    <w:rsid w:val="00B33863"/>
    <w:rsid w:val="00B37084"/>
    <w:rsid w:val="00B37D17"/>
    <w:rsid w:val="00B41438"/>
    <w:rsid w:val="00B4175E"/>
    <w:rsid w:val="00B41C85"/>
    <w:rsid w:val="00B452CE"/>
    <w:rsid w:val="00B47846"/>
    <w:rsid w:val="00B54C25"/>
    <w:rsid w:val="00B75E02"/>
    <w:rsid w:val="00B76B91"/>
    <w:rsid w:val="00B77EB1"/>
    <w:rsid w:val="00B811C6"/>
    <w:rsid w:val="00B8144C"/>
    <w:rsid w:val="00B855B0"/>
    <w:rsid w:val="00B9020D"/>
    <w:rsid w:val="00B91177"/>
    <w:rsid w:val="00B92E08"/>
    <w:rsid w:val="00B9416D"/>
    <w:rsid w:val="00BA141E"/>
    <w:rsid w:val="00BA6A6F"/>
    <w:rsid w:val="00BB0B78"/>
    <w:rsid w:val="00BB75D6"/>
    <w:rsid w:val="00BC29CC"/>
    <w:rsid w:val="00BC622A"/>
    <w:rsid w:val="00BD3778"/>
    <w:rsid w:val="00BE0A78"/>
    <w:rsid w:val="00BE362A"/>
    <w:rsid w:val="00BE6542"/>
    <w:rsid w:val="00BE79F0"/>
    <w:rsid w:val="00BF046D"/>
    <w:rsid w:val="00BF1190"/>
    <w:rsid w:val="00BF3774"/>
    <w:rsid w:val="00BF5D04"/>
    <w:rsid w:val="00BF7063"/>
    <w:rsid w:val="00C009AA"/>
    <w:rsid w:val="00C07281"/>
    <w:rsid w:val="00C1164D"/>
    <w:rsid w:val="00C16861"/>
    <w:rsid w:val="00C27AAC"/>
    <w:rsid w:val="00C34133"/>
    <w:rsid w:val="00C346AB"/>
    <w:rsid w:val="00C404A6"/>
    <w:rsid w:val="00C40A36"/>
    <w:rsid w:val="00C4122B"/>
    <w:rsid w:val="00C44147"/>
    <w:rsid w:val="00C44419"/>
    <w:rsid w:val="00C45E7B"/>
    <w:rsid w:val="00C471B1"/>
    <w:rsid w:val="00C51226"/>
    <w:rsid w:val="00C525A2"/>
    <w:rsid w:val="00C52E24"/>
    <w:rsid w:val="00C6316B"/>
    <w:rsid w:val="00C634A9"/>
    <w:rsid w:val="00C638BD"/>
    <w:rsid w:val="00C64586"/>
    <w:rsid w:val="00C66951"/>
    <w:rsid w:val="00C70A36"/>
    <w:rsid w:val="00C70D53"/>
    <w:rsid w:val="00C73D0B"/>
    <w:rsid w:val="00C74F5C"/>
    <w:rsid w:val="00C772FF"/>
    <w:rsid w:val="00C80137"/>
    <w:rsid w:val="00C801AF"/>
    <w:rsid w:val="00C80256"/>
    <w:rsid w:val="00C82D1E"/>
    <w:rsid w:val="00C87817"/>
    <w:rsid w:val="00C94CD4"/>
    <w:rsid w:val="00C97066"/>
    <w:rsid w:val="00C9747E"/>
    <w:rsid w:val="00CB6BC0"/>
    <w:rsid w:val="00CB787E"/>
    <w:rsid w:val="00CB7B1C"/>
    <w:rsid w:val="00CC1B7C"/>
    <w:rsid w:val="00CC5044"/>
    <w:rsid w:val="00CC727F"/>
    <w:rsid w:val="00CF09D1"/>
    <w:rsid w:val="00CF15C3"/>
    <w:rsid w:val="00CF2B6F"/>
    <w:rsid w:val="00CF2F3E"/>
    <w:rsid w:val="00CF58B6"/>
    <w:rsid w:val="00CF5DAD"/>
    <w:rsid w:val="00D0062D"/>
    <w:rsid w:val="00D017ED"/>
    <w:rsid w:val="00D040D3"/>
    <w:rsid w:val="00D04C65"/>
    <w:rsid w:val="00D153D8"/>
    <w:rsid w:val="00D168F9"/>
    <w:rsid w:val="00D201D2"/>
    <w:rsid w:val="00D212F3"/>
    <w:rsid w:val="00D224FE"/>
    <w:rsid w:val="00D23139"/>
    <w:rsid w:val="00D252DF"/>
    <w:rsid w:val="00D425BB"/>
    <w:rsid w:val="00D453FA"/>
    <w:rsid w:val="00D55CB7"/>
    <w:rsid w:val="00D56348"/>
    <w:rsid w:val="00D640BA"/>
    <w:rsid w:val="00D6493E"/>
    <w:rsid w:val="00D67064"/>
    <w:rsid w:val="00D7195D"/>
    <w:rsid w:val="00D72CBA"/>
    <w:rsid w:val="00D7301E"/>
    <w:rsid w:val="00D737DD"/>
    <w:rsid w:val="00D749B7"/>
    <w:rsid w:val="00D83AE1"/>
    <w:rsid w:val="00D854AC"/>
    <w:rsid w:val="00D855D4"/>
    <w:rsid w:val="00D902C9"/>
    <w:rsid w:val="00D93466"/>
    <w:rsid w:val="00DA1124"/>
    <w:rsid w:val="00DA2256"/>
    <w:rsid w:val="00DA64CB"/>
    <w:rsid w:val="00DB06B8"/>
    <w:rsid w:val="00DB20F5"/>
    <w:rsid w:val="00DB6124"/>
    <w:rsid w:val="00DB6400"/>
    <w:rsid w:val="00DB750B"/>
    <w:rsid w:val="00DB75B7"/>
    <w:rsid w:val="00DC0A2F"/>
    <w:rsid w:val="00DC1948"/>
    <w:rsid w:val="00DC6E02"/>
    <w:rsid w:val="00DC7E9E"/>
    <w:rsid w:val="00DD28CD"/>
    <w:rsid w:val="00DE02AE"/>
    <w:rsid w:val="00DE0590"/>
    <w:rsid w:val="00DE39D1"/>
    <w:rsid w:val="00DE537F"/>
    <w:rsid w:val="00DF1D7F"/>
    <w:rsid w:val="00DF4BE4"/>
    <w:rsid w:val="00DF6DE5"/>
    <w:rsid w:val="00DF7A71"/>
    <w:rsid w:val="00DF7C6F"/>
    <w:rsid w:val="00DF7E6F"/>
    <w:rsid w:val="00E02382"/>
    <w:rsid w:val="00E02FB4"/>
    <w:rsid w:val="00E07E46"/>
    <w:rsid w:val="00E13FC7"/>
    <w:rsid w:val="00E1578A"/>
    <w:rsid w:val="00E20571"/>
    <w:rsid w:val="00E235F7"/>
    <w:rsid w:val="00E23659"/>
    <w:rsid w:val="00E239D4"/>
    <w:rsid w:val="00E26130"/>
    <w:rsid w:val="00E33D42"/>
    <w:rsid w:val="00E40B22"/>
    <w:rsid w:val="00E44ED1"/>
    <w:rsid w:val="00E45619"/>
    <w:rsid w:val="00E4588F"/>
    <w:rsid w:val="00E46DA3"/>
    <w:rsid w:val="00E51BB1"/>
    <w:rsid w:val="00E55AA5"/>
    <w:rsid w:val="00E55B7B"/>
    <w:rsid w:val="00E55CB0"/>
    <w:rsid w:val="00E60868"/>
    <w:rsid w:val="00E624A5"/>
    <w:rsid w:val="00E64BA4"/>
    <w:rsid w:val="00E7344E"/>
    <w:rsid w:val="00E82665"/>
    <w:rsid w:val="00E87248"/>
    <w:rsid w:val="00E90E25"/>
    <w:rsid w:val="00EA0293"/>
    <w:rsid w:val="00EA2E57"/>
    <w:rsid w:val="00EA4359"/>
    <w:rsid w:val="00EB0798"/>
    <w:rsid w:val="00EB30B7"/>
    <w:rsid w:val="00EB36D6"/>
    <w:rsid w:val="00EB40AD"/>
    <w:rsid w:val="00EB44DF"/>
    <w:rsid w:val="00EB586E"/>
    <w:rsid w:val="00EB5FC8"/>
    <w:rsid w:val="00EC463D"/>
    <w:rsid w:val="00EC7A85"/>
    <w:rsid w:val="00ED2922"/>
    <w:rsid w:val="00ED3CAD"/>
    <w:rsid w:val="00ED5A41"/>
    <w:rsid w:val="00ED76B5"/>
    <w:rsid w:val="00EE1C05"/>
    <w:rsid w:val="00EE1DE8"/>
    <w:rsid w:val="00EE27C2"/>
    <w:rsid w:val="00EE4B23"/>
    <w:rsid w:val="00EF1B48"/>
    <w:rsid w:val="00EF4BAD"/>
    <w:rsid w:val="00EF56AE"/>
    <w:rsid w:val="00EF59DC"/>
    <w:rsid w:val="00EF6E36"/>
    <w:rsid w:val="00F01CD2"/>
    <w:rsid w:val="00F033EC"/>
    <w:rsid w:val="00F04F68"/>
    <w:rsid w:val="00F12670"/>
    <w:rsid w:val="00F14B27"/>
    <w:rsid w:val="00F23ECB"/>
    <w:rsid w:val="00F24E9C"/>
    <w:rsid w:val="00F3148D"/>
    <w:rsid w:val="00F325C5"/>
    <w:rsid w:val="00F32A70"/>
    <w:rsid w:val="00F32FE0"/>
    <w:rsid w:val="00F33E2A"/>
    <w:rsid w:val="00F35298"/>
    <w:rsid w:val="00F367AD"/>
    <w:rsid w:val="00F37677"/>
    <w:rsid w:val="00F438EE"/>
    <w:rsid w:val="00F47333"/>
    <w:rsid w:val="00F47E37"/>
    <w:rsid w:val="00F52523"/>
    <w:rsid w:val="00F53C07"/>
    <w:rsid w:val="00F54B65"/>
    <w:rsid w:val="00F63DBF"/>
    <w:rsid w:val="00F640B6"/>
    <w:rsid w:val="00F65950"/>
    <w:rsid w:val="00F66DF2"/>
    <w:rsid w:val="00F755EE"/>
    <w:rsid w:val="00F80E40"/>
    <w:rsid w:val="00F848D9"/>
    <w:rsid w:val="00F868E1"/>
    <w:rsid w:val="00F931CE"/>
    <w:rsid w:val="00F95362"/>
    <w:rsid w:val="00FA25E0"/>
    <w:rsid w:val="00FA45B1"/>
    <w:rsid w:val="00FA4BBA"/>
    <w:rsid w:val="00FA5069"/>
    <w:rsid w:val="00FA5B82"/>
    <w:rsid w:val="00FA639E"/>
    <w:rsid w:val="00FA6DBF"/>
    <w:rsid w:val="00FA7A3D"/>
    <w:rsid w:val="00FB2EBB"/>
    <w:rsid w:val="00FB78FC"/>
    <w:rsid w:val="00FC1FCA"/>
    <w:rsid w:val="00FC25E4"/>
    <w:rsid w:val="00FC4EF7"/>
    <w:rsid w:val="00FD0824"/>
    <w:rsid w:val="00FD119B"/>
    <w:rsid w:val="00FD1EDC"/>
    <w:rsid w:val="00FE1DEE"/>
    <w:rsid w:val="00FE3E0A"/>
    <w:rsid w:val="00FE5224"/>
    <w:rsid w:val="00FE638A"/>
    <w:rsid w:val="00FF2126"/>
    <w:rsid w:val="00FF5755"/>
    <w:rsid w:val="00FF69BE"/>
    <w:rsid w:val="00FF7B93"/>
    <w:rsid w:val="0B3CC679"/>
    <w:rsid w:val="1B00DCC5"/>
    <w:rsid w:val="2450902B"/>
    <w:rsid w:val="27325EC0"/>
    <w:rsid w:val="2D46AE2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7E26DA1D"/>
  <w15:docId w15:val="{0713A25C-6A0A-4E29-BFE2-9A3D3E057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5302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Verdana" w:hAnsi="Verdan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Verdana" w:hAnsi="Verdan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Verdana" w:hAnsi="Verdan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customStyle="1" w:styleId="Default">
    <w:name w:val="Default"/>
    <w:rsid w:val="00BA6A6F"/>
    <w:pPr>
      <w:autoSpaceDE w:val="0"/>
      <w:autoSpaceDN w:val="0"/>
      <w:adjustRightInd w:val="0"/>
      <w:spacing w:after="0" w:line="240" w:lineRule="auto"/>
    </w:pPr>
    <w:rPr>
      <w:rFonts w:ascii="Cambria" w:hAnsi="Cambria" w:cs="Cambria"/>
      <w:color w:val="000000"/>
      <w:sz w:val="24"/>
      <w:szCs w:val="24"/>
    </w:rPr>
  </w:style>
  <w:style w:type="character" w:customStyle="1" w:styleId="jpfdse">
    <w:name w:val="jpfdse"/>
    <w:basedOn w:val="DefaultParagraphFont"/>
    <w:rsid w:val="002C3655"/>
  </w:style>
  <w:style w:type="character" w:customStyle="1" w:styleId="TabletextChar">
    <w:name w:val="Table text Char"/>
    <w:basedOn w:val="DefaultParagraphFont"/>
    <w:link w:val="Tabletext"/>
    <w:rsid w:val="00DB6400"/>
    <w:rPr>
      <w:rFonts w:ascii="Cambria" w:eastAsia="Cambria" w:hAnsi="Cambria" w:cs="Times New Roman"/>
      <w:sz w:val="19"/>
    </w:rPr>
  </w:style>
  <w:style w:type="paragraph" w:customStyle="1" w:styleId="Standard">
    <w:name w:val="Standard"/>
    <w:basedOn w:val="Normal"/>
    <w:link w:val="StandardChar"/>
    <w:qFormat/>
    <w:rsid w:val="00DB6400"/>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DB6400"/>
    <w:rPr>
      <w:rFonts w:ascii="Cambria" w:eastAsia="Times New Roman" w:hAnsi="Cambria" w:cs="Times New Roman"/>
      <w:snapToGrid w:val="0"/>
      <w:kern w:val="16"/>
      <w:sz w:val="23"/>
      <w:szCs w:val="24"/>
    </w:rPr>
  </w:style>
  <w:style w:type="character" w:customStyle="1" w:styleId="Mention1">
    <w:name w:val="Mention1"/>
    <w:basedOn w:val="DefaultParagraphFont"/>
    <w:uiPriority w:val="99"/>
    <w:unhideWhenUsed/>
    <w:rsid w:val="008A7AC2"/>
    <w:rPr>
      <w:color w:val="2B579A"/>
      <w:shd w:val="clear" w:color="auto" w:fill="E1DFDD"/>
    </w:rPr>
  </w:style>
  <w:style w:type="character" w:customStyle="1" w:styleId="tbl-forms-span">
    <w:name w:val="tbl-forms-span"/>
    <w:basedOn w:val="DefaultParagraphFont"/>
    <w:rsid w:val="00DE537F"/>
  </w:style>
  <w:style w:type="character" w:customStyle="1" w:styleId="glossary">
    <w:name w:val="glossary"/>
    <w:basedOn w:val="DefaultParagraphFont"/>
    <w:rsid w:val="00DE537F"/>
  </w:style>
  <w:style w:type="character" w:customStyle="1" w:styleId="elementor-button-text">
    <w:name w:val="elementor-button-text"/>
    <w:basedOn w:val="DefaultParagraphFont"/>
    <w:rsid w:val="00DE5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715216">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277301856">
      <w:bodyDiv w:val="1"/>
      <w:marLeft w:val="0"/>
      <w:marRight w:val="0"/>
      <w:marTop w:val="0"/>
      <w:marBottom w:val="0"/>
      <w:divBdr>
        <w:top w:val="none" w:sz="0" w:space="0" w:color="auto"/>
        <w:left w:val="none" w:sz="0" w:space="0" w:color="auto"/>
        <w:bottom w:val="none" w:sz="0" w:space="0" w:color="auto"/>
        <w:right w:val="none" w:sz="0" w:space="0" w:color="auto"/>
      </w:divBdr>
    </w:div>
    <w:div w:id="323242516">
      <w:bodyDiv w:val="1"/>
      <w:marLeft w:val="0"/>
      <w:marRight w:val="0"/>
      <w:marTop w:val="0"/>
      <w:marBottom w:val="0"/>
      <w:divBdr>
        <w:top w:val="none" w:sz="0" w:space="0" w:color="auto"/>
        <w:left w:val="none" w:sz="0" w:space="0" w:color="auto"/>
        <w:bottom w:val="none" w:sz="0" w:space="0" w:color="auto"/>
        <w:right w:val="none" w:sz="0" w:space="0" w:color="auto"/>
      </w:divBdr>
    </w:div>
    <w:div w:id="335151588">
      <w:bodyDiv w:val="1"/>
      <w:marLeft w:val="0"/>
      <w:marRight w:val="0"/>
      <w:marTop w:val="0"/>
      <w:marBottom w:val="0"/>
      <w:divBdr>
        <w:top w:val="none" w:sz="0" w:space="0" w:color="auto"/>
        <w:left w:val="none" w:sz="0" w:space="0" w:color="auto"/>
        <w:bottom w:val="none" w:sz="0" w:space="0" w:color="auto"/>
        <w:right w:val="none" w:sz="0" w:space="0" w:color="auto"/>
      </w:divBdr>
      <w:divsChild>
        <w:div w:id="123743365">
          <w:marLeft w:val="0"/>
          <w:marRight w:val="0"/>
          <w:marTop w:val="0"/>
          <w:marBottom w:val="0"/>
          <w:divBdr>
            <w:top w:val="none" w:sz="0" w:space="0" w:color="auto"/>
            <w:left w:val="none" w:sz="0" w:space="0" w:color="auto"/>
            <w:bottom w:val="none" w:sz="0" w:space="0" w:color="auto"/>
            <w:right w:val="none" w:sz="0" w:space="0" w:color="auto"/>
          </w:divBdr>
          <w:divsChild>
            <w:div w:id="1298802738">
              <w:marLeft w:val="0"/>
              <w:marRight w:val="0"/>
              <w:marTop w:val="0"/>
              <w:marBottom w:val="0"/>
              <w:divBdr>
                <w:top w:val="none" w:sz="0" w:space="0" w:color="auto"/>
                <w:left w:val="none" w:sz="0" w:space="0" w:color="auto"/>
                <w:bottom w:val="none" w:sz="0" w:space="0" w:color="auto"/>
                <w:right w:val="none" w:sz="0" w:space="0" w:color="auto"/>
              </w:divBdr>
              <w:divsChild>
                <w:div w:id="521867891">
                  <w:marLeft w:val="0"/>
                  <w:marRight w:val="0"/>
                  <w:marTop w:val="0"/>
                  <w:marBottom w:val="0"/>
                  <w:divBdr>
                    <w:top w:val="none" w:sz="0" w:space="0" w:color="auto"/>
                    <w:left w:val="none" w:sz="0" w:space="0" w:color="auto"/>
                    <w:bottom w:val="none" w:sz="0" w:space="0" w:color="auto"/>
                    <w:right w:val="none" w:sz="0" w:space="0" w:color="auto"/>
                  </w:divBdr>
                  <w:divsChild>
                    <w:div w:id="1828009828">
                      <w:marLeft w:val="0"/>
                      <w:marRight w:val="0"/>
                      <w:marTop w:val="0"/>
                      <w:marBottom w:val="0"/>
                      <w:divBdr>
                        <w:top w:val="none" w:sz="0" w:space="0" w:color="auto"/>
                        <w:left w:val="none" w:sz="0" w:space="0" w:color="auto"/>
                        <w:bottom w:val="none" w:sz="0" w:space="0" w:color="auto"/>
                        <w:right w:val="none" w:sz="0" w:space="0" w:color="auto"/>
                      </w:divBdr>
                      <w:divsChild>
                        <w:div w:id="795106320">
                          <w:marLeft w:val="0"/>
                          <w:marRight w:val="0"/>
                          <w:marTop w:val="0"/>
                          <w:marBottom w:val="0"/>
                          <w:divBdr>
                            <w:top w:val="none" w:sz="0" w:space="0" w:color="auto"/>
                            <w:left w:val="none" w:sz="0" w:space="0" w:color="auto"/>
                            <w:bottom w:val="none" w:sz="0" w:space="0" w:color="auto"/>
                            <w:right w:val="none" w:sz="0" w:space="0" w:color="auto"/>
                          </w:divBdr>
                          <w:divsChild>
                            <w:div w:id="1107192627">
                              <w:marLeft w:val="0"/>
                              <w:marRight w:val="0"/>
                              <w:marTop w:val="0"/>
                              <w:marBottom w:val="0"/>
                              <w:divBdr>
                                <w:top w:val="none" w:sz="0" w:space="0" w:color="auto"/>
                                <w:left w:val="none" w:sz="0" w:space="0" w:color="auto"/>
                                <w:bottom w:val="none" w:sz="0" w:space="0" w:color="auto"/>
                                <w:right w:val="none" w:sz="0" w:space="0" w:color="auto"/>
                              </w:divBdr>
                              <w:divsChild>
                                <w:div w:id="2132282160">
                                  <w:marLeft w:val="0"/>
                                  <w:marRight w:val="0"/>
                                  <w:marTop w:val="0"/>
                                  <w:marBottom w:val="0"/>
                                  <w:divBdr>
                                    <w:top w:val="none" w:sz="0" w:space="0" w:color="auto"/>
                                    <w:left w:val="none" w:sz="0" w:space="0" w:color="auto"/>
                                    <w:bottom w:val="none" w:sz="0" w:space="0" w:color="auto"/>
                                    <w:right w:val="none" w:sz="0" w:space="0" w:color="auto"/>
                                  </w:divBdr>
                                  <w:divsChild>
                                    <w:div w:id="1146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052878">
                          <w:marLeft w:val="0"/>
                          <w:marRight w:val="0"/>
                          <w:marTop w:val="0"/>
                          <w:marBottom w:val="0"/>
                          <w:divBdr>
                            <w:top w:val="none" w:sz="0" w:space="0" w:color="auto"/>
                            <w:left w:val="none" w:sz="0" w:space="0" w:color="auto"/>
                            <w:bottom w:val="none" w:sz="0" w:space="0" w:color="auto"/>
                            <w:right w:val="none" w:sz="0" w:space="0" w:color="auto"/>
                          </w:divBdr>
                          <w:divsChild>
                            <w:div w:id="1476678299">
                              <w:marLeft w:val="0"/>
                              <w:marRight w:val="0"/>
                              <w:marTop w:val="0"/>
                              <w:marBottom w:val="0"/>
                              <w:divBdr>
                                <w:top w:val="none" w:sz="0" w:space="0" w:color="auto"/>
                                <w:left w:val="none" w:sz="0" w:space="0" w:color="auto"/>
                                <w:bottom w:val="none" w:sz="0" w:space="0" w:color="auto"/>
                                <w:right w:val="none" w:sz="0" w:space="0" w:color="auto"/>
                              </w:divBdr>
                              <w:divsChild>
                                <w:div w:id="2031294468">
                                  <w:marLeft w:val="0"/>
                                  <w:marRight w:val="0"/>
                                  <w:marTop w:val="0"/>
                                  <w:marBottom w:val="0"/>
                                  <w:divBdr>
                                    <w:top w:val="none" w:sz="0" w:space="0" w:color="auto"/>
                                    <w:left w:val="none" w:sz="0" w:space="0" w:color="auto"/>
                                    <w:bottom w:val="none" w:sz="0" w:space="0" w:color="auto"/>
                                    <w:right w:val="none" w:sz="0" w:space="0" w:color="auto"/>
                                  </w:divBdr>
                                  <w:divsChild>
                                    <w:div w:id="17903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41490">
                          <w:marLeft w:val="0"/>
                          <w:marRight w:val="0"/>
                          <w:marTop w:val="0"/>
                          <w:marBottom w:val="0"/>
                          <w:divBdr>
                            <w:top w:val="none" w:sz="0" w:space="0" w:color="auto"/>
                            <w:left w:val="none" w:sz="0" w:space="0" w:color="auto"/>
                            <w:bottom w:val="none" w:sz="0" w:space="0" w:color="auto"/>
                            <w:right w:val="none" w:sz="0" w:space="0" w:color="auto"/>
                          </w:divBdr>
                          <w:divsChild>
                            <w:div w:id="789472518">
                              <w:marLeft w:val="0"/>
                              <w:marRight w:val="0"/>
                              <w:marTop w:val="0"/>
                              <w:marBottom w:val="0"/>
                              <w:divBdr>
                                <w:top w:val="none" w:sz="0" w:space="0" w:color="auto"/>
                                <w:left w:val="none" w:sz="0" w:space="0" w:color="auto"/>
                                <w:bottom w:val="none" w:sz="0" w:space="0" w:color="auto"/>
                                <w:right w:val="none" w:sz="0" w:space="0" w:color="auto"/>
                              </w:divBdr>
                              <w:divsChild>
                                <w:div w:id="194584052">
                                  <w:marLeft w:val="0"/>
                                  <w:marRight w:val="0"/>
                                  <w:marTop w:val="0"/>
                                  <w:marBottom w:val="0"/>
                                  <w:divBdr>
                                    <w:top w:val="none" w:sz="0" w:space="0" w:color="auto"/>
                                    <w:left w:val="none" w:sz="0" w:space="0" w:color="auto"/>
                                    <w:bottom w:val="none" w:sz="0" w:space="0" w:color="auto"/>
                                    <w:right w:val="none" w:sz="0" w:space="0" w:color="auto"/>
                                  </w:divBdr>
                                  <w:divsChild>
                                    <w:div w:id="126769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84602">
                          <w:marLeft w:val="0"/>
                          <w:marRight w:val="0"/>
                          <w:marTop w:val="0"/>
                          <w:marBottom w:val="0"/>
                          <w:divBdr>
                            <w:top w:val="none" w:sz="0" w:space="0" w:color="auto"/>
                            <w:left w:val="none" w:sz="0" w:space="0" w:color="auto"/>
                            <w:bottom w:val="none" w:sz="0" w:space="0" w:color="auto"/>
                            <w:right w:val="none" w:sz="0" w:space="0" w:color="auto"/>
                          </w:divBdr>
                          <w:divsChild>
                            <w:div w:id="1784767621">
                              <w:marLeft w:val="0"/>
                              <w:marRight w:val="0"/>
                              <w:marTop w:val="0"/>
                              <w:marBottom w:val="0"/>
                              <w:divBdr>
                                <w:top w:val="none" w:sz="0" w:space="0" w:color="auto"/>
                                <w:left w:val="none" w:sz="0" w:space="0" w:color="auto"/>
                                <w:bottom w:val="none" w:sz="0" w:space="0" w:color="auto"/>
                                <w:right w:val="none" w:sz="0" w:space="0" w:color="auto"/>
                              </w:divBdr>
                              <w:divsChild>
                                <w:div w:id="422603102">
                                  <w:marLeft w:val="0"/>
                                  <w:marRight w:val="0"/>
                                  <w:marTop w:val="0"/>
                                  <w:marBottom w:val="0"/>
                                  <w:divBdr>
                                    <w:top w:val="none" w:sz="0" w:space="0" w:color="auto"/>
                                    <w:left w:val="none" w:sz="0" w:space="0" w:color="auto"/>
                                    <w:bottom w:val="none" w:sz="0" w:space="0" w:color="auto"/>
                                    <w:right w:val="none" w:sz="0" w:space="0" w:color="auto"/>
                                  </w:divBdr>
                                  <w:divsChild>
                                    <w:div w:id="515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6903">
                          <w:marLeft w:val="0"/>
                          <w:marRight w:val="0"/>
                          <w:marTop w:val="0"/>
                          <w:marBottom w:val="0"/>
                          <w:divBdr>
                            <w:top w:val="none" w:sz="0" w:space="0" w:color="auto"/>
                            <w:left w:val="none" w:sz="0" w:space="0" w:color="auto"/>
                            <w:bottom w:val="none" w:sz="0" w:space="0" w:color="auto"/>
                            <w:right w:val="none" w:sz="0" w:space="0" w:color="auto"/>
                          </w:divBdr>
                          <w:divsChild>
                            <w:div w:id="1402018163">
                              <w:marLeft w:val="0"/>
                              <w:marRight w:val="0"/>
                              <w:marTop w:val="0"/>
                              <w:marBottom w:val="0"/>
                              <w:divBdr>
                                <w:top w:val="none" w:sz="0" w:space="0" w:color="auto"/>
                                <w:left w:val="none" w:sz="0" w:space="0" w:color="auto"/>
                                <w:bottom w:val="none" w:sz="0" w:space="0" w:color="auto"/>
                                <w:right w:val="none" w:sz="0" w:space="0" w:color="auto"/>
                              </w:divBdr>
                              <w:divsChild>
                                <w:div w:id="1285768022">
                                  <w:marLeft w:val="0"/>
                                  <w:marRight w:val="0"/>
                                  <w:marTop w:val="0"/>
                                  <w:marBottom w:val="0"/>
                                  <w:divBdr>
                                    <w:top w:val="none" w:sz="0" w:space="0" w:color="auto"/>
                                    <w:left w:val="none" w:sz="0" w:space="0" w:color="auto"/>
                                    <w:bottom w:val="none" w:sz="0" w:space="0" w:color="auto"/>
                                    <w:right w:val="none" w:sz="0" w:space="0" w:color="auto"/>
                                  </w:divBdr>
                                  <w:divsChild>
                                    <w:div w:id="37639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13148">
          <w:marLeft w:val="0"/>
          <w:marRight w:val="0"/>
          <w:marTop w:val="0"/>
          <w:marBottom w:val="0"/>
          <w:divBdr>
            <w:top w:val="none" w:sz="0" w:space="0" w:color="auto"/>
            <w:left w:val="none" w:sz="0" w:space="0" w:color="auto"/>
            <w:bottom w:val="none" w:sz="0" w:space="0" w:color="auto"/>
            <w:right w:val="none" w:sz="0" w:space="0" w:color="auto"/>
          </w:divBdr>
          <w:divsChild>
            <w:div w:id="1306856606">
              <w:marLeft w:val="0"/>
              <w:marRight w:val="0"/>
              <w:marTop w:val="0"/>
              <w:marBottom w:val="0"/>
              <w:divBdr>
                <w:top w:val="none" w:sz="0" w:space="0" w:color="auto"/>
                <w:left w:val="none" w:sz="0" w:space="0" w:color="auto"/>
                <w:bottom w:val="none" w:sz="0" w:space="0" w:color="auto"/>
                <w:right w:val="none" w:sz="0" w:space="0" w:color="auto"/>
              </w:divBdr>
              <w:divsChild>
                <w:div w:id="5518241">
                  <w:marLeft w:val="0"/>
                  <w:marRight w:val="0"/>
                  <w:marTop w:val="0"/>
                  <w:marBottom w:val="0"/>
                  <w:divBdr>
                    <w:top w:val="none" w:sz="0" w:space="0" w:color="auto"/>
                    <w:left w:val="none" w:sz="0" w:space="0" w:color="auto"/>
                    <w:bottom w:val="none" w:sz="0" w:space="0" w:color="auto"/>
                    <w:right w:val="none" w:sz="0" w:space="0" w:color="auto"/>
                  </w:divBdr>
                  <w:divsChild>
                    <w:div w:id="1516529254">
                      <w:marLeft w:val="0"/>
                      <w:marRight w:val="0"/>
                      <w:marTop w:val="0"/>
                      <w:marBottom w:val="0"/>
                      <w:divBdr>
                        <w:top w:val="none" w:sz="0" w:space="0" w:color="auto"/>
                        <w:left w:val="none" w:sz="0" w:space="0" w:color="auto"/>
                        <w:bottom w:val="none" w:sz="0" w:space="0" w:color="auto"/>
                        <w:right w:val="none" w:sz="0" w:space="0" w:color="auto"/>
                      </w:divBdr>
                      <w:divsChild>
                        <w:div w:id="319845266">
                          <w:marLeft w:val="0"/>
                          <w:marRight w:val="0"/>
                          <w:marTop w:val="0"/>
                          <w:marBottom w:val="0"/>
                          <w:divBdr>
                            <w:top w:val="none" w:sz="0" w:space="0" w:color="auto"/>
                            <w:left w:val="none" w:sz="0" w:space="0" w:color="auto"/>
                            <w:bottom w:val="none" w:sz="0" w:space="0" w:color="auto"/>
                            <w:right w:val="none" w:sz="0" w:space="0" w:color="auto"/>
                          </w:divBdr>
                          <w:divsChild>
                            <w:div w:id="1866559870">
                              <w:marLeft w:val="0"/>
                              <w:marRight w:val="0"/>
                              <w:marTop w:val="0"/>
                              <w:marBottom w:val="0"/>
                              <w:divBdr>
                                <w:top w:val="none" w:sz="0" w:space="0" w:color="auto"/>
                                <w:left w:val="none" w:sz="0" w:space="0" w:color="auto"/>
                                <w:bottom w:val="none" w:sz="0" w:space="0" w:color="auto"/>
                                <w:right w:val="none" w:sz="0" w:space="0" w:color="auto"/>
                              </w:divBdr>
                              <w:divsChild>
                                <w:div w:id="733747068">
                                  <w:marLeft w:val="0"/>
                                  <w:marRight w:val="0"/>
                                  <w:marTop w:val="0"/>
                                  <w:marBottom w:val="0"/>
                                  <w:divBdr>
                                    <w:top w:val="none" w:sz="0" w:space="0" w:color="auto"/>
                                    <w:left w:val="none" w:sz="0" w:space="0" w:color="auto"/>
                                    <w:bottom w:val="none" w:sz="0" w:space="0" w:color="auto"/>
                                    <w:right w:val="none" w:sz="0" w:space="0" w:color="auto"/>
                                  </w:divBdr>
                                  <w:divsChild>
                                    <w:div w:id="12898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746357">
                          <w:marLeft w:val="0"/>
                          <w:marRight w:val="0"/>
                          <w:marTop w:val="0"/>
                          <w:marBottom w:val="0"/>
                          <w:divBdr>
                            <w:top w:val="none" w:sz="0" w:space="0" w:color="auto"/>
                            <w:left w:val="none" w:sz="0" w:space="0" w:color="auto"/>
                            <w:bottom w:val="none" w:sz="0" w:space="0" w:color="auto"/>
                            <w:right w:val="none" w:sz="0" w:space="0" w:color="auto"/>
                          </w:divBdr>
                          <w:divsChild>
                            <w:div w:id="688721374">
                              <w:marLeft w:val="0"/>
                              <w:marRight w:val="0"/>
                              <w:marTop w:val="0"/>
                              <w:marBottom w:val="0"/>
                              <w:divBdr>
                                <w:top w:val="none" w:sz="0" w:space="0" w:color="auto"/>
                                <w:left w:val="none" w:sz="0" w:space="0" w:color="auto"/>
                                <w:bottom w:val="none" w:sz="0" w:space="0" w:color="auto"/>
                                <w:right w:val="none" w:sz="0" w:space="0" w:color="auto"/>
                              </w:divBdr>
                              <w:divsChild>
                                <w:div w:id="1300114439">
                                  <w:marLeft w:val="0"/>
                                  <w:marRight w:val="0"/>
                                  <w:marTop w:val="0"/>
                                  <w:marBottom w:val="0"/>
                                  <w:divBdr>
                                    <w:top w:val="none" w:sz="0" w:space="0" w:color="auto"/>
                                    <w:left w:val="none" w:sz="0" w:space="0" w:color="auto"/>
                                    <w:bottom w:val="none" w:sz="0" w:space="0" w:color="auto"/>
                                    <w:right w:val="none" w:sz="0" w:space="0" w:color="auto"/>
                                  </w:divBdr>
                                  <w:divsChild>
                                    <w:div w:id="118405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84347">
                          <w:marLeft w:val="0"/>
                          <w:marRight w:val="0"/>
                          <w:marTop w:val="0"/>
                          <w:marBottom w:val="0"/>
                          <w:divBdr>
                            <w:top w:val="none" w:sz="0" w:space="0" w:color="auto"/>
                            <w:left w:val="none" w:sz="0" w:space="0" w:color="auto"/>
                            <w:bottom w:val="none" w:sz="0" w:space="0" w:color="auto"/>
                            <w:right w:val="none" w:sz="0" w:space="0" w:color="auto"/>
                          </w:divBdr>
                          <w:divsChild>
                            <w:div w:id="686491016">
                              <w:marLeft w:val="0"/>
                              <w:marRight w:val="0"/>
                              <w:marTop w:val="0"/>
                              <w:marBottom w:val="0"/>
                              <w:divBdr>
                                <w:top w:val="none" w:sz="0" w:space="0" w:color="auto"/>
                                <w:left w:val="none" w:sz="0" w:space="0" w:color="auto"/>
                                <w:bottom w:val="none" w:sz="0" w:space="0" w:color="auto"/>
                                <w:right w:val="none" w:sz="0" w:space="0" w:color="auto"/>
                              </w:divBdr>
                              <w:divsChild>
                                <w:div w:id="650058254">
                                  <w:marLeft w:val="0"/>
                                  <w:marRight w:val="0"/>
                                  <w:marTop w:val="0"/>
                                  <w:marBottom w:val="0"/>
                                  <w:divBdr>
                                    <w:top w:val="none" w:sz="0" w:space="0" w:color="auto"/>
                                    <w:left w:val="none" w:sz="0" w:space="0" w:color="auto"/>
                                    <w:bottom w:val="none" w:sz="0" w:space="0" w:color="auto"/>
                                    <w:right w:val="none" w:sz="0" w:space="0" w:color="auto"/>
                                  </w:divBdr>
                                  <w:divsChild>
                                    <w:div w:id="32932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9818">
                          <w:marLeft w:val="0"/>
                          <w:marRight w:val="0"/>
                          <w:marTop w:val="0"/>
                          <w:marBottom w:val="0"/>
                          <w:divBdr>
                            <w:top w:val="none" w:sz="0" w:space="0" w:color="auto"/>
                            <w:left w:val="none" w:sz="0" w:space="0" w:color="auto"/>
                            <w:bottom w:val="none" w:sz="0" w:space="0" w:color="auto"/>
                            <w:right w:val="none" w:sz="0" w:space="0" w:color="auto"/>
                          </w:divBdr>
                          <w:divsChild>
                            <w:div w:id="1537431050">
                              <w:marLeft w:val="0"/>
                              <w:marRight w:val="0"/>
                              <w:marTop w:val="0"/>
                              <w:marBottom w:val="0"/>
                              <w:divBdr>
                                <w:top w:val="none" w:sz="0" w:space="0" w:color="auto"/>
                                <w:left w:val="none" w:sz="0" w:space="0" w:color="auto"/>
                                <w:bottom w:val="none" w:sz="0" w:space="0" w:color="auto"/>
                                <w:right w:val="none" w:sz="0" w:space="0" w:color="auto"/>
                              </w:divBdr>
                              <w:divsChild>
                                <w:div w:id="1039160432">
                                  <w:marLeft w:val="0"/>
                                  <w:marRight w:val="0"/>
                                  <w:marTop w:val="0"/>
                                  <w:marBottom w:val="0"/>
                                  <w:divBdr>
                                    <w:top w:val="none" w:sz="0" w:space="0" w:color="auto"/>
                                    <w:left w:val="none" w:sz="0" w:space="0" w:color="auto"/>
                                    <w:bottom w:val="none" w:sz="0" w:space="0" w:color="auto"/>
                                    <w:right w:val="none" w:sz="0" w:space="0" w:color="auto"/>
                                  </w:divBdr>
                                  <w:divsChild>
                                    <w:div w:id="9614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957136">
                          <w:marLeft w:val="0"/>
                          <w:marRight w:val="0"/>
                          <w:marTop w:val="0"/>
                          <w:marBottom w:val="0"/>
                          <w:divBdr>
                            <w:top w:val="none" w:sz="0" w:space="0" w:color="auto"/>
                            <w:left w:val="none" w:sz="0" w:space="0" w:color="auto"/>
                            <w:bottom w:val="none" w:sz="0" w:space="0" w:color="auto"/>
                            <w:right w:val="none" w:sz="0" w:space="0" w:color="auto"/>
                          </w:divBdr>
                          <w:divsChild>
                            <w:div w:id="495000317">
                              <w:marLeft w:val="0"/>
                              <w:marRight w:val="0"/>
                              <w:marTop w:val="0"/>
                              <w:marBottom w:val="0"/>
                              <w:divBdr>
                                <w:top w:val="none" w:sz="0" w:space="0" w:color="auto"/>
                                <w:left w:val="none" w:sz="0" w:space="0" w:color="auto"/>
                                <w:bottom w:val="none" w:sz="0" w:space="0" w:color="auto"/>
                                <w:right w:val="none" w:sz="0" w:space="0" w:color="auto"/>
                              </w:divBdr>
                              <w:divsChild>
                                <w:div w:id="1280799696">
                                  <w:marLeft w:val="0"/>
                                  <w:marRight w:val="0"/>
                                  <w:marTop w:val="0"/>
                                  <w:marBottom w:val="0"/>
                                  <w:divBdr>
                                    <w:top w:val="none" w:sz="0" w:space="0" w:color="auto"/>
                                    <w:left w:val="none" w:sz="0" w:space="0" w:color="auto"/>
                                    <w:bottom w:val="none" w:sz="0" w:space="0" w:color="auto"/>
                                    <w:right w:val="none" w:sz="0" w:space="0" w:color="auto"/>
                                  </w:divBdr>
                                  <w:divsChild>
                                    <w:div w:id="18846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542096">
          <w:marLeft w:val="0"/>
          <w:marRight w:val="0"/>
          <w:marTop w:val="0"/>
          <w:marBottom w:val="0"/>
          <w:divBdr>
            <w:top w:val="none" w:sz="0" w:space="0" w:color="auto"/>
            <w:left w:val="none" w:sz="0" w:space="0" w:color="auto"/>
            <w:bottom w:val="none" w:sz="0" w:space="0" w:color="auto"/>
            <w:right w:val="none" w:sz="0" w:space="0" w:color="auto"/>
          </w:divBdr>
          <w:divsChild>
            <w:div w:id="1661890171">
              <w:marLeft w:val="0"/>
              <w:marRight w:val="0"/>
              <w:marTop w:val="0"/>
              <w:marBottom w:val="0"/>
              <w:divBdr>
                <w:top w:val="none" w:sz="0" w:space="0" w:color="auto"/>
                <w:left w:val="none" w:sz="0" w:space="0" w:color="auto"/>
                <w:bottom w:val="none" w:sz="0" w:space="0" w:color="auto"/>
                <w:right w:val="none" w:sz="0" w:space="0" w:color="auto"/>
              </w:divBdr>
              <w:divsChild>
                <w:div w:id="2085028229">
                  <w:marLeft w:val="0"/>
                  <w:marRight w:val="0"/>
                  <w:marTop w:val="0"/>
                  <w:marBottom w:val="0"/>
                  <w:divBdr>
                    <w:top w:val="none" w:sz="0" w:space="0" w:color="auto"/>
                    <w:left w:val="none" w:sz="0" w:space="0" w:color="auto"/>
                    <w:bottom w:val="none" w:sz="0" w:space="0" w:color="auto"/>
                    <w:right w:val="none" w:sz="0" w:space="0" w:color="auto"/>
                  </w:divBdr>
                  <w:divsChild>
                    <w:div w:id="1155104693">
                      <w:marLeft w:val="0"/>
                      <w:marRight w:val="0"/>
                      <w:marTop w:val="0"/>
                      <w:marBottom w:val="0"/>
                      <w:divBdr>
                        <w:top w:val="none" w:sz="0" w:space="0" w:color="auto"/>
                        <w:left w:val="none" w:sz="0" w:space="0" w:color="auto"/>
                        <w:bottom w:val="none" w:sz="0" w:space="0" w:color="auto"/>
                        <w:right w:val="none" w:sz="0" w:space="0" w:color="auto"/>
                      </w:divBdr>
                      <w:divsChild>
                        <w:div w:id="322584409">
                          <w:marLeft w:val="0"/>
                          <w:marRight w:val="0"/>
                          <w:marTop w:val="0"/>
                          <w:marBottom w:val="0"/>
                          <w:divBdr>
                            <w:top w:val="none" w:sz="0" w:space="0" w:color="auto"/>
                            <w:left w:val="none" w:sz="0" w:space="0" w:color="auto"/>
                            <w:bottom w:val="none" w:sz="0" w:space="0" w:color="auto"/>
                            <w:right w:val="none" w:sz="0" w:space="0" w:color="auto"/>
                          </w:divBdr>
                          <w:divsChild>
                            <w:div w:id="421462714">
                              <w:marLeft w:val="0"/>
                              <w:marRight w:val="0"/>
                              <w:marTop w:val="0"/>
                              <w:marBottom w:val="0"/>
                              <w:divBdr>
                                <w:top w:val="none" w:sz="0" w:space="0" w:color="auto"/>
                                <w:left w:val="none" w:sz="0" w:space="0" w:color="auto"/>
                                <w:bottom w:val="none" w:sz="0" w:space="0" w:color="auto"/>
                                <w:right w:val="none" w:sz="0" w:space="0" w:color="auto"/>
                              </w:divBdr>
                              <w:divsChild>
                                <w:div w:id="737554709">
                                  <w:marLeft w:val="0"/>
                                  <w:marRight w:val="0"/>
                                  <w:marTop w:val="0"/>
                                  <w:marBottom w:val="0"/>
                                  <w:divBdr>
                                    <w:top w:val="none" w:sz="0" w:space="0" w:color="auto"/>
                                    <w:left w:val="none" w:sz="0" w:space="0" w:color="auto"/>
                                    <w:bottom w:val="none" w:sz="0" w:space="0" w:color="auto"/>
                                    <w:right w:val="none" w:sz="0" w:space="0" w:color="auto"/>
                                  </w:divBdr>
                                  <w:divsChild>
                                    <w:div w:id="2248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5825">
                          <w:marLeft w:val="0"/>
                          <w:marRight w:val="0"/>
                          <w:marTop w:val="0"/>
                          <w:marBottom w:val="0"/>
                          <w:divBdr>
                            <w:top w:val="none" w:sz="0" w:space="0" w:color="auto"/>
                            <w:left w:val="none" w:sz="0" w:space="0" w:color="auto"/>
                            <w:bottom w:val="none" w:sz="0" w:space="0" w:color="auto"/>
                            <w:right w:val="none" w:sz="0" w:space="0" w:color="auto"/>
                          </w:divBdr>
                          <w:divsChild>
                            <w:div w:id="430711008">
                              <w:marLeft w:val="0"/>
                              <w:marRight w:val="0"/>
                              <w:marTop w:val="0"/>
                              <w:marBottom w:val="0"/>
                              <w:divBdr>
                                <w:top w:val="none" w:sz="0" w:space="0" w:color="auto"/>
                                <w:left w:val="none" w:sz="0" w:space="0" w:color="auto"/>
                                <w:bottom w:val="none" w:sz="0" w:space="0" w:color="auto"/>
                                <w:right w:val="none" w:sz="0" w:space="0" w:color="auto"/>
                              </w:divBdr>
                              <w:divsChild>
                                <w:div w:id="1995523898">
                                  <w:marLeft w:val="0"/>
                                  <w:marRight w:val="0"/>
                                  <w:marTop w:val="0"/>
                                  <w:marBottom w:val="0"/>
                                  <w:divBdr>
                                    <w:top w:val="none" w:sz="0" w:space="0" w:color="auto"/>
                                    <w:left w:val="none" w:sz="0" w:space="0" w:color="auto"/>
                                    <w:bottom w:val="none" w:sz="0" w:space="0" w:color="auto"/>
                                    <w:right w:val="none" w:sz="0" w:space="0" w:color="auto"/>
                                  </w:divBdr>
                                  <w:divsChild>
                                    <w:div w:id="23278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44143">
                          <w:marLeft w:val="0"/>
                          <w:marRight w:val="0"/>
                          <w:marTop w:val="0"/>
                          <w:marBottom w:val="0"/>
                          <w:divBdr>
                            <w:top w:val="none" w:sz="0" w:space="0" w:color="auto"/>
                            <w:left w:val="none" w:sz="0" w:space="0" w:color="auto"/>
                            <w:bottom w:val="none" w:sz="0" w:space="0" w:color="auto"/>
                            <w:right w:val="none" w:sz="0" w:space="0" w:color="auto"/>
                          </w:divBdr>
                          <w:divsChild>
                            <w:div w:id="270672893">
                              <w:marLeft w:val="0"/>
                              <w:marRight w:val="0"/>
                              <w:marTop w:val="0"/>
                              <w:marBottom w:val="0"/>
                              <w:divBdr>
                                <w:top w:val="none" w:sz="0" w:space="0" w:color="auto"/>
                                <w:left w:val="none" w:sz="0" w:space="0" w:color="auto"/>
                                <w:bottom w:val="none" w:sz="0" w:space="0" w:color="auto"/>
                                <w:right w:val="none" w:sz="0" w:space="0" w:color="auto"/>
                              </w:divBdr>
                              <w:divsChild>
                                <w:div w:id="1943613243">
                                  <w:marLeft w:val="0"/>
                                  <w:marRight w:val="0"/>
                                  <w:marTop w:val="0"/>
                                  <w:marBottom w:val="0"/>
                                  <w:divBdr>
                                    <w:top w:val="none" w:sz="0" w:space="0" w:color="auto"/>
                                    <w:left w:val="none" w:sz="0" w:space="0" w:color="auto"/>
                                    <w:bottom w:val="none" w:sz="0" w:space="0" w:color="auto"/>
                                    <w:right w:val="none" w:sz="0" w:space="0" w:color="auto"/>
                                  </w:divBdr>
                                  <w:divsChild>
                                    <w:div w:id="20436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18904">
                          <w:marLeft w:val="0"/>
                          <w:marRight w:val="0"/>
                          <w:marTop w:val="0"/>
                          <w:marBottom w:val="0"/>
                          <w:divBdr>
                            <w:top w:val="none" w:sz="0" w:space="0" w:color="auto"/>
                            <w:left w:val="none" w:sz="0" w:space="0" w:color="auto"/>
                            <w:bottom w:val="none" w:sz="0" w:space="0" w:color="auto"/>
                            <w:right w:val="none" w:sz="0" w:space="0" w:color="auto"/>
                          </w:divBdr>
                          <w:divsChild>
                            <w:div w:id="796336943">
                              <w:marLeft w:val="0"/>
                              <w:marRight w:val="0"/>
                              <w:marTop w:val="0"/>
                              <w:marBottom w:val="0"/>
                              <w:divBdr>
                                <w:top w:val="none" w:sz="0" w:space="0" w:color="auto"/>
                                <w:left w:val="none" w:sz="0" w:space="0" w:color="auto"/>
                                <w:bottom w:val="none" w:sz="0" w:space="0" w:color="auto"/>
                                <w:right w:val="none" w:sz="0" w:space="0" w:color="auto"/>
                              </w:divBdr>
                              <w:divsChild>
                                <w:div w:id="115876604">
                                  <w:marLeft w:val="0"/>
                                  <w:marRight w:val="0"/>
                                  <w:marTop w:val="0"/>
                                  <w:marBottom w:val="0"/>
                                  <w:divBdr>
                                    <w:top w:val="none" w:sz="0" w:space="0" w:color="auto"/>
                                    <w:left w:val="none" w:sz="0" w:space="0" w:color="auto"/>
                                    <w:bottom w:val="none" w:sz="0" w:space="0" w:color="auto"/>
                                    <w:right w:val="none" w:sz="0" w:space="0" w:color="auto"/>
                                  </w:divBdr>
                                  <w:divsChild>
                                    <w:div w:id="163879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58741">
                          <w:marLeft w:val="0"/>
                          <w:marRight w:val="0"/>
                          <w:marTop w:val="0"/>
                          <w:marBottom w:val="0"/>
                          <w:divBdr>
                            <w:top w:val="none" w:sz="0" w:space="0" w:color="auto"/>
                            <w:left w:val="none" w:sz="0" w:space="0" w:color="auto"/>
                            <w:bottom w:val="none" w:sz="0" w:space="0" w:color="auto"/>
                            <w:right w:val="none" w:sz="0" w:space="0" w:color="auto"/>
                          </w:divBdr>
                          <w:divsChild>
                            <w:div w:id="1005014942">
                              <w:marLeft w:val="0"/>
                              <w:marRight w:val="0"/>
                              <w:marTop w:val="0"/>
                              <w:marBottom w:val="0"/>
                              <w:divBdr>
                                <w:top w:val="none" w:sz="0" w:space="0" w:color="auto"/>
                                <w:left w:val="none" w:sz="0" w:space="0" w:color="auto"/>
                                <w:bottom w:val="none" w:sz="0" w:space="0" w:color="auto"/>
                                <w:right w:val="none" w:sz="0" w:space="0" w:color="auto"/>
                              </w:divBdr>
                              <w:divsChild>
                                <w:div w:id="543951134">
                                  <w:marLeft w:val="0"/>
                                  <w:marRight w:val="0"/>
                                  <w:marTop w:val="0"/>
                                  <w:marBottom w:val="0"/>
                                  <w:divBdr>
                                    <w:top w:val="none" w:sz="0" w:space="0" w:color="auto"/>
                                    <w:left w:val="none" w:sz="0" w:space="0" w:color="auto"/>
                                    <w:bottom w:val="none" w:sz="0" w:space="0" w:color="auto"/>
                                    <w:right w:val="none" w:sz="0" w:space="0" w:color="auto"/>
                                  </w:divBdr>
                                  <w:divsChild>
                                    <w:div w:id="14807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833399">
          <w:marLeft w:val="0"/>
          <w:marRight w:val="0"/>
          <w:marTop w:val="0"/>
          <w:marBottom w:val="0"/>
          <w:divBdr>
            <w:top w:val="none" w:sz="0" w:space="0" w:color="auto"/>
            <w:left w:val="none" w:sz="0" w:space="0" w:color="auto"/>
            <w:bottom w:val="none" w:sz="0" w:space="0" w:color="auto"/>
            <w:right w:val="none" w:sz="0" w:space="0" w:color="auto"/>
          </w:divBdr>
          <w:divsChild>
            <w:div w:id="664165410">
              <w:marLeft w:val="0"/>
              <w:marRight w:val="0"/>
              <w:marTop w:val="0"/>
              <w:marBottom w:val="0"/>
              <w:divBdr>
                <w:top w:val="none" w:sz="0" w:space="0" w:color="auto"/>
                <w:left w:val="none" w:sz="0" w:space="0" w:color="auto"/>
                <w:bottom w:val="none" w:sz="0" w:space="0" w:color="auto"/>
                <w:right w:val="none" w:sz="0" w:space="0" w:color="auto"/>
              </w:divBdr>
              <w:divsChild>
                <w:div w:id="2059937158">
                  <w:marLeft w:val="0"/>
                  <w:marRight w:val="0"/>
                  <w:marTop w:val="0"/>
                  <w:marBottom w:val="0"/>
                  <w:divBdr>
                    <w:top w:val="none" w:sz="0" w:space="0" w:color="auto"/>
                    <w:left w:val="none" w:sz="0" w:space="0" w:color="auto"/>
                    <w:bottom w:val="none" w:sz="0" w:space="0" w:color="auto"/>
                    <w:right w:val="none" w:sz="0" w:space="0" w:color="auto"/>
                  </w:divBdr>
                  <w:divsChild>
                    <w:div w:id="1444375733">
                      <w:marLeft w:val="0"/>
                      <w:marRight w:val="0"/>
                      <w:marTop w:val="0"/>
                      <w:marBottom w:val="0"/>
                      <w:divBdr>
                        <w:top w:val="none" w:sz="0" w:space="0" w:color="auto"/>
                        <w:left w:val="none" w:sz="0" w:space="0" w:color="auto"/>
                        <w:bottom w:val="none" w:sz="0" w:space="0" w:color="auto"/>
                        <w:right w:val="none" w:sz="0" w:space="0" w:color="auto"/>
                      </w:divBdr>
                      <w:divsChild>
                        <w:div w:id="269170103">
                          <w:marLeft w:val="0"/>
                          <w:marRight w:val="0"/>
                          <w:marTop w:val="0"/>
                          <w:marBottom w:val="0"/>
                          <w:divBdr>
                            <w:top w:val="none" w:sz="0" w:space="0" w:color="auto"/>
                            <w:left w:val="none" w:sz="0" w:space="0" w:color="auto"/>
                            <w:bottom w:val="none" w:sz="0" w:space="0" w:color="auto"/>
                            <w:right w:val="none" w:sz="0" w:space="0" w:color="auto"/>
                          </w:divBdr>
                          <w:divsChild>
                            <w:div w:id="1581910187">
                              <w:marLeft w:val="0"/>
                              <w:marRight w:val="0"/>
                              <w:marTop w:val="0"/>
                              <w:marBottom w:val="0"/>
                              <w:divBdr>
                                <w:top w:val="none" w:sz="0" w:space="0" w:color="auto"/>
                                <w:left w:val="none" w:sz="0" w:space="0" w:color="auto"/>
                                <w:bottom w:val="none" w:sz="0" w:space="0" w:color="auto"/>
                                <w:right w:val="none" w:sz="0" w:space="0" w:color="auto"/>
                              </w:divBdr>
                              <w:divsChild>
                                <w:div w:id="1710648670">
                                  <w:marLeft w:val="0"/>
                                  <w:marRight w:val="0"/>
                                  <w:marTop w:val="0"/>
                                  <w:marBottom w:val="0"/>
                                  <w:divBdr>
                                    <w:top w:val="none" w:sz="0" w:space="0" w:color="auto"/>
                                    <w:left w:val="none" w:sz="0" w:space="0" w:color="auto"/>
                                    <w:bottom w:val="none" w:sz="0" w:space="0" w:color="auto"/>
                                    <w:right w:val="none" w:sz="0" w:space="0" w:color="auto"/>
                                  </w:divBdr>
                                  <w:divsChild>
                                    <w:div w:id="1381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067008">
                          <w:marLeft w:val="0"/>
                          <w:marRight w:val="0"/>
                          <w:marTop w:val="0"/>
                          <w:marBottom w:val="0"/>
                          <w:divBdr>
                            <w:top w:val="none" w:sz="0" w:space="0" w:color="auto"/>
                            <w:left w:val="none" w:sz="0" w:space="0" w:color="auto"/>
                            <w:bottom w:val="none" w:sz="0" w:space="0" w:color="auto"/>
                            <w:right w:val="none" w:sz="0" w:space="0" w:color="auto"/>
                          </w:divBdr>
                          <w:divsChild>
                            <w:div w:id="751318084">
                              <w:marLeft w:val="0"/>
                              <w:marRight w:val="0"/>
                              <w:marTop w:val="0"/>
                              <w:marBottom w:val="0"/>
                              <w:divBdr>
                                <w:top w:val="none" w:sz="0" w:space="0" w:color="auto"/>
                                <w:left w:val="none" w:sz="0" w:space="0" w:color="auto"/>
                                <w:bottom w:val="none" w:sz="0" w:space="0" w:color="auto"/>
                                <w:right w:val="none" w:sz="0" w:space="0" w:color="auto"/>
                              </w:divBdr>
                              <w:divsChild>
                                <w:div w:id="254637279">
                                  <w:marLeft w:val="0"/>
                                  <w:marRight w:val="0"/>
                                  <w:marTop w:val="0"/>
                                  <w:marBottom w:val="0"/>
                                  <w:divBdr>
                                    <w:top w:val="none" w:sz="0" w:space="0" w:color="auto"/>
                                    <w:left w:val="none" w:sz="0" w:space="0" w:color="auto"/>
                                    <w:bottom w:val="none" w:sz="0" w:space="0" w:color="auto"/>
                                    <w:right w:val="none" w:sz="0" w:space="0" w:color="auto"/>
                                  </w:divBdr>
                                  <w:divsChild>
                                    <w:div w:id="14875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61793">
                          <w:marLeft w:val="0"/>
                          <w:marRight w:val="0"/>
                          <w:marTop w:val="0"/>
                          <w:marBottom w:val="0"/>
                          <w:divBdr>
                            <w:top w:val="none" w:sz="0" w:space="0" w:color="auto"/>
                            <w:left w:val="none" w:sz="0" w:space="0" w:color="auto"/>
                            <w:bottom w:val="none" w:sz="0" w:space="0" w:color="auto"/>
                            <w:right w:val="none" w:sz="0" w:space="0" w:color="auto"/>
                          </w:divBdr>
                          <w:divsChild>
                            <w:div w:id="1257012064">
                              <w:marLeft w:val="0"/>
                              <w:marRight w:val="0"/>
                              <w:marTop w:val="0"/>
                              <w:marBottom w:val="0"/>
                              <w:divBdr>
                                <w:top w:val="none" w:sz="0" w:space="0" w:color="auto"/>
                                <w:left w:val="none" w:sz="0" w:space="0" w:color="auto"/>
                                <w:bottom w:val="none" w:sz="0" w:space="0" w:color="auto"/>
                                <w:right w:val="none" w:sz="0" w:space="0" w:color="auto"/>
                              </w:divBdr>
                              <w:divsChild>
                                <w:div w:id="1686787223">
                                  <w:marLeft w:val="0"/>
                                  <w:marRight w:val="0"/>
                                  <w:marTop w:val="0"/>
                                  <w:marBottom w:val="0"/>
                                  <w:divBdr>
                                    <w:top w:val="none" w:sz="0" w:space="0" w:color="auto"/>
                                    <w:left w:val="none" w:sz="0" w:space="0" w:color="auto"/>
                                    <w:bottom w:val="none" w:sz="0" w:space="0" w:color="auto"/>
                                    <w:right w:val="none" w:sz="0" w:space="0" w:color="auto"/>
                                  </w:divBdr>
                                  <w:divsChild>
                                    <w:div w:id="10799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25055">
                          <w:marLeft w:val="0"/>
                          <w:marRight w:val="0"/>
                          <w:marTop w:val="0"/>
                          <w:marBottom w:val="0"/>
                          <w:divBdr>
                            <w:top w:val="none" w:sz="0" w:space="0" w:color="auto"/>
                            <w:left w:val="none" w:sz="0" w:space="0" w:color="auto"/>
                            <w:bottom w:val="none" w:sz="0" w:space="0" w:color="auto"/>
                            <w:right w:val="none" w:sz="0" w:space="0" w:color="auto"/>
                          </w:divBdr>
                          <w:divsChild>
                            <w:div w:id="1288857604">
                              <w:marLeft w:val="0"/>
                              <w:marRight w:val="0"/>
                              <w:marTop w:val="0"/>
                              <w:marBottom w:val="0"/>
                              <w:divBdr>
                                <w:top w:val="none" w:sz="0" w:space="0" w:color="auto"/>
                                <w:left w:val="none" w:sz="0" w:space="0" w:color="auto"/>
                                <w:bottom w:val="none" w:sz="0" w:space="0" w:color="auto"/>
                                <w:right w:val="none" w:sz="0" w:space="0" w:color="auto"/>
                              </w:divBdr>
                              <w:divsChild>
                                <w:div w:id="1353915913">
                                  <w:marLeft w:val="0"/>
                                  <w:marRight w:val="0"/>
                                  <w:marTop w:val="0"/>
                                  <w:marBottom w:val="0"/>
                                  <w:divBdr>
                                    <w:top w:val="none" w:sz="0" w:space="0" w:color="auto"/>
                                    <w:left w:val="none" w:sz="0" w:space="0" w:color="auto"/>
                                    <w:bottom w:val="none" w:sz="0" w:space="0" w:color="auto"/>
                                    <w:right w:val="none" w:sz="0" w:space="0" w:color="auto"/>
                                  </w:divBdr>
                                  <w:divsChild>
                                    <w:div w:id="1884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28634">
                          <w:marLeft w:val="0"/>
                          <w:marRight w:val="0"/>
                          <w:marTop w:val="0"/>
                          <w:marBottom w:val="0"/>
                          <w:divBdr>
                            <w:top w:val="none" w:sz="0" w:space="0" w:color="auto"/>
                            <w:left w:val="none" w:sz="0" w:space="0" w:color="auto"/>
                            <w:bottom w:val="none" w:sz="0" w:space="0" w:color="auto"/>
                            <w:right w:val="none" w:sz="0" w:space="0" w:color="auto"/>
                          </w:divBdr>
                          <w:divsChild>
                            <w:div w:id="1492327422">
                              <w:marLeft w:val="0"/>
                              <w:marRight w:val="0"/>
                              <w:marTop w:val="0"/>
                              <w:marBottom w:val="0"/>
                              <w:divBdr>
                                <w:top w:val="none" w:sz="0" w:space="0" w:color="auto"/>
                                <w:left w:val="none" w:sz="0" w:space="0" w:color="auto"/>
                                <w:bottom w:val="none" w:sz="0" w:space="0" w:color="auto"/>
                                <w:right w:val="none" w:sz="0" w:space="0" w:color="auto"/>
                              </w:divBdr>
                              <w:divsChild>
                                <w:div w:id="1836650166">
                                  <w:marLeft w:val="0"/>
                                  <w:marRight w:val="0"/>
                                  <w:marTop w:val="0"/>
                                  <w:marBottom w:val="0"/>
                                  <w:divBdr>
                                    <w:top w:val="none" w:sz="0" w:space="0" w:color="auto"/>
                                    <w:left w:val="none" w:sz="0" w:space="0" w:color="auto"/>
                                    <w:bottom w:val="none" w:sz="0" w:space="0" w:color="auto"/>
                                    <w:right w:val="none" w:sz="0" w:space="0" w:color="auto"/>
                                  </w:divBdr>
                                  <w:divsChild>
                                    <w:div w:id="8918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944027">
          <w:marLeft w:val="0"/>
          <w:marRight w:val="0"/>
          <w:marTop w:val="0"/>
          <w:marBottom w:val="0"/>
          <w:divBdr>
            <w:top w:val="none" w:sz="0" w:space="0" w:color="auto"/>
            <w:left w:val="none" w:sz="0" w:space="0" w:color="auto"/>
            <w:bottom w:val="none" w:sz="0" w:space="0" w:color="auto"/>
            <w:right w:val="none" w:sz="0" w:space="0" w:color="auto"/>
          </w:divBdr>
          <w:divsChild>
            <w:div w:id="1527865552">
              <w:marLeft w:val="0"/>
              <w:marRight w:val="0"/>
              <w:marTop w:val="0"/>
              <w:marBottom w:val="0"/>
              <w:divBdr>
                <w:top w:val="none" w:sz="0" w:space="0" w:color="auto"/>
                <w:left w:val="none" w:sz="0" w:space="0" w:color="auto"/>
                <w:bottom w:val="none" w:sz="0" w:space="0" w:color="auto"/>
                <w:right w:val="none" w:sz="0" w:space="0" w:color="auto"/>
              </w:divBdr>
              <w:divsChild>
                <w:div w:id="1824153589">
                  <w:marLeft w:val="0"/>
                  <w:marRight w:val="0"/>
                  <w:marTop w:val="0"/>
                  <w:marBottom w:val="0"/>
                  <w:divBdr>
                    <w:top w:val="none" w:sz="0" w:space="0" w:color="auto"/>
                    <w:left w:val="none" w:sz="0" w:space="0" w:color="auto"/>
                    <w:bottom w:val="none" w:sz="0" w:space="0" w:color="auto"/>
                    <w:right w:val="none" w:sz="0" w:space="0" w:color="auto"/>
                  </w:divBdr>
                  <w:divsChild>
                    <w:div w:id="1455099874">
                      <w:marLeft w:val="0"/>
                      <w:marRight w:val="0"/>
                      <w:marTop w:val="0"/>
                      <w:marBottom w:val="0"/>
                      <w:divBdr>
                        <w:top w:val="none" w:sz="0" w:space="0" w:color="auto"/>
                        <w:left w:val="none" w:sz="0" w:space="0" w:color="auto"/>
                        <w:bottom w:val="none" w:sz="0" w:space="0" w:color="auto"/>
                        <w:right w:val="none" w:sz="0" w:space="0" w:color="auto"/>
                      </w:divBdr>
                      <w:divsChild>
                        <w:div w:id="76832647">
                          <w:marLeft w:val="0"/>
                          <w:marRight w:val="0"/>
                          <w:marTop w:val="0"/>
                          <w:marBottom w:val="0"/>
                          <w:divBdr>
                            <w:top w:val="none" w:sz="0" w:space="0" w:color="auto"/>
                            <w:left w:val="none" w:sz="0" w:space="0" w:color="auto"/>
                            <w:bottom w:val="none" w:sz="0" w:space="0" w:color="auto"/>
                            <w:right w:val="none" w:sz="0" w:space="0" w:color="auto"/>
                          </w:divBdr>
                          <w:divsChild>
                            <w:div w:id="1480267374">
                              <w:marLeft w:val="0"/>
                              <w:marRight w:val="0"/>
                              <w:marTop w:val="0"/>
                              <w:marBottom w:val="0"/>
                              <w:divBdr>
                                <w:top w:val="none" w:sz="0" w:space="0" w:color="auto"/>
                                <w:left w:val="none" w:sz="0" w:space="0" w:color="auto"/>
                                <w:bottom w:val="none" w:sz="0" w:space="0" w:color="auto"/>
                                <w:right w:val="none" w:sz="0" w:space="0" w:color="auto"/>
                              </w:divBdr>
                              <w:divsChild>
                                <w:div w:id="598804272">
                                  <w:marLeft w:val="0"/>
                                  <w:marRight w:val="0"/>
                                  <w:marTop w:val="0"/>
                                  <w:marBottom w:val="0"/>
                                  <w:divBdr>
                                    <w:top w:val="none" w:sz="0" w:space="0" w:color="auto"/>
                                    <w:left w:val="none" w:sz="0" w:space="0" w:color="auto"/>
                                    <w:bottom w:val="none" w:sz="0" w:space="0" w:color="auto"/>
                                    <w:right w:val="none" w:sz="0" w:space="0" w:color="auto"/>
                                  </w:divBdr>
                                  <w:divsChild>
                                    <w:div w:id="29649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170">
                          <w:marLeft w:val="0"/>
                          <w:marRight w:val="0"/>
                          <w:marTop w:val="0"/>
                          <w:marBottom w:val="0"/>
                          <w:divBdr>
                            <w:top w:val="none" w:sz="0" w:space="0" w:color="auto"/>
                            <w:left w:val="none" w:sz="0" w:space="0" w:color="auto"/>
                            <w:bottom w:val="none" w:sz="0" w:space="0" w:color="auto"/>
                            <w:right w:val="none" w:sz="0" w:space="0" w:color="auto"/>
                          </w:divBdr>
                          <w:divsChild>
                            <w:div w:id="2099060118">
                              <w:marLeft w:val="0"/>
                              <w:marRight w:val="0"/>
                              <w:marTop w:val="0"/>
                              <w:marBottom w:val="0"/>
                              <w:divBdr>
                                <w:top w:val="none" w:sz="0" w:space="0" w:color="auto"/>
                                <w:left w:val="none" w:sz="0" w:space="0" w:color="auto"/>
                                <w:bottom w:val="none" w:sz="0" w:space="0" w:color="auto"/>
                                <w:right w:val="none" w:sz="0" w:space="0" w:color="auto"/>
                              </w:divBdr>
                              <w:divsChild>
                                <w:div w:id="1383560834">
                                  <w:marLeft w:val="0"/>
                                  <w:marRight w:val="0"/>
                                  <w:marTop w:val="0"/>
                                  <w:marBottom w:val="0"/>
                                  <w:divBdr>
                                    <w:top w:val="none" w:sz="0" w:space="0" w:color="auto"/>
                                    <w:left w:val="none" w:sz="0" w:space="0" w:color="auto"/>
                                    <w:bottom w:val="none" w:sz="0" w:space="0" w:color="auto"/>
                                    <w:right w:val="none" w:sz="0" w:space="0" w:color="auto"/>
                                  </w:divBdr>
                                  <w:divsChild>
                                    <w:div w:id="5644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763962">
                          <w:marLeft w:val="0"/>
                          <w:marRight w:val="0"/>
                          <w:marTop w:val="0"/>
                          <w:marBottom w:val="0"/>
                          <w:divBdr>
                            <w:top w:val="none" w:sz="0" w:space="0" w:color="auto"/>
                            <w:left w:val="none" w:sz="0" w:space="0" w:color="auto"/>
                            <w:bottom w:val="none" w:sz="0" w:space="0" w:color="auto"/>
                            <w:right w:val="none" w:sz="0" w:space="0" w:color="auto"/>
                          </w:divBdr>
                          <w:divsChild>
                            <w:div w:id="158884746">
                              <w:marLeft w:val="0"/>
                              <w:marRight w:val="0"/>
                              <w:marTop w:val="0"/>
                              <w:marBottom w:val="0"/>
                              <w:divBdr>
                                <w:top w:val="none" w:sz="0" w:space="0" w:color="auto"/>
                                <w:left w:val="none" w:sz="0" w:space="0" w:color="auto"/>
                                <w:bottom w:val="none" w:sz="0" w:space="0" w:color="auto"/>
                                <w:right w:val="none" w:sz="0" w:space="0" w:color="auto"/>
                              </w:divBdr>
                              <w:divsChild>
                                <w:div w:id="321589660">
                                  <w:marLeft w:val="0"/>
                                  <w:marRight w:val="0"/>
                                  <w:marTop w:val="0"/>
                                  <w:marBottom w:val="0"/>
                                  <w:divBdr>
                                    <w:top w:val="none" w:sz="0" w:space="0" w:color="auto"/>
                                    <w:left w:val="none" w:sz="0" w:space="0" w:color="auto"/>
                                    <w:bottom w:val="none" w:sz="0" w:space="0" w:color="auto"/>
                                    <w:right w:val="none" w:sz="0" w:space="0" w:color="auto"/>
                                  </w:divBdr>
                                  <w:divsChild>
                                    <w:div w:id="14244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60828">
                          <w:marLeft w:val="0"/>
                          <w:marRight w:val="0"/>
                          <w:marTop w:val="0"/>
                          <w:marBottom w:val="0"/>
                          <w:divBdr>
                            <w:top w:val="none" w:sz="0" w:space="0" w:color="auto"/>
                            <w:left w:val="none" w:sz="0" w:space="0" w:color="auto"/>
                            <w:bottom w:val="none" w:sz="0" w:space="0" w:color="auto"/>
                            <w:right w:val="none" w:sz="0" w:space="0" w:color="auto"/>
                          </w:divBdr>
                          <w:divsChild>
                            <w:div w:id="257371068">
                              <w:marLeft w:val="0"/>
                              <w:marRight w:val="0"/>
                              <w:marTop w:val="0"/>
                              <w:marBottom w:val="0"/>
                              <w:divBdr>
                                <w:top w:val="none" w:sz="0" w:space="0" w:color="auto"/>
                                <w:left w:val="none" w:sz="0" w:space="0" w:color="auto"/>
                                <w:bottom w:val="none" w:sz="0" w:space="0" w:color="auto"/>
                                <w:right w:val="none" w:sz="0" w:space="0" w:color="auto"/>
                              </w:divBdr>
                              <w:divsChild>
                                <w:div w:id="228657059">
                                  <w:marLeft w:val="0"/>
                                  <w:marRight w:val="0"/>
                                  <w:marTop w:val="0"/>
                                  <w:marBottom w:val="0"/>
                                  <w:divBdr>
                                    <w:top w:val="none" w:sz="0" w:space="0" w:color="auto"/>
                                    <w:left w:val="none" w:sz="0" w:space="0" w:color="auto"/>
                                    <w:bottom w:val="none" w:sz="0" w:space="0" w:color="auto"/>
                                    <w:right w:val="none" w:sz="0" w:space="0" w:color="auto"/>
                                  </w:divBdr>
                                  <w:divsChild>
                                    <w:div w:id="187330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6344">
                          <w:marLeft w:val="0"/>
                          <w:marRight w:val="0"/>
                          <w:marTop w:val="0"/>
                          <w:marBottom w:val="0"/>
                          <w:divBdr>
                            <w:top w:val="none" w:sz="0" w:space="0" w:color="auto"/>
                            <w:left w:val="none" w:sz="0" w:space="0" w:color="auto"/>
                            <w:bottom w:val="none" w:sz="0" w:space="0" w:color="auto"/>
                            <w:right w:val="none" w:sz="0" w:space="0" w:color="auto"/>
                          </w:divBdr>
                          <w:divsChild>
                            <w:div w:id="502941830">
                              <w:marLeft w:val="0"/>
                              <w:marRight w:val="0"/>
                              <w:marTop w:val="0"/>
                              <w:marBottom w:val="0"/>
                              <w:divBdr>
                                <w:top w:val="none" w:sz="0" w:space="0" w:color="auto"/>
                                <w:left w:val="none" w:sz="0" w:space="0" w:color="auto"/>
                                <w:bottom w:val="none" w:sz="0" w:space="0" w:color="auto"/>
                                <w:right w:val="none" w:sz="0" w:space="0" w:color="auto"/>
                              </w:divBdr>
                              <w:divsChild>
                                <w:div w:id="1998723945">
                                  <w:marLeft w:val="0"/>
                                  <w:marRight w:val="0"/>
                                  <w:marTop w:val="0"/>
                                  <w:marBottom w:val="0"/>
                                  <w:divBdr>
                                    <w:top w:val="none" w:sz="0" w:space="0" w:color="auto"/>
                                    <w:left w:val="none" w:sz="0" w:space="0" w:color="auto"/>
                                    <w:bottom w:val="none" w:sz="0" w:space="0" w:color="auto"/>
                                    <w:right w:val="none" w:sz="0" w:space="0" w:color="auto"/>
                                  </w:divBdr>
                                  <w:divsChild>
                                    <w:div w:id="16949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910260">
          <w:marLeft w:val="0"/>
          <w:marRight w:val="0"/>
          <w:marTop w:val="0"/>
          <w:marBottom w:val="0"/>
          <w:divBdr>
            <w:top w:val="none" w:sz="0" w:space="0" w:color="auto"/>
            <w:left w:val="none" w:sz="0" w:space="0" w:color="auto"/>
            <w:bottom w:val="none" w:sz="0" w:space="0" w:color="auto"/>
            <w:right w:val="none" w:sz="0" w:space="0" w:color="auto"/>
          </w:divBdr>
          <w:divsChild>
            <w:div w:id="342364189">
              <w:marLeft w:val="0"/>
              <w:marRight w:val="0"/>
              <w:marTop w:val="0"/>
              <w:marBottom w:val="0"/>
              <w:divBdr>
                <w:top w:val="none" w:sz="0" w:space="0" w:color="auto"/>
                <w:left w:val="none" w:sz="0" w:space="0" w:color="auto"/>
                <w:bottom w:val="none" w:sz="0" w:space="0" w:color="auto"/>
                <w:right w:val="none" w:sz="0" w:space="0" w:color="auto"/>
              </w:divBdr>
              <w:divsChild>
                <w:div w:id="836924391">
                  <w:marLeft w:val="0"/>
                  <w:marRight w:val="0"/>
                  <w:marTop w:val="0"/>
                  <w:marBottom w:val="0"/>
                  <w:divBdr>
                    <w:top w:val="none" w:sz="0" w:space="0" w:color="auto"/>
                    <w:left w:val="none" w:sz="0" w:space="0" w:color="auto"/>
                    <w:bottom w:val="none" w:sz="0" w:space="0" w:color="auto"/>
                    <w:right w:val="none" w:sz="0" w:space="0" w:color="auto"/>
                  </w:divBdr>
                  <w:divsChild>
                    <w:div w:id="1883705530">
                      <w:marLeft w:val="0"/>
                      <w:marRight w:val="0"/>
                      <w:marTop w:val="0"/>
                      <w:marBottom w:val="0"/>
                      <w:divBdr>
                        <w:top w:val="none" w:sz="0" w:space="0" w:color="auto"/>
                        <w:left w:val="none" w:sz="0" w:space="0" w:color="auto"/>
                        <w:bottom w:val="none" w:sz="0" w:space="0" w:color="auto"/>
                        <w:right w:val="none" w:sz="0" w:space="0" w:color="auto"/>
                      </w:divBdr>
                      <w:divsChild>
                        <w:div w:id="183253048">
                          <w:marLeft w:val="0"/>
                          <w:marRight w:val="0"/>
                          <w:marTop w:val="0"/>
                          <w:marBottom w:val="0"/>
                          <w:divBdr>
                            <w:top w:val="none" w:sz="0" w:space="0" w:color="auto"/>
                            <w:left w:val="none" w:sz="0" w:space="0" w:color="auto"/>
                            <w:bottom w:val="none" w:sz="0" w:space="0" w:color="auto"/>
                            <w:right w:val="none" w:sz="0" w:space="0" w:color="auto"/>
                          </w:divBdr>
                          <w:divsChild>
                            <w:div w:id="1327782848">
                              <w:marLeft w:val="0"/>
                              <w:marRight w:val="0"/>
                              <w:marTop w:val="0"/>
                              <w:marBottom w:val="0"/>
                              <w:divBdr>
                                <w:top w:val="none" w:sz="0" w:space="0" w:color="auto"/>
                                <w:left w:val="none" w:sz="0" w:space="0" w:color="auto"/>
                                <w:bottom w:val="none" w:sz="0" w:space="0" w:color="auto"/>
                                <w:right w:val="none" w:sz="0" w:space="0" w:color="auto"/>
                              </w:divBdr>
                              <w:divsChild>
                                <w:div w:id="2052683212">
                                  <w:marLeft w:val="0"/>
                                  <w:marRight w:val="0"/>
                                  <w:marTop w:val="0"/>
                                  <w:marBottom w:val="0"/>
                                  <w:divBdr>
                                    <w:top w:val="none" w:sz="0" w:space="0" w:color="auto"/>
                                    <w:left w:val="none" w:sz="0" w:space="0" w:color="auto"/>
                                    <w:bottom w:val="none" w:sz="0" w:space="0" w:color="auto"/>
                                    <w:right w:val="none" w:sz="0" w:space="0" w:color="auto"/>
                                  </w:divBdr>
                                  <w:divsChild>
                                    <w:div w:id="710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59063">
                          <w:marLeft w:val="0"/>
                          <w:marRight w:val="0"/>
                          <w:marTop w:val="0"/>
                          <w:marBottom w:val="0"/>
                          <w:divBdr>
                            <w:top w:val="none" w:sz="0" w:space="0" w:color="auto"/>
                            <w:left w:val="none" w:sz="0" w:space="0" w:color="auto"/>
                            <w:bottom w:val="none" w:sz="0" w:space="0" w:color="auto"/>
                            <w:right w:val="none" w:sz="0" w:space="0" w:color="auto"/>
                          </w:divBdr>
                          <w:divsChild>
                            <w:div w:id="376199325">
                              <w:marLeft w:val="0"/>
                              <w:marRight w:val="0"/>
                              <w:marTop w:val="0"/>
                              <w:marBottom w:val="0"/>
                              <w:divBdr>
                                <w:top w:val="none" w:sz="0" w:space="0" w:color="auto"/>
                                <w:left w:val="none" w:sz="0" w:space="0" w:color="auto"/>
                                <w:bottom w:val="none" w:sz="0" w:space="0" w:color="auto"/>
                                <w:right w:val="none" w:sz="0" w:space="0" w:color="auto"/>
                              </w:divBdr>
                              <w:divsChild>
                                <w:div w:id="182322931">
                                  <w:marLeft w:val="0"/>
                                  <w:marRight w:val="0"/>
                                  <w:marTop w:val="0"/>
                                  <w:marBottom w:val="0"/>
                                  <w:divBdr>
                                    <w:top w:val="none" w:sz="0" w:space="0" w:color="auto"/>
                                    <w:left w:val="none" w:sz="0" w:space="0" w:color="auto"/>
                                    <w:bottom w:val="none" w:sz="0" w:space="0" w:color="auto"/>
                                    <w:right w:val="none" w:sz="0" w:space="0" w:color="auto"/>
                                  </w:divBdr>
                                  <w:divsChild>
                                    <w:div w:id="16773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45606">
                          <w:marLeft w:val="0"/>
                          <w:marRight w:val="0"/>
                          <w:marTop w:val="0"/>
                          <w:marBottom w:val="0"/>
                          <w:divBdr>
                            <w:top w:val="none" w:sz="0" w:space="0" w:color="auto"/>
                            <w:left w:val="none" w:sz="0" w:space="0" w:color="auto"/>
                            <w:bottom w:val="none" w:sz="0" w:space="0" w:color="auto"/>
                            <w:right w:val="none" w:sz="0" w:space="0" w:color="auto"/>
                          </w:divBdr>
                          <w:divsChild>
                            <w:div w:id="574122897">
                              <w:marLeft w:val="0"/>
                              <w:marRight w:val="0"/>
                              <w:marTop w:val="0"/>
                              <w:marBottom w:val="0"/>
                              <w:divBdr>
                                <w:top w:val="none" w:sz="0" w:space="0" w:color="auto"/>
                                <w:left w:val="none" w:sz="0" w:space="0" w:color="auto"/>
                                <w:bottom w:val="none" w:sz="0" w:space="0" w:color="auto"/>
                                <w:right w:val="none" w:sz="0" w:space="0" w:color="auto"/>
                              </w:divBdr>
                              <w:divsChild>
                                <w:div w:id="1010793932">
                                  <w:marLeft w:val="0"/>
                                  <w:marRight w:val="0"/>
                                  <w:marTop w:val="0"/>
                                  <w:marBottom w:val="0"/>
                                  <w:divBdr>
                                    <w:top w:val="none" w:sz="0" w:space="0" w:color="auto"/>
                                    <w:left w:val="none" w:sz="0" w:space="0" w:color="auto"/>
                                    <w:bottom w:val="none" w:sz="0" w:space="0" w:color="auto"/>
                                    <w:right w:val="none" w:sz="0" w:space="0" w:color="auto"/>
                                  </w:divBdr>
                                  <w:divsChild>
                                    <w:div w:id="56826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2828">
                          <w:marLeft w:val="0"/>
                          <w:marRight w:val="0"/>
                          <w:marTop w:val="0"/>
                          <w:marBottom w:val="0"/>
                          <w:divBdr>
                            <w:top w:val="none" w:sz="0" w:space="0" w:color="auto"/>
                            <w:left w:val="none" w:sz="0" w:space="0" w:color="auto"/>
                            <w:bottom w:val="none" w:sz="0" w:space="0" w:color="auto"/>
                            <w:right w:val="none" w:sz="0" w:space="0" w:color="auto"/>
                          </w:divBdr>
                          <w:divsChild>
                            <w:div w:id="218564484">
                              <w:marLeft w:val="0"/>
                              <w:marRight w:val="0"/>
                              <w:marTop w:val="0"/>
                              <w:marBottom w:val="0"/>
                              <w:divBdr>
                                <w:top w:val="none" w:sz="0" w:space="0" w:color="auto"/>
                                <w:left w:val="none" w:sz="0" w:space="0" w:color="auto"/>
                                <w:bottom w:val="none" w:sz="0" w:space="0" w:color="auto"/>
                                <w:right w:val="none" w:sz="0" w:space="0" w:color="auto"/>
                              </w:divBdr>
                              <w:divsChild>
                                <w:div w:id="1320384357">
                                  <w:marLeft w:val="0"/>
                                  <w:marRight w:val="0"/>
                                  <w:marTop w:val="0"/>
                                  <w:marBottom w:val="0"/>
                                  <w:divBdr>
                                    <w:top w:val="none" w:sz="0" w:space="0" w:color="auto"/>
                                    <w:left w:val="none" w:sz="0" w:space="0" w:color="auto"/>
                                    <w:bottom w:val="none" w:sz="0" w:space="0" w:color="auto"/>
                                    <w:right w:val="none" w:sz="0" w:space="0" w:color="auto"/>
                                  </w:divBdr>
                                  <w:divsChild>
                                    <w:div w:id="11830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31291">
                          <w:marLeft w:val="0"/>
                          <w:marRight w:val="0"/>
                          <w:marTop w:val="0"/>
                          <w:marBottom w:val="0"/>
                          <w:divBdr>
                            <w:top w:val="none" w:sz="0" w:space="0" w:color="auto"/>
                            <w:left w:val="none" w:sz="0" w:space="0" w:color="auto"/>
                            <w:bottom w:val="none" w:sz="0" w:space="0" w:color="auto"/>
                            <w:right w:val="none" w:sz="0" w:space="0" w:color="auto"/>
                          </w:divBdr>
                          <w:divsChild>
                            <w:div w:id="144859422">
                              <w:marLeft w:val="0"/>
                              <w:marRight w:val="0"/>
                              <w:marTop w:val="0"/>
                              <w:marBottom w:val="0"/>
                              <w:divBdr>
                                <w:top w:val="none" w:sz="0" w:space="0" w:color="auto"/>
                                <w:left w:val="none" w:sz="0" w:space="0" w:color="auto"/>
                                <w:bottom w:val="none" w:sz="0" w:space="0" w:color="auto"/>
                                <w:right w:val="none" w:sz="0" w:space="0" w:color="auto"/>
                              </w:divBdr>
                              <w:divsChild>
                                <w:div w:id="1381981691">
                                  <w:marLeft w:val="0"/>
                                  <w:marRight w:val="0"/>
                                  <w:marTop w:val="0"/>
                                  <w:marBottom w:val="0"/>
                                  <w:divBdr>
                                    <w:top w:val="none" w:sz="0" w:space="0" w:color="auto"/>
                                    <w:left w:val="none" w:sz="0" w:space="0" w:color="auto"/>
                                    <w:bottom w:val="none" w:sz="0" w:space="0" w:color="auto"/>
                                    <w:right w:val="none" w:sz="0" w:space="0" w:color="auto"/>
                                  </w:divBdr>
                                  <w:divsChild>
                                    <w:div w:id="1951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148524">
          <w:marLeft w:val="0"/>
          <w:marRight w:val="0"/>
          <w:marTop w:val="0"/>
          <w:marBottom w:val="0"/>
          <w:divBdr>
            <w:top w:val="none" w:sz="0" w:space="0" w:color="auto"/>
            <w:left w:val="none" w:sz="0" w:space="0" w:color="auto"/>
            <w:bottom w:val="none" w:sz="0" w:space="0" w:color="auto"/>
            <w:right w:val="none" w:sz="0" w:space="0" w:color="auto"/>
          </w:divBdr>
          <w:divsChild>
            <w:div w:id="840701858">
              <w:marLeft w:val="0"/>
              <w:marRight w:val="0"/>
              <w:marTop w:val="0"/>
              <w:marBottom w:val="0"/>
              <w:divBdr>
                <w:top w:val="none" w:sz="0" w:space="0" w:color="auto"/>
                <w:left w:val="none" w:sz="0" w:space="0" w:color="auto"/>
                <w:bottom w:val="none" w:sz="0" w:space="0" w:color="auto"/>
                <w:right w:val="none" w:sz="0" w:space="0" w:color="auto"/>
              </w:divBdr>
              <w:divsChild>
                <w:div w:id="1403987178">
                  <w:marLeft w:val="0"/>
                  <w:marRight w:val="0"/>
                  <w:marTop w:val="0"/>
                  <w:marBottom w:val="0"/>
                  <w:divBdr>
                    <w:top w:val="none" w:sz="0" w:space="0" w:color="auto"/>
                    <w:left w:val="none" w:sz="0" w:space="0" w:color="auto"/>
                    <w:bottom w:val="none" w:sz="0" w:space="0" w:color="auto"/>
                    <w:right w:val="none" w:sz="0" w:space="0" w:color="auto"/>
                  </w:divBdr>
                  <w:divsChild>
                    <w:div w:id="159927830">
                      <w:marLeft w:val="0"/>
                      <w:marRight w:val="0"/>
                      <w:marTop w:val="0"/>
                      <w:marBottom w:val="0"/>
                      <w:divBdr>
                        <w:top w:val="none" w:sz="0" w:space="0" w:color="auto"/>
                        <w:left w:val="none" w:sz="0" w:space="0" w:color="auto"/>
                        <w:bottom w:val="none" w:sz="0" w:space="0" w:color="auto"/>
                        <w:right w:val="none" w:sz="0" w:space="0" w:color="auto"/>
                      </w:divBdr>
                      <w:divsChild>
                        <w:div w:id="1015225075">
                          <w:marLeft w:val="0"/>
                          <w:marRight w:val="0"/>
                          <w:marTop w:val="0"/>
                          <w:marBottom w:val="0"/>
                          <w:divBdr>
                            <w:top w:val="none" w:sz="0" w:space="0" w:color="auto"/>
                            <w:left w:val="none" w:sz="0" w:space="0" w:color="auto"/>
                            <w:bottom w:val="none" w:sz="0" w:space="0" w:color="auto"/>
                            <w:right w:val="none" w:sz="0" w:space="0" w:color="auto"/>
                          </w:divBdr>
                          <w:divsChild>
                            <w:div w:id="157573809">
                              <w:marLeft w:val="0"/>
                              <w:marRight w:val="0"/>
                              <w:marTop w:val="0"/>
                              <w:marBottom w:val="0"/>
                              <w:divBdr>
                                <w:top w:val="none" w:sz="0" w:space="0" w:color="auto"/>
                                <w:left w:val="none" w:sz="0" w:space="0" w:color="auto"/>
                                <w:bottom w:val="none" w:sz="0" w:space="0" w:color="auto"/>
                                <w:right w:val="none" w:sz="0" w:space="0" w:color="auto"/>
                              </w:divBdr>
                              <w:divsChild>
                                <w:div w:id="1345937792">
                                  <w:marLeft w:val="0"/>
                                  <w:marRight w:val="0"/>
                                  <w:marTop w:val="0"/>
                                  <w:marBottom w:val="0"/>
                                  <w:divBdr>
                                    <w:top w:val="none" w:sz="0" w:space="0" w:color="auto"/>
                                    <w:left w:val="none" w:sz="0" w:space="0" w:color="auto"/>
                                    <w:bottom w:val="none" w:sz="0" w:space="0" w:color="auto"/>
                                    <w:right w:val="none" w:sz="0" w:space="0" w:color="auto"/>
                                  </w:divBdr>
                                  <w:divsChild>
                                    <w:div w:id="88849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069892">
                          <w:marLeft w:val="0"/>
                          <w:marRight w:val="0"/>
                          <w:marTop w:val="0"/>
                          <w:marBottom w:val="0"/>
                          <w:divBdr>
                            <w:top w:val="none" w:sz="0" w:space="0" w:color="auto"/>
                            <w:left w:val="none" w:sz="0" w:space="0" w:color="auto"/>
                            <w:bottom w:val="none" w:sz="0" w:space="0" w:color="auto"/>
                            <w:right w:val="none" w:sz="0" w:space="0" w:color="auto"/>
                          </w:divBdr>
                          <w:divsChild>
                            <w:div w:id="1482504231">
                              <w:marLeft w:val="0"/>
                              <w:marRight w:val="0"/>
                              <w:marTop w:val="0"/>
                              <w:marBottom w:val="0"/>
                              <w:divBdr>
                                <w:top w:val="none" w:sz="0" w:space="0" w:color="auto"/>
                                <w:left w:val="none" w:sz="0" w:space="0" w:color="auto"/>
                                <w:bottom w:val="none" w:sz="0" w:space="0" w:color="auto"/>
                                <w:right w:val="none" w:sz="0" w:space="0" w:color="auto"/>
                              </w:divBdr>
                              <w:divsChild>
                                <w:div w:id="772558072">
                                  <w:marLeft w:val="0"/>
                                  <w:marRight w:val="0"/>
                                  <w:marTop w:val="0"/>
                                  <w:marBottom w:val="0"/>
                                  <w:divBdr>
                                    <w:top w:val="none" w:sz="0" w:space="0" w:color="auto"/>
                                    <w:left w:val="none" w:sz="0" w:space="0" w:color="auto"/>
                                    <w:bottom w:val="none" w:sz="0" w:space="0" w:color="auto"/>
                                    <w:right w:val="none" w:sz="0" w:space="0" w:color="auto"/>
                                  </w:divBdr>
                                  <w:divsChild>
                                    <w:div w:id="15933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26998">
                          <w:marLeft w:val="0"/>
                          <w:marRight w:val="0"/>
                          <w:marTop w:val="0"/>
                          <w:marBottom w:val="0"/>
                          <w:divBdr>
                            <w:top w:val="none" w:sz="0" w:space="0" w:color="auto"/>
                            <w:left w:val="none" w:sz="0" w:space="0" w:color="auto"/>
                            <w:bottom w:val="none" w:sz="0" w:space="0" w:color="auto"/>
                            <w:right w:val="none" w:sz="0" w:space="0" w:color="auto"/>
                          </w:divBdr>
                          <w:divsChild>
                            <w:div w:id="1644188660">
                              <w:marLeft w:val="0"/>
                              <w:marRight w:val="0"/>
                              <w:marTop w:val="0"/>
                              <w:marBottom w:val="0"/>
                              <w:divBdr>
                                <w:top w:val="none" w:sz="0" w:space="0" w:color="auto"/>
                                <w:left w:val="none" w:sz="0" w:space="0" w:color="auto"/>
                                <w:bottom w:val="none" w:sz="0" w:space="0" w:color="auto"/>
                                <w:right w:val="none" w:sz="0" w:space="0" w:color="auto"/>
                              </w:divBdr>
                              <w:divsChild>
                                <w:div w:id="1787456645">
                                  <w:marLeft w:val="0"/>
                                  <w:marRight w:val="0"/>
                                  <w:marTop w:val="0"/>
                                  <w:marBottom w:val="0"/>
                                  <w:divBdr>
                                    <w:top w:val="none" w:sz="0" w:space="0" w:color="auto"/>
                                    <w:left w:val="none" w:sz="0" w:space="0" w:color="auto"/>
                                    <w:bottom w:val="none" w:sz="0" w:space="0" w:color="auto"/>
                                    <w:right w:val="none" w:sz="0" w:space="0" w:color="auto"/>
                                  </w:divBdr>
                                  <w:divsChild>
                                    <w:div w:id="19980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3027">
                          <w:marLeft w:val="0"/>
                          <w:marRight w:val="0"/>
                          <w:marTop w:val="0"/>
                          <w:marBottom w:val="0"/>
                          <w:divBdr>
                            <w:top w:val="none" w:sz="0" w:space="0" w:color="auto"/>
                            <w:left w:val="none" w:sz="0" w:space="0" w:color="auto"/>
                            <w:bottom w:val="none" w:sz="0" w:space="0" w:color="auto"/>
                            <w:right w:val="none" w:sz="0" w:space="0" w:color="auto"/>
                          </w:divBdr>
                          <w:divsChild>
                            <w:div w:id="868493407">
                              <w:marLeft w:val="0"/>
                              <w:marRight w:val="0"/>
                              <w:marTop w:val="0"/>
                              <w:marBottom w:val="0"/>
                              <w:divBdr>
                                <w:top w:val="none" w:sz="0" w:space="0" w:color="auto"/>
                                <w:left w:val="none" w:sz="0" w:space="0" w:color="auto"/>
                                <w:bottom w:val="none" w:sz="0" w:space="0" w:color="auto"/>
                                <w:right w:val="none" w:sz="0" w:space="0" w:color="auto"/>
                              </w:divBdr>
                              <w:divsChild>
                                <w:div w:id="321542125">
                                  <w:marLeft w:val="0"/>
                                  <w:marRight w:val="0"/>
                                  <w:marTop w:val="0"/>
                                  <w:marBottom w:val="0"/>
                                  <w:divBdr>
                                    <w:top w:val="none" w:sz="0" w:space="0" w:color="auto"/>
                                    <w:left w:val="none" w:sz="0" w:space="0" w:color="auto"/>
                                    <w:bottom w:val="none" w:sz="0" w:space="0" w:color="auto"/>
                                    <w:right w:val="none" w:sz="0" w:space="0" w:color="auto"/>
                                  </w:divBdr>
                                  <w:divsChild>
                                    <w:div w:id="16277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534">
                          <w:marLeft w:val="0"/>
                          <w:marRight w:val="0"/>
                          <w:marTop w:val="0"/>
                          <w:marBottom w:val="0"/>
                          <w:divBdr>
                            <w:top w:val="none" w:sz="0" w:space="0" w:color="auto"/>
                            <w:left w:val="none" w:sz="0" w:space="0" w:color="auto"/>
                            <w:bottom w:val="none" w:sz="0" w:space="0" w:color="auto"/>
                            <w:right w:val="none" w:sz="0" w:space="0" w:color="auto"/>
                          </w:divBdr>
                          <w:divsChild>
                            <w:div w:id="1274483956">
                              <w:marLeft w:val="0"/>
                              <w:marRight w:val="0"/>
                              <w:marTop w:val="0"/>
                              <w:marBottom w:val="0"/>
                              <w:divBdr>
                                <w:top w:val="none" w:sz="0" w:space="0" w:color="auto"/>
                                <w:left w:val="none" w:sz="0" w:space="0" w:color="auto"/>
                                <w:bottom w:val="none" w:sz="0" w:space="0" w:color="auto"/>
                                <w:right w:val="none" w:sz="0" w:space="0" w:color="auto"/>
                              </w:divBdr>
                              <w:divsChild>
                                <w:div w:id="2099909502">
                                  <w:marLeft w:val="0"/>
                                  <w:marRight w:val="0"/>
                                  <w:marTop w:val="0"/>
                                  <w:marBottom w:val="0"/>
                                  <w:divBdr>
                                    <w:top w:val="none" w:sz="0" w:space="0" w:color="auto"/>
                                    <w:left w:val="none" w:sz="0" w:space="0" w:color="auto"/>
                                    <w:bottom w:val="none" w:sz="0" w:space="0" w:color="auto"/>
                                    <w:right w:val="none" w:sz="0" w:space="0" w:color="auto"/>
                                  </w:divBdr>
                                  <w:divsChild>
                                    <w:div w:id="14098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279356">
          <w:marLeft w:val="0"/>
          <w:marRight w:val="0"/>
          <w:marTop w:val="0"/>
          <w:marBottom w:val="0"/>
          <w:divBdr>
            <w:top w:val="none" w:sz="0" w:space="0" w:color="auto"/>
            <w:left w:val="none" w:sz="0" w:space="0" w:color="auto"/>
            <w:bottom w:val="none" w:sz="0" w:space="0" w:color="auto"/>
            <w:right w:val="none" w:sz="0" w:space="0" w:color="auto"/>
          </w:divBdr>
          <w:divsChild>
            <w:div w:id="1623875266">
              <w:marLeft w:val="0"/>
              <w:marRight w:val="0"/>
              <w:marTop w:val="0"/>
              <w:marBottom w:val="0"/>
              <w:divBdr>
                <w:top w:val="none" w:sz="0" w:space="0" w:color="auto"/>
                <w:left w:val="none" w:sz="0" w:space="0" w:color="auto"/>
                <w:bottom w:val="none" w:sz="0" w:space="0" w:color="auto"/>
                <w:right w:val="none" w:sz="0" w:space="0" w:color="auto"/>
              </w:divBdr>
              <w:divsChild>
                <w:div w:id="1581527413">
                  <w:marLeft w:val="0"/>
                  <w:marRight w:val="0"/>
                  <w:marTop w:val="0"/>
                  <w:marBottom w:val="0"/>
                  <w:divBdr>
                    <w:top w:val="none" w:sz="0" w:space="0" w:color="auto"/>
                    <w:left w:val="none" w:sz="0" w:space="0" w:color="auto"/>
                    <w:bottom w:val="none" w:sz="0" w:space="0" w:color="auto"/>
                    <w:right w:val="none" w:sz="0" w:space="0" w:color="auto"/>
                  </w:divBdr>
                  <w:divsChild>
                    <w:div w:id="494036665">
                      <w:marLeft w:val="0"/>
                      <w:marRight w:val="0"/>
                      <w:marTop w:val="0"/>
                      <w:marBottom w:val="0"/>
                      <w:divBdr>
                        <w:top w:val="none" w:sz="0" w:space="0" w:color="auto"/>
                        <w:left w:val="none" w:sz="0" w:space="0" w:color="auto"/>
                        <w:bottom w:val="none" w:sz="0" w:space="0" w:color="auto"/>
                        <w:right w:val="none" w:sz="0" w:space="0" w:color="auto"/>
                      </w:divBdr>
                      <w:divsChild>
                        <w:div w:id="334965703">
                          <w:marLeft w:val="0"/>
                          <w:marRight w:val="0"/>
                          <w:marTop w:val="0"/>
                          <w:marBottom w:val="0"/>
                          <w:divBdr>
                            <w:top w:val="none" w:sz="0" w:space="0" w:color="auto"/>
                            <w:left w:val="none" w:sz="0" w:space="0" w:color="auto"/>
                            <w:bottom w:val="none" w:sz="0" w:space="0" w:color="auto"/>
                            <w:right w:val="none" w:sz="0" w:space="0" w:color="auto"/>
                          </w:divBdr>
                          <w:divsChild>
                            <w:div w:id="566841290">
                              <w:marLeft w:val="0"/>
                              <w:marRight w:val="0"/>
                              <w:marTop w:val="0"/>
                              <w:marBottom w:val="0"/>
                              <w:divBdr>
                                <w:top w:val="none" w:sz="0" w:space="0" w:color="auto"/>
                                <w:left w:val="none" w:sz="0" w:space="0" w:color="auto"/>
                                <w:bottom w:val="none" w:sz="0" w:space="0" w:color="auto"/>
                                <w:right w:val="none" w:sz="0" w:space="0" w:color="auto"/>
                              </w:divBdr>
                              <w:divsChild>
                                <w:div w:id="365570435">
                                  <w:marLeft w:val="0"/>
                                  <w:marRight w:val="0"/>
                                  <w:marTop w:val="0"/>
                                  <w:marBottom w:val="0"/>
                                  <w:divBdr>
                                    <w:top w:val="none" w:sz="0" w:space="0" w:color="auto"/>
                                    <w:left w:val="none" w:sz="0" w:space="0" w:color="auto"/>
                                    <w:bottom w:val="none" w:sz="0" w:space="0" w:color="auto"/>
                                    <w:right w:val="none" w:sz="0" w:space="0" w:color="auto"/>
                                  </w:divBdr>
                                  <w:divsChild>
                                    <w:div w:id="171981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35963">
                          <w:marLeft w:val="0"/>
                          <w:marRight w:val="0"/>
                          <w:marTop w:val="0"/>
                          <w:marBottom w:val="0"/>
                          <w:divBdr>
                            <w:top w:val="none" w:sz="0" w:space="0" w:color="auto"/>
                            <w:left w:val="none" w:sz="0" w:space="0" w:color="auto"/>
                            <w:bottom w:val="none" w:sz="0" w:space="0" w:color="auto"/>
                            <w:right w:val="none" w:sz="0" w:space="0" w:color="auto"/>
                          </w:divBdr>
                          <w:divsChild>
                            <w:div w:id="1483815208">
                              <w:marLeft w:val="0"/>
                              <w:marRight w:val="0"/>
                              <w:marTop w:val="0"/>
                              <w:marBottom w:val="0"/>
                              <w:divBdr>
                                <w:top w:val="none" w:sz="0" w:space="0" w:color="auto"/>
                                <w:left w:val="none" w:sz="0" w:space="0" w:color="auto"/>
                                <w:bottom w:val="none" w:sz="0" w:space="0" w:color="auto"/>
                                <w:right w:val="none" w:sz="0" w:space="0" w:color="auto"/>
                              </w:divBdr>
                              <w:divsChild>
                                <w:div w:id="1831019945">
                                  <w:marLeft w:val="0"/>
                                  <w:marRight w:val="0"/>
                                  <w:marTop w:val="0"/>
                                  <w:marBottom w:val="0"/>
                                  <w:divBdr>
                                    <w:top w:val="none" w:sz="0" w:space="0" w:color="auto"/>
                                    <w:left w:val="none" w:sz="0" w:space="0" w:color="auto"/>
                                    <w:bottom w:val="none" w:sz="0" w:space="0" w:color="auto"/>
                                    <w:right w:val="none" w:sz="0" w:space="0" w:color="auto"/>
                                  </w:divBdr>
                                  <w:divsChild>
                                    <w:div w:id="18248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80920">
                          <w:marLeft w:val="0"/>
                          <w:marRight w:val="0"/>
                          <w:marTop w:val="0"/>
                          <w:marBottom w:val="0"/>
                          <w:divBdr>
                            <w:top w:val="none" w:sz="0" w:space="0" w:color="auto"/>
                            <w:left w:val="none" w:sz="0" w:space="0" w:color="auto"/>
                            <w:bottom w:val="none" w:sz="0" w:space="0" w:color="auto"/>
                            <w:right w:val="none" w:sz="0" w:space="0" w:color="auto"/>
                          </w:divBdr>
                          <w:divsChild>
                            <w:div w:id="464740667">
                              <w:marLeft w:val="0"/>
                              <w:marRight w:val="0"/>
                              <w:marTop w:val="0"/>
                              <w:marBottom w:val="0"/>
                              <w:divBdr>
                                <w:top w:val="none" w:sz="0" w:space="0" w:color="auto"/>
                                <w:left w:val="none" w:sz="0" w:space="0" w:color="auto"/>
                                <w:bottom w:val="none" w:sz="0" w:space="0" w:color="auto"/>
                                <w:right w:val="none" w:sz="0" w:space="0" w:color="auto"/>
                              </w:divBdr>
                              <w:divsChild>
                                <w:div w:id="131259">
                                  <w:marLeft w:val="0"/>
                                  <w:marRight w:val="0"/>
                                  <w:marTop w:val="0"/>
                                  <w:marBottom w:val="0"/>
                                  <w:divBdr>
                                    <w:top w:val="none" w:sz="0" w:space="0" w:color="auto"/>
                                    <w:left w:val="none" w:sz="0" w:space="0" w:color="auto"/>
                                    <w:bottom w:val="none" w:sz="0" w:space="0" w:color="auto"/>
                                    <w:right w:val="none" w:sz="0" w:space="0" w:color="auto"/>
                                  </w:divBdr>
                                  <w:divsChild>
                                    <w:div w:id="39566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97893">
                          <w:marLeft w:val="0"/>
                          <w:marRight w:val="0"/>
                          <w:marTop w:val="0"/>
                          <w:marBottom w:val="0"/>
                          <w:divBdr>
                            <w:top w:val="none" w:sz="0" w:space="0" w:color="auto"/>
                            <w:left w:val="none" w:sz="0" w:space="0" w:color="auto"/>
                            <w:bottom w:val="none" w:sz="0" w:space="0" w:color="auto"/>
                            <w:right w:val="none" w:sz="0" w:space="0" w:color="auto"/>
                          </w:divBdr>
                          <w:divsChild>
                            <w:div w:id="2060858541">
                              <w:marLeft w:val="0"/>
                              <w:marRight w:val="0"/>
                              <w:marTop w:val="0"/>
                              <w:marBottom w:val="0"/>
                              <w:divBdr>
                                <w:top w:val="none" w:sz="0" w:space="0" w:color="auto"/>
                                <w:left w:val="none" w:sz="0" w:space="0" w:color="auto"/>
                                <w:bottom w:val="none" w:sz="0" w:space="0" w:color="auto"/>
                                <w:right w:val="none" w:sz="0" w:space="0" w:color="auto"/>
                              </w:divBdr>
                              <w:divsChild>
                                <w:div w:id="1871608677">
                                  <w:marLeft w:val="0"/>
                                  <w:marRight w:val="0"/>
                                  <w:marTop w:val="0"/>
                                  <w:marBottom w:val="0"/>
                                  <w:divBdr>
                                    <w:top w:val="none" w:sz="0" w:space="0" w:color="auto"/>
                                    <w:left w:val="none" w:sz="0" w:space="0" w:color="auto"/>
                                    <w:bottom w:val="none" w:sz="0" w:space="0" w:color="auto"/>
                                    <w:right w:val="none" w:sz="0" w:space="0" w:color="auto"/>
                                  </w:divBdr>
                                  <w:divsChild>
                                    <w:div w:id="41860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5075">
                          <w:marLeft w:val="0"/>
                          <w:marRight w:val="0"/>
                          <w:marTop w:val="0"/>
                          <w:marBottom w:val="0"/>
                          <w:divBdr>
                            <w:top w:val="none" w:sz="0" w:space="0" w:color="auto"/>
                            <w:left w:val="none" w:sz="0" w:space="0" w:color="auto"/>
                            <w:bottom w:val="none" w:sz="0" w:space="0" w:color="auto"/>
                            <w:right w:val="none" w:sz="0" w:space="0" w:color="auto"/>
                          </w:divBdr>
                          <w:divsChild>
                            <w:div w:id="2016571516">
                              <w:marLeft w:val="0"/>
                              <w:marRight w:val="0"/>
                              <w:marTop w:val="0"/>
                              <w:marBottom w:val="0"/>
                              <w:divBdr>
                                <w:top w:val="none" w:sz="0" w:space="0" w:color="auto"/>
                                <w:left w:val="none" w:sz="0" w:space="0" w:color="auto"/>
                                <w:bottom w:val="none" w:sz="0" w:space="0" w:color="auto"/>
                                <w:right w:val="none" w:sz="0" w:space="0" w:color="auto"/>
                              </w:divBdr>
                              <w:divsChild>
                                <w:div w:id="904799521">
                                  <w:marLeft w:val="0"/>
                                  <w:marRight w:val="0"/>
                                  <w:marTop w:val="0"/>
                                  <w:marBottom w:val="0"/>
                                  <w:divBdr>
                                    <w:top w:val="none" w:sz="0" w:space="0" w:color="auto"/>
                                    <w:left w:val="none" w:sz="0" w:space="0" w:color="auto"/>
                                    <w:bottom w:val="none" w:sz="0" w:space="0" w:color="auto"/>
                                    <w:right w:val="none" w:sz="0" w:space="0" w:color="auto"/>
                                  </w:divBdr>
                                  <w:divsChild>
                                    <w:div w:id="1069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267754">
          <w:marLeft w:val="0"/>
          <w:marRight w:val="0"/>
          <w:marTop w:val="0"/>
          <w:marBottom w:val="0"/>
          <w:divBdr>
            <w:top w:val="none" w:sz="0" w:space="0" w:color="auto"/>
            <w:left w:val="none" w:sz="0" w:space="0" w:color="auto"/>
            <w:bottom w:val="none" w:sz="0" w:space="0" w:color="auto"/>
            <w:right w:val="none" w:sz="0" w:space="0" w:color="auto"/>
          </w:divBdr>
          <w:divsChild>
            <w:div w:id="910770109">
              <w:marLeft w:val="0"/>
              <w:marRight w:val="0"/>
              <w:marTop w:val="0"/>
              <w:marBottom w:val="0"/>
              <w:divBdr>
                <w:top w:val="none" w:sz="0" w:space="0" w:color="auto"/>
                <w:left w:val="none" w:sz="0" w:space="0" w:color="auto"/>
                <w:bottom w:val="none" w:sz="0" w:space="0" w:color="auto"/>
                <w:right w:val="none" w:sz="0" w:space="0" w:color="auto"/>
              </w:divBdr>
              <w:divsChild>
                <w:div w:id="966467484">
                  <w:marLeft w:val="0"/>
                  <w:marRight w:val="0"/>
                  <w:marTop w:val="0"/>
                  <w:marBottom w:val="0"/>
                  <w:divBdr>
                    <w:top w:val="none" w:sz="0" w:space="0" w:color="auto"/>
                    <w:left w:val="none" w:sz="0" w:space="0" w:color="auto"/>
                    <w:bottom w:val="none" w:sz="0" w:space="0" w:color="auto"/>
                    <w:right w:val="none" w:sz="0" w:space="0" w:color="auto"/>
                  </w:divBdr>
                  <w:divsChild>
                    <w:div w:id="580337186">
                      <w:marLeft w:val="0"/>
                      <w:marRight w:val="0"/>
                      <w:marTop w:val="0"/>
                      <w:marBottom w:val="0"/>
                      <w:divBdr>
                        <w:top w:val="none" w:sz="0" w:space="0" w:color="auto"/>
                        <w:left w:val="none" w:sz="0" w:space="0" w:color="auto"/>
                        <w:bottom w:val="none" w:sz="0" w:space="0" w:color="auto"/>
                        <w:right w:val="none" w:sz="0" w:space="0" w:color="auto"/>
                      </w:divBdr>
                      <w:divsChild>
                        <w:div w:id="1141846721">
                          <w:marLeft w:val="0"/>
                          <w:marRight w:val="0"/>
                          <w:marTop w:val="0"/>
                          <w:marBottom w:val="0"/>
                          <w:divBdr>
                            <w:top w:val="none" w:sz="0" w:space="0" w:color="auto"/>
                            <w:left w:val="none" w:sz="0" w:space="0" w:color="auto"/>
                            <w:bottom w:val="none" w:sz="0" w:space="0" w:color="auto"/>
                            <w:right w:val="none" w:sz="0" w:space="0" w:color="auto"/>
                          </w:divBdr>
                          <w:divsChild>
                            <w:div w:id="445733656">
                              <w:marLeft w:val="0"/>
                              <w:marRight w:val="0"/>
                              <w:marTop w:val="0"/>
                              <w:marBottom w:val="0"/>
                              <w:divBdr>
                                <w:top w:val="none" w:sz="0" w:space="0" w:color="auto"/>
                                <w:left w:val="none" w:sz="0" w:space="0" w:color="auto"/>
                                <w:bottom w:val="none" w:sz="0" w:space="0" w:color="auto"/>
                                <w:right w:val="none" w:sz="0" w:space="0" w:color="auto"/>
                              </w:divBdr>
                              <w:divsChild>
                                <w:div w:id="337731775">
                                  <w:marLeft w:val="0"/>
                                  <w:marRight w:val="0"/>
                                  <w:marTop w:val="0"/>
                                  <w:marBottom w:val="0"/>
                                  <w:divBdr>
                                    <w:top w:val="none" w:sz="0" w:space="0" w:color="auto"/>
                                    <w:left w:val="none" w:sz="0" w:space="0" w:color="auto"/>
                                    <w:bottom w:val="none" w:sz="0" w:space="0" w:color="auto"/>
                                    <w:right w:val="none" w:sz="0" w:space="0" w:color="auto"/>
                                  </w:divBdr>
                                  <w:divsChild>
                                    <w:div w:id="17932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84596">
                          <w:marLeft w:val="0"/>
                          <w:marRight w:val="0"/>
                          <w:marTop w:val="0"/>
                          <w:marBottom w:val="0"/>
                          <w:divBdr>
                            <w:top w:val="none" w:sz="0" w:space="0" w:color="auto"/>
                            <w:left w:val="none" w:sz="0" w:space="0" w:color="auto"/>
                            <w:bottom w:val="none" w:sz="0" w:space="0" w:color="auto"/>
                            <w:right w:val="none" w:sz="0" w:space="0" w:color="auto"/>
                          </w:divBdr>
                          <w:divsChild>
                            <w:div w:id="1069838546">
                              <w:marLeft w:val="0"/>
                              <w:marRight w:val="0"/>
                              <w:marTop w:val="0"/>
                              <w:marBottom w:val="0"/>
                              <w:divBdr>
                                <w:top w:val="none" w:sz="0" w:space="0" w:color="auto"/>
                                <w:left w:val="none" w:sz="0" w:space="0" w:color="auto"/>
                                <w:bottom w:val="none" w:sz="0" w:space="0" w:color="auto"/>
                                <w:right w:val="none" w:sz="0" w:space="0" w:color="auto"/>
                              </w:divBdr>
                              <w:divsChild>
                                <w:div w:id="1284114037">
                                  <w:marLeft w:val="0"/>
                                  <w:marRight w:val="0"/>
                                  <w:marTop w:val="0"/>
                                  <w:marBottom w:val="0"/>
                                  <w:divBdr>
                                    <w:top w:val="none" w:sz="0" w:space="0" w:color="auto"/>
                                    <w:left w:val="none" w:sz="0" w:space="0" w:color="auto"/>
                                    <w:bottom w:val="none" w:sz="0" w:space="0" w:color="auto"/>
                                    <w:right w:val="none" w:sz="0" w:space="0" w:color="auto"/>
                                  </w:divBdr>
                                  <w:divsChild>
                                    <w:div w:id="4408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53158">
                          <w:marLeft w:val="0"/>
                          <w:marRight w:val="0"/>
                          <w:marTop w:val="0"/>
                          <w:marBottom w:val="0"/>
                          <w:divBdr>
                            <w:top w:val="none" w:sz="0" w:space="0" w:color="auto"/>
                            <w:left w:val="none" w:sz="0" w:space="0" w:color="auto"/>
                            <w:bottom w:val="none" w:sz="0" w:space="0" w:color="auto"/>
                            <w:right w:val="none" w:sz="0" w:space="0" w:color="auto"/>
                          </w:divBdr>
                          <w:divsChild>
                            <w:div w:id="919363076">
                              <w:marLeft w:val="0"/>
                              <w:marRight w:val="0"/>
                              <w:marTop w:val="0"/>
                              <w:marBottom w:val="0"/>
                              <w:divBdr>
                                <w:top w:val="none" w:sz="0" w:space="0" w:color="auto"/>
                                <w:left w:val="none" w:sz="0" w:space="0" w:color="auto"/>
                                <w:bottom w:val="none" w:sz="0" w:space="0" w:color="auto"/>
                                <w:right w:val="none" w:sz="0" w:space="0" w:color="auto"/>
                              </w:divBdr>
                              <w:divsChild>
                                <w:div w:id="1456219917">
                                  <w:marLeft w:val="0"/>
                                  <w:marRight w:val="0"/>
                                  <w:marTop w:val="0"/>
                                  <w:marBottom w:val="0"/>
                                  <w:divBdr>
                                    <w:top w:val="none" w:sz="0" w:space="0" w:color="auto"/>
                                    <w:left w:val="none" w:sz="0" w:space="0" w:color="auto"/>
                                    <w:bottom w:val="none" w:sz="0" w:space="0" w:color="auto"/>
                                    <w:right w:val="none" w:sz="0" w:space="0" w:color="auto"/>
                                  </w:divBdr>
                                  <w:divsChild>
                                    <w:div w:id="4372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93254">
                          <w:marLeft w:val="0"/>
                          <w:marRight w:val="0"/>
                          <w:marTop w:val="0"/>
                          <w:marBottom w:val="0"/>
                          <w:divBdr>
                            <w:top w:val="none" w:sz="0" w:space="0" w:color="auto"/>
                            <w:left w:val="none" w:sz="0" w:space="0" w:color="auto"/>
                            <w:bottom w:val="none" w:sz="0" w:space="0" w:color="auto"/>
                            <w:right w:val="none" w:sz="0" w:space="0" w:color="auto"/>
                          </w:divBdr>
                          <w:divsChild>
                            <w:div w:id="1374113470">
                              <w:marLeft w:val="0"/>
                              <w:marRight w:val="0"/>
                              <w:marTop w:val="0"/>
                              <w:marBottom w:val="0"/>
                              <w:divBdr>
                                <w:top w:val="none" w:sz="0" w:space="0" w:color="auto"/>
                                <w:left w:val="none" w:sz="0" w:space="0" w:color="auto"/>
                                <w:bottom w:val="none" w:sz="0" w:space="0" w:color="auto"/>
                                <w:right w:val="none" w:sz="0" w:space="0" w:color="auto"/>
                              </w:divBdr>
                              <w:divsChild>
                                <w:div w:id="2123110397">
                                  <w:marLeft w:val="0"/>
                                  <w:marRight w:val="0"/>
                                  <w:marTop w:val="0"/>
                                  <w:marBottom w:val="0"/>
                                  <w:divBdr>
                                    <w:top w:val="none" w:sz="0" w:space="0" w:color="auto"/>
                                    <w:left w:val="none" w:sz="0" w:space="0" w:color="auto"/>
                                    <w:bottom w:val="none" w:sz="0" w:space="0" w:color="auto"/>
                                    <w:right w:val="none" w:sz="0" w:space="0" w:color="auto"/>
                                  </w:divBdr>
                                  <w:divsChild>
                                    <w:div w:id="18117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6051">
                          <w:marLeft w:val="0"/>
                          <w:marRight w:val="0"/>
                          <w:marTop w:val="0"/>
                          <w:marBottom w:val="0"/>
                          <w:divBdr>
                            <w:top w:val="none" w:sz="0" w:space="0" w:color="auto"/>
                            <w:left w:val="none" w:sz="0" w:space="0" w:color="auto"/>
                            <w:bottom w:val="none" w:sz="0" w:space="0" w:color="auto"/>
                            <w:right w:val="none" w:sz="0" w:space="0" w:color="auto"/>
                          </w:divBdr>
                          <w:divsChild>
                            <w:div w:id="783112661">
                              <w:marLeft w:val="0"/>
                              <w:marRight w:val="0"/>
                              <w:marTop w:val="0"/>
                              <w:marBottom w:val="0"/>
                              <w:divBdr>
                                <w:top w:val="none" w:sz="0" w:space="0" w:color="auto"/>
                                <w:left w:val="none" w:sz="0" w:space="0" w:color="auto"/>
                                <w:bottom w:val="none" w:sz="0" w:space="0" w:color="auto"/>
                                <w:right w:val="none" w:sz="0" w:space="0" w:color="auto"/>
                              </w:divBdr>
                              <w:divsChild>
                                <w:div w:id="1091849212">
                                  <w:marLeft w:val="0"/>
                                  <w:marRight w:val="0"/>
                                  <w:marTop w:val="0"/>
                                  <w:marBottom w:val="0"/>
                                  <w:divBdr>
                                    <w:top w:val="none" w:sz="0" w:space="0" w:color="auto"/>
                                    <w:left w:val="none" w:sz="0" w:space="0" w:color="auto"/>
                                    <w:bottom w:val="none" w:sz="0" w:space="0" w:color="auto"/>
                                    <w:right w:val="none" w:sz="0" w:space="0" w:color="auto"/>
                                  </w:divBdr>
                                  <w:divsChild>
                                    <w:div w:id="20980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104944">
          <w:marLeft w:val="0"/>
          <w:marRight w:val="0"/>
          <w:marTop w:val="0"/>
          <w:marBottom w:val="0"/>
          <w:divBdr>
            <w:top w:val="none" w:sz="0" w:space="0" w:color="auto"/>
            <w:left w:val="none" w:sz="0" w:space="0" w:color="auto"/>
            <w:bottom w:val="none" w:sz="0" w:space="0" w:color="auto"/>
            <w:right w:val="none" w:sz="0" w:space="0" w:color="auto"/>
          </w:divBdr>
          <w:divsChild>
            <w:div w:id="1198591353">
              <w:marLeft w:val="0"/>
              <w:marRight w:val="0"/>
              <w:marTop w:val="0"/>
              <w:marBottom w:val="0"/>
              <w:divBdr>
                <w:top w:val="none" w:sz="0" w:space="0" w:color="auto"/>
                <w:left w:val="none" w:sz="0" w:space="0" w:color="auto"/>
                <w:bottom w:val="none" w:sz="0" w:space="0" w:color="auto"/>
                <w:right w:val="none" w:sz="0" w:space="0" w:color="auto"/>
              </w:divBdr>
              <w:divsChild>
                <w:div w:id="668560093">
                  <w:marLeft w:val="0"/>
                  <w:marRight w:val="0"/>
                  <w:marTop w:val="0"/>
                  <w:marBottom w:val="0"/>
                  <w:divBdr>
                    <w:top w:val="none" w:sz="0" w:space="0" w:color="auto"/>
                    <w:left w:val="none" w:sz="0" w:space="0" w:color="auto"/>
                    <w:bottom w:val="none" w:sz="0" w:space="0" w:color="auto"/>
                    <w:right w:val="none" w:sz="0" w:space="0" w:color="auto"/>
                  </w:divBdr>
                  <w:divsChild>
                    <w:div w:id="2127581431">
                      <w:marLeft w:val="0"/>
                      <w:marRight w:val="0"/>
                      <w:marTop w:val="0"/>
                      <w:marBottom w:val="0"/>
                      <w:divBdr>
                        <w:top w:val="none" w:sz="0" w:space="0" w:color="auto"/>
                        <w:left w:val="none" w:sz="0" w:space="0" w:color="auto"/>
                        <w:bottom w:val="none" w:sz="0" w:space="0" w:color="auto"/>
                        <w:right w:val="none" w:sz="0" w:space="0" w:color="auto"/>
                      </w:divBdr>
                      <w:divsChild>
                        <w:div w:id="8140382">
                          <w:marLeft w:val="0"/>
                          <w:marRight w:val="0"/>
                          <w:marTop w:val="0"/>
                          <w:marBottom w:val="0"/>
                          <w:divBdr>
                            <w:top w:val="none" w:sz="0" w:space="0" w:color="auto"/>
                            <w:left w:val="none" w:sz="0" w:space="0" w:color="auto"/>
                            <w:bottom w:val="none" w:sz="0" w:space="0" w:color="auto"/>
                            <w:right w:val="none" w:sz="0" w:space="0" w:color="auto"/>
                          </w:divBdr>
                          <w:divsChild>
                            <w:div w:id="740248171">
                              <w:marLeft w:val="0"/>
                              <w:marRight w:val="0"/>
                              <w:marTop w:val="0"/>
                              <w:marBottom w:val="0"/>
                              <w:divBdr>
                                <w:top w:val="none" w:sz="0" w:space="0" w:color="auto"/>
                                <w:left w:val="none" w:sz="0" w:space="0" w:color="auto"/>
                                <w:bottom w:val="none" w:sz="0" w:space="0" w:color="auto"/>
                                <w:right w:val="none" w:sz="0" w:space="0" w:color="auto"/>
                              </w:divBdr>
                              <w:divsChild>
                                <w:div w:id="862783870">
                                  <w:marLeft w:val="0"/>
                                  <w:marRight w:val="0"/>
                                  <w:marTop w:val="0"/>
                                  <w:marBottom w:val="0"/>
                                  <w:divBdr>
                                    <w:top w:val="none" w:sz="0" w:space="0" w:color="auto"/>
                                    <w:left w:val="none" w:sz="0" w:space="0" w:color="auto"/>
                                    <w:bottom w:val="none" w:sz="0" w:space="0" w:color="auto"/>
                                    <w:right w:val="none" w:sz="0" w:space="0" w:color="auto"/>
                                  </w:divBdr>
                                  <w:divsChild>
                                    <w:div w:id="212764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2683">
                          <w:marLeft w:val="0"/>
                          <w:marRight w:val="0"/>
                          <w:marTop w:val="0"/>
                          <w:marBottom w:val="0"/>
                          <w:divBdr>
                            <w:top w:val="none" w:sz="0" w:space="0" w:color="auto"/>
                            <w:left w:val="none" w:sz="0" w:space="0" w:color="auto"/>
                            <w:bottom w:val="none" w:sz="0" w:space="0" w:color="auto"/>
                            <w:right w:val="none" w:sz="0" w:space="0" w:color="auto"/>
                          </w:divBdr>
                          <w:divsChild>
                            <w:div w:id="2145266517">
                              <w:marLeft w:val="0"/>
                              <w:marRight w:val="0"/>
                              <w:marTop w:val="0"/>
                              <w:marBottom w:val="0"/>
                              <w:divBdr>
                                <w:top w:val="none" w:sz="0" w:space="0" w:color="auto"/>
                                <w:left w:val="none" w:sz="0" w:space="0" w:color="auto"/>
                                <w:bottom w:val="none" w:sz="0" w:space="0" w:color="auto"/>
                                <w:right w:val="none" w:sz="0" w:space="0" w:color="auto"/>
                              </w:divBdr>
                              <w:divsChild>
                                <w:div w:id="1663506527">
                                  <w:marLeft w:val="0"/>
                                  <w:marRight w:val="0"/>
                                  <w:marTop w:val="0"/>
                                  <w:marBottom w:val="0"/>
                                  <w:divBdr>
                                    <w:top w:val="none" w:sz="0" w:space="0" w:color="auto"/>
                                    <w:left w:val="none" w:sz="0" w:space="0" w:color="auto"/>
                                    <w:bottom w:val="none" w:sz="0" w:space="0" w:color="auto"/>
                                    <w:right w:val="none" w:sz="0" w:space="0" w:color="auto"/>
                                  </w:divBdr>
                                  <w:divsChild>
                                    <w:div w:id="1250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1063">
                          <w:marLeft w:val="0"/>
                          <w:marRight w:val="0"/>
                          <w:marTop w:val="0"/>
                          <w:marBottom w:val="0"/>
                          <w:divBdr>
                            <w:top w:val="none" w:sz="0" w:space="0" w:color="auto"/>
                            <w:left w:val="none" w:sz="0" w:space="0" w:color="auto"/>
                            <w:bottom w:val="none" w:sz="0" w:space="0" w:color="auto"/>
                            <w:right w:val="none" w:sz="0" w:space="0" w:color="auto"/>
                          </w:divBdr>
                          <w:divsChild>
                            <w:div w:id="1811706829">
                              <w:marLeft w:val="0"/>
                              <w:marRight w:val="0"/>
                              <w:marTop w:val="0"/>
                              <w:marBottom w:val="0"/>
                              <w:divBdr>
                                <w:top w:val="none" w:sz="0" w:space="0" w:color="auto"/>
                                <w:left w:val="none" w:sz="0" w:space="0" w:color="auto"/>
                                <w:bottom w:val="none" w:sz="0" w:space="0" w:color="auto"/>
                                <w:right w:val="none" w:sz="0" w:space="0" w:color="auto"/>
                              </w:divBdr>
                              <w:divsChild>
                                <w:div w:id="791480974">
                                  <w:marLeft w:val="0"/>
                                  <w:marRight w:val="0"/>
                                  <w:marTop w:val="0"/>
                                  <w:marBottom w:val="0"/>
                                  <w:divBdr>
                                    <w:top w:val="none" w:sz="0" w:space="0" w:color="auto"/>
                                    <w:left w:val="none" w:sz="0" w:space="0" w:color="auto"/>
                                    <w:bottom w:val="none" w:sz="0" w:space="0" w:color="auto"/>
                                    <w:right w:val="none" w:sz="0" w:space="0" w:color="auto"/>
                                  </w:divBdr>
                                  <w:divsChild>
                                    <w:div w:id="11140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6037">
                          <w:marLeft w:val="0"/>
                          <w:marRight w:val="0"/>
                          <w:marTop w:val="0"/>
                          <w:marBottom w:val="0"/>
                          <w:divBdr>
                            <w:top w:val="none" w:sz="0" w:space="0" w:color="auto"/>
                            <w:left w:val="none" w:sz="0" w:space="0" w:color="auto"/>
                            <w:bottom w:val="none" w:sz="0" w:space="0" w:color="auto"/>
                            <w:right w:val="none" w:sz="0" w:space="0" w:color="auto"/>
                          </w:divBdr>
                          <w:divsChild>
                            <w:div w:id="1289820448">
                              <w:marLeft w:val="0"/>
                              <w:marRight w:val="0"/>
                              <w:marTop w:val="0"/>
                              <w:marBottom w:val="0"/>
                              <w:divBdr>
                                <w:top w:val="none" w:sz="0" w:space="0" w:color="auto"/>
                                <w:left w:val="none" w:sz="0" w:space="0" w:color="auto"/>
                                <w:bottom w:val="none" w:sz="0" w:space="0" w:color="auto"/>
                                <w:right w:val="none" w:sz="0" w:space="0" w:color="auto"/>
                              </w:divBdr>
                              <w:divsChild>
                                <w:div w:id="300841744">
                                  <w:marLeft w:val="0"/>
                                  <w:marRight w:val="0"/>
                                  <w:marTop w:val="0"/>
                                  <w:marBottom w:val="0"/>
                                  <w:divBdr>
                                    <w:top w:val="none" w:sz="0" w:space="0" w:color="auto"/>
                                    <w:left w:val="none" w:sz="0" w:space="0" w:color="auto"/>
                                    <w:bottom w:val="none" w:sz="0" w:space="0" w:color="auto"/>
                                    <w:right w:val="none" w:sz="0" w:space="0" w:color="auto"/>
                                  </w:divBdr>
                                  <w:divsChild>
                                    <w:div w:id="1274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3067">
                          <w:marLeft w:val="0"/>
                          <w:marRight w:val="0"/>
                          <w:marTop w:val="0"/>
                          <w:marBottom w:val="0"/>
                          <w:divBdr>
                            <w:top w:val="none" w:sz="0" w:space="0" w:color="auto"/>
                            <w:left w:val="none" w:sz="0" w:space="0" w:color="auto"/>
                            <w:bottom w:val="none" w:sz="0" w:space="0" w:color="auto"/>
                            <w:right w:val="none" w:sz="0" w:space="0" w:color="auto"/>
                          </w:divBdr>
                          <w:divsChild>
                            <w:div w:id="920263078">
                              <w:marLeft w:val="0"/>
                              <w:marRight w:val="0"/>
                              <w:marTop w:val="0"/>
                              <w:marBottom w:val="0"/>
                              <w:divBdr>
                                <w:top w:val="none" w:sz="0" w:space="0" w:color="auto"/>
                                <w:left w:val="none" w:sz="0" w:space="0" w:color="auto"/>
                                <w:bottom w:val="none" w:sz="0" w:space="0" w:color="auto"/>
                                <w:right w:val="none" w:sz="0" w:space="0" w:color="auto"/>
                              </w:divBdr>
                              <w:divsChild>
                                <w:div w:id="1228297030">
                                  <w:marLeft w:val="0"/>
                                  <w:marRight w:val="0"/>
                                  <w:marTop w:val="0"/>
                                  <w:marBottom w:val="0"/>
                                  <w:divBdr>
                                    <w:top w:val="none" w:sz="0" w:space="0" w:color="auto"/>
                                    <w:left w:val="none" w:sz="0" w:space="0" w:color="auto"/>
                                    <w:bottom w:val="none" w:sz="0" w:space="0" w:color="auto"/>
                                    <w:right w:val="none" w:sz="0" w:space="0" w:color="auto"/>
                                  </w:divBdr>
                                  <w:divsChild>
                                    <w:div w:id="105362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191697">
          <w:marLeft w:val="0"/>
          <w:marRight w:val="0"/>
          <w:marTop w:val="0"/>
          <w:marBottom w:val="0"/>
          <w:divBdr>
            <w:top w:val="none" w:sz="0" w:space="0" w:color="auto"/>
            <w:left w:val="none" w:sz="0" w:space="0" w:color="auto"/>
            <w:bottom w:val="none" w:sz="0" w:space="0" w:color="auto"/>
            <w:right w:val="none" w:sz="0" w:space="0" w:color="auto"/>
          </w:divBdr>
          <w:divsChild>
            <w:div w:id="554243560">
              <w:marLeft w:val="0"/>
              <w:marRight w:val="0"/>
              <w:marTop w:val="0"/>
              <w:marBottom w:val="0"/>
              <w:divBdr>
                <w:top w:val="none" w:sz="0" w:space="0" w:color="auto"/>
                <w:left w:val="none" w:sz="0" w:space="0" w:color="auto"/>
                <w:bottom w:val="none" w:sz="0" w:space="0" w:color="auto"/>
                <w:right w:val="none" w:sz="0" w:space="0" w:color="auto"/>
              </w:divBdr>
              <w:divsChild>
                <w:div w:id="252248131">
                  <w:marLeft w:val="0"/>
                  <w:marRight w:val="0"/>
                  <w:marTop w:val="0"/>
                  <w:marBottom w:val="0"/>
                  <w:divBdr>
                    <w:top w:val="none" w:sz="0" w:space="0" w:color="auto"/>
                    <w:left w:val="none" w:sz="0" w:space="0" w:color="auto"/>
                    <w:bottom w:val="none" w:sz="0" w:space="0" w:color="auto"/>
                    <w:right w:val="none" w:sz="0" w:space="0" w:color="auto"/>
                  </w:divBdr>
                  <w:divsChild>
                    <w:div w:id="204293949">
                      <w:marLeft w:val="0"/>
                      <w:marRight w:val="0"/>
                      <w:marTop w:val="0"/>
                      <w:marBottom w:val="0"/>
                      <w:divBdr>
                        <w:top w:val="none" w:sz="0" w:space="0" w:color="auto"/>
                        <w:left w:val="none" w:sz="0" w:space="0" w:color="auto"/>
                        <w:bottom w:val="none" w:sz="0" w:space="0" w:color="auto"/>
                        <w:right w:val="none" w:sz="0" w:space="0" w:color="auto"/>
                      </w:divBdr>
                      <w:divsChild>
                        <w:div w:id="129057830">
                          <w:marLeft w:val="0"/>
                          <w:marRight w:val="0"/>
                          <w:marTop w:val="0"/>
                          <w:marBottom w:val="0"/>
                          <w:divBdr>
                            <w:top w:val="none" w:sz="0" w:space="0" w:color="auto"/>
                            <w:left w:val="none" w:sz="0" w:space="0" w:color="auto"/>
                            <w:bottom w:val="none" w:sz="0" w:space="0" w:color="auto"/>
                            <w:right w:val="none" w:sz="0" w:space="0" w:color="auto"/>
                          </w:divBdr>
                          <w:divsChild>
                            <w:div w:id="124201423">
                              <w:marLeft w:val="0"/>
                              <w:marRight w:val="0"/>
                              <w:marTop w:val="0"/>
                              <w:marBottom w:val="0"/>
                              <w:divBdr>
                                <w:top w:val="none" w:sz="0" w:space="0" w:color="auto"/>
                                <w:left w:val="none" w:sz="0" w:space="0" w:color="auto"/>
                                <w:bottom w:val="none" w:sz="0" w:space="0" w:color="auto"/>
                                <w:right w:val="none" w:sz="0" w:space="0" w:color="auto"/>
                              </w:divBdr>
                              <w:divsChild>
                                <w:div w:id="605161019">
                                  <w:marLeft w:val="0"/>
                                  <w:marRight w:val="0"/>
                                  <w:marTop w:val="0"/>
                                  <w:marBottom w:val="0"/>
                                  <w:divBdr>
                                    <w:top w:val="none" w:sz="0" w:space="0" w:color="auto"/>
                                    <w:left w:val="none" w:sz="0" w:space="0" w:color="auto"/>
                                    <w:bottom w:val="none" w:sz="0" w:space="0" w:color="auto"/>
                                    <w:right w:val="none" w:sz="0" w:space="0" w:color="auto"/>
                                  </w:divBdr>
                                  <w:divsChild>
                                    <w:div w:id="20945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2263">
                          <w:marLeft w:val="0"/>
                          <w:marRight w:val="0"/>
                          <w:marTop w:val="0"/>
                          <w:marBottom w:val="0"/>
                          <w:divBdr>
                            <w:top w:val="none" w:sz="0" w:space="0" w:color="auto"/>
                            <w:left w:val="none" w:sz="0" w:space="0" w:color="auto"/>
                            <w:bottom w:val="none" w:sz="0" w:space="0" w:color="auto"/>
                            <w:right w:val="none" w:sz="0" w:space="0" w:color="auto"/>
                          </w:divBdr>
                          <w:divsChild>
                            <w:div w:id="1573194873">
                              <w:marLeft w:val="0"/>
                              <w:marRight w:val="0"/>
                              <w:marTop w:val="0"/>
                              <w:marBottom w:val="0"/>
                              <w:divBdr>
                                <w:top w:val="none" w:sz="0" w:space="0" w:color="auto"/>
                                <w:left w:val="none" w:sz="0" w:space="0" w:color="auto"/>
                                <w:bottom w:val="none" w:sz="0" w:space="0" w:color="auto"/>
                                <w:right w:val="none" w:sz="0" w:space="0" w:color="auto"/>
                              </w:divBdr>
                              <w:divsChild>
                                <w:div w:id="425885597">
                                  <w:marLeft w:val="0"/>
                                  <w:marRight w:val="0"/>
                                  <w:marTop w:val="0"/>
                                  <w:marBottom w:val="0"/>
                                  <w:divBdr>
                                    <w:top w:val="none" w:sz="0" w:space="0" w:color="auto"/>
                                    <w:left w:val="none" w:sz="0" w:space="0" w:color="auto"/>
                                    <w:bottom w:val="none" w:sz="0" w:space="0" w:color="auto"/>
                                    <w:right w:val="none" w:sz="0" w:space="0" w:color="auto"/>
                                  </w:divBdr>
                                  <w:divsChild>
                                    <w:div w:id="19020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80265">
                          <w:marLeft w:val="0"/>
                          <w:marRight w:val="0"/>
                          <w:marTop w:val="0"/>
                          <w:marBottom w:val="0"/>
                          <w:divBdr>
                            <w:top w:val="none" w:sz="0" w:space="0" w:color="auto"/>
                            <w:left w:val="none" w:sz="0" w:space="0" w:color="auto"/>
                            <w:bottom w:val="none" w:sz="0" w:space="0" w:color="auto"/>
                            <w:right w:val="none" w:sz="0" w:space="0" w:color="auto"/>
                          </w:divBdr>
                          <w:divsChild>
                            <w:div w:id="484322264">
                              <w:marLeft w:val="0"/>
                              <w:marRight w:val="0"/>
                              <w:marTop w:val="0"/>
                              <w:marBottom w:val="0"/>
                              <w:divBdr>
                                <w:top w:val="none" w:sz="0" w:space="0" w:color="auto"/>
                                <w:left w:val="none" w:sz="0" w:space="0" w:color="auto"/>
                                <w:bottom w:val="none" w:sz="0" w:space="0" w:color="auto"/>
                                <w:right w:val="none" w:sz="0" w:space="0" w:color="auto"/>
                              </w:divBdr>
                              <w:divsChild>
                                <w:div w:id="1278485887">
                                  <w:marLeft w:val="0"/>
                                  <w:marRight w:val="0"/>
                                  <w:marTop w:val="0"/>
                                  <w:marBottom w:val="0"/>
                                  <w:divBdr>
                                    <w:top w:val="none" w:sz="0" w:space="0" w:color="auto"/>
                                    <w:left w:val="none" w:sz="0" w:space="0" w:color="auto"/>
                                    <w:bottom w:val="none" w:sz="0" w:space="0" w:color="auto"/>
                                    <w:right w:val="none" w:sz="0" w:space="0" w:color="auto"/>
                                  </w:divBdr>
                                  <w:divsChild>
                                    <w:div w:id="18782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5023">
                          <w:marLeft w:val="0"/>
                          <w:marRight w:val="0"/>
                          <w:marTop w:val="0"/>
                          <w:marBottom w:val="0"/>
                          <w:divBdr>
                            <w:top w:val="none" w:sz="0" w:space="0" w:color="auto"/>
                            <w:left w:val="none" w:sz="0" w:space="0" w:color="auto"/>
                            <w:bottom w:val="none" w:sz="0" w:space="0" w:color="auto"/>
                            <w:right w:val="none" w:sz="0" w:space="0" w:color="auto"/>
                          </w:divBdr>
                          <w:divsChild>
                            <w:div w:id="626857030">
                              <w:marLeft w:val="0"/>
                              <w:marRight w:val="0"/>
                              <w:marTop w:val="0"/>
                              <w:marBottom w:val="0"/>
                              <w:divBdr>
                                <w:top w:val="none" w:sz="0" w:space="0" w:color="auto"/>
                                <w:left w:val="none" w:sz="0" w:space="0" w:color="auto"/>
                                <w:bottom w:val="none" w:sz="0" w:space="0" w:color="auto"/>
                                <w:right w:val="none" w:sz="0" w:space="0" w:color="auto"/>
                              </w:divBdr>
                              <w:divsChild>
                                <w:div w:id="796139510">
                                  <w:marLeft w:val="0"/>
                                  <w:marRight w:val="0"/>
                                  <w:marTop w:val="0"/>
                                  <w:marBottom w:val="0"/>
                                  <w:divBdr>
                                    <w:top w:val="none" w:sz="0" w:space="0" w:color="auto"/>
                                    <w:left w:val="none" w:sz="0" w:space="0" w:color="auto"/>
                                    <w:bottom w:val="none" w:sz="0" w:space="0" w:color="auto"/>
                                    <w:right w:val="none" w:sz="0" w:space="0" w:color="auto"/>
                                  </w:divBdr>
                                  <w:divsChild>
                                    <w:div w:id="31988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5177">
                          <w:marLeft w:val="0"/>
                          <w:marRight w:val="0"/>
                          <w:marTop w:val="0"/>
                          <w:marBottom w:val="0"/>
                          <w:divBdr>
                            <w:top w:val="none" w:sz="0" w:space="0" w:color="auto"/>
                            <w:left w:val="none" w:sz="0" w:space="0" w:color="auto"/>
                            <w:bottom w:val="none" w:sz="0" w:space="0" w:color="auto"/>
                            <w:right w:val="none" w:sz="0" w:space="0" w:color="auto"/>
                          </w:divBdr>
                          <w:divsChild>
                            <w:div w:id="2117938439">
                              <w:marLeft w:val="0"/>
                              <w:marRight w:val="0"/>
                              <w:marTop w:val="0"/>
                              <w:marBottom w:val="0"/>
                              <w:divBdr>
                                <w:top w:val="none" w:sz="0" w:space="0" w:color="auto"/>
                                <w:left w:val="none" w:sz="0" w:space="0" w:color="auto"/>
                                <w:bottom w:val="none" w:sz="0" w:space="0" w:color="auto"/>
                                <w:right w:val="none" w:sz="0" w:space="0" w:color="auto"/>
                              </w:divBdr>
                              <w:divsChild>
                                <w:div w:id="1562668496">
                                  <w:marLeft w:val="0"/>
                                  <w:marRight w:val="0"/>
                                  <w:marTop w:val="0"/>
                                  <w:marBottom w:val="0"/>
                                  <w:divBdr>
                                    <w:top w:val="none" w:sz="0" w:space="0" w:color="auto"/>
                                    <w:left w:val="none" w:sz="0" w:space="0" w:color="auto"/>
                                    <w:bottom w:val="none" w:sz="0" w:space="0" w:color="auto"/>
                                    <w:right w:val="none" w:sz="0" w:space="0" w:color="auto"/>
                                  </w:divBdr>
                                  <w:divsChild>
                                    <w:div w:id="196418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575895">
          <w:marLeft w:val="0"/>
          <w:marRight w:val="0"/>
          <w:marTop w:val="0"/>
          <w:marBottom w:val="0"/>
          <w:divBdr>
            <w:top w:val="none" w:sz="0" w:space="0" w:color="auto"/>
            <w:left w:val="none" w:sz="0" w:space="0" w:color="auto"/>
            <w:bottom w:val="none" w:sz="0" w:space="0" w:color="auto"/>
            <w:right w:val="none" w:sz="0" w:space="0" w:color="auto"/>
          </w:divBdr>
          <w:divsChild>
            <w:div w:id="1360469290">
              <w:marLeft w:val="0"/>
              <w:marRight w:val="0"/>
              <w:marTop w:val="0"/>
              <w:marBottom w:val="0"/>
              <w:divBdr>
                <w:top w:val="none" w:sz="0" w:space="0" w:color="auto"/>
                <w:left w:val="none" w:sz="0" w:space="0" w:color="auto"/>
                <w:bottom w:val="none" w:sz="0" w:space="0" w:color="auto"/>
                <w:right w:val="none" w:sz="0" w:space="0" w:color="auto"/>
              </w:divBdr>
              <w:divsChild>
                <w:div w:id="1651641397">
                  <w:marLeft w:val="0"/>
                  <w:marRight w:val="0"/>
                  <w:marTop w:val="0"/>
                  <w:marBottom w:val="0"/>
                  <w:divBdr>
                    <w:top w:val="none" w:sz="0" w:space="0" w:color="auto"/>
                    <w:left w:val="none" w:sz="0" w:space="0" w:color="auto"/>
                    <w:bottom w:val="none" w:sz="0" w:space="0" w:color="auto"/>
                    <w:right w:val="none" w:sz="0" w:space="0" w:color="auto"/>
                  </w:divBdr>
                  <w:divsChild>
                    <w:div w:id="1516504023">
                      <w:marLeft w:val="0"/>
                      <w:marRight w:val="0"/>
                      <w:marTop w:val="0"/>
                      <w:marBottom w:val="0"/>
                      <w:divBdr>
                        <w:top w:val="none" w:sz="0" w:space="0" w:color="auto"/>
                        <w:left w:val="none" w:sz="0" w:space="0" w:color="auto"/>
                        <w:bottom w:val="none" w:sz="0" w:space="0" w:color="auto"/>
                        <w:right w:val="none" w:sz="0" w:space="0" w:color="auto"/>
                      </w:divBdr>
                      <w:divsChild>
                        <w:div w:id="50275586">
                          <w:marLeft w:val="0"/>
                          <w:marRight w:val="0"/>
                          <w:marTop w:val="0"/>
                          <w:marBottom w:val="0"/>
                          <w:divBdr>
                            <w:top w:val="none" w:sz="0" w:space="0" w:color="auto"/>
                            <w:left w:val="none" w:sz="0" w:space="0" w:color="auto"/>
                            <w:bottom w:val="none" w:sz="0" w:space="0" w:color="auto"/>
                            <w:right w:val="none" w:sz="0" w:space="0" w:color="auto"/>
                          </w:divBdr>
                          <w:divsChild>
                            <w:div w:id="500510943">
                              <w:marLeft w:val="0"/>
                              <w:marRight w:val="0"/>
                              <w:marTop w:val="0"/>
                              <w:marBottom w:val="0"/>
                              <w:divBdr>
                                <w:top w:val="none" w:sz="0" w:space="0" w:color="auto"/>
                                <w:left w:val="none" w:sz="0" w:space="0" w:color="auto"/>
                                <w:bottom w:val="none" w:sz="0" w:space="0" w:color="auto"/>
                                <w:right w:val="none" w:sz="0" w:space="0" w:color="auto"/>
                              </w:divBdr>
                              <w:divsChild>
                                <w:div w:id="775291871">
                                  <w:marLeft w:val="0"/>
                                  <w:marRight w:val="0"/>
                                  <w:marTop w:val="0"/>
                                  <w:marBottom w:val="0"/>
                                  <w:divBdr>
                                    <w:top w:val="none" w:sz="0" w:space="0" w:color="auto"/>
                                    <w:left w:val="none" w:sz="0" w:space="0" w:color="auto"/>
                                    <w:bottom w:val="none" w:sz="0" w:space="0" w:color="auto"/>
                                    <w:right w:val="none" w:sz="0" w:space="0" w:color="auto"/>
                                  </w:divBdr>
                                  <w:divsChild>
                                    <w:div w:id="195154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525363">
                          <w:marLeft w:val="0"/>
                          <w:marRight w:val="0"/>
                          <w:marTop w:val="0"/>
                          <w:marBottom w:val="0"/>
                          <w:divBdr>
                            <w:top w:val="none" w:sz="0" w:space="0" w:color="auto"/>
                            <w:left w:val="none" w:sz="0" w:space="0" w:color="auto"/>
                            <w:bottom w:val="none" w:sz="0" w:space="0" w:color="auto"/>
                            <w:right w:val="none" w:sz="0" w:space="0" w:color="auto"/>
                          </w:divBdr>
                          <w:divsChild>
                            <w:div w:id="2136942795">
                              <w:marLeft w:val="0"/>
                              <w:marRight w:val="0"/>
                              <w:marTop w:val="0"/>
                              <w:marBottom w:val="0"/>
                              <w:divBdr>
                                <w:top w:val="none" w:sz="0" w:space="0" w:color="auto"/>
                                <w:left w:val="none" w:sz="0" w:space="0" w:color="auto"/>
                                <w:bottom w:val="none" w:sz="0" w:space="0" w:color="auto"/>
                                <w:right w:val="none" w:sz="0" w:space="0" w:color="auto"/>
                              </w:divBdr>
                              <w:divsChild>
                                <w:div w:id="703676193">
                                  <w:marLeft w:val="0"/>
                                  <w:marRight w:val="0"/>
                                  <w:marTop w:val="0"/>
                                  <w:marBottom w:val="0"/>
                                  <w:divBdr>
                                    <w:top w:val="none" w:sz="0" w:space="0" w:color="auto"/>
                                    <w:left w:val="none" w:sz="0" w:space="0" w:color="auto"/>
                                    <w:bottom w:val="none" w:sz="0" w:space="0" w:color="auto"/>
                                    <w:right w:val="none" w:sz="0" w:space="0" w:color="auto"/>
                                  </w:divBdr>
                                  <w:divsChild>
                                    <w:div w:id="13396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16470">
                          <w:marLeft w:val="0"/>
                          <w:marRight w:val="0"/>
                          <w:marTop w:val="0"/>
                          <w:marBottom w:val="0"/>
                          <w:divBdr>
                            <w:top w:val="none" w:sz="0" w:space="0" w:color="auto"/>
                            <w:left w:val="none" w:sz="0" w:space="0" w:color="auto"/>
                            <w:bottom w:val="none" w:sz="0" w:space="0" w:color="auto"/>
                            <w:right w:val="none" w:sz="0" w:space="0" w:color="auto"/>
                          </w:divBdr>
                          <w:divsChild>
                            <w:div w:id="610866866">
                              <w:marLeft w:val="0"/>
                              <w:marRight w:val="0"/>
                              <w:marTop w:val="0"/>
                              <w:marBottom w:val="0"/>
                              <w:divBdr>
                                <w:top w:val="none" w:sz="0" w:space="0" w:color="auto"/>
                                <w:left w:val="none" w:sz="0" w:space="0" w:color="auto"/>
                                <w:bottom w:val="none" w:sz="0" w:space="0" w:color="auto"/>
                                <w:right w:val="none" w:sz="0" w:space="0" w:color="auto"/>
                              </w:divBdr>
                              <w:divsChild>
                                <w:div w:id="424502947">
                                  <w:marLeft w:val="0"/>
                                  <w:marRight w:val="0"/>
                                  <w:marTop w:val="0"/>
                                  <w:marBottom w:val="0"/>
                                  <w:divBdr>
                                    <w:top w:val="none" w:sz="0" w:space="0" w:color="auto"/>
                                    <w:left w:val="none" w:sz="0" w:space="0" w:color="auto"/>
                                    <w:bottom w:val="none" w:sz="0" w:space="0" w:color="auto"/>
                                    <w:right w:val="none" w:sz="0" w:space="0" w:color="auto"/>
                                  </w:divBdr>
                                  <w:divsChild>
                                    <w:div w:id="12984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129869">
                          <w:marLeft w:val="0"/>
                          <w:marRight w:val="0"/>
                          <w:marTop w:val="0"/>
                          <w:marBottom w:val="0"/>
                          <w:divBdr>
                            <w:top w:val="none" w:sz="0" w:space="0" w:color="auto"/>
                            <w:left w:val="none" w:sz="0" w:space="0" w:color="auto"/>
                            <w:bottom w:val="none" w:sz="0" w:space="0" w:color="auto"/>
                            <w:right w:val="none" w:sz="0" w:space="0" w:color="auto"/>
                          </w:divBdr>
                          <w:divsChild>
                            <w:div w:id="1671054719">
                              <w:marLeft w:val="0"/>
                              <w:marRight w:val="0"/>
                              <w:marTop w:val="0"/>
                              <w:marBottom w:val="0"/>
                              <w:divBdr>
                                <w:top w:val="none" w:sz="0" w:space="0" w:color="auto"/>
                                <w:left w:val="none" w:sz="0" w:space="0" w:color="auto"/>
                                <w:bottom w:val="none" w:sz="0" w:space="0" w:color="auto"/>
                                <w:right w:val="none" w:sz="0" w:space="0" w:color="auto"/>
                              </w:divBdr>
                              <w:divsChild>
                                <w:div w:id="751048581">
                                  <w:marLeft w:val="0"/>
                                  <w:marRight w:val="0"/>
                                  <w:marTop w:val="0"/>
                                  <w:marBottom w:val="0"/>
                                  <w:divBdr>
                                    <w:top w:val="none" w:sz="0" w:space="0" w:color="auto"/>
                                    <w:left w:val="none" w:sz="0" w:space="0" w:color="auto"/>
                                    <w:bottom w:val="none" w:sz="0" w:space="0" w:color="auto"/>
                                    <w:right w:val="none" w:sz="0" w:space="0" w:color="auto"/>
                                  </w:divBdr>
                                  <w:divsChild>
                                    <w:div w:id="177231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47695">
                          <w:marLeft w:val="0"/>
                          <w:marRight w:val="0"/>
                          <w:marTop w:val="0"/>
                          <w:marBottom w:val="0"/>
                          <w:divBdr>
                            <w:top w:val="none" w:sz="0" w:space="0" w:color="auto"/>
                            <w:left w:val="none" w:sz="0" w:space="0" w:color="auto"/>
                            <w:bottom w:val="none" w:sz="0" w:space="0" w:color="auto"/>
                            <w:right w:val="none" w:sz="0" w:space="0" w:color="auto"/>
                          </w:divBdr>
                          <w:divsChild>
                            <w:div w:id="110786206">
                              <w:marLeft w:val="0"/>
                              <w:marRight w:val="0"/>
                              <w:marTop w:val="0"/>
                              <w:marBottom w:val="0"/>
                              <w:divBdr>
                                <w:top w:val="none" w:sz="0" w:space="0" w:color="auto"/>
                                <w:left w:val="none" w:sz="0" w:space="0" w:color="auto"/>
                                <w:bottom w:val="none" w:sz="0" w:space="0" w:color="auto"/>
                                <w:right w:val="none" w:sz="0" w:space="0" w:color="auto"/>
                              </w:divBdr>
                              <w:divsChild>
                                <w:div w:id="1638677682">
                                  <w:marLeft w:val="0"/>
                                  <w:marRight w:val="0"/>
                                  <w:marTop w:val="0"/>
                                  <w:marBottom w:val="0"/>
                                  <w:divBdr>
                                    <w:top w:val="none" w:sz="0" w:space="0" w:color="auto"/>
                                    <w:left w:val="none" w:sz="0" w:space="0" w:color="auto"/>
                                    <w:bottom w:val="none" w:sz="0" w:space="0" w:color="auto"/>
                                    <w:right w:val="none" w:sz="0" w:space="0" w:color="auto"/>
                                  </w:divBdr>
                                  <w:divsChild>
                                    <w:div w:id="3456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960802">
          <w:marLeft w:val="0"/>
          <w:marRight w:val="0"/>
          <w:marTop w:val="0"/>
          <w:marBottom w:val="0"/>
          <w:divBdr>
            <w:top w:val="none" w:sz="0" w:space="0" w:color="auto"/>
            <w:left w:val="none" w:sz="0" w:space="0" w:color="auto"/>
            <w:bottom w:val="none" w:sz="0" w:space="0" w:color="auto"/>
            <w:right w:val="none" w:sz="0" w:space="0" w:color="auto"/>
          </w:divBdr>
          <w:divsChild>
            <w:div w:id="220791211">
              <w:marLeft w:val="0"/>
              <w:marRight w:val="0"/>
              <w:marTop w:val="0"/>
              <w:marBottom w:val="0"/>
              <w:divBdr>
                <w:top w:val="none" w:sz="0" w:space="0" w:color="auto"/>
                <w:left w:val="none" w:sz="0" w:space="0" w:color="auto"/>
                <w:bottom w:val="none" w:sz="0" w:space="0" w:color="auto"/>
                <w:right w:val="none" w:sz="0" w:space="0" w:color="auto"/>
              </w:divBdr>
              <w:divsChild>
                <w:div w:id="1265264904">
                  <w:marLeft w:val="0"/>
                  <w:marRight w:val="0"/>
                  <w:marTop w:val="0"/>
                  <w:marBottom w:val="0"/>
                  <w:divBdr>
                    <w:top w:val="none" w:sz="0" w:space="0" w:color="auto"/>
                    <w:left w:val="none" w:sz="0" w:space="0" w:color="auto"/>
                    <w:bottom w:val="none" w:sz="0" w:space="0" w:color="auto"/>
                    <w:right w:val="none" w:sz="0" w:space="0" w:color="auto"/>
                  </w:divBdr>
                  <w:divsChild>
                    <w:div w:id="597712014">
                      <w:marLeft w:val="0"/>
                      <w:marRight w:val="0"/>
                      <w:marTop w:val="0"/>
                      <w:marBottom w:val="0"/>
                      <w:divBdr>
                        <w:top w:val="none" w:sz="0" w:space="0" w:color="auto"/>
                        <w:left w:val="none" w:sz="0" w:space="0" w:color="auto"/>
                        <w:bottom w:val="none" w:sz="0" w:space="0" w:color="auto"/>
                        <w:right w:val="none" w:sz="0" w:space="0" w:color="auto"/>
                      </w:divBdr>
                      <w:divsChild>
                        <w:div w:id="215511230">
                          <w:marLeft w:val="0"/>
                          <w:marRight w:val="0"/>
                          <w:marTop w:val="0"/>
                          <w:marBottom w:val="0"/>
                          <w:divBdr>
                            <w:top w:val="none" w:sz="0" w:space="0" w:color="auto"/>
                            <w:left w:val="none" w:sz="0" w:space="0" w:color="auto"/>
                            <w:bottom w:val="none" w:sz="0" w:space="0" w:color="auto"/>
                            <w:right w:val="none" w:sz="0" w:space="0" w:color="auto"/>
                          </w:divBdr>
                          <w:divsChild>
                            <w:div w:id="1389764827">
                              <w:marLeft w:val="0"/>
                              <w:marRight w:val="0"/>
                              <w:marTop w:val="0"/>
                              <w:marBottom w:val="0"/>
                              <w:divBdr>
                                <w:top w:val="none" w:sz="0" w:space="0" w:color="auto"/>
                                <w:left w:val="none" w:sz="0" w:space="0" w:color="auto"/>
                                <w:bottom w:val="none" w:sz="0" w:space="0" w:color="auto"/>
                                <w:right w:val="none" w:sz="0" w:space="0" w:color="auto"/>
                              </w:divBdr>
                              <w:divsChild>
                                <w:div w:id="814418166">
                                  <w:marLeft w:val="0"/>
                                  <w:marRight w:val="0"/>
                                  <w:marTop w:val="0"/>
                                  <w:marBottom w:val="0"/>
                                  <w:divBdr>
                                    <w:top w:val="none" w:sz="0" w:space="0" w:color="auto"/>
                                    <w:left w:val="none" w:sz="0" w:space="0" w:color="auto"/>
                                    <w:bottom w:val="none" w:sz="0" w:space="0" w:color="auto"/>
                                    <w:right w:val="none" w:sz="0" w:space="0" w:color="auto"/>
                                  </w:divBdr>
                                  <w:divsChild>
                                    <w:div w:id="105173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10207">
                          <w:marLeft w:val="0"/>
                          <w:marRight w:val="0"/>
                          <w:marTop w:val="0"/>
                          <w:marBottom w:val="0"/>
                          <w:divBdr>
                            <w:top w:val="none" w:sz="0" w:space="0" w:color="auto"/>
                            <w:left w:val="none" w:sz="0" w:space="0" w:color="auto"/>
                            <w:bottom w:val="none" w:sz="0" w:space="0" w:color="auto"/>
                            <w:right w:val="none" w:sz="0" w:space="0" w:color="auto"/>
                          </w:divBdr>
                          <w:divsChild>
                            <w:div w:id="1077483038">
                              <w:marLeft w:val="0"/>
                              <w:marRight w:val="0"/>
                              <w:marTop w:val="0"/>
                              <w:marBottom w:val="0"/>
                              <w:divBdr>
                                <w:top w:val="none" w:sz="0" w:space="0" w:color="auto"/>
                                <w:left w:val="none" w:sz="0" w:space="0" w:color="auto"/>
                                <w:bottom w:val="none" w:sz="0" w:space="0" w:color="auto"/>
                                <w:right w:val="none" w:sz="0" w:space="0" w:color="auto"/>
                              </w:divBdr>
                              <w:divsChild>
                                <w:div w:id="438916714">
                                  <w:marLeft w:val="0"/>
                                  <w:marRight w:val="0"/>
                                  <w:marTop w:val="0"/>
                                  <w:marBottom w:val="0"/>
                                  <w:divBdr>
                                    <w:top w:val="none" w:sz="0" w:space="0" w:color="auto"/>
                                    <w:left w:val="none" w:sz="0" w:space="0" w:color="auto"/>
                                    <w:bottom w:val="none" w:sz="0" w:space="0" w:color="auto"/>
                                    <w:right w:val="none" w:sz="0" w:space="0" w:color="auto"/>
                                  </w:divBdr>
                                  <w:divsChild>
                                    <w:div w:id="15142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8961">
                          <w:marLeft w:val="0"/>
                          <w:marRight w:val="0"/>
                          <w:marTop w:val="0"/>
                          <w:marBottom w:val="0"/>
                          <w:divBdr>
                            <w:top w:val="none" w:sz="0" w:space="0" w:color="auto"/>
                            <w:left w:val="none" w:sz="0" w:space="0" w:color="auto"/>
                            <w:bottom w:val="none" w:sz="0" w:space="0" w:color="auto"/>
                            <w:right w:val="none" w:sz="0" w:space="0" w:color="auto"/>
                          </w:divBdr>
                          <w:divsChild>
                            <w:div w:id="319650429">
                              <w:marLeft w:val="0"/>
                              <w:marRight w:val="0"/>
                              <w:marTop w:val="0"/>
                              <w:marBottom w:val="0"/>
                              <w:divBdr>
                                <w:top w:val="none" w:sz="0" w:space="0" w:color="auto"/>
                                <w:left w:val="none" w:sz="0" w:space="0" w:color="auto"/>
                                <w:bottom w:val="none" w:sz="0" w:space="0" w:color="auto"/>
                                <w:right w:val="none" w:sz="0" w:space="0" w:color="auto"/>
                              </w:divBdr>
                              <w:divsChild>
                                <w:div w:id="2147047457">
                                  <w:marLeft w:val="0"/>
                                  <w:marRight w:val="0"/>
                                  <w:marTop w:val="0"/>
                                  <w:marBottom w:val="0"/>
                                  <w:divBdr>
                                    <w:top w:val="none" w:sz="0" w:space="0" w:color="auto"/>
                                    <w:left w:val="none" w:sz="0" w:space="0" w:color="auto"/>
                                    <w:bottom w:val="none" w:sz="0" w:space="0" w:color="auto"/>
                                    <w:right w:val="none" w:sz="0" w:space="0" w:color="auto"/>
                                  </w:divBdr>
                                  <w:divsChild>
                                    <w:div w:id="33164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23920">
                          <w:marLeft w:val="0"/>
                          <w:marRight w:val="0"/>
                          <w:marTop w:val="0"/>
                          <w:marBottom w:val="0"/>
                          <w:divBdr>
                            <w:top w:val="none" w:sz="0" w:space="0" w:color="auto"/>
                            <w:left w:val="none" w:sz="0" w:space="0" w:color="auto"/>
                            <w:bottom w:val="none" w:sz="0" w:space="0" w:color="auto"/>
                            <w:right w:val="none" w:sz="0" w:space="0" w:color="auto"/>
                          </w:divBdr>
                          <w:divsChild>
                            <w:div w:id="1429696472">
                              <w:marLeft w:val="0"/>
                              <w:marRight w:val="0"/>
                              <w:marTop w:val="0"/>
                              <w:marBottom w:val="0"/>
                              <w:divBdr>
                                <w:top w:val="none" w:sz="0" w:space="0" w:color="auto"/>
                                <w:left w:val="none" w:sz="0" w:space="0" w:color="auto"/>
                                <w:bottom w:val="none" w:sz="0" w:space="0" w:color="auto"/>
                                <w:right w:val="none" w:sz="0" w:space="0" w:color="auto"/>
                              </w:divBdr>
                              <w:divsChild>
                                <w:div w:id="2107925196">
                                  <w:marLeft w:val="0"/>
                                  <w:marRight w:val="0"/>
                                  <w:marTop w:val="0"/>
                                  <w:marBottom w:val="0"/>
                                  <w:divBdr>
                                    <w:top w:val="none" w:sz="0" w:space="0" w:color="auto"/>
                                    <w:left w:val="none" w:sz="0" w:space="0" w:color="auto"/>
                                    <w:bottom w:val="none" w:sz="0" w:space="0" w:color="auto"/>
                                    <w:right w:val="none" w:sz="0" w:space="0" w:color="auto"/>
                                  </w:divBdr>
                                  <w:divsChild>
                                    <w:div w:id="20140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8487">
                          <w:marLeft w:val="0"/>
                          <w:marRight w:val="0"/>
                          <w:marTop w:val="0"/>
                          <w:marBottom w:val="0"/>
                          <w:divBdr>
                            <w:top w:val="none" w:sz="0" w:space="0" w:color="auto"/>
                            <w:left w:val="none" w:sz="0" w:space="0" w:color="auto"/>
                            <w:bottom w:val="none" w:sz="0" w:space="0" w:color="auto"/>
                            <w:right w:val="none" w:sz="0" w:space="0" w:color="auto"/>
                          </w:divBdr>
                          <w:divsChild>
                            <w:div w:id="2036690578">
                              <w:marLeft w:val="0"/>
                              <w:marRight w:val="0"/>
                              <w:marTop w:val="0"/>
                              <w:marBottom w:val="0"/>
                              <w:divBdr>
                                <w:top w:val="none" w:sz="0" w:space="0" w:color="auto"/>
                                <w:left w:val="none" w:sz="0" w:space="0" w:color="auto"/>
                                <w:bottom w:val="none" w:sz="0" w:space="0" w:color="auto"/>
                                <w:right w:val="none" w:sz="0" w:space="0" w:color="auto"/>
                              </w:divBdr>
                              <w:divsChild>
                                <w:div w:id="2103062805">
                                  <w:marLeft w:val="0"/>
                                  <w:marRight w:val="0"/>
                                  <w:marTop w:val="0"/>
                                  <w:marBottom w:val="0"/>
                                  <w:divBdr>
                                    <w:top w:val="none" w:sz="0" w:space="0" w:color="auto"/>
                                    <w:left w:val="none" w:sz="0" w:space="0" w:color="auto"/>
                                    <w:bottom w:val="none" w:sz="0" w:space="0" w:color="auto"/>
                                    <w:right w:val="none" w:sz="0" w:space="0" w:color="auto"/>
                                  </w:divBdr>
                                  <w:divsChild>
                                    <w:div w:id="98457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887321">
          <w:marLeft w:val="0"/>
          <w:marRight w:val="0"/>
          <w:marTop w:val="0"/>
          <w:marBottom w:val="0"/>
          <w:divBdr>
            <w:top w:val="none" w:sz="0" w:space="0" w:color="auto"/>
            <w:left w:val="none" w:sz="0" w:space="0" w:color="auto"/>
            <w:bottom w:val="none" w:sz="0" w:space="0" w:color="auto"/>
            <w:right w:val="none" w:sz="0" w:space="0" w:color="auto"/>
          </w:divBdr>
          <w:divsChild>
            <w:div w:id="1904943129">
              <w:marLeft w:val="0"/>
              <w:marRight w:val="0"/>
              <w:marTop w:val="0"/>
              <w:marBottom w:val="0"/>
              <w:divBdr>
                <w:top w:val="none" w:sz="0" w:space="0" w:color="auto"/>
                <w:left w:val="none" w:sz="0" w:space="0" w:color="auto"/>
                <w:bottom w:val="none" w:sz="0" w:space="0" w:color="auto"/>
                <w:right w:val="none" w:sz="0" w:space="0" w:color="auto"/>
              </w:divBdr>
              <w:divsChild>
                <w:div w:id="233205801">
                  <w:marLeft w:val="0"/>
                  <w:marRight w:val="0"/>
                  <w:marTop w:val="0"/>
                  <w:marBottom w:val="0"/>
                  <w:divBdr>
                    <w:top w:val="none" w:sz="0" w:space="0" w:color="auto"/>
                    <w:left w:val="none" w:sz="0" w:space="0" w:color="auto"/>
                    <w:bottom w:val="none" w:sz="0" w:space="0" w:color="auto"/>
                    <w:right w:val="none" w:sz="0" w:space="0" w:color="auto"/>
                  </w:divBdr>
                  <w:divsChild>
                    <w:div w:id="778257390">
                      <w:marLeft w:val="0"/>
                      <w:marRight w:val="0"/>
                      <w:marTop w:val="0"/>
                      <w:marBottom w:val="0"/>
                      <w:divBdr>
                        <w:top w:val="none" w:sz="0" w:space="0" w:color="auto"/>
                        <w:left w:val="none" w:sz="0" w:space="0" w:color="auto"/>
                        <w:bottom w:val="none" w:sz="0" w:space="0" w:color="auto"/>
                        <w:right w:val="none" w:sz="0" w:space="0" w:color="auto"/>
                      </w:divBdr>
                      <w:divsChild>
                        <w:div w:id="60060157">
                          <w:marLeft w:val="0"/>
                          <w:marRight w:val="0"/>
                          <w:marTop w:val="0"/>
                          <w:marBottom w:val="0"/>
                          <w:divBdr>
                            <w:top w:val="none" w:sz="0" w:space="0" w:color="auto"/>
                            <w:left w:val="none" w:sz="0" w:space="0" w:color="auto"/>
                            <w:bottom w:val="none" w:sz="0" w:space="0" w:color="auto"/>
                            <w:right w:val="none" w:sz="0" w:space="0" w:color="auto"/>
                          </w:divBdr>
                          <w:divsChild>
                            <w:div w:id="1527327460">
                              <w:marLeft w:val="0"/>
                              <w:marRight w:val="0"/>
                              <w:marTop w:val="0"/>
                              <w:marBottom w:val="0"/>
                              <w:divBdr>
                                <w:top w:val="none" w:sz="0" w:space="0" w:color="auto"/>
                                <w:left w:val="none" w:sz="0" w:space="0" w:color="auto"/>
                                <w:bottom w:val="none" w:sz="0" w:space="0" w:color="auto"/>
                                <w:right w:val="none" w:sz="0" w:space="0" w:color="auto"/>
                              </w:divBdr>
                              <w:divsChild>
                                <w:div w:id="1609660820">
                                  <w:marLeft w:val="0"/>
                                  <w:marRight w:val="0"/>
                                  <w:marTop w:val="0"/>
                                  <w:marBottom w:val="0"/>
                                  <w:divBdr>
                                    <w:top w:val="none" w:sz="0" w:space="0" w:color="auto"/>
                                    <w:left w:val="none" w:sz="0" w:space="0" w:color="auto"/>
                                    <w:bottom w:val="none" w:sz="0" w:space="0" w:color="auto"/>
                                    <w:right w:val="none" w:sz="0" w:space="0" w:color="auto"/>
                                  </w:divBdr>
                                  <w:divsChild>
                                    <w:div w:id="9408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856963">
                          <w:marLeft w:val="0"/>
                          <w:marRight w:val="0"/>
                          <w:marTop w:val="0"/>
                          <w:marBottom w:val="0"/>
                          <w:divBdr>
                            <w:top w:val="none" w:sz="0" w:space="0" w:color="auto"/>
                            <w:left w:val="none" w:sz="0" w:space="0" w:color="auto"/>
                            <w:bottom w:val="none" w:sz="0" w:space="0" w:color="auto"/>
                            <w:right w:val="none" w:sz="0" w:space="0" w:color="auto"/>
                          </w:divBdr>
                          <w:divsChild>
                            <w:div w:id="1012141991">
                              <w:marLeft w:val="0"/>
                              <w:marRight w:val="0"/>
                              <w:marTop w:val="0"/>
                              <w:marBottom w:val="0"/>
                              <w:divBdr>
                                <w:top w:val="none" w:sz="0" w:space="0" w:color="auto"/>
                                <w:left w:val="none" w:sz="0" w:space="0" w:color="auto"/>
                                <w:bottom w:val="none" w:sz="0" w:space="0" w:color="auto"/>
                                <w:right w:val="none" w:sz="0" w:space="0" w:color="auto"/>
                              </w:divBdr>
                              <w:divsChild>
                                <w:div w:id="596985582">
                                  <w:marLeft w:val="0"/>
                                  <w:marRight w:val="0"/>
                                  <w:marTop w:val="0"/>
                                  <w:marBottom w:val="0"/>
                                  <w:divBdr>
                                    <w:top w:val="none" w:sz="0" w:space="0" w:color="auto"/>
                                    <w:left w:val="none" w:sz="0" w:space="0" w:color="auto"/>
                                    <w:bottom w:val="none" w:sz="0" w:space="0" w:color="auto"/>
                                    <w:right w:val="none" w:sz="0" w:space="0" w:color="auto"/>
                                  </w:divBdr>
                                  <w:divsChild>
                                    <w:div w:id="5095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96">
                          <w:marLeft w:val="0"/>
                          <w:marRight w:val="0"/>
                          <w:marTop w:val="0"/>
                          <w:marBottom w:val="0"/>
                          <w:divBdr>
                            <w:top w:val="none" w:sz="0" w:space="0" w:color="auto"/>
                            <w:left w:val="none" w:sz="0" w:space="0" w:color="auto"/>
                            <w:bottom w:val="none" w:sz="0" w:space="0" w:color="auto"/>
                            <w:right w:val="none" w:sz="0" w:space="0" w:color="auto"/>
                          </w:divBdr>
                          <w:divsChild>
                            <w:div w:id="386758319">
                              <w:marLeft w:val="0"/>
                              <w:marRight w:val="0"/>
                              <w:marTop w:val="0"/>
                              <w:marBottom w:val="0"/>
                              <w:divBdr>
                                <w:top w:val="none" w:sz="0" w:space="0" w:color="auto"/>
                                <w:left w:val="none" w:sz="0" w:space="0" w:color="auto"/>
                                <w:bottom w:val="none" w:sz="0" w:space="0" w:color="auto"/>
                                <w:right w:val="none" w:sz="0" w:space="0" w:color="auto"/>
                              </w:divBdr>
                              <w:divsChild>
                                <w:div w:id="1660769817">
                                  <w:marLeft w:val="0"/>
                                  <w:marRight w:val="0"/>
                                  <w:marTop w:val="0"/>
                                  <w:marBottom w:val="0"/>
                                  <w:divBdr>
                                    <w:top w:val="none" w:sz="0" w:space="0" w:color="auto"/>
                                    <w:left w:val="none" w:sz="0" w:space="0" w:color="auto"/>
                                    <w:bottom w:val="none" w:sz="0" w:space="0" w:color="auto"/>
                                    <w:right w:val="none" w:sz="0" w:space="0" w:color="auto"/>
                                  </w:divBdr>
                                  <w:divsChild>
                                    <w:div w:id="56434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90005">
                          <w:marLeft w:val="0"/>
                          <w:marRight w:val="0"/>
                          <w:marTop w:val="0"/>
                          <w:marBottom w:val="0"/>
                          <w:divBdr>
                            <w:top w:val="none" w:sz="0" w:space="0" w:color="auto"/>
                            <w:left w:val="none" w:sz="0" w:space="0" w:color="auto"/>
                            <w:bottom w:val="none" w:sz="0" w:space="0" w:color="auto"/>
                            <w:right w:val="none" w:sz="0" w:space="0" w:color="auto"/>
                          </w:divBdr>
                          <w:divsChild>
                            <w:div w:id="1289119618">
                              <w:marLeft w:val="0"/>
                              <w:marRight w:val="0"/>
                              <w:marTop w:val="0"/>
                              <w:marBottom w:val="0"/>
                              <w:divBdr>
                                <w:top w:val="none" w:sz="0" w:space="0" w:color="auto"/>
                                <w:left w:val="none" w:sz="0" w:space="0" w:color="auto"/>
                                <w:bottom w:val="none" w:sz="0" w:space="0" w:color="auto"/>
                                <w:right w:val="none" w:sz="0" w:space="0" w:color="auto"/>
                              </w:divBdr>
                              <w:divsChild>
                                <w:div w:id="916790576">
                                  <w:marLeft w:val="0"/>
                                  <w:marRight w:val="0"/>
                                  <w:marTop w:val="0"/>
                                  <w:marBottom w:val="0"/>
                                  <w:divBdr>
                                    <w:top w:val="none" w:sz="0" w:space="0" w:color="auto"/>
                                    <w:left w:val="none" w:sz="0" w:space="0" w:color="auto"/>
                                    <w:bottom w:val="none" w:sz="0" w:space="0" w:color="auto"/>
                                    <w:right w:val="none" w:sz="0" w:space="0" w:color="auto"/>
                                  </w:divBdr>
                                  <w:divsChild>
                                    <w:div w:id="72687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981603">
          <w:marLeft w:val="0"/>
          <w:marRight w:val="0"/>
          <w:marTop w:val="0"/>
          <w:marBottom w:val="0"/>
          <w:divBdr>
            <w:top w:val="none" w:sz="0" w:space="0" w:color="auto"/>
            <w:left w:val="none" w:sz="0" w:space="0" w:color="auto"/>
            <w:bottom w:val="none" w:sz="0" w:space="0" w:color="auto"/>
            <w:right w:val="none" w:sz="0" w:space="0" w:color="auto"/>
          </w:divBdr>
          <w:divsChild>
            <w:div w:id="349962837">
              <w:marLeft w:val="0"/>
              <w:marRight w:val="0"/>
              <w:marTop w:val="0"/>
              <w:marBottom w:val="0"/>
              <w:divBdr>
                <w:top w:val="none" w:sz="0" w:space="0" w:color="auto"/>
                <w:left w:val="none" w:sz="0" w:space="0" w:color="auto"/>
                <w:bottom w:val="none" w:sz="0" w:space="0" w:color="auto"/>
                <w:right w:val="none" w:sz="0" w:space="0" w:color="auto"/>
              </w:divBdr>
              <w:divsChild>
                <w:div w:id="696661053">
                  <w:marLeft w:val="0"/>
                  <w:marRight w:val="0"/>
                  <w:marTop w:val="0"/>
                  <w:marBottom w:val="0"/>
                  <w:divBdr>
                    <w:top w:val="none" w:sz="0" w:space="0" w:color="auto"/>
                    <w:left w:val="none" w:sz="0" w:space="0" w:color="auto"/>
                    <w:bottom w:val="none" w:sz="0" w:space="0" w:color="auto"/>
                    <w:right w:val="none" w:sz="0" w:space="0" w:color="auto"/>
                  </w:divBdr>
                  <w:divsChild>
                    <w:div w:id="1006981547">
                      <w:marLeft w:val="0"/>
                      <w:marRight w:val="0"/>
                      <w:marTop w:val="0"/>
                      <w:marBottom w:val="0"/>
                      <w:divBdr>
                        <w:top w:val="none" w:sz="0" w:space="0" w:color="auto"/>
                        <w:left w:val="none" w:sz="0" w:space="0" w:color="auto"/>
                        <w:bottom w:val="none" w:sz="0" w:space="0" w:color="auto"/>
                        <w:right w:val="none" w:sz="0" w:space="0" w:color="auto"/>
                      </w:divBdr>
                      <w:divsChild>
                        <w:div w:id="802508092">
                          <w:marLeft w:val="0"/>
                          <w:marRight w:val="0"/>
                          <w:marTop w:val="0"/>
                          <w:marBottom w:val="0"/>
                          <w:divBdr>
                            <w:top w:val="none" w:sz="0" w:space="0" w:color="auto"/>
                            <w:left w:val="none" w:sz="0" w:space="0" w:color="auto"/>
                            <w:bottom w:val="none" w:sz="0" w:space="0" w:color="auto"/>
                            <w:right w:val="none" w:sz="0" w:space="0" w:color="auto"/>
                          </w:divBdr>
                          <w:divsChild>
                            <w:div w:id="1359505166">
                              <w:marLeft w:val="0"/>
                              <w:marRight w:val="0"/>
                              <w:marTop w:val="0"/>
                              <w:marBottom w:val="0"/>
                              <w:divBdr>
                                <w:top w:val="none" w:sz="0" w:space="0" w:color="auto"/>
                                <w:left w:val="none" w:sz="0" w:space="0" w:color="auto"/>
                                <w:bottom w:val="none" w:sz="0" w:space="0" w:color="auto"/>
                                <w:right w:val="none" w:sz="0" w:space="0" w:color="auto"/>
                              </w:divBdr>
                              <w:divsChild>
                                <w:div w:id="753211406">
                                  <w:marLeft w:val="0"/>
                                  <w:marRight w:val="0"/>
                                  <w:marTop w:val="0"/>
                                  <w:marBottom w:val="0"/>
                                  <w:divBdr>
                                    <w:top w:val="none" w:sz="0" w:space="0" w:color="auto"/>
                                    <w:left w:val="none" w:sz="0" w:space="0" w:color="auto"/>
                                    <w:bottom w:val="none" w:sz="0" w:space="0" w:color="auto"/>
                                    <w:right w:val="none" w:sz="0" w:space="0" w:color="auto"/>
                                  </w:divBdr>
                                  <w:divsChild>
                                    <w:div w:id="2345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16637">
                          <w:marLeft w:val="0"/>
                          <w:marRight w:val="0"/>
                          <w:marTop w:val="0"/>
                          <w:marBottom w:val="0"/>
                          <w:divBdr>
                            <w:top w:val="none" w:sz="0" w:space="0" w:color="auto"/>
                            <w:left w:val="none" w:sz="0" w:space="0" w:color="auto"/>
                            <w:bottom w:val="none" w:sz="0" w:space="0" w:color="auto"/>
                            <w:right w:val="none" w:sz="0" w:space="0" w:color="auto"/>
                          </w:divBdr>
                          <w:divsChild>
                            <w:div w:id="224730676">
                              <w:marLeft w:val="0"/>
                              <w:marRight w:val="0"/>
                              <w:marTop w:val="0"/>
                              <w:marBottom w:val="0"/>
                              <w:divBdr>
                                <w:top w:val="none" w:sz="0" w:space="0" w:color="auto"/>
                                <w:left w:val="none" w:sz="0" w:space="0" w:color="auto"/>
                                <w:bottom w:val="none" w:sz="0" w:space="0" w:color="auto"/>
                                <w:right w:val="none" w:sz="0" w:space="0" w:color="auto"/>
                              </w:divBdr>
                              <w:divsChild>
                                <w:div w:id="171185334">
                                  <w:marLeft w:val="0"/>
                                  <w:marRight w:val="0"/>
                                  <w:marTop w:val="0"/>
                                  <w:marBottom w:val="0"/>
                                  <w:divBdr>
                                    <w:top w:val="none" w:sz="0" w:space="0" w:color="auto"/>
                                    <w:left w:val="none" w:sz="0" w:space="0" w:color="auto"/>
                                    <w:bottom w:val="none" w:sz="0" w:space="0" w:color="auto"/>
                                    <w:right w:val="none" w:sz="0" w:space="0" w:color="auto"/>
                                  </w:divBdr>
                                  <w:divsChild>
                                    <w:div w:id="207732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8382">
                          <w:marLeft w:val="0"/>
                          <w:marRight w:val="0"/>
                          <w:marTop w:val="0"/>
                          <w:marBottom w:val="0"/>
                          <w:divBdr>
                            <w:top w:val="none" w:sz="0" w:space="0" w:color="auto"/>
                            <w:left w:val="none" w:sz="0" w:space="0" w:color="auto"/>
                            <w:bottom w:val="none" w:sz="0" w:space="0" w:color="auto"/>
                            <w:right w:val="none" w:sz="0" w:space="0" w:color="auto"/>
                          </w:divBdr>
                          <w:divsChild>
                            <w:div w:id="862859874">
                              <w:marLeft w:val="0"/>
                              <w:marRight w:val="0"/>
                              <w:marTop w:val="0"/>
                              <w:marBottom w:val="0"/>
                              <w:divBdr>
                                <w:top w:val="none" w:sz="0" w:space="0" w:color="auto"/>
                                <w:left w:val="none" w:sz="0" w:space="0" w:color="auto"/>
                                <w:bottom w:val="none" w:sz="0" w:space="0" w:color="auto"/>
                                <w:right w:val="none" w:sz="0" w:space="0" w:color="auto"/>
                              </w:divBdr>
                              <w:divsChild>
                                <w:div w:id="1335959362">
                                  <w:marLeft w:val="0"/>
                                  <w:marRight w:val="0"/>
                                  <w:marTop w:val="0"/>
                                  <w:marBottom w:val="0"/>
                                  <w:divBdr>
                                    <w:top w:val="none" w:sz="0" w:space="0" w:color="auto"/>
                                    <w:left w:val="none" w:sz="0" w:space="0" w:color="auto"/>
                                    <w:bottom w:val="none" w:sz="0" w:space="0" w:color="auto"/>
                                    <w:right w:val="none" w:sz="0" w:space="0" w:color="auto"/>
                                  </w:divBdr>
                                  <w:divsChild>
                                    <w:div w:id="51014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29256">
                          <w:marLeft w:val="0"/>
                          <w:marRight w:val="0"/>
                          <w:marTop w:val="0"/>
                          <w:marBottom w:val="0"/>
                          <w:divBdr>
                            <w:top w:val="none" w:sz="0" w:space="0" w:color="auto"/>
                            <w:left w:val="none" w:sz="0" w:space="0" w:color="auto"/>
                            <w:bottom w:val="none" w:sz="0" w:space="0" w:color="auto"/>
                            <w:right w:val="none" w:sz="0" w:space="0" w:color="auto"/>
                          </w:divBdr>
                          <w:divsChild>
                            <w:div w:id="565654691">
                              <w:marLeft w:val="0"/>
                              <w:marRight w:val="0"/>
                              <w:marTop w:val="0"/>
                              <w:marBottom w:val="0"/>
                              <w:divBdr>
                                <w:top w:val="none" w:sz="0" w:space="0" w:color="auto"/>
                                <w:left w:val="none" w:sz="0" w:space="0" w:color="auto"/>
                                <w:bottom w:val="none" w:sz="0" w:space="0" w:color="auto"/>
                                <w:right w:val="none" w:sz="0" w:space="0" w:color="auto"/>
                              </w:divBdr>
                              <w:divsChild>
                                <w:div w:id="2116947349">
                                  <w:marLeft w:val="0"/>
                                  <w:marRight w:val="0"/>
                                  <w:marTop w:val="0"/>
                                  <w:marBottom w:val="0"/>
                                  <w:divBdr>
                                    <w:top w:val="none" w:sz="0" w:space="0" w:color="auto"/>
                                    <w:left w:val="none" w:sz="0" w:space="0" w:color="auto"/>
                                    <w:bottom w:val="none" w:sz="0" w:space="0" w:color="auto"/>
                                    <w:right w:val="none" w:sz="0" w:space="0" w:color="auto"/>
                                  </w:divBdr>
                                  <w:divsChild>
                                    <w:div w:id="462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0760">
                          <w:marLeft w:val="0"/>
                          <w:marRight w:val="0"/>
                          <w:marTop w:val="0"/>
                          <w:marBottom w:val="0"/>
                          <w:divBdr>
                            <w:top w:val="none" w:sz="0" w:space="0" w:color="auto"/>
                            <w:left w:val="none" w:sz="0" w:space="0" w:color="auto"/>
                            <w:bottom w:val="none" w:sz="0" w:space="0" w:color="auto"/>
                            <w:right w:val="none" w:sz="0" w:space="0" w:color="auto"/>
                          </w:divBdr>
                          <w:divsChild>
                            <w:div w:id="498735259">
                              <w:marLeft w:val="0"/>
                              <w:marRight w:val="0"/>
                              <w:marTop w:val="0"/>
                              <w:marBottom w:val="0"/>
                              <w:divBdr>
                                <w:top w:val="none" w:sz="0" w:space="0" w:color="auto"/>
                                <w:left w:val="none" w:sz="0" w:space="0" w:color="auto"/>
                                <w:bottom w:val="none" w:sz="0" w:space="0" w:color="auto"/>
                                <w:right w:val="none" w:sz="0" w:space="0" w:color="auto"/>
                              </w:divBdr>
                              <w:divsChild>
                                <w:div w:id="1082331895">
                                  <w:marLeft w:val="0"/>
                                  <w:marRight w:val="0"/>
                                  <w:marTop w:val="0"/>
                                  <w:marBottom w:val="0"/>
                                  <w:divBdr>
                                    <w:top w:val="none" w:sz="0" w:space="0" w:color="auto"/>
                                    <w:left w:val="none" w:sz="0" w:space="0" w:color="auto"/>
                                    <w:bottom w:val="none" w:sz="0" w:space="0" w:color="auto"/>
                                    <w:right w:val="none" w:sz="0" w:space="0" w:color="auto"/>
                                  </w:divBdr>
                                  <w:divsChild>
                                    <w:div w:id="192495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900829">
          <w:marLeft w:val="0"/>
          <w:marRight w:val="0"/>
          <w:marTop w:val="0"/>
          <w:marBottom w:val="0"/>
          <w:divBdr>
            <w:top w:val="none" w:sz="0" w:space="0" w:color="auto"/>
            <w:left w:val="none" w:sz="0" w:space="0" w:color="auto"/>
            <w:bottom w:val="none" w:sz="0" w:space="0" w:color="auto"/>
            <w:right w:val="none" w:sz="0" w:space="0" w:color="auto"/>
          </w:divBdr>
          <w:divsChild>
            <w:div w:id="1678730447">
              <w:marLeft w:val="0"/>
              <w:marRight w:val="0"/>
              <w:marTop w:val="0"/>
              <w:marBottom w:val="0"/>
              <w:divBdr>
                <w:top w:val="none" w:sz="0" w:space="0" w:color="auto"/>
                <w:left w:val="none" w:sz="0" w:space="0" w:color="auto"/>
                <w:bottom w:val="none" w:sz="0" w:space="0" w:color="auto"/>
                <w:right w:val="none" w:sz="0" w:space="0" w:color="auto"/>
              </w:divBdr>
              <w:divsChild>
                <w:div w:id="179635670">
                  <w:marLeft w:val="0"/>
                  <w:marRight w:val="0"/>
                  <w:marTop w:val="0"/>
                  <w:marBottom w:val="0"/>
                  <w:divBdr>
                    <w:top w:val="none" w:sz="0" w:space="0" w:color="auto"/>
                    <w:left w:val="none" w:sz="0" w:space="0" w:color="auto"/>
                    <w:bottom w:val="none" w:sz="0" w:space="0" w:color="auto"/>
                    <w:right w:val="none" w:sz="0" w:space="0" w:color="auto"/>
                  </w:divBdr>
                  <w:divsChild>
                    <w:div w:id="1495873120">
                      <w:marLeft w:val="0"/>
                      <w:marRight w:val="0"/>
                      <w:marTop w:val="0"/>
                      <w:marBottom w:val="0"/>
                      <w:divBdr>
                        <w:top w:val="none" w:sz="0" w:space="0" w:color="auto"/>
                        <w:left w:val="none" w:sz="0" w:space="0" w:color="auto"/>
                        <w:bottom w:val="none" w:sz="0" w:space="0" w:color="auto"/>
                        <w:right w:val="none" w:sz="0" w:space="0" w:color="auto"/>
                      </w:divBdr>
                      <w:divsChild>
                        <w:div w:id="1096172227">
                          <w:marLeft w:val="0"/>
                          <w:marRight w:val="0"/>
                          <w:marTop w:val="0"/>
                          <w:marBottom w:val="0"/>
                          <w:divBdr>
                            <w:top w:val="none" w:sz="0" w:space="0" w:color="auto"/>
                            <w:left w:val="none" w:sz="0" w:space="0" w:color="auto"/>
                            <w:bottom w:val="none" w:sz="0" w:space="0" w:color="auto"/>
                            <w:right w:val="none" w:sz="0" w:space="0" w:color="auto"/>
                          </w:divBdr>
                          <w:divsChild>
                            <w:div w:id="869025492">
                              <w:marLeft w:val="0"/>
                              <w:marRight w:val="0"/>
                              <w:marTop w:val="0"/>
                              <w:marBottom w:val="0"/>
                              <w:divBdr>
                                <w:top w:val="none" w:sz="0" w:space="0" w:color="auto"/>
                                <w:left w:val="none" w:sz="0" w:space="0" w:color="auto"/>
                                <w:bottom w:val="none" w:sz="0" w:space="0" w:color="auto"/>
                                <w:right w:val="none" w:sz="0" w:space="0" w:color="auto"/>
                              </w:divBdr>
                              <w:divsChild>
                                <w:div w:id="2048018769">
                                  <w:marLeft w:val="0"/>
                                  <w:marRight w:val="0"/>
                                  <w:marTop w:val="0"/>
                                  <w:marBottom w:val="0"/>
                                  <w:divBdr>
                                    <w:top w:val="none" w:sz="0" w:space="0" w:color="auto"/>
                                    <w:left w:val="none" w:sz="0" w:space="0" w:color="auto"/>
                                    <w:bottom w:val="none" w:sz="0" w:space="0" w:color="auto"/>
                                    <w:right w:val="none" w:sz="0" w:space="0" w:color="auto"/>
                                  </w:divBdr>
                                  <w:divsChild>
                                    <w:div w:id="143998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3127">
                          <w:marLeft w:val="0"/>
                          <w:marRight w:val="0"/>
                          <w:marTop w:val="0"/>
                          <w:marBottom w:val="0"/>
                          <w:divBdr>
                            <w:top w:val="none" w:sz="0" w:space="0" w:color="auto"/>
                            <w:left w:val="none" w:sz="0" w:space="0" w:color="auto"/>
                            <w:bottom w:val="none" w:sz="0" w:space="0" w:color="auto"/>
                            <w:right w:val="none" w:sz="0" w:space="0" w:color="auto"/>
                          </w:divBdr>
                          <w:divsChild>
                            <w:div w:id="929579288">
                              <w:marLeft w:val="0"/>
                              <w:marRight w:val="0"/>
                              <w:marTop w:val="0"/>
                              <w:marBottom w:val="0"/>
                              <w:divBdr>
                                <w:top w:val="none" w:sz="0" w:space="0" w:color="auto"/>
                                <w:left w:val="none" w:sz="0" w:space="0" w:color="auto"/>
                                <w:bottom w:val="none" w:sz="0" w:space="0" w:color="auto"/>
                                <w:right w:val="none" w:sz="0" w:space="0" w:color="auto"/>
                              </w:divBdr>
                              <w:divsChild>
                                <w:div w:id="1213925555">
                                  <w:marLeft w:val="0"/>
                                  <w:marRight w:val="0"/>
                                  <w:marTop w:val="0"/>
                                  <w:marBottom w:val="0"/>
                                  <w:divBdr>
                                    <w:top w:val="none" w:sz="0" w:space="0" w:color="auto"/>
                                    <w:left w:val="none" w:sz="0" w:space="0" w:color="auto"/>
                                    <w:bottom w:val="none" w:sz="0" w:space="0" w:color="auto"/>
                                    <w:right w:val="none" w:sz="0" w:space="0" w:color="auto"/>
                                  </w:divBdr>
                                  <w:divsChild>
                                    <w:div w:id="6141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127063">
                          <w:marLeft w:val="0"/>
                          <w:marRight w:val="0"/>
                          <w:marTop w:val="0"/>
                          <w:marBottom w:val="0"/>
                          <w:divBdr>
                            <w:top w:val="none" w:sz="0" w:space="0" w:color="auto"/>
                            <w:left w:val="none" w:sz="0" w:space="0" w:color="auto"/>
                            <w:bottom w:val="none" w:sz="0" w:space="0" w:color="auto"/>
                            <w:right w:val="none" w:sz="0" w:space="0" w:color="auto"/>
                          </w:divBdr>
                          <w:divsChild>
                            <w:div w:id="897133543">
                              <w:marLeft w:val="0"/>
                              <w:marRight w:val="0"/>
                              <w:marTop w:val="0"/>
                              <w:marBottom w:val="0"/>
                              <w:divBdr>
                                <w:top w:val="none" w:sz="0" w:space="0" w:color="auto"/>
                                <w:left w:val="none" w:sz="0" w:space="0" w:color="auto"/>
                                <w:bottom w:val="none" w:sz="0" w:space="0" w:color="auto"/>
                                <w:right w:val="none" w:sz="0" w:space="0" w:color="auto"/>
                              </w:divBdr>
                              <w:divsChild>
                                <w:div w:id="1462921194">
                                  <w:marLeft w:val="0"/>
                                  <w:marRight w:val="0"/>
                                  <w:marTop w:val="0"/>
                                  <w:marBottom w:val="0"/>
                                  <w:divBdr>
                                    <w:top w:val="none" w:sz="0" w:space="0" w:color="auto"/>
                                    <w:left w:val="none" w:sz="0" w:space="0" w:color="auto"/>
                                    <w:bottom w:val="none" w:sz="0" w:space="0" w:color="auto"/>
                                    <w:right w:val="none" w:sz="0" w:space="0" w:color="auto"/>
                                  </w:divBdr>
                                  <w:divsChild>
                                    <w:div w:id="15357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47739">
                          <w:marLeft w:val="0"/>
                          <w:marRight w:val="0"/>
                          <w:marTop w:val="0"/>
                          <w:marBottom w:val="0"/>
                          <w:divBdr>
                            <w:top w:val="none" w:sz="0" w:space="0" w:color="auto"/>
                            <w:left w:val="none" w:sz="0" w:space="0" w:color="auto"/>
                            <w:bottom w:val="none" w:sz="0" w:space="0" w:color="auto"/>
                            <w:right w:val="none" w:sz="0" w:space="0" w:color="auto"/>
                          </w:divBdr>
                          <w:divsChild>
                            <w:div w:id="2134245789">
                              <w:marLeft w:val="0"/>
                              <w:marRight w:val="0"/>
                              <w:marTop w:val="0"/>
                              <w:marBottom w:val="0"/>
                              <w:divBdr>
                                <w:top w:val="none" w:sz="0" w:space="0" w:color="auto"/>
                                <w:left w:val="none" w:sz="0" w:space="0" w:color="auto"/>
                                <w:bottom w:val="none" w:sz="0" w:space="0" w:color="auto"/>
                                <w:right w:val="none" w:sz="0" w:space="0" w:color="auto"/>
                              </w:divBdr>
                              <w:divsChild>
                                <w:div w:id="1246107653">
                                  <w:marLeft w:val="0"/>
                                  <w:marRight w:val="0"/>
                                  <w:marTop w:val="0"/>
                                  <w:marBottom w:val="0"/>
                                  <w:divBdr>
                                    <w:top w:val="none" w:sz="0" w:space="0" w:color="auto"/>
                                    <w:left w:val="none" w:sz="0" w:space="0" w:color="auto"/>
                                    <w:bottom w:val="none" w:sz="0" w:space="0" w:color="auto"/>
                                    <w:right w:val="none" w:sz="0" w:space="0" w:color="auto"/>
                                  </w:divBdr>
                                  <w:divsChild>
                                    <w:div w:id="3585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60976">
                          <w:marLeft w:val="0"/>
                          <w:marRight w:val="0"/>
                          <w:marTop w:val="0"/>
                          <w:marBottom w:val="0"/>
                          <w:divBdr>
                            <w:top w:val="none" w:sz="0" w:space="0" w:color="auto"/>
                            <w:left w:val="none" w:sz="0" w:space="0" w:color="auto"/>
                            <w:bottom w:val="none" w:sz="0" w:space="0" w:color="auto"/>
                            <w:right w:val="none" w:sz="0" w:space="0" w:color="auto"/>
                          </w:divBdr>
                          <w:divsChild>
                            <w:div w:id="1644390490">
                              <w:marLeft w:val="0"/>
                              <w:marRight w:val="0"/>
                              <w:marTop w:val="0"/>
                              <w:marBottom w:val="0"/>
                              <w:divBdr>
                                <w:top w:val="none" w:sz="0" w:space="0" w:color="auto"/>
                                <w:left w:val="none" w:sz="0" w:space="0" w:color="auto"/>
                                <w:bottom w:val="none" w:sz="0" w:space="0" w:color="auto"/>
                                <w:right w:val="none" w:sz="0" w:space="0" w:color="auto"/>
                              </w:divBdr>
                              <w:divsChild>
                                <w:div w:id="1352803993">
                                  <w:marLeft w:val="0"/>
                                  <w:marRight w:val="0"/>
                                  <w:marTop w:val="0"/>
                                  <w:marBottom w:val="0"/>
                                  <w:divBdr>
                                    <w:top w:val="none" w:sz="0" w:space="0" w:color="auto"/>
                                    <w:left w:val="none" w:sz="0" w:space="0" w:color="auto"/>
                                    <w:bottom w:val="none" w:sz="0" w:space="0" w:color="auto"/>
                                    <w:right w:val="none" w:sz="0" w:space="0" w:color="auto"/>
                                  </w:divBdr>
                                  <w:divsChild>
                                    <w:div w:id="18436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114101">
      <w:bodyDiv w:val="1"/>
      <w:marLeft w:val="0"/>
      <w:marRight w:val="0"/>
      <w:marTop w:val="0"/>
      <w:marBottom w:val="0"/>
      <w:divBdr>
        <w:top w:val="none" w:sz="0" w:space="0" w:color="auto"/>
        <w:left w:val="none" w:sz="0" w:space="0" w:color="auto"/>
        <w:bottom w:val="none" w:sz="0" w:space="0" w:color="auto"/>
        <w:right w:val="none" w:sz="0" w:space="0" w:color="auto"/>
      </w:divBdr>
      <w:divsChild>
        <w:div w:id="2019040103">
          <w:marLeft w:val="0"/>
          <w:marRight w:val="0"/>
          <w:marTop w:val="0"/>
          <w:marBottom w:val="0"/>
          <w:divBdr>
            <w:top w:val="none" w:sz="0" w:space="0" w:color="auto"/>
            <w:left w:val="none" w:sz="0" w:space="0" w:color="auto"/>
            <w:bottom w:val="none" w:sz="0" w:space="0" w:color="auto"/>
            <w:right w:val="none" w:sz="0" w:space="0" w:color="auto"/>
          </w:divBdr>
        </w:div>
        <w:div w:id="1505390504">
          <w:marLeft w:val="0"/>
          <w:marRight w:val="0"/>
          <w:marTop w:val="0"/>
          <w:marBottom w:val="0"/>
          <w:divBdr>
            <w:top w:val="none" w:sz="0" w:space="0" w:color="auto"/>
            <w:left w:val="none" w:sz="0" w:space="0" w:color="auto"/>
            <w:bottom w:val="none" w:sz="0" w:space="0" w:color="auto"/>
            <w:right w:val="none" w:sz="0" w:space="0" w:color="auto"/>
          </w:divBdr>
        </w:div>
      </w:divsChild>
    </w:div>
    <w:div w:id="601887288">
      <w:bodyDiv w:val="1"/>
      <w:marLeft w:val="0"/>
      <w:marRight w:val="0"/>
      <w:marTop w:val="0"/>
      <w:marBottom w:val="0"/>
      <w:divBdr>
        <w:top w:val="none" w:sz="0" w:space="0" w:color="auto"/>
        <w:left w:val="none" w:sz="0" w:space="0" w:color="auto"/>
        <w:bottom w:val="none" w:sz="0" w:space="0" w:color="auto"/>
        <w:right w:val="none" w:sz="0" w:space="0" w:color="auto"/>
      </w:divBdr>
    </w:div>
    <w:div w:id="816654139">
      <w:bodyDiv w:val="1"/>
      <w:marLeft w:val="0"/>
      <w:marRight w:val="0"/>
      <w:marTop w:val="0"/>
      <w:marBottom w:val="0"/>
      <w:divBdr>
        <w:top w:val="none" w:sz="0" w:space="0" w:color="auto"/>
        <w:left w:val="none" w:sz="0" w:space="0" w:color="auto"/>
        <w:bottom w:val="none" w:sz="0" w:space="0" w:color="auto"/>
        <w:right w:val="none" w:sz="0" w:space="0" w:color="auto"/>
      </w:divBdr>
    </w:div>
    <w:div w:id="840001435">
      <w:bodyDiv w:val="1"/>
      <w:marLeft w:val="0"/>
      <w:marRight w:val="0"/>
      <w:marTop w:val="0"/>
      <w:marBottom w:val="0"/>
      <w:divBdr>
        <w:top w:val="none" w:sz="0" w:space="0" w:color="auto"/>
        <w:left w:val="none" w:sz="0" w:space="0" w:color="auto"/>
        <w:bottom w:val="none" w:sz="0" w:space="0" w:color="auto"/>
        <w:right w:val="none" w:sz="0" w:space="0" w:color="auto"/>
      </w:divBdr>
    </w:div>
    <w:div w:id="1032145992">
      <w:bodyDiv w:val="1"/>
      <w:marLeft w:val="0"/>
      <w:marRight w:val="0"/>
      <w:marTop w:val="0"/>
      <w:marBottom w:val="0"/>
      <w:divBdr>
        <w:top w:val="none" w:sz="0" w:space="0" w:color="auto"/>
        <w:left w:val="none" w:sz="0" w:space="0" w:color="auto"/>
        <w:bottom w:val="none" w:sz="0" w:space="0" w:color="auto"/>
        <w:right w:val="none" w:sz="0" w:space="0" w:color="auto"/>
      </w:divBdr>
    </w:div>
    <w:div w:id="1217740704">
      <w:bodyDiv w:val="1"/>
      <w:marLeft w:val="0"/>
      <w:marRight w:val="0"/>
      <w:marTop w:val="0"/>
      <w:marBottom w:val="0"/>
      <w:divBdr>
        <w:top w:val="none" w:sz="0" w:space="0" w:color="auto"/>
        <w:left w:val="none" w:sz="0" w:space="0" w:color="auto"/>
        <w:bottom w:val="none" w:sz="0" w:space="0" w:color="auto"/>
        <w:right w:val="none" w:sz="0" w:space="0" w:color="auto"/>
      </w:divBdr>
    </w:div>
    <w:div w:id="1245451200">
      <w:bodyDiv w:val="1"/>
      <w:marLeft w:val="0"/>
      <w:marRight w:val="0"/>
      <w:marTop w:val="0"/>
      <w:marBottom w:val="0"/>
      <w:divBdr>
        <w:top w:val="none" w:sz="0" w:space="0" w:color="auto"/>
        <w:left w:val="none" w:sz="0" w:space="0" w:color="auto"/>
        <w:bottom w:val="none" w:sz="0" w:space="0" w:color="auto"/>
        <w:right w:val="none" w:sz="0" w:space="0" w:color="auto"/>
      </w:divBdr>
    </w:div>
    <w:div w:id="1270428044">
      <w:bodyDiv w:val="1"/>
      <w:marLeft w:val="0"/>
      <w:marRight w:val="0"/>
      <w:marTop w:val="0"/>
      <w:marBottom w:val="0"/>
      <w:divBdr>
        <w:top w:val="none" w:sz="0" w:space="0" w:color="auto"/>
        <w:left w:val="none" w:sz="0" w:space="0" w:color="auto"/>
        <w:bottom w:val="none" w:sz="0" w:space="0" w:color="auto"/>
        <w:right w:val="none" w:sz="0" w:space="0" w:color="auto"/>
      </w:divBdr>
    </w:div>
    <w:div w:id="1324165672">
      <w:bodyDiv w:val="1"/>
      <w:marLeft w:val="0"/>
      <w:marRight w:val="0"/>
      <w:marTop w:val="0"/>
      <w:marBottom w:val="0"/>
      <w:divBdr>
        <w:top w:val="none" w:sz="0" w:space="0" w:color="auto"/>
        <w:left w:val="none" w:sz="0" w:space="0" w:color="auto"/>
        <w:bottom w:val="none" w:sz="0" w:space="0" w:color="auto"/>
        <w:right w:val="none" w:sz="0" w:space="0" w:color="auto"/>
      </w:divBdr>
      <w:divsChild>
        <w:div w:id="1178350871">
          <w:marLeft w:val="0"/>
          <w:marRight w:val="0"/>
          <w:marTop w:val="0"/>
          <w:marBottom w:val="0"/>
          <w:divBdr>
            <w:top w:val="none" w:sz="0" w:space="0" w:color="auto"/>
            <w:left w:val="none" w:sz="0" w:space="0" w:color="auto"/>
            <w:bottom w:val="none" w:sz="0" w:space="0" w:color="auto"/>
            <w:right w:val="none" w:sz="0" w:space="0" w:color="auto"/>
          </w:divBdr>
          <w:divsChild>
            <w:div w:id="19183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00861">
      <w:bodyDiv w:val="1"/>
      <w:marLeft w:val="0"/>
      <w:marRight w:val="0"/>
      <w:marTop w:val="0"/>
      <w:marBottom w:val="0"/>
      <w:divBdr>
        <w:top w:val="none" w:sz="0" w:space="0" w:color="auto"/>
        <w:left w:val="none" w:sz="0" w:space="0" w:color="auto"/>
        <w:bottom w:val="none" w:sz="0" w:space="0" w:color="auto"/>
        <w:right w:val="none" w:sz="0" w:space="0" w:color="auto"/>
      </w:divBdr>
    </w:div>
    <w:div w:id="1504972958">
      <w:bodyDiv w:val="1"/>
      <w:marLeft w:val="0"/>
      <w:marRight w:val="0"/>
      <w:marTop w:val="0"/>
      <w:marBottom w:val="0"/>
      <w:divBdr>
        <w:top w:val="none" w:sz="0" w:space="0" w:color="auto"/>
        <w:left w:val="none" w:sz="0" w:space="0" w:color="auto"/>
        <w:bottom w:val="none" w:sz="0" w:space="0" w:color="auto"/>
        <w:right w:val="none" w:sz="0" w:space="0" w:color="auto"/>
      </w:divBdr>
    </w:div>
    <w:div w:id="1669088638">
      <w:bodyDiv w:val="1"/>
      <w:marLeft w:val="0"/>
      <w:marRight w:val="0"/>
      <w:marTop w:val="0"/>
      <w:marBottom w:val="0"/>
      <w:divBdr>
        <w:top w:val="none" w:sz="0" w:space="0" w:color="auto"/>
        <w:left w:val="none" w:sz="0" w:space="0" w:color="auto"/>
        <w:bottom w:val="none" w:sz="0" w:space="0" w:color="auto"/>
        <w:right w:val="none" w:sz="0" w:space="0" w:color="auto"/>
      </w:divBdr>
    </w:div>
    <w:div w:id="1705979204">
      <w:bodyDiv w:val="1"/>
      <w:marLeft w:val="0"/>
      <w:marRight w:val="0"/>
      <w:marTop w:val="0"/>
      <w:marBottom w:val="0"/>
      <w:divBdr>
        <w:top w:val="none" w:sz="0" w:space="0" w:color="auto"/>
        <w:left w:val="none" w:sz="0" w:space="0" w:color="auto"/>
        <w:bottom w:val="none" w:sz="0" w:space="0" w:color="auto"/>
        <w:right w:val="none" w:sz="0" w:space="0" w:color="auto"/>
      </w:divBdr>
    </w:div>
    <w:div w:id="1805006850">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112898205">
      <w:bodyDiv w:val="1"/>
      <w:marLeft w:val="0"/>
      <w:marRight w:val="0"/>
      <w:marTop w:val="0"/>
      <w:marBottom w:val="0"/>
      <w:divBdr>
        <w:top w:val="none" w:sz="0" w:space="0" w:color="auto"/>
        <w:left w:val="none" w:sz="0" w:space="0" w:color="auto"/>
        <w:bottom w:val="none" w:sz="0" w:space="0" w:color="auto"/>
        <w:right w:val="none" w:sz="0" w:space="0" w:color="auto"/>
      </w:divBdr>
      <w:divsChild>
        <w:div w:id="199325215">
          <w:marLeft w:val="0"/>
          <w:marRight w:val="0"/>
          <w:marTop w:val="0"/>
          <w:marBottom w:val="0"/>
          <w:divBdr>
            <w:top w:val="none" w:sz="0" w:space="0" w:color="auto"/>
            <w:left w:val="none" w:sz="0" w:space="0" w:color="auto"/>
            <w:bottom w:val="none" w:sz="0" w:space="0" w:color="auto"/>
            <w:right w:val="none" w:sz="0" w:space="0" w:color="auto"/>
          </w:divBdr>
          <w:divsChild>
            <w:div w:id="996305708">
              <w:marLeft w:val="0"/>
              <w:marRight w:val="0"/>
              <w:marTop w:val="0"/>
              <w:marBottom w:val="0"/>
              <w:divBdr>
                <w:top w:val="none" w:sz="0" w:space="0" w:color="auto"/>
                <w:left w:val="none" w:sz="0" w:space="0" w:color="auto"/>
                <w:bottom w:val="none" w:sz="0" w:space="0" w:color="auto"/>
                <w:right w:val="none" w:sz="0" w:space="0" w:color="auto"/>
              </w:divBdr>
              <w:divsChild>
                <w:div w:id="1474442362">
                  <w:marLeft w:val="0"/>
                  <w:marRight w:val="0"/>
                  <w:marTop w:val="0"/>
                  <w:marBottom w:val="0"/>
                  <w:divBdr>
                    <w:top w:val="none" w:sz="0" w:space="0" w:color="auto"/>
                    <w:left w:val="none" w:sz="0" w:space="0" w:color="auto"/>
                    <w:bottom w:val="none" w:sz="0" w:space="0" w:color="auto"/>
                    <w:right w:val="none" w:sz="0" w:space="0" w:color="auto"/>
                  </w:divBdr>
                  <w:divsChild>
                    <w:div w:id="1019621905">
                      <w:marLeft w:val="0"/>
                      <w:marRight w:val="0"/>
                      <w:marTop w:val="0"/>
                      <w:marBottom w:val="0"/>
                      <w:divBdr>
                        <w:top w:val="none" w:sz="0" w:space="0" w:color="auto"/>
                        <w:left w:val="none" w:sz="0" w:space="0" w:color="auto"/>
                        <w:bottom w:val="none" w:sz="0" w:space="0" w:color="auto"/>
                        <w:right w:val="none" w:sz="0" w:space="0" w:color="auto"/>
                      </w:divBdr>
                      <w:divsChild>
                        <w:div w:id="440152111">
                          <w:marLeft w:val="0"/>
                          <w:marRight w:val="0"/>
                          <w:marTop w:val="0"/>
                          <w:marBottom w:val="0"/>
                          <w:divBdr>
                            <w:top w:val="none" w:sz="0" w:space="0" w:color="auto"/>
                            <w:left w:val="none" w:sz="0" w:space="0" w:color="auto"/>
                            <w:bottom w:val="none" w:sz="0" w:space="0" w:color="auto"/>
                            <w:right w:val="none" w:sz="0" w:space="0" w:color="auto"/>
                          </w:divBdr>
                          <w:divsChild>
                            <w:div w:id="1970014036">
                              <w:marLeft w:val="0"/>
                              <w:marRight w:val="0"/>
                              <w:marTop w:val="0"/>
                              <w:marBottom w:val="0"/>
                              <w:divBdr>
                                <w:top w:val="none" w:sz="0" w:space="0" w:color="auto"/>
                                <w:left w:val="none" w:sz="0" w:space="0" w:color="auto"/>
                                <w:bottom w:val="none" w:sz="0" w:space="0" w:color="auto"/>
                                <w:right w:val="none" w:sz="0" w:space="0" w:color="auto"/>
                              </w:divBdr>
                              <w:divsChild>
                                <w:div w:id="1716126430">
                                  <w:marLeft w:val="0"/>
                                  <w:marRight w:val="0"/>
                                  <w:marTop w:val="0"/>
                                  <w:marBottom w:val="0"/>
                                  <w:divBdr>
                                    <w:top w:val="none" w:sz="0" w:space="0" w:color="auto"/>
                                    <w:left w:val="none" w:sz="0" w:space="0" w:color="auto"/>
                                    <w:bottom w:val="none" w:sz="0" w:space="0" w:color="auto"/>
                                    <w:right w:val="none" w:sz="0" w:space="0" w:color="auto"/>
                                  </w:divBdr>
                                  <w:divsChild>
                                    <w:div w:id="15074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1001">
                          <w:marLeft w:val="0"/>
                          <w:marRight w:val="0"/>
                          <w:marTop w:val="0"/>
                          <w:marBottom w:val="0"/>
                          <w:divBdr>
                            <w:top w:val="none" w:sz="0" w:space="0" w:color="auto"/>
                            <w:left w:val="none" w:sz="0" w:space="0" w:color="auto"/>
                            <w:bottom w:val="none" w:sz="0" w:space="0" w:color="auto"/>
                            <w:right w:val="none" w:sz="0" w:space="0" w:color="auto"/>
                          </w:divBdr>
                          <w:divsChild>
                            <w:div w:id="776800211">
                              <w:marLeft w:val="0"/>
                              <w:marRight w:val="0"/>
                              <w:marTop w:val="0"/>
                              <w:marBottom w:val="0"/>
                              <w:divBdr>
                                <w:top w:val="none" w:sz="0" w:space="0" w:color="auto"/>
                                <w:left w:val="none" w:sz="0" w:space="0" w:color="auto"/>
                                <w:bottom w:val="none" w:sz="0" w:space="0" w:color="auto"/>
                                <w:right w:val="none" w:sz="0" w:space="0" w:color="auto"/>
                              </w:divBdr>
                              <w:divsChild>
                                <w:div w:id="2012828792">
                                  <w:marLeft w:val="0"/>
                                  <w:marRight w:val="0"/>
                                  <w:marTop w:val="0"/>
                                  <w:marBottom w:val="0"/>
                                  <w:divBdr>
                                    <w:top w:val="none" w:sz="0" w:space="0" w:color="auto"/>
                                    <w:left w:val="none" w:sz="0" w:space="0" w:color="auto"/>
                                    <w:bottom w:val="none" w:sz="0" w:space="0" w:color="auto"/>
                                    <w:right w:val="none" w:sz="0" w:space="0" w:color="auto"/>
                                  </w:divBdr>
                                  <w:divsChild>
                                    <w:div w:id="3990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8527">
                          <w:marLeft w:val="0"/>
                          <w:marRight w:val="0"/>
                          <w:marTop w:val="0"/>
                          <w:marBottom w:val="0"/>
                          <w:divBdr>
                            <w:top w:val="none" w:sz="0" w:space="0" w:color="auto"/>
                            <w:left w:val="none" w:sz="0" w:space="0" w:color="auto"/>
                            <w:bottom w:val="none" w:sz="0" w:space="0" w:color="auto"/>
                            <w:right w:val="none" w:sz="0" w:space="0" w:color="auto"/>
                          </w:divBdr>
                          <w:divsChild>
                            <w:div w:id="418408363">
                              <w:marLeft w:val="0"/>
                              <w:marRight w:val="0"/>
                              <w:marTop w:val="0"/>
                              <w:marBottom w:val="0"/>
                              <w:divBdr>
                                <w:top w:val="none" w:sz="0" w:space="0" w:color="auto"/>
                                <w:left w:val="none" w:sz="0" w:space="0" w:color="auto"/>
                                <w:bottom w:val="none" w:sz="0" w:space="0" w:color="auto"/>
                                <w:right w:val="none" w:sz="0" w:space="0" w:color="auto"/>
                              </w:divBdr>
                              <w:divsChild>
                                <w:div w:id="469785564">
                                  <w:marLeft w:val="0"/>
                                  <w:marRight w:val="0"/>
                                  <w:marTop w:val="0"/>
                                  <w:marBottom w:val="0"/>
                                  <w:divBdr>
                                    <w:top w:val="none" w:sz="0" w:space="0" w:color="auto"/>
                                    <w:left w:val="none" w:sz="0" w:space="0" w:color="auto"/>
                                    <w:bottom w:val="none" w:sz="0" w:space="0" w:color="auto"/>
                                    <w:right w:val="none" w:sz="0" w:space="0" w:color="auto"/>
                                  </w:divBdr>
                                  <w:divsChild>
                                    <w:div w:id="20193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4611">
                          <w:marLeft w:val="0"/>
                          <w:marRight w:val="0"/>
                          <w:marTop w:val="0"/>
                          <w:marBottom w:val="0"/>
                          <w:divBdr>
                            <w:top w:val="none" w:sz="0" w:space="0" w:color="auto"/>
                            <w:left w:val="none" w:sz="0" w:space="0" w:color="auto"/>
                            <w:bottom w:val="none" w:sz="0" w:space="0" w:color="auto"/>
                            <w:right w:val="none" w:sz="0" w:space="0" w:color="auto"/>
                          </w:divBdr>
                          <w:divsChild>
                            <w:div w:id="243682168">
                              <w:marLeft w:val="0"/>
                              <w:marRight w:val="0"/>
                              <w:marTop w:val="0"/>
                              <w:marBottom w:val="0"/>
                              <w:divBdr>
                                <w:top w:val="none" w:sz="0" w:space="0" w:color="auto"/>
                                <w:left w:val="none" w:sz="0" w:space="0" w:color="auto"/>
                                <w:bottom w:val="none" w:sz="0" w:space="0" w:color="auto"/>
                                <w:right w:val="none" w:sz="0" w:space="0" w:color="auto"/>
                              </w:divBdr>
                              <w:divsChild>
                                <w:div w:id="1836262459">
                                  <w:marLeft w:val="0"/>
                                  <w:marRight w:val="0"/>
                                  <w:marTop w:val="0"/>
                                  <w:marBottom w:val="0"/>
                                  <w:divBdr>
                                    <w:top w:val="none" w:sz="0" w:space="0" w:color="auto"/>
                                    <w:left w:val="none" w:sz="0" w:space="0" w:color="auto"/>
                                    <w:bottom w:val="none" w:sz="0" w:space="0" w:color="auto"/>
                                    <w:right w:val="none" w:sz="0" w:space="0" w:color="auto"/>
                                  </w:divBdr>
                                  <w:divsChild>
                                    <w:div w:id="148446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84303">
                          <w:marLeft w:val="0"/>
                          <w:marRight w:val="0"/>
                          <w:marTop w:val="0"/>
                          <w:marBottom w:val="0"/>
                          <w:divBdr>
                            <w:top w:val="none" w:sz="0" w:space="0" w:color="auto"/>
                            <w:left w:val="none" w:sz="0" w:space="0" w:color="auto"/>
                            <w:bottom w:val="none" w:sz="0" w:space="0" w:color="auto"/>
                            <w:right w:val="none" w:sz="0" w:space="0" w:color="auto"/>
                          </w:divBdr>
                          <w:divsChild>
                            <w:div w:id="1526362309">
                              <w:marLeft w:val="0"/>
                              <w:marRight w:val="0"/>
                              <w:marTop w:val="0"/>
                              <w:marBottom w:val="0"/>
                              <w:divBdr>
                                <w:top w:val="none" w:sz="0" w:space="0" w:color="auto"/>
                                <w:left w:val="none" w:sz="0" w:space="0" w:color="auto"/>
                                <w:bottom w:val="none" w:sz="0" w:space="0" w:color="auto"/>
                                <w:right w:val="none" w:sz="0" w:space="0" w:color="auto"/>
                              </w:divBdr>
                              <w:divsChild>
                                <w:div w:id="925966641">
                                  <w:marLeft w:val="0"/>
                                  <w:marRight w:val="0"/>
                                  <w:marTop w:val="0"/>
                                  <w:marBottom w:val="0"/>
                                  <w:divBdr>
                                    <w:top w:val="none" w:sz="0" w:space="0" w:color="auto"/>
                                    <w:left w:val="none" w:sz="0" w:space="0" w:color="auto"/>
                                    <w:bottom w:val="none" w:sz="0" w:space="0" w:color="auto"/>
                                    <w:right w:val="none" w:sz="0" w:space="0" w:color="auto"/>
                                  </w:divBdr>
                                  <w:divsChild>
                                    <w:div w:id="34282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083390">
          <w:marLeft w:val="0"/>
          <w:marRight w:val="0"/>
          <w:marTop w:val="0"/>
          <w:marBottom w:val="0"/>
          <w:divBdr>
            <w:top w:val="none" w:sz="0" w:space="0" w:color="auto"/>
            <w:left w:val="none" w:sz="0" w:space="0" w:color="auto"/>
            <w:bottom w:val="none" w:sz="0" w:space="0" w:color="auto"/>
            <w:right w:val="none" w:sz="0" w:space="0" w:color="auto"/>
          </w:divBdr>
          <w:divsChild>
            <w:div w:id="716903159">
              <w:marLeft w:val="0"/>
              <w:marRight w:val="0"/>
              <w:marTop w:val="0"/>
              <w:marBottom w:val="0"/>
              <w:divBdr>
                <w:top w:val="none" w:sz="0" w:space="0" w:color="auto"/>
                <w:left w:val="none" w:sz="0" w:space="0" w:color="auto"/>
                <w:bottom w:val="none" w:sz="0" w:space="0" w:color="auto"/>
                <w:right w:val="none" w:sz="0" w:space="0" w:color="auto"/>
              </w:divBdr>
              <w:divsChild>
                <w:div w:id="895896786">
                  <w:marLeft w:val="0"/>
                  <w:marRight w:val="0"/>
                  <w:marTop w:val="0"/>
                  <w:marBottom w:val="0"/>
                  <w:divBdr>
                    <w:top w:val="none" w:sz="0" w:space="0" w:color="auto"/>
                    <w:left w:val="none" w:sz="0" w:space="0" w:color="auto"/>
                    <w:bottom w:val="none" w:sz="0" w:space="0" w:color="auto"/>
                    <w:right w:val="none" w:sz="0" w:space="0" w:color="auto"/>
                  </w:divBdr>
                  <w:divsChild>
                    <w:div w:id="793984015">
                      <w:marLeft w:val="0"/>
                      <w:marRight w:val="0"/>
                      <w:marTop w:val="0"/>
                      <w:marBottom w:val="0"/>
                      <w:divBdr>
                        <w:top w:val="none" w:sz="0" w:space="0" w:color="auto"/>
                        <w:left w:val="none" w:sz="0" w:space="0" w:color="auto"/>
                        <w:bottom w:val="none" w:sz="0" w:space="0" w:color="auto"/>
                        <w:right w:val="none" w:sz="0" w:space="0" w:color="auto"/>
                      </w:divBdr>
                      <w:divsChild>
                        <w:div w:id="331568211">
                          <w:marLeft w:val="0"/>
                          <w:marRight w:val="0"/>
                          <w:marTop w:val="0"/>
                          <w:marBottom w:val="0"/>
                          <w:divBdr>
                            <w:top w:val="none" w:sz="0" w:space="0" w:color="auto"/>
                            <w:left w:val="none" w:sz="0" w:space="0" w:color="auto"/>
                            <w:bottom w:val="none" w:sz="0" w:space="0" w:color="auto"/>
                            <w:right w:val="none" w:sz="0" w:space="0" w:color="auto"/>
                          </w:divBdr>
                          <w:divsChild>
                            <w:div w:id="1680812476">
                              <w:marLeft w:val="0"/>
                              <w:marRight w:val="0"/>
                              <w:marTop w:val="0"/>
                              <w:marBottom w:val="0"/>
                              <w:divBdr>
                                <w:top w:val="none" w:sz="0" w:space="0" w:color="auto"/>
                                <w:left w:val="none" w:sz="0" w:space="0" w:color="auto"/>
                                <w:bottom w:val="none" w:sz="0" w:space="0" w:color="auto"/>
                                <w:right w:val="none" w:sz="0" w:space="0" w:color="auto"/>
                              </w:divBdr>
                              <w:divsChild>
                                <w:div w:id="1798185405">
                                  <w:marLeft w:val="0"/>
                                  <w:marRight w:val="0"/>
                                  <w:marTop w:val="0"/>
                                  <w:marBottom w:val="0"/>
                                  <w:divBdr>
                                    <w:top w:val="none" w:sz="0" w:space="0" w:color="auto"/>
                                    <w:left w:val="none" w:sz="0" w:space="0" w:color="auto"/>
                                    <w:bottom w:val="none" w:sz="0" w:space="0" w:color="auto"/>
                                    <w:right w:val="none" w:sz="0" w:space="0" w:color="auto"/>
                                  </w:divBdr>
                                  <w:divsChild>
                                    <w:div w:id="20699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3577">
                          <w:marLeft w:val="0"/>
                          <w:marRight w:val="0"/>
                          <w:marTop w:val="0"/>
                          <w:marBottom w:val="0"/>
                          <w:divBdr>
                            <w:top w:val="none" w:sz="0" w:space="0" w:color="auto"/>
                            <w:left w:val="none" w:sz="0" w:space="0" w:color="auto"/>
                            <w:bottom w:val="none" w:sz="0" w:space="0" w:color="auto"/>
                            <w:right w:val="none" w:sz="0" w:space="0" w:color="auto"/>
                          </w:divBdr>
                          <w:divsChild>
                            <w:div w:id="766971749">
                              <w:marLeft w:val="0"/>
                              <w:marRight w:val="0"/>
                              <w:marTop w:val="0"/>
                              <w:marBottom w:val="0"/>
                              <w:divBdr>
                                <w:top w:val="none" w:sz="0" w:space="0" w:color="auto"/>
                                <w:left w:val="none" w:sz="0" w:space="0" w:color="auto"/>
                                <w:bottom w:val="none" w:sz="0" w:space="0" w:color="auto"/>
                                <w:right w:val="none" w:sz="0" w:space="0" w:color="auto"/>
                              </w:divBdr>
                              <w:divsChild>
                                <w:div w:id="172500068">
                                  <w:marLeft w:val="0"/>
                                  <w:marRight w:val="0"/>
                                  <w:marTop w:val="0"/>
                                  <w:marBottom w:val="0"/>
                                  <w:divBdr>
                                    <w:top w:val="none" w:sz="0" w:space="0" w:color="auto"/>
                                    <w:left w:val="none" w:sz="0" w:space="0" w:color="auto"/>
                                    <w:bottom w:val="none" w:sz="0" w:space="0" w:color="auto"/>
                                    <w:right w:val="none" w:sz="0" w:space="0" w:color="auto"/>
                                  </w:divBdr>
                                  <w:divsChild>
                                    <w:div w:id="50155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272948">
                          <w:marLeft w:val="0"/>
                          <w:marRight w:val="0"/>
                          <w:marTop w:val="0"/>
                          <w:marBottom w:val="0"/>
                          <w:divBdr>
                            <w:top w:val="none" w:sz="0" w:space="0" w:color="auto"/>
                            <w:left w:val="none" w:sz="0" w:space="0" w:color="auto"/>
                            <w:bottom w:val="none" w:sz="0" w:space="0" w:color="auto"/>
                            <w:right w:val="none" w:sz="0" w:space="0" w:color="auto"/>
                          </w:divBdr>
                          <w:divsChild>
                            <w:div w:id="325668965">
                              <w:marLeft w:val="0"/>
                              <w:marRight w:val="0"/>
                              <w:marTop w:val="0"/>
                              <w:marBottom w:val="0"/>
                              <w:divBdr>
                                <w:top w:val="none" w:sz="0" w:space="0" w:color="auto"/>
                                <w:left w:val="none" w:sz="0" w:space="0" w:color="auto"/>
                                <w:bottom w:val="none" w:sz="0" w:space="0" w:color="auto"/>
                                <w:right w:val="none" w:sz="0" w:space="0" w:color="auto"/>
                              </w:divBdr>
                              <w:divsChild>
                                <w:div w:id="163059861">
                                  <w:marLeft w:val="0"/>
                                  <w:marRight w:val="0"/>
                                  <w:marTop w:val="0"/>
                                  <w:marBottom w:val="0"/>
                                  <w:divBdr>
                                    <w:top w:val="none" w:sz="0" w:space="0" w:color="auto"/>
                                    <w:left w:val="none" w:sz="0" w:space="0" w:color="auto"/>
                                    <w:bottom w:val="none" w:sz="0" w:space="0" w:color="auto"/>
                                    <w:right w:val="none" w:sz="0" w:space="0" w:color="auto"/>
                                  </w:divBdr>
                                  <w:divsChild>
                                    <w:div w:id="17728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05845">
                          <w:marLeft w:val="0"/>
                          <w:marRight w:val="0"/>
                          <w:marTop w:val="0"/>
                          <w:marBottom w:val="0"/>
                          <w:divBdr>
                            <w:top w:val="none" w:sz="0" w:space="0" w:color="auto"/>
                            <w:left w:val="none" w:sz="0" w:space="0" w:color="auto"/>
                            <w:bottom w:val="none" w:sz="0" w:space="0" w:color="auto"/>
                            <w:right w:val="none" w:sz="0" w:space="0" w:color="auto"/>
                          </w:divBdr>
                          <w:divsChild>
                            <w:div w:id="1393577135">
                              <w:marLeft w:val="0"/>
                              <w:marRight w:val="0"/>
                              <w:marTop w:val="0"/>
                              <w:marBottom w:val="0"/>
                              <w:divBdr>
                                <w:top w:val="none" w:sz="0" w:space="0" w:color="auto"/>
                                <w:left w:val="none" w:sz="0" w:space="0" w:color="auto"/>
                                <w:bottom w:val="none" w:sz="0" w:space="0" w:color="auto"/>
                                <w:right w:val="none" w:sz="0" w:space="0" w:color="auto"/>
                              </w:divBdr>
                              <w:divsChild>
                                <w:div w:id="758716897">
                                  <w:marLeft w:val="0"/>
                                  <w:marRight w:val="0"/>
                                  <w:marTop w:val="0"/>
                                  <w:marBottom w:val="0"/>
                                  <w:divBdr>
                                    <w:top w:val="none" w:sz="0" w:space="0" w:color="auto"/>
                                    <w:left w:val="none" w:sz="0" w:space="0" w:color="auto"/>
                                    <w:bottom w:val="none" w:sz="0" w:space="0" w:color="auto"/>
                                    <w:right w:val="none" w:sz="0" w:space="0" w:color="auto"/>
                                  </w:divBdr>
                                  <w:divsChild>
                                    <w:div w:id="3697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53903">
                          <w:marLeft w:val="0"/>
                          <w:marRight w:val="0"/>
                          <w:marTop w:val="0"/>
                          <w:marBottom w:val="0"/>
                          <w:divBdr>
                            <w:top w:val="none" w:sz="0" w:space="0" w:color="auto"/>
                            <w:left w:val="none" w:sz="0" w:space="0" w:color="auto"/>
                            <w:bottom w:val="none" w:sz="0" w:space="0" w:color="auto"/>
                            <w:right w:val="none" w:sz="0" w:space="0" w:color="auto"/>
                          </w:divBdr>
                          <w:divsChild>
                            <w:div w:id="2117367752">
                              <w:marLeft w:val="0"/>
                              <w:marRight w:val="0"/>
                              <w:marTop w:val="0"/>
                              <w:marBottom w:val="0"/>
                              <w:divBdr>
                                <w:top w:val="none" w:sz="0" w:space="0" w:color="auto"/>
                                <w:left w:val="none" w:sz="0" w:space="0" w:color="auto"/>
                                <w:bottom w:val="none" w:sz="0" w:space="0" w:color="auto"/>
                                <w:right w:val="none" w:sz="0" w:space="0" w:color="auto"/>
                              </w:divBdr>
                              <w:divsChild>
                                <w:div w:id="1253785084">
                                  <w:marLeft w:val="0"/>
                                  <w:marRight w:val="0"/>
                                  <w:marTop w:val="0"/>
                                  <w:marBottom w:val="0"/>
                                  <w:divBdr>
                                    <w:top w:val="none" w:sz="0" w:space="0" w:color="auto"/>
                                    <w:left w:val="none" w:sz="0" w:space="0" w:color="auto"/>
                                    <w:bottom w:val="none" w:sz="0" w:space="0" w:color="auto"/>
                                    <w:right w:val="none" w:sz="0" w:space="0" w:color="auto"/>
                                  </w:divBdr>
                                  <w:divsChild>
                                    <w:div w:id="7050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985170">
          <w:marLeft w:val="0"/>
          <w:marRight w:val="0"/>
          <w:marTop w:val="0"/>
          <w:marBottom w:val="0"/>
          <w:divBdr>
            <w:top w:val="none" w:sz="0" w:space="0" w:color="auto"/>
            <w:left w:val="none" w:sz="0" w:space="0" w:color="auto"/>
            <w:bottom w:val="none" w:sz="0" w:space="0" w:color="auto"/>
            <w:right w:val="none" w:sz="0" w:space="0" w:color="auto"/>
          </w:divBdr>
          <w:divsChild>
            <w:div w:id="420611821">
              <w:marLeft w:val="0"/>
              <w:marRight w:val="0"/>
              <w:marTop w:val="0"/>
              <w:marBottom w:val="0"/>
              <w:divBdr>
                <w:top w:val="none" w:sz="0" w:space="0" w:color="auto"/>
                <w:left w:val="none" w:sz="0" w:space="0" w:color="auto"/>
                <w:bottom w:val="none" w:sz="0" w:space="0" w:color="auto"/>
                <w:right w:val="none" w:sz="0" w:space="0" w:color="auto"/>
              </w:divBdr>
              <w:divsChild>
                <w:div w:id="997151720">
                  <w:marLeft w:val="0"/>
                  <w:marRight w:val="0"/>
                  <w:marTop w:val="0"/>
                  <w:marBottom w:val="0"/>
                  <w:divBdr>
                    <w:top w:val="none" w:sz="0" w:space="0" w:color="auto"/>
                    <w:left w:val="none" w:sz="0" w:space="0" w:color="auto"/>
                    <w:bottom w:val="none" w:sz="0" w:space="0" w:color="auto"/>
                    <w:right w:val="none" w:sz="0" w:space="0" w:color="auto"/>
                  </w:divBdr>
                  <w:divsChild>
                    <w:div w:id="405031179">
                      <w:marLeft w:val="0"/>
                      <w:marRight w:val="0"/>
                      <w:marTop w:val="0"/>
                      <w:marBottom w:val="0"/>
                      <w:divBdr>
                        <w:top w:val="none" w:sz="0" w:space="0" w:color="auto"/>
                        <w:left w:val="none" w:sz="0" w:space="0" w:color="auto"/>
                        <w:bottom w:val="none" w:sz="0" w:space="0" w:color="auto"/>
                        <w:right w:val="none" w:sz="0" w:space="0" w:color="auto"/>
                      </w:divBdr>
                      <w:divsChild>
                        <w:div w:id="860708773">
                          <w:marLeft w:val="0"/>
                          <w:marRight w:val="0"/>
                          <w:marTop w:val="0"/>
                          <w:marBottom w:val="0"/>
                          <w:divBdr>
                            <w:top w:val="none" w:sz="0" w:space="0" w:color="auto"/>
                            <w:left w:val="none" w:sz="0" w:space="0" w:color="auto"/>
                            <w:bottom w:val="none" w:sz="0" w:space="0" w:color="auto"/>
                            <w:right w:val="none" w:sz="0" w:space="0" w:color="auto"/>
                          </w:divBdr>
                          <w:divsChild>
                            <w:div w:id="1362628684">
                              <w:marLeft w:val="0"/>
                              <w:marRight w:val="0"/>
                              <w:marTop w:val="0"/>
                              <w:marBottom w:val="0"/>
                              <w:divBdr>
                                <w:top w:val="none" w:sz="0" w:space="0" w:color="auto"/>
                                <w:left w:val="none" w:sz="0" w:space="0" w:color="auto"/>
                                <w:bottom w:val="none" w:sz="0" w:space="0" w:color="auto"/>
                                <w:right w:val="none" w:sz="0" w:space="0" w:color="auto"/>
                              </w:divBdr>
                              <w:divsChild>
                                <w:div w:id="180171158">
                                  <w:marLeft w:val="0"/>
                                  <w:marRight w:val="0"/>
                                  <w:marTop w:val="0"/>
                                  <w:marBottom w:val="0"/>
                                  <w:divBdr>
                                    <w:top w:val="none" w:sz="0" w:space="0" w:color="auto"/>
                                    <w:left w:val="none" w:sz="0" w:space="0" w:color="auto"/>
                                    <w:bottom w:val="none" w:sz="0" w:space="0" w:color="auto"/>
                                    <w:right w:val="none" w:sz="0" w:space="0" w:color="auto"/>
                                  </w:divBdr>
                                  <w:divsChild>
                                    <w:div w:id="172518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2374">
                          <w:marLeft w:val="0"/>
                          <w:marRight w:val="0"/>
                          <w:marTop w:val="0"/>
                          <w:marBottom w:val="0"/>
                          <w:divBdr>
                            <w:top w:val="none" w:sz="0" w:space="0" w:color="auto"/>
                            <w:left w:val="none" w:sz="0" w:space="0" w:color="auto"/>
                            <w:bottom w:val="none" w:sz="0" w:space="0" w:color="auto"/>
                            <w:right w:val="none" w:sz="0" w:space="0" w:color="auto"/>
                          </w:divBdr>
                          <w:divsChild>
                            <w:div w:id="1199901301">
                              <w:marLeft w:val="0"/>
                              <w:marRight w:val="0"/>
                              <w:marTop w:val="0"/>
                              <w:marBottom w:val="0"/>
                              <w:divBdr>
                                <w:top w:val="none" w:sz="0" w:space="0" w:color="auto"/>
                                <w:left w:val="none" w:sz="0" w:space="0" w:color="auto"/>
                                <w:bottom w:val="none" w:sz="0" w:space="0" w:color="auto"/>
                                <w:right w:val="none" w:sz="0" w:space="0" w:color="auto"/>
                              </w:divBdr>
                              <w:divsChild>
                                <w:div w:id="1253585758">
                                  <w:marLeft w:val="0"/>
                                  <w:marRight w:val="0"/>
                                  <w:marTop w:val="0"/>
                                  <w:marBottom w:val="0"/>
                                  <w:divBdr>
                                    <w:top w:val="none" w:sz="0" w:space="0" w:color="auto"/>
                                    <w:left w:val="none" w:sz="0" w:space="0" w:color="auto"/>
                                    <w:bottom w:val="none" w:sz="0" w:space="0" w:color="auto"/>
                                    <w:right w:val="none" w:sz="0" w:space="0" w:color="auto"/>
                                  </w:divBdr>
                                  <w:divsChild>
                                    <w:div w:id="17410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23020">
                          <w:marLeft w:val="0"/>
                          <w:marRight w:val="0"/>
                          <w:marTop w:val="0"/>
                          <w:marBottom w:val="0"/>
                          <w:divBdr>
                            <w:top w:val="none" w:sz="0" w:space="0" w:color="auto"/>
                            <w:left w:val="none" w:sz="0" w:space="0" w:color="auto"/>
                            <w:bottom w:val="none" w:sz="0" w:space="0" w:color="auto"/>
                            <w:right w:val="none" w:sz="0" w:space="0" w:color="auto"/>
                          </w:divBdr>
                          <w:divsChild>
                            <w:div w:id="147671861">
                              <w:marLeft w:val="0"/>
                              <w:marRight w:val="0"/>
                              <w:marTop w:val="0"/>
                              <w:marBottom w:val="0"/>
                              <w:divBdr>
                                <w:top w:val="none" w:sz="0" w:space="0" w:color="auto"/>
                                <w:left w:val="none" w:sz="0" w:space="0" w:color="auto"/>
                                <w:bottom w:val="none" w:sz="0" w:space="0" w:color="auto"/>
                                <w:right w:val="none" w:sz="0" w:space="0" w:color="auto"/>
                              </w:divBdr>
                              <w:divsChild>
                                <w:div w:id="34356919">
                                  <w:marLeft w:val="0"/>
                                  <w:marRight w:val="0"/>
                                  <w:marTop w:val="0"/>
                                  <w:marBottom w:val="0"/>
                                  <w:divBdr>
                                    <w:top w:val="none" w:sz="0" w:space="0" w:color="auto"/>
                                    <w:left w:val="none" w:sz="0" w:space="0" w:color="auto"/>
                                    <w:bottom w:val="none" w:sz="0" w:space="0" w:color="auto"/>
                                    <w:right w:val="none" w:sz="0" w:space="0" w:color="auto"/>
                                  </w:divBdr>
                                  <w:divsChild>
                                    <w:div w:id="5319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17328">
                          <w:marLeft w:val="0"/>
                          <w:marRight w:val="0"/>
                          <w:marTop w:val="0"/>
                          <w:marBottom w:val="0"/>
                          <w:divBdr>
                            <w:top w:val="none" w:sz="0" w:space="0" w:color="auto"/>
                            <w:left w:val="none" w:sz="0" w:space="0" w:color="auto"/>
                            <w:bottom w:val="none" w:sz="0" w:space="0" w:color="auto"/>
                            <w:right w:val="none" w:sz="0" w:space="0" w:color="auto"/>
                          </w:divBdr>
                          <w:divsChild>
                            <w:div w:id="1702122677">
                              <w:marLeft w:val="0"/>
                              <w:marRight w:val="0"/>
                              <w:marTop w:val="0"/>
                              <w:marBottom w:val="0"/>
                              <w:divBdr>
                                <w:top w:val="none" w:sz="0" w:space="0" w:color="auto"/>
                                <w:left w:val="none" w:sz="0" w:space="0" w:color="auto"/>
                                <w:bottom w:val="none" w:sz="0" w:space="0" w:color="auto"/>
                                <w:right w:val="none" w:sz="0" w:space="0" w:color="auto"/>
                              </w:divBdr>
                              <w:divsChild>
                                <w:div w:id="539391841">
                                  <w:marLeft w:val="0"/>
                                  <w:marRight w:val="0"/>
                                  <w:marTop w:val="0"/>
                                  <w:marBottom w:val="0"/>
                                  <w:divBdr>
                                    <w:top w:val="none" w:sz="0" w:space="0" w:color="auto"/>
                                    <w:left w:val="none" w:sz="0" w:space="0" w:color="auto"/>
                                    <w:bottom w:val="none" w:sz="0" w:space="0" w:color="auto"/>
                                    <w:right w:val="none" w:sz="0" w:space="0" w:color="auto"/>
                                  </w:divBdr>
                                  <w:divsChild>
                                    <w:div w:id="11904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725204">
                          <w:marLeft w:val="0"/>
                          <w:marRight w:val="0"/>
                          <w:marTop w:val="0"/>
                          <w:marBottom w:val="0"/>
                          <w:divBdr>
                            <w:top w:val="none" w:sz="0" w:space="0" w:color="auto"/>
                            <w:left w:val="none" w:sz="0" w:space="0" w:color="auto"/>
                            <w:bottom w:val="none" w:sz="0" w:space="0" w:color="auto"/>
                            <w:right w:val="none" w:sz="0" w:space="0" w:color="auto"/>
                          </w:divBdr>
                          <w:divsChild>
                            <w:div w:id="1497917843">
                              <w:marLeft w:val="0"/>
                              <w:marRight w:val="0"/>
                              <w:marTop w:val="0"/>
                              <w:marBottom w:val="0"/>
                              <w:divBdr>
                                <w:top w:val="none" w:sz="0" w:space="0" w:color="auto"/>
                                <w:left w:val="none" w:sz="0" w:space="0" w:color="auto"/>
                                <w:bottom w:val="none" w:sz="0" w:space="0" w:color="auto"/>
                                <w:right w:val="none" w:sz="0" w:space="0" w:color="auto"/>
                              </w:divBdr>
                              <w:divsChild>
                                <w:div w:id="1687245792">
                                  <w:marLeft w:val="0"/>
                                  <w:marRight w:val="0"/>
                                  <w:marTop w:val="0"/>
                                  <w:marBottom w:val="0"/>
                                  <w:divBdr>
                                    <w:top w:val="none" w:sz="0" w:space="0" w:color="auto"/>
                                    <w:left w:val="none" w:sz="0" w:space="0" w:color="auto"/>
                                    <w:bottom w:val="none" w:sz="0" w:space="0" w:color="auto"/>
                                    <w:right w:val="none" w:sz="0" w:space="0" w:color="auto"/>
                                  </w:divBdr>
                                  <w:divsChild>
                                    <w:div w:id="381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326621">
          <w:marLeft w:val="0"/>
          <w:marRight w:val="0"/>
          <w:marTop w:val="0"/>
          <w:marBottom w:val="0"/>
          <w:divBdr>
            <w:top w:val="none" w:sz="0" w:space="0" w:color="auto"/>
            <w:left w:val="none" w:sz="0" w:space="0" w:color="auto"/>
            <w:bottom w:val="none" w:sz="0" w:space="0" w:color="auto"/>
            <w:right w:val="none" w:sz="0" w:space="0" w:color="auto"/>
          </w:divBdr>
          <w:divsChild>
            <w:div w:id="699284208">
              <w:marLeft w:val="0"/>
              <w:marRight w:val="0"/>
              <w:marTop w:val="0"/>
              <w:marBottom w:val="0"/>
              <w:divBdr>
                <w:top w:val="none" w:sz="0" w:space="0" w:color="auto"/>
                <w:left w:val="none" w:sz="0" w:space="0" w:color="auto"/>
                <w:bottom w:val="none" w:sz="0" w:space="0" w:color="auto"/>
                <w:right w:val="none" w:sz="0" w:space="0" w:color="auto"/>
              </w:divBdr>
              <w:divsChild>
                <w:div w:id="779379006">
                  <w:marLeft w:val="0"/>
                  <w:marRight w:val="0"/>
                  <w:marTop w:val="0"/>
                  <w:marBottom w:val="0"/>
                  <w:divBdr>
                    <w:top w:val="none" w:sz="0" w:space="0" w:color="auto"/>
                    <w:left w:val="none" w:sz="0" w:space="0" w:color="auto"/>
                    <w:bottom w:val="none" w:sz="0" w:space="0" w:color="auto"/>
                    <w:right w:val="none" w:sz="0" w:space="0" w:color="auto"/>
                  </w:divBdr>
                  <w:divsChild>
                    <w:div w:id="669603260">
                      <w:marLeft w:val="0"/>
                      <w:marRight w:val="0"/>
                      <w:marTop w:val="0"/>
                      <w:marBottom w:val="0"/>
                      <w:divBdr>
                        <w:top w:val="none" w:sz="0" w:space="0" w:color="auto"/>
                        <w:left w:val="none" w:sz="0" w:space="0" w:color="auto"/>
                        <w:bottom w:val="none" w:sz="0" w:space="0" w:color="auto"/>
                        <w:right w:val="none" w:sz="0" w:space="0" w:color="auto"/>
                      </w:divBdr>
                      <w:divsChild>
                        <w:div w:id="152835752">
                          <w:marLeft w:val="0"/>
                          <w:marRight w:val="0"/>
                          <w:marTop w:val="0"/>
                          <w:marBottom w:val="0"/>
                          <w:divBdr>
                            <w:top w:val="none" w:sz="0" w:space="0" w:color="auto"/>
                            <w:left w:val="none" w:sz="0" w:space="0" w:color="auto"/>
                            <w:bottom w:val="none" w:sz="0" w:space="0" w:color="auto"/>
                            <w:right w:val="none" w:sz="0" w:space="0" w:color="auto"/>
                          </w:divBdr>
                          <w:divsChild>
                            <w:div w:id="1176532597">
                              <w:marLeft w:val="0"/>
                              <w:marRight w:val="0"/>
                              <w:marTop w:val="0"/>
                              <w:marBottom w:val="0"/>
                              <w:divBdr>
                                <w:top w:val="none" w:sz="0" w:space="0" w:color="auto"/>
                                <w:left w:val="none" w:sz="0" w:space="0" w:color="auto"/>
                                <w:bottom w:val="none" w:sz="0" w:space="0" w:color="auto"/>
                                <w:right w:val="none" w:sz="0" w:space="0" w:color="auto"/>
                              </w:divBdr>
                              <w:divsChild>
                                <w:div w:id="1248883268">
                                  <w:marLeft w:val="0"/>
                                  <w:marRight w:val="0"/>
                                  <w:marTop w:val="0"/>
                                  <w:marBottom w:val="0"/>
                                  <w:divBdr>
                                    <w:top w:val="none" w:sz="0" w:space="0" w:color="auto"/>
                                    <w:left w:val="none" w:sz="0" w:space="0" w:color="auto"/>
                                    <w:bottom w:val="none" w:sz="0" w:space="0" w:color="auto"/>
                                    <w:right w:val="none" w:sz="0" w:space="0" w:color="auto"/>
                                  </w:divBdr>
                                  <w:divsChild>
                                    <w:div w:id="103855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87919">
                          <w:marLeft w:val="0"/>
                          <w:marRight w:val="0"/>
                          <w:marTop w:val="0"/>
                          <w:marBottom w:val="0"/>
                          <w:divBdr>
                            <w:top w:val="none" w:sz="0" w:space="0" w:color="auto"/>
                            <w:left w:val="none" w:sz="0" w:space="0" w:color="auto"/>
                            <w:bottom w:val="none" w:sz="0" w:space="0" w:color="auto"/>
                            <w:right w:val="none" w:sz="0" w:space="0" w:color="auto"/>
                          </w:divBdr>
                          <w:divsChild>
                            <w:div w:id="779303261">
                              <w:marLeft w:val="0"/>
                              <w:marRight w:val="0"/>
                              <w:marTop w:val="0"/>
                              <w:marBottom w:val="0"/>
                              <w:divBdr>
                                <w:top w:val="none" w:sz="0" w:space="0" w:color="auto"/>
                                <w:left w:val="none" w:sz="0" w:space="0" w:color="auto"/>
                                <w:bottom w:val="none" w:sz="0" w:space="0" w:color="auto"/>
                                <w:right w:val="none" w:sz="0" w:space="0" w:color="auto"/>
                              </w:divBdr>
                              <w:divsChild>
                                <w:div w:id="108360797">
                                  <w:marLeft w:val="0"/>
                                  <w:marRight w:val="0"/>
                                  <w:marTop w:val="0"/>
                                  <w:marBottom w:val="0"/>
                                  <w:divBdr>
                                    <w:top w:val="none" w:sz="0" w:space="0" w:color="auto"/>
                                    <w:left w:val="none" w:sz="0" w:space="0" w:color="auto"/>
                                    <w:bottom w:val="none" w:sz="0" w:space="0" w:color="auto"/>
                                    <w:right w:val="none" w:sz="0" w:space="0" w:color="auto"/>
                                  </w:divBdr>
                                  <w:divsChild>
                                    <w:div w:id="140884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22422">
                          <w:marLeft w:val="0"/>
                          <w:marRight w:val="0"/>
                          <w:marTop w:val="0"/>
                          <w:marBottom w:val="0"/>
                          <w:divBdr>
                            <w:top w:val="none" w:sz="0" w:space="0" w:color="auto"/>
                            <w:left w:val="none" w:sz="0" w:space="0" w:color="auto"/>
                            <w:bottom w:val="none" w:sz="0" w:space="0" w:color="auto"/>
                            <w:right w:val="none" w:sz="0" w:space="0" w:color="auto"/>
                          </w:divBdr>
                          <w:divsChild>
                            <w:div w:id="65960260">
                              <w:marLeft w:val="0"/>
                              <w:marRight w:val="0"/>
                              <w:marTop w:val="0"/>
                              <w:marBottom w:val="0"/>
                              <w:divBdr>
                                <w:top w:val="none" w:sz="0" w:space="0" w:color="auto"/>
                                <w:left w:val="none" w:sz="0" w:space="0" w:color="auto"/>
                                <w:bottom w:val="none" w:sz="0" w:space="0" w:color="auto"/>
                                <w:right w:val="none" w:sz="0" w:space="0" w:color="auto"/>
                              </w:divBdr>
                              <w:divsChild>
                                <w:div w:id="42801124">
                                  <w:marLeft w:val="0"/>
                                  <w:marRight w:val="0"/>
                                  <w:marTop w:val="0"/>
                                  <w:marBottom w:val="0"/>
                                  <w:divBdr>
                                    <w:top w:val="none" w:sz="0" w:space="0" w:color="auto"/>
                                    <w:left w:val="none" w:sz="0" w:space="0" w:color="auto"/>
                                    <w:bottom w:val="none" w:sz="0" w:space="0" w:color="auto"/>
                                    <w:right w:val="none" w:sz="0" w:space="0" w:color="auto"/>
                                  </w:divBdr>
                                  <w:divsChild>
                                    <w:div w:id="166739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764247">
                          <w:marLeft w:val="0"/>
                          <w:marRight w:val="0"/>
                          <w:marTop w:val="0"/>
                          <w:marBottom w:val="0"/>
                          <w:divBdr>
                            <w:top w:val="none" w:sz="0" w:space="0" w:color="auto"/>
                            <w:left w:val="none" w:sz="0" w:space="0" w:color="auto"/>
                            <w:bottom w:val="none" w:sz="0" w:space="0" w:color="auto"/>
                            <w:right w:val="none" w:sz="0" w:space="0" w:color="auto"/>
                          </w:divBdr>
                          <w:divsChild>
                            <w:div w:id="52196343">
                              <w:marLeft w:val="0"/>
                              <w:marRight w:val="0"/>
                              <w:marTop w:val="0"/>
                              <w:marBottom w:val="0"/>
                              <w:divBdr>
                                <w:top w:val="none" w:sz="0" w:space="0" w:color="auto"/>
                                <w:left w:val="none" w:sz="0" w:space="0" w:color="auto"/>
                                <w:bottom w:val="none" w:sz="0" w:space="0" w:color="auto"/>
                                <w:right w:val="none" w:sz="0" w:space="0" w:color="auto"/>
                              </w:divBdr>
                              <w:divsChild>
                                <w:div w:id="1680348271">
                                  <w:marLeft w:val="0"/>
                                  <w:marRight w:val="0"/>
                                  <w:marTop w:val="0"/>
                                  <w:marBottom w:val="0"/>
                                  <w:divBdr>
                                    <w:top w:val="none" w:sz="0" w:space="0" w:color="auto"/>
                                    <w:left w:val="none" w:sz="0" w:space="0" w:color="auto"/>
                                    <w:bottom w:val="none" w:sz="0" w:space="0" w:color="auto"/>
                                    <w:right w:val="none" w:sz="0" w:space="0" w:color="auto"/>
                                  </w:divBdr>
                                  <w:divsChild>
                                    <w:div w:id="203379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854514">
                          <w:marLeft w:val="0"/>
                          <w:marRight w:val="0"/>
                          <w:marTop w:val="0"/>
                          <w:marBottom w:val="0"/>
                          <w:divBdr>
                            <w:top w:val="none" w:sz="0" w:space="0" w:color="auto"/>
                            <w:left w:val="none" w:sz="0" w:space="0" w:color="auto"/>
                            <w:bottom w:val="none" w:sz="0" w:space="0" w:color="auto"/>
                            <w:right w:val="none" w:sz="0" w:space="0" w:color="auto"/>
                          </w:divBdr>
                          <w:divsChild>
                            <w:div w:id="42143164">
                              <w:marLeft w:val="0"/>
                              <w:marRight w:val="0"/>
                              <w:marTop w:val="0"/>
                              <w:marBottom w:val="0"/>
                              <w:divBdr>
                                <w:top w:val="none" w:sz="0" w:space="0" w:color="auto"/>
                                <w:left w:val="none" w:sz="0" w:space="0" w:color="auto"/>
                                <w:bottom w:val="none" w:sz="0" w:space="0" w:color="auto"/>
                                <w:right w:val="none" w:sz="0" w:space="0" w:color="auto"/>
                              </w:divBdr>
                              <w:divsChild>
                                <w:div w:id="1422068914">
                                  <w:marLeft w:val="0"/>
                                  <w:marRight w:val="0"/>
                                  <w:marTop w:val="0"/>
                                  <w:marBottom w:val="0"/>
                                  <w:divBdr>
                                    <w:top w:val="none" w:sz="0" w:space="0" w:color="auto"/>
                                    <w:left w:val="none" w:sz="0" w:space="0" w:color="auto"/>
                                    <w:bottom w:val="none" w:sz="0" w:space="0" w:color="auto"/>
                                    <w:right w:val="none" w:sz="0" w:space="0" w:color="auto"/>
                                  </w:divBdr>
                                  <w:divsChild>
                                    <w:div w:id="5830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083956">
          <w:marLeft w:val="0"/>
          <w:marRight w:val="0"/>
          <w:marTop w:val="0"/>
          <w:marBottom w:val="0"/>
          <w:divBdr>
            <w:top w:val="none" w:sz="0" w:space="0" w:color="auto"/>
            <w:left w:val="none" w:sz="0" w:space="0" w:color="auto"/>
            <w:bottom w:val="none" w:sz="0" w:space="0" w:color="auto"/>
            <w:right w:val="none" w:sz="0" w:space="0" w:color="auto"/>
          </w:divBdr>
          <w:divsChild>
            <w:div w:id="890117070">
              <w:marLeft w:val="0"/>
              <w:marRight w:val="0"/>
              <w:marTop w:val="0"/>
              <w:marBottom w:val="0"/>
              <w:divBdr>
                <w:top w:val="none" w:sz="0" w:space="0" w:color="auto"/>
                <w:left w:val="none" w:sz="0" w:space="0" w:color="auto"/>
                <w:bottom w:val="none" w:sz="0" w:space="0" w:color="auto"/>
                <w:right w:val="none" w:sz="0" w:space="0" w:color="auto"/>
              </w:divBdr>
              <w:divsChild>
                <w:div w:id="968123030">
                  <w:marLeft w:val="0"/>
                  <w:marRight w:val="0"/>
                  <w:marTop w:val="0"/>
                  <w:marBottom w:val="0"/>
                  <w:divBdr>
                    <w:top w:val="none" w:sz="0" w:space="0" w:color="auto"/>
                    <w:left w:val="none" w:sz="0" w:space="0" w:color="auto"/>
                    <w:bottom w:val="none" w:sz="0" w:space="0" w:color="auto"/>
                    <w:right w:val="none" w:sz="0" w:space="0" w:color="auto"/>
                  </w:divBdr>
                  <w:divsChild>
                    <w:div w:id="1642924261">
                      <w:marLeft w:val="0"/>
                      <w:marRight w:val="0"/>
                      <w:marTop w:val="0"/>
                      <w:marBottom w:val="0"/>
                      <w:divBdr>
                        <w:top w:val="none" w:sz="0" w:space="0" w:color="auto"/>
                        <w:left w:val="none" w:sz="0" w:space="0" w:color="auto"/>
                        <w:bottom w:val="none" w:sz="0" w:space="0" w:color="auto"/>
                        <w:right w:val="none" w:sz="0" w:space="0" w:color="auto"/>
                      </w:divBdr>
                      <w:divsChild>
                        <w:div w:id="201214628">
                          <w:marLeft w:val="0"/>
                          <w:marRight w:val="0"/>
                          <w:marTop w:val="0"/>
                          <w:marBottom w:val="0"/>
                          <w:divBdr>
                            <w:top w:val="none" w:sz="0" w:space="0" w:color="auto"/>
                            <w:left w:val="none" w:sz="0" w:space="0" w:color="auto"/>
                            <w:bottom w:val="none" w:sz="0" w:space="0" w:color="auto"/>
                            <w:right w:val="none" w:sz="0" w:space="0" w:color="auto"/>
                          </w:divBdr>
                          <w:divsChild>
                            <w:div w:id="218441691">
                              <w:marLeft w:val="0"/>
                              <w:marRight w:val="0"/>
                              <w:marTop w:val="0"/>
                              <w:marBottom w:val="0"/>
                              <w:divBdr>
                                <w:top w:val="none" w:sz="0" w:space="0" w:color="auto"/>
                                <w:left w:val="none" w:sz="0" w:space="0" w:color="auto"/>
                                <w:bottom w:val="none" w:sz="0" w:space="0" w:color="auto"/>
                                <w:right w:val="none" w:sz="0" w:space="0" w:color="auto"/>
                              </w:divBdr>
                              <w:divsChild>
                                <w:div w:id="57825223">
                                  <w:marLeft w:val="0"/>
                                  <w:marRight w:val="0"/>
                                  <w:marTop w:val="0"/>
                                  <w:marBottom w:val="0"/>
                                  <w:divBdr>
                                    <w:top w:val="none" w:sz="0" w:space="0" w:color="auto"/>
                                    <w:left w:val="none" w:sz="0" w:space="0" w:color="auto"/>
                                    <w:bottom w:val="none" w:sz="0" w:space="0" w:color="auto"/>
                                    <w:right w:val="none" w:sz="0" w:space="0" w:color="auto"/>
                                  </w:divBdr>
                                  <w:divsChild>
                                    <w:div w:id="8822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17174">
                          <w:marLeft w:val="0"/>
                          <w:marRight w:val="0"/>
                          <w:marTop w:val="0"/>
                          <w:marBottom w:val="0"/>
                          <w:divBdr>
                            <w:top w:val="none" w:sz="0" w:space="0" w:color="auto"/>
                            <w:left w:val="none" w:sz="0" w:space="0" w:color="auto"/>
                            <w:bottom w:val="none" w:sz="0" w:space="0" w:color="auto"/>
                            <w:right w:val="none" w:sz="0" w:space="0" w:color="auto"/>
                          </w:divBdr>
                          <w:divsChild>
                            <w:div w:id="1164783470">
                              <w:marLeft w:val="0"/>
                              <w:marRight w:val="0"/>
                              <w:marTop w:val="0"/>
                              <w:marBottom w:val="0"/>
                              <w:divBdr>
                                <w:top w:val="none" w:sz="0" w:space="0" w:color="auto"/>
                                <w:left w:val="none" w:sz="0" w:space="0" w:color="auto"/>
                                <w:bottom w:val="none" w:sz="0" w:space="0" w:color="auto"/>
                                <w:right w:val="none" w:sz="0" w:space="0" w:color="auto"/>
                              </w:divBdr>
                              <w:divsChild>
                                <w:div w:id="791902939">
                                  <w:marLeft w:val="0"/>
                                  <w:marRight w:val="0"/>
                                  <w:marTop w:val="0"/>
                                  <w:marBottom w:val="0"/>
                                  <w:divBdr>
                                    <w:top w:val="none" w:sz="0" w:space="0" w:color="auto"/>
                                    <w:left w:val="none" w:sz="0" w:space="0" w:color="auto"/>
                                    <w:bottom w:val="none" w:sz="0" w:space="0" w:color="auto"/>
                                    <w:right w:val="none" w:sz="0" w:space="0" w:color="auto"/>
                                  </w:divBdr>
                                  <w:divsChild>
                                    <w:div w:id="6179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7069">
                          <w:marLeft w:val="0"/>
                          <w:marRight w:val="0"/>
                          <w:marTop w:val="0"/>
                          <w:marBottom w:val="0"/>
                          <w:divBdr>
                            <w:top w:val="none" w:sz="0" w:space="0" w:color="auto"/>
                            <w:left w:val="none" w:sz="0" w:space="0" w:color="auto"/>
                            <w:bottom w:val="none" w:sz="0" w:space="0" w:color="auto"/>
                            <w:right w:val="none" w:sz="0" w:space="0" w:color="auto"/>
                          </w:divBdr>
                          <w:divsChild>
                            <w:div w:id="1834568917">
                              <w:marLeft w:val="0"/>
                              <w:marRight w:val="0"/>
                              <w:marTop w:val="0"/>
                              <w:marBottom w:val="0"/>
                              <w:divBdr>
                                <w:top w:val="none" w:sz="0" w:space="0" w:color="auto"/>
                                <w:left w:val="none" w:sz="0" w:space="0" w:color="auto"/>
                                <w:bottom w:val="none" w:sz="0" w:space="0" w:color="auto"/>
                                <w:right w:val="none" w:sz="0" w:space="0" w:color="auto"/>
                              </w:divBdr>
                              <w:divsChild>
                                <w:div w:id="543058594">
                                  <w:marLeft w:val="0"/>
                                  <w:marRight w:val="0"/>
                                  <w:marTop w:val="0"/>
                                  <w:marBottom w:val="0"/>
                                  <w:divBdr>
                                    <w:top w:val="none" w:sz="0" w:space="0" w:color="auto"/>
                                    <w:left w:val="none" w:sz="0" w:space="0" w:color="auto"/>
                                    <w:bottom w:val="none" w:sz="0" w:space="0" w:color="auto"/>
                                    <w:right w:val="none" w:sz="0" w:space="0" w:color="auto"/>
                                  </w:divBdr>
                                  <w:divsChild>
                                    <w:div w:id="10710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10352">
                          <w:marLeft w:val="0"/>
                          <w:marRight w:val="0"/>
                          <w:marTop w:val="0"/>
                          <w:marBottom w:val="0"/>
                          <w:divBdr>
                            <w:top w:val="none" w:sz="0" w:space="0" w:color="auto"/>
                            <w:left w:val="none" w:sz="0" w:space="0" w:color="auto"/>
                            <w:bottom w:val="none" w:sz="0" w:space="0" w:color="auto"/>
                            <w:right w:val="none" w:sz="0" w:space="0" w:color="auto"/>
                          </w:divBdr>
                          <w:divsChild>
                            <w:div w:id="841551324">
                              <w:marLeft w:val="0"/>
                              <w:marRight w:val="0"/>
                              <w:marTop w:val="0"/>
                              <w:marBottom w:val="0"/>
                              <w:divBdr>
                                <w:top w:val="none" w:sz="0" w:space="0" w:color="auto"/>
                                <w:left w:val="none" w:sz="0" w:space="0" w:color="auto"/>
                                <w:bottom w:val="none" w:sz="0" w:space="0" w:color="auto"/>
                                <w:right w:val="none" w:sz="0" w:space="0" w:color="auto"/>
                              </w:divBdr>
                              <w:divsChild>
                                <w:div w:id="1749493807">
                                  <w:marLeft w:val="0"/>
                                  <w:marRight w:val="0"/>
                                  <w:marTop w:val="0"/>
                                  <w:marBottom w:val="0"/>
                                  <w:divBdr>
                                    <w:top w:val="none" w:sz="0" w:space="0" w:color="auto"/>
                                    <w:left w:val="none" w:sz="0" w:space="0" w:color="auto"/>
                                    <w:bottom w:val="none" w:sz="0" w:space="0" w:color="auto"/>
                                    <w:right w:val="none" w:sz="0" w:space="0" w:color="auto"/>
                                  </w:divBdr>
                                  <w:divsChild>
                                    <w:div w:id="2911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428435">
                          <w:marLeft w:val="0"/>
                          <w:marRight w:val="0"/>
                          <w:marTop w:val="0"/>
                          <w:marBottom w:val="0"/>
                          <w:divBdr>
                            <w:top w:val="none" w:sz="0" w:space="0" w:color="auto"/>
                            <w:left w:val="none" w:sz="0" w:space="0" w:color="auto"/>
                            <w:bottom w:val="none" w:sz="0" w:space="0" w:color="auto"/>
                            <w:right w:val="none" w:sz="0" w:space="0" w:color="auto"/>
                          </w:divBdr>
                          <w:divsChild>
                            <w:div w:id="2139252128">
                              <w:marLeft w:val="0"/>
                              <w:marRight w:val="0"/>
                              <w:marTop w:val="0"/>
                              <w:marBottom w:val="0"/>
                              <w:divBdr>
                                <w:top w:val="none" w:sz="0" w:space="0" w:color="auto"/>
                                <w:left w:val="none" w:sz="0" w:space="0" w:color="auto"/>
                                <w:bottom w:val="none" w:sz="0" w:space="0" w:color="auto"/>
                                <w:right w:val="none" w:sz="0" w:space="0" w:color="auto"/>
                              </w:divBdr>
                              <w:divsChild>
                                <w:div w:id="1996839662">
                                  <w:marLeft w:val="0"/>
                                  <w:marRight w:val="0"/>
                                  <w:marTop w:val="0"/>
                                  <w:marBottom w:val="0"/>
                                  <w:divBdr>
                                    <w:top w:val="none" w:sz="0" w:space="0" w:color="auto"/>
                                    <w:left w:val="none" w:sz="0" w:space="0" w:color="auto"/>
                                    <w:bottom w:val="none" w:sz="0" w:space="0" w:color="auto"/>
                                    <w:right w:val="none" w:sz="0" w:space="0" w:color="auto"/>
                                  </w:divBdr>
                                  <w:divsChild>
                                    <w:div w:id="106314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589781">
          <w:marLeft w:val="0"/>
          <w:marRight w:val="0"/>
          <w:marTop w:val="0"/>
          <w:marBottom w:val="0"/>
          <w:divBdr>
            <w:top w:val="none" w:sz="0" w:space="0" w:color="auto"/>
            <w:left w:val="none" w:sz="0" w:space="0" w:color="auto"/>
            <w:bottom w:val="none" w:sz="0" w:space="0" w:color="auto"/>
            <w:right w:val="none" w:sz="0" w:space="0" w:color="auto"/>
          </w:divBdr>
          <w:divsChild>
            <w:div w:id="855735246">
              <w:marLeft w:val="0"/>
              <w:marRight w:val="0"/>
              <w:marTop w:val="0"/>
              <w:marBottom w:val="0"/>
              <w:divBdr>
                <w:top w:val="none" w:sz="0" w:space="0" w:color="auto"/>
                <w:left w:val="none" w:sz="0" w:space="0" w:color="auto"/>
                <w:bottom w:val="none" w:sz="0" w:space="0" w:color="auto"/>
                <w:right w:val="none" w:sz="0" w:space="0" w:color="auto"/>
              </w:divBdr>
              <w:divsChild>
                <w:div w:id="1408460912">
                  <w:marLeft w:val="0"/>
                  <w:marRight w:val="0"/>
                  <w:marTop w:val="0"/>
                  <w:marBottom w:val="0"/>
                  <w:divBdr>
                    <w:top w:val="none" w:sz="0" w:space="0" w:color="auto"/>
                    <w:left w:val="none" w:sz="0" w:space="0" w:color="auto"/>
                    <w:bottom w:val="none" w:sz="0" w:space="0" w:color="auto"/>
                    <w:right w:val="none" w:sz="0" w:space="0" w:color="auto"/>
                  </w:divBdr>
                  <w:divsChild>
                    <w:div w:id="1806237898">
                      <w:marLeft w:val="0"/>
                      <w:marRight w:val="0"/>
                      <w:marTop w:val="0"/>
                      <w:marBottom w:val="0"/>
                      <w:divBdr>
                        <w:top w:val="none" w:sz="0" w:space="0" w:color="auto"/>
                        <w:left w:val="none" w:sz="0" w:space="0" w:color="auto"/>
                        <w:bottom w:val="none" w:sz="0" w:space="0" w:color="auto"/>
                        <w:right w:val="none" w:sz="0" w:space="0" w:color="auto"/>
                      </w:divBdr>
                      <w:divsChild>
                        <w:div w:id="874149321">
                          <w:marLeft w:val="0"/>
                          <w:marRight w:val="0"/>
                          <w:marTop w:val="0"/>
                          <w:marBottom w:val="0"/>
                          <w:divBdr>
                            <w:top w:val="none" w:sz="0" w:space="0" w:color="auto"/>
                            <w:left w:val="none" w:sz="0" w:space="0" w:color="auto"/>
                            <w:bottom w:val="none" w:sz="0" w:space="0" w:color="auto"/>
                            <w:right w:val="none" w:sz="0" w:space="0" w:color="auto"/>
                          </w:divBdr>
                          <w:divsChild>
                            <w:div w:id="160588928">
                              <w:marLeft w:val="0"/>
                              <w:marRight w:val="0"/>
                              <w:marTop w:val="0"/>
                              <w:marBottom w:val="0"/>
                              <w:divBdr>
                                <w:top w:val="none" w:sz="0" w:space="0" w:color="auto"/>
                                <w:left w:val="none" w:sz="0" w:space="0" w:color="auto"/>
                                <w:bottom w:val="none" w:sz="0" w:space="0" w:color="auto"/>
                                <w:right w:val="none" w:sz="0" w:space="0" w:color="auto"/>
                              </w:divBdr>
                              <w:divsChild>
                                <w:div w:id="222760020">
                                  <w:marLeft w:val="0"/>
                                  <w:marRight w:val="0"/>
                                  <w:marTop w:val="0"/>
                                  <w:marBottom w:val="0"/>
                                  <w:divBdr>
                                    <w:top w:val="none" w:sz="0" w:space="0" w:color="auto"/>
                                    <w:left w:val="none" w:sz="0" w:space="0" w:color="auto"/>
                                    <w:bottom w:val="none" w:sz="0" w:space="0" w:color="auto"/>
                                    <w:right w:val="none" w:sz="0" w:space="0" w:color="auto"/>
                                  </w:divBdr>
                                  <w:divsChild>
                                    <w:div w:id="73238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78208">
                          <w:marLeft w:val="0"/>
                          <w:marRight w:val="0"/>
                          <w:marTop w:val="0"/>
                          <w:marBottom w:val="0"/>
                          <w:divBdr>
                            <w:top w:val="none" w:sz="0" w:space="0" w:color="auto"/>
                            <w:left w:val="none" w:sz="0" w:space="0" w:color="auto"/>
                            <w:bottom w:val="none" w:sz="0" w:space="0" w:color="auto"/>
                            <w:right w:val="none" w:sz="0" w:space="0" w:color="auto"/>
                          </w:divBdr>
                          <w:divsChild>
                            <w:div w:id="2003921302">
                              <w:marLeft w:val="0"/>
                              <w:marRight w:val="0"/>
                              <w:marTop w:val="0"/>
                              <w:marBottom w:val="0"/>
                              <w:divBdr>
                                <w:top w:val="none" w:sz="0" w:space="0" w:color="auto"/>
                                <w:left w:val="none" w:sz="0" w:space="0" w:color="auto"/>
                                <w:bottom w:val="none" w:sz="0" w:space="0" w:color="auto"/>
                                <w:right w:val="none" w:sz="0" w:space="0" w:color="auto"/>
                              </w:divBdr>
                              <w:divsChild>
                                <w:div w:id="1723866631">
                                  <w:marLeft w:val="0"/>
                                  <w:marRight w:val="0"/>
                                  <w:marTop w:val="0"/>
                                  <w:marBottom w:val="0"/>
                                  <w:divBdr>
                                    <w:top w:val="none" w:sz="0" w:space="0" w:color="auto"/>
                                    <w:left w:val="none" w:sz="0" w:space="0" w:color="auto"/>
                                    <w:bottom w:val="none" w:sz="0" w:space="0" w:color="auto"/>
                                    <w:right w:val="none" w:sz="0" w:space="0" w:color="auto"/>
                                  </w:divBdr>
                                  <w:divsChild>
                                    <w:div w:id="19906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1513">
                          <w:marLeft w:val="0"/>
                          <w:marRight w:val="0"/>
                          <w:marTop w:val="0"/>
                          <w:marBottom w:val="0"/>
                          <w:divBdr>
                            <w:top w:val="none" w:sz="0" w:space="0" w:color="auto"/>
                            <w:left w:val="none" w:sz="0" w:space="0" w:color="auto"/>
                            <w:bottom w:val="none" w:sz="0" w:space="0" w:color="auto"/>
                            <w:right w:val="none" w:sz="0" w:space="0" w:color="auto"/>
                          </w:divBdr>
                          <w:divsChild>
                            <w:div w:id="1262566292">
                              <w:marLeft w:val="0"/>
                              <w:marRight w:val="0"/>
                              <w:marTop w:val="0"/>
                              <w:marBottom w:val="0"/>
                              <w:divBdr>
                                <w:top w:val="none" w:sz="0" w:space="0" w:color="auto"/>
                                <w:left w:val="none" w:sz="0" w:space="0" w:color="auto"/>
                                <w:bottom w:val="none" w:sz="0" w:space="0" w:color="auto"/>
                                <w:right w:val="none" w:sz="0" w:space="0" w:color="auto"/>
                              </w:divBdr>
                              <w:divsChild>
                                <w:div w:id="1735617956">
                                  <w:marLeft w:val="0"/>
                                  <w:marRight w:val="0"/>
                                  <w:marTop w:val="0"/>
                                  <w:marBottom w:val="0"/>
                                  <w:divBdr>
                                    <w:top w:val="none" w:sz="0" w:space="0" w:color="auto"/>
                                    <w:left w:val="none" w:sz="0" w:space="0" w:color="auto"/>
                                    <w:bottom w:val="none" w:sz="0" w:space="0" w:color="auto"/>
                                    <w:right w:val="none" w:sz="0" w:space="0" w:color="auto"/>
                                  </w:divBdr>
                                  <w:divsChild>
                                    <w:div w:id="11770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662471">
                          <w:marLeft w:val="0"/>
                          <w:marRight w:val="0"/>
                          <w:marTop w:val="0"/>
                          <w:marBottom w:val="0"/>
                          <w:divBdr>
                            <w:top w:val="none" w:sz="0" w:space="0" w:color="auto"/>
                            <w:left w:val="none" w:sz="0" w:space="0" w:color="auto"/>
                            <w:bottom w:val="none" w:sz="0" w:space="0" w:color="auto"/>
                            <w:right w:val="none" w:sz="0" w:space="0" w:color="auto"/>
                          </w:divBdr>
                          <w:divsChild>
                            <w:div w:id="1778521618">
                              <w:marLeft w:val="0"/>
                              <w:marRight w:val="0"/>
                              <w:marTop w:val="0"/>
                              <w:marBottom w:val="0"/>
                              <w:divBdr>
                                <w:top w:val="none" w:sz="0" w:space="0" w:color="auto"/>
                                <w:left w:val="none" w:sz="0" w:space="0" w:color="auto"/>
                                <w:bottom w:val="none" w:sz="0" w:space="0" w:color="auto"/>
                                <w:right w:val="none" w:sz="0" w:space="0" w:color="auto"/>
                              </w:divBdr>
                              <w:divsChild>
                                <w:div w:id="598179198">
                                  <w:marLeft w:val="0"/>
                                  <w:marRight w:val="0"/>
                                  <w:marTop w:val="0"/>
                                  <w:marBottom w:val="0"/>
                                  <w:divBdr>
                                    <w:top w:val="none" w:sz="0" w:space="0" w:color="auto"/>
                                    <w:left w:val="none" w:sz="0" w:space="0" w:color="auto"/>
                                    <w:bottom w:val="none" w:sz="0" w:space="0" w:color="auto"/>
                                    <w:right w:val="none" w:sz="0" w:space="0" w:color="auto"/>
                                  </w:divBdr>
                                  <w:divsChild>
                                    <w:div w:id="53589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6269">
                          <w:marLeft w:val="0"/>
                          <w:marRight w:val="0"/>
                          <w:marTop w:val="0"/>
                          <w:marBottom w:val="0"/>
                          <w:divBdr>
                            <w:top w:val="none" w:sz="0" w:space="0" w:color="auto"/>
                            <w:left w:val="none" w:sz="0" w:space="0" w:color="auto"/>
                            <w:bottom w:val="none" w:sz="0" w:space="0" w:color="auto"/>
                            <w:right w:val="none" w:sz="0" w:space="0" w:color="auto"/>
                          </w:divBdr>
                          <w:divsChild>
                            <w:div w:id="1956206887">
                              <w:marLeft w:val="0"/>
                              <w:marRight w:val="0"/>
                              <w:marTop w:val="0"/>
                              <w:marBottom w:val="0"/>
                              <w:divBdr>
                                <w:top w:val="none" w:sz="0" w:space="0" w:color="auto"/>
                                <w:left w:val="none" w:sz="0" w:space="0" w:color="auto"/>
                                <w:bottom w:val="none" w:sz="0" w:space="0" w:color="auto"/>
                                <w:right w:val="none" w:sz="0" w:space="0" w:color="auto"/>
                              </w:divBdr>
                              <w:divsChild>
                                <w:div w:id="492726222">
                                  <w:marLeft w:val="0"/>
                                  <w:marRight w:val="0"/>
                                  <w:marTop w:val="0"/>
                                  <w:marBottom w:val="0"/>
                                  <w:divBdr>
                                    <w:top w:val="none" w:sz="0" w:space="0" w:color="auto"/>
                                    <w:left w:val="none" w:sz="0" w:space="0" w:color="auto"/>
                                    <w:bottom w:val="none" w:sz="0" w:space="0" w:color="auto"/>
                                    <w:right w:val="none" w:sz="0" w:space="0" w:color="auto"/>
                                  </w:divBdr>
                                  <w:divsChild>
                                    <w:div w:id="10368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691538">
          <w:marLeft w:val="0"/>
          <w:marRight w:val="0"/>
          <w:marTop w:val="0"/>
          <w:marBottom w:val="0"/>
          <w:divBdr>
            <w:top w:val="none" w:sz="0" w:space="0" w:color="auto"/>
            <w:left w:val="none" w:sz="0" w:space="0" w:color="auto"/>
            <w:bottom w:val="none" w:sz="0" w:space="0" w:color="auto"/>
            <w:right w:val="none" w:sz="0" w:space="0" w:color="auto"/>
          </w:divBdr>
          <w:divsChild>
            <w:div w:id="1612974022">
              <w:marLeft w:val="0"/>
              <w:marRight w:val="0"/>
              <w:marTop w:val="0"/>
              <w:marBottom w:val="0"/>
              <w:divBdr>
                <w:top w:val="none" w:sz="0" w:space="0" w:color="auto"/>
                <w:left w:val="none" w:sz="0" w:space="0" w:color="auto"/>
                <w:bottom w:val="none" w:sz="0" w:space="0" w:color="auto"/>
                <w:right w:val="none" w:sz="0" w:space="0" w:color="auto"/>
              </w:divBdr>
              <w:divsChild>
                <w:div w:id="1347094281">
                  <w:marLeft w:val="0"/>
                  <w:marRight w:val="0"/>
                  <w:marTop w:val="0"/>
                  <w:marBottom w:val="0"/>
                  <w:divBdr>
                    <w:top w:val="none" w:sz="0" w:space="0" w:color="auto"/>
                    <w:left w:val="none" w:sz="0" w:space="0" w:color="auto"/>
                    <w:bottom w:val="none" w:sz="0" w:space="0" w:color="auto"/>
                    <w:right w:val="none" w:sz="0" w:space="0" w:color="auto"/>
                  </w:divBdr>
                  <w:divsChild>
                    <w:div w:id="512888271">
                      <w:marLeft w:val="0"/>
                      <w:marRight w:val="0"/>
                      <w:marTop w:val="0"/>
                      <w:marBottom w:val="0"/>
                      <w:divBdr>
                        <w:top w:val="none" w:sz="0" w:space="0" w:color="auto"/>
                        <w:left w:val="none" w:sz="0" w:space="0" w:color="auto"/>
                        <w:bottom w:val="none" w:sz="0" w:space="0" w:color="auto"/>
                        <w:right w:val="none" w:sz="0" w:space="0" w:color="auto"/>
                      </w:divBdr>
                      <w:divsChild>
                        <w:div w:id="1021980319">
                          <w:marLeft w:val="0"/>
                          <w:marRight w:val="0"/>
                          <w:marTop w:val="0"/>
                          <w:marBottom w:val="0"/>
                          <w:divBdr>
                            <w:top w:val="none" w:sz="0" w:space="0" w:color="auto"/>
                            <w:left w:val="none" w:sz="0" w:space="0" w:color="auto"/>
                            <w:bottom w:val="none" w:sz="0" w:space="0" w:color="auto"/>
                            <w:right w:val="none" w:sz="0" w:space="0" w:color="auto"/>
                          </w:divBdr>
                          <w:divsChild>
                            <w:div w:id="710302544">
                              <w:marLeft w:val="0"/>
                              <w:marRight w:val="0"/>
                              <w:marTop w:val="0"/>
                              <w:marBottom w:val="0"/>
                              <w:divBdr>
                                <w:top w:val="none" w:sz="0" w:space="0" w:color="auto"/>
                                <w:left w:val="none" w:sz="0" w:space="0" w:color="auto"/>
                                <w:bottom w:val="none" w:sz="0" w:space="0" w:color="auto"/>
                                <w:right w:val="none" w:sz="0" w:space="0" w:color="auto"/>
                              </w:divBdr>
                              <w:divsChild>
                                <w:div w:id="1695573217">
                                  <w:marLeft w:val="0"/>
                                  <w:marRight w:val="0"/>
                                  <w:marTop w:val="0"/>
                                  <w:marBottom w:val="0"/>
                                  <w:divBdr>
                                    <w:top w:val="none" w:sz="0" w:space="0" w:color="auto"/>
                                    <w:left w:val="none" w:sz="0" w:space="0" w:color="auto"/>
                                    <w:bottom w:val="none" w:sz="0" w:space="0" w:color="auto"/>
                                    <w:right w:val="none" w:sz="0" w:space="0" w:color="auto"/>
                                  </w:divBdr>
                                  <w:divsChild>
                                    <w:div w:id="14696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2740">
                          <w:marLeft w:val="0"/>
                          <w:marRight w:val="0"/>
                          <w:marTop w:val="0"/>
                          <w:marBottom w:val="0"/>
                          <w:divBdr>
                            <w:top w:val="none" w:sz="0" w:space="0" w:color="auto"/>
                            <w:left w:val="none" w:sz="0" w:space="0" w:color="auto"/>
                            <w:bottom w:val="none" w:sz="0" w:space="0" w:color="auto"/>
                            <w:right w:val="none" w:sz="0" w:space="0" w:color="auto"/>
                          </w:divBdr>
                          <w:divsChild>
                            <w:div w:id="1222525825">
                              <w:marLeft w:val="0"/>
                              <w:marRight w:val="0"/>
                              <w:marTop w:val="0"/>
                              <w:marBottom w:val="0"/>
                              <w:divBdr>
                                <w:top w:val="none" w:sz="0" w:space="0" w:color="auto"/>
                                <w:left w:val="none" w:sz="0" w:space="0" w:color="auto"/>
                                <w:bottom w:val="none" w:sz="0" w:space="0" w:color="auto"/>
                                <w:right w:val="none" w:sz="0" w:space="0" w:color="auto"/>
                              </w:divBdr>
                              <w:divsChild>
                                <w:div w:id="179123035">
                                  <w:marLeft w:val="0"/>
                                  <w:marRight w:val="0"/>
                                  <w:marTop w:val="0"/>
                                  <w:marBottom w:val="0"/>
                                  <w:divBdr>
                                    <w:top w:val="none" w:sz="0" w:space="0" w:color="auto"/>
                                    <w:left w:val="none" w:sz="0" w:space="0" w:color="auto"/>
                                    <w:bottom w:val="none" w:sz="0" w:space="0" w:color="auto"/>
                                    <w:right w:val="none" w:sz="0" w:space="0" w:color="auto"/>
                                  </w:divBdr>
                                  <w:divsChild>
                                    <w:div w:id="12691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45863">
                          <w:marLeft w:val="0"/>
                          <w:marRight w:val="0"/>
                          <w:marTop w:val="0"/>
                          <w:marBottom w:val="0"/>
                          <w:divBdr>
                            <w:top w:val="none" w:sz="0" w:space="0" w:color="auto"/>
                            <w:left w:val="none" w:sz="0" w:space="0" w:color="auto"/>
                            <w:bottom w:val="none" w:sz="0" w:space="0" w:color="auto"/>
                            <w:right w:val="none" w:sz="0" w:space="0" w:color="auto"/>
                          </w:divBdr>
                          <w:divsChild>
                            <w:div w:id="2130314243">
                              <w:marLeft w:val="0"/>
                              <w:marRight w:val="0"/>
                              <w:marTop w:val="0"/>
                              <w:marBottom w:val="0"/>
                              <w:divBdr>
                                <w:top w:val="none" w:sz="0" w:space="0" w:color="auto"/>
                                <w:left w:val="none" w:sz="0" w:space="0" w:color="auto"/>
                                <w:bottom w:val="none" w:sz="0" w:space="0" w:color="auto"/>
                                <w:right w:val="none" w:sz="0" w:space="0" w:color="auto"/>
                              </w:divBdr>
                              <w:divsChild>
                                <w:div w:id="1873493563">
                                  <w:marLeft w:val="0"/>
                                  <w:marRight w:val="0"/>
                                  <w:marTop w:val="0"/>
                                  <w:marBottom w:val="0"/>
                                  <w:divBdr>
                                    <w:top w:val="none" w:sz="0" w:space="0" w:color="auto"/>
                                    <w:left w:val="none" w:sz="0" w:space="0" w:color="auto"/>
                                    <w:bottom w:val="none" w:sz="0" w:space="0" w:color="auto"/>
                                    <w:right w:val="none" w:sz="0" w:space="0" w:color="auto"/>
                                  </w:divBdr>
                                  <w:divsChild>
                                    <w:div w:id="2978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00577">
                          <w:marLeft w:val="0"/>
                          <w:marRight w:val="0"/>
                          <w:marTop w:val="0"/>
                          <w:marBottom w:val="0"/>
                          <w:divBdr>
                            <w:top w:val="none" w:sz="0" w:space="0" w:color="auto"/>
                            <w:left w:val="none" w:sz="0" w:space="0" w:color="auto"/>
                            <w:bottom w:val="none" w:sz="0" w:space="0" w:color="auto"/>
                            <w:right w:val="none" w:sz="0" w:space="0" w:color="auto"/>
                          </w:divBdr>
                          <w:divsChild>
                            <w:div w:id="2112236910">
                              <w:marLeft w:val="0"/>
                              <w:marRight w:val="0"/>
                              <w:marTop w:val="0"/>
                              <w:marBottom w:val="0"/>
                              <w:divBdr>
                                <w:top w:val="none" w:sz="0" w:space="0" w:color="auto"/>
                                <w:left w:val="none" w:sz="0" w:space="0" w:color="auto"/>
                                <w:bottom w:val="none" w:sz="0" w:space="0" w:color="auto"/>
                                <w:right w:val="none" w:sz="0" w:space="0" w:color="auto"/>
                              </w:divBdr>
                              <w:divsChild>
                                <w:div w:id="69010742">
                                  <w:marLeft w:val="0"/>
                                  <w:marRight w:val="0"/>
                                  <w:marTop w:val="0"/>
                                  <w:marBottom w:val="0"/>
                                  <w:divBdr>
                                    <w:top w:val="none" w:sz="0" w:space="0" w:color="auto"/>
                                    <w:left w:val="none" w:sz="0" w:space="0" w:color="auto"/>
                                    <w:bottom w:val="none" w:sz="0" w:space="0" w:color="auto"/>
                                    <w:right w:val="none" w:sz="0" w:space="0" w:color="auto"/>
                                  </w:divBdr>
                                  <w:divsChild>
                                    <w:div w:id="159366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728717">
                          <w:marLeft w:val="0"/>
                          <w:marRight w:val="0"/>
                          <w:marTop w:val="0"/>
                          <w:marBottom w:val="0"/>
                          <w:divBdr>
                            <w:top w:val="none" w:sz="0" w:space="0" w:color="auto"/>
                            <w:left w:val="none" w:sz="0" w:space="0" w:color="auto"/>
                            <w:bottom w:val="none" w:sz="0" w:space="0" w:color="auto"/>
                            <w:right w:val="none" w:sz="0" w:space="0" w:color="auto"/>
                          </w:divBdr>
                          <w:divsChild>
                            <w:div w:id="1001810094">
                              <w:marLeft w:val="0"/>
                              <w:marRight w:val="0"/>
                              <w:marTop w:val="0"/>
                              <w:marBottom w:val="0"/>
                              <w:divBdr>
                                <w:top w:val="none" w:sz="0" w:space="0" w:color="auto"/>
                                <w:left w:val="none" w:sz="0" w:space="0" w:color="auto"/>
                                <w:bottom w:val="none" w:sz="0" w:space="0" w:color="auto"/>
                                <w:right w:val="none" w:sz="0" w:space="0" w:color="auto"/>
                              </w:divBdr>
                              <w:divsChild>
                                <w:div w:id="620965336">
                                  <w:marLeft w:val="0"/>
                                  <w:marRight w:val="0"/>
                                  <w:marTop w:val="0"/>
                                  <w:marBottom w:val="0"/>
                                  <w:divBdr>
                                    <w:top w:val="none" w:sz="0" w:space="0" w:color="auto"/>
                                    <w:left w:val="none" w:sz="0" w:space="0" w:color="auto"/>
                                    <w:bottom w:val="none" w:sz="0" w:space="0" w:color="auto"/>
                                    <w:right w:val="none" w:sz="0" w:space="0" w:color="auto"/>
                                  </w:divBdr>
                                  <w:divsChild>
                                    <w:div w:id="88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946453">
          <w:marLeft w:val="0"/>
          <w:marRight w:val="0"/>
          <w:marTop w:val="0"/>
          <w:marBottom w:val="0"/>
          <w:divBdr>
            <w:top w:val="none" w:sz="0" w:space="0" w:color="auto"/>
            <w:left w:val="none" w:sz="0" w:space="0" w:color="auto"/>
            <w:bottom w:val="none" w:sz="0" w:space="0" w:color="auto"/>
            <w:right w:val="none" w:sz="0" w:space="0" w:color="auto"/>
          </w:divBdr>
          <w:divsChild>
            <w:div w:id="1606115013">
              <w:marLeft w:val="0"/>
              <w:marRight w:val="0"/>
              <w:marTop w:val="0"/>
              <w:marBottom w:val="0"/>
              <w:divBdr>
                <w:top w:val="none" w:sz="0" w:space="0" w:color="auto"/>
                <w:left w:val="none" w:sz="0" w:space="0" w:color="auto"/>
                <w:bottom w:val="none" w:sz="0" w:space="0" w:color="auto"/>
                <w:right w:val="none" w:sz="0" w:space="0" w:color="auto"/>
              </w:divBdr>
              <w:divsChild>
                <w:div w:id="1271665427">
                  <w:marLeft w:val="0"/>
                  <w:marRight w:val="0"/>
                  <w:marTop w:val="0"/>
                  <w:marBottom w:val="0"/>
                  <w:divBdr>
                    <w:top w:val="none" w:sz="0" w:space="0" w:color="auto"/>
                    <w:left w:val="none" w:sz="0" w:space="0" w:color="auto"/>
                    <w:bottom w:val="none" w:sz="0" w:space="0" w:color="auto"/>
                    <w:right w:val="none" w:sz="0" w:space="0" w:color="auto"/>
                  </w:divBdr>
                  <w:divsChild>
                    <w:div w:id="2084795809">
                      <w:marLeft w:val="0"/>
                      <w:marRight w:val="0"/>
                      <w:marTop w:val="0"/>
                      <w:marBottom w:val="0"/>
                      <w:divBdr>
                        <w:top w:val="none" w:sz="0" w:space="0" w:color="auto"/>
                        <w:left w:val="none" w:sz="0" w:space="0" w:color="auto"/>
                        <w:bottom w:val="none" w:sz="0" w:space="0" w:color="auto"/>
                        <w:right w:val="none" w:sz="0" w:space="0" w:color="auto"/>
                      </w:divBdr>
                      <w:divsChild>
                        <w:div w:id="690034416">
                          <w:marLeft w:val="0"/>
                          <w:marRight w:val="0"/>
                          <w:marTop w:val="0"/>
                          <w:marBottom w:val="0"/>
                          <w:divBdr>
                            <w:top w:val="none" w:sz="0" w:space="0" w:color="auto"/>
                            <w:left w:val="none" w:sz="0" w:space="0" w:color="auto"/>
                            <w:bottom w:val="none" w:sz="0" w:space="0" w:color="auto"/>
                            <w:right w:val="none" w:sz="0" w:space="0" w:color="auto"/>
                          </w:divBdr>
                          <w:divsChild>
                            <w:div w:id="1391688590">
                              <w:marLeft w:val="0"/>
                              <w:marRight w:val="0"/>
                              <w:marTop w:val="0"/>
                              <w:marBottom w:val="0"/>
                              <w:divBdr>
                                <w:top w:val="none" w:sz="0" w:space="0" w:color="auto"/>
                                <w:left w:val="none" w:sz="0" w:space="0" w:color="auto"/>
                                <w:bottom w:val="none" w:sz="0" w:space="0" w:color="auto"/>
                                <w:right w:val="none" w:sz="0" w:space="0" w:color="auto"/>
                              </w:divBdr>
                              <w:divsChild>
                                <w:div w:id="2064405215">
                                  <w:marLeft w:val="0"/>
                                  <w:marRight w:val="0"/>
                                  <w:marTop w:val="0"/>
                                  <w:marBottom w:val="0"/>
                                  <w:divBdr>
                                    <w:top w:val="none" w:sz="0" w:space="0" w:color="auto"/>
                                    <w:left w:val="none" w:sz="0" w:space="0" w:color="auto"/>
                                    <w:bottom w:val="none" w:sz="0" w:space="0" w:color="auto"/>
                                    <w:right w:val="none" w:sz="0" w:space="0" w:color="auto"/>
                                  </w:divBdr>
                                  <w:divsChild>
                                    <w:div w:id="19503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361036">
                          <w:marLeft w:val="0"/>
                          <w:marRight w:val="0"/>
                          <w:marTop w:val="0"/>
                          <w:marBottom w:val="0"/>
                          <w:divBdr>
                            <w:top w:val="none" w:sz="0" w:space="0" w:color="auto"/>
                            <w:left w:val="none" w:sz="0" w:space="0" w:color="auto"/>
                            <w:bottom w:val="none" w:sz="0" w:space="0" w:color="auto"/>
                            <w:right w:val="none" w:sz="0" w:space="0" w:color="auto"/>
                          </w:divBdr>
                          <w:divsChild>
                            <w:div w:id="473255826">
                              <w:marLeft w:val="0"/>
                              <w:marRight w:val="0"/>
                              <w:marTop w:val="0"/>
                              <w:marBottom w:val="0"/>
                              <w:divBdr>
                                <w:top w:val="none" w:sz="0" w:space="0" w:color="auto"/>
                                <w:left w:val="none" w:sz="0" w:space="0" w:color="auto"/>
                                <w:bottom w:val="none" w:sz="0" w:space="0" w:color="auto"/>
                                <w:right w:val="none" w:sz="0" w:space="0" w:color="auto"/>
                              </w:divBdr>
                              <w:divsChild>
                                <w:div w:id="1290016033">
                                  <w:marLeft w:val="0"/>
                                  <w:marRight w:val="0"/>
                                  <w:marTop w:val="0"/>
                                  <w:marBottom w:val="0"/>
                                  <w:divBdr>
                                    <w:top w:val="none" w:sz="0" w:space="0" w:color="auto"/>
                                    <w:left w:val="none" w:sz="0" w:space="0" w:color="auto"/>
                                    <w:bottom w:val="none" w:sz="0" w:space="0" w:color="auto"/>
                                    <w:right w:val="none" w:sz="0" w:space="0" w:color="auto"/>
                                  </w:divBdr>
                                  <w:divsChild>
                                    <w:div w:id="10178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9806">
                          <w:marLeft w:val="0"/>
                          <w:marRight w:val="0"/>
                          <w:marTop w:val="0"/>
                          <w:marBottom w:val="0"/>
                          <w:divBdr>
                            <w:top w:val="none" w:sz="0" w:space="0" w:color="auto"/>
                            <w:left w:val="none" w:sz="0" w:space="0" w:color="auto"/>
                            <w:bottom w:val="none" w:sz="0" w:space="0" w:color="auto"/>
                            <w:right w:val="none" w:sz="0" w:space="0" w:color="auto"/>
                          </w:divBdr>
                          <w:divsChild>
                            <w:div w:id="2044941917">
                              <w:marLeft w:val="0"/>
                              <w:marRight w:val="0"/>
                              <w:marTop w:val="0"/>
                              <w:marBottom w:val="0"/>
                              <w:divBdr>
                                <w:top w:val="none" w:sz="0" w:space="0" w:color="auto"/>
                                <w:left w:val="none" w:sz="0" w:space="0" w:color="auto"/>
                                <w:bottom w:val="none" w:sz="0" w:space="0" w:color="auto"/>
                                <w:right w:val="none" w:sz="0" w:space="0" w:color="auto"/>
                              </w:divBdr>
                              <w:divsChild>
                                <w:div w:id="922564231">
                                  <w:marLeft w:val="0"/>
                                  <w:marRight w:val="0"/>
                                  <w:marTop w:val="0"/>
                                  <w:marBottom w:val="0"/>
                                  <w:divBdr>
                                    <w:top w:val="none" w:sz="0" w:space="0" w:color="auto"/>
                                    <w:left w:val="none" w:sz="0" w:space="0" w:color="auto"/>
                                    <w:bottom w:val="none" w:sz="0" w:space="0" w:color="auto"/>
                                    <w:right w:val="none" w:sz="0" w:space="0" w:color="auto"/>
                                  </w:divBdr>
                                  <w:divsChild>
                                    <w:div w:id="53380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633581">
                          <w:marLeft w:val="0"/>
                          <w:marRight w:val="0"/>
                          <w:marTop w:val="0"/>
                          <w:marBottom w:val="0"/>
                          <w:divBdr>
                            <w:top w:val="none" w:sz="0" w:space="0" w:color="auto"/>
                            <w:left w:val="none" w:sz="0" w:space="0" w:color="auto"/>
                            <w:bottom w:val="none" w:sz="0" w:space="0" w:color="auto"/>
                            <w:right w:val="none" w:sz="0" w:space="0" w:color="auto"/>
                          </w:divBdr>
                          <w:divsChild>
                            <w:div w:id="1724329255">
                              <w:marLeft w:val="0"/>
                              <w:marRight w:val="0"/>
                              <w:marTop w:val="0"/>
                              <w:marBottom w:val="0"/>
                              <w:divBdr>
                                <w:top w:val="none" w:sz="0" w:space="0" w:color="auto"/>
                                <w:left w:val="none" w:sz="0" w:space="0" w:color="auto"/>
                                <w:bottom w:val="none" w:sz="0" w:space="0" w:color="auto"/>
                                <w:right w:val="none" w:sz="0" w:space="0" w:color="auto"/>
                              </w:divBdr>
                              <w:divsChild>
                                <w:div w:id="155072652">
                                  <w:marLeft w:val="0"/>
                                  <w:marRight w:val="0"/>
                                  <w:marTop w:val="0"/>
                                  <w:marBottom w:val="0"/>
                                  <w:divBdr>
                                    <w:top w:val="none" w:sz="0" w:space="0" w:color="auto"/>
                                    <w:left w:val="none" w:sz="0" w:space="0" w:color="auto"/>
                                    <w:bottom w:val="none" w:sz="0" w:space="0" w:color="auto"/>
                                    <w:right w:val="none" w:sz="0" w:space="0" w:color="auto"/>
                                  </w:divBdr>
                                  <w:divsChild>
                                    <w:div w:id="3156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529">
                          <w:marLeft w:val="0"/>
                          <w:marRight w:val="0"/>
                          <w:marTop w:val="0"/>
                          <w:marBottom w:val="0"/>
                          <w:divBdr>
                            <w:top w:val="none" w:sz="0" w:space="0" w:color="auto"/>
                            <w:left w:val="none" w:sz="0" w:space="0" w:color="auto"/>
                            <w:bottom w:val="none" w:sz="0" w:space="0" w:color="auto"/>
                            <w:right w:val="none" w:sz="0" w:space="0" w:color="auto"/>
                          </w:divBdr>
                          <w:divsChild>
                            <w:div w:id="1001664291">
                              <w:marLeft w:val="0"/>
                              <w:marRight w:val="0"/>
                              <w:marTop w:val="0"/>
                              <w:marBottom w:val="0"/>
                              <w:divBdr>
                                <w:top w:val="none" w:sz="0" w:space="0" w:color="auto"/>
                                <w:left w:val="none" w:sz="0" w:space="0" w:color="auto"/>
                                <w:bottom w:val="none" w:sz="0" w:space="0" w:color="auto"/>
                                <w:right w:val="none" w:sz="0" w:space="0" w:color="auto"/>
                              </w:divBdr>
                              <w:divsChild>
                                <w:div w:id="294066836">
                                  <w:marLeft w:val="0"/>
                                  <w:marRight w:val="0"/>
                                  <w:marTop w:val="0"/>
                                  <w:marBottom w:val="0"/>
                                  <w:divBdr>
                                    <w:top w:val="none" w:sz="0" w:space="0" w:color="auto"/>
                                    <w:left w:val="none" w:sz="0" w:space="0" w:color="auto"/>
                                    <w:bottom w:val="none" w:sz="0" w:space="0" w:color="auto"/>
                                    <w:right w:val="none" w:sz="0" w:space="0" w:color="auto"/>
                                  </w:divBdr>
                                  <w:divsChild>
                                    <w:div w:id="10944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207705">
          <w:marLeft w:val="0"/>
          <w:marRight w:val="0"/>
          <w:marTop w:val="0"/>
          <w:marBottom w:val="0"/>
          <w:divBdr>
            <w:top w:val="none" w:sz="0" w:space="0" w:color="auto"/>
            <w:left w:val="none" w:sz="0" w:space="0" w:color="auto"/>
            <w:bottom w:val="none" w:sz="0" w:space="0" w:color="auto"/>
            <w:right w:val="none" w:sz="0" w:space="0" w:color="auto"/>
          </w:divBdr>
          <w:divsChild>
            <w:div w:id="1375083844">
              <w:marLeft w:val="0"/>
              <w:marRight w:val="0"/>
              <w:marTop w:val="0"/>
              <w:marBottom w:val="0"/>
              <w:divBdr>
                <w:top w:val="none" w:sz="0" w:space="0" w:color="auto"/>
                <w:left w:val="none" w:sz="0" w:space="0" w:color="auto"/>
                <w:bottom w:val="none" w:sz="0" w:space="0" w:color="auto"/>
                <w:right w:val="none" w:sz="0" w:space="0" w:color="auto"/>
              </w:divBdr>
              <w:divsChild>
                <w:div w:id="1126894365">
                  <w:marLeft w:val="0"/>
                  <w:marRight w:val="0"/>
                  <w:marTop w:val="0"/>
                  <w:marBottom w:val="0"/>
                  <w:divBdr>
                    <w:top w:val="none" w:sz="0" w:space="0" w:color="auto"/>
                    <w:left w:val="none" w:sz="0" w:space="0" w:color="auto"/>
                    <w:bottom w:val="none" w:sz="0" w:space="0" w:color="auto"/>
                    <w:right w:val="none" w:sz="0" w:space="0" w:color="auto"/>
                  </w:divBdr>
                  <w:divsChild>
                    <w:div w:id="1585727565">
                      <w:marLeft w:val="0"/>
                      <w:marRight w:val="0"/>
                      <w:marTop w:val="0"/>
                      <w:marBottom w:val="0"/>
                      <w:divBdr>
                        <w:top w:val="none" w:sz="0" w:space="0" w:color="auto"/>
                        <w:left w:val="none" w:sz="0" w:space="0" w:color="auto"/>
                        <w:bottom w:val="none" w:sz="0" w:space="0" w:color="auto"/>
                        <w:right w:val="none" w:sz="0" w:space="0" w:color="auto"/>
                      </w:divBdr>
                      <w:divsChild>
                        <w:div w:id="42338832">
                          <w:marLeft w:val="0"/>
                          <w:marRight w:val="0"/>
                          <w:marTop w:val="0"/>
                          <w:marBottom w:val="0"/>
                          <w:divBdr>
                            <w:top w:val="none" w:sz="0" w:space="0" w:color="auto"/>
                            <w:left w:val="none" w:sz="0" w:space="0" w:color="auto"/>
                            <w:bottom w:val="none" w:sz="0" w:space="0" w:color="auto"/>
                            <w:right w:val="none" w:sz="0" w:space="0" w:color="auto"/>
                          </w:divBdr>
                          <w:divsChild>
                            <w:div w:id="722484438">
                              <w:marLeft w:val="0"/>
                              <w:marRight w:val="0"/>
                              <w:marTop w:val="0"/>
                              <w:marBottom w:val="0"/>
                              <w:divBdr>
                                <w:top w:val="none" w:sz="0" w:space="0" w:color="auto"/>
                                <w:left w:val="none" w:sz="0" w:space="0" w:color="auto"/>
                                <w:bottom w:val="none" w:sz="0" w:space="0" w:color="auto"/>
                                <w:right w:val="none" w:sz="0" w:space="0" w:color="auto"/>
                              </w:divBdr>
                              <w:divsChild>
                                <w:div w:id="1778476801">
                                  <w:marLeft w:val="0"/>
                                  <w:marRight w:val="0"/>
                                  <w:marTop w:val="0"/>
                                  <w:marBottom w:val="0"/>
                                  <w:divBdr>
                                    <w:top w:val="none" w:sz="0" w:space="0" w:color="auto"/>
                                    <w:left w:val="none" w:sz="0" w:space="0" w:color="auto"/>
                                    <w:bottom w:val="none" w:sz="0" w:space="0" w:color="auto"/>
                                    <w:right w:val="none" w:sz="0" w:space="0" w:color="auto"/>
                                  </w:divBdr>
                                  <w:divsChild>
                                    <w:div w:id="21362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672914">
                          <w:marLeft w:val="0"/>
                          <w:marRight w:val="0"/>
                          <w:marTop w:val="0"/>
                          <w:marBottom w:val="0"/>
                          <w:divBdr>
                            <w:top w:val="none" w:sz="0" w:space="0" w:color="auto"/>
                            <w:left w:val="none" w:sz="0" w:space="0" w:color="auto"/>
                            <w:bottom w:val="none" w:sz="0" w:space="0" w:color="auto"/>
                            <w:right w:val="none" w:sz="0" w:space="0" w:color="auto"/>
                          </w:divBdr>
                          <w:divsChild>
                            <w:div w:id="1953777387">
                              <w:marLeft w:val="0"/>
                              <w:marRight w:val="0"/>
                              <w:marTop w:val="0"/>
                              <w:marBottom w:val="0"/>
                              <w:divBdr>
                                <w:top w:val="none" w:sz="0" w:space="0" w:color="auto"/>
                                <w:left w:val="none" w:sz="0" w:space="0" w:color="auto"/>
                                <w:bottom w:val="none" w:sz="0" w:space="0" w:color="auto"/>
                                <w:right w:val="none" w:sz="0" w:space="0" w:color="auto"/>
                              </w:divBdr>
                              <w:divsChild>
                                <w:div w:id="447428034">
                                  <w:marLeft w:val="0"/>
                                  <w:marRight w:val="0"/>
                                  <w:marTop w:val="0"/>
                                  <w:marBottom w:val="0"/>
                                  <w:divBdr>
                                    <w:top w:val="none" w:sz="0" w:space="0" w:color="auto"/>
                                    <w:left w:val="none" w:sz="0" w:space="0" w:color="auto"/>
                                    <w:bottom w:val="none" w:sz="0" w:space="0" w:color="auto"/>
                                    <w:right w:val="none" w:sz="0" w:space="0" w:color="auto"/>
                                  </w:divBdr>
                                  <w:divsChild>
                                    <w:div w:id="726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96011">
                          <w:marLeft w:val="0"/>
                          <w:marRight w:val="0"/>
                          <w:marTop w:val="0"/>
                          <w:marBottom w:val="0"/>
                          <w:divBdr>
                            <w:top w:val="none" w:sz="0" w:space="0" w:color="auto"/>
                            <w:left w:val="none" w:sz="0" w:space="0" w:color="auto"/>
                            <w:bottom w:val="none" w:sz="0" w:space="0" w:color="auto"/>
                            <w:right w:val="none" w:sz="0" w:space="0" w:color="auto"/>
                          </w:divBdr>
                          <w:divsChild>
                            <w:div w:id="1275400108">
                              <w:marLeft w:val="0"/>
                              <w:marRight w:val="0"/>
                              <w:marTop w:val="0"/>
                              <w:marBottom w:val="0"/>
                              <w:divBdr>
                                <w:top w:val="none" w:sz="0" w:space="0" w:color="auto"/>
                                <w:left w:val="none" w:sz="0" w:space="0" w:color="auto"/>
                                <w:bottom w:val="none" w:sz="0" w:space="0" w:color="auto"/>
                                <w:right w:val="none" w:sz="0" w:space="0" w:color="auto"/>
                              </w:divBdr>
                              <w:divsChild>
                                <w:div w:id="61223738">
                                  <w:marLeft w:val="0"/>
                                  <w:marRight w:val="0"/>
                                  <w:marTop w:val="0"/>
                                  <w:marBottom w:val="0"/>
                                  <w:divBdr>
                                    <w:top w:val="none" w:sz="0" w:space="0" w:color="auto"/>
                                    <w:left w:val="none" w:sz="0" w:space="0" w:color="auto"/>
                                    <w:bottom w:val="none" w:sz="0" w:space="0" w:color="auto"/>
                                    <w:right w:val="none" w:sz="0" w:space="0" w:color="auto"/>
                                  </w:divBdr>
                                  <w:divsChild>
                                    <w:div w:id="1159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0886">
                          <w:marLeft w:val="0"/>
                          <w:marRight w:val="0"/>
                          <w:marTop w:val="0"/>
                          <w:marBottom w:val="0"/>
                          <w:divBdr>
                            <w:top w:val="none" w:sz="0" w:space="0" w:color="auto"/>
                            <w:left w:val="none" w:sz="0" w:space="0" w:color="auto"/>
                            <w:bottom w:val="none" w:sz="0" w:space="0" w:color="auto"/>
                            <w:right w:val="none" w:sz="0" w:space="0" w:color="auto"/>
                          </w:divBdr>
                          <w:divsChild>
                            <w:div w:id="937252009">
                              <w:marLeft w:val="0"/>
                              <w:marRight w:val="0"/>
                              <w:marTop w:val="0"/>
                              <w:marBottom w:val="0"/>
                              <w:divBdr>
                                <w:top w:val="none" w:sz="0" w:space="0" w:color="auto"/>
                                <w:left w:val="none" w:sz="0" w:space="0" w:color="auto"/>
                                <w:bottom w:val="none" w:sz="0" w:space="0" w:color="auto"/>
                                <w:right w:val="none" w:sz="0" w:space="0" w:color="auto"/>
                              </w:divBdr>
                              <w:divsChild>
                                <w:div w:id="819274405">
                                  <w:marLeft w:val="0"/>
                                  <w:marRight w:val="0"/>
                                  <w:marTop w:val="0"/>
                                  <w:marBottom w:val="0"/>
                                  <w:divBdr>
                                    <w:top w:val="none" w:sz="0" w:space="0" w:color="auto"/>
                                    <w:left w:val="none" w:sz="0" w:space="0" w:color="auto"/>
                                    <w:bottom w:val="none" w:sz="0" w:space="0" w:color="auto"/>
                                    <w:right w:val="none" w:sz="0" w:space="0" w:color="auto"/>
                                  </w:divBdr>
                                  <w:divsChild>
                                    <w:div w:id="18268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86094">
                          <w:marLeft w:val="0"/>
                          <w:marRight w:val="0"/>
                          <w:marTop w:val="0"/>
                          <w:marBottom w:val="0"/>
                          <w:divBdr>
                            <w:top w:val="none" w:sz="0" w:space="0" w:color="auto"/>
                            <w:left w:val="none" w:sz="0" w:space="0" w:color="auto"/>
                            <w:bottom w:val="none" w:sz="0" w:space="0" w:color="auto"/>
                            <w:right w:val="none" w:sz="0" w:space="0" w:color="auto"/>
                          </w:divBdr>
                          <w:divsChild>
                            <w:div w:id="1274019860">
                              <w:marLeft w:val="0"/>
                              <w:marRight w:val="0"/>
                              <w:marTop w:val="0"/>
                              <w:marBottom w:val="0"/>
                              <w:divBdr>
                                <w:top w:val="none" w:sz="0" w:space="0" w:color="auto"/>
                                <w:left w:val="none" w:sz="0" w:space="0" w:color="auto"/>
                                <w:bottom w:val="none" w:sz="0" w:space="0" w:color="auto"/>
                                <w:right w:val="none" w:sz="0" w:space="0" w:color="auto"/>
                              </w:divBdr>
                              <w:divsChild>
                                <w:div w:id="1846508137">
                                  <w:marLeft w:val="0"/>
                                  <w:marRight w:val="0"/>
                                  <w:marTop w:val="0"/>
                                  <w:marBottom w:val="0"/>
                                  <w:divBdr>
                                    <w:top w:val="none" w:sz="0" w:space="0" w:color="auto"/>
                                    <w:left w:val="none" w:sz="0" w:space="0" w:color="auto"/>
                                    <w:bottom w:val="none" w:sz="0" w:space="0" w:color="auto"/>
                                    <w:right w:val="none" w:sz="0" w:space="0" w:color="auto"/>
                                  </w:divBdr>
                                  <w:divsChild>
                                    <w:div w:id="21431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325193">
          <w:marLeft w:val="0"/>
          <w:marRight w:val="0"/>
          <w:marTop w:val="0"/>
          <w:marBottom w:val="0"/>
          <w:divBdr>
            <w:top w:val="none" w:sz="0" w:space="0" w:color="auto"/>
            <w:left w:val="none" w:sz="0" w:space="0" w:color="auto"/>
            <w:bottom w:val="none" w:sz="0" w:space="0" w:color="auto"/>
            <w:right w:val="none" w:sz="0" w:space="0" w:color="auto"/>
          </w:divBdr>
          <w:divsChild>
            <w:div w:id="1253859888">
              <w:marLeft w:val="0"/>
              <w:marRight w:val="0"/>
              <w:marTop w:val="0"/>
              <w:marBottom w:val="0"/>
              <w:divBdr>
                <w:top w:val="none" w:sz="0" w:space="0" w:color="auto"/>
                <w:left w:val="none" w:sz="0" w:space="0" w:color="auto"/>
                <w:bottom w:val="none" w:sz="0" w:space="0" w:color="auto"/>
                <w:right w:val="none" w:sz="0" w:space="0" w:color="auto"/>
              </w:divBdr>
              <w:divsChild>
                <w:div w:id="668751379">
                  <w:marLeft w:val="0"/>
                  <w:marRight w:val="0"/>
                  <w:marTop w:val="0"/>
                  <w:marBottom w:val="0"/>
                  <w:divBdr>
                    <w:top w:val="none" w:sz="0" w:space="0" w:color="auto"/>
                    <w:left w:val="none" w:sz="0" w:space="0" w:color="auto"/>
                    <w:bottom w:val="none" w:sz="0" w:space="0" w:color="auto"/>
                    <w:right w:val="none" w:sz="0" w:space="0" w:color="auto"/>
                  </w:divBdr>
                  <w:divsChild>
                    <w:div w:id="1406610679">
                      <w:marLeft w:val="0"/>
                      <w:marRight w:val="0"/>
                      <w:marTop w:val="0"/>
                      <w:marBottom w:val="0"/>
                      <w:divBdr>
                        <w:top w:val="none" w:sz="0" w:space="0" w:color="auto"/>
                        <w:left w:val="none" w:sz="0" w:space="0" w:color="auto"/>
                        <w:bottom w:val="none" w:sz="0" w:space="0" w:color="auto"/>
                        <w:right w:val="none" w:sz="0" w:space="0" w:color="auto"/>
                      </w:divBdr>
                      <w:divsChild>
                        <w:div w:id="886262467">
                          <w:marLeft w:val="0"/>
                          <w:marRight w:val="0"/>
                          <w:marTop w:val="0"/>
                          <w:marBottom w:val="0"/>
                          <w:divBdr>
                            <w:top w:val="none" w:sz="0" w:space="0" w:color="auto"/>
                            <w:left w:val="none" w:sz="0" w:space="0" w:color="auto"/>
                            <w:bottom w:val="none" w:sz="0" w:space="0" w:color="auto"/>
                            <w:right w:val="none" w:sz="0" w:space="0" w:color="auto"/>
                          </w:divBdr>
                          <w:divsChild>
                            <w:div w:id="1196695822">
                              <w:marLeft w:val="0"/>
                              <w:marRight w:val="0"/>
                              <w:marTop w:val="0"/>
                              <w:marBottom w:val="0"/>
                              <w:divBdr>
                                <w:top w:val="none" w:sz="0" w:space="0" w:color="auto"/>
                                <w:left w:val="none" w:sz="0" w:space="0" w:color="auto"/>
                                <w:bottom w:val="none" w:sz="0" w:space="0" w:color="auto"/>
                                <w:right w:val="none" w:sz="0" w:space="0" w:color="auto"/>
                              </w:divBdr>
                              <w:divsChild>
                                <w:div w:id="150022899">
                                  <w:marLeft w:val="0"/>
                                  <w:marRight w:val="0"/>
                                  <w:marTop w:val="0"/>
                                  <w:marBottom w:val="0"/>
                                  <w:divBdr>
                                    <w:top w:val="none" w:sz="0" w:space="0" w:color="auto"/>
                                    <w:left w:val="none" w:sz="0" w:space="0" w:color="auto"/>
                                    <w:bottom w:val="none" w:sz="0" w:space="0" w:color="auto"/>
                                    <w:right w:val="none" w:sz="0" w:space="0" w:color="auto"/>
                                  </w:divBdr>
                                  <w:divsChild>
                                    <w:div w:id="94473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5024">
                          <w:marLeft w:val="0"/>
                          <w:marRight w:val="0"/>
                          <w:marTop w:val="0"/>
                          <w:marBottom w:val="0"/>
                          <w:divBdr>
                            <w:top w:val="none" w:sz="0" w:space="0" w:color="auto"/>
                            <w:left w:val="none" w:sz="0" w:space="0" w:color="auto"/>
                            <w:bottom w:val="none" w:sz="0" w:space="0" w:color="auto"/>
                            <w:right w:val="none" w:sz="0" w:space="0" w:color="auto"/>
                          </w:divBdr>
                          <w:divsChild>
                            <w:div w:id="1854414878">
                              <w:marLeft w:val="0"/>
                              <w:marRight w:val="0"/>
                              <w:marTop w:val="0"/>
                              <w:marBottom w:val="0"/>
                              <w:divBdr>
                                <w:top w:val="none" w:sz="0" w:space="0" w:color="auto"/>
                                <w:left w:val="none" w:sz="0" w:space="0" w:color="auto"/>
                                <w:bottom w:val="none" w:sz="0" w:space="0" w:color="auto"/>
                                <w:right w:val="none" w:sz="0" w:space="0" w:color="auto"/>
                              </w:divBdr>
                              <w:divsChild>
                                <w:div w:id="480149326">
                                  <w:marLeft w:val="0"/>
                                  <w:marRight w:val="0"/>
                                  <w:marTop w:val="0"/>
                                  <w:marBottom w:val="0"/>
                                  <w:divBdr>
                                    <w:top w:val="none" w:sz="0" w:space="0" w:color="auto"/>
                                    <w:left w:val="none" w:sz="0" w:space="0" w:color="auto"/>
                                    <w:bottom w:val="none" w:sz="0" w:space="0" w:color="auto"/>
                                    <w:right w:val="none" w:sz="0" w:space="0" w:color="auto"/>
                                  </w:divBdr>
                                  <w:divsChild>
                                    <w:div w:id="191038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94269">
                          <w:marLeft w:val="0"/>
                          <w:marRight w:val="0"/>
                          <w:marTop w:val="0"/>
                          <w:marBottom w:val="0"/>
                          <w:divBdr>
                            <w:top w:val="none" w:sz="0" w:space="0" w:color="auto"/>
                            <w:left w:val="none" w:sz="0" w:space="0" w:color="auto"/>
                            <w:bottom w:val="none" w:sz="0" w:space="0" w:color="auto"/>
                            <w:right w:val="none" w:sz="0" w:space="0" w:color="auto"/>
                          </w:divBdr>
                          <w:divsChild>
                            <w:div w:id="1558079780">
                              <w:marLeft w:val="0"/>
                              <w:marRight w:val="0"/>
                              <w:marTop w:val="0"/>
                              <w:marBottom w:val="0"/>
                              <w:divBdr>
                                <w:top w:val="none" w:sz="0" w:space="0" w:color="auto"/>
                                <w:left w:val="none" w:sz="0" w:space="0" w:color="auto"/>
                                <w:bottom w:val="none" w:sz="0" w:space="0" w:color="auto"/>
                                <w:right w:val="none" w:sz="0" w:space="0" w:color="auto"/>
                              </w:divBdr>
                              <w:divsChild>
                                <w:div w:id="465778334">
                                  <w:marLeft w:val="0"/>
                                  <w:marRight w:val="0"/>
                                  <w:marTop w:val="0"/>
                                  <w:marBottom w:val="0"/>
                                  <w:divBdr>
                                    <w:top w:val="none" w:sz="0" w:space="0" w:color="auto"/>
                                    <w:left w:val="none" w:sz="0" w:space="0" w:color="auto"/>
                                    <w:bottom w:val="none" w:sz="0" w:space="0" w:color="auto"/>
                                    <w:right w:val="none" w:sz="0" w:space="0" w:color="auto"/>
                                  </w:divBdr>
                                  <w:divsChild>
                                    <w:div w:id="6536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16942">
                          <w:marLeft w:val="0"/>
                          <w:marRight w:val="0"/>
                          <w:marTop w:val="0"/>
                          <w:marBottom w:val="0"/>
                          <w:divBdr>
                            <w:top w:val="none" w:sz="0" w:space="0" w:color="auto"/>
                            <w:left w:val="none" w:sz="0" w:space="0" w:color="auto"/>
                            <w:bottom w:val="none" w:sz="0" w:space="0" w:color="auto"/>
                            <w:right w:val="none" w:sz="0" w:space="0" w:color="auto"/>
                          </w:divBdr>
                          <w:divsChild>
                            <w:div w:id="174420051">
                              <w:marLeft w:val="0"/>
                              <w:marRight w:val="0"/>
                              <w:marTop w:val="0"/>
                              <w:marBottom w:val="0"/>
                              <w:divBdr>
                                <w:top w:val="none" w:sz="0" w:space="0" w:color="auto"/>
                                <w:left w:val="none" w:sz="0" w:space="0" w:color="auto"/>
                                <w:bottom w:val="none" w:sz="0" w:space="0" w:color="auto"/>
                                <w:right w:val="none" w:sz="0" w:space="0" w:color="auto"/>
                              </w:divBdr>
                              <w:divsChild>
                                <w:div w:id="174463415">
                                  <w:marLeft w:val="0"/>
                                  <w:marRight w:val="0"/>
                                  <w:marTop w:val="0"/>
                                  <w:marBottom w:val="0"/>
                                  <w:divBdr>
                                    <w:top w:val="none" w:sz="0" w:space="0" w:color="auto"/>
                                    <w:left w:val="none" w:sz="0" w:space="0" w:color="auto"/>
                                    <w:bottom w:val="none" w:sz="0" w:space="0" w:color="auto"/>
                                    <w:right w:val="none" w:sz="0" w:space="0" w:color="auto"/>
                                  </w:divBdr>
                                  <w:divsChild>
                                    <w:div w:id="9820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02353">
                          <w:marLeft w:val="0"/>
                          <w:marRight w:val="0"/>
                          <w:marTop w:val="0"/>
                          <w:marBottom w:val="0"/>
                          <w:divBdr>
                            <w:top w:val="none" w:sz="0" w:space="0" w:color="auto"/>
                            <w:left w:val="none" w:sz="0" w:space="0" w:color="auto"/>
                            <w:bottom w:val="none" w:sz="0" w:space="0" w:color="auto"/>
                            <w:right w:val="none" w:sz="0" w:space="0" w:color="auto"/>
                          </w:divBdr>
                          <w:divsChild>
                            <w:div w:id="1660494803">
                              <w:marLeft w:val="0"/>
                              <w:marRight w:val="0"/>
                              <w:marTop w:val="0"/>
                              <w:marBottom w:val="0"/>
                              <w:divBdr>
                                <w:top w:val="none" w:sz="0" w:space="0" w:color="auto"/>
                                <w:left w:val="none" w:sz="0" w:space="0" w:color="auto"/>
                                <w:bottom w:val="none" w:sz="0" w:space="0" w:color="auto"/>
                                <w:right w:val="none" w:sz="0" w:space="0" w:color="auto"/>
                              </w:divBdr>
                              <w:divsChild>
                                <w:div w:id="2123570397">
                                  <w:marLeft w:val="0"/>
                                  <w:marRight w:val="0"/>
                                  <w:marTop w:val="0"/>
                                  <w:marBottom w:val="0"/>
                                  <w:divBdr>
                                    <w:top w:val="none" w:sz="0" w:space="0" w:color="auto"/>
                                    <w:left w:val="none" w:sz="0" w:space="0" w:color="auto"/>
                                    <w:bottom w:val="none" w:sz="0" w:space="0" w:color="auto"/>
                                    <w:right w:val="none" w:sz="0" w:space="0" w:color="auto"/>
                                  </w:divBdr>
                                  <w:divsChild>
                                    <w:div w:id="19822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869793">
          <w:marLeft w:val="0"/>
          <w:marRight w:val="0"/>
          <w:marTop w:val="0"/>
          <w:marBottom w:val="0"/>
          <w:divBdr>
            <w:top w:val="none" w:sz="0" w:space="0" w:color="auto"/>
            <w:left w:val="none" w:sz="0" w:space="0" w:color="auto"/>
            <w:bottom w:val="none" w:sz="0" w:space="0" w:color="auto"/>
            <w:right w:val="none" w:sz="0" w:space="0" w:color="auto"/>
          </w:divBdr>
          <w:divsChild>
            <w:div w:id="1555656124">
              <w:marLeft w:val="0"/>
              <w:marRight w:val="0"/>
              <w:marTop w:val="0"/>
              <w:marBottom w:val="0"/>
              <w:divBdr>
                <w:top w:val="none" w:sz="0" w:space="0" w:color="auto"/>
                <w:left w:val="none" w:sz="0" w:space="0" w:color="auto"/>
                <w:bottom w:val="none" w:sz="0" w:space="0" w:color="auto"/>
                <w:right w:val="none" w:sz="0" w:space="0" w:color="auto"/>
              </w:divBdr>
              <w:divsChild>
                <w:div w:id="497232314">
                  <w:marLeft w:val="0"/>
                  <w:marRight w:val="0"/>
                  <w:marTop w:val="0"/>
                  <w:marBottom w:val="0"/>
                  <w:divBdr>
                    <w:top w:val="none" w:sz="0" w:space="0" w:color="auto"/>
                    <w:left w:val="none" w:sz="0" w:space="0" w:color="auto"/>
                    <w:bottom w:val="none" w:sz="0" w:space="0" w:color="auto"/>
                    <w:right w:val="none" w:sz="0" w:space="0" w:color="auto"/>
                  </w:divBdr>
                  <w:divsChild>
                    <w:div w:id="2023630484">
                      <w:marLeft w:val="0"/>
                      <w:marRight w:val="0"/>
                      <w:marTop w:val="0"/>
                      <w:marBottom w:val="0"/>
                      <w:divBdr>
                        <w:top w:val="none" w:sz="0" w:space="0" w:color="auto"/>
                        <w:left w:val="none" w:sz="0" w:space="0" w:color="auto"/>
                        <w:bottom w:val="none" w:sz="0" w:space="0" w:color="auto"/>
                        <w:right w:val="none" w:sz="0" w:space="0" w:color="auto"/>
                      </w:divBdr>
                      <w:divsChild>
                        <w:div w:id="170220804">
                          <w:marLeft w:val="0"/>
                          <w:marRight w:val="0"/>
                          <w:marTop w:val="0"/>
                          <w:marBottom w:val="0"/>
                          <w:divBdr>
                            <w:top w:val="none" w:sz="0" w:space="0" w:color="auto"/>
                            <w:left w:val="none" w:sz="0" w:space="0" w:color="auto"/>
                            <w:bottom w:val="none" w:sz="0" w:space="0" w:color="auto"/>
                            <w:right w:val="none" w:sz="0" w:space="0" w:color="auto"/>
                          </w:divBdr>
                          <w:divsChild>
                            <w:div w:id="1212034428">
                              <w:marLeft w:val="0"/>
                              <w:marRight w:val="0"/>
                              <w:marTop w:val="0"/>
                              <w:marBottom w:val="0"/>
                              <w:divBdr>
                                <w:top w:val="none" w:sz="0" w:space="0" w:color="auto"/>
                                <w:left w:val="none" w:sz="0" w:space="0" w:color="auto"/>
                                <w:bottom w:val="none" w:sz="0" w:space="0" w:color="auto"/>
                                <w:right w:val="none" w:sz="0" w:space="0" w:color="auto"/>
                              </w:divBdr>
                              <w:divsChild>
                                <w:div w:id="2093500853">
                                  <w:marLeft w:val="0"/>
                                  <w:marRight w:val="0"/>
                                  <w:marTop w:val="0"/>
                                  <w:marBottom w:val="0"/>
                                  <w:divBdr>
                                    <w:top w:val="none" w:sz="0" w:space="0" w:color="auto"/>
                                    <w:left w:val="none" w:sz="0" w:space="0" w:color="auto"/>
                                    <w:bottom w:val="none" w:sz="0" w:space="0" w:color="auto"/>
                                    <w:right w:val="none" w:sz="0" w:space="0" w:color="auto"/>
                                  </w:divBdr>
                                  <w:divsChild>
                                    <w:div w:id="11715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7743">
                          <w:marLeft w:val="0"/>
                          <w:marRight w:val="0"/>
                          <w:marTop w:val="0"/>
                          <w:marBottom w:val="0"/>
                          <w:divBdr>
                            <w:top w:val="none" w:sz="0" w:space="0" w:color="auto"/>
                            <w:left w:val="none" w:sz="0" w:space="0" w:color="auto"/>
                            <w:bottom w:val="none" w:sz="0" w:space="0" w:color="auto"/>
                            <w:right w:val="none" w:sz="0" w:space="0" w:color="auto"/>
                          </w:divBdr>
                          <w:divsChild>
                            <w:div w:id="1550799522">
                              <w:marLeft w:val="0"/>
                              <w:marRight w:val="0"/>
                              <w:marTop w:val="0"/>
                              <w:marBottom w:val="0"/>
                              <w:divBdr>
                                <w:top w:val="none" w:sz="0" w:space="0" w:color="auto"/>
                                <w:left w:val="none" w:sz="0" w:space="0" w:color="auto"/>
                                <w:bottom w:val="none" w:sz="0" w:space="0" w:color="auto"/>
                                <w:right w:val="none" w:sz="0" w:space="0" w:color="auto"/>
                              </w:divBdr>
                              <w:divsChild>
                                <w:div w:id="1384216276">
                                  <w:marLeft w:val="0"/>
                                  <w:marRight w:val="0"/>
                                  <w:marTop w:val="0"/>
                                  <w:marBottom w:val="0"/>
                                  <w:divBdr>
                                    <w:top w:val="none" w:sz="0" w:space="0" w:color="auto"/>
                                    <w:left w:val="none" w:sz="0" w:space="0" w:color="auto"/>
                                    <w:bottom w:val="none" w:sz="0" w:space="0" w:color="auto"/>
                                    <w:right w:val="none" w:sz="0" w:space="0" w:color="auto"/>
                                  </w:divBdr>
                                  <w:divsChild>
                                    <w:div w:id="8894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63150">
                          <w:marLeft w:val="0"/>
                          <w:marRight w:val="0"/>
                          <w:marTop w:val="0"/>
                          <w:marBottom w:val="0"/>
                          <w:divBdr>
                            <w:top w:val="none" w:sz="0" w:space="0" w:color="auto"/>
                            <w:left w:val="none" w:sz="0" w:space="0" w:color="auto"/>
                            <w:bottom w:val="none" w:sz="0" w:space="0" w:color="auto"/>
                            <w:right w:val="none" w:sz="0" w:space="0" w:color="auto"/>
                          </w:divBdr>
                          <w:divsChild>
                            <w:div w:id="51974213">
                              <w:marLeft w:val="0"/>
                              <w:marRight w:val="0"/>
                              <w:marTop w:val="0"/>
                              <w:marBottom w:val="0"/>
                              <w:divBdr>
                                <w:top w:val="none" w:sz="0" w:space="0" w:color="auto"/>
                                <w:left w:val="none" w:sz="0" w:space="0" w:color="auto"/>
                                <w:bottom w:val="none" w:sz="0" w:space="0" w:color="auto"/>
                                <w:right w:val="none" w:sz="0" w:space="0" w:color="auto"/>
                              </w:divBdr>
                              <w:divsChild>
                                <w:div w:id="133835225">
                                  <w:marLeft w:val="0"/>
                                  <w:marRight w:val="0"/>
                                  <w:marTop w:val="0"/>
                                  <w:marBottom w:val="0"/>
                                  <w:divBdr>
                                    <w:top w:val="none" w:sz="0" w:space="0" w:color="auto"/>
                                    <w:left w:val="none" w:sz="0" w:space="0" w:color="auto"/>
                                    <w:bottom w:val="none" w:sz="0" w:space="0" w:color="auto"/>
                                    <w:right w:val="none" w:sz="0" w:space="0" w:color="auto"/>
                                  </w:divBdr>
                                  <w:divsChild>
                                    <w:div w:id="182465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42987">
                          <w:marLeft w:val="0"/>
                          <w:marRight w:val="0"/>
                          <w:marTop w:val="0"/>
                          <w:marBottom w:val="0"/>
                          <w:divBdr>
                            <w:top w:val="none" w:sz="0" w:space="0" w:color="auto"/>
                            <w:left w:val="none" w:sz="0" w:space="0" w:color="auto"/>
                            <w:bottom w:val="none" w:sz="0" w:space="0" w:color="auto"/>
                            <w:right w:val="none" w:sz="0" w:space="0" w:color="auto"/>
                          </w:divBdr>
                          <w:divsChild>
                            <w:div w:id="1442914842">
                              <w:marLeft w:val="0"/>
                              <w:marRight w:val="0"/>
                              <w:marTop w:val="0"/>
                              <w:marBottom w:val="0"/>
                              <w:divBdr>
                                <w:top w:val="none" w:sz="0" w:space="0" w:color="auto"/>
                                <w:left w:val="none" w:sz="0" w:space="0" w:color="auto"/>
                                <w:bottom w:val="none" w:sz="0" w:space="0" w:color="auto"/>
                                <w:right w:val="none" w:sz="0" w:space="0" w:color="auto"/>
                              </w:divBdr>
                              <w:divsChild>
                                <w:div w:id="1932081375">
                                  <w:marLeft w:val="0"/>
                                  <w:marRight w:val="0"/>
                                  <w:marTop w:val="0"/>
                                  <w:marBottom w:val="0"/>
                                  <w:divBdr>
                                    <w:top w:val="none" w:sz="0" w:space="0" w:color="auto"/>
                                    <w:left w:val="none" w:sz="0" w:space="0" w:color="auto"/>
                                    <w:bottom w:val="none" w:sz="0" w:space="0" w:color="auto"/>
                                    <w:right w:val="none" w:sz="0" w:space="0" w:color="auto"/>
                                  </w:divBdr>
                                  <w:divsChild>
                                    <w:div w:id="211840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50151">
                          <w:marLeft w:val="0"/>
                          <w:marRight w:val="0"/>
                          <w:marTop w:val="0"/>
                          <w:marBottom w:val="0"/>
                          <w:divBdr>
                            <w:top w:val="none" w:sz="0" w:space="0" w:color="auto"/>
                            <w:left w:val="none" w:sz="0" w:space="0" w:color="auto"/>
                            <w:bottom w:val="none" w:sz="0" w:space="0" w:color="auto"/>
                            <w:right w:val="none" w:sz="0" w:space="0" w:color="auto"/>
                          </w:divBdr>
                          <w:divsChild>
                            <w:div w:id="516694434">
                              <w:marLeft w:val="0"/>
                              <w:marRight w:val="0"/>
                              <w:marTop w:val="0"/>
                              <w:marBottom w:val="0"/>
                              <w:divBdr>
                                <w:top w:val="none" w:sz="0" w:space="0" w:color="auto"/>
                                <w:left w:val="none" w:sz="0" w:space="0" w:color="auto"/>
                                <w:bottom w:val="none" w:sz="0" w:space="0" w:color="auto"/>
                                <w:right w:val="none" w:sz="0" w:space="0" w:color="auto"/>
                              </w:divBdr>
                              <w:divsChild>
                                <w:div w:id="1106803047">
                                  <w:marLeft w:val="0"/>
                                  <w:marRight w:val="0"/>
                                  <w:marTop w:val="0"/>
                                  <w:marBottom w:val="0"/>
                                  <w:divBdr>
                                    <w:top w:val="none" w:sz="0" w:space="0" w:color="auto"/>
                                    <w:left w:val="none" w:sz="0" w:space="0" w:color="auto"/>
                                    <w:bottom w:val="none" w:sz="0" w:space="0" w:color="auto"/>
                                    <w:right w:val="none" w:sz="0" w:space="0" w:color="auto"/>
                                  </w:divBdr>
                                  <w:divsChild>
                                    <w:div w:id="127166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185706">
          <w:marLeft w:val="0"/>
          <w:marRight w:val="0"/>
          <w:marTop w:val="0"/>
          <w:marBottom w:val="0"/>
          <w:divBdr>
            <w:top w:val="none" w:sz="0" w:space="0" w:color="auto"/>
            <w:left w:val="none" w:sz="0" w:space="0" w:color="auto"/>
            <w:bottom w:val="none" w:sz="0" w:space="0" w:color="auto"/>
            <w:right w:val="none" w:sz="0" w:space="0" w:color="auto"/>
          </w:divBdr>
          <w:divsChild>
            <w:div w:id="1959288608">
              <w:marLeft w:val="0"/>
              <w:marRight w:val="0"/>
              <w:marTop w:val="0"/>
              <w:marBottom w:val="0"/>
              <w:divBdr>
                <w:top w:val="none" w:sz="0" w:space="0" w:color="auto"/>
                <w:left w:val="none" w:sz="0" w:space="0" w:color="auto"/>
                <w:bottom w:val="none" w:sz="0" w:space="0" w:color="auto"/>
                <w:right w:val="none" w:sz="0" w:space="0" w:color="auto"/>
              </w:divBdr>
              <w:divsChild>
                <w:div w:id="669910026">
                  <w:marLeft w:val="0"/>
                  <w:marRight w:val="0"/>
                  <w:marTop w:val="0"/>
                  <w:marBottom w:val="0"/>
                  <w:divBdr>
                    <w:top w:val="none" w:sz="0" w:space="0" w:color="auto"/>
                    <w:left w:val="none" w:sz="0" w:space="0" w:color="auto"/>
                    <w:bottom w:val="none" w:sz="0" w:space="0" w:color="auto"/>
                    <w:right w:val="none" w:sz="0" w:space="0" w:color="auto"/>
                  </w:divBdr>
                  <w:divsChild>
                    <w:div w:id="440344009">
                      <w:marLeft w:val="0"/>
                      <w:marRight w:val="0"/>
                      <w:marTop w:val="0"/>
                      <w:marBottom w:val="0"/>
                      <w:divBdr>
                        <w:top w:val="none" w:sz="0" w:space="0" w:color="auto"/>
                        <w:left w:val="none" w:sz="0" w:space="0" w:color="auto"/>
                        <w:bottom w:val="none" w:sz="0" w:space="0" w:color="auto"/>
                        <w:right w:val="none" w:sz="0" w:space="0" w:color="auto"/>
                      </w:divBdr>
                      <w:divsChild>
                        <w:div w:id="349649979">
                          <w:marLeft w:val="0"/>
                          <w:marRight w:val="0"/>
                          <w:marTop w:val="0"/>
                          <w:marBottom w:val="0"/>
                          <w:divBdr>
                            <w:top w:val="none" w:sz="0" w:space="0" w:color="auto"/>
                            <w:left w:val="none" w:sz="0" w:space="0" w:color="auto"/>
                            <w:bottom w:val="none" w:sz="0" w:space="0" w:color="auto"/>
                            <w:right w:val="none" w:sz="0" w:space="0" w:color="auto"/>
                          </w:divBdr>
                          <w:divsChild>
                            <w:div w:id="1185361053">
                              <w:marLeft w:val="0"/>
                              <w:marRight w:val="0"/>
                              <w:marTop w:val="0"/>
                              <w:marBottom w:val="0"/>
                              <w:divBdr>
                                <w:top w:val="none" w:sz="0" w:space="0" w:color="auto"/>
                                <w:left w:val="none" w:sz="0" w:space="0" w:color="auto"/>
                                <w:bottom w:val="none" w:sz="0" w:space="0" w:color="auto"/>
                                <w:right w:val="none" w:sz="0" w:space="0" w:color="auto"/>
                              </w:divBdr>
                              <w:divsChild>
                                <w:div w:id="979961761">
                                  <w:marLeft w:val="0"/>
                                  <w:marRight w:val="0"/>
                                  <w:marTop w:val="0"/>
                                  <w:marBottom w:val="0"/>
                                  <w:divBdr>
                                    <w:top w:val="none" w:sz="0" w:space="0" w:color="auto"/>
                                    <w:left w:val="none" w:sz="0" w:space="0" w:color="auto"/>
                                    <w:bottom w:val="none" w:sz="0" w:space="0" w:color="auto"/>
                                    <w:right w:val="none" w:sz="0" w:space="0" w:color="auto"/>
                                  </w:divBdr>
                                  <w:divsChild>
                                    <w:div w:id="95128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96928">
                          <w:marLeft w:val="0"/>
                          <w:marRight w:val="0"/>
                          <w:marTop w:val="0"/>
                          <w:marBottom w:val="0"/>
                          <w:divBdr>
                            <w:top w:val="none" w:sz="0" w:space="0" w:color="auto"/>
                            <w:left w:val="none" w:sz="0" w:space="0" w:color="auto"/>
                            <w:bottom w:val="none" w:sz="0" w:space="0" w:color="auto"/>
                            <w:right w:val="none" w:sz="0" w:space="0" w:color="auto"/>
                          </w:divBdr>
                          <w:divsChild>
                            <w:div w:id="280262176">
                              <w:marLeft w:val="0"/>
                              <w:marRight w:val="0"/>
                              <w:marTop w:val="0"/>
                              <w:marBottom w:val="0"/>
                              <w:divBdr>
                                <w:top w:val="none" w:sz="0" w:space="0" w:color="auto"/>
                                <w:left w:val="none" w:sz="0" w:space="0" w:color="auto"/>
                                <w:bottom w:val="none" w:sz="0" w:space="0" w:color="auto"/>
                                <w:right w:val="none" w:sz="0" w:space="0" w:color="auto"/>
                              </w:divBdr>
                              <w:divsChild>
                                <w:div w:id="102192054">
                                  <w:marLeft w:val="0"/>
                                  <w:marRight w:val="0"/>
                                  <w:marTop w:val="0"/>
                                  <w:marBottom w:val="0"/>
                                  <w:divBdr>
                                    <w:top w:val="none" w:sz="0" w:space="0" w:color="auto"/>
                                    <w:left w:val="none" w:sz="0" w:space="0" w:color="auto"/>
                                    <w:bottom w:val="none" w:sz="0" w:space="0" w:color="auto"/>
                                    <w:right w:val="none" w:sz="0" w:space="0" w:color="auto"/>
                                  </w:divBdr>
                                  <w:divsChild>
                                    <w:div w:id="8074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65056">
                          <w:marLeft w:val="0"/>
                          <w:marRight w:val="0"/>
                          <w:marTop w:val="0"/>
                          <w:marBottom w:val="0"/>
                          <w:divBdr>
                            <w:top w:val="none" w:sz="0" w:space="0" w:color="auto"/>
                            <w:left w:val="none" w:sz="0" w:space="0" w:color="auto"/>
                            <w:bottom w:val="none" w:sz="0" w:space="0" w:color="auto"/>
                            <w:right w:val="none" w:sz="0" w:space="0" w:color="auto"/>
                          </w:divBdr>
                          <w:divsChild>
                            <w:div w:id="1791968297">
                              <w:marLeft w:val="0"/>
                              <w:marRight w:val="0"/>
                              <w:marTop w:val="0"/>
                              <w:marBottom w:val="0"/>
                              <w:divBdr>
                                <w:top w:val="none" w:sz="0" w:space="0" w:color="auto"/>
                                <w:left w:val="none" w:sz="0" w:space="0" w:color="auto"/>
                                <w:bottom w:val="none" w:sz="0" w:space="0" w:color="auto"/>
                                <w:right w:val="none" w:sz="0" w:space="0" w:color="auto"/>
                              </w:divBdr>
                              <w:divsChild>
                                <w:div w:id="1657614219">
                                  <w:marLeft w:val="0"/>
                                  <w:marRight w:val="0"/>
                                  <w:marTop w:val="0"/>
                                  <w:marBottom w:val="0"/>
                                  <w:divBdr>
                                    <w:top w:val="none" w:sz="0" w:space="0" w:color="auto"/>
                                    <w:left w:val="none" w:sz="0" w:space="0" w:color="auto"/>
                                    <w:bottom w:val="none" w:sz="0" w:space="0" w:color="auto"/>
                                    <w:right w:val="none" w:sz="0" w:space="0" w:color="auto"/>
                                  </w:divBdr>
                                  <w:divsChild>
                                    <w:div w:id="88233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49676">
                          <w:marLeft w:val="0"/>
                          <w:marRight w:val="0"/>
                          <w:marTop w:val="0"/>
                          <w:marBottom w:val="0"/>
                          <w:divBdr>
                            <w:top w:val="none" w:sz="0" w:space="0" w:color="auto"/>
                            <w:left w:val="none" w:sz="0" w:space="0" w:color="auto"/>
                            <w:bottom w:val="none" w:sz="0" w:space="0" w:color="auto"/>
                            <w:right w:val="none" w:sz="0" w:space="0" w:color="auto"/>
                          </w:divBdr>
                          <w:divsChild>
                            <w:div w:id="1824618848">
                              <w:marLeft w:val="0"/>
                              <w:marRight w:val="0"/>
                              <w:marTop w:val="0"/>
                              <w:marBottom w:val="0"/>
                              <w:divBdr>
                                <w:top w:val="none" w:sz="0" w:space="0" w:color="auto"/>
                                <w:left w:val="none" w:sz="0" w:space="0" w:color="auto"/>
                                <w:bottom w:val="none" w:sz="0" w:space="0" w:color="auto"/>
                                <w:right w:val="none" w:sz="0" w:space="0" w:color="auto"/>
                              </w:divBdr>
                              <w:divsChild>
                                <w:div w:id="1129514761">
                                  <w:marLeft w:val="0"/>
                                  <w:marRight w:val="0"/>
                                  <w:marTop w:val="0"/>
                                  <w:marBottom w:val="0"/>
                                  <w:divBdr>
                                    <w:top w:val="none" w:sz="0" w:space="0" w:color="auto"/>
                                    <w:left w:val="none" w:sz="0" w:space="0" w:color="auto"/>
                                    <w:bottom w:val="none" w:sz="0" w:space="0" w:color="auto"/>
                                    <w:right w:val="none" w:sz="0" w:space="0" w:color="auto"/>
                                  </w:divBdr>
                                  <w:divsChild>
                                    <w:div w:id="3681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703562">
          <w:marLeft w:val="0"/>
          <w:marRight w:val="0"/>
          <w:marTop w:val="0"/>
          <w:marBottom w:val="0"/>
          <w:divBdr>
            <w:top w:val="none" w:sz="0" w:space="0" w:color="auto"/>
            <w:left w:val="none" w:sz="0" w:space="0" w:color="auto"/>
            <w:bottom w:val="none" w:sz="0" w:space="0" w:color="auto"/>
            <w:right w:val="none" w:sz="0" w:space="0" w:color="auto"/>
          </w:divBdr>
          <w:divsChild>
            <w:div w:id="1791708635">
              <w:marLeft w:val="0"/>
              <w:marRight w:val="0"/>
              <w:marTop w:val="0"/>
              <w:marBottom w:val="0"/>
              <w:divBdr>
                <w:top w:val="none" w:sz="0" w:space="0" w:color="auto"/>
                <w:left w:val="none" w:sz="0" w:space="0" w:color="auto"/>
                <w:bottom w:val="none" w:sz="0" w:space="0" w:color="auto"/>
                <w:right w:val="none" w:sz="0" w:space="0" w:color="auto"/>
              </w:divBdr>
              <w:divsChild>
                <w:div w:id="1059742967">
                  <w:marLeft w:val="0"/>
                  <w:marRight w:val="0"/>
                  <w:marTop w:val="0"/>
                  <w:marBottom w:val="0"/>
                  <w:divBdr>
                    <w:top w:val="none" w:sz="0" w:space="0" w:color="auto"/>
                    <w:left w:val="none" w:sz="0" w:space="0" w:color="auto"/>
                    <w:bottom w:val="none" w:sz="0" w:space="0" w:color="auto"/>
                    <w:right w:val="none" w:sz="0" w:space="0" w:color="auto"/>
                  </w:divBdr>
                  <w:divsChild>
                    <w:div w:id="1437291387">
                      <w:marLeft w:val="0"/>
                      <w:marRight w:val="0"/>
                      <w:marTop w:val="0"/>
                      <w:marBottom w:val="0"/>
                      <w:divBdr>
                        <w:top w:val="none" w:sz="0" w:space="0" w:color="auto"/>
                        <w:left w:val="none" w:sz="0" w:space="0" w:color="auto"/>
                        <w:bottom w:val="none" w:sz="0" w:space="0" w:color="auto"/>
                        <w:right w:val="none" w:sz="0" w:space="0" w:color="auto"/>
                      </w:divBdr>
                      <w:divsChild>
                        <w:div w:id="102457139">
                          <w:marLeft w:val="0"/>
                          <w:marRight w:val="0"/>
                          <w:marTop w:val="0"/>
                          <w:marBottom w:val="0"/>
                          <w:divBdr>
                            <w:top w:val="none" w:sz="0" w:space="0" w:color="auto"/>
                            <w:left w:val="none" w:sz="0" w:space="0" w:color="auto"/>
                            <w:bottom w:val="none" w:sz="0" w:space="0" w:color="auto"/>
                            <w:right w:val="none" w:sz="0" w:space="0" w:color="auto"/>
                          </w:divBdr>
                          <w:divsChild>
                            <w:div w:id="448202939">
                              <w:marLeft w:val="0"/>
                              <w:marRight w:val="0"/>
                              <w:marTop w:val="0"/>
                              <w:marBottom w:val="0"/>
                              <w:divBdr>
                                <w:top w:val="none" w:sz="0" w:space="0" w:color="auto"/>
                                <w:left w:val="none" w:sz="0" w:space="0" w:color="auto"/>
                                <w:bottom w:val="none" w:sz="0" w:space="0" w:color="auto"/>
                                <w:right w:val="none" w:sz="0" w:space="0" w:color="auto"/>
                              </w:divBdr>
                              <w:divsChild>
                                <w:div w:id="1151097970">
                                  <w:marLeft w:val="0"/>
                                  <w:marRight w:val="0"/>
                                  <w:marTop w:val="0"/>
                                  <w:marBottom w:val="0"/>
                                  <w:divBdr>
                                    <w:top w:val="none" w:sz="0" w:space="0" w:color="auto"/>
                                    <w:left w:val="none" w:sz="0" w:space="0" w:color="auto"/>
                                    <w:bottom w:val="none" w:sz="0" w:space="0" w:color="auto"/>
                                    <w:right w:val="none" w:sz="0" w:space="0" w:color="auto"/>
                                  </w:divBdr>
                                  <w:divsChild>
                                    <w:div w:id="20444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90774">
                          <w:marLeft w:val="0"/>
                          <w:marRight w:val="0"/>
                          <w:marTop w:val="0"/>
                          <w:marBottom w:val="0"/>
                          <w:divBdr>
                            <w:top w:val="none" w:sz="0" w:space="0" w:color="auto"/>
                            <w:left w:val="none" w:sz="0" w:space="0" w:color="auto"/>
                            <w:bottom w:val="none" w:sz="0" w:space="0" w:color="auto"/>
                            <w:right w:val="none" w:sz="0" w:space="0" w:color="auto"/>
                          </w:divBdr>
                          <w:divsChild>
                            <w:div w:id="917901781">
                              <w:marLeft w:val="0"/>
                              <w:marRight w:val="0"/>
                              <w:marTop w:val="0"/>
                              <w:marBottom w:val="0"/>
                              <w:divBdr>
                                <w:top w:val="none" w:sz="0" w:space="0" w:color="auto"/>
                                <w:left w:val="none" w:sz="0" w:space="0" w:color="auto"/>
                                <w:bottom w:val="none" w:sz="0" w:space="0" w:color="auto"/>
                                <w:right w:val="none" w:sz="0" w:space="0" w:color="auto"/>
                              </w:divBdr>
                              <w:divsChild>
                                <w:div w:id="470514428">
                                  <w:marLeft w:val="0"/>
                                  <w:marRight w:val="0"/>
                                  <w:marTop w:val="0"/>
                                  <w:marBottom w:val="0"/>
                                  <w:divBdr>
                                    <w:top w:val="none" w:sz="0" w:space="0" w:color="auto"/>
                                    <w:left w:val="none" w:sz="0" w:space="0" w:color="auto"/>
                                    <w:bottom w:val="none" w:sz="0" w:space="0" w:color="auto"/>
                                    <w:right w:val="none" w:sz="0" w:space="0" w:color="auto"/>
                                  </w:divBdr>
                                  <w:divsChild>
                                    <w:div w:id="14530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86279">
                          <w:marLeft w:val="0"/>
                          <w:marRight w:val="0"/>
                          <w:marTop w:val="0"/>
                          <w:marBottom w:val="0"/>
                          <w:divBdr>
                            <w:top w:val="none" w:sz="0" w:space="0" w:color="auto"/>
                            <w:left w:val="none" w:sz="0" w:space="0" w:color="auto"/>
                            <w:bottom w:val="none" w:sz="0" w:space="0" w:color="auto"/>
                            <w:right w:val="none" w:sz="0" w:space="0" w:color="auto"/>
                          </w:divBdr>
                          <w:divsChild>
                            <w:div w:id="1096706264">
                              <w:marLeft w:val="0"/>
                              <w:marRight w:val="0"/>
                              <w:marTop w:val="0"/>
                              <w:marBottom w:val="0"/>
                              <w:divBdr>
                                <w:top w:val="none" w:sz="0" w:space="0" w:color="auto"/>
                                <w:left w:val="none" w:sz="0" w:space="0" w:color="auto"/>
                                <w:bottom w:val="none" w:sz="0" w:space="0" w:color="auto"/>
                                <w:right w:val="none" w:sz="0" w:space="0" w:color="auto"/>
                              </w:divBdr>
                              <w:divsChild>
                                <w:div w:id="1304847952">
                                  <w:marLeft w:val="0"/>
                                  <w:marRight w:val="0"/>
                                  <w:marTop w:val="0"/>
                                  <w:marBottom w:val="0"/>
                                  <w:divBdr>
                                    <w:top w:val="none" w:sz="0" w:space="0" w:color="auto"/>
                                    <w:left w:val="none" w:sz="0" w:space="0" w:color="auto"/>
                                    <w:bottom w:val="none" w:sz="0" w:space="0" w:color="auto"/>
                                    <w:right w:val="none" w:sz="0" w:space="0" w:color="auto"/>
                                  </w:divBdr>
                                  <w:divsChild>
                                    <w:div w:id="15132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17978">
                          <w:marLeft w:val="0"/>
                          <w:marRight w:val="0"/>
                          <w:marTop w:val="0"/>
                          <w:marBottom w:val="0"/>
                          <w:divBdr>
                            <w:top w:val="none" w:sz="0" w:space="0" w:color="auto"/>
                            <w:left w:val="none" w:sz="0" w:space="0" w:color="auto"/>
                            <w:bottom w:val="none" w:sz="0" w:space="0" w:color="auto"/>
                            <w:right w:val="none" w:sz="0" w:space="0" w:color="auto"/>
                          </w:divBdr>
                          <w:divsChild>
                            <w:div w:id="1903297542">
                              <w:marLeft w:val="0"/>
                              <w:marRight w:val="0"/>
                              <w:marTop w:val="0"/>
                              <w:marBottom w:val="0"/>
                              <w:divBdr>
                                <w:top w:val="none" w:sz="0" w:space="0" w:color="auto"/>
                                <w:left w:val="none" w:sz="0" w:space="0" w:color="auto"/>
                                <w:bottom w:val="none" w:sz="0" w:space="0" w:color="auto"/>
                                <w:right w:val="none" w:sz="0" w:space="0" w:color="auto"/>
                              </w:divBdr>
                              <w:divsChild>
                                <w:div w:id="670184051">
                                  <w:marLeft w:val="0"/>
                                  <w:marRight w:val="0"/>
                                  <w:marTop w:val="0"/>
                                  <w:marBottom w:val="0"/>
                                  <w:divBdr>
                                    <w:top w:val="none" w:sz="0" w:space="0" w:color="auto"/>
                                    <w:left w:val="none" w:sz="0" w:space="0" w:color="auto"/>
                                    <w:bottom w:val="none" w:sz="0" w:space="0" w:color="auto"/>
                                    <w:right w:val="none" w:sz="0" w:space="0" w:color="auto"/>
                                  </w:divBdr>
                                  <w:divsChild>
                                    <w:div w:id="114412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4716">
                          <w:marLeft w:val="0"/>
                          <w:marRight w:val="0"/>
                          <w:marTop w:val="0"/>
                          <w:marBottom w:val="0"/>
                          <w:divBdr>
                            <w:top w:val="none" w:sz="0" w:space="0" w:color="auto"/>
                            <w:left w:val="none" w:sz="0" w:space="0" w:color="auto"/>
                            <w:bottom w:val="none" w:sz="0" w:space="0" w:color="auto"/>
                            <w:right w:val="none" w:sz="0" w:space="0" w:color="auto"/>
                          </w:divBdr>
                          <w:divsChild>
                            <w:div w:id="1168331271">
                              <w:marLeft w:val="0"/>
                              <w:marRight w:val="0"/>
                              <w:marTop w:val="0"/>
                              <w:marBottom w:val="0"/>
                              <w:divBdr>
                                <w:top w:val="none" w:sz="0" w:space="0" w:color="auto"/>
                                <w:left w:val="none" w:sz="0" w:space="0" w:color="auto"/>
                                <w:bottom w:val="none" w:sz="0" w:space="0" w:color="auto"/>
                                <w:right w:val="none" w:sz="0" w:space="0" w:color="auto"/>
                              </w:divBdr>
                              <w:divsChild>
                                <w:div w:id="1429736190">
                                  <w:marLeft w:val="0"/>
                                  <w:marRight w:val="0"/>
                                  <w:marTop w:val="0"/>
                                  <w:marBottom w:val="0"/>
                                  <w:divBdr>
                                    <w:top w:val="none" w:sz="0" w:space="0" w:color="auto"/>
                                    <w:left w:val="none" w:sz="0" w:space="0" w:color="auto"/>
                                    <w:bottom w:val="none" w:sz="0" w:space="0" w:color="auto"/>
                                    <w:right w:val="none" w:sz="0" w:space="0" w:color="auto"/>
                                  </w:divBdr>
                                  <w:divsChild>
                                    <w:div w:id="15714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883226">
          <w:marLeft w:val="0"/>
          <w:marRight w:val="0"/>
          <w:marTop w:val="0"/>
          <w:marBottom w:val="0"/>
          <w:divBdr>
            <w:top w:val="none" w:sz="0" w:space="0" w:color="auto"/>
            <w:left w:val="none" w:sz="0" w:space="0" w:color="auto"/>
            <w:bottom w:val="none" w:sz="0" w:space="0" w:color="auto"/>
            <w:right w:val="none" w:sz="0" w:space="0" w:color="auto"/>
          </w:divBdr>
          <w:divsChild>
            <w:div w:id="1463497140">
              <w:marLeft w:val="0"/>
              <w:marRight w:val="0"/>
              <w:marTop w:val="0"/>
              <w:marBottom w:val="0"/>
              <w:divBdr>
                <w:top w:val="none" w:sz="0" w:space="0" w:color="auto"/>
                <w:left w:val="none" w:sz="0" w:space="0" w:color="auto"/>
                <w:bottom w:val="none" w:sz="0" w:space="0" w:color="auto"/>
                <w:right w:val="none" w:sz="0" w:space="0" w:color="auto"/>
              </w:divBdr>
              <w:divsChild>
                <w:div w:id="1690135281">
                  <w:marLeft w:val="0"/>
                  <w:marRight w:val="0"/>
                  <w:marTop w:val="0"/>
                  <w:marBottom w:val="0"/>
                  <w:divBdr>
                    <w:top w:val="none" w:sz="0" w:space="0" w:color="auto"/>
                    <w:left w:val="none" w:sz="0" w:space="0" w:color="auto"/>
                    <w:bottom w:val="none" w:sz="0" w:space="0" w:color="auto"/>
                    <w:right w:val="none" w:sz="0" w:space="0" w:color="auto"/>
                  </w:divBdr>
                  <w:divsChild>
                    <w:div w:id="969896273">
                      <w:marLeft w:val="0"/>
                      <w:marRight w:val="0"/>
                      <w:marTop w:val="0"/>
                      <w:marBottom w:val="0"/>
                      <w:divBdr>
                        <w:top w:val="none" w:sz="0" w:space="0" w:color="auto"/>
                        <w:left w:val="none" w:sz="0" w:space="0" w:color="auto"/>
                        <w:bottom w:val="none" w:sz="0" w:space="0" w:color="auto"/>
                        <w:right w:val="none" w:sz="0" w:space="0" w:color="auto"/>
                      </w:divBdr>
                      <w:divsChild>
                        <w:div w:id="266623813">
                          <w:marLeft w:val="0"/>
                          <w:marRight w:val="0"/>
                          <w:marTop w:val="0"/>
                          <w:marBottom w:val="0"/>
                          <w:divBdr>
                            <w:top w:val="none" w:sz="0" w:space="0" w:color="auto"/>
                            <w:left w:val="none" w:sz="0" w:space="0" w:color="auto"/>
                            <w:bottom w:val="none" w:sz="0" w:space="0" w:color="auto"/>
                            <w:right w:val="none" w:sz="0" w:space="0" w:color="auto"/>
                          </w:divBdr>
                          <w:divsChild>
                            <w:div w:id="1248003620">
                              <w:marLeft w:val="0"/>
                              <w:marRight w:val="0"/>
                              <w:marTop w:val="0"/>
                              <w:marBottom w:val="0"/>
                              <w:divBdr>
                                <w:top w:val="none" w:sz="0" w:space="0" w:color="auto"/>
                                <w:left w:val="none" w:sz="0" w:space="0" w:color="auto"/>
                                <w:bottom w:val="none" w:sz="0" w:space="0" w:color="auto"/>
                                <w:right w:val="none" w:sz="0" w:space="0" w:color="auto"/>
                              </w:divBdr>
                              <w:divsChild>
                                <w:div w:id="1732341339">
                                  <w:marLeft w:val="0"/>
                                  <w:marRight w:val="0"/>
                                  <w:marTop w:val="0"/>
                                  <w:marBottom w:val="0"/>
                                  <w:divBdr>
                                    <w:top w:val="none" w:sz="0" w:space="0" w:color="auto"/>
                                    <w:left w:val="none" w:sz="0" w:space="0" w:color="auto"/>
                                    <w:bottom w:val="none" w:sz="0" w:space="0" w:color="auto"/>
                                    <w:right w:val="none" w:sz="0" w:space="0" w:color="auto"/>
                                  </w:divBdr>
                                  <w:divsChild>
                                    <w:div w:id="183510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48716">
                          <w:marLeft w:val="0"/>
                          <w:marRight w:val="0"/>
                          <w:marTop w:val="0"/>
                          <w:marBottom w:val="0"/>
                          <w:divBdr>
                            <w:top w:val="none" w:sz="0" w:space="0" w:color="auto"/>
                            <w:left w:val="none" w:sz="0" w:space="0" w:color="auto"/>
                            <w:bottom w:val="none" w:sz="0" w:space="0" w:color="auto"/>
                            <w:right w:val="none" w:sz="0" w:space="0" w:color="auto"/>
                          </w:divBdr>
                          <w:divsChild>
                            <w:div w:id="1043096614">
                              <w:marLeft w:val="0"/>
                              <w:marRight w:val="0"/>
                              <w:marTop w:val="0"/>
                              <w:marBottom w:val="0"/>
                              <w:divBdr>
                                <w:top w:val="none" w:sz="0" w:space="0" w:color="auto"/>
                                <w:left w:val="none" w:sz="0" w:space="0" w:color="auto"/>
                                <w:bottom w:val="none" w:sz="0" w:space="0" w:color="auto"/>
                                <w:right w:val="none" w:sz="0" w:space="0" w:color="auto"/>
                              </w:divBdr>
                              <w:divsChild>
                                <w:div w:id="999314129">
                                  <w:marLeft w:val="0"/>
                                  <w:marRight w:val="0"/>
                                  <w:marTop w:val="0"/>
                                  <w:marBottom w:val="0"/>
                                  <w:divBdr>
                                    <w:top w:val="none" w:sz="0" w:space="0" w:color="auto"/>
                                    <w:left w:val="none" w:sz="0" w:space="0" w:color="auto"/>
                                    <w:bottom w:val="none" w:sz="0" w:space="0" w:color="auto"/>
                                    <w:right w:val="none" w:sz="0" w:space="0" w:color="auto"/>
                                  </w:divBdr>
                                  <w:divsChild>
                                    <w:div w:id="139913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14797">
                          <w:marLeft w:val="0"/>
                          <w:marRight w:val="0"/>
                          <w:marTop w:val="0"/>
                          <w:marBottom w:val="0"/>
                          <w:divBdr>
                            <w:top w:val="none" w:sz="0" w:space="0" w:color="auto"/>
                            <w:left w:val="none" w:sz="0" w:space="0" w:color="auto"/>
                            <w:bottom w:val="none" w:sz="0" w:space="0" w:color="auto"/>
                            <w:right w:val="none" w:sz="0" w:space="0" w:color="auto"/>
                          </w:divBdr>
                          <w:divsChild>
                            <w:div w:id="2084175967">
                              <w:marLeft w:val="0"/>
                              <w:marRight w:val="0"/>
                              <w:marTop w:val="0"/>
                              <w:marBottom w:val="0"/>
                              <w:divBdr>
                                <w:top w:val="none" w:sz="0" w:space="0" w:color="auto"/>
                                <w:left w:val="none" w:sz="0" w:space="0" w:color="auto"/>
                                <w:bottom w:val="none" w:sz="0" w:space="0" w:color="auto"/>
                                <w:right w:val="none" w:sz="0" w:space="0" w:color="auto"/>
                              </w:divBdr>
                              <w:divsChild>
                                <w:div w:id="470638278">
                                  <w:marLeft w:val="0"/>
                                  <w:marRight w:val="0"/>
                                  <w:marTop w:val="0"/>
                                  <w:marBottom w:val="0"/>
                                  <w:divBdr>
                                    <w:top w:val="none" w:sz="0" w:space="0" w:color="auto"/>
                                    <w:left w:val="none" w:sz="0" w:space="0" w:color="auto"/>
                                    <w:bottom w:val="none" w:sz="0" w:space="0" w:color="auto"/>
                                    <w:right w:val="none" w:sz="0" w:space="0" w:color="auto"/>
                                  </w:divBdr>
                                  <w:divsChild>
                                    <w:div w:id="20255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83544">
                          <w:marLeft w:val="0"/>
                          <w:marRight w:val="0"/>
                          <w:marTop w:val="0"/>
                          <w:marBottom w:val="0"/>
                          <w:divBdr>
                            <w:top w:val="none" w:sz="0" w:space="0" w:color="auto"/>
                            <w:left w:val="none" w:sz="0" w:space="0" w:color="auto"/>
                            <w:bottom w:val="none" w:sz="0" w:space="0" w:color="auto"/>
                            <w:right w:val="none" w:sz="0" w:space="0" w:color="auto"/>
                          </w:divBdr>
                          <w:divsChild>
                            <w:div w:id="711612137">
                              <w:marLeft w:val="0"/>
                              <w:marRight w:val="0"/>
                              <w:marTop w:val="0"/>
                              <w:marBottom w:val="0"/>
                              <w:divBdr>
                                <w:top w:val="none" w:sz="0" w:space="0" w:color="auto"/>
                                <w:left w:val="none" w:sz="0" w:space="0" w:color="auto"/>
                                <w:bottom w:val="none" w:sz="0" w:space="0" w:color="auto"/>
                                <w:right w:val="none" w:sz="0" w:space="0" w:color="auto"/>
                              </w:divBdr>
                              <w:divsChild>
                                <w:div w:id="2064936558">
                                  <w:marLeft w:val="0"/>
                                  <w:marRight w:val="0"/>
                                  <w:marTop w:val="0"/>
                                  <w:marBottom w:val="0"/>
                                  <w:divBdr>
                                    <w:top w:val="none" w:sz="0" w:space="0" w:color="auto"/>
                                    <w:left w:val="none" w:sz="0" w:space="0" w:color="auto"/>
                                    <w:bottom w:val="none" w:sz="0" w:space="0" w:color="auto"/>
                                    <w:right w:val="none" w:sz="0" w:space="0" w:color="auto"/>
                                  </w:divBdr>
                                  <w:divsChild>
                                    <w:div w:id="25706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10125">
                          <w:marLeft w:val="0"/>
                          <w:marRight w:val="0"/>
                          <w:marTop w:val="0"/>
                          <w:marBottom w:val="0"/>
                          <w:divBdr>
                            <w:top w:val="none" w:sz="0" w:space="0" w:color="auto"/>
                            <w:left w:val="none" w:sz="0" w:space="0" w:color="auto"/>
                            <w:bottom w:val="none" w:sz="0" w:space="0" w:color="auto"/>
                            <w:right w:val="none" w:sz="0" w:space="0" w:color="auto"/>
                          </w:divBdr>
                          <w:divsChild>
                            <w:div w:id="58528742">
                              <w:marLeft w:val="0"/>
                              <w:marRight w:val="0"/>
                              <w:marTop w:val="0"/>
                              <w:marBottom w:val="0"/>
                              <w:divBdr>
                                <w:top w:val="none" w:sz="0" w:space="0" w:color="auto"/>
                                <w:left w:val="none" w:sz="0" w:space="0" w:color="auto"/>
                                <w:bottom w:val="none" w:sz="0" w:space="0" w:color="auto"/>
                                <w:right w:val="none" w:sz="0" w:space="0" w:color="auto"/>
                              </w:divBdr>
                              <w:divsChild>
                                <w:div w:id="752897416">
                                  <w:marLeft w:val="0"/>
                                  <w:marRight w:val="0"/>
                                  <w:marTop w:val="0"/>
                                  <w:marBottom w:val="0"/>
                                  <w:divBdr>
                                    <w:top w:val="none" w:sz="0" w:space="0" w:color="auto"/>
                                    <w:left w:val="none" w:sz="0" w:space="0" w:color="auto"/>
                                    <w:bottom w:val="none" w:sz="0" w:space="0" w:color="auto"/>
                                    <w:right w:val="none" w:sz="0" w:space="0" w:color="auto"/>
                                  </w:divBdr>
                                  <w:divsChild>
                                    <w:div w:id="11268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048976">
          <w:marLeft w:val="0"/>
          <w:marRight w:val="0"/>
          <w:marTop w:val="0"/>
          <w:marBottom w:val="0"/>
          <w:divBdr>
            <w:top w:val="none" w:sz="0" w:space="0" w:color="auto"/>
            <w:left w:val="none" w:sz="0" w:space="0" w:color="auto"/>
            <w:bottom w:val="none" w:sz="0" w:space="0" w:color="auto"/>
            <w:right w:val="none" w:sz="0" w:space="0" w:color="auto"/>
          </w:divBdr>
          <w:divsChild>
            <w:div w:id="1966766171">
              <w:marLeft w:val="0"/>
              <w:marRight w:val="0"/>
              <w:marTop w:val="0"/>
              <w:marBottom w:val="0"/>
              <w:divBdr>
                <w:top w:val="none" w:sz="0" w:space="0" w:color="auto"/>
                <w:left w:val="none" w:sz="0" w:space="0" w:color="auto"/>
                <w:bottom w:val="none" w:sz="0" w:space="0" w:color="auto"/>
                <w:right w:val="none" w:sz="0" w:space="0" w:color="auto"/>
              </w:divBdr>
              <w:divsChild>
                <w:div w:id="1004675050">
                  <w:marLeft w:val="0"/>
                  <w:marRight w:val="0"/>
                  <w:marTop w:val="0"/>
                  <w:marBottom w:val="0"/>
                  <w:divBdr>
                    <w:top w:val="none" w:sz="0" w:space="0" w:color="auto"/>
                    <w:left w:val="none" w:sz="0" w:space="0" w:color="auto"/>
                    <w:bottom w:val="none" w:sz="0" w:space="0" w:color="auto"/>
                    <w:right w:val="none" w:sz="0" w:space="0" w:color="auto"/>
                  </w:divBdr>
                  <w:divsChild>
                    <w:div w:id="858857255">
                      <w:marLeft w:val="0"/>
                      <w:marRight w:val="0"/>
                      <w:marTop w:val="0"/>
                      <w:marBottom w:val="0"/>
                      <w:divBdr>
                        <w:top w:val="none" w:sz="0" w:space="0" w:color="auto"/>
                        <w:left w:val="none" w:sz="0" w:space="0" w:color="auto"/>
                        <w:bottom w:val="none" w:sz="0" w:space="0" w:color="auto"/>
                        <w:right w:val="none" w:sz="0" w:space="0" w:color="auto"/>
                      </w:divBdr>
                      <w:divsChild>
                        <w:div w:id="38015776">
                          <w:marLeft w:val="0"/>
                          <w:marRight w:val="0"/>
                          <w:marTop w:val="0"/>
                          <w:marBottom w:val="0"/>
                          <w:divBdr>
                            <w:top w:val="none" w:sz="0" w:space="0" w:color="auto"/>
                            <w:left w:val="none" w:sz="0" w:space="0" w:color="auto"/>
                            <w:bottom w:val="none" w:sz="0" w:space="0" w:color="auto"/>
                            <w:right w:val="none" w:sz="0" w:space="0" w:color="auto"/>
                          </w:divBdr>
                          <w:divsChild>
                            <w:div w:id="1921940375">
                              <w:marLeft w:val="0"/>
                              <w:marRight w:val="0"/>
                              <w:marTop w:val="0"/>
                              <w:marBottom w:val="0"/>
                              <w:divBdr>
                                <w:top w:val="none" w:sz="0" w:space="0" w:color="auto"/>
                                <w:left w:val="none" w:sz="0" w:space="0" w:color="auto"/>
                                <w:bottom w:val="none" w:sz="0" w:space="0" w:color="auto"/>
                                <w:right w:val="none" w:sz="0" w:space="0" w:color="auto"/>
                              </w:divBdr>
                              <w:divsChild>
                                <w:div w:id="1450706460">
                                  <w:marLeft w:val="0"/>
                                  <w:marRight w:val="0"/>
                                  <w:marTop w:val="0"/>
                                  <w:marBottom w:val="0"/>
                                  <w:divBdr>
                                    <w:top w:val="none" w:sz="0" w:space="0" w:color="auto"/>
                                    <w:left w:val="none" w:sz="0" w:space="0" w:color="auto"/>
                                    <w:bottom w:val="none" w:sz="0" w:space="0" w:color="auto"/>
                                    <w:right w:val="none" w:sz="0" w:space="0" w:color="auto"/>
                                  </w:divBdr>
                                  <w:divsChild>
                                    <w:div w:id="76160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9975">
                          <w:marLeft w:val="0"/>
                          <w:marRight w:val="0"/>
                          <w:marTop w:val="0"/>
                          <w:marBottom w:val="0"/>
                          <w:divBdr>
                            <w:top w:val="none" w:sz="0" w:space="0" w:color="auto"/>
                            <w:left w:val="none" w:sz="0" w:space="0" w:color="auto"/>
                            <w:bottom w:val="none" w:sz="0" w:space="0" w:color="auto"/>
                            <w:right w:val="none" w:sz="0" w:space="0" w:color="auto"/>
                          </w:divBdr>
                          <w:divsChild>
                            <w:div w:id="815340392">
                              <w:marLeft w:val="0"/>
                              <w:marRight w:val="0"/>
                              <w:marTop w:val="0"/>
                              <w:marBottom w:val="0"/>
                              <w:divBdr>
                                <w:top w:val="none" w:sz="0" w:space="0" w:color="auto"/>
                                <w:left w:val="none" w:sz="0" w:space="0" w:color="auto"/>
                                <w:bottom w:val="none" w:sz="0" w:space="0" w:color="auto"/>
                                <w:right w:val="none" w:sz="0" w:space="0" w:color="auto"/>
                              </w:divBdr>
                              <w:divsChild>
                                <w:div w:id="1622877114">
                                  <w:marLeft w:val="0"/>
                                  <w:marRight w:val="0"/>
                                  <w:marTop w:val="0"/>
                                  <w:marBottom w:val="0"/>
                                  <w:divBdr>
                                    <w:top w:val="none" w:sz="0" w:space="0" w:color="auto"/>
                                    <w:left w:val="none" w:sz="0" w:space="0" w:color="auto"/>
                                    <w:bottom w:val="none" w:sz="0" w:space="0" w:color="auto"/>
                                    <w:right w:val="none" w:sz="0" w:space="0" w:color="auto"/>
                                  </w:divBdr>
                                  <w:divsChild>
                                    <w:div w:id="77386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0978">
                          <w:marLeft w:val="0"/>
                          <w:marRight w:val="0"/>
                          <w:marTop w:val="0"/>
                          <w:marBottom w:val="0"/>
                          <w:divBdr>
                            <w:top w:val="none" w:sz="0" w:space="0" w:color="auto"/>
                            <w:left w:val="none" w:sz="0" w:space="0" w:color="auto"/>
                            <w:bottom w:val="none" w:sz="0" w:space="0" w:color="auto"/>
                            <w:right w:val="none" w:sz="0" w:space="0" w:color="auto"/>
                          </w:divBdr>
                          <w:divsChild>
                            <w:div w:id="52195643">
                              <w:marLeft w:val="0"/>
                              <w:marRight w:val="0"/>
                              <w:marTop w:val="0"/>
                              <w:marBottom w:val="0"/>
                              <w:divBdr>
                                <w:top w:val="none" w:sz="0" w:space="0" w:color="auto"/>
                                <w:left w:val="none" w:sz="0" w:space="0" w:color="auto"/>
                                <w:bottom w:val="none" w:sz="0" w:space="0" w:color="auto"/>
                                <w:right w:val="none" w:sz="0" w:space="0" w:color="auto"/>
                              </w:divBdr>
                              <w:divsChild>
                                <w:div w:id="1060130668">
                                  <w:marLeft w:val="0"/>
                                  <w:marRight w:val="0"/>
                                  <w:marTop w:val="0"/>
                                  <w:marBottom w:val="0"/>
                                  <w:divBdr>
                                    <w:top w:val="none" w:sz="0" w:space="0" w:color="auto"/>
                                    <w:left w:val="none" w:sz="0" w:space="0" w:color="auto"/>
                                    <w:bottom w:val="none" w:sz="0" w:space="0" w:color="auto"/>
                                    <w:right w:val="none" w:sz="0" w:space="0" w:color="auto"/>
                                  </w:divBdr>
                                  <w:divsChild>
                                    <w:div w:id="10873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42149">
                          <w:marLeft w:val="0"/>
                          <w:marRight w:val="0"/>
                          <w:marTop w:val="0"/>
                          <w:marBottom w:val="0"/>
                          <w:divBdr>
                            <w:top w:val="none" w:sz="0" w:space="0" w:color="auto"/>
                            <w:left w:val="none" w:sz="0" w:space="0" w:color="auto"/>
                            <w:bottom w:val="none" w:sz="0" w:space="0" w:color="auto"/>
                            <w:right w:val="none" w:sz="0" w:space="0" w:color="auto"/>
                          </w:divBdr>
                          <w:divsChild>
                            <w:div w:id="439841060">
                              <w:marLeft w:val="0"/>
                              <w:marRight w:val="0"/>
                              <w:marTop w:val="0"/>
                              <w:marBottom w:val="0"/>
                              <w:divBdr>
                                <w:top w:val="none" w:sz="0" w:space="0" w:color="auto"/>
                                <w:left w:val="none" w:sz="0" w:space="0" w:color="auto"/>
                                <w:bottom w:val="none" w:sz="0" w:space="0" w:color="auto"/>
                                <w:right w:val="none" w:sz="0" w:space="0" w:color="auto"/>
                              </w:divBdr>
                              <w:divsChild>
                                <w:div w:id="1499731820">
                                  <w:marLeft w:val="0"/>
                                  <w:marRight w:val="0"/>
                                  <w:marTop w:val="0"/>
                                  <w:marBottom w:val="0"/>
                                  <w:divBdr>
                                    <w:top w:val="none" w:sz="0" w:space="0" w:color="auto"/>
                                    <w:left w:val="none" w:sz="0" w:space="0" w:color="auto"/>
                                    <w:bottom w:val="none" w:sz="0" w:space="0" w:color="auto"/>
                                    <w:right w:val="none" w:sz="0" w:space="0" w:color="auto"/>
                                  </w:divBdr>
                                  <w:divsChild>
                                    <w:div w:id="151646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14921">
                          <w:marLeft w:val="0"/>
                          <w:marRight w:val="0"/>
                          <w:marTop w:val="0"/>
                          <w:marBottom w:val="0"/>
                          <w:divBdr>
                            <w:top w:val="none" w:sz="0" w:space="0" w:color="auto"/>
                            <w:left w:val="none" w:sz="0" w:space="0" w:color="auto"/>
                            <w:bottom w:val="none" w:sz="0" w:space="0" w:color="auto"/>
                            <w:right w:val="none" w:sz="0" w:space="0" w:color="auto"/>
                          </w:divBdr>
                          <w:divsChild>
                            <w:div w:id="330106702">
                              <w:marLeft w:val="0"/>
                              <w:marRight w:val="0"/>
                              <w:marTop w:val="0"/>
                              <w:marBottom w:val="0"/>
                              <w:divBdr>
                                <w:top w:val="none" w:sz="0" w:space="0" w:color="auto"/>
                                <w:left w:val="none" w:sz="0" w:space="0" w:color="auto"/>
                                <w:bottom w:val="none" w:sz="0" w:space="0" w:color="auto"/>
                                <w:right w:val="none" w:sz="0" w:space="0" w:color="auto"/>
                              </w:divBdr>
                              <w:divsChild>
                                <w:div w:id="46150620">
                                  <w:marLeft w:val="0"/>
                                  <w:marRight w:val="0"/>
                                  <w:marTop w:val="0"/>
                                  <w:marBottom w:val="0"/>
                                  <w:divBdr>
                                    <w:top w:val="none" w:sz="0" w:space="0" w:color="auto"/>
                                    <w:left w:val="none" w:sz="0" w:space="0" w:color="auto"/>
                                    <w:bottom w:val="none" w:sz="0" w:space="0" w:color="auto"/>
                                    <w:right w:val="none" w:sz="0" w:space="0" w:color="auto"/>
                                  </w:divBdr>
                                  <w:divsChild>
                                    <w:div w:id="683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590666">
          <w:marLeft w:val="0"/>
          <w:marRight w:val="0"/>
          <w:marTop w:val="0"/>
          <w:marBottom w:val="0"/>
          <w:divBdr>
            <w:top w:val="none" w:sz="0" w:space="0" w:color="auto"/>
            <w:left w:val="none" w:sz="0" w:space="0" w:color="auto"/>
            <w:bottom w:val="none" w:sz="0" w:space="0" w:color="auto"/>
            <w:right w:val="none" w:sz="0" w:space="0" w:color="auto"/>
          </w:divBdr>
          <w:divsChild>
            <w:div w:id="760292978">
              <w:marLeft w:val="0"/>
              <w:marRight w:val="0"/>
              <w:marTop w:val="0"/>
              <w:marBottom w:val="0"/>
              <w:divBdr>
                <w:top w:val="none" w:sz="0" w:space="0" w:color="auto"/>
                <w:left w:val="none" w:sz="0" w:space="0" w:color="auto"/>
                <w:bottom w:val="none" w:sz="0" w:space="0" w:color="auto"/>
                <w:right w:val="none" w:sz="0" w:space="0" w:color="auto"/>
              </w:divBdr>
              <w:divsChild>
                <w:div w:id="811214174">
                  <w:marLeft w:val="0"/>
                  <w:marRight w:val="0"/>
                  <w:marTop w:val="0"/>
                  <w:marBottom w:val="0"/>
                  <w:divBdr>
                    <w:top w:val="none" w:sz="0" w:space="0" w:color="auto"/>
                    <w:left w:val="none" w:sz="0" w:space="0" w:color="auto"/>
                    <w:bottom w:val="none" w:sz="0" w:space="0" w:color="auto"/>
                    <w:right w:val="none" w:sz="0" w:space="0" w:color="auto"/>
                  </w:divBdr>
                  <w:divsChild>
                    <w:div w:id="1139151007">
                      <w:marLeft w:val="0"/>
                      <w:marRight w:val="0"/>
                      <w:marTop w:val="0"/>
                      <w:marBottom w:val="0"/>
                      <w:divBdr>
                        <w:top w:val="none" w:sz="0" w:space="0" w:color="auto"/>
                        <w:left w:val="none" w:sz="0" w:space="0" w:color="auto"/>
                        <w:bottom w:val="none" w:sz="0" w:space="0" w:color="auto"/>
                        <w:right w:val="none" w:sz="0" w:space="0" w:color="auto"/>
                      </w:divBdr>
                      <w:divsChild>
                        <w:div w:id="285432349">
                          <w:marLeft w:val="0"/>
                          <w:marRight w:val="0"/>
                          <w:marTop w:val="0"/>
                          <w:marBottom w:val="0"/>
                          <w:divBdr>
                            <w:top w:val="none" w:sz="0" w:space="0" w:color="auto"/>
                            <w:left w:val="none" w:sz="0" w:space="0" w:color="auto"/>
                            <w:bottom w:val="none" w:sz="0" w:space="0" w:color="auto"/>
                            <w:right w:val="none" w:sz="0" w:space="0" w:color="auto"/>
                          </w:divBdr>
                          <w:divsChild>
                            <w:div w:id="1428236164">
                              <w:marLeft w:val="0"/>
                              <w:marRight w:val="0"/>
                              <w:marTop w:val="0"/>
                              <w:marBottom w:val="0"/>
                              <w:divBdr>
                                <w:top w:val="none" w:sz="0" w:space="0" w:color="auto"/>
                                <w:left w:val="none" w:sz="0" w:space="0" w:color="auto"/>
                                <w:bottom w:val="none" w:sz="0" w:space="0" w:color="auto"/>
                                <w:right w:val="none" w:sz="0" w:space="0" w:color="auto"/>
                              </w:divBdr>
                              <w:divsChild>
                                <w:div w:id="1085153741">
                                  <w:marLeft w:val="0"/>
                                  <w:marRight w:val="0"/>
                                  <w:marTop w:val="0"/>
                                  <w:marBottom w:val="0"/>
                                  <w:divBdr>
                                    <w:top w:val="none" w:sz="0" w:space="0" w:color="auto"/>
                                    <w:left w:val="none" w:sz="0" w:space="0" w:color="auto"/>
                                    <w:bottom w:val="none" w:sz="0" w:space="0" w:color="auto"/>
                                    <w:right w:val="none" w:sz="0" w:space="0" w:color="auto"/>
                                  </w:divBdr>
                                  <w:divsChild>
                                    <w:div w:id="133510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21747">
                          <w:marLeft w:val="0"/>
                          <w:marRight w:val="0"/>
                          <w:marTop w:val="0"/>
                          <w:marBottom w:val="0"/>
                          <w:divBdr>
                            <w:top w:val="none" w:sz="0" w:space="0" w:color="auto"/>
                            <w:left w:val="none" w:sz="0" w:space="0" w:color="auto"/>
                            <w:bottom w:val="none" w:sz="0" w:space="0" w:color="auto"/>
                            <w:right w:val="none" w:sz="0" w:space="0" w:color="auto"/>
                          </w:divBdr>
                          <w:divsChild>
                            <w:div w:id="1144010726">
                              <w:marLeft w:val="0"/>
                              <w:marRight w:val="0"/>
                              <w:marTop w:val="0"/>
                              <w:marBottom w:val="0"/>
                              <w:divBdr>
                                <w:top w:val="none" w:sz="0" w:space="0" w:color="auto"/>
                                <w:left w:val="none" w:sz="0" w:space="0" w:color="auto"/>
                                <w:bottom w:val="none" w:sz="0" w:space="0" w:color="auto"/>
                                <w:right w:val="none" w:sz="0" w:space="0" w:color="auto"/>
                              </w:divBdr>
                              <w:divsChild>
                                <w:div w:id="447702719">
                                  <w:marLeft w:val="0"/>
                                  <w:marRight w:val="0"/>
                                  <w:marTop w:val="0"/>
                                  <w:marBottom w:val="0"/>
                                  <w:divBdr>
                                    <w:top w:val="none" w:sz="0" w:space="0" w:color="auto"/>
                                    <w:left w:val="none" w:sz="0" w:space="0" w:color="auto"/>
                                    <w:bottom w:val="none" w:sz="0" w:space="0" w:color="auto"/>
                                    <w:right w:val="none" w:sz="0" w:space="0" w:color="auto"/>
                                  </w:divBdr>
                                  <w:divsChild>
                                    <w:div w:id="6459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07794">
                          <w:marLeft w:val="0"/>
                          <w:marRight w:val="0"/>
                          <w:marTop w:val="0"/>
                          <w:marBottom w:val="0"/>
                          <w:divBdr>
                            <w:top w:val="none" w:sz="0" w:space="0" w:color="auto"/>
                            <w:left w:val="none" w:sz="0" w:space="0" w:color="auto"/>
                            <w:bottom w:val="none" w:sz="0" w:space="0" w:color="auto"/>
                            <w:right w:val="none" w:sz="0" w:space="0" w:color="auto"/>
                          </w:divBdr>
                          <w:divsChild>
                            <w:div w:id="591278891">
                              <w:marLeft w:val="0"/>
                              <w:marRight w:val="0"/>
                              <w:marTop w:val="0"/>
                              <w:marBottom w:val="0"/>
                              <w:divBdr>
                                <w:top w:val="none" w:sz="0" w:space="0" w:color="auto"/>
                                <w:left w:val="none" w:sz="0" w:space="0" w:color="auto"/>
                                <w:bottom w:val="none" w:sz="0" w:space="0" w:color="auto"/>
                                <w:right w:val="none" w:sz="0" w:space="0" w:color="auto"/>
                              </w:divBdr>
                              <w:divsChild>
                                <w:div w:id="178667115">
                                  <w:marLeft w:val="0"/>
                                  <w:marRight w:val="0"/>
                                  <w:marTop w:val="0"/>
                                  <w:marBottom w:val="0"/>
                                  <w:divBdr>
                                    <w:top w:val="none" w:sz="0" w:space="0" w:color="auto"/>
                                    <w:left w:val="none" w:sz="0" w:space="0" w:color="auto"/>
                                    <w:bottom w:val="none" w:sz="0" w:space="0" w:color="auto"/>
                                    <w:right w:val="none" w:sz="0" w:space="0" w:color="auto"/>
                                  </w:divBdr>
                                  <w:divsChild>
                                    <w:div w:id="10033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85461">
                          <w:marLeft w:val="0"/>
                          <w:marRight w:val="0"/>
                          <w:marTop w:val="0"/>
                          <w:marBottom w:val="0"/>
                          <w:divBdr>
                            <w:top w:val="none" w:sz="0" w:space="0" w:color="auto"/>
                            <w:left w:val="none" w:sz="0" w:space="0" w:color="auto"/>
                            <w:bottom w:val="none" w:sz="0" w:space="0" w:color="auto"/>
                            <w:right w:val="none" w:sz="0" w:space="0" w:color="auto"/>
                          </w:divBdr>
                          <w:divsChild>
                            <w:div w:id="1978105035">
                              <w:marLeft w:val="0"/>
                              <w:marRight w:val="0"/>
                              <w:marTop w:val="0"/>
                              <w:marBottom w:val="0"/>
                              <w:divBdr>
                                <w:top w:val="none" w:sz="0" w:space="0" w:color="auto"/>
                                <w:left w:val="none" w:sz="0" w:space="0" w:color="auto"/>
                                <w:bottom w:val="none" w:sz="0" w:space="0" w:color="auto"/>
                                <w:right w:val="none" w:sz="0" w:space="0" w:color="auto"/>
                              </w:divBdr>
                              <w:divsChild>
                                <w:div w:id="1518226607">
                                  <w:marLeft w:val="0"/>
                                  <w:marRight w:val="0"/>
                                  <w:marTop w:val="0"/>
                                  <w:marBottom w:val="0"/>
                                  <w:divBdr>
                                    <w:top w:val="none" w:sz="0" w:space="0" w:color="auto"/>
                                    <w:left w:val="none" w:sz="0" w:space="0" w:color="auto"/>
                                    <w:bottom w:val="none" w:sz="0" w:space="0" w:color="auto"/>
                                    <w:right w:val="none" w:sz="0" w:space="0" w:color="auto"/>
                                  </w:divBdr>
                                  <w:divsChild>
                                    <w:div w:id="60033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76164">
                          <w:marLeft w:val="0"/>
                          <w:marRight w:val="0"/>
                          <w:marTop w:val="0"/>
                          <w:marBottom w:val="0"/>
                          <w:divBdr>
                            <w:top w:val="none" w:sz="0" w:space="0" w:color="auto"/>
                            <w:left w:val="none" w:sz="0" w:space="0" w:color="auto"/>
                            <w:bottom w:val="none" w:sz="0" w:space="0" w:color="auto"/>
                            <w:right w:val="none" w:sz="0" w:space="0" w:color="auto"/>
                          </w:divBdr>
                          <w:divsChild>
                            <w:div w:id="1131555602">
                              <w:marLeft w:val="0"/>
                              <w:marRight w:val="0"/>
                              <w:marTop w:val="0"/>
                              <w:marBottom w:val="0"/>
                              <w:divBdr>
                                <w:top w:val="none" w:sz="0" w:space="0" w:color="auto"/>
                                <w:left w:val="none" w:sz="0" w:space="0" w:color="auto"/>
                                <w:bottom w:val="none" w:sz="0" w:space="0" w:color="auto"/>
                                <w:right w:val="none" w:sz="0" w:space="0" w:color="auto"/>
                              </w:divBdr>
                              <w:divsChild>
                                <w:div w:id="1216770962">
                                  <w:marLeft w:val="0"/>
                                  <w:marRight w:val="0"/>
                                  <w:marTop w:val="0"/>
                                  <w:marBottom w:val="0"/>
                                  <w:divBdr>
                                    <w:top w:val="none" w:sz="0" w:space="0" w:color="auto"/>
                                    <w:left w:val="none" w:sz="0" w:space="0" w:color="auto"/>
                                    <w:bottom w:val="none" w:sz="0" w:space="0" w:color="auto"/>
                                    <w:right w:val="none" w:sz="0" w:space="0" w:color="auto"/>
                                  </w:divBdr>
                                  <w:divsChild>
                                    <w:div w:id="6879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hyperlink" Target="https://www.tga.gov.au/picmi-search-facility" TargetMode="External"/><Relationship Id="rId26" Type="http://schemas.openxmlformats.org/officeDocument/2006/relationships/image" Target="media/image10.png"/><Relationship Id="rId39" Type="http://schemas.openxmlformats.org/officeDocument/2006/relationships/hyperlink" Target="https://www.tga.gov.au/picmi-search-facility"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www.tga.gov.au/australian-public-assessment-report-auspar-guidance" TargetMode="External"/><Relationship Id="rId17" Type="http://schemas.openxmlformats.org/officeDocument/2006/relationships/hyperlink" Target="https://www.tga.gov.au/black-triangle-scheme"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tga.gov.au/committee/advisory-committee-medicines-acm"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tga.gov.au/tgas-risk-management-approach" TargetMode="External"/><Relationship Id="rId40" Type="http://schemas.openxmlformats.org/officeDocument/2006/relationships/header" Target="header3.xml"/><Relationship Id="rId45" Type="http://schemas.openxmlformats.org/officeDocument/2006/relationships/hyperlink" Target="https://www.tga.gov.a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tga.gov.au/publication/risk-management-plans-medicines-and-biologicals" TargetMode="External"/><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5.png"/><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2.xml"/><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ema.europa.eu/en/documents/assessment-report/vumerity-epar-public-assessment-report_en.pdf" TargetMode="External"/><Relationship Id="rId1" Type="http://schemas.openxmlformats.org/officeDocument/2006/relationships/hyperlink" Target="https://www.tga.gov.au/resources/auspar/auspar-dimethyl-fumarat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2784\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71BB7C4203AD49B23344082759F7E2" ma:contentTypeVersion="16" ma:contentTypeDescription="Create a new document." ma:contentTypeScope="" ma:versionID="e70fe1a6911cf8ee23f1c97b619f775f">
  <xsd:schema xmlns:xsd="http://www.w3.org/2001/XMLSchema" xmlns:xs="http://www.w3.org/2001/XMLSchema" xmlns:p="http://schemas.microsoft.com/office/2006/metadata/properties" xmlns:ns2="549f0d3b-66fa-4744-b1d9-547f69736562" xmlns:ns3="6e45e5e2-6366-4b71-955c-fe04032d787a" targetNamespace="http://schemas.microsoft.com/office/2006/metadata/properties" ma:root="true" ma:fieldsID="1f7c58fa73182644036bb7e62d89d469" ns2:_="" ns3:_="">
    <xsd:import namespace="549f0d3b-66fa-4744-b1d9-547f69736562"/>
    <xsd:import namespace="6e45e5e2-6366-4b71-955c-fe04032d78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f0d3b-66fa-4744-b1d9-547f697365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a02e20-3405-48c8-b010-e0d39bee4d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e45e5e2-6366-4b71-955c-fe04032d78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322877-996e-45fb-9e36-0818693d5b33}" ma:internalName="TaxCatchAll" ma:showField="CatchAllData" ma:web="6e45e5e2-6366-4b71-955c-fe04032d78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e45e5e2-6366-4b71-955c-fe04032d787a" xsi:nil="true"/>
    <lcf76f155ced4ddcb4097134ff3c332f xmlns="549f0d3b-66fa-4744-b1d9-547f69736562">
      <Terms xmlns="http://schemas.microsoft.com/office/infopath/2007/PartnerControls"/>
    </lcf76f155ced4ddcb4097134ff3c332f>
    <SharedWithUsers xmlns="6e45e5e2-6366-4b71-955c-fe04032d787a">
      <UserInfo>
        <DisplayName>Glen Kelleher</DisplayName>
        <AccountId>135</AccountId>
        <AccountType/>
      </UserInfo>
      <UserInfo>
        <DisplayName>Matt Scaramozza</DisplayName>
        <AccountId>288</AccountId>
        <AccountType/>
      </UserInfo>
      <UserInfo>
        <DisplayName>Seth Levin</DisplayName>
        <AccountId>285</AccountId>
        <AccountType/>
      </UserInfo>
      <UserInfo>
        <DisplayName>Stephanie RAYNAUD</DisplayName>
        <AccountId>432</AccountId>
        <AccountType/>
      </UserInfo>
      <UserInfo>
        <DisplayName>Morasa Sheikhy</DisplayName>
        <AccountId>433</AccountId>
        <AccountType/>
      </UserInfo>
      <UserInfo>
        <DisplayName>Judy Bai</DisplayName>
        <AccountId>284</AccountId>
        <AccountType/>
      </UserInfo>
      <UserInfo>
        <DisplayName>Margarita Sapotnicka</DisplayName>
        <AccountId>263</AccountId>
        <AccountType/>
      </UserInfo>
      <UserInfo>
        <DisplayName>Karine Dufournet</DisplayName>
        <AccountId>376</AccountId>
        <AccountType/>
      </UserInfo>
      <UserInfo>
        <DisplayName>Shamoli Ahmed (EXTERNAL)</DisplayName>
        <AccountId>428</AccountId>
        <AccountType/>
      </UserInfo>
      <UserInfo>
        <DisplayName>Lionel Cornu</DisplayName>
        <AccountId>14</AccountId>
        <AccountType/>
      </UserInfo>
      <UserInfo>
        <DisplayName>Richard Keane</DisplayName>
        <AccountId>351</AccountId>
        <AccountType/>
      </UserInfo>
      <UserInfo>
        <DisplayName>Sue Jackson</DisplayName>
        <AccountId>365</AccountId>
        <AccountType/>
      </UserInfo>
      <UserInfo>
        <DisplayName>Rebecca Conaghan</DisplayName>
        <AccountId>274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0517B-BD66-4629-8937-0584B6795D17}">
  <ds:schemaRefs>
    <ds:schemaRef ds:uri="http://schemas.microsoft.com/sharepoint/v3/contenttype/forms"/>
  </ds:schemaRefs>
</ds:datastoreItem>
</file>

<file path=customXml/itemProps2.xml><?xml version="1.0" encoding="utf-8"?>
<ds:datastoreItem xmlns:ds="http://schemas.openxmlformats.org/officeDocument/2006/customXml" ds:itemID="{50947353-092B-4856-9CB5-3E66844E3C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f0d3b-66fa-4744-b1d9-547f69736562"/>
    <ds:schemaRef ds:uri="6e45e5e2-6366-4b71-955c-fe04032d7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DD68BD-4C20-4AA5-9662-108846D73C32}">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6e45e5e2-6366-4b71-955c-fe04032d787a"/>
    <ds:schemaRef ds:uri="549f0d3b-66fa-4744-b1d9-547f69736562"/>
    <ds:schemaRef ds:uri="http://www.w3.org/XML/1998/namespace"/>
    <ds:schemaRef ds:uri="http://purl.org/dc/dcmitype/"/>
  </ds:schemaRefs>
</ds:datastoreItem>
</file>

<file path=customXml/itemProps4.xml><?xml version="1.0" encoding="utf-8"?>
<ds:datastoreItem xmlns:ds="http://schemas.openxmlformats.org/officeDocument/2006/customXml" ds:itemID="{44E1EE7B-75FA-4D79-919A-36F507BB6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19</TotalTime>
  <Pages>40</Pages>
  <Words>13153</Words>
  <Characters>74974</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87952</CharactersWithSpaces>
  <SharedDoc>false</SharedDoc>
  <HLinks>
    <vt:vector size="252" baseType="variant">
      <vt:variant>
        <vt:i4>3473445</vt:i4>
      </vt:variant>
      <vt:variant>
        <vt:i4>249</vt:i4>
      </vt:variant>
      <vt:variant>
        <vt:i4>0</vt:i4>
      </vt:variant>
      <vt:variant>
        <vt:i4>5</vt:i4>
      </vt:variant>
      <vt:variant>
        <vt:lpwstr>https://www.tga.gov.au/</vt:lpwstr>
      </vt:variant>
      <vt:variant>
        <vt:lpwstr/>
      </vt:variant>
      <vt:variant>
        <vt:i4>5242926</vt:i4>
      </vt:variant>
      <vt:variant>
        <vt:i4>246</vt:i4>
      </vt:variant>
      <vt:variant>
        <vt:i4>0</vt:i4>
      </vt:variant>
      <vt:variant>
        <vt:i4>5</vt:i4>
      </vt:variant>
      <vt:variant>
        <vt:lpwstr>mailto:info@tga.gov.au</vt:lpwstr>
      </vt:variant>
      <vt:variant>
        <vt:lpwstr/>
      </vt:variant>
      <vt:variant>
        <vt:i4>720961</vt:i4>
      </vt:variant>
      <vt:variant>
        <vt:i4>243</vt:i4>
      </vt:variant>
      <vt:variant>
        <vt:i4>0</vt:i4>
      </vt:variant>
      <vt:variant>
        <vt:i4>5</vt:i4>
      </vt:variant>
      <vt:variant>
        <vt:lpwstr>https://www.tga.gov.au/picmi-search-facility</vt:lpwstr>
      </vt:variant>
      <vt:variant>
        <vt:lpwstr/>
      </vt:variant>
      <vt:variant>
        <vt:i4>524365</vt:i4>
      </vt:variant>
      <vt:variant>
        <vt:i4>240</vt:i4>
      </vt:variant>
      <vt:variant>
        <vt:i4>0</vt:i4>
      </vt:variant>
      <vt:variant>
        <vt:i4>5</vt:i4>
      </vt:variant>
      <vt:variant>
        <vt:lpwstr>https://www.tga.gov.au/committee/advisory-committee-medicines-acm</vt:lpwstr>
      </vt:variant>
      <vt:variant>
        <vt:lpwstr/>
      </vt:variant>
      <vt:variant>
        <vt:i4>5111899</vt:i4>
      </vt:variant>
      <vt:variant>
        <vt:i4>234</vt:i4>
      </vt:variant>
      <vt:variant>
        <vt:i4>0</vt:i4>
      </vt:variant>
      <vt:variant>
        <vt:i4>5</vt:i4>
      </vt:variant>
      <vt:variant>
        <vt:lpwstr>https://www.tga.gov.au/tgas-risk-management-approach</vt:lpwstr>
      </vt:variant>
      <vt:variant>
        <vt:lpwstr/>
      </vt:variant>
      <vt:variant>
        <vt:i4>7929888</vt:i4>
      </vt:variant>
      <vt:variant>
        <vt:i4>231</vt:i4>
      </vt:variant>
      <vt:variant>
        <vt:i4>0</vt:i4>
      </vt:variant>
      <vt:variant>
        <vt:i4>5</vt:i4>
      </vt:variant>
      <vt:variant>
        <vt:lpwstr>https://www.tga.gov.au/publication/risk-management-plans-medicines-and-biologicals</vt:lpwstr>
      </vt:variant>
      <vt:variant>
        <vt:lpwstr/>
      </vt:variant>
      <vt:variant>
        <vt:i4>720961</vt:i4>
      </vt:variant>
      <vt:variant>
        <vt:i4>132</vt:i4>
      </vt:variant>
      <vt:variant>
        <vt:i4>0</vt:i4>
      </vt:variant>
      <vt:variant>
        <vt:i4>5</vt:i4>
      </vt:variant>
      <vt:variant>
        <vt:lpwstr>https://www.tga.gov.au/picmi-search-facility</vt:lpwstr>
      </vt:variant>
      <vt:variant>
        <vt:lpwstr/>
      </vt:variant>
      <vt:variant>
        <vt:i4>786511</vt:i4>
      </vt:variant>
      <vt:variant>
        <vt:i4>108</vt:i4>
      </vt:variant>
      <vt:variant>
        <vt:i4>0</vt:i4>
      </vt:variant>
      <vt:variant>
        <vt:i4>5</vt:i4>
      </vt:variant>
      <vt:variant>
        <vt:lpwstr>https://www.tga.gov.au/black-triangle-scheme</vt:lpwstr>
      </vt:variant>
      <vt:variant>
        <vt:lpwstr/>
      </vt:variant>
      <vt:variant>
        <vt:i4>1245234</vt:i4>
      </vt:variant>
      <vt:variant>
        <vt:i4>101</vt:i4>
      </vt:variant>
      <vt:variant>
        <vt:i4>0</vt:i4>
      </vt:variant>
      <vt:variant>
        <vt:i4>5</vt:i4>
      </vt:variant>
      <vt:variant>
        <vt:lpwstr/>
      </vt:variant>
      <vt:variant>
        <vt:lpwstr>_Toc122084922</vt:lpwstr>
      </vt:variant>
      <vt:variant>
        <vt:i4>1245234</vt:i4>
      </vt:variant>
      <vt:variant>
        <vt:i4>95</vt:i4>
      </vt:variant>
      <vt:variant>
        <vt:i4>0</vt:i4>
      </vt:variant>
      <vt:variant>
        <vt:i4>5</vt:i4>
      </vt:variant>
      <vt:variant>
        <vt:lpwstr/>
      </vt:variant>
      <vt:variant>
        <vt:lpwstr>_Toc122084921</vt:lpwstr>
      </vt:variant>
      <vt:variant>
        <vt:i4>1245234</vt:i4>
      </vt:variant>
      <vt:variant>
        <vt:i4>89</vt:i4>
      </vt:variant>
      <vt:variant>
        <vt:i4>0</vt:i4>
      </vt:variant>
      <vt:variant>
        <vt:i4>5</vt:i4>
      </vt:variant>
      <vt:variant>
        <vt:lpwstr/>
      </vt:variant>
      <vt:variant>
        <vt:lpwstr>_Toc122084920</vt:lpwstr>
      </vt:variant>
      <vt:variant>
        <vt:i4>1048626</vt:i4>
      </vt:variant>
      <vt:variant>
        <vt:i4>83</vt:i4>
      </vt:variant>
      <vt:variant>
        <vt:i4>0</vt:i4>
      </vt:variant>
      <vt:variant>
        <vt:i4>5</vt:i4>
      </vt:variant>
      <vt:variant>
        <vt:lpwstr/>
      </vt:variant>
      <vt:variant>
        <vt:lpwstr>_Toc122084919</vt:lpwstr>
      </vt:variant>
      <vt:variant>
        <vt:i4>1048626</vt:i4>
      </vt:variant>
      <vt:variant>
        <vt:i4>77</vt:i4>
      </vt:variant>
      <vt:variant>
        <vt:i4>0</vt:i4>
      </vt:variant>
      <vt:variant>
        <vt:i4>5</vt:i4>
      </vt:variant>
      <vt:variant>
        <vt:lpwstr/>
      </vt:variant>
      <vt:variant>
        <vt:lpwstr>_Toc122084918</vt:lpwstr>
      </vt:variant>
      <vt:variant>
        <vt:i4>1048626</vt:i4>
      </vt:variant>
      <vt:variant>
        <vt:i4>71</vt:i4>
      </vt:variant>
      <vt:variant>
        <vt:i4>0</vt:i4>
      </vt:variant>
      <vt:variant>
        <vt:i4>5</vt:i4>
      </vt:variant>
      <vt:variant>
        <vt:lpwstr/>
      </vt:variant>
      <vt:variant>
        <vt:lpwstr>_Toc122084917</vt:lpwstr>
      </vt:variant>
      <vt:variant>
        <vt:i4>1048626</vt:i4>
      </vt:variant>
      <vt:variant>
        <vt:i4>65</vt:i4>
      </vt:variant>
      <vt:variant>
        <vt:i4>0</vt:i4>
      </vt:variant>
      <vt:variant>
        <vt:i4>5</vt:i4>
      </vt:variant>
      <vt:variant>
        <vt:lpwstr/>
      </vt:variant>
      <vt:variant>
        <vt:lpwstr>_Toc122084916</vt:lpwstr>
      </vt:variant>
      <vt:variant>
        <vt:i4>1048626</vt:i4>
      </vt:variant>
      <vt:variant>
        <vt:i4>59</vt:i4>
      </vt:variant>
      <vt:variant>
        <vt:i4>0</vt:i4>
      </vt:variant>
      <vt:variant>
        <vt:i4>5</vt:i4>
      </vt:variant>
      <vt:variant>
        <vt:lpwstr/>
      </vt:variant>
      <vt:variant>
        <vt:lpwstr>_Toc122084915</vt:lpwstr>
      </vt:variant>
      <vt:variant>
        <vt:i4>1048626</vt:i4>
      </vt:variant>
      <vt:variant>
        <vt:i4>53</vt:i4>
      </vt:variant>
      <vt:variant>
        <vt:i4>0</vt:i4>
      </vt:variant>
      <vt:variant>
        <vt:i4>5</vt:i4>
      </vt:variant>
      <vt:variant>
        <vt:lpwstr/>
      </vt:variant>
      <vt:variant>
        <vt:lpwstr>_Toc122084914</vt:lpwstr>
      </vt:variant>
      <vt:variant>
        <vt:i4>1048626</vt:i4>
      </vt:variant>
      <vt:variant>
        <vt:i4>47</vt:i4>
      </vt:variant>
      <vt:variant>
        <vt:i4>0</vt:i4>
      </vt:variant>
      <vt:variant>
        <vt:i4>5</vt:i4>
      </vt:variant>
      <vt:variant>
        <vt:lpwstr/>
      </vt:variant>
      <vt:variant>
        <vt:lpwstr>_Toc122084913</vt:lpwstr>
      </vt:variant>
      <vt:variant>
        <vt:i4>1048626</vt:i4>
      </vt:variant>
      <vt:variant>
        <vt:i4>41</vt:i4>
      </vt:variant>
      <vt:variant>
        <vt:i4>0</vt:i4>
      </vt:variant>
      <vt:variant>
        <vt:i4>5</vt:i4>
      </vt:variant>
      <vt:variant>
        <vt:lpwstr/>
      </vt:variant>
      <vt:variant>
        <vt:lpwstr>_Toc122084912</vt:lpwstr>
      </vt:variant>
      <vt:variant>
        <vt:i4>1048626</vt:i4>
      </vt:variant>
      <vt:variant>
        <vt:i4>35</vt:i4>
      </vt:variant>
      <vt:variant>
        <vt:i4>0</vt:i4>
      </vt:variant>
      <vt:variant>
        <vt:i4>5</vt:i4>
      </vt:variant>
      <vt:variant>
        <vt:lpwstr/>
      </vt:variant>
      <vt:variant>
        <vt:lpwstr>_Toc122084911</vt:lpwstr>
      </vt:variant>
      <vt:variant>
        <vt:i4>1048626</vt:i4>
      </vt:variant>
      <vt:variant>
        <vt:i4>29</vt:i4>
      </vt:variant>
      <vt:variant>
        <vt:i4>0</vt:i4>
      </vt:variant>
      <vt:variant>
        <vt:i4>5</vt:i4>
      </vt:variant>
      <vt:variant>
        <vt:lpwstr/>
      </vt:variant>
      <vt:variant>
        <vt:lpwstr>_Toc122084910</vt:lpwstr>
      </vt:variant>
      <vt:variant>
        <vt:i4>1114162</vt:i4>
      </vt:variant>
      <vt:variant>
        <vt:i4>23</vt:i4>
      </vt:variant>
      <vt:variant>
        <vt:i4>0</vt:i4>
      </vt:variant>
      <vt:variant>
        <vt:i4>5</vt:i4>
      </vt:variant>
      <vt:variant>
        <vt:lpwstr/>
      </vt:variant>
      <vt:variant>
        <vt:lpwstr>_Toc122084909</vt:lpwstr>
      </vt:variant>
      <vt:variant>
        <vt:i4>1114162</vt:i4>
      </vt:variant>
      <vt:variant>
        <vt:i4>17</vt:i4>
      </vt:variant>
      <vt:variant>
        <vt:i4>0</vt:i4>
      </vt:variant>
      <vt:variant>
        <vt:i4>5</vt:i4>
      </vt:variant>
      <vt:variant>
        <vt:lpwstr/>
      </vt:variant>
      <vt:variant>
        <vt:lpwstr>_Toc122084908</vt:lpwstr>
      </vt:variant>
      <vt:variant>
        <vt:i4>1114162</vt:i4>
      </vt:variant>
      <vt:variant>
        <vt:i4>11</vt:i4>
      </vt:variant>
      <vt:variant>
        <vt:i4>0</vt:i4>
      </vt:variant>
      <vt:variant>
        <vt:i4>5</vt:i4>
      </vt:variant>
      <vt:variant>
        <vt:lpwstr/>
      </vt:variant>
      <vt:variant>
        <vt:lpwstr>_Toc122084907</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3145809</vt:i4>
      </vt:variant>
      <vt:variant>
        <vt:i4>42</vt:i4>
      </vt:variant>
      <vt:variant>
        <vt:i4>0</vt:i4>
      </vt:variant>
      <vt:variant>
        <vt:i4>5</vt:i4>
      </vt:variant>
      <vt:variant>
        <vt:lpwstr>mailto:stephanie.raynaud@biogen.com</vt:lpwstr>
      </vt:variant>
      <vt:variant>
        <vt:lpwstr/>
      </vt:variant>
      <vt:variant>
        <vt:i4>3145809</vt:i4>
      </vt:variant>
      <vt:variant>
        <vt:i4>39</vt:i4>
      </vt:variant>
      <vt:variant>
        <vt:i4>0</vt:i4>
      </vt:variant>
      <vt:variant>
        <vt:i4>5</vt:i4>
      </vt:variant>
      <vt:variant>
        <vt:lpwstr>mailto:stephanie.raynaud@biogen.com</vt:lpwstr>
      </vt:variant>
      <vt:variant>
        <vt:lpwstr/>
      </vt:variant>
      <vt:variant>
        <vt:i4>3145809</vt:i4>
      </vt:variant>
      <vt:variant>
        <vt:i4>36</vt:i4>
      </vt:variant>
      <vt:variant>
        <vt:i4>0</vt:i4>
      </vt:variant>
      <vt:variant>
        <vt:i4>5</vt:i4>
      </vt:variant>
      <vt:variant>
        <vt:lpwstr>mailto:stephanie.raynaud@biogen.com</vt:lpwstr>
      </vt:variant>
      <vt:variant>
        <vt:lpwstr/>
      </vt:variant>
      <vt:variant>
        <vt:i4>3145809</vt:i4>
      </vt:variant>
      <vt:variant>
        <vt:i4>33</vt:i4>
      </vt:variant>
      <vt:variant>
        <vt:i4>0</vt:i4>
      </vt:variant>
      <vt:variant>
        <vt:i4>5</vt:i4>
      </vt:variant>
      <vt:variant>
        <vt:lpwstr>mailto:stephanie.raynaud@biogen.com</vt:lpwstr>
      </vt:variant>
      <vt:variant>
        <vt:lpwstr/>
      </vt:variant>
      <vt:variant>
        <vt:i4>3145809</vt:i4>
      </vt:variant>
      <vt:variant>
        <vt:i4>30</vt:i4>
      </vt:variant>
      <vt:variant>
        <vt:i4>0</vt:i4>
      </vt:variant>
      <vt:variant>
        <vt:i4>5</vt:i4>
      </vt:variant>
      <vt:variant>
        <vt:lpwstr>mailto:stephanie.raynaud@biogen.com</vt:lpwstr>
      </vt:variant>
      <vt:variant>
        <vt:lpwstr/>
      </vt:variant>
      <vt:variant>
        <vt:i4>3145809</vt:i4>
      </vt:variant>
      <vt:variant>
        <vt:i4>27</vt:i4>
      </vt:variant>
      <vt:variant>
        <vt:i4>0</vt:i4>
      </vt:variant>
      <vt:variant>
        <vt:i4>5</vt:i4>
      </vt:variant>
      <vt:variant>
        <vt:lpwstr>mailto:stephanie.raynaud@biogen.com</vt:lpwstr>
      </vt:variant>
      <vt:variant>
        <vt:lpwstr/>
      </vt:variant>
      <vt:variant>
        <vt:i4>3145809</vt:i4>
      </vt:variant>
      <vt:variant>
        <vt:i4>24</vt:i4>
      </vt:variant>
      <vt:variant>
        <vt:i4>0</vt:i4>
      </vt:variant>
      <vt:variant>
        <vt:i4>5</vt:i4>
      </vt:variant>
      <vt:variant>
        <vt:lpwstr>mailto:stephanie.raynaud@biogen.com</vt:lpwstr>
      </vt:variant>
      <vt:variant>
        <vt:lpwstr/>
      </vt:variant>
      <vt:variant>
        <vt:i4>3145809</vt:i4>
      </vt:variant>
      <vt:variant>
        <vt:i4>21</vt:i4>
      </vt:variant>
      <vt:variant>
        <vt:i4>0</vt:i4>
      </vt:variant>
      <vt:variant>
        <vt:i4>5</vt:i4>
      </vt:variant>
      <vt:variant>
        <vt:lpwstr>mailto:stephanie.raynaud@biogen.com</vt:lpwstr>
      </vt:variant>
      <vt:variant>
        <vt:lpwstr/>
      </vt:variant>
      <vt:variant>
        <vt:i4>3145809</vt:i4>
      </vt:variant>
      <vt:variant>
        <vt:i4>18</vt:i4>
      </vt:variant>
      <vt:variant>
        <vt:i4>0</vt:i4>
      </vt:variant>
      <vt:variant>
        <vt:i4>5</vt:i4>
      </vt:variant>
      <vt:variant>
        <vt:lpwstr>mailto:stephanie.raynaud@biogen.com</vt:lpwstr>
      </vt:variant>
      <vt:variant>
        <vt:lpwstr/>
      </vt:variant>
      <vt:variant>
        <vt:i4>3145809</vt:i4>
      </vt:variant>
      <vt:variant>
        <vt:i4>15</vt:i4>
      </vt:variant>
      <vt:variant>
        <vt:i4>0</vt:i4>
      </vt:variant>
      <vt:variant>
        <vt:i4>5</vt:i4>
      </vt:variant>
      <vt:variant>
        <vt:lpwstr>mailto:stephanie.raynaud@biogen.com</vt:lpwstr>
      </vt:variant>
      <vt:variant>
        <vt:lpwstr/>
      </vt:variant>
      <vt:variant>
        <vt:i4>3145809</vt:i4>
      </vt:variant>
      <vt:variant>
        <vt:i4>12</vt:i4>
      </vt:variant>
      <vt:variant>
        <vt:i4>0</vt:i4>
      </vt:variant>
      <vt:variant>
        <vt:i4>5</vt:i4>
      </vt:variant>
      <vt:variant>
        <vt:lpwstr>mailto:stephanie.raynaud@biogen.com</vt:lpwstr>
      </vt:variant>
      <vt:variant>
        <vt:lpwstr/>
      </vt:variant>
      <vt:variant>
        <vt:i4>1769594</vt:i4>
      </vt:variant>
      <vt:variant>
        <vt:i4>9</vt:i4>
      </vt:variant>
      <vt:variant>
        <vt:i4>0</vt:i4>
      </vt:variant>
      <vt:variant>
        <vt:i4>5</vt:i4>
      </vt:variant>
      <vt:variant>
        <vt:lpwstr>mailto:matt.scaramozza@biogen.com</vt:lpwstr>
      </vt:variant>
      <vt:variant>
        <vt:lpwstr/>
      </vt:variant>
      <vt:variant>
        <vt:i4>1769594</vt:i4>
      </vt:variant>
      <vt:variant>
        <vt:i4>6</vt:i4>
      </vt:variant>
      <vt:variant>
        <vt:i4>0</vt:i4>
      </vt:variant>
      <vt:variant>
        <vt:i4>5</vt:i4>
      </vt:variant>
      <vt:variant>
        <vt:lpwstr>mailto:matt.scaramozza@biogen.com</vt:lpwstr>
      </vt:variant>
      <vt:variant>
        <vt:lpwstr/>
      </vt:variant>
      <vt:variant>
        <vt:i4>1769594</vt:i4>
      </vt:variant>
      <vt:variant>
        <vt:i4>3</vt:i4>
      </vt:variant>
      <vt:variant>
        <vt:i4>0</vt:i4>
      </vt:variant>
      <vt:variant>
        <vt:i4>5</vt:i4>
      </vt:variant>
      <vt:variant>
        <vt:lpwstr>mailto:matt.scaramozza@biogen.com</vt:lpwstr>
      </vt:variant>
      <vt:variant>
        <vt:lpwstr/>
      </vt:variant>
      <vt:variant>
        <vt:i4>7602188</vt:i4>
      </vt:variant>
      <vt:variant>
        <vt:i4>0</vt:i4>
      </vt:variant>
      <vt:variant>
        <vt:i4>0</vt:i4>
      </vt:variant>
      <vt:variant>
        <vt:i4>5</vt:i4>
      </vt:variant>
      <vt:variant>
        <vt:lpwstr>mailto:glen.kelleher@biogen.com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Vumerity</dc:title>
  <dc:subject>prescription medicine regulation</dc:subject>
  <dc:creator>Therapeutic Goods Administration</dc:creator>
  <cp:keywords/>
  <dc:description/>
  <cp:lastModifiedBy>KOLARIK-O'REILLY, Kristy</cp:lastModifiedBy>
  <cp:revision>4</cp:revision>
  <cp:lastPrinted>2019-08-13T14:30:00Z</cp:lastPrinted>
  <dcterms:created xsi:type="dcterms:W3CDTF">2023-02-07T22:45:00Z</dcterms:created>
  <dcterms:modified xsi:type="dcterms:W3CDTF">2023-02-10T03:35:00Z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0x010100C571BB7C4203AD49B23344082759F7E2</vt:lpwstr>
  </property>
  <property fmtid="{D5CDD505-2E9C-101B-9397-08002B2CF9AE}" pid="3" name="MediaServiceImageTags">
    <vt:lpwstr/>
  </property>
</Properties>
</file>