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94DFA" w14:textId="4FF75A23" w:rsidR="00765A8F" w:rsidRPr="0027489A" w:rsidRDefault="000F6720" w:rsidP="00765A8F">
      <w:pPr>
        <w:rPr>
          <w:rFonts w:eastAsia="SimSun"/>
        </w:rPr>
      </w:pPr>
      <w:r w:rsidRPr="0027489A">
        <w:rPr>
          <w:noProof/>
          <w:lang w:eastAsia="en-AU"/>
        </w:rPr>
        <mc:AlternateContent>
          <mc:Choice Requires="wps">
            <w:drawing>
              <wp:anchor distT="0" distB="0" distL="114300" distR="114300" simplePos="0" relativeHeight="251658240" behindDoc="1" locked="0" layoutInCell="1" allowOverlap="1" wp14:anchorId="40CF7D8E" wp14:editId="39A41C81">
                <wp:simplePos x="0" y="0"/>
                <wp:positionH relativeFrom="margin">
                  <wp:posOffset>0</wp:posOffset>
                </wp:positionH>
                <wp:positionV relativeFrom="margin">
                  <wp:posOffset>163830</wp:posOffset>
                </wp:positionV>
                <wp:extent cx="359410" cy="431800"/>
                <wp:effectExtent l="0" t="0" r="2540" b="63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 cy="431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A7561A" w14:textId="77777777" w:rsidR="005A39F4" w:rsidRPr="00BF4968" w:rsidRDefault="005A39F4" w:rsidP="000F6720">
                            <w:pPr>
                              <w:spacing w:before="40"/>
                              <w:rPr>
                                <w:rFonts w:ascii="Wingdings 3" w:hAnsi="Wingdings 3"/>
                                <w:sz w:val="40"/>
                              </w:rPr>
                            </w:pPr>
                            <w:r w:rsidRPr="00BF4968">
                              <w:rPr>
                                <w:rFonts w:ascii="SimSun" w:eastAsia="SimSun" w:hAnsi="SimSun" w:hint="eastAsia"/>
                                <w:sz w:val="56"/>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0CF7D8E" id="_x0000_t202" coordsize="21600,21600" o:spt="202" path="m,l,21600r21600,l21600,xe">
                <v:stroke joinstyle="miter"/>
                <v:path gradientshapeok="t" o:connecttype="rect"/>
              </v:shapetype>
              <v:shape id="Text Box 2" o:spid="_x0000_s1026" type="#_x0000_t202" style="position:absolute;left:0;text-align:left;margin-left:0;margin-top:12.9pt;width:28.3pt;height:3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" stroked="f">
                <v:textbox inset="0,0,0,0">
                  <w:txbxContent>
                    <w:p w14:paraId="2EA7561A" w14:textId="77777777" w:rsidR="005A39F4" w:rsidRPr="00BF4968" w:rsidRDefault="005A39F4" w:rsidP="000F6720">
                      <w:pPr>
                        <w:spacing w:before="40"/>
                        <w:rPr>
                          <w:rFonts w:ascii="Wingdings 3" w:hAnsi="Wingdings 3"/>
                          <w:sz w:val="40"/>
                        </w:rPr>
                      </w:pPr>
                      <w:r w:rsidRPr="00BF4968">
                        <w:rPr>
                          <w:rFonts w:ascii="SimSun" w:eastAsia="SimSun" w:hAnsi="SimSun" w:hint="eastAsia"/>
                          <w:sz w:val="56"/>
                        </w:rPr>
                        <w:t>▼</w:t>
                      </w:r>
                    </w:p>
                  </w:txbxContent>
                </v:textbox>
                <w10:wrap type="square" anchorx="margin" anchory="margin"/>
              </v:shape>
            </w:pict>
          </mc:Fallback>
        </mc:AlternateContent>
      </w:r>
    </w:p>
    <w:p w14:paraId="0515131C" w14:textId="0C0A94C0" w:rsidR="00876C6A" w:rsidRPr="0027489A" w:rsidRDefault="00EC746C" w:rsidP="00D67622">
      <w:pPr>
        <w:ind w:right="-188"/>
        <w:rPr>
          <w:rFonts w:eastAsia="SimSun"/>
        </w:rPr>
      </w:pPr>
      <w:r w:rsidRPr="00D67622">
        <w:rPr>
          <w:rFonts w:eastAsia="SimSun"/>
        </w:rPr>
        <w:t xml:space="preserve">This medicinal product is subject to additional monitoring in Australia. This will allow quick identification of new safety information. Healthcare professionals are asked to report any suspected adverse events at </w:t>
      </w:r>
      <w:hyperlink r:id="rId11" w:history="1">
        <w:r w:rsidRPr="00D67622">
          <w:rPr>
            <w:rStyle w:val="Hyperlink"/>
            <w:rFonts w:eastAsia="SimSun"/>
          </w:rPr>
          <w:t>www.tga.gov.au/reporting-problems</w:t>
        </w:r>
      </w:hyperlink>
      <w:r w:rsidR="007F367E" w:rsidRPr="00D67622">
        <w:rPr>
          <w:rFonts w:eastAsia="SimSun"/>
        </w:rPr>
        <w:t>.</w:t>
      </w:r>
    </w:p>
    <w:p w14:paraId="2522364A" w14:textId="546641A6" w:rsidR="00963807" w:rsidRPr="0027489A" w:rsidRDefault="004032BD" w:rsidP="00D67622">
      <w:pPr>
        <w:pStyle w:val="Heading1"/>
        <w:numPr>
          <w:ilvl w:val="0"/>
          <w:numId w:val="0"/>
        </w:numPr>
        <w:rPr>
          <w:rFonts w:eastAsia="SimSun"/>
        </w:rPr>
      </w:pPr>
      <w:r w:rsidRPr="0027489A">
        <w:rPr>
          <w:rFonts w:eastAsia="SimSun"/>
        </w:rPr>
        <w:t>Australian P</w:t>
      </w:r>
      <w:r w:rsidR="00963807" w:rsidRPr="0027489A">
        <w:rPr>
          <w:rFonts w:eastAsia="SimSun"/>
        </w:rPr>
        <w:t xml:space="preserve">roduct </w:t>
      </w:r>
      <w:r w:rsidRPr="0027489A">
        <w:rPr>
          <w:rFonts w:eastAsia="SimSun"/>
        </w:rPr>
        <w:t>I</w:t>
      </w:r>
      <w:r w:rsidR="00963807" w:rsidRPr="0027489A">
        <w:rPr>
          <w:rFonts w:eastAsia="SimSun"/>
        </w:rPr>
        <w:t>nformation</w:t>
      </w:r>
    </w:p>
    <w:p w14:paraId="33B6A692" w14:textId="306385A7" w:rsidR="000139A1" w:rsidRPr="0027489A" w:rsidRDefault="004A1AAE" w:rsidP="00D67622">
      <w:pPr>
        <w:pStyle w:val="Heading1"/>
        <w:numPr>
          <w:ilvl w:val="0"/>
          <w:numId w:val="0"/>
        </w:numPr>
        <w:rPr>
          <w:rFonts w:eastAsia="SimSun"/>
        </w:rPr>
      </w:pPr>
      <w:r w:rsidRPr="0027489A">
        <w:rPr>
          <w:rFonts w:eastAsia="SimSun"/>
        </w:rPr>
        <w:t>VUMERITY</w:t>
      </w:r>
      <w:bookmarkStart w:id="0" w:name="_Hlk53701063"/>
      <w:r w:rsidR="00592619" w:rsidRPr="0027489A">
        <w:rPr>
          <w:rFonts w:eastAsia="SimSun"/>
          <w:vertAlign w:val="superscript"/>
        </w:rPr>
        <w:t>™</w:t>
      </w:r>
      <w:r w:rsidR="007E693C" w:rsidRPr="0027489A">
        <w:rPr>
          <w:rFonts w:eastAsia="SimSun"/>
        </w:rPr>
        <w:t xml:space="preserve"> </w:t>
      </w:r>
      <w:bookmarkEnd w:id="0"/>
      <w:r w:rsidR="004032BD" w:rsidRPr="0027489A">
        <w:rPr>
          <w:rFonts w:eastAsia="SimSun"/>
        </w:rPr>
        <w:t>(</w:t>
      </w:r>
      <w:r w:rsidRPr="0027489A">
        <w:rPr>
          <w:rFonts w:eastAsia="SimSun"/>
        </w:rPr>
        <w:t>diroximel fumarate</w:t>
      </w:r>
      <w:r w:rsidR="007415C8" w:rsidRPr="0027489A">
        <w:rPr>
          <w:rFonts w:eastAsia="SimSun"/>
        </w:rPr>
        <w:t xml:space="preserve">) </w:t>
      </w:r>
    </w:p>
    <w:p w14:paraId="0120FDF1" w14:textId="77777777" w:rsidR="001A3992" w:rsidRPr="0027489A" w:rsidRDefault="001A3992" w:rsidP="00D67622">
      <w:pPr>
        <w:pStyle w:val="Heading1"/>
      </w:pPr>
      <w:r w:rsidRPr="0027489A">
        <w:t>Name of the medicine</w:t>
      </w:r>
    </w:p>
    <w:p w14:paraId="26AF7DDB" w14:textId="7028247D" w:rsidR="00742FC9" w:rsidRDefault="004A1AAE" w:rsidP="00D67622">
      <w:pPr>
        <w:pStyle w:val="PINormal"/>
        <w:rPr>
          <w:noProof/>
        </w:rPr>
      </w:pPr>
      <w:r w:rsidRPr="0027489A">
        <w:rPr>
          <w:noProof/>
        </w:rPr>
        <w:t>Diroximel fumarate</w:t>
      </w:r>
      <w:r w:rsidR="008F34E5" w:rsidRPr="0027489A">
        <w:rPr>
          <w:noProof/>
        </w:rPr>
        <w:t>.</w:t>
      </w:r>
    </w:p>
    <w:p w14:paraId="4F0CBEC1" w14:textId="77777777" w:rsidR="00F05555" w:rsidRPr="0027489A" w:rsidRDefault="00F05555" w:rsidP="00D67622">
      <w:pPr>
        <w:pStyle w:val="PINormal"/>
      </w:pPr>
    </w:p>
    <w:p w14:paraId="357C0DBB" w14:textId="77777777" w:rsidR="001A3992" w:rsidRPr="0027489A" w:rsidRDefault="001A3992" w:rsidP="00D67622">
      <w:pPr>
        <w:pStyle w:val="Heading1"/>
      </w:pPr>
      <w:r w:rsidRPr="0027489A">
        <w:t>Qualitative and quantitative composition</w:t>
      </w:r>
    </w:p>
    <w:p w14:paraId="528440FF" w14:textId="7033E4E4" w:rsidR="004554A9" w:rsidRPr="0027489A" w:rsidRDefault="00FD25D2" w:rsidP="00D67622">
      <w:pPr>
        <w:pStyle w:val="PINormal"/>
      </w:pPr>
      <w:r w:rsidRPr="0027489A">
        <w:t>VUMERITY</w:t>
      </w:r>
      <w:r w:rsidR="004554A9" w:rsidRPr="0027489A">
        <w:t xml:space="preserve"> capsules contain</w:t>
      </w:r>
      <w:r w:rsidR="008302DA" w:rsidRPr="0027489A">
        <w:t xml:space="preserve"> 231 m</w:t>
      </w:r>
      <w:r w:rsidR="00DE04C1" w:rsidRPr="0027489A">
        <w:t>g of</w:t>
      </w:r>
      <w:r w:rsidR="004554A9" w:rsidRPr="0027489A">
        <w:t xml:space="preserve"> the active ingredient </w:t>
      </w:r>
      <w:r w:rsidR="008F33F4" w:rsidRPr="0027489A">
        <w:t>diroximel fumarate</w:t>
      </w:r>
      <w:r w:rsidR="004554A9" w:rsidRPr="0027489A">
        <w:t>.</w:t>
      </w:r>
    </w:p>
    <w:p w14:paraId="6BF8FB04" w14:textId="77777777" w:rsidR="004554A9" w:rsidRPr="0027489A" w:rsidRDefault="004554A9" w:rsidP="00D67622">
      <w:pPr>
        <w:pStyle w:val="PINormal"/>
      </w:pPr>
    </w:p>
    <w:p w14:paraId="6348C451" w14:textId="36FEC8F5" w:rsidR="00742FC9" w:rsidRDefault="004A1AAE" w:rsidP="00D67622">
      <w:pPr>
        <w:pStyle w:val="PINormal"/>
      </w:pPr>
      <w:r w:rsidRPr="0027489A">
        <w:t>For the full list of excipients, see section 6.1</w:t>
      </w:r>
      <w:r w:rsidR="00936A5B" w:rsidRPr="0027489A">
        <w:t xml:space="preserve"> List of excipients</w:t>
      </w:r>
      <w:r w:rsidRPr="0027489A">
        <w:t>.</w:t>
      </w:r>
      <w:r w:rsidR="003D109B" w:rsidRPr="0027489A">
        <w:t xml:space="preserve"> </w:t>
      </w:r>
    </w:p>
    <w:p w14:paraId="6770267C" w14:textId="77777777" w:rsidR="00F05555" w:rsidRPr="0027489A" w:rsidRDefault="00F05555" w:rsidP="00D67622">
      <w:pPr>
        <w:pStyle w:val="PINormal"/>
      </w:pPr>
    </w:p>
    <w:p w14:paraId="79A048DD" w14:textId="77777777" w:rsidR="001A3992" w:rsidRPr="0027489A" w:rsidRDefault="001A3992" w:rsidP="00D67622">
      <w:pPr>
        <w:pStyle w:val="Heading1"/>
      </w:pPr>
      <w:r w:rsidRPr="0027489A">
        <w:t>Pharmaceutical form</w:t>
      </w:r>
    </w:p>
    <w:p w14:paraId="151846A4" w14:textId="11E0FD4F" w:rsidR="001A0EC2" w:rsidRPr="0027489A" w:rsidRDefault="004F5808" w:rsidP="00D67622">
      <w:pPr>
        <w:rPr>
          <w:lang w:val="en-US"/>
        </w:rPr>
      </w:pPr>
      <w:r w:rsidRPr="0027489A">
        <w:rPr>
          <w:lang w:val="en-US"/>
        </w:rPr>
        <w:t>Enteric</w:t>
      </w:r>
      <w:r w:rsidR="003D109B" w:rsidRPr="0027489A">
        <w:rPr>
          <w:lang w:val="en-US"/>
        </w:rPr>
        <w:t xml:space="preserve"> capsules.</w:t>
      </w:r>
    </w:p>
    <w:p w14:paraId="265888AC" w14:textId="431810A8" w:rsidR="004A1AAE" w:rsidRPr="0027489A" w:rsidRDefault="004A1AAE" w:rsidP="00D67622">
      <w:pPr>
        <w:rPr>
          <w:lang w:val="en-US"/>
        </w:rPr>
      </w:pPr>
    </w:p>
    <w:p w14:paraId="6BB176E8" w14:textId="548147D3" w:rsidR="00BA27F9" w:rsidRDefault="007003B9" w:rsidP="008B730A">
      <w:r w:rsidRPr="0027489A">
        <w:t xml:space="preserve">VUMERITY </w:t>
      </w:r>
      <w:r w:rsidR="00F55CF5" w:rsidRPr="0027489A">
        <w:t xml:space="preserve">is supplied as </w:t>
      </w:r>
      <w:r w:rsidR="00A95E91" w:rsidRPr="0027489A">
        <w:t>enteric coated minitablets</w:t>
      </w:r>
      <w:r w:rsidR="00BF460D" w:rsidRPr="0027489A">
        <w:t xml:space="preserve"> enclosed within </w:t>
      </w:r>
      <w:r w:rsidR="00F55CF5" w:rsidRPr="0027489A">
        <w:t xml:space="preserve">white </w:t>
      </w:r>
      <w:proofErr w:type="spellStart"/>
      <w:r w:rsidR="00BF460D" w:rsidRPr="0027489A">
        <w:t>hypromellose</w:t>
      </w:r>
      <w:proofErr w:type="spellEnd"/>
      <w:r w:rsidR="00BF460D" w:rsidRPr="0027489A">
        <w:t xml:space="preserve"> </w:t>
      </w:r>
      <w:r w:rsidR="00F55CF5" w:rsidRPr="0027489A">
        <w:t>capsules printed with “</w:t>
      </w:r>
      <w:r w:rsidR="00FF0B08" w:rsidRPr="0027489A">
        <w:t>DRF 231 mg</w:t>
      </w:r>
      <w:r w:rsidR="00F55CF5" w:rsidRPr="0027489A">
        <w:t xml:space="preserve">” in black ink on the capsule body. </w:t>
      </w:r>
    </w:p>
    <w:p w14:paraId="7EAD4F40" w14:textId="77777777" w:rsidR="00F05555" w:rsidRDefault="00F05555" w:rsidP="008B730A"/>
    <w:p w14:paraId="209E4E57" w14:textId="2C239254" w:rsidR="001A3992" w:rsidRPr="0027489A" w:rsidRDefault="001A3992" w:rsidP="00BA27F9">
      <w:pPr>
        <w:pStyle w:val="Heading1"/>
      </w:pPr>
      <w:r w:rsidRPr="0027489A">
        <w:t>Clinical particulars</w:t>
      </w:r>
    </w:p>
    <w:p w14:paraId="743024B0" w14:textId="77777777" w:rsidR="001A3992" w:rsidRPr="0027489A" w:rsidRDefault="001A3992" w:rsidP="00D67622">
      <w:pPr>
        <w:pStyle w:val="Heading2"/>
      </w:pPr>
      <w:r w:rsidRPr="0027489A">
        <w:t xml:space="preserve">Therapeutic indications </w:t>
      </w:r>
    </w:p>
    <w:p w14:paraId="24CD5BD5" w14:textId="45FB0C97" w:rsidR="00383B65" w:rsidRDefault="004A1AAE" w:rsidP="00D67622">
      <w:pPr>
        <w:pStyle w:val="PINormal"/>
        <w:rPr>
          <w:noProof/>
        </w:rPr>
      </w:pPr>
      <w:r w:rsidRPr="0027489A">
        <w:t>VUMERITY</w:t>
      </w:r>
      <w:r w:rsidR="003D109B" w:rsidRPr="0027489A">
        <w:t xml:space="preserve"> </w:t>
      </w:r>
      <w:r w:rsidR="003D109B" w:rsidRPr="0027489A">
        <w:rPr>
          <w:noProof/>
        </w:rPr>
        <w:t>is indicated in patients with relapsing multiple sclerosis to reduce the frequency of relapses and to delay</w:t>
      </w:r>
      <w:r w:rsidR="00442B6F" w:rsidRPr="0027489A">
        <w:rPr>
          <w:noProof/>
        </w:rPr>
        <w:t xml:space="preserve"> the progression of disability.</w:t>
      </w:r>
    </w:p>
    <w:p w14:paraId="3C505365" w14:textId="77777777" w:rsidR="001A3992" w:rsidRPr="0027489A" w:rsidRDefault="001A3992" w:rsidP="00D67622">
      <w:pPr>
        <w:pStyle w:val="Heading2"/>
      </w:pPr>
      <w:r w:rsidRPr="0027489A">
        <w:t xml:space="preserve">Dose and method of administration </w:t>
      </w:r>
    </w:p>
    <w:p w14:paraId="0E068A01" w14:textId="77777777" w:rsidR="004A1AAE" w:rsidRPr="0027489A" w:rsidRDefault="004A1AAE" w:rsidP="00D67622">
      <w:pPr>
        <w:pStyle w:val="PINormal"/>
      </w:pPr>
      <w:r w:rsidRPr="0027489A">
        <w:t xml:space="preserve">The starting dose for VUMERITY is 231 mg twice a day orally. After 7 days, the dose should be increased to the maintenance dose of 462 mg (administered as two 231 mg capsules) twice a day orally. Temporary dose reductions to 231 mg twice a day may be considered for individuals who do not tolerate the maintenance dose. Within 4 weeks, the recommended dose of 462 mg twice a day should be resumed. Discontinuation of VUMERITY should be considered for patients unable to tolerate return to the maintenance dose. </w:t>
      </w:r>
    </w:p>
    <w:p w14:paraId="2BE8F03A" w14:textId="77777777" w:rsidR="004A1AAE" w:rsidRPr="0027489A" w:rsidRDefault="004A1AAE" w:rsidP="00D67622">
      <w:pPr>
        <w:pStyle w:val="PINormal"/>
      </w:pPr>
    </w:p>
    <w:p w14:paraId="2254ACD3" w14:textId="4084B91A" w:rsidR="004A1AAE" w:rsidRDefault="004A1AAE" w:rsidP="00D67622">
      <w:pPr>
        <w:pStyle w:val="PINormal"/>
      </w:pPr>
      <w:r w:rsidRPr="0027489A">
        <w:t xml:space="preserve">VUMERITY should be swallowed whole and intact. VUMERITY should not be crushed or </w:t>
      </w:r>
      <w:proofErr w:type="gramStart"/>
      <w:r w:rsidRPr="0027489A">
        <w:t>chewed</w:t>
      </w:r>
      <w:proofErr w:type="gramEnd"/>
      <w:r w:rsidRPr="0027489A">
        <w:t xml:space="preserve"> and the capsule contents should not be sprinkled on food. VUMERITY can be taken with or without food.</w:t>
      </w:r>
    </w:p>
    <w:p w14:paraId="3EBDF316" w14:textId="18236843" w:rsidR="00D36B5C" w:rsidRDefault="00D36B5C" w:rsidP="00D67622">
      <w:pPr>
        <w:pStyle w:val="PINormal"/>
      </w:pPr>
    </w:p>
    <w:p w14:paraId="1894AFB1" w14:textId="403C22AE" w:rsidR="00D36B5C" w:rsidRPr="00D36B5C" w:rsidRDefault="00D36B5C" w:rsidP="00D67622">
      <w:pPr>
        <w:pStyle w:val="PINormal"/>
      </w:pPr>
      <w:r w:rsidRPr="00AC3EB0">
        <w:rPr>
          <w:lang w:val="en-AU"/>
        </w:rPr>
        <w:t>If a patient misses a dose, a double dose should not be taken. The patient may take the missed dose only if they leave 4 hours between doses. Otherwise, the patient should wait until the next scheduled dose.</w:t>
      </w:r>
    </w:p>
    <w:p w14:paraId="2163A0F1" w14:textId="77777777" w:rsidR="00D36B5C" w:rsidRPr="0027489A" w:rsidRDefault="00D36B5C" w:rsidP="00D67622">
      <w:pPr>
        <w:pStyle w:val="PINormal"/>
      </w:pPr>
    </w:p>
    <w:p w14:paraId="0A367C8E" w14:textId="668A53A2" w:rsidR="004A1AAE" w:rsidRPr="0027489A" w:rsidRDefault="004A1AAE" w:rsidP="00D67622">
      <w:pPr>
        <w:pStyle w:val="PINormal"/>
      </w:pPr>
      <w:r w:rsidRPr="0027489A">
        <w:lastRenderedPageBreak/>
        <w:t xml:space="preserve">Administration of 325 mg non-enteric coated aspirin prior to VUMERITY dosing may reduce the occurrence and severity of flushing (See Section </w:t>
      </w:r>
      <w:r w:rsidR="006B3116" w:rsidRPr="0027489A">
        <w:t>4.5</w:t>
      </w:r>
      <w:r w:rsidR="00BF0B2D">
        <w:t xml:space="preserve"> Interactions with other medicines and other forms of interactions</w:t>
      </w:r>
      <w:r w:rsidRPr="0027489A">
        <w:t>).</w:t>
      </w:r>
    </w:p>
    <w:p w14:paraId="17E7C77B" w14:textId="71F83CAF" w:rsidR="003A73EC" w:rsidRPr="0027489A" w:rsidRDefault="003A73EC" w:rsidP="00D67622">
      <w:pPr>
        <w:pStyle w:val="PINormal"/>
      </w:pPr>
    </w:p>
    <w:p w14:paraId="5B3CEB1A" w14:textId="2216FABD" w:rsidR="003A73EC" w:rsidRPr="0027489A" w:rsidRDefault="003A73EC" w:rsidP="00D67622">
      <w:pPr>
        <w:pStyle w:val="Heading3"/>
      </w:pPr>
      <w:r w:rsidRPr="0027489A">
        <w:t>Renal or hepatic impairment</w:t>
      </w:r>
    </w:p>
    <w:p w14:paraId="60E38B63" w14:textId="0F40319A" w:rsidR="003A73EC" w:rsidRPr="0027489A" w:rsidRDefault="003A73EC" w:rsidP="00D67622">
      <w:pPr>
        <w:pStyle w:val="PINormal"/>
      </w:pPr>
      <w:r w:rsidRPr="0027489A">
        <w:t>A single-dose clinical study of VUMERITY was conducted in patients with mild, moderate, and severe renal impairment. Degree of renal impairment had no effect on exposure to monomethyl fumarate (MMF). Therefore, no dosage adjustment is necessary in patients with renal impairment (</w:t>
      </w:r>
      <w:bookmarkStart w:id="1" w:name="_Hlk57358870"/>
      <w:r w:rsidR="0060730E" w:rsidRPr="0027489A">
        <w:t>s</w:t>
      </w:r>
      <w:r w:rsidRPr="0027489A">
        <w:t>ee</w:t>
      </w:r>
      <w:r w:rsidR="0060730E" w:rsidRPr="0027489A">
        <w:t xml:space="preserve"> Section 5.2 Pharmacokinetic properties</w:t>
      </w:r>
      <w:bookmarkEnd w:id="1"/>
      <w:r w:rsidRPr="0027489A">
        <w:t>). Long-term safety of VUMERITY has not been studied in patients with moderate or severe renal impairment. The adverse event profile in subjects with mild renal impairment did not identify new safety concerns as compared to subjects with no renal impairment in EVOLVE-MS-1, the ongoing, 96-week, open label study with V</w:t>
      </w:r>
      <w:r w:rsidR="0060730E" w:rsidRPr="0027489A">
        <w:t>UMERITY</w:t>
      </w:r>
      <w:r w:rsidRPr="0027489A">
        <w:t xml:space="preserve"> (</w:t>
      </w:r>
      <w:r w:rsidR="0060730E" w:rsidRPr="0027489A">
        <w:t>see Section 5.2 Pharmacokinetic properties</w:t>
      </w:r>
      <w:r w:rsidRPr="0027489A">
        <w:t>).</w:t>
      </w:r>
    </w:p>
    <w:p w14:paraId="14673A6C" w14:textId="77777777" w:rsidR="003A73EC" w:rsidRPr="0027489A" w:rsidRDefault="003A73EC" w:rsidP="00D67622">
      <w:pPr>
        <w:pStyle w:val="PINormal"/>
      </w:pPr>
    </w:p>
    <w:p w14:paraId="669DF5BB" w14:textId="5738F276" w:rsidR="003A73EC" w:rsidRPr="0027489A" w:rsidRDefault="003A73EC" w:rsidP="00D67622">
      <w:pPr>
        <w:pStyle w:val="PINormal"/>
      </w:pPr>
      <w:r w:rsidRPr="0027489A">
        <w:t>VUMERITY has not been studied in patients with hepatic impairment. Based on clinical pharmacology studies, no dose adjustments are needed.</w:t>
      </w:r>
    </w:p>
    <w:p w14:paraId="17AD07D5" w14:textId="30B08587" w:rsidR="00655C62" w:rsidRPr="0027489A" w:rsidRDefault="00655C62" w:rsidP="00D67622">
      <w:pPr>
        <w:pStyle w:val="PINormal"/>
      </w:pPr>
    </w:p>
    <w:p w14:paraId="7E59355A" w14:textId="77777777" w:rsidR="001A3992" w:rsidRPr="0027489A" w:rsidRDefault="001A3992" w:rsidP="00D67622">
      <w:pPr>
        <w:pStyle w:val="Heading2"/>
      </w:pPr>
      <w:r w:rsidRPr="0027489A">
        <w:t>Contraindications</w:t>
      </w:r>
    </w:p>
    <w:p w14:paraId="517ED822" w14:textId="28725B05" w:rsidR="005004E3" w:rsidRDefault="004A1AAE" w:rsidP="00D67622">
      <w:pPr>
        <w:pStyle w:val="PINormal"/>
      </w:pPr>
      <w:r w:rsidRPr="0027489A">
        <w:t>VUMERITY</w:t>
      </w:r>
      <w:r w:rsidR="005004E3" w:rsidRPr="0027489A">
        <w:t xml:space="preserve"> is contraindicated in patients with known hypersensitivity to </w:t>
      </w:r>
      <w:r w:rsidR="00B54161" w:rsidRPr="0027489A">
        <w:t>diroximel fumarate</w:t>
      </w:r>
      <w:r w:rsidRPr="0027489A">
        <w:t>,</w:t>
      </w:r>
      <w:r w:rsidR="005004E3" w:rsidRPr="0027489A">
        <w:t xml:space="preserve"> any excipients in this product</w:t>
      </w:r>
      <w:r w:rsidRPr="0027489A">
        <w:t>, or other fumaric acid derivatives</w:t>
      </w:r>
      <w:r w:rsidR="005004E3" w:rsidRPr="0027489A">
        <w:t xml:space="preserve">. </w:t>
      </w:r>
    </w:p>
    <w:p w14:paraId="6FF8A0DF" w14:textId="3AAEDA96" w:rsidR="0037647F" w:rsidRDefault="0037647F" w:rsidP="00D67622">
      <w:pPr>
        <w:pStyle w:val="PINormal"/>
      </w:pPr>
    </w:p>
    <w:p w14:paraId="523810A5" w14:textId="77777777" w:rsidR="0037647F" w:rsidRPr="0037647F" w:rsidRDefault="0037647F" w:rsidP="00D67622">
      <w:pPr>
        <w:pStyle w:val="PINormal"/>
      </w:pPr>
      <w:r w:rsidRPr="001A7DD4">
        <w:t>Suspected or confirmed Progressive Multifocal Leukoencephalopathy (PML).</w:t>
      </w:r>
    </w:p>
    <w:p w14:paraId="61047459" w14:textId="77777777" w:rsidR="0037647F" w:rsidRPr="0027489A" w:rsidRDefault="0037647F" w:rsidP="00D67622">
      <w:pPr>
        <w:pStyle w:val="PINormal"/>
      </w:pPr>
    </w:p>
    <w:p w14:paraId="629FE72E" w14:textId="77777777" w:rsidR="001A3992" w:rsidRPr="0027489A" w:rsidRDefault="00E74A56" w:rsidP="00D67622">
      <w:pPr>
        <w:pStyle w:val="Heading2"/>
      </w:pPr>
      <w:r w:rsidRPr="0027489A">
        <w:t>Special warnings and p</w:t>
      </w:r>
      <w:r w:rsidR="001A3992" w:rsidRPr="0027489A">
        <w:t xml:space="preserve">recautions </w:t>
      </w:r>
      <w:r w:rsidRPr="0027489A">
        <w:t>for use</w:t>
      </w:r>
    </w:p>
    <w:p w14:paraId="06FEC6CE" w14:textId="701BF29F" w:rsidR="004A1AAE" w:rsidRPr="0027489A" w:rsidRDefault="004A1AAE" w:rsidP="00D67622">
      <w:pPr>
        <w:rPr>
          <w:lang w:val="en-US"/>
        </w:rPr>
      </w:pPr>
      <w:r w:rsidRPr="0027489A">
        <w:rPr>
          <w:lang w:val="en-US"/>
        </w:rPr>
        <w:t xml:space="preserve">VUMERITY and </w:t>
      </w:r>
      <w:r w:rsidR="0000018D" w:rsidRPr="0027489A">
        <w:rPr>
          <w:lang w:val="en-US"/>
        </w:rPr>
        <w:t>TECFIDERA</w:t>
      </w:r>
      <w:r w:rsidR="00A340EB" w:rsidRPr="00A340EB">
        <w:rPr>
          <w:vertAlign w:val="superscript"/>
          <w:lang w:val="en-US"/>
        </w:rPr>
        <w:t>®</w:t>
      </w:r>
      <w:r w:rsidR="0000018D" w:rsidRPr="0027489A">
        <w:rPr>
          <w:lang w:val="en-US"/>
        </w:rPr>
        <w:t xml:space="preserve"> </w:t>
      </w:r>
      <w:r w:rsidRPr="0027489A">
        <w:rPr>
          <w:lang w:val="en-US"/>
        </w:rPr>
        <w:t xml:space="preserve">are </w:t>
      </w:r>
      <w:proofErr w:type="spellStart"/>
      <w:r w:rsidRPr="0027489A">
        <w:rPr>
          <w:lang w:val="en-US"/>
        </w:rPr>
        <w:t>metaboli</w:t>
      </w:r>
      <w:r w:rsidR="00F638C8" w:rsidRPr="0027489A">
        <w:rPr>
          <w:lang w:val="en-US"/>
        </w:rPr>
        <w:t>s</w:t>
      </w:r>
      <w:r w:rsidRPr="0027489A">
        <w:rPr>
          <w:lang w:val="en-US"/>
        </w:rPr>
        <w:t>ed</w:t>
      </w:r>
      <w:proofErr w:type="spellEnd"/>
      <w:r w:rsidRPr="0027489A">
        <w:rPr>
          <w:lang w:val="en-US"/>
        </w:rPr>
        <w:t xml:space="preserve"> to </w:t>
      </w:r>
      <w:r w:rsidR="00CC55D8" w:rsidRPr="0027489A">
        <w:rPr>
          <w:lang w:val="en-US"/>
        </w:rPr>
        <w:t>monomethyl fumarate</w:t>
      </w:r>
      <w:r w:rsidRPr="0027489A">
        <w:rPr>
          <w:lang w:val="en-US"/>
        </w:rPr>
        <w:t xml:space="preserve"> upon oral administration (</w:t>
      </w:r>
      <w:r w:rsidR="001E3270">
        <w:rPr>
          <w:lang w:val="en-US"/>
        </w:rPr>
        <w:t>s</w:t>
      </w:r>
      <w:r w:rsidRPr="0027489A">
        <w:rPr>
          <w:lang w:val="en-US"/>
        </w:rPr>
        <w:t>ee Section 4.2</w:t>
      </w:r>
      <w:r w:rsidR="00612F2F">
        <w:rPr>
          <w:lang w:val="en-US"/>
        </w:rPr>
        <w:t xml:space="preserve"> Dose and method of administration</w:t>
      </w:r>
      <w:r w:rsidRPr="0027489A">
        <w:rPr>
          <w:lang w:val="en-US"/>
        </w:rPr>
        <w:t xml:space="preserve">). The risks associated with VUMERITY are expected to be </w:t>
      </w:r>
      <w:proofErr w:type="gramStart"/>
      <w:r w:rsidRPr="0027489A">
        <w:rPr>
          <w:lang w:val="en-US"/>
        </w:rPr>
        <w:t>similar to</w:t>
      </w:r>
      <w:proofErr w:type="gramEnd"/>
      <w:r w:rsidRPr="0027489A">
        <w:rPr>
          <w:lang w:val="en-US"/>
        </w:rPr>
        <w:t xml:space="preserve"> those reported for dimethyl fumarate, even though not all the risks listed below have been observed specifically with VUMERITY.</w:t>
      </w:r>
    </w:p>
    <w:p w14:paraId="799CCB08" w14:textId="77777777" w:rsidR="002A32C7" w:rsidRPr="0027489A" w:rsidRDefault="002A32C7" w:rsidP="00D67622">
      <w:pPr>
        <w:rPr>
          <w:lang w:val="en-US"/>
        </w:rPr>
      </w:pPr>
    </w:p>
    <w:p w14:paraId="2B74AA13" w14:textId="31F03739" w:rsidR="007F4633" w:rsidRPr="0027489A" w:rsidRDefault="005004E3" w:rsidP="00D67622">
      <w:pPr>
        <w:pStyle w:val="Heading3"/>
      </w:pPr>
      <w:r w:rsidRPr="0027489A">
        <w:t>Infection</w:t>
      </w:r>
    </w:p>
    <w:p w14:paraId="74472DE6" w14:textId="7D397AE5" w:rsidR="005004E3" w:rsidRDefault="005004E3" w:rsidP="00D67622">
      <w:pPr>
        <w:pStyle w:val="PINormal"/>
      </w:pPr>
      <w:r w:rsidRPr="0027489A">
        <w:t xml:space="preserve">Decreases in lymphocyte counts observed in patients treated with TECFIDERA in clinical trials were not associated with increased frequencies of infections. However, due to the risk of serious, possibly fatal infection, patients who develop lymphopenia </w:t>
      </w:r>
      <w:proofErr w:type="gramStart"/>
      <w:r w:rsidRPr="0027489A">
        <w:t>as a result of</w:t>
      </w:r>
      <w:proofErr w:type="gramEnd"/>
      <w:r w:rsidRPr="0027489A">
        <w:t xml:space="preserve"> treatment with </w:t>
      </w:r>
      <w:r w:rsidR="004A1AAE" w:rsidRPr="0027489A">
        <w:t>VUMERITY</w:t>
      </w:r>
      <w:r w:rsidRPr="0027489A">
        <w:t xml:space="preserve"> require close monitoring. Patients should be instructed to report symptoms of infection to their physician. For patients with signs and symptoms of serious infections, interrupting treatment with </w:t>
      </w:r>
      <w:r w:rsidR="004A1AAE" w:rsidRPr="0027489A">
        <w:t>VUMERITY</w:t>
      </w:r>
      <w:r w:rsidRPr="0027489A">
        <w:t xml:space="preserve"> should be considered until the infection(s) resolves.</w:t>
      </w:r>
    </w:p>
    <w:p w14:paraId="11B99504" w14:textId="179684B6" w:rsidR="00273F19" w:rsidRDefault="00273F19" w:rsidP="00D67622">
      <w:pPr>
        <w:pStyle w:val="PINormal"/>
      </w:pPr>
    </w:p>
    <w:p w14:paraId="046DEDD2" w14:textId="4B8DF5F9" w:rsidR="00273F19" w:rsidRPr="0027489A" w:rsidRDefault="00273F19" w:rsidP="00D67622">
      <w:pPr>
        <w:pStyle w:val="PINormal"/>
      </w:pPr>
      <w:r w:rsidRPr="001A7DD4">
        <w:rPr>
          <w:lang w:val="en-AU"/>
        </w:rPr>
        <w:t xml:space="preserve">Serious cases of herpes zoster have occurred with TECFIDERA, including disseminated herpes zoster, herpes zoster </w:t>
      </w:r>
      <w:proofErr w:type="spellStart"/>
      <w:r w:rsidRPr="001A7DD4">
        <w:rPr>
          <w:lang w:val="en-AU"/>
        </w:rPr>
        <w:t>ophthalmicus</w:t>
      </w:r>
      <w:proofErr w:type="spellEnd"/>
      <w:r w:rsidRPr="001A7DD4">
        <w:rPr>
          <w:lang w:val="en-AU"/>
        </w:rPr>
        <w:t xml:space="preserve">, herpes zoster meningoencephalitis and herpes zoster meningomyelitis. These events may occur at any time during treatment. Monitor patients on VUMERITY for signs and symptoms of herpes zoster. If herpes zoster occurs, appropriate treatment for herpes zoster should be administered. Consider withholding VUMERITY treatment in patients with serious infections until the infection has resolved (see Section 4.8 Adverse effects, </w:t>
      </w:r>
      <w:proofErr w:type="gramStart"/>
      <w:r w:rsidRPr="001A7DD4">
        <w:rPr>
          <w:lang w:val="en-AU"/>
        </w:rPr>
        <w:t>Post-marketing</w:t>
      </w:r>
      <w:proofErr w:type="gramEnd"/>
      <w:r w:rsidRPr="001A7DD4">
        <w:rPr>
          <w:lang w:val="en-AU"/>
        </w:rPr>
        <w:t xml:space="preserve"> experience).</w:t>
      </w:r>
    </w:p>
    <w:p w14:paraId="5ABAAAD0" w14:textId="77777777" w:rsidR="002E5DD9" w:rsidRPr="0027489A" w:rsidRDefault="002E5DD9" w:rsidP="00D67622">
      <w:pPr>
        <w:pStyle w:val="PINormal"/>
      </w:pPr>
    </w:p>
    <w:p w14:paraId="4637E4C6" w14:textId="7231875B" w:rsidR="007F4633" w:rsidRPr="0027489A" w:rsidRDefault="005004E3" w:rsidP="00D67622">
      <w:pPr>
        <w:pStyle w:val="Heading3"/>
        <w:rPr>
          <w:i/>
        </w:rPr>
      </w:pPr>
      <w:r w:rsidRPr="0027489A">
        <w:t>Lymphopenia</w:t>
      </w:r>
    </w:p>
    <w:p w14:paraId="60BC939B" w14:textId="212CB0BC" w:rsidR="00874545" w:rsidRPr="0027489A" w:rsidRDefault="004A1AAE" w:rsidP="00D67622">
      <w:r w:rsidRPr="0027489A">
        <w:t>VUMERITY</w:t>
      </w:r>
      <w:r w:rsidR="005004E3" w:rsidRPr="0027489A">
        <w:t xml:space="preserve"> may decrease lymphocyte counts </w:t>
      </w:r>
      <w:r w:rsidR="00F620C0" w:rsidRPr="0027489A">
        <w:rPr>
          <w:iCs/>
        </w:rPr>
        <w:t>(see Section 4.8</w:t>
      </w:r>
      <w:r w:rsidR="0081388C" w:rsidRPr="0027489A">
        <w:rPr>
          <w:iCs/>
        </w:rPr>
        <w:t xml:space="preserve"> Adverse effects</w:t>
      </w:r>
      <w:r w:rsidR="00A1714D">
        <w:rPr>
          <w:iCs/>
        </w:rPr>
        <w:t xml:space="preserve"> [</w:t>
      </w:r>
      <w:r w:rsidR="0003233A">
        <w:rPr>
          <w:iCs/>
        </w:rPr>
        <w:t>Undesirable effects]</w:t>
      </w:r>
      <w:r w:rsidR="005004E3" w:rsidRPr="0027489A">
        <w:rPr>
          <w:iCs/>
        </w:rPr>
        <w:t>).</w:t>
      </w:r>
      <w:r w:rsidR="005004E3" w:rsidRPr="0027489A">
        <w:rPr>
          <w:i/>
          <w:iCs/>
        </w:rPr>
        <w:t xml:space="preserve"> </w:t>
      </w:r>
      <w:r w:rsidR="00874545" w:rsidRPr="0027489A">
        <w:t>In EVOLVE-MS-1, the 96-week, open label clinical study with VUMERITY, VUMERITY was discontinued in patients with confirmed lymphocyte counts &lt;0.5 x 10</w:t>
      </w:r>
      <w:r w:rsidR="00874545" w:rsidRPr="0027489A">
        <w:rPr>
          <w:vertAlign w:val="superscript"/>
        </w:rPr>
        <w:t>9</w:t>
      </w:r>
      <w:r w:rsidR="00874545" w:rsidRPr="0027489A">
        <w:t xml:space="preserve">/L which </w:t>
      </w:r>
      <w:r w:rsidR="00874545" w:rsidRPr="0027489A">
        <w:lastRenderedPageBreak/>
        <w:t>persisted for ≥</w:t>
      </w:r>
      <w:r w:rsidR="00705640" w:rsidRPr="0027489A">
        <w:t> </w:t>
      </w:r>
      <w:r w:rsidR="00874545" w:rsidRPr="0027489A">
        <w:t>4 weeks. In an interim analysis of this study, 12.3% of patients (n=129) had lymphocyte counts ≥0.5 x 10</w:t>
      </w:r>
      <w:r w:rsidR="00874545" w:rsidRPr="0027489A">
        <w:rPr>
          <w:vertAlign w:val="superscript"/>
        </w:rPr>
        <w:t>9</w:t>
      </w:r>
      <w:r w:rsidR="00874545" w:rsidRPr="0027489A">
        <w:t>/L and &lt;0.8 x 10</w:t>
      </w:r>
      <w:r w:rsidR="00874545" w:rsidRPr="0027489A">
        <w:rPr>
          <w:vertAlign w:val="superscript"/>
        </w:rPr>
        <w:t>9</w:t>
      </w:r>
      <w:r w:rsidR="00874545" w:rsidRPr="0027489A">
        <w:t>/L for at least 6 months, 1.5% (n=16) of patients discontinued VUMERITY due to confirmed lymphocyte counts &lt;0.5 x 10</w:t>
      </w:r>
      <w:r w:rsidR="00874545" w:rsidRPr="0027489A">
        <w:rPr>
          <w:vertAlign w:val="superscript"/>
        </w:rPr>
        <w:t>9</w:t>
      </w:r>
      <w:r w:rsidR="00874545" w:rsidRPr="0027489A">
        <w:t>/L which persisted for ≥ 4 weeks, and an additional 0.5% (n=5) of patients who discontinued treatment with VUMERITY due to low lymphocyte or leukocyte counts had at least one lymphocyte value of &lt; 0.5 X 10</w:t>
      </w:r>
      <w:r w:rsidR="00874545" w:rsidRPr="0027489A">
        <w:rPr>
          <w:vertAlign w:val="superscript"/>
        </w:rPr>
        <w:t>9</w:t>
      </w:r>
      <w:r w:rsidR="00874545" w:rsidRPr="0027489A">
        <w:t xml:space="preserve">/L. </w:t>
      </w:r>
    </w:p>
    <w:p w14:paraId="2DE419A6" w14:textId="77777777" w:rsidR="00874545" w:rsidRPr="0027489A" w:rsidRDefault="00874545" w:rsidP="00D67622"/>
    <w:p w14:paraId="31D26824" w14:textId="7D48828D" w:rsidR="005004E3" w:rsidRPr="0027489A" w:rsidRDefault="005004E3" w:rsidP="00D67622">
      <w:r w:rsidRPr="0027489A">
        <w:t xml:space="preserve">In the </w:t>
      </w:r>
      <w:r w:rsidR="00D127D8" w:rsidRPr="0027489A">
        <w:t>TECFIDERA</w:t>
      </w:r>
      <w:r w:rsidRPr="0027489A">
        <w:t xml:space="preserve"> </w:t>
      </w:r>
      <w:r w:rsidR="00837054" w:rsidRPr="0027489A">
        <w:t>multiple sclerosis (</w:t>
      </w:r>
      <w:r w:rsidRPr="0027489A">
        <w:t>MS</w:t>
      </w:r>
      <w:r w:rsidR="00837054" w:rsidRPr="0027489A">
        <w:t>)</w:t>
      </w:r>
      <w:r w:rsidRPr="0027489A">
        <w:t xml:space="preserve"> placebo</w:t>
      </w:r>
      <w:r w:rsidR="00B2476D" w:rsidRPr="0027489A">
        <w:t>-</w:t>
      </w:r>
      <w:r w:rsidRPr="0027489A">
        <w:t>controlled trials, mean lymphocyte counts decreased by approximately 30% during the first year of treatment with TECFIDERA and then remained stable. WBC counts &lt;3.0 x 10</w:t>
      </w:r>
      <w:r w:rsidRPr="0027489A">
        <w:rPr>
          <w:vertAlign w:val="superscript"/>
        </w:rPr>
        <w:t>9</w:t>
      </w:r>
      <w:r w:rsidRPr="0027489A">
        <w:t>/L and lymphocyte counts &lt;0.5 x 10</w:t>
      </w:r>
      <w:r w:rsidRPr="0027489A">
        <w:rPr>
          <w:vertAlign w:val="superscript"/>
        </w:rPr>
        <w:t>9</w:t>
      </w:r>
      <w:r w:rsidRPr="0027489A">
        <w:t>/L were reported in 6 to 7% of subjects given TECFIDERA.</w:t>
      </w:r>
      <w:r w:rsidRPr="0027489A">
        <w:rPr>
          <w:i/>
          <w:iCs/>
        </w:rPr>
        <w:t xml:space="preserve">  </w:t>
      </w:r>
      <w:r w:rsidRPr="0027489A">
        <w:t xml:space="preserve">Prior to initiating treatment with </w:t>
      </w:r>
      <w:r w:rsidR="004A1AAE" w:rsidRPr="0027489A">
        <w:t>VUMERITY</w:t>
      </w:r>
      <w:r w:rsidRPr="0027489A">
        <w:t>, a recent complete blood count (CBC) including lymphocytes (</w:t>
      </w:r>
      <w:proofErr w:type="gramStart"/>
      <w:r w:rsidRPr="0027489A">
        <w:t>i.e.</w:t>
      </w:r>
      <w:proofErr w:type="gramEnd"/>
      <w:r w:rsidRPr="0027489A">
        <w:t xml:space="preserve"> within 6 months) is recommended.  A CBC, including lymphocytes, is also recommended, after 6 months of treatment and every 6 to 12 months thereafter, and as clinically indicated.  In clinical studies</w:t>
      </w:r>
      <w:r w:rsidR="004A1AAE" w:rsidRPr="0027489A">
        <w:t xml:space="preserve"> of </w:t>
      </w:r>
      <w:r w:rsidR="00837054" w:rsidRPr="0027489A">
        <w:t>TECFIDERA</w:t>
      </w:r>
      <w:r w:rsidRPr="0027489A">
        <w:t>, 9% of patients had lymphocyte counts ≥0.5 x 10</w:t>
      </w:r>
      <w:r w:rsidRPr="0027489A">
        <w:rPr>
          <w:vertAlign w:val="superscript"/>
        </w:rPr>
        <w:t>9</w:t>
      </w:r>
      <w:r w:rsidRPr="0027489A">
        <w:t>/L and &lt;0.8 x 10</w:t>
      </w:r>
      <w:r w:rsidRPr="0027489A">
        <w:rPr>
          <w:vertAlign w:val="superscript"/>
        </w:rPr>
        <w:t>9</w:t>
      </w:r>
      <w:r w:rsidRPr="0027489A">
        <w:t>/L for at least six months. 2% experienced lymphocyte counts &lt;0.5 x 10</w:t>
      </w:r>
      <w:r w:rsidRPr="0027489A">
        <w:rPr>
          <w:vertAlign w:val="superscript"/>
        </w:rPr>
        <w:t>9</w:t>
      </w:r>
      <w:r w:rsidRPr="0027489A">
        <w:t xml:space="preserve">/L, for at least six months and in this group </w:t>
      </w:r>
      <w:proofErr w:type="gramStart"/>
      <w:r w:rsidRPr="0027489A">
        <w:t>the majority of</w:t>
      </w:r>
      <w:proofErr w:type="gramEnd"/>
      <w:r w:rsidRPr="0027489A">
        <w:t xml:space="preserve"> lymphocyte counts remained &lt;0.5 x 10</w:t>
      </w:r>
      <w:r w:rsidRPr="0027489A">
        <w:rPr>
          <w:vertAlign w:val="superscript"/>
        </w:rPr>
        <w:t>9</w:t>
      </w:r>
      <w:r w:rsidRPr="0027489A">
        <w:t>/L with continued therapy.</w:t>
      </w:r>
    </w:p>
    <w:p w14:paraId="6FF1FD66" w14:textId="77777777" w:rsidR="005004E3" w:rsidRPr="0027489A" w:rsidRDefault="005004E3" w:rsidP="00D67622">
      <w:pPr>
        <w:pStyle w:val="PINormal"/>
      </w:pPr>
    </w:p>
    <w:p w14:paraId="31932778" w14:textId="61C5670A" w:rsidR="005004E3" w:rsidRPr="0027489A" w:rsidRDefault="005004E3" w:rsidP="00D67622">
      <w:pPr>
        <w:pStyle w:val="PINormal"/>
      </w:pPr>
      <w:r w:rsidRPr="0027489A">
        <w:t xml:space="preserve">Consider interruption of </w:t>
      </w:r>
      <w:r w:rsidR="004A1AAE" w:rsidRPr="0027489A">
        <w:t>VUMERITY</w:t>
      </w:r>
      <w:r w:rsidRPr="0027489A">
        <w:t xml:space="preserve"> in patients with lymphocyte counts &lt;0.5 x 10</w:t>
      </w:r>
      <w:r w:rsidRPr="0027489A">
        <w:rPr>
          <w:vertAlign w:val="superscript"/>
        </w:rPr>
        <w:t>9</w:t>
      </w:r>
      <w:r w:rsidRPr="0027489A">
        <w:t>/L persisting for more than six months. Lymphocytes counts should be followed until recovery. Assess the benefit/risk in patients that experience moderate lymphopenia for more than 6 months.</w:t>
      </w:r>
    </w:p>
    <w:p w14:paraId="755DF258" w14:textId="77777777" w:rsidR="005004E3" w:rsidRPr="0027489A" w:rsidRDefault="005004E3" w:rsidP="00D67622">
      <w:pPr>
        <w:pStyle w:val="PINormal"/>
      </w:pPr>
    </w:p>
    <w:p w14:paraId="30270C50" w14:textId="6D0EC25F" w:rsidR="005004E3" w:rsidRDefault="005004E3" w:rsidP="00D67622">
      <w:pPr>
        <w:pStyle w:val="PINormal"/>
      </w:pPr>
      <w:r w:rsidRPr="0027489A">
        <w:t xml:space="preserve">Interrupting treatment should be considered in patients with serious infections until the infection(s) resolved. </w:t>
      </w:r>
      <w:r w:rsidR="004A1AAE" w:rsidRPr="0027489A">
        <w:t>VUMERITY</w:t>
      </w:r>
      <w:r w:rsidRPr="0027489A">
        <w:t xml:space="preserve"> has not been studied in patients with pre-existing low lymphocyte counts and caution should be exercised when treating these patients.</w:t>
      </w:r>
    </w:p>
    <w:p w14:paraId="3073BCFA" w14:textId="63259E62" w:rsidR="00272371" w:rsidRDefault="00272371" w:rsidP="00D67622">
      <w:pPr>
        <w:pStyle w:val="PINormal"/>
      </w:pPr>
    </w:p>
    <w:p w14:paraId="17D38B49" w14:textId="77777777" w:rsidR="00272371" w:rsidRPr="001A7DD4" w:rsidRDefault="00272371" w:rsidP="00D67622">
      <w:pPr>
        <w:pStyle w:val="Heading3"/>
        <w:rPr>
          <w:rFonts w:eastAsiaTheme="minorHAnsi"/>
        </w:rPr>
      </w:pPr>
      <w:r w:rsidRPr="001A7DD4">
        <w:rPr>
          <w:rFonts w:eastAsiaTheme="minorHAnsi"/>
        </w:rPr>
        <w:t>Magnetic resonance imaging (MRI)</w:t>
      </w:r>
    </w:p>
    <w:p w14:paraId="3539EE18" w14:textId="7253BA26" w:rsidR="00272371" w:rsidRPr="001A7DD4" w:rsidRDefault="00272371" w:rsidP="00D67622">
      <w:r w:rsidRPr="001A7DD4">
        <w:rPr>
          <w:rFonts w:eastAsiaTheme="minorHAnsi"/>
        </w:rPr>
        <w:t>Before initiating treatment, a baseline MRI should be available (usually within 3 months) as a reference</w:t>
      </w:r>
      <w:r w:rsidRPr="00D67622">
        <w:rPr>
          <w:rFonts w:eastAsiaTheme="minorHAnsi"/>
        </w:rPr>
        <w:t>. The need for further MRI scanning should be considered in accordance with national recommendations. MRI imaging</w:t>
      </w:r>
      <w:r w:rsidRPr="001A7DD4">
        <w:rPr>
          <w:rFonts w:eastAsiaTheme="minorHAnsi"/>
        </w:rPr>
        <w:t xml:space="preserve"> may be considered as part of increased vigilance in patients considered at increased risk of PML. In case of clinical suspicion of PML, MRI should be performed immediately for diagnostic purposes.</w:t>
      </w:r>
    </w:p>
    <w:p w14:paraId="4A824CE2" w14:textId="77777777" w:rsidR="002E5DD9" w:rsidRPr="001A7DD4" w:rsidRDefault="002E5DD9" w:rsidP="00D67622">
      <w:pPr>
        <w:pStyle w:val="PINormal"/>
      </w:pPr>
    </w:p>
    <w:p w14:paraId="03CC681A" w14:textId="47198D7B" w:rsidR="007F4633" w:rsidRPr="001A7DD4" w:rsidRDefault="005004E3" w:rsidP="00D67622">
      <w:pPr>
        <w:pStyle w:val="Heading3"/>
        <w:rPr>
          <w:i/>
        </w:rPr>
      </w:pPr>
      <w:r w:rsidRPr="001A7DD4">
        <w:t xml:space="preserve">Progressive Multifocal </w:t>
      </w:r>
      <w:r w:rsidR="00B37BDB" w:rsidRPr="001A7DD4">
        <w:t>Leukoencephalopathy</w:t>
      </w:r>
    </w:p>
    <w:p w14:paraId="23D9F0C0" w14:textId="73538EF4" w:rsidR="001D1A72" w:rsidRPr="001A7DD4" w:rsidRDefault="001D1A72" w:rsidP="00D67622">
      <w:pPr>
        <w:pStyle w:val="PINormal"/>
        <w:rPr>
          <w:lang w:val="en-AU"/>
        </w:rPr>
      </w:pPr>
      <w:r w:rsidRPr="001A7DD4">
        <w:rPr>
          <w:lang w:val="en-AU"/>
        </w:rPr>
        <w:t>PML has been reported in patients treated with dimethyl fumarate. PML is an opportunistic infection</w:t>
      </w:r>
      <w:r w:rsidR="00524C55" w:rsidRPr="001A7DD4">
        <w:rPr>
          <w:lang w:val="en-AU"/>
        </w:rPr>
        <w:t xml:space="preserve"> </w:t>
      </w:r>
      <w:r w:rsidRPr="001A7DD4">
        <w:rPr>
          <w:lang w:val="en-AU"/>
        </w:rPr>
        <w:t>caused by John Cunningham virus (JCV), which may be fatal or result in severe disability.</w:t>
      </w:r>
    </w:p>
    <w:p w14:paraId="67A02365" w14:textId="77777777" w:rsidR="00524C55" w:rsidRPr="001A7DD4" w:rsidRDefault="00524C55" w:rsidP="00D67622">
      <w:pPr>
        <w:pStyle w:val="PINormal"/>
        <w:rPr>
          <w:lang w:val="en-AU"/>
        </w:rPr>
      </w:pPr>
    </w:p>
    <w:p w14:paraId="73F22AC1" w14:textId="1A1564D8" w:rsidR="001D1A72" w:rsidRPr="001A7DD4" w:rsidRDefault="001D1A72" w:rsidP="00D67622">
      <w:pPr>
        <w:pStyle w:val="PINormal"/>
        <w:rPr>
          <w:lang w:val="en-AU"/>
        </w:rPr>
      </w:pPr>
      <w:r w:rsidRPr="001A7DD4">
        <w:rPr>
          <w:lang w:val="en-AU"/>
        </w:rPr>
        <w:t>PML cases have occurred with dimethyl fumarate and other medicinal products containing fumarates</w:t>
      </w:r>
      <w:r w:rsidR="00524C55" w:rsidRPr="001A7DD4">
        <w:rPr>
          <w:lang w:val="en-AU"/>
        </w:rPr>
        <w:t xml:space="preserve"> </w:t>
      </w:r>
      <w:r w:rsidRPr="001A7DD4">
        <w:rPr>
          <w:lang w:val="en-AU"/>
        </w:rPr>
        <w:t>in the setting of lymphopenia (lymphocyte counts below lower limit of normal [LLN]). Prolonged</w:t>
      </w:r>
      <w:r w:rsidR="00B9746F" w:rsidRPr="001A7DD4">
        <w:rPr>
          <w:lang w:val="en-AU"/>
        </w:rPr>
        <w:t xml:space="preserve"> </w:t>
      </w:r>
      <w:r w:rsidRPr="001A7DD4">
        <w:rPr>
          <w:lang w:val="en-AU"/>
        </w:rPr>
        <w:t>moderate to severe lymphopenia appears to increase the risk of PML with dimethyl fumarate,</w:t>
      </w:r>
      <w:r w:rsidR="00B9746F" w:rsidRPr="001A7DD4">
        <w:rPr>
          <w:lang w:val="en-AU"/>
        </w:rPr>
        <w:t xml:space="preserve"> </w:t>
      </w:r>
      <w:r w:rsidRPr="001A7DD4">
        <w:rPr>
          <w:lang w:val="en-AU"/>
        </w:rPr>
        <w:t>however, risk cannot be excluded in patients with mild lymphopenia.</w:t>
      </w:r>
    </w:p>
    <w:p w14:paraId="41CA8052" w14:textId="77777777" w:rsidR="00B9746F" w:rsidRPr="001A7DD4" w:rsidRDefault="00B9746F" w:rsidP="00D67622">
      <w:pPr>
        <w:pStyle w:val="PINormal"/>
        <w:rPr>
          <w:lang w:val="en-AU"/>
        </w:rPr>
      </w:pPr>
    </w:p>
    <w:p w14:paraId="5886C1EF" w14:textId="49FE0928" w:rsidR="001D1A72" w:rsidRPr="001A7DD4" w:rsidRDefault="001D1A72" w:rsidP="00D67622">
      <w:pPr>
        <w:pStyle w:val="PINormal"/>
        <w:rPr>
          <w:lang w:val="en-AU"/>
        </w:rPr>
      </w:pPr>
      <w:r w:rsidRPr="001A7DD4">
        <w:rPr>
          <w:lang w:val="en-AU"/>
        </w:rPr>
        <w:t>Additional factors that might contribute to an increased risk for PML in the setting of lymphopenia</w:t>
      </w:r>
      <w:r w:rsidR="00B9746F" w:rsidRPr="001A7DD4">
        <w:rPr>
          <w:lang w:val="en-AU"/>
        </w:rPr>
        <w:t xml:space="preserve"> </w:t>
      </w:r>
      <w:r w:rsidRPr="001A7DD4">
        <w:rPr>
          <w:lang w:val="en-AU"/>
        </w:rPr>
        <w:t>are:</w:t>
      </w:r>
    </w:p>
    <w:p w14:paraId="2503F517" w14:textId="44AB35CF" w:rsidR="001D1A72" w:rsidRPr="001A7DD4" w:rsidRDefault="001D1A72" w:rsidP="00D67622">
      <w:pPr>
        <w:pStyle w:val="PINormal"/>
        <w:numPr>
          <w:ilvl w:val="0"/>
          <w:numId w:val="18"/>
        </w:numPr>
        <w:spacing w:before="60"/>
        <w:ind w:left="714" w:hanging="357"/>
        <w:rPr>
          <w:lang w:val="en-AU"/>
        </w:rPr>
      </w:pPr>
      <w:r w:rsidRPr="001A7DD4">
        <w:rPr>
          <w:lang w:val="en-AU"/>
        </w:rPr>
        <w:t xml:space="preserve">duration of </w:t>
      </w:r>
      <w:bookmarkStart w:id="2" w:name="_Hlk92195489"/>
      <w:r w:rsidRPr="001A7DD4">
        <w:rPr>
          <w:lang w:val="en-AU"/>
        </w:rPr>
        <w:t>V</w:t>
      </w:r>
      <w:r w:rsidR="00CE7EE7" w:rsidRPr="001A7DD4">
        <w:rPr>
          <w:lang w:val="en-AU"/>
        </w:rPr>
        <w:t>UMERITY</w:t>
      </w:r>
      <w:bookmarkEnd w:id="2"/>
      <w:r w:rsidRPr="001A7DD4">
        <w:rPr>
          <w:lang w:val="en-AU"/>
        </w:rPr>
        <w:t xml:space="preserve"> therapy. Cases of PML have occurred after approximately 1 to 5 years of</w:t>
      </w:r>
      <w:r w:rsidR="008A6694" w:rsidRPr="001A7DD4">
        <w:rPr>
          <w:lang w:val="en-AU"/>
        </w:rPr>
        <w:t xml:space="preserve"> </w:t>
      </w:r>
      <w:r w:rsidRPr="001A7DD4">
        <w:rPr>
          <w:lang w:val="en-AU"/>
        </w:rPr>
        <w:t>dimethyl fumarate treatment, although the exact relationship with duration of treatment is</w:t>
      </w:r>
      <w:r w:rsidR="008A6694" w:rsidRPr="001A7DD4">
        <w:rPr>
          <w:lang w:val="en-AU"/>
        </w:rPr>
        <w:t xml:space="preserve"> </w:t>
      </w:r>
      <w:r w:rsidRPr="001A7DD4">
        <w:rPr>
          <w:lang w:val="en-AU"/>
        </w:rPr>
        <w:t>unknown</w:t>
      </w:r>
    </w:p>
    <w:p w14:paraId="1CF785E1" w14:textId="11554F4B" w:rsidR="001D1A72" w:rsidRPr="001A7DD4" w:rsidRDefault="001D1A72" w:rsidP="00D67622">
      <w:pPr>
        <w:pStyle w:val="PINormal"/>
        <w:numPr>
          <w:ilvl w:val="0"/>
          <w:numId w:val="18"/>
        </w:numPr>
        <w:spacing w:before="60"/>
        <w:ind w:left="714" w:hanging="357"/>
        <w:rPr>
          <w:lang w:val="en-AU"/>
        </w:rPr>
      </w:pPr>
      <w:r w:rsidRPr="001A7DD4">
        <w:rPr>
          <w:lang w:val="en-AU"/>
        </w:rPr>
        <w:t>profound decreases in CD4+ and especially in CD8+ T cell counts, which are important for</w:t>
      </w:r>
      <w:r w:rsidR="008A6694" w:rsidRPr="001A7DD4">
        <w:rPr>
          <w:lang w:val="en-AU"/>
        </w:rPr>
        <w:t xml:space="preserve"> </w:t>
      </w:r>
      <w:r w:rsidRPr="001A7DD4">
        <w:rPr>
          <w:lang w:val="en-AU"/>
        </w:rPr>
        <w:t xml:space="preserve">immunological </w:t>
      </w:r>
      <w:proofErr w:type="spellStart"/>
      <w:r w:rsidRPr="001A7DD4">
        <w:rPr>
          <w:lang w:val="en-AU"/>
        </w:rPr>
        <w:t>defense</w:t>
      </w:r>
      <w:proofErr w:type="spellEnd"/>
      <w:r w:rsidRPr="001A7DD4">
        <w:rPr>
          <w:lang w:val="en-AU"/>
        </w:rPr>
        <w:t xml:space="preserve"> (see section 4.8</w:t>
      </w:r>
      <w:r w:rsidR="00EA1BF6" w:rsidRPr="001A7DD4">
        <w:rPr>
          <w:szCs w:val="22"/>
          <w:lang w:val="en-AU"/>
        </w:rPr>
        <w:t xml:space="preserve"> </w:t>
      </w:r>
      <w:r w:rsidR="00EA1BF6" w:rsidRPr="001A7DD4">
        <w:rPr>
          <w:lang w:val="en-AU"/>
        </w:rPr>
        <w:t>Adverse effects [Undesirable effects]</w:t>
      </w:r>
      <w:r w:rsidRPr="001A7DD4">
        <w:rPr>
          <w:lang w:val="en-AU"/>
        </w:rPr>
        <w:t>), and</w:t>
      </w:r>
    </w:p>
    <w:p w14:paraId="32F79818" w14:textId="0E148345" w:rsidR="001D1A72" w:rsidRPr="001A7DD4" w:rsidRDefault="001D1A72" w:rsidP="00D67622">
      <w:pPr>
        <w:pStyle w:val="PINormal"/>
        <w:numPr>
          <w:ilvl w:val="0"/>
          <w:numId w:val="18"/>
        </w:numPr>
        <w:spacing w:before="60"/>
        <w:ind w:left="714" w:hanging="357"/>
        <w:rPr>
          <w:lang w:val="en-AU"/>
        </w:rPr>
      </w:pPr>
      <w:r w:rsidRPr="001A7DD4">
        <w:rPr>
          <w:lang w:val="en-AU"/>
        </w:rPr>
        <w:t>prior immunosuppressive or immunomodulatory therapy (see below).</w:t>
      </w:r>
    </w:p>
    <w:p w14:paraId="34BCA4AB" w14:textId="44061467" w:rsidR="008A6694" w:rsidRPr="001A7DD4" w:rsidRDefault="008A6694" w:rsidP="00D67622">
      <w:pPr>
        <w:pStyle w:val="PINormal"/>
        <w:rPr>
          <w:lang w:val="en-AU"/>
        </w:rPr>
      </w:pPr>
    </w:p>
    <w:p w14:paraId="3101E12C" w14:textId="4ACFF958" w:rsidR="00530CF4" w:rsidRPr="001A7DD4" w:rsidRDefault="00530CF4" w:rsidP="00D67622">
      <w:pPr>
        <w:pStyle w:val="PINormal"/>
        <w:rPr>
          <w:lang w:val="en-AU"/>
        </w:rPr>
      </w:pPr>
      <w:r w:rsidRPr="001A7DD4">
        <w:rPr>
          <w:lang w:val="en-AU"/>
        </w:rPr>
        <w:t>Physicians should evaluate their patients to determine if the symptoms are indicative of neurological dysfunction and, if so, whether these symptoms are typical of MS or possibly suggestive of PML.</w:t>
      </w:r>
    </w:p>
    <w:p w14:paraId="18D49F87" w14:textId="77777777" w:rsidR="008E4169" w:rsidRPr="001A7DD4" w:rsidRDefault="008E4169" w:rsidP="00D67622">
      <w:pPr>
        <w:pStyle w:val="PINormal"/>
        <w:rPr>
          <w:lang w:val="en-AU"/>
        </w:rPr>
      </w:pPr>
    </w:p>
    <w:p w14:paraId="5B7586BC" w14:textId="00F22F38" w:rsidR="00530CF4" w:rsidRPr="001A7DD4" w:rsidRDefault="00530CF4" w:rsidP="00D67622">
      <w:pPr>
        <w:pStyle w:val="PINormal"/>
        <w:rPr>
          <w:lang w:val="en-AU"/>
        </w:rPr>
      </w:pPr>
      <w:r w:rsidRPr="001A7DD4">
        <w:rPr>
          <w:lang w:val="en-AU"/>
        </w:rPr>
        <w:t xml:space="preserve">At the first sign or symptom suggestive of PML, </w:t>
      </w:r>
      <w:r w:rsidR="007C7325" w:rsidRPr="001A7DD4">
        <w:rPr>
          <w:lang w:val="en-AU"/>
        </w:rPr>
        <w:t>VUMERITY</w:t>
      </w:r>
      <w:r w:rsidRPr="001A7DD4">
        <w:rPr>
          <w:lang w:val="en-AU"/>
        </w:rPr>
        <w:t xml:space="preserve"> should be withheld and appropriate</w:t>
      </w:r>
      <w:r w:rsidR="008E4169" w:rsidRPr="001A7DD4">
        <w:rPr>
          <w:lang w:val="en-AU"/>
        </w:rPr>
        <w:t xml:space="preserve"> </w:t>
      </w:r>
      <w:r w:rsidRPr="001A7DD4">
        <w:rPr>
          <w:lang w:val="en-AU"/>
        </w:rPr>
        <w:t>diagnostic evaluations, including determination of JCV DNA in cerebrospinal fluid (CSF) by</w:t>
      </w:r>
      <w:r w:rsidR="008E4169" w:rsidRPr="001A7DD4">
        <w:rPr>
          <w:lang w:val="en-AU"/>
        </w:rPr>
        <w:t xml:space="preserve"> </w:t>
      </w:r>
      <w:r w:rsidRPr="001A7DD4">
        <w:rPr>
          <w:lang w:val="en-AU"/>
        </w:rPr>
        <w:t>quantitative polymerase chain reaction (PCR) methodology, need to be performed. The symptoms of</w:t>
      </w:r>
      <w:r w:rsidR="008E4169" w:rsidRPr="001A7DD4">
        <w:rPr>
          <w:lang w:val="en-AU"/>
        </w:rPr>
        <w:t xml:space="preserve"> </w:t>
      </w:r>
      <w:r w:rsidRPr="001A7DD4">
        <w:rPr>
          <w:lang w:val="en-AU"/>
        </w:rPr>
        <w:t xml:space="preserve">PML may be </w:t>
      </w:r>
      <w:proofErr w:type="gramStart"/>
      <w:r w:rsidRPr="001A7DD4">
        <w:rPr>
          <w:lang w:val="en-AU"/>
        </w:rPr>
        <w:t>similar to</w:t>
      </w:r>
      <w:proofErr w:type="gramEnd"/>
      <w:r w:rsidRPr="001A7DD4">
        <w:rPr>
          <w:lang w:val="en-AU"/>
        </w:rPr>
        <w:t xml:space="preserve"> an MS relapse. Typical symptoms associated with PML are diverse, progress</w:t>
      </w:r>
      <w:r w:rsidR="008E4169" w:rsidRPr="001A7DD4">
        <w:rPr>
          <w:lang w:val="en-AU"/>
        </w:rPr>
        <w:t xml:space="preserve"> </w:t>
      </w:r>
      <w:r w:rsidRPr="001A7DD4">
        <w:rPr>
          <w:lang w:val="en-AU"/>
        </w:rPr>
        <w:t>over days to weeks, and include progressive weakness on one side of the body or clumsiness of limbs,</w:t>
      </w:r>
      <w:r w:rsidR="008E4169" w:rsidRPr="001A7DD4">
        <w:rPr>
          <w:lang w:val="en-AU"/>
        </w:rPr>
        <w:t xml:space="preserve"> </w:t>
      </w:r>
      <w:r w:rsidRPr="001A7DD4">
        <w:rPr>
          <w:lang w:val="en-AU"/>
        </w:rPr>
        <w:t>disturbance of vision, and changes in thinking, memory, and orientation leading to confusion and</w:t>
      </w:r>
      <w:r w:rsidR="008E4169" w:rsidRPr="001A7DD4">
        <w:rPr>
          <w:lang w:val="en-AU"/>
        </w:rPr>
        <w:t xml:space="preserve"> </w:t>
      </w:r>
      <w:r w:rsidRPr="001A7DD4">
        <w:rPr>
          <w:lang w:val="en-AU"/>
        </w:rPr>
        <w:t>personality changes. Physicians should be particularly alert to symptoms suggestive of PML that the</w:t>
      </w:r>
      <w:r w:rsidR="008E4169" w:rsidRPr="001A7DD4">
        <w:rPr>
          <w:lang w:val="en-AU"/>
        </w:rPr>
        <w:t xml:space="preserve"> </w:t>
      </w:r>
      <w:r w:rsidRPr="001A7DD4">
        <w:rPr>
          <w:lang w:val="en-AU"/>
        </w:rPr>
        <w:t>patient may not notice. Patients should also be advised to inform their partner or caregivers about their</w:t>
      </w:r>
      <w:r w:rsidR="008E4169" w:rsidRPr="001A7DD4">
        <w:rPr>
          <w:lang w:val="en-AU"/>
        </w:rPr>
        <w:t xml:space="preserve"> </w:t>
      </w:r>
      <w:r w:rsidRPr="001A7DD4">
        <w:rPr>
          <w:lang w:val="en-AU"/>
        </w:rPr>
        <w:t>treatment, since they may notice symptoms that the patient is not aware of.</w:t>
      </w:r>
    </w:p>
    <w:p w14:paraId="76BB7F13" w14:textId="77777777" w:rsidR="008E4169" w:rsidRPr="001A7DD4" w:rsidRDefault="008E4169" w:rsidP="00D67622">
      <w:pPr>
        <w:pStyle w:val="PINormal"/>
        <w:rPr>
          <w:lang w:val="en-AU"/>
        </w:rPr>
      </w:pPr>
    </w:p>
    <w:p w14:paraId="0B038935" w14:textId="39B8D595" w:rsidR="00530CF4" w:rsidRPr="001A7DD4" w:rsidRDefault="00530CF4" w:rsidP="00D67622">
      <w:pPr>
        <w:pStyle w:val="PINormal"/>
        <w:rPr>
          <w:lang w:val="en-AU"/>
        </w:rPr>
      </w:pPr>
      <w:r w:rsidRPr="001A7DD4">
        <w:rPr>
          <w:lang w:val="en-AU"/>
        </w:rPr>
        <w:t>PML can only occur in the presence of a JCV infection. It should be considered that the influence of</w:t>
      </w:r>
      <w:r w:rsidR="008E4169" w:rsidRPr="001A7DD4">
        <w:rPr>
          <w:lang w:val="en-AU"/>
        </w:rPr>
        <w:t xml:space="preserve"> </w:t>
      </w:r>
      <w:r w:rsidRPr="001A7DD4">
        <w:rPr>
          <w:lang w:val="en-AU"/>
        </w:rPr>
        <w:t>lymphopenia on the accuracy of serum anti-JCV antibody testing has not been studied in dimethyl</w:t>
      </w:r>
      <w:r w:rsidR="008E4169" w:rsidRPr="001A7DD4">
        <w:rPr>
          <w:lang w:val="en-AU"/>
        </w:rPr>
        <w:t xml:space="preserve"> </w:t>
      </w:r>
      <w:r w:rsidRPr="001A7DD4">
        <w:rPr>
          <w:lang w:val="en-AU"/>
        </w:rPr>
        <w:t xml:space="preserve">fumarate or </w:t>
      </w:r>
      <w:r w:rsidR="007C7325" w:rsidRPr="001A7DD4">
        <w:rPr>
          <w:lang w:val="en-AU"/>
        </w:rPr>
        <w:t>VUMERITY</w:t>
      </w:r>
      <w:r w:rsidRPr="001A7DD4">
        <w:rPr>
          <w:lang w:val="en-AU"/>
        </w:rPr>
        <w:t xml:space="preserve"> treated patients. It should also be noted that a negative anti-JCV antibody test</w:t>
      </w:r>
      <w:r w:rsidR="008E4169" w:rsidRPr="001A7DD4">
        <w:rPr>
          <w:lang w:val="en-AU"/>
        </w:rPr>
        <w:t xml:space="preserve"> </w:t>
      </w:r>
      <w:r w:rsidRPr="001A7DD4">
        <w:rPr>
          <w:lang w:val="en-AU"/>
        </w:rPr>
        <w:t>(in the presence of normal lymphocyte counts) does not preclude the possibility of subsequent JCV</w:t>
      </w:r>
      <w:r w:rsidR="008E4169" w:rsidRPr="001A7DD4">
        <w:rPr>
          <w:lang w:val="en-AU"/>
        </w:rPr>
        <w:t xml:space="preserve"> </w:t>
      </w:r>
      <w:r w:rsidRPr="001A7DD4">
        <w:rPr>
          <w:lang w:val="en-AU"/>
        </w:rPr>
        <w:t>infection.</w:t>
      </w:r>
    </w:p>
    <w:p w14:paraId="14C62FA1" w14:textId="77777777" w:rsidR="008E4169" w:rsidRPr="001A7DD4" w:rsidRDefault="008E4169" w:rsidP="00D67622">
      <w:pPr>
        <w:pStyle w:val="PINormal"/>
        <w:rPr>
          <w:lang w:val="en-AU"/>
        </w:rPr>
      </w:pPr>
    </w:p>
    <w:p w14:paraId="5A8B503E" w14:textId="1F0376BD" w:rsidR="00466BB1" w:rsidRPr="001A7DD4" w:rsidRDefault="00530CF4" w:rsidP="00D67622">
      <w:pPr>
        <w:pStyle w:val="PINormal"/>
      </w:pPr>
      <w:r w:rsidRPr="001A7DD4">
        <w:rPr>
          <w:lang w:val="en-AU"/>
        </w:rPr>
        <w:t xml:space="preserve">If a patient develops PML, </w:t>
      </w:r>
      <w:r w:rsidR="00B22A60" w:rsidRPr="001A7DD4">
        <w:rPr>
          <w:lang w:val="en-AU"/>
        </w:rPr>
        <w:t>VUMERITY</w:t>
      </w:r>
      <w:r w:rsidRPr="001A7DD4">
        <w:rPr>
          <w:lang w:val="en-AU"/>
        </w:rPr>
        <w:t xml:space="preserve"> must be permanently discontinued.</w:t>
      </w:r>
    </w:p>
    <w:p w14:paraId="5EC43060" w14:textId="77777777" w:rsidR="00466BB1" w:rsidRPr="001A7DD4" w:rsidRDefault="00466BB1" w:rsidP="00D67622">
      <w:pPr>
        <w:pStyle w:val="PINormal"/>
      </w:pPr>
    </w:p>
    <w:p w14:paraId="5EC4E306" w14:textId="77777777" w:rsidR="003C0F49" w:rsidRPr="001A7DD4" w:rsidRDefault="003C0F49" w:rsidP="00D67622">
      <w:pPr>
        <w:pStyle w:val="Heading3"/>
        <w:rPr>
          <w:rFonts w:eastAsiaTheme="minorHAnsi"/>
        </w:rPr>
      </w:pPr>
      <w:r w:rsidRPr="001A7DD4">
        <w:rPr>
          <w:rFonts w:eastAsiaTheme="minorHAnsi"/>
        </w:rPr>
        <w:t>Prior treatment with immunosuppressive or immunomodulating therapies</w:t>
      </w:r>
    </w:p>
    <w:p w14:paraId="33F005F8" w14:textId="77777777" w:rsidR="00D9390D" w:rsidRPr="001A7DD4" w:rsidRDefault="003C0F49" w:rsidP="00D67622">
      <w:pPr>
        <w:rPr>
          <w:rFonts w:eastAsiaTheme="minorHAnsi"/>
        </w:rPr>
      </w:pPr>
      <w:r w:rsidRPr="001A7DD4">
        <w:rPr>
          <w:rFonts w:eastAsiaTheme="minorHAnsi"/>
        </w:rPr>
        <w:t>No studies have been performed evaluating the efficacy and safety of diroximel fumarate when</w:t>
      </w:r>
      <w:r w:rsidR="00913FEF" w:rsidRPr="001A7DD4">
        <w:rPr>
          <w:rFonts w:eastAsiaTheme="minorHAnsi"/>
        </w:rPr>
        <w:t xml:space="preserve"> </w:t>
      </w:r>
      <w:r w:rsidRPr="001A7DD4">
        <w:rPr>
          <w:rFonts w:eastAsiaTheme="minorHAnsi"/>
        </w:rPr>
        <w:t>switching patients from other disease modifying therapies. The contribution of prior</w:t>
      </w:r>
      <w:r w:rsidR="00535528" w:rsidRPr="001A7DD4">
        <w:rPr>
          <w:rFonts w:eastAsiaTheme="minorHAnsi"/>
        </w:rPr>
        <w:t xml:space="preserve"> </w:t>
      </w:r>
      <w:r w:rsidRPr="001A7DD4">
        <w:rPr>
          <w:rFonts w:eastAsiaTheme="minorHAnsi"/>
        </w:rPr>
        <w:t>immunosuppressive therapy to the development of PML is possible.</w:t>
      </w:r>
    </w:p>
    <w:p w14:paraId="1C5AA45F" w14:textId="77777777" w:rsidR="00D9390D" w:rsidRPr="001A7DD4" w:rsidRDefault="00D9390D" w:rsidP="00D67622">
      <w:pPr>
        <w:rPr>
          <w:rFonts w:eastAsiaTheme="minorHAnsi"/>
        </w:rPr>
      </w:pPr>
    </w:p>
    <w:p w14:paraId="52ADD4BB" w14:textId="77777777" w:rsidR="00D9390D" w:rsidRPr="001A7DD4" w:rsidRDefault="003C0F49" w:rsidP="00D67622">
      <w:pPr>
        <w:rPr>
          <w:rFonts w:eastAsiaTheme="minorHAnsi"/>
        </w:rPr>
      </w:pPr>
      <w:r w:rsidRPr="001A7DD4">
        <w:rPr>
          <w:rFonts w:eastAsiaTheme="minorHAnsi"/>
        </w:rPr>
        <w:t>PML cases have occurred in patients who had previously been treated with natalizumab, for which</w:t>
      </w:r>
      <w:r w:rsidR="00535528" w:rsidRPr="001A7DD4">
        <w:rPr>
          <w:rFonts w:eastAsiaTheme="minorHAnsi"/>
        </w:rPr>
        <w:t xml:space="preserve"> </w:t>
      </w:r>
      <w:r w:rsidRPr="001A7DD4">
        <w:rPr>
          <w:rFonts w:eastAsiaTheme="minorHAnsi"/>
        </w:rPr>
        <w:t>PML is an established risk. Physicians should be aware that cases of PML occurring following recent</w:t>
      </w:r>
      <w:r w:rsidR="00535528" w:rsidRPr="001A7DD4">
        <w:rPr>
          <w:rFonts w:eastAsiaTheme="minorHAnsi"/>
        </w:rPr>
        <w:t xml:space="preserve"> </w:t>
      </w:r>
      <w:r w:rsidRPr="001A7DD4">
        <w:rPr>
          <w:rFonts w:eastAsiaTheme="minorHAnsi"/>
        </w:rPr>
        <w:t>discontinuation of natalizumab may not have lymphopenia.</w:t>
      </w:r>
      <w:r w:rsidR="00535528" w:rsidRPr="001A7DD4">
        <w:rPr>
          <w:rFonts w:eastAsiaTheme="minorHAnsi"/>
        </w:rPr>
        <w:t xml:space="preserve"> </w:t>
      </w:r>
    </w:p>
    <w:p w14:paraId="7470A7DE" w14:textId="77777777" w:rsidR="00D9390D" w:rsidRPr="001A7DD4" w:rsidRDefault="00D9390D" w:rsidP="00D67622">
      <w:pPr>
        <w:rPr>
          <w:rFonts w:eastAsiaTheme="minorHAnsi"/>
        </w:rPr>
      </w:pPr>
    </w:p>
    <w:p w14:paraId="1A5FAF2D" w14:textId="20E4EFB4" w:rsidR="003C0F49" w:rsidRPr="001A7DD4" w:rsidRDefault="003C0F49" w:rsidP="00D67622">
      <w:pPr>
        <w:rPr>
          <w:rFonts w:eastAsiaTheme="minorHAnsi"/>
        </w:rPr>
      </w:pPr>
      <w:r w:rsidRPr="001A7DD4">
        <w:rPr>
          <w:rFonts w:eastAsiaTheme="minorHAnsi"/>
        </w:rPr>
        <w:t>In addition, a majority of confirmed PML cases with dimethyl fumarate occurred in patients with prior</w:t>
      </w:r>
      <w:r w:rsidR="00D9390D" w:rsidRPr="001A7DD4">
        <w:rPr>
          <w:rFonts w:eastAsiaTheme="minorHAnsi"/>
        </w:rPr>
        <w:t xml:space="preserve"> </w:t>
      </w:r>
      <w:r w:rsidRPr="001A7DD4">
        <w:rPr>
          <w:rFonts w:eastAsiaTheme="minorHAnsi"/>
        </w:rPr>
        <w:t>immunomodulatory treatment.</w:t>
      </w:r>
    </w:p>
    <w:p w14:paraId="09CC9034" w14:textId="77777777" w:rsidR="00D9390D" w:rsidRPr="001A7DD4" w:rsidRDefault="00D9390D" w:rsidP="00D67622">
      <w:pPr>
        <w:rPr>
          <w:rFonts w:eastAsiaTheme="minorHAnsi"/>
        </w:rPr>
      </w:pPr>
    </w:p>
    <w:p w14:paraId="1543A711" w14:textId="3545F6DB" w:rsidR="003C0F49" w:rsidRPr="001A7DD4" w:rsidRDefault="003C0F49" w:rsidP="00D67622">
      <w:r w:rsidRPr="001A7DD4">
        <w:rPr>
          <w:rFonts w:eastAsiaTheme="minorHAnsi"/>
        </w:rPr>
        <w:t>When switching patients from another disease modifying therapy to VUMERITY, the half-life and</w:t>
      </w:r>
      <w:r w:rsidR="001C6608" w:rsidRPr="001A7DD4">
        <w:rPr>
          <w:rFonts w:eastAsiaTheme="minorHAnsi"/>
        </w:rPr>
        <w:t xml:space="preserve"> </w:t>
      </w:r>
      <w:r w:rsidRPr="001A7DD4">
        <w:rPr>
          <w:rFonts w:eastAsiaTheme="minorHAnsi"/>
        </w:rPr>
        <w:t xml:space="preserve">mechanism of action of the other therapy should be considered </w:t>
      </w:r>
      <w:proofErr w:type="gramStart"/>
      <w:r w:rsidRPr="001A7DD4">
        <w:rPr>
          <w:rFonts w:eastAsiaTheme="minorHAnsi"/>
        </w:rPr>
        <w:t>in order to</w:t>
      </w:r>
      <w:proofErr w:type="gramEnd"/>
      <w:r w:rsidRPr="001A7DD4">
        <w:rPr>
          <w:rFonts w:eastAsiaTheme="minorHAnsi"/>
        </w:rPr>
        <w:t xml:space="preserve"> avoid an additive immune</w:t>
      </w:r>
      <w:r w:rsidR="001C6608" w:rsidRPr="001A7DD4">
        <w:rPr>
          <w:rFonts w:eastAsiaTheme="minorHAnsi"/>
        </w:rPr>
        <w:t xml:space="preserve"> </w:t>
      </w:r>
      <w:r w:rsidRPr="001A7DD4">
        <w:rPr>
          <w:rFonts w:eastAsiaTheme="minorHAnsi"/>
        </w:rPr>
        <w:t>effect while at the same time, reducing the risk of reactivation of MS. A complete blood count is</w:t>
      </w:r>
      <w:r w:rsidR="001C6608" w:rsidRPr="001A7DD4">
        <w:rPr>
          <w:rFonts w:eastAsiaTheme="minorHAnsi"/>
        </w:rPr>
        <w:t xml:space="preserve"> </w:t>
      </w:r>
      <w:r w:rsidRPr="001A7DD4">
        <w:rPr>
          <w:rFonts w:eastAsiaTheme="minorHAnsi"/>
        </w:rPr>
        <w:t>recommended prior to treatment initiation and regularly during treatment</w:t>
      </w:r>
      <w:r w:rsidR="00815BFC" w:rsidRPr="001A7DD4">
        <w:rPr>
          <w:rFonts w:eastAsiaTheme="minorHAnsi"/>
        </w:rPr>
        <w:t xml:space="preserve"> </w:t>
      </w:r>
      <w:r w:rsidR="007C6838" w:rsidRPr="001A7DD4">
        <w:rPr>
          <w:rFonts w:eastAsiaTheme="minorHAnsi"/>
        </w:rPr>
        <w:t>(see Lymphopenia above)</w:t>
      </w:r>
      <w:r w:rsidRPr="001A7DD4">
        <w:rPr>
          <w:rFonts w:eastAsiaTheme="minorHAnsi"/>
        </w:rPr>
        <w:t>.</w:t>
      </w:r>
    </w:p>
    <w:p w14:paraId="41D833E1" w14:textId="1E4B2910" w:rsidR="00AD31D5" w:rsidRPr="001A7DD4" w:rsidRDefault="00AD31D5" w:rsidP="00D67622">
      <w:pPr>
        <w:pStyle w:val="PINormal"/>
      </w:pPr>
    </w:p>
    <w:p w14:paraId="3A3CB532" w14:textId="77777777" w:rsidR="00AD31D5" w:rsidRPr="001A7DD4" w:rsidRDefault="00AD31D5" w:rsidP="00D67622">
      <w:pPr>
        <w:pStyle w:val="Heading3"/>
        <w:rPr>
          <w:rFonts w:eastAsiaTheme="minorHAnsi"/>
        </w:rPr>
      </w:pPr>
      <w:r w:rsidRPr="001A7DD4">
        <w:rPr>
          <w:rFonts w:eastAsiaTheme="minorHAnsi"/>
        </w:rPr>
        <w:t>Flushing</w:t>
      </w:r>
    </w:p>
    <w:p w14:paraId="460003A6" w14:textId="77777777" w:rsidR="00AD31D5" w:rsidRPr="001A7DD4" w:rsidRDefault="00AD31D5" w:rsidP="00D67622">
      <w:pPr>
        <w:rPr>
          <w:rFonts w:eastAsiaTheme="minorHAnsi"/>
        </w:rPr>
      </w:pPr>
      <w:r w:rsidRPr="001A7DD4">
        <w:rPr>
          <w:rFonts w:eastAsiaTheme="minorHAnsi"/>
        </w:rPr>
        <w:t>In dimethyl fumarate pivotal clinical trials, 3 patients out of a total of 2,560 patients treated with</w:t>
      </w:r>
    </w:p>
    <w:p w14:paraId="28085B5A" w14:textId="2EAC147A" w:rsidR="00AD31D5" w:rsidRPr="001A7DD4" w:rsidRDefault="00AD31D5" w:rsidP="00D67622">
      <w:pPr>
        <w:rPr>
          <w:rFonts w:eastAsiaTheme="minorHAnsi"/>
        </w:rPr>
      </w:pPr>
      <w:r w:rsidRPr="001A7DD4">
        <w:rPr>
          <w:rFonts w:eastAsiaTheme="minorHAnsi"/>
        </w:rPr>
        <w:t>dimethyl fumarate experienced serious flushing symptoms that were probable hypersensitivity or</w:t>
      </w:r>
      <w:r w:rsidR="00C66F7F" w:rsidRPr="001A7DD4">
        <w:rPr>
          <w:rFonts w:eastAsiaTheme="minorHAnsi"/>
        </w:rPr>
        <w:t xml:space="preserve"> </w:t>
      </w:r>
      <w:r w:rsidRPr="001A7DD4">
        <w:rPr>
          <w:rFonts w:eastAsiaTheme="minorHAnsi"/>
        </w:rPr>
        <w:t>anaphylactoid reactions. These adverse reactions were not life-threatening but led to hospitalisation.</w:t>
      </w:r>
      <w:r w:rsidR="00DD3907" w:rsidRPr="001A7DD4">
        <w:rPr>
          <w:rFonts w:eastAsiaTheme="minorHAnsi"/>
        </w:rPr>
        <w:t xml:space="preserve"> </w:t>
      </w:r>
      <w:r w:rsidRPr="001A7DD4">
        <w:rPr>
          <w:rFonts w:eastAsiaTheme="minorHAnsi"/>
        </w:rPr>
        <w:t>Prescribers and patients should be alert to this possibility in the event of severe flushing reactions with</w:t>
      </w:r>
      <w:r w:rsidR="00C66F7F" w:rsidRPr="001A7DD4">
        <w:rPr>
          <w:rFonts w:eastAsiaTheme="minorHAnsi"/>
        </w:rPr>
        <w:t xml:space="preserve"> </w:t>
      </w:r>
      <w:r w:rsidRPr="001A7DD4">
        <w:rPr>
          <w:rFonts w:eastAsiaTheme="minorHAnsi"/>
        </w:rPr>
        <w:t>V</w:t>
      </w:r>
      <w:r w:rsidR="00DD3907" w:rsidRPr="001A7DD4">
        <w:rPr>
          <w:rFonts w:eastAsiaTheme="minorHAnsi"/>
        </w:rPr>
        <w:t>UMERITY</w:t>
      </w:r>
      <w:r w:rsidRPr="001A7DD4">
        <w:rPr>
          <w:rFonts w:eastAsiaTheme="minorHAnsi"/>
        </w:rPr>
        <w:t xml:space="preserve"> (see sections 4.2</w:t>
      </w:r>
      <w:r w:rsidR="00DD3907" w:rsidRPr="001A7DD4">
        <w:rPr>
          <w:rFonts w:eastAsiaTheme="minorHAnsi"/>
        </w:rPr>
        <w:t xml:space="preserve"> Dose and method of admin</w:t>
      </w:r>
      <w:r w:rsidR="00F32B98" w:rsidRPr="001A7DD4">
        <w:rPr>
          <w:rFonts w:eastAsiaTheme="minorHAnsi"/>
        </w:rPr>
        <w:t>istration</w:t>
      </w:r>
      <w:r w:rsidRPr="001A7DD4">
        <w:rPr>
          <w:rFonts w:eastAsiaTheme="minorHAnsi"/>
        </w:rPr>
        <w:t>, 4.5</w:t>
      </w:r>
      <w:r w:rsidR="003C09E5" w:rsidRPr="001A7DD4">
        <w:rPr>
          <w:rFonts w:eastAsiaTheme="minorHAnsi"/>
        </w:rPr>
        <w:t xml:space="preserve"> Interactio</w:t>
      </w:r>
      <w:r w:rsidR="00131E09" w:rsidRPr="001A7DD4">
        <w:rPr>
          <w:rFonts w:eastAsiaTheme="minorHAnsi"/>
        </w:rPr>
        <w:t>ns with other medicines and other forms of interactions</w:t>
      </w:r>
      <w:r w:rsidRPr="001A7DD4">
        <w:rPr>
          <w:rFonts w:eastAsiaTheme="minorHAnsi"/>
        </w:rPr>
        <w:t xml:space="preserve"> and 4.8</w:t>
      </w:r>
      <w:r w:rsidR="000E1498" w:rsidRPr="001A7DD4">
        <w:rPr>
          <w:rFonts w:eastAsiaTheme="minorHAnsi"/>
        </w:rPr>
        <w:t xml:space="preserve"> Adverse effects</w:t>
      </w:r>
      <w:r w:rsidR="000966F5" w:rsidRPr="001A7DD4">
        <w:rPr>
          <w:rFonts w:eastAsiaTheme="minorHAnsi"/>
        </w:rPr>
        <w:t xml:space="preserve"> [Un</w:t>
      </w:r>
      <w:r w:rsidR="00FD55FC" w:rsidRPr="001A7DD4">
        <w:rPr>
          <w:rFonts w:eastAsiaTheme="minorHAnsi"/>
        </w:rPr>
        <w:t>desirable effects]</w:t>
      </w:r>
      <w:r w:rsidRPr="001A7DD4">
        <w:rPr>
          <w:rFonts w:eastAsiaTheme="minorHAnsi"/>
        </w:rPr>
        <w:t>).</w:t>
      </w:r>
    </w:p>
    <w:p w14:paraId="77C90170" w14:textId="77777777" w:rsidR="00093BC1" w:rsidRPr="001A7DD4" w:rsidRDefault="00093BC1" w:rsidP="00D67622">
      <w:pPr>
        <w:rPr>
          <w:rFonts w:eastAsiaTheme="minorHAnsi"/>
        </w:rPr>
      </w:pPr>
    </w:p>
    <w:p w14:paraId="44731AFC" w14:textId="022E5403" w:rsidR="00AD31D5" w:rsidRPr="0027489A" w:rsidRDefault="00AD31D5" w:rsidP="00D67622">
      <w:r w:rsidRPr="001A7DD4">
        <w:rPr>
          <w:rFonts w:eastAsiaTheme="minorHAnsi"/>
        </w:rPr>
        <w:lastRenderedPageBreak/>
        <w:t>Data from healthy volunteer studies suggest that dimethyl fumarate-associated flushing is likely to be</w:t>
      </w:r>
      <w:r w:rsidR="00093BC1" w:rsidRPr="001A7DD4">
        <w:rPr>
          <w:rFonts w:eastAsiaTheme="minorHAnsi"/>
        </w:rPr>
        <w:t xml:space="preserve"> </w:t>
      </w:r>
      <w:r w:rsidRPr="001A7DD4">
        <w:rPr>
          <w:rFonts w:eastAsiaTheme="minorHAnsi"/>
        </w:rPr>
        <w:t>prostaglandin mediated. A short course of treatment with 75 mg non-enteric coated a</w:t>
      </w:r>
      <w:r w:rsidR="00511CAF" w:rsidRPr="001A7DD4">
        <w:rPr>
          <w:rFonts w:eastAsiaTheme="minorHAnsi"/>
        </w:rPr>
        <w:t>spirin</w:t>
      </w:r>
      <w:r w:rsidR="00093BC1" w:rsidRPr="001A7DD4">
        <w:rPr>
          <w:rFonts w:eastAsiaTheme="minorHAnsi"/>
        </w:rPr>
        <w:t xml:space="preserve"> </w:t>
      </w:r>
      <w:r w:rsidRPr="001A7DD4">
        <w:rPr>
          <w:rFonts w:eastAsiaTheme="minorHAnsi"/>
        </w:rPr>
        <w:t>may be beneficial in patients affected by intolerable flushing (see section 4.5</w:t>
      </w:r>
      <w:r w:rsidR="00B2392A" w:rsidRPr="001A7DD4">
        <w:rPr>
          <w:rFonts w:eastAsiaTheme="minorHAnsi"/>
        </w:rPr>
        <w:t xml:space="preserve"> </w:t>
      </w:r>
      <w:r w:rsidR="00093BC1" w:rsidRPr="001A7DD4">
        <w:rPr>
          <w:rFonts w:eastAsiaTheme="minorHAnsi"/>
        </w:rPr>
        <w:t>Interactions with other medicines and other forms of interactions</w:t>
      </w:r>
      <w:r w:rsidRPr="001A7DD4">
        <w:rPr>
          <w:rFonts w:eastAsiaTheme="minorHAnsi"/>
        </w:rPr>
        <w:t>). In two healthy</w:t>
      </w:r>
      <w:r w:rsidR="00093BC1" w:rsidRPr="001A7DD4">
        <w:rPr>
          <w:rFonts w:eastAsiaTheme="minorHAnsi"/>
        </w:rPr>
        <w:t xml:space="preserve"> </w:t>
      </w:r>
      <w:r w:rsidRPr="001A7DD4">
        <w:rPr>
          <w:rFonts w:eastAsiaTheme="minorHAnsi"/>
        </w:rPr>
        <w:t>volunteer studies, the occurrence and severity of flushing over the dosing period was reduced.</w:t>
      </w:r>
    </w:p>
    <w:p w14:paraId="6107A6AF" w14:textId="77777777" w:rsidR="002E5DD9" w:rsidRPr="0027489A" w:rsidRDefault="002E5DD9" w:rsidP="00D67622">
      <w:pPr>
        <w:pStyle w:val="PINormal"/>
      </w:pPr>
    </w:p>
    <w:p w14:paraId="3B6C854C" w14:textId="77777777" w:rsidR="00B37BDB" w:rsidRPr="0027489A" w:rsidRDefault="00B37BDB" w:rsidP="00D67622">
      <w:pPr>
        <w:pStyle w:val="Heading3"/>
      </w:pPr>
      <w:r w:rsidRPr="0027489A">
        <w:t>Anaphylactic reactions</w:t>
      </w:r>
    </w:p>
    <w:p w14:paraId="67877505" w14:textId="46C13C38" w:rsidR="00B37BDB" w:rsidRPr="0027489A" w:rsidRDefault="00B37BDB" w:rsidP="00D67622">
      <w:pPr>
        <w:pStyle w:val="PINormal"/>
      </w:pPr>
      <w:r w:rsidRPr="0027489A">
        <w:t xml:space="preserve">Cases of anaphylaxis have been reported following TECFIDERA administration. These reactions generally occurred after the first dose, but may occur at any time during treatment, and may be serious and life threatening. Patients should be instructed to discontinue </w:t>
      </w:r>
      <w:r w:rsidR="004A1AAE" w:rsidRPr="0027489A">
        <w:t>VUMERITY</w:t>
      </w:r>
      <w:r w:rsidRPr="0027489A">
        <w:t xml:space="preserve"> and seek immediate medical care if they experience signs or symptoms of anaphylaxis</w:t>
      </w:r>
      <w:r w:rsidR="004F1E1A">
        <w:t>.</w:t>
      </w:r>
      <w:r w:rsidRPr="0027489A">
        <w:t xml:space="preserve"> Treatment should not be restarted (</w:t>
      </w:r>
      <w:r w:rsidR="008A4943" w:rsidRPr="0027489A">
        <w:rPr>
          <w:iCs/>
        </w:rPr>
        <w:t>see Section 4.8</w:t>
      </w:r>
      <w:r w:rsidR="0081388C" w:rsidRPr="0027489A">
        <w:rPr>
          <w:iCs/>
        </w:rPr>
        <w:t xml:space="preserve"> Adverse effects</w:t>
      </w:r>
      <w:r w:rsidR="000F2D5A" w:rsidRPr="0027489A">
        <w:rPr>
          <w:iCs/>
        </w:rPr>
        <w:t xml:space="preserve">, </w:t>
      </w:r>
      <w:proofErr w:type="gramStart"/>
      <w:r w:rsidR="000F2D5A" w:rsidRPr="0027489A">
        <w:rPr>
          <w:iCs/>
        </w:rPr>
        <w:t>Post-marketing</w:t>
      </w:r>
      <w:proofErr w:type="gramEnd"/>
      <w:r w:rsidR="000F2D5A" w:rsidRPr="0027489A">
        <w:rPr>
          <w:iCs/>
        </w:rPr>
        <w:t xml:space="preserve"> experience</w:t>
      </w:r>
      <w:r w:rsidRPr="0027489A">
        <w:t>).</w:t>
      </w:r>
    </w:p>
    <w:p w14:paraId="416CF4F3" w14:textId="77777777" w:rsidR="002E5DD9" w:rsidRPr="0027489A" w:rsidRDefault="002E5DD9" w:rsidP="00D67622">
      <w:pPr>
        <w:pStyle w:val="PINormal"/>
      </w:pPr>
    </w:p>
    <w:p w14:paraId="0BFDF468" w14:textId="02EE4856" w:rsidR="007F4633" w:rsidRPr="0027489A" w:rsidRDefault="00B37BDB" w:rsidP="00D67622">
      <w:pPr>
        <w:pStyle w:val="Heading3"/>
      </w:pPr>
      <w:r w:rsidRPr="0027489A">
        <w:t>Vaccination</w:t>
      </w:r>
    </w:p>
    <w:p w14:paraId="68156913" w14:textId="5B781D14" w:rsidR="00B37BDB" w:rsidRPr="0027489A" w:rsidRDefault="00B37BDB" w:rsidP="00D67622">
      <w:pPr>
        <w:pStyle w:val="PINormal"/>
      </w:pPr>
      <w:r w:rsidRPr="0027489A">
        <w:rPr>
          <w:noProof/>
        </w:rPr>
        <w:t xml:space="preserve">Patients taking </w:t>
      </w:r>
      <w:r w:rsidR="004A1AAE" w:rsidRPr="0027489A">
        <w:rPr>
          <w:noProof/>
        </w:rPr>
        <w:t>VUMERITY</w:t>
      </w:r>
      <w:r w:rsidRPr="0027489A">
        <w:rPr>
          <w:noProof/>
        </w:rPr>
        <w:t xml:space="preserve"> may receive non-live vaccines (see</w:t>
      </w:r>
      <w:r w:rsidR="008A4943" w:rsidRPr="0027489A">
        <w:rPr>
          <w:noProof/>
        </w:rPr>
        <w:t xml:space="preserve"> Section 4.5</w:t>
      </w:r>
      <w:r w:rsidR="0081388C" w:rsidRPr="0027489A">
        <w:rPr>
          <w:noProof/>
        </w:rPr>
        <w:t xml:space="preserve"> Interactions with other medicines and other forms of interactions</w:t>
      </w:r>
      <w:r w:rsidRPr="0027489A">
        <w:rPr>
          <w:noProof/>
        </w:rPr>
        <w:t xml:space="preserve">). </w:t>
      </w:r>
      <w:r w:rsidRPr="0027489A">
        <w:t xml:space="preserve">The safety of administration of live attenuated vaccines during treatment with </w:t>
      </w:r>
      <w:r w:rsidR="004A1AAE" w:rsidRPr="0027489A">
        <w:t>VUMERITY</w:t>
      </w:r>
      <w:r w:rsidRPr="0027489A">
        <w:t xml:space="preserve"> has not been evaluated in clinical trials. Live vaccines have a potential risk of clinical infection and are not recommended during treatment with </w:t>
      </w:r>
      <w:r w:rsidR="004A1AAE" w:rsidRPr="0027489A">
        <w:t>VUMERITY</w:t>
      </w:r>
      <w:r w:rsidRPr="0027489A">
        <w:t xml:space="preserve">. </w:t>
      </w:r>
    </w:p>
    <w:p w14:paraId="1E0BC880" w14:textId="77777777" w:rsidR="007F4633" w:rsidRPr="0027489A" w:rsidRDefault="007F4633" w:rsidP="00D67622">
      <w:pPr>
        <w:pStyle w:val="PINormal"/>
      </w:pPr>
    </w:p>
    <w:p w14:paraId="056997C3" w14:textId="2D1E2EF8" w:rsidR="00B37BDB" w:rsidRPr="0027489A" w:rsidRDefault="00E812C2" w:rsidP="00D67622">
      <w:pPr>
        <w:pStyle w:val="Heading3"/>
        <w:rPr>
          <w:i/>
        </w:rPr>
      </w:pPr>
      <w:r w:rsidRPr="0027489A">
        <w:t>Effects on renal function</w:t>
      </w:r>
    </w:p>
    <w:p w14:paraId="55E6AD30" w14:textId="6C0EDEAE" w:rsidR="00B37BDB" w:rsidRPr="0027489A" w:rsidRDefault="00B37BDB" w:rsidP="00D67622">
      <w:pPr>
        <w:pStyle w:val="PINormal"/>
      </w:pPr>
      <w:r w:rsidRPr="0027489A">
        <w:t xml:space="preserve">In clinical trials with patients with </w:t>
      </w:r>
      <w:r w:rsidR="001B3E46" w:rsidRPr="0027489A">
        <w:t>MS</w:t>
      </w:r>
      <w:r w:rsidRPr="0027489A">
        <w:t xml:space="preserve">, adverse events of proteinuria (proteinuria, </w:t>
      </w:r>
      <w:proofErr w:type="gramStart"/>
      <w:r w:rsidRPr="0027489A">
        <w:t>microalbuminuria</w:t>
      </w:r>
      <w:proofErr w:type="gramEnd"/>
      <w:r w:rsidRPr="0027489A">
        <w:t xml:space="preserve"> and urine albumin present) were reported at slightly higher frequencies in patients treated with TECFIDERA compared to patients that received placebo. The significance of these clinical observations is not known at this time. </w:t>
      </w:r>
    </w:p>
    <w:p w14:paraId="0D8EF54A" w14:textId="77777777" w:rsidR="00B37BDB" w:rsidRPr="0027489A" w:rsidRDefault="00B37BDB" w:rsidP="00D67622">
      <w:pPr>
        <w:pStyle w:val="PINormal"/>
      </w:pPr>
    </w:p>
    <w:p w14:paraId="4064CC1C" w14:textId="1181A7BC" w:rsidR="00B37BDB" w:rsidRPr="0027489A" w:rsidRDefault="00B37BDB" w:rsidP="00D67622">
      <w:pPr>
        <w:pStyle w:val="PINormal"/>
      </w:pPr>
      <w:r w:rsidRPr="0027489A">
        <w:t xml:space="preserve">Prior to initiating treatment with </w:t>
      </w:r>
      <w:r w:rsidR="004A1AAE" w:rsidRPr="0027489A">
        <w:t>VUMERITY</w:t>
      </w:r>
      <w:r w:rsidRPr="0027489A">
        <w:t xml:space="preserve">, urinalysis should be available (within 6 months prior to starting therapy). During treatment, urinalysis is recommended annually and as clinically indicated. </w:t>
      </w:r>
    </w:p>
    <w:p w14:paraId="75F718CC" w14:textId="77777777" w:rsidR="00B37BDB" w:rsidRPr="0027489A" w:rsidRDefault="00B37BDB" w:rsidP="00D67622">
      <w:pPr>
        <w:pStyle w:val="PINormal"/>
      </w:pPr>
    </w:p>
    <w:p w14:paraId="237F4704" w14:textId="19C1A4C7" w:rsidR="00B37BDB" w:rsidRDefault="00B37BDB" w:rsidP="00D67622">
      <w:pPr>
        <w:pStyle w:val="PINormal"/>
      </w:pPr>
      <w:r w:rsidRPr="0027489A">
        <w:t xml:space="preserve">The use of </w:t>
      </w:r>
      <w:r w:rsidR="004A1AAE" w:rsidRPr="0027489A">
        <w:t>VUMERITY</w:t>
      </w:r>
      <w:r w:rsidRPr="0027489A">
        <w:t xml:space="preserve"> in patients who receive chronic treatment with medications that are associated with potential nephrotoxic risk (e.g., aminoglycosides, diuretics, NSAIDs, lithium) has not been evaluated. Therefore, caution should be exercised if </w:t>
      </w:r>
      <w:r w:rsidR="004A1AAE" w:rsidRPr="0027489A">
        <w:t>VUMERITY</w:t>
      </w:r>
      <w:r w:rsidRPr="0027489A">
        <w:t xml:space="preserve"> is used in patients receiving chronic treatment with such medications.</w:t>
      </w:r>
    </w:p>
    <w:p w14:paraId="4956F782" w14:textId="28622127" w:rsidR="003779F1" w:rsidRDefault="003779F1" w:rsidP="00D67622">
      <w:pPr>
        <w:pStyle w:val="PINormal"/>
      </w:pPr>
    </w:p>
    <w:p w14:paraId="579E905C" w14:textId="0025305C" w:rsidR="003779F1" w:rsidRPr="00D67622" w:rsidRDefault="003779F1" w:rsidP="00D67622">
      <w:pPr>
        <w:pStyle w:val="Heading3"/>
      </w:pPr>
      <w:r w:rsidRPr="00D67622">
        <w:t>Effects on liver function</w:t>
      </w:r>
    </w:p>
    <w:p w14:paraId="6B3E652F" w14:textId="26B0ACA0" w:rsidR="00157285" w:rsidRDefault="00C240D8" w:rsidP="00D67622">
      <w:pPr>
        <w:rPr>
          <w:rFonts w:eastAsiaTheme="minorHAnsi"/>
        </w:rPr>
      </w:pPr>
      <w:r w:rsidRPr="00C240D8">
        <w:rPr>
          <w:rFonts w:eastAsiaTheme="minorHAnsi"/>
        </w:rPr>
        <w:t xml:space="preserve">In clinical studies, high post-baseline values were observed mostly for ALT and AST, and more frequently in the VUMERITY group (25.9% and 15.8%) vs. the TECFIDERA group (16.4% and 9.0%) respectively. </w:t>
      </w:r>
    </w:p>
    <w:p w14:paraId="0573DC50" w14:textId="77777777" w:rsidR="00157285" w:rsidRDefault="00157285" w:rsidP="00D67622">
      <w:pPr>
        <w:rPr>
          <w:rFonts w:eastAsiaTheme="minorHAnsi"/>
        </w:rPr>
      </w:pPr>
    </w:p>
    <w:p w14:paraId="2DBCF511" w14:textId="53BC9A2F" w:rsidR="003779F1" w:rsidRPr="00EE695E" w:rsidRDefault="003779F1" w:rsidP="00D67622">
      <w:pPr>
        <w:rPr>
          <w:rFonts w:eastAsiaTheme="minorHAnsi"/>
        </w:rPr>
      </w:pPr>
      <w:r w:rsidRPr="00EE695E">
        <w:rPr>
          <w:rFonts w:eastAsiaTheme="minorHAnsi"/>
        </w:rPr>
        <w:t>Drug-induced liver injury, including liver enzyme increase (≥ 3 x upper limit of normal (ULN)) and elevation of total bilirubin levels (≥ 2 x ULN) can result from treatment with dimethyl fumarate. The time to onset can be directly, several weeks or longer. Resolution of the adverse reactions has been observed after treatment was discontinued. Assessment of serum aminotransferases (</w:t>
      </w:r>
      <w:proofErr w:type="gramStart"/>
      <w:r w:rsidRPr="00EE695E">
        <w:rPr>
          <w:rFonts w:eastAsiaTheme="minorHAnsi"/>
        </w:rPr>
        <w:t>e.g.</w:t>
      </w:r>
      <w:proofErr w:type="gramEnd"/>
      <w:r w:rsidRPr="00EE695E">
        <w:rPr>
          <w:rFonts w:eastAsiaTheme="minorHAnsi"/>
        </w:rPr>
        <w:t xml:space="preserve"> alanine aminotransferase (ALT), aspartate aminotransferase (AST)) and total bilirubin levels are recommended prior to treatment initiation and during treatment as clinically indicated.</w:t>
      </w:r>
    </w:p>
    <w:p w14:paraId="6CFB613B" w14:textId="02CDFB17" w:rsidR="00B41A22" w:rsidRPr="00EE695E" w:rsidRDefault="00B41A22" w:rsidP="00D67622">
      <w:pPr>
        <w:rPr>
          <w:rFonts w:eastAsiaTheme="minorHAnsi"/>
        </w:rPr>
      </w:pPr>
    </w:p>
    <w:p w14:paraId="33264F23" w14:textId="470D231E" w:rsidR="00B41A22" w:rsidRPr="00EE695E" w:rsidRDefault="00B41A22" w:rsidP="00D67622">
      <w:pPr>
        <w:pStyle w:val="Heading3"/>
        <w:rPr>
          <w:rFonts w:eastAsiaTheme="minorHAnsi"/>
        </w:rPr>
      </w:pPr>
      <w:r w:rsidRPr="00EE695E">
        <w:rPr>
          <w:rFonts w:eastAsiaTheme="minorHAnsi"/>
        </w:rPr>
        <w:lastRenderedPageBreak/>
        <w:t>Use in hepatic impairment</w:t>
      </w:r>
    </w:p>
    <w:p w14:paraId="332D56C4" w14:textId="58059647" w:rsidR="00BF2B20" w:rsidRDefault="00BF2B20" w:rsidP="00D67622">
      <w:r w:rsidRPr="00BF2B20">
        <w:t>Based on pharmacokinetic findings, no dose adjustment is necessary for patients with hepatic impairment.</w:t>
      </w:r>
    </w:p>
    <w:p w14:paraId="0EBB1521" w14:textId="77777777" w:rsidR="00BF2B20" w:rsidRDefault="00BF2B20" w:rsidP="00D67622"/>
    <w:p w14:paraId="6BA57FED" w14:textId="5BB53E9E" w:rsidR="003779F1" w:rsidRDefault="00E506D8" w:rsidP="00D67622">
      <w:r w:rsidRPr="00EE695E">
        <w:t>D</w:t>
      </w:r>
      <w:r w:rsidR="00445456" w:rsidRPr="00EE695E">
        <w:t xml:space="preserve">iroximel fumarate has not been studied in patients with </w:t>
      </w:r>
      <w:r w:rsidR="00277FF0" w:rsidRPr="00EE695E">
        <w:t>hepatic</w:t>
      </w:r>
      <w:r w:rsidR="00445456" w:rsidRPr="00EE695E">
        <w:t xml:space="preserve"> impairment. </w:t>
      </w:r>
      <w:r w:rsidR="002D31D9">
        <w:t>C</w:t>
      </w:r>
      <w:r w:rsidR="00445456" w:rsidRPr="00EE695E">
        <w:t xml:space="preserve">aution should be used when considering treatment in </w:t>
      </w:r>
      <w:r w:rsidR="0070792C">
        <w:t>p</w:t>
      </w:r>
      <w:r w:rsidR="00445456" w:rsidRPr="00EE695E">
        <w:t>atients</w:t>
      </w:r>
      <w:r w:rsidR="00C36DE1">
        <w:t xml:space="preserve"> with severe hepatic impairment</w:t>
      </w:r>
      <w:r w:rsidR="00445456" w:rsidRPr="00EE695E">
        <w:t xml:space="preserve"> (see sections 4.2</w:t>
      </w:r>
      <w:r w:rsidR="006769A7" w:rsidRPr="00EE695E">
        <w:t xml:space="preserve"> Do</w:t>
      </w:r>
      <w:r w:rsidR="00E6356A" w:rsidRPr="00EE695E">
        <w:t>se</w:t>
      </w:r>
      <w:r w:rsidR="006769A7" w:rsidRPr="00EE695E">
        <w:t xml:space="preserve"> and Method of Administration</w:t>
      </w:r>
      <w:r w:rsidR="002B05E2" w:rsidRPr="00EE695E">
        <w:t xml:space="preserve"> – Renal or Hepatic Impairment</w:t>
      </w:r>
      <w:r w:rsidR="00445456" w:rsidRPr="00EE695E">
        <w:t xml:space="preserve"> and 5.2</w:t>
      </w:r>
      <w:r w:rsidR="002B05E2" w:rsidRPr="00EE695E">
        <w:t xml:space="preserve"> Pharmacokinetic Properties – Hepatic Impairment</w:t>
      </w:r>
      <w:r w:rsidR="00445456" w:rsidRPr="00EE695E">
        <w:t>).</w:t>
      </w:r>
    </w:p>
    <w:p w14:paraId="2118AC60" w14:textId="4A99A768" w:rsidR="002655AE" w:rsidRDefault="002655AE" w:rsidP="00D67622"/>
    <w:p w14:paraId="574A620B" w14:textId="77777777" w:rsidR="002655AE" w:rsidRPr="00555D30" w:rsidRDefault="002655AE" w:rsidP="00D67622">
      <w:pPr>
        <w:pStyle w:val="Heading3"/>
        <w:rPr>
          <w:rFonts w:eastAsiaTheme="minorHAnsi"/>
        </w:rPr>
      </w:pPr>
      <w:r w:rsidRPr="00555D30">
        <w:rPr>
          <w:rFonts w:eastAsiaTheme="minorHAnsi"/>
        </w:rPr>
        <w:t>Treatment initiation</w:t>
      </w:r>
    </w:p>
    <w:p w14:paraId="03B81408" w14:textId="548F02D0" w:rsidR="002655AE" w:rsidRPr="00555D30" w:rsidRDefault="002655AE" w:rsidP="00D67622">
      <w:r w:rsidRPr="00555D30">
        <w:rPr>
          <w:rFonts w:eastAsiaTheme="minorHAnsi"/>
        </w:rPr>
        <w:t>Treatment should be started gradually to reduce the occurrence of flushing and gastrointestinal adverse</w:t>
      </w:r>
      <w:r w:rsidR="000915BB" w:rsidRPr="00555D30">
        <w:rPr>
          <w:rFonts w:eastAsiaTheme="minorHAnsi"/>
        </w:rPr>
        <w:t xml:space="preserve"> </w:t>
      </w:r>
      <w:r w:rsidRPr="00555D30">
        <w:rPr>
          <w:rFonts w:eastAsiaTheme="minorHAnsi"/>
        </w:rPr>
        <w:t>reactions (see section 4.2</w:t>
      </w:r>
      <w:r w:rsidR="00051A03" w:rsidRPr="00555D30">
        <w:rPr>
          <w:rFonts w:eastAsiaTheme="minorHAnsi"/>
        </w:rPr>
        <w:t xml:space="preserve"> Dose and method of administration</w:t>
      </w:r>
      <w:r w:rsidRPr="00555D30">
        <w:rPr>
          <w:rFonts w:eastAsiaTheme="minorHAnsi"/>
        </w:rPr>
        <w:t>).</w:t>
      </w:r>
    </w:p>
    <w:p w14:paraId="78D7D937" w14:textId="0BB51403" w:rsidR="0086106D" w:rsidRPr="00555D30" w:rsidRDefault="0086106D" w:rsidP="00D67622"/>
    <w:p w14:paraId="4664B607" w14:textId="77777777" w:rsidR="007F2022" w:rsidRPr="00555D30" w:rsidRDefault="007F2022" w:rsidP="00D67622">
      <w:pPr>
        <w:pStyle w:val="Heading3"/>
        <w:rPr>
          <w:rFonts w:eastAsiaTheme="minorHAnsi"/>
        </w:rPr>
      </w:pPr>
      <w:r w:rsidRPr="00555D30">
        <w:rPr>
          <w:rFonts w:eastAsiaTheme="minorHAnsi"/>
        </w:rPr>
        <w:t>Fanconi syndrome</w:t>
      </w:r>
    </w:p>
    <w:p w14:paraId="3CCD6279" w14:textId="18CE19E0" w:rsidR="0086106D" w:rsidRPr="0027489A" w:rsidRDefault="007F2022" w:rsidP="00D67622">
      <w:r w:rsidRPr="00555D30">
        <w:rPr>
          <w:rFonts w:eastAsiaTheme="minorHAnsi"/>
        </w:rPr>
        <w:t>Cases of Fanconi syndrome have been reported for a medicinal product containing dimethyl fumarate</w:t>
      </w:r>
      <w:r w:rsidR="00DB519C" w:rsidRPr="00555D30">
        <w:rPr>
          <w:rFonts w:eastAsiaTheme="minorHAnsi"/>
        </w:rPr>
        <w:t xml:space="preserve"> </w:t>
      </w:r>
      <w:r w:rsidRPr="00555D30">
        <w:rPr>
          <w:rFonts w:eastAsiaTheme="minorHAnsi"/>
        </w:rPr>
        <w:t>in combination with other fumaric acid esters. Early diagnosis of Fanconi syndrome and</w:t>
      </w:r>
      <w:r w:rsidR="00DB519C" w:rsidRPr="00555D30">
        <w:rPr>
          <w:rFonts w:eastAsiaTheme="minorHAnsi"/>
        </w:rPr>
        <w:t xml:space="preserve"> </w:t>
      </w:r>
      <w:r w:rsidRPr="00555D30">
        <w:rPr>
          <w:rFonts w:eastAsiaTheme="minorHAnsi"/>
        </w:rPr>
        <w:t>discontinuation of V</w:t>
      </w:r>
      <w:r w:rsidR="00FE7AC4" w:rsidRPr="00555D30">
        <w:rPr>
          <w:rFonts w:eastAsiaTheme="minorHAnsi"/>
        </w:rPr>
        <w:t>UMERITY</w:t>
      </w:r>
      <w:r w:rsidRPr="00555D30">
        <w:rPr>
          <w:rFonts w:eastAsiaTheme="minorHAnsi"/>
        </w:rPr>
        <w:t xml:space="preserve"> treatment are important to prevent the onset of renal impairment and</w:t>
      </w:r>
      <w:r w:rsidR="00DB519C" w:rsidRPr="00555D30">
        <w:rPr>
          <w:rFonts w:eastAsiaTheme="minorHAnsi"/>
        </w:rPr>
        <w:t xml:space="preserve"> </w:t>
      </w:r>
      <w:proofErr w:type="spellStart"/>
      <w:r w:rsidRPr="00555D30">
        <w:rPr>
          <w:rFonts w:eastAsiaTheme="minorHAnsi"/>
        </w:rPr>
        <w:t>osteomalacia</w:t>
      </w:r>
      <w:proofErr w:type="spellEnd"/>
      <w:r w:rsidRPr="00555D30">
        <w:rPr>
          <w:rFonts w:eastAsiaTheme="minorHAnsi"/>
        </w:rPr>
        <w:t xml:space="preserve">, as the syndrome is usually reversible. The most important signs </w:t>
      </w:r>
      <w:proofErr w:type="gramStart"/>
      <w:r w:rsidRPr="00555D30">
        <w:rPr>
          <w:rFonts w:eastAsiaTheme="minorHAnsi"/>
        </w:rPr>
        <w:t>are:</w:t>
      </w:r>
      <w:proofErr w:type="gramEnd"/>
      <w:r w:rsidRPr="00555D30">
        <w:rPr>
          <w:rFonts w:eastAsiaTheme="minorHAnsi"/>
        </w:rPr>
        <w:t xml:space="preserve"> proteinuria,</w:t>
      </w:r>
      <w:r w:rsidR="00DB519C" w:rsidRPr="00555D30">
        <w:rPr>
          <w:rFonts w:eastAsiaTheme="minorHAnsi"/>
        </w:rPr>
        <w:t xml:space="preserve"> </w:t>
      </w:r>
      <w:r w:rsidRPr="00555D30">
        <w:rPr>
          <w:rFonts w:eastAsiaTheme="minorHAnsi"/>
        </w:rPr>
        <w:t>glucosuria (with normal blood sugar levels), hyperaminoaciduria and phosphaturia (possibly</w:t>
      </w:r>
      <w:r w:rsidR="00DB519C" w:rsidRPr="00555D30">
        <w:rPr>
          <w:rFonts w:eastAsiaTheme="minorHAnsi"/>
        </w:rPr>
        <w:t xml:space="preserve"> </w:t>
      </w:r>
      <w:r w:rsidRPr="00555D30">
        <w:rPr>
          <w:rFonts w:eastAsiaTheme="minorHAnsi"/>
        </w:rPr>
        <w:t>concurrent with hypophosphatemia). Progression might involve symptoms such as polyuria,</w:t>
      </w:r>
      <w:r w:rsidR="00DB519C" w:rsidRPr="00555D30">
        <w:rPr>
          <w:rFonts w:eastAsiaTheme="minorHAnsi"/>
        </w:rPr>
        <w:t xml:space="preserve"> </w:t>
      </w:r>
      <w:proofErr w:type="gramStart"/>
      <w:r w:rsidRPr="00555D30">
        <w:rPr>
          <w:rFonts w:eastAsiaTheme="minorHAnsi"/>
        </w:rPr>
        <w:t>polydipsia</w:t>
      </w:r>
      <w:proofErr w:type="gramEnd"/>
      <w:r w:rsidRPr="00555D30">
        <w:rPr>
          <w:rFonts w:eastAsiaTheme="minorHAnsi"/>
        </w:rPr>
        <w:t xml:space="preserve"> and proximal muscle weakness. In rare cases</w:t>
      </w:r>
      <w:r w:rsidR="008707D7" w:rsidRPr="00555D30">
        <w:rPr>
          <w:rFonts w:eastAsiaTheme="minorHAnsi"/>
        </w:rPr>
        <w:t>,</w:t>
      </w:r>
      <w:r w:rsidRPr="00555D30">
        <w:rPr>
          <w:rFonts w:eastAsiaTheme="minorHAnsi"/>
        </w:rPr>
        <w:t xml:space="preserve"> </w:t>
      </w:r>
      <w:proofErr w:type="spellStart"/>
      <w:r w:rsidRPr="00555D30">
        <w:rPr>
          <w:rFonts w:eastAsiaTheme="minorHAnsi"/>
        </w:rPr>
        <w:t>hypophosphataemic</w:t>
      </w:r>
      <w:proofErr w:type="spellEnd"/>
      <w:r w:rsidRPr="00555D30">
        <w:rPr>
          <w:rFonts w:eastAsiaTheme="minorHAnsi"/>
        </w:rPr>
        <w:t xml:space="preserve"> </w:t>
      </w:r>
      <w:proofErr w:type="spellStart"/>
      <w:r w:rsidRPr="00555D30">
        <w:rPr>
          <w:rFonts w:eastAsiaTheme="minorHAnsi"/>
        </w:rPr>
        <w:t>osteomalacia</w:t>
      </w:r>
      <w:proofErr w:type="spellEnd"/>
      <w:r w:rsidRPr="00555D30">
        <w:rPr>
          <w:rFonts w:eastAsiaTheme="minorHAnsi"/>
        </w:rPr>
        <w:t xml:space="preserve"> with</w:t>
      </w:r>
      <w:r w:rsidR="00DB519C" w:rsidRPr="00555D30">
        <w:rPr>
          <w:rFonts w:eastAsiaTheme="minorHAnsi"/>
        </w:rPr>
        <w:t xml:space="preserve"> </w:t>
      </w:r>
      <w:r w:rsidRPr="00555D30">
        <w:rPr>
          <w:rFonts w:eastAsiaTheme="minorHAnsi"/>
        </w:rPr>
        <w:t>non-localised bone pain, elevated alkaline phosphatase in serum and stress fractures may occur.</w:t>
      </w:r>
      <w:r w:rsidR="00DB519C" w:rsidRPr="00555D30">
        <w:rPr>
          <w:rFonts w:eastAsiaTheme="minorHAnsi"/>
        </w:rPr>
        <w:t xml:space="preserve"> </w:t>
      </w:r>
      <w:r w:rsidRPr="00555D30">
        <w:rPr>
          <w:rFonts w:eastAsiaTheme="minorHAnsi"/>
        </w:rPr>
        <w:t>Importantly, Fanconi syndrome can occur without elevated creatinine levels or low glomerular</w:t>
      </w:r>
      <w:r w:rsidR="00DB519C" w:rsidRPr="00555D30">
        <w:rPr>
          <w:rFonts w:eastAsiaTheme="minorHAnsi"/>
        </w:rPr>
        <w:t xml:space="preserve"> </w:t>
      </w:r>
      <w:r w:rsidRPr="00555D30">
        <w:rPr>
          <w:rFonts w:eastAsiaTheme="minorHAnsi"/>
        </w:rPr>
        <w:t>filtration rate. In case of unclear symptoms</w:t>
      </w:r>
      <w:r w:rsidR="006F4505">
        <w:rPr>
          <w:rFonts w:eastAsiaTheme="minorHAnsi"/>
        </w:rPr>
        <w:t>,</w:t>
      </w:r>
      <w:r w:rsidRPr="00555D30">
        <w:rPr>
          <w:rFonts w:eastAsiaTheme="minorHAnsi"/>
        </w:rPr>
        <w:t xml:space="preserve"> Fanconi syndrome should be </w:t>
      </w:r>
      <w:proofErr w:type="gramStart"/>
      <w:r w:rsidRPr="00555D30">
        <w:rPr>
          <w:rFonts w:eastAsiaTheme="minorHAnsi"/>
        </w:rPr>
        <w:t>considered</w:t>
      </w:r>
      <w:proofErr w:type="gramEnd"/>
      <w:r w:rsidRPr="00555D30">
        <w:rPr>
          <w:rFonts w:eastAsiaTheme="minorHAnsi"/>
        </w:rPr>
        <w:t xml:space="preserve"> and appropriate</w:t>
      </w:r>
      <w:r w:rsidR="00DB519C" w:rsidRPr="00555D30">
        <w:rPr>
          <w:rFonts w:eastAsiaTheme="minorHAnsi"/>
        </w:rPr>
        <w:t xml:space="preserve"> </w:t>
      </w:r>
      <w:r w:rsidRPr="00555D30">
        <w:rPr>
          <w:rFonts w:eastAsiaTheme="minorHAnsi"/>
        </w:rPr>
        <w:t>examinations should be performed.</w:t>
      </w:r>
    </w:p>
    <w:p w14:paraId="366456D8" w14:textId="77777777" w:rsidR="007330AF" w:rsidRPr="0027489A" w:rsidRDefault="007330AF" w:rsidP="00D67622"/>
    <w:p w14:paraId="42645AA9" w14:textId="77777777" w:rsidR="001A3992" w:rsidRPr="0027489A" w:rsidRDefault="001A3992" w:rsidP="00D67622">
      <w:pPr>
        <w:pStyle w:val="Heading3"/>
      </w:pPr>
      <w:r w:rsidRPr="0027489A">
        <w:t>Use in the elderly</w:t>
      </w:r>
    </w:p>
    <w:p w14:paraId="7DD72B00" w14:textId="34DB24B6" w:rsidR="00F6528B" w:rsidRPr="0027489A" w:rsidRDefault="00F6528B" w:rsidP="00D67622">
      <w:pPr>
        <w:pStyle w:val="PINormal"/>
      </w:pPr>
      <w:r w:rsidRPr="0027489A">
        <w:t xml:space="preserve">There are limited data available for the use of </w:t>
      </w:r>
      <w:r w:rsidR="004A1AAE" w:rsidRPr="0027489A">
        <w:t>VUMERITY</w:t>
      </w:r>
      <w:r w:rsidRPr="0027489A">
        <w:t xml:space="preserve"> in patients aged 65 years and over, therefore it is unknown whether elderly patients respond differently to younger patients.</w:t>
      </w:r>
    </w:p>
    <w:p w14:paraId="7E80223E" w14:textId="77777777" w:rsidR="007330AF" w:rsidRPr="0027489A" w:rsidRDefault="007330AF" w:rsidP="00D67622">
      <w:pPr>
        <w:pStyle w:val="PINormal"/>
      </w:pPr>
    </w:p>
    <w:p w14:paraId="14AEA853" w14:textId="77777777" w:rsidR="001A3992" w:rsidRPr="0027489A" w:rsidRDefault="001A3992" w:rsidP="00D67622">
      <w:pPr>
        <w:pStyle w:val="Heading3"/>
      </w:pPr>
      <w:r w:rsidRPr="0027489A">
        <w:t>Paediatric use</w:t>
      </w:r>
    </w:p>
    <w:p w14:paraId="4436B654" w14:textId="26AAA035" w:rsidR="00F6528B" w:rsidRPr="00667432" w:rsidRDefault="00F6528B" w:rsidP="00D67622">
      <w:pPr>
        <w:pStyle w:val="PINormal"/>
        <w:rPr>
          <w:lang w:val="en-AU"/>
        </w:rPr>
      </w:pPr>
      <w:r w:rsidRPr="0027489A">
        <w:t xml:space="preserve">The safety and effectiveness of </w:t>
      </w:r>
      <w:r w:rsidR="004A1AAE" w:rsidRPr="0027489A">
        <w:t>VUMERITY</w:t>
      </w:r>
      <w:r w:rsidRPr="0027489A">
        <w:t xml:space="preserve"> in </w:t>
      </w:r>
      <w:proofErr w:type="spellStart"/>
      <w:r w:rsidRPr="00667432">
        <w:t>paediatric</w:t>
      </w:r>
      <w:proofErr w:type="spellEnd"/>
      <w:r w:rsidRPr="00667432">
        <w:t xml:space="preserve"> patients with </w:t>
      </w:r>
      <w:r w:rsidR="00F938DE" w:rsidRPr="00667432">
        <w:t>MS</w:t>
      </w:r>
      <w:r w:rsidRPr="00667432">
        <w:t xml:space="preserve"> below the age of 18 have not been established. </w:t>
      </w:r>
      <w:r w:rsidR="00965A56" w:rsidRPr="00667432">
        <w:rPr>
          <w:lang w:val="en-AU"/>
        </w:rPr>
        <w:t>In a juvenile rat study, effects on bone geometry and density were seen in animals treated orally with 600 mg/kg/day diroximel fumarate. Exposures to monomethyl fumarate and HES were 6 times the AUC at the MRHD of diroximel fumarate.</w:t>
      </w:r>
    </w:p>
    <w:p w14:paraId="388DEF89" w14:textId="77777777" w:rsidR="007F4633" w:rsidRPr="00667432" w:rsidRDefault="007F4633" w:rsidP="00D67622">
      <w:pPr>
        <w:pStyle w:val="PINormal"/>
      </w:pPr>
    </w:p>
    <w:p w14:paraId="382B36DB" w14:textId="77777777" w:rsidR="001A3992" w:rsidRPr="00667432" w:rsidRDefault="001A3992" w:rsidP="00D67622">
      <w:pPr>
        <w:pStyle w:val="Heading3"/>
      </w:pPr>
      <w:r w:rsidRPr="00667432">
        <w:t>Effects on laboratory tests</w:t>
      </w:r>
    </w:p>
    <w:p w14:paraId="3FA488CE" w14:textId="7AD0E10D" w:rsidR="00276751" w:rsidRPr="0027489A" w:rsidRDefault="00F6528B" w:rsidP="00D67622">
      <w:pPr>
        <w:pStyle w:val="PINormal"/>
      </w:pPr>
      <w:r w:rsidRPr="00667432">
        <w:t xml:space="preserve">There are no data available on whether </w:t>
      </w:r>
      <w:r w:rsidR="004A1AAE" w:rsidRPr="00667432">
        <w:t>VUMERITY</w:t>
      </w:r>
      <w:r w:rsidRPr="00667432">
        <w:t xml:space="preserve"> interferes with laboratory</w:t>
      </w:r>
      <w:r w:rsidRPr="0027489A">
        <w:t xml:space="preserve"> tests. </w:t>
      </w:r>
    </w:p>
    <w:p w14:paraId="26212300" w14:textId="77777777" w:rsidR="001A3992" w:rsidRPr="0027489A" w:rsidRDefault="001A3992" w:rsidP="00D67622">
      <w:pPr>
        <w:pStyle w:val="Heading2"/>
      </w:pPr>
      <w:r w:rsidRPr="0027489A">
        <w:t>Interactions with other medicines and other forms of interactions</w:t>
      </w:r>
    </w:p>
    <w:p w14:paraId="6321D3BE" w14:textId="6BB61ACB" w:rsidR="008438C5" w:rsidRPr="00F442AA" w:rsidRDefault="008438C5" w:rsidP="00D67622">
      <w:pPr>
        <w:pStyle w:val="PINormal"/>
      </w:pPr>
      <w:r w:rsidRPr="0047187C">
        <w:rPr>
          <w:lang w:val="en-AU"/>
        </w:rPr>
        <w:t xml:space="preserve">During treatment with </w:t>
      </w:r>
      <w:r w:rsidRPr="00F442AA">
        <w:rPr>
          <w:lang w:val="en-AU"/>
        </w:rPr>
        <w:t>VUMERITY, simultaneous use of other fumaric acid derivatives (topical or systemic) should be avoided as such clinical scenarios have not been studied. Do not administer VUMERITY concomitantly with dimethyl fumarate.</w:t>
      </w:r>
    </w:p>
    <w:p w14:paraId="58F42AF6" w14:textId="77777777" w:rsidR="008438C5" w:rsidRPr="00F442AA" w:rsidRDefault="008438C5" w:rsidP="00D67622">
      <w:pPr>
        <w:pStyle w:val="PINormal"/>
      </w:pPr>
    </w:p>
    <w:p w14:paraId="1360FDC8" w14:textId="084959CA" w:rsidR="00F6528B" w:rsidRPr="00F442AA" w:rsidRDefault="00F6528B" w:rsidP="00D67622">
      <w:pPr>
        <w:pStyle w:val="PINormal"/>
      </w:pPr>
      <w:r w:rsidRPr="00F442AA">
        <w:t xml:space="preserve">In humans, </w:t>
      </w:r>
      <w:r w:rsidR="00B14AE6" w:rsidRPr="00F442AA">
        <w:t>diroximel fumarate</w:t>
      </w:r>
      <w:r w:rsidRPr="00F442AA">
        <w:t xml:space="preserve"> is extensively </w:t>
      </w:r>
      <w:proofErr w:type="spellStart"/>
      <w:r w:rsidRPr="00F442AA">
        <w:t>metabolised</w:t>
      </w:r>
      <w:proofErr w:type="spellEnd"/>
      <w:r w:rsidRPr="00F442AA">
        <w:t xml:space="preserve"> by </w:t>
      </w:r>
      <w:proofErr w:type="spellStart"/>
      <w:r w:rsidRPr="00F442AA">
        <w:t>esterases</w:t>
      </w:r>
      <w:proofErr w:type="spellEnd"/>
      <w:r w:rsidRPr="00F442AA">
        <w:t xml:space="preserve"> before it reaches the systemic circulation and further metabolism occurs through the tricarboxylic acid (TCA) cycle, with no involvement of the cytochrome P450 (CYP) system.  Potential drug interaction risks were not </w:t>
      </w:r>
      <w:r w:rsidR="00EB4ED2" w:rsidRPr="00F442AA">
        <w:t>identified from</w:t>
      </w:r>
      <w:r w:rsidR="00470D0D" w:rsidRPr="00F442AA">
        <w:t xml:space="preserve"> </w:t>
      </w:r>
      <w:r w:rsidR="00470D0D" w:rsidRPr="00F442AA">
        <w:rPr>
          <w:i/>
          <w:iCs/>
        </w:rPr>
        <w:t>in vitro</w:t>
      </w:r>
      <w:r w:rsidR="00470D0D" w:rsidRPr="00F442AA">
        <w:t xml:space="preserve"> </w:t>
      </w:r>
      <w:r w:rsidRPr="00F442AA">
        <w:t xml:space="preserve">CYP-inhibition and induction studies, </w:t>
      </w:r>
      <w:r w:rsidR="008D2D56" w:rsidRPr="00F442AA">
        <w:t xml:space="preserve">or studies of the protein binding of </w:t>
      </w:r>
      <w:r w:rsidR="00504B09" w:rsidRPr="00F442AA">
        <w:t>diroximel fumarate</w:t>
      </w:r>
      <w:r w:rsidR="008D2D56" w:rsidRPr="00F442AA">
        <w:t xml:space="preserve"> and its active metabolite </w:t>
      </w:r>
      <w:r w:rsidR="00837054" w:rsidRPr="00F442AA">
        <w:t>monomethyl fumarate</w:t>
      </w:r>
      <w:r w:rsidR="008D2D56" w:rsidRPr="00F442AA">
        <w:t>.</w:t>
      </w:r>
    </w:p>
    <w:p w14:paraId="74217C3F" w14:textId="77777777" w:rsidR="004A1AAE" w:rsidRPr="00F442AA" w:rsidRDefault="004A1AAE" w:rsidP="00D67622">
      <w:pPr>
        <w:pStyle w:val="PINormal"/>
      </w:pPr>
    </w:p>
    <w:p w14:paraId="37960259" w14:textId="097E17B6" w:rsidR="004A1AAE" w:rsidRPr="00F442AA" w:rsidRDefault="004A1AAE" w:rsidP="00D67622">
      <w:pPr>
        <w:pStyle w:val="PINormal"/>
      </w:pPr>
      <w:r w:rsidRPr="00F442AA">
        <w:t xml:space="preserve">A pharmacokinetic (PK) study with digoxin has been performed with </w:t>
      </w:r>
      <w:r w:rsidR="004A4E44" w:rsidRPr="00F442AA">
        <w:t>diroximel fumarate (</w:t>
      </w:r>
      <w:r w:rsidRPr="00F442AA">
        <w:t>VUMERITY</w:t>
      </w:r>
      <w:r w:rsidR="004A4E44" w:rsidRPr="00F442AA">
        <w:t>)</w:t>
      </w:r>
      <w:r w:rsidRPr="00F442AA">
        <w:t xml:space="preserve"> and showed that diroximel fumarate and its metabolites did not inhibit P-glycoprotein (P-</w:t>
      </w:r>
      <w:proofErr w:type="spellStart"/>
      <w:r w:rsidRPr="00F442AA">
        <w:t>gp</w:t>
      </w:r>
      <w:proofErr w:type="spellEnd"/>
      <w:r w:rsidRPr="00F442AA">
        <w:t xml:space="preserve">) </w:t>
      </w:r>
      <w:r w:rsidRPr="00F442AA">
        <w:rPr>
          <w:i/>
          <w:iCs/>
        </w:rPr>
        <w:t>in vivo</w:t>
      </w:r>
      <w:r w:rsidRPr="00F442AA">
        <w:t>. The major metabolite</w:t>
      </w:r>
      <w:r w:rsidR="00734D5C" w:rsidRPr="00F442AA">
        <w:t>s</w:t>
      </w:r>
      <w:r w:rsidRPr="00F442AA">
        <w:t xml:space="preserve"> of diroximel fumarate,</w:t>
      </w:r>
      <w:r w:rsidR="00A95D4B" w:rsidRPr="00F442AA">
        <w:t xml:space="preserve"> the active monomethyl </w:t>
      </w:r>
      <w:proofErr w:type="gramStart"/>
      <w:r w:rsidR="00A95D4B" w:rsidRPr="00F442AA">
        <w:t>fumarate</w:t>
      </w:r>
      <w:proofErr w:type="gramEnd"/>
      <w:r w:rsidR="00A95D4B" w:rsidRPr="00F442AA">
        <w:t xml:space="preserve"> and the inactive 2-hydroxyethyl succinimide</w:t>
      </w:r>
      <w:r w:rsidRPr="00F442AA">
        <w:t xml:space="preserve"> HES, did not inhibit P-</w:t>
      </w:r>
      <w:proofErr w:type="spellStart"/>
      <w:r w:rsidRPr="00F442AA">
        <w:t>gp</w:t>
      </w:r>
      <w:proofErr w:type="spellEnd"/>
      <w:r w:rsidR="59A5E250" w:rsidRPr="00F442AA">
        <w:t>,</w:t>
      </w:r>
      <w:r w:rsidRPr="00F442AA">
        <w:t xml:space="preserve"> BCRP, MATE1, MATE2-K, OAT1, OAT3</w:t>
      </w:r>
      <w:r w:rsidR="00CB3A5E">
        <w:t>,</w:t>
      </w:r>
      <w:r w:rsidRPr="00F442AA">
        <w:t xml:space="preserve"> </w:t>
      </w:r>
      <w:r w:rsidR="00190E76" w:rsidRPr="00F442AA">
        <w:t xml:space="preserve">OCT1, </w:t>
      </w:r>
      <w:r w:rsidRPr="00F442AA">
        <w:t>OCT2</w:t>
      </w:r>
      <w:r w:rsidR="00EA6281" w:rsidRPr="00F442AA">
        <w:t xml:space="preserve">, </w:t>
      </w:r>
      <w:r w:rsidR="00285786" w:rsidRPr="00F442AA">
        <w:rPr>
          <w:lang w:val="en-AU"/>
        </w:rPr>
        <w:t>OATP1B1</w:t>
      </w:r>
      <w:r w:rsidR="4B06E3F0" w:rsidRPr="00F442AA">
        <w:rPr>
          <w:lang w:val="en-AU"/>
        </w:rPr>
        <w:t xml:space="preserve"> </w:t>
      </w:r>
      <w:r w:rsidR="37ECCD70" w:rsidRPr="00F442AA">
        <w:rPr>
          <w:lang w:val="en-AU"/>
        </w:rPr>
        <w:t>or</w:t>
      </w:r>
      <w:r w:rsidR="00285786" w:rsidRPr="00F442AA">
        <w:rPr>
          <w:lang w:val="en-AU"/>
        </w:rPr>
        <w:t xml:space="preserve"> OATP1B3 </w:t>
      </w:r>
      <w:r w:rsidR="00285786" w:rsidRPr="00F442AA">
        <w:rPr>
          <w:i/>
          <w:iCs/>
          <w:lang w:val="en-AU"/>
        </w:rPr>
        <w:t>in vitro</w:t>
      </w:r>
      <w:r w:rsidR="00285786" w:rsidRPr="00F442AA">
        <w:rPr>
          <w:lang w:val="en-AU"/>
        </w:rPr>
        <w:t xml:space="preserve">. Based on </w:t>
      </w:r>
      <w:r w:rsidR="00285786" w:rsidRPr="00F442AA">
        <w:rPr>
          <w:i/>
          <w:iCs/>
          <w:lang w:val="en-AU"/>
        </w:rPr>
        <w:t xml:space="preserve">in vitro </w:t>
      </w:r>
      <w:r w:rsidR="00285786" w:rsidRPr="00F442AA">
        <w:rPr>
          <w:lang w:val="en-AU"/>
        </w:rPr>
        <w:t>data, MMF is not predicted to inhibit BSEP and HES is not expected to inhibit OCT1 at the maximum clinical dose.</w:t>
      </w:r>
      <w:r w:rsidR="00A2335D">
        <w:rPr>
          <w:lang w:val="en-AU"/>
        </w:rPr>
        <w:t xml:space="preserve"> </w:t>
      </w:r>
      <w:r w:rsidR="00285786" w:rsidRPr="00F442AA">
        <w:rPr>
          <w:lang w:val="en-AU"/>
        </w:rPr>
        <w:t>HES was not a substrate for P-</w:t>
      </w:r>
      <w:proofErr w:type="spellStart"/>
      <w:r w:rsidR="00285786" w:rsidRPr="00F442AA">
        <w:rPr>
          <w:lang w:val="en-AU"/>
        </w:rPr>
        <w:t>gp</w:t>
      </w:r>
      <w:proofErr w:type="spellEnd"/>
      <w:r w:rsidR="00285786" w:rsidRPr="00F442AA">
        <w:rPr>
          <w:lang w:val="en-AU"/>
        </w:rPr>
        <w:t>, BCRP, MATE1, MATE2K, OAT1, OAT3 or OCT2 and MMF is not a substrate for P-</w:t>
      </w:r>
      <w:proofErr w:type="spellStart"/>
      <w:r w:rsidR="00285786" w:rsidRPr="00F442AA">
        <w:rPr>
          <w:lang w:val="en-AU"/>
        </w:rPr>
        <w:t>gp</w:t>
      </w:r>
      <w:proofErr w:type="spellEnd"/>
      <w:r w:rsidRPr="00F442AA">
        <w:t xml:space="preserve">. </w:t>
      </w:r>
    </w:p>
    <w:p w14:paraId="10E4EF45" w14:textId="77777777" w:rsidR="004A1AAE" w:rsidRPr="00F442AA" w:rsidRDefault="004A1AAE" w:rsidP="00D67622">
      <w:pPr>
        <w:pStyle w:val="PINormal"/>
      </w:pPr>
    </w:p>
    <w:p w14:paraId="2E52D574" w14:textId="3E23D710" w:rsidR="004A1AAE" w:rsidRPr="0027489A" w:rsidRDefault="004A1AAE" w:rsidP="00D67622">
      <w:pPr>
        <w:pStyle w:val="PINormal"/>
      </w:pPr>
      <w:r w:rsidRPr="00F442AA">
        <w:t>Although not studied with VUMERITY, a PK study with a combined oral contraceptive has</w:t>
      </w:r>
      <w:r w:rsidRPr="0027489A">
        <w:t xml:space="preserve"> been performed with dimethyl fumarate. There were no relevant effects of dimethyl fumarate on the PK profile of </w:t>
      </w:r>
      <w:proofErr w:type="spellStart"/>
      <w:r w:rsidRPr="0027489A">
        <w:t>norelgestromin</w:t>
      </w:r>
      <w:proofErr w:type="spellEnd"/>
      <w:r w:rsidRPr="0027489A">
        <w:t xml:space="preserve"> and ethinyl </w:t>
      </w:r>
      <w:proofErr w:type="spellStart"/>
      <w:r w:rsidR="004865F8" w:rsidRPr="0027489A">
        <w:t>o</w:t>
      </w:r>
      <w:r w:rsidRPr="0027489A">
        <w:t>estradiol</w:t>
      </w:r>
      <w:proofErr w:type="spellEnd"/>
      <w:r w:rsidRPr="0027489A">
        <w:t xml:space="preserve">. No interaction studies have been performed with oral contraceptives containing other progestogens; however, an effect of VUMERITY on their exposure is not expected. </w:t>
      </w:r>
    </w:p>
    <w:p w14:paraId="5ACE6055" w14:textId="77777777" w:rsidR="00F6528B" w:rsidRPr="0027489A" w:rsidRDefault="00F6528B" w:rsidP="00D67622">
      <w:pPr>
        <w:pStyle w:val="PINormal"/>
      </w:pPr>
    </w:p>
    <w:p w14:paraId="3A5276DE" w14:textId="5FDA7C5B" w:rsidR="00F6528B" w:rsidRPr="0027489A" w:rsidRDefault="00F6528B" w:rsidP="00D67622">
      <w:pPr>
        <w:pStyle w:val="PINormal"/>
      </w:pPr>
      <w:r w:rsidRPr="0027489A">
        <w:t xml:space="preserve">Commonly used drugs in patients with </w:t>
      </w:r>
      <w:r w:rsidR="00F938DE" w:rsidRPr="0027489A">
        <w:t>MS</w:t>
      </w:r>
      <w:r w:rsidRPr="0027489A">
        <w:t xml:space="preserve">, intramuscular (IM) interferon beta-1a and </w:t>
      </w:r>
      <w:r w:rsidR="00D374CE" w:rsidRPr="0027489A">
        <w:t>glatiramer acetate (</w:t>
      </w:r>
      <w:r w:rsidRPr="0027489A">
        <w:t>GA</w:t>
      </w:r>
      <w:r w:rsidR="00D374CE" w:rsidRPr="0027489A">
        <w:t>)</w:t>
      </w:r>
      <w:r w:rsidRPr="0027489A">
        <w:t xml:space="preserve">, were clinically tested for potential drug-interactions with TECFIDERA and did not alter the pharmacokinetic profile of TECFIDERA.  Aspirin (non-enteric coated), 325 mg, when administered approximately 30 minutes before TECFIDERA, did not alter the pharmacokinetic profile of TECFIDERA.  </w:t>
      </w:r>
    </w:p>
    <w:p w14:paraId="5790C051" w14:textId="7B8C5757" w:rsidR="007F4633" w:rsidRPr="0027489A" w:rsidRDefault="007F4633" w:rsidP="00D67622"/>
    <w:p w14:paraId="29AC6A62" w14:textId="783EFADA" w:rsidR="00F6528B" w:rsidRDefault="00F6528B" w:rsidP="00D67622">
      <w:pPr>
        <w:pStyle w:val="GTCParagraph"/>
        <w:jc w:val="both"/>
        <w:rPr>
          <w:rFonts w:ascii="Arial" w:hAnsi="Arial"/>
          <w:sz w:val="22"/>
          <w:lang w:val="en-AU"/>
        </w:rPr>
      </w:pPr>
      <w:r w:rsidRPr="0027489A">
        <w:rPr>
          <w:rFonts w:ascii="Arial" w:hAnsi="Arial"/>
          <w:sz w:val="22"/>
          <w:lang w:val="en-AU"/>
        </w:rPr>
        <w:t xml:space="preserve">Patients treated with TECFIDERA were able to mount an effective immune response to inactivated neoantigen (first vaccination), recall antigen (re-exposure), or polysaccharide antigen in a clinical study in patients with relapsing forms of MS. This response was comparable to patients treated with non-pegylated interferons. Patients taking </w:t>
      </w:r>
      <w:r w:rsidR="004A1AAE" w:rsidRPr="0027489A">
        <w:rPr>
          <w:rFonts w:ascii="Arial" w:hAnsi="Arial"/>
          <w:sz w:val="22"/>
          <w:lang w:val="en-AU"/>
        </w:rPr>
        <w:t>VUMERITY</w:t>
      </w:r>
      <w:r w:rsidRPr="0027489A">
        <w:rPr>
          <w:rFonts w:ascii="Arial" w:hAnsi="Arial"/>
          <w:sz w:val="22"/>
          <w:lang w:val="en-AU"/>
        </w:rPr>
        <w:t xml:space="preserve"> may receive non-live vaccines. No clinical data are available on the efficacy and safety of live attenuated vaccines in patients taking </w:t>
      </w:r>
      <w:r w:rsidR="004A1AAE" w:rsidRPr="0027489A">
        <w:rPr>
          <w:rFonts w:ascii="Arial" w:hAnsi="Arial"/>
          <w:sz w:val="22"/>
          <w:lang w:val="en-AU"/>
        </w:rPr>
        <w:t>VUMERITY</w:t>
      </w:r>
      <w:r w:rsidRPr="0027489A">
        <w:rPr>
          <w:rFonts w:ascii="Arial" w:hAnsi="Arial"/>
          <w:sz w:val="22"/>
          <w:lang w:val="en-AU"/>
        </w:rPr>
        <w:t>.</w:t>
      </w:r>
    </w:p>
    <w:p w14:paraId="4FE5164B" w14:textId="22951204" w:rsidR="00864ED3" w:rsidRDefault="00864ED3" w:rsidP="00D67622">
      <w:pPr>
        <w:pStyle w:val="GTCParagraph"/>
        <w:jc w:val="both"/>
        <w:rPr>
          <w:rFonts w:ascii="Arial" w:hAnsi="Arial"/>
          <w:sz w:val="22"/>
          <w:lang w:val="en-AU"/>
        </w:rPr>
      </w:pPr>
    </w:p>
    <w:p w14:paraId="672EBD43" w14:textId="663A9C17" w:rsidR="00276751" w:rsidRPr="00B55390" w:rsidRDefault="008A786F" w:rsidP="00E37092">
      <w:pPr>
        <w:pStyle w:val="GTCParagraph"/>
      </w:pPr>
      <w:r w:rsidRPr="000D73DF">
        <w:rPr>
          <w:rFonts w:ascii="Arial" w:hAnsi="Arial"/>
          <w:sz w:val="22"/>
          <w:lang w:val="en-AU"/>
        </w:rPr>
        <w:t>Diroximel fumarate has not been stu</w:t>
      </w:r>
      <w:r w:rsidRPr="00B55390">
        <w:rPr>
          <w:rFonts w:ascii="Arial" w:hAnsi="Arial"/>
          <w:sz w:val="22"/>
          <w:lang w:val="en-AU"/>
        </w:rPr>
        <w:t>died in combination with anti-neoplastic or immunosuppressive therapies and caution should, therefore, be used during concomitant administration. In MS clinical studies, the concomitant treatment of relapses with a short course of intravenous corticosteroids was not associated with a clinically relevant increase of infection.</w:t>
      </w:r>
    </w:p>
    <w:p w14:paraId="071FAB61" w14:textId="657ED98C" w:rsidR="001A3992" w:rsidRPr="00B55390" w:rsidRDefault="001A3992" w:rsidP="00D67622">
      <w:pPr>
        <w:pStyle w:val="Heading2"/>
      </w:pPr>
      <w:r w:rsidRPr="00B55390">
        <w:t xml:space="preserve">Fertility, pregnancy and lactation </w:t>
      </w:r>
    </w:p>
    <w:p w14:paraId="64FE5B43" w14:textId="77777777" w:rsidR="001A3992" w:rsidRPr="00B55390" w:rsidRDefault="001A3992" w:rsidP="00D67622">
      <w:pPr>
        <w:pStyle w:val="Heading3"/>
      </w:pPr>
      <w:r w:rsidRPr="00B55390">
        <w:t>Effects on fertility</w:t>
      </w:r>
    </w:p>
    <w:p w14:paraId="3E720E02" w14:textId="718314E4" w:rsidR="00F6528B" w:rsidRPr="00B55390" w:rsidRDefault="00F6528B" w:rsidP="00D67622">
      <w:pPr>
        <w:pStyle w:val="PINormal"/>
      </w:pPr>
      <w:r w:rsidRPr="00B55390">
        <w:t xml:space="preserve">Data from nonclinical studies do not suggest that </w:t>
      </w:r>
      <w:r w:rsidR="004A1AAE" w:rsidRPr="00B55390">
        <w:t>VUMERITY</w:t>
      </w:r>
      <w:r w:rsidRPr="00B55390">
        <w:t xml:space="preserve"> would be associated with an increased risk of reduced fertility. </w:t>
      </w:r>
    </w:p>
    <w:p w14:paraId="7048E401" w14:textId="77777777" w:rsidR="00A92E93" w:rsidRPr="00B55390" w:rsidRDefault="00A92E93" w:rsidP="00D67622">
      <w:pPr>
        <w:pStyle w:val="PINormal"/>
      </w:pPr>
    </w:p>
    <w:p w14:paraId="389039B8" w14:textId="446F492A" w:rsidR="00F6528B" w:rsidRPr="00B55390" w:rsidRDefault="002E35F6" w:rsidP="00D67622">
      <w:pPr>
        <w:pStyle w:val="PINormal"/>
      </w:pPr>
      <w:r w:rsidRPr="00B55390">
        <w:t>D</w:t>
      </w:r>
      <w:r w:rsidR="00B54161" w:rsidRPr="00B55390">
        <w:t>iroximel fumarate</w:t>
      </w:r>
      <w:r w:rsidR="00A92E93" w:rsidRPr="00B55390">
        <w:t xml:space="preserve"> did not impair fertility in rats when administered orally to males up to 400 mg/kg/day and to females up to 450 mg/kg/day (</w:t>
      </w:r>
      <w:r w:rsidR="00837054" w:rsidRPr="00B55390">
        <w:t>monomethyl fumarate</w:t>
      </w:r>
      <w:r w:rsidR="00F709AE" w:rsidRPr="00B55390">
        <w:t xml:space="preserve"> and HES</w:t>
      </w:r>
      <w:r w:rsidR="00A92E93" w:rsidRPr="00B55390">
        <w:t xml:space="preserve"> exposure</w:t>
      </w:r>
      <w:r w:rsidR="00F709AE" w:rsidRPr="00B55390">
        <w:t>s</w:t>
      </w:r>
      <w:r w:rsidR="00A92E93" w:rsidRPr="00B55390">
        <w:t xml:space="preserve"> </w:t>
      </w:r>
      <w:r w:rsidR="00F709AE" w:rsidRPr="00B55390">
        <w:t>were each</w:t>
      </w:r>
      <w:r w:rsidR="00A92E93" w:rsidRPr="00B55390">
        <w:t xml:space="preserve"> up to approximately</w:t>
      </w:r>
      <w:r w:rsidR="00E45656" w:rsidRPr="00B55390">
        <w:t xml:space="preserve"> 6</w:t>
      </w:r>
      <w:r w:rsidR="00B95A91" w:rsidRPr="00363511">
        <w:rPr>
          <w:lang w:val="en-AU"/>
        </w:rPr>
        <w:t>×</w:t>
      </w:r>
      <w:r w:rsidR="00B7559C" w:rsidRPr="00363511">
        <w:t xml:space="preserve"> in males and 7</w:t>
      </w:r>
      <w:r w:rsidR="00B95A91" w:rsidRPr="00363511">
        <w:rPr>
          <w:lang w:val="en-AU"/>
        </w:rPr>
        <w:t>×</w:t>
      </w:r>
      <w:r w:rsidR="00B7559C" w:rsidRPr="00B55390">
        <w:t xml:space="preserve"> in females</w:t>
      </w:r>
      <w:r w:rsidR="00A92E93" w:rsidRPr="00B55390">
        <w:t>, relative to exposure at the</w:t>
      </w:r>
      <w:r w:rsidR="007D6812" w:rsidRPr="00B55390">
        <w:rPr>
          <w:rFonts w:ascii="Times New Roman" w:hAnsi="Times New Roman" w:cs="Times New Roman"/>
          <w:sz w:val="24"/>
          <w:szCs w:val="24"/>
          <w:lang w:val="en-AU"/>
        </w:rPr>
        <w:t xml:space="preserve"> </w:t>
      </w:r>
      <w:r w:rsidR="007D6812" w:rsidRPr="00B55390">
        <w:rPr>
          <w:lang w:val="en-AU"/>
        </w:rPr>
        <w:t>maximum recommended human dose</w:t>
      </w:r>
      <w:r w:rsidR="00540A33" w:rsidRPr="00B55390">
        <w:t xml:space="preserve"> </w:t>
      </w:r>
      <w:r w:rsidR="007D6812" w:rsidRPr="00B55390">
        <w:t>[</w:t>
      </w:r>
      <w:r w:rsidR="006A6D37" w:rsidRPr="00B55390">
        <w:t>M</w:t>
      </w:r>
      <w:r w:rsidR="00A92E93" w:rsidRPr="00B55390">
        <w:t>RHD</w:t>
      </w:r>
      <w:r w:rsidR="001A6172" w:rsidRPr="00B55390">
        <w:t>]</w:t>
      </w:r>
      <w:r w:rsidR="00A92E93" w:rsidRPr="00B55390">
        <w:t xml:space="preserve"> of </w:t>
      </w:r>
      <w:r w:rsidR="00B54161" w:rsidRPr="00B55390">
        <w:t>diroximel fumarate</w:t>
      </w:r>
      <w:r w:rsidR="001F18A3" w:rsidRPr="00B55390">
        <w:t xml:space="preserve"> </w:t>
      </w:r>
      <w:r w:rsidR="00A92E93" w:rsidRPr="00B55390">
        <w:t>on an AUC basis).</w:t>
      </w:r>
    </w:p>
    <w:p w14:paraId="56232F36" w14:textId="77777777" w:rsidR="007F4633" w:rsidRPr="00B55390" w:rsidRDefault="007F4633" w:rsidP="00D67622"/>
    <w:p w14:paraId="1ED71CF6" w14:textId="7C56B70E" w:rsidR="001A3992" w:rsidRPr="00B55390" w:rsidRDefault="001A3992" w:rsidP="00D67622">
      <w:pPr>
        <w:pStyle w:val="Heading3"/>
      </w:pPr>
      <w:r w:rsidRPr="00B55390">
        <w:t xml:space="preserve">Use in pregnancy </w:t>
      </w:r>
      <w:r w:rsidR="00497C85" w:rsidRPr="00B55390">
        <w:t>–</w:t>
      </w:r>
      <w:r w:rsidR="00FD049F" w:rsidRPr="00B55390">
        <w:t xml:space="preserve"> </w:t>
      </w:r>
      <w:r w:rsidR="00F6528B" w:rsidRPr="00B55390">
        <w:t>Category B</w:t>
      </w:r>
      <w:r w:rsidR="00F27414" w:rsidRPr="00B55390">
        <w:t>3</w:t>
      </w:r>
    </w:p>
    <w:p w14:paraId="1A1FCB16" w14:textId="4107AE25" w:rsidR="00FA19B6" w:rsidRDefault="00FA19B6" w:rsidP="00D67622">
      <w:pPr>
        <w:pStyle w:val="PINormal"/>
        <w:rPr>
          <w:lang w:val="en-AU"/>
        </w:rPr>
      </w:pPr>
      <w:r w:rsidRPr="00B55390">
        <w:rPr>
          <w:lang w:val="en-AU"/>
        </w:rPr>
        <w:t>There are no adequate and well-controlled studies in pregnant women.</w:t>
      </w:r>
      <w:r w:rsidR="000E5DF6" w:rsidRPr="000E5DF6">
        <w:rPr>
          <w:szCs w:val="22"/>
          <w:lang w:val="en-AU"/>
        </w:rPr>
        <w:t xml:space="preserve"> </w:t>
      </w:r>
      <w:r w:rsidR="000E5DF6">
        <w:rPr>
          <w:lang w:val="en-AU"/>
        </w:rPr>
        <w:t>VUMERITY</w:t>
      </w:r>
      <w:r w:rsidR="000E5DF6" w:rsidRPr="000E5DF6">
        <w:rPr>
          <w:lang w:val="en-AU"/>
        </w:rPr>
        <w:t xml:space="preserve"> is not recommended during pregnancy and in women of childbearing potential not using appropriate contraception.</w:t>
      </w:r>
      <w:r w:rsidR="00F22DD5">
        <w:rPr>
          <w:lang w:val="en-AU"/>
        </w:rPr>
        <w:t xml:space="preserve"> </w:t>
      </w:r>
      <w:r w:rsidR="00F22DD5" w:rsidRPr="00AA4BB5">
        <w:rPr>
          <w:lang w:val="en-AU"/>
        </w:rPr>
        <w:t>The effects of VUMERITY on labour and delivery are unknown</w:t>
      </w:r>
      <w:r w:rsidR="00F22DD5">
        <w:rPr>
          <w:lang w:val="en-AU"/>
        </w:rPr>
        <w:t>.</w:t>
      </w:r>
    </w:p>
    <w:p w14:paraId="2FEB6663" w14:textId="77777777" w:rsidR="006821CA" w:rsidRPr="00B55390" w:rsidRDefault="006821CA" w:rsidP="00D67622">
      <w:pPr>
        <w:pStyle w:val="PINormal"/>
        <w:rPr>
          <w:lang w:val="en-AU"/>
        </w:rPr>
      </w:pPr>
    </w:p>
    <w:p w14:paraId="3FC13E2B" w14:textId="0F985016" w:rsidR="00274A79" w:rsidRPr="00B55390" w:rsidRDefault="00FA19B6" w:rsidP="00D67622">
      <w:pPr>
        <w:pStyle w:val="PINormal"/>
        <w:rPr>
          <w:lang w:val="en-AU"/>
        </w:rPr>
      </w:pPr>
      <w:r w:rsidRPr="00B55390">
        <w:rPr>
          <w:lang w:val="en-AU"/>
        </w:rPr>
        <w:t xml:space="preserve">Animal developmental toxicity studies indicated adverse embryofetal effects, likely secondary to maternal toxicity. </w:t>
      </w:r>
    </w:p>
    <w:p w14:paraId="4BD355BE" w14:textId="77777777" w:rsidR="00274A79" w:rsidRPr="00B55390" w:rsidRDefault="00274A79" w:rsidP="00D67622">
      <w:pPr>
        <w:pStyle w:val="PINormal"/>
        <w:rPr>
          <w:lang w:val="en-AU"/>
        </w:rPr>
      </w:pPr>
    </w:p>
    <w:p w14:paraId="50BED0E6" w14:textId="535F6970" w:rsidR="00FA19B6" w:rsidRPr="00B55390" w:rsidRDefault="00FA19B6" w:rsidP="00D67622">
      <w:pPr>
        <w:pStyle w:val="PINormal"/>
        <w:rPr>
          <w:lang w:val="en-AU"/>
        </w:rPr>
      </w:pPr>
      <w:r w:rsidRPr="00B55390">
        <w:rPr>
          <w:lang w:val="en-AU"/>
        </w:rPr>
        <w:t xml:space="preserve">Oral administration of diroximel fumarate (up to 400 mg/kg/day) to pregnant rats throughout organogenesis resulted in lower </w:t>
      </w:r>
      <w:proofErr w:type="spellStart"/>
      <w:r w:rsidRPr="00B55390">
        <w:rPr>
          <w:lang w:val="en-AU"/>
        </w:rPr>
        <w:t>fetal</w:t>
      </w:r>
      <w:proofErr w:type="spellEnd"/>
      <w:r w:rsidRPr="00B55390">
        <w:rPr>
          <w:lang w:val="en-AU"/>
        </w:rPr>
        <w:t xml:space="preserve"> body weights and an increase in </w:t>
      </w:r>
      <w:proofErr w:type="spellStart"/>
      <w:r w:rsidRPr="00B55390">
        <w:rPr>
          <w:lang w:val="en-AU"/>
        </w:rPr>
        <w:t>fetal</w:t>
      </w:r>
      <w:proofErr w:type="spellEnd"/>
      <w:r w:rsidRPr="00B55390">
        <w:rPr>
          <w:lang w:val="en-AU"/>
        </w:rPr>
        <w:t xml:space="preserve"> skeletal variations at the highest dose tested, which was associated with maternal toxicity. Plasma exposures (AUC) for MMF and HES (the major circulating drug-related compound in humans) at the no-effect dose (100 mg/kg/day) for adverse effects on embryofetal development </w:t>
      </w:r>
      <w:r w:rsidRPr="00363511">
        <w:rPr>
          <w:lang w:val="en-AU"/>
        </w:rPr>
        <w:t>were</w:t>
      </w:r>
      <w:r w:rsidR="00A23340" w:rsidRPr="00363511">
        <w:t xml:space="preserve"> each</w:t>
      </w:r>
      <w:r w:rsidRPr="00B55390">
        <w:rPr>
          <w:lang w:val="en-AU"/>
        </w:rPr>
        <w:t xml:space="preserve"> approximately 2 times those in humans at the MRHD. </w:t>
      </w:r>
    </w:p>
    <w:p w14:paraId="3A26889C" w14:textId="77777777" w:rsidR="00FA19B6" w:rsidRPr="00B55390" w:rsidRDefault="00FA19B6" w:rsidP="00D67622">
      <w:pPr>
        <w:pStyle w:val="PINormal"/>
        <w:rPr>
          <w:lang w:val="en-AU"/>
        </w:rPr>
      </w:pPr>
    </w:p>
    <w:p w14:paraId="4360F374" w14:textId="7CF9302E" w:rsidR="00FA19B6" w:rsidRPr="00AD5B6D" w:rsidRDefault="00FA19B6" w:rsidP="00D67622">
      <w:pPr>
        <w:pStyle w:val="PINormal"/>
        <w:rPr>
          <w:lang w:val="en-AU"/>
        </w:rPr>
      </w:pPr>
      <w:r w:rsidRPr="00B55390">
        <w:rPr>
          <w:lang w:val="en-AU"/>
        </w:rPr>
        <w:t xml:space="preserve">Oral administration of diroximel fumarate (up to 350 mg/kg/day) to pregnant rabbits throughout organogenesis resulted in an increase in </w:t>
      </w:r>
      <w:proofErr w:type="spellStart"/>
      <w:r w:rsidRPr="00B55390">
        <w:rPr>
          <w:lang w:val="en-AU"/>
        </w:rPr>
        <w:t>fetal</w:t>
      </w:r>
      <w:proofErr w:type="spellEnd"/>
      <w:r w:rsidRPr="00B55390">
        <w:rPr>
          <w:lang w:val="en-AU"/>
        </w:rPr>
        <w:t xml:space="preserve"> skeletal malformations at the mid and high doses and lower </w:t>
      </w:r>
      <w:proofErr w:type="spellStart"/>
      <w:r w:rsidRPr="00B55390">
        <w:rPr>
          <w:lang w:val="en-AU"/>
        </w:rPr>
        <w:t>fetal</w:t>
      </w:r>
      <w:proofErr w:type="spellEnd"/>
      <w:r w:rsidRPr="00B55390">
        <w:rPr>
          <w:lang w:val="en-AU"/>
        </w:rPr>
        <w:t xml:space="preserve"> body weight and increases in embryofetal death and </w:t>
      </w:r>
      <w:proofErr w:type="spellStart"/>
      <w:r w:rsidRPr="00B55390">
        <w:rPr>
          <w:lang w:val="en-AU"/>
        </w:rPr>
        <w:t>fetal</w:t>
      </w:r>
      <w:proofErr w:type="spellEnd"/>
      <w:r w:rsidRPr="00B55390">
        <w:rPr>
          <w:lang w:val="en-AU"/>
        </w:rPr>
        <w:t xml:space="preserve"> skeletal variations at the highest dose tested. The mid and high dose was associated with maternal toxicity. Plasma exposures (AUC) for MMF </w:t>
      </w:r>
      <w:r w:rsidR="00980EFF" w:rsidRPr="00AD5B6D">
        <w:t xml:space="preserve">and HES </w:t>
      </w:r>
      <w:r w:rsidRPr="00AD5B6D">
        <w:rPr>
          <w:lang w:val="en-AU"/>
        </w:rPr>
        <w:t xml:space="preserve">at the no-effect dose (50 mg/kg/day) for adverse effects on embryofetal development were </w:t>
      </w:r>
      <w:r w:rsidR="00A63625" w:rsidRPr="00AD5B6D">
        <w:t>1.4</w:t>
      </w:r>
      <w:r w:rsidR="00E36579" w:rsidRPr="00AD5B6D">
        <w:rPr>
          <w:lang w:val="en-AU"/>
        </w:rPr>
        <w:t>×</w:t>
      </w:r>
      <w:r w:rsidR="00A63625" w:rsidRPr="00AD5B6D">
        <w:t xml:space="preserve"> and 0.7</w:t>
      </w:r>
      <w:r w:rsidR="00E36579" w:rsidRPr="00AD5B6D">
        <w:rPr>
          <w:lang w:val="en-AU"/>
        </w:rPr>
        <w:t>×</w:t>
      </w:r>
      <w:r w:rsidR="00A63625" w:rsidRPr="00AD5B6D">
        <w:t>, respectively</w:t>
      </w:r>
      <w:r w:rsidR="004556C6" w:rsidRPr="00AD5B6D">
        <w:t>,</w:t>
      </w:r>
      <w:r w:rsidRPr="00AD5B6D">
        <w:rPr>
          <w:lang w:val="en-AU"/>
        </w:rPr>
        <w:t xml:space="preserve"> those in humans at the MRHD. </w:t>
      </w:r>
    </w:p>
    <w:p w14:paraId="69FE93BA" w14:textId="77777777" w:rsidR="00FA19B6" w:rsidRPr="00B55390" w:rsidRDefault="00FA19B6" w:rsidP="00D67622">
      <w:pPr>
        <w:pStyle w:val="PINormal"/>
        <w:rPr>
          <w:lang w:val="en-AU"/>
        </w:rPr>
      </w:pPr>
    </w:p>
    <w:p w14:paraId="608B2F9E" w14:textId="0077572C" w:rsidR="00031DB3" w:rsidRPr="00B55390" w:rsidRDefault="00173478" w:rsidP="00D67622">
      <w:pPr>
        <w:pStyle w:val="PINormal"/>
      </w:pPr>
      <w:r w:rsidRPr="00B55390">
        <w:t>Because animal reproduction studies are not always predictive of human response, this drug should be used during pregnancy only if clearly needed and if the potential benefit justifies the potential risk to the fetus</w:t>
      </w:r>
      <w:r w:rsidR="007D458C" w:rsidRPr="00B55390">
        <w:t>.</w:t>
      </w:r>
    </w:p>
    <w:p w14:paraId="08D677BB" w14:textId="77777777" w:rsidR="007F4633" w:rsidRPr="00B55390" w:rsidRDefault="007F4633" w:rsidP="00D67622"/>
    <w:p w14:paraId="26BBFA2E" w14:textId="1DC13AFF" w:rsidR="001A3992" w:rsidRPr="00B55390" w:rsidRDefault="001A3992" w:rsidP="00D67622">
      <w:pPr>
        <w:pStyle w:val="Heading3"/>
      </w:pPr>
      <w:r w:rsidRPr="00B55390">
        <w:t xml:space="preserve">Use in lactation </w:t>
      </w:r>
    </w:p>
    <w:p w14:paraId="67C83740" w14:textId="5A223AA3" w:rsidR="00C23F96" w:rsidRPr="00B55390" w:rsidRDefault="00F6528B" w:rsidP="00251B7D">
      <w:pPr>
        <w:pStyle w:val="PINormal"/>
      </w:pPr>
      <w:r w:rsidRPr="00B55390">
        <w:t>It is not known whether this drug is excreted in</w:t>
      </w:r>
      <w:r w:rsidR="00A75461" w:rsidRPr="00B55390">
        <w:t xml:space="preserve"> human</w:t>
      </w:r>
      <w:r w:rsidRPr="00B55390">
        <w:t xml:space="preserve"> milk.</w:t>
      </w:r>
      <w:r w:rsidR="00786FE4" w:rsidRPr="00B55390">
        <w:rPr>
          <w:rFonts w:ascii="Cambria" w:eastAsiaTheme="minorHAnsi" w:hAnsi="Cambria" w:cs="Cambria"/>
          <w:color w:val="000000"/>
          <w:szCs w:val="22"/>
          <w:lang w:val="en-AU"/>
        </w:rPr>
        <w:t xml:space="preserve"> </w:t>
      </w:r>
      <w:r w:rsidR="00786FE4" w:rsidRPr="00B55390">
        <w:rPr>
          <w:lang w:val="en-AU"/>
        </w:rPr>
        <w:t>HES was detected in the circulation of breast-fed rat pups following maternal exposure to diroximel fumarate.</w:t>
      </w:r>
      <w:r w:rsidR="00363511">
        <w:rPr>
          <w:lang w:val="en-AU"/>
        </w:rPr>
        <w:t xml:space="preserve"> </w:t>
      </w:r>
      <w:r w:rsidR="00251B7D" w:rsidRPr="00251B7D">
        <w:rPr>
          <w:lang w:val="en-AU"/>
        </w:rPr>
        <w:t>A risk to</w:t>
      </w:r>
      <w:r w:rsidR="00D6093D">
        <w:rPr>
          <w:lang w:val="en-AU"/>
        </w:rPr>
        <w:t xml:space="preserve"> </w:t>
      </w:r>
      <w:r w:rsidR="00251B7D" w:rsidRPr="00251B7D">
        <w:rPr>
          <w:lang w:val="en-AU"/>
        </w:rPr>
        <w:t xml:space="preserve">newborns/infants cannot be excluded. A decision must be made whether to discontinue breast-feeding or to discontinue treatment with VUMERITY, </w:t>
      </w:r>
      <w:proofErr w:type="gramStart"/>
      <w:r w:rsidR="00251B7D" w:rsidRPr="00251B7D">
        <w:rPr>
          <w:lang w:val="en-AU"/>
        </w:rPr>
        <w:t>taking into account</w:t>
      </w:r>
      <w:proofErr w:type="gramEnd"/>
      <w:r w:rsidR="00251B7D" w:rsidRPr="00251B7D">
        <w:rPr>
          <w:lang w:val="en-AU"/>
        </w:rPr>
        <w:t xml:space="preserve"> the benefit of breast-feeding for the child and the benefit of therapy for the woman</w:t>
      </w:r>
      <w:r w:rsidR="00251B7D">
        <w:rPr>
          <w:lang w:val="en-AU"/>
        </w:rPr>
        <w:t xml:space="preserve">. </w:t>
      </w:r>
      <w:r w:rsidR="00786FE4" w:rsidRPr="00B55390">
        <w:t>C</w:t>
      </w:r>
      <w:r w:rsidR="006E4C45" w:rsidRPr="00B55390">
        <w:t>aution should be exercised when VUMERITY is administered to a nursing woman.</w:t>
      </w:r>
    </w:p>
    <w:p w14:paraId="4B4A2943" w14:textId="77777777" w:rsidR="001A3992" w:rsidRPr="00B55390" w:rsidRDefault="001A3992" w:rsidP="00D67622">
      <w:pPr>
        <w:pStyle w:val="Heading2"/>
      </w:pPr>
      <w:r w:rsidRPr="00B55390">
        <w:t xml:space="preserve">Effects on ability to drive and use machines </w:t>
      </w:r>
    </w:p>
    <w:p w14:paraId="2080155A" w14:textId="0B80F14F" w:rsidR="00C23F96" w:rsidRPr="00B55390" w:rsidRDefault="007F4633" w:rsidP="00D67622">
      <w:pPr>
        <w:pStyle w:val="PINormal"/>
      </w:pPr>
      <w:r w:rsidRPr="00B55390">
        <w:t xml:space="preserve">No studies on the effects on the ability to drive and use machines have been </w:t>
      </w:r>
      <w:r w:rsidR="00673C4D" w:rsidRPr="00B55390">
        <w:t>conducted</w:t>
      </w:r>
      <w:r w:rsidRPr="00B55390">
        <w:t xml:space="preserve">. </w:t>
      </w:r>
    </w:p>
    <w:p w14:paraId="210183F9" w14:textId="77777777" w:rsidR="001A3992" w:rsidRPr="00B55390" w:rsidRDefault="001A3992" w:rsidP="00D67622">
      <w:pPr>
        <w:pStyle w:val="Heading2"/>
      </w:pPr>
      <w:r w:rsidRPr="00B55390">
        <w:t>Adverse effects (Undesirable effects)</w:t>
      </w:r>
    </w:p>
    <w:p w14:paraId="664ED9D1" w14:textId="43A55ED1" w:rsidR="0098718D" w:rsidRPr="00B55390" w:rsidRDefault="0098718D" w:rsidP="00D67622">
      <w:pPr>
        <w:pStyle w:val="Heading3"/>
      </w:pPr>
      <w:r w:rsidRPr="00B55390">
        <w:t>Reporting suspected adverse effects</w:t>
      </w:r>
    </w:p>
    <w:p w14:paraId="52309AC8" w14:textId="50479C95" w:rsidR="00497C85" w:rsidRPr="00B55390" w:rsidRDefault="00497C85" w:rsidP="00D67622">
      <w:pPr>
        <w:pStyle w:val="PINormal"/>
      </w:pPr>
      <w:r w:rsidRPr="00B55390">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2" w:history="1">
        <w:r w:rsidRPr="00B55390">
          <w:rPr>
            <w:rStyle w:val="Hyperlink"/>
            <w:lang w:val="en"/>
          </w:rPr>
          <w:t>www.tga.gov.au/reporting-problems</w:t>
        </w:r>
      </w:hyperlink>
      <w:r w:rsidRPr="00B55390">
        <w:t>.</w:t>
      </w:r>
    </w:p>
    <w:p w14:paraId="2DAED4C2" w14:textId="77777777" w:rsidR="000139A1" w:rsidRPr="00B55390" w:rsidRDefault="000139A1" w:rsidP="00D67622">
      <w:pPr>
        <w:pStyle w:val="PINormal"/>
      </w:pPr>
    </w:p>
    <w:p w14:paraId="29288BB7" w14:textId="76B7453A" w:rsidR="00505A11" w:rsidRPr="00B55390" w:rsidRDefault="00505A11" w:rsidP="00D67622">
      <w:pPr>
        <w:pStyle w:val="PINormal"/>
      </w:pPr>
      <w:r w:rsidRPr="00B55390">
        <w:t xml:space="preserve">Upon oral administration, VUMERITY and TECFIDERA are rapidly </w:t>
      </w:r>
      <w:proofErr w:type="spellStart"/>
      <w:r w:rsidRPr="00B55390">
        <w:t>metaboli</w:t>
      </w:r>
      <w:r w:rsidR="00F638C8" w:rsidRPr="00B55390">
        <w:t>s</w:t>
      </w:r>
      <w:r w:rsidRPr="00B55390">
        <w:t>ed</w:t>
      </w:r>
      <w:proofErr w:type="spellEnd"/>
      <w:r w:rsidRPr="00B55390">
        <w:t xml:space="preserve"> to monomethyl fumarate before they reach the systemic circulation. Adverse reactions are expected to be similar between VUMERITY and </w:t>
      </w:r>
      <w:r w:rsidR="003E2267" w:rsidRPr="00B55390">
        <w:t xml:space="preserve">TECFIDERA </w:t>
      </w:r>
      <w:r w:rsidRPr="00B55390">
        <w:t xml:space="preserve">once </w:t>
      </w:r>
      <w:proofErr w:type="spellStart"/>
      <w:r w:rsidRPr="00B55390">
        <w:t>metaboli</w:t>
      </w:r>
      <w:r w:rsidR="003E2267" w:rsidRPr="00B55390">
        <w:t>s</w:t>
      </w:r>
      <w:r w:rsidRPr="00B55390">
        <w:t>ed</w:t>
      </w:r>
      <w:proofErr w:type="spellEnd"/>
      <w:r w:rsidRPr="00B55390">
        <w:t>.</w:t>
      </w:r>
    </w:p>
    <w:p w14:paraId="04DF7B2C" w14:textId="77777777" w:rsidR="00505A11" w:rsidRPr="00B55390" w:rsidRDefault="00505A11" w:rsidP="00D67622">
      <w:pPr>
        <w:pStyle w:val="PINormal"/>
      </w:pPr>
    </w:p>
    <w:p w14:paraId="410F8F2E" w14:textId="1EA721EA" w:rsidR="00DA38E0" w:rsidRPr="00B55390" w:rsidRDefault="00DA38E0" w:rsidP="00D67622">
      <w:pPr>
        <w:pStyle w:val="PINormal"/>
      </w:pPr>
      <w:r w:rsidRPr="00B55390">
        <w:t xml:space="preserve">There are 2 Phase 3 clinical trials for VUMERITY in patients with relapsing-remitting MS (RRMS): EVOLVE-MS-1, an open-label, 2-year safety study; and EVOLVE MS 2, </w:t>
      </w:r>
      <w:proofErr w:type="spellStart"/>
      <w:r w:rsidRPr="00B55390">
        <w:t>randomi</w:t>
      </w:r>
      <w:r w:rsidR="00D707D9" w:rsidRPr="00B55390">
        <w:t>s</w:t>
      </w:r>
      <w:r w:rsidRPr="00B55390">
        <w:t>ed</w:t>
      </w:r>
      <w:proofErr w:type="spellEnd"/>
      <w:r w:rsidRPr="00B55390">
        <w:t xml:space="preserve">, double-blind study comparing the GI tolerability of VUMERITY to </w:t>
      </w:r>
      <w:r w:rsidR="003E2267" w:rsidRPr="00B55390">
        <w:t>TECFIDERA</w:t>
      </w:r>
      <w:r w:rsidRPr="00B55390">
        <w:t xml:space="preserve">. In these studies, the adverse reaction profile observed with VUMERITY was </w:t>
      </w:r>
      <w:proofErr w:type="gramStart"/>
      <w:r w:rsidRPr="00B55390">
        <w:t>similar to</w:t>
      </w:r>
      <w:proofErr w:type="gramEnd"/>
      <w:r w:rsidRPr="00B55390">
        <w:t xml:space="preserve"> what was seen with the </w:t>
      </w:r>
      <w:r w:rsidR="003E2267" w:rsidRPr="00B55390">
        <w:t>TECFIDERA</w:t>
      </w:r>
      <w:r w:rsidRPr="00B55390">
        <w:t xml:space="preserve"> clinical trial experience. </w:t>
      </w:r>
    </w:p>
    <w:p w14:paraId="0369355A" w14:textId="77777777" w:rsidR="00DA38E0" w:rsidRPr="00B55390" w:rsidRDefault="00DA38E0" w:rsidP="00D67622">
      <w:pPr>
        <w:pStyle w:val="PINormal"/>
      </w:pPr>
    </w:p>
    <w:p w14:paraId="34F7D3B5" w14:textId="0C3A06EE" w:rsidR="005A6697" w:rsidRPr="00B55390" w:rsidRDefault="005A6697" w:rsidP="00D67622">
      <w:pPr>
        <w:pStyle w:val="PINormal"/>
      </w:pPr>
      <w:r w:rsidRPr="00B55390">
        <w:t>The most common adverse reactions (incidence ≥10% and &gt;2% than placebo) for TECFIDERA were flushing and gastrointestinal (GI) events (</w:t>
      </w:r>
      <w:proofErr w:type="gramStart"/>
      <w:r w:rsidRPr="00B55390">
        <w:t>i.e.</w:t>
      </w:r>
      <w:proofErr w:type="gramEnd"/>
      <w:r w:rsidRPr="00B55390">
        <w:t xml:space="preserve"> </w:t>
      </w:r>
      <w:proofErr w:type="spellStart"/>
      <w:r w:rsidRPr="00B55390">
        <w:t>diarrhoea</w:t>
      </w:r>
      <w:proofErr w:type="spellEnd"/>
      <w:r w:rsidRPr="00B55390">
        <w:t xml:space="preserve">, nausea, abdominal pain, upper abdominal pain). </w:t>
      </w:r>
    </w:p>
    <w:p w14:paraId="228199B4" w14:textId="77777777" w:rsidR="005A6697" w:rsidRPr="00B55390" w:rsidRDefault="005A6697" w:rsidP="00D67622">
      <w:pPr>
        <w:pStyle w:val="PINormal"/>
      </w:pPr>
    </w:p>
    <w:p w14:paraId="4945CE47" w14:textId="5D22836D" w:rsidR="005A6697" w:rsidRPr="00B55390" w:rsidRDefault="005A6697" w:rsidP="00D67622">
      <w:pPr>
        <w:pStyle w:val="PINormal"/>
      </w:pPr>
      <w:r w:rsidRPr="00B55390">
        <w:t xml:space="preserve">The </w:t>
      </w:r>
      <w:proofErr w:type="gramStart"/>
      <w:r w:rsidRPr="00B55390">
        <w:t>most commonly reported</w:t>
      </w:r>
      <w:proofErr w:type="gramEnd"/>
      <w:r w:rsidRPr="00B55390">
        <w:t xml:space="preserve"> adverse events leading to discontinuation (incidence &gt;1%) in patients treated with TECFIDERA were flushing (3%) and gastrointestinal events (4%).</w:t>
      </w:r>
      <w:r w:rsidR="005E7F24" w:rsidRPr="00B55390">
        <w:t xml:space="preserve"> </w:t>
      </w:r>
      <w:r w:rsidR="004A1AAE" w:rsidRPr="00B55390">
        <w:t xml:space="preserve"> It has been demonstrated that VUMERITY has fewer and less severe GI adverse events than</w:t>
      </w:r>
      <w:r w:rsidR="004458C3" w:rsidRPr="00B55390">
        <w:t xml:space="preserve"> </w:t>
      </w:r>
      <w:r w:rsidR="00E80A4F" w:rsidRPr="00B55390">
        <w:t xml:space="preserve">dimethyl fumarate (see Table 3). Based on patient reported outcomes, VUMERITY demonstrated </w:t>
      </w:r>
      <w:r w:rsidR="002D21EE" w:rsidRPr="00B55390">
        <w:t xml:space="preserve">less severe GI events and fewer days of </w:t>
      </w:r>
      <w:r w:rsidR="00E80A4F" w:rsidRPr="00B55390">
        <w:t xml:space="preserve">self-reported GI symptoms compared with TECFIDERA (see EVOLVE-MS-2 </w:t>
      </w:r>
      <w:r w:rsidR="00DE273C" w:rsidRPr="00B55390">
        <w:t xml:space="preserve">study </w:t>
      </w:r>
      <w:r w:rsidR="00E80A4F" w:rsidRPr="00B55390">
        <w:t>description below).</w:t>
      </w:r>
    </w:p>
    <w:p w14:paraId="6CB69928" w14:textId="77777777" w:rsidR="009A6F64" w:rsidRPr="00B55390" w:rsidRDefault="009A6F64" w:rsidP="00D67622">
      <w:pPr>
        <w:pStyle w:val="PINormal"/>
      </w:pPr>
    </w:p>
    <w:p w14:paraId="16074BEB" w14:textId="2416AA9E" w:rsidR="005A6697" w:rsidRPr="00B55390" w:rsidRDefault="004A1AAE" w:rsidP="00D67622">
      <w:pPr>
        <w:pStyle w:val="PINormal"/>
      </w:pPr>
      <w:r w:rsidRPr="00B55390">
        <w:t xml:space="preserve">In placebo-controlled and uncontrolled clinical studies, a total of 2513 patients have received </w:t>
      </w:r>
      <w:r w:rsidR="00160FB4" w:rsidRPr="00B55390">
        <w:t>TECFIDERA</w:t>
      </w:r>
      <w:r w:rsidRPr="00B55390">
        <w:t xml:space="preserve"> and been followed for periods up to 12 years with an overall exposure equivalent to 11,318 person-years. A total of 1169 patients have received at least 5 years of treatment with </w:t>
      </w:r>
      <w:r w:rsidR="007B7DBE" w:rsidRPr="00B55390">
        <w:t>TECFIDERA</w:t>
      </w:r>
      <w:r w:rsidRPr="00B55390">
        <w:t xml:space="preserve">, and 426 patients have received at least 10 years of treatment with </w:t>
      </w:r>
      <w:r w:rsidR="007B7DBE" w:rsidRPr="00B55390">
        <w:t>TECFIDERA</w:t>
      </w:r>
      <w:r w:rsidRPr="00B55390">
        <w:t xml:space="preserve">. </w:t>
      </w:r>
    </w:p>
    <w:p w14:paraId="30F82CD8" w14:textId="77777777" w:rsidR="005A6697" w:rsidRPr="00B55390" w:rsidRDefault="005A6697" w:rsidP="00D67622">
      <w:pPr>
        <w:pStyle w:val="PINormal"/>
      </w:pPr>
    </w:p>
    <w:p w14:paraId="3BDD3655" w14:textId="7C1FA0E8" w:rsidR="005A6697" w:rsidRPr="00B55390" w:rsidRDefault="005A6697" w:rsidP="00D67622">
      <w:pPr>
        <w:pStyle w:val="PINormal"/>
        <w:rPr>
          <w:lang w:val="en-AU"/>
        </w:rPr>
      </w:pPr>
      <w:r w:rsidRPr="00B55390">
        <w:t xml:space="preserve">In the two Phase 3 placebo-controlled trials, 1529 patients received TECFIDERA with an overall exposure of 2371 person-years </w:t>
      </w:r>
      <w:r w:rsidR="00DD384E" w:rsidRPr="00B55390">
        <w:rPr>
          <w:iCs/>
        </w:rPr>
        <w:t>(see Section 5.1</w:t>
      </w:r>
      <w:r w:rsidR="0081388C" w:rsidRPr="00B55390">
        <w:rPr>
          <w:iCs/>
        </w:rPr>
        <w:t xml:space="preserve"> Pharmacodynamic properties, Clinical trials</w:t>
      </w:r>
      <w:r w:rsidRPr="00B55390">
        <w:rPr>
          <w:iCs/>
        </w:rPr>
        <w:t>)</w:t>
      </w:r>
      <w:r w:rsidRPr="00B55390">
        <w:t>. The adverse reactions presented in the table</w:t>
      </w:r>
      <w:r w:rsidR="00870A5E" w:rsidRPr="00B55390">
        <w:t>s</w:t>
      </w:r>
      <w:r w:rsidRPr="00B55390">
        <w:t xml:space="preserve"> below are based on safety information from 769 patients treated with TECFIDERA 240 mg twice a day and 771 patients treated with placebo. </w:t>
      </w:r>
      <w:r w:rsidR="003C7BE1" w:rsidRPr="00B55390">
        <w:t xml:space="preserve">Based on the frequency, Table 1 presents common and very common adverse reactions and Table 2 presents the actual frequency in the </w:t>
      </w:r>
      <w:r w:rsidR="005A39F4" w:rsidRPr="00B55390">
        <w:t>TECFIDERA</w:t>
      </w:r>
      <w:r w:rsidR="003C7BE1" w:rsidRPr="00B55390">
        <w:t xml:space="preserve"> arm as compared to the placebo arm.</w:t>
      </w:r>
    </w:p>
    <w:p w14:paraId="307A28E1" w14:textId="77777777" w:rsidR="005A6697" w:rsidRPr="00B55390" w:rsidRDefault="005A6697" w:rsidP="00D67622">
      <w:pPr>
        <w:pStyle w:val="PINormal"/>
      </w:pPr>
      <w:bookmarkStart w:id="3" w:name="Xpress_Internal_Empty205"/>
      <w:bookmarkStart w:id="4" w:name="Xpress_Internal_206"/>
      <w:bookmarkEnd w:id="3"/>
      <w:bookmarkEnd w:id="4"/>
    </w:p>
    <w:p w14:paraId="597F1CF3" w14:textId="77777777" w:rsidR="005A6697" w:rsidRPr="00B55390" w:rsidRDefault="005A6697" w:rsidP="00D67622">
      <w:pPr>
        <w:pStyle w:val="PINormal"/>
      </w:pPr>
      <w:r w:rsidRPr="00B55390">
        <w:t xml:space="preserve">The adverse reactions are presented as MedDRA preferred terms under the MedDRA system organ class. </w:t>
      </w:r>
      <w:bookmarkStart w:id="5" w:name="Xpress_Internal_Empty206"/>
      <w:bookmarkStart w:id="6" w:name="Xpress_Internal_207"/>
      <w:bookmarkEnd w:id="5"/>
      <w:bookmarkEnd w:id="6"/>
    </w:p>
    <w:p w14:paraId="7C866E9D" w14:textId="77777777" w:rsidR="005A6697" w:rsidRPr="00B55390" w:rsidRDefault="005A6697" w:rsidP="00D67622">
      <w:pPr>
        <w:pStyle w:val="PINormal"/>
      </w:pPr>
    </w:p>
    <w:p w14:paraId="4C4E8328" w14:textId="320F84F4" w:rsidR="005A6697" w:rsidRPr="00B55390" w:rsidRDefault="005A6697" w:rsidP="00D67622">
      <w:pPr>
        <w:pStyle w:val="PINormal"/>
      </w:pPr>
      <w:r w:rsidRPr="00B55390">
        <w:t>The incidence of the adverse reactions below is expressed according to the following categories:</w:t>
      </w:r>
    </w:p>
    <w:p w14:paraId="37E764E2" w14:textId="77777777" w:rsidR="005A6697" w:rsidRPr="00B55390" w:rsidRDefault="005A6697" w:rsidP="00D67622">
      <w:pPr>
        <w:pStyle w:val="PINormal"/>
        <w:numPr>
          <w:ilvl w:val="0"/>
          <w:numId w:val="14"/>
        </w:numPr>
      </w:pPr>
      <w:r w:rsidRPr="00B55390">
        <w:t>Very common (≥1/10)</w:t>
      </w:r>
    </w:p>
    <w:p w14:paraId="43161036" w14:textId="77777777" w:rsidR="005A6697" w:rsidRPr="00B55390" w:rsidRDefault="005A6697" w:rsidP="00D67622">
      <w:pPr>
        <w:pStyle w:val="PINormal"/>
        <w:numPr>
          <w:ilvl w:val="0"/>
          <w:numId w:val="14"/>
        </w:numPr>
      </w:pPr>
      <w:r w:rsidRPr="00B55390">
        <w:t>Common (≥1/100 to &lt;1/10)</w:t>
      </w:r>
    </w:p>
    <w:p w14:paraId="4078C6DA" w14:textId="77777777" w:rsidR="005A6697" w:rsidRPr="00B55390" w:rsidRDefault="005A6697" w:rsidP="00D67622">
      <w:pPr>
        <w:pStyle w:val="PINormal"/>
        <w:numPr>
          <w:ilvl w:val="0"/>
          <w:numId w:val="14"/>
        </w:numPr>
      </w:pPr>
      <w:r w:rsidRPr="00B55390">
        <w:t>Uncommon (≥1/1, 000 to &lt;1/100)</w:t>
      </w:r>
    </w:p>
    <w:p w14:paraId="74716DDD" w14:textId="77777777" w:rsidR="005A6697" w:rsidRPr="00B55390" w:rsidRDefault="005A6697" w:rsidP="00D67622">
      <w:pPr>
        <w:pStyle w:val="PINormal"/>
        <w:numPr>
          <w:ilvl w:val="0"/>
          <w:numId w:val="14"/>
        </w:numPr>
      </w:pPr>
      <w:r w:rsidRPr="00B55390">
        <w:t>Rare (≥1/10, 000 to &lt;1/1,000)</w:t>
      </w:r>
    </w:p>
    <w:p w14:paraId="3E909ADE" w14:textId="77777777" w:rsidR="005A6697" w:rsidRPr="00B55390" w:rsidRDefault="005A6697" w:rsidP="00D67622">
      <w:pPr>
        <w:pStyle w:val="PINormal"/>
        <w:numPr>
          <w:ilvl w:val="0"/>
          <w:numId w:val="14"/>
        </w:numPr>
      </w:pPr>
      <w:r w:rsidRPr="00B55390">
        <w:t>Very rare (&lt;1/10,000)</w:t>
      </w:r>
    </w:p>
    <w:p w14:paraId="186C54F7" w14:textId="70E2EE08" w:rsidR="005A6697" w:rsidRPr="00B55390" w:rsidRDefault="005A6697" w:rsidP="00D67622">
      <w:pPr>
        <w:pStyle w:val="PINormal"/>
      </w:pPr>
    </w:p>
    <w:p w14:paraId="4C561487" w14:textId="28158F0A" w:rsidR="005A6697" w:rsidRPr="00B55390" w:rsidRDefault="00DD384E" w:rsidP="00D67622">
      <w:pPr>
        <w:rPr>
          <w:b/>
          <w:bCs/>
        </w:rPr>
      </w:pPr>
      <w:r w:rsidRPr="00B55390">
        <w:rPr>
          <w:b/>
          <w:bCs/>
        </w:rPr>
        <w:t>Table 1</w:t>
      </w:r>
      <w:r w:rsidR="005A6697" w:rsidRPr="00B55390">
        <w:rPr>
          <w:b/>
          <w:bCs/>
        </w:rPr>
        <w:t>: Adverse Reactions in Study 1 and 2 reported for TECFIDERA</w:t>
      </w:r>
    </w:p>
    <w:p w14:paraId="29C9190E" w14:textId="77777777" w:rsidR="00DD384E" w:rsidRPr="00B55390" w:rsidRDefault="00DD384E" w:rsidP="00D67622">
      <w:pPr>
        <w:pStyle w:val="PINormal"/>
      </w:pPr>
    </w:p>
    <w:tbl>
      <w:tblPr>
        <w:tblW w:w="8936" w:type="dxa"/>
        <w:tblInd w:w="103" w:type="dxa"/>
        <w:tblLook w:val="04A0" w:firstRow="1" w:lastRow="0" w:firstColumn="1" w:lastColumn="0" w:noHBand="0" w:noVBand="1"/>
      </w:tblPr>
      <w:tblGrid>
        <w:gridCol w:w="3065"/>
        <w:gridCol w:w="2790"/>
        <w:gridCol w:w="3081"/>
      </w:tblGrid>
      <w:tr w:rsidR="005A6697" w:rsidRPr="00B55390" w14:paraId="52683565" w14:textId="77777777" w:rsidTr="0027767B">
        <w:trPr>
          <w:trHeight w:val="300"/>
        </w:trPr>
        <w:tc>
          <w:tcPr>
            <w:tcW w:w="3065" w:type="dxa"/>
            <w:vMerge w:val="restart"/>
            <w:tcBorders>
              <w:top w:val="single" w:sz="4" w:space="0" w:color="auto"/>
              <w:left w:val="single" w:sz="4" w:space="0" w:color="auto"/>
              <w:right w:val="single" w:sz="4" w:space="0" w:color="auto"/>
            </w:tcBorders>
            <w:shd w:val="clear" w:color="auto" w:fill="auto"/>
          </w:tcPr>
          <w:p w14:paraId="1D5E5DD4" w14:textId="77777777" w:rsidR="005A6697" w:rsidRPr="00B55390" w:rsidRDefault="005A6697" w:rsidP="00D67622">
            <w:pPr>
              <w:pStyle w:val="PINormal"/>
              <w:rPr>
                <w:szCs w:val="22"/>
              </w:rPr>
            </w:pPr>
            <w:bookmarkStart w:id="7" w:name="gf4035c16-c977-48cc-b332-06f77bb44a65"/>
            <w:bookmarkEnd w:id="7"/>
            <w:r w:rsidRPr="00B55390">
              <w:rPr>
                <w:szCs w:val="22"/>
              </w:rPr>
              <w:t>MedDRA</w:t>
            </w:r>
          </w:p>
          <w:p w14:paraId="48425F3D" w14:textId="77777777" w:rsidR="005A6697" w:rsidRPr="00B55390" w:rsidRDefault="005A6697" w:rsidP="00D67622">
            <w:pPr>
              <w:pStyle w:val="PINormal"/>
              <w:rPr>
                <w:szCs w:val="22"/>
              </w:rPr>
            </w:pPr>
            <w:r w:rsidRPr="00B55390">
              <w:rPr>
                <w:szCs w:val="22"/>
              </w:rPr>
              <w:t>System Organ Class</w:t>
            </w:r>
          </w:p>
        </w:tc>
        <w:tc>
          <w:tcPr>
            <w:tcW w:w="587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54C7D1B" w14:textId="77777777" w:rsidR="005A6697" w:rsidRPr="00B55390" w:rsidRDefault="005A6697" w:rsidP="00D67622">
            <w:pPr>
              <w:pStyle w:val="PINormal"/>
              <w:rPr>
                <w:szCs w:val="22"/>
              </w:rPr>
            </w:pPr>
            <w:r w:rsidRPr="00B55390">
              <w:rPr>
                <w:szCs w:val="22"/>
              </w:rPr>
              <w:t>Frequency</w:t>
            </w:r>
          </w:p>
        </w:tc>
      </w:tr>
      <w:tr w:rsidR="005A6697" w:rsidRPr="00B55390" w14:paraId="54479ED6" w14:textId="77777777" w:rsidTr="0027767B">
        <w:trPr>
          <w:trHeight w:val="300"/>
        </w:trPr>
        <w:tc>
          <w:tcPr>
            <w:tcW w:w="3065" w:type="dxa"/>
            <w:vMerge/>
            <w:tcBorders>
              <w:left w:val="single" w:sz="4" w:space="0" w:color="auto"/>
              <w:bottom w:val="single" w:sz="4" w:space="0" w:color="auto"/>
              <w:right w:val="single" w:sz="4" w:space="0" w:color="auto"/>
            </w:tcBorders>
            <w:shd w:val="clear" w:color="auto" w:fill="auto"/>
            <w:hideMark/>
          </w:tcPr>
          <w:p w14:paraId="02D55390" w14:textId="77777777" w:rsidR="005A6697" w:rsidRPr="00B55390" w:rsidRDefault="005A6697" w:rsidP="00D67622">
            <w:pPr>
              <w:pStyle w:val="PINormal"/>
              <w:rPr>
                <w:szCs w:val="22"/>
              </w:rPr>
            </w:pPr>
          </w:p>
        </w:tc>
        <w:tc>
          <w:tcPr>
            <w:tcW w:w="27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F3760E" w14:textId="77777777" w:rsidR="005A6697" w:rsidRPr="00B55390" w:rsidRDefault="005A6697" w:rsidP="00D67622">
            <w:pPr>
              <w:pStyle w:val="PINormal"/>
              <w:rPr>
                <w:szCs w:val="22"/>
              </w:rPr>
            </w:pPr>
            <w:r w:rsidRPr="00B55390">
              <w:rPr>
                <w:szCs w:val="22"/>
              </w:rPr>
              <w:t>Very Common</w:t>
            </w:r>
          </w:p>
          <w:p w14:paraId="3304E083" w14:textId="77777777" w:rsidR="005A6697" w:rsidRPr="00B55390" w:rsidRDefault="005A6697" w:rsidP="00D67622">
            <w:pPr>
              <w:pStyle w:val="PINormal"/>
              <w:rPr>
                <w:szCs w:val="22"/>
              </w:rPr>
            </w:pPr>
            <w:r w:rsidRPr="00B55390">
              <w:rPr>
                <w:szCs w:val="22"/>
              </w:rPr>
              <w:t>(≥1/10)</w:t>
            </w:r>
          </w:p>
        </w:tc>
        <w:tc>
          <w:tcPr>
            <w:tcW w:w="308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25E1DF" w14:textId="77777777" w:rsidR="005A6697" w:rsidRPr="00B55390" w:rsidRDefault="005A6697" w:rsidP="00D67622">
            <w:pPr>
              <w:pStyle w:val="PINormal"/>
              <w:rPr>
                <w:szCs w:val="22"/>
              </w:rPr>
            </w:pPr>
            <w:r w:rsidRPr="00B55390">
              <w:rPr>
                <w:szCs w:val="22"/>
              </w:rPr>
              <w:t>Common</w:t>
            </w:r>
          </w:p>
          <w:p w14:paraId="11571184" w14:textId="77777777" w:rsidR="005A6697" w:rsidRPr="00B55390" w:rsidRDefault="005A6697" w:rsidP="00D67622">
            <w:pPr>
              <w:pStyle w:val="PINormal"/>
              <w:rPr>
                <w:szCs w:val="22"/>
              </w:rPr>
            </w:pPr>
            <w:r w:rsidRPr="00B55390">
              <w:rPr>
                <w:szCs w:val="22"/>
              </w:rPr>
              <w:t>(≥1/100 to &lt;1/10)</w:t>
            </w:r>
          </w:p>
        </w:tc>
      </w:tr>
      <w:tr w:rsidR="005A6697" w:rsidRPr="00B55390" w14:paraId="07ED6346" w14:textId="77777777" w:rsidTr="0027767B">
        <w:trPr>
          <w:trHeight w:val="300"/>
        </w:trPr>
        <w:tc>
          <w:tcPr>
            <w:tcW w:w="3065" w:type="dxa"/>
            <w:tcBorders>
              <w:top w:val="single" w:sz="4" w:space="0" w:color="auto"/>
              <w:left w:val="single" w:sz="4" w:space="0" w:color="auto"/>
              <w:bottom w:val="single" w:sz="4" w:space="0" w:color="auto"/>
              <w:right w:val="single" w:sz="4" w:space="0" w:color="auto"/>
            </w:tcBorders>
            <w:shd w:val="clear" w:color="auto" w:fill="auto"/>
          </w:tcPr>
          <w:p w14:paraId="5AA5662F" w14:textId="77777777" w:rsidR="005A6697" w:rsidRPr="00B55390" w:rsidRDefault="005A6697" w:rsidP="00D67622">
            <w:pPr>
              <w:pStyle w:val="PINormal"/>
              <w:rPr>
                <w:szCs w:val="22"/>
              </w:rPr>
            </w:pPr>
            <w:r w:rsidRPr="00B55390">
              <w:rPr>
                <w:szCs w:val="22"/>
              </w:rPr>
              <w:t>Infections and Infestations</w:t>
            </w: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164E0F3D" w14:textId="77777777" w:rsidR="005A6697" w:rsidRPr="00B55390" w:rsidRDefault="005A6697" w:rsidP="00D67622">
            <w:pPr>
              <w:pStyle w:val="PINormal"/>
              <w:rPr>
                <w:szCs w:val="22"/>
              </w:rPr>
            </w:pPr>
          </w:p>
        </w:tc>
        <w:tc>
          <w:tcPr>
            <w:tcW w:w="3081" w:type="dxa"/>
            <w:tcBorders>
              <w:top w:val="single" w:sz="4" w:space="0" w:color="auto"/>
              <w:left w:val="single" w:sz="4" w:space="0" w:color="auto"/>
              <w:bottom w:val="single" w:sz="4" w:space="0" w:color="auto"/>
              <w:right w:val="single" w:sz="4" w:space="0" w:color="auto"/>
            </w:tcBorders>
            <w:shd w:val="clear" w:color="auto" w:fill="auto"/>
          </w:tcPr>
          <w:p w14:paraId="4BAB5BCB" w14:textId="77777777" w:rsidR="005A6697" w:rsidRPr="00B55390" w:rsidRDefault="005A6697" w:rsidP="00D67622">
            <w:pPr>
              <w:pStyle w:val="PINormal"/>
              <w:rPr>
                <w:szCs w:val="22"/>
              </w:rPr>
            </w:pPr>
            <w:r w:rsidRPr="00B55390">
              <w:rPr>
                <w:szCs w:val="22"/>
              </w:rPr>
              <w:t>Gastroenteritis</w:t>
            </w:r>
          </w:p>
        </w:tc>
      </w:tr>
      <w:tr w:rsidR="005A6697" w:rsidRPr="00B55390" w14:paraId="0070A58A" w14:textId="77777777" w:rsidTr="0027767B">
        <w:trPr>
          <w:trHeight w:val="300"/>
        </w:trPr>
        <w:tc>
          <w:tcPr>
            <w:tcW w:w="3065" w:type="dxa"/>
            <w:tcBorders>
              <w:top w:val="single" w:sz="4" w:space="0" w:color="auto"/>
              <w:left w:val="single" w:sz="4" w:space="0" w:color="auto"/>
              <w:bottom w:val="single" w:sz="4" w:space="0" w:color="auto"/>
              <w:right w:val="single" w:sz="4" w:space="0" w:color="auto"/>
            </w:tcBorders>
            <w:shd w:val="clear" w:color="auto" w:fill="auto"/>
            <w:hideMark/>
          </w:tcPr>
          <w:p w14:paraId="390636D1" w14:textId="77777777" w:rsidR="005A6697" w:rsidRPr="00B55390" w:rsidRDefault="005A6697" w:rsidP="00D67622">
            <w:pPr>
              <w:pStyle w:val="PINormal"/>
              <w:rPr>
                <w:szCs w:val="22"/>
              </w:rPr>
            </w:pPr>
            <w:r w:rsidRPr="00B55390">
              <w:rPr>
                <w:szCs w:val="22"/>
              </w:rPr>
              <w:t>Blood and Lymphatic System Disorders</w:t>
            </w:r>
          </w:p>
        </w:tc>
        <w:tc>
          <w:tcPr>
            <w:tcW w:w="2790" w:type="dxa"/>
            <w:tcBorders>
              <w:top w:val="single" w:sz="4" w:space="0" w:color="auto"/>
              <w:left w:val="single" w:sz="4" w:space="0" w:color="auto"/>
              <w:right w:val="single" w:sz="4" w:space="0" w:color="auto"/>
            </w:tcBorders>
            <w:shd w:val="clear" w:color="auto" w:fill="auto"/>
            <w:hideMark/>
          </w:tcPr>
          <w:p w14:paraId="3E71C738" w14:textId="77777777" w:rsidR="005A6697" w:rsidRPr="00B55390" w:rsidRDefault="005A6697" w:rsidP="00D67622">
            <w:pPr>
              <w:pStyle w:val="PINormal"/>
              <w:rPr>
                <w:szCs w:val="22"/>
              </w:rPr>
            </w:pPr>
          </w:p>
        </w:tc>
        <w:tc>
          <w:tcPr>
            <w:tcW w:w="3081" w:type="dxa"/>
            <w:tcBorders>
              <w:top w:val="single" w:sz="4" w:space="0" w:color="auto"/>
              <w:left w:val="single" w:sz="4" w:space="0" w:color="auto"/>
              <w:right w:val="single" w:sz="4" w:space="0" w:color="auto"/>
            </w:tcBorders>
            <w:shd w:val="clear" w:color="auto" w:fill="auto"/>
            <w:hideMark/>
          </w:tcPr>
          <w:p w14:paraId="2DF47A46" w14:textId="77777777" w:rsidR="005A6697" w:rsidRPr="00B55390" w:rsidRDefault="005A6697" w:rsidP="00D67622">
            <w:pPr>
              <w:pStyle w:val="PINormal"/>
              <w:rPr>
                <w:szCs w:val="22"/>
              </w:rPr>
            </w:pPr>
            <w:r w:rsidRPr="00B55390">
              <w:rPr>
                <w:szCs w:val="22"/>
              </w:rPr>
              <w:t>Lymphopenia</w:t>
            </w:r>
          </w:p>
          <w:p w14:paraId="17039B7C" w14:textId="77777777" w:rsidR="005A6697" w:rsidRPr="00B55390" w:rsidRDefault="005A6697" w:rsidP="00D67622">
            <w:pPr>
              <w:pStyle w:val="PINormal"/>
              <w:rPr>
                <w:szCs w:val="22"/>
              </w:rPr>
            </w:pPr>
            <w:r w:rsidRPr="00B55390">
              <w:rPr>
                <w:szCs w:val="22"/>
              </w:rPr>
              <w:t>Leucopenia</w:t>
            </w:r>
          </w:p>
        </w:tc>
      </w:tr>
      <w:tr w:rsidR="005A6697" w:rsidRPr="00B55390" w14:paraId="662EEB2E" w14:textId="77777777" w:rsidTr="0027767B">
        <w:trPr>
          <w:trHeight w:val="300"/>
        </w:trPr>
        <w:tc>
          <w:tcPr>
            <w:tcW w:w="3065" w:type="dxa"/>
            <w:tcBorders>
              <w:top w:val="single" w:sz="4" w:space="0" w:color="auto"/>
              <w:left w:val="single" w:sz="4" w:space="0" w:color="auto"/>
              <w:bottom w:val="single" w:sz="4" w:space="0" w:color="auto"/>
              <w:right w:val="single" w:sz="4" w:space="0" w:color="auto"/>
            </w:tcBorders>
            <w:shd w:val="clear" w:color="auto" w:fill="auto"/>
          </w:tcPr>
          <w:p w14:paraId="7C8B492A" w14:textId="77777777" w:rsidR="005A6697" w:rsidRPr="00B55390" w:rsidRDefault="005A6697" w:rsidP="00D67622">
            <w:pPr>
              <w:pStyle w:val="PINormal"/>
              <w:rPr>
                <w:szCs w:val="22"/>
              </w:rPr>
            </w:pPr>
            <w:r w:rsidRPr="00B55390">
              <w:rPr>
                <w:szCs w:val="22"/>
              </w:rPr>
              <w:t>Nervous System Disorders</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bottom"/>
          </w:tcPr>
          <w:p w14:paraId="0682CCA5" w14:textId="77777777" w:rsidR="005A6697" w:rsidRPr="00B55390" w:rsidRDefault="005A6697" w:rsidP="00D67622">
            <w:pPr>
              <w:pStyle w:val="PINormal"/>
              <w:rPr>
                <w:szCs w:val="22"/>
              </w:rPr>
            </w:pPr>
          </w:p>
        </w:tc>
        <w:tc>
          <w:tcPr>
            <w:tcW w:w="3081" w:type="dxa"/>
            <w:tcBorders>
              <w:top w:val="single" w:sz="4" w:space="0" w:color="auto"/>
              <w:left w:val="single" w:sz="4" w:space="0" w:color="auto"/>
              <w:bottom w:val="single" w:sz="4" w:space="0" w:color="auto"/>
              <w:right w:val="single" w:sz="4" w:space="0" w:color="auto"/>
            </w:tcBorders>
            <w:shd w:val="clear" w:color="auto" w:fill="auto"/>
            <w:vAlign w:val="bottom"/>
          </w:tcPr>
          <w:p w14:paraId="62F182AC" w14:textId="77777777" w:rsidR="005A6697" w:rsidRPr="00B55390" w:rsidRDefault="005A6697" w:rsidP="00D67622">
            <w:pPr>
              <w:pStyle w:val="PINormal"/>
              <w:rPr>
                <w:szCs w:val="22"/>
              </w:rPr>
            </w:pPr>
            <w:r w:rsidRPr="00B55390">
              <w:rPr>
                <w:szCs w:val="22"/>
              </w:rPr>
              <w:t>Burning sensation</w:t>
            </w:r>
          </w:p>
        </w:tc>
      </w:tr>
      <w:tr w:rsidR="005A6697" w:rsidRPr="00B55390" w14:paraId="75A93B7B" w14:textId="77777777" w:rsidTr="0027767B">
        <w:trPr>
          <w:trHeight w:val="300"/>
        </w:trPr>
        <w:tc>
          <w:tcPr>
            <w:tcW w:w="3065" w:type="dxa"/>
            <w:tcBorders>
              <w:top w:val="single" w:sz="4" w:space="0" w:color="auto"/>
              <w:left w:val="single" w:sz="4" w:space="0" w:color="auto"/>
              <w:bottom w:val="single" w:sz="4" w:space="0" w:color="auto"/>
              <w:right w:val="single" w:sz="4" w:space="0" w:color="auto"/>
            </w:tcBorders>
            <w:shd w:val="clear" w:color="auto" w:fill="auto"/>
            <w:hideMark/>
          </w:tcPr>
          <w:p w14:paraId="310136BA" w14:textId="77777777" w:rsidR="005A6697" w:rsidRPr="00B55390" w:rsidRDefault="005A6697" w:rsidP="00D67622">
            <w:pPr>
              <w:pStyle w:val="PINormal"/>
              <w:rPr>
                <w:szCs w:val="22"/>
              </w:rPr>
            </w:pPr>
            <w:r w:rsidRPr="00B55390">
              <w:rPr>
                <w:szCs w:val="22"/>
              </w:rPr>
              <w:t>Vascular Disorders</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9D5072" w14:textId="77777777" w:rsidR="005A6697" w:rsidRPr="00B55390" w:rsidRDefault="005A6697" w:rsidP="00D67622">
            <w:pPr>
              <w:pStyle w:val="PINormal"/>
              <w:rPr>
                <w:szCs w:val="22"/>
              </w:rPr>
            </w:pPr>
            <w:r w:rsidRPr="00B55390">
              <w:rPr>
                <w:szCs w:val="22"/>
              </w:rPr>
              <w:t xml:space="preserve">Flushing </w:t>
            </w:r>
          </w:p>
        </w:tc>
        <w:tc>
          <w:tcPr>
            <w:tcW w:w="308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23D4D8" w14:textId="77777777" w:rsidR="005A6697" w:rsidRPr="00B55390" w:rsidRDefault="005A6697" w:rsidP="00D67622">
            <w:pPr>
              <w:pStyle w:val="PINormal"/>
              <w:rPr>
                <w:szCs w:val="22"/>
              </w:rPr>
            </w:pPr>
            <w:r w:rsidRPr="00B55390">
              <w:rPr>
                <w:szCs w:val="22"/>
              </w:rPr>
              <w:t>Hot Flush</w:t>
            </w:r>
          </w:p>
        </w:tc>
      </w:tr>
      <w:tr w:rsidR="006A58D4" w:rsidRPr="00B55390" w14:paraId="05825CFA" w14:textId="77777777" w:rsidTr="005566F8">
        <w:trPr>
          <w:trHeight w:val="610"/>
        </w:trPr>
        <w:tc>
          <w:tcPr>
            <w:tcW w:w="306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85BD5CA" w14:textId="77777777" w:rsidR="006A58D4" w:rsidRPr="00B55390" w:rsidRDefault="006A58D4" w:rsidP="00D67622">
            <w:pPr>
              <w:pStyle w:val="PINormal"/>
              <w:rPr>
                <w:szCs w:val="22"/>
              </w:rPr>
            </w:pPr>
            <w:r w:rsidRPr="00B55390">
              <w:rPr>
                <w:szCs w:val="22"/>
              </w:rPr>
              <w:t>Gastrointestinal Disorders</w:t>
            </w:r>
          </w:p>
        </w:tc>
        <w:tc>
          <w:tcPr>
            <w:tcW w:w="2790" w:type="dxa"/>
            <w:tcBorders>
              <w:top w:val="single" w:sz="4" w:space="0" w:color="auto"/>
              <w:left w:val="single" w:sz="4" w:space="0" w:color="auto"/>
              <w:right w:val="single" w:sz="4" w:space="0" w:color="auto"/>
            </w:tcBorders>
            <w:shd w:val="clear" w:color="auto" w:fill="auto"/>
            <w:vAlign w:val="bottom"/>
            <w:hideMark/>
          </w:tcPr>
          <w:p w14:paraId="1E8E219D" w14:textId="77777777" w:rsidR="006A58D4" w:rsidRPr="00B55390" w:rsidRDefault="006A58D4" w:rsidP="00D67622">
            <w:pPr>
              <w:pStyle w:val="PINormal"/>
              <w:rPr>
                <w:szCs w:val="22"/>
              </w:rPr>
            </w:pPr>
            <w:proofErr w:type="spellStart"/>
            <w:r w:rsidRPr="00B55390">
              <w:rPr>
                <w:szCs w:val="22"/>
              </w:rPr>
              <w:t>Diarrhoea</w:t>
            </w:r>
            <w:proofErr w:type="spellEnd"/>
            <w:r w:rsidRPr="00B55390">
              <w:rPr>
                <w:szCs w:val="22"/>
              </w:rPr>
              <w:t xml:space="preserve"> </w:t>
            </w:r>
          </w:p>
          <w:p w14:paraId="7625AD2D" w14:textId="4DAC54F5" w:rsidR="006A58D4" w:rsidRPr="00B55390" w:rsidRDefault="006A58D4" w:rsidP="00D67622">
            <w:pPr>
              <w:pStyle w:val="PINormal"/>
              <w:rPr>
                <w:szCs w:val="22"/>
              </w:rPr>
            </w:pPr>
            <w:r w:rsidRPr="00B55390">
              <w:rPr>
                <w:szCs w:val="22"/>
              </w:rPr>
              <w:t xml:space="preserve">Nausea </w:t>
            </w:r>
          </w:p>
        </w:tc>
        <w:tc>
          <w:tcPr>
            <w:tcW w:w="3081" w:type="dxa"/>
            <w:tcBorders>
              <w:top w:val="single" w:sz="4" w:space="0" w:color="auto"/>
              <w:left w:val="single" w:sz="4" w:space="0" w:color="auto"/>
              <w:right w:val="single" w:sz="4" w:space="0" w:color="auto"/>
            </w:tcBorders>
            <w:shd w:val="clear" w:color="auto" w:fill="auto"/>
            <w:vAlign w:val="bottom"/>
            <w:hideMark/>
          </w:tcPr>
          <w:p w14:paraId="6BFDCCA1" w14:textId="77777777" w:rsidR="006A58D4" w:rsidRPr="00B55390" w:rsidRDefault="006A58D4" w:rsidP="00D67622">
            <w:pPr>
              <w:pStyle w:val="PINormal"/>
              <w:rPr>
                <w:szCs w:val="22"/>
              </w:rPr>
            </w:pPr>
            <w:r w:rsidRPr="00B55390">
              <w:rPr>
                <w:szCs w:val="22"/>
              </w:rPr>
              <w:t>Vomiting</w:t>
            </w:r>
          </w:p>
          <w:p w14:paraId="1E718EDC" w14:textId="02A03175" w:rsidR="006A58D4" w:rsidRPr="00B55390" w:rsidRDefault="006A58D4" w:rsidP="00D67622">
            <w:pPr>
              <w:pStyle w:val="PINormal"/>
              <w:rPr>
                <w:szCs w:val="22"/>
              </w:rPr>
            </w:pPr>
            <w:r w:rsidRPr="00B55390">
              <w:rPr>
                <w:szCs w:val="22"/>
              </w:rPr>
              <w:t>Dyspepsia</w:t>
            </w:r>
          </w:p>
        </w:tc>
      </w:tr>
      <w:tr w:rsidR="005A6697" w:rsidRPr="00B55390" w14:paraId="1ED3D7D8" w14:textId="77777777" w:rsidTr="0027767B">
        <w:trPr>
          <w:trHeight w:val="260"/>
        </w:trPr>
        <w:tc>
          <w:tcPr>
            <w:tcW w:w="3065" w:type="dxa"/>
            <w:vMerge/>
            <w:tcBorders>
              <w:left w:val="single" w:sz="4" w:space="0" w:color="auto"/>
              <w:right w:val="single" w:sz="4" w:space="0" w:color="auto"/>
            </w:tcBorders>
            <w:shd w:val="clear" w:color="auto" w:fill="auto"/>
            <w:hideMark/>
          </w:tcPr>
          <w:p w14:paraId="7993FFE4" w14:textId="77777777" w:rsidR="005A6697" w:rsidRPr="00B55390" w:rsidRDefault="005A6697" w:rsidP="00D67622">
            <w:pPr>
              <w:pStyle w:val="PINormal"/>
              <w:rPr>
                <w:szCs w:val="22"/>
              </w:rPr>
            </w:pPr>
          </w:p>
        </w:tc>
        <w:tc>
          <w:tcPr>
            <w:tcW w:w="2790" w:type="dxa"/>
            <w:tcBorders>
              <w:left w:val="single" w:sz="4" w:space="0" w:color="auto"/>
              <w:right w:val="single" w:sz="4" w:space="0" w:color="auto"/>
            </w:tcBorders>
            <w:shd w:val="clear" w:color="auto" w:fill="auto"/>
            <w:vAlign w:val="bottom"/>
            <w:hideMark/>
          </w:tcPr>
          <w:p w14:paraId="3DCCD453" w14:textId="77777777" w:rsidR="005A6697" w:rsidRPr="00B55390" w:rsidRDefault="005A6697" w:rsidP="00D67622">
            <w:pPr>
              <w:pStyle w:val="PINormal"/>
              <w:rPr>
                <w:szCs w:val="22"/>
              </w:rPr>
            </w:pPr>
            <w:r w:rsidRPr="00B55390">
              <w:rPr>
                <w:szCs w:val="22"/>
              </w:rPr>
              <w:t xml:space="preserve">Abdominal Pain Upper </w:t>
            </w:r>
          </w:p>
        </w:tc>
        <w:tc>
          <w:tcPr>
            <w:tcW w:w="3081" w:type="dxa"/>
            <w:tcBorders>
              <w:left w:val="single" w:sz="4" w:space="0" w:color="auto"/>
              <w:right w:val="single" w:sz="4" w:space="0" w:color="auto"/>
            </w:tcBorders>
            <w:shd w:val="clear" w:color="auto" w:fill="auto"/>
            <w:vAlign w:val="bottom"/>
            <w:hideMark/>
          </w:tcPr>
          <w:p w14:paraId="75FA4FC9" w14:textId="77777777" w:rsidR="005A6697" w:rsidRPr="00B55390" w:rsidRDefault="005A6697" w:rsidP="00D67622">
            <w:pPr>
              <w:pStyle w:val="PINormal"/>
              <w:rPr>
                <w:szCs w:val="22"/>
              </w:rPr>
            </w:pPr>
            <w:r w:rsidRPr="00B55390">
              <w:rPr>
                <w:szCs w:val="22"/>
              </w:rPr>
              <w:t>Gastritis</w:t>
            </w:r>
          </w:p>
        </w:tc>
      </w:tr>
      <w:tr w:rsidR="005A6697" w:rsidRPr="00B55390" w14:paraId="382F9750" w14:textId="77777777" w:rsidTr="0027767B">
        <w:trPr>
          <w:trHeight w:val="260"/>
        </w:trPr>
        <w:tc>
          <w:tcPr>
            <w:tcW w:w="3065" w:type="dxa"/>
            <w:tcBorders>
              <w:left w:val="single" w:sz="4" w:space="0" w:color="auto"/>
              <w:bottom w:val="single" w:sz="4" w:space="0" w:color="auto"/>
              <w:right w:val="single" w:sz="4" w:space="0" w:color="auto"/>
            </w:tcBorders>
            <w:shd w:val="clear" w:color="auto" w:fill="auto"/>
          </w:tcPr>
          <w:p w14:paraId="400C3CD4" w14:textId="77777777" w:rsidR="005A6697" w:rsidRPr="00B55390" w:rsidRDefault="005A6697" w:rsidP="00D67622">
            <w:pPr>
              <w:pStyle w:val="PINormal"/>
              <w:rPr>
                <w:szCs w:val="22"/>
              </w:rPr>
            </w:pPr>
          </w:p>
        </w:tc>
        <w:tc>
          <w:tcPr>
            <w:tcW w:w="2790" w:type="dxa"/>
            <w:tcBorders>
              <w:left w:val="single" w:sz="4" w:space="0" w:color="auto"/>
              <w:bottom w:val="single" w:sz="4" w:space="0" w:color="auto"/>
              <w:right w:val="single" w:sz="4" w:space="0" w:color="auto"/>
            </w:tcBorders>
            <w:shd w:val="clear" w:color="auto" w:fill="auto"/>
            <w:vAlign w:val="bottom"/>
          </w:tcPr>
          <w:p w14:paraId="3086762C" w14:textId="77777777" w:rsidR="005A6697" w:rsidRPr="00B55390" w:rsidRDefault="005A6697" w:rsidP="00D67622">
            <w:pPr>
              <w:pStyle w:val="PINormal"/>
              <w:rPr>
                <w:szCs w:val="22"/>
              </w:rPr>
            </w:pPr>
            <w:r w:rsidRPr="00B55390">
              <w:rPr>
                <w:szCs w:val="22"/>
              </w:rPr>
              <w:t>Abdominal Pain</w:t>
            </w:r>
          </w:p>
        </w:tc>
        <w:tc>
          <w:tcPr>
            <w:tcW w:w="3081" w:type="dxa"/>
            <w:tcBorders>
              <w:left w:val="single" w:sz="4" w:space="0" w:color="auto"/>
              <w:bottom w:val="single" w:sz="4" w:space="0" w:color="auto"/>
              <w:right w:val="single" w:sz="4" w:space="0" w:color="auto"/>
            </w:tcBorders>
            <w:shd w:val="clear" w:color="auto" w:fill="auto"/>
            <w:vAlign w:val="bottom"/>
          </w:tcPr>
          <w:p w14:paraId="317031B4" w14:textId="77777777" w:rsidR="005A6697" w:rsidRPr="00B55390" w:rsidRDefault="005A6697" w:rsidP="00D67622">
            <w:pPr>
              <w:pStyle w:val="PINormal"/>
              <w:rPr>
                <w:szCs w:val="22"/>
              </w:rPr>
            </w:pPr>
            <w:r w:rsidRPr="00B55390">
              <w:rPr>
                <w:szCs w:val="22"/>
              </w:rPr>
              <w:t>Gastrointestinal Disorder</w:t>
            </w:r>
          </w:p>
        </w:tc>
      </w:tr>
      <w:tr w:rsidR="005A6697" w:rsidRPr="00B55390" w14:paraId="40C9BEF5" w14:textId="77777777" w:rsidTr="0027767B">
        <w:trPr>
          <w:trHeight w:val="300"/>
        </w:trPr>
        <w:tc>
          <w:tcPr>
            <w:tcW w:w="306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4CCB880" w14:textId="77777777" w:rsidR="005A6697" w:rsidRPr="00B55390" w:rsidRDefault="005A6697" w:rsidP="00D67622">
            <w:pPr>
              <w:pStyle w:val="PINormal"/>
              <w:rPr>
                <w:szCs w:val="22"/>
              </w:rPr>
            </w:pPr>
            <w:r w:rsidRPr="00B55390">
              <w:rPr>
                <w:szCs w:val="22"/>
              </w:rPr>
              <w:t>Skin and Subcutaneous Tissue Disorders</w:t>
            </w:r>
          </w:p>
        </w:tc>
        <w:tc>
          <w:tcPr>
            <w:tcW w:w="2790" w:type="dxa"/>
            <w:tcBorders>
              <w:top w:val="single" w:sz="4" w:space="0" w:color="auto"/>
              <w:left w:val="single" w:sz="4" w:space="0" w:color="auto"/>
              <w:right w:val="single" w:sz="4" w:space="0" w:color="auto"/>
            </w:tcBorders>
            <w:shd w:val="clear" w:color="auto" w:fill="auto"/>
            <w:vAlign w:val="bottom"/>
            <w:hideMark/>
          </w:tcPr>
          <w:p w14:paraId="0CCEB136" w14:textId="77777777" w:rsidR="005A6697" w:rsidRPr="00B55390" w:rsidRDefault="005A6697" w:rsidP="00D67622">
            <w:pPr>
              <w:pStyle w:val="PINormal"/>
              <w:rPr>
                <w:szCs w:val="22"/>
              </w:rPr>
            </w:pPr>
          </w:p>
        </w:tc>
        <w:tc>
          <w:tcPr>
            <w:tcW w:w="3081" w:type="dxa"/>
            <w:tcBorders>
              <w:top w:val="single" w:sz="4" w:space="0" w:color="auto"/>
              <w:left w:val="single" w:sz="4" w:space="0" w:color="auto"/>
              <w:right w:val="single" w:sz="4" w:space="0" w:color="auto"/>
            </w:tcBorders>
            <w:shd w:val="clear" w:color="auto" w:fill="auto"/>
            <w:vAlign w:val="bottom"/>
            <w:hideMark/>
          </w:tcPr>
          <w:p w14:paraId="70712C9F" w14:textId="77777777" w:rsidR="005A6697" w:rsidRPr="00B55390" w:rsidRDefault="005A6697" w:rsidP="00D67622">
            <w:pPr>
              <w:pStyle w:val="PINormal"/>
              <w:rPr>
                <w:szCs w:val="22"/>
              </w:rPr>
            </w:pPr>
            <w:r w:rsidRPr="00B55390">
              <w:rPr>
                <w:szCs w:val="22"/>
              </w:rPr>
              <w:t>Pruritus</w:t>
            </w:r>
          </w:p>
        </w:tc>
      </w:tr>
      <w:tr w:rsidR="005A6697" w:rsidRPr="00B55390" w14:paraId="79847F96" w14:textId="77777777" w:rsidTr="0027767B">
        <w:trPr>
          <w:trHeight w:val="300"/>
        </w:trPr>
        <w:tc>
          <w:tcPr>
            <w:tcW w:w="3065" w:type="dxa"/>
            <w:vMerge/>
            <w:tcBorders>
              <w:top w:val="single" w:sz="4" w:space="0" w:color="auto"/>
              <w:left w:val="single" w:sz="4" w:space="0" w:color="auto"/>
              <w:bottom w:val="single" w:sz="4" w:space="0" w:color="auto"/>
              <w:right w:val="single" w:sz="4" w:space="0" w:color="auto"/>
            </w:tcBorders>
            <w:shd w:val="clear" w:color="auto" w:fill="auto"/>
            <w:hideMark/>
          </w:tcPr>
          <w:p w14:paraId="16AF85C3" w14:textId="77777777" w:rsidR="005A6697" w:rsidRPr="00B55390" w:rsidRDefault="005A6697" w:rsidP="00D67622">
            <w:pPr>
              <w:pStyle w:val="PINormal"/>
              <w:rPr>
                <w:szCs w:val="22"/>
              </w:rPr>
            </w:pPr>
          </w:p>
        </w:tc>
        <w:tc>
          <w:tcPr>
            <w:tcW w:w="2790" w:type="dxa"/>
            <w:tcBorders>
              <w:left w:val="single" w:sz="4" w:space="0" w:color="auto"/>
              <w:right w:val="single" w:sz="4" w:space="0" w:color="auto"/>
            </w:tcBorders>
            <w:shd w:val="clear" w:color="auto" w:fill="auto"/>
            <w:vAlign w:val="bottom"/>
            <w:hideMark/>
          </w:tcPr>
          <w:p w14:paraId="66AB4BA0" w14:textId="77777777" w:rsidR="005A6697" w:rsidRPr="00B55390" w:rsidRDefault="005A6697" w:rsidP="00D67622">
            <w:pPr>
              <w:pStyle w:val="PINormal"/>
              <w:rPr>
                <w:szCs w:val="22"/>
              </w:rPr>
            </w:pPr>
          </w:p>
        </w:tc>
        <w:tc>
          <w:tcPr>
            <w:tcW w:w="3081" w:type="dxa"/>
            <w:tcBorders>
              <w:left w:val="single" w:sz="4" w:space="0" w:color="auto"/>
              <w:right w:val="single" w:sz="4" w:space="0" w:color="auto"/>
            </w:tcBorders>
            <w:shd w:val="clear" w:color="auto" w:fill="auto"/>
            <w:vAlign w:val="bottom"/>
            <w:hideMark/>
          </w:tcPr>
          <w:p w14:paraId="54812565" w14:textId="77777777" w:rsidR="005A6697" w:rsidRPr="00B55390" w:rsidRDefault="005A6697" w:rsidP="00D67622">
            <w:pPr>
              <w:pStyle w:val="PINormal"/>
              <w:rPr>
                <w:szCs w:val="22"/>
              </w:rPr>
            </w:pPr>
            <w:r w:rsidRPr="00B55390">
              <w:rPr>
                <w:szCs w:val="22"/>
              </w:rPr>
              <w:t>Rash</w:t>
            </w:r>
          </w:p>
        </w:tc>
      </w:tr>
      <w:tr w:rsidR="005A6697" w:rsidRPr="00B55390" w14:paraId="7E377C6A" w14:textId="77777777" w:rsidTr="0027767B">
        <w:trPr>
          <w:trHeight w:val="300"/>
        </w:trPr>
        <w:tc>
          <w:tcPr>
            <w:tcW w:w="3065" w:type="dxa"/>
            <w:vMerge/>
            <w:tcBorders>
              <w:top w:val="single" w:sz="4" w:space="0" w:color="auto"/>
              <w:left w:val="single" w:sz="4" w:space="0" w:color="auto"/>
              <w:bottom w:val="single" w:sz="4" w:space="0" w:color="auto"/>
              <w:right w:val="single" w:sz="4" w:space="0" w:color="auto"/>
            </w:tcBorders>
            <w:shd w:val="clear" w:color="auto" w:fill="auto"/>
            <w:hideMark/>
          </w:tcPr>
          <w:p w14:paraId="6B1F8CE9" w14:textId="77777777" w:rsidR="005A6697" w:rsidRPr="00B55390" w:rsidRDefault="005A6697" w:rsidP="00D67622">
            <w:pPr>
              <w:pStyle w:val="PINormal"/>
              <w:rPr>
                <w:szCs w:val="22"/>
              </w:rPr>
            </w:pPr>
          </w:p>
        </w:tc>
        <w:tc>
          <w:tcPr>
            <w:tcW w:w="2790" w:type="dxa"/>
            <w:tcBorders>
              <w:left w:val="single" w:sz="4" w:space="0" w:color="auto"/>
              <w:right w:val="single" w:sz="4" w:space="0" w:color="auto"/>
            </w:tcBorders>
            <w:shd w:val="clear" w:color="auto" w:fill="auto"/>
            <w:vAlign w:val="bottom"/>
            <w:hideMark/>
          </w:tcPr>
          <w:p w14:paraId="346DA462" w14:textId="77777777" w:rsidR="005A6697" w:rsidRPr="00B55390" w:rsidRDefault="005A6697" w:rsidP="00D67622">
            <w:pPr>
              <w:pStyle w:val="PINormal"/>
              <w:rPr>
                <w:szCs w:val="22"/>
              </w:rPr>
            </w:pPr>
          </w:p>
        </w:tc>
        <w:tc>
          <w:tcPr>
            <w:tcW w:w="3081" w:type="dxa"/>
            <w:tcBorders>
              <w:left w:val="single" w:sz="4" w:space="0" w:color="auto"/>
              <w:right w:val="single" w:sz="4" w:space="0" w:color="auto"/>
            </w:tcBorders>
            <w:shd w:val="clear" w:color="auto" w:fill="auto"/>
            <w:vAlign w:val="bottom"/>
            <w:hideMark/>
          </w:tcPr>
          <w:p w14:paraId="6D480011" w14:textId="77777777" w:rsidR="005A6697" w:rsidRPr="00B55390" w:rsidRDefault="005A6697" w:rsidP="00D67622">
            <w:pPr>
              <w:pStyle w:val="PINormal"/>
              <w:rPr>
                <w:szCs w:val="22"/>
              </w:rPr>
            </w:pPr>
            <w:r w:rsidRPr="00B55390">
              <w:rPr>
                <w:szCs w:val="22"/>
              </w:rPr>
              <w:t>Erythema</w:t>
            </w:r>
          </w:p>
        </w:tc>
      </w:tr>
      <w:tr w:rsidR="005A6697" w:rsidRPr="00B55390" w14:paraId="4AD4C997" w14:textId="77777777" w:rsidTr="0027767B">
        <w:trPr>
          <w:trHeight w:val="242"/>
        </w:trPr>
        <w:tc>
          <w:tcPr>
            <w:tcW w:w="3065" w:type="dxa"/>
            <w:tcBorders>
              <w:top w:val="single" w:sz="4" w:space="0" w:color="auto"/>
              <w:left w:val="single" w:sz="4" w:space="0" w:color="auto"/>
              <w:right w:val="single" w:sz="4" w:space="0" w:color="auto"/>
            </w:tcBorders>
            <w:shd w:val="clear" w:color="auto" w:fill="auto"/>
          </w:tcPr>
          <w:p w14:paraId="31ACF29C" w14:textId="77777777" w:rsidR="005A6697" w:rsidRPr="00B55390" w:rsidRDefault="005A6697" w:rsidP="00D67622">
            <w:pPr>
              <w:pStyle w:val="PINormal"/>
              <w:rPr>
                <w:szCs w:val="22"/>
              </w:rPr>
            </w:pPr>
            <w:r w:rsidRPr="00B55390">
              <w:rPr>
                <w:szCs w:val="22"/>
              </w:rPr>
              <w:t>Renal and Urinary Disorders</w:t>
            </w:r>
          </w:p>
        </w:tc>
        <w:tc>
          <w:tcPr>
            <w:tcW w:w="2790" w:type="dxa"/>
            <w:tcBorders>
              <w:top w:val="single" w:sz="4" w:space="0" w:color="auto"/>
              <w:left w:val="single" w:sz="4" w:space="0" w:color="auto"/>
              <w:right w:val="single" w:sz="4" w:space="0" w:color="auto"/>
            </w:tcBorders>
            <w:shd w:val="clear" w:color="auto" w:fill="auto"/>
          </w:tcPr>
          <w:p w14:paraId="52E40723" w14:textId="77777777" w:rsidR="005A6697" w:rsidRPr="00B55390" w:rsidRDefault="005A6697" w:rsidP="00D67622">
            <w:pPr>
              <w:pStyle w:val="PINormal"/>
              <w:rPr>
                <w:szCs w:val="22"/>
              </w:rPr>
            </w:pPr>
          </w:p>
        </w:tc>
        <w:tc>
          <w:tcPr>
            <w:tcW w:w="3081" w:type="dxa"/>
            <w:tcBorders>
              <w:top w:val="single" w:sz="4" w:space="0" w:color="auto"/>
              <w:left w:val="single" w:sz="4" w:space="0" w:color="auto"/>
              <w:right w:val="single" w:sz="4" w:space="0" w:color="auto"/>
            </w:tcBorders>
            <w:shd w:val="clear" w:color="auto" w:fill="auto"/>
          </w:tcPr>
          <w:p w14:paraId="10F2B9F6" w14:textId="77777777" w:rsidR="005A6697" w:rsidRPr="00B55390" w:rsidRDefault="005A6697" w:rsidP="00D67622">
            <w:pPr>
              <w:pStyle w:val="PINormal"/>
              <w:rPr>
                <w:szCs w:val="22"/>
              </w:rPr>
            </w:pPr>
            <w:r w:rsidRPr="00B55390">
              <w:rPr>
                <w:szCs w:val="22"/>
              </w:rPr>
              <w:t>Proteinuria</w:t>
            </w:r>
          </w:p>
        </w:tc>
      </w:tr>
      <w:tr w:rsidR="005A6697" w:rsidRPr="00B55390" w14:paraId="060DCC7F" w14:textId="77777777" w:rsidTr="0027767B">
        <w:trPr>
          <w:trHeight w:val="242"/>
        </w:trPr>
        <w:tc>
          <w:tcPr>
            <w:tcW w:w="3065" w:type="dxa"/>
            <w:tcBorders>
              <w:top w:val="single" w:sz="4" w:space="0" w:color="auto"/>
              <w:left w:val="single" w:sz="4" w:space="0" w:color="auto"/>
              <w:right w:val="single" w:sz="4" w:space="0" w:color="auto"/>
            </w:tcBorders>
            <w:shd w:val="clear" w:color="auto" w:fill="auto"/>
          </w:tcPr>
          <w:p w14:paraId="60467AAC" w14:textId="77777777" w:rsidR="005A6697" w:rsidRPr="00B55390" w:rsidRDefault="005A6697" w:rsidP="00D67622">
            <w:pPr>
              <w:pStyle w:val="PINormal"/>
              <w:rPr>
                <w:szCs w:val="22"/>
              </w:rPr>
            </w:pPr>
            <w:r w:rsidRPr="00B55390">
              <w:rPr>
                <w:szCs w:val="22"/>
              </w:rPr>
              <w:lastRenderedPageBreak/>
              <w:t>General Disorders and Administration Site Conditions</w:t>
            </w:r>
          </w:p>
        </w:tc>
        <w:tc>
          <w:tcPr>
            <w:tcW w:w="2790" w:type="dxa"/>
            <w:tcBorders>
              <w:top w:val="single" w:sz="4" w:space="0" w:color="auto"/>
              <w:left w:val="single" w:sz="4" w:space="0" w:color="auto"/>
              <w:right w:val="single" w:sz="4" w:space="0" w:color="auto"/>
            </w:tcBorders>
            <w:shd w:val="clear" w:color="auto" w:fill="auto"/>
          </w:tcPr>
          <w:p w14:paraId="0ADD0A01" w14:textId="77777777" w:rsidR="005A6697" w:rsidRPr="00B55390" w:rsidRDefault="005A6697" w:rsidP="00D67622">
            <w:pPr>
              <w:pStyle w:val="PINormal"/>
              <w:rPr>
                <w:szCs w:val="22"/>
              </w:rPr>
            </w:pPr>
          </w:p>
        </w:tc>
        <w:tc>
          <w:tcPr>
            <w:tcW w:w="3081" w:type="dxa"/>
            <w:tcBorders>
              <w:top w:val="single" w:sz="4" w:space="0" w:color="auto"/>
              <w:left w:val="single" w:sz="4" w:space="0" w:color="auto"/>
              <w:right w:val="single" w:sz="4" w:space="0" w:color="auto"/>
            </w:tcBorders>
            <w:shd w:val="clear" w:color="auto" w:fill="auto"/>
          </w:tcPr>
          <w:p w14:paraId="5CD582F5" w14:textId="77777777" w:rsidR="005A6697" w:rsidRPr="00B55390" w:rsidRDefault="005A6697" w:rsidP="00D67622">
            <w:pPr>
              <w:pStyle w:val="PINormal"/>
              <w:rPr>
                <w:szCs w:val="22"/>
              </w:rPr>
            </w:pPr>
            <w:r w:rsidRPr="00B55390">
              <w:rPr>
                <w:szCs w:val="22"/>
              </w:rPr>
              <w:t>Feeling hot</w:t>
            </w:r>
          </w:p>
        </w:tc>
      </w:tr>
      <w:tr w:rsidR="005A6697" w:rsidRPr="00B55390" w14:paraId="37065329" w14:textId="77777777" w:rsidTr="0027767B">
        <w:trPr>
          <w:trHeight w:val="242"/>
        </w:trPr>
        <w:tc>
          <w:tcPr>
            <w:tcW w:w="3065" w:type="dxa"/>
            <w:vMerge w:val="restart"/>
            <w:tcBorders>
              <w:top w:val="single" w:sz="4" w:space="0" w:color="auto"/>
              <w:left w:val="single" w:sz="4" w:space="0" w:color="auto"/>
              <w:right w:val="single" w:sz="4" w:space="0" w:color="auto"/>
            </w:tcBorders>
            <w:shd w:val="clear" w:color="auto" w:fill="auto"/>
            <w:hideMark/>
          </w:tcPr>
          <w:p w14:paraId="5A6ACF4B" w14:textId="77777777" w:rsidR="005A6697" w:rsidRPr="00B55390" w:rsidRDefault="005A6697" w:rsidP="00D67622">
            <w:pPr>
              <w:pStyle w:val="PINormal"/>
              <w:rPr>
                <w:szCs w:val="22"/>
              </w:rPr>
            </w:pPr>
            <w:r w:rsidRPr="00B55390">
              <w:rPr>
                <w:szCs w:val="22"/>
              </w:rPr>
              <w:t>Investigations</w:t>
            </w:r>
          </w:p>
        </w:tc>
        <w:tc>
          <w:tcPr>
            <w:tcW w:w="2790" w:type="dxa"/>
            <w:tcBorders>
              <w:top w:val="single" w:sz="4" w:space="0" w:color="auto"/>
              <w:left w:val="single" w:sz="4" w:space="0" w:color="auto"/>
              <w:right w:val="single" w:sz="4" w:space="0" w:color="auto"/>
            </w:tcBorders>
            <w:shd w:val="clear" w:color="auto" w:fill="auto"/>
            <w:vAlign w:val="bottom"/>
            <w:hideMark/>
          </w:tcPr>
          <w:p w14:paraId="4E9F6210" w14:textId="77777777" w:rsidR="005A6697" w:rsidRPr="00B55390" w:rsidRDefault="005A6697" w:rsidP="00D67622">
            <w:pPr>
              <w:pStyle w:val="PINormal"/>
              <w:rPr>
                <w:szCs w:val="22"/>
              </w:rPr>
            </w:pPr>
          </w:p>
        </w:tc>
        <w:tc>
          <w:tcPr>
            <w:tcW w:w="3081" w:type="dxa"/>
            <w:tcBorders>
              <w:top w:val="single" w:sz="4" w:space="0" w:color="auto"/>
              <w:left w:val="single" w:sz="4" w:space="0" w:color="auto"/>
              <w:right w:val="single" w:sz="4" w:space="0" w:color="auto"/>
            </w:tcBorders>
            <w:shd w:val="clear" w:color="auto" w:fill="auto"/>
            <w:vAlign w:val="bottom"/>
            <w:hideMark/>
          </w:tcPr>
          <w:p w14:paraId="5381D647" w14:textId="77777777" w:rsidR="005A6697" w:rsidRPr="00B55390" w:rsidRDefault="005A6697" w:rsidP="00D67622">
            <w:pPr>
              <w:pStyle w:val="PINormal"/>
              <w:rPr>
                <w:szCs w:val="22"/>
              </w:rPr>
            </w:pPr>
            <w:r w:rsidRPr="00B55390">
              <w:rPr>
                <w:szCs w:val="22"/>
              </w:rPr>
              <w:t xml:space="preserve">Albumin Urine Present </w:t>
            </w:r>
          </w:p>
        </w:tc>
      </w:tr>
      <w:tr w:rsidR="005A6697" w:rsidRPr="00B55390" w14:paraId="24F155D2" w14:textId="77777777" w:rsidTr="0027767B">
        <w:trPr>
          <w:trHeight w:val="242"/>
        </w:trPr>
        <w:tc>
          <w:tcPr>
            <w:tcW w:w="3065" w:type="dxa"/>
            <w:vMerge/>
            <w:tcBorders>
              <w:top w:val="single" w:sz="4" w:space="0" w:color="auto"/>
              <w:left w:val="single" w:sz="4" w:space="0" w:color="auto"/>
              <w:right w:val="single" w:sz="4" w:space="0" w:color="auto"/>
            </w:tcBorders>
            <w:shd w:val="clear" w:color="auto" w:fill="auto"/>
          </w:tcPr>
          <w:p w14:paraId="08B11EEB" w14:textId="77777777" w:rsidR="005A6697" w:rsidRPr="00B55390" w:rsidRDefault="005A6697" w:rsidP="00D67622">
            <w:pPr>
              <w:pStyle w:val="PINormal"/>
              <w:rPr>
                <w:szCs w:val="22"/>
              </w:rPr>
            </w:pPr>
          </w:p>
        </w:tc>
        <w:tc>
          <w:tcPr>
            <w:tcW w:w="2790" w:type="dxa"/>
            <w:tcBorders>
              <w:left w:val="single" w:sz="4" w:space="0" w:color="auto"/>
              <w:right w:val="single" w:sz="4" w:space="0" w:color="auto"/>
            </w:tcBorders>
            <w:shd w:val="clear" w:color="auto" w:fill="auto"/>
            <w:vAlign w:val="bottom"/>
          </w:tcPr>
          <w:p w14:paraId="0DFBDABE" w14:textId="77777777" w:rsidR="005A6697" w:rsidRPr="00B55390" w:rsidRDefault="005A6697" w:rsidP="00D67622">
            <w:pPr>
              <w:pStyle w:val="PINormal"/>
              <w:rPr>
                <w:szCs w:val="22"/>
              </w:rPr>
            </w:pPr>
          </w:p>
        </w:tc>
        <w:tc>
          <w:tcPr>
            <w:tcW w:w="3081" w:type="dxa"/>
            <w:tcBorders>
              <w:left w:val="single" w:sz="4" w:space="0" w:color="auto"/>
              <w:right w:val="single" w:sz="4" w:space="0" w:color="auto"/>
            </w:tcBorders>
            <w:shd w:val="clear" w:color="auto" w:fill="auto"/>
            <w:vAlign w:val="bottom"/>
          </w:tcPr>
          <w:p w14:paraId="12035570" w14:textId="77777777" w:rsidR="005A6697" w:rsidRPr="00B55390" w:rsidRDefault="005A6697" w:rsidP="00D67622">
            <w:pPr>
              <w:pStyle w:val="PINormal"/>
              <w:rPr>
                <w:szCs w:val="22"/>
              </w:rPr>
            </w:pPr>
            <w:r w:rsidRPr="00B55390">
              <w:rPr>
                <w:szCs w:val="22"/>
              </w:rPr>
              <w:t>Aspartate aminotransferase increased</w:t>
            </w:r>
          </w:p>
        </w:tc>
      </w:tr>
      <w:tr w:rsidR="005A6697" w:rsidRPr="00B55390" w14:paraId="068AD1D4" w14:textId="77777777" w:rsidTr="0027767B">
        <w:trPr>
          <w:trHeight w:val="242"/>
        </w:trPr>
        <w:tc>
          <w:tcPr>
            <w:tcW w:w="3065" w:type="dxa"/>
            <w:vMerge/>
            <w:tcBorders>
              <w:left w:val="single" w:sz="4" w:space="0" w:color="auto"/>
              <w:right w:val="single" w:sz="4" w:space="0" w:color="auto"/>
            </w:tcBorders>
            <w:shd w:val="clear" w:color="auto" w:fill="auto"/>
          </w:tcPr>
          <w:p w14:paraId="5976329A" w14:textId="77777777" w:rsidR="005A6697" w:rsidRPr="00B55390" w:rsidRDefault="005A6697" w:rsidP="00D67622">
            <w:pPr>
              <w:pStyle w:val="PINormal"/>
              <w:rPr>
                <w:szCs w:val="22"/>
              </w:rPr>
            </w:pPr>
          </w:p>
        </w:tc>
        <w:tc>
          <w:tcPr>
            <w:tcW w:w="2790" w:type="dxa"/>
            <w:tcBorders>
              <w:left w:val="single" w:sz="4" w:space="0" w:color="auto"/>
              <w:right w:val="single" w:sz="4" w:space="0" w:color="auto"/>
            </w:tcBorders>
            <w:shd w:val="clear" w:color="auto" w:fill="auto"/>
            <w:vAlign w:val="bottom"/>
          </w:tcPr>
          <w:p w14:paraId="26802B91" w14:textId="77777777" w:rsidR="005A6697" w:rsidRPr="00B55390" w:rsidRDefault="005A6697" w:rsidP="00D67622">
            <w:pPr>
              <w:pStyle w:val="PINormal"/>
              <w:rPr>
                <w:szCs w:val="22"/>
              </w:rPr>
            </w:pPr>
          </w:p>
        </w:tc>
        <w:tc>
          <w:tcPr>
            <w:tcW w:w="3081" w:type="dxa"/>
            <w:tcBorders>
              <w:left w:val="single" w:sz="4" w:space="0" w:color="auto"/>
              <w:right w:val="single" w:sz="4" w:space="0" w:color="auto"/>
            </w:tcBorders>
            <w:shd w:val="clear" w:color="auto" w:fill="auto"/>
            <w:vAlign w:val="bottom"/>
          </w:tcPr>
          <w:p w14:paraId="1E14298D" w14:textId="77777777" w:rsidR="005A6697" w:rsidRPr="00B55390" w:rsidRDefault="005A6697" w:rsidP="00D67622">
            <w:pPr>
              <w:pStyle w:val="PINormal"/>
              <w:rPr>
                <w:szCs w:val="22"/>
              </w:rPr>
            </w:pPr>
            <w:r w:rsidRPr="00B55390">
              <w:rPr>
                <w:szCs w:val="22"/>
              </w:rPr>
              <w:t>Alanine aminotransferase increased</w:t>
            </w:r>
          </w:p>
        </w:tc>
      </w:tr>
      <w:tr w:rsidR="005A6697" w:rsidRPr="00B55390" w14:paraId="767BD3A6" w14:textId="77777777" w:rsidTr="0027767B">
        <w:trPr>
          <w:trHeight w:val="242"/>
        </w:trPr>
        <w:tc>
          <w:tcPr>
            <w:tcW w:w="3065" w:type="dxa"/>
            <w:tcBorders>
              <w:left w:val="single" w:sz="4" w:space="0" w:color="auto"/>
              <w:bottom w:val="single" w:sz="4" w:space="0" w:color="auto"/>
              <w:right w:val="single" w:sz="4" w:space="0" w:color="auto"/>
            </w:tcBorders>
            <w:shd w:val="clear" w:color="auto" w:fill="auto"/>
          </w:tcPr>
          <w:p w14:paraId="16A0700F" w14:textId="77777777" w:rsidR="005A6697" w:rsidRPr="00B55390" w:rsidRDefault="005A6697" w:rsidP="00D67622">
            <w:pPr>
              <w:pStyle w:val="PINormal"/>
              <w:rPr>
                <w:szCs w:val="22"/>
              </w:rPr>
            </w:pPr>
          </w:p>
        </w:tc>
        <w:tc>
          <w:tcPr>
            <w:tcW w:w="2790" w:type="dxa"/>
            <w:tcBorders>
              <w:left w:val="single" w:sz="4" w:space="0" w:color="auto"/>
              <w:bottom w:val="single" w:sz="4" w:space="0" w:color="auto"/>
              <w:right w:val="single" w:sz="4" w:space="0" w:color="auto"/>
            </w:tcBorders>
            <w:shd w:val="clear" w:color="auto" w:fill="auto"/>
            <w:vAlign w:val="bottom"/>
          </w:tcPr>
          <w:p w14:paraId="23F7B236" w14:textId="77777777" w:rsidR="005A6697" w:rsidRPr="00B55390" w:rsidRDefault="005A6697" w:rsidP="00D67622">
            <w:pPr>
              <w:pStyle w:val="PINormal"/>
              <w:rPr>
                <w:szCs w:val="22"/>
              </w:rPr>
            </w:pPr>
          </w:p>
        </w:tc>
        <w:tc>
          <w:tcPr>
            <w:tcW w:w="3081" w:type="dxa"/>
            <w:tcBorders>
              <w:left w:val="single" w:sz="4" w:space="0" w:color="auto"/>
              <w:bottom w:val="single" w:sz="4" w:space="0" w:color="auto"/>
              <w:right w:val="single" w:sz="4" w:space="0" w:color="auto"/>
            </w:tcBorders>
            <w:shd w:val="clear" w:color="auto" w:fill="auto"/>
            <w:vAlign w:val="bottom"/>
          </w:tcPr>
          <w:p w14:paraId="707C9562" w14:textId="77777777" w:rsidR="005A6697" w:rsidRPr="00B55390" w:rsidRDefault="005A6697" w:rsidP="00D67622">
            <w:pPr>
              <w:pStyle w:val="PINormal"/>
              <w:rPr>
                <w:szCs w:val="22"/>
              </w:rPr>
            </w:pPr>
            <w:r w:rsidRPr="00B55390">
              <w:rPr>
                <w:szCs w:val="22"/>
              </w:rPr>
              <w:t>White Blood Cell Count decreased</w:t>
            </w:r>
          </w:p>
        </w:tc>
      </w:tr>
    </w:tbl>
    <w:p w14:paraId="07737BAC" w14:textId="77777777" w:rsidR="005A6697" w:rsidRPr="00B55390" w:rsidRDefault="005A6697" w:rsidP="00D67622">
      <w:pPr>
        <w:pStyle w:val="PINormal"/>
      </w:pPr>
    </w:p>
    <w:p w14:paraId="1A6E4E57" w14:textId="77777777" w:rsidR="00DD384E" w:rsidRPr="00B55390" w:rsidRDefault="00DD384E" w:rsidP="00D67622">
      <w:pPr>
        <w:rPr>
          <w:rFonts w:eastAsiaTheme="majorEastAsia" w:cstheme="majorBidi"/>
        </w:rPr>
      </w:pPr>
      <w:r w:rsidRPr="00B55390">
        <w:br w:type="page"/>
      </w:r>
    </w:p>
    <w:p w14:paraId="0F207118" w14:textId="5E1D48A6" w:rsidR="005A6697" w:rsidRPr="00B55390" w:rsidRDefault="00DD384E" w:rsidP="00D67622">
      <w:pPr>
        <w:rPr>
          <w:b/>
          <w:bCs/>
        </w:rPr>
      </w:pPr>
      <w:r w:rsidRPr="00B55390">
        <w:rPr>
          <w:b/>
          <w:bCs/>
        </w:rPr>
        <w:lastRenderedPageBreak/>
        <w:t>Table 2</w:t>
      </w:r>
      <w:r w:rsidR="005A6697" w:rsidRPr="00B55390">
        <w:rPr>
          <w:b/>
          <w:bCs/>
        </w:rPr>
        <w:t>: Adverse Reactions in Study 1 and 2 reported for TECFIDERA 240 mg BID at ≥ 2% higher incidence than placebo</w:t>
      </w:r>
    </w:p>
    <w:p w14:paraId="09800FD4" w14:textId="77777777" w:rsidR="00DD384E" w:rsidRPr="00B55390" w:rsidRDefault="00DD384E" w:rsidP="00D67622">
      <w:pPr>
        <w:pStyle w:val="PINormal"/>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1"/>
        <w:gridCol w:w="2067"/>
        <w:gridCol w:w="2010"/>
      </w:tblGrid>
      <w:tr w:rsidR="005A6697" w:rsidRPr="00B55390" w14:paraId="05395B6B" w14:textId="77777777" w:rsidTr="0027767B">
        <w:tc>
          <w:tcPr>
            <w:tcW w:w="4846" w:type="dxa"/>
            <w:tcBorders>
              <w:bottom w:val="single" w:sz="4" w:space="0" w:color="auto"/>
            </w:tcBorders>
            <w:shd w:val="clear" w:color="auto" w:fill="auto"/>
            <w:vAlign w:val="center"/>
          </w:tcPr>
          <w:p w14:paraId="6A9F5AFE" w14:textId="77777777" w:rsidR="005A6697" w:rsidRPr="00B55390" w:rsidRDefault="005A6697" w:rsidP="00D67622">
            <w:pPr>
              <w:pStyle w:val="PINormal"/>
            </w:pPr>
          </w:p>
          <w:p w14:paraId="7E72A1BB" w14:textId="77777777" w:rsidR="005A6697" w:rsidRPr="00B55390" w:rsidRDefault="005A6697" w:rsidP="00D67622">
            <w:pPr>
              <w:pStyle w:val="PINormal"/>
            </w:pPr>
            <w:r w:rsidRPr="00B55390">
              <w:t>Primary System Organ Class</w:t>
            </w:r>
          </w:p>
          <w:p w14:paraId="0EB36C83" w14:textId="77777777" w:rsidR="005A6697" w:rsidRPr="00B55390" w:rsidRDefault="005A6697" w:rsidP="00D67622">
            <w:pPr>
              <w:pStyle w:val="PINormal"/>
            </w:pPr>
            <w:r w:rsidRPr="00B55390">
              <w:t>Preferred Term</w:t>
            </w:r>
          </w:p>
        </w:tc>
        <w:tc>
          <w:tcPr>
            <w:tcW w:w="2070" w:type="dxa"/>
            <w:tcBorders>
              <w:bottom w:val="single" w:sz="4" w:space="0" w:color="auto"/>
            </w:tcBorders>
            <w:shd w:val="clear" w:color="auto" w:fill="auto"/>
            <w:vAlign w:val="center"/>
          </w:tcPr>
          <w:p w14:paraId="14568E85" w14:textId="2478F63A" w:rsidR="005A6697" w:rsidRPr="00B55390" w:rsidRDefault="005A6697" w:rsidP="00D67622">
            <w:pPr>
              <w:pStyle w:val="PINormal"/>
            </w:pPr>
            <w:r w:rsidRPr="00B55390">
              <w:t>TECFIDERA</w:t>
            </w:r>
          </w:p>
          <w:p w14:paraId="57A64F3E" w14:textId="77777777" w:rsidR="005A6697" w:rsidRPr="00B55390" w:rsidRDefault="005A6697" w:rsidP="00D67622">
            <w:pPr>
              <w:pStyle w:val="PINormal"/>
            </w:pPr>
            <w:r w:rsidRPr="00B55390">
              <w:t>240 mg BID</w:t>
            </w:r>
          </w:p>
          <w:p w14:paraId="223AEFF1" w14:textId="77777777" w:rsidR="005A6697" w:rsidRPr="00B55390" w:rsidRDefault="005A6697" w:rsidP="00D67622">
            <w:pPr>
              <w:pStyle w:val="PINormal"/>
            </w:pPr>
            <w:r w:rsidRPr="00B55390">
              <w:t>n=769</w:t>
            </w:r>
          </w:p>
          <w:p w14:paraId="4A13B20A" w14:textId="77777777" w:rsidR="005A6697" w:rsidRPr="00B55390" w:rsidRDefault="005A6697" w:rsidP="00D67622">
            <w:pPr>
              <w:pStyle w:val="PINormal"/>
            </w:pPr>
            <w:r w:rsidRPr="00B55390">
              <w:t>%</w:t>
            </w:r>
          </w:p>
        </w:tc>
        <w:tc>
          <w:tcPr>
            <w:tcW w:w="2015" w:type="dxa"/>
            <w:tcBorders>
              <w:bottom w:val="single" w:sz="4" w:space="0" w:color="auto"/>
            </w:tcBorders>
            <w:shd w:val="clear" w:color="auto" w:fill="auto"/>
            <w:vAlign w:val="center"/>
          </w:tcPr>
          <w:p w14:paraId="70A1FA07" w14:textId="77777777" w:rsidR="005A6697" w:rsidRPr="00B55390" w:rsidRDefault="005A6697" w:rsidP="00D67622">
            <w:pPr>
              <w:pStyle w:val="PINormal"/>
            </w:pPr>
            <w:r w:rsidRPr="00B55390">
              <w:t>Placebo</w:t>
            </w:r>
          </w:p>
          <w:p w14:paraId="1101DAED" w14:textId="77777777" w:rsidR="005A6697" w:rsidRPr="00B55390" w:rsidRDefault="005A6697" w:rsidP="00D67622">
            <w:pPr>
              <w:pStyle w:val="PINormal"/>
            </w:pPr>
            <w:r w:rsidRPr="00B55390">
              <w:t>n=771</w:t>
            </w:r>
          </w:p>
          <w:p w14:paraId="0F387DA8" w14:textId="77777777" w:rsidR="005A6697" w:rsidRPr="00B55390" w:rsidRDefault="005A6697" w:rsidP="00D67622">
            <w:pPr>
              <w:pStyle w:val="PINormal"/>
            </w:pPr>
            <w:r w:rsidRPr="00B55390">
              <w:t>%</w:t>
            </w:r>
          </w:p>
        </w:tc>
      </w:tr>
      <w:tr w:rsidR="005A6697" w:rsidRPr="00B55390" w14:paraId="4215B105" w14:textId="77777777" w:rsidTr="0027767B">
        <w:tc>
          <w:tcPr>
            <w:tcW w:w="4846" w:type="dxa"/>
            <w:tcBorders>
              <w:top w:val="single" w:sz="4" w:space="0" w:color="auto"/>
              <w:bottom w:val="nil"/>
            </w:tcBorders>
            <w:shd w:val="clear" w:color="auto" w:fill="auto"/>
          </w:tcPr>
          <w:p w14:paraId="0474D2FE" w14:textId="77777777" w:rsidR="005A6697" w:rsidRPr="00B55390" w:rsidRDefault="005A6697" w:rsidP="00D67622">
            <w:pPr>
              <w:pStyle w:val="PINormal"/>
            </w:pPr>
            <w:r w:rsidRPr="00B55390">
              <w:t>Blood and Lymphatic System Disorders</w:t>
            </w:r>
          </w:p>
        </w:tc>
        <w:tc>
          <w:tcPr>
            <w:tcW w:w="2070" w:type="dxa"/>
            <w:tcBorders>
              <w:top w:val="single" w:sz="4" w:space="0" w:color="auto"/>
              <w:bottom w:val="nil"/>
            </w:tcBorders>
            <w:shd w:val="clear" w:color="auto" w:fill="auto"/>
          </w:tcPr>
          <w:p w14:paraId="10CF19D1" w14:textId="77777777" w:rsidR="005A6697" w:rsidRPr="00B55390" w:rsidRDefault="005A6697" w:rsidP="00D67622">
            <w:pPr>
              <w:pStyle w:val="PINormal"/>
            </w:pPr>
          </w:p>
        </w:tc>
        <w:tc>
          <w:tcPr>
            <w:tcW w:w="2015" w:type="dxa"/>
            <w:tcBorders>
              <w:top w:val="single" w:sz="4" w:space="0" w:color="auto"/>
              <w:bottom w:val="nil"/>
            </w:tcBorders>
            <w:shd w:val="clear" w:color="auto" w:fill="auto"/>
          </w:tcPr>
          <w:p w14:paraId="741E1B99" w14:textId="77777777" w:rsidR="005A6697" w:rsidRPr="00B55390" w:rsidRDefault="005A6697" w:rsidP="00D67622">
            <w:pPr>
              <w:pStyle w:val="PINormal"/>
            </w:pPr>
          </w:p>
        </w:tc>
      </w:tr>
      <w:tr w:rsidR="005A6697" w:rsidRPr="00B55390" w14:paraId="1E9CD959" w14:textId="77777777" w:rsidTr="0027767B">
        <w:tc>
          <w:tcPr>
            <w:tcW w:w="4846" w:type="dxa"/>
            <w:tcBorders>
              <w:top w:val="nil"/>
              <w:bottom w:val="single" w:sz="4" w:space="0" w:color="auto"/>
            </w:tcBorders>
            <w:shd w:val="clear" w:color="auto" w:fill="auto"/>
          </w:tcPr>
          <w:p w14:paraId="5534F125" w14:textId="77777777" w:rsidR="005A6697" w:rsidRPr="00B55390" w:rsidRDefault="005A6697" w:rsidP="00D67622">
            <w:pPr>
              <w:pStyle w:val="PINormal"/>
            </w:pPr>
            <w:r w:rsidRPr="00B55390">
              <w:t xml:space="preserve">   Lymphopenia</w:t>
            </w:r>
          </w:p>
        </w:tc>
        <w:tc>
          <w:tcPr>
            <w:tcW w:w="2070" w:type="dxa"/>
            <w:tcBorders>
              <w:top w:val="nil"/>
              <w:bottom w:val="single" w:sz="4" w:space="0" w:color="auto"/>
            </w:tcBorders>
            <w:shd w:val="clear" w:color="auto" w:fill="auto"/>
          </w:tcPr>
          <w:p w14:paraId="6B13FA98" w14:textId="77777777" w:rsidR="005A6697" w:rsidRPr="00B55390" w:rsidRDefault="005A6697" w:rsidP="00D67622">
            <w:pPr>
              <w:pStyle w:val="PINormal"/>
            </w:pPr>
            <w:r w:rsidRPr="00B55390">
              <w:t>2</w:t>
            </w:r>
          </w:p>
        </w:tc>
        <w:tc>
          <w:tcPr>
            <w:tcW w:w="2015" w:type="dxa"/>
            <w:tcBorders>
              <w:top w:val="nil"/>
              <w:bottom w:val="single" w:sz="4" w:space="0" w:color="auto"/>
            </w:tcBorders>
            <w:shd w:val="clear" w:color="auto" w:fill="auto"/>
          </w:tcPr>
          <w:p w14:paraId="78819778" w14:textId="77777777" w:rsidR="005A6697" w:rsidRPr="00B55390" w:rsidRDefault="005A6697" w:rsidP="00D67622">
            <w:pPr>
              <w:pStyle w:val="PINormal"/>
            </w:pPr>
            <w:r w:rsidRPr="00B55390">
              <w:t>&lt;1</w:t>
            </w:r>
          </w:p>
        </w:tc>
      </w:tr>
      <w:tr w:rsidR="005A6697" w:rsidRPr="00B55390" w14:paraId="7CF4C0FC" w14:textId="77777777" w:rsidTr="0027767B">
        <w:tc>
          <w:tcPr>
            <w:tcW w:w="4846" w:type="dxa"/>
            <w:tcBorders>
              <w:bottom w:val="nil"/>
            </w:tcBorders>
            <w:shd w:val="clear" w:color="auto" w:fill="auto"/>
          </w:tcPr>
          <w:p w14:paraId="024ADD77" w14:textId="77777777" w:rsidR="005A6697" w:rsidRPr="00B55390" w:rsidRDefault="005A6697" w:rsidP="00D67622">
            <w:pPr>
              <w:pStyle w:val="PINormal"/>
            </w:pPr>
            <w:r w:rsidRPr="00B55390">
              <w:t>Gastrointestinal Disorders</w:t>
            </w:r>
          </w:p>
        </w:tc>
        <w:tc>
          <w:tcPr>
            <w:tcW w:w="2070" w:type="dxa"/>
            <w:tcBorders>
              <w:bottom w:val="nil"/>
            </w:tcBorders>
            <w:shd w:val="clear" w:color="auto" w:fill="auto"/>
          </w:tcPr>
          <w:p w14:paraId="0D1EBF34" w14:textId="77777777" w:rsidR="005A6697" w:rsidRPr="00B55390" w:rsidRDefault="005A6697" w:rsidP="00D67622">
            <w:pPr>
              <w:pStyle w:val="PINormal"/>
            </w:pPr>
          </w:p>
        </w:tc>
        <w:tc>
          <w:tcPr>
            <w:tcW w:w="2015" w:type="dxa"/>
            <w:tcBorders>
              <w:bottom w:val="nil"/>
            </w:tcBorders>
            <w:shd w:val="clear" w:color="auto" w:fill="auto"/>
          </w:tcPr>
          <w:p w14:paraId="6F99DE5E" w14:textId="77777777" w:rsidR="005A6697" w:rsidRPr="00B55390" w:rsidRDefault="005A6697" w:rsidP="00D67622">
            <w:pPr>
              <w:pStyle w:val="PINormal"/>
            </w:pPr>
          </w:p>
        </w:tc>
      </w:tr>
      <w:tr w:rsidR="005A6697" w:rsidRPr="00B55390" w14:paraId="7EA07425" w14:textId="77777777" w:rsidTr="0027767B">
        <w:tc>
          <w:tcPr>
            <w:tcW w:w="4846" w:type="dxa"/>
            <w:tcBorders>
              <w:top w:val="nil"/>
              <w:bottom w:val="nil"/>
            </w:tcBorders>
            <w:shd w:val="clear" w:color="auto" w:fill="auto"/>
          </w:tcPr>
          <w:p w14:paraId="549C7669" w14:textId="77777777" w:rsidR="005A6697" w:rsidRPr="00B55390" w:rsidRDefault="005A6697" w:rsidP="00D67622">
            <w:pPr>
              <w:pStyle w:val="PINormal"/>
            </w:pPr>
            <w:r w:rsidRPr="00B55390">
              <w:t xml:space="preserve">   </w:t>
            </w:r>
            <w:proofErr w:type="spellStart"/>
            <w:r w:rsidRPr="00B55390">
              <w:t>Diarrhoea</w:t>
            </w:r>
            <w:proofErr w:type="spellEnd"/>
          </w:p>
        </w:tc>
        <w:tc>
          <w:tcPr>
            <w:tcW w:w="2070" w:type="dxa"/>
            <w:tcBorders>
              <w:top w:val="nil"/>
              <w:bottom w:val="nil"/>
            </w:tcBorders>
            <w:shd w:val="clear" w:color="auto" w:fill="auto"/>
          </w:tcPr>
          <w:p w14:paraId="11778585" w14:textId="77777777" w:rsidR="005A6697" w:rsidRPr="00B55390" w:rsidRDefault="005A6697" w:rsidP="00D67622">
            <w:pPr>
              <w:pStyle w:val="PINormal"/>
            </w:pPr>
            <w:r w:rsidRPr="00B55390">
              <w:t>14</w:t>
            </w:r>
          </w:p>
        </w:tc>
        <w:tc>
          <w:tcPr>
            <w:tcW w:w="2015" w:type="dxa"/>
            <w:tcBorders>
              <w:top w:val="nil"/>
              <w:bottom w:val="nil"/>
            </w:tcBorders>
            <w:shd w:val="clear" w:color="auto" w:fill="auto"/>
          </w:tcPr>
          <w:p w14:paraId="3149FDF5" w14:textId="77777777" w:rsidR="005A6697" w:rsidRPr="00B55390" w:rsidRDefault="005A6697" w:rsidP="00D67622">
            <w:pPr>
              <w:pStyle w:val="PINormal"/>
            </w:pPr>
            <w:r w:rsidRPr="00B55390">
              <w:t>11</w:t>
            </w:r>
          </w:p>
        </w:tc>
      </w:tr>
      <w:tr w:rsidR="005A6697" w:rsidRPr="00B55390" w14:paraId="5E2D73A6" w14:textId="77777777" w:rsidTr="0027767B">
        <w:tc>
          <w:tcPr>
            <w:tcW w:w="4846" w:type="dxa"/>
            <w:tcBorders>
              <w:top w:val="nil"/>
              <w:bottom w:val="nil"/>
            </w:tcBorders>
            <w:shd w:val="clear" w:color="auto" w:fill="auto"/>
          </w:tcPr>
          <w:p w14:paraId="6C94AEF8" w14:textId="77777777" w:rsidR="005A6697" w:rsidRPr="00B55390" w:rsidRDefault="005A6697" w:rsidP="00D67622">
            <w:pPr>
              <w:pStyle w:val="PINormal"/>
            </w:pPr>
            <w:r w:rsidRPr="00B55390">
              <w:t xml:space="preserve">   Nausea</w:t>
            </w:r>
          </w:p>
        </w:tc>
        <w:tc>
          <w:tcPr>
            <w:tcW w:w="2070" w:type="dxa"/>
            <w:tcBorders>
              <w:top w:val="nil"/>
              <w:bottom w:val="nil"/>
            </w:tcBorders>
            <w:shd w:val="clear" w:color="auto" w:fill="auto"/>
          </w:tcPr>
          <w:p w14:paraId="1F093FEE" w14:textId="77777777" w:rsidR="005A6697" w:rsidRPr="00B55390" w:rsidRDefault="005A6697" w:rsidP="00D67622">
            <w:pPr>
              <w:pStyle w:val="PINormal"/>
            </w:pPr>
            <w:r w:rsidRPr="00B55390">
              <w:t>12</w:t>
            </w:r>
          </w:p>
        </w:tc>
        <w:tc>
          <w:tcPr>
            <w:tcW w:w="2015" w:type="dxa"/>
            <w:tcBorders>
              <w:top w:val="nil"/>
              <w:bottom w:val="nil"/>
            </w:tcBorders>
            <w:shd w:val="clear" w:color="auto" w:fill="auto"/>
          </w:tcPr>
          <w:p w14:paraId="40E64D3A" w14:textId="77777777" w:rsidR="005A6697" w:rsidRPr="00B55390" w:rsidRDefault="005A6697" w:rsidP="00D67622">
            <w:pPr>
              <w:pStyle w:val="PINormal"/>
            </w:pPr>
            <w:r w:rsidRPr="00B55390">
              <w:t>9</w:t>
            </w:r>
          </w:p>
        </w:tc>
      </w:tr>
      <w:tr w:rsidR="005A6697" w:rsidRPr="00B55390" w14:paraId="7ED92FD8" w14:textId="77777777" w:rsidTr="0027767B">
        <w:tc>
          <w:tcPr>
            <w:tcW w:w="4846" w:type="dxa"/>
            <w:tcBorders>
              <w:top w:val="nil"/>
              <w:bottom w:val="nil"/>
            </w:tcBorders>
            <w:shd w:val="clear" w:color="auto" w:fill="auto"/>
          </w:tcPr>
          <w:p w14:paraId="10BA8F62" w14:textId="77777777" w:rsidR="005A6697" w:rsidRPr="00B55390" w:rsidRDefault="005A6697" w:rsidP="00D67622">
            <w:pPr>
              <w:pStyle w:val="PINormal"/>
            </w:pPr>
            <w:r w:rsidRPr="00B55390">
              <w:t xml:space="preserve">   Abdominal pain upper</w:t>
            </w:r>
          </w:p>
        </w:tc>
        <w:tc>
          <w:tcPr>
            <w:tcW w:w="2070" w:type="dxa"/>
            <w:tcBorders>
              <w:top w:val="nil"/>
              <w:bottom w:val="nil"/>
            </w:tcBorders>
            <w:shd w:val="clear" w:color="auto" w:fill="auto"/>
          </w:tcPr>
          <w:p w14:paraId="601B618A" w14:textId="77777777" w:rsidR="005A6697" w:rsidRPr="00B55390" w:rsidRDefault="005A6697" w:rsidP="00D67622">
            <w:pPr>
              <w:pStyle w:val="PINormal"/>
            </w:pPr>
            <w:r w:rsidRPr="00B55390">
              <w:t>10</w:t>
            </w:r>
          </w:p>
        </w:tc>
        <w:tc>
          <w:tcPr>
            <w:tcW w:w="2015" w:type="dxa"/>
            <w:tcBorders>
              <w:top w:val="nil"/>
              <w:bottom w:val="nil"/>
            </w:tcBorders>
            <w:shd w:val="clear" w:color="auto" w:fill="auto"/>
          </w:tcPr>
          <w:p w14:paraId="1579DB27" w14:textId="77777777" w:rsidR="005A6697" w:rsidRPr="00B55390" w:rsidRDefault="005A6697" w:rsidP="00D67622">
            <w:pPr>
              <w:pStyle w:val="PINormal"/>
            </w:pPr>
            <w:r w:rsidRPr="00B55390">
              <w:t>6</w:t>
            </w:r>
          </w:p>
        </w:tc>
      </w:tr>
      <w:tr w:rsidR="005A6697" w:rsidRPr="00B55390" w14:paraId="6A82D197" w14:textId="77777777" w:rsidTr="0027767B">
        <w:tc>
          <w:tcPr>
            <w:tcW w:w="4846" w:type="dxa"/>
            <w:tcBorders>
              <w:top w:val="nil"/>
              <w:bottom w:val="nil"/>
            </w:tcBorders>
            <w:shd w:val="clear" w:color="auto" w:fill="auto"/>
          </w:tcPr>
          <w:p w14:paraId="6D0D7903" w14:textId="77777777" w:rsidR="005A6697" w:rsidRPr="00B55390" w:rsidRDefault="005A6697" w:rsidP="00D67622">
            <w:pPr>
              <w:pStyle w:val="PINormal"/>
            </w:pPr>
            <w:r w:rsidRPr="00B55390">
              <w:t xml:space="preserve">   Abdominal pain</w:t>
            </w:r>
          </w:p>
        </w:tc>
        <w:tc>
          <w:tcPr>
            <w:tcW w:w="2070" w:type="dxa"/>
            <w:tcBorders>
              <w:top w:val="nil"/>
              <w:bottom w:val="nil"/>
            </w:tcBorders>
            <w:shd w:val="clear" w:color="auto" w:fill="auto"/>
          </w:tcPr>
          <w:p w14:paraId="38E8588F" w14:textId="77777777" w:rsidR="005A6697" w:rsidRPr="00B55390" w:rsidRDefault="005A6697" w:rsidP="00D67622">
            <w:pPr>
              <w:pStyle w:val="PINormal"/>
            </w:pPr>
            <w:r w:rsidRPr="00B55390">
              <w:t>10</w:t>
            </w:r>
          </w:p>
        </w:tc>
        <w:tc>
          <w:tcPr>
            <w:tcW w:w="2015" w:type="dxa"/>
            <w:tcBorders>
              <w:top w:val="nil"/>
              <w:bottom w:val="nil"/>
            </w:tcBorders>
            <w:shd w:val="clear" w:color="auto" w:fill="auto"/>
          </w:tcPr>
          <w:p w14:paraId="449A3227" w14:textId="77777777" w:rsidR="005A6697" w:rsidRPr="00B55390" w:rsidRDefault="005A6697" w:rsidP="00D67622">
            <w:pPr>
              <w:pStyle w:val="PINormal"/>
            </w:pPr>
            <w:r w:rsidRPr="00B55390">
              <w:t>5</w:t>
            </w:r>
          </w:p>
        </w:tc>
      </w:tr>
      <w:tr w:rsidR="005A6697" w:rsidRPr="00B55390" w14:paraId="5399CA0A" w14:textId="77777777" w:rsidTr="0027767B">
        <w:tc>
          <w:tcPr>
            <w:tcW w:w="4846" w:type="dxa"/>
            <w:tcBorders>
              <w:top w:val="nil"/>
              <w:bottom w:val="nil"/>
            </w:tcBorders>
            <w:shd w:val="clear" w:color="auto" w:fill="auto"/>
          </w:tcPr>
          <w:p w14:paraId="37AF7C60" w14:textId="77777777" w:rsidR="005A6697" w:rsidRPr="00B55390" w:rsidRDefault="005A6697" w:rsidP="00D67622">
            <w:pPr>
              <w:pStyle w:val="PINormal"/>
            </w:pPr>
            <w:r w:rsidRPr="00B55390">
              <w:t xml:space="preserve">   Vomiting</w:t>
            </w:r>
          </w:p>
        </w:tc>
        <w:tc>
          <w:tcPr>
            <w:tcW w:w="2070" w:type="dxa"/>
            <w:tcBorders>
              <w:top w:val="nil"/>
              <w:bottom w:val="nil"/>
            </w:tcBorders>
            <w:shd w:val="clear" w:color="auto" w:fill="auto"/>
          </w:tcPr>
          <w:p w14:paraId="624345A4" w14:textId="77777777" w:rsidR="005A6697" w:rsidRPr="00B55390" w:rsidRDefault="005A6697" w:rsidP="00D67622">
            <w:pPr>
              <w:pStyle w:val="PINormal"/>
            </w:pPr>
            <w:r w:rsidRPr="00B55390">
              <w:t>9</w:t>
            </w:r>
          </w:p>
        </w:tc>
        <w:tc>
          <w:tcPr>
            <w:tcW w:w="2015" w:type="dxa"/>
            <w:tcBorders>
              <w:top w:val="nil"/>
              <w:bottom w:val="nil"/>
            </w:tcBorders>
            <w:shd w:val="clear" w:color="auto" w:fill="auto"/>
          </w:tcPr>
          <w:p w14:paraId="49D38B74" w14:textId="77777777" w:rsidR="005A6697" w:rsidRPr="00B55390" w:rsidRDefault="005A6697" w:rsidP="00D67622">
            <w:pPr>
              <w:pStyle w:val="PINormal"/>
            </w:pPr>
            <w:r w:rsidRPr="00B55390">
              <w:t>5</w:t>
            </w:r>
          </w:p>
        </w:tc>
      </w:tr>
      <w:tr w:rsidR="005A6697" w:rsidRPr="00B55390" w14:paraId="543A0BDC" w14:textId="77777777" w:rsidTr="0027767B">
        <w:tc>
          <w:tcPr>
            <w:tcW w:w="4846" w:type="dxa"/>
            <w:tcBorders>
              <w:top w:val="nil"/>
              <w:bottom w:val="single" w:sz="4" w:space="0" w:color="auto"/>
            </w:tcBorders>
            <w:shd w:val="clear" w:color="auto" w:fill="auto"/>
          </w:tcPr>
          <w:p w14:paraId="4DE8C6DC" w14:textId="77777777" w:rsidR="005A6697" w:rsidRPr="00B55390" w:rsidRDefault="005A6697" w:rsidP="00D67622">
            <w:pPr>
              <w:pStyle w:val="PINormal"/>
            </w:pPr>
            <w:r w:rsidRPr="00B55390">
              <w:t xml:space="preserve">   Dyspepsia</w:t>
            </w:r>
          </w:p>
        </w:tc>
        <w:tc>
          <w:tcPr>
            <w:tcW w:w="2070" w:type="dxa"/>
            <w:tcBorders>
              <w:top w:val="nil"/>
              <w:bottom w:val="single" w:sz="4" w:space="0" w:color="auto"/>
            </w:tcBorders>
            <w:shd w:val="clear" w:color="auto" w:fill="auto"/>
          </w:tcPr>
          <w:p w14:paraId="7621CEF8" w14:textId="77777777" w:rsidR="005A6697" w:rsidRPr="00B55390" w:rsidRDefault="005A6697" w:rsidP="00D67622">
            <w:pPr>
              <w:pStyle w:val="PINormal"/>
            </w:pPr>
            <w:r w:rsidRPr="00B55390">
              <w:t>5</w:t>
            </w:r>
          </w:p>
        </w:tc>
        <w:tc>
          <w:tcPr>
            <w:tcW w:w="2015" w:type="dxa"/>
            <w:tcBorders>
              <w:top w:val="nil"/>
              <w:bottom w:val="single" w:sz="4" w:space="0" w:color="auto"/>
            </w:tcBorders>
            <w:shd w:val="clear" w:color="auto" w:fill="auto"/>
          </w:tcPr>
          <w:p w14:paraId="0A0DF343" w14:textId="77777777" w:rsidR="005A6697" w:rsidRPr="00B55390" w:rsidRDefault="005A6697" w:rsidP="00D67622">
            <w:pPr>
              <w:pStyle w:val="PINormal"/>
            </w:pPr>
            <w:r w:rsidRPr="00B55390">
              <w:t>3</w:t>
            </w:r>
          </w:p>
        </w:tc>
      </w:tr>
      <w:tr w:rsidR="005A6697" w:rsidRPr="00B55390" w14:paraId="4551692A" w14:textId="77777777" w:rsidTr="0027767B">
        <w:tc>
          <w:tcPr>
            <w:tcW w:w="4846" w:type="dxa"/>
            <w:tcBorders>
              <w:bottom w:val="nil"/>
            </w:tcBorders>
            <w:shd w:val="clear" w:color="auto" w:fill="auto"/>
          </w:tcPr>
          <w:p w14:paraId="51E5CB71" w14:textId="77777777" w:rsidR="005A6697" w:rsidRPr="00B55390" w:rsidRDefault="005A6697" w:rsidP="00D67622">
            <w:pPr>
              <w:pStyle w:val="PINormal"/>
            </w:pPr>
            <w:r w:rsidRPr="00B55390">
              <w:t>Vascular Disorders</w:t>
            </w:r>
          </w:p>
        </w:tc>
        <w:tc>
          <w:tcPr>
            <w:tcW w:w="2070" w:type="dxa"/>
            <w:tcBorders>
              <w:bottom w:val="nil"/>
            </w:tcBorders>
            <w:shd w:val="clear" w:color="auto" w:fill="auto"/>
          </w:tcPr>
          <w:p w14:paraId="77BA83B1" w14:textId="77777777" w:rsidR="005A6697" w:rsidRPr="00B55390" w:rsidRDefault="005A6697" w:rsidP="00D67622">
            <w:pPr>
              <w:pStyle w:val="PINormal"/>
            </w:pPr>
          </w:p>
        </w:tc>
        <w:tc>
          <w:tcPr>
            <w:tcW w:w="2015" w:type="dxa"/>
            <w:tcBorders>
              <w:bottom w:val="nil"/>
            </w:tcBorders>
            <w:shd w:val="clear" w:color="auto" w:fill="auto"/>
          </w:tcPr>
          <w:p w14:paraId="495B0EBE" w14:textId="77777777" w:rsidR="005A6697" w:rsidRPr="00B55390" w:rsidRDefault="005A6697" w:rsidP="00D67622">
            <w:pPr>
              <w:pStyle w:val="PINormal"/>
            </w:pPr>
          </w:p>
        </w:tc>
      </w:tr>
      <w:tr w:rsidR="005A6697" w:rsidRPr="00B55390" w14:paraId="559F3399" w14:textId="77777777" w:rsidTr="0027767B">
        <w:tc>
          <w:tcPr>
            <w:tcW w:w="4846" w:type="dxa"/>
            <w:tcBorders>
              <w:top w:val="nil"/>
              <w:bottom w:val="nil"/>
            </w:tcBorders>
            <w:shd w:val="clear" w:color="auto" w:fill="auto"/>
          </w:tcPr>
          <w:p w14:paraId="5F3C3770" w14:textId="77777777" w:rsidR="005A6697" w:rsidRPr="00B55390" w:rsidRDefault="005A6697" w:rsidP="00D67622">
            <w:pPr>
              <w:pStyle w:val="PINormal"/>
            </w:pPr>
            <w:r w:rsidRPr="00B55390">
              <w:t xml:space="preserve">   Flushing</w:t>
            </w:r>
          </w:p>
        </w:tc>
        <w:tc>
          <w:tcPr>
            <w:tcW w:w="2070" w:type="dxa"/>
            <w:tcBorders>
              <w:top w:val="nil"/>
              <w:bottom w:val="nil"/>
            </w:tcBorders>
            <w:shd w:val="clear" w:color="auto" w:fill="auto"/>
          </w:tcPr>
          <w:p w14:paraId="2427B2F5" w14:textId="77777777" w:rsidR="005A6697" w:rsidRPr="00B55390" w:rsidRDefault="005A6697" w:rsidP="00D67622">
            <w:pPr>
              <w:pStyle w:val="PINormal"/>
            </w:pPr>
            <w:r w:rsidRPr="00B55390">
              <w:t>35</w:t>
            </w:r>
          </w:p>
        </w:tc>
        <w:tc>
          <w:tcPr>
            <w:tcW w:w="2015" w:type="dxa"/>
            <w:tcBorders>
              <w:top w:val="nil"/>
              <w:bottom w:val="nil"/>
            </w:tcBorders>
            <w:shd w:val="clear" w:color="auto" w:fill="auto"/>
          </w:tcPr>
          <w:p w14:paraId="220930BB" w14:textId="77777777" w:rsidR="005A6697" w:rsidRPr="00B55390" w:rsidRDefault="005A6697" w:rsidP="00D67622">
            <w:pPr>
              <w:pStyle w:val="PINormal"/>
            </w:pPr>
            <w:r w:rsidRPr="00B55390">
              <w:t>4</w:t>
            </w:r>
          </w:p>
        </w:tc>
      </w:tr>
      <w:tr w:rsidR="005A6697" w:rsidRPr="00B55390" w14:paraId="5000C69A" w14:textId="77777777" w:rsidTr="0027767B">
        <w:tc>
          <w:tcPr>
            <w:tcW w:w="4846" w:type="dxa"/>
            <w:tcBorders>
              <w:top w:val="nil"/>
              <w:bottom w:val="single" w:sz="4" w:space="0" w:color="auto"/>
            </w:tcBorders>
            <w:shd w:val="clear" w:color="auto" w:fill="auto"/>
          </w:tcPr>
          <w:p w14:paraId="578B613A" w14:textId="77777777" w:rsidR="005A6697" w:rsidRPr="00B55390" w:rsidRDefault="005A6697" w:rsidP="00D67622">
            <w:pPr>
              <w:pStyle w:val="PINormal"/>
            </w:pPr>
            <w:r w:rsidRPr="00B55390">
              <w:t xml:space="preserve">   Hot Flush</w:t>
            </w:r>
          </w:p>
        </w:tc>
        <w:tc>
          <w:tcPr>
            <w:tcW w:w="2070" w:type="dxa"/>
            <w:tcBorders>
              <w:top w:val="nil"/>
              <w:bottom w:val="single" w:sz="4" w:space="0" w:color="auto"/>
            </w:tcBorders>
            <w:shd w:val="clear" w:color="auto" w:fill="auto"/>
          </w:tcPr>
          <w:p w14:paraId="191DD673" w14:textId="77777777" w:rsidR="005A6697" w:rsidRPr="00B55390" w:rsidRDefault="005A6697" w:rsidP="00D67622">
            <w:pPr>
              <w:pStyle w:val="PINormal"/>
            </w:pPr>
            <w:r w:rsidRPr="00B55390">
              <w:t>7</w:t>
            </w:r>
          </w:p>
        </w:tc>
        <w:tc>
          <w:tcPr>
            <w:tcW w:w="2015" w:type="dxa"/>
            <w:tcBorders>
              <w:top w:val="nil"/>
              <w:bottom w:val="single" w:sz="4" w:space="0" w:color="auto"/>
            </w:tcBorders>
            <w:shd w:val="clear" w:color="auto" w:fill="auto"/>
          </w:tcPr>
          <w:p w14:paraId="28B8AE3B" w14:textId="77777777" w:rsidR="005A6697" w:rsidRPr="00B55390" w:rsidRDefault="005A6697" w:rsidP="00D67622">
            <w:pPr>
              <w:pStyle w:val="PINormal"/>
            </w:pPr>
            <w:r w:rsidRPr="00B55390">
              <w:t>2</w:t>
            </w:r>
          </w:p>
        </w:tc>
      </w:tr>
      <w:tr w:rsidR="005A6697" w:rsidRPr="00B55390" w14:paraId="1FEF7BF7" w14:textId="77777777" w:rsidTr="0027767B">
        <w:tc>
          <w:tcPr>
            <w:tcW w:w="4846" w:type="dxa"/>
            <w:tcBorders>
              <w:bottom w:val="nil"/>
            </w:tcBorders>
            <w:shd w:val="clear" w:color="auto" w:fill="auto"/>
          </w:tcPr>
          <w:p w14:paraId="48CFF27D" w14:textId="77777777" w:rsidR="005A6697" w:rsidRPr="00B55390" w:rsidRDefault="005A6697" w:rsidP="00D67622">
            <w:pPr>
              <w:pStyle w:val="PINormal"/>
            </w:pPr>
            <w:r w:rsidRPr="00B55390">
              <w:t>Skin and Subcutaneous Tissue Disorders</w:t>
            </w:r>
          </w:p>
        </w:tc>
        <w:tc>
          <w:tcPr>
            <w:tcW w:w="2070" w:type="dxa"/>
            <w:tcBorders>
              <w:bottom w:val="nil"/>
            </w:tcBorders>
            <w:shd w:val="clear" w:color="auto" w:fill="auto"/>
          </w:tcPr>
          <w:p w14:paraId="6C967881" w14:textId="77777777" w:rsidR="005A6697" w:rsidRPr="00B55390" w:rsidRDefault="005A6697" w:rsidP="00D67622">
            <w:pPr>
              <w:pStyle w:val="PINormal"/>
            </w:pPr>
          </w:p>
        </w:tc>
        <w:tc>
          <w:tcPr>
            <w:tcW w:w="2015" w:type="dxa"/>
            <w:tcBorders>
              <w:bottom w:val="nil"/>
            </w:tcBorders>
            <w:shd w:val="clear" w:color="auto" w:fill="auto"/>
          </w:tcPr>
          <w:p w14:paraId="6399D78F" w14:textId="77777777" w:rsidR="005A6697" w:rsidRPr="00B55390" w:rsidRDefault="005A6697" w:rsidP="00D67622">
            <w:pPr>
              <w:pStyle w:val="PINormal"/>
            </w:pPr>
          </w:p>
        </w:tc>
      </w:tr>
      <w:tr w:rsidR="005A6697" w:rsidRPr="00B55390" w14:paraId="64DDE798" w14:textId="77777777" w:rsidTr="0027767B">
        <w:tc>
          <w:tcPr>
            <w:tcW w:w="4846" w:type="dxa"/>
            <w:tcBorders>
              <w:top w:val="nil"/>
              <w:bottom w:val="nil"/>
            </w:tcBorders>
            <w:shd w:val="clear" w:color="auto" w:fill="auto"/>
          </w:tcPr>
          <w:p w14:paraId="4173859A" w14:textId="77777777" w:rsidR="005A6697" w:rsidRPr="00B55390" w:rsidRDefault="005A6697" w:rsidP="00D67622">
            <w:pPr>
              <w:pStyle w:val="PINormal"/>
            </w:pPr>
            <w:r w:rsidRPr="00B55390">
              <w:t xml:space="preserve">   Pruritus</w:t>
            </w:r>
          </w:p>
        </w:tc>
        <w:tc>
          <w:tcPr>
            <w:tcW w:w="2070" w:type="dxa"/>
            <w:tcBorders>
              <w:top w:val="nil"/>
              <w:bottom w:val="nil"/>
            </w:tcBorders>
            <w:shd w:val="clear" w:color="auto" w:fill="auto"/>
          </w:tcPr>
          <w:p w14:paraId="07D93ABE" w14:textId="77777777" w:rsidR="005A6697" w:rsidRPr="00B55390" w:rsidRDefault="005A6697" w:rsidP="00D67622">
            <w:pPr>
              <w:pStyle w:val="PINormal"/>
            </w:pPr>
            <w:r w:rsidRPr="00B55390">
              <w:t>8</w:t>
            </w:r>
          </w:p>
        </w:tc>
        <w:tc>
          <w:tcPr>
            <w:tcW w:w="2015" w:type="dxa"/>
            <w:tcBorders>
              <w:top w:val="nil"/>
              <w:bottom w:val="nil"/>
            </w:tcBorders>
            <w:shd w:val="clear" w:color="auto" w:fill="auto"/>
          </w:tcPr>
          <w:p w14:paraId="33AF3DAD" w14:textId="77777777" w:rsidR="005A6697" w:rsidRPr="00B55390" w:rsidRDefault="005A6697" w:rsidP="00D67622">
            <w:pPr>
              <w:pStyle w:val="PINormal"/>
            </w:pPr>
            <w:r w:rsidRPr="00B55390">
              <w:t>4</w:t>
            </w:r>
          </w:p>
        </w:tc>
      </w:tr>
      <w:tr w:rsidR="005A6697" w:rsidRPr="00B55390" w14:paraId="4719F189" w14:textId="77777777" w:rsidTr="0027767B">
        <w:tc>
          <w:tcPr>
            <w:tcW w:w="4846" w:type="dxa"/>
            <w:tcBorders>
              <w:top w:val="nil"/>
              <w:bottom w:val="nil"/>
            </w:tcBorders>
            <w:shd w:val="clear" w:color="auto" w:fill="auto"/>
          </w:tcPr>
          <w:p w14:paraId="300A9294" w14:textId="77777777" w:rsidR="005A6697" w:rsidRPr="00B55390" w:rsidRDefault="005A6697" w:rsidP="00D67622">
            <w:pPr>
              <w:pStyle w:val="PINormal"/>
            </w:pPr>
            <w:r w:rsidRPr="00B55390">
              <w:t xml:space="preserve">   Rash</w:t>
            </w:r>
          </w:p>
        </w:tc>
        <w:tc>
          <w:tcPr>
            <w:tcW w:w="2070" w:type="dxa"/>
            <w:tcBorders>
              <w:top w:val="nil"/>
              <w:bottom w:val="nil"/>
            </w:tcBorders>
            <w:shd w:val="clear" w:color="auto" w:fill="auto"/>
          </w:tcPr>
          <w:p w14:paraId="20A601DF" w14:textId="77777777" w:rsidR="005A6697" w:rsidRPr="00B55390" w:rsidRDefault="005A6697" w:rsidP="00D67622">
            <w:pPr>
              <w:pStyle w:val="PINormal"/>
            </w:pPr>
            <w:r w:rsidRPr="00B55390">
              <w:t>8</w:t>
            </w:r>
          </w:p>
        </w:tc>
        <w:tc>
          <w:tcPr>
            <w:tcW w:w="2015" w:type="dxa"/>
            <w:tcBorders>
              <w:top w:val="nil"/>
              <w:bottom w:val="nil"/>
            </w:tcBorders>
            <w:shd w:val="clear" w:color="auto" w:fill="auto"/>
          </w:tcPr>
          <w:p w14:paraId="1BA29424" w14:textId="77777777" w:rsidR="005A6697" w:rsidRPr="00B55390" w:rsidRDefault="005A6697" w:rsidP="00D67622">
            <w:pPr>
              <w:pStyle w:val="PINormal"/>
            </w:pPr>
            <w:r w:rsidRPr="00B55390">
              <w:t>3</w:t>
            </w:r>
          </w:p>
        </w:tc>
      </w:tr>
      <w:tr w:rsidR="005A6697" w:rsidRPr="00B55390" w14:paraId="7CDA0FF1" w14:textId="77777777" w:rsidTr="0027767B">
        <w:tc>
          <w:tcPr>
            <w:tcW w:w="4846" w:type="dxa"/>
            <w:tcBorders>
              <w:top w:val="nil"/>
              <w:bottom w:val="single" w:sz="4" w:space="0" w:color="auto"/>
            </w:tcBorders>
            <w:shd w:val="clear" w:color="auto" w:fill="auto"/>
          </w:tcPr>
          <w:p w14:paraId="4953E10C" w14:textId="77777777" w:rsidR="005A6697" w:rsidRPr="00B55390" w:rsidRDefault="005A6697" w:rsidP="00D67622">
            <w:pPr>
              <w:pStyle w:val="PINormal"/>
            </w:pPr>
            <w:r w:rsidRPr="00B55390">
              <w:t xml:space="preserve">   Erythema</w:t>
            </w:r>
          </w:p>
        </w:tc>
        <w:tc>
          <w:tcPr>
            <w:tcW w:w="2070" w:type="dxa"/>
            <w:tcBorders>
              <w:top w:val="nil"/>
              <w:bottom w:val="single" w:sz="4" w:space="0" w:color="auto"/>
            </w:tcBorders>
            <w:shd w:val="clear" w:color="auto" w:fill="auto"/>
          </w:tcPr>
          <w:p w14:paraId="31ED5FC1" w14:textId="77777777" w:rsidR="005A6697" w:rsidRPr="00B55390" w:rsidRDefault="005A6697" w:rsidP="00D67622">
            <w:pPr>
              <w:pStyle w:val="PINormal"/>
            </w:pPr>
            <w:r w:rsidRPr="00B55390">
              <w:t>5</w:t>
            </w:r>
          </w:p>
        </w:tc>
        <w:tc>
          <w:tcPr>
            <w:tcW w:w="2015" w:type="dxa"/>
            <w:tcBorders>
              <w:top w:val="nil"/>
              <w:bottom w:val="single" w:sz="4" w:space="0" w:color="auto"/>
            </w:tcBorders>
            <w:shd w:val="clear" w:color="auto" w:fill="auto"/>
          </w:tcPr>
          <w:p w14:paraId="7A7F3325" w14:textId="77777777" w:rsidR="005A6697" w:rsidRPr="00B55390" w:rsidRDefault="005A6697" w:rsidP="00D67622">
            <w:pPr>
              <w:pStyle w:val="PINormal"/>
            </w:pPr>
            <w:r w:rsidRPr="00B55390">
              <w:t>1</w:t>
            </w:r>
          </w:p>
        </w:tc>
      </w:tr>
      <w:tr w:rsidR="005A6697" w:rsidRPr="00B55390" w14:paraId="6DF25B5D" w14:textId="77777777" w:rsidTr="0027767B">
        <w:tc>
          <w:tcPr>
            <w:tcW w:w="4846" w:type="dxa"/>
            <w:tcBorders>
              <w:bottom w:val="nil"/>
            </w:tcBorders>
            <w:shd w:val="clear" w:color="auto" w:fill="auto"/>
          </w:tcPr>
          <w:p w14:paraId="54A29A58" w14:textId="77777777" w:rsidR="005A6697" w:rsidRPr="00B55390" w:rsidRDefault="005A6697" w:rsidP="00D67622">
            <w:pPr>
              <w:pStyle w:val="PINormal"/>
            </w:pPr>
            <w:r w:rsidRPr="00B55390">
              <w:t>Investigations</w:t>
            </w:r>
          </w:p>
        </w:tc>
        <w:tc>
          <w:tcPr>
            <w:tcW w:w="2070" w:type="dxa"/>
            <w:tcBorders>
              <w:bottom w:val="nil"/>
            </w:tcBorders>
            <w:shd w:val="clear" w:color="auto" w:fill="auto"/>
          </w:tcPr>
          <w:p w14:paraId="7D07FD4E" w14:textId="77777777" w:rsidR="005A6697" w:rsidRPr="00B55390" w:rsidRDefault="005A6697" w:rsidP="00D67622">
            <w:pPr>
              <w:pStyle w:val="PINormal"/>
            </w:pPr>
          </w:p>
        </w:tc>
        <w:tc>
          <w:tcPr>
            <w:tcW w:w="2015" w:type="dxa"/>
            <w:tcBorders>
              <w:bottom w:val="nil"/>
            </w:tcBorders>
            <w:shd w:val="clear" w:color="auto" w:fill="auto"/>
          </w:tcPr>
          <w:p w14:paraId="368D8349" w14:textId="77777777" w:rsidR="005A6697" w:rsidRPr="00B55390" w:rsidRDefault="005A6697" w:rsidP="00D67622">
            <w:pPr>
              <w:pStyle w:val="PINormal"/>
            </w:pPr>
          </w:p>
        </w:tc>
      </w:tr>
      <w:tr w:rsidR="005A6697" w:rsidRPr="00B55390" w14:paraId="2C2B5512" w14:textId="77777777" w:rsidTr="0027767B">
        <w:tc>
          <w:tcPr>
            <w:tcW w:w="4846" w:type="dxa"/>
            <w:tcBorders>
              <w:top w:val="nil"/>
              <w:bottom w:val="nil"/>
            </w:tcBorders>
            <w:shd w:val="clear" w:color="auto" w:fill="auto"/>
          </w:tcPr>
          <w:p w14:paraId="05A7E272" w14:textId="77777777" w:rsidR="005A6697" w:rsidRPr="00B55390" w:rsidRDefault="005A6697" w:rsidP="00D67622">
            <w:pPr>
              <w:pStyle w:val="PINormal"/>
            </w:pPr>
            <w:r w:rsidRPr="00B55390">
              <w:t xml:space="preserve">   Albumin urine present</w:t>
            </w:r>
          </w:p>
        </w:tc>
        <w:tc>
          <w:tcPr>
            <w:tcW w:w="2070" w:type="dxa"/>
            <w:tcBorders>
              <w:top w:val="nil"/>
              <w:bottom w:val="nil"/>
            </w:tcBorders>
            <w:shd w:val="clear" w:color="auto" w:fill="auto"/>
          </w:tcPr>
          <w:p w14:paraId="14A6D302" w14:textId="77777777" w:rsidR="005A6697" w:rsidRPr="00B55390" w:rsidRDefault="005A6697" w:rsidP="00D67622">
            <w:pPr>
              <w:pStyle w:val="PINormal"/>
            </w:pPr>
            <w:r w:rsidRPr="00B55390">
              <w:t>6</w:t>
            </w:r>
          </w:p>
        </w:tc>
        <w:tc>
          <w:tcPr>
            <w:tcW w:w="2015" w:type="dxa"/>
            <w:tcBorders>
              <w:top w:val="nil"/>
              <w:bottom w:val="nil"/>
            </w:tcBorders>
            <w:shd w:val="clear" w:color="auto" w:fill="auto"/>
          </w:tcPr>
          <w:p w14:paraId="5EF9B1EA" w14:textId="77777777" w:rsidR="005A6697" w:rsidRPr="00B55390" w:rsidRDefault="005A6697" w:rsidP="00D67622">
            <w:pPr>
              <w:pStyle w:val="PINormal"/>
            </w:pPr>
            <w:r w:rsidRPr="00B55390">
              <w:t>4</w:t>
            </w:r>
          </w:p>
        </w:tc>
      </w:tr>
      <w:tr w:rsidR="005A6697" w:rsidRPr="00B55390" w14:paraId="6BBD4FC4" w14:textId="77777777" w:rsidTr="0027767B">
        <w:tc>
          <w:tcPr>
            <w:tcW w:w="4846" w:type="dxa"/>
            <w:tcBorders>
              <w:top w:val="nil"/>
            </w:tcBorders>
            <w:shd w:val="clear" w:color="auto" w:fill="auto"/>
          </w:tcPr>
          <w:p w14:paraId="156B5F12" w14:textId="77777777" w:rsidR="005A6697" w:rsidRPr="00B55390" w:rsidRDefault="005A6697" w:rsidP="00D67622">
            <w:pPr>
              <w:pStyle w:val="PINormal"/>
            </w:pPr>
            <w:r w:rsidRPr="00B55390">
              <w:t xml:space="preserve">   Aspartate aminotransferase increased</w:t>
            </w:r>
          </w:p>
        </w:tc>
        <w:tc>
          <w:tcPr>
            <w:tcW w:w="2070" w:type="dxa"/>
            <w:tcBorders>
              <w:top w:val="nil"/>
            </w:tcBorders>
            <w:shd w:val="clear" w:color="auto" w:fill="auto"/>
          </w:tcPr>
          <w:p w14:paraId="532AEC9C" w14:textId="77777777" w:rsidR="005A6697" w:rsidRPr="00B55390" w:rsidRDefault="005A6697" w:rsidP="00D67622">
            <w:pPr>
              <w:pStyle w:val="PINormal"/>
            </w:pPr>
            <w:r w:rsidRPr="00B55390">
              <w:t>4</w:t>
            </w:r>
          </w:p>
        </w:tc>
        <w:tc>
          <w:tcPr>
            <w:tcW w:w="2015" w:type="dxa"/>
            <w:tcBorders>
              <w:top w:val="nil"/>
            </w:tcBorders>
            <w:shd w:val="clear" w:color="auto" w:fill="auto"/>
          </w:tcPr>
          <w:p w14:paraId="30C409EB" w14:textId="77777777" w:rsidR="005A6697" w:rsidRPr="00B55390" w:rsidRDefault="005A6697" w:rsidP="00D67622">
            <w:pPr>
              <w:pStyle w:val="PINormal"/>
            </w:pPr>
            <w:r w:rsidRPr="00B55390">
              <w:t>2</w:t>
            </w:r>
          </w:p>
        </w:tc>
      </w:tr>
    </w:tbl>
    <w:p w14:paraId="58A9F269" w14:textId="77777777" w:rsidR="005A6697" w:rsidRPr="00B55390" w:rsidRDefault="005A6697" w:rsidP="00D67622">
      <w:pPr>
        <w:pStyle w:val="PINormal"/>
      </w:pPr>
      <w:bookmarkStart w:id="8" w:name="gd414b445-7fe1-45ba-9899-223d4c95d88d"/>
      <w:bookmarkStart w:id="9" w:name="g2ad3ea06-9a18-4f2b-b5de-356dba86c3d5"/>
      <w:bookmarkEnd w:id="8"/>
      <w:bookmarkEnd w:id="9"/>
    </w:p>
    <w:p w14:paraId="0AC588AE" w14:textId="77777777" w:rsidR="005A6697" w:rsidRPr="00B55390" w:rsidRDefault="005A6697" w:rsidP="00D67622">
      <w:pPr>
        <w:pStyle w:val="PINormal"/>
      </w:pPr>
      <w:r w:rsidRPr="00B55390">
        <w:t xml:space="preserve">Other relevant ADRs (&lt;2% difference) </w:t>
      </w:r>
      <w:proofErr w:type="gramStart"/>
      <w:r w:rsidRPr="00B55390">
        <w:t>include:</w:t>
      </w:r>
      <w:proofErr w:type="gramEnd"/>
      <w:r w:rsidRPr="00B55390">
        <w:t xml:space="preserve"> gastroenteritis, gastritis, gastrointestinal disorder, burning sensation, feeling hot, alanine aminotransferase increased, proteinuria, white blood cell count decreased and leucopenia. </w:t>
      </w:r>
    </w:p>
    <w:p w14:paraId="5784BAF0" w14:textId="4C8C882F" w:rsidR="005A6697" w:rsidRPr="00B55390" w:rsidRDefault="005A6697" w:rsidP="00D67622">
      <w:pPr>
        <w:pStyle w:val="PINormal"/>
      </w:pPr>
    </w:p>
    <w:p w14:paraId="398D2CD5" w14:textId="21DC5640" w:rsidR="004A1AAE" w:rsidRPr="00B55390" w:rsidRDefault="004A1AAE" w:rsidP="00D67622">
      <w:r w:rsidRPr="00B55390">
        <w:t xml:space="preserve">In EVOLVE-MS-1, the ongoing Phase 3, open-label study of VUMERITY, as of the February 2020 data cut, 1057 subjects had received at least 1 dose of VUMERITY, and 819 subjects had &gt; 12 months of exposure. Data from the ongoing study showed drug-related adverse reactions were </w:t>
      </w:r>
      <w:proofErr w:type="gramStart"/>
      <w:r w:rsidRPr="00B55390">
        <w:t>similar to</w:t>
      </w:r>
      <w:proofErr w:type="gramEnd"/>
      <w:r w:rsidRPr="00B55390">
        <w:t xml:space="preserve"> those seen in </w:t>
      </w:r>
      <w:r w:rsidR="009C0E56" w:rsidRPr="00B55390">
        <w:t xml:space="preserve">TECFIDERA. </w:t>
      </w:r>
      <w:r w:rsidRPr="00B55390">
        <w:t>The most common adverse reaction from this study (&gt; 10%) was flushing (26.9%). No other adverse reactions occurred in &gt; 10% of patients. Additionally, HES, an inactive metabolite of VUMERITY that is renally excreted did not appear to have any clinically relevant impact on the safety profile of VUMERITY.</w:t>
      </w:r>
    </w:p>
    <w:p w14:paraId="77FDC782" w14:textId="77777777" w:rsidR="004A1AAE" w:rsidRPr="00B55390" w:rsidRDefault="004A1AAE" w:rsidP="00D67622"/>
    <w:p w14:paraId="5DDBC827" w14:textId="0BB7B400" w:rsidR="004A1AAE" w:rsidRPr="00B55390" w:rsidRDefault="004A1AAE" w:rsidP="00D67622">
      <w:r w:rsidRPr="00B55390">
        <w:t>In EVOLVE-MS-2, a total of 506 patients were randomi</w:t>
      </w:r>
      <w:r w:rsidR="00D707D9" w:rsidRPr="00B55390">
        <w:t>s</w:t>
      </w:r>
      <w:r w:rsidRPr="00B55390">
        <w:t xml:space="preserve">ed; 504 were dosed with at least 1 dose of study drug and included in the safety population: VUMERITY (N=253) or </w:t>
      </w:r>
      <w:r w:rsidR="009C0E56" w:rsidRPr="00B55390">
        <w:t>TECFIDERA</w:t>
      </w:r>
      <w:r w:rsidRPr="00B55390">
        <w:t xml:space="preserve"> (N=251). VUMERITY met the primary endpoint demonstrating a significant reduction</w:t>
      </w:r>
      <w:r w:rsidRPr="00B55390" w:rsidDel="00CE59AE">
        <w:t xml:space="preserve"> </w:t>
      </w:r>
      <w:r w:rsidRPr="00B55390" w:rsidDel="00A47EB5">
        <w:t>in</w:t>
      </w:r>
      <w:r w:rsidRPr="00B55390">
        <w:t xml:space="preserve"> the number of days with an Individual Gastrointestinal Symptom and Impact Scale (IGISIS, a patient self-assessment tool for GI symptom severity and impact) score of ≥ 2 relative to exposure (adjusted rate ratio [95% confidence interval, CI]) of 0.54 ([0.39 – 0.75], p=0.0003), representing a 46% reduction with VUMERITY compared to </w:t>
      </w:r>
      <w:r w:rsidR="009C0E56" w:rsidRPr="00B55390">
        <w:t>TECFIDERA</w:t>
      </w:r>
      <w:r w:rsidRPr="00B55390">
        <w:t xml:space="preserve">. In this study, overall adverse events were 34.8% and 49%, respectively. Treatment discontinuations were 1.6% and 6%, respectively, and the differences in these numbers were driven by discontinuations for GI tolerability reasons (0.8% and 4.8%, respectively). Treatment-related adverse events of ≥ 5% for VUMERITY or </w:t>
      </w:r>
      <w:r w:rsidR="009C0E56" w:rsidRPr="00B55390">
        <w:t>TECFIDERA</w:t>
      </w:r>
      <w:r w:rsidRPr="00B55390">
        <w:t>, respectively, that demonstrated a numerical difference between the 2 groups of &gt;2% were flushing (32.8% versus 40.2%), diarrh</w:t>
      </w:r>
      <w:r w:rsidR="002F4BC8" w:rsidRPr="00B55390">
        <w:t>o</w:t>
      </w:r>
      <w:r w:rsidRPr="00B55390">
        <w:t xml:space="preserve">ea (13.8% versus 18.7%), nausea (13.4% versus 17.9%), upper abdominal pain (6.3% </w:t>
      </w:r>
      <w:r w:rsidRPr="00B55390">
        <w:lastRenderedPageBreak/>
        <w:t>versus 13.9%), abdominal pain (5.5% versus 9.6%), vomiting (3.2% versus 7.6%) (see Table 3).</w:t>
      </w:r>
    </w:p>
    <w:p w14:paraId="539A58CF" w14:textId="77777777" w:rsidR="004A1AAE" w:rsidRPr="00B55390" w:rsidRDefault="004A1AAE" w:rsidP="00D67622"/>
    <w:p w14:paraId="25A747AA" w14:textId="5349FC6B" w:rsidR="004A1AAE" w:rsidRPr="00B55390" w:rsidRDefault="370C0111" w:rsidP="00D67622">
      <w:bookmarkStart w:id="10" w:name="_Hlk22897092"/>
      <w:r w:rsidRPr="00B55390">
        <w:t>Table 3:</w:t>
      </w:r>
      <w:r w:rsidR="004A1AAE" w:rsidRPr="00B55390">
        <w:tab/>
      </w:r>
      <w:bookmarkEnd w:id="10"/>
      <w:r w:rsidRPr="00B55390">
        <w:t xml:space="preserve">Adverse Reactions Reported for VUMERITY and </w:t>
      </w:r>
      <w:r w:rsidR="5D749FF9" w:rsidRPr="00B55390">
        <w:t>TECFIDERA</w:t>
      </w:r>
      <w:r w:rsidRPr="00B55390">
        <w:t xml:space="preserve"> in 5</w:t>
      </w:r>
      <w:r w:rsidR="01668C7F" w:rsidRPr="00B55390">
        <w:t xml:space="preserve"> </w:t>
      </w:r>
      <w:r w:rsidRPr="00B55390">
        <w:t>week EVOLVE-MS-2 Study</w:t>
      </w:r>
    </w:p>
    <w:tbl>
      <w:tblPr>
        <w:tblW w:w="9040" w:type="dxa"/>
        <w:tblLook w:val="04A0" w:firstRow="1" w:lastRow="0" w:firstColumn="1" w:lastColumn="0" w:noHBand="0" w:noVBand="1"/>
      </w:tblPr>
      <w:tblGrid>
        <w:gridCol w:w="4760"/>
        <w:gridCol w:w="2140"/>
        <w:gridCol w:w="2140"/>
      </w:tblGrid>
      <w:tr w:rsidR="004A1AAE" w:rsidRPr="00B55390" w14:paraId="18297E0B" w14:textId="77777777" w:rsidTr="00D53C51">
        <w:trPr>
          <w:trHeight w:val="312"/>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750A39" w14:textId="77777777" w:rsidR="004A1AAE" w:rsidRPr="00B55390" w:rsidRDefault="004A1AAE" w:rsidP="00D67622">
            <w:r w:rsidRPr="00B55390">
              <w:t>MedDRA</w:t>
            </w:r>
          </w:p>
        </w:tc>
        <w:tc>
          <w:tcPr>
            <w:tcW w:w="4280" w:type="dxa"/>
            <w:gridSpan w:val="2"/>
            <w:tcBorders>
              <w:top w:val="single" w:sz="4" w:space="0" w:color="auto"/>
              <w:left w:val="nil"/>
              <w:bottom w:val="single" w:sz="4" w:space="0" w:color="auto"/>
              <w:right w:val="single" w:sz="4" w:space="0" w:color="000000" w:themeColor="text1"/>
            </w:tcBorders>
            <w:shd w:val="clear" w:color="auto" w:fill="auto"/>
            <w:vAlign w:val="center"/>
            <w:hideMark/>
          </w:tcPr>
          <w:p w14:paraId="2E15DF6F" w14:textId="77777777" w:rsidR="004A1AAE" w:rsidRPr="00B55390" w:rsidRDefault="004A1AAE" w:rsidP="00D67622">
            <w:pPr>
              <w:jc w:val="center"/>
            </w:pPr>
            <w:r w:rsidRPr="00B55390">
              <w:t>Frequency</w:t>
            </w:r>
          </w:p>
        </w:tc>
      </w:tr>
      <w:tr w:rsidR="004A1AAE" w:rsidRPr="00B55390" w14:paraId="13326774" w14:textId="77777777" w:rsidTr="00D53C51">
        <w:trPr>
          <w:trHeight w:val="936"/>
        </w:trPr>
        <w:tc>
          <w:tcPr>
            <w:tcW w:w="4760" w:type="dxa"/>
            <w:tcBorders>
              <w:top w:val="nil"/>
              <w:left w:val="single" w:sz="4" w:space="0" w:color="auto"/>
              <w:bottom w:val="single" w:sz="4" w:space="0" w:color="auto"/>
              <w:right w:val="single" w:sz="4" w:space="0" w:color="auto"/>
            </w:tcBorders>
            <w:shd w:val="clear" w:color="auto" w:fill="auto"/>
            <w:vAlign w:val="center"/>
            <w:hideMark/>
          </w:tcPr>
          <w:p w14:paraId="0AD521E0" w14:textId="77777777" w:rsidR="004A1AAE" w:rsidRPr="00B55390" w:rsidRDefault="004A1AAE" w:rsidP="00D67622">
            <w:r w:rsidRPr="00B55390">
              <w:t>System Organ Class</w:t>
            </w:r>
          </w:p>
        </w:tc>
        <w:tc>
          <w:tcPr>
            <w:tcW w:w="2140" w:type="dxa"/>
            <w:tcBorders>
              <w:top w:val="nil"/>
              <w:left w:val="nil"/>
              <w:bottom w:val="single" w:sz="4" w:space="0" w:color="auto"/>
              <w:right w:val="single" w:sz="4" w:space="0" w:color="auto"/>
            </w:tcBorders>
            <w:shd w:val="clear" w:color="auto" w:fill="auto"/>
            <w:vAlign w:val="center"/>
            <w:hideMark/>
          </w:tcPr>
          <w:p w14:paraId="2D81327E" w14:textId="77777777" w:rsidR="004A1AAE" w:rsidRPr="00B55390" w:rsidRDefault="004A1AAE" w:rsidP="00D67622">
            <w:pPr>
              <w:jc w:val="center"/>
            </w:pPr>
            <w:r w:rsidRPr="00B55390">
              <w:t>VUMERITY</w:t>
            </w:r>
            <w:r w:rsidRPr="00B55390">
              <w:br/>
              <w:t>N=253</w:t>
            </w:r>
            <w:r w:rsidRPr="00B55390">
              <w:br/>
              <w:t>%</w:t>
            </w:r>
          </w:p>
        </w:tc>
        <w:tc>
          <w:tcPr>
            <w:tcW w:w="2140" w:type="dxa"/>
            <w:tcBorders>
              <w:top w:val="nil"/>
              <w:left w:val="nil"/>
              <w:bottom w:val="single" w:sz="4" w:space="0" w:color="auto"/>
              <w:right w:val="single" w:sz="4" w:space="0" w:color="auto"/>
            </w:tcBorders>
            <w:shd w:val="clear" w:color="auto" w:fill="auto"/>
            <w:vAlign w:val="center"/>
            <w:hideMark/>
          </w:tcPr>
          <w:p w14:paraId="507AD461" w14:textId="409AB8B1" w:rsidR="004A1AAE" w:rsidRPr="00B55390" w:rsidRDefault="00903C8B" w:rsidP="00D67622">
            <w:pPr>
              <w:jc w:val="center"/>
            </w:pPr>
            <w:r w:rsidRPr="00B55390">
              <w:t>TECFIDERA</w:t>
            </w:r>
            <w:r w:rsidR="004A1AAE" w:rsidRPr="00B55390">
              <w:br/>
              <w:t>N=251</w:t>
            </w:r>
            <w:r w:rsidR="004A1AAE" w:rsidRPr="00B55390">
              <w:br/>
              <w:t>%</w:t>
            </w:r>
          </w:p>
        </w:tc>
      </w:tr>
      <w:tr w:rsidR="004A1AAE" w:rsidRPr="00B55390" w14:paraId="0197B6E0" w14:textId="77777777" w:rsidTr="00D53C51">
        <w:trPr>
          <w:trHeight w:val="312"/>
        </w:trPr>
        <w:tc>
          <w:tcPr>
            <w:tcW w:w="4760" w:type="dxa"/>
            <w:tcBorders>
              <w:top w:val="nil"/>
              <w:left w:val="single" w:sz="4" w:space="0" w:color="auto"/>
              <w:bottom w:val="single" w:sz="4" w:space="0" w:color="auto"/>
              <w:right w:val="single" w:sz="4" w:space="0" w:color="auto"/>
            </w:tcBorders>
            <w:shd w:val="clear" w:color="auto" w:fill="auto"/>
            <w:vAlign w:val="center"/>
            <w:hideMark/>
          </w:tcPr>
          <w:p w14:paraId="0FB79B4B" w14:textId="77777777" w:rsidR="004A1AAE" w:rsidRPr="00B55390" w:rsidRDefault="004A1AAE" w:rsidP="00D67622">
            <w:r w:rsidRPr="00B55390">
              <w:t>Vascular Disorders</w:t>
            </w:r>
          </w:p>
        </w:tc>
        <w:tc>
          <w:tcPr>
            <w:tcW w:w="2140" w:type="dxa"/>
            <w:tcBorders>
              <w:top w:val="nil"/>
              <w:left w:val="nil"/>
              <w:bottom w:val="single" w:sz="4" w:space="0" w:color="auto"/>
              <w:right w:val="single" w:sz="4" w:space="0" w:color="auto"/>
            </w:tcBorders>
            <w:shd w:val="clear" w:color="auto" w:fill="auto"/>
            <w:vAlign w:val="center"/>
            <w:hideMark/>
          </w:tcPr>
          <w:p w14:paraId="11CD5109" w14:textId="3275CDF2" w:rsidR="004A1AAE" w:rsidRPr="00B55390" w:rsidRDefault="004A1AAE" w:rsidP="00D67622">
            <w:pPr>
              <w:jc w:val="center"/>
            </w:pPr>
          </w:p>
        </w:tc>
        <w:tc>
          <w:tcPr>
            <w:tcW w:w="2140" w:type="dxa"/>
            <w:tcBorders>
              <w:top w:val="nil"/>
              <w:left w:val="nil"/>
              <w:bottom w:val="single" w:sz="4" w:space="0" w:color="auto"/>
              <w:right w:val="single" w:sz="4" w:space="0" w:color="auto"/>
            </w:tcBorders>
            <w:shd w:val="clear" w:color="auto" w:fill="auto"/>
            <w:vAlign w:val="center"/>
            <w:hideMark/>
          </w:tcPr>
          <w:p w14:paraId="0CAA7002" w14:textId="6C6A7CC0" w:rsidR="004A1AAE" w:rsidRPr="00B55390" w:rsidRDefault="004A1AAE" w:rsidP="00D67622">
            <w:pPr>
              <w:jc w:val="center"/>
            </w:pPr>
          </w:p>
        </w:tc>
      </w:tr>
      <w:tr w:rsidR="004A1AAE" w:rsidRPr="00B55390" w14:paraId="4534312D" w14:textId="77777777" w:rsidTr="00D53C51">
        <w:trPr>
          <w:trHeight w:val="312"/>
        </w:trPr>
        <w:tc>
          <w:tcPr>
            <w:tcW w:w="4760" w:type="dxa"/>
            <w:tcBorders>
              <w:top w:val="nil"/>
              <w:left w:val="single" w:sz="4" w:space="0" w:color="auto"/>
              <w:bottom w:val="single" w:sz="4" w:space="0" w:color="auto"/>
              <w:right w:val="single" w:sz="4" w:space="0" w:color="auto"/>
            </w:tcBorders>
            <w:shd w:val="clear" w:color="auto" w:fill="auto"/>
            <w:vAlign w:val="center"/>
            <w:hideMark/>
          </w:tcPr>
          <w:p w14:paraId="344F610E" w14:textId="77777777" w:rsidR="004A1AAE" w:rsidRPr="00B55390" w:rsidRDefault="004A1AAE" w:rsidP="00D67622">
            <w:r w:rsidRPr="00B55390">
              <w:t xml:space="preserve">    Flushing</w:t>
            </w:r>
          </w:p>
        </w:tc>
        <w:tc>
          <w:tcPr>
            <w:tcW w:w="2140" w:type="dxa"/>
            <w:tcBorders>
              <w:top w:val="nil"/>
              <w:left w:val="nil"/>
              <w:bottom w:val="single" w:sz="4" w:space="0" w:color="auto"/>
              <w:right w:val="single" w:sz="4" w:space="0" w:color="auto"/>
            </w:tcBorders>
            <w:shd w:val="clear" w:color="auto" w:fill="auto"/>
            <w:vAlign w:val="center"/>
            <w:hideMark/>
          </w:tcPr>
          <w:p w14:paraId="644B19F8" w14:textId="77777777" w:rsidR="004A1AAE" w:rsidRPr="00B55390" w:rsidRDefault="004A1AAE" w:rsidP="00D67622">
            <w:pPr>
              <w:jc w:val="center"/>
            </w:pPr>
            <w:r w:rsidRPr="00B55390">
              <w:t>32.8</w:t>
            </w:r>
          </w:p>
        </w:tc>
        <w:tc>
          <w:tcPr>
            <w:tcW w:w="2140" w:type="dxa"/>
            <w:tcBorders>
              <w:top w:val="nil"/>
              <w:left w:val="nil"/>
              <w:bottom w:val="single" w:sz="4" w:space="0" w:color="auto"/>
              <w:right w:val="single" w:sz="4" w:space="0" w:color="auto"/>
            </w:tcBorders>
            <w:shd w:val="clear" w:color="auto" w:fill="auto"/>
            <w:vAlign w:val="center"/>
            <w:hideMark/>
          </w:tcPr>
          <w:p w14:paraId="30303A2A" w14:textId="77777777" w:rsidR="004A1AAE" w:rsidRPr="00B55390" w:rsidRDefault="004A1AAE" w:rsidP="00D67622">
            <w:pPr>
              <w:jc w:val="center"/>
            </w:pPr>
            <w:r w:rsidRPr="00B55390">
              <w:t>40.2</w:t>
            </w:r>
          </w:p>
        </w:tc>
      </w:tr>
      <w:tr w:rsidR="004A1AAE" w:rsidRPr="00B55390" w14:paraId="5E23A2B2" w14:textId="77777777" w:rsidTr="00D53C51">
        <w:trPr>
          <w:trHeight w:val="312"/>
        </w:trPr>
        <w:tc>
          <w:tcPr>
            <w:tcW w:w="4760" w:type="dxa"/>
            <w:tcBorders>
              <w:top w:val="nil"/>
              <w:left w:val="single" w:sz="4" w:space="0" w:color="auto"/>
              <w:bottom w:val="single" w:sz="4" w:space="0" w:color="auto"/>
              <w:right w:val="single" w:sz="4" w:space="0" w:color="auto"/>
            </w:tcBorders>
            <w:shd w:val="clear" w:color="auto" w:fill="auto"/>
            <w:vAlign w:val="center"/>
            <w:hideMark/>
          </w:tcPr>
          <w:p w14:paraId="7E4F75F8" w14:textId="77777777" w:rsidR="004A1AAE" w:rsidRPr="00B55390" w:rsidRDefault="004A1AAE" w:rsidP="00D67622">
            <w:r w:rsidRPr="00B55390">
              <w:t>Gastrointestinal Disorders</w:t>
            </w:r>
          </w:p>
        </w:tc>
        <w:tc>
          <w:tcPr>
            <w:tcW w:w="2140" w:type="dxa"/>
            <w:tcBorders>
              <w:top w:val="nil"/>
              <w:left w:val="nil"/>
              <w:bottom w:val="single" w:sz="4" w:space="0" w:color="auto"/>
              <w:right w:val="single" w:sz="4" w:space="0" w:color="auto"/>
            </w:tcBorders>
            <w:shd w:val="clear" w:color="auto" w:fill="auto"/>
            <w:vAlign w:val="center"/>
            <w:hideMark/>
          </w:tcPr>
          <w:p w14:paraId="496D9724" w14:textId="4C40C8A9" w:rsidR="004A1AAE" w:rsidRPr="00B55390" w:rsidRDefault="004A1AAE" w:rsidP="00D67622">
            <w:pPr>
              <w:jc w:val="center"/>
            </w:pPr>
          </w:p>
        </w:tc>
        <w:tc>
          <w:tcPr>
            <w:tcW w:w="2140" w:type="dxa"/>
            <w:tcBorders>
              <w:top w:val="nil"/>
              <w:left w:val="nil"/>
              <w:bottom w:val="single" w:sz="4" w:space="0" w:color="auto"/>
              <w:right w:val="single" w:sz="4" w:space="0" w:color="auto"/>
            </w:tcBorders>
            <w:shd w:val="clear" w:color="auto" w:fill="auto"/>
            <w:vAlign w:val="center"/>
            <w:hideMark/>
          </w:tcPr>
          <w:p w14:paraId="0C4C1739" w14:textId="6C5EDF6C" w:rsidR="004A1AAE" w:rsidRPr="00B55390" w:rsidRDefault="004A1AAE" w:rsidP="00D67622">
            <w:pPr>
              <w:jc w:val="center"/>
            </w:pPr>
          </w:p>
        </w:tc>
      </w:tr>
      <w:tr w:rsidR="004A1AAE" w:rsidRPr="00B55390" w14:paraId="3D311F02" w14:textId="77777777" w:rsidTr="00D53C51">
        <w:trPr>
          <w:trHeight w:val="312"/>
        </w:trPr>
        <w:tc>
          <w:tcPr>
            <w:tcW w:w="4760" w:type="dxa"/>
            <w:tcBorders>
              <w:top w:val="nil"/>
              <w:left w:val="single" w:sz="4" w:space="0" w:color="auto"/>
              <w:bottom w:val="single" w:sz="4" w:space="0" w:color="auto"/>
              <w:right w:val="single" w:sz="4" w:space="0" w:color="auto"/>
            </w:tcBorders>
            <w:shd w:val="clear" w:color="auto" w:fill="auto"/>
            <w:vAlign w:val="center"/>
            <w:hideMark/>
          </w:tcPr>
          <w:p w14:paraId="18258153" w14:textId="5CCACB0F" w:rsidR="004A1AAE" w:rsidRPr="00B55390" w:rsidRDefault="004A1AAE" w:rsidP="00D67622">
            <w:r w:rsidRPr="00B55390">
              <w:t xml:space="preserve">    Diarrh</w:t>
            </w:r>
            <w:r w:rsidR="0008146B" w:rsidRPr="00B55390">
              <w:t>o</w:t>
            </w:r>
            <w:r w:rsidRPr="00B55390">
              <w:t>ea</w:t>
            </w:r>
          </w:p>
        </w:tc>
        <w:tc>
          <w:tcPr>
            <w:tcW w:w="2140" w:type="dxa"/>
            <w:tcBorders>
              <w:top w:val="nil"/>
              <w:left w:val="nil"/>
              <w:bottom w:val="single" w:sz="4" w:space="0" w:color="auto"/>
              <w:right w:val="single" w:sz="4" w:space="0" w:color="auto"/>
            </w:tcBorders>
            <w:shd w:val="clear" w:color="auto" w:fill="auto"/>
            <w:vAlign w:val="center"/>
            <w:hideMark/>
          </w:tcPr>
          <w:p w14:paraId="71DF0DE3" w14:textId="77777777" w:rsidR="004A1AAE" w:rsidRPr="00B55390" w:rsidRDefault="004A1AAE" w:rsidP="00D67622">
            <w:pPr>
              <w:jc w:val="center"/>
            </w:pPr>
            <w:r w:rsidRPr="00B55390">
              <w:t>13.8</w:t>
            </w:r>
          </w:p>
        </w:tc>
        <w:tc>
          <w:tcPr>
            <w:tcW w:w="2140" w:type="dxa"/>
            <w:tcBorders>
              <w:top w:val="nil"/>
              <w:left w:val="nil"/>
              <w:bottom w:val="single" w:sz="4" w:space="0" w:color="auto"/>
              <w:right w:val="single" w:sz="4" w:space="0" w:color="auto"/>
            </w:tcBorders>
            <w:shd w:val="clear" w:color="auto" w:fill="auto"/>
            <w:vAlign w:val="center"/>
            <w:hideMark/>
          </w:tcPr>
          <w:p w14:paraId="1524BB46" w14:textId="77777777" w:rsidR="004A1AAE" w:rsidRPr="00B55390" w:rsidRDefault="004A1AAE" w:rsidP="00D67622">
            <w:pPr>
              <w:jc w:val="center"/>
            </w:pPr>
            <w:r w:rsidRPr="00B55390">
              <w:t>18.7</w:t>
            </w:r>
          </w:p>
        </w:tc>
      </w:tr>
      <w:tr w:rsidR="004A1AAE" w:rsidRPr="00B55390" w14:paraId="3ABB9AAD" w14:textId="77777777" w:rsidTr="00D53C51">
        <w:trPr>
          <w:trHeight w:val="312"/>
        </w:trPr>
        <w:tc>
          <w:tcPr>
            <w:tcW w:w="4760" w:type="dxa"/>
            <w:tcBorders>
              <w:top w:val="nil"/>
              <w:left w:val="single" w:sz="4" w:space="0" w:color="auto"/>
              <w:bottom w:val="single" w:sz="4" w:space="0" w:color="auto"/>
              <w:right w:val="single" w:sz="4" w:space="0" w:color="auto"/>
            </w:tcBorders>
            <w:shd w:val="clear" w:color="auto" w:fill="auto"/>
            <w:vAlign w:val="center"/>
            <w:hideMark/>
          </w:tcPr>
          <w:p w14:paraId="207F5A82" w14:textId="77777777" w:rsidR="004A1AAE" w:rsidRPr="00B55390" w:rsidRDefault="004A1AAE" w:rsidP="00D67622">
            <w:r w:rsidRPr="00B55390">
              <w:softHyphen/>
              <w:t xml:space="preserve">    Nausea</w:t>
            </w:r>
          </w:p>
        </w:tc>
        <w:tc>
          <w:tcPr>
            <w:tcW w:w="2140" w:type="dxa"/>
            <w:tcBorders>
              <w:top w:val="nil"/>
              <w:left w:val="nil"/>
              <w:bottom w:val="single" w:sz="4" w:space="0" w:color="auto"/>
              <w:right w:val="single" w:sz="4" w:space="0" w:color="auto"/>
            </w:tcBorders>
            <w:shd w:val="clear" w:color="auto" w:fill="auto"/>
            <w:vAlign w:val="center"/>
            <w:hideMark/>
          </w:tcPr>
          <w:p w14:paraId="50BFEB57" w14:textId="77777777" w:rsidR="004A1AAE" w:rsidRPr="00B55390" w:rsidRDefault="004A1AAE" w:rsidP="00D67622">
            <w:pPr>
              <w:jc w:val="center"/>
            </w:pPr>
            <w:r w:rsidRPr="00B55390">
              <w:t>13.4</w:t>
            </w:r>
          </w:p>
        </w:tc>
        <w:tc>
          <w:tcPr>
            <w:tcW w:w="2140" w:type="dxa"/>
            <w:tcBorders>
              <w:top w:val="nil"/>
              <w:left w:val="nil"/>
              <w:bottom w:val="single" w:sz="4" w:space="0" w:color="auto"/>
              <w:right w:val="single" w:sz="4" w:space="0" w:color="auto"/>
            </w:tcBorders>
            <w:shd w:val="clear" w:color="auto" w:fill="auto"/>
            <w:vAlign w:val="center"/>
            <w:hideMark/>
          </w:tcPr>
          <w:p w14:paraId="6DB458B2" w14:textId="77777777" w:rsidR="004A1AAE" w:rsidRPr="00B55390" w:rsidRDefault="004A1AAE" w:rsidP="00D67622">
            <w:pPr>
              <w:jc w:val="center"/>
            </w:pPr>
            <w:r w:rsidRPr="00B55390">
              <w:t>17.9</w:t>
            </w:r>
          </w:p>
        </w:tc>
      </w:tr>
      <w:tr w:rsidR="004A1AAE" w:rsidRPr="00B55390" w14:paraId="6B751FF5" w14:textId="77777777" w:rsidTr="00D53C51">
        <w:trPr>
          <w:trHeight w:val="312"/>
        </w:trPr>
        <w:tc>
          <w:tcPr>
            <w:tcW w:w="4760" w:type="dxa"/>
            <w:tcBorders>
              <w:top w:val="nil"/>
              <w:left w:val="single" w:sz="4" w:space="0" w:color="auto"/>
              <w:bottom w:val="single" w:sz="4" w:space="0" w:color="auto"/>
              <w:right w:val="single" w:sz="4" w:space="0" w:color="auto"/>
            </w:tcBorders>
            <w:shd w:val="clear" w:color="auto" w:fill="auto"/>
            <w:vAlign w:val="center"/>
            <w:hideMark/>
          </w:tcPr>
          <w:p w14:paraId="4A29BBFC" w14:textId="77777777" w:rsidR="004A1AAE" w:rsidRPr="00B55390" w:rsidRDefault="004A1AAE" w:rsidP="00D67622">
            <w:r w:rsidRPr="00B55390">
              <w:t xml:space="preserve">    Abdominal pain upper</w:t>
            </w:r>
          </w:p>
        </w:tc>
        <w:tc>
          <w:tcPr>
            <w:tcW w:w="2140" w:type="dxa"/>
            <w:tcBorders>
              <w:top w:val="nil"/>
              <w:left w:val="nil"/>
              <w:bottom w:val="single" w:sz="4" w:space="0" w:color="auto"/>
              <w:right w:val="single" w:sz="4" w:space="0" w:color="auto"/>
            </w:tcBorders>
            <w:shd w:val="clear" w:color="auto" w:fill="auto"/>
            <w:vAlign w:val="center"/>
            <w:hideMark/>
          </w:tcPr>
          <w:p w14:paraId="3E1D83EB" w14:textId="77777777" w:rsidR="004A1AAE" w:rsidRPr="00B55390" w:rsidRDefault="004A1AAE" w:rsidP="00D67622">
            <w:pPr>
              <w:jc w:val="center"/>
            </w:pPr>
            <w:r w:rsidRPr="00B55390">
              <w:t>6.3</w:t>
            </w:r>
          </w:p>
        </w:tc>
        <w:tc>
          <w:tcPr>
            <w:tcW w:w="2140" w:type="dxa"/>
            <w:tcBorders>
              <w:top w:val="nil"/>
              <w:left w:val="nil"/>
              <w:bottom w:val="single" w:sz="4" w:space="0" w:color="auto"/>
              <w:right w:val="single" w:sz="4" w:space="0" w:color="auto"/>
            </w:tcBorders>
            <w:shd w:val="clear" w:color="auto" w:fill="auto"/>
            <w:vAlign w:val="center"/>
            <w:hideMark/>
          </w:tcPr>
          <w:p w14:paraId="0D5AB241" w14:textId="77777777" w:rsidR="004A1AAE" w:rsidRPr="00B55390" w:rsidRDefault="004A1AAE" w:rsidP="00D67622">
            <w:pPr>
              <w:jc w:val="center"/>
            </w:pPr>
            <w:r w:rsidRPr="00B55390">
              <w:t>13.9</w:t>
            </w:r>
          </w:p>
        </w:tc>
      </w:tr>
      <w:tr w:rsidR="004A1AAE" w:rsidRPr="00B55390" w14:paraId="2C52C65A" w14:textId="77777777" w:rsidTr="00D53C51">
        <w:trPr>
          <w:trHeight w:val="312"/>
        </w:trPr>
        <w:tc>
          <w:tcPr>
            <w:tcW w:w="4760" w:type="dxa"/>
            <w:tcBorders>
              <w:top w:val="nil"/>
              <w:left w:val="single" w:sz="4" w:space="0" w:color="auto"/>
              <w:bottom w:val="single" w:sz="4" w:space="0" w:color="auto"/>
              <w:right w:val="single" w:sz="4" w:space="0" w:color="auto"/>
            </w:tcBorders>
            <w:shd w:val="clear" w:color="auto" w:fill="auto"/>
            <w:vAlign w:val="center"/>
            <w:hideMark/>
          </w:tcPr>
          <w:p w14:paraId="0757EAA0" w14:textId="77777777" w:rsidR="004A1AAE" w:rsidRPr="00B55390" w:rsidRDefault="004A1AAE" w:rsidP="00D67622">
            <w:r w:rsidRPr="00B55390">
              <w:t xml:space="preserve">    Abdominal pain</w:t>
            </w:r>
          </w:p>
        </w:tc>
        <w:tc>
          <w:tcPr>
            <w:tcW w:w="2140" w:type="dxa"/>
            <w:tcBorders>
              <w:top w:val="nil"/>
              <w:left w:val="nil"/>
              <w:bottom w:val="single" w:sz="4" w:space="0" w:color="auto"/>
              <w:right w:val="single" w:sz="4" w:space="0" w:color="auto"/>
            </w:tcBorders>
            <w:shd w:val="clear" w:color="auto" w:fill="auto"/>
            <w:vAlign w:val="center"/>
            <w:hideMark/>
          </w:tcPr>
          <w:p w14:paraId="52D0AFE6" w14:textId="77777777" w:rsidR="004A1AAE" w:rsidRPr="00B55390" w:rsidRDefault="004A1AAE" w:rsidP="00D67622">
            <w:pPr>
              <w:jc w:val="center"/>
            </w:pPr>
            <w:r w:rsidRPr="00B55390">
              <w:t>5.5</w:t>
            </w:r>
          </w:p>
        </w:tc>
        <w:tc>
          <w:tcPr>
            <w:tcW w:w="2140" w:type="dxa"/>
            <w:tcBorders>
              <w:top w:val="nil"/>
              <w:left w:val="nil"/>
              <w:bottom w:val="single" w:sz="4" w:space="0" w:color="auto"/>
              <w:right w:val="single" w:sz="4" w:space="0" w:color="auto"/>
            </w:tcBorders>
            <w:shd w:val="clear" w:color="auto" w:fill="auto"/>
            <w:vAlign w:val="center"/>
            <w:hideMark/>
          </w:tcPr>
          <w:p w14:paraId="2AF8F81A" w14:textId="77777777" w:rsidR="004A1AAE" w:rsidRPr="00B55390" w:rsidRDefault="004A1AAE" w:rsidP="00D67622">
            <w:pPr>
              <w:jc w:val="center"/>
            </w:pPr>
            <w:r w:rsidRPr="00B55390">
              <w:t>9.6</w:t>
            </w:r>
          </w:p>
        </w:tc>
      </w:tr>
      <w:tr w:rsidR="004A1AAE" w:rsidRPr="00B55390" w14:paraId="30392ED9" w14:textId="77777777" w:rsidTr="00D53C51">
        <w:trPr>
          <w:trHeight w:val="312"/>
        </w:trPr>
        <w:tc>
          <w:tcPr>
            <w:tcW w:w="4760" w:type="dxa"/>
            <w:tcBorders>
              <w:top w:val="nil"/>
              <w:left w:val="single" w:sz="4" w:space="0" w:color="auto"/>
              <w:bottom w:val="single" w:sz="4" w:space="0" w:color="auto"/>
              <w:right w:val="single" w:sz="4" w:space="0" w:color="auto"/>
            </w:tcBorders>
            <w:shd w:val="clear" w:color="auto" w:fill="auto"/>
            <w:vAlign w:val="center"/>
            <w:hideMark/>
          </w:tcPr>
          <w:p w14:paraId="7E903A6A" w14:textId="77777777" w:rsidR="004A1AAE" w:rsidRPr="00B55390" w:rsidRDefault="004A1AAE" w:rsidP="00D67622">
            <w:r w:rsidRPr="00B55390">
              <w:t xml:space="preserve">    Vomiting</w:t>
            </w:r>
          </w:p>
        </w:tc>
        <w:tc>
          <w:tcPr>
            <w:tcW w:w="2140" w:type="dxa"/>
            <w:tcBorders>
              <w:top w:val="nil"/>
              <w:left w:val="nil"/>
              <w:bottom w:val="single" w:sz="4" w:space="0" w:color="auto"/>
              <w:right w:val="single" w:sz="4" w:space="0" w:color="auto"/>
            </w:tcBorders>
            <w:shd w:val="clear" w:color="auto" w:fill="auto"/>
            <w:vAlign w:val="center"/>
            <w:hideMark/>
          </w:tcPr>
          <w:p w14:paraId="7E1DFEE6" w14:textId="77777777" w:rsidR="004A1AAE" w:rsidRPr="00B55390" w:rsidRDefault="004A1AAE" w:rsidP="00D67622">
            <w:pPr>
              <w:jc w:val="center"/>
            </w:pPr>
            <w:r w:rsidRPr="00B55390">
              <w:t>3.2</w:t>
            </w:r>
          </w:p>
        </w:tc>
        <w:tc>
          <w:tcPr>
            <w:tcW w:w="2140" w:type="dxa"/>
            <w:tcBorders>
              <w:top w:val="nil"/>
              <w:left w:val="nil"/>
              <w:bottom w:val="single" w:sz="4" w:space="0" w:color="auto"/>
              <w:right w:val="single" w:sz="4" w:space="0" w:color="auto"/>
            </w:tcBorders>
            <w:shd w:val="clear" w:color="auto" w:fill="auto"/>
            <w:vAlign w:val="center"/>
            <w:hideMark/>
          </w:tcPr>
          <w:p w14:paraId="5FC8AA46" w14:textId="77777777" w:rsidR="004A1AAE" w:rsidRPr="00B55390" w:rsidRDefault="004A1AAE" w:rsidP="00D67622">
            <w:pPr>
              <w:jc w:val="center"/>
            </w:pPr>
            <w:r w:rsidRPr="00B55390">
              <w:t>7.6</w:t>
            </w:r>
          </w:p>
        </w:tc>
      </w:tr>
    </w:tbl>
    <w:p w14:paraId="46515741" w14:textId="77777777" w:rsidR="004A1AAE" w:rsidRPr="00B55390" w:rsidRDefault="004A1AAE" w:rsidP="00D67622">
      <w:pPr>
        <w:pStyle w:val="PINormal"/>
      </w:pPr>
    </w:p>
    <w:p w14:paraId="60623A14" w14:textId="17683E85" w:rsidR="007C7621" w:rsidRPr="00B55390" w:rsidRDefault="0064548F" w:rsidP="00D67622">
      <w:pPr>
        <w:pStyle w:val="PIHeading3"/>
      </w:pPr>
      <w:proofErr w:type="spellStart"/>
      <w:r w:rsidRPr="00B55390">
        <w:t>Paediatric</w:t>
      </w:r>
      <w:proofErr w:type="spellEnd"/>
      <w:r w:rsidR="007C7621" w:rsidRPr="00B55390">
        <w:t xml:space="preserve"> Patients</w:t>
      </w:r>
    </w:p>
    <w:p w14:paraId="335B0B1A" w14:textId="17594A06" w:rsidR="007C7621" w:rsidRPr="00B55390" w:rsidRDefault="007C7621" w:rsidP="00D67622">
      <w:pPr>
        <w:pStyle w:val="PINormal"/>
      </w:pPr>
      <w:r w:rsidRPr="00B55390">
        <w:t xml:space="preserve">There </w:t>
      </w:r>
      <w:r w:rsidR="00287270" w:rsidRPr="00B55390">
        <w:t>are</w:t>
      </w:r>
      <w:r w:rsidRPr="00B55390">
        <w:t xml:space="preserve"> no </w:t>
      </w:r>
      <w:proofErr w:type="spellStart"/>
      <w:r w:rsidR="0064548F" w:rsidRPr="00B55390">
        <w:t>paediatric</w:t>
      </w:r>
      <w:proofErr w:type="spellEnd"/>
      <w:r w:rsidRPr="00B55390">
        <w:t xml:space="preserve"> data available for VUMERITY.</w:t>
      </w:r>
    </w:p>
    <w:p w14:paraId="738AA256" w14:textId="77777777" w:rsidR="004B2857" w:rsidRPr="00B55390" w:rsidRDefault="004B2857" w:rsidP="00D67622"/>
    <w:p w14:paraId="16D51005" w14:textId="6DCBE5E3" w:rsidR="00DA7D4A" w:rsidRPr="00B55390" w:rsidRDefault="00DA7D4A" w:rsidP="00D67622">
      <w:pPr>
        <w:pStyle w:val="PIHeading3"/>
      </w:pPr>
      <w:r w:rsidRPr="00B55390">
        <w:t>Description of selected adverse events</w:t>
      </w:r>
    </w:p>
    <w:p w14:paraId="423F30DF" w14:textId="5D5CBFB4" w:rsidR="004F223F" w:rsidRPr="00B55390" w:rsidRDefault="004F223F" w:rsidP="00D67622">
      <w:pPr>
        <w:pStyle w:val="PINormal"/>
      </w:pPr>
      <w:r w:rsidRPr="00B55390">
        <w:t xml:space="preserve">The adverse reaction profile of VUMERITY is expected to be </w:t>
      </w:r>
      <w:proofErr w:type="gramStart"/>
      <w:r w:rsidRPr="00B55390">
        <w:t>similar to</w:t>
      </w:r>
      <w:proofErr w:type="gramEnd"/>
      <w:r w:rsidRPr="00B55390">
        <w:t xml:space="preserve"> </w:t>
      </w:r>
      <w:r w:rsidR="00AC6C88" w:rsidRPr="00B55390">
        <w:t>TECFIDERA</w:t>
      </w:r>
      <w:r w:rsidRPr="00B55390">
        <w:t>.</w:t>
      </w:r>
    </w:p>
    <w:p w14:paraId="6070C717" w14:textId="77777777" w:rsidR="00AC6C88" w:rsidRPr="00B55390" w:rsidRDefault="00AC6C88" w:rsidP="00D67622">
      <w:pPr>
        <w:pStyle w:val="PINormal"/>
      </w:pPr>
    </w:p>
    <w:p w14:paraId="2182D65E" w14:textId="0956874E" w:rsidR="007F4633" w:rsidRPr="00B55390" w:rsidRDefault="005A6697" w:rsidP="00D67622">
      <w:pPr>
        <w:pStyle w:val="Heading3"/>
      </w:pPr>
      <w:r w:rsidRPr="00B55390">
        <w:t>Flushing</w:t>
      </w:r>
    </w:p>
    <w:p w14:paraId="6B56D282" w14:textId="04DFD448" w:rsidR="0013788D" w:rsidRDefault="00B94E0F" w:rsidP="00D67622">
      <w:pPr>
        <w:pStyle w:val="PINormal"/>
        <w:rPr>
          <w:rFonts w:ascii="Times New Roman" w:hAnsi="Times New Roman" w:cs="Times New Roman"/>
          <w:sz w:val="24"/>
          <w:szCs w:val="24"/>
        </w:rPr>
      </w:pPr>
      <w:r w:rsidRPr="00B55390">
        <w:t xml:space="preserve">Flushing with VUMERITY use is expected to be </w:t>
      </w:r>
      <w:proofErr w:type="gramStart"/>
      <w:r w:rsidRPr="00B55390">
        <w:t>similar to</w:t>
      </w:r>
      <w:proofErr w:type="gramEnd"/>
      <w:r w:rsidRPr="00B55390">
        <w:t xml:space="preserve"> TECFIDERA. </w:t>
      </w:r>
      <w:r w:rsidR="004A1AAE" w:rsidRPr="00B55390">
        <w:rPr>
          <w:szCs w:val="22"/>
        </w:rPr>
        <w:t xml:space="preserve">In EVOLVE-MS-1, an interim data cut showed &lt; 1% of patients treated with VUMERITY discontinued due to flushing. The incidence of serious flushing, which may be </w:t>
      </w:r>
      <w:proofErr w:type="spellStart"/>
      <w:r w:rsidR="004A1AAE" w:rsidRPr="00B55390">
        <w:rPr>
          <w:szCs w:val="22"/>
        </w:rPr>
        <w:t>characteri</w:t>
      </w:r>
      <w:r w:rsidR="00746F48" w:rsidRPr="00B55390">
        <w:rPr>
          <w:szCs w:val="22"/>
        </w:rPr>
        <w:t>s</w:t>
      </w:r>
      <w:r w:rsidR="004A1AAE" w:rsidRPr="00B55390">
        <w:rPr>
          <w:szCs w:val="22"/>
        </w:rPr>
        <w:t>ed</w:t>
      </w:r>
      <w:proofErr w:type="spellEnd"/>
      <w:r w:rsidR="004A1AAE" w:rsidRPr="00B55390">
        <w:rPr>
          <w:szCs w:val="22"/>
        </w:rPr>
        <w:t xml:space="preserve"> by </w:t>
      </w:r>
      <w:proofErr w:type="spellStart"/>
      <w:r w:rsidR="004A1AAE" w:rsidRPr="00B55390">
        <w:rPr>
          <w:szCs w:val="22"/>
        </w:rPr>
        <w:t>generali</w:t>
      </w:r>
      <w:r w:rsidR="00746F48" w:rsidRPr="00B55390">
        <w:rPr>
          <w:szCs w:val="22"/>
        </w:rPr>
        <w:t>s</w:t>
      </w:r>
      <w:r w:rsidR="004A1AAE" w:rsidRPr="00B55390">
        <w:rPr>
          <w:szCs w:val="22"/>
        </w:rPr>
        <w:t>ed</w:t>
      </w:r>
      <w:proofErr w:type="spellEnd"/>
      <w:r w:rsidR="004A1AAE" w:rsidRPr="00B55390">
        <w:rPr>
          <w:szCs w:val="22"/>
        </w:rPr>
        <w:t xml:space="preserve"> erythema, rash, and/or pruritus was seen in &lt; 1% of patients treated with VUMERITY in EVOLVE-MS-1 (</w:t>
      </w:r>
      <w:r w:rsidR="0071051D">
        <w:rPr>
          <w:szCs w:val="22"/>
        </w:rPr>
        <w:t>s</w:t>
      </w:r>
      <w:r w:rsidR="004A1AAE" w:rsidRPr="00B55390">
        <w:rPr>
          <w:szCs w:val="22"/>
        </w:rPr>
        <w:t xml:space="preserve">ee Section </w:t>
      </w:r>
      <w:r w:rsidR="00CC0C09" w:rsidRPr="00B55390">
        <w:rPr>
          <w:szCs w:val="22"/>
        </w:rPr>
        <w:t>4</w:t>
      </w:r>
      <w:r w:rsidR="004A1AAE" w:rsidRPr="00B55390">
        <w:rPr>
          <w:szCs w:val="22"/>
        </w:rPr>
        <w:t>.2</w:t>
      </w:r>
      <w:r w:rsidR="00CC0C09" w:rsidRPr="00B55390">
        <w:rPr>
          <w:szCs w:val="22"/>
        </w:rPr>
        <w:t xml:space="preserve"> Dose and method of administration</w:t>
      </w:r>
      <w:r w:rsidR="004A1AAE" w:rsidRPr="00B55390">
        <w:rPr>
          <w:szCs w:val="22"/>
        </w:rPr>
        <w:t xml:space="preserve">). In EVOLVE-MS-2, flushing was reported in 32.8% of VUMERITY patients and 40.2% of </w:t>
      </w:r>
      <w:r w:rsidR="003E2267" w:rsidRPr="00B55390">
        <w:rPr>
          <w:szCs w:val="22"/>
        </w:rPr>
        <w:t>TECFIDERA</w:t>
      </w:r>
      <w:r w:rsidR="004A1AAE" w:rsidRPr="00B55390">
        <w:rPr>
          <w:szCs w:val="22"/>
        </w:rPr>
        <w:t xml:space="preserve"> patients, and there were no discontinuations due to flushing.</w:t>
      </w:r>
      <w:r w:rsidR="004A1AAE" w:rsidRPr="00B55390">
        <w:rPr>
          <w:rFonts w:ascii="Times New Roman" w:hAnsi="Times New Roman" w:cs="Times New Roman"/>
          <w:sz w:val="24"/>
          <w:szCs w:val="24"/>
        </w:rPr>
        <w:t xml:space="preserve"> </w:t>
      </w:r>
    </w:p>
    <w:p w14:paraId="597A8348" w14:textId="77777777" w:rsidR="00DE172D" w:rsidRPr="00B55390" w:rsidRDefault="00DE172D" w:rsidP="00D67622">
      <w:pPr>
        <w:pStyle w:val="PINormal"/>
        <w:rPr>
          <w:iCs/>
        </w:rPr>
      </w:pPr>
    </w:p>
    <w:p w14:paraId="25191B1C" w14:textId="42E1D595" w:rsidR="005A6697" w:rsidRPr="00B55390" w:rsidRDefault="0013788D" w:rsidP="00D67622">
      <w:pPr>
        <w:pStyle w:val="PINormal"/>
      </w:pPr>
      <w:r w:rsidRPr="00B55390">
        <w:t>In TECFIDERA, the incidence of patients with flushing events (</w:t>
      </w:r>
      <w:proofErr w:type="gramStart"/>
      <w:r w:rsidRPr="00B55390">
        <w:t>e.g.</w:t>
      </w:r>
      <w:proofErr w:type="gramEnd"/>
      <w:r w:rsidRPr="00B55390">
        <w:t xml:space="preserve"> warmth, redness, itching, burning sensation) was higher early in the course of treatment (primarily in month 1) and decreased over time, which might indicate that this symptom became less prevalent with continued use</w:t>
      </w:r>
      <w:r w:rsidRPr="00B55390">
        <w:rPr>
          <w:i/>
          <w:iCs/>
        </w:rPr>
        <w:t>.</w:t>
      </w:r>
      <w:r w:rsidRPr="00B55390">
        <w:t xml:space="preserve">  In patients with flushing, the majority had flushing events that were mild or moderate in severity</w:t>
      </w:r>
      <w:r w:rsidRPr="00B55390">
        <w:rPr>
          <w:szCs w:val="22"/>
        </w:rPr>
        <w:t xml:space="preserve">.  </w:t>
      </w:r>
    </w:p>
    <w:p w14:paraId="57E56C9A" w14:textId="2038A574" w:rsidR="00251EED" w:rsidRPr="00B55390" w:rsidRDefault="00251EED" w:rsidP="00D67622">
      <w:pPr>
        <w:pStyle w:val="PINormal"/>
      </w:pPr>
    </w:p>
    <w:p w14:paraId="56F53B43" w14:textId="63301551" w:rsidR="007F4633" w:rsidRPr="00B55390" w:rsidRDefault="00B47369" w:rsidP="00D67622">
      <w:pPr>
        <w:pStyle w:val="Heading3"/>
      </w:pPr>
      <w:r w:rsidRPr="00B55390">
        <w:t>Gastrointestinal</w:t>
      </w:r>
    </w:p>
    <w:p w14:paraId="49FDC0A4" w14:textId="7FE45FF2" w:rsidR="00B47369" w:rsidRDefault="004A1AAE" w:rsidP="00D67622">
      <w:pPr>
        <w:pStyle w:val="PINormal"/>
      </w:pPr>
      <w:r w:rsidRPr="00B55390">
        <w:t xml:space="preserve">GI tolerability in patients treated with VUMERITY was directly compared to </w:t>
      </w:r>
      <w:r w:rsidR="003E2267" w:rsidRPr="00B55390">
        <w:t>TECFIDERA</w:t>
      </w:r>
      <w:r w:rsidRPr="00B55390">
        <w:t xml:space="preserve"> in EVOLVE-MS-2. In this study, 0.8% (n = 2) treated with VUMERITY discontinued treatment due to GI events, as compared with 4.8% (n = 12) for </w:t>
      </w:r>
      <w:r w:rsidR="00447E39" w:rsidRPr="00B55390">
        <w:t>TECFIDERA</w:t>
      </w:r>
      <w:r w:rsidRPr="00B55390">
        <w:t xml:space="preserve">. There were no serious GI events for either VUMERITY or </w:t>
      </w:r>
      <w:r w:rsidR="000452AA" w:rsidRPr="00B55390">
        <w:t xml:space="preserve">TECFIDERA </w:t>
      </w:r>
      <w:r w:rsidRPr="00B55390">
        <w:t xml:space="preserve">in this study. An interim data cut of EVOLVE-MS-1 showed &lt; 1% of patients treated with VUMERITY discontinued due to GI events, and &lt; 1% of patients had serious GI events. </w:t>
      </w:r>
      <w:r w:rsidR="00B47369" w:rsidRPr="00B55390">
        <w:t xml:space="preserve"> </w:t>
      </w:r>
    </w:p>
    <w:p w14:paraId="7741CC6F" w14:textId="77777777" w:rsidR="008C3D22" w:rsidRPr="00B55390" w:rsidRDefault="008C3D22" w:rsidP="00D67622">
      <w:pPr>
        <w:pStyle w:val="PINormal"/>
      </w:pPr>
    </w:p>
    <w:p w14:paraId="01EDC6DB" w14:textId="13D3E6C6" w:rsidR="00554EDD" w:rsidRPr="00B55390" w:rsidRDefault="00554EDD" w:rsidP="00D67622">
      <w:pPr>
        <w:pStyle w:val="PINormal"/>
      </w:pPr>
      <w:r w:rsidRPr="00B55390">
        <w:lastRenderedPageBreak/>
        <w:t>The incidence of patients with GI events (</w:t>
      </w:r>
      <w:proofErr w:type="gramStart"/>
      <w:r w:rsidRPr="00B55390">
        <w:t>e.g.</w:t>
      </w:r>
      <w:proofErr w:type="gramEnd"/>
      <w:r w:rsidRPr="00B55390">
        <w:t xml:space="preserve"> nausea, vomiting, </w:t>
      </w:r>
      <w:proofErr w:type="spellStart"/>
      <w:r w:rsidRPr="00B55390">
        <w:t>diarrhoea</w:t>
      </w:r>
      <w:proofErr w:type="spellEnd"/>
      <w:r w:rsidRPr="00B55390">
        <w:t xml:space="preserve">, abdominal pain, upper abdominal pain </w:t>
      </w:r>
      <w:r w:rsidR="00465FBE" w:rsidRPr="00B55390">
        <w:t>and</w:t>
      </w:r>
      <w:r w:rsidRPr="00B55390">
        <w:t xml:space="preserve"> dyspepsia) was higher early in the course of treatment (primarily in month 1) and decreased over time in patients treated with TECFIDERA compared with placebo.  </w:t>
      </w:r>
    </w:p>
    <w:p w14:paraId="34AC6B77" w14:textId="77777777" w:rsidR="000139A1" w:rsidRPr="00B55390" w:rsidRDefault="000139A1" w:rsidP="00D67622">
      <w:pPr>
        <w:pStyle w:val="PINormal"/>
      </w:pPr>
    </w:p>
    <w:p w14:paraId="55A37BC9" w14:textId="37A13622" w:rsidR="007F4633" w:rsidRPr="00B55390" w:rsidRDefault="007F4633" w:rsidP="00D67622">
      <w:pPr>
        <w:pStyle w:val="Heading3"/>
      </w:pPr>
      <w:r w:rsidRPr="00B55390">
        <w:t xml:space="preserve">Hepatic </w:t>
      </w:r>
      <w:r w:rsidR="001A19DA" w:rsidRPr="00B55390">
        <w:t>t</w:t>
      </w:r>
      <w:r w:rsidRPr="00B55390">
        <w:t>ransaminase</w:t>
      </w:r>
      <w:r w:rsidR="00B47369" w:rsidRPr="00B55390">
        <w:t>s</w:t>
      </w:r>
    </w:p>
    <w:p w14:paraId="4BBC5D23" w14:textId="7B677E05" w:rsidR="005F58C0" w:rsidRPr="005F58C0" w:rsidRDefault="005F58C0" w:rsidP="005F58C0">
      <w:pPr>
        <w:pStyle w:val="PINormal"/>
      </w:pPr>
      <w:r w:rsidRPr="005F58C0">
        <w:t>In EVOLVE</w:t>
      </w:r>
      <w:r w:rsidR="00A85AD9">
        <w:t>-</w:t>
      </w:r>
      <w:r w:rsidRPr="005F58C0">
        <w:t>MS</w:t>
      </w:r>
      <w:r w:rsidR="00A85AD9">
        <w:t>-</w:t>
      </w:r>
      <w:r w:rsidRPr="005F58C0">
        <w:t xml:space="preserve">2, </w:t>
      </w:r>
      <w:proofErr w:type="gramStart"/>
      <w:r w:rsidRPr="005F58C0">
        <w:t>the majority of</w:t>
      </w:r>
      <w:proofErr w:type="gramEnd"/>
      <w:r w:rsidRPr="005F58C0">
        <w:t xml:space="preserve"> patients with elevations had hepatic transaminases that were &lt; 3 times ULN and did not require dose adjustment or termination. Elevations in hepatic aminotransferase ≥ 3 times ULN and ≥ 5 times ULN, respectively, were seen in 0.8% (n=2) and 0.4% (n=1) of patients for VUMERITY and 1.6% (n = 4) and 0.4% (n = 1) of patients for TECFIDERA. Treatment interruptions due to elevated hepatic transaminases were seen in 0.8% (n = 2) of patients treated with VUMERITY and 0.4% (n = 1) of patients treated with TECFIDERA. In EVOLVE-MS-1, &lt; 1% of patients discontinued treatment due to elevations in hepatic transaminases. Elevations in transaminases ≥ 3 times ULN with concomitant elevations in total bilirubin &gt; 2 times ULN have not been observed with VUMERITY.</w:t>
      </w:r>
    </w:p>
    <w:p w14:paraId="144DDABD" w14:textId="77777777" w:rsidR="005F58C0" w:rsidRPr="005F58C0" w:rsidRDefault="005F58C0" w:rsidP="005F58C0">
      <w:pPr>
        <w:pStyle w:val="PINormal"/>
      </w:pPr>
    </w:p>
    <w:p w14:paraId="09CD4208" w14:textId="5C4D1AA5" w:rsidR="005F58C0" w:rsidRPr="005F58C0" w:rsidRDefault="005F58C0" w:rsidP="005F58C0">
      <w:pPr>
        <w:pStyle w:val="PINormal"/>
      </w:pPr>
      <w:r w:rsidRPr="005F58C0">
        <w:t>Subjects discontinued treatment if ALT or AST values remained &gt; 3× ULN for ≥ 4 weeks in the 2-year Study A301 and ≥ 2 weeks in the 5-week Study A302. In both studies, transient increases in liver transaminases were observed with treatment initiation, with greater mean increases from baseline in ALT than in AST, which subsided with continued treatment. They were not associated with symptoms of liver injury or disease. As DRF metabolism does not involve CYP enzymes, it is considered that</w:t>
      </w:r>
      <w:r w:rsidR="00FF03C6">
        <w:t xml:space="preserve"> </w:t>
      </w:r>
      <w:r w:rsidRPr="005F58C0">
        <w:t xml:space="preserve">is unlikely to cause clinically relevant PK interactions with drugs </w:t>
      </w:r>
      <w:proofErr w:type="spellStart"/>
      <w:r w:rsidRPr="005F58C0">
        <w:t>metabolised</w:t>
      </w:r>
      <w:proofErr w:type="spellEnd"/>
      <w:r w:rsidRPr="005F58C0">
        <w:t xml:space="preserve"> by CYP enzymes</w:t>
      </w:r>
      <w:r w:rsidR="00B12FB8">
        <w:t>.</w:t>
      </w:r>
    </w:p>
    <w:p w14:paraId="226AD751" w14:textId="77777777" w:rsidR="005F58C0" w:rsidRPr="005F58C0" w:rsidRDefault="005F58C0" w:rsidP="005F58C0">
      <w:pPr>
        <w:pStyle w:val="PINormal"/>
      </w:pPr>
    </w:p>
    <w:p w14:paraId="74BA1739" w14:textId="5CA21F28" w:rsidR="00555250" w:rsidRPr="00B55390" w:rsidRDefault="005F58C0" w:rsidP="00D67622">
      <w:pPr>
        <w:pStyle w:val="PINormal"/>
      </w:pPr>
      <w:r w:rsidRPr="005F58C0">
        <w:t xml:space="preserve">Elevations in transaminases ≥ 3 times ULN with concomitant elevations in total bilirubin &gt; 2 times ULN were not observed during placebo-controlled studies with TECFIDERA but have been observed in the post-marketing experience (see </w:t>
      </w:r>
      <w:r w:rsidR="00DA365D">
        <w:t xml:space="preserve">section 4.8 Adverse </w:t>
      </w:r>
      <w:r w:rsidR="0049768D">
        <w:t>effects</w:t>
      </w:r>
      <w:r w:rsidR="00B82D7F">
        <w:t>,</w:t>
      </w:r>
      <w:r w:rsidR="0049768D">
        <w:t xml:space="preserve"> </w:t>
      </w:r>
      <w:r w:rsidRPr="005F58C0">
        <w:t>Post marketing experience below).</w:t>
      </w:r>
    </w:p>
    <w:p w14:paraId="117375B0" w14:textId="77777777" w:rsidR="000139A1" w:rsidRPr="00B55390" w:rsidRDefault="000139A1" w:rsidP="00D67622">
      <w:pPr>
        <w:pStyle w:val="PINormal"/>
      </w:pPr>
    </w:p>
    <w:p w14:paraId="1576A08E" w14:textId="69349452" w:rsidR="007F4633" w:rsidRPr="00B55390" w:rsidRDefault="00B47369" w:rsidP="00D67622">
      <w:pPr>
        <w:pStyle w:val="Heading3"/>
      </w:pPr>
      <w:r w:rsidRPr="00B55390">
        <w:t>Haematological</w:t>
      </w:r>
    </w:p>
    <w:p w14:paraId="140BA176" w14:textId="5EC7162A" w:rsidR="00B47369" w:rsidRPr="00B55390" w:rsidRDefault="004A1AAE" w:rsidP="00D67622">
      <w:pPr>
        <w:pStyle w:val="PINormal"/>
      </w:pPr>
      <w:r w:rsidRPr="00B55390">
        <w:t xml:space="preserve">The impact of VUMERITY use on lymphocytes is expected to be </w:t>
      </w:r>
      <w:proofErr w:type="gramStart"/>
      <w:r w:rsidRPr="00B55390">
        <w:t>similar to</w:t>
      </w:r>
      <w:proofErr w:type="gramEnd"/>
      <w:r w:rsidRPr="00B55390">
        <w:t xml:space="preserve"> </w:t>
      </w:r>
      <w:r w:rsidR="003E2267" w:rsidRPr="00B55390">
        <w:t>TECFID</w:t>
      </w:r>
      <w:r w:rsidR="00B54161" w:rsidRPr="00B55390">
        <w:t>ERA</w:t>
      </w:r>
      <w:r w:rsidRPr="00B55390">
        <w:t xml:space="preserve">. </w:t>
      </w:r>
      <w:r w:rsidR="00B47369" w:rsidRPr="00B55390">
        <w:t>In the placebo-controlled studies</w:t>
      </w:r>
      <w:r w:rsidR="007C43F5" w:rsidRPr="00B55390">
        <w:t xml:space="preserve"> for TECFIDERA</w:t>
      </w:r>
      <w:r w:rsidR="00B47369" w:rsidRPr="00B55390">
        <w:t xml:space="preserve">, most patients (&gt;98%) had normal lymphocyte values prior to initiating treatment. Upon treatment with TECFIDERA, lymphocytes </w:t>
      </w:r>
      <w:proofErr w:type="gramStart"/>
      <w:r w:rsidR="00B47369" w:rsidRPr="00B55390">
        <w:t>counts</w:t>
      </w:r>
      <w:proofErr w:type="gramEnd"/>
      <w:r w:rsidR="00B47369" w:rsidRPr="00B55390">
        <w:t xml:space="preserve"> decreased over the first year with a subsequent plateau. On average, lymphocyte counts decreased by approximately 30% of baseline value. Mean and median lymphocyte counts remained within normal limits. Patients with lymphocyte counts &lt;0.5x10</w:t>
      </w:r>
      <w:r w:rsidR="00B47369" w:rsidRPr="00B55390">
        <w:rPr>
          <w:vertAlign w:val="superscript"/>
        </w:rPr>
        <w:t>9</w:t>
      </w:r>
      <w:r w:rsidR="00B47369" w:rsidRPr="00B55390">
        <w:t>/L were observed in &lt;1% of patients treated with placebo and 6% of patients treated with TECFIDERA. In controlled and uncontrolled clinical studies, 2% of patients experienced lymphocyte counts &lt;0.5 x 10</w:t>
      </w:r>
      <w:r w:rsidR="00B47369" w:rsidRPr="00B55390">
        <w:rPr>
          <w:vertAlign w:val="superscript"/>
        </w:rPr>
        <w:t>9</w:t>
      </w:r>
      <w:r w:rsidR="00B47369" w:rsidRPr="00B55390">
        <w:t xml:space="preserve">/L for at least six months. In these patients, </w:t>
      </w:r>
      <w:proofErr w:type="gramStart"/>
      <w:r w:rsidR="00B47369" w:rsidRPr="00B55390">
        <w:t>the majority of</w:t>
      </w:r>
      <w:proofErr w:type="gramEnd"/>
      <w:r w:rsidR="00B47369" w:rsidRPr="00B55390">
        <w:t xml:space="preserve"> lymphocyte counts remained &lt;0.5 x 10</w:t>
      </w:r>
      <w:r w:rsidR="00B47369" w:rsidRPr="00B55390">
        <w:rPr>
          <w:vertAlign w:val="superscript"/>
        </w:rPr>
        <w:t>9</w:t>
      </w:r>
      <w:r w:rsidR="00B47369" w:rsidRPr="00B55390">
        <w:t>/L with continued therapy.</w:t>
      </w:r>
    </w:p>
    <w:p w14:paraId="1D3DD5E8" w14:textId="77777777" w:rsidR="00B47369" w:rsidRPr="00B55390" w:rsidRDefault="00B47369" w:rsidP="00D67622">
      <w:pPr>
        <w:pStyle w:val="PINormal"/>
      </w:pPr>
    </w:p>
    <w:p w14:paraId="51265863" w14:textId="65444CF7" w:rsidR="000139A1" w:rsidRPr="00B55390" w:rsidRDefault="00B47369" w:rsidP="00D67622">
      <w:pPr>
        <w:pStyle w:val="PINormal"/>
        <w:rPr>
          <w:szCs w:val="22"/>
        </w:rPr>
      </w:pPr>
      <w:r w:rsidRPr="00B55390">
        <w:t>The incidence of infections (58% vs 60%) and serious infections (2% vs 2%) was similar in patients treated with placebo or TECFIDERA, respectively. An increased incidence of infections and serious infections was not observed in patients with lymphocyte counts &lt;0.8x10</w:t>
      </w:r>
      <w:r w:rsidRPr="00B55390">
        <w:rPr>
          <w:vertAlign w:val="superscript"/>
        </w:rPr>
        <w:t>9</w:t>
      </w:r>
      <w:r w:rsidRPr="00B55390">
        <w:t>/L or 0.5x10</w:t>
      </w:r>
      <w:r w:rsidRPr="00B55390">
        <w:rPr>
          <w:vertAlign w:val="superscript"/>
        </w:rPr>
        <w:t>9</w:t>
      </w:r>
      <w:r w:rsidRPr="00B55390">
        <w:t>/L. A transient increase in mean eosinophil counts was seen during the first 2 months of therapy.</w:t>
      </w:r>
    </w:p>
    <w:p w14:paraId="08499C0A" w14:textId="77777777" w:rsidR="004A1AAE" w:rsidRPr="00B55390" w:rsidRDefault="004A1AAE" w:rsidP="00D67622">
      <w:pPr>
        <w:pStyle w:val="PINormal"/>
      </w:pPr>
    </w:p>
    <w:p w14:paraId="3BE4DDF8" w14:textId="6766EC6D" w:rsidR="004A1AAE" w:rsidRPr="00B55390" w:rsidRDefault="004A1AAE" w:rsidP="00D67622">
      <w:pPr>
        <w:pStyle w:val="PINormal"/>
      </w:pPr>
      <w:r w:rsidRPr="00B55390">
        <w:t>In EVOLVE-MS-1, 1.5% (n = 16) of patients discontinued VUMERITY due to confirmed lymphocyte counts &lt; 0.5 x 10</w:t>
      </w:r>
      <w:r w:rsidRPr="00B55390">
        <w:rPr>
          <w:vertAlign w:val="superscript"/>
        </w:rPr>
        <w:t>9</w:t>
      </w:r>
      <w:r w:rsidRPr="00B55390">
        <w:t>/L which persisted for ≥ 4 weeks, and an additional 0.5% (n = 5) of patients who discontinued treatment with VUMERITY due to low lymphocyte or leukocyte counts had at least one lymphocyte value of &lt; 0.5 X 10</w:t>
      </w:r>
      <w:r w:rsidRPr="00B55390">
        <w:rPr>
          <w:vertAlign w:val="superscript"/>
        </w:rPr>
        <w:t>9</w:t>
      </w:r>
      <w:r w:rsidRPr="00B55390">
        <w:t>/L. There were no discontinuations for infections related to VUMERITY treatment.</w:t>
      </w:r>
    </w:p>
    <w:p w14:paraId="40538833" w14:textId="027817F7" w:rsidR="00AC7523" w:rsidRPr="00B55390" w:rsidRDefault="00AC7523" w:rsidP="00D67622">
      <w:pPr>
        <w:pStyle w:val="PINormal"/>
      </w:pPr>
    </w:p>
    <w:p w14:paraId="5F9CE5FD" w14:textId="6E2F84E4" w:rsidR="007F4633" w:rsidRPr="00B55390" w:rsidRDefault="007F4633" w:rsidP="00D67622">
      <w:pPr>
        <w:pStyle w:val="Heading3"/>
      </w:pPr>
      <w:r w:rsidRPr="00B55390">
        <w:t>Post-</w:t>
      </w:r>
      <w:r w:rsidR="001A19DA" w:rsidRPr="00B55390">
        <w:t>m</w:t>
      </w:r>
      <w:r w:rsidRPr="00B55390">
        <w:t xml:space="preserve">arketing </w:t>
      </w:r>
      <w:r w:rsidR="001A19DA" w:rsidRPr="00B55390">
        <w:t>e</w:t>
      </w:r>
      <w:r w:rsidRPr="00B55390">
        <w:t xml:space="preserve">xperience </w:t>
      </w:r>
    </w:p>
    <w:p w14:paraId="1FCC6996" w14:textId="00E01D27" w:rsidR="00B47369" w:rsidRPr="00B55390" w:rsidRDefault="00B47369" w:rsidP="00D67622">
      <w:pPr>
        <w:pStyle w:val="PINormal"/>
      </w:pPr>
      <w:r w:rsidRPr="00B55390">
        <w:t>In post marketing experience</w:t>
      </w:r>
      <w:r w:rsidR="009F5792" w:rsidRPr="00B55390">
        <w:t xml:space="preserve"> for TECFIDERA</w:t>
      </w:r>
      <w:r w:rsidRPr="00B55390">
        <w:t xml:space="preserve">, hypersensitivity reactions including urticaria, angioedema, and difficulty breathing have been reported following TECFIDERA administration. Cases of anaphylaxis have also been reported (see </w:t>
      </w:r>
      <w:r w:rsidR="00DD384E" w:rsidRPr="00B55390">
        <w:t>Section 4.4</w:t>
      </w:r>
      <w:r w:rsidR="0081388C" w:rsidRPr="00B55390">
        <w:t xml:space="preserve"> Special warnings and precautions for use</w:t>
      </w:r>
      <w:r w:rsidR="000F2D5A" w:rsidRPr="00B55390">
        <w:t>, Anaphylactic reactions</w:t>
      </w:r>
      <w:r w:rsidRPr="00B55390">
        <w:t>).</w:t>
      </w:r>
    </w:p>
    <w:p w14:paraId="7FFB5D14" w14:textId="77777777" w:rsidR="00B47369" w:rsidRPr="00B55390" w:rsidRDefault="00B47369" w:rsidP="00D67622">
      <w:pPr>
        <w:pStyle w:val="PINormal"/>
      </w:pPr>
    </w:p>
    <w:p w14:paraId="692ED44E" w14:textId="0D604F76" w:rsidR="00B47369" w:rsidRPr="00B55390" w:rsidRDefault="00B47369" w:rsidP="00D67622">
      <w:pPr>
        <w:pStyle w:val="PINormal"/>
      </w:pPr>
      <w:r w:rsidRPr="00B55390">
        <w:t>Progressive multifocal leukoencephalopathy has occurred in the setting of lymphopenia</w:t>
      </w:r>
      <w:r w:rsidR="007539BC" w:rsidRPr="00B55390">
        <w:t xml:space="preserve"> (&lt;0.91 x 10</w:t>
      </w:r>
      <w:r w:rsidR="007539BC" w:rsidRPr="00B55390">
        <w:rPr>
          <w:vertAlign w:val="superscript"/>
        </w:rPr>
        <w:t>9</w:t>
      </w:r>
      <w:r w:rsidR="007539BC" w:rsidRPr="00B55390">
        <w:t>/L)</w:t>
      </w:r>
      <w:r w:rsidRPr="00B55390">
        <w:t xml:space="preserve"> following TECFIDERA administration.</w:t>
      </w:r>
      <w:r w:rsidR="007539BC" w:rsidRPr="00B55390">
        <w:t xml:space="preserve"> These PML cases have occurred predominantly in the setting of prolonged moderate to severe lymphopenia. (</w:t>
      </w:r>
      <w:proofErr w:type="gramStart"/>
      <w:r w:rsidR="007539BC" w:rsidRPr="00B55390">
        <w:t>see</w:t>
      </w:r>
      <w:proofErr w:type="gramEnd"/>
      <w:r w:rsidR="007539BC" w:rsidRPr="00B55390">
        <w:t xml:space="preserve"> Section 4.4 Special warnings and precautions for use, Progressive Multifocal Leukoencephalopathy).</w:t>
      </w:r>
    </w:p>
    <w:p w14:paraId="4493A0E8" w14:textId="77777777" w:rsidR="00B47369" w:rsidRPr="00B55390" w:rsidRDefault="00B47369" w:rsidP="00D67622">
      <w:pPr>
        <w:pStyle w:val="PINormal"/>
      </w:pPr>
    </w:p>
    <w:p w14:paraId="6E90C5AF" w14:textId="4A302BB1" w:rsidR="00B47369" w:rsidRPr="00B55390" w:rsidRDefault="00B47369" w:rsidP="00D67622">
      <w:pPr>
        <w:pStyle w:val="PINormal"/>
      </w:pPr>
      <w:r w:rsidRPr="00B55390">
        <w:t xml:space="preserve">Liver function abnormalities (elevations in transaminases ≥ 3 times ULN with concomitant elevations in total bilirubin &gt; 2 times ULN) have been reported following TECFIDERA administration in post marketing experience. These abnormalities resolved upon treatment discontinuation over a varying </w:t>
      </w:r>
      <w:proofErr w:type="gramStart"/>
      <w:r w:rsidRPr="00B55390">
        <w:t>period of time</w:t>
      </w:r>
      <w:proofErr w:type="gramEnd"/>
      <w:r w:rsidRPr="00B55390">
        <w:t>. Therefore, ongoing monitoring of LFTs is recommended in patients being</w:t>
      </w:r>
      <w:r w:rsidR="008A5EE6" w:rsidRPr="00B55390">
        <w:t xml:space="preserve"> </w:t>
      </w:r>
      <w:r w:rsidRPr="00B55390">
        <w:t xml:space="preserve">treated with </w:t>
      </w:r>
      <w:r w:rsidR="004A1AAE" w:rsidRPr="00B55390">
        <w:t>VUMERITY</w:t>
      </w:r>
      <w:r w:rsidRPr="00B55390">
        <w:t>, as clinically indicated.</w:t>
      </w:r>
    </w:p>
    <w:p w14:paraId="23F2B0AF" w14:textId="3070F195" w:rsidR="00F76E4F" w:rsidRPr="00B55390" w:rsidRDefault="00F76E4F" w:rsidP="00D67622">
      <w:pPr>
        <w:pStyle w:val="PINormal"/>
      </w:pPr>
    </w:p>
    <w:p w14:paraId="191AEF4F" w14:textId="22AB3374" w:rsidR="007F4633" w:rsidRPr="00B55390" w:rsidRDefault="00F76E4F" w:rsidP="00D67622">
      <w:pPr>
        <w:pStyle w:val="PINormal"/>
      </w:pPr>
      <w:r w:rsidRPr="00B55390">
        <w:t xml:space="preserve">Herpes zoster infection has been reported with </w:t>
      </w:r>
      <w:r w:rsidR="00284E02">
        <w:t>TECFIDERA</w:t>
      </w:r>
      <w:r w:rsidRPr="00B55390">
        <w:t xml:space="preserve"> administration in post marketing experience. </w:t>
      </w:r>
      <w:proofErr w:type="gramStart"/>
      <w:r w:rsidRPr="00B55390">
        <w:t>The majority of</w:t>
      </w:r>
      <w:proofErr w:type="gramEnd"/>
      <w:r w:rsidRPr="00B55390">
        <w:t xml:space="preserve"> cases were non-serious (see Section 4.4 Special warnings and precautions for use, Infections).</w:t>
      </w:r>
    </w:p>
    <w:p w14:paraId="76BD4F73" w14:textId="77777777" w:rsidR="003B0776" w:rsidRPr="00B55390" w:rsidRDefault="003B0776" w:rsidP="00D67622">
      <w:pPr>
        <w:pStyle w:val="PINormal"/>
      </w:pPr>
    </w:p>
    <w:p w14:paraId="395B5CE0" w14:textId="1CBE582C" w:rsidR="007F4633" w:rsidRPr="00B55390" w:rsidRDefault="004A1AAE" w:rsidP="00D67622">
      <w:pPr>
        <w:pStyle w:val="PINormal"/>
      </w:pPr>
      <w:r w:rsidRPr="00B55390">
        <w:t xml:space="preserve">Rhinorrhea </w:t>
      </w:r>
      <w:r w:rsidR="00D83A42" w:rsidRPr="00B55390">
        <w:t xml:space="preserve">and </w:t>
      </w:r>
      <w:r w:rsidR="00A64E53" w:rsidRPr="00B55390">
        <w:t>alopecia have</w:t>
      </w:r>
      <w:r w:rsidRPr="00B55390">
        <w:t xml:space="preserve"> been reported with </w:t>
      </w:r>
      <w:r w:rsidR="00F3156C" w:rsidRPr="00B55390">
        <w:t>TECFIDERA</w:t>
      </w:r>
      <w:r w:rsidRPr="00B55390">
        <w:t xml:space="preserve"> administration in post marketing experience.</w:t>
      </w:r>
    </w:p>
    <w:p w14:paraId="0106D98A" w14:textId="77777777" w:rsidR="001A3992" w:rsidRPr="00B55390" w:rsidRDefault="001A3992" w:rsidP="00D67622">
      <w:pPr>
        <w:pStyle w:val="Heading2"/>
      </w:pPr>
      <w:r w:rsidRPr="00B55390">
        <w:t>Overdose</w:t>
      </w:r>
    </w:p>
    <w:p w14:paraId="1B49856B" w14:textId="4D495E49" w:rsidR="00451387" w:rsidRPr="00B55390" w:rsidRDefault="00451387" w:rsidP="00D67622">
      <w:pPr>
        <w:pStyle w:val="PINormal"/>
      </w:pPr>
      <w:r w:rsidRPr="00B55390">
        <w:t xml:space="preserve">Cases of overdose with TECFIDERA have been reported. There are no known therapeutic interventions to enhance elimination of </w:t>
      </w:r>
      <w:r w:rsidR="004A1AAE" w:rsidRPr="00B55390">
        <w:t>VUMERITY</w:t>
      </w:r>
      <w:r w:rsidRPr="00B55390">
        <w:t xml:space="preserve"> nor is there a known antidote. In the event of overdose, it is recommended that symptomatic supportive treatment be initiated</w:t>
      </w:r>
      <w:r w:rsidRPr="00B55390" w:rsidDel="00FB4020">
        <w:t xml:space="preserve"> </w:t>
      </w:r>
      <w:r w:rsidRPr="00B55390">
        <w:t>as clinically indicated.</w:t>
      </w:r>
    </w:p>
    <w:p w14:paraId="6E901E47" w14:textId="77777777" w:rsidR="00451387" w:rsidRPr="00B55390" w:rsidRDefault="00451387" w:rsidP="00D67622">
      <w:pPr>
        <w:pStyle w:val="PINormal"/>
      </w:pPr>
    </w:p>
    <w:p w14:paraId="2FDD6430" w14:textId="39C83FBA" w:rsidR="00775205" w:rsidRDefault="00451387" w:rsidP="00D67622">
      <w:pPr>
        <w:pStyle w:val="PINormal"/>
      </w:pPr>
      <w:r w:rsidRPr="00B55390">
        <w:t>For information on the management of overdose, contact the Poisons Information Centre on 13 11 26 (Australia).</w:t>
      </w:r>
    </w:p>
    <w:p w14:paraId="5241961D" w14:textId="77777777" w:rsidR="00426B3E" w:rsidRPr="00B55390" w:rsidRDefault="00426B3E" w:rsidP="00D67622">
      <w:pPr>
        <w:pStyle w:val="PINormal"/>
      </w:pPr>
    </w:p>
    <w:p w14:paraId="5B5940A1" w14:textId="2F1889FA" w:rsidR="001A3992" w:rsidRPr="00B55390" w:rsidRDefault="001A3992" w:rsidP="00D67622">
      <w:pPr>
        <w:pStyle w:val="Heading1"/>
        <w:rPr>
          <w:lang w:val="en-US"/>
        </w:rPr>
      </w:pPr>
      <w:r w:rsidRPr="00B55390">
        <w:rPr>
          <w:lang w:val="en-US"/>
        </w:rPr>
        <w:t>Pharmacological properties</w:t>
      </w:r>
    </w:p>
    <w:p w14:paraId="0A114D5D" w14:textId="77777777" w:rsidR="001A3992" w:rsidRPr="00B55390" w:rsidRDefault="001A3992" w:rsidP="00D67622">
      <w:pPr>
        <w:pStyle w:val="Heading2"/>
        <w:rPr>
          <w:lang w:val="en-US"/>
        </w:rPr>
      </w:pPr>
      <w:r w:rsidRPr="00B55390">
        <w:rPr>
          <w:lang w:val="en-US"/>
        </w:rPr>
        <w:t xml:space="preserve">Pharmacodynamic properties </w:t>
      </w:r>
    </w:p>
    <w:p w14:paraId="54D19956" w14:textId="77777777" w:rsidR="001A3992" w:rsidRPr="00B55390" w:rsidRDefault="001A3992" w:rsidP="00D67622">
      <w:pPr>
        <w:pStyle w:val="Heading3"/>
      </w:pPr>
      <w:r w:rsidRPr="00B55390">
        <w:t>Mechanism of action</w:t>
      </w:r>
    </w:p>
    <w:p w14:paraId="7462F583" w14:textId="77777777" w:rsidR="00476B1E" w:rsidRPr="00B55390" w:rsidRDefault="00476B1E" w:rsidP="00D67622">
      <w:pPr>
        <w:pStyle w:val="PINormal"/>
      </w:pPr>
      <w:r w:rsidRPr="00B55390">
        <w:t xml:space="preserve">The pathophysiology of MS is multifaceted and propagated through ongoing inflammatory and neurodegenerative stimuli, mediated at least in part by toxic oxidative stress. Preclinical studies indicate that diroximel fumarate pharmacodynamic responses appear to be mediated, at least in part, through activation of the </w:t>
      </w:r>
      <w:proofErr w:type="gramStart"/>
      <w:r w:rsidRPr="00B55390">
        <w:t>Nuclear</w:t>
      </w:r>
      <w:proofErr w:type="gramEnd"/>
      <w:r w:rsidRPr="00B55390">
        <w:t xml:space="preserve"> factor (erythroid-derived 2)-like 2 (Nrf2) transcriptional pathway, which is the primary cellular defense system for responding to a variety of potentially toxic stimuli through up-regulation of antioxidant response genes. Dimethyl fumarate reduces inflammatory responses in both peripheral and central cells and promotes </w:t>
      </w:r>
      <w:proofErr w:type="spellStart"/>
      <w:r w:rsidRPr="00B55390">
        <w:t>cytoprotection</w:t>
      </w:r>
      <w:proofErr w:type="spellEnd"/>
      <w:r w:rsidRPr="00B55390">
        <w:t xml:space="preserve"> of central nervous system cells against toxic oxidative damage, demonstrating effects on pathways known to exacerbate MS pathology. Dimethyl fumarate has also been shown to up</w:t>
      </w:r>
      <w:r w:rsidRPr="00B55390">
        <w:noBreakHyphen/>
        <w:t>regulate Nrf2</w:t>
      </w:r>
      <w:r w:rsidRPr="00B55390">
        <w:noBreakHyphen/>
        <w:t xml:space="preserve">dependent antioxidant genes in patients, confirming clinical pharmacodynamic activity in humans. VUMERITY and dimethyl fumarate undergo rapid hydrolysis prior to systemic circulation by </w:t>
      </w:r>
      <w:proofErr w:type="spellStart"/>
      <w:r w:rsidRPr="00B55390">
        <w:t>esterases</w:t>
      </w:r>
      <w:proofErr w:type="spellEnd"/>
      <w:r w:rsidRPr="00B55390">
        <w:t xml:space="preserve"> and are converted to the primary </w:t>
      </w:r>
      <w:r w:rsidRPr="00B55390">
        <w:lastRenderedPageBreak/>
        <w:t>active metabolite, MMF. However, the mechanism by which VUMERITY and dimethyl fumarate exert therapeutic effects in MS is not fully understood.</w:t>
      </w:r>
    </w:p>
    <w:p w14:paraId="5B520FBF" w14:textId="029F2FA3" w:rsidR="00451387" w:rsidRPr="00B55390" w:rsidRDefault="00451387" w:rsidP="00D67622">
      <w:pPr>
        <w:pStyle w:val="PINormal"/>
      </w:pPr>
    </w:p>
    <w:p w14:paraId="227FC30B" w14:textId="77777777" w:rsidR="00EC63EC" w:rsidRPr="00B55390" w:rsidRDefault="00EC63EC" w:rsidP="00D67622">
      <w:pPr>
        <w:pStyle w:val="Heading3"/>
      </w:pPr>
      <w:r w:rsidRPr="00B55390">
        <w:t>Pharmacodynamic effects</w:t>
      </w:r>
    </w:p>
    <w:p w14:paraId="7861CEFA" w14:textId="77777777" w:rsidR="00E22F85" w:rsidRPr="00B55390" w:rsidRDefault="00E22F85" w:rsidP="00D67622">
      <w:pPr>
        <w:rPr>
          <w:i/>
          <w:iCs/>
        </w:rPr>
      </w:pPr>
      <w:r w:rsidRPr="00B55390">
        <w:rPr>
          <w:i/>
          <w:iCs/>
        </w:rPr>
        <w:t xml:space="preserve">Activation of the Nuclear factor (erythroid-derived 2)-like 2 (Nrf2) Pathway </w:t>
      </w:r>
    </w:p>
    <w:p w14:paraId="5B4E472D" w14:textId="77777777" w:rsidR="00E22F85" w:rsidRPr="00B55390" w:rsidRDefault="00E22F85" w:rsidP="00D67622"/>
    <w:p w14:paraId="4E0D4CE9" w14:textId="22261F56" w:rsidR="00B370D0" w:rsidRPr="00B55390" w:rsidRDefault="00E22F85" w:rsidP="00D67622">
      <w:r w:rsidRPr="00B55390">
        <w:t xml:space="preserve">The </w:t>
      </w:r>
      <w:r w:rsidR="00691482" w:rsidRPr="00B55390">
        <w:t>diroximel fumarate</w:t>
      </w:r>
      <w:r w:rsidRPr="00B55390">
        <w:t xml:space="preserve"> and dimethyl fumarate mechanism of action appears to be mediated, at least in part, through activation of the Nrf2 </w:t>
      </w:r>
      <w:proofErr w:type="gramStart"/>
      <w:r w:rsidRPr="00B55390">
        <w:t>anti-oxidant</w:t>
      </w:r>
      <w:proofErr w:type="gramEnd"/>
      <w:r w:rsidRPr="00B55390">
        <w:t xml:space="preserve"> response pathway. Biological response markers of Nrf2 activation (</w:t>
      </w:r>
      <w:proofErr w:type="gramStart"/>
      <w:r w:rsidRPr="00B55390">
        <w:t>e.g.</w:t>
      </w:r>
      <w:proofErr w:type="gramEnd"/>
      <w:r w:rsidRPr="00B55390">
        <w:t xml:space="preserve"> NAD(P)H dehydrogenase, quinone 1 [NQO1]) are detected at elevated levels in blood from patients with MS following 12 or 48 weeks of oral dosing with dimethyl fumarate. These clinical data appear to be consistent with preclinical studies demonstrating dimethyl fumarate-dependent up-regulation of Nrf2 antioxidant response genes in multiple tissue types. The relationships between blood NQO1 levels and the mechanism(s) by which dimethyl fumarate exerts its effects in MS are unknown.</w:t>
      </w:r>
    </w:p>
    <w:p w14:paraId="60DEDE0D" w14:textId="77777777" w:rsidR="00B370D0" w:rsidRPr="00B55390" w:rsidRDefault="00B370D0" w:rsidP="00D67622"/>
    <w:p w14:paraId="2CEDC933" w14:textId="6F4C6580" w:rsidR="00EC63EC" w:rsidRPr="00B55390" w:rsidRDefault="00EC63EC" w:rsidP="00D67622">
      <w:pPr>
        <w:rPr>
          <w:i/>
          <w:iCs/>
        </w:rPr>
      </w:pPr>
      <w:r w:rsidRPr="00B55390">
        <w:rPr>
          <w:i/>
          <w:iCs/>
        </w:rPr>
        <w:t>Effects on Immune System</w:t>
      </w:r>
    </w:p>
    <w:p w14:paraId="394C810B" w14:textId="77777777" w:rsidR="00EC63EC" w:rsidRPr="00B55390" w:rsidRDefault="00EC63EC" w:rsidP="00D67622"/>
    <w:p w14:paraId="46FF62D4" w14:textId="5B36280B" w:rsidR="00EC63EC" w:rsidRPr="00B55390" w:rsidRDefault="00EC63EC" w:rsidP="00D67622">
      <w:r w:rsidRPr="00B55390">
        <w:t xml:space="preserve">In preclinical and clinical studies, </w:t>
      </w:r>
      <w:r w:rsidR="00B54161" w:rsidRPr="00B55390">
        <w:t>dimethyl fumarate</w:t>
      </w:r>
      <w:r w:rsidR="008C1615" w:rsidRPr="00B55390">
        <w:t xml:space="preserve"> </w:t>
      </w:r>
      <w:r w:rsidRPr="00B55390">
        <w:t xml:space="preserve">demonstrates anti-inflammatory and immunomodulatory properties. </w:t>
      </w:r>
      <w:r w:rsidR="00B54161" w:rsidRPr="00B55390">
        <w:t>Dimethyl fumarate</w:t>
      </w:r>
      <w:r w:rsidRPr="00B55390">
        <w:t xml:space="preserve"> and </w:t>
      </w:r>
      <w:r w:rsidR="00837054" w:rsidRPr="00B55390">
        <w:t>monomethyl fumarate</w:t>
      </w:r>
      <w:r w:rsidR="000E268A" w:rsidRPr="00B55390">
        <w:t xml:space="preserve"> </w:t>
      </w:r>
      <w:r w:rsidRPr="00B55390">
        <w:t xml:space="preserve">(the active metabolite of </w:t>
      </w:r>
      <w:r w:rsidR="00B54161" w:rsidRPr="00B55390">
        <w:t>diroximel fumarate</w:t>
      </w:r>
      <w:r w:rsidRPr="00B55390">
        <w:t xml:space="preserve"> and </w:t>
      </w:r>
      <w:r w:rsidR="00B54161" w:rsidRPr="00B55390">
        <w:t>dimethyl fumarate</w:t>
      </w:r>
      <w:r w:rsidRPr="00B55390">
        <w:t>) significantly reduce immune cell activation and subsequent release of pro-inflammatory cytokines in response to inflammatory stimuli, and moreover affects lymphocyte phenotypes through a down-regulation of pro-inflammatory cytokine profiles (T</w:t>
      </w:r>
      <w:r w:rsidRPr="00B55390">
        <w:rPr>
          <w:vertAlign w:val="subscript"/>
        </w:rPr>
        <w:t>H</w:t>
      </w:r>
      <w:r w:rsidRPr="00B55390">
        <w:t>1, T</w:t>
      </w:r>
      <w:r w:rsidRPr="00B55390">
        <w:rPr>
          <w:vertAlign w:val="subscript"/>
        </w:rPr>
        <w:t>H</w:t>
      </w:r>
      <w:r w:rsidRPr="00B55390">
        <w:t>17), and biases towards anti-inflammatory production (T</w:t>
      </w:r>
      <w:r w:rsidRPr="00B55390">
        <w:rPr>
          <w:vertAlign w:val="subscript"/>
        </w:rPr>
        <w:t>H</w:t>
      </w:r>
      <w:r w:rsidRPr="00B55390">
        <w:t xml:space="preserve">2). </w:t>
      </w:r>
      <w:r w:rsidR="00B54161" w:rsidRPr="00B55390">
        <w:t>Dimethyl fumarate</w:t>
      </w:r>
      <w:r w:rsidRPr="00B55390">
        <w:t xml:space="preserve"> demonstrates therapeutic activity in multiple models of inflammatory and neuroinflammatory injury, </w:t>
      </w:r>
      <w:proofErr w:type="gramStart"/>
      <w:r w:rsidRPr="00B55390">
        <w:t>and also</w:t>
      </w:r>
      <w:proofErr w:type="gramEnd"/>
      <w:r w:rsidRPr="00B55390">
        <w:t xml:space="preserve"> appears to promote improvement in blood brain barrier integrity. </w:t>
      </w:r>
      <w:proofErr w:type="gramStart"/>
      <w:r w:rsidRPr="00B55390">
        <w:t>All of</w:t>
      </w:r>
      <w:proofErr w:type="gramEnd"/>
      <w:r w:rsidRPr="00B55390">
        <w:t xml:space="preserve"> these anti-inflammatory effects appear consistent with the significant clinical activity of </w:t>
      </w:r>
      <w:r w:rsidR="00B54161" w:rsidRPr="00B55390">
        <w:t>diroximel fumarate</w:t>
      </w:r>
      <w:r w:rsidR="008C1615" w:rsidRPr="00B55390">
        <w:t xml:space="preserve"> </w:t>
      </w:r>
      <w:r w:rsidRPr="00B55390">
        <w:t xml:space="preserve">and </w:t>
      </w:r>
      <w:r w:rsidR="00B54161" w:rsidRPr="00B55390">
        <w:t>dimethyl fumarate</w:t>
      </w:r>
      <w:r w:rsidRPr="00B55390">
        <w:t xml:space="preserve"> in reducing brain lesions and relapses in MS patients. </w:t>
      </w:r>
    </w:p>
    <w:p w14:paraId="4E7F4511" w14:textId="77777777" w:rsidR="00EC63EC" w:rsidRPr="00B55390" w:rsidRDefault="00EC63EC" w:rsidP="00D67622"/>
    <w:p w14:paraId="03898628" w14:textId="77777777" w:rsidR="00EC63EC" w:rsidRPr="00B55390" w:rsidRDefault="00EC63EC" w:rsidP="00D67622">
      <w:pPr>
        <w:rPr>
          <w:i/>
          <w:iCs/>
        </w:rPr>
      </w:pPr>
      <w:r w:rsidRPr="00B55390">
        <w:rPr>
          <w:i/>
          <w:iCs/>
        </w:rPr>
        <w:t>Effects on Central Nervous System</w:t>
      </w:r>
    </w:p>
    <w:p w14:paraId="4DEC4C00" w14:textId="77777777" w:rsidR="00EC63EC" w:rsidRPr="00B55390" w:rsidRDefault="00EC63EC" w:rsidP="00D67622"/>
    <w:p w14:paraId="7D2C80ED" w14:textId="65244180" w:rsidR="00EC63EC" w:rsidRPr="00B55390" w:rsidRDefault="00EC63EC" w:rsidP="00D67622">
      <w:r w:rsidRPr="00B55390">
        <w:t xml:space="preserve">In preclinical and clinical studies </w:t>
      </w:r>
      <w:r w:rsidR="00837054" w:rsidRPr="00B55390">
        <w:t>monomethyl fumarate</w:t>
      </w:r>
      <w:r w:rsidR="00D12A7D" w:rsidRPr="00B55390">
        <w:t xml:space="preserve"> </w:t>
      </w:r>
      <w:proofErr w:type="gramStart"/>
      <w:r w:rsidRPr="00B55390">
        <w:t>is able to</w:t>
      </w:r>
      <w:proofErr w:type="gramEnd"/>
      <w:r w:rsidRPr="00B55390">
        <w:t xml:space="preserve"> penetrate into the central nervous system where it promotes cyto- and neuro-protective responses. </w:t>
      </w:r>
      <w:r w:rsidR="000A0A02" w:rsidRPr="00B55390">
        <w:t>D</w:t>
      </w:r>
      <w:r w:rsidR="00B54161" w:rsidRPr="00B55390">
        <w:t>imethyl fumarate</w:t>
      </w:r>
      <w:r w:rsidRPr="00B55390">
        <w:t xml:space="preserve"> and </w:t>
      </w:r>
      <w:r w:rsidR="00837054" w:rsidRPr="00B55390">
        <w:t>monomethyl fumarate</w:t>
      </w:r>
      <w:r w:rsidR="00295C84" w:rsidRPr="00B55390">
        <w:t xml:space="preserve"> </w:t>
      </w:r>
      <w:r w:rsidRPr="00B55390">
        <w:t xml:space="preserve">significantly improve cell viability after oxidative challenge in primary cultures of astrocytes and neurons, suggesting </w:t>
      </w:r>
      <w:r w:rsidR="00837054" w:rsidRPr="00B55390">
        <w:t>monomethyl fumarate</w:t>
      </w:r>
      <w:r w:rsidR="000E268A" w:rsidRPr="00B55390">
        <w:t xml:space="preserve"> </w:t>
      </w:r>
      <w:r w:rsidRPr="00B55390">
        <w:t xml:space="preserve">and </w:t>
      </w:r>
      <w:r w:rsidR="00B54161" w:rsidRPr="00B55390">
        <w:t>dimethyl fumarate</w:t>
      </w:r>
      <w:r w:rsidR="008C1615" w:rsidRPr="00B55390">
        <w:t xml:space="preserve"> </w:t>
      </w:r>
      <w:r w:rsidRPr="00B55390">
        <w:t xml:space="preserve">directly prevent neurodegeneration in response to toxic stress. Acute neurotoxic injury models and genetic models of neurodegenerative disease confirm that </w:t>
      </w:r>
      <w:r w:rsidR="00B54161" w:rsidRPr="00B55390">
        <w:t>dimethyl fumarate</w:t>
      </w:r>
      <w:r w:rsidR="008C1615" w:rsidRPr="00B55390">
        <w:t xml:space="preserve"> </w:t>
      </w:r>
      <w:r w:rsidRPr="00B55390">
        <w:t xml:space="preserve">provides therapeutic benefit in reducing neuronal and functional damage resulting from various types of toxic stimuli and other forms of cellular stress inherent in neurodegenerative disease states. These preclinical data combined with imaging and functional endpoints from clinical studies suggest </w:t>
      </w:r>
      <w:r w:rsidR="00B54161" w:rsidRPr="00B55390">
        <w:t>dimethyl fumarate</w:t>
      </w:r>
      <w:r w:rsidR="008C1615" w:rsidRPr="00B55390">
        <w:t xml:space="preserve"> </w:t>
      </w:r>
      <w:r w:rsidRPr="00B55390">
        <w:t xml:space="preserve">and </w:t>
      </w:r>
      <w:r w:rsidR="00B54161" w:rsidRPr="00B55390">
        <w:t>diroximel fumarate</w:t>
      </w:r>
      <w:r w:rsidR="000160DA" w:rsidRPr="00B55390">
        <w:t xml:space="preserve"> </w:t>
      </w:r>
      <w:r w:rsidRPr="00B55390">
        <w:t>may promote a neuroprotective benefit in the central nervous system.</w:t>
      </w:r>
    </w:p>
    <w:p w14:paraId="2F5AF7A3" w14:textId="77777777" w:rsidR="00EC63EC" w:rsidRPr="00B55390" w:rsidRDefault="00EC63EC" w:rsidP="00D67622"/>
    <w:p w14:paraId="4FDB05A6" w14:textId="77777777" w:rsidR="00EC63EC" w:rsidRPr="00B55390" w:rsidRDefault="00EC63EC" w:rsidP="00D67622">
      <w:pPr>
        <w:rPr>
          <w:i/>
          <w:iCs/>
        </w:rPr>
      </w:pPr>
      <w:r w:rsidRPr="00B55390">
        <w:rPr>
          <w:i/>
          <w:iCs/>
        </w:rPr>
        <w:t>Effects on Gastrointestinal System</w:t>
      </w:r>
    </w:p>
    <w:p w14:paraId="20749E8D" w14:textId="77777777" w:rsidR="00EC63EC" w:rsidRPr="00B55390" w:rsidRDefault="00EC63EC" w:rsidP="00D67622"/>
    <w:p w14:paraId="34F35A9E" w14:textId="47BEFD2B" w:rsidR="00EC63EC" w:rsidRPr="00B55390" w:rsidRDefault="00EC63EC" w:rsidP="00D67622">
      <w:r w:rsidRPr="00B55390">
        <w:t xml:space="preserve">In a double-blind clinical study comparing GI tolerability of </w:t>
      </w:r>
      <w:r w:rsidR="00B54161" w:rsidRPr="00B55390">
        <w:t>diroximel fumarate</w:t>
      </w:r>
      <w:r w:rsidR="008C1615" w:rsidRPr="00B55390">
        <w:t xml:space="preserve"> </w:t>
      </w:r>
      <w:r w:rsidRPr="00B55390">
        <w:t xml:space="preserve">versus </w:t>
      </w:r>
      <w:r w:rsidR="00B54161" w:rsidRPr="00B55390">
        <w:t>dimethyl fumarate</w:t>
      </w:r>
      <w:r w:rsidRPr="00B55390">
        <w:t xml:space="preserve">, </w:t>
      </w:r>
      <w:r w:rsidR="00B54161" w:rsidRPr="00B55390">
        <w:t>diroximel fumarate</w:t>
      </w:r>
      <w:r w:rsidR="000160DA" w:rsidRPr="00B55390">
        <w:t xml:space="preserve"> </w:t>
      </w:r>
      <w:r w:rsidRPr="00B55390">
        <w:t xml:space="preserve">demonstrated reduced incidence and severity of GI adverse events, as well as GI adverse events leading to treatment discontinuation, compared to </w:t>
      </w:r>
      <w:r w:rsidR="00B54161" w:rsidRPr="00B55390">
        <w:t>dimethyl fumarate</w:t>
      </w:r>
      <w:r w:rsidRPr="00B55390">
        <w:t xml:space="preserve"> (See Section </w:t>
      </w:r>
      <w:r w:rsidR="003614D8" w:rsidRPr="00B55390">
        <w:t>4.8</w:t>
      </w:r>
      <w:r w:rsidR="00C55946" w:rsidRPr="00B55390">
        <w:t xml:space="preserve"> Adverse Effects</w:t>
      </w:r>
      <w:r w:rsidR="00E84E9C" w:rsidRPr="00B55390">
        <w:t xml:space="preserve"> [Undesirable effects]</w:t>
      </w:r>
      <w:r w:rsidRPr="00B55390">
        <w:t xml:space="preserve">). The mechanism by which </w:t>
      </w:r>
      <w:r w:rsidR="00B54161" w:rsidRPr="00B55390">
        <w:t>diroximel fumarate</w:t>
      </w:r>
      <w:r w:rsidR="008C1615" w:rsidRPr="00B55390">
        <w:t xml:space="preserve"> </w:t>
      </w:r>
      <w:r w:rsidRPr="00B55390">
        <w:t xml:space="preserve">and </w:t>
      </w:r>
      <w:r w:rsidR="00B54161" w:rsidRPr="00B55390">
        <w:t>dimethyl fumarate</w:t>
      </w:r>
      <w:r w:rsidR="008C1615" w:rsidRPr="00B55390">
        <w:t xml:space="preserve"> </w:t>
      </w:r>
      <w:r w:rsidRPr="00B55390">
        <w:t xml:space="preserve">induce GI tolerability adverse events is unknown. </w:t>
      </w:r>
      <w:r w:rsidR="003F2B10" w:rsidRPr="00B55390">
        <w:t>D</w:t>
      </w:r>
      <w:r w:rsidR="00B54161" w:rsidRPr="00B55390">
        <w:t>iroximel fumarate</w:t>
      </w:r>
      <w:r w:rsidR="003E4F48" w:rsidRPr="00B55390">
        <w:t xml:space="preserve"> </w:t>
      </w:r>
      <w:r w:rsidRPr="00B55390">
        <w:t xml:space="preserve">has a distinct chemical structure, and together with the data from clinical studies demonstrating an improvement in GI tolerability compared to </w:t>
      </w:r>
      <w:r w:rsidR="00B54161" w:rsidRPr="00B55390">
        <w:t xml:space="preserve">dimethyl </w:t>
      </w:r>
      <w:r w:rsidR="00B54161" w:rsidRPr="00B55390">
        <w:lastRenderedPageBreak/>
        <w:t>fumarate</w:t>
      </w:r>
      <w:r w:rsidRPr="00B55390">
        <w:t xml:space="preserve"> suggest the chemical structure of </w:t>
      </w:r>
      <w:r w:rsidR="00B54161" w:rsidRPr="00B55390">
        <w:t>diroximel fumarate</w:t>
      </w:r>
      <w:r w:rsidR="003E4F48" w:rsidRPr="00B55390">
        <w:t xml:space="preserve"> </w:t>
      </w:r>
      <w:r w:rsidRPr="00B55390">
        <w:t>may contribute to a favo</w:t>
      </w:r>
      <w:r w:rsidR="006F3175" w:rsidRPr="00B55390">
        <w:t>u</w:t>
      </w:r>
      <w:r w:rsidRPr="00B55390">
        <w:t>rable GI tolerability profile.</w:t>
      </w:r>
    </w:p>
    <w:p w14:paraId="76E83F9A" w14:textId="77777777" w:rsidR="00EC63EC" w:rsidRPr="00B55390" w:rsidRDefault="00EC63EC" w:rsidP="00D67622"/>
    <w:p w14:paraId="46DCFFD7" w14:textId="77777777" w:rsidR="00EC63EC" w:rsidRPr="00B55390" w:rsidRDefault="00EC63EC" w:rsidP="00D67622">
      <w:pPr>
        <w:rPr>
          <w:i/>
          <w:iCs/>
        </w:rPr>
      </w:pPr>
      <w:r w:rsidRPr="00B55390">
        <w:rPr>
          <w:i/>
          <w:iCs/>
        </w:rPr>
        <w:t>Effect on Cardiovascular System</w:t>
      </w:r>
    </w:p>
    <w:p w14:paraId="274FAF8D" w14:textId="77777777" w:rsidR="00EC63EC" w:rsidRPr="00B55390" w:rsidRDefault="00EC63EC" w:rsidP="00D67622"/>
    <w:p w14:paraId="370E82E6" w14:textId="6AD57A30" w:rsidR="00EC63EC" w:rsidRPr="00B55390" w:rsidRDefault="00EC63EC" w:rsidP="00D67622">
      <w:r w:rsidRPr="00B55390">
        <w:t xml:space="preserve">In a double-blind, placebo- and active-controlled thorough QT study in healthy volunteers, </w:t>
      </w:r>
      <w:r w:rsidR="00B54161" w:rsidRPr="00B55390">
        <w:t>diroximel fumarate</w:t>
      </w:r>
      <w:r w:rsidR="003E4F48" w:rsidRPr="00B55390">
        <w:t xml:space="preserve"> </w:t>
      </w:r>
      <w:r w:rsidRPr="00B55390">
        <w:t>up to 2 times the recommended doses (924 mg twice a day) did not have a clinically relevant effect on QTc interval.</w:t>
      </w:r>
    </w:p>
    <w:p w14:paraId="42C080C1" w14:textId="77777777" w:rsidR="00EC63EC" w:rsidRPr="00B55390" w:rsidRDefault="00EC63EC" w:rsidP="00D67622"/>
    <w:p w14:paraId="6E1845BA" w14:textId="77777777" w:rsidR="00EC63EC" w:rsidRPr="00B55390" w:rsidRDefault="00EC63EC" w:rsidP="00D67622">
      <w:pPr>
        <w:rPr>
          <w:i/>
          <w:iCs/>
        </w:rPr>
      </w:pPr>
      <w:r w:rsidRPr="00B55390">
        <w:rPr>
          <w:i/>
          <w:iCs/>
        </w:rPr>
        <w:t>Effects of metabolite HES</w:t>
      </w:r>
    </w:p>
    <w:p w14:paraId="3437D3B4" w14:textId="77777777" w:rsidR="00EC63EC" w:rsidRPr="00B55390" w:rsidRDefault="00EC63EC" w:rsidP="00D67622"/>
    <w:p w14:paraId="2FF343E0" w14:textId="15A8F177" w:rsidR="00EC63EC" w:rsidRPr="00B55390" w:rsidRDefault="00EC63EC" w:rsidP="00DE3056">
      <w:r w:rsidRPr="00B55390">
        <w:t xml:space="preserve">HES is a major inactive metabolite of </w:t>
      </w:r>
      <w:r w:rsidR="00B54161" w:rsidRPr="00B55390">
        <w:t>diroximel fumarate</w:t>
      </w:r>
      <w:r w:rsidRPr="00B55390">
        <w:t xml:space="preserve">. In </w:t>
      </w:r>
      <w:r w:rsidRPr="00B55390">
        <w:rPr>
          <w:i/>
          <w:iCs/>
        </w:rPr>
        <w:t>in vitro</w:t>
      </w:r>
      <w:r w:rsidRPr="00B55390">
        <w:t xml:space="preserve"> studies, HES demonstrated no biological activities at concentrations </w:t>
      </w:r>
      <w:proofErr w:type="gramStart"/>
      <w:r w:rsidRPr="00B55390">
        <w:t>similar to</w:t>
      </w:r>
      <w:proofErr w:type="gramEnd"/>
      <w:r w:rsidRPr="00B55390">
        <w:t xml:space="preserve"> and exceeding those seen clinically and was not shown to interfere with biological activity of </w:t>
      </w:r>
      <w:r w:rsidR="00837054" w:rsidRPr="00B55390">
        <w:t>monomethyl fumarate</w:t>
      </w:r>
      <w:r w:rsidRPr="00B55390">
        <w:t xml:space="preserve">. To assess the potential impact of HES on efficacy </w:t>
      </w:r>
      <w:r w:rsidRPr="00B55390">
        <w:rPr>
          <w:i/>
          <w:iCs/>
        </w:rPr>
        <w:t>in vivo</w:t>
      </w:r>
      <w:r w:rsidRPr="00B55390">
        <w:t xml:space="preserve">, </w:t>
      </w:r>
      <w:r w:rsidR="00B54161" w:rsidRPr="00B55390">
        <w:t>diroximel fumarate</w:t>
      </w:r>
      <w:r w:rsidR="00B53B22" w:rsidRPr="00B55390">
        <w:t xml:space="preserve"> </w:t>
      </w:r>
      <w:r w:rsidRPr="00B55390">
        <w:t xml:space="preserve">was tested compared to </w:t>
      </w:r>
      <w:r w:rsidR="00B54161" w:rsidRPr="00B55390">
        <w:t>dimethyl fumarate</w:t>
      </w:r>
      <w:r w:rsidR="008C1615" w:rsidRPr="00B55390">
        <w:t xml:space="preserve"> </w:t>
      </w:r>
      <w:r w:rsidRPr="00B55390">
        <w:t xml:space="preserve">in a standard rat model of MS and </w:t>
      </w:r>
      <w:r w:rsidR="00B54161" w:rsidRPr="00B55390">
        <w:t>diroximel fumarate</w:t>
      </w:r>
      <w:r w:rsidR="00B53B22" w:rsidRPr="00B55390">
        <w:t xml:space="preserve"> </w:t>
      </w:r>
      <w:r w:rsidRPr="00B55390">
        <w:t xml:space="preserve">and </w:t>
      </w:r>
      <w:r w:rsidR="00B54161" w:rsidRPr="00B55390">
        <w:t>dimethyl fumarate</w:t>
      </w:r>
      <w:r w:rsidR="008C1615" w:rsidRPr="00B55390">
        <w:t xml:space="preserve"> </w:t>
      </w:r>
      <w:r w:rsidRPr="00B55390">
        <w:t xml:space="preserve">were found to have similar efficacy, demonstrating that HES does not interfere with efficacy </w:t>
      </w:r>
      <w:r w:rsidRPr="00B55390">
        <w:rPr>
          <w:i/>
          <w:iCs/>
        </w:rPr>
        <w:t>in vivo</w:t>
      </w:r>
      <w:r w:rsidRPr="00B55390">
        <w:t xml:space="preserve">. In the interim analysis of the ongoing, 96-week clinical study of </w:t>
      </w:r>
      <w:r w:rsidR="00B54161" w:rsidRPr="00B55390">
        <w:t>diroximel fumarate</w:t>
      </w:r>
      <w:r w:rsidR="00B53B22" w:rsidRPr="00B55390">
        <w:t xml:space="preserve"> </w:t>
      </w:r>
      <w:r w:rsidRPr="00B55390">
        <w:t xml:space="preserve">in patients with MS, HES did not appear to have any clinically relevant impact on the safety profile of </w:t>
      </w:r>
      <w:r w:rsidR="00B54161" w:rsidRPr="00B55390">
        <w:t>diroximel fumarate</w:t>
      </w:r>
      <w:r w:rsidRPr="00B55390">
        <w:t>.</w:t>
      </w:r>
    </w:p>
    <w:p w14:paraId="01239FD5" w14:textId="435C644F" w:rsidR="00EB412E" w:rsidRPr="00B55390" w:rsidRDefault="00962BCD" w:rsidP="00D67622">
      <w:pPr>
        <w:pStyle w:val="PINormal"/>
      </w:pPr>
      <w:r w:rsidRPr="00B55390" w:rsidDel="00EC63EC">
        <w:t xml:space="preserve"> </w:t>
      </w:r>
      <w:bookmarkStart w:id="11" w:name="g292fc4e6-d658-4326-8953-e19ea8c32836"/>
      <w:bookmarkStart w:id="12" w:name="gf2a5670c-24a3-4527-a8b4-2228315a0d13"/>
      <w:bookmarkStart w:id="13" w:name="gc5166ec4-97f0-49c1-8b1e-453958f67431"/>
      <w:bookmarkStart w:id="14" w:name="g20864cda-d3a0-4d8e-9821-17aa198091cf"/>
      <w:bookmarkEnd w:id="11"/>
      <w:bookmarkEnd w:id="12"/>
      <w:bookmarkEnd w:id="13"/>
      <w:bookmarkEnd w:id="14"/>
    </w:p>
    <w:p w14:paraId="4EB762E7" w14:textId="77777777" w:rsidR="001A3992" w:rsidRPr="00B55390" w:rsidRDefault="001A3992" w:rsidP="00D67622">
      <w:pPr>
        <w:pStyle w:val="Heading3"/>
        <w:rPr>
          <w:lang w:val="en-US"/>
        </w:rPr>
      </w:pPr>
      <w:r w:rsidRPr="00B55390">
        <w:t>Clinical</w:t>
      </w:r>
      <w:r w:rsidRPr="00B55390">
        <w:rPr>
          <w:lang w:val="en-US"/>
        </w:rPr>
        <w:t xml:space="preserve"> trials</w:t>
      </w:r>
    </w:p>
    <w:p w14:paraId="5F0C76FF" w14:textId="368F7205" w:rsidR="00EC63EC" w:rsidRPr="00B55390" w:rsidRDefault="00EC63EC" w:rsidP="00D67622">
      <w:r w:rsidRPr="00B55390">
        <w:t xml:space="preserve">VUMERITY and </w:t>
      </w:r>
      <w:r w:rsidR="00A00332" w:rsidRPr="00B55390">
        <w:t>TECFIDERA</w:t>
      </w:r>
      <w:r w:rsidRPr="00B55390">
        <w:t xml:space="preserve"> are rapidly metaboli</w:t>
      </w:r>
      <w:r w:rsidR="00E72794" w:rsidRPr="00B55390">
        <w:t>s</w:t>
      </w:r>
      <w:r w:rsidRPr="00B55390">
        <w:t xml:space="preserve">ed by </w:t>
      </w:r>
      <w:proofErr w:type="spellStart"/>
      <w:r w:rsidRPr="00B55390">
        <w:t>esterases</w:t>
      </w:r>
      <w:proofErr w:type="spellEnd"/>
      <w:r w:rsidRPr="00B55390">
        <w:t xml:space="preserve"> before they reach the systemic circulation to the same active metabolite, </w:t>
      </w:r>
      <w:r w:rsidR="00837054" w:rsidRPr="00B55390">
        <w:t>monomethyl fumarate</w:t>
      </w:r>
      <w:r w:rsidRPr="00B55390">
        <w:t xml:space="preserve">, upon oral administration. The PK comparability of VUMERITY to </w:t>
      </w:r>
      <w:r w:rsidR="00A32065" w:rsidRPr="00B55390">
        <w:t>TECFIDERA</w:t>
      </w:r>
      <w:r w:rsidRPr="00B55390">
        <w:t xml:space="preserve"> through the analysis of </w:t>
      </w:r>
      <w:r w:rsidR="00837054" w:rsidRPr="00B55390">
        <w:t>monomethyl fumarate</w:t>
      </w:r>
      <w:r w:rsidRPr="00B55390">
        <w:t xml:space="preserve"> exposure has been demonstrated (See Section </w:t>
      </w:r>
      <w:r w:rsidR="006B3116" w:rsidRPr="00B55390">
        <w:t>5</w:t>
      </w:r>
      <w:r w:rsidRPr="00B55390">
        <w:t>.</w:t>
      </w:r>
      <w:r w:rsidR="00FA725D" w:rsidRPr="00B55390">
        <w:t>2</w:t>
      </w:r>
      <w:r w:rsidR="00E95C20" w:rsidRPr="00E95C20">
        <w:t xml:space="preserve"> Pharmacokinetic properties</w:t>
      </w:r>
      <w:r w:rsidR="00FA725D" w:rsidRPr="00B55390">
        <w:t>)</w:t>
      </w:r>
      <w:r w:rsidRPr="00B55390">
        <w:t>.</w:t>
      </w:r>
    </w:p>
    <w:p w14:paraId="7C3DF943" w14:textId="77777777" w:rsidR="00EC63EC" w:rsidRPr="00B55390" w:rsidRDefault="00EC63EC" w:rsidP="00D67622"/>
    <w:p w14:paraId="70907D5E" w14:textId="54DEF438" w:rsidR="00EC63EC" w:rsidRPr="00B55390" w:rsidRDefault="00EC63EC" w:rsidP="00D67622">
      <w:r w:rsidRPr="00B55390">
        <w:t xml:space="preserve">The clinical studies described in the following sections were conducted using </w:t>
      </w:r>
      <w:r w:rsidR="00BA687E" w:rsidRPr="00B55390">
        <w:t>TECFIDERA</w:t>
      </w:r>
      <w:r w:rsidRPr="00B55390">
        <w:t>.</w:t>
      </w:r>
    </w:p>
    <w:p w14:paraId="24988939" w14:textId="77777777" w:rsidR="00EC63EC" w:rsidRPr="00B55390" w:rsidRDefault="00EC63EC" w:rsidP="00D67622"/>
    <w:p w14:paraId="7F32788C" w14:textId="099DA77E" w:rsidR="00DC6048" w:rsidRPr="00B55390" w:rsidRDefault="00DC6048" w:rsidP="00D67622">
      <w:pPr>
        <w:pStyle w:val="PINormal"/>
      </w:pPr>
      <w:r w:rsidRPr="00B55390">
        <w:t xml:space="preserve">The efficacy and safety of TECFIDERA was demonstrated in </w:t>
      </w:r>
      <w:r w:rsidR="00C279FE" w:rsidRPr="00B55390">
        <w:t>three</w:t>
      </w:r>
      <w:r w:rsidR="00EC63EC" w:rsidRPr="00B55390">
        <w:t xml:space="preserve"> </w:t>
      </w:r>
      <w:r w:rsidRPr="00B55390">
        <w:t xml:space="preserve">studies that evaluated TECFIDERA taken either twice or three times a day in patients with relapsing-remitting multiple sclerosis (RRMS). The starting dose for TECFIDERA was 120 mg twice or three times a day for the first 7 days, followed by an increase to either 240 mg twice or three times a day. </w:t>
      </w:r>
      <w:r w:rsidR="00EC63EC" w:rsidRPr="00B55390">
        <w:t xml:space="preserve">Two of the </w:t>
      </w:r>
      <w:r w:rsidR="00C279FE" w:rsidRPr="00B55390">
        <w:t>three</w:t>
      </w:r>
      <w:r w:rsidR="00EC63EC" w:rsidRPr="00B55390">
        <w:t xml:space="preserve"> studies (Study 1 and Study 2) </w:t>
      </w:r>
      <w:r w:rsidRPr="00B55390">
        <w:t xml:space="preserve">included patients with Expanded Disability Status Scale (EDSS) scores ranging from 0 to 5, who had experienced at least 1 relapse during the year prior to </w:t>
      </w:r>
      <w:proofErr w:type="spellStart"/>
      <w:r w:rsidRPr="00B55390">
        <w:t>randomisation</w:t>
      </w:r>
      <w:proofErr w:type="spellEnd"/>
      <w:r w:rsidRPr="00B55390">
        <w:t xml:space="preserve">, or, within 6 weeks of </w:t>
      </w:r>
      <w:proofErr w:type="spellStart"/>
      <w:r w:rsidRPr="00B55390">
        <w:t>randomisation</w:t>
      </w:r>
      <w:proofErr w:type="spellEnd"/>
      <w:r w:rsidRPr="00B55390">
        <w:t xml:space="preserve"> had a brain Magnetic Resonance Imaging (MRI) demonstrating at least one gadolinium-enhancing (Gd+) lesion.  </w:t>
      </w:r>
    </w:p>
    <w:p w14:paraId="4E479143" w14:textId="77777777" w:rsidR="00DC6048" w:rsidRPr="00B55390" w:rsidRDefault="00DC6048" w:rsidP="00D67622">
      <w:pPr>
        <w:pStyle w:val="PINormal"/>
      </w:pPr>
    </w:p>
    <w:p w14:paraId="153FF743" w14:textId="77777777" w:rsidR="00EC63EC" w:rsidRPr="00B55390" w:rsidRDefault="00DC6048" w:rsidP="00D67622">
      <w:pPr>
        <w:pStyle w:val="PINormal"/>
      </w:pPr>
      <w:r w:rsidRPr="00B55390">
        <w:t xml:space="preserve">Study 1 (DEFINE) was a 2-year </w:t>
      </w:r>
      <w:proofErr w:type="spellStart"/>
      <w:r w:rsidRPr="00B55390">
        <w:t>randomised</w:t>
      </w:r>
      <w:proofErr w:type="spellEnd"/>
      <w:r w:rsidRPr="00B55390">
        <w:t xml:space="preserve">, double-blind, placebo-controlled study in 1234 patients with RRMS who had not received interferon-beta or glatiramer acetate (GA) for at least the previous 3 months or natalizumab for at least the previous 6 months. Neurological evaluations were performed at baseline, every 3 months and at time of suspected relapse. MRI evaluations were performed at baseline, month 6, and year 1 and 2. </w:t>
      </w:r>
    </w:p>
    <w:p w14:paraId="061BE410" w14:textId="77777777" w:rsidR="00EC63EC" w:rsidRPr="00B55390" w:rsidRDefault="00EC63EC" w:rsidP="00D67622">
      <w:pPr>
        <w:pStyle w:val="PINormal"/>
      </w:pPr>
    </w:p>
    <w:p w14:paraId="2A9CA1AA" w14:textId="0272744E" w:rsidR="00DC6048" w:rsidRPr="00B55390" w:rsidRDefault="00DC6048" w:rsidP="00D67622">
      <w:pPr>
        <w:pStyle w:val="PINormal"/>
      </w:pPr>
      <w:r w:rsidRPr="00B55390">
        <w:t xml:space="preserve">The primary endpoint in Study 1 was the reduction in the proportion of patients relapsed at 2 years. Patients were </w:t>
      </w:r>
      <w:proofErr w:type="spellStart"/>
      <w:r w:rsidRPr="00B55390">
        <w:t>randomised</w:t>
      </w:r>
      <w:proofErr w:type="spellEnd"/>
      <w:r w:rsidRPr="00B55390">
        <w:t xml:space="preserve"> to receive TECFIDERA 240 mg twice a day (n=410), TECFIDERA 240 mg three times a day (n=416), or placebo (n=408) for up to 2 years. Median age: 39 years, median years since diagnosis: 4.0 years and median EDSS score at baseline: 2.0.  </w:t>
      </w:r>
      <w:r w:rsidR="00901797" w:rsidRPr="00B55390">
        <w:t>Median time on study was 84 weeks on 240 mg twice a day, 83 weeks on 240 mg three times a day and 85 weeks on placebo.</w:t>
      </w:r>
      <w:r w:rsidRPr="00B55390">
        <w:t xml:space="preserve">  </w:t>
      </w:r>
    </w:p>
    <w:p w14:paraId="55F2C6EE" w14:textId="77777777" w:rsidR="00DC6048" w:rsidRPr="00B55390" w:rsidRDefault="00DC6048" w:rsidP="00D67622">
      <w:pPr>
        <w:pStyle w:val="PINormal"/>
      </w:pPr>
    </w:p>
    <w:p w14:paraId="5DC67FEF" w14:textId="7BE48A48" w:rsidR="00DC6048" w:rsidRPr="00B55390" w:rsidRDefault="00DC6048" w:rsidP="00D67622">
      <w:pPr>
        <w:pStyle w:val="PINormal"/>
      </w:pPr>
      <w:r w:rsidRPr="00B55390">
        <w:lastRenderedPageBreak/>
        <w:t xml:space="preserve">The proportion of patients relapsed was significantly lower in the group treated with TECFIDERA than in the group treated with placebo at 2 years. Secondary endpoints at 2 years included the number of new or newly enlarging T2 hyperintense lesions, number of Gd-enhancing lesions, </w:t>
      </w:r>
      <w:proofErr w:type="spellStart"/>
      <w:r w:rsidRPr="00B55390">
        <w:t>annualised</w:t>
      </w:r>
      <w:proofErr w:type="spellEnd"/>
      <w:r w:rsidRPr="00B55390">
        <w:t xml:space="preserve"> relapse rate (ARR), and time to confirmed disability progression. Confirmed disability progression was defined as at least a </w:t>
      </w:r>
      <w:proofErr w:type="gramStart"/>
      <w:r w:rsidRPr="00B55390">
        <w:t>1 point</w:t>
      </w:r>
      <w:proofErr w:type="gramEnd"/>
      <w:r w:rsidRPr="00B55390">
        <w:t xml:space="preserve"> increase from baseline EDSS (1.5 point increase for patients with baseline EDSS of 0) sustained for 12 weeks. TECFIDERA had a clinically meaningful and statistically significant effect on all primary and secondary study endpoints. The 240 mg three times daily dose resulted in no additional benefit over the TECFIDERA 240 mg twice daily dose.  </w:t>
      </w:r>
      <w:bookmarkStart w:id="15" w:name="g5a3c70f1-9eb2-48c3-ae01-1e988cf79f7a"/>
      <w:bookmarkEnd w:id="15"/>
      <w:r w:rsidRPr="00B55390">
        <w:t>The results for</w:t>
      </w:r>
      <w:r w:rsidR="00DD384E" w:rsidRPr="00B55390">
        <w:t xml:space="preserve"> this study are shown in Table </w:t>
      </w:r>
      <w:r w:rsidR="00111F87" w:rsidRPr="00B55390">
        <w:t>4</w:t>
      </w:r>
      <w:r w:rsidRPr="00B55390">
        <w:t>.</w:t>
      </w:r>
    </w:p>
    <w:p w14:paraId="3F9A6BEE" w14:textId="2577A402" w:rsidR="00EB412E" w:rsidRPr="00B55390" w:rsidRDefault="00EB412E" w:rsidP="00D67622">
      <w:pPr>
        <w:pStyle w:val="PINormal"/>
      </w:pPr>
    </w:p>
    <w:p w14:paraId="3AEB3137" w14:textId="0999E3F9" w:rsidR="00DC6048" w:rsidRPr="00DE3056" w:rsidRDefault="00DD384E" w:rsidP="00DE3056">
      <w:pPr>
        <w:pStyle w:val="PINormal"/>
        <w:rPr>
          <w:b/>
          <w:bCs/>
        </w:rPr>
      </w:pPr>
      <w:bookmarkStart w:id="16" w:name="OLE_LINK1"/>
      <w:r w:rsidRPr="00DE3056">
        <w:rPr>
          <w:b/>
          <w:bCs/>
        </w:rPr>
        <w:t xml:space="preserve">Table </w:t>
      </w:r>
      <w:r w:rsidR="00111F87" w:rsidRPr="00DE3056">
        <w:rPr>
          <w:b/>
          <w:bCs/>
        </w:rPr>
        <w:t>4</w:t>
      </w:r>
      <w:r w:rsidR="00DC6048" w:rsidRPr="00DE3056">
        <w:rPr>
          <w:b/>
          <w:bCs/>
        </w:rPr>
        <w:t>:  Clinical and MRI Results of Study 1</w:t>
      </w:r>
    </w:p>
    <w:p w14:paraId="2482E3C0" w14:textId="77777777" w:rsidR="00DD384E" w:rsidRPr="00B55390" w:rsidRDefault="00DD384E" w:rsidP="00D67622">
      <w:pPr>
        <w:pStyle w:val="PINormal"/>
      </w:pPr>
    </w:p>
    <w:tbl>
      <w:tblPr>
        <w:tblW w:w="89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0"/>
        <w:gridCol w:w="1980"/>
        <w:gridCol w:w="1454"/>
        <w:gridCol w:w="1548"/>
      </w:tblGrid>
      <w:tr w:rsidR="00DC6048" w:rsidRPr="00B55390" w14:paraId="4796974E" w14:textId="77777777" w:rsidTr="003A6C05">
        <w:trPr>
          <w:tblHeader/>
        </w:trPr>
        <w:tc>
          <w:tcPr>
            <w:tcW w:w="3960" w:type="dxa"/>
            <w:shd w:val="clear" w:color="auto" w:fill="auto"/>
            <w:vAlign w:val="center"/>
          </w:tcPr>
          <w:p w14:paraId="6BCBEFC2" w14:textId="77777777" w:rsidR="00DC6048" w:rsidRPr="00B55390" w:rsidRDefault="00DC6048" w:rsidP="00D67622">
            <w:pPr>
              <w:pStyle w:val="PINormal"/>
              <w:rPr>
                <w:b/>
                <w:bCs/>
              </w:rPr>
            </w:pPr>
          </w:p>
        </w:tc>
        <w:tc>
          <w:tcPr>
            <w:tcW w:w="1980" w:type="dxa"/>
            <w:shd w:val="clear" w:color="auto" w:fill="auto"/>
            <w:vAlign w:val="center"/>
          </w:tcPr>
          <w:p w14:paraId="09B9CB15" w14:textId="33E9ECA4" w:rsidR="00DC6048" w:rsidRPr="00B55390" w:rsidRDefault="00DC6048" w:rsidP="00D67622">
            <w:pPr>
              <w:pStyle w:val="PINormal"/>
              <w:jc w:val="center"/>
              <w:rPr>
                <w:b/>
                <w:bCs/>
              </w:rPr>
            </w:pPr>
            <w:r w:rsidRPr="00B55390">
              <w:rPr>
                <w:b/>
                <w:bCs/>
              </w:rPr>
              <w:t>TECFIDERA</w:t>
            </w:r>
            <w:r w:rsidRPr="00B55390">
              <w:rPr>
                <w:b/>
                <w:bCs/>
              </w:rPr>
              <w:br/>
              <w:t>240 mg BID</w:t>
            </w:r>
          </w:p>
          <w:p w14:paraId="37B0A3CB" w14:textId="77777777" w:rsidR="00DC6048" w:rsidRPr="00B55390" w:rsidRDefault="00DC6048" w:rsidP="00D67622">
            <w:pPr>
              <w:pStyle w:val="PINormal"/>
              <w:jc w:val="center"/>
              <w:rPr>
                <w:b/>
                <w:bCs/>
              </w:rPr>
            </w:pPr>
            <w:r w:rsidRPr="00B55390">
              <w:rPr>
                <w:b/>
                <w:bCs/>
              </w:rPr>
              <w:t>(n=410)</w:t>
            </w:r>
          </w:p>
        </w:tc>
        <w:tc>
          <w:tcPr>
            <w:tcW w:w="1454" w:type="dxa"/>
            <w:shd w:val="clear" w:color="auto" w:fill="auto"/>
            <w:vAlign w:val="center"/>
          </w:tcPr>
          <w:p w14:paraId="0E88814F" w14:textId="77777777" w:rsidR="00DC6048" w:rsidRPr="00B55390" w:rsidRDefault="00DC6048" w:rsidP="00D67622">
            <w:pPr>
              <w:pStyle w:val="PINormal"/>
              <w:jc w:val="center"/>
              <w:rPr>
                <w:b/>
                <w:bCs/>
              </w:rPr>
            </w:pPr>
            <w:r w:rsidRPr="00B55390">
              <w:rPr>
                <w:b/>
                <w:bCs/>
              </w:rPr>
              <w:t>Placebo</w:t>
            </w:r>
          </w:p>
          <w:p w14:paraId="25D57005" w14:textId="77777777" w:rsidR="00DC6048" w:rsidRPr="00B55390" w:rsidRDefault="00DC6048" w:rsidP="00D67622">
            <w:pPr>
              <w:pStyle w:val="PINormal"/>
              <w:jc w:val="center"/>
              <w:rPr>
                <w:b/>
                <w:bCs/>
              </w:rPr>
            </w:pPr>
            <w:r w:rsidRPr="00B55390">
              <w:rPr>
                <w:b/>
                <w:bCs/>
              </w:rPr>
              <w:t>(n=408)</w:t>
            </w:r>
          </w:p>
        </w:tc>
        <w:tc>
          <w:tcPr>
            <w:tcW w:w="1548" w:type="dxa"/>
            <w:shd w:val="clear" w:color="auto" w:fill="auto"/>
            <w:vAlign w:val="center"/>
          </w:tcPr>
          <w:p w14:paraId="08372BC3" w14:textId="77777777" w:rsidR="00DC6048" w:rsidRPr="00B55390" w:rsidRDefault="00DC6048" w:rsidP="00D67622">
            <w:pPr>
              <w:pStyle w:val="PINormal"/>
              <w:jc w:val="center"/>
              <w:rPr>
                <w:b/>
                <w:bCs/>
              </w:rPr>
            </w:pPr>
            <w:r w:rsidRPr="00B55390">
              <w:rPr>
                <w:b/>
                <w:bCs/>
              </w:rPr>
              <w:t>P-value</w:t>
            </w:r>
          </w:p>
        </w:tc>
      </w:tr>
      <w:tr w:rsidR="00DC6048" w:rsidRPr="00B55390" w14:paraId="2248A5EB" w14:textId="77777777" w:rsidTr="003A6C05">
        <w:tc>
          <w:tcPr>
            <w:tcW w:w="3960" w:type="dxa"/>
            <w:tcBorders>
              <w:bottom w:val="single" w:sz="4" w:space="0" w:color="auto"/>
            </w:tcBorders>
            <w:shd w:val="clear" w:color="auto" w:fill="auto"/>
            <w:vAlign w:val="center"/>
          </w:tcPr>
          <w:p w14:paraId="77375F67" w14:textId="77777777" w:rsidR="00DC6048" w:rsidRPr="00B55390" w:rsidRDefault="00DC6048" w:rsidP="00D67622">
            <w:pPr>
              <w:pStyle w:val="PINormal"/>
            </w:pPr>
            <w:r w:rsidRPr="00B55390">
              <w:t>Clinical Endpoints</w:t>
            </w:r>
          </w:p>
        </w:tc>
        <w:tc>
          <w:tcPr>
            <w:tcW w:w="1980" w:type="dxa"/>
            <w:tcBorders>
              <w:bottom w:val="single" w:sz="4" w:space="0" w:color="auto"/>
            </w:tcBorders>
            <w:shd w:val="clear" w:color="auto" w:fill="auto"/>
            <w:vAlign w:val="center"/>
          </w:tcPr>
          <w:p w14:paraId="2253EAFB" w14:textId="77777777" w:rsidR="00DC6048" w:rsidRPr="00B55390" w:rsidRDefault="00DC6048" w:rsidP="00D67622">
            <w:pPr>
              <w:pStyle w:val="PINormal"/>
              <w:jc w:val="center"/>
            </w:pPr>
          </w:p>
        </w:tc>
        <w:tc>
          <w:tcPr>
            <w:tcW w:w="1454" w:type="dxa"/>
            <w:tcBorders>
              <w:bottom w:val="single" w:sz="4" w:space="0" w:color="auto"/>
            </w:tcBorders>
            <w:shd w:val="clear" w:color="auto" w:fill="auto"/>
            <w:vAlign w:val="center"/>
          </w:tcPr>
          <w:p w14:paraId="086A5CB4" w14:textId="77777777" w:rsidR="00DC6048" w:rsidRPr="00B55390" w:rsidRDefault="00DC6048" w:rsidP="00D67622">
            <w:pPr>
              <w:pStyle w:val="PINormal"/>
              <w:jc w:val="center"/>
            </w:pPr>
          </w:p>
        </w:tc>
        <w:tc>
          <w:tcPr>
            <w:tcW w:w="1548" w:type="dxa"/>
            <w:tcBorders>
              <w:bottom w:val="single" w:sz="4" w:space="0" w:color="auto"/>
            </w:tcBorders>
            <w:shd w:val="clear" w:color="auto" w:fill="auto"/>
            <w:vAlign w:val="center"/>
          </w:tcPr>
          <w:p w14:paraId="73731DBC" w14:textId="77777777" w:rsidR="00DC6048" w:rsidRPr="00B55390" w:rsidRDefault="00DC6048" w:rsidP="00D67622">
            <w:pPr>
              <w:pStyle w:val="PINormal"/>
              <w:jc w:val="center"/>
            </w:pPr>
          </w:p>
        </w:tc>
      </w:tr>
      <w:tr w:rsidR="00DC6048" w:rsidRPr="00B55390" w14:paraId="05828EE8" w14:textId="77777777" w:rsidTr="003A6C05">
        <w:tc>
          <w:tcPr>
            <w:tcW w:w="3960" w:type="dxa"/>
            <w:tcBorders>
              <w:top w:val="nil"/>
              <w:bottom w:val="nil"/>
            </w:tcBorders>
            <w:shd w:val="clear" w:color="auto" w:fill="auto"/>
          </w:tcPr>
          <w:p w14:paraId="2B6EE49A" w14:textId="77777777" w:rsidR="00DC6048" w:rsidRPr="00B55390" w:rsidRDefault="00DC6048" w:rsidP="00D67622">
            <w:pPr>
              <w:pStyle w:val="PINormal"/>
            </w:pPr>
            <w:proofErr w:type="spellStart"/>
            <w:r w:rsidRPr="00B55390">
              <w:t>Annualised</w:t>
            </w:r>
            <w:proofErr w:type="spellEnd"/>
            <w:r w:rsidRPr="00B55390">
              <w:t xml:space="preserve"> relapse rate</w:t>
            </w:r>
          </w:p>
        </w:tc>
        <w:tc>
          <w:tcPr>
            <w:tcW w:w="1980" w:type="dxa"/>
            <w:tcBorders>
              <w:top w:val="nil"/>
              <w:bottom w:val="nil"/>
            </w:tcBorders>
            <w:shd w:val="clear" w:color="auto" w:fill="auto"/>
          </w:tcPr>
          <w:p w14:paraId="5844B0ED" w14:textId="77777777" w:rsidR="00DC6048" w:rsidRPr="00B55390" w:rsidRDefault="00DC6048" w:rsidP="00D67622">
            <w:pPr>
              <w:pStyle w:val="PINormal"/>
              <w:jc w:val="center"/>
            </w:pPr>
            <w:r w:rsidRPr="00B55390">
              <w:t>0.172</w:t>
            </w:r>
          </w:p>
        </w:tc>
        <w:tc>
          <w:tcPr>
            <w:tcW w:w="1454" w:type="dxa"/>
            <w:tcBorders>
              <w:top w:val="nil"/>
              <w:bottom w:val="nil"/>
            </w:tcBorders>
            <w:shd w:val="clear" w:color="auto" w:fill="auto"/>
          </w:tcPr>
          <w:p w14:paraId="5E444ACA" w14:textId="77777777" w:rsidR="00DC6048" w:rsidRPr="00B55390" w:rsidRDefault="00DC6048" w:rsidP="00D67622">
            <w:pPr>
              <w:pStyle w:val="PINormal"/>
              <w:jc w:val="center"/>
            </w:pPr>
            <w:r w:rsidRPr="00B55390">
              <w:t>0.364</w:t>
            </w:r>
          </w:p>
        </w:tc>
        <w:tc>
          <w:tcPr>
            <w:tcW w:w="1548" w:type="dxa"/>
            <w:tcBorders>
              <w:top w:val="nil"/>
              <w:bottom w:val="nil"/>
            </w:tcBorders>
            <w:shd w:val="clear" w:color="auto" w:fill="auto"/>
          </w:tcPr>
          <w:p w14:paraId="7CF6074A" w14:textId="77777777" w:rsidR="00DC6048" w:rsidRPr="00B55390" w:rsidRDefault="00DC6048" w:rsidP="00D67622">
            <w:pPr>
              <w:pStyle w:val="PINormal"/>
              <w:jc w:val="center"/>
            </w:pPr>
            <w:r w:rsidRPr="00B55390">
              <w:t>&lt;0.0001</w:t>
            </w:r>
          </w:p>
        </w:tc>
      </w:tr>
      <w:tr w:rsidR="00DC6048" w:rsidRPr="00B55390" w14:paraId="2432EE7A" w14:textId="77777777" w:rsidTr="003A6C05">
        <w:tc>
          <w:tcPr>
            <w:tcW w:w="3960" w:type="dxa"/>
            <w:tcBorders>
              <w:top w:val="nil"/>
              <w:bottom w:val="nil"/>
            </w:tcBorders>
            <w:shd w:val="clear" w:color="auto" w:fill="auto"/>
          </w:tcPr>
          <w:p w14:paraId="7CB118D8" w14:textId="77777777" w:rsidR="00DC6048" w:rsidRPr="00B55390" w:rsidRDefault="00DC6048" w:rsidP="00D67622">
            <w:pPr>
              <w:pStyle w:val="PINormal"/>
            </w:pPr>
            <w:r w:rsidRPr="00B55390">
              <w:t xml:space="preserve">       Relative reduction (percentage)</w:t>
            </w:r>
          </w:p>
        </w:tc>
        <w:tc>
          <w:tcPr>
            <w:tcW w:w="1980" w:type="dxa"/>
            <w:tcBorders>
              <w:top w:val="nil"/>
              <w:bottom w:val="nil"/>
            </w:tcBorders>
            <w:shd w:val="clear" w:color="auto" w:fill="auto"/>
          </w:tcPr>
          <w:p w14:paraId="31130A02" w14:textId="77777777" w:rsidR="00DC6048" w:rsidRPr="00B55390" w:rsidRDefault="00DC6048" w:rsidP="00D67622">
            <w:pPr>
              <w:pStyle w:val="PINormal"/>
              <w:jc w:val="center"/>
            </w:pPr>
            <w:r w:rsidRPr="00B55390">
              <w:t>53%</w:t>
            </w:r>
          </w:p>
        </w:tc>
        <w:tc>
          <w:tcPr>
            <w:tcW w:w="1454" w:type="dxa"/>
            <w:tcBorders>
              <w:top w:val="nil"/>
              <w:bottom w:val="nil"/>
            </w:tcBorders>
            <w:shd w:val="clear" w:color="auto" w:fill="auto"/>
          </w:tcPr>
          <w:p w14:paraId="4273CC2A" w14:textId="77777777" w:rsidR="00DC6048" w:rsidRPr="00B55390" w:rsidRDefault="00DC6048" w:rsidP="00D67622">
            <w:pPr>
              <w:pStyle w:val="PINormal"/>
              <w:jc w:val="center"/>
            </w:pPr>
          </w:p>
        </w:tc>
        <w:tc>
          <w:tcPr>
            <w:tcW w:w="1548" w:type="dxa"/>
            <w:tcBorders>
              <w:top w:val="nil"/>
              <w:bottom w:val="nil"/>
            </w:tcBorders>
            <w:shd w:val="clear" w:color="auto" w:fill="auto"/>
          </w:tcPr>
          <w:p w14:paraId="6F6C2E23" w14:textId="77777777" w:rsidR="00DC6048" w:rsidRPr="00B55390" w:rsidRDefault="00DC6048" w:rsidP="00D67622">
            <w:pPr>
              <w:pStyle w:val="PINormal"/>
              <w:jc w:val="center"/>
            </w:pPr>
          </w:p>
        </w:tc>
      </w:tr>
      <w:tr w:rsidR="00DC6048" w:rsidRPr="00B55390" w14:paraId="2365A3FB" w14:textId="77777777" w:rsidTr="003A6C05">
        <w:tc>
          <w:tcPr>
            <w:tcW w:w="3960" w:type="dxa"/>
            <w:tcBorders>
              <w:top w:val="nil"/>
              <w:bottom w:val="nil"/>
            </w:tcBorders>
            <w:shd w:val="clear" w:color="auto" w:fill="auto"/>
          </w:tcPr>
          <w:p w14:paraId="50F3783D" w14:textId="77777777" w:rsidR="00DC6048" w:rsidRPr="00B55390" w:rsidRDefault="00DC6048" w:rsidP="00D67622">
            <w:pPr>
              <w:pStyle w:val="PINormal"/>
            </w:pPr>
            <w:r w:rsidRPr="00B55390">
              <w:t xml:space="preserve">       (95% CI)</w:t>
            </w:r>
          </w:p>
        </w:tc>
        <w:tc>
          <w:tcPr>
            <w:tcW w:w="1980" w:type="dxa"/>
            <w:tcBorders>
              <w:top w:val="nil"/>
              <w:bottom w:val="nil"/>
            </w:tcBorders>
            <w:shd w:val="clear" w:color="auto" w:fill="auto"/>
          </w:tcPr>
          <w:p w14:paraId="2758A5A9" w14:textId="77777777" w:rsidR="00DC6048" w:rsidRPr="00B55390" w:rsidRDefault="00DC6048" w:rsidP="00D67622">
            <w:pPr>
              <w:pStyle w:val="PINormal"/>
              <w:jc w:val="center"/>
            </w:pPr>
            <w:r w:rsidRPr="00B55390">
              <w:t>(39%, 64%)</w:t>
            </w:r>
          </w:p>
        </w:tc>
        <w:tc>
          <w:tcPr>
            <w:tcW w:w="1454" w:type="dxa"/>
            <w:tcBorders>
              <w:top w:val="nil"/>
              <w:bottom w:val="nil"/>
            </w:tcBorders>
            <w:shd w:val="clear" w:color="auto" w:fill="auto"/>
          </w:tcPr>
          <w:p w14:paraId="0ED814A5" w14:textId="77777777" w:rsidR="00DC6048" w:rsidRPr="00B55390" w:rsidRDefault="00DC6048" w:rsidP="00D67622">
            <w:pPr>
              <w:pStyle w:val="PINormal"/>
              <w:jc w:val="center"/>
            </w:pPr>
          </w:p>
        </w:tc>
        <w:tc>
          <w:tcPr>
            <w:tcW w:w="1548" w:type="dxa"/>
            <w:tcBorders>
              <w:top w:val="nil"/>
              <w:bottom w:val="nil"/>
            </w:tcBorders>
            <w:shd w:val="clear" w:color="auto" w:fill="auto"/>
          </w:tcPr>
          <w:p w14:paraId="129CC607" w14:textId="77777777" w:rsidR="00DC6048" w:rsidRPr="00B55390" w:rsidRDefault="00DC6048" w:rsidP="00D67622">
            <w:pPr>
              <w:pStyle w:val="PINormal"/>
              <w:jc w:val="center"/>
            </w:pPr>
          </w:p>
        </w:tc>
      </w:tr>
      <w:tr w:rsidR="00DC6048" w:rsidRPr="00B55390" w14:paraId="7528B62B" w14:textId="77777777" w:rsidTr="003A6C05">
        <w:tc>
          <w:tcPr>
            <w:tcW w:w="3960" w:type="dxa"/>
            <w:tcBorders>
              <w:top w:val="nil"/>
              <w:bottom w:val="nil"/>
            </w:tcBorders>
            <w:shd w:val="clear" w:color="auto" w:fill="auto"/>
          </w:tcPr>
          <w:p w14:paraId="0D5098D2" w14:textId="77777777" w:rsidR="00DC6048" w:rsidRPr="00B55390" w:rsidRDefault="00DC6048" w:rsidP="00D67622">
            <w:pPr>
              <w:pStyle w:val="PINormal"/>
            </w:pPr>
          </w:p>
        </w:tc>
        <w:tc>
          <w:tcPr>
            <w:tcW w:w="1980" w:type="dxa"/>
            <w:tcBorders>
              <w:top w:val="nil"/>
              <w:bottom w:val="nil"/>
            </w:tcBorders>
            <w:shd w:val="clear" w:color="auto" w:fill="auto"/>
          </w:tcPr>
          <w:p w14:paraId="68037273" w14:textId="77777777" w:rsidR="00DC6048" w:rsidRPr="00B55390" w:rsidRDefault="00DC6048" w:rsidP="00D67622">
            <w:pPr>
              <w:pStyle w:val="PINormal"/>
              <w:jc w:val="center"/>
            </w:pPr>
          </w:p>
        </w:tc>
        <w:tc>
          <w:tcPr>
            <w:tcW w:w="1454" w:type="dxa"/>
            <w:tcBorders>
              <w:top w:val="nil"/>
              <w:bottom w:val="nil"/>
            </w:tcBorders>
            <w:shd w:val="clear" w:color="auto" w:fill="auto"/>
          </w:tcPr>
          <w:p w14:paraId="674A8E86" w14:textId="77777777" w:rsidR="00DC6048" w:rsidRPr="00B55390" w:rsidRDefault="00DC6048" w:rsidP="00D67622">
            <w:pPr>
              <w:pStyle w:val="PINormal"/>
              <w:jc w:val="center"/>
            </w:pPr>
          </w:p>
        </w:tc>
        <w:tc>
          <w:tcPr>
            <w:tcW w:w="1548" w:type="dxa"/>
            <w:tcBorders>
              <w:top w:val="nil"/>
              <w:bottom w:val="nil"/>
            </w:tcBorders>
            <w:shd w:val="clear" w:color="auto" w:fill="auto"/>
          </w:tcPr>
          <w:p w14:paraId="324AA856" w14:textId="77777777" w:rsidR="00DC6048" w:rsidRPr="00B55390" w:rsidRDefault="00DC6048" w:rsidP="00D67622">
            <w:pPr>
              <w:pStyle w:val="PINormal"/>
              <w:jc w:val="center"/>
            </w:pPr>
          </w:p>
        </w:tc>
      </w:tr>
      <w:tr w:rsidR="00DC6048" w:rsidRPr="00B55390" w14:paraId="49EA2344" w14:textId="77777777" w:rsidTr="003A6C05">
        <w:tc>
          <w:tcPr>
            <w:tcW w:w="3960" w:type="dxa"/>
            <w:tcBorders>
              <w:top w:val="nil"/>
              <w:bottom w:val="nil"/>
            </w:tcBorders>
            <w:shd w:val="clear" w:color="auto" w:fill="auto"/>
          </w:tcPr>
          <w:p w14:paraId="35E1820A" w14:textId="77777777" w:rsidR="00DC6048" w:rsidRPr="00B55390" w:rsidRDefault="00DC6048" w:rsidP="00D67622">
            <w:pPr>
              <w:pStyle w:val="PINormal"/>
            </w:pPr>
            <w:r w:rsidRPr="00B55390">
              <w:t>Proportion relapsing</w:t>
            </w:r>
            <w:r w:rsidRPr="00B55390">
              <w:rPr>
                <w:vertAlign w:val="superscript"/>
              </w:rPr>
              <w:t>(a)</w:t>
            </w:r>
          </w:p>
        </w:tc>
        <w:tc>
          <w:tcPr>
            <w:tcW w:w="1980" w:type="dxa"/>
            <w:tcBorders>
              <w:top w:val="nil"/>
              <w:bottom w:val="nil"/>
            </w:tcBorders>
            <w:shd w:val="clear" w:color="auto" w:fill="auto"/>
          </w:tcPr>
          <w:p w14:paraId="27467B32" w14:textId="77777777" w:rsidR="00DC6048" w:rsidRPr="00B55390" w:rsidRDefault="00DC6048" w:rsidP="00D67622">
            <w:pPr>
              <w:pStyle w:val="PINormal"/>
              <w:jc w:val="center"/>
            </w:pPr>
            <w:r w:rsidRPr="00B55390">
              <w:t>0.270</w:t>
            </w:r>
          </w:p>
        </w:tc>
        <w:tc>
          <w:tcPr>
            <w:tcW w:w="1454" w:type="dxa"/>
            <w:tcBorders>
              <w:top w:val="nil"/>
              <w:bottom w:val="nil"/>
            </w:tcBorders>
            <w:shd w:val="clear" w:color="auto" w:fill="auto"/>
          </w:tcPr>
          <w:p w14:paraId="55F10488" w14:textId="77777777" w:rsidR="00DC6048" w:rsidRPr="00B55390" w:rsidRDefault="00DC6048" w:rsidP="00D67622">
            <w:pPr>
              <w:pStyle w:val="PINormal"/>
              <w:jc w:val="center"/>
            </w:pPr>
            <w:r w:rsidRPr="00B55390">
              <w:t>0.461</w:t>
            </w:r>
          </w:p>
        </w:tc>
        <w:tc>
          <w:tcPr>
            <w:tcW w:w="1548" w:type="dxa"/>
            <w:tcBorders>
              <w:top w:val="nil"/>
              <w:bottom w:val="nil"/>
            </w:tcBorders>
            <w:shd w:val="clear" w:color="auto" w:fill="auto"/>
          </w:tcPr>
          <w:p w14:paraId="1A47A74E" w14:textId="77777777" w:rsidR="00DC6048" w:rsidRPr="00B55390" w:rsidRDefault="00DC6048" w:rsidP="00D67622">
            <w:pPr>
              <w:pStyle w:val="PINormal"/>
              <w:jc w:val="center"/>
            </w:pPr>
            <w:r w:rsidRPr="00B55390">
              <w:t>&lt;0.0001</w:t>
            </w:r>
          </w:p>
        </w:tc>
      </w:tr>
      <w:tr w:rsidR="00DC6048" w:rsidRPr="00B55390" w14:paraId="4459C507" w14:textId="77777777" w:rsidTr="003A6C05">
        <w:tc>
          <w:tcPr>
            <w:tcW w:w="3960" w:type="dxa"/>
            <w:tcBorders>
              <w:top w:val="nil"/>
              <w:bottom w:val="nil"/>
            </w:tcBorders>
            <w:shd w:val="clear" w:color="auto" w:fill="auto"/>
          </w:tcPr>
          <w:p w14:paraId="3657CFEE" w14:textId="77777777" w:rsidR="00DC6048" w:rsidRPr="00B55390" w:rsidRDefault="00DC6048" w:rsidP="00D67622">
            <w:pPr>
              <w:pStyle w:val="PINormal"/>
            </w:pPr>
            <w:r w:rsidRPr="00B55390">
              <w:t xml:space="preserve">       Hazard ratio for first relapse</w:t>
            </w:r>
          </w:p>
        </w:tc>
        <w:tc>
          <w:tcPr>
            <w:tcW w:w="1980" w:type="dxa"/>
            <w:tcBorders>
              <w:top w:val="nil"/>
              <w:bottom w:val="nil"/>
            </w:tcBorders>
            <w:shd w:val="clear" w:color="auto" w:fill="auto"/>
          </w:tcPr>
          <w:p w14:paraId="61D0AA56" w14:textId="77777777" w:rsidR="00DC6048" w:rsidRPr="00B55390" w:rsidRDefault="00DC6048" w:rsidP="00D67622">
            <w:pPr>
              <w:pStyle w:val="PINormal"/>
              <w:jc w:val="center"/>
            </w:pPr>
            <w:r w:rsidRPr="00B55390">
              <w:t>0.51</w:t>
            </w:r>
          </w:p>
        </w:tc>
        <w:tc>
          <w:tcPr>
            <w:tcW w:w="1454" w:type="dxa"/>
            <w:tcBorders>
              <w:top w:val="nil"/>
              <w:bottom w:val="nil"/>
            </w:tcBorders>
            <w:shd w:val="clear" w:color="auto" w:fill="auto"/>
          </w:tcPr>
          <w:p w14:paraId="1D238D05" w14:textId="77777777" w:rsidR="00DC6048" w:rsidRPr="00B55390" w:rsidRDefault="00DC6048" w:rsidP="00D67622">
            <w:pPr>
              <w:pStyle w:val="PINormal"/>
              <w:jc w:val="center"/>
            </w:pPr>
          </w:p>
        </w:tc>
        <w:tc>
          <w:tcPr>
            <w:tcW w:w="1548" w:type="dxa"/>
            <w:tcBorders>
              <w:top w:val="nil"/>
              <w:bottom w:val="nil"/>
            </w:tcBorders>
            <w:shd w:val="clear" w:color="auto" w:fill="auto"/>
          </w:tcPr>
          <w:p w14:paraId="77E5C23E" w14:textId="77777777" w:rsidR="00DC6048" w:rsidRPr="00B55390" w:rsidRDefault="00DC6048" w:rsidP="00D67622">
            <w:pPr>
              <w:pStyle w:val="PINormal"/>
              <w:jc w:val="center"/>
            </w:pPr>
          </w:p>
        </w:tc>
      </w:tr>
      <w:tr w:rsidR="00DC6048" w:rsidRPr="00B55390" w14:paraId="29959032" w14:textId="77777777" w:rsidTr="003A6C05">
        <w:tc>
          <w:tcPr>
            <w:tcW w:w="3960" w:type="dxa"/>
            <w:tcBorders>
              <w:top w:val="nil"/>
              <w:bottom w:val="nil"/>
            </w:tcBorders>
            <w:shd w:val="clear" w:color="auto" w:fill="auto"/>
          </w:tcPr>
          <w:p w14:paraId="42E864CD" w14:textId="77777777" w:rsidR="00DC6048" w:rsidRPr="00B55390" w:rsidRDefault="00DC6048" w:rsidP="00D67622">
            <w:pPr>
              <w:pStyle w:val="PINormal"/>
            </w:pPr>
            <w:r w:rsidRPr="00B55390">
              <w:t xml:space="preserve">       (95% CI)</w:t>
            </w:r>
          </w:p>
        </w:tc>
        <w:tc>
          <w:tcPr>
            <w:tcW w:w="1980" w:type="dxa"/>
            <w:tcBorders>
              <w:top w:val="nil"/>
              <w:bottom w:val="nil"/>
            </w:tcBorders>
            <w:shd w:val="clear" w:color="auto" w:fill="auto"/>
          </w:tcPr>
          <w:p w14:paraId="686FDC58" w14:textId="77777777" w:rsidR="00DC6048" w:rsidRPr="00B55390" w:rsidRDefault="00DC6048" w:rsidP="00D67622">
            <w:pPr>
              <w:pStyle w:val="PINormal"/>
              <w:jc w:val="center"/>
            </w:pPr>
            <w:r w:rsidRPr="00B55390">
              <w:t>(0.40, 0.66)</w:t>
            </w:r>
          </w:p>
        </w:tc>
        <w:tc>
          <w:tcPr>
            <w:tcW w:w="1454" w:type="dxa"/>
            <w:tcBorders>
              <w:top w:val="nil"/>
              <w:bottom w:val="nil"/>
            </w:tcBorders>
            <w:shd w:val="clear" w:color="auto" w:fill="auto"/>
          </w:tcPr>
          <w:p w14:paraId="26650DF0" w14:textId="77777777" w:rsidR="00DC6048" w:rsidRPr="00B55390" w:rsidRDefault="00DC6048" w:rsidP="00D67622">
            <w:pPr>
              <w:pStyle w:val="PINormal"/>
              <w:jc w:val="center"/>
            </w:pPr>
          </w:p>
        </w:tc>
        <w:tc>
          <w:tcPr>
            <w:tcW w:w="1548" w:type="dxa"/>
            <w:tcBorders>
              <w:top w:val="nil"/>
              <w:bottom w:val="nil"/>
            </w:tcBorders>
            <w:shd w:val="clear" w:color="auto" w:fill="auto"/>
          </w:tcPr>
          <w:p w14:paraId="0DD46E3B" w14:textId="77777777" w:rsidR="00DC6048" w:rsidRPr="00B55390" w:rsidRDefault="00DC6048" w:rsidP="00D67622">
            <w:pPr>
              <w:pStyle w:val="PINormal"/>
              <w:jc w:val="center"/>
            </w:pPr>
          </w:p>
        </w:tc>
      </w:tr>
      <w:tr w:rsidR="00DC6048" w:rsidRPr="00B55390" w14:paraId="204AB9A1" w14:textId="77777777" w:rsidTr="003A6C05">
        <w:tc>
          <w:tcPr>
            <w:tcW w:w="3960" w:type="dxa"/>
            <w:tcBorders>
              <w:top w:val="nil"/>
              <w:bottom w:val="nil"/>
            </w:tcBorders>
            <w:shd w:val="clear" w:color="auto" w:fill="auto"/>
          </w:tcPr>
          <w:p w14:paraId="69C9A1EF" w14:textId="77777777" w:rsidR="00DC6048" w:rsidRPr="00B55390" w:rsidRDefault="00DC6048" w:rsidP="00D67622">
            <w:pPr>
              <w:pStyle w:val="PINormal"/>
            </w:pPr>
          </w:p>
        </w:tc>
        <w:tc>
          <w:tcPr>
            <w:tcW w:w="1980" w:type="dxa"/>
            <w:tcBorders>
              <w:top w:val="nil"/>
              <w:bottom w:val="nil"/>
            </w:tcBorders>
            <w:shd w:val="clear" w:color="auto" w:fill="auto"/>
          </w:tcPr>
          <w:p w14:paraId="77562A82" w14:textId="77777777" w:rsidR="00DC6048" w:rsidRPr="00B55390" w:rsidRDefault="00DC6048" w:rsidP="00D67622">
            <w:pPr>
              <w:pStyle w:val="PINormal"/>
              <w:jc w:val="center"/>
            </w:pPr>
          </w:p>
        </w:tc>
        <w:tc>
          <w:tcPr>
            <w:tcW w:w="1454" w:type="dxa"/>
            <w:tcBorders>
              <w:top w:val="nil"/>
              <w:bottom w:val="nil"/>
            </w:tcBorders>
            <w:shd w:val="clear" w:color="auto" w:fill="auto"/>
          </w:tcPr>
          <w:p w14:paraId="3FA9B184" w14:textId="77777777" w:rsidR="00DC6048" w:rsidRPr="00B55390" w:rsidRDefault="00DC6048" w:rsidP="00D67622">
            <w:pPr>
              <w:pStyle w:val="PINormal"/>
              <w:jc w:val="center"/>
            </w:pPr>
          </w:p>
        </w:tc>
        <w:tc>
          <w:tcPr>
            <w:tcW w:w="1548" w:type="dxa"/>
            <w:tcBorders>
              <w:top w:val="nil"/>
              <w:bottom w:val="nil"/>
            </w:tcBorders>
            <w:shd w:val="clear" w:color="auto" w:fill="auto"/>
          </w:tcPr>
          <w:p w14:paraId="6C0BEB31" w14:textId="77777777" w:rsidR="00DC6048" w:rsidRPr="00B55390" w:rsidRDefault="00DC6048" w:rsidP="00D67622">
            <w:pPr>
              <w:pStyle w:val="PINormal"/>
              <w:jc w:val="center"/>
            </w:pPr>
          </w:p>
        </w:tc>
      </w:tr>
      <w:tr w:rsidR="00DC6048" w:rsidRPr="00B55390" w14:paraId="1466A50D" w14:textId="77777777" w:rsidTr="003A6C05">
        <w:tc>
          <w:tcPr>
            <w:tcW w:w="3960" w:type="dxa"/>
            <w:tcBorders>
              <w:top w:val="nil"/>
              <w:bottom w:val="nil"/>
            </w:tcBorders>
            <w:shd w:val="clear" w:color="auto" w:fill="auto"/>
          </w:tcPr>
          <w:p w14:paraId="6DC00EA8" w14:textId="77777777" w:rsidR="00DC6048" w:rsidRPr="00B55390" w:rsidRDefault="00DC6048" w:rsidP="00D67622">
            <w:pPr>
              <w:pStyle w:val="PINormal"/>
            </w:pPr>
            <w:r w:rsidRPr="00B55390">
              <w:t>Proportion with disability progression</w:t>
            </w:r>
            <w:r w:rsidRPr="00B55390">
              <w:rPr>
                <w:vertAlign w:val="superscript"/>
              </w:rPr>
              <w:t>(a)</w:t>
            </w:r>
          </w:p>
        </w:tc>
        <w:tc>
          <w:tcPr>
            <w:tcW w:w="1980" w:type="dxa"/>
            <w:tcBorders>
              <w:top w:val="nil"/>
              <w:bottom w:val="nil"/>
            </w:tcBorders>
            <w:shd w:val="clear" w:color="auto" w:fill="auto"/>
          </w:tcPr>
          <w:p w14:paraId="7BFF3392" w14:textId="77777777" w:rsidR="00DC6048" w:rsidRPr="00B55390" w:rsidRDefault="00DC6048" w:rsidP="00D67622">
            <w:pPr>
              <w:pStyle w:val="PINormal"/>
              <w:jc w:val="center"/>
            </w:pPr>
            <w:r w:rsidRPr="00B55390">
              <w:t>0.164</w:t>
            </w:r>
          </w:p>
        </w:tc>
        <w:tc>
          <w:tcPr>
            <w:tcW w:w="1454" w:type="dxa"/>
            <w:tcBorders>
              <w:top w:val="nil"/>
              <w:bottom w:val="nil"/>
            </w:tcBorders>
            <w:shd w:val="clear" w:color="auto" w:fill="auto"/>
          </w:tcPr>
          <w:p w14:paraId="086A61A7" w14:textId="77777777" w:rsidR="00DC6048" w:rsidRPr="00B55390" w:rsidRDefault="00DC6048" w:rsidP="00D67622">
            <w:pPr>
              <w:pStyle w:val="PINormal"/>
              <w:jc w:val="center"/>
            </w:pPr>
            <w:r w:rsidRPr="00B55390">
              <w:t>0.271</w:t>
            </w:r>
          </w:p>
        </w:tc>
        <w:tc>
          <w:tcPr>
            <w:tcW w:w="1548" w:type="dxa"/>
            <w:tcBorders>
              <w:top w:val="nil"/>
              <w:bottom w:val="nil"/>
            </w:tcBorders>
            <w:shd w:val="clear" w:color="auto" w:fill="auto"/>
          </w:tcPr>
          <w:p w14:paraId="7430EFA6" w14:textId="77777777" w:rsidR="00DC6048" w:rsidRPr="00B55390" w:rsidRDefault="00DC6048" w:rsidP="00D67622">
            <w:pPr>
              <w:pStyle w:val="PINormal"/>
              <w:jc w:val="center"/>
            </w:pPr>
            <w:r w:rsidRPr="00B55390">
              <w:t>0.0050</w:t>
            </w:r>
          </w:p>
        </w:tc>
      </w:tr>
      <w:tr w:rsidR="00DC6048" w:rsidRPr="00B55390" w14:paraId="28C8F128" w14:textId="77777777" w:rsidTr="003A6C05">
        <w:tc>
          <w:tcPr>
            <w:tcW w:w="3960" w:type="dxa"/>
            <w:tcBorders>
              <w:top w:val="nil"/>
              <w:bottom w:val="nil"/>
            </w:tcBorders>
            <w:shd w:val="clear" w:color="auto" w:fill="auto"/>
          </w:tcPr>
          <w:p w14:paraId="40D68D02" w14:textId="77777777" w:rsidR="00DC6048" w:rsidRPr="00B55390" w:rsidRDefault="00DC6048" w:rsidP="00D67622">
            <w:pPr>
              <w:pStyle w:val="PINormal"/>
            </w:pPr>
            <w:r w:rsidRPr="00B55390">
              <w:t xml:space="preserve">       Hazard ratio for progression</w:t>
            </w:r>
          </w:p>
        </w:tc>
        <w:tc>
          <w:tcPr>
            <w:tcW w:w="1980" w:type="dxa"/>
            <w:tcBorders>
              <w:top w:val="nil"/>
              <w:bottom w:val="nil"/>
            </w:tcBorders>
            <w:shd w:val="clear" w:color="auto" w:fill="auto"/>
          </w:tcPr>
          <w:p w14:paraId="01EC62CB" w14:textId="77777777" w:rsidR="00DC6048" w:rsidRPr="00B55390" w:rsidRDefault="00DC6048" w:rsidP="00D67622">
            <w:pPr>
              <w:pStyle w:val="PINormal"/>
              <w:jc w:val="center"/>
            </w:pPr>
            <w:r w:rsidRPr="00B55390">
              <w:t>0.62</w:t>
            </w:r>
          </w:p>
        </w:tc>
        <w:tc>
          <w:tcPr>
            <w:tcW w:w="1454" w:type="dxa"/>
            <w:tcBorders>
              <w:top w:val="nil"/>
              <w:bottom w:val="nil"/>
            </w:tcBorders>
            <w:shd w:val="clear" w:color="auto" w:fill="auto"/>
          </w:tcPr>
          <w:p w14:paraId="6496A9C9" w14:textId="77777777" w:rsidR="00DC6048" w:rsidRPr="00B55390" w:rsidRDefault="00DC6048" w:rsidP="00D67622">
            <w:pPr>
              <w:pStyle w:val="PINormal"/>
              <w:jc w:val="center"/>
            </w:pPr>
          </w:p>
        </w:tc>
        <w:tc>
          <w:tcPr>
            <w:tcW w:w="1548" w:type="dxa"/>
            <w:tcBorders>
              <w:top w:val="nil"/>
              <w:bottom w:val="nil"/>
            </w:tcBorders>
            <w:shd w:val="clear" w:color="auto" w:fill="auto"/>
          </w:tcPr>
          <w:p w14:paraId="02FC6C07" w14:textId="77777777" w:rsidR="00DC6048" w:rsidRPr="00B55390" w:rsidRDefault="00DC6048" w:rsidP="00D67622">
            <w:pPr>
              <w:pStyle w:val="PINormal"/>
              <w:jc w:val="center"/>
            </w:pPr>
          </w:p>
        </w:tc>
      </w:tr>
      <w:tr w:rsidR="00DC6048" w:rsidRPr="00B55390" w14:paraId="1AF2249F" w14:textId="77777777" w:rsidTr="003A6C05">
        <w:tc>
          <w:tcPr>
            <w:tcW w:w="3960" w:type="dxa"/>
            <w:tcBorders>
              <w:top w:val="nil"/>
              <w:bottom w:val="nil"/>
            </w:tcBorders>
            <w:shd w:val="clear" w:color="auto" w:fill="auto"/>
          </w:tcPr>
          <w:p w14:paraId="688B3AA7" w14:textId="0D1AAE43" w:rsidR="00DC6048" w:rsidRPr="00B55390" w:rsidRDefault="00DC6048" w:rsidP="00D67622">
            <w:pPr>
              <w:pStyle w:val="PINormal"/>
            </w:pPr>
            <w:r w:rsidRPr="00B55390">
              <w:t xml:space="preserve">       (95% CI)</w:t>
            </w:r>
          </w:p>
        </w:tc>
        <w:tc>
          <w:tcPr>
            <w:tcW w:w="1980" w:type="dxa"/>
            <w:tcBorders>
              <w:top w:val="nil"/>
              <w:bottom w:val="nil"/>
            </w:tcBorders>
            <w:shd w:val="clear" w:color="auto" w:fill="auto"/>
          </w:tcPr>
          <w:p w14:paraId="40561A98" w14:textId="77777777" w:rsidR="00DC6048" w:rsidRPr="00B55390" w:rsidRDefault="00DC6048" w:rsidP="00D67622">
            <w:pPr>
              <w:pStyle w:val="PINormal"/>
              <w:jc w:val="center"/>
            </w:pPr>
            <w:r w:rsidRPr="00B55390">
              <w:t>(0.44, 0.87)</w:t>
            </w:r>
          </w:p>
        </w:tc>
        <w:tc>
          <w:tcPr>
            <w:tcW w:w="1454" w:type="dxa"/>
            <w:tcBorders>
              <w:top w:val="nil"/>
              <w:bottom w:val="nil"/>
            </w:tcBorders>
            <w:shd w:val="clear" w:color="auto" w:fill="auto"/>
          </w:tcPr>
          <w:p w14:paraId="424711B6" w14:textId="77777777" w:rsidR="00DC6048" w:rsidRPr="00B55390" w:rsidRDefault="00DC6048" w:rsidP="00D67622">
            <w:pPr>
              <w:pStyle w:val="PINormal"/>
              <w:jc w:val="center"/>
            </w:pPr>
          </w:p>
        </w:tc>
        <w:tc>
          <w:tcPr>
            <w:tcW w:w="1548" w:type="dxa"/>
            <w:tcBorders>
              <w:top w:val="nil"/>
              <w:bottom w:val="nil"/>
            </w:tcBorders>
            <w:shd w:val="clear" w:color="auto" w:fill="auto"/>
          </w:tcPr>
          <w:p w14:paraId="3B7F3A73" w14:textId="77777777" w:rsidR="00DC6048" w:rsidRPr="00B55390" w:rsidRDefault="00DC6048" w:rsidP="00D67622">
            <w:pPr>
              <w:pStyle w:val="PINormal"/>
              <w:jc w:val="center"/>
            </w:pPr>
          </w:p>
        </w:tc>
      </w:tr>
      <w:tr w:rsidR="00DC6048" w:rsidRPr="00B55390" w14:paraId="600C3605" w14:textId="77777777" w:rsidTr="003A6C05">
        <w:tc>
          <w:tcPr>
            <w:tcW w:w="3960" w:type="dxa"/>
            <w:tcBorders>
              <w:bottom w:val="single" w:sz="4" w:space="0" w:color="auto"/>
            </w:tcBorders>
            <w:shd w:val="clear" w:color="auto" w:fill="auto"/>
          </w:tcPr>
          <w:p w14:paraId="5673AF3E" w14:textId="77777777" w:rsidR="00DC6048" w:rsidRPr="00B55390" w:rsidRDefault="00DC6048" w:rsidP="00D67622">
            <w:pPr>
              <w:pStyle w:val="PINormal"/>
            </w:pPr>
            <w:r w:rsidRPr="00B55390">
              <w:t>MRI Endpoint</w:t>
            </w:r>
          </w:p>
        </w:tc>
        <w:tc>
          <w:tcPr>
            <w:tcW w:w="1980" w:type="dxa"/>
            <w:tcBorders>
              <w:bottom w:val="single" w:sz="4" w:space="0" w:color="auto"/>
            </w:tcBorders>
            <w:shd w:val="clear" w:color="auto" w:fill="auto"/>
          </w:tcPr>
          <w:p w14:paraId="2F16C24E" w14:textId="77777777" w:rsidR="00DC6048" w:rsidRPr="00B55390" w:rsidRDefault="00DC6048" w:rsidP="00D67622">
            <w:pPr>
              <w:pStyle w:val="PINormal"/>
              <w:jc w:val="center"/>
            </w:pPr>
            <w:r w:rsidRPr="00B55390">
              <w:t>n=152</w:t>
            </w:r>
          </w:p>
        </w:tc>
        <w:tc>
          <w:tcPr>
            <w:tcW w:w="1454" w:type="dxa"/>
            <w:tcBorders>
              <w:bottom w:val="single" w:sz="4" w:space="0" w:color="auto"/>
            </w:tcBorders>
            <w:shd w:val="clear" w:color="auto" w:fill="auto"/>
          </w:tcPr>
          <w:p w14:paraId="1728E994" w14:textId="77777777" w:rsidR="00DC6048" w:rsidRPr="00B55390" w:rsidRDefault="00DC6048" w:rsidP="00D67622">
            <w:pPr>
              <w:pStyle w:val="PINormal"/>
              <w:jc w:val="center"/>
            </w:pPr>
            <w:r w:rsidRPr="00B55390">
              <w:t>n=165</w:t>
            </w:r>
          </w:p>
        </w:tc>
        <w:tc>
          <w:tcPr>
            <w:tcW w:w="1548" w:type="dxa"/>
            <w:tcBorders>
              <w:bottom w:val="single" w:sz="4" w:space="0" w:color="auto"/>
            </w:tcBorders>
            <w:shd w:val="clear" w:color="auto" w:fill="auto"/>
          </w:tcPr>
          <w:p w14:paraId="179591EF" w14:textId="77777777" w:rsidR="00DC6048" w:rsidRPr="00B55390" w:rsidRDefault="00DC6048" w:rsidP="00D67622">
            <w:pPr>
              <w:pStyle w:val="PINormal"/>
              <w:jc w:val="center"/>
            </w:pPr>
          </w:p>
        </w:tc>
      </w:tr>
      <w:tr w:rsidR="00DC6048" w:rsidRPr="00B55390" w14:paraId="326F7140" w14:textId="77777777" w:rsidTr="003A6C05">
        <w:tc>
          <w:tcPr>
            <w:tcW w:w="3960" w:type="dxa"/>
            <w:tcBorders>
              <w:top w:val="nil"/>
              <w:bottom w:val="nil"/>
            </w:tcBorders>
            <w:shd w:val="clear" w:color="auto" w:fill="auto"/>
          </w:tcPr>
          <w:p w14:paraId="728289E0" w14:textId="7DBABD3E" w:rsidR="00DC6048" w:rsidRPr="00B55390" w:rsidRDefault="00DC6048" w:rsidP="00D67622">
            <w:pPr>
              <w:pStyle w:val="PINormal"/>
            </w:pPr>
            <w:r w:rsidRPr="00B55390">
              <w:t>Number of new or newly enlarging T2 lesions over 2 years</w:t>
            </w:r>
          </w:p>
        </w:tc>
        <w:tc>
          <w:tcPr>
            <w:tcW w:w="1980" w:type="dxa"/>
            <w:tcBorders>
              <w:top w:val="nil"/>
              <w:bottom w:val="nil"/>
            </w:tcBorders>
            <w:shd w:val="clear" w:color="auto" w:fill="auto"/>
          </w:tcPr>
          <w:p w14:paraId="14F04B1E" w14:textId="77777777" w:rsidR="00DC6048" w:rsidRPr="00B55390" w:rsidRDefault="00DC6048" w:rsidP="00D67622">
            <w:pPr>
              <w:pStyle w:val="PINormal"/>
              <w:jc w:val="center"/>
            </w:pPr>
          </w:p>
        </w:tc>
        <w:tc>
          <w:tcPr>
            <w:tcW w:w="1454" w:type="dxa"/>
            <w:tcBorders>
              <w:top w:val="nil"/>
              <w:bottom w:val="nil"/>
            </w:tcBorders>
            <w:shd w:val="clear" w:color="auto" w:fill="auto"/>
          </w:tcPr>
          <w:p w14:paraId="617E715F" w14:textId="77777777" w:rsidR="00DC6048" w:rsidRPr="00B55390" w:rsidRDefault="00DC6048" w:rsidP="00D67622">
            <w:pPr>
              <w:pStyle w:val="PINormal"/>
              <w:jc w:val="center"/>
            </w:pPr>
          </w:p>
        </w:tc>
        <w:tc>
          <w:tcPr>
            <w:tcW w:w="1548" w:type="dxa"/>
            <w:tcBorders>
              <w:top w:val="nil"/>
              <w:bottom w:val="nil"/>
            </w:tcBorders>
            <w:shd w:val="clear" w:color="auto" w:fill="auto"/>
          </w:tcPr>
          <w:p w14:paraId="4AD0418C" w14:textId="77777777" w:rsidR="00DC6048" w:rsidRPr="00B55390" w:rsidRDefault="00DC6048" w:rsidP="00D67622">
            <w:pPr>
              <w:pStyle w:val="PINormal"/>
              <w:jc w:val="center"/>
            </w:pPr>
          </w:p>
        </w:tc>
      </w:tr>
      <w:tr w:rsidR="00DC6048" w:rsidRPr="00B55390" w14:paraId="5C95640A" w14:textId="77777777" w:rsidTr="003A6C05">
        <w:tc>
          <w:tcPr>
            <w:tcW w:w="3960" w:type="dxa"/>
            <w:tcBorders>
              <w:top w:val="nil"/>
              <w:bottom w:val="nil"/>
            </w:tcBorders>
            <w:shd w:val="clear" w:color="auto" w:fill="auto"/>
          </w:tcPr>
          <w:p w14:paraId="78587279" w14:textId="77777777" w:rsidR="00DC6048" w:rsidRPr="00B55390" w:rsidRDefault="00DC6048" w:rsidP="00D67622">
            <w:pPr>
              <w:pStyle w:val="PINormal"/>
            </w:pPr>
            <w:r w:rsidRPr="00B55390">
              <w:t xml:space="preserve">       Mean (median)</w:t>
            </w:r>
          </w:p>
        </w:tc>
        <w:tc>
          <w:tcPr>
            <w:tcW w:w="1980" w:type="dxa"/>
            <w:tcBorders>
              <w:top w:val="nil"/>
              <w:bottom w:val="nil"/>
            </w:tcBorders>
            <w:shd w:val="clear" w:color="auto" w:fill="auto"/>
          </w:tcPr>
          <w:p w14:paraId="742C7E12" w14:textId="77777777" w:rsidR="00DC6048" w:rsidRPr="00B55390" w:rsidRDefault="00DC6048" w:rsidP="00D67622">
            <w:pPr>
              <w:pStyle w:val="PINormal"/>
              <w:jc w:val="center"/>
            </w:pPr>
            <w:r w:rsidRPr="00B55390">
              <w:t>3.2 (1.0)</w:t>
            </w:r>
          </w:p>
        </w:tc>
        <w:tc>
          <w:tcPr>
            <w:tcW w:w="1454" w:type="dxa"/>
            <w:tcBorders>
              <w:top w:val="nil"/>
              <w:bottom w:val="nil"/>
            </w:tcBorders>
            <w:shd w:val="clear" w:color="auto" w:fill="auto"/>
          </w:tcPr>
          <w:p w14:paraId="69ED6AF4" w14:textId="77777777" w:rsidR="00DC6048" w:rsidRPr="00B55390" w:rsidRDefault="00DC6048" w:rsidP="00D67622">
            <w:pPr>
              <w:pStyle w:val="PINormal"/>
              <w:jc w:val="center"/>
            </w:pPr>
            <w:r w:rsidRPr="00B55390">
              <w:t>16.5 (7.0)</w:t>
            </w:r>
          </w:p>
        </w:tc>
        <w:tc>
          <w:tcPr>
            <w:tcW w:w="1548" w:type="dxa"/>
            <w:tcBorders>
              <w:top w:val="nil"/>
              <w:bottom w:val="nil"/>
            </w:tcBorders>
            <w:shd w:val="clear" w:color="auto" w:fill="auto"/>
          </w:tcPr>
          <w:p w14:paraId="542CFA91" w14:textId="77777777" w:rsidR="00DC6048" w:rsidRPr="00B55390" w:rsidRDefault="00DC6048" w:rsidP="00D67622">
            <w:pPr>
              <w:pStyle w:val="PINormal"/>
              <w:jc w:val="center"/>
            </w:pPr>
            <w:r w:rsidRPr="00B55390">
              <w:t>&lt;0.0001</w:t>
            </w:r>
          </w:p>
        </w:tc>
      </w:tr>
      <w:tr w:rsidR="00DC6048" w:rsidRPr="00B55390" w14:paraId="277E2D4C" w14:textId="77777777" w:rsidTr="003A6C05">
        <w:tc>
          <w:tcPr>
            <w:tcW w:w="3960" w:type="dxa"/>
            <w:tcBorders>
              <w:top w:val="nil"/>
              <w:bottom w:val="nil"/>
            </w:tcBorders>
            <w:shd w:val="clear" w:color="auto" w:fill="auto"/>
          </w:tcPr>
          <w:p w14:paraId="6A2BCBE4" w14:textId="77777777" w:rsidR="00DC6048" w:rsidRPr="00B55390" w:rsidRDefault="00DC6048" w:rsidP="00D67622">
            <w:pPr>
              <w:pStyle w:val="PINormal"/>
            </w:pPr>
            <w:r w:rsidRPr="00B55390">
              <w:t xml:space="preserve">       Relative reduction (percentage)</w:t>
            </w:r>
          </w:p>
        </w:tc>
        <w:tc>
          <w:tcPr>
            <w:tcW w:w="1980" w:type="dxa"/>
            <w:tcBorders>
              <w:top w:val="nil"/>
              <w:bottom w:val="nil"/>
            </w:tcBorders>
            <w:shd w:val="clear" w:color="auto" w:fill="auto"/>
          </w:tcPr>
          <w:p w14:paraId="2D39D820" w14:textId="77777777" w:rsidR="00DC6048" w:rsidRPr="00B55390" w:rsidRDefault="00DC6048" w:rsidP="00D67622">
            <w:pPr>
              <w:pStyle w:val="PINormal"/>
              <w:jc w:val="center"/>
            </w:pPr>
            <w:r w:rsidRPr="00B55390">
              <w:t>85%</w:t>
            </w:r>
          </w:p>
        </w:tc>
        <w:tc>
          <w:tcPr>
            <w:tcW w:w="1454" w:type="dxa"/>
            <w:tcBorders>
              <w:top w:val="nil"/>
              <w:bottom w:val="nil"/>
            </w:tcBorders>
            <w:shd w:val="clear" w:color="auto" w:fill="auto"/>
          </w:tcPr>
          <w:p w14:paraId="1F25057D" w14:textId="77777777" w:rsidR="00DC6048" w:rsidRPr="00B55390" w:rsidRDefault="00DC6048" w:rsidP="00D67622">
            <w:pPr>
              <w:pStyle w:val="PINormal"/>
              <w:jc w:val="center"/>
            </w:pPr>
          </w:p>
        </w:tc>
        <w:tc>
          <w:tcPr>
            <w:tcW w:w="1548" w:type="dxa"/>
            <w:tcBorders>
              <w:top w:val="nil"/>
              <w:bottom w:val="nil"/>
            </w:tcBorders>
            <w:shd w:val="clear" w:color="auto" w:fill="auto"/>
          </w:tcPr>
          <w:p w14:paraId="6A505949" w14:textId="77777777" w:rsidR="00DC6048" w:rsidRPr="00B55390" w:rsidRDefault="00DC6048" w:rsidP="00D67622">
            <w:pPr>
              <w:pStyle w:val="PINormal"/>
              <w:jc w:val="center"/>
            </w:pPr>
          </w:p>
        </w:tc>
      </w:tr>
      <w:tr w:rsidR="00DC6048" w:rsidRPr="00B55390" w14:paraId="52FB29C6" w14:textId="77777777" w:rsidTr="003A6C05">
        <w:tc>
          <w:tcPr>
            <w:tcW w:w="3960" w:type="dxa"/>
            <w:tcBorders>
              <w:top w:val="nil"/>
              <w:bottom w:val="nil"/>
            </w:tcBorders>
            <w:shd w:val="clear" w:color="auto" w:fill="auto"/>
          </w:tcPr>
          <w:p w14:paraId="2E9C860A" w14:textId="77777777" w:rsidR="00DC6048" w:rsidRPr="00B55390" w:rsidRDefault="00DC6048" w:rsidP="00D67622">
            <w:pPr>
              <w:pStyle w:val="PINormal"/>
            </w:pPr>
            <w:r w:rsidRPr="00B55390">
              <w:t xml:space="preserve">       (95% CI)</w:t>
            </w:r>
          </w:p>
        </w:tc>
        <w:tc>
          <w:tcPr>
            <w:tcW w:w="1980" w:type="dxa"/>
            <w:tcBorders>
              <w:top w:val="nil"/>
              <w:bottom w:val="nil"/>
            </w:tcBorders>
            <w:shd w:val="clear" w:color="auto" w:fill="auto"/>
          </w:tcPr>
          <w:p w14:paraId="45CF07C6" w14:textId="77777777" w:rsidR="00DC6048" w:rsidRPr="00B55390" w:rsidRDefault="00DC6048" w:rsidP="00D67622">
            <w:pPr>
              <w:pStyle w:val="PINormal"/>
              <w:jc w:val="center"/>
            </w:pPr>
            <w:r w:rsidRPr="00B55390">
              <w:t>(77%, 90%)</w:t>
            </w:r>
          </w:p>
        </w:tc>
        <w:tc>
          <w:tcPr>
            <w:tcW w:w="1454" w:type="dxa"/>
            <w:tcBorders>
              <w:top w:val="nil"/>
              <w:bottom w:val="nil"/>
            </w:tcBorders>
            <w:shd w:val="clear" w:color="auto" w:fill="auto"/>
          </w:tcPr>
          <w:p w14:paraId="3269FE1D" w14:textId="77777777" w:rsidR="00DC6048" w:rsidRPr="00B55390" w:rsidRDefault="00DC6048" w:rsidP="00D67622">
            <w:pPr>
              <w:pStyle w:val="PINormal"/>
              <w:jc w:val="center"/>
            </w:pPr>
          </w:p>
        </w:tc>
        <w:tc>
          <w:tcPr>
            <w:tcW w:w="1548" w:type="dxa"/>
            <w:tcBorders>
              <w:top w:val="nil"/>
              <w:bottom w:val="nil"/>
            </w:tcBorders>
            <w:shd w:val="clear" w:color="auto" w:fill="auto"/>
          </w:tcPr>
          <w:p w14:paraId="27466771" w14:textId="77777777" w:rsidR="00DC6048" w:rsidRPr="00B55390" w:rsidRDefault="00DC6048" w:rsidP="00D67622">
            <w:pPr>
              <w:pStyle w:val="PINormal"/>
              <w:jc w:val="center"/>
            </w:pPr>
          </w:p>
        </w:tc>
      </w:tr>
      <w:tr w:rsidR="00DC6048" w:rsidRPr="00B55390" w14:paraId="251406A9" w14:textId="77777777" w:rsidTr="003A6C05">
        <w:tc>
          <w:tcPr>
            <w:tcW w:w="3960" w:type="dxa"/>
            <w:tcBorders>
              <w:top w:val="nil"/>
              <w:bottom w:val="nil"/>
            </w:tcBorders>
            <w:shd w:val="clear" w:color="auto" w:fill="auto"/>
          </w:tcPr>
          <w:p w14:paraId="087E74F6" w14:textId="77777777" w:rsidR="00DC6048" w:rsidRPr="00B55390" w:rsidRDefault="00DC6048" w:rsidP="00D67622">
            <w:pPr>
              <w:pStyle w:val="PINormal"/>
            </w:pPr>
          </w:p>
        </w:tc>
        <w:tc>
          <w:tcPr>
            <w:tcW w:w="1980" w:type="dxa"/>
            <w:tcBorders>
              <w:top w:val="nil"/>
              <w:bottom w:val="nil"/>
            </w:tcBorders>
            <w:shd w:val="clear" w:color="auto" w:fill="auto"/>
          </w:tcPr>
          <w:p w14:paraId="7659C7A6" w14:textId="77777777" w:rsidR="00DC6048" w:rsidRPr="00B55390" w:rsidRDefault="00DC6048" w:rsidP="00D67622">
            <w:pPr>
              <w:pStyle w:val="PINormal"/>
              <w:jc w:val="center"/>
            </w:pPr>
          </w:p>
        </w:tc>
        <w:tc>
          <w:tcPr>
            <w:tcW w:w="1454" w:type="dxa"/>
            <w:tcBorders>
              <w:top w:val="nil"/>
              <w:bottom w:val="nil"/>
            </w:tcBorders>
            <w:shd w:val="clear" w:color="auto" w:fill="auto"/>
          </w:tcPr>
          <w:p w14:paraId="6D4D13AD" w14:textId="77777777" w:rsidR="00DC6048" w:rsidRPr="00B55390" w:rsidRDefault="00DC6048" w:rsidP="00D67622">
            <w:pPr>
              <w:pStyle w:val="PINormal"/>
              <w:jc w:val="center"/>
            </w:pPr>
          </w:p>
        </w:tc>
        <w:tc>
          <w:tcPr>
            <w:tcW w:w="1548" w:type="dxa"/>
            <w:tcBorders>
              <w:top w:val="nil"/>
              <w:bottom w:val="nil"/>
            </w:tcBorders>
            <w:shd w:val="clear" w:color="auto" w:fill="auto"/>
          </w:tcPr>
          <w:p w14:paraId="40F8D519" w14:textId="77777777" w:rsidR="00DC6048" w:rsidRPr="00B55390" w:rsidRDefault="00DC6048" w:rsidP="00D67622">
            <w:pPr>
              <w:pStyle w:val="PINormal"/>
              <w:jc w:val="center"/>
            </w:pPr>
          </w:p>
        </w:tc>
      </w:tr>
      <w:tr w:rsidR="00DC6048" w:rsidRPr="00B55390" w14:paraId="3AB9D253" w14:textId="77777777" w:rsidTr="003A6C05">
        <w:tc>
          <w:tcPr>
            <w:tcW w:w="3960" w:type="dxa"/>
            <w:tcBorders>
              <w:top w:val="nil"/>
              <w:bottom w:val="nil"/>
            </w:tcBorders>
            <w:shd w:val="clear" w:color="auto" w:fill="auto"/>
          </w:tcPr>
          <w:p w14:paraId="0C504E6D" w14:textId="77777777" w:rsidR="00DC6048" w:rsidRPr="00B55390" w:rsidRDefault="00DC6048" w:rsidP="00D67622">
            <w:pPr>
              <w:pStyle w:val="PINormal"/>
            </w:pPr>
            <w:r w:rsidRPr="00B55390">
              <w:t>Percentage of subjects with</w:t>
            </w:r>
          </w:p>
        </w:tc>
        <w:tc>
          <w:tcPr>
            <w:tcW w:w="1980" w:type="dxa"/>
            <w:tcBorders>
              <w:top w:val="nil"/>
              <w:bottom w:val="nil"/>
            </w:tcBorders>
            <w:shd w:val="clear" w:color="auto" w:fill="auto"/>
          </w:tcPr>
          <w:p w14:paraId="7FDD5494" w14:textId="77777777" w:rsidR="00DC6048" w:rsidRPr="00B55390" w:rsidRDefault="00DC6048" w:rsidP="00D67622">
            <w:pPr>
              <w:pStyle w:val="PINormal"/>
              <w:jc w:val="center"/>
            </w:pPr>
          </w:p>
        </w:tc>
        <w:tc>
          <w:tcPr>
            <w:tcW w:w="1454" w:type="dxa"/>
            <w:tcBorders>
              <w:top w:val="nil"/>
              <w:bottom w:val="nil"/>
            </w:tcBorders>
            <w:shd w:val="clear" w:color="auto" w:fill="auto"/>
          </w:tcPr>
          <w:p w14:paraId="6902BFAD" w14:textId="77777777" w:rsidR="00DC6048" w:rsidRPr="00B55390" w:rsidRDefault="00DC6048" w:rsidP="00D67622">
            <w:pPr>
              <w:pStyle w:val="PINormal"/>
              <w:jc w:val="center"/>
            </w:pPr>
          </w:p>
        </w:tc>
        <w:tc>
          <w:tcPr>
            <w:tcW w:w="1548" w:type="dxa"/>
            <w:tcBorders>
              <w:top w:val="nil"/>
              <w:bottom w:val="nil"/>
            </w:tcBorders>
            <w:shd w:val="clear" w:color="auto" w:fill="auto"/>
          </w:tcPr>
          <w:p w14:paraId="29805140" w14:textId="77777777" w:rsidR="00DC6048" w:rsidRPr="00B55390" w:rsidRDefault="00DC6048" w:rsidP="00D67622">
            <w:pPr>
              <w:pStyle w:val="PINormal"/>
              <w:jc w:val="center"/>
            </w:pPr>
          </w:p>
        </w:tc>
      </w:tr>
      <w:tr w:rsidR="00DC6048" w:rsidRPr="00B55390" w14:paraId="1E726BFD" w14:textId="77777777" w:rsidTr="003A6C05">
        <w:tc>
          <w:tcPr>
            <w:tcW w:w="3960" w:type="dxa"/>
            <w:tcBorders>
              <w:top w:val="nil"/>
              <w:bottom w:val="nil"/>
            </w:tcBorders>
            <w:shd w:val="clear" w:color="auto" w:fill="auto"/>
          </w:tcPr>
          <w:p w14:paraId="05C69E56" w14:textId="77777777" w:rsidR="00DC6048" w:rsidRPr="00B55390" w:rsidRDefault="00DC6048" w:rsidP="00D67622">
            <w:pPr>
              <w:pStyle w:val="PINormal"/>
            </w:pPr>
            <w:r w:rsidRPr="00B55390">
              <w:tab/>
              <w:t>0 lesions</w:t>
            </w:r>
          </w:p>
        </w:tc>
        <w:tc>
          <w:tcPr>
            <w:tcW w:w="1980" w:type="dxa"/>
            <w:tcBorders>
              <w:top w:val="nil"/>
              <w:bottom w:val="nil"/>
            </w:tcBorders>
            <w:shd w:val="clear" w:color="auto" w:fill="auto"/>
          </w:tcPr>
          <w:p w14:paraId="2FB4F71A" w14:textId="77777777" w:rsidR="00DC6048" w:rsidRPr="00B55390" w:rsidRDefault="00DC6048" w:rsidP="00D67622">
            <w:pPr>
              <w:pStyle w:val="PINormal"/>
              <w:jc w:val="center"/>
            </w:pPr>
            <w:r w:rsidRPr="00B55390">
              <w:t>45%</w:t>
            </w:r>
          </w:p>
        </w:tc>
        <w:tc>
          <w:tcPr>
            <w:tcW w:w="1454" w:type="dxa"/>
            <w:tcBorders>
              <w:top w:val="nil"/>
              <w:bottom w:val="nil"/>
            </w:tcBorders>
            <w:shd w:val="clear" w:color="auto" w:fill="auto"/>
          </w:tcPr>
          <w:p w14:paraId="4C785A37" w14:textId="77777777" w:rsidR="00DC6048" w:rsidRPr="00B55390" w:rsidRDefault="00DC6048" w:rsidP="00D67622">
            <w:pPr>
              <w:pStyle w:val="PINormal"/>
              <w:jc w:val="center"/>
            </w:pPr>
            <w:r w:rsidRPr="00B55390">
              <w:t>27%</w:t>
            </w:r>
          </w:p>
        </w:tc>
        <w:tc>
          <w:tcPr>
            <w:tcW w:w="1548" w:type="dxa"/>
            <w:tcBorders>
              <w:top w:val="nil"/>
              <w:bottom w:val="nil"/>
            </w:tcBorders>
            <w:shd w:val="clear" w:color="auto" w:fill="auto"/>
          </w:tcPr>
          <w:p w14:paraId="4029CB8B" w14:textId="77777777" w:rsidR="00DC6048" w:rsidRPr="00B55390" w:rsidRDefault="00DC6048" w:rsidP="00D67622">
            <w:pPr>
              <w:pStyle w:val="PINormal"/>
              <w:jc w:val="center"/>
            </w:pPr>
          </w:p>
        </w:tc>
      </w:tr>
      <w:tr w:rsidR="00DC6048" w:rsidRPr="00B55390" w14:paraId="24D9A14F" w14:textId="77777777" w:rsidTr="003A6C05">
        <w:tc>
          <w:tcPr>
            <w:tcW w:w="3960" w:type="dxa"/>
            <w:tcBorders>
              <w:top w:val="nil"/>
              <w:bottom w:val="nil"/>
            </w:tcBorders>
            <w:shd w:val="clear" w:color="auto" w:fill="auto"/>
          </w:tcPr>
          <w:p w14:paraId="26A5903E" w14:textId="77777777" w:rsidR="00DC6048" w:rsidRPr="00B55390" w:rsidRDefault="00DC6048" w:rsidP="00D67622">
            <w:pPr>
              <w:pStyle w:val="PINormal"/>
            </w:pPr>
            <w:r w:rsidRPr="00B55390">
              <w:tab/>
              <w:t>1 lesion</w:t>
            </w:r>
          </w:p>
        </w:tc>
        <w:tc>
          <w:tcPr>
            <w:tcW w:w="1980" w:type="dxa"/>
            <w:tcBorders>
              <w:top w:val="nil"/>
              <w:bottom w:val="nil"/>
            </w:tcBorders>
            <w:shd w:val="clear" w:color="auto" w:fill="auto"/>
          </w:tcPr>
          <w:p w14:paraId="389B715E" w14:textId="77777777" w:rsidR="00DC6048" w:rsidRPr="00B55390" w:rsidRDefault="00DC6048" w:rsidP="00D67622">
            <w:pPr>
              <w:pStyle w:val="PINormal"/>
              <w:jc w:val="center"/>
            </w:pPr>
            <w:r w:rsidRPr="00B55390">
              <w:t>17%</w:t>
            </w:r>
          </w:p>
        </w:tc>
        <w:tc>
          <w:tcPr>
            <w:tcW w:w="1454" w:type="dxa"/>
            <w:tcBorders>
              <w:top w:val="nil"/>
              <w:bottom w:val="nil"/>
            </w:tcBorders>
            <w:shd w:val="clear" w:color="auto" w:fill="auto"/>
          </w:tcPr>
          <w:p w14:paraId="3E58EAA1" w14:textId="34D08522" w:rsidR="00DC6048" w:rsidRPr="00B55390" w:rsidRDefault="00DC6048" w:rsidP="00D67622">
            <w:pPr>
              <w:pStyle w:val="PINormal"/>
              <w:jc w:val="center"/>
            </w:pPr>
            <w:r w:rsidRPr="00B55390">
              <w:t>5%</w:t>
            </w:r>
          </w:p>
        </w:tc>
        <w:tc>
          <w:tcPr>
            <w:tcW w:w="1548" w:type="dxa"/>
            <w:tcBorders>
              <w:top w:val="nil"/>
              <w:bottom w:val="nil"/>
            </w:tcBorders>
            <w:shd w:val="clear" w:color="auto" w:fill="auto"/>
          </w:tcPr>
          <w:p w14:paraId="742E0744" w14:textId="77777777" w:rsidR="00DC6048" w:rsidRPr="00B55390" w:rsidRDefault="00DC6048" w:rsidP="00D67622">
            <w:pPr>
              <w:pStyle w:val="PINormal"/>
              <w:jc w:val="center"/>
            </w:pPr>
          </w:p>
        </w:tc>
      </w:tr>
      <w:tr w:rsidR="00DC6048" w:rsidRPr="00B55390" w14:paraId="1ACE8301" w14:textId="77777777" w:rsidTr="003A6C05">
        <w:tc>
          <w:tcPr>
            <w:tcW w:w="3960" w:type="dxa"/>
            <w:tcBorders>
              <w:top w:val="nil"/>
              <w:bottom w:val="nil"/>
            </w:tcBorders>
            <w:shd w:val="clear" w:color="auto" w:fill="auto"/>
          </w:tcPr>
          <w:p w14:paraId="4C0E12DD" w14:textId="77777777" w:rsidR="00DC6048" w:rsidRPr="00B55390" w:rsidRDefault="00DC6048" w:rsidP="00D67622">
            <w:pPr>
              <w:pStyle w:val="PINormal"/>
            </w:pPr>
            <w:r w:rsidRPr="00B55390">
              <w:tab/>
              <w:t>2 lesions</w:t>
            </w:r>
          </w:p>
        </w:tc>
        <w:tc>
          <w:tcPr>
            <w:tcW w:w="1980" w:type="dxa"/>
            <w:tcBorders>
              <w:top w:val="nil"/>
              <w:bottom w:val="nil"/>
            </w:tcBorders>
            <w:shd w:val="clear" w:color="auto" w:fill="auto"/>
          </w:tcPr>
          <w:p w14:paraId="52F686D8" w14:textId="77777777" w:rsidR="00DC6048" w:rsidRPr="00B55390" w:rsidRDefault="00DC6048" w:rsidP="00D67622">
            <w:pPr>
              <w:pStyle w:val="PINormal"/>
              <w:jc w:val="center"/>
            </w:pPr>
            <w:r w:rsidRPr="00B55390">
              <w:t>9%</w:t>
            </w:r>
          </w:p>
        </w:tc>
        <w:tc>
          <w:tcPr>
            <w:tcW w:w="1454" w:type="dxa"/>
            <w:tcBorders>
              <w:top w:val="nil"/>
              <w:bottom w:val="nil"/>
            </w:tcBorders>
            <w:shd w:val="clear" w:color="auto" w:fill="auto"/>
          </w:tcPr>
          <w:p w14:paraId="569FEF26" w14:textId="3E903734" w:rsidR="00DC6048" w:rsidRPr="00B55390" w:rsidRDefault="00DC6048" w:rsidP="00D67622">
            <w:pPr>
              <w:pStyle w:val="PINormal"/>
              <w:jc w:val="center"/>
            </w:pPr>
            <w:r w:rsidRPr="00B55390">
              <w:t>2%</w:t>
            </w:r>
          </w:p>
        </w:tc>
        <w:tc>
          <w:tcPr>
            <w:tcW w:w="1548" w:type="dxa"/>
            <w:tcBorders>
              <w:top w:val="nil"/>
              <w:bottom w:val="nil"/>
            </w:tcBorders>
            <w:shd w:val="clear" w:color="auto" w:fill="auto"/>
          </w:tcPr>
          <w:p w14:paraId="50A6671C" w14:textId="77777777" w:rsidR="00DC6048" w:rsidRPr="00B55390" w:rsidRDefault="00DC6048" w:rsidP="00D67622">
            <w:pPr>
              <w:pStyle w:val="PINormal"/>
              <w:jc w:val="center"/>
            </w:pPr>
          </w:p>
        </w:tc>
      </w:tr>
      <w:tr w:rsidR="00DC6048" w:rsidRPr="00B55390" w14:paraId="232091B5" w14:textId="77777777" w:rsidTr="003A6C05">
        <w:tc>
          <w:tcPr>
            <w:tcW w:w="3960" w:type="dxa"/>
            <w:tcBorders>
              <w:top w:val="nil"/>
              <w:bottom w:val="nil"/>
            </w:tcBorders>
            <w:shd w:val="clear" w:color="auto" w:fill="auto"/>
          </w:tcPr>
          <w:p w14:paraId="7F846B11" w14:textId="77777777" w:rsidR="00DC6048" w:rsidRPr="00B55390" w:rsidRDefault="00DC6048" w:rsidP="00D67622">
            <w:pPr>
              <w:pStyle w:val="PINormal"/>
            </w:pPr>
            <w:r w:rsidRPr="00B55390">
              <w:tab/>
              <w:t>3 lesions</w:t>
            </w:r>
          </w:p>
        </w:tc>
        <w:tc>
          <w:tcPr>
            <w:tcW w:w="1980" w:type="dxa"/>
            <w:tcBorders>
              <w:top w:val="nil"/>
              <w:bottom w:val="nil"/>
            </w:tcBorders>
            <w:shd w:val="clear" w:color="auto" w:fill="auto"/>
          </w:tcPr>
          <w:p w14:paraId="160C63BD" w14:textId="77777777" w:rsidR="00DC6048" w:rsidRPr="00B55390" w:rsidRDefault="00DC6048" w:rsidP="00D67622">
            <w:pPr>
              <w:pStyle w:val="PINormal"/>
              <w:jc w:val="center"/>
            </w:pPr>
            <w:r w:rsidRPr="00B55390">
              <w:t>7%</w:t>
            </w:r>
          </w:p>
        </w:tc>
        <w:tc>
          <w:tcPr>
            <w:tcW w:w="1454" w:type="dxa"/>
            <w:tcBorders>
              <w:top w:val="nil"/>
              <w:bottom w:val="nil"/>
            </w:tcBorders>
            <w:shd w:val="clear" w:color="auto" w:fill="auto"/>
          </w:tcPr>
          <w:p w14:paraId="745B072C" w14:textId="3DA2952A" w:rsidR="00DC6048" w:rsidRPr="00B55390" w:rsidRDefault="00DC6048" w:rsidP="00D67622">
            <w:pPr>
              <w:pStyle w:val="PINormal"/>
              <w:jc w:val="center"/>
            </w:pPr>
            <w:r w:rsidRPr="00B55390">
              <w:t>5%</w:t>
            </w:r>
          </w:p>
        </w:tc>
        <w:tc>
          <w:tcPr>
            <w:tcW w:w="1548" w:type="dxa"/>
            <w:tcBorders>
              <w:top w:val="nil"/>
              <w:bottom w:val="nil"/>
            </w:tcBorders>
            <w:shd w:val="clear" w:color="auto" w:fill="auto"/>
          </w:tcPr>
          <w:p w14:paraId="632F280E" w14:textId="77777777" w:rsidR="00DC6048" w:rsidRPr="00B55390" w:rsidRDefault="00DC6048" w:rsidP="00D67622">
            <w:pPr>
              <w:pStyle w:val="PINormal"/>
              <w:jc w:val="center"/>
            </w:pPr>
          </w:p>
        </w:tc>
      </w:tr>
      <w:tr w:rsidR="00DC6048" w:rsidRPr="00B55390" w14:paraId="5FA4C858" w14:textId="77777777" w:rsidTr="003A6C05">
        <w:tc>
          <w:tcPr>
            <w:tcW w:w="3960" w:type="dxa"/>
            <w:tcBorders>
              <w:top w:val="nil"/>
              <w:bottom w:val="single" w:sz="4" w:space="0" w:color="auto"/>
            </w:tcBorders>
            <w:shd w:val="clear" w:color="auto" w:fill="auto"/>
          </w:tcPr>
          <w:p w14:paraId="3086C8B8" w14:textId="6D420D7F" w:rsidR="00DC6048" w:rsidRPr="00B55390" w:rsidRDefault="00DC6048" w:rsidP="00D67622">
            <w:pPr>
              <w:pStyle w:val="PINormal"/>
            </w:pPr>
            <w:r w:rsidRPr="00B55390">
              <w:tab/>
              <w:t>4 or more lesions</w:t>
            </w:r>
          </w:p>
        </w:tc>
        <w:tc>
          <w:tcPr>
            <w:tcW w:w="1980" w:type="dxa"/>
            <w:tcBorders>
              <w:top w:val="nil"/>
              <w:bottom w:val="single" w:sz="4" w:space="0" w:color="auto"/>
            </w:tcBorders>
            <w:shd w:val="clear" w:color="auto" w:fill="auto"/>
          </w:tcPr>
          <w:p w14:paraId="3DCF07DF" w14:textId="77777777" w:rsidR="00DC6048" w:rsidRPr="00B55390" w:rsidRDefault="00DC6048" w:rsidP="00D67622">
            <w:pPr>
              <w:pStyle w:val="PINormal"/>
              <w:jc w:val="center"/>
            </w:pPr>
            <w:r w:rsidRPr="00B55390">
              <w:t>22%</w:t>
            </w:r>
          </w:p>
        </w:tc>
        <w:tc>
          <w:tcPr>
            <w:tcW w:w="1454" w:type="dxa"/>
            <w:tcBorders>
              <w:top w:val="nil"/>
              <w:bottom w:val="single" w:sz="4" w:space="0" w:color="auto"/>
            </w:tcBorders>
            <w:shd w:val="clear" w:color="auto" w:fill="auto"/>
          </w:tcPr>
          <w:p w14:paraId="4A6DC55C" w14:textId="77777777" w:rsidR="00DC6048" w:rsidRPr="00B55390" w:rsidRDefault="00DC6048" w:rsidP="00D67622">
            <w:pPr>
              <w:pStyle w:val="PINormal"/>
              <w:jc w:val="center"/>
            </w:pPr>
            <w:r w:rsidRPr="00B55390">
              <w:t>61%</w:t>
            </w:r>
          </w:p>
        </w:tc>
        <w:tc>
          <w:tcPr>
            <w:tcW w:w="1548" w:type="dxa"/>
            <w:tcBorders>
              <w:top w:val="nil"/>
              <w:bottom w:val="single" w:sz="4" w:space="0" w:color="auto"/>
            </w:tcBorders>
            <w:shd w:val="clear" w:color="auto" w:fill="auto"/>
          </w:tcPr>
          <w:p w14:paraId="703941F8" w14:textId="77777777" w:rsidR="00DC6048" w:rsidRPr="00B55390" w:rsidRDefault="00DC6048" w:rsidP="00D67622">
            <w:pPr>
              <w:pStyle w:val="PINormal"/>
              <w:jc w:val="center"/>
            </w:pPr>
          </w:p>
        </w:tc>
      </w:tr>
    </w:tbl>
    <w:p w14:paraId="6250381C" w14:textId="77777777" w:rsidR="00D44E1A" w:rsidRPr="00B55390" w:rsidRDefault="00D44E1A" w:rsidP="00D67622">
      <w:r w:rsidRPr="00B55390">
        <w:br w:type="page"/>
      </w:r>
    </w:p>
    <w:tbl>
      <w:tblPr>
        <w:tblW w:w="90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3"/>
        <w:gridCol w:w="1980"/>
        <w:gridCol w:w="1454"/>
        <w:gridCol w:w="1548"/>
      </w:tblGrid>
      <w:tr w:rsidR="00DC6048" w:rsidRPr="00B55390" w14:paraId="2924C66D" w14:textId="77777777" w:rsidTr="00D44E1A">
        <w:tc>
          <w:tcPr>
            <w:tcW w:w="4073" w:type="dxa"/>
            <w:tcBorders>
              <w:bottom w:val="nil"/>
            </w:tcBorders>
            <w:shd w:val="clear" w:color="auto" w:fill="auto"/>
          </w:tcPr>
          <w:p w14:paraId="4FA6BE8C" w14:textId="398FF253" w:rsidR="00DC6048" w:rsidRPr="00B55390" w:rsidRDefault="00DC6048" w:rsidP="00D67622">
            <w:pPr>
              <w:pStyle w:val="PINormal"/>
            </w:pPr>
            <w:r w:rsidRPr="00B55390">
              <w:lastRenderedPageBreak/>
              <w:t xml:space="preserve">Number of Gd lesions at 2 years   </w:t>
            </w:r>
          </w:p>
        </w:tc>
        <w:tc>
          <w:tcPr>
            <w:tcW w:w="1980" w:type="dxa"/>
            <w:tcBorders>
              <w:bottom w:val="nil"/>
            </w:tcBorders>
            <w:shd w:val="clear" w:color="auto" w:fill="auto"/>
          </w:tcPr>
          <w:p w14:paraId="4AE8CDE3" w14:textId="77777777" w:rsidR="00DC6048" w:rsidRPr="00B55390" w:rsidRDefault="00DC6048" w:rsidP="00D67622">
            <w:pPr>
              <w:pStyle w:val="PINormal"/>
            </w:pPr>
          </w:p>
        </w:tc>
        <w:tc>
          <w:tcPr>
            <w:tcW w:w="1454" w:type="dxa"/>
            <w:tcBorders>
              <w:bottom w:val="nil"/>
            </w:tcBorders>
            <w:shd w:val="clear" w:color="auto" w:fill="auto"/>
          </w:tcPr>
          <w:p w14:paraId="602F4CD0" w14:textId="77777777" w:rsidR="00DC6048" w:rsidRPr="00B55390" w:rsidRDefault="00DC6048" w:rsidP="00D67622">
            <w:pPr>
              <w:pStyle w:val="PINormal"/>
            </w:pPr>
          </w:p>
        </w:tc>
        <w:tc>
          <w:tcPr>
            <w:tcW w:w="1548" w:type="dxa"/>
            <w:tcBorders>
              <w:bottom w:val="nil"/>
            </w:tcBorders>
            <w:shd w:val="clear" w:color="auto" w:fill="auto"/>
          </w:tcPr>
          <w:p w14:paraId="11A2AF1E" w14:textId="77777777" w:rsidR="00DC6048" w:rsidRPr="00B55390" w:rsidRDefault="00DC6048" w:rsidP="00D67622">
            <w:pPr>
              <w:pStyle w:val="PINormal"/>
            </w:pPr>
          </w:p>
        </w:tc>
      </w:tr>
      <w:tr w:rsidR="00DC6048" w:rsidRPr="00B55390" w14:paraId="75A62FBC" w14:textId="77777777" w:rsidTr="00D44E1A">
        <w:tc>
          <w:tcPr>
            <w:tcW w:w="4073" w:type="dxa"/>
            <w:tcBorders>
              <w:top w:val="nil"/>
              <w:bottom w:val="nil"/>
            </w:tcBorders>
            <w:shd w:val="clear" w:color="auto" w:fill="auto"/>
          </w:tcPr>
          <w:p w14:paraId="02DD03BE" w14:textId="77777777" w:rsidR="00DC6048" w:rsidRPr="00B55390" w:rsidRDefault="00DC6048" w:rsidP="00D67622">
            <w:pPr>
              <w:pStyle w:val="PINormal"/>
            </w:pPr>
            <w:r w:rsidRPr="00B55390">
              <w:t xml:space="preserve">       Mean (median) </w:t>
            </w:r>
          </w:p>
        </w:tc>
        <w:tc>
          <w:tcPr>
            <w:tcW w:w="1980" w:type="dxa"/>
            <w:tcBorders>
              <w:top w:val="nil"/>
              <w:bottom w:val="nil"/>
            </w:tcBorders>
            <w:shd w:val="clear" w:color="auto" w:fill="auto"/>
          </w:tcPr>
          <w:p w14:paraId="73E52FB7" w14:textId="77777777" w:rsidR="00DC6048" w:rsidRPr="00B55390" w:rsidRDefault="00DC6048" w:rsidP="00D67622">
            <w:pPr>
              <w:pStyle w:val="PINormal"/>
              <w:jc w:val="center"/>
            </w:pPr>
            <w:r w:rsidRPr="00B55390">
              <w:t>0.1 (0)</w:t>
            </w:r>
          </w:p>
        </w:tc>
        <w:tc>
          <w:tcPr>
            <w:tcW w:w="1454" w:type="dxa"/>
            <w:tcBorders>
              <w:top w:val="nil"/>
              <w:bottom w:val="nil"/>
            </w:tcBorders>
            <w:shd w:val="clear" w:color="auto" w:fill="auto"/>
          </w:tcPr>
          <w:p w14:paraId="3A647951" w14:textId="77777777" w:rsidR="00DC6048" w:rsidRPr="00B55390" w:rsidRDefault="00DC6048" w:rsidP="00D67622">
            <w:pPr>
              <w:pStyle w:val="PINormal"/>
              <w:jc w:val="center"/>
            </w:pPr>
            <w:r w:rsidRPr="00B55390">
              <w:t>1.8 (0)</w:t>
            </w:r>
          </w:p>
        </w:tc>
        <w:tc>
          <w:tcPr>
            <w:tcW w:w="1548" w:type="dxa"/>
            <w:tcBorders>
              <w:top w:val="nil"/>
              <w:bottom w:val="nil"/>
            </w:tcBorders>
            <w:shd w:val="clear" w:color="auto" w:fill="auto"/>
          </w:tcPr>
          <w:p w14:paraId="3B8EF051" w14:textId="77777777" w:rsidR="00DC6048" w:rsidRPr="00B55390" w:rsidRDefault="00DC6048" w:rsidP="00D67622">
            <w:pPr>
              <w:pStyle w:val="PINormal"/>
              <w:jc w:val="center"/>
            </w:pPr>
          </w:p>
        </w:tc>
      </w:tr>
      <w:tr w:rsidR="00DC6048" w:rsidRPr="00B55390" w14:paraId="3224BD13" w14:textId="77777777" w:rsidTr="00D44E1A">
        <w:tc>
          <w:tcPr>
            <w:tcW w:w="4073" w:type="dxa"/>
            <w:tcBorders>
              <w:top w:val="nil"/>
              <w:bottom w:val="nil"/>
            </w:tcBorders>
            <w:shd w:val="clear" w:color="auto" w:fill="auto"/>
          </w:tcPr>
          <w:p w14:paraId="0382371C" w14:textId="77777777" w:rsidR="00DC6048" w:rsidRPr="00B55390" w:rsidRDefault="00DC6048" w:rsidP="00D67622">
            <w:pPr>
              <w:pStyle w:val="PINormal"/>
            </w:pPr>
          </w:p>
        </w:tc>
        <w:tc>
          <w:tcPr>
            <w:tcW w:w="1980" w:type="dxa"/>
            <w:tcBorders>
              <w:top w:val="nil"/>
              <w:bottom w:val="nil"/>
            </w:tcBorders>
            <w:shd w:val="clear" w:color="auto" w:fill="auto"/>
          </w:tcPr>
          <w:p w14:paraId="3588F1BB" w14:textId="77777777" w:rsidR="00DC6048" w:rsidRPr="00B55390" w:rsidRDefault="00DC6048" w:rsidP="00D67622">
            <w:pPr>
              <w:pStyle w:val="PINormal"/>
              <w:jc w:val="center"/>
            </w:pPr>
          </w:p>
        </w:tc>
        <w:tc>
          <w:tcPr>
            <w:tcW w:w="1454" w:type="dxa"/>
            <w:tcBorders>
              <w:top w:val="nil"/>
              <w:bottom w:val="nil"/>
            </w:tcBorders>
            <w:shd w:val="clear" w:color="auto" w:fill="auto"/>
          </w:tcPr>
          <w:p w14:paraId="61AE747D" w14:textId="77777777" w:rsidR="00DC6048" w:rsidRPr="00B55390" w:rsidRDefault="00DC6048" w:rsidP="00D67622">
            <w:pPr>
              <w:pStyle w:val="PINormal"/>
              <w:jc w:val="center"/>
            </w:pPr>
          </w:p>
        </w:tc>
        <w:tc>
          <w:tcPr>
            <w:tcW w:w="1548" w:type="dxa"/>
            <w:tcBorders>
              <w:top w:val="nil"/>
              <w:bottom w:val="nil"/>
            </w:tcBorders>
            <w:shd w:val="clear" w:color="auto" w:fill="auto"/>
          </w:tcPr>
          <w:p w14:paraId="7CB7CC47" w14:textId="77777777" w:rsidR="00DC6048" w:rsidRPr="00B55390" w:rsidRDefault="00DC6048" w:rsidP="00D67622">
            <w:pPr>
              <w:pStyle w:val="PINormal"/>
              <w:jc w:val="center"/>
            </w:pPr>
          </w:p>
        </w:tc>
      </w:tr>
      <w:tr w:rsidR="00DC6048" w:rsidRPr="00B55390" w14:paraId="7D1EC6B9" w14:textId="77777777" w:rsidTr="00D44E1A">
        <w:tc>
          <w:tcPr>
            <w:tcW w:w="4073" w:type="dxa"/>
            <w:tcBorders>
              <w:top w:val="nil"/>
              <w:bottom w:val="nil"/>
            </w:tcBorders>
            <w:shd w:val="clear" w:color="auto" w:fill="auto"/>
          </w:tcPr>
          <w:p w14:paraId="4676505A" w14:textId="77777777" w:rsidR="00DC6048" w:rsidRPr="00B55390" w:rsidRDefault="00DC6048" w:rsidP="00D67622">
            <w:pPr>
              <w:pStyle w:val="PINormal"/>
            </w:pPr>
            <w:r w:rsidRPr="00B55390">
              <w:t>Percentage of subjects with</w:t>
            </w:r>
          </w:p>
        </w:tc>
        <w:tc>
          <w:tcPr>
            <w:tcW w:w="1980" w:type="dxa"/>
            <w:tcBorders>
              <w:top w:val="nil"/>
              <w:bottom w:val="nil"/>
            </w:tcBorders>
            <w:shd w:val="clear" w:color="auto" w:fill="auto"/>
          </w:tcPr>
          <w:p w14:paraId="43F56D5A" w14:textId="77777777" w:rsidR="00DC6048" w:rsidRPr="00B55390" w:rsidRDefault="00DC6048" w:rsidP="00D67622">
            <w:pPr>
              <w:pStyle w:val="PINormal"/>
              <w:jc w:val="center"/>
            </w:pPr>
          </w:p>
        </w:tc>
        <w:tc>
          <w:tcPr>
            <w:tcW w:w="1454" w:type="dxa"/>
            <w:tcBorders>
              <w:top w:val="nil"/>
              <w:bottom w:val="nil"/>
            </w:tcBorders>
            <w:shd w:val="clear" w:color="auto" w:fill="auto"/>
          </w:tcPr>
          <w:p w14:paraId="3970FBAC" w14:textId="77777777" w:rsidR="00DC6048" w:rsidRPr="00B55390" w:rsidRDefault="00DC6048" w:rsidP="00D67622">
            <w:pPr>
              <w:pStyle w:val="PINormal"/>
              <w:jc w:val="center"/>
            </w:pPr>
          </w:p>
        </w:tc>
        <w:tc>
          <w:tcPr>
            <w:tcW w:w="1548" w:type="dxa"/>
            <w:tcBorders>
              <w:top w:val="nil"/>
              <w:bottom w:val="nil"/>
            </w:tcBorders>
            <w:shd w:val="clear" w:color="auto" w:fill="auto"/>
          </w:tcPr>
          <w:p w14:paraId="3E73D77E" w14:textId="77777777" w:rsidR="00DC6048" w:rsidRPr="00B55390" w:rsidRDefault="00DC6048" w:rsidP="00D67622">
            <w:pPr>
              <w:pStyle w:val="PINormal"/>
              <w:jc w:val="center"/>
            </w:pPr>
          </w:p>
        </w:tc>
      </w:tr>
      <w:tr w:rsidR="00DC6048" w:rsidRPr="00B55390" w14:paraId="26232898" w14:textId="77777777" w:rsidTr="00D44E1A">
        <w:tc>
          <w:tcPr>
            <w:tcW w:w="4073" w:type="dxa"/>
            <w:tcBorders>
              <w:top w:val="nil"/>
              <w:bottom w:val="nil"/>
            </w:tcBorders>
            <w:shd w:val="clear" w:color="auto" w:fill="auto"/>
          </w:tcPr>
          <w:p w14:paraId="20BAB220" w14:textId="77777777" w:rsidR="00DC6048" w:rsidRPr="00B55390" w:rsidRDefault="00DC6048" w:rsidP="00D67622">
            <w:pPr>
              <w:pStyle w:val="PINormal"/>
            </w:pPr>
            <w:r w:rsidRPr="00B55390">
              <w:tab/>
              <w:t>0 lesions</w:t>
            </w:r>
          </w:p>
        </w:tc>
        <w:tc>
          <w:tcPr>
            <w:tcW w:w="1980" w:type="dxa"/>
            <w:tcBorders>
              <w:top w:val="nil"/>
              <w:bottom w:val="nil"/>
            </w:tcBorders>
            <w:shd w:val="clear" w:color="auto" w:fill="auto"/>
          </w:tcPr>
          <w:p w14:paraId="35504679" w14:textId="77777777" w:rsidR="00DC6048" w:rsidRPr="00B55390" w:rsidRDefault="00DC6048" w:rsidP="00D67622">
            <w:pPr>
              <w:pStyle w:val="PINormal"/>
              <w:jc w:val="center"/>
            </w:pPr>
            <w:r w:rsidRPr="00B55390">
              <w:t>93%</w:t>
            </w:r>
          </w:p>
        </w:tc>
        <w:tc>
          <w:tcPr>
            <w:tcW w:w="1454" w:type="dxa"/>
            <w:tcBorders>
              <w:top w:val="nil"/>
              <w:bottom w:val="nil"/>
            </w:tcBorders>
            <w:shd w:val="clear" w:color="auto" w:fill="auto"/>
          </w:tcPr>
          <w:p w14:paraId="63AC696B" w14:textId="77777777" w:rsidR="00DC6048" w:rsidRPr="00B55390" w:rsidRDefault="00DC6048" w:rsidP="00D67622">
            <w:pPr>
              <w:pStyle w:val="PINormal"/>
              <w:jc w:val="center"/>
            </w:pPr>
            <w:r w:rsidRPr="00B55390">
              <w:t>62%</w:t>
            </w:r>
          </w:p>
        </w:tc>
        <w:tc>
          <w:tcPr>
            <w:tcW w:w="1548" w:type="dxa"/>
            <w:tcBorders>
              <w:top w:val="nil"/>
              <w:bottom w:val="nil"/>
            </w:tcBorders>
            <w:shd w:val="clear" w:color="auto" w:fill="auto"/>
          </w:tcPr>
          <w:p w14:paraId="6855296D" w14:textId="77777777" w:rsidR="00DC6048" w:rsidRPr="00B55390" w:rsidRDefault="00DC6048" w:rsidP="00D67622">
            <w:pPr>
              <w:pStyle w:val="PINormal"/>
              <w:jc w:val="center"/>
            </w:pPr>
          </w:p>
        </w:tc>
      </w:tr>
      <w:tr w:rsidR="00DC6048" w:rsidRPr="00B55390" w14:paraId="566F4E65" w14:textId="77777777" w:rsidTr="00D44E1A">
        <w:tc>
          <w:tcPr>
            <w:tcW w:w="4073" w:type="dxa"/>
            <w:tcBorders>
              <w:top w:val="nil"/>
              <w:bottom w:val="nil"/>
            </w:tcBorders>
            <w:shd w:val="clear" w:color="auto" w:fill="auto"/>
          </w:tcPr>
          <w:p w14:paraId="2DD91B92" w14:textId="77777777" w:rsidR="00DC6048" w:rsidRPr="00B55390" w:rsidRDefault="00DC6048" w:rsidP="00D67622">
            <w:pPr>
              <w:pStyle w:val="PINormal"/>
            </w:pPr>
            <w:r w:rsidRPr="00B55390">
              <w:tab/>
              <w:t>1 lesion</w:t>
            </w:r>
          </w:p>
        </w:tc>
        <w:tc>
          <w:tcPr>
            <w:tcW w:w="1980" w:type="dxa"/>
            <w:tcBorders>
              <w:top w:val="nil"/>
              <w:bottom w:val="nil"/>
            </w:tcBorders>
            <w:shd w:val="clear" w:color="auto" w:fill="auto"/>
          </w:tcPr>
          <w:p w14:paraId="7D038D65" w14:textId="77777777" w:rsidR="00DC6048" w:rsidRPr="00B55390" w:rsidRDefault="00DC6048" w:rsidP="00D67622">
            <w:pPr>
              <w:pStyle w:val="PINormal"/>
              <w:jc w:val="center"/>
            </w:pPr>
            <w:r w:rsidRPr="00B55390">
              <w:t>5%</w:t>
            </w:r>
          </w:p>
        </w:tc>
        <w:tc>
          <w:tcPr>
            <w:tcW w:w="1454" w:type="dxa"/>
            <w:tcBorders>
              <w:top w:val="nil"/>
              <w:bottom w:val="nil"/>
            </w:tcBorders>
            <w:shd w:val="clear" w:color="auto" w:fill="auto"/>
          </w:tcPr>
          <w:p w14:paraId="0C546856" w14:textId="77777777" w:rsidR="00DC6048" w:rsidRPr="00B55390" w:rsidRDefault="00DC6048" w:rsidP="00D67622">
            <w:pPr>
              <w:pStyle w:val="PINormal"/>
              <w:jc w:val="center"/>
            </w:pPr>
            <w:r w:rsidRPr="00B55390">
              <w:t>10%</w:t>
            </w:r>
          </w:p>
        </w:tc>
        <w:tc>
          <w:tcPr>
            <w:tcW w:w="1548" w:type="dxa"/>
            <w:tcBorders>
              <w:top w:val="nil"/>
              <w:bottom w:val="nil"/>
            </w:tcBorders>
            <w:shd w:val="clear" w:color="auto" w:fill="auto"/>
          </w:tcPr>
          <w:p w14:paraId="1D335C79" w14:textId="77777777" w:rsidR="00DC6048" w:rsidRPr="00B55390" w:rsidRDefault="00DC6048" w:rsidP="00D67622">
            <w:pPr>
              <w:pStyle w:val="PINormal"/>
              <w:jc w:val="center"/>
            </w:pPr>
          </w:p>
        </w:tc>
      </w:tr>
      <w:tr w:rsidR="00DC6048" w:rsidRPr="00B55390" w14:paraId="2BF64395" w14:textId="77777777" w:rsidTr="00D44E1A">
        <w:tc>
          <w:tcPr>
            <w:tcW w:w="4073" w:type="dxa"/>
            <w:tcBorders>
              <w:top w:val="nil"/>
              <w:bottom w:val="nil"/>
            </w:tcBorders>
            <w:shd w:val="clear" w:color="auto" w:fill="auto"/>
          </w:tcPr>
          <w:p w14:paraId="071F5AA0" w14:textId="77777777" w:rsidR="00DC6048" w:rsidRPr="00B55390" w:rsidRDefault="00DC6048" w:rsidP="00D67622">
            <w:pPr>
              <w:pStyle w:val="PINormal"/>
            </w:pPr>
            <w:r w:rsidRPr="00B55390">
              <w:tab/>
              <w:t>2 lesions</w:t>
            </w:r>
          </w:p>
        </w:tc>
        <w:tc>
          <w:tcPr>
            <w:tcW w:w="1980" w:type="dxa"/>
            <w:tcBorders>
              <w:top w:val="nil"/>
              <w:bottom w:val="nil"/>
            </w:tcBorders>
            <w:shd w:val="clear" w:color="auto" w:fill="auto"/>
          </w:tcPr>
          <w:p w14:paraId="58E46F1C" w14:textId="77777777" w:rsidR="00DC6048" w:rsidRPr="00B55390" w:rsidRDefault="00DC6048" w:rsidP="00D67622">
            <w:pPr>
              <w:pStyle w:val="PINormal"/>
              <w:jc w:val="center"/>
            </w:pPr>
            <w:r w:rsidRPr="00B55390">
              <w:t>&lt;1%</w:t>
            </w:r>
          </w:p>
        </w:tc>
        <w:tc>
          <w:tcPr>
            <w:tcW w:w="1454" w:type="dxa"/>
            <w:tcBorders>
              <w:top w:val="nil"/>
              <w:bottom w:val="nil"/>
            </w:tcBorders>
            <w:shd w:val="clear" w:color="auto" w:fill="auto"/>
          </w:tcPr>
          <w:p w14:paraId="4E876DD9" w14:textId="77777777" w:rsidR="00DC6048" w:rsidRPr="00B55390" w:rsidRDefault="00DC6048" w:rsidP="00D67622">
            <w:pPr>
              <w:pStyle w:val="PINormal"/>
              <w:jc w:val="center"/>
            </w:pPr>
            <w:r w:rsidRPr="00B55390">
              <w:t>8%</w:t>
            </w:r>
          </w:p>
        </w:tc>
        <w:tc>
          <w:tcPr>
            <w:tcW w:w="1548" w:type="dxa"/>
            <w:tcBorders>
              <w:top w:val="nil"/>
              <w:bottom w:val="nil"/>
            </w:tcBorders>
            <w:shd w:val="clear" w:color="auto" w:fill="auto"/>
          </w:tcPr>
          <w:p w14:paraId="3C8DEE28" w14:textId="77777777" w:rsidR="00DC6048" w:rsidRPr="00B55390" w:rsidRDefault="00DC6048" w:rsidP="00D67622">
            <w:pPr>
              <w:pStyle w:val="PINormal"/>
              <w:jc w:val="center"/>
            </w:pPr>
          </w:p>
        </w:tc>
      </w:tr>
      <w:tr w:rsidR="00DC6048" w:rsidRPr="00B55390" w14:paraId="1BFCA46E" w14:textId="77777777" w:rsidTr="00D44E1A">
        <w:tc>
          <w:tcPr>
            <w:tcW w:w="4073" w:type="dxa"/>
            <w:tcBorders>
              <w:top w:val="nil"/>
              <w:bottom w:val="nil"/>
            </w:tcBorders>
            <w:shd w:val="clear" w:color="auto" w:fill="auto"/>
          </w:tcPr>
          <w:p w14:paraId="218B76CF" w14:textId="77777777" w:rsidR="00DC6048" w:rsidRPr="00B55390" w:rsidRDefault="00DC6048" w:rsidP="00D67622">
            <w:pPr>
              <w:pStyle w:val="PINormal"/>
            </w:pPr>
            <w:r w:rsidRPr="00B55390">
              <w:tab/>
              <w:t>3 to 4 lesions</w:t>
            </w:r>
          </w:p>
        </w:tc>
        <w:tc>
          <w:tcPr>
            <w:tcW w:w="1980" w:type="dxa"/>
            <w:tcBorders>
              <w:top w:val="nil"/>
              <w:bottom w:val="nil"/>
            </w:tcBorders>
            <w:shd w:val="clear" w:color="auto" w:fill="auto"/>
          </w:tcPr>
          <w:p w14:paraId="7E59A834" w14:textId="77777777" w:rsidR="00DC6048" w:rsidRPr="00B55390" w:rsidRDefault="00DC6048" w:rsidP="00D67622">
            <w:pPr>
              <w:pStyle w:val="PINormal"/>
              <w:jc w:val="center"/>
            </w:pPr>
            <w:r w:rsidRPr="00B55390">
              <w:t>0</w:t>
            </w:r>
          </w:p>
        </w:tc>
        <w:tc>
          <w:tcPr>
            <w:tcW w:w="1454" w:type="dxa"/>
            <w:tcBorders>
              <w:top w:val="nil"/>
              <w:bottom w:val="nil"/>
            </w:tcBorders>
            <w:shd w:val="clear" w:color="auto" w:fill="auto"/>
          </w:tcPr>
          <w:p w14:paraId="5096DE42" w14:textId="77777777" w:rsidR="00DC6048" w:rsidRPr="00B55390" w:rsidRDefault="00DC6048" w:rsidP="00D67622">
            <w:pPr>
              <w:pStyle w:val="PINormal"/>
              <w:jc w:val="center"/>
            </w:pPr>
            <w:r w:rsidRPr="00B55390">
              <w:t>9%</w:t>
            </w:r>
          </w:p>
        </w:tc>
        <w:tc>
          <w:tcPr>
            <w:tcW w:w="1548" w:type="dxa"/>
            <w:tcBorders>
              <w:top w:val="nil"/>
              <w:bottom w:val="nil"/>
            </w:tcBorders>
            <w:shd w:val="clear" w:color="auto" w:fill="auto"/>
          </w:tcPr>
          <w:p w14:paraId="46D95E1F" w14:textId="77777777" w:rsidR="00DC6048" w:rsidRPr="00B55390" w:rsidRDefault="00DC6048" w:rsidP="00D67622">
            <w:pPr>
              <w:pStyle w:val="PINormal"/>
              <w:jc w:val="center"/>
            </w:pPr>
          </w:p>
        </w:tc>
      </w:tr>
      <w:tr w:rsidR="00DC6048" w:rsidRPr="00B55390" w14:paraId="15938C12" w14:textId="77777777" w:rsidTr="00D44E1A">
        <w:tc>
          <w:tcPr>
            <w:tcW w:w="4073" w:type="dxa"/>
            <w:tcBorders>
              <w:top w:val="nil"/>
              <w:bottom w:val="nil"/>
            </w:tcBorders>
            <w:shd w:val="clear" w:color="auto" w:fill="auto"/>
          </w:tcPr>
          <w:p w14:paraId="463CC948" w14:textId="77777777" w:rsidR="00DC6048" w:rsidRPr="00B55390" w:rsidRDefault="00DC6048" w:rsidP="00D67622">
            <w:pPr>
              <w:pStyle w:val="PINormal"/>
            </w:pPr>
            <w:r w:rsidRPr="00B55390">
              <w:tab/>
              <w:t>5 or more lesions</w:t>
            </w:r>
          </w:p>
        </w:tc>
        <w:tc>
          <w:tcPr>
            <w:tcW w:w="1980" w:type="dxa"/>
            <w:tcBorders>
              <w:top w:val="nil"/>
              <w:bottom w:val="nil"/>
            </w:tcBorders>
            <w:shd w:val="clear" w:color="auto" w:fill="auto"/>
          </w:tcPr>
          <w:p w14:paraId="2502A746" w14:textId="77777777" w:rsidR="00DC6048" w:rsidRPr="00B55390" w:rsidRDefault="00DC6048" w:rsidP="00D67622">
            <w:pPr>
              <w:pStyle w:val="PINormal"/>
              <w:jc w:val="center"/>
            </w:pPr>
            <w:r w:rsidRPr="00B55390">
              <w:t>&lt;1%</w:t>
            </w:r>
          </w:p>
        </w:tc>
        <w:tc>
          <w:tcPr>
            <w:tcW w:w="1454" w:type="dxa"/>
            <w:tcBorders>
              <w:top w:val="nil"/>
              <w:bottom w:val="nil"/>
            </w:tcBorders>
            <w:shd w:val="clear" w:color="auto" w:fill="auto"/>
          </w:tcPr>
          <w:p w14:paraId="71D7F348" w14:textId="77777777" w:rsidR="00DC6048" w:rsidRPr="00B55390" w:rsidRDefault="00DC6048" w:rsidP="00D67622">
            <w:pPr>
              <w:pStyle w:val="PINormal"/>
              <w:jc w:val="center"/>
            </w:pPr>
            <w:r w:rsidRPr="00B55390">
              <w:t>11%</w:t>
            </w:r>
          </w:p>
        </w:tc>
        <w:tc>
          <w:tcPr>
            <w:tcW w:w="1548" w:type="dxa"/>
            <w:tcBorders>
              <w:top w:val="nil"/>
              <w:bottom w:val="nil"/>
            </w:tcBorders>
            <w:shd w:val="clear" w:color="auto" w:fill="auto"/>
          </w:tcPr>
          <w:p w14:paraId="049CFC9B" w14:textId="77777777" w:rsidR="00DC6048" w:rsidRPr="00B55390" w:rsidRDefault="00DC6048" w:rsidP="00D67622">
            <w:pPr>
              <w:pStyle w:val="PINormal"/>
              <w:jc w:val="center"/>
            </w:pPr>
          </w:p>
        </w:tc>
      </w:tr>
      <w:tr w:rsidR="00DC6048" w:rsidRPr="00B55390" w14:paraId="75691541" w14:textId="77777777" w:rsidTr="00D44E1A">
        <w:tc>
          <w:tcPr>
            <w:tcW w:w="4073" w:type="dxa"/>
            <w:tcBorders>
              <w:top w:val="nil"/>
              <w:bottom w:val="nil"/>
            </w:tcBorders>
            <w:shd w:val="clear" w:color="auto" w:fill="auto"/>
          </w:tcPr>
          <w:p w14:paraId="58714622" w14:textId="77777777" w:rsidR="00DC6048" w:rsidRPr="00B55390" w:rsidRDefault="00DC6048" w:rsidP="00D67622">
            <w:pPr>
              <w:pStyle w:val="PINormal"/>
            </w:pPr>
          </w:p>
        </w:tc>
        <w:tc>
          <w:tcPr>
            <w:tcW w:w="1980" w:type="dxa"/>
            <w:tcBorders>
              <w:top w:val="nil"/>
              <w:bottom w:val="nil"/>
            </w:tcBorders>
            <w:shd w:val="clear" w:color="auto" w:fill="auto"/>
          </w:tcPr>
          <w:p w14:paraId="0C9C7E04" w14:textId="77777777" w:rsidR="00DC6048" w:rsidRPr="00B55390" w:rsidRDefault="00DC6048" w:rsidP="00D67622">
            <w:pPr>
              <w:pStyle w:val="PINormal"/>
              <w:jc w:val="center"/>
            </w:pPr>
          </w:p>
        </w:tc>
        <w:tc>
          <w:tcPr>
            <w:tcW w:w="1454" w:type="dxa"/>
            <w:tcBorders>
              <w:top w:val="nil"/>
              <w:bottom w:val="nil"/>
            </w:tcBorders>
            <w:shd w:val="clear" w:color="auto" w:fill="auto"/>
          </w:tcPr>
          <w:p w14:paraId="6A9B1600" w14:textId="77777777" w:rsidR="00DC6048" w:rsidRPr="00B55390" w:rsidRDefault="00DC6048" w:rsidP="00D67622">
            <w:pPr>
              <w:pStyle w:val="PINormal"/>
              <w:jc w:val="center"/>
            </w:pPr>
          </w:p>
        </w:tc>
        <w:tc>
          <w:tcPr>
            <w:tcW w:w="1548" w:type="dxa"/>
            <w:tcBorders>
              <w:top w:val="nil"/>
              <w:bottom w:val="nil"/>
            </w:tcBorders>
            <w:shd w:val="clear" w:color="auto" w:fill="auto"/>
          </w:tcPr>
          <w:p w14:paraId="5AA7E0D4" w14:textId="77777777" w:rsidR="00DC6048" w:rsidRPr="00B55390" w:rsidRDefault="00DC6048" w:rsidP="00D67622">
            <w:pPr>
              <w:pStyle w:val="PINormal"/>
              <w:jc w:val="center"/>
            </w:pPr>
          </w:p>
        </w:tc>
      </w:tr>
      <w:tr w:rsidR="00DC6048" w:rsidRPr="00B55390" w14:paraId="114F2EFC" w14:textId="77777777" w:rsidTr="00D44E1A">
        <w:tc>
          <w:tcPr>
            <w:tcW w:w="4073" w:type="dxa"/>
            <w:tcBorders>
              <w:top w:val="nil"/>
              <w:bottom w:val="nil"/>
            </w:tcBorders>
            <w:shd w:val="clear" w:color="auto" w:fill="auto"/>
          </w:tcPr>
          <w:p w14:paraId="5B616290" w14:textId="77777777" w:rsidR="00DC6048" w:rsidRPr="00B55390" w:rsidRDefault="00DC6048" w:rsidP="00D67622">
            <w:pPr>
              <w:pStyle w:val="PINormal"/>
            </w:pPr>
            <w:r w:rsidRPr="00B55390">
              <w:t xml:space="preserve"> Relative odds reduction   </w:t>
            </w:r>
          </w:p>
        </w:tc>
        <w:tc>
          <w:tcPr>
            <w:tcW w:w="1980" w:type="dxa"/>
            <w:tcBorders>
              <w:top w:val="nil"/>
              <w:bottom w:val="nil"/>
            </w:tcBorders>
            <w:shd w:val="clear" w:color="auto" w:fill="auto"/>
          </w:tcPr>
          <w:p w14:paraId="420F0335" w14:textId="77777777" w:rsidR="00DC6048" w:rsidRPr="00B55390" w:rsidRDefault="00DC6048" w:rsidP="00D67622">
            <w:pPr>
              <w:pStyle w:val="PINormal"/>
              <w:jc w:val="center"/>
            </w:pPr>
          </w:p>
        </w:tc>
        <w:tc>
          <w:tcPr>
            <w:tcW w:w="1454" w:type="dxa"/>
            <w:tcBorders>
              <w:top w:val="nil"/>
              <w:bottom w:val="nil"/>
            </w:tcBorders>
            <w:shd w:val="clear" w:color="auto" w:fill="auto"/>
          </w:tcPr>
          <w:p w14:paraId="54FADA60" w14:textId="77777777" w:rsidR="00DC6048" w:rsidRPr="00B55390" w:rsidRDefault="00DC6048" w:rsidP="00D67622">
            <w:pPr>
              <w:pStyle w:val="PINormal"/>
              <w:jc w:val="center"/>
            </w:pPr>
          </w:p>
        </w:tc>
        <w:tc>
          <w:tcPr>
            <w:tcW w:w="1548" w:type="dxa"/>
            <w:tcBorders>
              <w:top w:val="nil"/>
              <w:bottom w:val="nil"/>
            </w:tcBorders>
            <w:shd w:val="clear" w:color="auto" w:fill="auto"/>
          </w:tcPr>
          <w:p w14:paraId="369871B6" w14:textId="77777777" w:rsidR="00DC6048" w:rsidRPr="00B55390" w:rsidRDefault="00DC6048" w:rsidP="00D67622">
            <w:pPr>
              <w:pStyle w:val="PINormal"/>
              <w:jc w:val="center"/>
            </w:pPr>
          </w:p>
        </w:tc>
      </w:tr>
      <w:tr w:rsidR="00DC6048" w:rsidRPr="00B55390" w14:paraId="6EFB8E71" w14:textId="77777777" w:rsidTr="00D44E1A">
        <w:tc>
          <w:tcPr>
            <w:tcW w:w="4073" w:type="dxa"/>
            <w:tcBorders>
              <w:top w:val="nil"/>
              <w:bottom w:val="nil"/>
            </w:tcBorders>
            <w:shd w:val="clear" w:color="auto" w:fill="auto"/>
          </w:tcPr>
          <w:p w14:paraId="25CA2130" w14:textId="77777777" w:rsidR="00DC6048" w:rsidRPr="00B55390" w:rsidRDefault="00DC6048" w:rsidP="00D67622">
            <w:pPr>
              <w:pStyle w:val="PINormal"/>
            </w:pPr>
            <w:r w:rsidRPr="00B55390">
              <w:t xml:space="preserve">           (percentage)</w:t>
            </w:r>
          </w:p>
        </w:tc>
        <w:tc>
          <w:tcPr>
            <w:tcW w:w="1980" w:type="dxa"/>
            <w:tcBorders>
              <w:top w:val="nil"/>
              <w:bottom w:val="nil"/>
            </w:tcBorders>
            <w:shd w:val="clear" w:color="auto" w:fill="auto"/>
          </w:tcPr>
          <w:p w14:paraId="5667E549" w14:textId="77777777" w:rsidR="00DC6048" w:rsidRPr="00B55390" w:rsidRDefault="00DC6048" w:rsidP="00D67622">
            <w:pPr>
              <w:pStyle w:val="PINormal"/>
              <w:jc w:val="center"/>
            </w:pPr>
            <w:r w:rsidRPr="00B55390">
              <w:t>90%</w:t>
            </w:r>
          </w:p>
        </w:tc>
        <w:tc>
          <w:tcPr>
            <w:tcW w:w="1454" w:type="dxa"/>
            <w:tcBorders>
              <w:top w:val="nil"/>
              <w:bottom w:val="nil"/>
            </w:tcBorders>
            <w:shd w:val="clear" w:color="auto" w:fill="auto"/>
          </w:tcPr>
          <w:p w14:paraId="6AD3F9DC" w14:textId="77777777" w:rsidR="00DC6048" w:rsidRPr="00B55390" w:rsidRDefault="00DC6048" w:rsidP="00D67622">
            <w:pPr>
              <w:pStyle w:val="PINormal"/>
              <w:jc w:val="center"/>
            </w:pPr>
          </w:p>
        </w:tc>
        <w:tc>
          <w:tcPr>
            <w:tcW w:w="1548" w:type="dxa"/>
            <w:tcBorders>
              <w:top w:val="nil"/>
              <w:bottom w:val="nil"/>
            </w:tcBorders>
            <w:shd w:val="clear" w:color="auto" w:fill="auto"/>
          </w:tcPr>
          <w:p w14:paraId="61254CAE" w14:textId="77777777" w:rsidR="00DC6048" w:rsidRPr="00B55390" w:rsidRDefault="00DC6048" w:rsidP="00D67622">
            <w:pPr>
              <w:pStyle w:val="PINormal"/>
              <w:jc w:val="center"/>
            </w:pPr>
            <w:r w:rsidRPr="00B55390">
              <w:t>&lt;0.0001</w:t>
            </w:r>
          </w:p>
        </w:tc>
      </w:tr>
      <w:tr w:rsidR="00DC6048" w:rsidRPr="00B55390" w14:paraId="1C96B460" w14:textId="77777777" w:rsidTr="00D44E1A">
        <w:tc>
          <w:tcPr>
            <w:tcW w:w="4073" w:type="dxa"/>
            <w:tcBorders>
              <w:top w:val="nil"/>
              <w:bottom w:val="nil"/>
            </w:tcBorders>
            <w:shd w:val="clear" w:color="auto" w:fill="auto"/>
          </w:tcPr>
          <w:p w14:paraId="43948015" w14:textId="77777777" w:rsidR="00DC6048" w:rsidRPr="00B55390" w:rsidRDefault="00DC6048" w:rsidP="00D67622">
            <w:pPr>
              <w:pStyle w:val="PINormal"/>
            </w:pPr>
            <w:r w:rsidRPr="00B55390">
              <w:t xml:space="preserve">           (95% CI)</w:t>
            </w:r>
          </w:p>
        </w:tc>
        <w:tc>
          <w:tcPr>
            <w:tcW w:w="1980" w:type="dxa"/>
            <w:tcBorders>
              <w:top w:val="nil"/>
              <w:bottom w:val="nil"/>
            </w:tcBorders>
            <w:shd w:val="clear" w:color="auto" w:fill="auto"/>
          </w:tcPr>
          <w:p w14:paraId="035C5F33" w14:textId="5D840E17" w:rsidR="00DC6048" w:rsidRPr="00B55390" w:rsidRDefault="00DC6048" w:rsidP="00D67622">
            <w:pPr>
              <w:pStyle w:val="PINormal"/>
              <w:jc w:val="center"/>
            </w:pPr>
            <w:r w:rsidRPr="00B55390">
              <w:t>(78%, 95%)</w:t>
            </w:r>
          </w:p>
        </w:tc>
        <w:tc>
          <w:tcPr>
            <w:tcW w:w="1454" w:type="dxa"/>
            <w:tcBorders>
              <w:top w:val="nil"/>
              <w:bottom w:val="nil"/>
            </w:tcBorders>
            <w:shd w:val="clear" w:color="auto" w:fill="auto"/>
          </w:tcPr>
          <w:p w14:paraId="09BCD3AA" w14:textId="77777777" w:rsidR="00DC6048" w:rsidRPr="00B55390" w:rsidRDefault="00DC6048" w:rsidP="00D67622">
            <w:pPr>
              <w:pStyle w:val="PINormal"/>
              <w:jc w:val="center"/>
            </w:pPr>
          </w:p>
        </w:tc>
        <w:tc>
          <w:tcPr>
            <w:tcW w:w="1548" w:type="dxa"/>
            <w:tcBorders>
              <w:top w:val="nil"/>
              <w:bottom w:val="nil"/>
            </w:tcBorders>
            <w:shd w:val="clear" w:color="auto" w:fill="auto"/>
          </w:tcPr>
          <w:p w14:paraId="2C10D3B6" w14:textId="77777777" w:rsidR="00DC6048" w:rsidRPr="00B55390" w:rsidRDefault="00DC6048" w:rsidP="00D67622">
            <w:pPr>
              <w:pStyle w:val="PINormal"/>
              <w:jc w:val="center"/>
            </w:pPr>
          </w:p>
        </w:tc>
      </w:tr>
      <w:tr w:rsidR="00DC6048" w:rsidRPr="00B55390" w14:paraId="6F7DAE81" w14:textId="77777777" w:rsidTr="00D44E1A">
        <w:tc>
          <w:tcPr>
            <w:tcW w:w="4073" w:type="dxa"/>
            <w:tcBorders>
              <w:top w:val="nil"/>
              <w:bottom w:val="nil"/>
            </w:tcBorders>
            <w:shd w:val="clear" w:color="auto" w:fill="auto"/>
          </w:tcPr>
          <w:p w14:paraId="528B990B" w14:textId="77777777" w:rsidR="00DC6048" w:rsidRPr="00B55390" w:rsidRDefault="00DC6048" w:rsidP="00D67622">
            <w:pPr>
              <w:pStyle w:val="PINormal"/>
            </w:pPr>
          </w:p>
        </w:tc>
        <w:tc>
          <w:tcPr>
            <w:tcW w:w="1980" w:type="dxa"/>
            <w:tcBorders>
              <w:top w:val="nil"/>
              <w:bottom w:val="nil"/>
            </w:tcBorders>
            <w:shd w:val="clear" w:color="auto" w:fill="auto"/>
          </w:tcPr>
          <w:p w14:paraId="507B12E3" w14:textId="77777777" w:rsidR="00DC6048" w:rsidRPr="00B55390" w:rsidRDefault="00DC6048" w:rsidP="00D67622">
            <w:pPr>
              <w:pStyle w:val="PINormal"/>
              <w:jc w:val="center"/>
            </w:pPr>
          </w:p>
        </w:tc>
        <w:tc>
          <w:tcPr>
            <w:tcW w:w="1454" w:type="dxa"/>
            <w:tcBorders>
              <w:top w:val="nil"/>
              <w:bottom w:val="nil"/>
            </w:tcBorders>
            <w:shd w:val="clear" w:color="auto" w:fill="auto"/>
          </w:tcPr>
          <w:p w14:paraId="1C906AC7" w14:textId="77777777" w:rsidR="00DC6048" w:rsidRPr="00B55390" w:rsidRDefault="00DC6048" w:rsidP="00D67622">
            <w:pPr>
              <w:pStyle w:val="PINormal"/>
              <w:jc w:val="center"/>
            </w:pPr>
          </w:p>
        </w:tc>
        <w:tc>
          <w:tcPr>
            <w:tcW w:w="1548" w:type="dxa"/>
            <w:tcBorders>
              <w:top w:val="nil"/>
              <w:bottom w:val="nil"/>
            </w:tcBorders>
            <w:shd w:val="clear" w:color="auto" w:fill="auto"/>
          </w:tcPr>
          <w:p w14:paraId="6B5D25BD" w14:textId="77777777" w:rsidR="00DC6048" w:rsidRPr="00B55390" w:rsidRDefault="00DC6048" w:rsidP="00D67622">
            <w:pPr>
              <w:pStyle w:val="PINormal"/>
              <w:jc w:val="center"/>
            </w:pPr>
          </w:p>
        </w:tc>
      </w:tr>
      <w:tr w:rsidR="00DC6048" w:rsidRPr="00B55390" w14:paraId="43C9489B" w14:textId="77777777" w:rsidTr="00D44E1A">
        <w:tc>
          <w:tcPr>
            <w:tcW w:w="4073" w:type="dxa"/>
            <w:tcBorders>
              <w:top w:val="nil"/>
              <w:bottom w:val="nil"/>
            </w:tcBorders>
            <w:shd w:val="clear" w:color="auto" w:fill="auto"/>
          </w:tcPr>
          <w:p w14:paraId="10D25E7C" w14:textId="5D9F642D" w:rsidR="00DC6048" w:rsidRPr="00B55390" w:rsidRDefault="00DC6048" w:rsidP="00D67622">
            <w:pPr>
              <w:pStyle w:val="PINormal"/>
            </w:pPr>
            <w:r w:rsidRPr="00B55390">
              <w:t xml:space="preserve">Number of new T1 hypointense </w:t>
            </w:r>
            <w:r w:rsidRPr="00B55390">
              <w:br/>
              <w:t>lesions over 2 years</w:t>
            </w:r>
          </w:p>
        </w:tc>
        <w:tc>
          <w:tcPr>
            <w:tcW w:w="1980" w:type="dxa"/>
            <w:tcBorders>
              <w:top w:val="nil"/>
              <w:bottom w:val="nil"/>
            </w:tcBorders>
            <w:shd w:val="clear" w:color="auto" w:fill="auto"/>
          </w:tcPr>
          <w:p w14:paraId="717F6A53" w14:textId="77777777" w:rsidR="00DC6048" w:rsidRPr="00B55390" w:rsidRDefault="00DC6048" w:rsidP="00D67622">
            <w:pPr>
              <w:pStyle w:val="PINormal"/>
              <w:jc w:val="center"/>
            </w:pPr>
          </w:p>
        </w:tc>
        <w:tc>
          <w:tcPr>
            <w:tcW w:w="1454" w:type="dxa"/>
            <w:tcBorders>
              <w:top w:val="nil"/>
              <w:bottom w:val="nil"/>
            </w:tcBorders>
            <w:shd w:val="clear" w:color="auto" w:fill="auto"/>
          </w:tcPr>
          <w:p w14:paraId="401EE398" w14:textId="77777777" w:rsidR="00DC6048" w:rsidRPr="00B55390" w:rsidRDefault="00DC6048" w:rsidP="00D67622">
            <w:pPr>
              <w:pStyle w:val="PINormal"/>
              <w:jc w:val="center"/>
            </w:pPr>
          </w:p>
        </w:tc>
        <w:tc>
          <w:tcPr>
            <w:tcW w:w="1548" w:type="dxa"/>
            <w:tcBorders>
              <w:top w:val="nil"/>
              <w:bottom w:val="nil"/>
            </w:tcBorders>
            <w:shd w:val="clear" w:color="auto" w:fill="auto"/>
          </w:tcPr>
          <w:p w14:paraId="7C0E185B" w14:textId="77777777" w:rsidR="00DC6048" w:rsidRPr="00B55390" w:rsidRDefault="00DC6048" w:rsidP="00D67622">
            <w:pPr>
              <w:pStyle w:val="PINormal"/>
              <w:jc w:val="center"/>
            </w:pPr>
          </w:p>
        </w:tc>
      </w:tr>
      <w:tr w:rsidR="00DC6048" w:rsidRPr="00B55390" w14:paraId="23CB8F02" w14:textId="77777777" w:rsidTr="00D44E1A">
        <w:tc>
          <w:tcPr>
            <w:tcW w:w="4073" w:type="dxa"/>
            <w:tcBorders>
              <w:top w:val="nil"/>
              <w:bottom w:val="nil"/>
            </w:tcBorders>
            <w:shd w:val="clear" w:color="auto" w:fill="auto"/>
          </w:tcPr>
          <w:p w14:paraId="67A001D2" w14:textId="46D2E91D" w:rsidR="00DC6048" w:rsidRPr="00B55390" w:rsidRDefault="00DC6048" w:rsidP="00D67622">
            <w:pPr>
              <w:pStyle w:val="PINormal"/>
            </w:pPr>
            <w:r w:rsidRPr="00B55390">
              <w:t xml:space="preserve">          Mean (median) </w:t>
            </w:r>
          </w:p>
        </w:tc>
        <w:tc>
          <w:tcPr>
            <w:tcW w:w="1980" w:type="dxa"/>
            <w:tcBorders>
              <w:top w:val="nil"/>
              <w:bottom w:val="nil"/>
            </w:tcBorders>
            <w:shd w:val="clear" w:color="auto" w:fill="auto"/>
          </w:tcPr>
          <w:p w14:paraId="0072BC8B" w14:textId="2445E46A" w:rsidR="00DC6048" w:rsidRPr="00B55390" w:rsidRDefault="00DC6048" w:rsidP="00D67622">
            <w:pPr>
              <w:pStyle w:val="PINormal"/>
              <w:jc w:val="center"/>
            </w:pPr>
            <w:r w:rsidRPr="00B55390">
              <w:t>2.0 (1.0)</w:t>
            </w:r>
          </w:p>
        </w:tc>
        <w:tc>
          <w:tcPr>
            <w:tcW w:w="1454" w:type="dxa"/>
            <w:tcBorders>
              <w:top w:val="nil"/>
              <w:bottom w:val="nil"/>
            </w:tcBorders>
            <w:shd w:val="clear" w:color="auto" w:fill="auto"/>
          </w:tcPr>
          <w:p w14:paraId="4CB7DF83" w14:textId="2858790C" w:rsidR="00DC6048" w:rsidRPr="00B55390" w:rsidRDefault="00DC6048" w:rsidP="00D67622">
            <w:pPr>
              <w:pStyle w:val="PINormal"/>
              <w:jc w:val="center"/>
            </w:pPr>
            <w:r w:rsidRPr="00B55390">
              <w:t>5.7 (2.0)</w:t>
            </w:r>
          </w:p>
        </w:tc>
        <w:tc>
          <w:tcPr>
            <w:tcW w:w="1548" w:type="dxa"/>
            <w:tcBorders>
              <w:top w:val="nil"/>
              <w:bottom w:val="nil"/>
            </w:tcBorders>
            <w:shd w:val="clear" w:color="auto" w:fill="auto"/>
          </w:tcPr>
          <w:p w14:paraId="45067537" w14:textId="65288039" w:rsidR="00DC6048" w:rsidRPr="00B55390" w:rsidRDefault="00DC6048" w:rsidP="00D67622">
            <w:pPr>
              <w:pStyle w:val="PINormal"/>
              <w:jc w:val="center"/>
            </w:pPr>
            <w:r w:rsidRPr="00B55390">
              <w:t>&lt; 0.0001</w:t>
            </w:r>
          </w:p>
        </w:tc>
      </w:tr>
      <w:tr w:rsidR="00DC6048" w:rsidRPr="00B55390" w14:paraId="6622FF10" w14:textId="77777777" w:rsidTr="00D44E1A">
        <w:tc>
          <w:tcPr>
            <w:tcW w:w="4073" w:type="dxa"/>
            <w:tcBorders>
              <w:top w:val="nil"/>
              <w:bottom w:val="nil"/>
            </w:tcBorders>
            <w:shd w:val="clear" w:color="auto" w:fill="auto"/>
          </w:tcPr>
          <w:p w14:paraId="6A24939A" w14:textId="5DCBF3C1" w:rsidR="00DC6048" w:rsidRPr="00B55390" w:rsidRDefault="00DC6048" w:rsidP="00D67622">
            <w:pPr>
              <w:pStyle w:val="PINormal"/>
            </w:pPr>
            <w:r w:rsidRPr="00B55390">
              <w:t xml:space="preserve">          Relative reduction (percentage)</w:t>
            </w:r>
          </w:p>
        </w:tc>
        <w:tc>
          <w:tcPr>
            <w:tcW w:w="1980" w:type="dxa"/>
            <w:tcBorders>
              <w:top w:val="nil"/>
              <w:bottom w:val="nil"/>
            </w:tcBorders>
            <w:shd w:val="clear" w:color="auto" w:fill="auto"/>
          </w:tcPr>
          <w:p w14:paraId="183F73A8" w14:textId="74532646" w:rsidR="00DC6048" w:rsidRPr="00B55390" w:rsidRDefault="00DC6048" w:rsidP="00D67622">
            <w:pPr>
              <w:pStyle w:val="PINormal"/>
              <w:jc w:val="center"/>
            </w:pPr>
            <w:r w:rsidRPr="00B55390">
              <w:t>72%</w:t>
            </w:r>
          </w:p>
        </w:tc>
        <w:tc>
          <w:tcPr>
            <w:tcW w:w="1454" w:type="dxa"/>
            <w:tcBorders>
              <w:top w:val="nil"/>
              <w:bottom w:val="nil"/>
            </w:tcBorders>
            <w:shd w:val="clear" w:color="auto" w:fill="auto"/>
          </w:tcPr>
          <w:p w14:paraId="5544BF68" w14:textId="77777777" w:rsidR="00DC6048" w:rsidRPr="00B55390" w:rsidRDefault="00DC6048" w:rsidP="00D67622">
            <w:pPr>
              <w:pStyle w:val="PINormal"/>
              <w:jc w:val="center"/>
            </w:pPr>
          </w:p>
        </w:tc>
        <w:tc>
          <w:tcPr>
            <w:tcW w:w="1548" w:type="dxa"/>
            <w:tcBorders>
              <w:top w:val="nil"/>
              <w:bottom w:val="nil"/>
            </w:tcBorders>
            <w:shd w:val="clear" w:color="auto" w:fill="auto"/>
          </w:tcPr>
          <w:p w14:paraId="496FEEA5" w14:textId="77777777" w:rsidR="00DC6048" w:rsidRPr="00B55390" w:rsidRDefault="00DC6048" w:rsidP="00D67622">
            <w:pPr>
              <w:pStyle w:val="PINormal"/>
              <w:jc w:val="center"/>
            </w:pPr>
          </w:p>
        </w:tc>
      </w:tr>
      <w:tr w:rsidR="00DC6048" w:rsidRPr="00B55390" w14:paraId="09B078A2" w14:textId="77777777" w:rsidTr="00D44E1A">
        <w:tc>
          <w:tcPr>
            <w:tcW w:w="4073" w:type="dxa"/>
            <w:tcBorders>
              <w:top w:val="nil"/>
              <w:bottom w:val="nil"/>
            </w:tcBorders>
            <w:shd w:val="clear" w:color="auto" w:fill="auto"/>
          </w:tcPr>
          <w:p w14:paraId="31C1A9EF" w14:textId="34F0529A" w:rsidR="00DC6048" w:rsidRPr="00B55390" w:rsidRDefault="00DC6048" w:rsidP="00D67622">
            <w:pPr>
              <w:pStyle w:val="PINormal"/>
            </w:pPr>
            <w:r w:rsidRPr="00B55390">
              <w:t xml:space="preserve">          (95% CI)</w:t>
            </w:r>
          </w:p>
        </w:tc>
        <w:tc>
          <w:tcPr>
            <w:tcW w:w="1980" w:type="dxa"/>
            <w:tcBorders>
              <w:top w:val="nil"/>
              <w:bottom w:val="nil"/>
            </w:tcBorders>
            <w:shd w:val="clear" w:color="auto" w:fill="auto"/>
          </w:tcPr>
          <w:p w14:paraId="6DA0F789" w14:textId="029DAB80" w:rsidR="00DC6048" w:rsidRPr="00B55390" w:rsidRDefault="00DC6048" w:rsidP="00D67622">
            <w:pPr>
              <w:pStyle w:val="PINormal"/>
              <w:jc w:val="center"/>
            </w:pPr>
            <w:r w:rsidRPr="00B55390">
              <w:t>(61%, 80%)</w:t>
            </w:r>
          </w:p>
        </w:tc>
        <w:tc>
          <w:tcPr>
            <w:tcW w:w="1454" w:type="dxa"/>
            <w:tcBorders>
              <w:top w:val="nil"/>
              <w:bottom w:val="nil"/>
            </w:tcBorders>
            <w:shd w:val="clear" w:color="auto" w:fill="auto"/>
          </w:tcPr>
          <w:p w14:paraId="53452812" w14:textId="77777777" w:rsidR="00DC6048" w:rsidRPr="00B55390" w:rsidRDefault="00DC6048" w:rsidP="00D67622">
            <w:pPr>
              <w:pStyle w:val="PINormal"/>
              <w:jc w:val="center"/>
            </w:pPr>
          </w:p>
        </w:tc>
        <w:tc>
          <w:tcPr>
            <w:tcW w:w="1548" w:type="dxa"/>
            <w:tcBorders>
              <w:top w:val="nil"/>
              <w:bottom w:val="nil"/>
            </w:tcBorders>
            <w:shd w:val="clear" w:color="auto" w:fill="auto"/>
          </w:tcPr>
          <w:p w14:paraId="1F1F2A8F" w14:textId="77777777" w:rsidR="00DC6048" w:rsidRPr="00B55390" w:rsidRDefault="00DC6048" w:rsidP="00D67622">
            <w:pPr>
              <w:pStyle w:val="PINormal"/>
              <w:jc w:val="center"/>
            </w:pPr>
          </w:p>
        </w:tc>
      </w:tr>
      <w:tr w:rsidR="00DC6048" w:rsidRPr="00B55390" w14:paraId="28CE0370" w14:textId="77777777" w:rsidTr="00D44E1A">
        <w:tc>
          <w:tcPr>
            <w:tcW w:w="4073" w:type="dxa"/>
            <w:tcBorders>
              <w:top w:val="nil"/>
              <w:bottom w:val="nil"/>
            </w:tcBorders>
            <w:shd w:val="clear" w:color="auto" w:fill="auto"/>
          </w:tcPr>
          <w:p w14:paraId="521099AB" w14:textId="77777777" w:rsidR="00DC6048" w:rsidRPr="00B55390" w:rsidRDefault="00DC6048" w:rsidP="00D67622">
            <w:pPr>
              <w:pStyle w:val="PINormal"/>
            </w:pPr>
          </w:p>
        </w:tc>
        <w:tc>
          <w:tcPr>
            <w:tcW w:w="1980" w:type="dxa"/>
            <w:tcBorders>
              <w:top w:val="nil"/>
              <w:bottom w:val="nil"/>
            </w:tcBorders>
            <w:shd w:val="clear" w:color="auto" w:fill="auto"/>
          </w:tcPr>
          <w:p w14:paraId="61E42583" w14:textId="77777777" w:rsidR="00DC6048" w:rsidRPr="00B55390" w:rsidRDefault="00DC6048" w:rsidP="00D67622">
            <w:pPr>
              <w:pStyle w:val="PINormal"/>
              <w:jc w:val="center"/>
            </w:pPr>
          </w:p>
        </w:tc>
        <w:tc>
          <w:tcPr>
            <w:tcW w:w="1454" w:type="dxa"/>
            <w:tcBorders>
              <w:top w:val="nil"/>
              <w:bottom w:val="nil"/>
            </w:tcBorders>
            <w:shd w:val="clear" w:color="auto" w:fill="auto"/>
          </w:tcPr>
          <w:p w14:paraId="087FFE1E" w14:textId="77777777" w:rsidR="00DC6048" w:rsidRPr="00B55390" w:rsidRDefault="00DC6048" w:rsidP="00D67622">
            <w:pPr>
              <w:pStyle w:val="PINormal"/>
              <w:jc w:val="center"/>
            </w:pPr>
          </w:p>
        </w:tc>
        <w:tc>
          <w:tcPr>
            <w:tcW w:w="1548" w:type="dxa"/>
            <w:tcBorders>
              <w:top w:val="nil"/>
              <w:bottom w:val="nil"/>
            </w:tcBorders>
            <w:shd w:val="clear" w:color="auto" w:fill="auto"/>
          </w:tcPr>
          <w:p w14:paraId="31446B1D" w14:textId="77777777" w:rsidR="00DC6048" w:rsidRPr="00B55390" w:rsidRDefault="00DC6048" w:rsidP="00D67622">
            <w:pPr>
              <w:pStyle w:val="PINormal"/>
              <w:jc w:val="center"/>
            </w:pPr>
          </w:p>
        </w:tc>
      </w:tr>
      <w:tr w:rsidR="00DC6048" w:rsidRPr="00B55390" w14:paraId="114A6695" w14:textId="77777777" w:rsidTr="00D44E1A">
        <w:tc>
          <w:tcPr>
            <w:tcW w:w="4073" w:type="dxa"/>
            <w:tcBorders>
              <w:top w:val="nil"/>
              <w:bottom w:val="nil"/>
            </w:tcBorders>
            <w:shd w:val="clear" w:color="auto" w:fill="auto"/>
          </w:tcPr>
          <w:p w14:paraId="0266B99B" w14:textId="75C900E6" w:rsidR="00DC6048" w:rsidRPr="00B55390" w:rsidRDefault="00DC6048" w:rsidP="00D67622">
            <w:pPr>
              <w:pStyle w:val="PINormal"/>
            </w:pPr>
            <w:r w:rsidRPr="00B55390">
              <w:t>Percentage of subjects with</w:t>
            </w:r>
          </w:p>
        </w:tc>
        <w:tc>
          <w:tcPr>
            <w:tcW w:w="1980" w:type="dxa"/>
            <w:tcBorders>
              <w:top w:val="nil"/>
              <w:bottom w:val="nil"/>
            </w:tcBorders>
            <w:shd w:val="clear" w:color="auto" w:fill="auto"/>
          </w:tcPr>
          <w:p w14:paraId="39EB2196" w14:textId="77777777" w:rsidR="00DC6048" w:rsidRPr="00B55390" w:rsidRDefault="00DC6048" w:rsidP="00D67622">
            <w:pPr>
              <w:pStyle w:val="PINormal"/>
              <w:jc w:val="center"/>
            </w:pPr>
          </w:p>
        </w:tc>
        <w:tc>
          <w:tcPr>
            <w:tcW w:w="1454" w:type="dxa"/>
            <w:tcBorders>
              <w:top w:val="nil"/>
              <w:bottom w:val="nil"/>
            </w:tcBorders>
            <w:shd w:val="clear" w:color="auto" w:fill="auto"/>
          </w:tcPr>
          <w:p w14:paraId="0C744CC4" w14:textId="77777777" w:rsidR="00DC6048" w:rsidRPr="00B55390" w:rsidRDefault="00DC6048" w:rsidP="00D67622">
            <w:pPr>
              <w:pStyle w:val="PINormal"/>
              <w:jc w:val="center"/>
            </w:pPr>
          </w:p>
        </w:tc>
        <w:tc>
          <w:tcPr>
            <w:tcW w:w="1548" w:type="dxa"/>
            <w:tcBorders>
              <w:top w:val="nil"/>
              <w:bottom w:val="nil"/>
            </w:tcBorders>
            <w:shd w:val="clear" w:color="auto" w:fill="auto"/>
          </w:tcPr>
          <w:p w14:paraId="64B1BA71" w14:textId="77777777" w:rsidR="00DC6048" w:rsidRPr="00B55390" w:rsidRDefault="00DC6048" w:rsidP="00D67622">
            <w:pPr>
              <w:pStyle w:val="PINormal"/>
              <w:jc w:val="center"/>
            </w:pPr>
          </w:p>
        </w:tc>
      </w:tr>
      <w:tr w:rsidR="00DC6048" w:rsidRPr="00B55390" w14:paraId="3DE26822" w14:textId="77777777" w:rsidTr="00D44E1A">
        <w:tc>
          <w:tcPr>
            <w:tcW w:w="4073" w:type="dxa"/>
            <w:tcBorders>
              <w:top w:val="nil"/>
              <w:bottom w:val="nil"/>
            </w:tcBorders>
            <w:shd w:val="clear" w:color="auto" w:fill="auto"/>
          </w:tcPr>
          <w:p w14:paraId="6CD637F5" w14:textId="3B3468A0" w:rsidR="00DC6048" w:rsidRPr="00B55390" w:rsidRDefault="00DC6048" w:rsidP="00D67622">
            <w:pPr>
              <w:pStyle w:val="PINormal"/>
            </w:pPr>
            <w:r w:rsidRPr="00B55390">
              <w:t xml:space="preserve">            0 lesions</w:t>
            </w:r>
          </w:p>
        </w:tc>
        <w:tc>
          <w:tcPr>
            <w:tcW w:w="1980" w:type="dxa"/>
            <w:tcBorders>
              <w:top w:val="nil"/>
              <w:bottom w:val="nil"/>
            </w:tcBorders>
            <w:shd w:val="clear" w:color="auto" w:fill="auto"/>
          </w:tcPr>
          <w:p w14:paraId="712D90DC" w14:textId="649E9046" w:rsidR="00DC6048" w:rsidRPr="00B55390" w:rsidRDefault="00DC6048" w:rsidP="00D67622">
            <w:pPr>
              <w:pStyle w:val="PINormal"/>
              <w:jc w:val="center"/>
            </w:pPr>
            <w:r w:rsidRPr="00B55390">
              <w:t>40%</w:t>
            </w:r>
          </w:p>
        </w:tc>
        <w:tc>
          <w:tcPr>
            <w:tcW w:w="1454" w:type="dxa"/>
            <w:tcBorders>
              <w:top w:val="nil"/>
              <w:bottom w:val="nil"/>
            </w:tcBorders>
            <w:shd w:val="clear" w:color="auto" w:fill="auto"/>
          </w:tcPr>
          <w:p w14:paraId="7C1B469F" w14:textId="3211B894" w:rsidR="00DC6048" w:rsidRPr="00B55390" w:rsidRDefault="00DC6048" w:rsidP="00D67622">
            <w:pPr>
              <w:pStyle w:val="PINormal"/>
              <w:jc w:val="center"/>
            </w:pPr>
            <w:r w:rsidRPr="00B55390">
              <w:t>36%</w:t>
            </w:r>
          </w:p>
        </w:tc>
        <w:tc>
          <w:tcPr>
            <w:tcW w:w="1548" w:type="dxa"/>
            <w:tcBorders>
              <w:top w:val="nil"/>
              <w:bottom w:val="nil"/>
            </w:tcBorders>
            <w:shd w:val="clear" w:color="auto" w:fill="auto"/>
          </w:tcPr>
          <w:p w14:paraId="3D7147F5" w14:textId="77777777" w:rsidR="00DC6048" w:rsidRPr="00B55390" w:rsidRDefault="00DC6048" w:rsidP="00D67622">
            <w:pPr>
              <w:pStyle w:val="PINormal"/>
              <w:jc w:val="center"/>
            </w:pPr>
          </w:p>
        </w:tc>
      </w:tr>
      <w:tr w:rsidR="00DC6048" w:rsidRPr="00B55390" w14:paraId="6036D3FC" w14:textId="77777777" w:rsidTr="00D44E1A">
        <w:tc>
          <w:tcPr>
            <w:tcW w:w="4073" w:type="dxa"/>
            <w:tcBorders>
              <w:top w:val="nil"/>
              <w:bottom w:val="nil"/>
            </w:tcBorders>
            <w:shd w:val="clear" w:color="auto" w:fill="auto"/>
          </w:tcPr>
          <w:p w14:paraId="51925B7F" w14:textId="6CE2D5DD" w:rsidR="00DC6048" w:rsidRPr="00B55390" w:rsidRDefault="00DC6048" w:rsidP="00D67622">
            <w:pPr>
              <w:pStyle w:val="PINormal"/>
            </w:pPr>
            <w:r w:rsidRPr="00B55390">
              <w:t xml:space="preserve">            1 lesion</w:t>
            </w:r>
          </w:p>
        </w:tc>
        <w:tc>
          <w:tcPr>
            <w:tcW w:w="1980" w:type="dxa"/>
            <w:tcBorders>
              <w:top w:val="nil"/>
              <w:bottom w:val="nil"/>
            </w:tcBorders>
            <w:shd w:val="clear" w:color="auto" w:fill="auto"/>
          </w:tcPr>
          <w:p w14:paraId="76CD0401" w14:textId="55335FCB" w:rsidR="00DC6048" w:rsidRPr="00B55390" w:rsidRDefault="00DC6048" w:rsidP="00D67622">
            <w:pPr>
              <w:pStyle w:val="PINormal"/>
              <w:jc w:val="center"/>
            </w:pPr>
            <w:r w:rsidRPr="00B55390">
              <w:t>23%</w:t>
            </w:r>
          </w:p>
        </w:tc>
        <w:tc>
          <w:tcPr>
            <w:tcW w:w="1454" w:type="dxa"/>
            <w:tcBorders>
              <w:top w:val="nil"/>
              <w:bottom w:val="nil"/>
            </w:tcBorders>
            <w:shd w:val="clear" w:color="auto" w:fill="auto"/>
          </w:tcPr>
          <w:p w14:paraId="321F97A5" w14:textId="2EEEC6CA" w:rsidR="00DC6048" w:rsidRPr="00B55390" w:rsidRDefault="00DC6048" w:rsidP="00D67622">
            <w:pPr>
              <w:pStyle w:val="PINormal"/>
              <w:jc w:val="center"/>
            </w:pPr>
            <w:r w:rsidRPr="00B55390">
              <w:t>10%</w:t>
            </w:r>
          </w:p>
        </w:tc>
        <w:tc>
          <w:tcPr>
            <w:tcW w:w="1548" w:type="dxa"/>
            <w:tcBorders>
              <w:top w:val="nil"/>
              <w:bottom w:val="nil"/>
            </w:tcBorders>
            <w:shd w:val="clear" w:color="auto" w:fill="auto"/>
          </w:tcPr>
          <w:p w14:paraId="01096365" w14:textId="77777777" w:rsidR="00DC6048" w:rsidRPr="00B55390" w:rsidRDefault="00DC6048" w:rsidP="00D67622">
            <w:pPr>
              <w:pStyle w:val="PINormal"/>
              <w:jc w:val="center"/>
            </w:pPr>
          </w:p>
        </w:tc>
      </w:tr>
      <w:tr w:rsidR="00DC6048" w:rsidRPr="00B55390" w14:paraId="41F33153" w14:textId="77777777" w:rsidTr="00D44E1A">
        <w:tc>
          <w:tcPr>
            <w:tcW w:w="4073" w:type="dxa"/>
            <w:tcBorders>
              <w:top w:val="nil"/>
              <w:bottom w:val="nil"/>
            </w:tcBorders>
            <w:shd w:val="clear" w:color="auto" w:fill="auto"/>
          </w:tcPr>
          <w:p w14:paraId="326F5087" w14:textId="194CF745" w:rsidR="00DC6048" w:rsidRPr="00B55390" w:rsidRDefault="00DC6048" w:rsidP="00D67622">
            <w:pPr>
              <w:pStyle w:val="PINormal"/>
            </w:pPr>
            <w:r w:rsidRPr="00B55390">
              <w:t xml:space="preserve">            2 lesions</w:t>
            </w:r>
          </w:p>
        </w:tc>
        <w:tc>
          <w:tcPr>
            <w:tcW w:w="1980" w:type="dxa"/>
            <w:tcBorders>
              <w:top w:val="nil"/>
              <w:bottom w:val="nil"/>
            </w:tcBorders>
            <w:shd w:val="clear" w:color="auto" w:fill="auto"/>
          </w:tcPr>
          <w:p w14:paraId="73711226" w14:textId="38B6DB46" w:rsidR="00DC6048" w:rsidRPr="00B55390" w:rsidRDefault="00DC6048" w:rsidP="00D67622">
            <w:pPr>
              <w:pStyle w:val="PINormal"/>
              <w:jc w:val="center"/>
            </w:pPr>
            <w:r w:rsidRPr="00B55390">
              <w:t>10%</w:t>
            </w:r>
          </w:p>
        </w:tc>
        <w:tc>
          <w:tcPr>
            <w:tcW w:w="1454" w:type="dxa"/>
            <w:tcBorders>
              <w:top w:val="nil"/>
              <w:bottom w:val="nil"/>
            </w:tcBorders>
            <w:shd w:val="clear" w:color="auto" w:fill="auto"/>
          </w:tcPr>
          <w:p w14:paraId="53D2241B" w14:textId="73AB4DFB" w:rsidR="00DC6048" w:rsidRPr="00B55390" w:rsidRDefault="00DC6048" w:rsidP="00D67622">
            <w:pPr>
              <w:pStyle w:val="PINormal"/>
              <w:jc w:val="center"/>
            </w:pPr>
            <w:r w:rsidRPr="00B55390">
              <w:t>6%</w:t>
            </w:r>
          </w:p>
        </w:tc>
        <w:tc>
          <w:tcPr>
            <w:tcW w:w="1548" w:type="dxa"/>
            <w:tcBorders>
              <w:top w:val="nil"/>
              <w:bottom w:val="nil"/>
            </w:tcBorders>
            <w:shd w:val="clear" w:color="auto" w:fill="auto"/>
          </w:tcPr>
          <w:p w14:paraId="3FBFF3A7" w14:textId="77777777" w:rsidR="00DC6048" w:rsidRPr="00B55390" w:rsidRDefault="00DC6048" w:rsidP="00D67622">
            <w:pPr>
              <w:pStyle w:val="PINormal"/>
              <w:jc w:val="center"/>
            </w:pPr>
          </w:p>
        </w:tc>
      </w:tr>
      <w:tr w:rsidR="00DC6048" w:rsidRPr="00B55390" w14:paraId="652B3D3F" w14:textId="77777777" w:rsidTr="00D44E1A">
        <w:tc>
          <w:tcPr>
            <w:tcW w:w="4073" w:type="dxa"/>
            <w:tcBorders>
              <w:top w:val="nil"/>
              <w:bottom w:val="nil"/>
            </w:tcBorders>
            <w:shd w:val="clear" w:color="auto" w:fill="auto"/>
          </w:tcPr>
          <w:p w14:paraId="29B806F5" w14:textId="52A63A4D" w:rsidR="00DC6048" w:rsidRPr="00B55390" w:rsidRDefault="00DC6048" w:rsidP="00D67622">
            <w:pPr>
              <w:pStyle w:val="PINormal"/>
            </w:pPr>
            <w:r w:rsidRPr="00B55390">
              <w:t xml:space="preserve">            3 to 4 lesions</w:t>
            </w:r>
          </w:p>
        </w:tc>
        <w:tc>
          <w:tcPr>
            <w:tcW w:w="1980" w:type="dxa"/>
            <w:tcBorders>
              <w:top w:val="nil"/>
              <w:bottom w:val="nil"/>
            </w:tcBorders>
            <w:shd w:val="clear" w:color="auto" w:fill="auto"/>
          </w:tcPr>
          <w:p w14:paraId="13EFBBA0" w14:textId="4E178A1E" w:rsidR="00DC6048" w:rsidRPr="00B55390" w:rsidRDefault="00DC6048" w:rsidP="00D67622">
            <w:pPr>
              <w:pStyle w:val="PINormal"/>
              <w:jc w:val="center"/>
            </w:pPr>
            <w:r w:rsidRPr="00B55390">
              <w:t>17%</w:t>
            </w:r>
          </w:p>
        </w:tc>
        <w:tc>
          <w:tcPr>
            <w:tcW w:w="1454" w:type="dxa"/>
            <w:tcBorders>
              <w:top w:val="nil"/>
              <w:bottom w:val="nil"/>
            </w:tcBorders>
            <w:shd w:val="clear" w:color="auto" w:fill="auto"/>
          </w:tcPr>
          <w:p w14:paraId="6EFD9BB3" w14:textId="781A7B2F" w:rsidR="00DC6048" w:rsidRPr="00B55390" w:rsidRDefault="00DC6048" w:rsidP="00D67622">
            <w:pPr>
              <w:pStyle w:val="PINormal"/>
              <w:jc w:val="center"/>
            </w:pPr>
            <w:r w:rsidRPr="00B55390">
              <w:t>12%</w:t>
            </w:r>
          </w:p>
        </w:tc>
        <w:tc>
          <w:tcPr>
            <w:tcW w:w="1548" w:type="dxa"/>
            <w:tcBorders>
              <w:top w:val="nil"/>
              <w:bottom w:val="nil"/>
            </w:tcBorders>
            <w:shd w:val="clear" w:color="auto" w:fill="auto"/>
          </w:tcPr>
          <w:p w14:paraId="124B132C" w14:textId="77777777" w:rsidR="00DC6048" w:rsidRPr="00B55390" w:rsidRDefault="00DC6048" w:rsidP="00D67622">
            <w:pPr>
              <w:pStyle w:val="PINormal"/>
              <w:jc w:val="center"/>
            </w:pPr>
          </w:p>
        </w:tc>
      </w:tr>
      <w:tr w:rsidR="00DC6048" w:rsidRPr="00B55390" w14:paraId="37D3C0A5" w14:textId="77777777" w:rsidTr="00D44E1A">
        <w:tc>
          <w:tcPr>
            <w:tcW w:w="4073" w:type="dxa"/>
            <w:tcBorders>
              <w:top w:val="nil"/>
              <w:bottom w:val="nil"/>
            </w:tcBorders>
            <w:shd w:val="clear" w:color="auto" w:fill="auto"/>
          </w:tcPr>
          <w:p w14:paraId="2CEC1E1B" w14:textId="2AF4B58F" w:rsidR="00DC6048" w:rsidRPr="00B55390" w:rsidRDefault="00DC6048" w:rsidP="00D67622">
            <w:pPr>
              <w:pStyle w:val="PINormal"/>
            </w:pPr>
            <w:r w:rsidRPr="00B55390">
              <w:t xml:space="preserve">            5 or more lesions</w:t>
            </w:r>
          </w:p>
        </w:tc>
        <w:tc>
          <w:tcPr>
            <w:tcW w:w="1980" w:type="dxa"/>
            <w:tcBorders>
              <w:top w:val="nil"/>
              <w:bottom w:val="nil"/>
            </w:tcBorders>
            <w:shd w:val="clear" w:color="auto" w:fill="auto"/>
          </w:tcPr>
          <w:p w14:paraId="794BC9B2" w14:textId="08E5EF9E" w:rsidR="00DC6048" w:rsidRPr="00B55390" w:rsidRDefault="00DC6048" w:rsidP="00D67622">
            <w:pPr>
              <w:pStyle w:val="PINormal"/>
              <w:jc w:val="center"/>
            </w:pPr>
            <w:r w:rsidRPr="00B55390">
              <w:t>9%</w:t>
            </w:r>
          </w:p>
        </w:tc>
        <w:tc>
          <w:tcPr>
            <w:tcW w:w="1454" w:type="dxa"/>
            <w:tcBorders>
              <w:top w:val="nil"/>
              <w:bottom w:val="nil"/>
            </w:tcBorders>
            <w:shd w:val="clear" w:color="auto" w:fill="auto"/>
          </w:tcPr>
          <w:p w14:paraId="6B85B456" w14:textId="78262A81" w:rsidR="00DC6048" w:rsidRPr="00B55390" w:rsidRDefault="00DC6048" w:rsidP="00D67622">
            <w:pPr>
              <w:pStyle w:val="PINormal"/>
              <w:jc w:val="center"/>
            </w:pPr>
            <w:r w:rsidRPr="00B55390">
              <w:t>37%</w:t>
            </w:r>
          </w:p>
        </w:tc>
        <w:tc>
          <w:tcPr>
            <w:tcW w:w="1548" w:type="dxa"/>
            <w:tcBorders>
              <w:top w:val="nil"/>
              <w:bottom w:val="nil"/>
            </w:tcBorders>
            <w:shd w:val="clear" w:color="auto" w:fill="auto"/>
          </w:tcPr>
          <w:p w14:paraId="03643F0E" w14:textId="32C968BA" w:rsidR="00DC6048" w:rsidRPr="00B55390" w:rsidRDefault="00DC6048" w:rsidP="00D67622">
            <w:pPr>
              <w:pStyle w:val="PINormal"/>
              <w:jc w:val="center"/>
            </w:pPr>
          </w:p>
        </w:tc>
      </w:tr>
      <w:tr w:rsidR="00DC6048" w:rsidRPr="00B55390" w14:paraId="507E9205" w14:textId="77777777" w:rsidTr="00D44E1A">
        <w:tc>
          <w:tcPr>
            <w:tcW w:w="4073" w:type="dxa"/>
            <w:tcBorders>
              <w:top w:val="nil"/>
              <w:bottom w:val="single" w:sz="4" w:space="0" w:color="auto"/>
            </w:tcBorders>
            <w:shd w:val="clear" w:color="auto" w:fill="auto"/>
          </w:tcPr>
          <w:p w14:paraId="52DFAE2E" w14:textId="77777777" w:rsidR="00DC6048" w:rsidRPr="00B55390" w:rsidRDefault="00DC6048" w:rsidP="00D67622">
            <w:pPr>
              <w:pStyle w:val="PINormal"/>
            </w:pPr>
          </w:p>
        </w:tc>
        <w:tc>
          <w:tcPr>
            <w:tcW w:w="1980" w:type="dxa"/>
            <w:tcBorders>
              <w:top w:val="nil"/>
              <w:bottom w:val="single" w:sz="4" w:space="0" w:color="auto"/>
            </w:tcBorders>
            <w:shd w:val="clear" w:color="auto" w:fill="auto"/>
          </w:tcPr>
          <w:p w14:paraId="6A29EB8E" w14:textId="77777777" w:rsidR="00DC6048" w:rsidRPr="00B55390" w:rsidRDefault="00DC6048" w:rsidP="00D67622">
            <w:pPr>
              <w:pStyle w:val="PINormal"/>
              <w:jc w:val="center"/>
            </w:pPr>
          </w:p>
        </w:tc>
        <w:tc>
          <w:tcPr>
            <w:tcW w:w="1454" w:type="dxa"/>
            <w:tcBorders>
              <w:top w:val="nil"/>
              <w:bottom w:val="single" w:sz="4" w:space="0" w:color="auto"/>
            </w:tcBorders>
            <w:shd w:val="clear" w:color="auto" w:fill="auto"/>
          </w:tcPr>
          <w:p w14:paraId="653EA669" w14:textId="77777777" w:rsidR="00DC6048" w:rsidRPr="00B55390" w:rsidRDefault="00DC6048" w:rsidP="00D67622">
            <w:pPr>
              <w:pStyle w:val="PINormal"/>
              <w:jc w:val="center"/>
            </w:pPr>
          </w:p>
        </w:tc>
        <w:tc>
          <w:tcPr>
            <w:tcW w:w="1548" w:type="dxa"/>
            <w:tcBorders>
              <w:top w:val="nil"/>
              <w:bottom w:val="single" w:sz="4" w:space="0" w:color="auto"/>
            </w:tcBorders>
            <w:shd w:val="clear" w:color="auto" w:fill="auto"/>
          </w:tcPr>
          <w:p w14:paraId="2F8305B4" w14:textId="77777777" w:rsidR="00DC6048" w:rsidRPr="00B55390" w:rsidRDefault="00DC6048" w:rsidP="00D67622">
            <w:pPr>
              <w:pStyle w:val="PINormal"/>
              <w:jc w:val="center"/>
            </w:pPr>
          </w:p>
        </w:tc>
      </w:tr>
    </w:tbl>
    <w:p w14:paraId="51799433" w14:textId="27CB1332" w:rsidR="00DC6048" w:rsidRPr="00B55390" w:rsidRDefault="00DC6048" w:rsidP="00D67622">
      <w:pPr>
        <w:pStyle w:val="PINormal"/>
        <w:spacing w:before="60"/>
        <w:rPr>
          <w:sz w:val="18"/>
          <w:szCs w:val="18"/>
        </w:rPr>
      </w:pPr>
      <w:r w:rsidRPr="00B55390">
        <w:rPr>
          <w:sz w:val="18"/>
          <w:szCs w:val="18"/>
        </w:rPr>
        <w:t xml:space="preserve">(a): Based on Kaplan-Meier estimate. </w:t>
      </w:r>
    </w:p>
    <w:p w14:paraId="403742BE" w14:textId="77777777" w:rsidR="00DC6048" w:rsidRPr="00B55390" w:rsidRDefault="00DC6048" w:rsidP="00D67622">
      <w:pPr>
        <w:pStyle w:val="PINormal"/>
        <w:spacing w:before="60"/>
        <w:rPr>
          <w:sz w:val="18"/>
          <w:szCs w:val="18"/>
        </w:rPr>
      </w:pPr>
      <w:r w:rsidRPr="00B55390">
        <w:rPr>
          <w:sz w:val="18"/>
          <w:szCs w:val="18"/>
        </w:rPr>
        <w:t>Note: All analyses of clinical endpoints were intent-to-treat.  MRI analysis used MRI cohort.</w:t>
      </w:r>
    </w:p>
    <w:p w14:paraId="2308412D" w14:textId="77777777" w:rsidR="00DC6048" w:rsidRPr="00B55390" w:rsidRDefault="00DC6048" w:rsidP="00D67622">
      <w:pPr>
        <w:pStyle w:val="PINormal"/>
      </w:pPr>
      <w:bookmarkStart w:id="17" w:name="g227f46f1-b450-4f66-94ed-46846e4cfe8d"/>
      <w:bookmarkStart w:id="18" w:name="g9ca27236-71e0-47d9-8d46-00532f147419"/>
      <w:bookmarkStart w:id="19" w:name="g527a5879-7cee-4db8-905a-7fd4fb9b721f"/>
      <w:bookmarkEnd w:id="16"/>
      <w:bookmarkEnd w:id="17"/>
      <w:bookmarkEnd w:id="18"/>
      <w:bookmarkEnd w:id="19"/>
    </w:p>
    <w:p w14:paraId="5CECC5F5" w14:textId="77777777" w:rsidR="00DC6048" w:rsidRPr="00B55390" w:rsidRDefault="00DC6048" w:rsidP="00D67622">
      <w:pPr>
        <w:pStyle w:val="PINormal"/>
      </w:pPr>
      <w:r w:rsidRPr="00B55390">
        <w:t xml:space="preserve">Study 2 (CONFIRM) was a 2-year </w:t>
      </w:r>
      <w:proofErr w:type="spellStart"/>
      <w:r w:rsidRPr="00B55390">
        <w:t>multicentre</w:t>
      </w:r>
      <w:proofErr w:type="spellEnd"/>
      <w:r w:rsidRPr="00B55390">
        <w:t xml:space="preserve">, </w:t>
      </w:r>
      <w:proofErr w:type="spellStart"/>
      <w:r w:rsidRPr="00B55390">
        <w:t>randomised</w:t>
      </w:r>
      <w:proofErr w:type="spellEnd"/>
      <w:r w:rsidRPr="00B55390">
        <w:t>, double-blind, placebo-controlled study which contained a rater-blinded (</w:t>
      </w:r>
      <w:proofErr w:type="gramStart"/>
      <w:r w:rsidRPr="00B55390">
        <w:t>i.e.</w:t>
      </w:r>
      <w:proofErr w:type="gramEnd"/>
      <w:r w:rsidRPr="00B55390">
        <w:t xml:space="preserve"> study physician/investigator assessing the response to study treatment is blinded) reference comparator of glatiramer acetate (GA) in 1417 patients with RRMS. </w:t>
      </w:r>
    </w:p>
    <w:p w14:paraId="02733541" w14:textId="77777777" w:rsidR="00DC6048" w:rsidRPr="00B55390" w:rsidRDefault="00DC6048" w:rsidP="00D67622">
      <w:pPr>
        <w:pStyle w:val="PINormal"/>
      </w:pPr>
    </w:p>
    <w:p w14:paraId="18CEABA6" w14:textId="3F8B05F1" w:rsidR="00DC6048" w:rsidRPr="00B55390" w:rsidRDefault="00DC6048" w:rsidP="00D67622">
      <w:pPr>
        <w:pStyle w:val="PINormal"/>
      </w:pPr>
      <w:r w:rsidRPr="00B55390">
        <w:t xml:space="preserve">Patients had not received interferon-beta for at least the previous 3 months, natalizumab for at least the previous 6 months and had not previously received GA. The efficacy and safety evaluations were </w:t>
      </w:r>
      <w:proofErr w:type="gramStart"/>
      <w:r w:rsidRPr="00B55390">
        <w:t>similar to</w:t>
      </w:r>
      <w:proofErr w:type="gramEnd"/>
      <w:r w:rsidRPr="00B55390">
        <w:t xml:space="preserve"> Study 1 and the endpoints were broadly consistent, but the primary endpoint of Study 2 was the </w:t>
      </w:r>
      <w:proofErr w:type="spellStart"/>
      <w:r w:rsidRPr="00B55390">
        <w:t>annuali</w:t>
      </w:r>
      <w:r w:rsidR="00746F48" w:rsidRPr="00B55390">
        <w:t>s</w:t>
      </w:r>
      <w:r w:rsidRPr="00B55390">
        <w:t>ed</w:t>
      </w:r>
      <w:proofErr w:type="spellEnd"/>
      <w:r w:rsidRPr="00B55390">
        <w:t xml:space="preserve"> relapse rate at 2 years, whereas the primary endpoint of Study 1 was the proportion of subjects relapsed at 2 years.  Median age: 37 years, median years since diagnosis: 3.0 years and median EDSS score at baseline: 2.5. Patients were </w:t>
      </w:r>
      <w:proofErr w:type="spellStart"/>
      <w:r w:rsidRPr="00B55390">
        <w:t>randomised</w:t>
      </w:r>
      <w:proofErr w:type="spellEnd"/>
      <w:r w:rsidRPr="00B55390">
        <w:t xml:space="preserve"> to receive TECFIDERA 240 mg twice a day (n=359), TECFIDERA 240 mg three times a day (n=344), placebo (n=363) or glatiramer acetate (n=351) for up to 2 years. Median time on study was 96 we</w:t>
      </w:r>
      <w:r w:rsidR="000962E2" w:rsidRPr="00B55390">
        <w:t xml:space="preserve">eks for all treatment groups. </w:t>
      </w:r>
    </w:p>
    <w:p w14:paraId="4B9BB927" w14:textId="77777777" w:rsidR="00DC6048" w:rsidRPr="00B55390" w:rsidRDefault="00DC6048" w:rsidP="00D67622">
      <w:pPr>
        <w:pStyle w:val="PINormal"/>
      </w:pPr>
    </w:p>
    <w:p w14:paraId="301AE057" w14:textId="67F5FBA4" w:rsidR="00DC6048" w:rsidRPr="00B55390" w:rsidRDefault="00DC6048" w:rsidP="00D67622">
      <w:pPr>
        <w:pStyle w:val="PINormal"/>
      </w:pPr>
      <w:r w:rsidRPr="00B55390">
        <w:t xml:space="preserve">The </w:t>
      </w:r>
      <w:proofErr w:type="spellStart"/>
      <w:r w:rsidRPr="00B55390">
        <w:t>annualised</w:t>
      </w:r>
      <w:proofErr w:type="spellEnd"/>
      <w:r w:rsidRPr="00B55390">
        <w:t xml:space="preserve"> relapse rate was significantly lower in patients treated with TECFIDERA than in patients treated with placebo at 2 years. Secondary endpoints at 2 years included the number of new or newly enlarging T2 hyperintense lesions, number of T1 hypointense lesions, proportion of patients relapsed and time to confirmed disability progression defined as in Study 1. </w:t>
      </w:r>
    </w:p>
    <w:p w14:paraId="121D34E9" w14:textId="77777777" w:rsidR="00DC6048" w:rsidRPr="00B55390" w:rsidRDefault="00DC6048" w:rsidP="00D67622">
      <w:pPr>
        <w:pStyle w:val="PINormal"/>
      </w:pPr>
    </w:p>
    <w:p w14:paraId="0583972E" w14:textId="6FCB7C94" w:rsidR="00DC6048" w:rsidRPr="00B55390" w:rsidRDefault="00DC6048" w:rsidP="00D67622">
      <w:pPr>
        <w:pStyle w:val="PINormal"/>
      </w:pPr>
      <w:r w:rsidRPr="00B55390">
        <w:t>TECFIDERA</w:t>
      </w:r>
      <w:r w:rsidRPr="00B55390">
        <w:rPr>
          <w:color w:val="C0504D"/>
        </w:rPr>
        <w:t xml:space="preserve"> </w:t>
      </w:r>
      <w:r w:rsidRPr="00B55390">
        <w:t xml:space="preserve">had a clinically meaningful and statistically significant effect on the primary endpoint and secondary relapse and MRI endpoints. In Study 2, the </w:t>
      </w:r>
      <w:proofErr w:type="spellStart"/>
      <w:r w:rsidRPr="00B55390">
        <w:t>annualised</w:t>
      </w:r>
      <w:proofErr w:type="spellEnd"/>
      <w:r w:rsidRPr="00B55390">
        <w:t xml:space="preserve"> relapse rate </w:t>
      </w:r>
      <w:r w:rsidRPr="00B55390">
        <w:lastRenderedPageBreak/>
        <w:t>for glatiramer acetate versus placebo was 0.286 and 0.401, corresponding to a reduction of 29% (p=0.013) which is consistent with approved product labelling. The results for</w:t>
      </w:r>
      <w:r w:rsidR="00D34D62" w:rsidRPr="00B55390">
        <w:t xml:space="preserve"> this study are shown in Table </w:t>
      </w:r>
      <w:r w:rsidR="00111F87" w:rsidRPr="00B55390">
        <w:t>5</w:t>
      </w:r>
      <w:r w:rsidRPr="00B55390">
        <w:t xml:space="preserve">. </w:t>
      </w:r>
    </w:p>
    <w:p w14:paraId="222B5FEE" w14:textId="77777777" w:rsidR="0001034A" w:rsidRPr="00B55390" w:rsidRDefault="0001034A" w:rsidP="00D67622">
      <w:pPr>
        <w:pStyle w:val="PINormal"/>
      </w:pPr>
    </w:p>
    <w:p w14:paraId="5971AA02" w14:textId="6C7731A6" w:rsidR="00DC6048" w:rsidRPr="00B55390" w:rsidRDefault="00D34D62" w:rsidP="00D67622">
      <w:pPr>
        <w:rPr>
          <w:b/>
          <w:bCs/>
        </w:rPr>
      </w:pPr>
      <w:r w:rsidRPr="00B55390">
        <w:rPr>
          <w:b/>
          <w:bCs/>
        </w:rPr>
        <w:t xml:space="preserve">Table </w:t>
      </w:r>
      <w:r w:rsidR="00111F87" w:rsidRPr="00B55390">
        <w:rPr>
          <w:b/>
          <w:bCs/>
        </w:rPr>
        <w:t>5</w:t>
      </w:r>
      <w:r w:rsidR="00DC6048" w:rsidRPr="00B55390">
        <w:rPr>
          <w:b/>
          <w:bCs/>
        </w:rPr>
        <w:t>:  Clinical and MRI Results of Study 2</w:t>
      </w:r>
    </w:p>
    <w:p w14:paraId="35EBB4F5" w14:textId="77777777" w:rsidR="00D34D62" w:rsidRPr="00B55390" w:rsidRDefault="00D34D62" w:rsidP="00D67622">
      <w:pPr>
        <w:pStyle w:val="PINormal"/>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3"/>
        <w:gridCol w:w="1530"/>
        <w:gridCol w:w="1508"/>
        <w:gridCol w:w="1587"/>
      </w:tblGrid>
      <w:tr w:rsidR="00DC6048" w:rsidRPr="00B55390" w14:paraId="5A50DB85" w14:textId="77777777" w:rsidTr="00D44E1A">
        <w:trPr>
          <w:tblHeader/>
        </w:trPr>
        <w:tc>
          <w:tcPr>
            <w:tcW w:w="4163" w:type="dxa"/>
            <w:shd w:val="clear" w:color="auto" w:fill="auto"/>
            <w:vAlign w:val="center"/>
          </w:tcPr>
          <w:p w14:paraId="78940290" w14:textId="77777777" w:rsidR="00DC6048" w:rsidRPr="00B55390" w:rsidRDefault="00DC6048" w:rsidP="00D67622">
            <w:pPr>
              <w:pStyle w:val="PINormal"/>
            </w:pPr>
            <w:bookmarkStart w:id="20" w:name="g3b0b863e-8480-4b53-a919-b68afb9aefe4"/>
            <w:bookmarkStart w:id="21" w:name="gacfd10cc-a410-400e-9182-8ece02d09c1a"/>
            <w:bookmarkEnd w:id="20"/>
            <w:bookmarkEnd w:id="21"/>
          </w:p>
        </w:tc>
        <w:tc>
          <w:tcPr>
            <w:tcW w:w="1530" w:type="dxa"/>
            <w:shd w:val="clear" w:color="auto" w:fill="auto"/>
            <w:vAlign w:val="center"/>
          </w:tcPr>
          <w:p w14:paraId="61334778" w14:textId="0887B744" w:rsidR="00DC6048" w:rsidRPr="00B55390" w:rsidRDefault="00DC6048" w:rsidP="00D67622">
            <w:pPr>
              <w:pStyle w:val="PINormal"/>
              <w:jc w:val="center"/>
            </w:pPr>
            <w:r w:rsidRPr="00B55390">
              <w:t>TECFIDERA 240 mg BID</w:t>
            </w:r>
          </w:p>
          <w:p w14:paraId="0749BBDC" w14:textId="77777777" w:rsidR="00DC6048" w:rsidRPr="00B55390" w:rsidRDefault="00DC6048" w:rsidP="00D67622">
            <w:pPr>
              <w:pStyle w:val="PINormal"/>
              <w:jc w:val="center"/>
            </w:pPr>
            <w:r w:rsidRPr="00B55390">
              <w:t>(n=359)</w:t>
            </w:r>
          </w:p>
        </w:tc>
        <w:tc>
          <w:tcPr>
            <w:tcW w:w="1508" w:type="dxa"/>
            <w:shd w:val="clear" w:color="auto" w:fill="auto"/>
            <w:vAlign w:val="center"/>
          </w:tcPr>
          <w:p w14:paraId="32B8A4AA" w14:textId="77777777" w:rsidR="00DC6048" w:rsidRPr="00B55390" w:rsidRDefault="00DC6048" w:rsidP="00D67622">
            <w:pPr>
              <w:pStyle w:val="PINormal"/>
              <w:jc w:val="center"/>
            </w:pPr>
            <w:r w:rsidRPr="00B55390">
              <w:t>Placebo</w:t>
            </w:r>
          </w:p>
          <w:p w14:paraId="7091DB02" w14:textId="77777777" w:rsidR="00DC6048" w:rsidRPr="00B55390" w:rsidRDefault="00DC6048" w:rsidP="00D67622">
            <w:pPr>
              <w:pStyle w:val="PINormal"/>
              <w:jc w:val="center"/>
            </w:pPr>
            <w:r w:rsidRPr="00B55390">
              <w:t>(n=363)</w:t>
            </w:r>
          </w:p>
        </w:tc>
        <w:tc>
          <w:tcPr>
            <w:tcW w:w="1587" w:type="dxa"/>
            <w:shd w:val="clear" w:color="auto" w:fill="auto"/>
            <w:vAlign w:val="center"/>
          </w:tcPr>
          <w:p w14:paraId="268BBFFC" w14:textId="77777777" w:rsidR="00DC6048" w:rsidRPr="00B55390" w:rsidRDefault="00DC6048" w:rsidP="00D67622">
            <w:pPr>
              <w:pStyle w:val="PINormal"/>
              <w:jc w:val="center"/>
            </w:pPr>
            <w:r w:rsidRPr="00B55390">
              <w:t>GA(n=350)</w:t>
            </w:r>
          </w:p>
        </w:tc>
      </w:tr>
      <w:tr w:rsidR="00DC6048" w:rsidRPr="00B55390" w14:paraId="26A9D895" w14:textId="77777777" w:rsidTr="00D44E1A">
        <w:tc>
          <w:tcPr>
            <w:tcW w:w="4163" w:type="dxa"/>
            <w:tcBorders>
              <w:bottom w:val="single" w:sz="4" w:space="0" w:color="auto"/>
            </w:tcBorders>
            <w:shd w:val="clear" w:color="auto" w:fill="auto"/>
          </w:tcPr>
          <w:p w14:paraId="6B026743" w14:textId="77777777" w:rsidR="00DC6048" w:rsidRPr="00B55390" w:rsidRDefault="00DC6048" w:rsidP="00D67622">
            <w:pPr>
              <w:pStyle w:val="PINormal"/>
            </w:pPr>
            <w:r w:rsidRPr="00B55390">
              <w:t>Clinical Endpoints</w:t>
            </w:r>
          </w:p>
        </w:tc>
        <w:tc>
          <w:tcPr>
            <w:tcW w:w="1530" w:type="dxa"/>
            <w:tcBorders>
              <w:bottom w:val="single" w:sz="4" w:space="0" w:color="auto"/>
            </w:tcBorders>
            <w:shd w:val="clear" w:color="auto" w:fill="auto"/>
          </w:tcPr>
          <w:p w14:paraId="56406F66" w14:textId="77777777" w:rsidR="00DC6048" w:rsidRPr="00B55390" w:rsidRDefault="00DC6048" w:rsidP="00D67622">
            <w:pPr>
              <w:pStyle w:val="PINormal"/>
              <w:jc w:val="center"/>
            </w:pPr>
          </w:p>
        </w:tc>
        <w:tc>
          <w:tcPr>
            <w:tcW w:w="1508" w:type="dxa"/>
            <w:tcBorders>
              <w:bottom w:val="single" w:sz="4" w:space="0" w:color="auto"/>
            </w:tcBorders>
            <w:shd w:val="clear" w:color="auto" w:fill="auto"/>
          </w:tcPr>
          <w:p w14:paraId="00FE71DA" w14:textId="77777777" w:rsidR="00DC6048" w:rsidRPr="00B55390" w:rsidRDefault="00DC6048" w:rsidP="00D67622">
            <w:pPr>
              <w:pStyle w:val="PINormal"/>
              <w:jc w:val="center"/>
            </w:pPr>
          </w:p>
        </w:tc>
        <w:tc>
          <w:tcPr>
            <w:tcW w:w="1587" w:type="dxa"/>
            <w:tcBorders>
              <w:bottom w:val="single" w:sz="4" w:space="0" w:color="auto"/>
            </w:tcBorders>
            <w:shd w:val="clear" w:color="auto" w:fill="auto"/>
          </w:tcPr>
          <w:p w14:paraId="3C626AD9" w14:textId="77777777" w:rsidR="00DC6048" w:rsidRPr="00B55390" w:rsidRDefault="00DC6048" w:rsidP="00D67622">
            <w:pPr>
              <w:pStyle w:val="PINormal"/>
              <w:jc w:val="center"/>
            </w:pPr>
          </w:p>
        </w:tc>
      </w:tr>
      <w:tr w:rsidR="00DC6048" w:rsidRPr="00B55390" w14:paraId="3583C1CD" w14:textId="77777777" w:rsidTr="00D44E1A">
        <w:tc>
          <w:tcPr>
            <w:tcW w:w="4163" w:type="dxa"/>
            <w:tcBorders>
              <w:bottom w:val="nil"/>
            </w:tcBorders>
            <w:shd w:val="clear" w:color="auto" w:fill="auto"/>
          </w:tcPr>
          <w:p w14:paraId="5CE69196" w14:textId="77777777" w:rsidR="00DC6048" w:rsidRPr="00B55390" w:rsidRDefault="00DC6048" w:rsidP="00D67622">
            <w:pPr>
              <w:pStyle w:val="PINormal"/>
            </w:pPr>
          </w:p>
        </w:tc>
        <w:tc>
          <w:tcPr>
            <w:tcW w:w="1530" w:type="dxa"/>
            <w:tcBorders>
              <w:bottom w:val="nil"/>
            </w:tcBorders>
            <w:shd w:val="clear" w:color="auto" w:fill="auto"/>
          </w:tcPr>
          <w:p w14:paraId="146C0FF2" w14:textId="77777777" w:rsidR="00DC6048" w:rsidRPr="00B55390" w:rsidRDefault="00DC6048" w:rsidP="00D67622">
            <w:pPr>
              <w:pStyle w:val="PINormal"/>
              <w:jc w:val="center"/>
            </w:pPr>
          </w:p>
        </w:tc>
        <w:tc>
          <w:tcPr>
            <w:tcW w:w="1508" w:type="dxa"/>
            <w:tcBorders>
              <w:bottom w:val="nil"/>
            </w:tcBorders>
            <w:shd w:val="clear" w:color="auto" w:fill="auto"/>
          </w:tcPr>
          <w:p w14:paraId="10AC7256" w14:textId="77777777" w:rsidR="00DC6048" w:rsidRPr="00B55390" w:rsidRDefault="00DC6048" w:rsidP="00D67622">
            <w:pPr>
              <w:pStyle w:val="PINormal"/>
              <w:jc w:val="center"/>
            </w:pPr>
          </w:p>
        </w:tc>
        <w:tc>
          <w:tcPr>
            <w:tcW w:w="1587" w:type="dxa"/>
            <w:tcBorders>
              <w:bottom w:val="nil"/>
            </w:tcBorders>
            <w:shd w:val="clear" w:color="auto" w:fill="auto"/>
          </w:tcPr>
          <w:p w14:paraId="42AB024B" w14:textId="77777777" w:rsidR="00DC6048" w:rsidRPr="00B55390" w:rsidRDefault="00DC6048" w:rsidP="00D67622">
            <w:pPr>
              <w:pStyle w:val="PINormal"/>
              <w:jc w:val="center"/>
            </w:pPr>
          </w:p>
        </w:tc>
      </w:tr>
      <w:tr w:rsidR="00DC6048" w:rsidRPr="00B55390" w14:paraId="37675D75" w14:textId="77777777" w:rsidTr="00D44E1A">
        <w:tc>
          <w:tcPr>
            <w:tcW w:w="4163" w:type="dxa"/>
            <w:tcBorders>
              <w:top w:val="nil"/>
              <w:bottom w:val="nil"/>
            </w:tcBorders>
            <w:shd w:val="clear" w:color="auto" w:fill="auto"/>
          </w:tcPr>
          <w:p w14:paraId="1AAEA50D" w14:textId="77777777" w:rsidR="00DC6048" w:rsidRPr="00B55390" w:rsidRDefault="00DC6048" w:rsidP="00D67622">
            <w:pPr>
              <w:pStyle w:val="PINormal"/>
            </w:pPr>
            <w:proofErr w:type="spellStart"/>
            <w:r w:rsidRPr="00B55390">
              <w:t>Annualised</w:t>
            </w:r>
            <w:proofErr w:type="spellEnd"/>
            <w:r w:rsidRPr="00B55390">
              <w:t xml:space="preserve"> relapse rate</w:t>
            </w:r>
          </w:p>
        </w:tc>
        <w:tc>
          <w:tcPr>
            <w:tcW w:w="1530" w:type="dxa"/>
            <w:tcBorders>
              <w:top w:val="nil"/>
              <w:bottom w:val="nil"/>
            </w:tcBorders>
            <w:shd w:val="clear" w:color="auto" w:fill="auto"/>
          </w:tcPr>
          <w:p w14:paraId="38FE9374" w14:textId="77777777" w:rsidR="00DC6048" w:rsidRPr="00B55390" w:rsidRDefault="00DC6048" w:rsidP="00D67622">
            <w:pPr>
              <w:pStyle w:val="PINormal"/>
              <w:jc w:val="center"/>
            </w:pPr>
            <w:r w:rsidRPr="00B55390">
              <w:t>0.224</w:t>
            </w:r>
          </w:p>
        </w:tc>
        <w:tc>
          <w:tcPr>
            <w:tcW w:w="1508" w:type="dxa"/>
            <w:tcBorders>
              <w:top w:val="nil"/>
              <w:bottom w:val="nil"/>
            </w:tcBorders>
            <w:shd w:val="clear" w:color="auto" w:fill="auto"/>
          </w:tcPr>
          <w:p w14:paraId="196B97AB" w14:textId="77777777" w:rsidR="00DC6048" w:rsidRPr="00B55390" w:rsidRDefault="00DC6048" w:rsidP="00D67622">
            <w:pPr>
              <w:pStyle w:val="PINormal"/>
              <w:jc w:val="center"/>
            </w:pPr>
            <w:r w:rsidRPr="00B55390">
              <w:t>0.401</w:t>
            </w:r>
          </w:p>
        </w:tc>
        <w:tc>
          <w:tcPr>
            <w:tcW w:w="1587" w:type="dxa"/>
            <w:tcBorders>
              <w:top w:val="nil"/>
              <w:bottom w:val="nil"/>
            </w:tcBorders>
            <w:shd w:val="clear" w:color="auto" w:fill="auto"/>
          </w:tcPr>
          <w:p w14:paraId="4FA63C62" w14:textId="77777777" w:rsidR="00DC6048" w:rsidRPr="00B55390" w:rsidRDefault="00DC6048" w:rsidP="00D67622">
            <w:pPr>
              <w:pStyle w:val="PINormal"/>
              <w:jc w:val="center"/>
            </w:pPr>
            <w:r w:rsidRPr="00B55390">
              <w:t>0.286</w:t>
            </w:r>
          </w:p>
        </w:tc>
      </w:tr>
      <w:tr w:rsidR="00DC6048" w:rsidRPr="00B55390" w14:paraId="1151019C" w14:textId="77777777" w:rsidTr="00D44E1A">
        <w:tc>
          <w:tcPr>
            <w:tcW w:w="4163" w:type="dxa"/>
            <w:tcBorders>
              <w:top w:val="nil"/>
              <w:bottom w:val="nil"/>
            </w:tcBorders>
            <w:shd w:val="clear" w:color="auto" w:fill="auto"/>
          </w:tcPr>
          <w:p w14:paraId="137933E3" w14:textId="77777777" w:rsidR="00DC6048" w:rsidRPr="00B55390" w:rsidRDefault="00DC6048" w:rsidP="00D67622">
            <w:pPr>
              <w:pStyle w:val="PINormal"/>
            </w:pPr>
            <w:r w:rsidRPr="00B55390">
              <w:t xml:space="preserve">       Relative reduction (percentage)</w:t>
            </w:r>
          </w:p>
        </w:tc>
        <w:tc>
          <w:tcPr>
            <w:tcW w:w="1530" w:type="dxa"/>
            <w:tcBorders>
              <w:top w:val="nil"/>
              <w:bottom w:val="nil"/>
            </w:tcBorders>
            <w:shd w:val="clear" w:color="auto" w:fill="auto"/>
          </w:tcPr>
          <w:p w14:paraId="2BC851E6" w14:textId="77777777" w:rsidR="00DC6048" w:rsidRPr="00B55390" w:rsidRDefault="00DC6048" w:rsidP="00D67622">
            <w:pPr>
              <w:pStyle w:val="PINormal"/>
              <w:jc w:val="center"/>
            </w:pPr>
            <w:r w:rsidRPr="00B55390">
              <w:t>44%</w:t>
            </w:r>
          </w:p>
        </w:tc>
        <w:tc>
          <w:tcPr>
            <w:tcW w:w="1508" w:type="dxa"/>
            <w:tcBorders>
              <w:top w:val="nil"/>
              <w:bottom w:val="nil"/>
            </w:tcBorders>
            <w:shd w:val="clear" w:color="auto" w:fill="auto"/>
          </w:tcPr>
          <w:p w14:paraId="3EFAB481" w14:textId="77777777" w:rsidR="00DC6048" w:rsidRPr="00B55390" w:rsidRDefault="00DC6048" w:rsidP="00D67622">
            <w:pPr>
              <w:pStyle w:val="PINormal"/>
              <w:jc w:val="center"/>
            </w:pPr>
          </w:p>
        </w:tc>
        <w:tc>
          <w:tcPr>
            <w:tcW w:w="1587" w:type="dxa"/>
            <w:tcBorders>
              <w:top w:val="nil"/>
              <w:bottom w:val="nil"/>
            </w:tcBorders>
            <w:shd w:val="clear" w:color="auto" w:fill="auto"/>
          </w:tcPr>
          <w:p w14:paraId="32EB8B6F" w14:textId="77777777" w:rsidR="00DC6048" w:rsidRPr="00B55390" w:rsidRDefault="00DC6048" w:rsidP="00D67622">
            <w:pPr>
              <w:pStyle w:val="PINormal"/>
              <w:jc w:val="center"/>
            </w:pPr>
            <w:r w:rsidRPr="00B55390">
              <w:t>29%</w:t>
            </w:r>
          </w:p>
        </w:tc>
      </w:tr>
      <w:tr w:rsidR="00DC6048" w:rsidRPr="00B55390" w14:paraId="7EF71699" w14:textId="77777777" w:rsidTr="00D44E1A">
        <w:tc>
          <w:tcPr>
            <w:tcW w:w="4163" w:type="dxa"/>
            <w:tcBorders>
              <w:top w:val="nil"/>
              <w:bottom w:val="nil"/>
            </w:tcBorders>
            <w:shd w:val="clear" w:color="auto" w:fill="auto"/>
          </w:tcPr>
          <w:p w14:paraId="6BB780CE" w14:textId="77777777" w:rsidR="00DC6048" w:rsidRPr="00B55390" w:rsidRDefault="00DC6048" w:rsidP="00D67622">
            <w:pPr>
              <w:pStyle w:val="PINormal"/>
            </w:pPr>
            <w:r w:rsidRPr="00B55390">
              <w:t xml:space="preserve">       (95% CI)</w:t>
            </w:r>
          </w:p>
        </w:tc>
        <w:tc>
          <w:tcPr>
            <w:tcW w:w="1530" w:type="dxa"/>
            <w:tcBorders>
              <w:top w:val="nil"/>
              <w:bottom w:val="nil"/>
            </w:tcBorders>
            <w:shd w:val="clear" w:color="auto" w:fill="auto"/>
          </w:tcPr>
          <w:p w14:paraId="79D55572" w14:textId="77777777" w:rsidR="00DC6048" w:rsidRPr="00B55390" w:rsidRDefault="00DC6048" w:rsidP="00D67622">
            <w:pPr>
              <w:pStyle w:val="PINormal"/>
              <w:jc w:val="center"/>
            </w:pPr>
            <w:r w:rsidRPr="00B55390">
              <w:t>(26%, 58%)</w:t>
            </w:r>
          </w:p>
        </w:tc>
        <w:tc>
          <w:tcPr>
            <w:tcW w:w="1508" w:type="dxa"/>
            <w:tcBorders>
              <w:top w:val="nil"/>
              <w:bottom w:val="nil"/>
            </w:tcBorders>
            <w:shd w:val="clear" w:color="auto" w:fill="auto"/>
          </w:tcPr>
          <w:p w14:paraId="083BE4F0" w14:textId="77777777" w:rsidR="00DC6048" w:rsidRPr="00B55390" w:rsidRDefault="00DC6048" w:rsidP="00D67622">
            <w:pPr>
              <w:pStyle w:val="PINormal"/>
              <w:jc w:val="center"/>
            </w:pPr>
          </w:p>
        </w:tc>
        <w:tc>
          <w:tcPr>
            <w:tcW w:w="1587" w:type="dxa"/>
            <w:tcBorders>
              <w:top w:val="nil"/>
              <w:bottom w:val="nil"/>
            </w:tcBorders>
            <w:shd w:val="clear" w:color="auto" w:fill="auto"/>
          </w:tcPr>
          <w:p w14:paraId="7CCA7BAA" w14:textId="77777777" w:rsidR="00DC6048" w:rsidRPr="00B55390" w:rsidRDefault="00DC6048" w:rsidP="00D67622">
            <w:pPr>
              <w:pStyle w:val="PINormal"/>
              <w:jc w:val="center"/>
            </w:pPr>
            <w:r w:rsidRPr="00B55390">
              <w:t>(7%, 45%)</w:t>
            </w:r>
          </w:p>
        </w:tc>
      </w:tr>
      <w:tr w:rsidR="00DC6048" w:rsidRPr="00B55390" w14:paraId="7E257F9B" w14:textId="77777777" w:rsidTr="00D44E1A">
        <w:tc>
          <w:tcPr>
            <w:tcW w:w="4163" w:type="dxa"/>
            <w:tcBorders>
              <w:top w:val="nil"/>
              <w:bottom w:val="nil"/>
            </w:tcBorders>
            <w:shd w:val="clear" w:color="auto" w:fill="auto"/>
          </w:tcPr>
          <w:p w14:paraId="682AF6DF" w14:textId="77777777" w:rsidR="00DC6048" w:rsidRPr="00B55390" w:rsidRDefault="00DC6048" w:rsidP="00D67622">
            <w:pPr>
              <w:pStyle w:val="PINormal"/>
            </w:pPr>
            <w:r w:rsidRPr="00B55390">
              <w:t xml:space="preserve">       P-value versus placebo</w:t>
            </w:r>
          </w:p>
        </w:tc>
        <w:tc>
          <w:tcPr>
            <w:tcW w:w="1530" w:type="dxa"/>
            <w:tcBorders>
              <w:top w:val="nil"/>
              <w:bottom w:val="nil"/>
            </w:tcBorders>
            <w:shd w:val="clear" w:color="auto" w:fill="auto"/>
          </w:tcPr>
          <w:p w14:paraId="534DBCA0" w14:textId="77777777" w:rsidR="00DC6048" w:rsidRPr="00B55390" w:rsidRDefault="00DC6048" w:rsidP="00D67622">
            <w:pPr>
              <w:pStyle w:val="PINormal"/>
              <w:jc w:val="center"/>
            </w:pPr>
            <w:r w:rsidRPr="00B55390">
              <w:t>&lt;0.0001</w:t>
            </w:r>
          </w:p>
        </w:tc>
        <w:tc>
          <w:tcPr>
            <w:tcW w:w="1508" w:type="dxa"/>
            <w:tcBorders>
              <w:top w:val="nil"/>
              <w:bottom w:val="nil"/>
            </w:tcBorders>
            <w:shd w:val="clear" w:color="auto" w:fill="auto"/>
          </w:tcPr>
          <w:p w14:paraId="684A2A60" w14:textId="77777777" w:rsidR="00DC6048" w:rsidRPr="00B55390" w:rsidRDefault="00DC6048" w:rsidP="00D67622">
            <w:pPr>
              <w:pStyle w:val="PINormal"/>
              <w:jc w:val="center"/>
            </w:pPr>
          </w:p>
        </w:tc>
        <w:tc>
          <w:tcPr>
            <w:tcW w:w="1587" w:type="dxa"/>
            <w:tcBorders>
              <w:top w:val="nil"/>
              <w:bottom w:val="nil"/>
            </w:tcBorders>
            <w:shd w:val="clear" w:color="auto" w:fill="auto"/>
          </w:tcPr>
          <w:p w14:paraId="0048A66E" w14:textId="77777777" w:rsidR="00DC6048" w:rsidRPr="00B55390" w:rsidRDefault="00DC6048" w:rsidP="00D67622">
            <w:pPr>
              <w:pStyle w:val="PINormal"/>
              <w:jc w:val="center"/>
            </w:pPr>
            <w:r w:rsidRPr="00B55390">
              <w:t>0.0128</w:t>
            </w:r>
          </w:p>
        </w:tc>
      </w:tr>
      <w:tr w:rsidR="00DC6048" w:rsidRPr="00B55390" w14:paraId="7EB3CB00" w14:textId="77777777" w:rsidTr="00D44E1A">
        <w:tc>
          <w:tcPr>
            <w:tcW w:w="4163" w:type="dxa"/>
            <w:tcBorders>
              <w:top w:val="nil"/>
              <w:bottom w:val="nil"/>
            </w:tcBorders>
            <w:shd w:val="clear" w:color="auto" w:fill="auto"/>
          </w:tcPr>
          <w:p w14:paraId="7F9D5F9B" w14:textId="77777777" w:rsidR="00DC6048" w:rsidRPr="00B55390" w:rsidRDefault="00DC6048" w:rsidP="00D67622">
            <w:pPr>
              <w:pStyle w:val="PINormal"/>
            </w:pPr>
          </w:p>
        </w:tc>
        <w:tc>
          <w:tcPr>
            <w:tcW w:w="1530" w:type="dxa"/>
            <w:tcBorders>
              <w:top w:val="nil"/>
              <w:bottom w:val="nil"/>
            </w:tcBorders>
            <w:shd w:val="clear" w:color="auto" w:fill="auto"/>
          </w:tcPr>
          <w:p w14:paraId="5369C71A" w14:textId="77777777" w:rsidR="00DC6048" w:rsidRPr="00B55390" w:rsidRDefault="00DC6048" w:rsidP="00D67622">
            <w:pPr>
              <w:pStyle w:val="PINormal"/>
              <w:jc w:val="center"/>
            </w:pPr>
          </w:p>
        </w:tc>
        <w:tc>
          <w:tcPr>
            <w:tcW w:w="1508" w:type="dxa"/>
            <w:tcBorders>
              <w:top w:val="nil"/>
              <w:bottom w:val="nil"/>
            </w:tcBorders>
            <w:shd w:val="clear" w:color="auto" w:fill="auto"/>
          </w:tcPr>
          <w:p w14:paraId="1C080BC9" w14:textId="77777777" w:rsidR="00DC6048" w:rsidRPr="00B55390" w:rsidRDefault="00DC6048" w:rsidP="00D67622">
            <w:pPr>
              <w:pStyle w:val="PINormal"/>
              <w:jc w:val="center"/>
            </w:pPr>
          </w:p>
        </w:tc>
        <w:tc>
          <w:tcPr>
            <w:tcW w:w="1587" w:type="dxa"/>
            <w:tcBorders>
              <w:top w:val="nil"/>
              <w:bottom w:val="nil"/>
            </w:tcBorders>
            <w:shd w:val="clear" w:color="auto" w:fill="auto"/>
          </w:tcPr>
          <w:p w14:paraId="7BB8E19A" w14:textId="77777777" w:rsidR="00DC6048" w:rsidRPr="00B55390" w:rsidRDefault="00DC6048" w:rsidP="00D67622">
            <w:pPr>
              <w:pStyle w:val="PINormal"/>
              <w:jc w:val="center"/>
            </w:pPr>
          </w:p>
        </w:tc>
      </w:tr>
      <w:tr w:rsidR="00DC6048" w:rsidRPr="00B55390" w14:paraId="5E6C366D" w14:textId="77777777" w:rsidTr="00D44E1A">
        <w:tc>
          <w:tcPr>
            <w:tcW w:w="4163" w:type="dxa"/>
            <w:tcBorders>
              <w:top w:val="nil"/>
              <w:bottom w:val="nil"/>
            </w:tcBorders>
            <w:shd w:val="clear" w:color="auto" w:fill="auto"/>
          </w:tcPr>
          <w:p w14:paraId="527FBB28" w14:textId="77777777" w:rsidR="00DC6048" w:rsidRPr="00B55390" w:rsidRDefault="00DC6048" w:rsidP="00D67622">
            <w:pPr>
              <w:pStyle w:val="PINormal"/>
            </w:pPr>
            <w:r w:rsidRPr="00B55390">
              <w:t xml:space="preserve">Proportion relapsing </w:t>
            </w:r>
            <w:r w:rsidRPr="00B55390">
              <w:rPr>
                <w:vertAlign w:val="superscript"/>
              </w:rPr>
              <w:t>(a)</w:t>
            </w:r>
          </w:p>
        </w:tc>
        <w:tc>
          <w:tcPr>
            <w:tcW w:w="1530" w:type="dxa"/>
            <w:tcBorders>
              <w:top w:val="nil"/>
              <w:bottom w:val="nil"/>
            </w:tcBorders>
            <w:shd w:val="clear" w:color="auto" w:fill="auto"/>
          </w:tcPr>
          <w:p w14:paraId="093BC6A0" w14:textId="77777777" w:rsidR="00DC6048" w:rsidRPr="00B55390" w:rsidRDefault="00DC6048" w:rsidP="00D67622">
            <w:pPr>
              <w:pStyle w:val="PINormal"/>
              <w:jc w:val="center"/>
            </w:pPr>
            <w:r w:rsidRPr="00B55390">
              <w:t>0.291</w:t>
            </w:r>
          </w:p>
        </w:tc>
        <w:tc>
          <w:tcPr>
            <w:tcW w:w="1508" w:type="dxa"/>
            <w:tcBorders>
              <w:top w:val="nil"/>
              <w:bottom w:val="nil"/>
            </w:tcBorders>
            <w:shd w:val="clear" w:color="auto" w:fill="auto"/>
          </w:tcPr>
          <w:p w14:paraId="553F9A7A" w14:textId="77777777" w:rsidR="00DC6048" w:rsidRPr="00B55390" w:rsidRDefault="00DC6048" w:rsidP="00D67622">
            <w:pPr>
              <w:pStyle w:val="PINormal"/>
              <w:jc w:val="center"/>
            </w:pPr>
            <w:r w:rsidRPr="00B55390">
              <w:t>0.410</w:t>
            </w:r>
          </w:p>
        </w:tc>
        <w:tc>
          <w:tcPr>
            <w:tcW w:w="1587" w:type="dxa"/>
            <w:tcBorders>
              <w:top w:val="nil"/>
              <w:bottom w:val="nil"/>
            </w:tcBorders>
            <w:shd w:val="clear" w:color="auto" w:fill="auto"/>
          </w:tcPr>
          <w:p w14:paraId="04161690" w14:textId="77777777" w:rsidR="00DC6048" w:rsidRPr="00B55390" w:rsidRDefault="00DC6048" w:rsidP="00D67622">
            <w:pPr>
              <w:pStyle w:val="PINormal"/>
              <w:jc w:val="center"/>
            </w:pPr>
            <w:r w:rsidRPr="00B55390">
              <w:t>0.321</w:t>
            </w:r>
          </w:p>
        </w:tc>
      </w:tr>
      <w:tr w:rsidR="00DC6048" w:rsidRPr="00B55390" w14:paraId="0A415532" w14:textId="77777777" w:rsidTr="00D44E1A">
        <w:tc>
          <w:tcPr>
            <w:tcW w:w="4163" w:type="dxa"/>
            <w:tcBorders>
              <w:top w:val="nil"/>
              <w:bottom w:val="nil"/>
            </w:tcBorders>
            <w:shd w:val="clear" w:color="auto" w:fill="auto"/>
          </w:tcPr>
          <w:p w14:paraId="7870E290" w14:textId="77777777" w:rsidR="00DC6048" w:rsidRPr="00B55390" w:rsidRDefault="00DC6048" w:rsidP="00D67622">
            <w:pPr>
              <w:pStyle w:val="PINormal"/>
            </w:pPr>
            <w:r w:rsidRPr="00B55390">
              <w:t xml:space="preserve">       Hazard ratio for first relapse</w:t>
            </w:r>
          </w:p>
        </w:tc>
        <w:tc>
          <w:tcPr>
            <w:tcW w:w="1530" w:type="dxa"/>
            <w:tcBorders>
              <w:top w:val="nil"/>
              <w:bottom w:val="nil"/>
            </w:tcBorders>
            <w:shd w:val="clear" w:color="auto" w:fill="auto"/>
          </w:tcPr>
          <w:p w14:paraId="1DB0AEE4" w14:textId="77777777" w:rsidR="00DC6048" w:rsidRPr="00B55390" w:rsidRDefault="00DC6048" w:rsidP="00D67622">
            <w:pPr>
              <w:pStyle w:val="PINormal"/>
              <w:jc w:val="center"/>
            </w:pPr>
            <w:r w:rsidRPr="00B55390">
              <w:t>0.66</w:t>
            </w:r>
          </w:p>
        </w:tc>
        <w:tc>
          <w:tcPr>
            <w:tcW w:w="1508" w:type="dxa"/>
            <w:tcBorders>
              <w:top w:val="nil"/>
              <w:bottom w:val="nil"/>
            </w:tcBorders>
            <w:shd w:val="clear" w:color="auto" w:fill="auto"/>
          </w:tcPr>
          <w:p w14:paraId="1E322EFB" w14:textId="77777777" w:rsidR="00DC6048" w:rsidRPr="00B55390" w:rsidRDefault="00DC6048" w:rsidP="00D67622">
            <w:pPr>
              <w:pStyle w:val="PINormal"/>
              <w:jc w:val="center"/>
            </w:pPr>
          </w:p>
        </w:tc>
        <w:tc>
          <w:tcPr>
            <w:tcW w:w="1587" w:type="dxa"/>
            <w:tcBorders>
              <w:top w:val="nil"/>
              <w:bottom w:val="nil"/>
            </w:tcBorders>
            <w:shd w:val="clear" w:color="auto" w:fill="auto"/>
          </w:tcPr>
          <w:p w14:paraId="064117F9" w14:textId="77777777" w:rsidR="00DC6048" w:rsidRPr="00B55390" w:rsidRDefault="00DC6048" w:rsidP="00D67622">
            <w:pPr>
              <w:pStyle w:val="PINormal"/>
              <w:jc w:val="center"/>
            </w:pPr>
            <w:r w:rsidRPr="00B55390">
              <w:t>0.71</w:t>
            </w:r>
          </w:p>
        </w:tc>
      </w:tr>
      <w:tr w:rsidR="00DC6048" w:rsidRPr="00B55390" w14:paraId="4F1C626E" w14:textId="77777777" w:rsidTr="00D44E1A">
        <w:tc>
          <w:tcPr>
            <w:tcW w:w="4163" w:type="dxa"/>
            <w:tcBorders>
              <w:top w:val="nil"/>
              <w:bottom w:val="nil"/>
            </w:tcBorders>
            <w:shd w:val="clear" w:color="auto" w:fill="auto"/>
          </w:tcPr>
          <w:p w14:paraId="076E1950" w14:textId="77777777" w:rsidR="00DC6048" w:rsidRPr="00B55390" w:rsidRDefault="00DC6048" w:rsidP="00D67622">
            <w:pPr>
              <w:pStyle w:val="PINormal"/>
            </w:pPr>
            <w:r w:rsidRPr="00B55390">
              <w:t xml:space="preserve">       (95% CI)</w:t>
            </w:r>
          </w:p>
        </w:tc>
        <w:tc>
          <w:tcPr>
            <w:tcW w:w="1530" w:type="dxa"/>
            <w:tcBorders>
              <w:top w:val="nil"/>
              <w:bottom w:val="nil"/>
            </w:tcBorders>
            <w:shd w:val="clear" w:color="auto" w:fill="auto"/>
          </w:tcPr>
          <w:p w14:paraId="25CDC3BE" w14:textId="77777777" w:rsidR="00DC6048" w:rsidRPr="00B55390" w:rsidRDefault="00DC6048" w:rsidP="00D67622">
            <w:pPr>
              <w:pStyle w:val="PINormal"/>
              <w:jc w:val="center"/>
            </w:pPr>
            <w:r w:rsidRPr="00B55390">
              <w:t>(0.51, 0.86)</w:t>
            </w:r>
          </w:p>
        </w:tc>
        <w:tc>
          <w:tcPr>
            <w:tcW w:w="1508" w:type="dxa"/>
            <w:tcBorders>
              <w:top w:val="nil"/>
              <w:bottom w:val="nil"/>
            </w:tcBorders>
            <w:shd w:val="clear" w:color="auto" w:fill="auto"/>
          </w:tcPr>
          <w:p w14:paraId="61DB13E8" w14:textId="77777777" w:rsidR="00DC6048" w:rsidRPr="00B55390" w:rsidRDefault="00DC6048" w:rsidP="00D67622">
            <w:pPr>
              <w:pStyle w:val="PINormal"/>
              <w:jc w:val="center"/>
            </w:pPr>
          </w:p>
        </w:tc>
        <w:tc>
          <w:tcPr>
            <w:tcW w:w="1587" w:type="dxa"/>
            <w:tcBorders>
              <w:top w:val="nil"/>
              <w:bottom w:val="nil"/>
            </w:tcBorders>
            <w:shd w:val="clear" w:color="auto" w:fill="auto"/>
          </w:tcPr>
          <w:p w14:paraId="2C979ADA" w14:textId="1F44065C" w:rsidR="00DC6048" w:rsidRPr="00B55390" w:rsidRDefault="00DC6048" w:rsidP="00D67622">
            <w:pPr>
              <w:pStyle w:val="PINormal"/>
              <w:jc w:val="center"/>
            </w:pPr>
            <w:r w:rsidRPr="00B55390">
              <w:t>(0.55, 0.92)</w:t>
            </w:r>
          </w:p>
        </w:tc>
      </w:tr>
      <w:tr w:rsidR="00DC6048" w:rsidRPr="00B55390" w14:paraId="6D67C4EF" w14:textId="77777777" w:rsidTr="00D44E1A">
        <w:tc>
          <w:tcPr>
            <w:tcW w:w="4163" w:type="dxa"/>
            <w:tcBorders>
              <w:top w:val="nil"/>
              <w:bottom w:val="nil"/>
            </w:tcBorders>
            <w:shd w:val="clear" w:color="auto" w:fill="auto"/>
          </w:tcPr>
          <w:p w14:paraId="0EF8E982" w14:textId="77777777" w:rsidR="00DC6048" w:rsidRPr="00B55390" w:rsidRDefault="00DC6048" w:rsidP="00D67622">
            <w:pPr>
              <w:pStyle w:val="PINormal"/>
            </w:pPr>
            <w:r w:rsidRPr="00B55390">
              <w:t xml:space="preserve">       P-value versus placebo</w:t>
            </w:r>
          </w:p>
        </w:tc>
        <w:tc>
          <w:tcPr>
            <w:tcW w:w="1530" w:type="dxa"/>
            <w:tcBorders>
              <w:top w:val="nil"/>
              <w:bottom w:val="nil"/>
            </w:tcBorders>
            <w:shd w:val="clear" w:color="auto" w:fill="auto"/>
          </w:tcPr>
          <w:p w14:paraId="7E22E801" w14:textId="77777777" w:rsidR="00DC6048" w:rsidRPr="00B55390" w:rsidRDefault="00DC6048" w:rsidP="00D67622">
            <w:pPr>
              <w:pStyle w:val="PINormal"/>
              <w:jc w:val="center"/>
            </w:pPr>
            <w:r w:rsidRPr="00B55390">
              <w:t>0.0020</w:t>
            </w:r>
          </w:p>
        </w:tc>
        <w:tc>
          <w:tcPr>
            <w:tcW w:w="1508" w:type="dxa"/>
            <w:tcBorders>
              <w:top w:val="nil"/>
              <w:bottom w:val="nil"/>
            </w:tcBorders>
            <w:shd w:val="clear" w:color="auto" w:fill="auto"/>
          </w:tcPr>
          <w:p w14:paraId="1C2B6F05" w14:textId="77777777" w:rsidR="00DC6048" w:rsidRPr="00B55390" w:rsidRDefault="00DC6048" w:rsidP="00D67622">
            <w:pPr>
              <w:pStyle w:val="PINormal"/>
              <w:jc w:val="center"/>
            </w:pPr>
          </w:p>
        </w:tc>
        <w:tc>
          <w:tcPr>
            <w:tcW w:w="1587" w:type="dxa"/>
            <w:tcBorders>
              <w:top w:val="nil"/>
              <w:bottom w:val="nil"/>
            </w:tcBorders>
            <w:shd w:val="clear" w:color="auto" w:fill="auto"/>
          </w:tcPr>
          <w:p w14:paraId="494EC1A5" w14:textId="77777777" w:rsidR="00DC6048" w:rsidRPr="00B55390" w:rsidRDefault="00DC6048" w:rsidP="00D67622">
            <w:pPr>
              <w:pStyle w:val="PINormal"/>
              <w:jc w:val="center"/>
            </w:pPr>
            <w:r w:rsidRPr="00B55390">
              <w:t>0.0097</w:t>
            </w:r>
          </w:p>
        </w:tc>
      </w:tr>
      <w:tr w:rsidR="00DC6048" w:rsidRPr="00B55390" w14:paraId="52E3DBF0" w14:textId="77777777" w:rsidTr="00D44E1A">
        <w:tc>
          <w:tcPr>
            <w:tcW w:w="4163" w:type="dxa"/>
            <w:tcBorders>
              <w:top w:val="nil"/>
              <w:bottom w:val="nil"/>
            </w:tcBorders>
            <w:shd w:val="clear" w:color="auto" w:fill="auto"/>
          </w:tcPr>
          <w:p w14:paraId="40FAF78A" w14:textId="77777777" w:rsidR="00DC6048" w:rsidRPr="00B55390" w:rsidRDefault="00DC6048" w:rsidP="00D67622">
            <w:pPr>
              <w:pStyle w:val="PINormal"/>
            </w:pPr>
          </w:p>
        </w:tc>
        <w:tc>
          <w:tcPr>
            <w:tcW w:w="1530" w:type="dxa"/>
            <w:tcBorders>
              <w:top w:val="nil"/>
              <w:bottom w:val="nil"/>
            </w:tcBorders>
            <w:shd w:val="clear" w:color="auto" w:fill="auto"/>
          </w:tcPr>
          <w:p w14:paraId="76F74691" w14:textId="77777777" w:rsidR="00DC6048" w:rsidRPr="00B55390" w:rsidRDefault="00DC6048" w:rsidP="00D67622">
            <w:pPr>
              <w:pStyle w:val="PINormal"/>
              <w:jc w:val="center"/>
            </w:pPr>
          </w:p>
        </w:tc>
        <w:tc>
          <w:tcPr>
            <w:tcW w:w="1508" w:type="dxa"/>
            <w:tcBorders>
              <w:top w:val="nil"/>
              <w:bottom w:val="nil"/>
            </w:tcBorders>
            <w:shd w:val="clear" w:color="auto" w:fill="auto"/>
          </w:tcPr>
          <w:p w14:paraId="075B15ED" w14:textId="77777777" w:rsidR="00DC6048" w:rsidRPr="00B55390" w:rsidRDefault="00DC6048" w:rsidP="00D67622">
            <w:pPr>
              <w:pStyle w:val="PINormal"/>
              <w:jc w:val="center"/>
            </w:pPr>
          </w:p>
        </w:tc>
        <w:tc>
          <w:tcPr>
            <w:tcW w:w="1587" w:type="dxa"/>
            <w:tcBorders>
              <w:top w:val="nil"/>
              <w:bottom w:val="nil"/>
            </w:tcBorders>
            <w:shd w:val="clear" w:color="auto" w:fill="auto"/>
          </w:tcPr>
          <w:p w14:paraId="4C64D247" w14:textId="77777777" w:rsidR="00DC6048" w:rsidRPr="00B55390" w:rsidRDefault="00DC6048" w:rsidP="00D67622">
            <w:pPr>
              <w:pStyle w:val="PINormal"/>
              <w:jc w:val="center"/>
            </w:pPr>
          </w:p>
        </w:tc>
      </w:tr>
      <w:tr w:rsidR="00DC6048" w:rsidRPr="00B55390" w14:paraId="5736717F" w14:textId="77777777" w:rsidTr="00D44E1A">
        <w:tc>
          <w:tcPr>
            <w:tcW w:w="4163" w:type="dxa"/>
            <w:tcBorders>
              <w:top w:val="nil"/>
              <w:bottom w:val="nil"/>
            </w:tcBorders>
            <w:shd w:val="clear" w:color="auto" w:fill="auto"/>
          </w:tcPr>
          <w:p w14:paraId="0A79607B" w14:textId="77777777" w:rsidR="00DC6048" w:rsidRPr="00B55390" w:rsidRDefault="00DC6048" w:rsidP="00D67622">
            <w:pPr>
              <w:pStyle w:val="PINormal"/>
            </w:pPr>
            <w:r w:rsidRPr="00B55390">
              <w:t xml:space="preserve">Proportion with disability progression </w:t>
            </w:r>
            <w:r w:rsidRPr="00B55390">
              <w:rPr>
                <w:vertAlign w:val="superscript"/>
              </w:rPr>
              <w:t>(a)</w:t>
            </w:r>
          </w:p>
        </w:tc>
        <w:tc>
          <w:tcPr>
            <w:tcW w:w="1530" w:type="dxa"/>
            <w:tcBorders>
              <w:top w:val="nil"/>
              <w:bottom w:val="nil"/>
            </w:tcBorders>
            <w:shd w:val="clear" w:color="auto" w:fill="auto"/>
          </w:tcPr>
          <w:p w14:paraId="6D76FD70" w14:textId="77777777" w:rsidR="00DC6048" w:rsidRPr="00B55390" w:rsidRDefault="00DC6048" w:rsidP="00D67622">
            <w:pPr>
              <w:pStyle w:val="PINormal"/>
              <w:jc w:val="center"/>
            </w:pPr>
            <w:r w:rsidRPr="00B55390">
              <w:t>0.128</w:t>
            </w:r>
          </w:p>
        </w:tc>
        <w:tc>
          <w:tcPr>
            <w:tcW w:w="1508" w:type="dxa"/>
            <w:tcBorders>
              <w:top w:val="nil"/>
              <w:bottom w:val="nil"/>
            </w:tcBorders>
            <w:shd w:val="clear" w:color="auto" w:fill="auto"/>
          </w:tcPr>
          <w:p w14:paraId="08E598B8" w14:textId="77777777" w:rsidR="00DC6048" w:rsidRPr="00B55390" w:rsidRDefault="00DC6048" w:rsidP="00D67622">
            <w:pPr>
              <w:pStyle w:val="PINormal"/>
              <w:jc w:val="center"/>
            </w:pPr>
            <w:r w:rsidRPr="00B55390">
              <w:t>0.169</w:t>
            </w:r>
          </w:p>
        </w:tc>
        <w:tc>
          <w:tcPr>
            <w:tcW w:w="1587" w:type="dxa"/>
            <w:tcBorders>
              <w:top w:val="nil"/>
              <w:bottom w:val="nil"/>
            </w:tcBorders>
            <w:shd w:val="clear" w:color="auto" w:fill="auto"/>
          </w:tcPr>
          <w:p w14:paraId="6B207507" w14:textId="77777777" w:rsidR="00DC6048" w:rsidRPr="00B55390" w:rsidRDefault="00DC6048" w:rsidP="00D67622">
            <w:pPr>
              <w:pStyle w:val="PINormal"/>
              <w:jc w:val="center"/>
            </w:pPr>
            <w:r w:rsidRPr="00B55390">
              <w:t>0.156</w:t>
            </w:r>
          </w:p>
        </w:tc>
      </w:tr>
      <w:tr w:rsidR="00DC6048" w:rsidRPr="00B55390" w14:paraId="707099D6" w14:textId="77777777" w:rsidTr="00D44E1A">
        <w:tc>
          <w:tcPr>
            <w:tcW w:w="4163" w:type="dxa"/>
            <w:tcBorders>
              <w:top w:val="nil"/>
              <w:bottom w:val="nil"/>
            </w:tcBorders>
            <w:shd w:val="clear" w:color="auto" w:fill="auto"/>
          </w:tcPr>
          <w:p w14:paraId="5EACFAF6" w14:textId="77777777" w:rsidR="00DC6048" w:rsidRPr="00B55390" w:rsidRDefault="00DC6048" w:rsidP="00D67622">
            <w:pPr>
              <w:pStyle w:val="PINormal"/>
            </w:pPr>
            <w:r w:rsidRPr="00B55390">
              <w:t xml:space="preserve">       Hazard ratio</w:t>
            </w:r>
          </w:p>
        </w:tc>
        <w:tc>
          <w:tcPr>
            <w:tcW w:w="1530" w:type="dxa"/>
            <w:tcBorders>
              <w:top w:val="nil"/>
              <w:bottom w:val="nil"/>
            </w:tcBorders>
            <w:shd w:val="clear" w:color="auto" w:fill="auto"/>
          </w:tcPr>
          <w:p w14:paraId="2D24A9CD" w14:textId="77777777" w:rsidR="00DC6048" w:rsidRPr="00B55390" w:rsidRDefault="00DC6048" w:rsidP="00D67622">
            <w:pPr>
              <w:pStyle w:val="PINormal"/>
              <w:jc w:val="center"/>
            </w:pPr>
            <w:r w:rsidRPr="00B55390">
              <w:t>0.79</w:t>
            </w:r>
          </w:p>
        </w:tc>
        <w:tc>
          <w:tcPr>
            <w:tcW w:w="1508" w:type="dxa"/>
            <w:tcBorders>
              <w:top w:val="nil"/>
              <w:bottom w:val="nil"/>
            </w:tcBorders>
            <w:shd w:val="clear" w:color="auto" w:fill="auto"/>
          </w:tcPr>
          <w:p w14:paraId="7292EFAB" w14:textId="77777777" w:rsidR="00DC6048" w:rsidRPr="00B55390" w:rsidRDefault="00DC6048" w:rsidP="00D67622">
            <w:pPr>
              <w:pStyle w:val="PINormal"/>
              <w:jc w:val="center"/>
            </w:pPr>
          </w:p>
        </w:tc>
        <w:tc>
          <w:tcPr>
            <w:tcW w:w="1587" w:type="dxa"/>
            <w:tcBorders>
              <w:top w:val="nil"/>
              <w:bottom w:val="nil"/>
            </w:tcBorders>
            <w:shd w:val="clear" w:color="auto" w:fill="auto"/>
          </w:tcPr>
          <w:p w14:paraId="0A0156EE" w14:textId="77777777" w:rsidR="00DC6048" w:rsidRPr="00B55390" w:rsidRDefault="00DC6048" w:rsidP="00D67622">
            <w:pPr>
              <w:pStyle w:val="PINormal"/>
              <w:jc w:val="center"/>
            </w:pPr>
            <w:r w:rsidRPr="00B55390">
              <w:t>0.93</w:t>
            </w:r>
          </w:p>
        </w:tc>
      </w:tr>
      <w:tr w:rsidR="00DC6048" w:rsidRPr="00B55390" w14:paraId="30A9E14B" w14:textId="77777777" w:rsidTr="00D44E1A">
        <w:tc>
          <w:tcPr>
            <w:tcW w:w="4163" w:type="dxa"/>
            <w:tcBorders>
              <w:top w:val="nil"/>
              <w:bottom w:val="nil"/>
            </w:tcBorders>
            <w:shd w:val="clear" w:color="auto" w:fill="auto"/>
          </w:tcPr>
          <w:p w14:paraId="2ACA9B7B" w14:textId="77777777" w:rsidR="00DC6048" w:rsidRPr="00B55390" w:rsidRDefault="00DC6048" w:rsidP="00D67622">
            <w:pPr>
              <w:pStyle w:val="PINormal"/>
            </w:pPr>
            <w:r w:rsidRPr="00B55390">
              <w:t xml:space="preserve">       (95% CI)</w:t>
            </w:r>
          </w:p>
        </w:tc>
        <w:tc>
          <w:tcPr>
            <w:tcW w:w="1530" w:type="dxa"/>
            <w:tcBorders>
              <w:top w:val="nil"/>
              <w:bottom w:val="nil"/>
            </w:tcBorders>
            <w:shd w:val="clear" w:color="auto" w:fill="auto"/>
          </w:tcPr>
          <w:p w14:paraId="39BB9786" w14:textId="77777777" w:rsidR="00DC6048" w:rsidRPr="00B55390" w:rsidRDefault="00DC6048" w:rsidP="00D67622">
            <w:pPr>
              <w:pStyle w:val="PINormal"/>
              <w:jc w:val="center"/>
            </w:pPr>
            <w:r w:rsidRPr="00B55390">
              <w:t>(0.52, 1.19)</w:t>
            </w:r>
          </w:p>
        </w:tc>
        <w:tc>
          <w:tcPr>
            <w:tcW w:w="1508" w:type="dxa"/>
            <w:tcBorders>
              <w:top w:val="nil"/>
              <w:bottom w:val="nil"/>
            </w:tcBorders>
            <w:shd w:val="clear" w:color="auto" w:fill="auto"/>
          </w:tcPr>
          <w:p w14:paraId="6CB0C159" w14:textId="77777777" w:rsidR="00DC6048" w:rsidRPr="00B55390" w:rsidRDefault="00DC6048" w:rsidP="00D67622">
            <w:pPr>
              <w:pStyle w:val="PINormal"/>
              <w:jc w:val="center"/>
            </w:pPr>
          </w:p>
        </w:tc>
        <w:tc>
          <w:tcPr>
            <w:tcW w:w="1587" w:type="dxa"/>
            <w:tcBorders>
              <w:top w:val="nil"/>
              <w:bottom w:val="nil"/>
            </w:tcBorders>
            <w:shd w:val="clear" w:color="auto" w:fill="auto"/>
          </w:tcPr>
          <w:p w14:paraId="53F67315" w14:textId="77777777" w:rsidR="00DC6048" w:rsidRPr="00B55390" w:rsidRDefault="00DC6048" w:rsidP="00D67622">
            <w:pPr>
              <w:pStyle w:val="PINormal"/>
              <w:jc w:val="center"/>
            </w:pPr>
            <w:r w:rsidRPr="00B55390">
              <w:t>(0.63, 1.37)</w:t>
            </w:r>
          </w:p>
        </w:tc>
      </w:tr>
      <w:tr w:rsidR="00DC6048" w:rsidRPr="00B55390" w14:paraId="59291A5B" w14:textId="77777777" w:rsidTr="00D44E1A">
        <w:tc>
          <w:tcPr>
            <w:tcW w:w="4163" w:type="dxa"/>
            <w:tcBorders>
              <w:top w:val="nil"/>
              <w:bottom w:val="nil"/>
            </w:tcBorders>
            <w:shd w:val="clear" w:color="auto" w:fill="auto"/>
          </w:tcPr>
          <w:p w14:paraId="04A80DF4" w14:textId="5365E830" w:rsidR="00DC6048" w:rsidRPr="00B55390" w:rsidRDefault="00DC6048" w:rsidP="00D67622">
            <w:pPr>
              <w:pStyle w:val="PINormal"/>
            </w:pPr>
            <w:r w:rsidRPr="00B55390">
              <w:t xml:space="preserve">       P-value versus placebo</w:t>
            </w:r>
          </w:p>
        </w:tc>
        <w:tc>
          <w:tcPr>
            <w:tcW w:w="1530" w:type="dxa"/>
            <w:tcBorders>
              <w:top w:val="nil"/>
              <w:bottom w:val="nil"/>
            </w:tcBorders>
            <w:shd w:val="clear" w:color="auto" w:fill="auto"/>
          </w:tcPr>
          <w:p w14:paraId="3E2C0489" w14:textId="77777777" w:rsidR="00DC6048" w:rsidRPr="00B55390" w:rsidRDefault="00DC6048" w:rsidP="00D67622">
            <w:pPr>
              <w:pStyle w:val="PINormal"/>
              <w:jc w:val="center"/>
            </w:pPr>
            <w:r w:rsidRPr="00B55390">
              <w:t>0.2536</w:t>
            </w:r>
          </w:p>
        </w:tc>
        <w:tc>
          <w:tcPr>
            <w:tcW w:w="1508" w:type="dxa"/>
            <w:tcBorders>
              <w:top w:val="nil"/>
              <w:bottom w:val="nil"/>
            </w:tcBorders>
            <w:shd w:val="clear" w:color="auto" w:fill="auto"/>
          </w:tcPr>
          <w:p w14:paraId="39B6DB24" w14:textId="77777777" w:rsidR="00DC6048" w:rsidRPr="00B55390" w:rsidRDefault="00DC6048" w:rsidP="00D67622">
            <w:pPr>
              <w:pStyle w:val="PINormal"/>
              <w:jc w:val="center"/>
            </w:pPr>
          </w:p>
        </w:tc>
        <w:tc>
          <w:tcPr>
            <w:tcW w:w="1587" w:type="dxa"/>
            <w:tcBorders>
              <w:top w:val="nil"/>
              <w:bottom w:val="nil"/>
            </w:tcBorders>
            <w:shd w:val="clear" w:color="auto" w:fill="auto"/>
          </w:tcPr>
          <w:p w14:paraId="3701BFD5" w14:textId="77777777" w:rsidR="00DC6048" w:rsidRPr="00B55390" w:rsidRDefault="00DC6048" w:rsidP="00D67622">
            <w:pPr>
              <w:pStyle w:val="PINormal"/>
              <w:jc w:val="center"/>
            </w:pPr>
            <w:r w:rsidRPr="00B55390">
              <w:t>0.7036</w:t>
            </w:r>
          </w:p>
        </w:tc>
      </w:tr>
      <w:tr w:rsidR="00D44E1A" w:rsidRPr="00B55390" w14:paraId="4EAAB8E1" w14:textId="77777777" w:rsidTr="00D44E1A">
        <w:tc>
          <w:tcPr>
            <w:tcW w:w="4163" w:type="dxa"/>
            <w:tcBorders>
              <w:top w:val="nil"/>
            </w:tcBorders>
            <w:shd w:val="clear" w:color="auto" w:fill="auto"/>
          </w:tcPr>
          <w:p w14:paraId="642F96EA" w14:textId="77777777" w:rsidR="00D44E1A" w:rsidRPr="00B55390" w:rsidRDefault="00D44E1A" w:rsidP="00D67622">
            <w:pPr>
              <w:pStyle w:val="PINormal"/>
            </w:pPr>
          </w:p>
        </w:tc>
        <w:tc>
          <w:tcPr>
            <w:tcW w:w="1530" w:type="dxa"/>
            <w:tcBorders>
              <w:top w:val="nil"/>
            </w:tcBorders>
            <w:shd w:val="clear" w:color="auto" w:fill="auto"/>
          </w:tcPr>
          <w:p w14:paraId="10BD7956" w14:textId="77777777" w:rsidR="00D44E1A" w:rsidRPr="00B55390" w:rsidRDefault="00D44E1A" w:rsidP="00D67622">
            <w:pPr>
              <w:pStyle w:val="PINormal"/>
              <w:jc w:val="center"/>
            </w:pPr>
          </w:p>
        </w:tc>
        <w:tc>
          <w:tcPr>
            <w:tcW w:w="1508" w:type="dxa"/>
            <w:tcBorders>
              <w:top w:val="nil"/>
            </w:tcBorders>
            <w:shd w:val="clear" w:color="auto" w:fill="auto"/>
          </w:tcPr>
          <w:p w14:paraId="4FE4990E" w14:textId="77777777" w:rsidR="00D44E1A" w:rsidRPr="00B55390" w:rsidRDefault="00D44E1A" w:rsidP="00D67622">
            <w:pPr>
              <w:pStyle w:val="PINormal"/>
              <w:jc w:val="center"/>
            </w:pPr>
          </w:p>
        </w:tc>
        <w:tc>
          <w:tcPr>
            <w:tcW w:w="1587" w:type="dxa"/>
            <w:tcBorders>
              <w:top w:val="nil"/>
            </w:tcBorders>
            <w:shd w:val="clear" w:color="auto" w:fill="auto"/>
          </w:tcPr>
          <w:p w14:paraId="0FD08C80" w14:textId="77777777" w:rsidR="00D44E1A" w:rsidRPr="00B55390" w:rsidRDefault="00D44E1A" w:rsidP="00D67622">
            <w:pPr>
              <w:pStyle w:val="PINormal"/>
              <w:jc w:val="center"/>
            </w:pPr>
          </w:p>
        </w:tc>
      </w:tr>
      <w:tr w:rsidR="00DC6048" w:rsidRPr="00B55390" w14:paraId="5E28F728" w14:textId="77777777" w:rsidTr="00D44E1A">
        <w:tc>
          <w:tcPr>
            <w:tcW w:w="4163" w:type="dxa"/>
            <w:tcBorders>
              <w:bottom w:val="single" w:sz="4" w:space="0" w:color="auto"/>
            </w:tcBorders>
            <w:shd w:val="clear" w:color="auto" w:fill="auto"/>
          </w:tcPr>
          <w:p w14:paraId="18E4F5F2" w14:textId="77777777" w:rsidR="00DC6048" w:rsidRPr="00B55390" w:rsidRDefault="00DC6048" w:rsidP="00D67622">
            <w:pPr>
              <w:pStyle w:val="PINormal"/>
            </w:pPr>
            <w:r w:rsidRPr="00B55390">
              <w:t>MRI Endpoint</w:t>
            </w:r>
          </w:p>
        </w:tc>
        <w:tc>
          <w:tcPr>
            <w:tcW w:w="1530" w:type="dxa"/>
            <w:tcBorders>
              <w:bottom w:val="single" w:sz="4" w:space="0" w:color="auto"/>
            </w:tcBorders>
            <w:shd w:val="clear" w:color="auto" w:fill="auto"/>
          </w:tcPr>
          <w:p w14:paraId="22BBF312" w14:textId="77777777" w:rsidR="00DC6048" w:rsidRPr="00B55390" w:rsidRDefault="00DC6048" w:rsidP="00D67622">
            <w:pPr>
              <w:pStyle w:val="PINormal"/>
              <w:jc w:val="center"/>
            </w:pPr>
            <w:r w:rsidRPr="00B55390">
              <w:t>n=147</w:t>
            </w:r>
          </w:p>
        </w:tc>
        <w:tc>
          <w:tcPr>
            <w:tcW w:w="1508" w:type="dxa"/>
            <w:tcBorders>
              <w:bottom w:val="single" w:sz="4" w:space="0" w:color="auto"/>
            </w:tcBorders>
            <w:shd w:val="clear" w:color="auto" w:fill="auto"/>
          </w:tcPr>
          <w:p w14:paraId="1F68CF2F" w14:textId="77777777" w:rsidR="00DC6048" w:rsidRPr="00B55390" w:rsidRDefault="00DC6048" w:rsidP="00D67622">
            <w:pPr>
              <w:pStyle w:val="PINormal"/>
              <w:jc w:val="center"/>
            </w:pPr>
            <w:r w:rsidRPr="00B55390">
              <w:t>n=144</w:t>
            </w:r>
          </w:p>
        </w:tc>
        <w:tc>
          <w:tcPr>
            <w:tcW w:w="1587" w:type="dxa"/>
            <w:tcBorders>
              <w:bottom w:val="single" w:sz="4" w:space="0" w:color="auto"/>
            </w:tcBorders>
            <w:shd w:val="clear" w:color="auto" w:fill="auto"/>
          </w:tcPr>
          <w:p w14:paraId="12E10928" w14:textId="77777777" w:rsidR="00DC6048" w:rsidRPr="00B55390" w:rsidRDefault="00DC6048" w:rsidP="00D67622">
            <w:pPr>
              <w:pStyle w:val="PINormal"/>
              <w:jc w:val="center"/>
            </w:pPr>
            <w:r w:rsidRPr="00B55390">
              <w:t>n=161</w:t>
            </w:r>
          </w:p>
        </w:tc>
      </w:tr>
      <w:tr w:rsidR="00DC6048" w:rsidRPr="00B55390" w14:paraId="14D69FAC" w14:textId="77777777" w:rsidTr="00D44E1A">
        <w:tc>
          <w:tcPr>
            <w:tcW w:w="4163" w:type="dxa"/>
            <w:tcBorders>
              <w:bottom w:val="nil"/>
            </w:tcBorders>
            <w:shd w:val="clear" w:color="auto" w:fill="auto"/>
          </w:tcPr>
          <w:p w14:paraId="649E9923" w14:textId="77777777" w:rsidR="00DC6048" w:rsidRPr="00B55390" w:rsidRDefault="00DC6048" w:rsidP="00D67622">
            <w:pPr>
              <w:pStyle w:val="PINormal"/>
            </w:pPr>
          </w:p>
        </w:tc>
        <w:tc>
          <w:tcPr>
            <w:tcW w:w="1530" w:type="dxa"/>
            <w:tcBorders>
              <w:bottom w:val="nil"/>
            </w:tcBorders>
            <w:shd w:val="clear" w:color="auto" w:fill="auto"/>
          </w:tcPr>
          <w:p w14:paraId="3365CB3A" w14:textId="77777777" w:rsidR="00DC6048" w:rsidRPr="00B55390" w:rsidRDefault="00DC6048" w:rsidP="00D67622">
            <w:pPr>
              <w:pStyle w:val="PINormal"/>
              <w:jc w:val="center"/>
            </w:pPr>
          </w:p>
        </w:tc>
        <w:tc>
          <w:tcPr>
            <w:tcW w:w="1508" w:type="dxa"/>
            <w:tcBorders>
              <w:bottom w:val="nil"/>
            </w:tcBorders>
            <w:shd w:val="clear" w:color="auto" w:fill="auto"/>
          </w:tcPr>
          <w:p w14:paraId="63323F0B" w14:textId="77777777" w:rsidR="00DC6048" w:rsidRPr="00B55390" w:rsidRDefault="00DC6048" w:rsidP="00D67622">
            <w:pPr>
              <w:pStyle w:val="PINormal"/>
              <w:jc w:val="center"/>
            </w:pPr>
          </w:p>
        </w:tc>
        <w:tc>
          <w:tcPr>
            <w:tcW w:w="1587" w:type="dxa"/>
            <w:tcBorders>
              <w:bottom w:val="nil"/>
            </w:tcBorders>
            <w:shd w:val="clear" w:color="auto" w:fill="auto"/>
          </w:tcPr>
          <w:p w14:paraId="19A97412" w14:textId="77777777" w:rsidR="00DC6048" w:rsidRPr="00B55390" w:rsidRDefault="00DC6048" w:rsidP="00D67622">
            <w:pPr>
              <w:pStyle w:val="PINormal"/>
              <w:jc w:val="center"/>
            </w:pPr>
          </w:p>
        </w:tc>
      </w:tr>
      <w:tr w:rsidR="00DC6048" w:rsidRPr="00B55390" w14:paraId="5B6AAF46" w14:textId="77777777" w:rsidTr="00D44E1A">
        <w:tc>
          <w:tcPr>
            <w:tcW w:w="4163" w:type="dxa"/>
            <w:tcBorders>
              <w:top w:val="nil"/>
              <w:bottom w:val="nil"/>
            </w:tcBorders>
            <w:shd w:val="clear" w:color="auto" w:fill="auto"/>
          </w:tcPr>
          <w:p w14:paraId="08B847C1" w14:textId="77777777" w:rsidR="00DC6048" w:rsidRPr="00B55390" w:rsidRDefault="00DC6048" w:rsidP="00D67622">
            <w:pPr>
              <w:pStyle w:val="PINormal"/>
            </w:pPr>
            <w:r w:rsidRPr="00B55390">
              <w:t xml:space="preserve">Number of new or newly enlarging </w:t>
            </w:r>
          </w:p>
          <w:p w14:paraId="20A5686B" w14:textId="77777777" w:rsidR="00DC6048" w:rsidRPr="00B55390" w:rsidRDefault="00DC6048" w:rsidP="00D67622">
            <w:pPr>
              <w:pStyle w:val="PINormal"/>
            </w:pPr>
            <w:r w:rsidRPr="00B55390">
              <w:t xml:space="preserve">  T2 lesions over 2 years   </w:t>
            </w:r>
          </w:p>
        </w:tc>
        <w:tc>
          <w:tcPr>
            <w:tcW w:w="1530" w:type="dxa"/>
            <w:tcBorders>
              <w:top w:val="nil"/>
              <w:bottom w:val="nil"/>
            </w:tcBorders>
            <w:shd w:val="clear" w:color="auto" w:fill="auto"/>
          </w:tcPr>
          <w:p w14:paraId="04A39848" w14:textId="77777777" w:rsidR="00DC6048" w:rsidRPr="00B55390" w:rsidRDefault="00DC6048" w:rsidP="00D67622">
            <w:pPr>
              <w:pStyle w:val="PINormal"/>
              <w:jc w:val="center"/>
            </w:pPr>
          </w:p>
        </w:tc>
        <w:tc>
          <w:tcPr>
            <w:tcW w:w="1508" w:type="dxa"/>
            <w:tcBorders>
              <w:top w:val="nil"/>
              <w:bottom w:val="nil"/>
            </w:tcBorders>
            <w:shd w:val="clear" w:color="auto" w:fill="auto"/>
          </w:tcPr>
          <w:p w14:paraId="1315B99B" w14:textId="77777777" w:rsidR="00DC6048" w:rsidRPr="00B55390" w:rsidRDefault="00DC6048" w:rsidP="00D67622">
            <w:pPr>
              <w:pStyle w:val="PINormal"/>
              <w:jc w:val="center"/>
            </w:pPr>
          </w:p>
        </w:tc>
        <w:tc>
          <w:tcPr>
            <w:tcW w:w="1587" w:type="dxa"/>
            <w:tcBorders>
              <w:top w:val="nil"/>
              <w:bottom w:val="nil"/>
            </w:tcBorders>
            <w:shd w:val="clear" w:color="auto" w:fill="auto"/>
          </w:tcPr>
          <w:p w14:paraId="437E32AB" w14:textId="77777777" w:rsidR="00DC6048" w:rsidRPr="00B55390" w:rsidRDefault="00DC6048" w:rsidP="00D67622">
            <w:pPr>
              <w:pStyle w:val="PINormal"/>
              <w:jc w:val="center"/>
            </w:pPr>
          </w:p>
        </w:tc>
      </w:tr>
      <w:tr w:rsidR="00DC6048" w:rsidRPr="00B55390" w14:paraId="6B03DE9E" w14:textId="77777777" w:rsidTr="00D44E1A">
        <w:tc>
          <w:tcPr>
            <w:tcW w:w="4163" w:type="dxa"/>
            <w:tcBorders>
              <w:top w:val="nil"/>
              <w:bottom w:val="nil"/>
            </w:tcBorders>
            <w:shd w:val="clear" w:color="auto" w:fill="auto"/>
          </w:tcPr>
          <w:p w14:paraId="26D2F283" w14:textId="77777777" w:rsidR="00DC6048" w:rsidRPr="00B55390" w:rsidRDefault="00DC6048" w:rsidP="00D67622">
            <w:pPr>
              <w:pStyle w:val="PINormal"/>
            </w:pPr>
            <w:r w:rsidRPr="00B55390">
              <w:t xml:space="preserve">       Mean (median) </w:t>
            </w:r>
          </w:p>
        </w:tc>
        <w:tc>
          <w:tcPr>
            <w:tcW w:w="1530" w:type="dxa"/>
            <w:tcBorders>
              <w:top w:val="nil"/>
              <w:bottom w:val="nil"/>
            </w:tcBorders>
            <w:shd w:val="clear" w:color="auto" w:fill="auto"/>
          </w:tcPr>
          <w:p w14:paraId="05AE5C84" w14:textId="77777777" w:rsidR="00DC6048" w:rsidRPr="00B55390" w:rsidRDefault="00DC6048" w:rsidP="00D67622">
            <w:pPr>
              <w:pStyle w:val="PINormal"/>
              <w:jc w:val="center"/>
            </w:pPr>
            <w:r w:rsidRPr="00B55390">
              <w:t>5.7 (2.0)</w:t>
            </w:r>
          </w:p>
        </w:tc>
        <w:tc>
          <w:tcPr>
            <w:tcW w:w="1508" w:type="dxa"/>
            <w:tcBorders>
              <w:top w:val="nil"/>
              <w:bottom w:val="nil"/>
            </w:tcBorders>
            <w:shd w:val="clear" w:color="auto" w:fill="auto"/>
          </w:tcPr>
          <w:p w14:paraId="0D1FEE07" w14:textId="77777777" w:rsidR="00DC6048" w:rsidRPr="00B55390" w:rsidRDefault="00DC6048" w:rsidP="00D67622">
            <w:pPr>
              <w:pStyle w:val="PINormal"/>
              <w:jc w:val="center"/>
            </w:pPr>
            <w:r w:rsidRPr="00B55390">
              <w:t>19.9 (11.0)</w:t>
            </w:r>
          </w:p>
        </w:tc>
        <w:tc>
          <w:tcPr>
            <w:tcW w:w="1587" w:type="dxa"/>
            <w:tcBorders>
              <w:top w:val="nil"/>
              <w:bottom w:val="nil"/>
            </w:tcBorders>
            <w:shd w:val="clear" w:color="auto" w:fill="auto"/>
          </w:tcPr>
          <w:p w14:paraId="1CFB2D41" w14:textId="77777777" w:rsidR="00DC6048" w:rsidRPr="00B55390" w:rsidRDefault="00DC6048" w:rsidP="00D67622">
            <w:pPr>
              <w:pStyle w:val="PINormal"/>
              <w:jc w:val="center"/>
            </w:pPr>
            <w:r w:rsidRPr="00B55390">
              <w:t>9.6 (3.0)</w:t>
            </w:r>
          </w:p>
        </w:tc>
      </w:tr>
      <w:tr w:rsidR="00DC6048" w:rsidRPr="00B55390" w14:paraId="685C8CA9" w14:textId="77777777" w:rsidTr="00D44E1A">
        <w:tc>
          <w:tcPr>
            <w:tcW w:w="4163" w:type="dxa"/>
            <w:tcBorders>
              <w:top w:val="nil"/>
              <w:bottom w:val="nil"/>
            </w:tcBorders>
            <w:shd w:val="clear" w:color="auto" w:fill="auto"/>
          </w:tcPr>
          <w:p w14:paraId="0E804298" w14:textId="77777777" w:rsidR="00DC6048" w:rsidRPr="00B55390" w:rsidRDefault="00DC6048" w:rsidP="00D67622">
            <w:pPr>
              <w:pStyle w:val="PINormal"/>
            </w:pPr>
            <w:r w:rsidRPr="00B55390">
              <w:t xml:space="preserve">       Relative reduction (percentage)</w:t>
            </w:r>
          </w:p>
        </w:tc>
        <w:tc>
          <w:tcPr>
            <w:tcW w:w="1530" w:type="dxa"/>
            <w:tcBorders>
              <w:top w:val="nil"/>
              <w:bottom w:val="nil"/>
            </w:tcBorders>
            <w:shd w:val="clear" w:color="auto" w:fill="auto"/>
          </w:tcPr>
          <w:p w14:paraId="698789F9" w14:textId="77777777" w:rsidR="00DC6048" w:rsidRPr="00B55390" w:rsidRDefault="00DC6048" w:rsidP="00D67622">
            <w:pPr>
              <w:pStyle w:val="PINormal"/>
              <w:jc w:val="center"/>
            </w:pPr>
            <w:r w:rsidRPr="00B55390">
              <w:t>71%</w:t>
            </w:r>
          </w:p>
        </w:tc>
        <w:tc>
          <w:tcPr>
            <w:tcW w:w="1508" w:type="dxa"/>
            <w:tcBorders>
              <w:top w:val="nil"/>
              <w:bottom w:val="nil"/>
            </w:tcBorders>
            <w:shd w:val="clear" w:color="auto" w:fill="auto"/>
          </w:tcPr>
          <w:p w14:paraId="0FC4FD9C" w14:textId="77777777" w:rsidR="00DC6048" w:rsidRPr="00B55390" w:rsidRDefault="00DC6048" w:rsidP="00D67622">
            <w:pPr>
              <w:pStyle w:val="PINormal"/>
              <w:jc w:val="center"/>
            </w:pPr>
          </w:p>
        </w:tc>
        <w:tc>
          <w:tcPr>
            <w:tcW w:w="1587" w:type="dxa"/>
            <w:tcBorders>
              <w:top w:val="nil"/>
              <w:bottom w:val="nil"/>
            </w:tcBorders>
            <w:shd w:val="clear" w:color="auto" w:fill="auto"/>
          </w:tcPr>
          <w:p w14:paraId="13420F95" w14:textId="77777777" w:rsidR="00DC6048" w:rsidRPr="00B55390" w:rsidRDefault="00DC6048" w:rsidP="00D67622">
            <w:pPr>
              <w:pStyle w:val="PINormal"/>
              <w:jc w:val="center"/>
            </w:pPr>
            <w:r w:rsidRPr="00B55390">
              <w:t>54%</w:t>
            </w:r>
          </w:p>
        </w:tc>
      </w:tr>
      <w:tr w:rsidR="00DC6048" w:rsidRPr="00B55390" w14:paraId="3DA246F4" w14:textId="77777777" w:rsidTr="00D44E1A">
        <w:tc>
          <w:tcPr>
            <w:tcW w:w="4163" w:type="dxa"/>
            <w:tcBorders>
              <w:top w:val="nil"/>
              <w:bottom w:val="nil"/>
            </w:tcBorders>
            <w:shd w:val="clear" w:color="auto" w:fill="auto"/>
          </w:tcPr>
          <w:p w14:paraId="418D1ED0" w14:textId="77777777" w:rsidR="00DC6048" w:rsidRPr="00B55390" w:rsidRDefault="00DC6048" w:rsidP="00D67622">
            <w:pPr>
              <w:pStyle w:val="PINormal"/>
            </w:pPr>
            <w:r w:rsidRPr="00B55390">
              <w:t xml:space="preserve">       (95% CI)</w:t>
            </w:r>
          </w:p>
        </w:tc>
        <w:tc>
          <w:tcPr>
            <w:tcW w:w="1530" w:type="dxa"/>
            <w:tcBorders>
              <w:top w:val="nil"/>
              <w:bottom w:val="nil"/>
            </w:tcBorders>
            <w:shd w:val="clear" w:color="auto" w:fill="auto"/>
          </w:tcPr>
          <w:p w14:paraId="5DE3EF39" w14:textId="77777777" w:rsidR="00DC6048" w:rsidRPr="00B55390" w:rsidRDefault="00DC6048" w:rsidP="00D67622">
            <w:pPr>
              <w:pStyle w:val="PINormal"/>
              <w:jc w:val="center"/>
            </w:pPr>
            <w:r w:rsidRPr="00B55390">
              <w:t>(59%, 79%)</w:t>
            </w:r>
          </w:p>
        </w:tc>
        <w:tc>
          <w:tcPr>
            <w:tcW w:w="1508" w:type="dxa"/>
            <w:tcBorders>
              <w:top w:val="nil"/>
              <w:bottom w:val="nil"/>
            </w:tcBorders>
            <w:shd w:val="clear" w:color="auto" w:fill="auto"/>
          </w:tcPr>
          <w:p w14:paraId="0C5D397F" w14:textId="77777777" w:rsidR="00DC6048" w:rsidRPr="00B55390" w:rsidRDefault="00DC6048" w:rsidP="00D67622">
            <w:pPr>
              <w:pStyle w:val="PINormal"/>
              <w:jc w:val="center"/>
            </w:pPr>
          </w:p>
        </w:tc>
        <w:tc>
          <w:tcPr>
            <w:tcW w:w="1587" w:type="dxa"/>
            <w:tcBorders>
              <w:top w:val="nil"/>
              <w:bottom w:val="nil"/>
            </w:tcBorders>
            <w:shd w:val="clear" w:color="auto" w:fill="auto"/>
          </w:tcPr>
          <w:p w14:paraId="6F73842B" w14:textId="77777777" w:rsidR="00DC6048" w:rsidRPr="00B55390" w:rsidRDefault="00DC6048" w:rsidP="00D67622">
            <w:pPr>
              <w:pStyle w:val="PINormal"/>
              <w:jc w:val="center"/>
            </w:pPr>
            <w:r w:rsidRPr="00B55390">
              <w:t>(37%, 67%)</w:t>
            </w:r>
          </w:p>
        </w:tc>
      </w:tr>
      <w:tr w:rsidR="00DC6048" w:rsidRPr="00B55390" w14:paraId="79F25742" w14:textId="77777777" w:rsidTr="00D44E1A">
        <w:tc>
          <w:tcPr>
            <w:tcW w:w="4163" w:type="dxa"/>
            <w:tcBorders>
              <w:top w:val="nil"/>
              <w:bottom w:val="nil"/>
            </w:tcBorders>
            <w:shd w:val="clear" w:color="auto" w:fill="auto"/>
          </w:tcPr>
          <w:p w14:paraId="1588D6AF" w14:textId="77777777" w:rsidR="00DC6048" w:rsidRPr="00B55390" w:rsidRDefault="00DC6048" w:rsidP="00D67622">
            <w:pPr>
              <w:pStyle w:val="PINormal"/>
            </w:pPr>
            <w:r w:rsidRPr="00B55390">
              <w:t xml:space="preserve">       P-value versus placebo</w:t>
            </w:r>
          </w:p>
        </w:tc>
        <w:tc>
          <w:tcPr>
            <w:tcW w:w="1530" w:type="dxa"/>
            <w:tcBorders>
              <w:top w:val="nil"/>
              <w:bottom w:val="nil"/>
            </w:tcBorders>
            <w:shd w:val="clear" w:color="auto" w:fill="auto"/>
          </w:tcPr>
          <w:p w14:paraId="3DA0BB76" w14:textId="77777777" w:rsidR="00DC6048" w:rsidRPr="00B55390" w:rsidRDefault="00DC6048" w:rsidP="00D67622">
            <w:pPr>
              <w:pStyle w:val="PINormal"/>
              <w:jc w:val="center"/>
            </w:pPr>
            <w:r w:rsidRPr="00B55390">
              <w:t>&lt;0.0001</w:t>
            </w:r>
          </w:p>
        </w:tc>
        <w:tc>
          <w:tcPr>
            <w:tcW w:w="1508" w:type="dxa"/>
            <w:tcBorders>
              <w:top w:val="nil"/>
              <w:bottom w:val="nil"/>
            </w:tcBorders>
            <w:shd w:val="clear" w:color="auto" w:fill="auto"/>
          </w:tcPr>
          <w:p w14:paraId="5A446712" w14:textId="77777777" w:rsidR="00DC6048" w:rsidRPr="00B55390" w:rsidRDefault="00DC6048" w:rsidP="00D67622">
            <w:pPr>
              <w:pStyle w:val="PINormal"/>
              <w:jc w:val="center"/>
            </w:pPr>
          </w:p>
        </w:tc>
        <w:tc>
          <w:tcPr>
            <w:tcW w:w="1587" w:type="dxa"/>
            <w:tcBorders>
              <w:top w:val="nil"/>
              <w:bottom w:val="nil"/>
            </w:tcBorders>
            <w:shd w:val="clear" w:color="auto" w:fill="auto"/>
          </w:tcPr>
          <w:p w14:paraId="0D330924" w14:textId="77777777" w:rsidR="00DC6048" w:rsidRPr="00B55390" w:rsidRDefault="00DC6048" w:rsidP="00D67622">
            <w:pPr>
              <w:pStyle w:val="PINormal"/>
              <w:jc w:val="center"/>
            </w:pPr>
            <w:r w:rsidRPr="00B55390">
              <w:t>&lt;0.0001</w:t>
            </w:r>
          </w:p>
        </w:tc>
      </w:tr>
      <w:tr w:rsidR="00DC6048" w:rsidRPr="00B55390" w14:paraId="28FF85BB" w14:textId="77777777" w:rsidTr="00D44E1A">
        <w:tc>
          <w:tcPr>
            <w:tcW w:w="4163" w:type="dxa"/>
            <w:tcBorders>
              <w:top w:val="nil"/>
              <w:bottom w:val="nil"/>
            </w:tcBorders>
            <w:shd w:val="clear" w:color="auto" w:fill="auto"/>
          </w:tcPr>
          <w:p w14:paraId="610A6D1F" w14:textId="77777777" w:rsidR="00DC6048" w:rsidRPr="00B55390" w:rsidRDefault="00DC6048" w:rsidP="00D67622">
            <w:pPr>
              <w:pStyle w:val="PINormal"/>
            </w:pPr>
          </w:p>
        </w:tc>
        <w:tc>
          <w:tcPr>
            <w:tcW w:w="1530" w:type="dxa"/>
            <w:tcBorders>
              <w:top w:val="nil"/>
              <w:bottom w:val="nil"/>
            </w:tcBorders>
            <w:shd w:val="clear" w:color="auto" w:fill="auto"/>
          </w:tcPr>
          <w:p w14:paraId="680918B3" w14:textId="77777777" w:rsidR="00DC6048" w:rsidRPr="00B55390" w:rsidRDefault="00DC6048" w:rsidP="00D67622">
            <w:pPr>
              <w:pStyle w:val="PINormal"/>
              <w:jc w:val="center"/>
            </w:pPr>
          </w:p>
        </w:tc>
        <w:tc>
          <w:tcPr>
            <w:tcW w:w="1508" w:type="dxa"/>
            <w:tcBorders>
              <w:top w:val="nil"/>
              <w:bottom w:val="nil"/>
            </w:tcBorders>
            <w:shd w:val="clear" w:color="auto" w:fill="auto"/>
          </w:tcPr>
          <w:p w14:paraId="40056E15" w14:textId="77777777" w:rsidR="00DC6048" w:rsidRPr="00B55390" w:rsidRDefault="00DC6048" w:rsidP="00D67622">
            <w:pPr>
              <w:pStyle w:val="PINormal"/>
              <w:jc w:val="center"/>
            </w:pPr>
          </w:p>
        </w:tc>
        <w:tc>
          <w:tcPr>
            <w:tcW w:w="1587" w:type="dxa"/>
            <w:tcBorders>
              <w:top w:val="nil"/>
              <w:bottom w:val="nil"/>
            </w:tcBorders>
            <w:shd w:val="clear" w:color="auto" w:fill="auto"/>
          </w:tcPr>
          <w:p w14:paraId="2B5CFA6A" w14:textId="77777777" w:rsidR="00DC6048" w:rsidRPr="00B55390" w:rsidRDefault="00DC6048" w:rsidP="00D67622">
            <w:pPr>
              <w:pStyle w:val="PINormal"/>
              <w:jc w:val="center"/>
            </w:pPr>
          </w:p>
        </w:tc>
      </w:tr>
      <w:tr w:rsidR="00DC6048" w:rsidRPr="00B55390" w14:paraId="2E96DEF1" w14:textId="77777777" w:rsidTr="00D44E1A">
        <w:tc>
          <w:tcPr>
            <w:tcW w:w="4163" w:type="dxa"/>
            <w:tcBorders>
              <w:top w:val="nil"/>
              <w:bottom w:val="nil"/>
            </w:tcBorders>
            <w:shd w:val="clear" w:color="auto" w:fill="auto"/>
          </w:tcPr>
          <w:p w14:paraId="6DBA2CE0" w14:textId="77777777" w:rsidR="00DC6048" w:rsidRPr="00B55390" w:rsidRDefault="00DC6048" w:rsidP="00D67622">
            <w:pPr>
              <w:pStyle w:val="PINormal"/>
            </w:pPr>
            <w:r w:rsidRPr="00B55390">
              <w:t>Percentage of subjects with</w:t>
            </w:r>
          </w:p>
        </w:tc>
        <w:tc>
          <w:tcPr>
            <w:tcW w:w="1530" w:type="dxa"/>
            <w:tcBorders>
              <w:top w:val="nil"/>
              <w:bottom w:val="nil"/>
            </w:tcBorders>
            <w:shd w:val="clear" w:color="auto" w:fill="auto"/>
          </w:tcPr>
          <w:p w14:paraId="1A587454" w14:textId="77777777" w:rsidR="00DC6048" w:rsidRPr="00B55390" w:rsidRDefault="00DC6048" w:rsidP="00D67622">
            <w:pPr>
              <w:pStyle w:val="PINormal"/>
              <w:jc w:val="center"/>
            </w:pPr>
          </w:p>
        </w:tc>
        <w:tc>
          <w:tcPr>
            <w:tcW w:w="1508" w:type="dxa"/>
            <w:tcBorders>
              <w:top w:val="nil"/>
              <w:bottom w:val="nil"/>
            </w:tcBorders>
            <w:shd w:val="clear" w:color="auto" w:fill="auto"/>
          </w:tcPr>
          <w:p w14:paraId="4E73842B" w14:textId="77777777" w:rsidR="00DC6048" w:rsidRPr="00B55390" w:rsidRDefault="00DC6048" w:rsidP="00D67622">
            <w:pPr>
              <w:pStyle w:val="PINormal"/>
              <w:jc w:val="center"/>
            </w:pPr>
          </w:p>
        </w:tc>
        <w:tc>
          <w:tcPr>
            <w:tcW w:w="1587" w:type="dxa"/>
            <w:tcBorders>
              <w:top w:val="nil"/>
              <w:bottom w:val="nil"/>
            </w:tcBorders>
            <w:shd w:val="clear" w:color="auto" w:fill="auto"/>
          </w:tcPr>
          <w:p w14:paraId="40A254AA" w14:textId="77777777" w:rsidR="00DC6048" w:rsidRPr="00B55390" w:rsidRDefault="00DC6048" w:rsidP="00D67622">
            <w:pPr>
              <w:pStyle w:val="PINormal"/>
              <w:jc w:val="center"/>
            </w:pPr>
          </w:p>
        </w:tc>
      </w:tr>
      <w:tr w:rsidR="00DC6048" w:rsidRPr="00B55390" w14:paraId="4DBFF05F" w14:textId="77777777" w:rsidTr="00D44E1A">
        <w:tc>
          <w:tcPr>
            <w:tcW w:w="4163" w:type="dxa"/>
            <w:tcBorders>
              <w:top w:val="nil"/>
              <w:bottom w:val="nil"/>
            </w:tcBorders>
            <w:shd w:val="clear" w:color="auto" w:fill="auto"/>
          </w:tcPr>
          <w:p w14:paraId="6CF38D94" w14:textId="77777777" w:rsidR="00DC6048" w:rsidRPr="00B55390" w:rsidRDefault="00DC6048" w:rsidP="00D67622">
            <w:pPr>
              <w:pStyle w:val="PINormal"/>
            </w:pPr>
            <w:r w:rsidRPr="00B55390">
              <w:t xml:space="preserve">       0 lesions</w:t>
            </w:r>
          </w:p>
        </w:tc>
        <w:tc>
          <w:tcPr>
            <w:tcW w:w="1530" w:type="dxa"/>
            <w:tcBorders>
              <w:top w:val="nil"/>
              <w:bottom w:val="nil"/>
            </w:tcBorders>
            <w:shd w:val="clear" w:color="auto" w:fill="auto"/>
          </w:tcPr>
          <w:p w14:paraId="568B5249" w14:textId="77777777" w:rsidR="00DC6048" w:rsidRPr="00B55390" w:rsidRDefault="00DC6048" w:rsidP="00D67622">
            <w:pPr>
              <w:pStyle w:val="PINormal"/>
              <w:jc w:val="center"/>
            </w:pPr>
            <w:r w:rsidRPr="00B55390">
              <w:t>27%</w:t>
            </w:r>
          </w:p>
        </w:tc>
        <w:tc>
          <w:tcPr>
            <w:tcW w:w="1508" w:type="dxa"/>
            <w:tcBorders>
              <w:top w:val="nil"/>
              <w:bottom w:val="nil"/>
            </w:tcBorders>
            <w:shd w:val="clear" w:color="auto" w:fill="auto"/>
          </w:tcPr>
          <w:p w14:paraId="39E0AD89" w14:textId="77777777" w:rsidR="00DC6048" w:rsidRPr="00B55390" w:rsidRDefault="00DC6048" w:rsidP="00D67622">
            <w:pPr>
              <w:pStyle w:val="PINormal"/>
              <w:jc w:val="center"/>
            </w:pPr>
            <w:r w:rsidRPr="00B55390">
              <w:t>12%</w:t>
            </w:r>
          </w:p>
        </w:tc>
        <w:tc>
          <w:tcPr>
            <w:tcW w:w="1587" w:type="dxa"/>
            <w:tcBorders>
              <w:top w:val="nil"/>
              <w:bottom w:val="nil"/>
            </w:tcBorders>
            <w:shd w:val="clear" w:color="auto" w:fill="auto"/>
          </w:tcPr>
          <w:p w14:paraId="7B6E33A3" w14:textId="77777777" w:rsidR="00DC6048" w:rsidRPr="00B55390" w:rsidRDefault="00DC6048" w:rsidP="00D67622">
            <w:pPr>
              <w:pStyle w:val="PINormal"/>
              <w:jc w:val="center"/>
            </w:pPr>
            <w:r w:rsidRPr="00B55390">
              <w:t>24%</w:t>
            </w:r>
          </w:p>
        </w:tc>
      </w:tr>
      <w:tr w:rsidR="00DC6048" w:rsidRPr="00B55390" w14:paraId="5C588A7C" w14:textId="77777777" w:rsidTr="00D44E1A">
        <w:tc>
          <w:tcPr>
            <w:tcW w:w="4163" w:type="dxa"/>
            <w:tcBorders>
              <w:top w:val="nil"/>
              <w:bottom w:val="nil"/>
            </w:tcBorders>
            <w:shd w:val="clear" w:color="auto" w:fill="auto"/>
          </w:tcPr>
          <w:p w14:paraId="5775459A" w14:textId="77777777" w:rsidR="00DC6048" w:rsidRPr="00B55390" w:rsidRDefault="00DC6048" w:rsidP="00D67622">
            <w:pPr>
              <w:pStyle w:val="PINormal"/>
            </w:pPr>
            <w:r w:rsidRPr="00B55390">
              <w:t xml:space="preserve">       1 lesion</w:t>
            </w:r>
          </w:p>
        </w:tc>
        <w:tc>
          <w:tcPr>
            <w:tcW w:w="1530" w:type="dxa"/>
            <w:tcBorders>
              <w:top w:val="nil"/>
              <w:bottom w:val="nil"/>
            </w:tcBorders>
            <w:shd w:val="clear" w:color="auto" w:fill="auto"/>
          </w:tcPr>
          <w:p w14:paraId="48FBFDA9" w14:textId="77777777" w:rsidR="00DC6048" w:rsidRPr="00B55390" w:rsidRDefault="00DC6048" w:rsidP="00D67622">
            <w:pPr>
              <w:pStyle w:val="PINormal"/>
              <w:jc w:val="center"/>
            </w:pPr>
            <w:r w:rsidRPr="00B55390">
              <w:t>17%</w:t>
            </w:r>
          </w:p>
        </w:tc>
        <w:tc>
          <w:tcPr>
            <w:tcW w:w="1508" w:type="dxa"/>
            <w:tcBorders>
              <w:top w:val="nil"/>
              <w:bottom w:val="nil"/>
            </w:tcBorders>
            <w:shd w:val="clear" w:color="auto" w:fill="auto"/>
          </w:tcPr>
          <w:p w14:paraId="063F18A3" w14:textId="0FB4B850" w:rsidR="00DC6048" w:rsidRPr="00B55390" w:rsidRDefault="00DC6048" w:rsidP="00D67622">
            <w:pPr>
              <w:pStyle w:val="PINormal"/>
              <w:jc w:val="center"/>
            </w:pPr>
            <w:r w:rsidRPr="00B55390">
              <w:t>5%</w:t>
            </w:r>
          </w:p>
        </w:tc>
        <w:tc>
          <w:tcPr>
            <w:tcW w:w="1587" w:type="dxa"/>
            <w:tcBorders>
              <w:top w:val="nil"/>
              <w:bottom w:val="nil"/>
            </w:tcBorders>
            <w:shd w:val="clear" w:color="auto" w:fill="auto"/>
          </w:tcPr>
          <w:p w14:paraId="3DA0C955" w14:textId="77777777" w:rsidR="00DC6048" w:rsidRPr="00B55390" w:rsidRDefault="00DC6048" w:rsidP="00D67622">
            <w:pPr>
              <w:pStyle w:val="PINormal"/>
              <w:jc w:val="center"/>
            </w:pPr>
            <w:r w:rsidRPr="00B55390">
              <w:t>14%</w:t>
            </w:r>
          </w:p>
        </w:tc>
      </w:tr>
      <w:tr w:rsidR="00DC6048" w:rsidRPr="00B55390" w14:paraId="70F4E19B" w14:textId="77777777" w:rsidTr="00D44E1A">
        <w:tc>
          <w:tcPr>
            <w:tcW w:w="4163" w:type="dxa"/>
            <w:tcBorders>
              <w:top w:val="nil"/>
              <w:bottom w:val="nil"/>
            </w:tcBorders>
            <w:shd w:val="clear" w:color="auto" w:fill="auto"/>
          </w:tcPr>
          <w:p w14:paraId="4BC59143" w14:textId="77777777" w:rsidR="00DC6048" w:rsidRPr="00B55390" w:rsidRDefault="00DC6048" w:rsidP="00D67622">
            <w:pPr>
              <w:pStyle w:val="PINormal"/>
            </w:pPr>
            <w:r w:rsidRPr="00B55390">
              <w:t xml:space="preserve">       2 lesions</w:t>
            </w:r>
          </w:p>
        </w:tc>
        <w:tc>
          <w:tcPr>
            <w:tcW w:w="1530" w:type="dxa"/>
            <w:tcBorders>
              <w:top w:val="nil"/>
              <w:bottom w:val="nil"/>
            </w:tcBorders>
            <w:shd w:val="clear" w:color="auto" w:fill="auto"/>
          </w:tcPr>
          <w:p w14:paraId="7562857D" w14:textId="77777777" w:rsidR="00DC6048" w:rsidRPr="00B55390" w:rsidRDefault="00DC6048" w:rsidP="00D67622">
            <w:pPr>
              <w:pStyle w:val="PINormal"/>
              <w:jc w:val="center"/>
            </w:pPr>
            <w:r w:rsidRPr="00B55390">
              <w:t>11%</w:t>
            </w:r>
          </w:p>
        </w:tc>
        <w:tc>
          <w:tcPr>
            <w:tcW w:w="1508" w:type="dxa"/>
            <w:tcBorders>
              <w:top w:val="nil"/>
              <w:bottom w:val="nil"/>
            </w:tcBorders>
            <w:shd w:val="clear" w:color="auto" w:fill="auto"/>
          </w:tcPr>
          <w:p w14:paraId="5FA7F78E" w14:textId="230F9414" w:rsidR="00DC6048" w:rsidRPr="00B55390" w:rsidRDefault="00DC6048" w:rsidP="00D67622">
            <w:pPr>
              <w:pStyle w:val="PINormal"/>
              <w:jc w:val="center"/>
            </w:pPr>
            <w:r w:rsidRPr="00B55390">
              <w:t>3%</w:t>
            </w:r>
          </w:p>
        </w:tc>
        <w:tc>
          <w:tcPr>
            <w:tcW w:w="1587" w:type="dxa"/>
            <w:tcBorders>
              <w:top w:val="nil"/>
              <w:bottom w:val="nil"/>
            </w:tcBorders>
            <w:shd w:val="clear" w:color="auto" w:fill="auto"/>
          </w:tcPr>
          <w:p w14:paraId="49D0F932" w14:textId="27B093E4" w:rsidR="00DC6048" w:rsidRPr="00B55390" w:rsidRDefault="00DC6048" w:rsidP="00D67622">
            <w:pPr>
              <w:pStyle w:val="PINormal"/>
              <w:jc w:val="center"/>
            </w:pPr>
            <w:r w:rsidRPr="00B55390">
              <w:t>8%</w:t>
            </w:r>
          </w:p>
        </w:tc>
      </w:tr>
      <w:tr w:rsidR="00DC6048" w:rsidRPr="00B55390" w14:paraId="05A5144D" w14:textId="77777777" w:rsidTr="00D44E1A">
        <w:tc>
          <w:tcPr>
            <w:tcW w:w="4163" w:type="dxa"/>
            <w:tcBorders>
              <w:top w:val="nil"/>
              <w:bottom w:val="nil"/>
            </w:tcBorders>
            <w:shd w:val="clear" w:color="auto" w:fill="auto"/>
          </w:tcPr>
          <w:p w14:paraId="7D7FED78" w14:textId="77777777" w:rsidR="00DC6048" w:rsidRPr="00B55390" w:rsidRDefault="00DC6048" w:rsidP="00D67622">
            <w:pPr>
              <w:pStyle w:val="PINormal"/>
            </w:pPr>
            <w:r w:rsidRPr="00B55390">
              <w:t xml:space="preserve">       3 lesions</w:t>
            </w:r>
          </w:p>
        </w:tc>
        <w:tc>
          <w:tcPr>
            <w:tcW w:w="1530" w:type="dxa"/>
            <w:tcBorders>
              <w:top w:val="nil"/>
              <w:bottom w:val="nil"/>
            </w:tcBorders>
            <w:shd w:val="clear" w:color="auto" w:fill="auto"/>
          </w:tcPr>
          <w:p w14:paraId="2FC5FFAB" w14:textId="3C265663" w:rsidR="00DC6048" w:rsidRPr="00B55390" w:rsidRDefault="00DC6048" w:rsidP="00D67622">
            <w:pPr>
              <w:pStyle w:val="PINormal"/>
              <w:jc w:val="center"/>
            </w:pPr>
            <w:r w:rsidRPr="00B55390">
              <w:t>8%</w:t>
            </w:r>
          </w:p>
        </w:tc>
        <w:tc>
          <w:tcPr>
            <w:tcW w:w="1508" w:type="dxa"/>
            <w:tcBorders>
              <w:top w:val="nil"/>
              <w:bottom w:val="nil"/>
            </w:tcBorders>
            <w:shd w:val="clear" w:color="auto" w:fill="auto"/>
          </w:tcPr>
          <w:p w14:paraId="59EE0C53" w14:textId="25CCF586" w:rsidR="00DC6048" w:rsidRPr="00B55390" w:rsidRDefault="00DC6048" w:rsidP="00D67622">
            <w:pPr>
              <w:pStyle w:val="PINormal"/>
              <w:jc w:val="center"/>
            </w:pPr>
            <w:r w:rsidRPr="00B55390">
              <w:t>4%</w:t>
            </w:r>
          </w:p>
        </w:tc>
        <w:tc>
          <w:tcPr>
            <w:tcW w:w="1587" w:type="dxa"/>
            <w:tcBorders>
              <w:top w:val="nil"/>
              <w:bottom w:val="nil"/>
            </w:tcBorders>
            <w:shd w:val="clear" w:color="auto" w:fill="auto"/>
          </w:tcPr>
          <w:p w14:paraId="1C5BB7C0" w14:textId="42F3DC30" w:rsidR="00DC6048" w:rsidRPr="00B55390" w:rsidRDefault="00DC6048" w:rsidP="00D67622">
            <w:pPr>
              <w:pStyle w:val="PINormal"/>
              <w:jc w:val="center"/>
            </w:pPr>
            <w:r w:rsidRPr="00B55390">
              <w:t>6%</w:t>
            </w:r>
          </w:p>
        </w:tc>
      </w:tr>
      <w:tr w:rsidR="00DC6048" w:rsidRPr="00B55390" w14:paraId="7ED082A7" w14:textId="77777777" w:rsidTr="00D44E1A">
        <w:tc>
          <w:tcPr>
            <w:tcW w:w="4163" w:type="dxa"/>
            <w:tcBorders>
              <w:top w:val="nil"/>
              <w:bottom w:val="single" w:sz="4" w:space="0" w:color="auto"/>
            </w:tcBorders>
            <w:shd w:val="clear" w:color="auto" w:fill="auto"/>
          </w:tcPr>
          <w:p w14:paraId="29086F64" w14:textId="77777777" w:rsidR="00DC6048" w:rsidRPr="00B55390" w:rsidRDefault="00DC6048" w:rsidP="00D67622">
            <w:pPr>
              <w:pStyle w:val="PINormal"/>
            </w:pPr>
            <w:r w:rsidRPr="00B55390">
              <w:t xml:space="preserve">       4 or more lesions</w:t>
            </w:r>
          </w:p>
        </w:tc>
        <w:tc>
          <w:tcPr>
            <w:tcW w:w="1530" w:type="dxa"/>
            <w:tcBorders>
              <w:top w:val="nil"/>
              <w:bottom w:val="single" w:sz="4" w:space="0" w:color="auto"/>
            </w:tcBorders>
            <w:shd w:val="clear" w:color="auto" w:fill="auto"/>
          </w:tcPr>
          <w:p w14:paraId="43A6299E" w14:textId="77777777" w:rsidR="00DC6048" w:rsidRPr="00B55390" w:rsidRDefault="00DC6048" w:rsidP="00D67622">
            <w:pPr>
              <w:pStyle w:val="PINormal"/>
              <w:jc w:val="center"/>
            </w:pPr>
            <w:r w:rsidRPr="00B55390">
              <w:t>36%</w:t>
            </w:r>
          </w:p>
        </w:tc>
        <w:tc>
          <w:tcPr>
            <w:tcW w:w="1508" w:type="dxa"/>
            <w:tcBorders>
              <w:top w:val="nil"/>
              <w:bottom w:val="single" w:sz="4" w:space="0" w:color="auto"/>
            </w:tcBorders>
            <w:shd w:val="clear" w:color="auto" w:fill="auto"/>
          </w:tcPr>
          <w:p w14:paraId="58976784" w14:textId="77777777" w:rsidR="00DC6048" w:rsidRPr="00B55390" w:rsidRDefault="00DC6048" w:rsidP="00D67622">
            <w:pPr>
              <w:pStyle w:val="PINormal"/>
              <w:jc w:val="center"/>
            </w:pPr>
            <w:r w:rsidRPr="00B55390">
              <w:t>76%</w:t>
            </w:r>
          </w:p>
        </w:tc>
        <w:tc>
          <w:tcPr>
            <w:tcW w:w="1587" w:type="dxa"/>
            <w:tcBorders>
              <w:top w:val="nil"/>
              <w:bottom w:val="single" w:sz="4" w:space="0" w:color="auto"/>
            </w:tcBorders>
            <w:shd w:val="clear" w:color="auto" w:fill="auto"/>
          </w:tcPr>
          <w:p w14:paraId="436B19FB" w14:textId="77777777" w:rsidR="00DC6048" w:rsidRPr="00B55390" w:rsidRDefault="00DC6048" w:rsidP="00D67622">
            <w:pPr>
              <w:pStyle w:val="PINormal"/>
              <w:jc w:val="center"/>
            </w:pPr>
            <w:r w:rsidRPr="00B55390">
              <w:t>48%</w:t>
            </w:r>
          </w:p>
        </w:tc>
      </w:tr>
      <w:tr w:rsidR="00DC6048" w:rsidRPr="00B55390" w14:paraId="46B3A375" w14:textId="77777777" w:rsidTr="00D44E1A">
        <w:tc>
          <w:tcPr>
            <w:tcW w:w="4163" w:type="dxa"/>
            <w:tcBorders>
              <w:top w:val="single" w:sz="4" w:space="0" w:color="auto"/>
              <w:bottom w:val="nil"/>
            </w:tcBorders>
            <w:shd w:val="clear" w:color="auto" w:fill="auto"/>
          </w:tcPr>
          <w:p w14:paraId="20314405" w14:textId="77777777" w:rsidR="00DC6048" w:rsidRPr="00B55390" w:rsidRDefault="00DC6048" w:rsidP="00D67622">
            <w:pPr>
              <w:pStyle w:val="PINormal"/>
            </w:pPr>
          </w:p>
        </w:tc>
        <w:tc>
          <w:tcPr>
            <w:tcW w:w="1530" w:type="dxa"/>
            <w:tcBorders>
              <w:top w:val="single" w:sz="4" w:space="0" w:color="auto"/>
              <w:bottom w:val="nil"/>
            </w:tcBorders>
            <w:shd w:val="clear" w:color="auto" w:fill="auto"/>
          </w:tcPr>
          <w:p w14:paraId="1D0B3754" w14:textId="77777777" w:rsidR="00DC6048" w:rsidRPr="00B55390" w:rsidRDefault="00DC6048" w:rsidP="00D67622">
            <w:pPr>
              <w:pStyle w:val="PINormal"/>
              <w:jc w:val="center"/>
            </w:pPr>
          </w:p>
        </w:tc>
        <w:tc>
          <w:tcPr>
            <w:tcW w:w="1508" w:type="dxa"/>
            <w:tcBorders>
              <w:top w:val="single" w:sz="4" w:space="0" w:color="auto"/>
              <w:bottom w:val="nil"/>
            </w:tcBorders>
            <w:shd w:val="clear" w:color="auto" w:fill="auto"/>
          </w:tcPr>
          <w:p w14:paraId="52565E3E" w14:textId="77777777" w:rsidR="00DC6048" w:rsidRPr="00B55390" w:rsidRDefault="00DC6048" w:rsidP="00D67622">
            <w:pPr>
              <w:pStyle w:val="PINormal"/>
              <w:jc w:val="center"/>
            </w:pPr>
          </w:p>
        </w:tc>
        <w:tc>
          <w:tcPr>
            <w:tcW w:w="1587" w:type="dxa"/>
            <w:tcBorders>
              <w:top w:val="single" w:sz="4" w:space="0" w:color="auto"/>
              <w:bottom w:val="nil"/>
            </w:tcBorders>
            <w:shd w:val="clear" w:color="auto" w:fill="auto"/>
          </w:tcPr>
          <w:p w14:paraId="566A4A5D" w14:textId="77777777" w:rsidR="00DC6048" w:rsidRPr="00B55390" w:rsidRDefault="00DC6048" w:rsidP="00D67622">
            <w:pPr>
              <w:pStyle w:val="PINormal"/>
              <w:jc w:val="center"/>
            </w:pPr>
          </w:p>
        </w:tc>
      </w:tr>
      <w:tr w:rsidR="00DC6048" w:rsidRPr="00B55390" w14:paraId="36F0DB54" w14:textId="77777777" w:rsidTr="00D44E1A">
        <w:tc>
          <w:tcPr>
            <w:tcW w:w="4163" w:type="dxa"/>
            <w:tcBorders>
              <w:top w:val="nil"/>
              <w:bottom w:val="nil"/>
            </w:tcBorders>
            <w:shd w:val="clear" w:color="auto" w:fill="auto"/>
          </w:tcPr>
          <w:p w14:paraId="749298E4" w14:textId="77777777" w:rsidR="00DC6048" w:rsidRPr="00B55390" w:rsidRDefault="00DC6048" w:rsidP="00D67622">
            <w:pPr>
              <w:pStyle w:val="PINormal"/>
            </w:pPr>
            <w:r w:rsidRPr="00B55390">
              <w:t xml:space="preserve">Number of Gd lesions at 2 years   </w:t>
            </w:r>
          </w:p>
        </w:tc>
        <w:tc>
          <w:tcPr>
            <w:tcW w:w="1530" w:type="dxa"/>
            <w:tcBorders>
              <w:top w:val="nil"/>
              <w:bottom w:val="nil"/>
            </w:tcBorders>
            <w:shd w:val="clear" w:color="auto" w:fill="auto"/>
          </w:tcPr>
          <w:p w14:paraId="3700576B" w14:textId="77777777" w:rsidR="00DC6048" w:rsidRPr="00B55390" w:rsidRDefault="00DC6048" w:rsidP="00D67622">
            <w:pPr>
              <w:pStyle w:val="PINormal"/>
              <w:jc w:val="center"/>
            </w:pPr>
          </w:p>
        </w:tc>
        <w:tc>
          <w:tcPr>
            <w:tcW w:w="1508" w:type="dxa"/>
            <w:tcBorders>
              <w:top w:val="nil"/>
              <w:bottom w:val="nil"/>
            </w:tcBorders>
            <w:shd w:val="clear" w:color="auto" w:fill="auto"/>
          </w:tcPr>
          <w:p w14:paraId="23266FA0" w14:textId="77777777" w:rsidR="00DC6048" w:rsidRPr="00B55390" w:rsidRDefault="00DC6048" w:rsidP="00D67622">
            <w:pPr>
              <w:pStyle w:val="PINormal"/>
              <w:jc w:val="center"/>
            </w:pPr>
          </w:p>
        </w:tc>
        <w:tc>
          <w:tcPr>
            <w:tcW w:w="1587" w:type="dxa"/>
            <w:tcBorders>
              <w:top w:val="nil"/>
              <w:bottom w:val="nil"/>
            </w:tcBorders>
            <w:shd w:val="clear" w:color="auto" w:fill="auto"/>
          </w:tcPr>
          <w:p w14:paraId="1495191B" w14:textId="77777777" w:rsidR="00DC6048" w:rsidRPr="00B55390" w:rsidRDefault="00DC6048" w:rsidP="00D67622">
            <w:pPr>
              <w:pStyle w:val="PINormal"/>
              <w:jc w:val="center"/>
            </w:pPr>
          </w:p>
        </w:tc>
      </w:tr>
      <w:tr w:rsidR="00DC6048" w:rsidRPr="00B55390" w14:paraId="7E60A9CA" w14:textId="77777777" w:rsidTr="00D44E1A">
        <w:tc>
          <w:tcPr>
            <w:tcW w:w="4163" w:type="dxa"/>
            <w:tcBorders>
              <w:top w:val="nil"/>
              <w:bottom w:val="nil"/>
            </w:tcBorders>
            <w:shd w:val="clear" w:color="auto" w:fill="auto"/>
          </w:tcPr>
          <w:p w14:paraId="511AFA09" w14:textId="77777777" w:rsidR="00DC6048" w:rsidRPr="00B55390" w:rsidRDefault="00DC6048" w:rsidP="00D67622">
            <w:pPr>
              <w:pStyle w:val="PINormal"/>
            </w:pPr>
            <w:r w:rsidRPr="00B55390">
              <w:t xml:space="preserve">       Mean (median)</w:t>
            </w:r>
          </w:p>
        </w:tc>
        <w:tc>
          <w:tcPr>
            <w:tcW w:w="1530" w:type="dxa"/>
            <w:tcBorders>
              <w:top w:val="nil"/>
              <w:bottom w:val="nil"/>
            </w:tcBorders>
            <w:shd w:val="clear" w:color="auto" w:fill="auto"/>
          </w:tcPr>
          <w:p w14:paraId="12F700EA" w14:textId="77777777" w:rsidR="00DC6048" w:rsidRPr="00B55390" w:rsidRDefault="00DC6048" w:rsidP="00D67622">
            <w:pPr>
              <w:pStyle w:val="PINormal"/>
              <w:jc w:val="center"/>
            </w:pPr>
            <w:r w:rsidRPr="00B55390">
              <w:t>0.5 (0.0)</w:t>
            </w:r>
          </w:p>
        </w:tc>
        <w:tc>
          <w:tcPr>
            <w:tcW w:w="1508" w:type="dxa"/>
            <w:tcBorders>
              <w:top w:val="nil"/>
              <w:bottom w:val="nil"/>
            </w:tcBorders>
            <w:shd w:val="clear" w:color="auto" w:fill="auto"/>
          </w:tcPr>
          <w:p w14:paraId="28EADC16" w14:textId="77777777" w:rsidR="00DC6048" w:rsidRPr="00B55390" w:rsidRDefault="00DC6048" w:rsidP="00D67622">
            <w:pPr>
              <w:pStyle w:val="PINormal"/>
              <w:jc w:val="center"/>
            </w:pPr>
            <w:r w:rsidRPr="00B55390">
              <w:t>2.0 (0.0)</w:t>
            </w:r>
          </w:p>
        </w:tc>
        <w:tc>
          <w:tcPr>
            <w:tcW w:w="1587" w:type="dxa"/>
            <w:tcBorders>
              <w:top w:val="nil"/>
              <w:bottom w:val="nil"/>
            </w:tcBorders>
            <w:shd w:val="clear" w:color="auto" w:fill="auto"/>
          </w:tcPr>
          <w:p w14:paraId="550A11FB" w14:textId="77777777" w:rsidR="00DC6048" w:rsidRPr="00B55390" w:rsidRDefault="00DC6048" w:rsidP="00D67622">
            <w:pPr>
              <w:pStyle w:val="PINormal"/>
              <w:jc w:val="center"/>
            </w:pPr>
            <w:r w:rsidRPr="00B55390">
              <w:t>0.7 (0.0)</w:t>
            </w:r>
          </w:p>
        </w:tc>
      </w:tr>
      <w:tr w:rsidR="00DC6048" w:rsidRPr="00B55390" w14:paraId="216AA68F" w14:textId="77777777" w:rsidTr="00D44E1A">
        <w:tc>
          <w:tcPr>
            <w:tcW w:w="4163" w:type="dxa"/>
            <w:tcBorders>
              <w:top w:val="nil"/>
              <w:bottom w:val="nil"/>
            </w:tcBorders>
            <w:shd w:val="clear" w:color="auto" w:fill="auto"/>
          </w:tcPr>
          <w:p w14:paraId="5D5EA1E4" w14:textId="77777777" w:rsidR="00DC6048" w:rsidRPr="00B55390" w:rsidRDefault="00DC6048" w:rsidP="00D67622">
            <w:pPr>
              <w:pStyle w:val="PINormal"/>
            </w:pPr>
          </w:p>
        </w:tc>
        <w:tc>
          <w:tcPr>
            <w:tcW w:w="1530" w:type="dxa"/>
            <w:tcBorders>
              <w:top w:val="nil"/>
              <w:bottom w:val="nil"/>
            </w:tcBorders>
            <w:shd w:val="clear" w:color="auto" w:fill="auto"/>
          </w:tcPr>
          <w:p w14:paraId="12759D3E" w14:textId="77777777" w:rsidR="00DC6048" w:rsidRPr="00B55390" w:rsidRDefault="00DC6048" w:rsidP="00D67622">
            <w:pPr>
              <w:pStyle w:val="PINormal"/>
              <w:jc w:val="center"/>
            </w:pPr>
          </w:p>
        </w:tc>
        <w:tc>
          <w:tcPr>
            <w:tcW w:w="1508" w:type="dxa"/>
            <w:tcBorders>
              <w:top w:val="nil"/>
              <w:bottom w:val="nil"/>
            </w:tcBorders>
            <w:shd w:val="clear" w:color="auto" w:fill="auto"/>
          </w:tcPr>
          <w:p w14:paraId="451E1F33" w14:textId="77777777" w:rsidR="00DC6048" w:rsidRPr="00B55390" w:rsidRDefault="00DC6048" w:rsidP="00D67622">
            <w:pPr>
              <w:pStyle w:val="PINormal"/>
              <w:jc w:val="center"/>
            </w:pPr>
          </w:p>
        </w:tc>
        <w:tc>
          <w:tcPr>
            <w:tcW w:w="1587" w:type="dxa"/>
            <w:tcBorders>
              <w:top w:val="nil"/>
              <w:bottom w:val="nil"/>
            </w:tcBorders>
            <w:shd w:val="clear" w:color="auto" w:fill="auto"/>
          </w:tcPr>
          <w:p w14:paraId="2F9FD2E7" w14:textId="77777777" w:rsidR="00DC6048" w:rsidRPr="00B55390" w:rsidRDefault="00DC6048" w:rsidP="00D67622">
            <w:pPr>
              <w:pStyle w:val="PINormal"/>
              <w:jc w:val="center"/>
            </w:pPr>
          </w:p>
        </w:tc>
      </w:tr>
      <w:tr w:rsidR="00DC6048" w:rsidRPr="00B55390" w14:paraId="7E56EE91" w14:textId="77777777" w:rsidTr="00D44E1A">
        <w:tc>
          <w:tcPr>
            <w:tcW w:w="4163" w:type="dxa"/>
            <w:tcBorders>
              <w:top w:val="nil"/>
              <w:bottom w:val="nil"/>
            </w:tcBorders>
            <w:shd w:val="clear" w:color="auto" w:fill="auto"/>
          </w:tcPr>
          <w:p w14:paraId="13849019" w14:textId="77777777" w:rsidR="00DC6048" w:rsidRPr="00B55390" w:rsidRDefault="00DC6048" w:rsidP="00D67622">
            <w:pPr>
              <w:pStyle w:val="PINormal"/>
            </w:pPr>
            <w:r w:rsidRPr="00B55390">
              <w:t>Percentage of subjects with</w:t>
            </w:r>
          </w:p>
        </w:tc>
        <w:tc>
          <w:tcPr>
            <w:tcW w:w="1530" w:type="dxa"/>
            <w:tcBorders>
              <w:top w:val="nil"/>
              <w:bottom w:val="nil"/>
            </w:tcBorders>
            <w:shd w:val="clear" w:color="auto" w:fill="auto"/>
          </w:tcPr>
          <w:p w14:paraId="5F98C1E2" w14:textId="77777777" w:rsidR="00DC6048" w:rsidRPr="00B55390" w:rsidRDefault="00DC6048" w:rsidP="00D67622">
            <w:pPr>
              <w:pStyle w:val="PINormal"/>
              <w:jc w:val="center"/>
            </w:pPr>
          </w:p>
        </w:tc>
        <w:tc>
          <w:tcPr>
            <w:tcW w:w="1508" w:type="dxa"/>
            <w:tcBorders>
              <w:top w:val="nil"/>
              <w:bottom w:val="nil"/>
            </w:tcBorders>
            <w:shd w:val="clear" w:color="auto" w:fill="auto"/>
          </w:tcPr>
          <w:p w14:paraId="0252DACA" w14:textId="77777777" w:rsidR="00DC6048" w:rsidRPr="00B55390" w:rsidRDefault="00DC6048" w:rsidP="00D67622">
            <w:pPr>
              <w:pStyle w:val="PINormal"/>
              <w:jc w:val="center"/>
            </w:pPr>
          </w:p>
        </w:tc>
        <w:tc>
          <w:tcPr>
            <w:tcW w:w="1587" w:type="dxa"/>
            <w:tcBorders>
              <w:top w:val="nil"/>
              <w:bottom w:val="nil"/>
            </w:tcBorders>
            <w:shd w:val="clear" w:color="auto" w:fill="auto"/>
          </w:tcPr>
          <w:p w14:paraId="3FA02923" w14:textId="77777777" w:rsidR="00DC6048" w:rsidRPr="00B55390" w:rsidRDefault="00DC6048" w:rsidP="00D67622">
            <w:pPr>
              <w:pStyle w:val="PINormal"/>
              <w:jc w:val="center"/>
            </w:pPr>
          </w:p>
        </w:tc>
      </w:tr>
      <w:tr w:rsidR="00DC6048" w:rsidRPr="00B55390" w14:paraId="00E74AAB" w14:textId="77777777" w:rsidTr="00D44E1A">
        <w:tc>
          <w:tcPr>
            <w:tcW w:w="4163" w:type="dxa"/>
            <w:tcBorders>
              <w:top w:val="nil"/>
              <w:bottom w:val="nil"/>
            </w:tcBorders>
            <w:shd w:val="clear" w:color="auto" w:fill="auto"/>
          </w:tcPr>
          <w:p w14:paraId="680B3320" w14:textId="77777777" w:rsidR="00DC6048" w:rsidRPr="00B55390" w:rsidRDefault="00DC6048" w:rsidP="00D67622">
            <w:pPr>
              <w:pStyle w:val="PINormal"/>
            </w:pPr>
            <w:r w:rsidRPr="00B55390">
              <w:t xml:space="preserve">       0 lesions</w:t>
            </w:r>
          </w:p>
        </w:tc>
        <w:tc>
          <w:tcPr>
            <w:tcW w:w="1530" w:type="dxa"/>
            <w:tcBorders>
              <w:top w:val="nil"/>
              <w:bottom w:val="nil"/>
            </w:tcBorders>
            <w:shd w:val="clear" w:color="auto" w:fill="auto"/>
          </w:tcPr>
          <w:p w14:paraId="10B5359C" w14:textId="77777777" w:rsidR="00DC6048" w:rsidRPr="00B55390" w:rsidRDefault="00DC6048" w:rsidP="00D67622">
            <w:pPr>
              <w:pStyle w:val="PINormal"/>
              <w:jc w:val="center"/>
            </w:pPr>
            <w:r w:rsidRPr="00B55390">
              <w:t>80%</w:t>
            </w:r>
          </w:p>
        </w:tc>
        <w:tc>
          <w:tcPr>
            <w:tcW w:w="1508" w:type="dxa"/>
            <w:tcBorders>
              <w:top w:val="nil"/>
              <w:bottom w:val="nil"/>
            </w:tcBorders>
            <w:shd w:val="clear" w:color="auto" w:fill="auto"/>
          </w:tcPr>
          <w:p w14:paraId="12D65321" w14:textId="77777777" w:rsidR="00DC6048" w:rsidRPr="00B55390" w:rsidRDefault="00DC6048" w:rsidP="00D67622">
            <w:pPr>
              <w:pStyle w:val="PINormal"/>
              <w:jc w:val="center"/>
            </w:pPr>
            <w:r w:rsidRPr="00B55390">
              <w:t>61%</w:t>
            </w:r>
          </w:p>
        </w:tc>
        <w:tc>
          <w:tcPr>
            <w:tcW w:w="1587" w:type="dxa"/>
            <w:tcBorders>
              <w:top w:val="nil"/>
              <w:bottom w:val="nil"/>
            </w:tcBorders>
            <w:shd w:val="clear" w:color="auto" w:fill="auto"/>
          </w:tcPr>
          <w:p w14:paraId="433FC7F8" w14:textId="77777777" w:rsidR="00DC6048" w:rsidRPr="00B55390" w:rsidRDefault="00DC6048" w:rsidP="00D67622">
            <w:pPr>
              <w:pStyle w:val="PINormal"/>
              <w:jc w:val="center"/>
            </w:pPr>
            <w:r w:rsidRPr="00B55390">
              <w:t>77%</w:t>
            </w:r>
          </w:p>
        </w:tc>
      </w:tr>
      <w:tr w:rsidR="00DC6048" w:rsidRPr="00B55390" w14:paraId="3039EFDF" w14:textId="77777777" w:rsidTr="00D44E1A">
        <w:tc>
          <w:tcPr>
            <w:tcW w:w="4163" w:type="dxa"/>
            <w:tcBorders>
              <w:top w:val="nil"/>
              <w:bottom w:val="nil"/>
            </w:tcBorders>
            <w:shd w:val="clear" w:color="auto" w:fill="auto"/>
          </w:tcPr>
          <w:p w14:paraId="44281FDE" w14:textId="77777777" w:rsidR="00DC6048" w:rsidRPr="00B55390" w:rsidRDefault="00DC6048" w:rsidP="00D67622">
            <w:pPr>
              <w:pStyle w:val="PINormal"/>
            </w:pPr>
            <w:r w:rsidRPr="00B55390">
              <w:t xml:space="preserve">       1 lesion</w:t>
            </w:r>
          </w:p>
        </w:tc>
        <w:tc>
          <w:tcPr>
            <w:tcW w:w="1530" w:type="dxa"/>
            <w:tcBorders>
              <w:top w:val="nil"/>
              <w:bottom w:val="nil"/>
            </w:tcBorders>
            <w:shd w:val="clear" w:color="auto" w:fill="auto"/>
          </w:tcPr>
          <w:p w14:paraId="525B65C2" w14:textId="77777777" w:rsidR="00DC6048" w:rsidRPr="00B55390" w:rsidRDefault="00DC6048" w:rsidP="00D67622">
            <w:pPr>
              <w:pStyle w:val="PINormal"/>
              <w:jc w:val="center"/>
            </w:pPr>
            <w:r w:rsidRPr="00B55390">
              <w:t>11%</w:t>
            </w:r>
          </w:p>
        </w:tc>
        <w:tc>
          <w:tcPr>
            <w:tcW w:w="1508" w:type="dxa"/>
            <w:tcBorders>
              <w:top w:val="nil"/>
              <w:bottom w:val="nil"/>
            </w:tcBorders>
            <w:shd w:val="clear" w:color="auto" w:fill="auto"/>
          </w:tcPr>
          <w:p w14:paraId="175BAE2D" w14:textId="77777777" w:rsidR="00DC6048" w:rsidRPr="00B55390" w:rsidRDefault="00DC6048" w:rsidP="00D67622">
            <w:pPr>
              <w:pStyle w:val="PINormal"/>
              <w:jc w:val="center"/>
            </w:pPr>
            <w:r w:rsidRPr="00B55390">
              <w:t>17%</w:t>
            </w:r>
          </w:p>
        </w:tc>
        <w:tc>
          <w:tcPr>
            <w:tcW w:w="1587" w:type="dxa"/>
            <w:tcBorders>
              <w:top w:val="nil"/>
              <w:bottom w:val="nil"/>
            </w:tcBorders>
            <w:shd w:val="clear" w:color="auto" w:fill="auto"/>
          </w:tcPr>
          <w:p w14:paraId="3335C100" w14:textId="77777777" w:rsidR="00DC6048" w:rsidRPr="00B55390" w:rsidRDefault="00DC6048" w:rsidP="00D67622">
            <w:pPr>
              <w:pStyle w:val="PINormal"/>
              <w:jc w:val="center"/>
            </w:pPr>
            <w:r w:rsidRPr="00B55390">
              <w:t>12%</w:t>
            </w:r>
          </w:p>
        </w:tc>
      </w:tr>
      <w:tr w:rsidR="00DC6048" w:rsidRPr="00B55390" w14:paraId="24470FC0" w14:textId="77777777" w:rsidTr="00D44E1A">
        <w:tc>
          <w:tcPr>
            <w:tcW w:w="4163" w:type="dxa"/>
            <w:tcBorders>
              <w:top w:val="nil"/>
              <w:bottom w:val="nil"/>
            </w:tcBorders>
            <w:shd w:val="clear" w:color="auto" w:fill="auto"/>
          </w:tcPr>
          <w:p w14:paraId="39B413CE" w14:textId="77777777" w:rsidR="00DC6048" w:rsidRPr="00B55390" w:rsidRDefault="00DC6048" w:rsidP="00D67622">
            <w:pPr>
              <w:pStyle w:val="PINormal"/>
            </w:pPr>
            <w:r w:rsidRPr="00B55390">
              <w:t xml:space="preserve">       2 lesions</w:t>
            </w:r>
          </w:p>
        </w:tc>
        <w:tc>
          <w:tcPr>
            <w:tcW w:w="1530" w:type="dxa"/>
            <w:tcBorders>
              <w:top w:val="nil"/>
              <w:bottom w:val="nil"/>
            </w:tcBorders>
            <w:shd w:val="clear" w:color="auto" w:fill="auto"/>
          </w:tcPr>
          <w:p w14:paraId="4C689EDA" w14:textId="77777777" w:rsidR="00DC6048" w:rsidRPr="00B55390" w:rsidRDefault="00DC6048" w:rsidP="00D67622">
            <w:pPr>
              <w:pStyle w:val="PINormal"/>
              <w:jc w:val="center"/>
            </w:pPr>
            <w:r w:rsidRPr="00B55390">
              <w:t>3%</w:t>
            </w:r>
          </w:p>
        </w:tc>
        <w:tc>
          <w:tcPr>
            <w:tcW w:w="1508" w:type="dxa"/>
            <w:tcBorders>
              <w:top w:val="nil"/>
              <w:bottom w:val="nil"/>
            </w:tcBorders>
            <w:shd w:val="clear" w:color="auto" w:fill="auto"/>
          </w:tcPr>
          <w:p w14:paraId="64A2E2F1" w14:textId="77777777" w:rsidR="00DC6048" w:rsidRPr="00B55390" w:rsidRDefault="00DC6048" w:rsidP="00D67622">
            <w:pPr>
              <w:pStyle w:val="PINormal"/>
              <w:jc w:val="center"/>
            </w:pPr>
            <w:r w:rsidRPr="00B55390">
              <w:t>6%</w:t>
            </w:r>
          </w:p>
        </w:tc>
        <w:tc>
          <w:tcPr>
            <w:tcW w:w="1587" w:type="dxa"/>
            <w:tcBorders>
              <w:top w:val="nil"/>
              <w:bottom w:val="nil"/>
            </w:tcBorders>
            <w:shd w:val="clear" w:color="auto" w:fill="auto"/>
          </w:tcPr>
          <w:p w14:paraId="57E917E8" w14:textId="77777777" w:rsidR="00DC6048" w:rsidRPr="00B55390" w:rsidRDefault="00DC6048" w:rsidP="00D67622">
            <w:pPr>
              <w:pStyle w:val="PINormal"/>
              <w:jc w:val="center"/>
            </w:pPr>
            <w:r w:rsidRPr="00B55390">
              <w:t>4%</w:t>
            </w:r>
          </w:p>
        </w:tc>
      </w:tr>
      <w:tr w:rsidR="00DC6048" w:rsidRPr="00B55390" w14:paraId="2CB84873" w14:textId="77777777" w:rsidTr="00D44E1A">
        <w:tc>
          <w:tcPr>
            <w:tcW w:w="4163" w:type="dxa"/>
            <w:tcBorders>
              <w:top w:val="nil"/>
              <w:bottom w:val="nil"/>
            </w:tcBorders>
            <w:shd w:val="clear" w:color="auto" w:fill="auto"/>
          </w:tcPr>
          <w:p w14:paraId="553404E0" w14:textId="77777777" w:rsidR="00DC6048" w:rsidRPr="00B55390" w:rsidRDefault="00DC6048" w:rsidP="00D67622">
            <w:pPr>
              <w:pStyle w:val="PINormal"/>
            </w:pPr>
            <w:r w:rsidRPr="00B55390">
              <w:t xml:space="preserve">       3 to 4 lesions</w:t>
            </w:r>
          </w:p>
        </w:tc>
        <w:tc>
          <w:tcPr>
            <w:tcW w:w="1530" w:type="dxa"/>
            <w:tcBorders>
              <w:top w:val="nil"/>
              <w:bottom w:val="nil"/>
            </w:tcBorders>
            <w:shd w:val="clear" w:color="auto" w:fill="auto"/>
          </w:tcPr>
          <w:p w14:paraId="47ABF432" w14:textId="77777777" w:rsidR="00DC6048" w:rsidRPr="00B55390" w:rsidRDefault="00DC6048" w:rsidP="00D67622">
            <w:pPr>
              <w:pStyle w:val="PINormal"/>
              <w:jc w:val="center"/>
            </w:pPr>
            <w:r w:rsidRPr="00B55390">
              <w:t>3%</w:t>
            </w:r>
          </w:p>
        </w:tc>
        <w:tc>
          <w:tcPr>
            <w:tcW w:w="1508" w:type="dxa"/>
            <w:tcBorders>
              <w:top w:val="nil"/>
              <w:bottom w:val="nil"/>
            </w:tcBorders>
            <w:shd w:val="clear" w:color="auto" w:fill="auto"/>
          </w:tcPr>
          <w:p w14:paraId="2AC3EE71" w14:textId="77777777" w:rsidR="00DC6048" w:rsidRPr="00B55390" w:rsidRDefault="00DC6048" w:rsidP="00D67622">
            <w:pPr>
              <w:pStyle w:val="PINormal"/>
              <w:jc w:val="center"/>
            </w:pPr>
            <w:r w:rsidRPr="00B55390">
              <w:t>2%</w:t>
            </w:r>
          </w:p>
        </w:tc>
        <w:tc>
          <w:tcPr>
            <w:tcW w:w="1587" w:type="dxa"/>
            <w:tcBorders>
              <w:top w:val="nil"/>
              <w:bottom w:val="nil"/>
            </w:tcBorders>
            <w:shd w:val="clear" w:color="auto" w:fill="auto"/>
          </w:tcPr>
          <w:p w14:paraId="399F3B72" w14:textId="77777777" w:rsidR="00DC6048" w:rsidRPr="00B55390" w:rsidRDefault="00DC6048" w:rsidP="00D67622">
            <w:pPr>
              <w:pStyle w:val="PINormal"/>
              <w:jc w:val="center"/>
            </w:pPr>
            <w:r w:rsidRPr="00B55390">
              <w:t>2%</w:t>
            </w:r>
          </w:p>
        </w:tc>
      </w:tr>
      <w:tr w:rsidR="00DC6048" w:rsidRPr="00B55390" w14:paraId="6E32E567" w14:textId="77777777" w:rsidTr="00D44E1A">
        <w:tc>
          <w:tcPr>
            <w:tcW w:w="4163" w:type="dxa"/>
            <w:tcBorders>
              <w:top w:val="nil"/>
              <w:bottom w:val="nil"/>
            </w:tcBorders>
            <w:shd w:val="clear" w:color="auto" w:fill="auto"/>
          </w:tcPr>
          <w:p w14:paraId="34C03AEC" w14:textId="77777777" w:rsidR="00DC6048" w:rsidRPr="00B55390" w:rsidRDefault="00DC6048" w:rsidP="00D67622">
            <w:pPr>
              <w:pStyle w:val="PINormal"/>
            </w:pPr>
            <w:r w:rsidRPr="00B55390">
              <w:t xml:space="preserve">       5 or more lesions</w:t>
            </w:r>
          </w:p>
        </w:tc>
        <w:tc>
          <w:tcPr>
            <w:tcW w:w="1530" w:type="dxa"/>
            <w:tcBorders>
              <w:top w:val="nil"/>
              <w:bottom w:val="nil"/>
            </w:tcBorders>
            <w:shd w:val="clear" w:color="auto" w:fill="auto"/>
          </w:tcPr>
          <w:p w14:paraId="4DA12CBA" w14:textId="77777777" w:rsidR="00DC6048" w:rsidRPr="00B55390" w:rsidRDefault="00DC6048" w:rsidP="00D67622">
            <w:pPr>
              <w:pStyle w:val="PINormal"/>
              <w:jc w:val="center"/>
            </w:pPr>
            <w:r w:rsidRPr="00B55390">
              <w:t>3%</w:t>
            </w:r>
          </w:p>
        </w:tc>
        <w:tc>
          <w:tcPr>
            <w:tcW w:w="1508" w:type="dxa"/>
            <w:tcBorders>
              <w:top w:val="nil"/>
              <w:bottom w:val="nil"/>
            </w:tcBorders>
            <w:shd w:val="clear" w:color="auto" w:fill="auto"/>
          </w:tcPr>
          <w:p w14:paraId="3B3DAFDE" w14:textId="77777777" w:rsidR="00DC6048" w:rsidRPr="00B55390" w:rsidRDefault="00DC6048" w:rsidP="00D67622">
            <w:pPr>
              <w:pStyle w:val="PINormal"/>
              <w:jc w:val="center"/>
            </w:pPr>
            <w:r w:rsidRPr="00B55390">
              <w:t>14%</w:t>
            </w:r>
          </w:p>
        </w:tc>
        <w:tc>
          <w:tcPr>
            <w:tcW w:w="1587" w:type="dxa"/>
            <w:tcBorders>
              <w:top w:val="nil"/>
              <w:bottom w:val="nil"/>
            </w:tcBorders>
            <w:shd w:val="clear" w:color="auto" w:fill="auto"/>
          </w:tcPr>
          <w:p w14:paraId="48909863" w14:textId="77777777" w:rsidR="00DC6048" w:rsidRPr="00B55390" w:rsidRDefault="00DC6048" w:rsidP="00D67622">
            <w:pPr>
              <w:pStyle w:val="PINormal"/>
              <w:jc w:val="center"/>
            </w:pPr>
            <w:r w:rsidRPr="00B55390">
              <w:t>6%</w:t>
            </w:r>
          </w:p>
        </w:tc>
      </w:tr>
      <w:tr w:rsidR="00DC6048" w:rsidRPr="00B55390" w14:paraId="1A8C1A1E" w14:textId="77777777" w:rsidTr="00D44E1A">
        <w:tc>
          <w:tcPr>
            <w:tcW w:w="4163" w:type="dxa"/>
            <w:tcBorders>
              <w:top w:val="nil"/>
              <w:bottom w:val="nil"/>
            </w:tcBorders>
            <w:shd w:val="clear" w:color="auto" w:fill="auto"/>
          </w:tcPr>
          <w:p w14:paraId="31979FA6" w14:textId="77777777" w:rsidR="00DC6048" w:rsidRPr="00B55390" w:rsidRDefault="00DC6048" w:rsidP="00D67622">
            <w:pPr>
              <w:pStyle w:val="PINormal"/>
            </w:pPr>
          </w:p>
        </w:tc>
        <w:tc>
          <w:tcPr>
            <w:tcW w:w="1530" w:type="dxa"/>
            <w:tcBorders>
              <w:top w:val="nil"/>
              <w:bottom w:val="nil"/>
            </w:tcBorders>
            <w:shd w:val="clear" w:color="auto" w:fill="auto"/>
          </w:tcPr>
          <w:p w14:paraId="20D46744" w14:textId="77777777" w:rsidR="00DC6048" w:rsidRPr="00B55390" w:rsidRDefault="00DC6048" w:rsidP="00D67622">
            <w:pPr>
              <w:pStyle w:val="PINormal"/>
              <w:jc w:val="center"/>
            </w:pPr>
          </w:p>
        </w:tc>
        <w:tc>
          <w:tcPr>
            <w:tcW w:w="1508" w:type="dxa"/>
            <w:tcBorders>
              <w:top w:val="nil"/>
              <w:bottom w:val="nil"/>
            </w:tcBorders>
            <w:shd w:val="clear" w:color="auto" w:fill="auto"/>
          </w:tcPr>
          <w:p w14:paraId="0F8A6BE1" w14:textId="77777777" w:rsidR="00DC6048" w:rsidRPr="00B55390" w:rsidRDefault="00DC6048" w:rsidP="00D67622">
            <w:pPr>
              <w:pStyle w:val="PINormal"/>
              <w:jc w:val="center"/>
            </w:pPr>
          </w:p>
        </w:tc>
        <w:tc>
          <w:tcPr>
            <w:tcW w:w="1587" w:type="dxa"/>
            <w:tcBorders>
              <w:top w:val="nil"/>
              <w:bottom w:val="nil"/>
            </w:tcBorders>
            <w:shd w:val="clear" w:color="auto" w:fill="auto"/>
          </w:tcPr>
          <w:p w14:paraId="4C5957DA" w14:textId="77777777" w:rsidR="00DC6048" w:rsidRPr="00B55390" w:rsidRDefault="00DC6048" w:rsidP="00D67622">
            <w:pPr>
              <w:pStyle w:val="PINormal"/>
              <w:jc w:val="center"/>
            </w:pPr>
          </w:p>
        </w:tc>
      </w:tr>
      <w:tr w:rsidR="00DC6048" w:rsidRPr="00B55390" w14:paraId="102B93BB" w14:textId="77777777" w:rsidTr="00D44E1A">
        <w:tc>
          <w:tcPr>
            <w:tcW w:w="4163" w:type="dxa"/>
            <w:tcBorders>
              <w:top w:val="nil"/>
              <w:bottom w:val="nil"/>
            </w:tcBorders>
            <w:shd w:val="clear" w:color="auto" w:fill="auto"/>
          </w:tcPr>
          <w:p w14:paraId="0BD2B529" w14:textId="77777777" w:rsidR="00DC6048" w:rsidRPr="00B55390" w:rsidRDefault="00DC6048" w:rsidP="00D67622">
            <w:pPr>
              <w:pStyle w:val="PINormal"/>
            </w:pPr>
            <w:r w:rsidRPr="00B55390">
              <w:t>Relative odds reduction</w:t>
            </w:r>
          </w:p>
        </w:tc>
        <w:tc>
          <w:tcPr>
            <w:tcW w:w="1530" w:type="dxa"/>
            <w:tcBorders>
              <w:top w:val="nil"/>
              <w:bottom w:val="nil"/>
            </w:tcBorders>
            <w:shd w:val="clear" w:color="auto" w:fill="auto"/>
          </w:tcPr>
          <w:p w14:paraId="2D7CAB94" w14:textId="77777777" w:rsidR="00DC6048" w:rsidRPr="00B55390" w:rsidRDefault="00DC6048" w:rsidP="00D67622">
            <w:pPr>
              <w:pStyle w:val="PINormal"/>
              <w:jc w:val="center"/>
            </w:pPr>
          </w:p>
        </w:tc>
        <w:tc>
          <w:tcPr>
            <w:tcW w:w="1508" w:type="dxa"/>
            <w:tcBorders>
              <w:top w:val="nil"/>
              <w:bottom w:val="nil"/>
            </w:tcBorders>
            <w:shd w:val="clear" w:color="auto" w:fill="auto"/>
          </w:tcPr>
          <w:p w14:paraId="22CF23C2" w14:textId="77777777" w:rsidR="00DC6048" w:rsidRPr="00B55390" w:rsidRDefault="00DC6048" w:rsidP="00D67622">
            <w:pPr>
              <w:pStyle w:val="PINormal"/>
              <w:jc w:val="center"/>
            </w:pPr>
          </w:p>
        </w:tc>
        <w:tc>
          <w:tcPr>
            <w:tcW w:w="1587" w:type="dxa"/>
            <w:tcBorders>
              <w:top w:val="nil"/>
              <w:bottom w:val="nil"/>
            </w:tcBorders>
            <w:shd w:val="clear" w:color="auto" w:fill="auto"/>
          </w:tcPr>
          <w:p w14:paraId="7F9B9EE4" w14:textId="77777777" w:rsidR="00DC6048" w:rsidRPr="00B55390" w:rsidRDefault="00DC6048" w:rsidP="00D67622">
            <w:pPr>
              <w:pStyle w:val="PINormal"/>
              <w:jc w:val="center"/>
            </w:pPr>
          </w:p>
        </w:tc>
      </w:tr>
      <w:tr w:rsidR="00DC6048" w:rsidRPr="00B55390" w14:paraId="01322D59" w14:textId="77777777" w:rsidTr="00D44E1A">
        <w:tc>
          <w:tcPr>
            <w:tcW w:w="4163" w:type="dxa"/>
            <w:tcBorders>
              <w:top w:val="nil"/>
              <w:bottom w:val="nil"/>
            </w:tcBorders>
            <w:shd w:val="clear" w:color="auto" w:fill="auto"/>
          </w:tcPr>
          <w:p w14:paraId="72CF2CFF" w14:textId="77777777" w:rsidR="00DC6048" w:rsidRPr="00B55390" w:rsidRDefault="00DC6048" w:rsidP="00D67622">
            <w:pPr>
              <w:pStyle w:val="PINormal"/>
            </w:pPr>
            <w:r w:rsidRPr="00B55390">
              <w:lastRenderedPageBreak/>
              <w:t xml:space="preserve">       (percentage)</w:t>
            </w:r>
          </w:p>
        </w:tc>
        <w:tc>
          <w:tcPr>
            <w:tcW w:w="1530" w:type="dxa"/>
            <w:tcBorders>
              <w:top w:val="nil"/>
              <w:bottom w:val="nil"/>
            </w:tcBorders>
            <w:shd w:val="clear" w:color="auto" w:fill="auto"/>
          </w:tcPr>
          <w:p w14:paraId="10FE1818" w14:textId="77777777" w:rsidR="00DC6048" w:rsidRPr="00B55390" w:rsidRDefault="00DC6048" w:rsidP="00D67622">
            <w:pPr>
              <w:pStyle w:val="PINormal"/>
              <w:jc w:val="center"/>
            </w:pPr>
            <w:r w:rsidRPr="00B55390">
              <w:t>74%</w:t>
            </w:r>
          </w:p>
        </w:tc>
        <w:tc>
          <w:tcPr>
            <w:tcW w:w="1508" w:type="dxa"/>
            <w:tcBorders>
              <w:top w:val="nil"/>
              <w:bottom w:val="nil"/>
            </w:tcBorders>
            <w:shd w:val="clear" w:color="auto" w:fill="auto"/>
          </w:tcPr>
          <w:p w14:paraId="7EEF0218" w14:textId="77777777" w:rsidR="00DC6048" w:rsidRPr="00B55390" w:rsidRDefault="00DC6048" w:rsidP="00D67622">
            <w:pPr>
              <w:pStyle w:val="PINormal"/>
              <w:jc w:val="center"/>
            </w:pPr>
          </w:p>
        </w:tc>
        <w:tc>
          <w:tcPr>
            <w:tcW w:w="1587" w:type="dxa"/>
            <w:tcBorders>
              <w:top w:val="nil"/>
              <w:bottom w:val="nil"/>
            </w:tcBorders>
            <w:shd w:val="clear" w:color="auto" w:fill="auto"/>
          </w:tcPr>
          <w:p w14:paraId="32304775" w14:textId="77777777" w:rsidR="00DC6048" w:rsidRPr="00B55390" w:rsidRDefault="00DC6048" w:rsidP="00D67622">
            <w:pPr>
              <w:pStyle w:val="PINormal"/>
              <w:jc w:val="center"/>
            </w:pPr>
            <w:r w:rsidRPr="00B55390">
              <w:t>61%</w:t>
            </w:r>
          </w:p>
        </w:tc>
      </w:tr>
      <w:tr w:rsidR="00DC6048" w:rsidRPr="00B55390" w14:paraId="408EAC87" w14:textId="77777777" w:rsidTr="00D44E1A">
        <w:tc>
          <w:tcPr>
            <w:tcW w:w="4163" w:type="dxa"/>
            <w:tcBorders>
              <w:top w:val="nil"/>
              <w:bottom w:val="nil"/>
            </w:tcBorders>
            <w:shd w:val="clear" w:color="auto" w:fill="auto"/>
          </w:tcPr>
          <w:p w14:paraId="7D025AA3" w14:textId="77777777" w:rsidR="00DC6048" w:rsidRPr="00B55390" w:rsidRDefault="00DC6048" w:rsidP="00D67622">
            <w:pPr>
              <w:pStyle w:val="PINormal"/>
            </w:pPr>
            <w:r w:rsidRPr="00B55390">
              <w:t xml:space="preserve">       (95% CI)</w:t>
            </w:r>
          </w:p>
        </w:tc>
        <w:tc>
          <w:tcPr>
            <w:tcW w:w="1530" w:type="dxa"/>
            <w:tcBorders>
              <w:top w:val="nil"/>
              <w:bottom w:val="nil"/>
            </w:tcBorders>
            <w:shd w:val="clear" w:color="auto" w:fill="auto"/>
          </w:tcPr>
          <w:p w14:paraId="5E5C1EF8" w14:textId="77777777" w:rsidR="00DC6048" w:rsidRPr="00B55390" w:rsidRDefault="00DC6048" w:rsidP="00D67622">
            <w:pPr>
              <w:pStyle w:val="PINormal"/>
              <w:jc w:val="center"/>
            </w:pPr>
            <w:r w:rsidRPr="00B55390">
              <w:t>(54%, 85%)</w:t>
            </w:r>
          </w:p>
        </w:tc>
        <w:tc>
          <w:tcPr>
            <w:tcW w:w="1508" w:type="dxa"/>
            <w:tcBorders>
              <w:top w:val="nil"/>
              <w:bottom w:val="nil"/>
            </w:tcBorders>
            <w:shd w:val="clear" w:color="auto" w:fill="auto"/>
          </w:tcPr>
          <w:p w14:paraId="0F1CE9F0" w14:textId="77777777" w:rsidR="00DC6048" w:rsidRPr="00B55390" w:rsidRDefault="00DC6048" w:rsidP="00D67622">
            <w:pPr>
              <w:pStyle w:val="PINormal"/>
              <w:jc w:val="center"/>
            </w:pPr>
          </w:p>
        </w:tc>
        <w:tc>
          <w:tcPr>
            <w:tcW w:w="1587" w:type="dxa"/>
            <w:tcBorders>
              <w:top w:val="nil"/>
              <w:bottom w:val="nil"/>
            </w:tcBorders>
            <w:shd w:val="clear" w:color="auto" w:fill="auto"/>
          </w:tcPr>
          <w:p w14:paraId="6347477F" w14:textId="77777777" w:rsidR="00DC6048" w:rsidRPr="00B55390" w:rsidRDefault="00DC6048" w:rsidP="00D67622">
            <w:pPr>
              <w:pStyle w:val="PINormal"/>
              <w:jc w:val="center"/>
            </w:pPr>
            <w:r w:rsidRPr="00B55390">
              <w:t>(35%, 76%)</w:t>
            </w:r>
          </w:p>
        </w:tc>
      </w:tr>
      <w:tr w:rsidR="00DC6048" w:rsidRPr="00B55390" w14:paraId="42001F03" w14:textId="77777777" w:rsidTr="00D44E1A">
        <w:tc>
          <w:tcPr>
            <w:tcW w:w="4163" w:type="dxa"/>
            <w:tcBorders>
              <w:top w:val="nil"/>
              <w:bottom w:val="single" w:sz="4" w:space="0" w:color="auto"/>
            </w:tcBorders>
            <w:shd w:val="clear" w:color="auto" w:fill="auto"/>
          </w:tcPr>
          <w:p w14:paraId="3C7D8545" w14:textId="77777777" w:rsidR="00DC6048" w:rsidRPr="00B55390" w:rsidRDefault="00DC6048" w:rsidP="00D67622">
            <w:pPr>
              <w:pStyle w:val="PINormal"/>
            </w:pPr>
            <w:r w:rsidRPr="00B55390">
              <w:t xml:space="preserve">       P-value versus placebo</w:t>
            </w:r>
          </w:p>
        </w:tc>
        <w:tc>
          <w:tcPr>
            <w:tcW w:w="1530" w:type="dxa"/>
            <w:tcBorders>
              <w:top w:val="nil"/>
              <w:bottom w:val="single" w:sz="4" w:space="0" w:color="auto"/>
            </w:tcBorders>
            <w:shd w:val="clear" w:color="auto" w:fill="auto"/>
          </w:tcPr>
          <w:p w14:paraId="366E73D2" w14:textId="77777777" w:rsidR="00DC6048" w:rsidRPr="00B55390" w:rsidRDefault="00DC6048" w:rsidP="00D67622">
            <w:pPr>
              <w:pStyle w:val="PINormal"/>
              <w:jc w:val="center"/>
            </w:pPr>
            <w:r w:rsidRPr="00B55390">
              <w:t>&lt;0.0001</w:t>
            </w:r>
          </w:p>
        </w:tc>
        <w:tc>
          <w:tcPr>
            <w:tcW w:w="1508" w:type="dxa"/>
            <w:tcBorders>
              <w:top w:val="nil"/>
              <w:bottom w:val="single" w:sz="4" w:space="0" w:color="auto"/>
            </w:tcBorders>
            <w:shd w:val="clear" w:color="auto" w:fill="auto"/>
          </w:tcPr>
          <w:p w14:paraId="465E0B44" w14:textId="77777777" w:rsidR="00DC6048" w:rsidRPr="00B55390" w:rsidRDefault="00DC6048" w:rsidP="00D67622">
            <w:pPr>
              <w:pStyle w:val="PINormal"/>
              <w:jc w:val="center"/>
            </w:pPr>
          </w:p>
        </w:tc>
        <w:tc>
          <w:tcPr>
            <w:tcW w:w="1587" w:type="dxa"/>
            <w:tcBorders>
              <w:top w:val="nil"/>
              <w:bottom w:val="single" w:sz="4" w:space="0" w:color="auto"/>
            </w:tcBorders>
            <w:shd w:val="clear" w:color="auto" w:fill="auto"/>
          </w:tcPr>
          <w:p w14:paraId="20E31096" w14:textId="77777777" w:rsidR="00DC6048" w:rsidRPr="00B55390" w:rsidRDefault="00DC6048" w:rsidP="00D67622">
            <w:pPr>
              <w:pStyle w:val="PINormal"/>
              <w:jc w:val="center"/>
            </w:pPr>
            <w:r w:rsidRPr="00B55390">
              <w:t>0.0003</w:t>
            </w:r>
          </w:p>
        </w:tc>
      </w:tr>
      <w:tr w:rsidR="00DC6048" w:rsidRPr="00B55390" w14:paraId="44985536" w14:textId="77777777" w:rsidTr="00D44E1A">
        <w:tc>
          <w:tcPr>
            <w:tcW w:w="4163" w:type="dxa"/>
            <w:tcBorders>
              <w:top w:val="single" w:sz="4" w:space="0" w:color="auto"/>
              <w:bottom w:val="nil"/>
            </w:tcBorders>
            <w:shd w:val="clear" w:color="auto" w:fill="auto"/>
          </w:tcPr>
          <w:p w14:paraId="19B28BBC" w14:textId="77777777" w:rsidR="00DC6048" w:rsidRPr="00B55390" w:rsidRDefault="00DC6048" w:rsidP="00D67622">
            <w:pPr>
              <w:pStyle w:val="PINormal"/>
            </w:pPr>
          </w:p>
        </w:tc>
        <w:tc>
          <w:tcPr>
            <w:tcW w:w="1530" w:type="dxa"/>
            <w:tcBorders>
              <w:top w:val="single" w:sz="4" w:space="0" w:color="auto"/>
              <w:bottom w:val="nil"/>
            </w:tcBorders>
            <w:shd w:val="clear" w:color="auto" w:fill="auto"/>
          </w:tcPr>
          <w:p w14:paraId="71A7765F" w14:textId="77777777" w:rsidR="00DC6048" w:rsidRPr="00B55390" w:rsidRDefault="00DC6048" w:rsidP="00D67622">
            <w:pPr>
              <w:pStyle w:val="PINormal"/>
              <w:jc w:val="center"/>
            </w:pPr>
          </w:p>
        </w:tc>
        <w:tc>
          <w:tcPr>
            <w:tcW w:w="1508" w:type="dxa"/>
            <w:tcBorders>
              <w:top w:val="single" w:sz="4" w:space="0" w:color="auto"/>
              <w:bottom w:val="nil"/>
            </w:tcBorders>
            <w:shd w:val="clear" w:color="auto" w:fill="auto"/>
          </w:tcPr>
          <w:p w14:paraId="40751ADD" w14:textId="77777777" w:rsidR="00DC6048" w:rsidRPr="00B55390" w:rsidRDefault="00DC6048" w:rsidP="00D67622">
            <w:pPr>
              <w:pStyle w:val="PINormal"/>
              <w:jc w:val="center"/>
            </w:pPr>
          </w:p>
        </w:tc>
        <w:tc>
          <w:tcPr>
            <w:tcW w:w="1587" w:type="dxa"/>
            <w:tcBorders>
              <w:top w:val="single" w:sz="4" w:space="0" w:color="auto"/>
              <w:bottom w:val="nil"/>
            </w:tcBorders>
            <w:shd w:val="clear" w:color="auto" w:fill="auto"/>
          </w:tcPr>
          <w:p w14:paraId="67946FF7" w14:textId="77777777" w:rsidR="00DC6048" w:rsidRPr="00B55390" w:rsidRDefault="00DC6048" w:rsidP="00D67622">
            <w:pPr>
              <w:pStyle w:val="PINormal"/>
              <w:jc w:val="center"/>
            </w:pPr>
          </w:p>
        </w:tc>
      </w:tr>
      <w:tr w:rsidR="00DC6048" w:rsidRPr="00B55390" w14:paraId="027DF16C" w14:textId="77777777" w:rsidTr="00D44E1A">
        <w:tc>
          <w:tcPr>
            <w:tcW w:w="4163" w:type="dxa"/>
            <w:tcBorders>
              <w:top w:val="nil"/>
              <w:bottom w:val="nil"/>
            </w:tcBorders>
            <w:shd w:val="clear" w:color="auto" w:fill="auto"/>
          </w:tcPr>
          <w:p w14:paraId="2309C379" w14:textId="77777777" w:rsidR="00DC6048" w:rsidRPr="00B55390" w:rsidRDefault="00DC6048" w:rsidP="00D67622">
            <w:pPr>
              <w:pStyle w:val="PINormal"/>
            </w:pPr>
            <w:r w:rsidRPr="00B55390">
              <w:t xml:space="preserve">Number of new T1 hypointense lesions over 2 years   </w:t>
            </w:r>
          </w:p>
        </w:tc>
        <w:tc>
          <w:tcPr>
            <w:tcW w:w="1530" w:type="dxa"/>
            <w:tcBorders>
              <w:top w:val="nil"/>
              <w:bottom w:val="nil"/>
            </w:tcBorders>
            <w:shd w:val="clear" w:color="auto" w:fill="auto"/>
          </w:tcPr>
          <w:p w14:paraId="489CBE0A" w14:textId="77777777" w:rsidR="00DC6048" w:rsidRPr="00B55390" w:rsidRDefault="00DC6048" w:rsidP="00D67622">
            <w:pPr>
              <w:pStyle w:val="PINormal"/>
              <w:jc w:val="center"/>
            </w:pPr>
          </w:p>
        </w:tc>
        <w:tc>
          <w:tcPr>
            <w:tcW w:w="1508" w:type="dxa"/>
            <w:tcBorders>
              <w:top w:val="nil"/>
              <w:bottom w:val="nil"/>
            </w:tcBorders>
            <w:shd w:val="clear" w:color="auto" w:fill="auto"/>
          </w:tcPr>
          <w:p w14:paraId="4033719B" w14:textId="77777777" w:rsidR="00DC6048" w:rsidRPr="00B55390" w:rsidRDefault="00DC6048" w:rsidP="00D67622">
            <w:pPr>
              <w:pStyle w:val="PINormal"/>
              <w:jc w:val="center"/>
            </w:pPr>
          </w:p>
        </w:tc>
        <w:tc>
          <w:tcPr>
            <w:tcW w:w="1587" w:type="dxa"/>
            <w:tcBorders>
              <w:top w:val="nil"/>
              <w:bottom w:val="nil"/>
            </w:tcBorders>
            <w:shd w:val="clear" w:color="auto" w:fill="auto"/>
          </w:tcPr>
          <w:p w14:paraId="109A1756" w14:textId="77777777" w:rsidR="00DC6048" w:rsidRPr="00B55390" w:rsidRDefault="00DC6048" w:rsidP="00D67622">
            <w:pPr>
              <w:pStyle w:val="PINormal"/>
              <w:jc w:val="center"/>
            </w:pPr>
          </w:p>
        </w:tc>
      </w:tr>
      <w:tr w:rsidR="00DC6048" w:rsidRPr="00B55390" w14:paraId="4962AD07" w14:textId="77777777" w:rsidTr="00D44E1A">
        <w:tc>
          <w:tcPr>
            <w:tcW w:w="4163" w:type="dxa"/>
            <w:tcBorders>
              <w:top w:val="nil"/>
              <w:bottom w:val="nil"/>
            </w:tcBorders>
            <w:shd w:val="clear" w:color="auto" w:fill="auto"/>
          </w:tcPr>
          <w:p w14:paraId="34A37209" w14:textId="77777777" w:rsidR="00DC6048" w:rsidRPr="00B55390" w:rsidRDefault="00DC6048" w:rsidP="00D67622">
            <w:pPr>
              <w:pStyle w:val="PINormal"/>
            </w:pPr>
            <w:r w:rsidRPr="00B55390">
              <w:t xml:space="preserve">       Mean (median)</w:t>
            </w:r>
          </w:p>
        </w:tc>
        <w:tc>
          <w:tcPr>
            <w:tcW w:w="1530" w:type="dxa"/>
            <w:tcBorders>
              <w:top w:val="nil"/>
              <w:bottom w:val="nil"/>
            </w:tcBorders>
            <w:shd w:val="clear" w:color="auto" w:fill="auto"/>
          </w:tcPr>
          <w:p w14:paraId="7D5A86C7" w14:textId="77777777" w:rsidR="00DC6048" w:rsidRPr="00B55390" w:rsidRDefault="00DC6048" w:rsidP="00D67622">
            <w:pPr>
              <w:pStyle w:val="PINormal"/>
              <w:jc w:val="center"/>
            </w:pPr>
            <w:r w:rsidRPr="00B55390">
              <w:t>3.8 (1.0)</w:t>
            </w:r>
          </w:p>
        </w:tc>
        <w:tc>
          <w:tcPr>
            <w:tcW w:w="1508" w:type="dxa"/>
            <w:tcBorders>
              <w:top w:val="nil"/>
              <w:bottom w:val="nil"/>
            </w:tcBorders>
            <w:shd w:val="clear" w:color="auto" w:fill="auto"/>
          </w:tcPr>
          <w:p w14:paraId="14F18A64" w14:textId="77777777" w:rsidR="00DC6048" w:rsidRPr="00B55390" w:rsidRDefault="00DC6048" w:rsidP="00D67622">
            <w:pPr>
              <w:pStyle w:val="PINormal"/>
              <w:jc w:val="center"/>
            </w:pPr>
            <w:r w:rsidRPr="00B55390">
              <w:t>8.1 (4.0)</w:t>
            </w:r>
          </w:p>
        </w:tc>
        <w:tc>
          <w:tcPr>
            <w:tcW w:w="1587" w:type="dxa"/>
            <w:tcBorders>
              <w:top w:val="nil"/>
              <w:bottom w:val="nil"/>
            </w:tcBorders>
            <w:shd w:val="clear" w:color="auto" w:fill="auto"/>
          </w:tcPr>
          <w:p w14:paraId="1156C8D1" w14:textId="77777777" w:rsidR="00DC6048" w:rsidRPr="00B55390" w:rsidRDefault="00DC6048" w:rsidP="00D67622">
            <w:pPr>
              <w:pStyle w:val="PINormal"/>
              <w:jc w:val="center"/>
            </w:pPr>
            <w:r w:rsidRPr="00B55390">
              <w:t>4.5 (2.0)</w:t>
            </w:r>
          </w:p>
        </w:tc>
      </w:tr>
      <w:tr w:rsidR="00DC6048" w:rsidRPr="00B55390" w14:paraId="5E10D2D4" w14:textId="77777777" w:rsidTr="00D44E1A">
        <w:tc>
          <w:tcPr>
            <w:tcW w:w="4163" w:type="dxa"/>
            <w:tcBorders>
              <w:top w:val="nil"/>
              <w:bottom w:val="nil"/>
            </w:tcBorders>
            <w:shd w:val="clear" w:color="auto" w:fill="auto"/>
          </w:tcPr>
          <w:p w14:paraId="6994BABC" w14:textId="77777777" w:rsidR="00DC6048" w:rsidRPr="00B55390" w:rsidRDefault="00DC6048" w:rsidP="00D67622">
            <w:pPr>
              <w:pStyle w:val="PINormal"/>
            </w:pPr>
            <w:r w:rsidRPr="00B55390">
              <w:t xml:space="preserve">       Relative reduction (percentage)</w:t>
            </w:r>
          </w:p>
        </w:tc>
        <w:tc>
          <w:tcPr>
            <w:tcW w:w="1530" w:type="dxa"/>
            <w:tcBorders>
              <w:top w:val="nil"/>
              <w:bottom w:val="nil"/>
            </w:tcBorders>
            <w:shd w:val="clear" w:color="auto" w:fill="auto"/>
          </w:tcPr>
          <w:p w14:paraId="09CCAC4C" w14:textId="77777777" w:rsidR="00DC6048" w:rsidRPr="00B55390" w:rsidRDefault="00DC6048" w:rsidP="00D67622">
            <w:pPr>
              <w:pStyle w:val="PINormal"/>
              <w:jc w:val="center"/>
            </w:pPr>
            <w:r w:rsidRPr="00B55390">
              <w:t>57%</w:t>
            </w:r>
          </w:p>
        </w:tc>
        <w:tc>
          <w:tcPr>
            <w:tcW w:w="1508" w:type="dxa"/>
            <w:tcBorders>
              <w:top w:val="nil"/>
              <w:bottom w:val="nil"/>
            </w:tcBorders>
            <w:shd w:val="clear" w:color="auto" w:fill="auto"/>
          </w:tcPr>
          <w:p w14:paraId="0BFA859A" w14:textId="77777777" w:rsidR="00DC6048" w:rsidRPr="00B55390" w:rsidRDefault="00DC6048" w:rsidP="00D67622">
            <w:pPr>
              <w:pStyle w:val="PINormal"/>
              <w:jc w:val="center"/>
            </w:pPr>
          </w:p>
        </w:tc>
        <w:tc>
          <w:tcPr>
            <w:tcW w:w="1587" w:type="dxa"/>
            <w:tcBorders>
              <w:top w:val="nil"/>
              <w:bottom w:val="nil"/>
            </w:tcBorders>
            <w:shd w:val="clear" w:color="auto" w:fill="auto"/>
          </w:tcPr>
          <w:p w14:paraId="24E41BF2" w14:textId="77777777" w:rsidR="00DC6048" w:rsidRPr="00B55390" w:rsidRDefault="00DC6048" w:rsidP="00D67622">
            <w:pPr>
              <w:pStyle w:val="PINormal"/>
              <w:jc w:val="center"/>
            </w:pPr>
            <w:r w:rsidRPr="00B55390">
              <w:t>41%</w:t>
            </w:r>
          </w:p>
        </w:tc>
      </w:tr>
      <w:tr w:rsidR="00DC6048" w:rsidRPr="00B55390" w14:paraId="72DC720D" w14:textId="77777777" w:rsidTr="00D44E1A">
        <w:tc>
          <w:tcPr>
            <w:tcW w:w="4163" w:type="dxa"/>
            <w:tcBorders>
              <w:top w:val="nil"/>
              <w:bottom w:val="nil"/>
            </w:tcBorders>
            <w:shd w:val="clear" w:color="auto" w:fill="auto"/>
          </w:tcPr>
          <w:p w14:paraId="4674E688" w14:textId="77777777" w:rsidR="00DC6048" w:rsidRPr="00B55390" w:rsidRDefault="00DC6048" w:rsidP="00D67622">
            <w:pPr>
              <w:pStyle w:val="PINormal"/>
            </w:pPr>
            <w:r w:rsidRPr="00B55390">
              <w:t xml:space="preserve">       (95% CI)</w:t>
            </w:r>
          </w:p>
        </w:tc>
        <w:tc>
          <w:tcPr>
            <w:tcW w:w="1530" w:type="dxa"/>
            <w:tcBorders>
              <w:top w:val="nil"/>
              <w:bottom w:val="nil"/>
            </w:tcBorders>
            <w:shd w:val="clear" w:color="auto" w:fill="auto"/>
          </w:tcPr>
          <w:p w14:paraId="0DBCCF3E" w14:textId="77777777" w:rsidR="00DC6048" w:rsidRPr="00B55390" w:rsidRDefault="00DC6048" w:rsidP="00D67622">
            <w:pPr>
              <w:pStyle w:val="PINormal"/>
              <w:jc w:val="center"/>
            </w:pPr>
            <w:r w:rsidRPr="00B55390">
              <w:t>(39%, 70%)</w:t>
            </w:r>
          </w:p>
        </w:tc>
        <w:tc>
          <w:tcPr>
            <w:tcW w:w="1508" w:type="dxa"/>
            <w:tcBorders>
              <w:top w:val="nil"/>
              <w:bottom w:val="nil"/>
            </w:tcBorders>
            <w:shd w:val="clear" w:color="auto" w:fill="auto"/>
          </w:tcPr>
          <w:p w14:paraId="1F673D37" w14:textId="77777777" w:rsidR="00DC6048" w:rsidRPr="00B55390" w:rsidRDefault="00DC6048" w:rsidP="00D67622">
            <w:pPr>
              <w:pStyle w:val="PINormal"/>
              <w:jc w:val="center"/>
            </w:pPr>
          </w:p>
        </w:tc>
        <w:tc>
          <w:tcPr>
            <w:tcW w:w="1587" w:type="dxa"/>
            <w:tcBorders>
              <w:top w:val="nil"/>
              <w:bottom w:val="nil"/>
            </w:tcBorders>
            <w:shd w:val="clear" w:color="auto" w:fill="auto"/>
          </w:tcPr>
          <w:p w14:paraId="56A42997" w14:textId="77777777" w:rsidR="00DC6048" w:rsidRPr="00B55390" w:rsidRDefault="00DC6048" w:rsidP="00D67622">
            <w:pPr>
              <w:pStyle w:val="PINormal"/>
              <w:jc w:val="center"/>
            </w:pPr>
            <w:r w:rsidRPr="00B55390">
              <w:t>(18%, 58%)</w:t>
            </w:r>
          </w:p>
        </w:tc>
      </w:tr>
      <w:tr w:rsidR="00DC6048" w:rsidRPr="00B55390" w14:paraId="13CD9D14" w14:textId="77777777" w:rsidTr="00D44E1A">
        <w:tc>
          <w:tcPr>
            <w:tcW w:w="4163" w:type="dxa"/>
            <w:tcBorders>
              <w:top w:val="nil"/>
              <w:bottom w:val="nil"/>
            </w:tcBorders>
            <w:shd w:val="clear" w:color="auto" w:fill="auto"/>
          </w:tcPr>
          <w:p w14:paraId="0E1041A8" w14:textId="77777777" w:rsidR="00DC6048" w:rsidRPr="00B55390" w:rsidRDefault="00DC6048" w:rsidP="00D67622">
            <w:pPr>
              <w:pStyle w:val="PINormal"/>
            </w:pPr>
            <w:r w:rsidRPr="00B55390">
              <w:t xml:space="preserve">       P-value versus placebo</w:t>
            </w:r>
          </w:p>
        </w:tc>
        <w:tc>
          <w:tcPr>
            <w:tcW w:w="1530" w:type="dxa"/>
            <w:tcBorders>
              <w:top w:val="nil"/>
              <w:bottom w:val="nil"/>
            </w:tcBorders>
            <w:shd w:val="clear" w:color="auto" w:fill="auto"/>
          </w:tcPr>
          <w:p w14:paraId="20B370EC" w14:textId="77777777" w:rsidR="00DC6048" w:rsidRPr="00B55390" w:rsidRDefault="00DC6048" w:rsidP="00D67622">
            <w:pPr>
              <w:pStyle w:val="PINormal"/>
              <w:jc w:val="center"/>
            </w:pPr>
            <w:r w:rsidRPr="00B55390">
              <w:t>&lt;0.0001</w:t>
            </w:r>
          </w:p>
        </w:tc>
        <w:tc>
          <w:tcPr>
            <w:tcW w:w="1508" w:type="dxa"/>
            <w:tcBorders>
              <w:top w:val="nil"/>
              <w:bottom w:val="nil"/>
            </w:tcBorders>
            <w:shd w:val="clear" w:color="auto" w:fill="auto"/>
          </w:tcPr>
          <w:p w14:paraId="1EFFCBA1" w14:textId="77777777" w:rsidR="00DC6048" w:rsidRPr="00B55390" w:rsidRDefault="00DC6048" w:rsidP="00D67622">
            <w:pPr>
              <w:pStyle w:val="PINormal"/>
              <w:jc w:val="center"/>
            </w:pPr>
          </w:p>
        </w:tc>
        <w:tc>
          <w:tcPr>
            <w:tcW w:w="1587" w:type="dxa"/>
            <w:tcBorders>
              <w:top w:val="nil"/>
              <w:bottom w:val="nil"/>
            </w:tcBorders>
            <w:shd w:val="clear" w:color="auto" w:fill="auto"/>
          </w:tcPr>
          <w:p w14:paraId="56339450" w14:textId="77777777" w:rsidR="00DC6048" w:rsidRPr="00B55390" w:rsidRDefault="00DC6048" w:rsidP="00D67622">
            <w:pPr>
              <w:pStyle w:val="PINormal"/>
              <w:jc w:val="center"/>
            </w:pPr>
            <w:r w:rsidRPr="00B55390">
              <w:t>0.0021</w:t>
            </w:r>
          </w:p>
        </w:tc>
      </w:tr>
      <w:tr w:rsidR="00DC6048" w:rsidRPr="00B55390" w14:paraId="540D9525" w14:textId="77777777" w:rsidTr="00D44E1A">
        <w:tc>
          <w:tcPr>
            <w:tcW w:w="4163" w:type="dxa"/>
            <w:tcBorders>
              <w:top w:val="nil"/>
              <w:bottom w:val="nil"/>
            </w:tcBorders>
            <w:shd w:val="clear" w:color="auto" w:fill="auto"/>
          </w:tcPr>
          <w:p w14:paraId="520FBDD7" w14:textId="77777777" w:rsidR="00DC6048" w:rsidRPr="00B55390" w:rsidRDefault="00DC6048" w:rsidP="00D67622">
            <w:pPr>
              <w:pStyle w:val="PINormal"/>
            </w:pPr>
          </w:p>
        </w:tc>
        <w:tc>
          <w:tcPr>
            <w:tcW w:w="1530" w:type="dxa"/>
            <w:tcBorders>
              <w:top w:val="nil"/>
              <w:bottom w:val="nil"/>
            </w:tcBorders>
            <w:shd w:val="clear" w:color="auto" w:fill="auto"/>
          </w:tcPr>
          <w:p w14:paraId="40F2B613" w14:textId="77777777" w:rsidR="00DC6048" w:rsidRPr="00B55390" w:rsidRDefault="00DC6048" w:rsidP="00D67622">
            <w:pPr>
              <w:pStyle w:val="PINormal"/>
              <w:jc w:val="center"/>
            </w:pPr>
          </w:p>
        </w:tc>
        <w:tc>
          <w:tcPr>
            <w:tcW w:w="1508" w:type="dxa"/>
            <w:tcBorders>
              <w:top w:val="nil"/>
              <w:bottom w:val="nil"/>
            </w:tcBorders>
            <w:shd w:val="clear" w:color="auto" w:fill="auto"/>
          </w:tcPr>
          <w:p w14:paraId="3A3FCFFE" w14:textId="77777777" w:rsidR="00DC6048" w:rsidRPr="00B55390" w:rsidRDefault="00DC6048" w:rsidP="00D67622">
            <w:pPr>
              <w:pStyle w:val="PINormal"/>
              <w:jc w:val="center"/>
            </w:pPr>
          </w:p>
        </w:tc>
        <w:tc>
          <w:tcPr>
            <w:tcW w:w="1587" w:type="dxa"/>
            <w:tcBorders>
              <w:top w:val="nil"/>
              <w:bottom w:val="nil"/>
            </w:tcBorders>
            <w:shd w:val="clear" w:color="auto" w:fill="auto"/>
          </w:tcPr>
          <w:p w14:paraId="3D1B1BFD" w14:textId="77777777" w:rsidR="00DC6048" w:rsidRPr="00B55390" w:rsidRDefault="00DC6048" w:rsidP="00D67622">
            <w:pPr>
              <w:pStyle w:val="PINormal"/>
              <w:jc w:val="center"/>
            </w:pPr>
          </w:p>
        </w:tc>
      </w:tr>
      <w:tr w:rsidR="00DC6048" w:rsidRPr="00B55390" w14:paraId="30FA2DD6" w14:textId="77777777" w:rsidTr="00D44E1A">
        <w:tc>
          <w:tcPr>
            <w:tcW w:w="4163" w:type="dxa"/>
            <w:tcBorders>
              <w:top w:val="nil"/>
              <w:bottom w:val="nil"/>
            </w:tcBorders>
            <w:shd w:val="clear" w:color="auto" w:fill="auto"/>
          </w:tcPr>
          <w:p w14:paraId="281F9D49" w14:textId="77777777" w:rsidR="00DC6048" w:rsidRPr="00B55390" w:rsidRDefault="00DC6048" w:rsidP="00D67622">
            <w:pPr>
              <w:pStyle w:val="PINormal"/>
            </w:pPr>
            <w:r w:rsidRPr="00B55390">
              <w:t>Percentage of subjects with</w:t>
            </w:r>
          </w:p>
        </w:tc>
        <w:tc>
          <w:tcPr>
            <w:tcW w:w="1530" w:type="dxa"/>
            <w:tcBorders>
              <w:top w:val="nil"/>
              <w:bottom w:val="nil"/>
            </w:tcBorders>
            <w:shd w:val="clear" w:color="auto" w:fill="auto"/>
          </w:tcPr>
          <w:p w14:paraId="5FE1C220" w14:textId="77777777" w:rsidR="00DC6048" w:rsidRPr="00B55390" w:rsidRDefault="00DC6048" w:rsidP="00D67622">
            <w:pPr>
              <w:pStyle w:val="PINormal"/>
              <w:jc w:val="center"/>
            </w:pPr>
          </w:p>
        </w:tc>
        <w:tc>
          <w:tcPr>
            <w:tcW w:w="1508" w:type="dxa"/>
            <w:tcBorders>
              <w:top w:val="nil"/>
              <w:bottom w:val="nil"/>
            </w:tcBorders>
            <w:shd w:val="clear" w:color="auto" w:fill="auto"/>
          </w:tcPr>
          <w:p w14:paraId="72E11FD6" w14:textId="77777777" w:rsidR="00DC6048" w:rsidRPr="00B55390" w:rsidRDefault="00DC6048" w:rsidP="00D67622">
            <w:pPr>
              <w:pStyle w:val="PINormal"/>
              <w:jc w:val="center"/>
            </w:pPr>
          </w:p>
        </w:tc>
        <w:tc>
          <w:tcPr>
            <w:tcW w:w="1587" w:type="dxa"/>
            <w:tcBorders>
              <w:top w:val="nil"/>
              <w:bottom w:val="nil"/>
            </w:tcBorders>
            <w:shd w:val="clear" w:color="auto" w:fill="auto"/>
          </w:tcPr>
          <w:p w14:paraId="418F4942" w14:textId="77777777" w:rsidR="00DC6048" w:rsidRPr="00B55390" w:rsidRDefault="00DC6048" w:rsidP="00D67622">
            <w:pPr>
              <w:pStyle w:val="PINormal"/>
              <w:jc w:val="center"/>
            </w:pPr>
          </w:p>
        </w:tc>
      </w:tr>
      <w:tr w:rsidR="00DC6048" w:rsidRPr="00B55390" w14:paraId="49521EB0" w14:textId="77777777" w:rsidTr="00D44E1A">
        <w:tc>
          <w:tcPr>
            <w:tcW w:w="4163" w:type="dxa"/>
            <w:tcBorders>
              <w:top w:val="nil"/>
              <w:bottom w:val="nil"/>
            </w:tcBorders>
            <w:shd w:val="clear" w:color="auto" w:fill="auto"/>
          </w:tcPr>
          <w:p w14:paraId="08BD41D0" w14:textId="77777777" w:rsidR="00DC6048" w:rsidRPr="00B55390" w:rsidRDefault="00DC6048" w:rsidP="00D67622">
            <w:pPr>
              <w:pStyle w:val="PINormal"/>
            </w:pPr>
            <w:r w:rsidRPr="00B55390">
              <w:t xml:space="preserve">       0 lesions</w:t>
            </w:r>
          </w:p>
        </w:tc>
        <w:tc>
          <w:tcPr>
            <w:tcW w:w="1530" w:type="dxa"/>
            <w:tcBorders>
              <w:top w:val="nil"/>
              <w:bottom w:val="nil"/>
            </w:tcBorders>
            <w:shd w:val="clear" w:color="auto" w:fill="auto"/>
          </w:tcPr>
          <w:p w14:paraId="5F927E96" w14:textId="77777777" w:rsidR="00DC6048" w:rsidRPr="00B55390" w:rsidRDefault="00DC6048" w:rsidP="00D67622">
            <w:pPr>
              <w:pStyle w:val="PINormal"/>
              <w:jc w:val="center"/>
            </w:pPr>
            <w:r w:rsidRPr="00B55390">
              <w:t>39%</w:t>
            </w:r>
          </w:p>
        </w:tc>
        <w:tc>
          <w:tcPr>
            <w:tcW w:w="1508" w:type="dxa"/>
            <w:tcBorders>
              <w:top w:val="nil"/>
              <w:bottom w:val="nil"/>
            </w:tcBorders>
            <w:shd w:val="clear" w:color="auto" w:fill="auto"/>
          </w:tcPr>
          <w:p w14:paraId="120F18E9" w14:textId="77777777" w:rsidR="00DC6048" w:rsidRPr="00B55390" w:rsidRDefault="00DC6048" w:rsidP="00D67622">
            <w:pPr>
              <w:pStyle w:val="PINormal"/>
              <w:jc w:val="center"/>
            </w:pPr>
            <w:r w:rsidRPr="00B55390">
              <w:t>21%</w:t>
            </w:r>
          </w:p>
        </w:tc>
        <w:tc>
          <w:tcPr>
            <w:tcW w:w="1587" w:type="dxa"/>
            <w:tcBorders>
              <w:top w:val="nil"/>
              <w:bottom w:val="nil"/>
            </w:tcBorders>
            <w:shd w:val="clear" w:color="auto" w:fill="auto"/>
          </w:tcPr>
          <w:p w14:paraId="683B6301" w14:textId="77777777" w:rsidR="00DC6048" w:rsidRPr="00B55390" w:rsidRDefault="00DC6048" w:rsidP="00D67622">
            <w:pPr>
              <w:pStyle w:val="PINormal"/>
              <w:jc w:val="center"/>
            </w:pPr>
            <w:r w:rsidRPr="00B55390">
              <w:t>34%</w:t>
            </w:r>
          </w:p>
        </w:tc>
      </w:tr>
      <w:tr w:rsidR="00DC6048" w:rsidRPr="00B55390" w14:paraId="33A3BBD7" w14:textId="77777777" w:rsidTr="00D44E1A">
        <w:tc>
          <w:tcPr>
            <w:tcW w:w="4163" w:type="dxa"/>
            <w:tcBorders>
              <w:top w:val="nil"/>
              <w:bottom w:val="nil"/>
            </w:tcBorders>
            <w:shd w:val="clear" w:color="auto" w:fill="auto"/>
          </w:tcPr>
          <w:p w14:paraId="6E703368" w14:textId="77777777" w:rsidR="00DC6048" w:rsidRPr="00B55390" w:rsidRDefault="00DC6048" w:rsidP="00D67622">
            <w:pPr>
              <w:pStyle w:val="PINormal"/>
            </w:pPr>
            <w:r w:rsidRPr="00B55390">
              <w:t xml:space="preserve">       1 lesion</w:t>
            </w:r>
          </w:p>
        </w:tc>
        <w:tc>
          <w:tcPr>
            <w:tcW w:w="1530" w:type="dxa"/>
            <w:tcBorders>
              <w:top w:val="nil"/>
              <w:bottom w:val="nil"/>
            </w:tcBorders>
            <w:shd w:val="clear" w:color="auto" w:fill="auto"/>
          </w:tcPr>
          <w:p w14:paraId="61710514" w14:textId="77777777" w:rsidR="00DC6048" w:rsidRPr="00B55390" w:rsidRDefault="00DC6048" w:rsidP="00D67622">
            <w:pPr>
              <w:pStyle w:val="PINormal"/>
              <w:jc w:val="center"/>
            </w:pPr>
            <w:r w:rsidRPr="00B55390">
              <w:t>15%</w:t>
            </w:r>
          </w:p>
        </w:tc>
        <w:tc>
          <w:tcPr>
            <w:tcW w:w="1508" w:type="dxa"/>
            <w:tcBorders>
              <w:top w:val="nil"/>
              <w:bottom w:val="nil"/>
            </w:tcBorders>
            <w:shd w:val="clear" w:color="auto" w:fill="auto"/>
          </w:tcPr>
          <w:p w14:paraId="47DCCA79" w14:textId="77777777" w:rsidR="00DC6048" w:rsidRPr="00B55390" w:rsidRDefault="00DC6048" w:rsidP="00D67622">
            <w:pPr>
              <w:pStyle w:val="PINormal"/>
              <w:jc w:val="center"/>
            </w:pPr>
            <w:r w:rsidRPr="00B55390">
              <w:t>6%</w:t>
            </w:r>
          </w:p>
        </w:tc>
        <w:tc>
          <w:tcPr>
            <w:tcW w:w="1587" w:type="dxa"/>
            <w:tcBorders>
              <w:top w:val="nil"/>
              <w:bottom w:val="nil"/>
            </w:tcBorders>
            <w:shd w:val="clear" w:color="auto" w:fill="auto"/>
          </w:tcPr>
          <w:p w14:paraId="7C50679C" w14:textId="77777777" w:rsidR="00DC6048" w:rsidRPr="00B55390" w:rsidRDefault="00DC6048" w:rsidP="00D67622">
            <w:pPr>
              <w:pStyle w:val="PINormal"/>
              <w:jc w:val="center"/>
            </w:pPr>
            <w:r w:rsidRPr="00B55390">
              <w:t>12%</w:t>
            </w:r>
          </w:p>
        </w:tc>
      </w:tr>
      <w:tr w:rsidR="00DC6048" w:rsidRPr="00B55390" w14:paraId="691D1CC5" w14:textId="77777777" w:rsidTr="00D44E1A">
        <w:tc>
          <w:tcPr>
            <w:tcW w:w="4163" w:type="dxa"/>
            <w:tcBorders>
              <w:top w:val="nil"/>
              <w:bottom w:val="nil"/>
            </w:tcBorders>
            <w:shd w:val="clear" w:color="auto" w:fill="auto"/>
          </w:tcPr>
          <w:p w14:paraId="2B69FDCD" w14:textId="77777777" w:rsidR="00DC6048" w:rsidRPr="00B55390" w:rsidRDefault="00DC6048" w:rsidP="00D67622">
            <w:pPr>
              <w:pStyle w:val="PINormal"/>
            </w:pPr>
            <w:r w:rsidRPr="00B55390">
              <w:t xml:space="preserve">       2 lesions</w:t>
            </w:r>
          </w:p>
        </w:tc>
        <w:tc>
          <w:tcPr>
            <w:tcW w:w="1530" w:type="dxa"/>
            <w:tcBorders>
              <w:top w:val="nil"/>
              <w:bottom w:val="nil"/>
            </w:tcBorders>
            <w:shd w:val="clear" w:color="auto" w:fill="auto"/>
          </w:tcPr>
          <w:p w14:paraId="1C3A5B05" w14:textId="77777777" w:rsidR="00DC6048" w:rsidRPr="00B55390" w:rsidRDefault="00DC6048" w:rsidP="00D67622">
            <w:pPr>
              <w:pStyle w:val="PINormal"/>
              <w:jc w:val="center"/>
            </w:pPr>
            <w:r w:rsidRPr="00B55390">
              <w:t>11%</w:t>
            </w:r>
          </w:p>
        </w:tc>
        <w:tc>
          <w:tcPr>
            <w:tcW w:w="1508" w:type="dxa"/>
            <w:tcBorders>
              <w:top w:val="nil"/>
              <w:bottom w:val="nil"/>
            </w:tcBorders>
            <w:shd w:val="clear" w:color="auto" w:fill="auto"/>
          </w:tcPr>
          <w:p w14:paraId="05C2957A" w14:textId="77777777" w:rsidR="00DC6048" w:rsidRPr="00B55390" w:rsidRDefault="00DC6048" w:rsidP="00D67622">
            <w:pPr>
              <w:pStyle w:val="PINormal"/>
              <w:jc w:val="center"/>
            </w:pPr>
            <w:r w:rsidRPr="00B55390">
              <w:t>7%</w:t>
            </w:r>
          </w:p>
        </w:tc>
        <w:tc>
          <w:tcPr>
            <w:tcW w:w="1587" w:type="dxa"/>
            <w:tcBorders>
              <w:top w:val="nil"/>
              <w:bottom w:val="nil"/>
            </w:tcBorders>
            <w:shd w:val="clear" w:color="auto" w:fill="auto"/>
          </w:tcPr>
          <w:p w14:paraId="14ED27D0" w14:textId="77777777" w:rsidR="00DC6048" w:rsidRPr="00B55390" w:rsidRDefault="00DC6048" w:rsidP="00D67622">
            <w:pPr>
              <w:pStyle w:val="PINormal"/>
              <w:jc w:val="center"/>
            </w:pPr>
            <w:r w:rsidRPr="00B55390">
              <w:t>14%</w:t>
            </w:r>
          </w:p>
        </w:tc>
      </w:tr>
      <w:tr w:rsidR="00DC6048" w:rsidRPr="00B55390" w14:paraId="1146EEE0" w14:textId="77777777" w:rsidTr="00D44E1A">
        <w:tc>
          <w:tcPr>
            <w:tcW w:w="4163" w:type="dxa"/>
            <w:tcBorders>
              <w:top w:val="nil"/>
              <w:bottom w:val="nil"/>
            </w:tcBorders>
            <w:shd w:val="clear" w:color="auto" w:fill="auto"/>
          </w:tcPr>
          <w:p w14:paraId="1CE592FA" w14:textId="77777777" w:rsidR="00DC6048" w:rsidRPr="00B55390" w:rsidRDefault="00DC6048" w:rsidP="00D67622">
            <w:pPr>
              <w:pStyle w:val="PINormal"/>
            </w:pPr>
            <w:r w:rsidRPr="00B55390">
              <w:t xml:space="preserve">       3 to 4 lesions</w:t>
            </w:r>
          </w:p>
        </w:tc>
        <w:tc>
          <w:tcPr>
            <w:tcW w:w="1530" w:type="dxa"/>
            <w:tcBorders>
              <w:top w:val="nil"/>
              <w:bottom w:val="nil"/>
            </w:tcBorders>
            <w:shd w:val="clear" w:color="auto" w:fill="auto"/>
          </w:tcPr>
          <w:p w14:paraId="2E443965" w14:textId="77777777" w:rsidR="00DC6048" w:rsidRPr="00B55390" w:rsidRDefault="00DC6048" w:rsidP="00D67622">
            <w:pPr>
              <w:pStyle w:val="PINormal"/>
              <w:jc w:val="center"/>
            </w:pPr>
            <w:r w:rsidRPr="00B55390">
              <w:t>9%</w:t>
            </w:r>
          </w:p>
        </w:tc>
        <w:tc>
          <w:tcPr>
            <w:tcW w:w="1508" w:type="dxa"/>
            <w:tcBorders>
              <w:top w:val="nil"/>
              <w:bottom w:val="nil"/>
            </w:tcBorders>
            <w:shd w:val="clear" w:color="auto" w:fill="auto"/>
          </w:tcPr>
          <w:p w14:paraId="0A5A907E" w14:textId="77777777" w:rsidR="00DC6048" w:rsidRPr="00B55390" w:rsidRDefault="00DC6048" w:rsidP="00D67622">
            <w:pPr>
              <w:pStyle w:val="PINormal"/>
              <w:jc w:val="center"/>
            </w:pPr>
            <w:r w:rsidRPr="00B55390">
              <w:t>21%</w:t>
            </w:r>
          </w:p>
        </w:tc>
        <w:tc>
          <w:tcPr>
            <w:tcW w:w="1587" w:type="dxa"/>
            <w:tcBorders>
              <w:top w:val="nil"/>
              <w:bottom w:val="nil"/>
            </w:tcBorders>
            <w:shd w:val="clear" w:color="auto" w:fill="auto"/>
          </w:tcPr>
          <w:p w14:paraId="4F65D91C" w14:textId="77777777" w:rsidR="00DC6048" w:rsidRPr="00B55390" w:rsidRDefault="00DC6048" w:rsidP="00D67622">
            <w:pPr>
              <w:pStyle w:val="PINormal"/>
              <w:jc w:val="center"/>
            </w:pPr>
            <w:r w:rsidRPr="00B55390">
              <w:t>12%</w:t>
            </w:r>
          </w:p>
        </w:tc>
      </w:tr>
      <w:tr w:rsidR="00DC6048" w:rsidRPr="00B55390" w14:paraId="6E28D279" w14:textId="77777777" w:rsidTr="00D44E1A">
        <w:tc>
          <w:tcPr>
            <w:tcW w:w="4163" w:type="dxa"/>
            <w:tcBorders>
              <w:top w:val="nil"/>
            </w:tcBorders>
            <w:shd w:val="clear" w:color="auto" w:fill="auto"/>
          </w:tcPr>
          <w:p w14:paraId="6946C9D6" w14:textId="77777777" w:rsidR="00DC6048" w:rsidRPr="00B55390" w:rsidRDefault="00DC6048" w:rsidP="00D67622">
            <w:pPr>
              <w:pStyle w:val="PINormal"/>
            </w:pPr>
            <w:r w:rsidRPr="00B55390">
              <w:t xml:space="preserve">       5 or more lesions</w:t>
            </w:r>
          </w:p>
        </w:tc>
        <w:tc>
          <w:tcPr>
            <w:tcW w:w="1530" w:type="dxa"/>
            <w:tcBorders>
              <w:top w:val="nil"/>
            </w:tcBorders>
            <w:shd w:val="clear" w:color="auto" w:fill="auto"/>
          </w:tcPr>
          <w:p w14:paraId="5BB9F500" w14:textId="77777777" w:rsidR="00DC6048" w:rsidRPr="00B55390" w:rsidRDefault="00DC6048" w:rsidP="00D67622">
            <w:pPr>
              <w:pStyle w:val="PINormal"/>
              <w:jc w:val="center"/>
            </w:pPr>
            <w:r w:rsidRPr="00B55390">
              <w:t>26%</w:t>
            </w:r>
          </w:p>
        </w:tc>
        <w:tc>
          <w:tcPr>
            <w:tcW w:w="1508" w:type="dxa"/>
            <w:tcBorders>
              <w:top w:val="nil"/>
            </w:tcBorders>
            <w:shd w:val="clear" w:color="auto" w:fill="auto"/>
          </w:tcPr>
          <w:p w14:paraId="07F8EE2D" w14:textId="77777777" w:rsidR="00DC6048" w:rsidRPr="00B55390" w:rsidRDefault="00DC6048" w:rsidP="00D67622">
            <w:pPr>
              <w:pStyle w:val="PINormal"/>
              <w:jc w:val="center"/>
            </w:pPr>
            <w:r w:rsidRPr="00B55390">
              <w:t>45%</w:t>
            </w:r>
          </w:p>
        </w:tc>
        <w:tc>
          <w:tcPr>
            <w:tcW w:w="1587" w:type="dxa"/>
            <w:tcBorders>
              <w:top w:val="nil"/>
            </w:tcBorders>
            <w:shd w:val="clear" w:color="auto" w:fill="auto"/>
          </w:tcPr>
          <w:p w14:paraId="73D5DA69" w14:textId="77777777" w:rsidR="00DC6048" w:rsidRPr="00B55390" w:rsidRDefault="00DC6048" w:rsidP="00D67622">
            <w:pPr>
              <w:pStyle w:val="PINormal"/>
              <w:jc w:val="center"/>
            </w:pPr>
            <w:r w:rsidRPr="00B55390">
              <w:t>27%</w:t>
            </w:r>
          </w:p>
        </w:tc>
      </w:tr>
    </w:tbl>
    <w:p w14:paraId="2F1F4E30" w14:textId="77777777" w:rsidR="00DC6048" w:rsidRPr="00B55390" w:rsidRDefault="00DC6048" w:rsidP="00D67622">
      <w:pPr>
        <w:pStyle w:val="PINormal"/>
        <w:spacing w:before="60"/>
        <w:rPr>
          <w:sz w:val="18"/>
          <w:szCs w:val="18"/>
        </w:rPr>
      </w:pPr>
      <w:r w:rsidRPr="00B55390">
        <w:rPr>
          <w:sz w:val="18"/>
          <w:szCs w:val="18"/>
        </w:rPr>
        <w:t xml:space="preserve">(a): Based on Kaplan-Meier estimate. </w:t>
      </w:r>
    </w:p>
    <w:p w14:paraId="5F07665F" w14:textId="77777777" w:rsidR="00DC6048" w:rsidRPr="00B55390" w:rsidRDefault="00DC6048" w:rsidP="00D67622">
      <w:pPr>
        <w:pStyle w:val="PINormal"/>
        <w:spacing w:before="60"/>
        <w:rPr>
          <w:sz w:val="18"/>
          <w:szCs w:val="18"/>
        </w:rPr>
      </w:pPr>
      <w:r w:rsidRPr="00B55390">
        <w:rPr>
          <w:sz w:val="18"/>
          <w:szCs w:val="18"/>
        </w:rPr>
        <w:t>Note: All analyses of clinical endpoints were intent-to-treat.  MRI analysis used MRI cohort.</w:t>
      </w:r>
    </w:p>
    <w:p w14:paraId="39EF29AC" w14:textId="2700449C" w:rsidR="00DC6048" w:rsidRPr="00B55390" w:rsidRDefault="00DC6048" w:rsidP="00D67622">
      <w:pPr>
        <w:pStyle w:val="PINormal"/>
      </w:pPr>
    </w:p>
    <w:p w14:paraId="0A7E939A" w14:textId="471ECDEE" w:rsidR="00A00BBB" w:rsidRPr="00B55390" w:rsidRDefault="00A00BBB" w:rsidP="00D67622">
      <w:pPr>
        <w:pStyle w:val="PINormal"/>
      </w:pPr>
      <w:r w:rsidRPr="00B55390">
        <w:t xml:space="preserve">Pooled results at 2 years for Study 1 and Study 2 showed consistent and statistically significant results for TECFIDERA versus placebo in all primary and secondary endpoints, including time to confirmed disability progression (32% relative reduction compared to placebo). </w:t>
      </w:r>
    </w:p>
    <w:p w14:paraId="03CF0E9D" w14:textId="397046C5" w:rsidR="00EC63EC" w:rsidRPr="00B55390" w:rsidRDefault="00EC63EC" w:rsidP="00D67622">
      <w:pPr>
        <w:pStyle w:val="PINormal"/>
      </w:pPr>
    </w:p>
    <w:p w14:paraId="7B6FB4F1" w14:textId="084BFCC9" w:rsidR="00EC63EC" w:rsidRPr="00B55390" w:rsidRDefault="00EC63EC" w:rsidP="00D67622">
      <w:pPr>
        <w:pStyle w:val="PINormal"/>
      </w:pPr>
      <w:r w:rsidRPr="00B55390">
        <w:t>Study 3 (ENDORSE) enrolled eligible patients from Study 1 and Study 2 into an 8-year two</w:t>
      </w:r>
      <w:r w:rsidRPr="00B55390">
        <w:noBreakHyphen/>
        <w:t>phase extension study of 1736 patients with RRMS. The first phase was a multicenter, parallel</w:t>
      </w:r>
      <w:r w:rsidRPr="00B55390">
        <w:noBreakHyphen/>
        <w:t xml:space="preserve">group, </w:t>
      </w:r>
      <w:proofErr w:type="spellStart"/>
      <w:r w:rsidRPr="00B55390">
        <w:t>randomi</w:t>
      </w:r>
      <w:r w:rsidR="009451F7" w:rsidRPr="00B55390">
        <w:t>s</w:t>
      </w:r>
      <w:r w:rsidRPr="00B55390">
        <w:t>ed</w:t>
      </w:r>
      <w:proofErr w:type="spellEnd"/>
      <w:r w:rsidRPr="00B55390">
        <w:t>, dose</w:t>
      </w:r>
      <w:r w:rsidRPr="00B55390">
        <w:noBreakHyphen/>
        <w:t>blind, dose</w:t>
      </w:r>
      <w:r w:rsidRPr="00B55390">
        <w:noBreakHyphen/>
        <w:t>comparison study. The second phase was an open</w:t>
      </w:r>
      <w:r w:rsidRPr="00B55390">
        <w:noBreakHyphen/>
        <w:t xml:space="preserve">label study during which all patients received </w:t>
      </w:r>
      <w:r w:rsidR="000A0A02" w:rsidRPr="00B55390">
        <w:t>TECFIDERA</w:t>
      </w:r>
      <w:r w:rsidRPr="00B55390">
        <w:t xml:space="preserve"> at a dose of 240 mg twice a day. Eligible patients were enrolled at Week 96 (Visit 24) of their previous Study 1 or Study 2 visit, which served as the Baseline Visit for this extension study. </w:t>
      </w:r>
    </w:p>
    <w:p w14:paraId="2357D413" w14:textId="771BADF5" w:rsidR="00EC63EC" w:rsidRPr="00B55390" w:rsidRDefault="00EC63EC" w:rsidP="00D67622">
      <w:pPr>
        <w:pStyle w:val="C-BodyText"/>
        <w:jc w:val="both"/>
        <w:rPr>
          <w:rFonts w:ascii="Arial" w:hAnsi="Arial" w:cs="Arial"/>
          <w:sz w:val="22"/>
          <w:szCs w:val="22"/>
        </w:rPr>
      </w:pPr>
      <w:r w:rsidRPr="00B55390">
        <w:rPr>
          <w:rFonts w:ascii="Arial" w:hAnsi="Arial" w:cs="Arial"/>
          <w:sz w:val="22"/>
          <w:szCs w:val="22"/>
        </w:rPr>
        <w:t xml:space="preserve">The primary objective of this study was to evaluate the long-term safety of </w:t>
      </w:r>
      <w:r w:rsidR="000A0A02" w:rsidRPr="00B55390">
        <w:rPr>
          <w:rFonts w:ascii="Arial" w:hAnsi="Arial" w:cs="Arial"/>
          <w:sz w:val="22"/>
          <w:szCs w:val="22"/>
        </w:rPr>
        <w:t>TECFIDERA</w:t>
      </w:r>
      <w:r w:rsidRPr="00B55390">
        <w:rPr>
          <w:rFonts w:ascii="Arial" w:hAnsi="Arial" w:cs="Arial"/>
          <w:sz w:val="22"/>
          <w:szCs w:val="22"/>
        </w:rPr>
        <w:t xml:space="preserve">. The secondary objectives of this study were to evaluate the long-term efficacy of </w:t>
      </w:r>
      <w:r w:rsidR="000A0A02" w:rsidRPr="00B55390">
        <w:rPr>
          <w:rFonts w:ascii="Arial" w:hAnsi="Arial" w:cs="Arial"/>
          <w:sz w:val="22"/>
          <w:szCs w:val="22"/>
        </w:rPr>
        <w:t>TECFIDERA</w:t>
      </w:r>
      <w:r w:rsidRPr="00B55390">
        <w:rPr>
          <w:rFonts w:ascii="Arial" w:hAnsi="Arial" w:cs="Arial"/>
          <w:sz w:val="22"/>
          <w:szCs w:val="22"/>
        </w:rPr>
        <w:t xml:space="preserve"> using clinical endpoints (including relapse and ARR) and disability progression (EDSS) and MS brain lesions on MRI scans.</w:t>
      </w:r>
    </w:p>
    <w:p w14:paraId="077CBB35" w14:textId="77777777" w:rsidR="00EC63EC" w:rsidRPr="00B55390" w:rsidRDefault="00EC63EC" w:rsidP="00D67622">
      <w:pPr>
        <w:pStyle w:val="C-BodyText"/>
        <w:jc w:val="both"/>
        <w:rPr>
          <w:rFonts w:ascii="Arial" w:hAnsi="Arial" w:cs="Arial"/>
          <w:sz w:val="22"/>
          <w:szCs w:val="22"/>
        </w:rPr>
      </w:pPr>
      <w:r w:rsidRPr="00B55390">
        <w:rPr>
          <w:rFonts w:ascii="Arial" w:hAnsi="Arial" w:cs="Arial"/>
          <w:sz w:val="22"/>
          <w:szCs w:val="22"/>
        </w:rPr>
        <w:t>The median age of patients was 40.0 years. Most patients (945 patients, 54%) were in the study for 7 years or longer and the median time spent in the study (min, max) was 6.759 (0.04, 10.98) years.</w:t>
      </w:r>
    </w:p>
    <w:p w14:paraId="7DBF0172" w14:textId="64B38823" w:rsidR="00EC63EC" w:rsidRPr="00B55390" w:rsidRDefault="00EC63EC" w:rsidP="00D67622">
      <w:pPr>
        <w:pStyle w:val="C-BodyText"/>
        <w:jc w:val="both"/>
        <w:rPr>
          <w:rFonts w:ascii="Arial" w:hAnsi="Arial" w:cs="Arial"/>
          <w:sz w:val="22"/>
          <w:szCs w:val="22"/>
        </w:rPr>
      </w:pPr>
      <w:r w:rsidRPr="00B55390">
        <w:rPr>
          <w:rFonts w:ascii="Arial" w:hAnsi="Arial" w:cs="Arial"/>
          <w:sz w:val="22"/>
          <w:szCs w:val="22"/>
        </w:rPr>
        <w:t xml:space="preserve">In the first year of Study 3 in patients treated with </w:t>
      </w:r>
      <w:r w:rsidR="000A0A02" w:rsidRPr="00B55390">
        <w:rPr>
          <w:rFonts w:ascii="Arial" w:hAnsi="Arial" w:cs="Arial"/>
          <w:sz w:val="22"/>
          <w:szCs w:val="22"/>
        </w:rPr>
        <w:t>TECFIDERA</w:t>
      </w:r>
      <w:r w:rsidRPr="00B55390">
        <w:rPr>
          <w:rFonts w:ascii="Arial" w:hAnsi="Arial" w:cs="Arial"/>
          <w:sz w:val="22"/>
          <w:szCs w:val="22"/>
        </w:rPr>
        <w:t xml:space="preserve">, the adjusted ARR (95% CI) ranged from 0.125 (0.084, 0.188) to 0.183 (0.108, 0.308), and in the eighth year of Study 3, it remained low and ranged from 0.077 (0.039, 0.153) to 0.129 (0.063, 0.265) in all treatment arms. During the overall study period, the adjusted ARR (95% CI) ranged from 0.126 (0.098, 0.162) to 0.185 (0.129, 0.265). During the overall Study 3 period, </w:t>
      </w:r>
      <w:proofErr w:type="gramStart"/>
      <w:r w:rsidRPr="00B55390">
        <w:rPr>
          <w:rFonts w:ascii="Arial" w:hAnsi="Arial" w:cs="Arial"/>
          <w:sz w:val="22"/>
          <w:szCs w:val="22"/>
        </w:rPr>
        <w:t>the majority of</w:t>
      </w:r>
      <w:proofErr w:type="gramEnd"/>
      <w:r w:rsidRPr="00B55390">
        <w:rPr>
          <w:rFonts w:ascii="Arial" w:hAnsi="Arial" w:cs="Arial"/>
          <w:sz w:val="22"/>
          <w:szCs w:val="22"/>
        </w:rPr>
        <w:t xml:space="preserve"> patients treated with </w:t>
      </w:r>
      <w:r w:rsidR="000A0A02" w:rsidRPr="00B55390">
        <w:rPr>
          <w:rFonts w:ascii="Arial" w:hAnsi="Arial" w:cs="Arial"/>
          <w:sz w:val="22"/>
          <w:szCs w:val="22"/>
        </w:rPr>
        <w:t>TECFIDERA</w:t>
      </w:r>
      <w:r w:rsidRPr="00B55390">
        <w:rPr>
          <w:rFonts w:ascii="Arial" w:hAnsi="Arial" w:cs="Arial"/>
          <w:sz w:val="22"/>
          <w:szCs w:val="22"/>
        </w:rPr>
        <w:t xml:space="preserve"> (between 59% and 69%) had no relapses. The estimated proportion of relapse (95% CI), at 8 years, in Study 3 ranged from 0.414 (0.314, 0.531) to 0.502 (0.426, 0.584).</w:t>
      </w:r>
    </w:p>
    <w:p w14:paraId="6BEA51DD" w14:textId="0D4FE137" w:rsidR="00EC63EC" w:rsidRPr="00B55390" w:rsidRDefault="00EC63EC" w:rsidP="00D67622">
      <w:pPr>
        <w:pStyle w:val="PINormal"/>
        <w:spacing w:line="280" w:lineRule="atLeast"/>
      </w:pPr>
      <w:r w:rsidRPr="00B55390">
        <w:lastRenderedPageBreak/>
        <w:t xml:space="preserve">In an integrated analysis of Study 1 and Study 2 with Study 3, patients continuously treated with </w:t>
      </w:r>
      <w:r w:rsidR="000A0A02" w:rsidRPr="00B55390">
        <w:t>TECFIDERA</w:t>
      </w:r>
      <w:r w:rsidRPr="00B55390">
        <w:t xml:space="preserve"> twice a day / twice a day (n=501; patients treated with </w:t>
      </w:r>
      <w:r w:rsidR="000A0A02" w:rsidRPr="00B55390">
        <w:t>TECFIDERA</w:t>
      </w:r>
      <w:r w:rsidRPr="00B55390">
        <w:t xml:space="preserve"> 240 mg twice a day in Study 1 or 2 and then </w:t>
      </w:r>
      <w:r w:rsidR="000A0A02" w:rsidRPr="00B55390">
        <w:t>TECFIDERA</w:t>
      </w:r>
      <w:r w:rsidRPr="00B55390">
        <w:t xml:space="preserve"> 240 mg twice a day in Study 3), adjusted ARR was 0.187 (95% CI, 0.156, 0.224) in Study 1 and Study 2, and was 0.141 (95% CI, 0.119, 0.167) in Study 3. The data in Figure </w:t>
      </w:r>
      <w:r w:rsidR="00537CFA" w:rsidRPr="00B55390">
        <w:t>1</w:t>
      </w:r>
      <w:r w:rsidRPr="00B55390">
        <w:t xml:space="preserve"> demonstrate that the adjusted ARR in patients treated with </w:t>
      </w:r>
      <w:r w:rsidR="000A0A02" w:rsidRPr="00B55390">
        <w:t>TECFIDERA</w:t>
      </w:r>
      <w:r w:rsidRPr="00B55390">
        <w:t xml:space="preserve"> was low and remained steady throughout the entire treatment time in Study 1 or 2 and Study 3. For placebo / </w:t>
      </w:r>
      <w:r w:rsidR="000A0A02" w:rsidRPr="00B55390">
        <w:t>TECFIDERA</w:t>
      </w:r>
      <w:r w:rsidRPr="00B55390">
        <w:t xml:space="preserve"> patients (n=249; patients treated with placebo in Study 1 or 2 and then switched to </w:t>
      </w:r>
      <w:r w:rsidR="000A0A02" w:rsidRPr="00B55390">
        <w:t>TECFIDERA</w:t>
      </w:r>
      <w:r w:rsidRPr="00B55390">
        <w:t xml:space="preserve"> in Study 3), adjusted ARR was 0.330 (95% CI, 0.266, 0.408) and decreased after initiating </w:t>
      </w:r>
      <w:r w:rsidR="000A0A02" w:rsidRPr="00B55390">
        <w:t>TECFIDERA</w:t>
      </w:r>
      <w:r w:rsidRPr="00B55390">
        <w:t xml:space="preserve"> in Study 3, to 0.149 [95% CI, 0.116, 0.190]). The data in Figure </w:t>
      </w:r>
      <w:r w:rsidR="00537CFA" w:rsidRPr="00B55390">
        <w:t>2</w:t>
      </w:r>
      <w:r w:rsidRPr="00B55390">
        <w:t xml:space="preserve"> demonstrates that the adjusted ARR in patients treated with placebo in Study 1 or Study 2 decreased after initiating </w:t>
      </w:r>
      <w:r w:rsidR="000A0A02" w:rsidRPr="00B55390">
        <w:t>TECFIDERA</w:t>
      </w:r>
      <w:r w:rsidRPr="00B55390">
        <w:t xml:space="preserve"> in Study 3.</w:t>
      </w:r>
    </w:p>
    <w:p w14:paraId="1753851F" w14:textId="77777777" w:rsidR="00EC63EC" w:rsidRPr="00B55390" w:rsidRDefault="00EC63EC" w:rsidP="00D67622">
      <w:pPr>
        <w:pStyle w:val="PINormal"/>
        <w:spacing w:line="280" w:lineRule="atLeast"/>
      </w:pPr>
    </w:p>
    <w:p w14:paraId="7A26B739" w14:textId="77777777" w:rsidR="00EC63EC" w:rsidRPr="00B55390" w:rsidRDefault="00EC63EC" w:rsidP="00D67622">
      <w:pPr>
        <w:pStyle w:val="PINormal"/>
        <w:spacing w:line="280" w:lineRule="atLeast"/>
      </w:pPr>
      <w:r w:rsidRPr="00B55390">
        <w:t>In Study 3, the mean (median) EDSS score at baseline ranged from 2.33 (2.00) to 2.67 (2.75). The estimated proportion of patients with confirmed progression (95% CI) in the eighth year of Study 3 ranged from 0.314 (0.268, 0.365) to 0.387 (0.311, 0.475).</w:t>
      </w:r>
    </w:p>
    <w:p w14:paraId="3A4FF20E" w14:textId="77777777" w:rsidR="00EC63EC" w:rsidRPr="00B55390" w:rsidRDefault="00EC63EC" w:rsidP="00D67622">
      <w:pPr>
        <w:pStyle w:val="PINormal"/>
        <w:spacing w:line="280" w:lineRule="atLeast"/>
      </w:pPr>
    </w:p>
    <w:p w14:paraId="2805CFBD" w14:textId="773435FC" w:rsidR="00EC63EC" w:rsidRPr="00B55390" w:rsidRDefault="00EC63EC" w:rsidP="00D67622">
      <w:pPr>
        <w:pStyle w:val="PINormal"/>
        <w:spacing w:line="280" w:lineRule="atLeast"/>
      </w:pPr>
      <w:r w:rsidRPr="00B55390">
        <w:t xml:space="preserve">In an integrated analysis of Study 1 and Study 2 with Study 3, the estimated proportion (95% CI) of patients with confirmed disability progression at 48 weeks (Study 1, 2 and 3 data combined) was 0.058 (0.041, 0.083) in the </w:t>
      </w:r>
      <w:r w:rsidR="000A0A02" w:rsidRPr="00B55390">
        <w:t>TECFIDERA</w:t>
      </w:r>
      <w:r w:rsidRPr="00B55390">
        <w:t xml:space="preserve"> twice a day / twice a day group and 0.077 (0.050, 0.118) in the placebo / </w:t>
      </w:r>
      <w:r w:rsidR="000A0A02" w:rsidRPr="00B55390">
        <w:t>TECFIDERA</w:t>
      </w:r>
      <w:r w:rsidRPr="00B55390">
        <w:t xml:space="preserve"> twice a day group. At Week 480, the estimated proportion (95%) of patients with confirmed disability progression (Study 1, 2 and 3 data combined) was 0.349 (0.302, 0.401) in the </w:t>
      </w:r>
      <w:r w:rsidR="000A0A02" w:rsidRPr="00B55390">
        <w:t>TECFIDERA</w:t>
      </w:r>
      <w:r w:rsidRPr="00B55390">
        <w:t xml:space="preserve"> twice a day / twice a day group and 0.362 (0.292, 0.443) in the placebo / </w:t>
      </w:r>
      <w:r w:rsidR="000A0A02" w:rsidRPr="00B55390">
        <w:t>TECFIDERA</w:t>
      </w:r>
      <w:r w:rsidRPr="00B55390">
        <w:t xml:space="preserve"> twice a day group.</w:t>
      </w:r>
    </w:p>
    <w:p w14:paraId="01FF5889" w14:textId="77777777" w:rsidR="00EC63EC" w:rsidRPr="00B55390" w:rsidRDefault="00EC63EC" w:rsidP="00D67622">
      <w:pPr>
        <w:pStyle w:val="PINormal"/>
        <w:spacing w:line="280" w:lineRule="atLeast"/>
      </w:pPr>
    </w:p>
    <w:p w14:paraId="1976F8EF" w14:textId="1D599BA8" w:rsidR="00A62BD1" w:rsidRPr="00B55390" w:rsidRDefault="00EC63EC" w:rsidP="00D67622">
      <w:pPr>
        <w:pStyle w:val="PINormal"/>
        <w:spacing w:line="280" w:lineRule="atLeast"/>
      </w:pPr>
      <w:r w:rsidRPr="00B55390">
        <w:t>In Study 3, 752 patients were included in an MRI cohort, which included patients who had previously been included in the MRI cohort of Study 1 or Study 2. Due to sample size restrictions, MRI results are presented only through Year 6 of Study 3. Across all treatment groups, the adjusted mean number of new or newly enlarging T2 lesions relative to Study 3 baseline over 6 years ranged from 3.911 to 8.650 (the adjusted mean was based on negative binomial regression, adjusted for region and baseline volume of T2 lesions). The mean number of Gd+ lesions at 6 years ranged from 0.0 (0.0) to 0.7 (0.0). The percentage of patients with no Gd+ lesions ranged from 84% to 100%. The mean number of new T1 lesions (based on negative binomial regression), ranged from 1.060 (1.0) to 4.326 (1.0). The median ranged from 1.0 to 2.5.</w:t>
      </w:r>
    </w:p>
    <w:p w14:paraId="11B549BC" w14:textId="77777777" w:rsidR="0043659C" w:rsidRPr="00B55390" w:rsidRDefault="0043659C" w:rsidP="00D67622">
      <w:pPr>
        <w:pStyle w:val="PINormal"/>
        <w:spacing w:line="280" w:lineRule="atLeast"/>
      </w:pPr>
    </w:p>
    <w:p w14:paraId="0438A572" w14:textId="2907F35E" w:rsidR="00A62BD1" w:rsidRPr="00B55390" w:rsidRDefault="00A62BD1" w:rsidP="00D67622">
      <w:pPr>
        <w:pStyle w:val="PINormal"/>
        <w:rPr>
          <w:b/>
          <w:bCs/>
        </w:rPr>
      </w:pPr>
      <w:r w:rsidRPr="00B55390">
        <w:rPr>
          <w:b/>
          <w:bCs/>
        </w:rPr>
        <w:t xml:space="preserve">Figure </w:t>
      </w:r>
      <w:r w:rsidR="00537CFA" w:rsidRPr="00B55390">
        <w:rPr>
          <w:b/>
          <w:bCs/>
        </w:rPr>
        <w:t>1</w:t>
      </w:r>
      <w:r w:rsidRPr="00B55390">
        <w:rPr>
          <w:b/>
          <w:bCs/>
        </w:rPr>
        <w:t xml:space="preserve">: </w:t>
      </w:r>
      <w:proofErr w:type="spellStart"/>
      <w:r w:rsidRPr="00B55390">
        <w:rPr>
          <w:b/>
          <w:bCs/>
        </w:rPr>
        <w:t>Annuali</w:t>
      </w:r>
      <w:r w:rsidR="00336CA4" w:rsidRPr="00B55390">
        <w:rPr>
          <w:b/>
          <w:bCs/>
        </w:rPr>
        <w:t>s</w:t>
      </w:r>
      <w:r w:rsidRPr="00B55390">
        <w:rPr>
          <w:b/>
          <w:bCs/>
        </w:rPr>
        <w:t>ed</w:t>
      </w:r>
      <w:proofErr w:type="spellEnd"/>
      <w:r w:rsidRPr="00B55390">
        <w:rPr>
          <w:b/>
          <w:bCs/>
        </w:rPr>
        <w:t xml:space="preserve"> Adjusted Relapse Rate by Yearly Interval for Patients Treated Continuously with </w:t>
      </w:r>
      <w:r w:rsidR="000A0A02" w:rsidRPr="00B55390">
        <w:rPr>
          <w:b/>
          <w:bCs/>
        </w:rPr>
        <w:t>TECFIDERA</w:t>
      </w:r>
      <w:r w:rsidRPr="00B55390">
        <w:rPr>
          <w:b/>
          <w:bCs/>
        </w:rPr>
        <w:t xml:space="preserve"> Twice a Day/Twice a Day (Study 1, Study 2, and Study 3) </w:t>
      </w:r>
    </w:p>
    <w:p w14:paraId="0C2FB7DF" w14:textId="466A7F26" w:rsidR="00A62BD1" w:rsidRPr="00B55390" w:rsidRDefault="00951A7A" w:rsidP="00D67622">
      <w:pPr>
        <w:pStyle w:val="GTCBodyText"/>
      </w:pPr>
      <w:r w:rsidRPr="00B55390">
        <w:rPr>
          <w:noProof/>
        </w:rPr>
        <w:lastRenderedPageBreak/>
        <w:drawing>
          <wp:inline distT="0" distB="0" distL="0" distR="0" wp14:anchorId="7E9CA3C7" wp14:editId="5E9F2754">
            <wp:extent cx="5731510" cy="3863975"/>
            <wp:effectExtent l="0" t="0" r="254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31510" cy="3863975"/>
                    </a:xfrm>
                    <a:prstGeom prst="rect">
                      <a:avLst/>
                    </a:prstGeom>
                  </pic:spPr>
                </pic:pic>
              </a:graphicData>
            </a:graphic>
          </wp:inline>
        </w:drawing>
      </w:r>
    </w:p>
    <w:p w14:paraId="52415075" w14:textId="31102980" w:rsidR="002D3A56" w:rsidRPr="00B55390" w:rsidRDefault="002D3A56" w:rsidP="00D67622">
      <w:pPr>
        <w:pStyle w:val="PINormal"/>
        <w:rPr>
          <w:b/>
          <w:bCs/>
        </w:rPr>
      </w:pPr>
      <w:r w:rsidRPr="00B55390">
        <w:rPr>
          <w:b/>
          <w:bCs/>
        </w:rPr>
        <w:t xml:space="preserve">Figure </w:t>
      </w:r>
      <w:r w:rsidR="00537CFA" w:rsidRPr="00B55390">
        <w:rPr>
          <w:b/>
          <w:bCs/>
        </w:rPr>
        <w:t>2</w:t>
      </w:r>
      <w:r w:rsidRPr="00B55390">
        <w:rPr>
          <w:b/>
          <w:bCs/>
        </w:rPr>
        <w:t xml:space="preserve">: </w:t>
      </w:r>
      <w:proofErr w:type="spellStart"/>
      <w:r w:rsidRPr="00B55390">
        <w:rPr>
          <w:b/>
          <w:bCs/>
        </w:rPr>
        <w:t>Annuali</w:t>
      </w:r>
      <w:r w:rsidR="00336CA4" w:rsidRPr="00B55390">
        <w:rPr>
          <w:b/>
          <w:bCs/>
        </w:rPr>
        <w:t>s</w:t>
      </w:r>
      <w:r w:rsidRPr="00B55390">
        <w:rPr>
          <w:b/>
          <w:bCs/>
        </w:rPr>
        <w:t>ed</w:t>
      </w:r>
      <w:proofErr w:type="spellEnd"/>
      <w:r w:rsidRPr="00B55390">
        <w:rPr>
          <w:b/>
          <w:bCs/>
        </w:rPr>
        <w:t xml:space="preserve"> Adjusted Relapse Rate by Yearly Interval for Placebo/</w:t>
      </w:r>
      <w:r w:rsidR="001E3101" w:rsidRPr="00B55390">
        <w:rPr>
          <w:b/>
          <w:bCs/>
        </w:rPr>
        <w:t>TECFIDERA</w:t>
      </w:r>
      <w:r w:rsidRPr="00B55390">
        <w:rPr>
          <w:b/>
          <w:bCs/>
        </w:rPr>
        <w:t xml:space="preserve"> Patients (Study 1, Study 2, and Study 3)</w:t>
      </w:r>
    </w:p>
    <w:p w14:paraId="2EB876D7" w14:textId="5344C3DF" w:rsidR="002D3A56" w:rsidRPr="00B55390" w:rsidRDefault="00A85904" w:rsidP="00D67622">
      <w:pPr>
        <w:pStyle w:val="GTCBodyText"/>
      </w:pPr>
      <w:r w:rsidRPr="00B55390">
        <w:rPr>
          <w:noProof/>
        </w:rPr>
        <w:drawing>
          <wp:inline distT="0" distB="0" distL="0" distR="0" wp14:anchorId="101B1902" wp14:editId="3393AADE">
            <wp:extent cx="5731510" cy="3899535"/>
            <wp:effectExtent l="0" t="0" r="2540"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31510" cy="3899535"/>
                    </a:xfrm>
                    <a:prstGeom prst="rect">
                      <a:avLst/>
                    </a:prstGeom>
                  </pic:spPr>
                </pic:pic>
              </a:graphicData>
            </a:graphic>
          </wp:inline>
        </w:drawing>
      </w:r>
    </w:p>
    <w:p w14:paraId="54343E6E" w14:textId="45654FD2" w:rsidR="00EB412E" w:rsidRPr="00B55390" w:rsidRDefault="00EB412E" w:rsidP="00D67622">
      <w:pPr>
        <w:pStyle w:val="C-BodyText"/>
      </w:pPr>
    </w:p>
    <w:p w14:paraId="734BEAEF" w14:textId="77777777" w:rsidR="001A3992" w:rsidRPr="00B55390" w:rsidRDefault="001A3992" w:rsidP="00D67622">
      <w:pPr>
        <w:pStyle w:val="Heading2"/>
        <w:rPr>
          <w:lang w:val="en-US"/>
        </w:rPr>
      </w:pPr>
      <w:r w:rsidRPr="00B55390">
        <w:rPr>
          <w:lang w:val="en-US"/>
        </w:rPr>
        <w:t xml:space="preserve">Pharmacokinetic properties </w:t>
      </w:r>
    </w:p>
    <w:p w14:paraId="1648872B" w14:textId="3F9AB769" w:rsidR="0027767B" w:rsidRPr="00B55390" w:rsidRDefault="0027767B" w:rsidP="00D67622">
      <w:pPr>
        <w:pStyle w:val="PINormal"/>
      </w:pPr>
      <w:r w:rsidRPr="00B55390">
        <w:t xml:space="preserve">Orally administered </w:t>
      </w:r>
      <w:r w:rsidR="00B74DEC" w:rsidRPr="00B55390">
        <w:t>di</w:t>
      </w:r>
      <w:r w:rsidR="00301D06" w:rsidRPr="00B55390">
        <w:t>roximel</w:t>
      </w:r>
      <w:r w:rsidR="00B74DEC" w:rsidRPr="00B55390">
        <w:t xml:space="preserve"> fumarate</w:t>
      </w:r>
      <w:r w:rsidRPr="00B55390">
        <w:t xml:space="preserve"> undergoes rapid </w:t>
      </w:r>
      <w:proofErr w:type="spellStart"/>
      <w:r w:rsidRPr="00B55390">
        <w:t>presystemic</w:t>
      </w:r>
      <w:proofErr w:type="spellEnd"/>
      <w:r w:rsidRPr="00B55390">
        <w:t xml:space="preserve"> hydrolysis by </w:t>
      </w:r>
      <w:proofErr w:type="spellStart"/>
      <w:r w:rsidRPr="00B55390">
        <w:t>esterases</w:t>
      </w:r>
      <w:proofErr w:type="spellEnd"/>
      <w:r w:rsidRPr="00B55390">
        <w:t xml:space="preserve"> and is converted to its primary metabolite, </w:t>
      </w:r>
      <w:r w:rsidR="00837054" w:rsidRPr="00B55390">
        <w:t>monomethyl fumarate</w:t>
      </w:r>
      <w:r w:rsidRPr="00B55390">
        <w:t xml:space="preserve">, </w:t>
      </w:r>
      <w:r w:rsidR="00EC63EC" w:rsidRPr="00B55390">
        <w:t>and an inactive metabolite HES</w:t>
      </w:r>
      <w:r w:rsidRPr="00B55390">
        <w:t xml:space="preserve">. </w:t>
      </w:r>
      <w:r w:rsidR="000A0A02" w:rsidRPr="00B55390">
        <w:t>D</w:t>
      </w:r>
      <w:r w:rsidR="00B54161" w:rsidRPr="00B55390">
        <w:t>i</w:t>
      </w:r>
      <w:r w:rsidR="00056619" w:rsidRPr="00B55390">
        <w:t>roximel</w:t>
      </w:r>
      <w:r w:rsidR="00B54161" w:rsidRPr="00B55390">
        <w:t xml:space="preserve"> fumarate</w:t>
      </w:r>
      <w:r w:rsidRPr="00B55390">
        <w:t xml:space="preserve"> is not quantifiable in plasma following oral administration of </w:t>
      </w:r>
      <w:r w:rsidR="004A1AAE" w:rsidRPr="00B55390">
        <w:t>VUMERITY</w:t>
      </w:r>
      <w:r w:rsidRPr="00B55390">
        <w:t>. Therefore</w:t>
      </w:r>
      <w:r w:rsidR="000A0A02" w:rsidRPr="00B55390">
        <w:t>,</w:t>
      </w:r>
      <w:r w:rsidRPr="00B55390">
        <w:t xml:space="preserve"> all pharmacokinetic analyses related to </w:t>
      </w:r>
      <w:r w:rsidR="004A1AAE" w:rsidRPr="00B55390">
        <w:t>VUMERITY</w:t>
      </w:r>
      <w:r w:rsidRPr="00B55390">
        <w:t xml:space="preserve"> were performed with plasma </w:t>
      </w:r>
      <w:r w:rsidR="00837054" w:rsidRPr="00B55390">
        <w:t>monomethyl fumarate</w:t>
      </w:r>
      <w:r w:rsidRPr="00B55390">
        <w:t xml:space="preserve"> concentrations. Pharmacokinetic data were obtained in subjects with </w:t>
      </w:r>
      <w:r w:rsidR="00F938DE" w:rsidRPr="00B55390">
        <w:t>MS</w:t>
      </w:r>
      <w:r w:rsidRPr="00B55390">
        <w:t xml:space="preserve"> and healthy volunteers. </w:t>
      </w:r>
      <w:r w:rsidR="00EC63EC" w:rsidRPr="00B55390">
        <w:t xml:space="preserve">Pharmacokinetic assessment showed that the pharmacokinetic parameters of monomethyl fumarate after administration of 462 mg </w:t>
      </w:r>
      <w:r w:rsidR="006B3116" w:rsidRPr="00B55390">
        <w:t>VUMERITY</w:t>
      </w:r>
      <w:r w:rsidR="003D6E3B" w:rsidRPr="00B55390">
        <w:t xml:space="preserve"> </w:t>
      </w:r>
      <w:r w:rsidR="00EC63EC" w:rsidRPr="00B55390">
        <w:t xml:space="preserve">and 240 mg </w:t>
      </w:r>
      <w:r w:rsidR="00E13D2B" w:rsidRPr="00B55390">
        <w:t>TECFIDERA</w:t>
      </w:r>
      <w:r w:rsidR="00EC63EC" w:rsidRPr="00B55390">
        <w:t xml:space="preserve"> in adults are similar; therefore, </w:t>
      </w:r>
      <w:r w:rsidR="006B3116" w:rsidRPr="00B55390">
        <w:t xml:space="preserve">VUMERITY </w:t>
      </w:r>
      <w:r w:rsidR="00EC63EC" w:rsidRPr="00B55390">
        <w:t xml:space="preserve">is expected to provide a similar overall efficacy and safety profile to </w:t>
      </w:r>
      <w:r w:rsidR="00E13D2B" w:rsidRPr="00B55390">
        <w:t>TECFIDERA</w:t>
      </w:r>
      <w:r w:rsidR="00EC63EC" w:rsidRPr="00B55390">
        <w:t>.</w:t>
      </w:r>
      <w:r w:rsidRPr="00B55390">
        <w:t xml:space="preserve"> </w:t>
      </w:r>
    </w:p>
    <w:p w14:paraId="602D07BE" w14:textId="77777777" w:rsidR="00EB412E" w:rsidRPr="00B55390" w:rsidRDefault="00EB412E" w:rsidP="00D67622">
      <w:pPr>
        <w:pStyle w:val="PINormal"/>
      </w:pPr>
    </w:p>
    <w:p w14:paraId="3A8EF790" w14:textId="77777777" w:rsidR="001A3992" w:rsidRPr="00B55390" w:rsidRDefault="001A3992" w:rsidP="00D67622">
      <w:pPr>
        <w:pStyle w:val="Heading3"/>
      </w:pPr>
      <w:r w:rsidRPr="00B55390">
        <w:t>Absorption</w:t>
      </w:r>
    </w:p>
    <w:p w14:paraId="6C922B68" w14:textId="458ED7F0" w:rsidR="00EC63EC" w:rsidRPr="00B55390" w:rsidRDefault="00EC63EC" w:rsidP="00D67622">
      <w:r w:rsidRPr="00B55390">
        <w:t xml:space="preserve">The median time to reach maximum observed concentration of </w:t>
      </w:r>
      <w:r w:rsidR="00837054" w:rsidRPr="00B55390">
        <w:t>monomethyl fumarate</w:t>
      </w:r>
      <w:r w:rsidRPr="00B55390">
        <w:t xml:space="preserve"> is 2.5 to 3 hours. The peak plasma concentration (</w:t>
      </w:r>
      <w:proofErr w:type="spellStart"/>
      <w:r w:rsidRPr="00B55390">
        <w:t>C</w:t>
      </w:r>
      <w:r w:rsidRPr="00B55390">
        <w:rPr>
          <w:vertAlign w:val="subscript"/>
        </w:rPr>
        <w:t>max</w:t>
      </w:r>
      <w:proofErr w:type="spellEnd"/>
      <w:r w:rsidRPr="00B55390">
        <w:t xml:space="preserve">) and overall exposure (area under the concentration-time curve [AUC]) increased dose proportionally in the dose range studied (49 mg to 980 mg). Following administration of VUMERITY 462 mg twice a day in MS patients (Study A301), the mean </w:t>
      </w:r>
      <w:proofErr w:type="spellStart"/>
      <w:r w:rsidRPr="00B55390">
        <w:t>C</w:t>
      </w:r>
      <w:r w:rsidRPr="00B55390">
        <w:rPr>
          <w:vertAlign w:val="subscript"/>
        </w:rPr>
        <w:t>max</w:t>
      </w:r>
      <w:proofErr w:type="spellEnd"/>
      <w:r w:rsidRPr="00B55390">
        <w:t xml:space="preserve"> of </w:t>
      </w:r>
      <w:r w:rsidR="00837054" w:rsidRPr="00B55390">
        <w:t>monomethyl fumarate</w:t>
      </w:r>
      <w:r w:rsidRPr="00B55390">
        <w:t xml:space="preserve"> was 2.11 mg/L. The mean area under the concentration-time curve from time 0 to time of the last measurable concentration (</w:t>
      </w:r>
      <w:proofErr w:type="spellStart"/>
      <w:r w:rsidRPr="00B55390">
        <w:t>AUC</w:t>
      </w:r>
      <w:r w:rsidRPr="00B55390">
        <w:rPr>
          <w:vertAlign w:val="subscript"/>
        </w:rPr>
        <w:t>last</w:t>
      </w:r>
      <w:proofErr w:type="spellEnd"/>
      <w:r w:rsidRPr="00B55390">
        <w:rPr>
          <w:vertAlign w:val="subscript"/>
        </w:rPr>
        <w:t>)</w:t>
      </w:r>
      <w:r w:rsidRPr="00B55390">
        <w:t xml:space="preserve"> after a morning dose in MS patients was 4.15 mg*hr/L. The mean steady state daily AUC (</w:t>
      </w:r>
      <w:proofErr w:type="spellStart"/>
      <w:r w:rsidRPr="00B55390">
        <w:t>AUC</w:t>
      </w:r>
      <w:r w:rsidRPr="00B55390">
        <w:rPr>
          <w:vertAlign w:val="subscript"/>
        </w:rPr>
        <w:t>ss</w:t>
      </w:r>
      <w:proofErr w:type="spellEnd"/>
      <w:r w:rsidRPr="00B55390">
        <w:t xml:space="preserve">) of </w:t>
      </w:r>
      <w:r w:rsidR="00837054" w:rsidRPr="00B55390">
        <w:t>monomethyl fumarate</w:t>
      </w:r>
      <w:r w:rsidRPr="00B55390">
        <w:t xml:space="preserve"> was estimated to be 8.32 mg*hr/L in MS patients.</w:t>
      </w:r>
    </w:p>
    <w:p w14:paraId="13FEF625" w14:textId="77777777" w:rsidR="00F977E0" w:rsidRPr="00B55390" w:rsidRDefault="00F977E0" w:rsidP="00D67622"/>
    <w:p w14:paraId="2C51FA70" w14:textId="1AED6710" w:rsidR="0027767B" w:rsidRPr="00B55390" w:rsidRDefault="00EC63EC" w:rsidP="00904D28">
      <w:pPr>
        <w:pStyle w:val="C-BodyText"/>
        <w:spacing w:before="0" w:after="0" w:line="240" w:lineRule="auto"/>
      </w:pPr>
      <w:r w:rsidRPr="00B55390">
        <w:rPr>
          <w:rFonts w:ascii="Arial" w:hAnsi="Arial" w:cs="Arial"/>
          <w:sz w:val="22"/>
          <w:szCs w:val="22"/>
        </w:rPr>
        <w:t xml:space="preserve">Co-administration of VUMERITY with a high-fat, high-calorie meal did not affect the AUC of </w:t>
      </w:r>
      <w:r w:rsidR="00837054" w:rsidRPr="00B55390">
        <w:rPr>
          <w:rFonts w:ascii="Arial" w:hAnsi="Arial" w:cs="Arial"/>
          <w:sz w:val="22"/>
          <w:szCs w:val="22"/>
        </w:rPr>
        <w:t>monomethyl fumarate</w:t>
      </w:r>
      <w:r w:rsidRPr="00B55390">
        <w:rPr>
          <w:rFonts w:ascii="Arial" w:hAnsi="Arial" w:cs="Arial"/>
          <w:sz w:val="22"/>
          <w:szCs w:val="22"/>
        </w:rPr>
        <w:t xml:space="preserve"> but resulted in an approximately 44% reduction in </w:t>
      </w:r>
      <w:proofErr w:type="spellStart"/>
      <w:r w:rsidRPr="00B55390">
        <w:rPr>
          <w:rFonts w:ascii="Arial" w:hAnsi="Arial" w:cs="Arial"/>
          <w:sz w:val="22"/>
          <w:szCs w:val="22"/>
        </w:rPr>
        <w:t>C</w:t>
      </w:r>
      <w:r w:rsidRPr="00B55390">
        <w:rPr>
          <w:rFonts w:ascii="Arial" w:hAnsi="Arial" w:cs="Arial"/>
          <w:sz w:val="22"/>
          <w:szCs w:val="22"/>
          <w:vertAlign w:val="subscript"/>
        </w:rPr>
        <w:t>max</w:t>
      </w:r>
      <w:proofErr w:type="spellEnd"/>
      <w:r w:rsidRPr="00B55390">
        <w:rPr>
          <w:rFonts w:ascii="Arial" w:hAnsi="Arial" w:cs="Arial"/>
          <w:sz w:val="22"/>
          <w:szCs w:val="22"/>
          <w:vertAlign w:val="subscript"/>
        </w:rPr>
        <w:t xml:space="preserve"> </w:t>
      </w:r>
      <w:r w:rsidRPr="00B55390">
        <w:rPr>
          <w:rFonts w:ascii="Arial" w:hAnsi="Arial" w:cs="Arial"/>
          <w:sz w:val="22"/>
          <w:szCs w:val="22"/>
        </w:rPr>
        <w:t xml:space="preserve">compared to fasted state. The </w:t>
      </w:r>
      <w:r w:rsidR="00837054" w:rsidRPr="00B55390">
        <w:rPr>
          <w:rFonts w:ascii="Arial" w:hAnsi="Arial" w:cs="Arial"/>
          <w:sz w:val="22"/>
          <w:szCs w:val="22"/>
        </w:rPr>
        <w:t>monomethyl fumarate</w:t>
      </w:r>
      <w:r w:rsidRPr="00B55390">
        <w:rPr>
          <w:rFonts w:ascii="Arial" w:hAnsi="Arial" w:cs="Arial"/>
          <w:sz w:val="22"/>
          <w:szCs w:val="22"/>
        </w:rPr>
        <w:t xml:space="preserve"> </w:t>
      </w:r>
      <w:proofErr w:type="spellStart"/>
      <w:r w:rsidRPr="00B55390">
        <w:rPr>
          <w:rFonts w:ascii="Arial" w:hAnsi="Arial" w:cs="Arial"/>
          <w:sz w:val="22"/>
          <w:szCs w:val="22"/>
        </w:rPr>
        <w:t>C</w:t>
      </w:r>
      <w:r w:rsidRPr="00B55390">
        <w:rPr>
          <w:rFonts w:ascii="Arial" w:hAnsi="Arial" w:cs="Arial"/>
          <w:sz w:val="22"/>
          <w:szCs w:val="22"/>
          <w:vertAlign w:val="subscript"/>
        </w:rPr>
        <w:t>max</w:t>
      </w:r>
      <w:proofErr w:type="spellEnd"/>
      <w:r w:rsidRPr="00B55390">
        <w:rPr>
          <w:rFonts w:ascii="Arial" w:hAnsi="Arial" w:cs="Arial"/>
          <w:sz w:val="22"/>
          <w:szCs w:val="22"/>
        </w:rPr>
        <w:t xml:space="preserve"> with low-fat and medium-fat meals was reduced by approximately 12% and 25%, respectively.</w:t>
      </w:r>
    </w:p>
    <w:p w14:paraId="68C74B82" w14:textId="4C08FD92" w:rsidR="00EB412E" w:rsidRPr="00B55390" w:rsidRDefault="00EB412E" w:rsidP="00D67622">
      <w:pPr>
        <w:pStyle w:val="PINormal"/>
      </w:pPr>
    </w:p>
    <w:p w14:paraId="40A8B7CF" w14:textId="77777777" w:rsidR="001A3992" w:rsidRPr="00B55390" w:rsidRDefault="001A3992" w:rsidP="00D67622">
      <w:pPr>
        <w:pStyle w:val="Heading3"/>
      </w:pPr>
      <w:r w:rsidRPr="00B55390">
        <w:t>Distribution</w:t>
      </w:r>
    </w:p>
    <w:p w14:paraId="7D6A8277" w14:textId="785DE505" w:rsidR="0027767B" w:rsidRPr="00B55390" w:rsidRDefault="00EC63EC" w:rsidP="00D67622">
      <w:pPr>
        <w:pStyle w:val="PINormal"/>
      </w:pPr>
      <w:r w:rsidRPr="00B55390">
        <w:t>The apparent volume of distribution (</w:t>
      </w:r>
      <w:proofErr w:type="spellStart"/>
      <w:r w:rsidRPr="00B55390">
        <w:t>Vd</w:t>
      </w:r>
      <w:proofErr w:type="spellEnd"/>
      <w:r w:rsidRPr="00B55390">
        <w:t xml:space="preserve">) for </w:t>
      </w:r>
      <w:r w:rsidR="00837054" w:rsidRPr="00B55390">
        <w:t>monomethyl fumarate</w:t>
      </w:r>
      <w:r w:rsidRPr="00B55390">
        <w:t xml:space="preserve"> is between 72 L and 83 L in healthy volunteers after administration of VUMERITY. Human plasma protein binding of </w:t>
      </w:r>
      <w:r w:rsidR="00837054" w:rsidRPr="00B55390">
        <w:t>monomethyl fumarate</w:t>
      </w:r>
      <w:r w:rsidRPr="00B55390">
        <w:t xml:space="preserve"> was less than 25% and was not concentration dependent.</w:t>
      </w:r>
      <w:r w:rsidR="0027767B" w:rsidRPr="00B55390">
        <w:t xml:space="preserve"> </w:t>
      </w:r>
    </w:p>
    <w:p w14:paraId="5663A911" w14:textId="77777777" w:rsidR="00EB412E" w:rsidRPr="00B55390" w:rsidRDefault="00EB412E" w:rsidP="00D67622">
      <w:pPr>
        <w:pStyle w:val="PINormal"/>
      </w:pPr>
    </w:p>
    <w:p w14:paraId="4859D8A7" w14:textId="7AC70C9A" w:rsidR="001A3992" w:rsidRPr="00B55390" w:rsidRDefault="0027767B" w:rsidP="00D67622">
      <w:pPr>
        <w:pStyle w:val="Heading3"/>
      </w:pPr>
      <w:r w:rsidRPr="00B55390">
        <w:t>Metabolism</w:t>
      </w:r>
    </w:p>
    <w:p w14:paraId="3E243D2E" w14:textId="0D5C18A4" w:rsidR="00EC63EC" w:rsidRPr="00B55390" w:rsidRDefault="00EC63EC" w:rsidP="00D67622">
      <w:pPr>
        <w:pStyle w:val="PINormal"/>
      </w:pPr>
      <w:r w:rsidRPr="00B55390">
        <w:t xml:space="preserve">In humans, VUMERITY is extensively </w:t>
      </w:r>
      <w:proofErr w:type="spellStart"/>
      <w:r w:rsidRPr="00B55390">
        <w:t>metaboli</w:t>
      </w:r>
      <w:r w:rsidR="00E72794" w:rsidRPr="00B55390">
        <w:t>s</w:t>
      </w:r>
      <w:r w:rsidRPr="00B55390">
        <w:t>ed</w:t>
      </w:r>
      <w:proofErr w:type="spellEnd"/>
      <w:r w:rsidRPr="00B55390">
        <w:t xml:space="preserve"> by </w:t>
      </w:r>
      <w:proofErr w:type="spellStart"/>
      <w:r w:rsidRPr="00B55390">
        <w:t>esterases</w:t>
      </w:r>
      <w:proofErr w:type="spellEnd"/>
      <w:r w:rsidRPr="00B55390">
        <w:t xml:space="preserve">, which are ubiquitous in the GI tract, blood, and tissues, before it reaches the systemic circulation. Esterase metabolism of diroximel fumarate produces both </w:t>
      </w:r>
      <w:r w:rsidR="00837054" w:rsidRPr="00B55390">
        <w:t>monomethyl fumarate</w:t>
      </w:r>
      <w:r w:rsidRPr="00B55390">
        <w:t xml:space="preserve">, the active metabolite, and HES, an inactive metabolite. </w:t>
      </w:r>
    </w:p>
    <w:p w14:paraId="212A056D" w14:textId="77777777" w:rsidR="000A4A21" w:rsidRPr="00B55390" w:rsidRDefault="000A4A21" w:rsidP="00D67622">
      <w:pPr>
        <w:pStyle w:val="PINormal"/>
      </w:pPr>
    </w:p>
    <w:p w14:paraId="4279F41D" w14:textId="45E6AC3B" w:rsidR="0027767B" w:rsidRPr="00B55390" w:rsidRDefault="00EC63EC" w:rsidP="00D67622">
      <w:pPr>
        <w:pStyle w:val="PINormal"/>
      </w:pPr>
      <w:r w:rsidRPr="00B55390">
        <w:t xml:space="preserve">Further metabolism of </w:t>
      </w:r>
      <w:r w:rsidR="00837054" w:rsidRPr="00B55390">
        <w:t>monomethyl fumarate</w:t>
      </w:r>
      <w:r w:rsidRPr="00B55390">
        <w:t xml:space="preserve"> occurs through </w:t>
      </w:r>
      <w:proofErr w:type="spellStart"/>
      <w:r w:rsidRPr="00B55390">
        <w:t>esterases</w:t>
      </w:r>
      <w:proofErr w:type="spellEnd"/>
      <w:r w:rsidRPr="00B55390">
        <w:t xml:space="preserve"> followed by the TCA cycle, with no involvement of the CYP system. Fumaric and citric acid, and glucose are the major metabolites of </w:t>
      </w:r>
      <w:r w:rsidR="00837054" w:rsidRPr="00B55390">
        <w:t>monomethyl fumarate</w:t>
      </w:r>
      <w:r w:rsidRPr="00B55390">
        <w:t xml:space="preserve"> in plasma.</w:t>
      </w:r>
    </w:p>
    <w:p w14:paraId="71FE3528" w14:textId="1406B0D8" w:rsidR="0027767B" w:rsidRPr="00B55390" w:rsidRDefault="0027767B" w:rsidP="00D67622">
      <w:pPr>
        <w:pStyle w:val="PINormal"/>
      </w:pPr>
    </w:p>
    <w:p w14:paraId="61422F1D" w14:textId="4D9801EF" w:rsidR="0001034A" w:rsidRPr="00B55390" w:rsidRDefault="0027767B" w:rsidP="00D67622">
      <w:pPr>
        <w:pStyle w:val="Heading3"/>
      </w:pPr>
      <w:r w:rsidRPr="00B55390">
        <w:t>Excretion</w:t>
      </w:r>
    </w:p>
    <w:p w14:paraId="4A75C8E5" w14:textId="6FE8FFE0" w:rsidR="00EC63EC" w:rsidRPr="00B55390" w:rsidRDefault="00EC63EC" w:rsidP="00D67622">
      <w:pPr>
        <w:pStyle w:val="PINormal"/>
      </w:pPr>
      <w:r w:rsidRPr="00B55390">
        <w:t xml:space="preserve">Monomethyl fumarate is mainly eliminated as carbon dioxide in the expired air with only trace amounts recovered in urine. The terminal half-life (t1/2) of </w:t>
      </w:r>
      <w:r w:rsidR="00837054" w:rsidRPr="00B55390">
        <w:t>monomethyl fumarate</w:t>
      </w:r>
      <w:r w:rsidRPr="00B55390">
        <w:t xml:space="preserve"> is approximately 1 hour, and no accumulation in </w:t>
      </w:r>
      <w:r w:rsidR="00837054" w:rsidRPr="00B55390">
        <w:t>monomethyl fumarate</w:t>
      </w:r>
      <w:r w:rsidRPr="00B55390">
        <w:t xml:space="preserve"> plasma exposures occurred with multiple doses of VUMERITY. In a study with dimethyl fumarate, exhalation of CO2 was determined to be the primary route of elimination accounting for approximately 60% of the dose. Renal and fecal elimination are secondary routes of elimination, accounting for 15.5% and 0.9% of the dose, respectively.</w:t>
      </w:r>
    </w:p>
    <w:p w14:paraId="6E24A2C2" w14:textId="77777777" w:rsidR="00962BCD" w:rsidRPr="00B55390" w:rsidRDefault="00962BCD" w:rsidP="00D67622">
      <w:pPr>
        <w:pStyle w:val="PINormal"/>
      </w:pPr>
    </w:p>
    <w:p w14:paraId="4655F185" w14:textId="77777777" w:rsidR="00962BCD" w:rsidRPr="00B55390" w:rsidRDefault="00EC63EC" w:rsidP="00D67622">
      <w:pPr>
        <w:pStyle w:val="PINormal"/>
      </w:pPr>
      <w:r w:rsidRPr="00B55390">
        <w:t xml:space="preserve">HES is eliminated from plasma with a t1/2 of 10.7 hours to 14.8 hours. HES is mainly eliminated in urine. </w:t>
      </w:r>
    </w:p>
    <w:p w14:paraId="4C9D2D86" w14:textId="77777777" w:rsidR="00962BCD" w:rsidRPr="00B55390" w:rsidRDefault="00962BCD" w:rsidP="00D67622">
      <w:pPr>
        <w:pStyle w:val="PINormal"/>
      </w:pPr>
    </w:p>
    <w:p w14:paraId="75BE100C" w14:textId="77777777" w:rsidR="0027767B" w:rsidRPr="00B55390" w:rsidRDefault="0027767B" w:rsidP="00D67622">
      <w:pPr>
        <w:pStyle w:val="PINormal"/>
      </w:pPr>
      <w:bookmarkStart w:id="22" w:name="Xpress_Internal_277"/>
      <w:bookmarkEnd w:id="22"/>
    </w:p>
    <w:p w14:paraId="0C1B5688" w14:textId="77777777" w:rsidR="00EC63EC" w:rsidRPr="00B55390" w:rsidRDefault="00EC63EC" w:rsidP="00D67622">
      <w:pPr>
        <w:pStyle w:val="Heading3"/>
      </w:pPr>
      <w:r w:rsidRPr="00B55390">
        <w:t>Linearity</w:t>
      </w:r>
    </w:p>
    <w:p w14:paraId="5622AEA4" w14:textId="07AA99C9" w:rsidR="0027767B" w:rsidRDefault="00EC63EC" w:rsidP="00D67622">
      <w:pPr>
        <w:pStyle w:val="PINormal"/>
      </w:pPr>
      <w:r w:rsidRPr="00B55390">
        <w:t>VUMERITY exposure increases in an approximately dose proportional manner with single and multiple doses in the 49 to 980 mg dose range studied.</w:t>
      </w:r>
    </w:p>
    <w:p w14:paraId="36DA7343" w14:textId="77777777" w:rsidR="000D3F19" w:rsidRPr="00B55390" w:rsidRDefault="000D3F19" w:rsidP="00D67622">
      <w:pPr>
        <w:pStyle w:val="PINormal"/>
      </w:pPr>
    </w:p>
    <w:p w14:paraId="7655815B" w14:textId="77777777" w:rsidR="00513236" w:rsidRPr="00B55390" w:rsidRDefault="00513236" w:rsidP="00D67622">
      <w:pPr>
        <w:pStyle w:val="Heading3"/>
      </w:pPr>
      <w:r w:rsidRPr="00B55390">
        <w:t>Body Weight, Gender and Age</w:t>
      </w:r>
    </w:p>
    <w:p w14:paraId="49507399" w14:textId="58AD266A" w:rsidR="00513236" w:rsidRPr="00B55390" w:rsidRDefault="00513236" w:rsidP="00D67622">
      <w:pPr>
        <w:pStyle w:val="PINormal"/>
      </w:pPr>
      <w:bookmarkStart w:id="23" w:name="Xpress_Internal_Empty285"/>
      <w:bookmarkStart w:id="24" w:name="Xpress_Internal_286"/>
      <w:bookmarkEnd w:id="23"/>
      <w:bookmarkEnd w:id="24"/>
      <w:r w:rsidRPr="00B55390">
        <w:t xml:space="preserve">Body weight is the main covariate of exposure (by </w:t>
      </w:r>
      <w:proofErr w:type="spellStart"/>
      <w:r w:rsidRPr="00B55390">
        <w:t>C</w:t>
      </w:r>
      <w:bookmarkStart w:id="25" w:name="Emphasis_43_Subscript"/>
      <w:r w:rsidRPr="00B55390">
        <w:rPr>
          <w:vertAlign w:val="subscript"/>
        </w:rPr>
        <w:t>max</w:t>
      </w:r>
      <w:bookmarkEnd w:id="25"/>
      <w:proofErr w:type="spellEnd"/>
      <w:r w:rsidRPr="00B55390">
        <w:t xml:space="preserve"> and AUC) of </w:t>
      </w:r>
      <w:r w:rsidR="00837054" w:rsidRPr="00B55390">
        <w:t>monomethyl fumarate</w:t>
      </w:r>
      <w:r w:rsidRPr="00B55390">
        <w:t xml:space="preserve"> after administration of VUMERITY and </w:t>
      </w:r>
      <w:r w:rsidR="00F32772" w:rsidRPr="00B55390">
        <w:t>TECFIDERA</w:t>
      </w:r>
      <w:r w:rsidRPr="00B55390">
        <w:t xml:space="preserve">, however it did not affect safety and efficacy measures evaluated in the clinical studies. Gender, </w:t>
      </w:r>
      <w:proofErr w:type="gramStart"/>
      <w:r w:rsidRPr="00B55390">
        <w:t>age</w:t>
      </w:r>
      <w:proofErr w:type="gramEnd"/>
      <w:r w:rsidRPr="00B55390">
        <w:t xml:space="preserve"> and race did not have a statistically significant impact on </w:t>
      </w:r>
      <w:proofErr w:type="spellStart"/>
      <w:r w:rsidRPr="00B55390">
        <w:t>C</w:t>
      </w:r>
      <w:r w:rsidRPr="00B55390">
        <w:rPr>
          <w:vertAlign w:val="subscript"/>
        </w:rPr>
        <w:t>max</w:t>
      </w:r>
      <w:proofErr w:type="spellEnd"/>
      <w:r w:rsidRPr="00B55390">
        <w:t xml:space="preserve"> and AUC.</w:t>
      </w:r>
      <w:bookmarkStart w:id="26" w:name="Xpress_Internal_Empty286"/>
      <w:bookmarkEnd w:id="26"/>
    </w:p>
    <w:p w14:paraId="35FF9EFB" w14:textId="2A82E4F7" w:rsidR="00AA5A48" w:rsidRPr="00B55390" w:rsidRDefault="00AA5A48" w:rsidP="00D67622">
      <w:pPr>
        <w:pStyle w:val="PINormal"/>
      </w:pPr>
    </w:p>
    <w:p w14:paraId="4CA36200" w14:textId="43E5EBCA" w:rsidR="0066678A" w:rsidRPr="00B55390" w:rsidRDefault="0066678A" w:rsidP="00D67622">
      <w:pPr>
        <w:pStyle w:val="Heading3"/>
      </w:pPr>
      <w:r w:rsidRPr="00B55390">
        <w:t>Paediatric</w:t>
      </w:r>
    </w:p>
    <w:p w14:paraId="38F37249" w14:textId="75502FAB" w:rsidR="00AA5A48" w:rsidRPr="00B55390" w:rsidRDefault="0066678A" w:rsidP="00D67622">
      <w:pPr>
        <w:pStyle w:val="PINormal"/>
      </w:pPr>
      <w:r w:rsidRPr="00B55390">
        <w:t xml:space="preserve">The PK profile of monomethyl fumarate after administration of VUMERITY has not been studied. The PK profile of monomethyl fumarate after administration of VUMERITY is anticipated to be similar between adults and </w:t>
      </w:r>
      <w:proofErr w:type="spellStart"/>
      <w:r w:rsidRPr="00B55390">
        <w:t>paediatric</w:t>
      </w:r>
      <w:proofErr w:type="spellEnd"/>
      <w:r w:rsidRPr="00B55390">
        <w:t xml:space="preserve"> patients. The PK profile of monomethyl fumarate after administration of dimethyl fumarate 240 mg twice a day in </w:t>
      </w:r>
      <w:proofErr w:type="spellStart"/>
      <w:r w:rsidRPr="00B55390">
        <w:t>paediatric</w:t>
      </w:r>
      <w:proofErr w:type="spellEnd"/>
      <w:r w:rsidRPr="00B55390">
        <w:t xml:space="preserve"> patients with RRMS was evaluated in an open-label single arm study in patients aged 13-17 years (n=21). The PK of dimethyl fumarate in these patients was consistent with that previously observed in adult patients.</w:t>
      </w:r>
    </w:p>
    <w:p w14:paraId="7B853088" w14:textId="77777777" w:rsidR="00AA5A48" w:rsidRPr="00B55390" w:rsidRDefault="00AA5A48" w:rsidP="00D67622">
      <w:pPr>
        <w:pStyle w:val="PINormal"/>
      </w:pPr>
    </w:p>
    <w:p w14:paraId="547C8404" w14:textId="77777777" w:rsidR="00EC63EC" w:rsidRPr="00B55390" w:rsidRDefault="00EC63EC" w:rsidP="00D67622">
      <w:pPr>
        <w:pStyle w:val="Heading3"/>
      </w:pPr>
      <w:r w:rsidRPr="00B55390">
        <w:t>Race and Ethnicity</w:t>
      </w:r>
      <w:bookmarkStart w:id="27" w:name="Xpress_Internal_Empty287"/>
      <w:bookmarkStart w:id="28" w:name="Xpress_Internal_288"/>
      <w:bookmarkEnd w:id="27"/>
      <w:bookmarkEnd w:id="28"/>
    </w:p>
    <w:p w14:paraId="33FB67A1" w14:textId="146A8AEF" w:rsidR="0027767B" w:rsidRPr="00B55390" w:rsidRDefault="00814A4E" w:rsidP="00D67622">
      <w:pPr>
        <w:pStyle w:val="PINormal"/>
      </w:pPr>
      <w:r w:rsidRPr="00B55390">
        <w:t xml:space="preserve">Race and ethnicity have no effect on the PK of </w:t>
      </w:r>
      <w:r w:rsidR="00837054" w:rsidRPr="00B55390">
        <w:t>monomethyl fumarate</w:t>
      </w:r>
      <w:r w:rsidRPr="00B55390">
        <w:t xml:space="preserve"> after administration of </w:t>
      </w:r>
      <w:r w:rsidR="00950EF6" w:rsidRPr="00B55390">
        <w:t>TECFIDERA</w:t>
      </w:r>
      <w:r w:rsidRPr="00B55390">
        <w:t xml:space="preserve">. Limited data suggest no effect of race and ethnicity on the PK of </w:t>
      </w:r>
      <w:r w:rsidR="00837054" w:rsidRPr="00B55390">
        <w:t>monomethyl fumarate</w:t>
      </w:r>
      <w:r w:rsidRPr="00B55390">
        <w:t xml:space="preserve"> after administration of VUMERITY</w:t>
      </w:r>
      <w:r w:rsidR="003D41D5" w:rsidRPr="00B55390">
        <w:t>.</w:t>
      </w:r>
      <w:r w:rsidR="0027767B" w:rsidRPr="00B55390">
        <w:t xml:space="preserve"> </w:t>
      </w:r>
    </w:p>
    <w:p w14:paraId="4EC36387" w14:textId="77777777" w:rsidR="0027767B" w:rsidRPr="00B55390" w:rsidRDefault="0027767B" w:rsidP="00D67622">
      <w:pPr>
        <w:pStyle w:val="PINormal"/>
      </w:pPr>
    </w:p>
    <w:p w14:paraId="01E23B84" w14:textId="77777777" w:rsidR="00EC63EC" w:rsidRPr="00B55390" w:rsidRDefault="00EC63EC" w:rsidP="00D67622">
      <w:pPr>
        <w:pStyle w:val="Heading3"/>
      </w:pPr>
      <w:bookmarkStart w:id="29" w:name="Emphasis_47_Italic"/>
      <w:r w:rsidRPr="00B55390">
        <w:t>Renal Impairment</w:t>
      </w:r>
      <w:bookmarkStart w:id="30" w:name="Xpress_Internal_Empty291"/>
      <w:bookmarkStart w:id="31" w:name="Xpress_Internal_292"/>
      <w:bookmarkEnd w:id="29"/>
      <w:bookmarkEnd w:id="30"/>
      <w:bookmarkEnd w:id="31"/>
    </w:p>
    <w:p w14:paraId="5F11E542" w14:textId="2D6664C4" w:rsidR="00EC63EC" w:rsidRPr="00B55390" w:rsidRDefault="00EC63EC" w:rsidP="00D67622">
      <w:pPr>
        <w:pStyle w:val="PINormal"/>
      </w:pPr>
      <w:r w:rsidRPr="00B55390">
        <w:t xml:space="preserve">A single-dose clinical study investigating the effect of renal impairment on the PK of the VUMERITY metabolites </w:t>
      </w:r>
      <w:r w:rsidR="00837054" w:rsidRPr="00B55390">
        <w:t>monomethyl fumarate</w:t>
      </w:r>
      <w:r w:rsidRPr="00B55390">
        <w:t xml:space="preserve"> and HES was conducted. The study included cohorts with mild, moderate, and severe renal impairment and a healthy cohort and found no clinically relevant changes in </w:t>
      </w:r>
      <w:r w:rsidR="00837054" w:rsidRPr="00B55390">
        <w:t>monomethyl fumarate</w:t>
      </w:r>
      <w:r w:rsidRPr="00B55390">
        <w:t xml:space="preserve"> exposure. HES exposure increased by 1.3-, 1.8-, and 2.7-fold with mild, moderate, and severe renal impairment, respectively. In EVOLVE</w:t>
      </w:r>
      <w:r w:rsidRPr="00B55390">
        <w:noBreakHyphen/>
        <w:t>MS-1, there were 205 subjects with mild renal impairment (glomerular filtration rate &lt; 90 mL/min/1.73cm</w:t>
      </w:r>
      <w:r w:rsidRPr="00B55390">
        <w:rPr>
          <w:vertAlign w:val="superscript"/>
        </w:rPr>
        <w:t>3</w:t>
      </w:r>
      <w:r w:rsidRPr="00B55390">
        <w:t xml:space="preserve"> and ≥60 mL/min/1.73cm</w:t>
      </w:r>
      <w:r w:rsidRPr="00B55390">
        <w:rPr>
          <w:vertAlign w:val="superscript"/>
        </w:rPr>
        <w:t>3</w:t>
      </w:r>
      <w:r w:rsidRPr="00B55390">
        <w:t>) at the time of data cutoff, and there were no clinically relevant differences in safety findings in this group as compared to subjects with no renal impairment. There are no data available on long-term use of VUMERITY in patients with moderate or severe renal impairment.</w:t>
      </w:r>
    </w:p>
    <w:p w14:paraId="4C347956" w14:textId="77777777" w:rsidR="000F698C" w:rsidRPr="00B55390" w:rsidRDefault="000F698C" w:rsidP="00D67622">
      <w:pPr>
        <w:pStyle w:val="PINormal"/>
      </w:pPr>
    </w:p>
    <w:p w14:paraId="4C94F88F" w14:textId="77777777" w:rsidR="00EC63EC" w:rsidRPr="00B55390" w:rsidRDefault="00EC63EC" w:rsidP="00D67622">
      <w:pPr>
        <w:pStyle w:val="Heading3"/>
      </w:pPr>
      <w:bookmarkStart w:id="32" w:name="Xpress_Internal_293"/>
      <w:bookmarkStart w:id="33" w:name="Emphasis_48_Italic"/>
      <w:bookmarkEnd w:id="32"/>
      <w:r w:rsidRPr="00B55390">
        <w:t>Hepatic Impairment</w:t>
      </w:r>
      <w:bookmarkStart w:id="34" w:name="Xpress_Internal_Empty293"/>
      <w:bookmarkStart w:id="35" w:name="Xpress_Internal_294"/>
      <w:bookmarkEnd w:id="33"/>
      <w:bookmarkEnd w:id="34"/>
      <w:bookmarkEnd w:id="35"/>
    </w:p>
    <w:p w14:paraId="0A105FCB" w14:textId="24536790" w:rsidR="00EC63EC" w:rsidRPr="00B55390" w:rsidRDefault="00EC63EC" w:rsidP="00D67622">
      <w:r w:rsidRPr="00B55390">
        <w:t xml:space="preserve">As </w:t>
      </w:r>
      <w:r w:rsidR="00B54161" w:rsidRPr="00B55390">
        <w:t>diroximel fumarate</w:t>
      </w:r>
      <w:r w:rsidRPr="00B55390">
        <w:t xml:space="preserve"> and </w:t>
      </w:r>
      <w:r w:rsidR="00837054" w:rsidRPr="00B55390">
        <w:t>monomethyl fumarate</w:t>
      </w:r>
      <w:r w:rsidRPr="00B55390">
        <w:t xml:space="preserve"> are metaboli</w:t>
      </w:r>
      <w:r w:rsidR="00FF6FBA" w:rsidRPr="00B55390">
        <w:t>s</w:t>
      </w:r>
      <w:r w:rsidRPr="00B55390">
        <w:t xml:space="preserve">ed by </w:t>
      </w:r>
      <w:proofErr w:type="spellStart"/>
      <w:r w:rsidRPr="00B55390">
        <w:t>esterases</w:t>
      </w:r>
      <w:proofErr w:type="spellEnd"/>
      <w:r w:rsidRPr="00B55390">
        <w:t xml:space="preserve">, without the involvement of CYP450 system, hepatic impairment is not expected to affect exposure to </w:t>
      </w:r>
      <w:r w:rsidR="00837054" w:rsidRPr="00B55390">
        <w:t>monomethyl fumarate</w:t>
      </w:r>
      <w:r w:rsidRPr="00B55390">
        <w:t xml:space="preserve"> and HES. Therefore, no studies have been conducted in subjects with hepatic impairment and no dosage adjustment is necessary.</w:t>
      </w:r>
    </w:p>
    <w:p w14:paraId="347503CB" w14:textId="5DC9FE5E" w:rsidR="00EB412E" w:rsidRPr="00B55390" w:rsidRDefault="00EB412E" w:rsidP="00D67622">
      <w:pPr>
        <w:rPr>
          <w:lang w:val="en-US"/>
        </w:rPr>
      </w:pPr>
    </w:p>
    <w:p w14:paraId="345344E6" w14:textId="77777777" w:rsidR="007A3A5D" w:rsidRPr="00B55390" w:rsidRDefault="007A3A5D" w:rsidP="00D67622">
      <w:pPr>
        <w:pStyle w:val="Heading3"/>
        <w:rPr>
          <w:lang w:val="en-US"/>
        </w:rPr>
      </w:pPr>
      <w:r w:rsidRPr="00B55390">
        <w:rPr>
          <w:lang w:val="en-US"/>
        </w:rPr>
        <w:t>Alcohol</w:t>
      </w:r>
    </w:p>
    <w:p w14:paraId="3430ECDC" w14:textId="54C6EF63" w:rsidR="00756766" w:rsidRPr="00B55390" w:rsidRDefault="007A3A5D" w:rsidP="00D67622">
      <w:pPr>
        <w:pStyle w:val="PINormal"/>
      </w:pPr>
      <w:bookmarkStart w:id="36" w:name="_Hlk20928683"/>
      <w:r w:rsidRPr="00B55390">
        <w:t xml:space="preserve">Administration of VUMERITY at the same time with 5% v/v and 40% v/v ethanol did not alter total </w:t>
      </w:r>
      <w:r w:rsidR="004C03AD" w:rsidRPr="00B55390">
        <w:t>monomethyl fumarate</w:t>
      </w:r>
      <w:r w:rsidRPr="00B55390">
        <w:t xml:space="preserve"> exposure relative to administration with water, demonstrating that </w:t>
      </w:r>
      <w:r w:rsidRPr="00B55390">
        <w:lastRenderedPageBreak/>
        <w:t>the co</w:t>
      </w:r>
      <w:r w:rsidR="00756766" w:rsidRPr="00B55390">
        <w:t>-</w:t>
      </w:r>
      <w:r w:rsidRPr="00B55390">
        <w:t xml:space="preserve">ingestion of ethanol does not induce dose dumping. The mean peak plasma </w:t>
      </w:r>
      <w:r w:rsidR="00406462" w:rsidRPr="00B55390">
        <w:t>monomethyl fumarate</w:t>
      </w:r>
      <w:r w:rsidRPr="00B55390">
        <w:t xml:space="preserve"> concentration for diroximel fumarate was decreased by 9% and 21%, when co</w:t>
      </w:r>
      <w:r w:rsidR="00756766" w:rsidRPr="00B55390">
        <w:t>-</w:t>
      </w:r>
      <w:r w:rsidRPr="00B55390">
        <w:t>administered with 240 mL of 5% v/v and 40% v/v of ethanol, respectively.</w:t>
      </w:r>
      <w:bookmarkEnd w:id="36"/>
    </w:p>
    <w:p w14:paraId="358ECD0B" w14:textId="77777777" w:rsidR="001A3992" w:rsidRPr="00B55390" w:rsidRDefault="001A3992" w:rsidP="00D67622">
      <w:pPr>
        <w:pStyle w:val="Heading2"/>
        <w:rPr>
          <w:lang w:val="en-US"/>
        </w:rPr>
      </w:pPr>
      <w:r w:rsidRPr="00B55390">
        <w:t>Preclinical safety</w:t>
      </w:r>
      <w:r w:rsidRPr="00B55390">
        <w:rPr>
          <w:lang w:val="en-US"/>
        </w:rPr>
        <w:t xml:space="preserve"> data</w:t>
      </w:r>
    </w:p>
    <w:p w14:paraId="425CFB3C" w14:textId="1295B700" w:rsidR="001A3992" w:rsidRPr="00B55390" w:rsidRDefault="001A3992" w:rsidP="00D67622">
      <w:pPr>
        <w:pStyle w:val="Heading3"/>
      </w:pPr>
      <w:r w:rsidRPr="00B55390">
        <w:t>Genotoxicity</w:t>
      </w:r>
    </w:p>
    <w:p w14:paraId="0F112FF8" w14:textId="2C373D55" w:rsidR="00AE0DDD" w:rsidRPr="00B55390" w:rsidRDefault="00962BCD" w:rsidP="00D67622">
      <w:pPr>
        <w:pStyle w:val="PINormal"/>
      </w:pPr>
      <w:r w:rsidRPr="00B55390">
        <w:t>D</w:t>
      </w:r>
      <w:r w:rsidR="00B54161" w:rsidRPr="00B55390">
        <w:t>iroximel fumarate</w:t>
      </w:r>
      <w:r w:rsidR="00EC63EC" w:rsidRPr="00B55390">
        <w:t xml:space="preserve"> was not mutagenic in the </w:t>
      </w:r>
      <w:r w:rsidR="00EC63EC" w:rsidRPr="00B55390">
        <w:rPr>
          <w:i/>
          <w:iCs/>
        </w:rPr>
        <w:t>in vitro</w:t>
      </w:r>
      <w:r w:rsidR="00EC63EC" w:rsidRPr="00B55390">
        <w:t xml:space="preserve"> bacterial reverse mutation assay. It was clastogenic in the </w:t>
      </w:r>
      <w:r w:rsidR="00EC63EC" w:rsidRPr="00B55390">
        <w:rPr>
          <w:i/>
          <w:iCs/>
        </w:rPr>
        <w:t>in vitro</w:t>
      </w:r>
      <w:r w:rsidR="00EC63EC" w:rsidRPr="00B55390">
        <w:t xml:space="preserve"> chromosomal aberration assay in human peripheral blood lymphocytes, but not clastogenic/genotoxic </w:t>
      </w:r>
      <w:r w:rsidR="00EC63EC" w:rsidRPr="00B55390">
        <w:rPr>
          <w:i/>
          <w:iCs/>
        </w:rPr>
        <w:t>in vivo</w:t>
      </w:r>
      <w:r w:rsidR="00EC63EC" w:rsidRPr="00B55390">
        <w:t xml:space="preserve"> in the rat micronucleus and comet assays. The active metabolite, </w:t>
      </w:r>
      <w:r w:rsidR="00837054" w:rsidRPr="00B55390">
        <w:t>monomethyl fumarate</w:t>
      </w:r>
      <w:r w:rsidR="00EC63EC" w:rsidRPr="00B55390">
        <w:t xml:space="preserve">, </w:t>
      </w:r>
      <w:r w:rsidR="005436AA" w:rsidRPr="00B55390">
        <w:t>was</w:t>
      </w:r>
      <w:r w:rsidR="00EC63EC" w:rsidRPr="00B55390">
        <w:t xml:space="preserve"> </w:t>
      </w:r>
      <w:r w:rsidR="005436AA" w:rsidRPr="00B55390">
        <w:t>negative</w:t>
      </w:r>
      <w:r w:rsidR="00EC63EC" w:rsidRPr="00B55390">
        <w:t xml:space="preserve"> in the </w:t>
      </w:r>
      <w:r w:rsidR="00EC63EC" w:rsidRPr="00B55390">
        <w:rPr>
          <w:i/>
          <w:iCs/>
        </w:rPr>
        <w:t>in vitro</w:t>
      </w:r>
      <w:r w:rsidR="00EC63EC" w:rsidRPr="00B55390">
        <w:t xml:space="preserve"> bacterial reverse mutation assay and</w:t>
      </w:r>
      <w:r w:rsidR="00252103" w:rsidRPr="00B55390">
        <w:rPr>
          <w:rFonts w:ascii="Cambria" w:eastAsiaTheme="minorHAnsi" w:hAnsi="Cambria" w:cs="Cambria"/>
          <w:color w:val="000000"/>
          <w:szCs w:val="22"/>
          <w:lang w:val="en-AU"/>
        </w:rPr>
        <w:t xml:space="preserve"> </w:t>
      </w:r>
      <w:r w:rsidR="00252103" w:rsidRPr="00B55390">
        <w:rPr>
          <w:lang w:val="en-AU"/>
        </w:rPr>
        <w:t xml:space="preserve">in an </w:t>
      </w:r>
      <w:r w:rsidR="00252103" w:rsidRPr="00B55390">
        <w:rPr>
          <w:i/>
          <w:iCs/>
          <w:lang w:val="en-AU"/>
        </w:rPr>
        <w:t xml:space="preserve">in vivo </w:t>
      </w:r>
      <w:r w:rsidR="00252103" w:rsidRPr="00B55390">
        <w:rPr>
          <w:lang w:val="en-AU"/>
        </w:rPr>
        <w:t xml:space="preserve">rat bone marrow cytogenetic test but was clastogenic in an </w:t>
      </w:r>
      <w:r w:rsidR="00252103" w:rsidRPr="00B55390">
        <w:rPr>
          <w:i/>
          <w:iCs/>
          <w:lang w:val="en-AU"/>
        </w:rPr>
        <w:t xml:space="preserve">in vitro </w:t>
      </w:r>
      <w:r w:rsidR="00252103" w:rsidRPr="00B55390">
        <w:rPr>
          <w:lang w:val="en-AU"/>
        </w:rPr>
        <w:t xml:space="preserve">chromosomal aberration assay in human peripheral blood lymphocytes. The major inactive metabolite, HES, </w:t>
      </w:r>
      <w:r w:rsidR="009C16A0" w:rsidRPr="00B55390">
        <w:t>was</w:t>
      </w:r>
      <w:r w:rsidR="001D0941" w:rsidRPr="00B55390">
        <w:rPr>
          <w:rFonts w:ascii="Cambria" w:eastAsiaTheme="minorHAnsi" w:hAnsi="Cambria" w:cs="Cambria"/>
          <w:color w:val="000000"/>
          <w:szCs w:val="22"/>
          <w:lang w:val="en-AU"/>
        </w:rPr>
        <w:t xml:space="preserve"> </w:t>
      </w:r>
      <w:r w:rsidR="001D0941" w:rsidRPr="00B55390">
        <w:rPr>
          <w:lang w:val="en-AU"/>
        </w:rPr>
        <w:t xml:space="preserve">not mutagenic in the </w:t>
      </w:r>
      <w:r w:rsidR="001D0941" w:rsidRPr="00B55390">
        <w:rPr>
          <w:i/>
          <w:iCs/>
          <w:lang w:val="en-AU"/>
        </w:rPr>
        <w:t xml:space="preserve">in vitro </w:t>
      </w:r>
      <w:r w:rsidR="001D0941" w:rsidRPr="00B55390">
        <w:rPr>
          <w:lang w:val="en-AU"/>
        </w:rPr>
        <w:t xml:space="preserve">bacterial reverse mutation assay and was </w:t>
      </w:r>
      <w:r w:rsidR="00EC63EC" w:rsidRPr="00B55390">
        <w:t xml:space="preserve">not clastogenic in the </w:t>
      </w:r>
      <w:r w:rsidR="00EC63EC" w:rsidRPr="00B55390">
        <w:rPr>
          <w:i/>
          <w:iCs/>
        </w:rPr>
        <w:t>in vitro</w:t>
      </w:r>
      <w:r w:rsidR="00EC63EC" w:rsidRPr="00B55390">
        <w:t xml:space="preserve"> chromosomal aberration assay in human peripheral blood lymphocytes</w:t>
      </w:r>
      <w:r w:rsidR="00FF0E0E" w:rsidRPr="00B55390">
        <w:t>.</w:t>
      </w:r>
      <w:r w:rsidR="00FF0E0E" w:rsidRPr="00B55390">
        <w:rPr>
          <w:rFonts w:ascii="Cambria" w:eastAsiaTheme="minorHAnsi" w:hAnsi="Cambria" w:cs="Cambria"/>
          <w:color w:val="000000"/>
          <w:szCs w:val="22"/>
          <w:lang w:val="en-AU"/>
        </w:rPr>
        <w:t xml:space="preserve"> </w:t>
      </w:r>
      <w:r w:rsidR="00FF0E0E" w:rsidRPr="00B55390">
        <w:rPr>
          <w:lang w:val="en-AU"/>
        </w:rPr>
        <w:t xml:space="preserve">The weight of evidence does not suggest a risk of genotoxicity in patients, with negative results in </w:t>
      </w:r>
      <w:r w:rsidR="00FF0E0E" w:rsidRPr="00B55390">
        <w:rPr>
          <w:i/>
          <w:iCs/>
          <w:lang w:val="en-AU"/>
        </w:rPr>
        <w:t xml:space="preserve">in vivo </w:t>
      </w:r>
      <w:r w:rsidR="00FF0E0E" w:rsidRPr="00B55390">
        <w:rPr>
          <w:lang w:val="en-AU"/>
        </w:rPr>
        <w:t xml:space="preserve">studies considered more reliable than the inconsistent findings in </w:t>
      </w:r>
      <w:r w:rsidR="00FF0E0E" w:rsidRPr="00B55390">
        <w:rPr>
          <w:i/>
          <w:iCs/>
          <w:lang w:val="en-AU"/>
        </w:rPr>
        <w:t xml:space="preserve">in vitro </w:t>
      </w:r>
      <w:r w:rsidR="00FF0E0E" w:rsidRPr="00B55390">
        <w:rPr>
          <w:lang w:val="en-AU"/>
        </w:rPr>
        <w:t>studies</w:t>
      </w:r>
      <w:r w:rsidR="00EC63EC" w:rsidRPr="00B55390">
        <w:t>.</w:t>
      </w:r>
      <w:r w:rsidR="00AE0DDD" w:rsidRPr="00B55390">
        <w:t xml:space="preserve"> </w:t>
      </w:r>
    </w:p>
    <w:p w14:paraId="33012766" w14:textId="77777777" w:rsidR="007F4633" w:rsidRPr="00B55390" w:rsidRDefault="007F4633" w:rsidP="00D67622">
      <w:pPr>
        <w:pStyle w:val="PINormal"/>
      </w:pPr>
    </w:p>
    <w:p w14:paraId="4E514E45" w14:textId="0229A46E" w:rsidR="001A3992" w:rsidRPr="00B55390" w:rsidRDefault="001A3992" w:rsidP="00D67622">
      <w:pPr>
        <w:pStyle w:val="Heading3"/>
      </w:pPr>
      <w:r w:rsidRPr="00B55390">
        <w:t>Carcinogenicity</w:t>
      </w:r>
    </w:p>
    <w:p w14:paraId="5E38963D" w14:textId="7D56E0A5" w:rsidR="00EC63EC" w:rsidRPr="002B3F0F" w:rsidRDefault="00EC63EC" w:rsidP="00D67622">
      <w:pPr>
        <w:pStyle w:val="PINormal"/>
      </w:pPr>
      <w:r w:rsidRPr="00B55390">
        <w:t xml:space="preserve">Carcinogenicity studies of </w:t>
      </w:r>
      <w:r w:rsidR="00B54161" w:rsidRPr="00B55390">
        <w:t>diroximel fumarate</w:t>
      </w:r>
      <w:r w:rsidRPr="00B55390">
        <w:t xml:space="preserve"> were conducted in transgenic </w:t>
      </w:r>
      <w:r w:rsidRPr="00B55390">
        <w:rPr>
          <w:i/>
          <w:iCs/>
        </w:rPr>
        <w:t>ras</w:t>
      </w:r>
      <w:r w:rsidRPr="00B55390">
        <w:t>H2 mice and in rats.</w:t>
      </w:r>
      <w:r w:rsidR="00B14520" w:rsidRPr="00B55390">
        <w:rPr>
          <w:rFonts w:eastAsia="Arial"/>
          <w:szCs w:val="22"/>
        </w:rPr>
        <w:t xml:space="preserve"> </w:t>
      </w:r>
      <w:r w:rsidR="00B14520" w:rsidRPr="00B55390">
        <w:rPr>
          <w:lang w:val="en-AU"/>
        </w:rPr>
        <w:t xml:space="preserve">Maximum exposures to MMF were low in rats and male mice </w:t>
      </w:r>
      <w:r w:rsidR="00B14520" w:rsidRPr="00B55390">
        <w:rPr>
          <w:lang w:val="en-AU"/>
        </w:rPr>
        <w:br/>
        <w:t>(2</w:t>
      </w:r>
      <w:r w:rsidR="00260403" w:rsidRPr="002B3F0F">
        <w:rPr>
          <w:lang w:val="en-AU"/>
        </w:rPr>
        <w:t>×</w:t>
      </w:r>
      <w:r w:rsidR="00CA6A2E" w:rsidRPr="002B3F0F">
        <w:rPr>
          <w:lang w:val="en-AU"/>
        </w:rPr>
        <w:t xml:space="preserve"> to </w:t>
      </w:r>
      <w:r w:rsidR="001B7478" w:rsidRPr="002B3F0F">
        <w:rPr>
          <w:lang w:val="en-AU"/>
        </w:rPr>
        <w:t>3</w:t>
      </w:r>
      <w:r w:rsidR="00260403" w:rsidRPr="002B3F0F">
        <w:rPr>
          <w:lang w:val="en-AU"/>
        </w:rPr>
        <w:t>×</w:t>
      </w:r>
      <w:r w:rsidR="00B14520" w:rsidRPr="00B55390">
        <w:rPr>
          <w:lang w:val="en-AU"/>
        </w:rPr>
        <w:t xml:space="preserve"> the maximum clinical AUC), and maximum exposures to HES were low in both species (both sexes</w:t>
      </w:r>
      <w:r w:rsidR="007041A2" w:rsidRPr="00B55390">
        <w:rPr>
          <w:lang w:val="en-AU"/>
        </w:rPr>
        <w:t xml:space="preserve">, </w:t>
      </w:r>
      <w:r w:rsidR="006857EB" w:rsidRPr="00B55390">
        <w:rPr>
          <w:lang w:val="en-AU"/>
        </w:rPr>
        <w:t>1</w:t>
      </w:r>
      <w:r w:rsidR="00D2500E" w:rsidRPr="00B55390">
        <w:rPr>
          <w:lang w:val="en-AU"/>
        </w:rPr>
        <w:t>×</w:t>
      </w:r>
      <w:r w:rsidR="00FB5A08" w:rsidRPr="00B55390">
        <w:rPr>
          <w:lang w:val="en-AU"/>
        </w:rPr>
        <w:t xml:space="preserve"> to 4×</w:t>
      </w:r>
      <w:r w:rsidR="00B14520" w:rsidRPr="00B55390">
        <w:rPr>
          <w:lang w:val="en-AU"/>
        </w:rPr>
        <w:t>). More adequate exposures to MMF were seen in female mice (</w:t>
      </w:r>
      <w:r w:rsidR="001063E4" w:rsidRPr="00B55390">
        <w:rPr>
          <w:lang w:val="en-AU"/>
        </w:rPr>
        <w:t xml:space="preserve">exposure </w:t>
      </w:r>
      <w:r w:rsidR="005F0D28" w:rsidRPr="00B55390">
        <w:rPr>
          <w:lang w:val="en-AU"/>
        </w:rPr>
        <w:t>ra</w:t>
      </w:r>
      <w:r w:rsidR="003E56E5" w:rsidRPr="00B55390">
        <w:rPr>
          <w:lang w:val="en-AU"/>
        </w:rPr>
        <w:t>tio</w:t>
      </w:r>
      <w:r w:rsidR="00B14520" w:rsidRPr="00B55390">
        <w:rPr>
          <w:lang w:val="en-AU"/>
        </w:rPr>
        <w:t xml:space="preserve"> </w:t>
      </w:r>
      <w:r w:rsidR="001F6B83" w:rsidRPr="00B55390">
        <w:rPr>
          <w:lang w:val="en-AU"/>
        </w:rPr>
        <w:t>11</w:t>
      </w:r>
      <w:r w:rsidR="00B14520" w:rsidRPr="00B55390">
        <w:rPr>
          <w:lang w:val="en-AU"/>
        </w:rPr>
        <w:t>) that received the limit dose.</w:t>
      </w:r>
      <w:r w:rsidRPr="00B55390">
        <w:t xml:space="preserve"> In transgenic </w:t>
      </w:r>
      <w:r w:rsidRPr="00B55390">
        <w:rPr>
          <w:i/>
          <w:iCs/>
        </w:rPr>
        <w:t>ras</w:t>
      </w:r>
      <w:r w:rsidRPr="00B55390">
        <w:t xml:space="preserve">H2 mice, </w:t>
      </w:r>
      <w:r w:rsidR="00B54161" w:rsidRPr="00B55390">
        <w:t>diroximel fumarate</w:t>
      </w:r>
      <w:r w:rsidRPr="00B55390">
        <w:t xml:space="preserve"> was administered orally to males at doses of 30, 100, or 300 mg/kg/day and to females at doses of 30, 100, 300, or 1000 mg/kg/day for 26 weeks. </w:t>
      </w:r>
      <w:r w:rsidR="00BC28CD" w:rsidRPr="00B55390">
        <w:t>D</w:t>
      </w:r>
      <w:r w:rsidR="00B54161" w:rsidRPr="00B55390">
        <w:t>iroximel fumarate</w:t>
      </w:r>
      <w:r w:rsidRPr="00B55390">
        <w:t xml:space="preserve"> was not carcinogenic in either sex (</w:t>
      </w:r>
      <w:r w:rsidR="00837054" w:rsidRPr="00B55390">
        <w:t>monomethyl fumarate</w:t>
      </w:r>
      <w:r w:rsidRPr="00B55390">
        <w:t xml:space="preserve"> exposure was up to approximately </w:t>
      </w:r>
      <w:r w:rsidRPr="00416838">
        <w:t>3</w:t>
      </w:r>
      <w:r w:rsidR="00260403" w:rsidRPr="00416838">
        <w:rPr>
          <w:lang w:val="en-AU"/>
        </w:rPr>
        <w:t>×</w:t>
      </w:r>
      <w:r w:rsidRPr="00416838">
        <w:t xml:space="preserve"> and 1</w:t>
      </w:r>
      <w:r w:rsidR="00975404">
        <w:t>1</w:t>
      </w:r>
      <w:r w:rsidR="00260403" w:rsidRPr="00416838">
        <w:rPr>
          <w:lang w:val="en-AU"/>
        </w:rPr>
        <w:t>×</w:t>
      </w:r>
      <w:r w:rsidRPr="00416838">
        <w:t xml:space="preserve"> and HES exposure was up to approximately 1</w:t>
      </w:r>
      <w:r w:rsidR="00260403" w:rsidRPr="00416838">
        <w:rPr>
          <w:lang w:val="en-AU"/>
        </w:rPr>
        <w:t>×</w:t>
      </w:r>
      <w:r w:rsidRPr="00416838">
        <w:t xml:space="preserve"> and 4</w:t>
      </w:r>
      <w:r w:rsidR="00260403" w:rsidRPr="00416838">
        <w:rPr>
          <w:lang w:val="en-AU"/>
        </w:rPr>
        <w:t>×</w:t>
      </w:r>
      <w:r w:rsidRPr="00416838">
        <w:t xml:space="preserve"> in males and females, respectively, relative to exposure at the </w:t>
      </w:r>
      <w:r w:rsidR="00F94E13" w:rsidRPr="00416838">
        <w:t>M</w:t>
      </w:r>
      <w:r w:rsidRPr="00416838">
        <w:t xml:space="preserve">RHD of </w:t>
      </w:r>
      <w:r w:rsidR="00B54161" w:rsidRPr="00416838">
        <w:t>diroximel fumarate</w:t>
      </w:r>
      <w:r w:rsidRPr="00416838">
        <w:t xml:space="preserve"> on an AUC basis). In the rat study, </w:t>
      </w:r>
      <w:r w:rsidR="00B54161" w:rsidRPr="00416838">
        <w:t>diroximel f</w:t>
      </w:r>
      <w:r w:rsidR="00B54161" w:rsidRPr="002B3F0F">
        <w:t>umarate</w:t>
      </w:r>
      <w:r w:rsidRPr="002B3F0F">
        <w:t xml:space="preserve"> was administered orally at doses of 15, 50, or 150 mg/kg/day to male and female animals for 90 and 94 weeks, respectively. </w:t>
      </w:r>
      <w:r w:rsidR="00E74440" w:rsidRPr="002B3F0F">
        <w:t>D</w:t>
      </w:r>
      <w:r w:rsidR="00B54161" w:rsidRPr="002B3F0F">
        <w:t>iroximel fumarate</w:t>
      </w:r>
      <w:r w:rsidRPr="002B3F0F">
        <w:t xml:space="preserve"> was not carcinogenic in female rats; in males, </w:t>
      </w:r>
      <w:r w:rsidR="00B54161" w:rsidRPr="002B3F0F">
        <w:t>diroximel fumarate</w:t>
      </w:r>
      <w:r w:rsidRPr="002B3F0F">
        <w:t xml:space="preserve"> increased the incidence of testicular Leydig cell adenomas at 150 mg/kg/day (</w:t>
      </w:r>
      <w:r w:rsidR="00837054" w:rsidRPr="002B3F0F">
        <w:t>monomethyl fumarate</w:t>
      </w:r>
      <w:r w:rsidRPr="002B3F0F">
        <w:t xml:space="preserve"> </w:t>
      </w:r>
      <w:r w:rsidR="00E74440" w:rsidRPr="002B3F0F">
        <w:t xml:space="preserve">and HES </w:t>
      </w:r>
      <w:r w:rsidRPr="002B3F0F">
        <w:t>exposure was approximately 2</w:t>
      </w:r>
      <w:r w:rsidR="00181D65" w:rsidRPr="002B3F0F">
        <w:rPr>
          <w:lang w:val="en-AU"/>
        </w:rPr>
        <w:t>×</w:t>
      </w:r>
      <w:r w:rsidRPr="002B3F0F">
        <w:t xml:space="preserve"> at the </w:t>
      </w:r>
      <w:r w:rsidR="00E76A8C" w:rsidRPr="002B3F0F">
        <w:t>M</w:t>
      </w:r>
      <w:r w:rsidRPr="002B3F0F">
        <w:t xml:space="preserve">RHD). </w:t>
      </w:r>
    </w:p>
    <w:p w14:paraId="3BE8800C" w14:textId="77777777" w:rsidR="00EC63EC" w:rsidRPr="00B55390" w:rsidRDefault="00EC63EC" w:rsidP="00D67622">
      <w:pPr>
        <w:pStyle w:val="PINormal"/>
      </w:pPr>
    </w:p>
    <w:p w14:paraId="147A8C8B" w14:textId="27B85248" w:rsidR="007F4633" w:rsidRPr="00B55390" w:rsidRDefault="00EC63EC" w:rsidP="00D67622">
      <w:pPr>
        <w:pStyle w:val="PINormal"/>
      </w:pPr>
      <w:r w:rsidRPr="00B55390">
        <w:t xml:space="preserve">Leydig cell adenomas have been reported in male rats following treatment with </w:t>
      </w:r>
      <w:r w:rsidR="00B54161" w:rsidRPr="00B55390">
        <w:t>dimethyl fumarate</w:t>
      </w:r>
      <w:r w:rsidRPr="00B55390">
        <w:t>.</w:t>
      </w:r>
      <w:r w:rsidR="00B23727" w:rsidRPr="00B55390">
        <w:t xml:space="preserve"> The rat is particularly sensitive to developing this </w:t>
      </w:r>
      <w:proofErr w:type="spellStart"/>
      <w:r w:rsidR="00B23727" w:rsidRPr="00B55390">
        <w:t>tumour</w:t>
      </w:r>
      <w:proofErr w:type="spellEnd"/>
      <w:r w:rsidR="00B23727" w:rsidRPr="00B55390">
        <w:t xml:space="preserve"> type and the relevance of these findings to human risk is considered low.</w:t>
      </w:r>
      <w:r w:rsidR="00B23727" w:rsidRPr="00B55390">
        <w:rPr>
          <w:szCs w:val="22"/>
        </w:rPr>
        <w:t xml:space="preserve"> </w:t>
      </w:r>
      <w:bookmarkStart w:id="37" w:name="c4c06323-d7b3-4cb6-a4d3-04bd00c24122"/>
      <w:bookmarkStart w:id="38" w:name="38c3e564-8089-43b8-a153-c934454af88b"/>
      <w:bookmarkStart w:id="39" w:name="93f5fc5a-104e-4623-b5a6-11a8dff15163"/>
      <w:bookmarkStart w:id="40" w:name="Xpress_Internal_Empty334"/>
      <w:bookmarkStart w:id="41" w:name="Xpress_Internal_335"/>
      <w:bookmarkStart w:id="42" w:name="73c2affe-60b3-471b-8034-9a9b624620c9"/>
      <w:bookmarkEnd w:id="37"/>
      <w:bookmarkEnd w:id="38"/>
      <w:bookmarkEnd w:id="39"/>
      <w:bookmarkEnd w:id="40"/>
      <w:bookmarkEnd w:id="41"/>
      <w:bookmarkEnd w:id="42"/>
    </w:p>
    <w:p w14:paraId="74739CCE" w14:textId="77777777" w:rsidR="001A3992" w:rsidRPr="00B55390" w:rsidRDefault="001A3992" w:rsidP="00D67622">
      <w:pPr>
        <w:pStyle w:val="Heading1"/>
        <w:rPr>
          <w:lang w:val="en-US"/>
        </w:rPr>
      </w:pPr>
      <w:r w:rsidRPr="00B55390">
        <w:rPr>
          <w:lang w:val="en-US"/>
        </w:rPr>
        <w:t>Pharmaceutical particulars</w:t>
      </w:r>
    </w:p>
    <w:p w14:paraId="12537670" w14:textId="77777777" w:rsidR="001A3992" w:rsidRPr="00B55390" w:rsidRDefault="001A3992" w:rsidP="00D67622">
      <w:pPr>
        <w:pStyle w:val="Heading2"/>
        <w:rPr>
          <w:lang w:val="en-US"/>
        </w:rPr>
      </w:pPr>
      <w:r w:rsidRPr="00B55390">
        <w:rPr>
          <w:lang w:val="en-US"/>
        </w:rPr>
        <w:t xml:space="preserve">List of excipients </w:t>
      </w:r>
    </w:p>
    <w:p w14:paraId="496EC804" w14:textId="77777777" w:rsidR="00EC63EC" w:rsidRPr="00B55390" w:rsidRDefault="00EC63EC" w:rsidP="00D67622">
      <w:pPr>
        <w:pStyle w:val="PINormal"/>
        <w:rPr>
          <w:u w:val="single"/>
        </w:rPr>
      </w:pPr>
      <w:r w:rsidRPr="00B55390">
        <w:rPr>
          <w:u w:val="single"/>
        </w:rPr>
        <w:t>Capsule contents (enteric-coated minitablets)</w:t>
      </w:r>
    </w:p>
    <w:p w14:paraId="39FC1539" w14:textId="77777777" w:rsidR="00EC63EC" w:rsidRPr="00B55390" w:rsidRDefault="00EC63EC" w:rsidP="00D67622">
      <w:pPr>
        <w:pStyle w:val="PINormal"/>
      </w:pPr>
    </w:p>
    <w:p w14:paraId="16C70865" w14:textId="0DB1B1B6" w:rsidR="00EC63EC" w:rsidRPr="00B55390" w:rsidRDefault="00EC63EC" w:rsidP="00D67622">
      <w:pPr>
        <w:pStyle w:val="PINormal"/>
      </w:pPr>
      <w:r w:rsidRPr="00B55390">
        <w:t xml:space="preserve">Methacrylic acid-ethyl acrylate copolymer (1: 1) </w:t>
      </w:r>
    </w:p>
    <w:p w14:paraId="6C99D89D" w14:textId="77777777" w:rsidR="00EC63EC" w:rsidRPr="00B55390" w:rsidRDefault="00EC63EC" w:rsidP="00D67622">
      <w:pPr>
        <w:pStyle w:val="PINormal"/>
      </w:pPr>
      <w:proofErr w:type="spellStart"/>
      <w:r w:rsidRPr="00B55390">
        <w:t>Crospovidone</w:t>
      </w:r>
      <w:proofErr w:type="spellEnd"/>
    </w:p>
    <w:p w14:paraId="6517FBA4" w14:textId="10561967" w:rsidR="00EC63EC" w:rsidRPr="00B55390" w:rsidRDefault="005566F8" w:rsidP="00D67622">
      <w:pPr>
        <w:pStyle w:val="PINormal"/>
      </w:pPr>
      <w:r w:rsidRPr="00B55390">
        <w:t>Microcrystalline cellulose</w:t>
      </w:r>
    </w:p>
    <w:p w14:paraId="641D9F1D" w14:textId="5CA323E5" w:rsidR="00EC63EC" w:rsidRPr="00B55390" w:rsidRDefault="005566F8" w:rsidP="00D67622">
      <w:pPr>
        <w:pStyle w:val="PINormal"/>
      </w:pPr>
      <w:r w:rsidRPr="00B55390">
        <w:t>C</w:t>
      </w:r>
      <w:r w:rsidR="00EC63EC" w:rsidRPr="00B55390">
        <w:t>olloidal anhydrous</w:t>
      </w:r>
      <w:r w:rsidR="005E677A" w:rsidRPr="00B55390">
        <w:t xml:space="preserve"> silica</w:t>
      </w:r>
    </w:p>
    <w:p w14:paraId="5F6E01E3" w14:textId="77777777" w:rsidR="00EC63EC" w:rsidRPr="00B55390" w:rsidRDefault="00EC63EC" w:rsidP="00D67622">
      <w:pPr>
        <w:pStyle w:val="PINormal"/>
      </w:pPr>
      <w:r w:rsidRPr="00B55390">
        <w:t>Triethyl citrate</w:t>
      </w:r>
    </w:p>
    <w:p w14:paraId="1A4B3FF4" w14:textId="69813C9B" w:rsidR="00EC63EC" w:rsidRPr="00B55390" w:rsidRDefault="004C1081" w:rsidP="00D67622">
      <w:pPr>
        <w:pStyle w:val="PINormal"/>
      </w:pPr>
      <w:r w:rsidRPr="00B55390">
        <w:t>Purified t</w:t>
      </w:r>
      <w:r w:rsidR="00EC63EC" w:rsidRPr="00B55390">
        <w:t>alc</w:t>
      </w:r>
    </w:p>
    <w:p w14:paraId="53E128FD" w14:textId="7B9F79FA" w:rsidR="00EC63EC" w:rsidRPr="00B55390" w:rsidRDefault="00EC63EC" w:rsidP="00D67622">
      <w:pPr>
        <w:pStyle w:val="PINormal"/>
      </w:pPr>
      <w:r w:rsidRPr="00B55390">
        <w:t>Magnesium stearate</w:t>
      </w:r>
    </w:p>
    <w:p w14:paraId="7FEE5855" w14:textId="77777777" w:rsidR="00EC63EC" w:rsidRPr="00B55390" w:rsidRDefault="00EC63EC" w:rsidP="00D67622">
      <w:pPr>
        <w:pStyle w:val="PINormal"/>
      </w:pPr>
    </w:p>
    <w:p w14:paraId="75BFC0B1" w14:textId="713D3B13" w:rsidR="00EC63EC" w:rsidRPr="00B55390" w:rsidRDefault="00EC63EC" w:rsidP="00D67622">
      <w:pPr>
        <w:pStyle w:val="PINormal"/>
        <w:rPr>
          <w:u w:val="single"/>
        </w:rPr>
      </w:pPr>
      <w:r w:rsidRPr="00B55390">
        <w:rPr>
          <w:u w:val="single"/>
        </w:rPr>
        <w:t>Capsule shell</w:t>
      </w:r>
    </w:p>
    <w:p w14:paraId="58504467" w14:textId="77777777" w:rsidR="00EC63EC" w:rsidRPr="00B55390" w:rsidRDefault="00EC63EC" w:rsidP="00D67622">
      <w:pPr>
        <w:pStyle w:val="PINormal"/>
      </w:pPr>
    </w:p>
    <w:p w14:paraId="1A5D183C" w14:textId="77777777" w:rsidR="00EC63EC" w:rsidRPr="00B55390" w:rsidRDefault="00EC63EC" w:rsidP="00D67622">
      <w:pPr>
        <w:pStyle w:val="PINormal"/>
      </w:pPr>
      <w:r w:rsidRPr="00B55390">
        <w:t>Hypromellose</w:t>
      </w:r>
    </w:p>
    <w:p w14:paraId="00777018" w14:textId="388008AB" w:rsidR="00EC63EC" w:rsidRPr="00B55390" w:rsidRDefault="00EC63EC" w:rsidP="00D67622">
      <w:pPr>
        <w:pStyle w:val="PINormal"/>
      </w:pPr>
      <w:r w:rsidRPr="00B55390">
        <w:t>Titanium dioxide</w:t>
      </w:r>
    </w:p>
    <w:p w14:paraId="01140856" w14:textId="77777777" w:rsidR="00EC63EC" w:rsidRPr="00B55390" w:rsidRDefault="00EC63EC" w:rsidP="00D67622">
      <w:pPr>
        <w:pStyle w:val="PINormal"/>
      </w:pPr>
      <w:r w:rsidRPr="00B55390">
        <w:t>Potassium chloride</w:t>
      </w:r>
    </w:p>
    <w:p w14:paraId="789086E2" w14:textId="77777777" w:rsidR="00EC63EC" w:rsidRPr="00B55390" w:rsidRDefault="00EC63EC" w:rsidP="00D67622">
      <w:pPr>
        <w:pStyle w:val="PINormal"/>
      </w:pPr>
      <w:r w:rsidRPr="00B55390">
        <w:t>Carrageenan</w:t>
      </w:r>
    </w:p>
    <w:p w14:paraId="5B9387EB" w14:textId="77777777" w:rsidR="00EC63EC" w:rsidRPr="00B55390" w:rsidRDefault="00EC63EC" w:rsidP="00D67622">
      <w:pPr>
        <w:pStyle w:val="PINormal"/>
      </w:pPr>
    </w:p>
    <w:p w14:paraId="7CB29B08" w14:textId="3A979DC4" w:rsidR="00775205" w:rsidRPr="00B55390" w:rsidRDefault="0054120D" w:rsidP="00D67622">
      <w:pPr>
        <w:pStyle w:val="PINormal"/>
      </w:pPr>
      <w:proofErr w:type="spellStart"/>
      <w:r w:rsidRPr="00B55390">
        <w:t>TekPrint</w:t>
      </w:r>
      <w:proofErr w:type="spellEnd"/>
      <w:r w:rsidRPr="00B55390">
        <w:t xml:space="preserve"> SW-9008 Black Ink (capsule print</w:t>
      </w:r>
      <w:r w:rsidR="005D2590" w:rsidRPr="00B55390">
        <w:t xml:space="preserve"> – Proprietary</w:t>
      </w:r>
      <w:r w:rsidR="000C535B" w:rsidRPr="00B55390">
        <w:t xml:space="preserve"> Ingredient</w:t>
      </w:r>
      <w:r w:rsidR="005D2590" w:rsidRPr="00B55390">
        <w:t xml:space="preserve"> </w:t>
      </w:r>
      <w:r w:rsidR="008E6730" w:rsidRPr="00B55390">
        <w:t>ID 2343</w:t>
      </w:r>
      <w:r w:rsidRPr="00B55390">
        <w:t>)</w:t>
      </w:r>
    </w:p>
    <w:p w14:paraId="6AF27D63" w14:textId="77777777" w:rsidR="001A3992" w:rsidRPr="00B55390" w:rsidRDefault="001A3992" w:rsidP="00D67622">
      <w:pPr>
        <w:pStyle w:val="Heading2"/>
        <w:rPr>
          <w:lang w:val="en-US"/>
        </w:rPr>
      </w:pPr>
      <w:r w:rsidRPr="00B55390">
        <w:rPr>
          <w:lang w:val="en-US"/>
        </w:rPr>
        <w:t xml:space="preserve">Incompatibilities </w:t>
      </w:r>
    </w:p>
    <w:p w14:paraId="1C473A1B" w14:textId="57C15B73" w:rsidR="00802AB0" w:rsidRPr="00B55390" w:rsidRDefault="00113622" w:rsidP="00D67622">
      <w:pPr>
        <w:pStyle w:val="PINormal"/>
      </w:pPr>
      <w:r w:rsidRPr="00B55390">
        <w:t xml:space="preserve">Incompatibilities were either not assessed or not identified as part of the registration of this medicine. </w:t>
      </w:r>
    </w:p>
    <w:p w14:paraId="40DE1512" w14:textId="77777777" w:rsidR="001A3992" w:rsidRPr="00B55390" w:rsidRDefault="001A3992" w:rsidP="00D67622">
      <w:pPr>
        <w:pStyle w:val="Heading2"/>
        <w:rPr>
          <w:lang w:val="en-US"/>
        </w:rPr>
      </w:pPr>
      <w:r w:rsidRPr="00B55390">
        <w:rPr>
          <w:lang w:val="en-US"/>
        </w:rPr>
        <w:t xml:space="preserve">Shelf life </w:t>
      </w:r>
    </w:p>
    <w:p w14:paraId="7CF2276E" w14:textId="63FCA4F9" w:rsidR="00802AB0" w:rsidRPr="00B55390" w:rsidRDefault="00497C85" w:rsidP="00D67622">
      <w:pPr>
        <w:pStyle w:val="PINormal"/>
      </w:pPr>
      <w:r w:rsidRPr="00B55390">
        <w:t>In Australia, information on the shelf life can be found on the public summary of the Australian Register of Therapeutic Goods (ARTG). The expiry date can be fo</w:t>
      </w:r>
      <w:r w:rsidR="00742FC9" w:rsidRPr="00B55390">
        <w:t>und on the packaging.</w:t>
      </w:r>
    </w:p>
    <w:p w14:paraId="32B0ADD5" w14:textId="77777777" w:rsidR="001A3992" w:rsidRPr="00B55390" w:rsidRDefault="001A3992" w:rsidP="00D67622">
      <w:pPr>
        <w:pStyle w:val="Heading2"/>
        <w:rPr>
          <w:lang w:val="en-US"/>
        </w:rPr>
      </w:pPr>
      <w:r w:rsidRPr="00B55390">
        <w:rPr>
          <w:lang w:val="en-US"/>
        </w:rPr>
        <w:t xml:space="preserve">Special precautions for storage </w:t>
      </w:r>
    </w:p>
    <w:p w14:paraId="44FDEECB" w14:textId="77777777" w:rsidR="00EC63EC" w:rsidRPr="00B55390" w:rsidRDefault="00EC63EC" w:rsidP="00D67622">
      <w:pPr>
        <w:pStyle w:val="PINormal"/>
      </w:pPr>
      <w:r w:rsidRPr="00B55390">
        <w:t>Store below 25°C.</w:t>
      </w:r>
    </w:p>
    <w:p w14:paraId="5CBEC925" w14:textId="77777777" w:rsidR="00EC63EC" w:rsidRPr="00B55390" w:rsidRDefault="00EC63EC" w:rsidP="00D67622">
      <w:pPr>
        <w:pStyle w:val="PINormal"/>
      </w:pPr>
    </w:p>
    <w:p w14:paraId="4C81E602" w14:textId="01F21445" w:rsidR="00802AB0" w:rsidRPr="00B55390" w:rsidRDefault="0054120D" w:rsidP="00D67622">
      <w:pPr>
        <w:pStyle w:val="PINormal"/>
      </w:pPr>
      <w:r w:rsidRPr="00B55390">
        <w:t>Store in original bottle to protect from moisture.</w:t>
      </w:r>
    </w:p>
    <w:p w14:paraId="073A6221" w14:textId="77777777" w:rsidR="001A3992" w:rsidRPr="00B55390" w:rsidRDefault="001A3992" w:rsidP="00D67622">
      <w:pPr>
        <w:pStyle w:val="Heading2"/>
        <w:rPr>
          <w:lang w:val="en-US"/>
        </w:rPr>
      </w:pPr>
      <w:r w:rsidRPr="00B55390">
        <w:rPr>
          <w:lang w:val="en-US"/>
        </w:rPr>
        <w:t xml:space="preserve">Nature and contents of container </w:t>
      </w:r>
    </w:p>
    <w:p w14:paraId="59B4A033" w14:textId="1FA9C80C" w:rsidR="00EC63EC" w:rsidRDefault="00EC63EC" w:rsidP="00D67622">
      <w:pPr>
        <w:pStyle w:val="PINormal"/>
      </w:pPr>
      <w:r w:rsidRPr="00B55390">
        <w:t xml:space="preserve">HDPE bottle with a </w:t>
      </w:r>
      <w:r w:rsidR="0054120D" w:rsidRPr="00B55390">
        <w:t>polypropylene lid</w:t>
      </w:r>
      <w:r w:rsidRPr="00B55390">
        <w:t xml:space="preserve"> and silica gel desiccant. </w:t>
      </w:r>
    </w:p>
    <w:p w14:paraId="4F6C3D1D" w14:textId="77777777" w:rsidR="00DB73BE" w:rsidRPr="00B55390" w:rsidRDefault="00DB73BE" w:rsidP="00D67622">
      <w:pPr>
        <w:pStyle w:val="PINormal"/>
      </w:pPr>
    </w:p>
    <w:p w14:paraId="0172A5F0" w14:textId="71A84558" w:rsidR="00EC63EC" w:rsidRPr="00B55390" w:rsidRDefault="00EC63EC" w:rsidP="00D67622">
      <w:pPr>
        <w:pStyle w:val="PINormal"/>
      </w:pPr>
      <w:r w:rsidRPr="00B55390">
        <w:t>Pack-size</w:t>
      </w:r>
      <w:r w:rsidR="00F231DC" w:rsidRPr="00B55390">
        <w:t xml:space="preserve"> of </w:t>
      </w:r>
      <w:r w:rsidRPr="00B55390">
        <w:t>120 capsules.</w:t>
      </w:r>
    </w:p>
    <w:p w14:paraId="56815172" w14:textId="77777777" w:rsidR="001A3992" w:rsidRPr="00B55390" w:rsidRDefault="001A3992" w:rsidP="00D67622">
      <w:pPr>
        <w:pStyle w:val="Heading2"/>
        <w:rPr>
          <w:lang w:val="en-US"/>
        </w:rPr>
      </w:pPr>
      <w:r w:rsidRPr="00B55390">
        <w:rPr>
          <w:lang w:val="en-US"/>
        </w:rPr>
        <w:t xml:space="preserve">Special precautions for disposal </w:t>
      </w:r>
    </w:p>
    <w:p w14:paraId="035DFD99" w14:textId="6D5F088B" w:rsidR="00775205" w:rsidRPr="00B55390" w:rsidRDefault="00497C85" w:rsidP="00D67622">
      <w:pPr>
        <w:pStyle w:val="PINormal"/>
      </w:pPr>
      <w:r w:rsidRPr="00B55390">
        <w:t>In Australia, any unused medicine or waste material should be disposed of by taking to</w:t>
      </w:r>
      <w:r w:rsidR="0001034A" w:rsidRPr="00B55390">
        <w:t xml:space="preserve"> your local pharmacy.</w:t>
      </w:r>
    </w:p>
    <w:p w14:paraId="47D67959" w14:textId="77777777" w:rsidR="001A3992" w:rsidRPr="00B55390" w:rsidRDefault="001A3992" w:rsidP="00D67622">
      <w:pPr>
        <w:pStyle w:val="Heading2"/>
        <w:rPr>
          <w:lang w:val="en-US"/>
        </w:rPr>
      </w:pPr>
      <w:r w:rsidRPr="00B55390">
        <w:rPr>
          <w:lang w:val="en-US"/>
        </w:rPr>
        <w:t>Physicochemical properties</w:t>
      </w:r>
    </w:p>
    <w:p w14:paraId="5F322699" w14:textId="083E37C7" w:rsidR="00AE0DDD" w:rsidRPr="00B55390" w:rsidRDefault="004554A9" w:rsidP="00D67622">
      <w:pPr>
        <w:pStyle w:val="Heading3"/>
      </w:pPr>
      <w:r w:rsidRPr="00B55390">
        <w:t>Chemical structure</w:t>
      </w:r>
    </w:p>
    <w:p w14:paraId="21FF9952" w14:textId="6D61FD10" w:rsidR="00AE0DDD" w:rsidRPr="00B55390" w:rsidRDefault="00EC63EC" w:rsidP="00D67622">
      <w:pPr>
        <w:pStyle w:val="PINormal"/>
      </w:pPr>
      <w:r w:rsidRPr="00B55390">
        <w:t>C</w:t>
      </w:r>
      <w:r w:rsidRPr="00B55390">
        <w:rPr>
          <w:vertAlign w:val="subscript"/>
        </w:rPr>
        <w:t>11</w:t>
      </w:r>
      <w:r w:rsidRPr="00B55390">
        <w:t>H</w:t>
      </w:r>
      <w:r w:rsidRPr="00B55390">
        <w:rPr>
          <w:vertAlign w:val="subscript"/>
        </w:rPr>
        <w:t>13</w:t>
      </w:r>
      <w:r w:rsidRPr="00B55390">
        <w:t>NO</w:t>
      </w:r>
      <w:r w:rsidRPr="00B55390">
        <w:rPr>
          <w:vertAlign w:val="subscript"/>
        </w:rPr>
        <w:t>6</w:t>
      </w:r>
      <w:r w:rsidRPr="00B55390">
        <w:t>, 2-Butenedioic acid (2E)-, 1-[2-(2,5-dioxo-1-</w:t>
      </w:r>
      <w:proofErr w:type="gramStart"/>
      <w:r w:rsidRPr="00B55390">
        <w:t>pyrrolidinyl)ethyl</w:t>
      </w:r>
      <w:proofErr w:type="gramEnd"/>
      <w:r w:rsidRPr="00B55390">
        <w:t>] 4-methyl ester, molecular mass 255.22 grams/mole.</w:t>
      </w:r>
    </w:p>
    <w:p w14:paraId="65A99B2E" w14:textId="56503B9D" w:rsidR="00AE0DDD" w:rsidRPr="00B55390" w:rsidRDefault="00EC63EC" w:rsidP="00D67622">
      <w:pPr>
        <w:pStyle w:val="PINormal"/>
        <w:rPr>
          <w:noProof/>
        </w:rPr>
      </w:pPr>
      <w:r w:rsidRPr="00B55390">
        <w:rPr>
          <w:noProof/>
        </w:rPr>
        <w:drawing>
          <wp:inline distT="0" distB="0" distL="0" distR="0" wp14:anchorId="148E9657" wp14:editId="1E875CC1">
            <wp:extent cx="2923540" cy="11715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5">
                      <a:extLst>
                        <a:ext uri="{28A0092B-C50C-407E-A947-70E740481C1C}">
                          <a14:useLocalDpi xmlns:a14="http://schemas.microsoft.com/office/drawing/2010/main" val="0"/>
                        </a:ext>
                      </a:extLst>
                    </a:blip>
                    <a:stretch>
                      <a:fillRect/>
                    </a:stretch>
                  </pic:blipFill>
                  <pic:spPr>
                    <a:xfrm>
                      <a:off x="0" y="0"/>
                      <a:ext cx="2923540" cy="1171575"/>
                    </a:xfrm>
                    <a:prstGeom prst="rect">
                      <a:avLst/>
                    </a:prstGeom>
                  </pic:spPr>
                </pic:pic>
              </a:graphicData>
            </a:graphic>
          </wp:inline>
        </w:drawing>
      </w:r>
    </w:p>
    <w:p w14:paraId="781CC8AC" w14:textId="45CFF754" w:rsidR="00F24F97" w:rsidRPr="00B55390" w:rsidRDefault="00F24F97" w:rsidP="00D67622">
      <w:pPr>
        <w:pStyle w:val="PINormal"/>
      </w:pPr>
    </w:p>
    <w:p w14:paraId="034B72A9" w14:textId="77777777" w:rsidR="001A3992" w:rsidRPr="00B55390" w:rsidRDefault="001A3992" w:rsidP="00D67622">
      <w:pPr>
        <w:pStyle w:val="Heading3"/>
        <w:rPr>
          <w:lang w:val="en-US"/>
        </w:rPr>
      </w:pPr>
      <w:r w:rsidRPr="00B55390">
        <w:rPr>
          <w:lang w:val="en-US"/>
        </w:rPr>
        <w:t>CAS number</w:t>
      </w:r>
    </w:p>
    <w:p w14:paraId="7EFC96C7" w14:textId="1D7042EE" w:rsidR="00775205" w:rsidRPr="00B55390" w:rsidRDefault="007330AF" w:rsidP="00D67622">
      <w:pPr>
        <w:pStyle w:val="PINormal"/>
      </w:pPr>
      <w:r w:rsidRPr="00B55390">
        <w:t xml:space="preserve">The CAS Registry Number is </w:t>
      </w:r>
      <w:r w:rsidR="0054120D" w:rsidRPr="00B55390">
        <w:t>1577222-14-0</w:t>
      </w:r>
      <w:r w:rsidRPr="00B55390">
        <w:t xml:space="preserve">. </w:t>
      </w:r>
    </w:p>
    <w:p w14:paraId="3B3151D8" w14:textId="77777777" w:rsidR="001A3992" w:rsidRPr="00B55390" w:rsidRDefault="001A3992" w:rsidP="00D67622">
      <w:pPr>
        <w:pStyle w:val="Heading1"/>
        <w:rPr>
          <w:lang w:val="en-US"/>
        </w:rPr>
      </w:pPr>
      <w:r w:rsidRPr="00B55390">
        <w:rPr>
          <w:lang w:val="en-US"/>
        </w:rPr>
        <w:lastRenderedPageBreak/>
        <w:t>Medicine schedule (Poisons Standard)</w:t>
      </w:r>
    </w:p>
    <w:p w14:paraId="1F0C60EB" w14:textId="23125BF9" w:rsidR="00E72179" w:rsidRPr="00B55390" w:rsidRDefault="00F24F97" w:rsidP="00D67622">
      <w:pPr>
        <w:pStyle w:val="PINormal"/>
      </w:pPr>
      <w:r w:rsidRPr="00B55390">
        <w:t>Schedule 4 – Pre</w:t>
      </w:r>
      <w:r w:rsidR="00A77139" w:rsidRPr="00B55390">
        <w:t>s</w:t>
      </w:r>
      <w:r w:rsidRPr="00B55390">
        <w:t>cription Only Medicine</w:t>
      </w:r>
      <w:r w:rsidR="00802AB0" w:rsidRPr="00B55390">
        <w:t>.</w:t>
      </w:r>
    </w:p>
    <w:p w14:paraId="7B58139E" w14:textId="77777777" w:rsidR="001A3992" w:rsidRPr="00B55390" w:rsidRDefault="001A3992" w:rsidP="00D67622">
      <w:pPr>
        <w:pStyle w:val="Heading1"/>
        <w:rPr>
          <w:lang w:val="en-US"/>
        </w:rPr>
      </w:pPr>
      <w:r w:rsidRPr="00B55390">
        <w:rPr>
          <w:lang w:val="en-US"/>
        </w:rPr>
        <w:t>Sponsor</w:t>
      </w:r>
    </w:p>
    <w:p w14:paraId="7CF5943A" w14:textId="77777777" w:rsidR="00F24F97" w:rsidRPr="00B55390" w:rsidRDefault="00F24F97" w:rsidP="00D67622">
      <w:pPr>
        <w:pStyle w:val="PINormal"/>
      </w:pPr>
      <w:r w:rsidRPr="00B55390">
        <w:t>Biogen Australia Pty Ltd</w:t>
      </w:r>
    </w:p>
    <w:p w14:paraId="304F6B32" w14:textId="7CE587AF" w:rsidR="0054120D" w:rsidRPr="00B55390" w:rsidRDefault="00F24F97" w:rsidP="00D67622">
      <w:pPr>
        <w:pStyle w:val="PINormal"/>
      </w:pPr>
      <w:r w:rsidRPr="00B55390">
        <w:t>ABN 30 095 760 115</w:t>
      </w:r>
    </w:p>
    <w:p w14:paraId="7A4548FB" w14:textId="490A6EF4" w:rsidR="0054120D" w:rsidRPr="00B55390" w:rsidRDefault="0054120D" w:rsidP="00D67622">
      <w:pPr>
        <w:pStyle w:val="PINormal"/>
      </w:pPr>
      <w:r w:rsidRPr="00B55390">
        <w:t>Level 4, 2 Banfield Road</w:t>
      </w:r>
    </w:p>
    <w:p w14:paraId="0064DB09" w14:textId="028DE0DC" w:rsidR="00F24F97" w:rsidRPr="00B55390" w:rsidRDefault="0054120D" w:rsidP="00D67622">
      <w:pPr>
        <w:pStyle w:val="PINormal"/>
      </w:pPr>
      <w:r w:rsidRPr="00B55390">
        <w:t xml:space="preserve">Macquarie Park, NSW 2113. </w:t>
      </w:r>
    </w:p>
    <w:p w14:paraId="17F7FBD1" w14:textId="1F8434A2" w:rsidR="007936D8" w:rsidRPr="00B55390" w:rsidRDefault="007936D8" w:rsidP="00D67622">
      <w:pPr>
        <w:pStyle w:val="PINormal"/>
      </w:pPr>
    </w:p>
    <w:p w14:paraId="2DE3DBB5" w14:textId="6985B90A" w:rsidR="007936D8" w:rsidRPr="00B55390" w:rsidRDefault="007936D8" w:rsidP="00D67622">
      <w:pPr>
        <w:pStyle w:val="PINormal"/>
      </w:pPr>
      <w:r w:rsidRPr="00B55390">
        <w:t>www.biogen.com.au</w:t>
      </w:r>
    </w:p>
    <w:p w14:paraId="3833875E" w14:textId="5C1F89AB" w:rsidR="001A3992" w:rsidRPr="00B55390" w:rsidRDefault="001A3992" w:rsidP="00D67622">
      <w:pPr>
        <w:pStyle w:val="Heading1"/>
        <w:rPr>
          <w:lang w:val="en-US"/>
        </w:rPr>
      </w:pPr>
      <w:r w:rsidRPr="00B55390">
        <w:rPr>
          <w:lang w:val="en-US"/>
        </w:rPr>
        <w:t>Date of first approval</w:t>
      </w:r>
    </w:p>
    <w:p w14:paraId="37423265" w14:textId="447EC5E2" w:rsidR="00EC63EC" w:rsidRPr="00B55390" w:rsidRDefault="00940AA2" w:rsidP="00D67622">
      <w:pPr>
        <w:pStyle w:val="PINormal"/>
      </w:pPr>
      <w:r>
        <w:t>21 March 2022</w:t>
      </w:r>
    </w:p>
    <w:p w14:paraId="2E68F81F" w14:textId="77777777" w:rsidR="00775205" w:rsidRPr="00B55390" w:rsidRDefault="00775205" w:rsidP="00D67622">
      <w:pPr>
        <w:pStyle w:val="PINormal"/>
      </w:pPr>
    </w:p>
    <w:p w14:paraId="0C0381C0" w14:textId="77777777" w:rsidR="001A3992" w:rsidRPr="00B55390" w:rsidRDefault="001A3992" w:rsidP="00D67622">
      <w:pPr>
        <w:pStyle w:val="Heading1"/>
        <w:rPr>
          <w:lang w:val="en-US"/>
        </w:rPr>
      </w:pPr>
      <w:r w:rsidRPr="00B55390">
        <w:rPr>
          <w:lang w:val="en-US"/>
        </w:rPr>
        <w:t xml:space="preserve">Date of revision </w:t>
      </w:r>
    </w:p>
    <w:p w14:paraId="108A5A6A" w14:textId="0AE99CC8" w:rsidR="00E20306" w:rsidRDefault="00CC4111" w:rsidP="00D67622">
      <w:pPr>
        <w:pStyle w:val="PINormal"/>
      </w:pPr>
      <w:r>
        <w:t>N</w:t>
      </w:r>
      <w:r w:rsidR="00F926FC">
        <w:t>/A</w:t>
      </w:r>
    </w:p>
    <w:p w14:paraId="0623A7E0" w14:textId="77777777" w:rsidR="00685F63" w:rsidRPr="00B55390" w:rsidRDefault="00685F63" w:rsidP="00D67622">
      <w:pPr>
        <w:pStyle w:val="PINormal"/>
      </w:pPr>
    </w:p>
    <w:p w14:paraId="65367F72" w14:textId="77777777" w:rsidR="00F24F97" w:rsidRPr="00B55390" w:rsidRDefault="00F24F97" w:rsidP="00D67622">
      <w:pPr>
        <w:pStyle w:val="PINormal"/>
      </w:pPr>
    </w:p>
    <w:p w14:paraId="12586F39" w14:textId="798B85BB" w:rsidR="00197A51" w:rsidRPr="00B55390" w:rsidRDefault="004A1AAE" w:rsidP="00D67622">
      <w:pPr>
        <w:pStyle w:val="PINormal"/>
      </w:pPr>
      <w:r w:rsidRPr="00B55390">
        <w:t>VUMERITY</w:t>
      </w:r>
      <w:r w:rsidR="00097B0E" w:rsidRPr="00B55390">
        <w:rPr>
          <w:vertAlign w:val="superscript"/>
        </w:rPr>
        <w:t>™</w:t>
      </w:r>
      <w:r w:rsidR="00F24F97" w:rsidRPr="00B55390">
        <w:rPr>
          <w:vertAlign w:val="superscript"/>
        </w:rPr>
        <w:t xml:space="preserve"> </w:t>
      </w:r>
      <w:r w:rsidR="00855CD3" w:rsidRPr="00B55390">
        <w:t>is a</w:t>
      </w:r>
      <w:r w:rsidR="00F24F97" w:rsidRPr="00B55390">
        <w:t xml:space="preserve"> trademark of Biogen MA Inc.</w:t>
      </w:r>
    </w:p>
    <w:p w14:paraId="76C43551" w14:textId="6484C346" w:rsidR="00F24F97" w:rsidRPr="00B55390" w:rsidRDefault="00197A51" w:rsidP="00D67622">
      <w:pPr>
        <w:pStyle w:val="PINormal"/>
      </w:pPr>
      <w:r w:rsidRPr="00B55390">
        <w:t>TECFIDERA</w:t>
      </w:r>
      <w:r w:rsidRPr="00B55390">
        <w:rPr>
          <w:rFonts w:eastAsia="SimSun"/>
          <w:vertAlign w:val="superscript"/>
        </w:rPr>
        <w:t>®</w:t>
      </w:r>
      <w:r w:rsidRPr="00B55390">
        <w:rPr>
          <w:rFonts w:eastAsia="SimSun"/>
        </w:rPr>
        <w:t xml:space="preserve"> and Biogen</w:t>
      </w:r>
      <w:r w:rsidR="003B76AF" w:rsidRPr="00B55390">
        <w:rPr>
          <w:rFonts w:eastAsia="SimSun"/>
          <w:vertAlign w:val="superscript"/>
        </w:rPr>
        <w:t>®</w:t>
      </w:r>
      <w:r w:rsidR="003B76AF" w:rsidRPr="00B55390">
        <w:rPr>
          <w:rFonts w:eastAsia="SimSun"/>
        </w:rPr>
        <w:t xml:space="preserve"> are</w:t>
      </w:r>
      <w:r w:rsidR="00F24F97" w:rsidRPr="00B55390">
        <w:t xml:space="preserve"> </w:t>
      </w:r>
      <w:r w:rsidR="003B76AF" w:rsidRPr="00B55390">
        <w:t>registered trademarks of Biogen MA Inc.</w:t>
      </w:r>
    </w:p>
    <w:p w14:paraId="537973E3" w14:textId="77777777" w:rsidR="00775205" w:rsidRPr="00B55390" w:rsidRDefault="00775205" w:rsidP="00D67622">
      <w:pPr>
        <w:pStyle w:val="PINormal"/>
      </w:pPr>
    </w:p>
    <w:p w14:paraId="755FBD81" w14:textId="77777777" w:rsidR="001A3992" w:rsidRPr="00B55390" w:rsidRDefault="001A3992" w:rsidP="00D67622">
      <w:pPr>
        <w:pStyle w:val="Heading2"/>
        <w:rPr>
          <w:lang w:val="en-US"/>
        </w:rPr>
      </w:pPr>
      <w:r w:rsidRPr="00B55390">
        <w:rPr>
          <w:lang w:val="en-US"/>
        </w:rPr>
        <w:t>Summary table of changes</w:t>
      </w:r>
    </w:p>
    <w:tbl>
      <w:tblPr>
        <w:tblStyle w:val="LightGrid"/>
        <w:tblW w:w="0" w:type="auto"/>
        <w:tblCellMar>
          <w:top w:w="57" w:type="dxa"/>
          <w:bottom w:w="57" w:type="dxa"/>
        </w:tblCellMar>
        <w:tblLook w:val="06A0" w:firstRow="1" w:lastRow="0" w:firstColumn="1" w:lastColumn="0" w:noHBand="1" w:noVBand="1"/>
      </w:tblPr>
      <w:tblGrid>
        <w:gridCol w:w="2400"/>
        <w:gridCol w:w="6606"/>
      </w:tblGrid>
      <w:tr w:rsidR="00ED0937" w:rsidRPr="00D53C51" w14:paraId="6AC6778F" w14:textId="77777777" w:rsidTr="00F76E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Borders>
              <w:bottom w:val="single" w:sz="12" w:space="0" w:color="auto"/>
            </w:tcBorders>
            <w:shd w:val="clear" w:color="auto" w:fill="F2F2F2" w:themeFill="background1" w:themeFillShade="F2"/>
            <w:vAlign w:val="center"/>
          </w:tcPr>
          <w:p w14:paraId="74F5E93C" w14:textId="77777777" w:rsidR="00ED0937" w:rsidRPr="00B55390" w:rsidRDefault="00ED0937" w:rsidP="00D67622">
            <w:pPr>
              <w:rPr>
                <w:lang w:val="en-US"/>
              </w:rPr>
            </w:pPr>
            <w:r w:rsidRPr="00B55390">
              <w:rPr>
                <w:lang w:val="en-US"/>
              </w:rPr>
              <w:t>Section Changed</w:t>
            </w:r>
          </w:p>
        </w:tc>
        <w:tc>
          <w:tcPr>
            <w:tcW w:w="6606" w:type="dxa"/>
            <w:tcBorders>
              <w:bottom w:val="single" w:sz="12" w:space="0" w:color="auto"/>
            </w:tcBorders>
            <w:shd w:val="clear" w:color="auto" w:fill="F2F2F2" w:themeFill="background1" w:themeFillShade="F2"/>
            <w:vAlign w:val="center"/>
          </w:tcPr>
          <w:p w14:paraId="190187E1" w14:textId="77777777" w:rsidR="00ED0937" w:rsidRPr="00D53C51" w:rsidRDefault="00ED0937" w:rsidP="00D67622">
            <w:pPr>
              <w:cnfStyle w:val="100000000000" w:firstRow="1" w:lastRow="0" w:firstColumn="0" w:lastColumn="0" w:oddVBand="0" w:evenVBand="0" w:oddHBand="0" w:evenHBand="0" w:firstRowFirstColumn="0" w:firstRowLastColumn="0" w:lastRowFirstColumn="0" w:lastRowLastColumn="0"/>
              <w:rPr>
                <w:lang w:val="en-US"/>
              </w:rPr>
            </w:pPr>
            <w:r w:rsidRPr="00B55390">
              <w:rPr>
                <w:lang w:val="en-US"/>
              </w:rPr>
              <w:t>Summary of new information</w:t>
            </w:r>
          </w:p>
        </w:tc>
      </w:tr>
      <w:tr w:rsidR="00ED0937" w:rsidRPr="00D53C51" w14:paraId="371B2653" w14:textId="77777777" w:rsidTr="00F76E4F">
        <w:tc>
          <w:tcPr>
            <w:cnfStyle w:val="001000000000" w:firstRow="0" w:lastRow="0" w:firstColumn="1" w:lastColumn="0" w:oddVBand="0" w:evenVBand="0" w:oddHBand="0" w:evenHBand="0" w:firstRowFirstColumn="0" w:firstRowLastColumn="0" w:lastRowFirstColumn="0" w:lastRowLastColumn="0"/>
            <w:tcW w:w="2400" w:type="dxa"/>
            <w:tcBorders>
              <w:top w:val="single" w:sz="12" w:space="0" w:color="auto"/>
            </w:tcBorders>
            <w:vAlign w:val="center"/>
          </w:tcPr>
          <w:p w14:paraId="5AE5AB53" w14:textId="6392B19C" w:rsidR="00ED0937" w:rsidRPr="00685F63" w:rsidRDefault="00F926FC" w:rsidP="00D67622">
            <w:pPr>
              <w:rPr>
                <w:b w:val="0"/>
                <w:bCs w:val="0"/>
                <w:lang w:val="en-US"/>
              </w:rPr>
            </w:pPr>
            <w:r>
              <w:rPr>
                <w:b w:val="0"/>
                <w:bCs w:val="0"/>
                <w:lang w:val="en-US"/>
              </w:rPr>
              <w:t>N/A</w:t>
            </w:r>
          </w:p>
        </w:tc>
        <w:tc>
          <w:tcPr>
            <w:tcW w:w="6606" w:type="dxa"/>
            <w:tcBorders>
              <w:top w:val="single" w:sz="12" w:space="0" w:color="auto"/>
            </w:tcBorders>
            <w:vAlign w:val="center"/>
          </w:tcPr>
          <w:p w14:paraId="37EA6B17" w14:textId="6FAB7B77" w:rsidR="007539BC" w:rsidRPr="00D53C51" w:rsidRDefault="00F704D2" w:rsidP="00D67622">
            <w:pPr>
              <w:cnfStyle w:val="000000000000" w:firstRow="0" w:lastRow="0" w:firstColumn="0" w:lastColumn="0" w:oddVBand="0" w:evenVBand="0" w:oddHBand="0" w:evenHBand="0" w:firstRowFirstColumn="0" w:firstRowLastColumn="0" w:lastRowFirstColumn="0" w:lastRowLastColumn="0"/>
              <w:rPr>
                <w:lang w:val="en-US"/>
              </w:rPr>
            </w:pPr>
            <w:r>
              <w:rPr>
                <w:lang w:val="en-US"/>
              </w:rPr>
              <w:t>N</w:t>
            </w:r>
            <w:r w:rsidR="00F926FC">
              <w:rPr>
                <w:lang w:val="en-US"/>
              </w:rPr>
              <w:t>/A</w:t>
            </w:r>
          </w:p>
        </w:tc>
      </w:tr>
    </w:tbl>
    <w:p w14:paraId="655ED183" w14:textId="77777777" w:rsidR="00960CD5" w:rsidRPr="001A0EC2" w:rsidRDefault="00960CD5" w:rsidP="00D67622"/>
    <w:sectPr w:rsidR="00960CD5" w:rsidRPr="001A0EC2" w:rsidSect="00884FA2">
      <w:headerReference w:type="default" r:id="rId16"/>
      <w:footerReference w:type="default" r:id="rId17"/>
      <w:pgSz w:w="11906" w:h="16838"/>
      <w:pgMar w:top="1440" w:right="1440" w:bottom="126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1914B" w14:textId="77777777" w:rsidR="00A00215" w:rsidRDefault="00A00215" w:rsidP="00695668">
      <w:r>
        <w:separator/>
      </w:r>
    </w:p>
  </w:endnote>
  <w:endnote w:type="continuationSeparator" w:id="0">
    <w:p w14:paraId="18DD5F2C" w14:textId="77777777" w:rsidR="00A00215" w:rsidRDefault="00A00215" w:rsidP="00695668">
      <w:r>
        <w:continuationSeparator/>
      </w:r>
    </w:p>
  </w:endnote>
  <w:endnote w:type="continuationNotice" w:id="1">
    <w:p w14:paraId="27D00D07" w14:textId="77777777" w:rsidR="00A00215" w:rsidRDefault="00A00215" w:rsidP="006956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altName w:val="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3F5B0" w14:textId="15D339DF" w:rsidR="005A39F4" w:rsidRDefault="005A39F4" w:rsidP="000146EC">
    <w:pPr>
      <w:pStyle w:val="Footer"/>
      <w:pBdr>
        <w:top w:val="single" w:sz="4" w:space="1" w:color="auto"/>
      </w:pBdr>
    </w:pPr>
    <w:r w:rsidRPr="000146EC">
      <w:rPr>
        <w:rFonts w:ascii="Arial" w:hAnsi="Arial"/>
      </w:rPr>
      <w:t xml:space="preserve">VUMERITY PI </w:t>
    </w:r>
    <w:r w:rsidR="00D403E0">
      <w:rPr>
        <w:rFonts w:ascii="Arial" w:hAnsi="Arial"/>
      </w:rPr>
      <w:t>–</w:t>
    </w:r>
    <w:r w:rsidR="00077D54">
      <w:rPr>
        <w:rFonts w:ascii="Arial" w:hAnsi="Arial"/>
      </w:rPr>
      <w:t xml:space="preserve"> </w:t>
    </w:r>
    <w:r w:rsidR="00D403E0">
      <w:rPr>
        <w:rFonts w:ascii="Arial" w:hAnsi="Arial"/>
      </w:rPr>
      <w:t>21</w:t>
    </w:r>
    <w:r w:rsidR="00EC5393">
      <w:rPr>
        <w:rFonts w:ascii="Arial" w:hAnsi="Arial"/>
      </w:rPr>
      <w:t xml:space="preserve"> </w:t>
    </w:r>
    <w:r w:rsidR="00D403E0">
      <w:rPr>
        <w:rFonts w:ascii="Arial" w:hAnsi="Arial"/>
      </w:rPr>
      <w:t>March 202</w:t>
    </w:r>
    <w:r w:rsidR="004F11A5">
      <w:rPr>
        <w:rFonts w:ascii="Arial" w:hAnsi="Arial"/>
      </w:rPr>
      <w:t>2</w:t>
    </w:r>
    <w:r>
      <w:tab/>
    </w:r>
    <w:r>
      <w:tab/>
    </w:r>
    <w:r w:rsidRPr="00FD049F">
      <w:fldChar w:fldCharType="begin"/>
    </w:r>
    <w:r w:rsidRPr="00FD049F">
      <w:instrText xml:space="preserve"> PAGE   \* MERGEFORMAT </w:instrText>
    </w:r>
    <w:r w:rsidRPr="00FD049F">
      <w:fldChar w:fldCharType="separate"/>
    </w:r>
    <w:r>
      <w:rPr>
        <w:noProof/>
      </w:rPr>
      <w:t>1</w:t>
    </w:r>
    <w:r w:rsidRPr="00FD049F">
      <w:rPr>
        <w:noProof/>
      </w:rPr>
      <w:fldChar w:fldCharType="end"/>
    </w:r>
  </w:p>
  <w:p w14:paraId="330A818B" w14:textId="77777777" w:rsidR="005A39F4" w:rsidRPr="00FD049F" w:rsidRDefault="005A39F4" w:rsidP="000146E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99AEA" w14:textId="77777777" w:rsidR="00A00215" w:rsidRDefault="00A00215" w:rsidP="00695668">
      <w:r>
        <w:separator/>
      </w:r>
    </w:p>
  </w:footnote>
  <w:footnote w:type="continuationSeparator" w:id="0">
    <w:p w14:paraId="1D69F71C" w14:textId="77777777" w:rsidR="00A00215" w:rsidRDefault="00A00215" w:rsidP="00695668">
      <w:r>
        <w:continuationSeparator/>
      </w:r>
    </w:p>
  </w:footnote>
  <w:footnote w:type="continuationNotice" w:id="1">
    <w:p w14:paraId="0FDA6636" w14:textId="77777777" w:rsidR="00A00215" w:rsidRDefault="00A00215" w:rsidP="006956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shd w:val="clear" w:color="auto" w:fill="E4F2E0"/>
      <w:tblLook w:val="04A0" w:firstRow="1" w:lastRow="0" w:firstColumn="1" w:lastColumn="0" w:noHBand="0" w:noVBand="1"/>
    </w:tblPr>
    <w:tblGrid>
      <w:gridCol w:w="9016"/>
    </w:tblGrid>
    <w:tr w:rsidR="00E72056" w:rsidRPr="000B2145" w14:paraId="67AC5CC1" w14:textId="77777777" w:rsidTr="00E72056">
      <w:trPr>
        <w:trHeight w:val="1012"/>
        <w:jc w:val="center"/>
      </w:trPr>
      <w:tc>
        <w:tcPr>
          <w:tcW w:w="9039" w:type="dxa"/>
          <w:shd w:val="clear" w:color="auto" w:fill="E4F2E0"/>
        </w:tcPr>
        <w:p w14:paraId="65195C3A" w14:textId="77777777" w:rsidR="00E72056" w:rsidRPr="00A93D58" w:rsidRDefault="00E72056" w:rsidP="00E72056">
          <w:pPr>
            <w:pStyle w:val="Footer"/>
            <w:rPr>
              <w:b/>
              <w:sz w:val="18"/>
              <w:szCs w:val="18"/>
            </w:rPr>
          </w:pPr>
          <w:bookmarkStart w:id="43" w:name="_Hlk80611440"/>
          <w:r w:rsidRPr="000E4791">
            <w:rPr>
              <w:b/>
              <w:sz w:val="18"/>
              <w:szCs w:val="18"/>
            </w:rPr>
            <w:t>Attachment 1</w:t>
          </w:r>
          <w:r>
            <w:t xml:space="preserve"> </w:t>
          </w:r>
          <w:proofErr w:type="spellStart"/>
          <w:r w:rsidRPr="00A93D58">
            <w:rPr>
              <w:b/>
              <w:sz w:val="18"/>
              <w:szCs w:val="18"/>
            </w:rPr>
            <w:t>AusPAR</w:t>
          </w:r>
          <w:proofErr w:type="spellEnd"/>
          <w:r w:rsidRPr="00A93D58">
            <w:rPr>
              <w:b/>
              <w:sz w:val="18"/>
              <w:szCs w:val="18"/>
            </w:rPr>
            <w:t xml:space="preserve"> - </w:t>
          </w:r>
          <w:proofErr w:type="spellStart"/>
          <w:r w:rsidRPr="00A93D58">
            <w:rPr>
              <w:b/>
              <w:sz w:val="18"/>
              <w:szCs w:val="18"/>
            </w:rPr>
            <w:t>Vumerity</w:t>
          </w:r>
          <w:proofErr w:type="spellEnd"/>
          <w:r w:rsidRPr="00A93D58">
            <w:rPr>
              <w:b/>
              <w:sz w:val="18"/>
              <w:szCs w:val="18"/>
            </w:rPr>
            <w:t xml:space="preserve"> – diroximel fumarate – Biogen Australia Pty Ltd – PM 2021 00385 1 1</w:t>
          </w:r>
        </w:p>
        <w:p w14:paraId="18F41A94" w14:textId="77777777" w:rsidR="00E72056" w:rsidRPr="000E4791" w:rsidRDefault="00E72056" w:rsidP="00E72056">
          <w:pPr>
            <w:pStyle w:val="Footer"/>
            <w:rPr>
              <w:b/>
              <w:sz w:val="18"/>
              <w:szCs w:val="18"/>
            </w:rPr>
          </w:pPr>
          <w:r w:rsidRPr="00A93D58">
            <w:rPr>
              <w:b/>
              <w:sz w:val="18"/>
              <w:szCs w:val="18"/>
            </w:rPr>
            <w:t>FINAL 8 February 2023</w:t>
          </w:r>
          <w:r w:rsidRPr="000E4791">
            <w:rPr>
              <w:b/>
            </w:rPr>
            <w:t>.</w:t>
          </w:r>
          <w:r w:rsidRPr="000E4791">
            <w:rPr>
              <w:b/>
              <w:sz w:val="18"/>
              <w:szCs w:val="18"/>
            </w:rPr>
            <w:t xml:space="preserve"> This is the Product Information that was approved with the submission described in this </w:t>
          </w:r>
          <w:proofErr w:type="spellStart"/>
          <w:r w:rsidRPr="000E4791">
            <w:rPr>
              <w:b/>
              <w:sz w:val="18"/>
              <w:szCs w:val="18"/>
            </w:rPr>
            <w:t>AusPAR</w:t>
          </w:r>
          <w:proofErr w:type="spellEnd"/>
          <w:r w:rsidRPr="000E4791">
            <w:rPr>
              <w:b/>
              <w:sz w:val="18"/>
              <w:szCs w:val="18"/>
            </w:rPr>
            <w:t>. It may have been superseded. For the most recent PI, please refer to the TGA website at &lt;</w:t>
          </w:r>
          <w:hyperlink r:id="rId1" w:history="1">
            <w:r w:rsidRPr="000E4791">
              <w:rPr>
                <w:rStyle w:val="Hyperlink"/>
                <w:b/>
                <w:sz w:val="18"/>
                <w:szCs w:val="18"/>
              </w:rPr>
              <w:t>https://www.tga.gov.au/product-information-pi</w:t>
            </w:r>
          </w:hyperlink>
          <w:r w:rsidRPr="000E4791">
            <w:rPr>
              <w:b/>
              <w:sz w:val="18"/>
              <w:szCs w:val="18"/>
              <w:u w:val="single"/>
            </w:rPr>
            <w:t>&gt;</w:t>
          </w:r>
        </w:p>
      </w:tc>
    </w:tr>
    <w:bookmarkEnd w:id="43"/>
  </w:tbl>
  <w:p w14:paraId="7362A757" w14:textId="77777777" w:rsidR="00E72056" w:rsidRDefault="00E720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DAC4DA2"/>
    <w:multiLevelType w:val="hybridMultilevel"/>
    <w:tmpl w:val="60E12F7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733F3E"/>
    <w:multiLevelType w:val="hybridMultilevel"/>
    <w:tmpl w:val="5AB64A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5F1D77"/>
    <w:multiLevelType w:val="hybridMultilevel"/>
    <w:tmpl w:val="A2F417F8"/>
    <w:lvl w:ilvl="0" w:tplc="64D4A86C">
      <w:start w:val="3"/>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7660B4"/>
    <w:multiLevelType w:val="hybridMultilevel"/>
    <w:tmpl w:val="87043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BD708D"/>
    <w:multiLevelType w:val="hybridMultilevel"/>
    <w:tmpl w:val="B8B48474"/>
    <w:lvl w:ilvl="0" w:tplc="1144D464">
      <w:start w:val="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4435439"/>
    <w:multiLevelType w:val="hybridMultilevel"/>
    <w:tmpl w:val="D23AB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42649D1"/>
    <w:multiLevelType w:val="hybridMultilevel"/>
    <w:tmpl w:val="39BC37B6"/>
    <w:lvl w:ilvl="0" w:tplc="6FD233F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8F12D9D"/>
    <w:multiLevelType w:val="hybridMultilevel"/>
    <w:tmpl w:val="AAB0B5CA"/>
    <w:lvl w:ilvl="0" w:tplc="97C261BA">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9691025"/>
    <w:multiLevelType w:val="hybridMultilevel"/>
    <w:tmpl w:val="3CACF3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7507084"/>
    <w:multiLevelType w:val="hybridMultilevel"/>
    <w:tmpl w:val="B9160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6D42C05"/>
    <w:multiLevelType w:val="hybridMultilevel"/>
    <w:tmpl w:val="88CA3A76"/>
    <w:lvl w:ilvl="0" w:tplc="CF60184E">
      <w:start w:val="1"/>
      <w:numFmt w:val="decimal"/>
      <w:lvlText w:val="Note %1:"/>
      <w:lvlJc w:val="left"/>
      <w:pPr>
        <w:ind w:left="1021" w:hanging="1021"/>
      </w:pPr>
      <w:rPr>
        <w:rFonts w:ascii="Cambria" w:hAnsi="Cambria" w:hint="default"/>
      </w:rPr>
    </w:lvl>
    <w:lvl w:ilvl="1" w:tplc="ECC87AB0">
      <w:start w:val="1"/>
      <w:numFmt w:val="lowerLetter"/>
      <w:lvlText w:val="%2)"/>
      <w:lvlJc w:val="left"/>
      <w:pPr>
        <w:ind w:left="720" w:hanging="360"/>
      </w:pPr>
      <w:rPr>
        <w:rFonts w:hint="default"/>
      </w:rPr>
    </w:lvl>
    <w:lvl w:ilvl="2" w:tplc="1F324C78">
      <w:start w:val="1"/>
      <w:numFmt w:val="lowerRoman"/>
      <w:lvlText w:val="%3)"/>
      <w:lvlJc w:val="left"/>
      <w:pPr>
        <w:ind w:left="1080" w:hanging="360"/>
      </w:pPr>
      <w:rPr>
        <w:rFonts w:hint="default"/>
      </w:rPr>
    </w:lvl>
    <w:lvl w:ilvl="3" w:tplc="EDDA4B94">
      <w:start w:val="1"/>
      <w:numFmt w:val="decimal"/>
      <w:lvlText w:val="(%4)"/>
      <w:lvlJc w:val="left"/>
      <w:pPr>
        <w:ind w:left="1440" w:hanging="360"/>
      </w:pPr>
      <w:rPr>
        <w:rFonts w:hint="default"/>
      </w:rPr>
    </w:lvl>
    <w:lvl w:ilvl="4" w:tplc="CFF2F75A">
      <w:start w:val="1"/>
      <w:numFmt w:val="lowerLetter"/>
      <w:lvlText w:val="(%5)"/>
      <w:lvlJc w:val="left"/>
      <w:pPr>
        <w:ind w:left="1800" w:hanging="360"/>
      </w:pPr>
      <w:rPr>
        <w:rFonts w:hint="default"/>
      </w:rPr>
    </w:lvl>
    <w:lvl w:ilvl="5" w:tplc="DCD8EB88">
      <w:start w:val="1"/>
      <w:numFmt w:val="lowerRoman"/>
      <w:lvlText w:val="(%6)"/>
      <w:lvlJc w:val="left"/>
      <w:pPr>
        <w:ind w:left="2160" w:hanging="360"/>
      </w:pPr>
      <w:rPr>
        <w:rFonts w:hint="default"/>
      </w:rPr>
    </w:lvl>
    <w:lvl w:ilvl="6" w:tplc="4F76D248">
      <w:start w:val="1"/>
      <w:numFmt w:val="decimal"/>
      <w:lvlText w:val="%7."/>
      <w:lvlJc w:val="left"/>
      <w:pPr>
        <w:ind w:left="2520" w:hanging="360"/>
      </w:pPr>
      <w:rPr>
        <w:rFonts w:hint="default"/>
      </w:rPr>
    </w:lvl>
    <w:lvl w:ilvl="7" w:tplc="B3402E42">
      <w:start w:val="1"/>
      <w:numFmt w:val="lowerLetter"/>
      <w:lvlText w:val="%8."/>
      <w:lvlJc w:val="left"/>
      <w:pPr>
        <w:ind w:left="2880" w:hanging="360"/>
      </w:pPr>
      <w:rPr>
        <w:rFonts w:hint="default"/>
      </w:rPr>
    </w:lvl>
    <w:lvl w:ilvl="8" w:tplc="E82EEE28">
      <w:start w:val="1"/>
      <w:numFmt w:val="lowerRoman"/>
      <w:lvlText w:val="%9."/>
      <w:lvlJc w:val="left"/>
      <w:pPr>
        <w:ind w:left="3240" w:hanging="360"/>
      </w:pPr>
      <w:rPr>
        <w:rFonts w:hint="default"/>
      </w:rPr>
    </w:lvl>
  </w:abstractNum>
  <w:abstractNum w:abstractNumId="11" w15:restartNumberingAfterBreak="0">
    <w:nsid w:val="66E10776"/>
    <w:multiLevelType w:val="hybridMultilevel"/>
    <w:tmpl w:val="ED2E9A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76F49FC"/>
    <w:multiLevelType w:val="hybridMultilevel"/>
    <w:tmpl w:val="76C6F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AA75D51"/>
    <w:multiLevelType w:val="hybridMultilevel"/>
    <w:tmpl w:val="AE7C4538"/>
    <w:lvl w:ilvl="0" w:tplc="E326B62C">
      <w:start w:val="1"/>
      <w:numFmt w:val="decimal"/>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0332797"/>
    <w:multiLevelType w:val="multilevel"/>
    <w:tmpl w:val="3438CB7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72613446"/>
    <w:multiLevelType w:val="hybridMultilevel"/>
    <w:tmpl w:val="D384F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311220D"/>
    <w:multiLevelType w:val="hybridMultilevel"/>
    <w:tmpl w:val="E814E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5AA5076"/>
    <w:multiLevelType w:val="hybridMultilevel"/>
    <w:tmpl w:val="F746E0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B9C6ABA"/>
    <w:multiLevelType w:val="hybridMultilevel"/>
    <w:tmpl w:val="561CDE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D1275CD"/>
    <w:multiLevelType w:val="hybridMultilevel"/>
    <w:tmpl w:val="CD2ED39E"/>
    <w:lvl w:ilvl="0" w:tplc="10BC5FBA">
      <w:start w:val="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FB401D6"/>
    <w:multiLevelType w:val="hybridMultilevel"/>
    <w:tmpl w:val="270C4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1"/>
  </w:num>
  <w:num w:numId="4">
    <w:abstractNumId w:val="9"/>
  </w:num>
  <w:num w:numId="5">
    <w:abstractNumId w:val="20"/>
  </w:num>
  <w:num w:numId="6">
    <w:abstractNumId w:val="15"/>
  </w:num>
  <w:num w:numId="7">
    <w:abstractNumId w:val="12"/>
  </w:num>
  <w:num w:numId="8">
    <w:abstractNumId w:val="16"/>
  </w:num>
  <w:num w:numId="9">
    <w:abstractNumId w:val="5"/>
  </w:num>
  <w:num w:numId="10">
    <w:abstractNumId w:val="10"/>
  </w:num>
  <w:num w:numId="11">
    <w:abstractNumId w:val="11"/>
  </w:num>
  <w:num w:numId="12">
    <w:abstractNumId w:val="7"/>
  </w:num>
  <w:num w:numId="13">
    <w:abstractNumId w:val="8"/>
  </w:num>
  <w:num w:numId="14">
    <w:abstractNumId w:val="17"/>
  </w:num>
  <w:num w:numId="15">
    <w:abstractNumId w:val="2"/>
  </w:num>
  <w:num w:numId="16">
    <w:abstractNumId w:val="4"/>
  </w:num>
  <w:num w:numId="17">
    <w:abstractNumId w:val="19"/>
  </w:num>
  <w:num w:numId="18">
    <w:abstractNumId w:val="18"/>
  </w:num>
  <w:num w:numId="19">
    <w:abstractNumId w:val="6"/>
  </w:num>
  <w:num w:numId="20">
    <w:abstractNumId w:val="13"/>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3B5"/>
    <w:rsid w:val="0000018D"/>
    <w:rsid w:val="0000152B"/>
    <w:rsid w:val="00002A69"/>
    <w:rsid w:val="000049D2"/>
    <w:rsid w:val="0001034A"/>
    <w:rsid w:val="00010E82"/>
    <w:rsid w:val="00011B55"/>
    <w:rsid w:val="000139A1"/>
    <w:rsid w:val="00014026"/>
    <w:rsid w:val="000146EC"/>
    <w:rsid w:val="00014FFF"/>
    <w:rsid w:val="00015A11"/>
    <w:rsid w:val="000160DA"/>
    <w:rsid w:val="000212D5"/>
    <w:rsid w:val="000217E0"/>
    <w:rsid w:val="00022058"/>
    <w:rsid w:val="000227B2"/>
    <w:rsid w:val="00026BE2"/>
    <w:rsid w:val="00030ACD"/>
    <w:rsid w:val="000315F1"/>
    <w:rsid w:val="00031DB3"/>
    <w:rsid w:val="0003233A"/>
    <w:rsid w:val="0003328F"/>
    <w:rsid w:val="00033B96"/>
    <w:rsid w:val="000437CA"/>
    <w:rsid w:val="000452AA"/>
    <w:rsid w:val="00047A31"/>
    <w:rsid w:val="00050E17"/>
    <w:rsid w:val="00051818"/>
    <w:rsid w:val="00051A03"/>
    <w:rsid w:val="0005286C"/>
    <w:rsid w:val="00053217"/>
    <w:rsid w:val="00054EB9"/>
    <w:rsid w:val="00056166"/>
    <w:rsid w:val="000564AB"/>
    <w:rsid w:val="00056619"/>
    <w:rsid w:val="0005761B"/>
    <w:rsid w:val="00063210"/>
    <w:rsid w:val="00063713"/>
    <w:rsid w:val="000679C7"/>
    <w:rsid w:val="000712C8"/>
    <w:rsid w:val="00071627"/>
    <w:rsid w:val="000725EF"/>
    <w:rsid w:val="00073D40"/>
    <w:rsid w:val="000746AC"/>
    <w:rsid w:val="00076B0F"/>
    <w:rsid w:val="00076E18"/>
    <w:rsid w:val="00077D54"/>
    <w:rsid w:val="000811E5"/>
    <w:rsid w:val="0008146B"/>
    <w:rsid w:val="00081DED"/>
    <w:rsid w:val="0008552F"/>
    <w:rsid w:val="00086302"/>
    <w:rsid w:val="00087613"/>
    <w:rsid w:val="00087F08"/>
    <w:rsid w:val="000915BB"/>
    <w:rsid w:val="000922E8"/>
    <w:rsid w:val="00093BC1"/>
    <w:rsid w:val="000962E2"/>
    <w:rsid w:val="000966F5"/>
    <w:rsid w:val="00097B0E"/>
    <w:rsid w:val="000A0A02"/>
    <w:rsid w:val="000A377F"/>
    <w:rsid w:val="000A4A21"/>
    <w:rsid w:val="000A67CA"/>
    <w:rsid w:val="000B269A"/>
    <w:rsid w:val="000B34F2"/>
    <w:rsid w:val="000B44AA"/>
    <w:rsid w:val="000B5F87"/>
    <w:rsid w:val="000B76E5"/>
    <w:rsid w:val="000B78A0"/>
    <w:rsid w:val="000C1516"/>
    <w:rsid w:val="000C1842"/>
    <w:rsid w:val="000C2E95"/>
    <w:rsid w:val="000C31DD"/>
    <w:rsid w:val="000C4DC6"/>
    <w:rsid w:val="000C5179"/>
    <w:rsid w:val="000C535B"/>
    <w:rsid w:val="000C797A"/>
    <w:rsid w:val="000D3F19"/>
    <w:rsid w:val="000D4096"/>
    <w:rsid w:val="000D71DA"/>
    <w:rsid w:val="000D72F4"/>
    <w:rsid w:val="000D73DF"/>
    <w:rsid w:val="000E06CE"/>
    <w:rsid w:val="000E1441"/>
    <w:rsid w:val="000E1498"/>
    <w:rsid w:val="000E16C0"/>
    <w:rsid w:val="000E268A"/>
    <w:rsid w:val="000E36C6"/>
    <w:rsid w:val="000E42C1"/>
    <w:rsid w:val="000E46B9"/>
    <w:rsid w:val="000E4918"/>
    <w:rsid w:val="000E5130"/>
    <w:rsid w:val="000E5DF6"/>
    <w:rsid w:val="000E7677"/>
    <w:rsid w:val="000F0524"/>
    <w:rsid w:val="000F2D5A"/>
    <w:rsid w:val="000F4D18"/>
    <w:rsid w:val="000F6502"/>
    <w:rsid w:val="000F6720"/>
    <w:rsid w:val="000F698C"/>
    <w:rsid w:val="000F6A79"/>
    <w:rsid w:val="000F7F42"/>
    <w:rsid w:val="00100C6F"/>
    <w:rsid w:val="00101AB4"/>
    <w:rsid w:val="00102D16"/>
    <w:rsid w:val="00103EEF"/>
    <w:rsid w:val="001040E8"/>
    <w:rsid w:val="00105364"/>
    <w:rsid w:val="001063E4"/>
    <w:rsid w:val="00106D44"/>
    <w:rsid w:val="00111F87"/>
    <w:rsid w:val="00111FAE"/>
    <w:rsid w:val="00113622"/>
    <w:rsid w:val="00117C3A"/>
    <w:rsid w:val="0012215E"/>
    <w:rsid w:val="00122603"/>
    <w:rsid w:val="001302C1"/>
    <w:rsid w:val="001310B8"/>
    <w:rsid w:val="00131E09"/>
    <w:rsid w:val="00133568"/>
    <w:rsid w:val="00133F00"/>
    <w:rsid w:val="0013788D"/>
    <w:rsid w:val="00137DB0"/>
    <w:rsid w:val="00140CD0"/>
    <w:rsid w:val="00145B37"/>
    <w:rsid w:val="00147813"/>
    <w:rsid w:val="00150F6E"/>
    <w:rsid w:val="00152125"/>
    <w:rsid w:val="00157285"/>
    <w:rsid w:val="0015741E"/>
    <w:rsid w:val="00157D12"/>
    <w:rsid w:val="00160FB4"/>
    <w:rsid w:val="001624D4"/>
    <w:rsid w:val="00164546"/>
    <w:rsid w:val="00164BA2"/>
    <w:rsid w:val="001650F0"/>
    <w:rsid w:val="001658F8"/>
    <w:rsid w:val="00173478"/>
    <w:rsid w:val="0017664C"/>
    <w:rsid w:val="00181D65"/>
    <w:rsid w:val="00182523"/>
    <w:rsid w:val="00183AB2"/>
    <w:rsid w:val="00185148"/>
    <w:rsid w:val="00187890"/>
    <w:rsid w:val="00190E76"/>
    <w:rsid w:val="00191084"/>
    <w:rsid w:val="001921E3"/>
    <w:rsid w:val="001962E1"/>
    <w:rsid w:val="001977F1"/>
    <w:rsid w:val="00197A51"/>
    <w:rsid w:val="001A02EC"/>
    <w:rsid w:val="001A0EC2"/>
    <w:rsid w:val="001A19DA"/>
    <w:rsid w:val="001A3992"/>
    <w:rsid w:val="001A40B8"/>
    <w:rsid w:val="001A5B44"/>
    <w:rsid w:val="001A6172"/>
    <w:rsid w:val="001A63F2"/>
    <w:rsid w:val="001A6EEB"/>
    <w:rsid w:val="001A7DD4"/>
    <w:rsid w:val="001B3E46"/>
    <w:rsid w:val="001B721D"/>
    <w:rsid w:val="001B7478"/>
    <w:rsid w:val="001C0A60"/>
    <w:rsid w:val="001C4155"/>
    <w:rsid w:val="001C6499"/>
    <w:rsid w:val="001C6608"/>
    <w:rsid w:val="001D0941"/>
    <w:rsid w:val="001D111F"/>
    <w:rsid w:val="001D1A72"/>
    <w:rsid w:val="001D3825"/>
    <w:rsid w:val="001D4108"/>
    <w:rsid w:val="001D48D3"/>
    <w:rsid w:val="001D4E01"/>
    <w:rsid w:val="001D5B6A"/>
    <w:rsid w:val="001E0F73"/>
    <w:rsid w:val="001E3101"/>
    <w:rsid w:val="001E3270"/>
    <w:rsid w:val="001E4913"/>
    <w:rsid w:val="001E49D6"/>
    <w:rsid w:val="001E5863"/>
    <w:rsid w:val="001E750E"/>
    <w:rsid w:val="001F18A3"/>
    <w:rsid w:val="001F1F8E"/>
    <w:rsid w:val="001F3448"/>
    <w:rsid w:val="001F3FE5"/>
    <w:rsid w:val="001F45F6"/>
    <w:rsid w:val="001F6B83"/>
    <w:rsid w:val="00202AA3"/>
    <w:rsid w:val="00203490"/>
    <w:rsid w:val="002044BB"/>
    <w:rsid w:val="0020527F"/>
    <w:rsid w:val="002054D7"/>
    <w:rsid w:val="00205B36"/>
    <w:rsid w:val="00205C62"/>
    <w:rsid w:val="00207287"/>
    <w:rsid w:val="00207BBB"/>
    <w:rsid w:val="00207E14"/>
    <w:rsid w:val="00211B54"/>
    <w:rsid w:val="00214C7A"/>
    <w:rsid w:val="00215083"/>
    <w:rsid w:val="002154C6"/>
    <w:rsid w:val="00222C61"/>
    <w:rsid w:val="00224D4E"/>
    <w:rsid w:val="00227B0F"/>
    <w:rsid w:val="00230162"/>
    <w:rsid w:val="00231DFD"/>
    <w:rsid w:val="0023406B"/>
    <w:rsid w:val="00234CD2"/>
    <w:rsid w:val="00234F0D"/>
    <w:rsid w:val="00246C0E"/>
    <w:rsid w:val="00251B7D"/>
    <w:rsid w:val="00251EED"/>
    <w:rsid w:val="00252103"/>
    <w:rsid w:val="00254BFB"/>
    <w:rsid w:val="00260403"/>
    <w:rsid w:val="002607B9"/>
    <w:rsid w:val="0026423E"/>
    <w:rsid w:val="002655AE"/>
    <w:rsid w:val="00265975"/>
    <w:rsid w:val="002672A0"/>
    <w:rsid w:val="00272371"/>
    <w:rsid w:val="00272ACB"/>
    <w:rsid w:val="00273F19"/>
    <w:rsid w:val="0027489A"/>
    <w:rsid w:val="00274A79"/>
    <w:rsid w:val="00275B14"/>
    <w:rsid w:val="00276751"/>
    <w:rsid w:val="00276E0E"/>
    <w:rsid w:val="00277551"/>
    <w:rsid w:val="0027767B"/>
    <w:rsid w:val="002776A1"/>
    <w:rsid w:val="0027785E"/>
    <w:rsid w:val="00277FF0"/>
    <w:rsid w:val="0028005F"/>
    <w:rsid w:val="002832A6"/>
    <w:rsid w:val="00284E02"/>
    <w:rsid w:val="00285786"/>
    <w:rsid w:val="00285A70"/>
    <w:rsid w:val="00287270"/>
    <w:rsid w:val="00287C1D"/>
    <w:rsid w:val="00293E9D"/>
    <w:rsid w:val="00295C84"/>
    <w:rsid w:val="002969FC"/>
    <w:rsid w:val="00296B4D"/>
    <w:rsid w:val="00296B50"/>
    <w:rsid w:val="002A08BB"/>
    <w:rsid w:val="002A0B11"/>
    <w:rsid w:val="002A32C7"/>
    <w:rsid w:val="002A7291"/>
    <w:rsid w:val="002B05E2"/>
    <w:rsid w:val="002B0D4A"/>
    <w:rsid w:val="002B1EB6"/>
    <w:rsid w:val="002B26C1"/>
    <w:rsid w:val="002B3F0F"/>
    <w:rsid w:val="002B4985"/>
    <w:rsid w:val="002B5E05"/>
    <w:rsid w:val="002B67BA"/>
    <w:rsid w:val="002B680C"/>
    <w:rsid w:val="002B7510"/>
    <w:rsid w:val="002C0D5F"/>
    <w:rsid w:val="002C11E9"/>
    <w:rsid w:val="002C2F36"/>
    <w:rsid w:val="002C45DB"/>
    <w:rsid w:val="002C57B8"/>
    <w:rsid w:val="002C682E"/>
    <w:rsid w:val="002D21EE"/>
    <w:rsid w:val="002D31D9"/>
    <w:rsid w:val="002D3927"/>
    <w:rsid w:val="002D3A56"/>
    <w:rsid w:val="002D437D"/>
    <w:rsid w:val="002D4A55"/>
    <w:rsid w:val="002D7095"/>
    <w:rsid w:val="002D79E6"/>
    <w:rsid w:val="002D7EE9"/>
    <w:rsid w:val="002E01BC"/>
    <w:rsid w:val="002E277D"/>
    <w:rsid w:val="002E35F6"/>
    <w:rsid w:val="002E5DD9"/>
    <w:rsid w:val="002E7F7F"/>
    <w:rsid w:val="002F1AF9"/>
    <w:rsid w:val="002F209F"/>
    <w:rsid w:val="002F21FE"/>
    <w:rsid w:val="002F237D"/>
    <w:rsid w:val="002F35B7"/>
    <w:rsid w:val="002F4881"/>
    <w:rsid w:val="002F4BC8"/>
    <w:rsid w:val="00301D06"/>
    <w:rsid w:val="003061E5"/>
    <w:rsid w:val="00306298"/>
    <w:rsid w:val="00306585"/>
    <w:rsid w:val="00307CFC"/>
    <w:rsid w:val="00314F0F"/>
    <w:rsid w:val="003174E5"/>
    <w:rsid w:val="0032229B"/>
    <w:rsid w:val="003223DF"/>
    <w:rsid w:val="003225EF"/>
    <w:rsid w:val="0032393D"/>
    <w:rsid w:val="003241EA"/>
    <w:rsid w:val="00330114"/>
    <w:rsid w:val="003327B1"/>
    <w:rsid w:val="003359FA"/>
    <w:rsid w:val="0033667D"/>
    <w:rsid w:val="00336CA4"/>
    <w:rsid w:val="0034091A"/>
    <w:rsid w:val="003422F8"/>
    <w:rsid w:val="003445CF"/>
    <w:rsid w:val="00347D3E"/>
    <w:rsid w:val="00356CF5"/>
    <w:rsid w:val="003572AD"/>
    <w:rsid w:val="0036052C"/>
    <w:rsid w:val="003614D8"/>
    <w:rsid w:val="00363511"/>
    <w:rsid w:val="00364D18"/>
    <w:rsid w:val="0036534C"/>
    <w:rsid w:val="003701B0"/>
    <w:rsid w:val="00370647"/>
    <w:rsid w:val="00372D0E"/>
    <w:rsid w:val="003739EF"/>
    <w:rsid w:val="00374C15"/>
    <w:rsid w:val="00375793"/>
    <w:rsid w:val="0037647F"/>
    <w:rsid w:val="003779F1"/>
    <w:rsid w:val="00382889"/>
    <w:rsid w:val="00382F68"/>
    <w:rsid w:val="00383188"/>
    <w:rsid w:val="00383B65"/>
    <w:rsid w:val="003900F8"/>
    <w:rsid w:val="003909F5"/>
    <w:rsid w:val="00392DD4"/>
    <w:rsid w:val="00393503"/>
    <w:rsid w:val="00394463"/>
    <w:rsid w:val="00396886"/>
    <w:rsid w:val="003A083B"/>
    <w:rsid w:val="003A1E8F"/>
    <w:rsid w:val="003A6C05"/>
    <w:rsid w:val="003A73EC"/>
    <w:rsid w:val="003B014C"/>
    <w:rsid w:val="003B0776"/>
    <w:rsid w:val="003B280C"/>
    <w:rsid w:val="003B35F3"/>
    <w:rsid w:val="003B543C"/>
    <w:rsid w:val="003B574C"/>
    <w:rsid w:val="003B76AF"/>
    <w:rsid w:val="003B76D7"/>
    <w:rsid w:val="003B7A13"/>
    <w:rsid w:val="003B7F91"/>
    <w:rsid w:val="003C09E5"/>
    <w:rsid w:val="003C0F49"/>
    <w:rsid w:val="003C13C6"/>
    <w:rsid w:val="003C52C1"/>
    <w:rsid w:val="003C5FE8"/>
    <w:rsid w:val="003C6E02"/>
    <w:rsid w:val="003C7BE1"/>
    <w:rsid w:val="003C7F42"/>
    <w:rsid w:val="003D109B"/>
    <w:rsid w:val="003D16B8"/>
    <w:rsid w:val="003D30CB"/>
    <w:rsid w:val="003D30F4"/>
    <w:rsid w:val="003D41D5"/>
    <w:rsid w:val="003D427F"/>
    <w:rsid w:val="003D49C9"/>
    <w:rsid w:val="003D5131"/>
    <w:rsid w:val="003D6E3B"/>
    <w:rsid w:val="003D79B5"/>
    <w:rsid w:val="003E2267"/>
    <w:rsid w:val="003E2767"/>
    <w:rsid w:val="003E4089"/>
    <w:rsid w:val="003E4F48"/>
    <w:rsid w:val="003E5175"/>
    <w:rsid w:val="003E56E5"/>
    <w:rsid w:val="003E6426"/>
    <w:rsid w:val="003E7ABE"/>
    <w:rsid w:val="003F0600"/>
    <w:rsid w:val="003F2B10"/>
    <w:rsid w:val="003F3D7F"/>
    <w:rsid w:val="003F437E"/>
    <w:rsid w:val="003F4776"/>
    <w:rsid w:val="00401F22"/>
    <w:rsid w:val="004032BD"/>
    <w:rsid w:val="004040A7"/>
    <w:rsid w:val="00406462"/>
    <w:rsid w:val="00413B67"/>
    <w:rsid w:val="004148C9"/>
    <w:rsid w:val="00416838"/>
    <w:rsid w:val="004200BD"/>
    <w:rsid w:val="0042027A"/>
    <w:rsid w:val="00421B93"/>
    <w:rsid w:val="00425370"/>
    <w:rsid w:val="00426B3E"/>
    <w:rsid w:val="00426DA9"/>
    <w:rsid w:val="0042718A"/>
    <w:rsid w:val="00431ACD"/>
    <w:rsid w:val="004326D1"/>
    <w:rsid w:val="00432990"/>
    <w:rsid w:val="00432ADD"/>
    <w:rsid w:val="00434856"/>
    <w:rsid w:val="004350B0"/>
    <w:rsid w:val="0043659C"/>
    <w:rsid w:val="00441259"/>
    <w:rsid w:val="00442479"/>
    <w:rsid w:val="00442B6F"/>
    <w:rsid w:val="00442CA0"/>
    <w:rsid w:val="004452B6"/>
    <w:rsid w:val="00445456"/>
    <w:rsid w:val="004454A4"/>
    <w:rsid w:val="004458C3"/>
    <w:rsid w:val="00447E39"/>
    <w:rsid w:val="004508E6"/>
    <w:rsid w:val="00451387"/>
    <w:rsid w:val="00454627"/>
    <w:rsid w:val="004547D1"/>
    <w:rsid w:val="004554A9"/>
    <w:rsid w:val="004556C6"/>
    <w:rsid w:val="0045594E"/>
    <w:rsid w:val="004561BE"/>
    <w:rsid w:val="00457CCD"/>
    <w:rsid w:val="004605BC"/>
    <w:rsid w:val="00460F7A"/>
    <w:rsid w:val="00462DDF"/>
    <w:rsid w:val="004638EB"/>
    <w:rsid w:val="00465FBE"/>
    <w:rsid w:val="00466BB1"/>
    <w:rsid w:val="0046746D"/>
    <w:rsid w:val="004678ED"/>
    <w:rsid w:val="00467D74"/>
    <w:rsid w:val="00470314"/>
    <w:rsid w:val="00470D0D"/>
    <w:rsid w:val="00470F40"/>
    <w:rsid w:val="0047187C"/>
    <w:rsid w:val="00476B1E"/>
    <w:rsid w:val="00481307"/>
    <w:rsid w:val="00481FC0"/>
    <w:rsid w:val="0048335D"/>
    <w:rsid w:val="00483B9F"/>
    <w:rsid w:val="00484B2B"/>
    <w:rsid w:val="004865F2"/>
    <w:rsid w:val="004865F8"/>
    <w:rsid w:val="00491CAE"/>
    <w:rsid w:val="00491D96"/>
    <w:rsid w:val="004923BA"/>
    <w:rsid w:val="00495453"/>
    <w:rsid w:val="00495C19"/>
    <w:rsid w:val="00496024"/>
    <w:rsid w:val="0049628B"/>
    <w:rsid w:val="004973E6"/>
    <w:rsid w:val="0049768D"/>
    <w:rsid w:val="00497B49"/>
    <w:rsid w:val="00497C85"/>
    <w:rsid w:val="004A09CB"/>
    <w:rsid w:val="004A1AAE"/>
    <w:rsid w:val="004A439C"/>
    <w:rsid w:val="004A4E44"/>
    <w:rsid w:val="004A7A71"/>
    <w:rsid w:val="004B022D"/>
    <w:rsid w:val="004B0A28"/>
    <w:rsid w:val="004B0AF6"/>
    <w:rsid w:val="004B1D9B"/>
    <w:rsid w:val="004B2857"/>
    <w:rsid w:val="004B30FF"/>
    <w:rsid w:val="004B3275"/>
    <w:rsid w:val="004B34E6"/>
    <w:rsid w:val="004B6DD7"/>
    <w:rsid w:val="004C03AD"/>
    <w:rsid w:val="004C1081"/>
    <w:rsid w:val="004C21A4"/>
    <w:rsid w:val="004C2CA1"/>
    <w:rsid w:val="004C5108"/>
    <w:rsid w:val="004C5185"/>
    <w:rsid w:val="004D00B4"/>
    <w:rsid w:val="004D1F01"/>
    <w:rsid w:val="004D4642"/>
    <w:rsid w:val="004D4BEC"/>
    <w:rsid w:val="004D52CE"/>
    <w:rsid w:val="004D6270"/>
    <w:rsid w:val="004D65B4"/>
    <w:rsid w:val="004D6815"/>
    <w:rsid w:val="004D71A0"/>
    <w:rsid w:val="004D7B38"/>
    <w:rsid w:val="004E0DFC"/>
    <w:rsid w:val="004E2976"/>
    <w:rsid w:val="004E31C9"/>
    <w:rsid w:val="004E5102"/>
    <w:rsid w:val="004E7111"/>
    <w:rsid w:val="004E76DF"/>
    <w:rsid w:val="004F00D5"/>
    <w:rsid w:val="004F0F12"/>
    <w:rsid w:val="004F11A5"/>
    <w:rsid w:val="004F162A"/>
    <w:rsid w:val="004F18A7"/>
    <w:rsid w:val="004F19BE"/>
    <w:rsid w:val="004F1E1A"/>
    <w:rsid w:val="004F1F82"/>
    <w:rsid w:val="004F223F"/>
    <w:rsid w:val="004F4676"/>
    <w:rsid w:val="004F4BCE"/>
    <w:rsid w:val="004F5808"/>
    <w:rsid w:val="005004E3"/>
    <w:rsid w:val="0050443F"/>
    <w:rsid w:val="00504B09"/>
    <w:rsid w:val="0050576F"/>
    <w:rsid w:val="00505A11"/>
    <w:rsid w:val="0050678F"/>
    <w:rsid w:val="00506D23"/>
    <w:rsid w:val="00510195"/>
    <w:rsid w:val="00510BFE"/>
    <w:rsid w:val="00510E15"/>
    <w:rsid w:val="005111FD"/>
    <w:rsid w:val="00511CAF"/>
    <w:rsid w:val="005120BC"/>
    <w:rsid w:val="00512BA0"/>
    <w:rsid w:val="00513193"/>
    <w:rsid w:val="00513236"/>
    <w:rsid w:val="0051521F"/>
    <w:rsid w:val="00515B72"/>
    <w:rsid w:val="0051664A"/>
    <w:rsid w:val="00517E83"/>
    <w:rsid w:val="00523968"/>
    <w:rsid w:val="00524C55"/>
    <w:rsid w:val="0052653F"/>
    <w:rsid w:val="00530CF4"/>
    <w:rsid w:val="0053211A"/>
    <w:rsid w:val="005340EE"/>
    <w:rsid w:val="00534476"/>
    <w:rsid w:val="0053512C"/>
    <w:rsid w:val="00535528"/>
    <w:rsid w:val="005363CD"/>
    <w:rsid w:val="00537CFA"/>
    <w:rsid w:val="00540A33"/>
    <w:rsid w:val="0054120D"/>
    <w:rsid w:val="00542699"/>
    <w:rsid w:val="00542749"/>
    <w:rsid w:val="005436AA"/>
    <w:rsid w:val="00544673"/>
    <w:rsid w:val="005453A1"/>
    <w:rsid w:val="00554B6F"/>
    <w:rsid w:val="00554EDD"/>
    <w:rsid w:val="00555250"/>
    <w:rsid w:val="00555D30"/>
    <w:rsid w:val="00556555"/>
    <w:rsid w:val="005566F8"/>
    <w:rsid w:val="00556A02"/>
    <w:rsid w:val="00557179"/>
    <w:rsid w:val="0056171D"/>
    <w:rsid w:val="00563459"/>
    <w:rsid w:val="00564862"/>
    <w:rsid w:val="00566ADC"/>
    <w:rsid w:val="00567346"/>
    <w:rsid w:val="0056735A"/>
    <w:rsid w:val="005702A0"/>
    <w:rsid w:val="00571412"/>
    <w:rsid w:val="00572AED"/>
    <w:rsid w:val="00573F64"/>
    <w:rsid w:val="00574270"/>
    <w:rsid w:val="00575D91"/>
    <w:rsid w:val="00587927"/>
    <w:rsid w:val="0058797D"/>
    <w:rsid w:val="00592619"/>
    <w:rsid w:val="005949D1"/>
    <w:rsid w:val="00597742"/>
    <w:rsid w:val="00597EF7"/>
    <w:rsid w:val="005A38B2"/>
    <w:rsid w:val="005A39F4"/>
    <w:rsid w:val="005A432C"/>
    <w:rsid w:val="005A63A9"/>
    <w:rsid w:val="005A6697"/>
    <w:rsid w:val="005A78D1"/>
    <w:rsid w:val="005B401A"/>
    <w:rsid w:val="005B5BF5"/>
    <w:rsid w:val="005B610F"/>
    <w:rsid w:val="005B6514"/>
    <w:rsid w:val="005B6A34"/>
    <w:rsid w:val="005B799E"/>
    <w:rsid w:val="005C168E"/>
    <w:rsid w:val="005C2FD9"/>
    <w:rsid w:val="005C5926"/>
    <w:rsid w:val="005C6938"/>
    <w:rsid w:val="005C7E54"/>
    <w:rsid w:val="005D2590"/>
    <w:rsid w:val="005D31C9"/>
    <w:rsid w:val="005D595F"/>
    <w:rsid w:val="005D67A3"/>
    <w:rsid w:val="005E10B5"/>
    <w:rsid w:val="005E1EBC"/>
    <w:rsid w:val="005E5450"/>
    <w:rsid w:val="005E5B18"/>
    <w:rsid w:val="005E677A"/>
    <w:rsid w:val="005E6A51"/>
    <w:rsid w:val="005E7F24"/>
    <w:rsid w:val="005F0D28"/>
    <w:rsid w:val="005F1654"/>
    <w:rsid w:val="005F2AD7"/>
    <w:rsid w:val="005F4C67"/>
    <w:rsid w:val="005F56BF"/>
    <w:rsid w:val="005F58C0"/>
    <w:rsid w:val="005F5D31"/>
    <w:rsid w:val="005F6132"/>
    <w:rsid w:val="005F77D1"/>
    <w:rsid w:val="0060062B"/>
    <w:rsid w:val="00602AF3"/>
    <w:rsid w:val="0060674B"/>
    <w:rsid w:val="0060722F"/>
    <w:rsid w:val="0060730E"/>
    <w:rsid w:val="00607A64"/>
    <w:rsid w:val="006101A9"/>
    <w:rsid w:val="006126C8"/>
    <w:rsid w:val="00612F2F"/>
    <w:rsid w:val="006139AC"/>
    <w:rsid w:val="0061587E"/>
    <w:rsid w:val="00615C19"/>
    <w:rsid w:val="00616379"/>
    <w:rsid w:val="0061710C"/>
    <w:rsid w:val="00623BDE"/>
    <w:rsid w:val="006330E3"/>
    <w:rsid w:val="00635528"/>
    <w:rsid w:val="00635A72"/>
    <w:rsid w:val="00635AAE"/>
    <w:rsid w:val="00637D0D"/>
    <w:rsid w:val="0064464D"/>
    <w:rsid w:val="006450DB"/>
    <w:rsid w:val="0064548F"/>
    <w:rsid w:val="00650974"/>
    <w:rsid w:val="006530D6"/>
    <w:rsid w:val="0065337E"/>
    <w:rsid w:val="00655299"/>
    <w:rsid w:val="00655C62"/>
    <w:rsid w:val="006606C2"/>
    <w:rsid w:val="00665E2A"/>
    <w:rsid w:val="0066678A"/>
    <w:rsid w:val="00667432"/>
    <w:rsid w:val="00672310"/>
    <w:rsid w:val="00673C4D"/>
    <w:rsid w:val="00675469"/>
    <w:rsid w:val="006769A7"/>
    <w:rsid w:val="00677163"/>
    <w:rsid w:val="006821CA"/>
    <w:rsid w:val="006857EB"/>
    <w:rsid w:val="00685F63"/>
    <w:rsid w:val="00691482"/>
    <w:rsid w:val="00692212"/>
    <w:rsid w:val="0069392B"/>
    <w:rsid w:val="00694C87"/>
    <w:rsid w:val="00695668"/>
    <w:rsid w:val="0069570F"/>
    <w:rsid w:val="00695771"/>
    <w:rsid w:val="006A165F"/>
    <w:rsid w:val="006A28C8"/>
    <w:rsid w:val="006A2F2B"/>
    <w:rsid w:val="006A470D"/>
    <w:rsid w:val="006A58D4"/>
    <w:rsid w:val="006A60F4"/>
    <w:rsid w:val="006A6D37"/>
    <w:rsid w:val="006A750C"/>
    <w:rsid w:val="006B3116"/>
    <w:rsid w:val="006C00FB"/>
    <w:rsid w:val="006C36A8"/>
    <w:rsid w:val="006C57A2"/>
    <w:rsid w:val="006C7B3B"/>
    <w:rsid w:val="006D19DE"/>
    <w:rsid w:val="006D2EAA"/>
    <w:rsid w:val="006D3EEB"/>
    <w:rsid w:val="006D6BCF"/>
    <w:rsid w:val="006D7906"/>
    <w:rsid w:val="006E10A4"/>
    <w:rsid w:val="006E127D"/>
    <w:rsid w:val="006E15ED"/>
    <w:rsid w:val="006E202A"/>
    <w:rsid w:val="006E3946"/>
    <w:rsid w:val="006E44E3"/>
    <w:rsid w:val="006E4B32"/>
    <w:rsid w:val="006E4C45"/>
    <w:rsid w:val="006E7965"/>
    <w:rsid w:val="006F3175"/>
    <w:rsid w:val="006F4505"/>
    <w:rsid w:val="006F4663"/>
    <w:rsid w:val="006F4AC9"/>
    <w:rsid w:val="006F729E"/>
    <w:rsid w:val="007003B9"/>
    <w:rsid w:val="00701E5B"/>
    <w:rsid w:val="00702B26"/>
    <w:rsid w:val="00703C46"/>
    <w:rsid w:val="0070408C"/>
    <w:rsid w:val="007041A2"/>
    <w:rsid w:val="00705640"/>
    <w:rsid w:val="0070792C"/>
    <w:rsid w:val="00707C5D"/>
    <w:rsid w:val="0071051D"/>
    <w:rsid w:val="00712629"/>
    <w:rsid w:val="0071515D"/>
    <w:rsid w:val="00723527"/>
    <w:rsid w:val="00723CD0"/>
    <w:rsid w:val="00724004"/>
    <w:rsid w:val="00725BE0"/>
    <w:rsid w:val="00725EF3"/>
    <w:rsid w:val="00726559"/>
    <w:rsid w:val="00731237"/>
    <w:rsid w:val="00731459"/>
    <w:rsid w:val="00732621"/>
    <w:rsid w:val="007330AF"/>
    <w:rsid w:val="00733FDD"/>
    <w:rsid w:val="00734BF3"/>
    <w:rsid w:val="00734D5C"/>
    <w:rsid w:val="0073501D"/>
    <w:rsid w:val="007415C8"/>
    <w:rsid w:val="00742D8F"/>
    <w:rsid w:val="00742FC9"/>
    <w:rsid w:val="0074673A"/>
    <w:rsid w:val="00746F48"/>
    <w:rsid w:val="007539BC"/>
    <w:rsid w:val="00754175"/>
    <w:rsid w:val="00756766"/>
    <w:rsid w:val="00757021"/>
    <w:rsid w:val="007607E8"/>
    <w:rsid w:val="007614BC"/>
    <w:rsid w:val="00762A6F"/>
    <w:rsid w:val="007631E0"/>
    <w:rsid w:val="0076477F"/>
    <w:rsid w:val="00765A3B"/>
    <w:rsid w:val="00765A8F"/>
    <w:rsid w:val="00766F43"/>
    <w:rsid w:val="00766FB3"/>
    <w:rsid w:val="00770479"/>
    <w:rsid w:val="00772125"/>
    <w:rsid w:val="00773D09"/>
    <w:rsid w:val="00775205"/>
    <w:rsid w:val="007756AC"/>
    <w:rsid w:val="00780AA8"/>
    <w:rsid w:val="007823B4"/>
    <w:rsid w:val="00786FE4"/>
    <w:rsid w:val="007916B2"/>
    <w:rsid w:val="00791737"/>
    <w:rsid w:val="00791CE2"/>
    <w:rsid w:val="00793485"/>
    <w:rsid w:val="007936D8"/>
    <w:rsid w:val="00794C5D"/>
    <w:rsid w:val="00795E46"/>
    <w:rsid w:val="0079717C"/>
    <w:rsid w:val="007A25EE"/>
    <w:rsid w:val="007A3A5D"/>
    <w:rsid w:val="007A5B05"/>
    <w:rsid w:val="007A5E44"/>
    <w:rsid w:val="007B1BC1"/>
    <w:rsid w:val="007B1DA9"/>
    <w:rsid w:val="007B321F"/>
    <w:rsid w:val="007B52A5"/>
    <w:rsid w:val="007B5409"/>
    <w:rsid w:val="007B6F56"/>
    <w:rsid w:val="007B76CD"/>
    <w:rsid w:val="007B7A1F"/>
    <w:rsid w:val="007B7DBE"/>
    <w:rsid w:val="007C051B"/>
    <w:rsid w:val="007C118B"/>
    <w:rsid w:val="007C2BAF"/>
    <w:rsid w:val="007C2DC0"/>
    <w:rsid w:val="007C4007"/>
    <w:rsid w:val="007C43F5"/>
    <w:rsid w:val="007C6838"/>
    <w:rsid w:val="007C6A6B"/>
    <w:rsid w:val="007C7325"/>
    <w:rsid w:val="007C7621"/>
    <w:rsid w:val="007D0F81"/>
    <w:rsid w:val="007D12FD"/>
    <w:rsid w:val="007D3D30"/>
    <w:rsid w:val="007D458C"/>
    <w:rsid w:val="007D4EA5"/>
    <w:rsid w:val="007D57BF"/>
    <w:rsid w:val="007D6812"/>
    <w:rsid w:val="007D7608"/>
    <w:rsid w:val="007E0BC7"/>
    <w:rsid w:val="007E16A7"/>
    <w:rsid w:val="007E693C"/>
    <w:rsid w:val="007E71A9"/>
    <w:rsid w:val="007E7899"/>
    <w:rsid w:val="007F023C"/>
    <w:rsid w:val="007F1D2D"/>
    <w:rsid w:val="007F2022"/>
    <w:rsid w:val="007F367E"/>
    <w:rsid w:val="007F4633"/>
    <w:rsid w:val="007F47F3"/>
    <w:rsid w:val="007F508B"/>
    <w:rsid w:val="00801849"/>
    <w:rsid w:val="008022AC"/>
    <w:rsid w:val="00802AB0"/>
    <w:rsid w:val="00804156"/>
    <w:rsid w:val="00807323"/>
    <w:rsid w:val="0080785A"/>
    <w:rsid w:val="00810C98"/>
    <w:rsid w:val="0081174F"/>
    <w:rsid w:val="00813138"/>
    <w:rsid w:val="0081388C"/>
    <w:rsid w:val="00814A4E"/>
    <w:rsid w:val="00814E84"/>
    <w:rsid w:val="00815BFC"/>
    <w:rsid w:val="00815EF5"/>
    <w:rsid w:val="0082091B"/>
    <w:rsid w:val="00820BB4"/>
    <w:rsid w:val="00821C0F"/>
    <w:rsid w:val="008257FE"/>
    <w:rsid w:val="00825E7F"/>
    <w:rsid w:val="008260AA"/>
    <w:rsid w:val="008302DA"/>
    <w:rsid w:val="00832675"/>
    <w:rsid w:val="00833A0F"/>
    <w:rsid w:val="0083448E"/>
    <w:rsid w:val="0083507B"/>
    <w:rsid w:val="008366B4"/>
    <w:rsid w:val="00837054"/>
    <w:rsid w:val="0083713A"/>
    <w:rsid w:val="008403F2"/>
    <w:rsid w:val="00842758"/>
    <w:rsid w:val="008438C5"/>
    <w:rsid w:val="008440DF"/>
    <w:rsid w:val="00846BA0"/>
    <w:rsid w:val="008503AF"/>
    <w:rsid w:val="00855530"/>
    <w:rsid w:val="00855CD3"/>
    <w:rsid w:val="0086106D"/>
    <w:rsid w:val="00863DD4"/>
    <w:rsid w:val="00864ED3"/>
    <w:rsid w:val="008707D7"/>
    <w:rsid w:val="00870A5E"/>
    <w:rsid w:val="00871726"/>
    <w:rsid w:val="00874545"/>
    <w:rsid w:val="00874C0D"/>
    <w:rsid w:val="00875002"/>
    <w:rsid w:val="00876C6A"/>
    <w:rsid w:val="00876E52"/>
    <w:rsid w:val="0088426D"/>
    <w:rsid w:val="00884A0F"/>
    <w:rsid w:val="00884FA2"/>
    <w:rsid w:val="00885AC0"/>
    <w:rsid w:val="00892A2F"/>
    <w:rsid w:val="008A2733"/>
    <w:rsid w:val="008A4943"/>
    <w:rsid w:val="008A5EE6"/>
    <w:rsid w:val="008A640D"/>
    <w:rsid w:val="008A6694"/>
    <w:rsid w:val="008A73C1"/>
    <w:rsid w:val="008A786F"/>
    <w:rsid w:val="008A7876"/>
    <w:rsid w:val="008B478C"/>
    <w:rsid w:val="008B5D6D"/>
    <w:rsid w:val="008B730A"/>
    <w:rsid w:val="008C07B9"/>
    <w:rsid w:val="008C1615"/>
    <w:rsid w:val="008C23F1"/>
    <w:rsid w:val="008C3D22"/>
    <w:rsid w:val="008C4C81"/>
    <w:rsid w:val="008D1BE0"/>
    <w:rsid w:val="008D299A"/>
    <w:rsid w:val="008D2D56"/>
    <w:rsid w:val="008D355D"/>
    <w:rsid w:val="008D41FB"/>
    <w:rsid w:val="008D5E0D"/>
    <w:rsid w:val="008D6558"/>
    <w:rsid w:val="008D76E3"/>
    <w:rsid w:val="008E27FB"/>
    <w:rsid w:val="008E3AA9"/>
    <w:rsid w:val="008E3DA5"/>
    <w:rsid w:val="008E4169"/>
    <w:rsid w:val="008E64A6"/>
    <w:rsid w:val="008E6730"/>
    <w:rsid w:val="008E7565"/>
    <w:rsid w:val="008E7C3B"/>
    <w:rsid w:val="008F16A5"/>
    <w:rsid w:val="008F33F4"/>
    <w:rsid w:val="008F34E5"/>
    <w:rsid w:val="008F5B79"/>
    <w:rsid w:val="00901797"/>
    <w:rsid w:val="00902C1F"/>
    <w:rsid w:val="00903975"/>
    <w:rsid w:val="00903C8B"/>
    <w:rsid w:val="00904779"/>
    <w:rsid w:val="00904D28"/>
    <w:rsid w:val="009059E9"/>
    <w:rsid w:val="00905EEF"/>
    <w:rsid w:val="0090778B"/>
    <w:rsid w:val="00913EA8"/>
    <w:rsid w:val="00913FEF"/>
    <w:rsid w:val="009167F6"/>
    <w:rsid w:val="0091684D"/>
    <w:rsid w:val="00917A0A"/>
    <w:rsid w:val="009226F6"/>
    <w:rsid w:val="009234F4"/>
    <w:rsid w:val="00925E81"/>
    <w:rsid w:val="00936A5B"/>
    <w:rsid w:val="009375BC"/>
    <w:rsid w:val="00940063"/>
    <w:rsid w:val="00940871"/>
    <w:rsid w:val="00940AA2"/>
    <w:rsid w:val="009413F7"/>
    <w:rsid w:val="00942197"/>
    <w:rsid w:val="00942480"/>
    <w:rsid w:val="00944018"/>
    <w:rsid w:val="009448A0"/>
    <w:rsid w:val="009449A8"/>
    <w:rsid w:val="009451F7"/>
    <w:rsid w:val="00947506"/>
    <w:rsid w:val="00950308"/>
    <w:rsid w:val="00950EF6"/>
    <w:rsid w:val="009511A2"/>
    <w:rsid w:val="00951792"/>
    <w:rsid w:val="00951A7A"/>
    <w:rsid w:val="00952BB8"/>
    <w:rsid w:val="00953208"/>
    <w:rsid w:val="00955F7D"/>
    <w:rsid w:val="00960CD5"/>
    <w:rsid w:val="00961551"/>
    <w:rsid w:val="0096240E"/>
    <w:rsid w:val="00962BCD"/>
    <w:rsid w:val="00962FED"/>
    <w:rsid w:val="00963807"/>
    <w:rsid w:val="009642EA"/>
    <w:rsid w:val="00964AF7"/>
    <w:rsid w:val="00965A56"/>
    <w:rsid w:val="00965E08"/>
    <w:rsid w:val="00966515"/>
    <w:rsid w:val="00970A15"/>
    <w:rsid w:val="00974A14"/>
    <w:rsid w:val="00975404"/>
    <w:rsid w:val="009772BC"/>
    <w:rsid w:val="00980874"/>
    <w:rsid w:val="00980EFF"/>
    <w:rsid w:val="00982147"/>
    <w:rsid w:val="00983E32"/>
    <w:rsid w:val="00985246"/>
    <w:rsid w:val="0098718D"/>
    <w:rsid w:val="009935FF"/>
    <w:rsid w:val="00993627"/>
    <w:rsid w:val="009939C2"/>
    <w:rsid w:val="00993D57"/>
    <w:rsid w:val="00994627"/>
    <w:rsid w:val="009969E3"/>
    <w:rsid w:val="00996C3B"/>
    <w:rsid w:val="009A317B"/>
    <w:rsid w:val="009A3276"/>
    <w:rsid w:val="009A3357"/>
    <w:rsid w:val="009A4D00"/>
    <w:rsid w:val="009A50E7"/>
    <w:rsid w:val="009A61FF"/>
    <w:rsid w:val="009A6F64"/>
    <w:rsid w:val="009B0627"/>
    <w:rsid w:val="009B72ED"/>
    <w:rsid w:val="009C0E56"/>
    <w:rsid w:val="009C1438"/>
    <w:rsid w:val="009C16A0"/>
    <w:rsid w:val="009C3787"/>
    <w:rsid w:val="009D1B3E"/>
    <w:rsid w:val="009D6FA3"/>
    <w:rsid w:val="009E2C78"/>
    <w:rsid w:val="009E2E46"/>
    <w:rsid w:val="009E374A"/>
    <w:rsid w:val="009E5461"/>
    <w:rsid w:val="009E6B0B"/>
    <w:rsid w:val="009E6C06"/>
    <w:rsid w:val="009F0886"/>
    <w:rsid w:val="009F3525"/>
    <w:rsid w:val="009F3717"/>
    <w:rsid w:val="009F5792"/>
    <w:rsid w:val="009F5A6E"/>
    <w:rsid w:val="009F5B8B"/>
    <w:rsid w:val="009F6FAB"/>
    <w:rsid w:val="009F7E50"/>
    <w:rsid w:val="00A00215"/>
    <w:rsid w:val="00A00332"/>
    <w:rsid w:val="00A00BBB"/>
    <w:rsid w:val="00A01418"/>
    <w:rsid w:val="00A01573"/>
    <w:rsid w:val="00A031E5"/>
    <w:rsid w:val="00A035A2"/>
    <w:rsid w:val="00A05E59"/>
    <w:rsid w:val="00A07920"/>
    <w:rsid w:val="00A1094B"/>
    <w:rsid w:val="00A10E08"/>
    <w:rsid w:val="00A10F8D"/>
    <w:rsid w:val="00A137F0"/>
    <w:rsid w:val="00A13B95"/>
    <w:rsid w:val="00A13DE7"/>
    <w:rsid w:val="00A1714D"/>
    <w:rsid w:val="00A23340"/>
    <w:rsid w:val="00A2335D"/>
    <w:rsid w:val="00A23770"/>
    <w:rsid w:val="00A24496"/>
    <w:rsid w:val="00A25CAA"/>
    <w:rsid w:val="00A30130"/>
    <w:rsid w:val="00A30534"/>
    <w:rsid w:val="00A31024"/>
    <w:rsid w:val="00A32065"/>
    <w:rsid w:val="00A32E9F"/>
    <w:rsid w:val="00A340EB"/>
    <w:rsid w:val="00A3517B"/>
    <w:rsid w:val="00A35F4F"/>
    <w:rsid w:val="00A368BC"/>
    <w:rsid w:val="00A36D43"/>
    <w:rsid w:val="00A41456"/>
    <w:rsid w:val="00A41C18"/>
    <w:rsid w:val="00A47C1A"/>
    <w:rsid w:val="00A51B85"/>
    <w:rsid w:val="00A530B0"/>
    <w:rsid w:val="00A55295"/>
    <w:rsid w:val="00A554DB"/>
    <w:rsid w:val="00A55669"/>
    <w:rsid w:val="00A60791"/>
    <w:rsid w:val="00A62737"/>
    <w:rsid w:val="00A62BD1"/>
    <w:rsid w:val="00A635B3"/>
    <w:rsid w:val="00A63625"/>
    <w:rsid w:val="00A64877"/>
    <w:rsid w:val="00A64E53"/>
    <w:rsid w:val="00A665D8"/>
    <w:rsid w:val="00A67402"/>
    <w:rsid w:val="00A75461"/>
    <w:rsid w:val="00A75924"/>
    <w:rsid w:val="00A77139"/>
    <w:rsid w:val="00A801DD"/>
    <w:rsid w:val="00A8387F"/>
    <w:rsid w:val="00A856DC"/>
    <w:rsid w:val="00A85904"/>
    <w:rsid w:val="00A85AD9"/>
    <w:rsid w:val="00A85D86"/>
    <w:rsid w:val="00A91976"/>
    <w:rsid w:val="00A92218"/>
    <w:rsid w:val="00A9232C"/>
    <w:rsid w:val="00A92E93"/>
    <w:rsid w:val="00A94669"/>
    <w:rsid w:val="00A95C97"/>
    <w:rsid w:val="00A95D4B"/>
    <w:rsid w:val="00A95E91"/>
    <w:rsid w:val="00A96310"/>
    <w:rsid w:val="00AA2682"/>
    <w:rsid w:val="00AA48C3"/>
    <w:rsid w:val="00AA4BB5"/>
    <w:rsid w:val="00AA5A48"/>
    <w:rsid w:val="00AB1539"/>
    <w:rsid w:val="00AB153B"/>
    <w:rsid w:val="00AB1F1A"/>
    <w:rsid w:val="00AB24A4"/>
    <w:rsid w:val="00AB3441"/>
    <w:rsid w:val="00AB34E4"/>
    <w:rsid w:val="00AB41F6"/>
    <w:rsid w:val="00AB4A5D"/>
    <w:rsid w:val="00AB6A02"/>
    <w:rsid w:val="00AC3EB0"/>
    <w:rsid w:val="00AC45F5"/>
    <w:rsid w:val="00AC6C88"/>
    <w:rsid w:val="00AC7523"/>
    <w:rsid w:val="00AC7660"/>
    <w:rsid w:val="00AD0CDD"/>
    <w:rsid w:val="00AD31D5"/>
    <w:rsid w:val="00AD5B6D"/>
    <w:rsid w:val="00AD7A05"/>
    <w:rsid w:val="00AE04E0"/>
    <w:rsid w:val="00AE0DDD"/>
    <w:rsid w:val="00AE1328"/>
    <w:rsid w:val="00AE5946"/>
    <w:rsid w:val="00AE5B31"/>
    <w:rsid w:val="00AF00F3"/>
    <w:rsid w:val="00AF0C25"/>
    <w:rsid w:val="00AF0D6C"/>
    <w:rsid w:val="00AF11E8"/>
    <w:rsid w:val="00AF3F3A"/>
    <w:rsid w:val="00AF7A3D"/>
    <w:rsid w:val="00B037F7"/>
    <w:rsid w:val="00B11750"/>
    <w:rsid w:val="00B1220C"/>
    <w:rsid w:val="00B12CD9"/>
    <w:rsid w:val="00B12FB8"/>
    <w:rsid w:val="00B1448A"/>
    <w:rsid w:val="00B14520"/>
    <w:rsid w:val="00B14AE6"/>
    <w:rsid w:val="00B14DAB"/>
    <w:rsid w:val="00B15B22"/>
    <w:rsid w:val="00B1635C"/>
    <w:rsid w:val="00B2136A"/>
    <w:rsid w:val="00B21CC7"/>
    <w:rsid w:val="00B22A60"/>
    <w:rsid w:val="00B23727"/>
    <w:rsid w:val="00B23780"/>
    <w:rsid w:val="00B2392A"/>
    <w:rsid w:val="00B2476D"/>
    <w:rsid w:val="00B26391"/>
    <w:rsid w:val="00B273B5"/>
    <w:rsid w:val="00B31FE8"/>
    <w:rsid w:val="00B33FAD"/>
    <w:rsid w:val="00B34065"/>
    <w:rsid w:val="00B35DCA"/>
    <w:rsid w:val="00B370D0"/>
    <w:rsid w:val="00B37BDB"/>
    <w:rsid w:val="00B4013F"/>
    <w:rsid w:val="00B4022E"/>
    <w:rsid w:val="00B413E0"/>
    <w:rsid w:val="00B41784"/>
    <w:rsid w:val="00B41A22"/>
    <w:rsid w:val="00B447C9"/>
    <w:rsid w:val="00B47369"/>
    <w:rsid w:val="00B52AAA"/>
    <w:rsid w:val="00B52F93"/>
    <w:rsid w:val="00B5312D"/>
    <w:rsid w:val="00B53234"/>
    <w:rsid w:val="00B53B22"/>
    <w:rsid w:val="00B54161"/>
    <w:rsid w:val="00B55390"/>
    <w:rsid w:val="00B575DF"/>
    <w:rsid w:val="00B57847"/>
    <w:rsid w:val="00B637A5"/>
    <w:rsid w:val="00B73C05"/>
    <w:rsid w:val="00B74DEC"/>
    <w:rsid w:val="00B7559C"/>
    <w:rsid w:val="00B75798"/>
    <w:rsid w:val="00B75AAB"/>
    <w:rsid w:val="00B81081"/>
    <w:rsid w:val="00B82D7F"/>
    <w:rsid w:val="00B85020"/>
    <w:rsid w:val="00B90C4A"/>
    <w:rsid w:val="00B92029"/>
    <w:rsid w:val="00B93145"/>
    <w:rsid w:val="00B935C5"/>
    <w:rsid w:val="00B94865"/>
    <w:rsid w:val="00B94E0F"/>
    <w:rsid w:val="00B952B6"/>
    <w:rsid w:val="00B95A91"/>
    <w:rsid w:val="00B97108"/>
    <w:rsid w:val="00B9746F"/>
    <w:rsid w:val="00BA27CE"/>
    <w:rsid w:val="00BA27F9"/>
    <w:rsid w:val="00BA2F9C"/>
    <w:rsid w:val="00BA571B"/>
    <w:rsid w:val="00BA687E"/>
    <w:rsid w:val="00BB0FC0"/>
    <w:rsid w:val="00BB235C"/>
    <w:rsid w:val="00BB2498"/>
    <w:rsid w:val="00BB479A"/>
    <w:rsid w:val="00BB6B4F"/>
    <w:rsid w:val="00BC0DE9"/>
    <w:rsid w:val="00BC21EA"/>
    <w:rsid w:val="00BC28CD"/>
    <w:rsid w:val="00BC3A24"/>
    <w:rsid w:val="00BC5B5D"/>
    <w:rsid w:val="00BC6C9F"/>
    <w:rsid w:val="00BD0C49"/>
    <w:rsid w:val="00BD13E0"/>
    <w:rsid w:val="00BD6ED7"/>
    <w:rsid w:val="00BE0CCA"/>
    <w:rsid w:val="00BE0D1D"/>
    <w:rsid w:val="00BE1750"/>
    <w:rsid w:val="00BE3067"/>
    <w:rsid w:val="00BE46CE"/>
    <w:rsid w:val="00BE5891"/>
    <w:rsid w:val="00BE5C2F"/>
    <w:rsid w:val="00BE607A"/>
    <w:rsid w:val="00BF0990"/>
    <w:rsid w:val="00BF0B2D"/>
    <w:rsid w:val="00BF1771"/>
    <w:rsid w:val="00BF1F27"/>
    <w:rsid w:val="00BF2B20"/>
    <w:rsid w:val="00BF460D"/>
    <w:rsid w:val="00BF6343"/>
    <w:rsid w:val="00C00C86"/>
    <w:rsid w:val="00C02082"/>
    <w:rsid w:val="00C02160"/>
    <w:rsid w:val="00C02DD2"/>
    <w:rsid w:val="00C11239"/>
    <w:rsid w:val="00C11DA0"/>
    <w:rsid w:val="00C1209D"/>
    <w:rsid w:val="00C12501"/>
    <w:rsid w:val="00C12DD7"/>
    <w:rsid w:val="00C156BE"/>
    <w:rsid w:val="00C21218"/>
    <w:rsid w:val="00C218FA"/>
    <w:rsid w:val="00C239CB"/>
    <w:rsid w:val="00C23F96"/>
    <w:rsid w:val="00C240D8"/>
    <w:rsid w:val="00C267DE"/>
    <w:rsid w:val="00C279FE"/>
    <w:rsid w:val="00C3048D"/>
    <w:rsid w:val="00C32E8B"/>
    <w:rsid w:val="00C346F9"/>
    <w:rsid w:val="00C36DE1"/>
    <w:rsid w:val="00C36F90"/>
    <w:rsid w:val="00C377ED"/>
    <w:rsid w:val="00C40332"/>
    <w:rsid w:val="00C42112"/>
    <w:rsid w:val="00C42D87"/>
    <w:rsid w:val="00C46B4D"/>
    <w:rsid w:val="00C5057E"/>
    <w:rsid w:val="00C50F3A"/>
    <w:rsid w:val="00C50FA5"/>
    <w:rsid w:val="00C51431"/>
    <w:rsid w:val="00C532C8"/>
    <w:rsid w:val="00C53F0A"/>
    <w:rsid w:val="00C54E11"/>
    <w:rsid w:val="00C54E1E"/>
    <w:rsid w:val="00C55946"/>
    <w:rsid w:val="00C55973"/>
    <w:rsid w:val="00C55BB5"/>
    <w:rsid w:val="00C57BDC"/>
    <w:rsid w:val="00C60563"/>
    <w:rsid w:val="00C621E5"/>
    <w:rsid w:val="00C648E4"/>
    <w:rsid w:val="00C66F7F"/>
    <w:rsid w:val="00C67459"/>
    <w:rsid w:val="00C73C87"/>
    <w:rsid w:val="00C80D0E"/>
    <w:rsid w:val="00C82574"/>
    <w:rsid w:val="00C835FA"/>
    <w:rsid w:val="00C851C4"/>
    <w:rsid w:val="00C85300"/>
    <w:rsid w:val="00C85608"/>
    <w:rsid w:val="00C863BF"/>
    <w:rsid w:val="00C870D8"/>
    <w:rsid w:val="00C902D6"/>
    <w:rsid w:val="00C93535"/>
    <w:rsid w:val="00C96639"/>
    <w:rsid w:val="00CA19D1"/>
    <w:rsid w:val="00CA257E"/>
    <w:rsid w:val="00CA5F9F"/>
    <w:rsid w:val="00CA6A2E"/>
    <w:rsid w:val="00CA6CCF"/>
    <w:rsid w:val="00CB16D1"/>
    <w:rsid w:val="00CB3A5E"/>
    <w:rsid w:val="00CB3D92"/>
    <w:rsid w:val="00CB5B00"/>
    <w:rsid w:val="00CB5BD4"/>
    <w:rsid w:val="00CB7B2A"/>
    <w:rsid w:val="00CC01CB"/>
    <w:rsid w:val="00CC0C09"/>
    <w:rsid w:val="00CC4111"/>
    <w:rsid w:val="00CC497D"/>
    <w:rsid w:val="00CC5427"/>
    <w:rsid w:val="00CC55D8"/>
    <w:rsid w:val="00CC6CF0"/>
    <w:rsid w:val="00CC7FFA"/>
    <w:rsid w:val="00CD17F5"/>
    <w:rsid w:val="00CD520F"/>
    <w:rsid w:val="00CD5420"/>
    <w:rsid w:val="00CD674B"/>
    <w:rsid w:val="00CE0338"/>
    <w:rsid w:val="00CE16A3"/>
    <w:rsid w:val="00CE3F37"/>
    <w:rsid w:val="00CE58AC"/>
    <w:rsid w:val="00CE6999"/>
    <w:rsid w:val="00CE6FE0"/>
    <w:rsid w:val="00CE7554"/>
    <w:rsid w:val="00CE7EE7"/>
    <w:rsid w:val="00CF2650"/>
    <w:rsid w:val="00CF2E76"/>
    <w:rsid w:val="00D030CC"/>
    <w:rsid w:val="00D04E3E"/>
    <w:rsid w:val="00D055EE"/>
    <w:rsid w:val="00D07357"/>
    <w:rsid w:val="00D07E18"/>
    <w:rsid w:val="00D1242E"/>
    <w:rsid w:val="00D127D8"/>
    <w:rsid w:val="00D1290D"/>
    <w:rsid w:val="00D12A7D"/>
    <w:rsid w:val="00D159C0"/>
    <w:rsid w:val="00D1701B"/>
    <w:rsid w:val="00D21B4B"/>
    <w:rsid w:val="00D21E34"/>
    <w:rsid w:val="00D22A5C"/>
    <w:rsid w:val="00D22BE8"/>
    <w:rsid w:val="00D23197"/>
    <w:rsid w:val="00D242C6"/>
    <w:rsid w:val="00D2500E"/>
    <w:rsid w:val="00D258E5"/>
    <w:rsid w:val="00D25F99"/>
    <w:rsid w:val="00D2625F"/>
    <w:rsid w:val="00D265C0"/>
    <w:rsid w:val="00D26FF0"/>
    <w:rsid w:val="00D278DB"/>
    <w:rsid w:val="00D30007"/>
    <w:rsid w:val="00D334EA"/>
    <w:rsid w:val="00D33C10"/>
    <w:rsid w:val="00D34D62"/>
    <w:rsid w:val="00D36350"/>
    <w:rsid w:val="00D36B5C"/>
    <w:rsid w:val="00D37346"/>
    <w:rsid w:val="00D374CE"/>
    <w:rsid w:val="00D40303"/>
    <w:rsid w:val="00D403E0"/>
    <w:rsid w:val="00D42729"/>
    <w:rsid w:val="00D428A7"/>
    <w:rsid w:val="00D435EE"/>
    <w:rsid w:val="00D44A1C"/>
    <w:rsid w:val="00D44BA0"/>
    <w:rsid w:val="00D44E1A"/>
    <w:rsid w:val="00D50D02"/>
    <w:rsid w:val="00D52DDF"/>
    <w:rsid w:val="00D53C51"/>
    <w:rsid w:val="00D578F8"/>
    <w:rsid w:val="00D602E4"/>
    <w:rsid w:val="00D6093D"/>
    <w:rsid w:val="00D62871"/>
    <w:rsid w:val="00D62BEB"/>
    <w:rsid w:val="00D62C52"/>
    <w:rsid w:val="00D659B8"/>
    <w:rsid w:val="00D6634D"/>
    <w:rsid w:val="00D67004"/>
    <w:rsid w:val="00D67622"/>
    <w:rsid w:val="00D707D9"/>
    <w:rsid w:val="00D72E42"/>
    <w:rsid w:val="00D7472F"/>
    <w:rsid w:val="00D76806"/>
    <w:rsid w:val="00D83A42"/>
    <w:rsid w:val="00D85A4B"/>
    <w:rsid w:val="00D8622A"/>
    <w:rsid w:val="00D903CB"/>
    <w:rsid w:val="00D90CF0"/>
    <w:rsid w:val="00D9390D"/>
    <w:rsid w:val="00D93A3C"/>
    <w:rsid w:val="00D977C9"/>
    <w:rsid w:val="00D97862"/>
    <w:rsid w:val="00DA0327"/>
    <w:rsid w:val="00DA0C5F"/>
    <w:rsid w:val="00DA365D"/>
    <w:rsid w:val="00DA38E0"/>
    <w:rsid w:val="00DA3CE1"/>
    <w:rsid w:val="00DA4F88"/>
    <w:rsid w:val="00DA523C"/>
    <w:rsid w:val="00DA5E90"/>
    <w:rsid w:val="00DA773E"/>
    <w:rsid w:val="00DA7AA7"/>
    <w:rsid w:val="00DA7D4A"/>
    <w:rsid w:val="00DB0740"/>
    <w:rsid w:val="00DB4A2D"/>
    <w:rsid w:val="00DB519C"/>
    <w:rsid w:val="00DB73BE"/>
    <w:rsid w:val="00DC243B"/>
    <w:rsid w:val="00DC29EB"/>
    <w:rsid w:val="00DC2D52"/>
    <w:rsid w:val="00DC3931"/>
    <w:rsid w:val="00DC5926"/>
    <w:rsid w:val="00DC6048"/>
    <w:rsid w:val="00DC6575"/>
    <w:rsid w:val="00DC7D6A"/>
    <w:rsid w:val="00DD269F"/>
    <w:rsid w:val="00DD2C02"/>
    <w:rsid w:val="00DD384E"/>
    <w:rsid w:val="00DD3907"/>
    <w:rsid w:val="00DD3EFC"/>
    <w:rsid w:val="00DD40D7"/>
    <w:rsid w:val="00DE04C1"/>
    <w:rsid w:val="00DE0A33"/>
    <w:rsid w:val="00DE172D"/>
    <w:rsid w:val="00DE273C"/>
    <w:rsid w:val="00DE3056"/>
    <w:rsid w:val="00DE5705"/>
    <w:rsid w:val="00DE6E6B"/>
    <w:rsid w:val="00DE795C"/>
    <w:rsid w:val="00DF1FDF"/>
    <w:rsid w:val="00DF5E99"/>
    <w:rsid w:val="00E00775"/>
    <w:rsid w:val="00E010B1"/>
    <w:rsid w:val="00E02B05"/>
    <w:rsid w:val="00E03EDE"/>
    <w:rsid w:val="00E11CD6"/>
    <w:rsid w:val="00E127A3"/>
    <w:rsid w:val="00E13254"/>
    <w:rsid w:val="00E13D2B"/>
    <w:rsid w:val="00E16236"/>
    <w:rsid w:val="00E16A98"/>
    <w:rsid w:val="00E16E7F"/>
    <w:rsid w:val="00E20306"/>
    <w:rsid w:val="00E21ED2"/>
    <w:rsid w:val="00E22F85"/>
    <w:rsid w:val="00E2499F"/>
    <w:rsid w:val="00E325B2"/>
    <w:rsid w:val="00E36579"/>
    <w:rsid w:val="00E36615"/>
    <w:rsid w:val="00E37092"/>
    <w:rsid w:val="00E4024D"/>
    <w:rsid w:val="00E41037"/>
    <w:rsid w:val="00E43FF9"/>
    <w:rsid w:val="00E45656"/>
    <w:rsid w:val="00E459AC"/>
    <w:rsid w:val="00E45B2A"/>
    <w:rsid w:val="00E506D8"/>
    <w:rsid w:val="00E51A8B"/>
    <w:rsid w:val="00E52292"/>
    <w:rsid w:val="00E5737F"/>
    <w:rsid w:val="00E614C0"/>
    <w:rsid w:val="00E61546"/>
    <w:rsid w:val="00E6356A"/>
    <w:rsid w:val="00E72056"/>
    <w:rsid w:val="00E72179"/>
    <w:rsid w:val="00E72794"/>
    <w:rsid w:val="00E734C8"/>
    <w:rsid w:val="00E738F0"/>
    <w:rsid w:val="00E74440"/>
    <w:rsid w:val="00E748A5"/>
    <w:rsid w:val="00E74A56"/>
    <w:rsid w:val="00E76008"/>
    <w:rsid w:val="00E76A8C"/>
    <w:rsid w:val="00E77FA9"/>
    <w:rsid w:val="00E806F3"/>
    <w:rsid w:val="00E80A4F"/>
    <w:rsid w:val="00E812C2"/>
    <w:rsid w:val="00E84E9C"/>
    <w:rsid w:val="00E9186E"/>
    <w:rsid w:val="00E91EB0"/>
    <w:rsid w:val="00E92A6E"/>
    <w:rsid w:val="00E95C20"/>
    <w:rsid w:val="00E9633F"/>
    <w:rsid w:val="00E963E1"/>
    <w:rsid w:val="00EA1BF6"/>
    <w:rsid w:val="00EA26A1"/>
    <w:rsid w:val="00EA2721"/>
    <w:rsid w:val="00EA3D72"/>
    <w:rsid w:val="00EA40E7"/>
    <w:rsid w:val="00EA6281"/>
    <w:rsid w:val="00EB0C51"/>
    <w:rsid w:val="00EB21D4"/>
    <w:rsid w:val="00EB2B0C"/>
    <w:rsid w:val="00EB31E1"/>
    <w:rsid w:val="00EB412E"/>
    <w:rsid w:val="00EB4703"/>
    <w:rsid w:val="00EB4ED2"/>
    <w:rsid w:val="00EB77E2"/>
    <w:rsid w:val="00EC1C28"/>
    <w:rsid w:val="00EC2846"/>
    <w:rsid w:val="00EC3347"/>
    <w:rsid w:val="00EC4799"/>
    <w:rsid w:val="00EC5140"/>
    <w:rsid w:val="00EC5393"/>
    <w:rsid w:val="00EC63EC"/>
    <w:rsid w:val="00EC711E"/>
    <w:rsid w:val="00EC746C"/>
    <w:rsid w:val="00ED0937"/>
    <w:rsid w:val="00ED1993"/>
    <w:rsid w:val="00ED228D"/>
    <w:rsid w:val="00ED55E5"/>
    <w:rsid w:val="00EE03FF"/>
    <w:rsid w:val="00EE4F92"/>
    <w:rsid w:val="00EE695E"/>
    <w:rsid w:val="00EF2EC4"/>
    <w:rsid w:val="00EF4906"/>
    <w:rsid w:val="00EF648F"/>
    <w:rsid w:val="00F002B4"/>
    <w:rsid w:val="00F05555"/>
    <w:rsid w:val="00F06116"/>
    <w:rsid w:val="00F11E40"/>
    <w:rsid w:val="00F13A02"/>
    <w:rsid w:val="00F13B02"/>
    <w:rsid w:val="00F1692E"/>
    <w:rsid w:val="00F20048"/>
    <w:rsid w:val="00F212EB"/>
    <w:rsid w:val="00F22DD5"/>
    <w:rsid w:val="00F231DC"/>
    <w:rsid w:val="00F24D81"/>
    <w:rsid w:val="00F24F97"/>
    <w:rsid w:val="00F25DFF"/>
    <w:rsid w:val="00F27414"/>
    <w:rsid w:val="00F277A5"/>
    <w:rsid w:val="00F27A33"/>
    <w:rsid w:val="00F302ED"/>
    <w:rsid w:val="00F3156C"/>
    <w:rsid w:val="00F31BBE"/>
    <w:rsid w:val="00F31F23"/>
    <w:rsid w:val="00F32665"/>
    <w:rsid w:val="00F32772"/>
    <w:rsid w:val="00F329FA"/>
    <w:rsid w:val="00F32B4C"/>
    <w:rsid w:val="00F32B98"/>
    <w:rsid w:val="00F3463E"/>
    <w:rsid w:val="00F40E25"/>
    <w:rsid w:val="00F41D14"/>
    <w:rsid w:val="00F42002"/>
    <w:rsid w:val="00F42049"/>
    <w:rsid w:val="00F42A3A"/>
    <w:rsid w:val="00F42AEC"/>
    <w:rsid w:val="00F44207"/>
    <w:rsid w:val="00F442AA"/>
    <w:rsid w:val="00F50E6C"/>
    <w:rsid w:val="00F51735"/>
    <w:rsid w:val="00F534F1"/>
    <w:rsid w:val="00F5467A"/>
    <w:rsid w:val="00F55CF5"/>
    <w:rsid w:val="00F60413"/>
    <w:rsid w:val="00F6056F"/>
    <w:rsid w:val="00F620C0"/>
    <w:rsid w:val="00F62D1A"/>
    <w:rsid w:val="00F62EFA"/>
    <w:rsid w:val="00F638C8"/>
    <w:rsid w:val="00F63AD4"/>
    <w:rsid w:val="00F63E61"/>
    <w:rsid w:val="00F6528B"/>
    <w:rsid w:val="00F704D2"/>
    <w:rsid w:val="00F709AE"/>
    <w:rsid w:val="00F71A9C"/>
    <w:rsid w:val="00F765ED"/>
    <w:rsid w:val="00F76E4F"/>
    <w:rsid w:val="00F80FC7"/>
    <w:rsid w:val="00F81E77"/>
    <w:rsid w:val="00F81EF9"/>
    <w:rsid w:val="00F820F1"/>
    <w:rsid w:val="00F82DDF"/>
    <w:rsid w:val="00F84498"/>
    <w:rsid w:val="00F87846"/>
    <w:rsid w:val="00F879FD"/>
    <w:rsid w:val="00F87D2A"/>
    <w:rsid w:val="00F900B5"/>
    <w:rsid w:val="00F926FC"/>
    <w:rsid w:val="00F938DE"/>
    <w:rsid w:val="00F94E13"/>
    <w:rsid w:val="00F9513B"/>
    <w:rsid w:val="00F97599"/>
    <w:rsid w:val="00F977E0"/>
    <w:rsid w:val="00FA1133"/>
    <w:rsid w:val="00FA19B6"/>
    <w:rsid w:val="00FA22A0"/>
    <w:rsid w:val="00FA45B3"/>
    <w:rsid w:val="00FA5265"/>
    <w:rsid w:val="00FA5954"/>
    <w:rsid w:val="00FA725D"/>
    <w:rsid w:val="00FA7AEC"/>
    <w:rsid w:val="00FA7F28"/>
    <w:rsid w:val="00FB0474"/>
    <w:rsid w:val="00FB1C20"/>
    <w:rsid w:val="00FB25CC"/>
    <w:rsid w:val="00FB541E"/>
    <w:rsid w:val="00FB5A08"/>
    <w:rsid w:val="00FC050C"/>
    <w:rsid w:val="00FC0B49"/>
    <w:rsid w:val="00FC2E0A"/>
    <w:rsid w:val="00FC6EB3"/>
    <w:rsid w:val="00FD049F"/>
    <w:rsid w:val="00FD253C"/>
    <w:rsid w:val="00FD25D2"/>
    <w:rsid w:val="00FD356F"/>
    <w:rsid w:val="00FD4AE0"/>
    <w:rsid w:val="00FD55FC"/>
    <w:rsid w:val="00FE0DED"/>
    <w:rsid w:val="00FE2110"/>
    <w:rsid w:val="00FE4E73"/>
    <w:rsid w:val="00FE731E"/>
    <w:rsid w:val="00FE7AC4"/>
    <w:rsid w:val="00FF03C6"/>
    <w:rsid w:val="00FF0B08"/>
    <w:rsid w:val="00FF0BF5"/>
    <w:rsid w:val="00FF0E0E"/>
    <w:rsid w:val="00FF1545"/>
    <w:rsid w:val="00FF6CC2"/>
    <w:rsid w:val="00FF6FBA"/>
    <w:rsid w:val="00FF7DDD"/>
    <w:rsid w:val="01668C7F"/>
    <w:rsid w:val="0333608B"/>
    <w:rsid w:val="0491B921"/>
    <w:rsid w:val="0639C04D"/>
    <w:rsid w:val="0B0B787A"/>
    <w:rsid w:val="0ED84C4F"/>
    <w:rsid w:val="15962CB3"/>
    <w:rsid w:val="1C8FF347"/>
    <w:rsid w:val="25AE6CFE"/>
    <w:rsid w:val="288416FF"/>
    <w:rsid w:val="2C79938D"/>
    <w:rsid w:val="331583BB"/>
    <w:rsid w:val="370C0111"/>
    <w:rsid w:val="37ECCD70"/>
    <w:rsid w:val="3E240883"/>
    <w:rsid w:val="3EC4A406"/>
    <w:rsid w:val="42F16881"/>
    <w:rsid w:val="4411D4A9"/>
    <w:rsid w:val="46EC5696"/>
    <w:rsid w:val="47950ACB"/>
    <w:rsid w:val="4B06E3F0"/>
    <w:rsid w:val="5358AB6F"/>
    <w:rsid w:val="55A9FF0E"/>
    <w:rsid w:val="5855084F"/>
    <w:rsid w:val="59A5E250"/>
    <w:rsid w:val="5D749FF9"/>
    <w:rsid w:val="5F351A5B"/>
    <w:rsid w:val="5FC75DBB"/>
    <w:rsid w:val="62DE94F9"/>
    <w:rsid w:val="65CD1333"/>
    <w:rsid w:val="686D6AAC"/>
    <w:rsid w:val="697A55FC"/>
    <w:rsid w:val="6D38145B"/>
    <w:rsid w:val="71562469"/>
    <w:rsid w:val="72F20F84"/>
    <w:rsid w:val="734FC95B"/>
    <w:rsid w:val="74FD0646"/>
    <w:rsid w:val="78C6CBB2"/>
    <w:rsid w:val="7B7C5888"/>
    <w:rsid w:val="7D2B649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D94850"/>
  <w15:docId w15:val="{31A0AA83-1B01-4209-A41F-9D25B3E02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668"/>
    <w:pPr>
      <w:spacing w:after="0" w:line="240" w:lineRule="auto"/>
      <w:jc w:val="both"/>
    </w:pPr>
    <w:rPr>
      <w:rFonts w:ascii="Arial" w:eastAsia="Times New Roman" w:hAnsi="Arial" w:cs="Arial"/>
    </w:rPr>
  </w:style>
  <w:style w:type="paragraph" w:styleId="Heading1">
    <w:name w:val="heading 1"/>
    <w:basedOn w:val="Normal"/>
    <w:next w:val="Normal"/>
    <w:link w:val="Heading1Char"/>
    <w:uiPriority w:val="9"/>
    <w:qFormat/>
    <w:rsid w:val="002D437D"/>
    <w:pPr>
      <w:keepNext/>
      <w:keepLines/>
      <w:numPr>
        <w:numId w:val="1"/>
      </w:numPr>
      <w:spacing w:before="240" w:after="120"/>
      <w:outlineLvl w:val="0"/>
    </w:pPr>
    <w:rPr>
      <w:rFonts w:eastAsiaTheme="majorEastAsia"/>
      <w:b/>
      <w:bCs/>
      <w:caps/>
      <w:sz w:val="28"/>
      <w:szCs w:val="28"/>
    </w:rPr>
  </w:style>
  <w:style w:type="paragraph" w:styleId="Heading2">
    <w:name w:val="heading 2"/>
    <w:basedOn w:val="Normal"/>
    <w:next w:val="Normal"/>
    <w:link w:val="Heading2Char"/>
    <w:uiPriority w:val="9"/>
    <w:unhideWhenUsed/>
    <w:qFormat/>
    <w:rsid w:val="004D00B4"/>
    <w:pPr>
      <w:numPr>
        <w:ilvl w:val="1"/>
        <w:numId w:val="1"/>
      </w:numPr>
      <w:spacing w:before="240" w:after="120"/>
      <w:ind w:left="578" w:hanging="578"/>
      <w:outlineLvl w:val="1"/>
    </w:pPr>
    <w:rPr>
      <w:b/>
      <w:smallCaps/>
      <w:sz w:val="24"/>
    </w:rPr>
  </w:style>
  <w:style w:type="paragraph" w:styleId="Heading3">
    <w:name w:val="heading 3"/>
    <w:basedOn w:val="Normal"/>
    <w:next w:val="Normal"/>
    <w:link w:val="Heading3Char"/>
    <w:uiPriority w:val="9"/>
    <w:unhideWhenUsed/>
    <w:qFormat/>
    <w:rsid w:val="003A73EC"/>
    <w:pPr>
      <w:keepNext/>
      <w:keepLines/>
      <w:spacing w:after="120"/>
      <w:outlineLvl w:val="2"/>
    </w:pPr>
    <w:rPr>
      <w:rFonts w:eastAsiaTheme="majorEastAsia" w:cstheme="majorBidi"/>
      <w:b/>
      <w:bCs/>
    </w:rPr>
  </w:style>
  <w:style w:type="paragraph" w:styleId="Heading4">
    <w:name w:val="heading 4"/>
    <w:basedOn w:val="Normal"/>
    <w:next w:val="Normal"/>
    <w:link w:val="Heading4Char"/>
    <w:uiPriority w:val="9"/>
    <w:unhideWhenUsed/>
    <w:qFormat/>
    <w:rsid w:val="00742FC9"/>
    <w:pPr>
      <w:keepNext/>
      <w:keepLines/>
      <w:outlineLvl w:val="3"/>
    </w:pPr>
    <w:rPr>
      <w:rFonts w:eastAsiaTheme="majorEastAsia" w:cstheme="majorBidi"/>
      <w:bCs/>
      <w:iCs/>
      <w:u w:val="single"/>
    </w:rPr>
  </w:style>
  <w:style w:type="paragraph" w:styleId="Heading5">
    <w:name w:val="heading 5"/>
    <w:basedOn w:val="Normal"/>
    <w:next w:val="Normal"/>
    <w:link w:val="Heading5Char"/>
    <w:uiPriority w:val="9"/>
    <w:unhideWhenUsed/>
    <w:qFormat/>
    <w:rsid w:val="00742FC9"/>
    <w:pPr>
      <w:keepNext/>
      <w:keepLines/>
      <w:spacing w:before="200"/>
      <w:outlineLvl w:val="4"/>
    </w:pPr>
    <w:rPr>
      <w:rFonts w:eastAsiaTheme="majorEastAsia" w:cstheme="majorBidi"/>
      <w:b/>
    </w:rPr>
  </w:style>
  <w:style w:type="paragraph" w:styleId="Heading6">
    <w:name w:val="heading 6"/>
    <w:basedOn w:val="Normal"/>
    <w:next w:val="Normal"/>
    <w:link w:val="Heading6Char"/>
    <w:uiPriority w:val="9"/>
    <w:semiHidden/>
    <w:unhideWhenUsed/>
    <w:qFormat/>
    <w:rsid w:val="001A3992"/>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A3992"/>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A3992"/>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A3992"/>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437D"/>
    <w:rPr>
      <w:rFonts w:ascii="Arial" w:eastAsiaTheme="majorEastAsia" w:hAnsi="Arial" w:cs="Arial"/>
      <w:b/>
      <w:bCs/>
      <w:caps/>
      <w:sz w:val="28"/>
      <w:szCs w:val="28"/>
    </w:rPr>
  </w:style>
  <w:style w:type="character" w:customStyle="1" w:styleId="Heading2Char">
    <w:name w:val="Heading 2 Char"/>
    <w:basedOn w:val="DefaultParagraphFont"/>
    <w:link w:val="Heading2"/>
    <w:uiPriority w:val="9"/>
    <w:rsid w:val="004D00B4"/>
    <w:rPr>
      <w:rFonts w:ascii="Arial" w:eastAsia="Times New Roman" w:hAnsi="Arial" w:cs="Arial"/>
      <w:b/>
      <w:smallCaps/>
      <w:sz w:val="24"/>
    </w:rPr>
  </w:style>
  <w:style w:type="character" w:customStyle="1" w:styleId="Heading3Char">
    <w:name w:val="Heading 3 Char"/>
    <w:basedOn w:val="DefaultParagraphFont"/>
    <w:link w:val="Heading3"/>
    <w:uiPriority w:val="9"/>
    <w:rsid w:val="003A73EC"/>
    <w:rPr>
      <w:rFonts w:ascii="Arial" w:eastAsiaTheme="majorEastAsia" w:hAnsi="Arial" w:cstheme="majorBidi"/>
      <w:b/>
      <w:bCs/>
    </w:rPr>
  </w:style>
  <w:style w:type="character" w:customStyle="1" w:styleId="Heading4Char">
    <w:name w:val="Heading 4 Char"/>
    <w:basedOn w:val="DefaultParagraphFont"/>
    <w:link w:val="Heading4"/>
    <w:uiPriority w:val="9"/>
    <w:rsid w:val="00742FC9"/>
    <w:rPr>
      <w:rFonts w:ascii="Arial" w:eastAsiaTheme="majorEastAsia" w:hAnsi="Arial" w:cstheme="majorBidi"/>
      <w:bCs/>
      <w:iCs/>
      <w:u w:val="single"/>
    </w:rPr>
  </w:style>
  <w:style w:type="character" w:customStyle="1" w:styleId="Heading5Char">
    <w:name w:val="Heading 5 Char"/>
    <w:basedOn w:val="DefaultParagraphFont"/>
    <w:link w:val="Heading5"/>
    <w:uiPriority w:val="9"/>
    <w:rsid w:val="00742FC9"/>
    <w:rPr>
      <w:rFonts w:ascii="Arial" w:eastAsiaTheme="majorEastAsia" w:hAnsi="Arial" w:cstheme="majorBidi"/>
      <w:b/>
    </w:rPr>
  </w:style>
  <w:style w:type="character" w:customStyle="1" w:styleId="Heading6Char">
    <w:name w:val="Heading 6 Char"/>
    <w:basedOn w:val="DefaultParagraphFont"/>
    <w:link w:val="Heading6"/>
    <w:uiPriority w:val="9"/>
    <w:semiHidden/>
    <w:rsid w:val="001A399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A39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A39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A399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1A3992"/>
    <w:pPr>
      <w:ind w:left="720"/>
      <w:contextualSpacing/>
    </w:pPr>
    <w:rPr>
      <w:rFonts w:ascii="Cambria" w:hAnsi="Cambria"/>
    </w:rPr>
  </w:style>
  <w:style w:type="character" w:styleId="CommentReference">
    <w:name w:val="annotation reference"/>
    <w:basedOn w:val="DefaultParagraphFont"/>
    <w:uiPriority w:val="99"/>
    <w:unhideWhenUsed/>
    <w:rsid w:val="001A3992"/>
    <w:rPr>
      <w:sz w:val="16"/>
      <w:szCs w:val="16"/>
    </w:rPr>
  </w:style>
  <w:style w:type="paragraph" w:styleId="CommentText">
    <w:name w:val="annotation text"/>
    <w:basedOn w:val="Normal"/>
    <w:link w:val="CommentTextChar"/>
    <w:uiPriority w:val="99"/>
    <w:unhideWhenUsed/>
    <w:rsid w:val="001A3992"/>
    <w:rPr>
      <w:rFonts w:ascii="Cambria" w:hAnsi="Cambria"/>
      <w:sz w:val="20"/>
      <w:szCs w:val="20"/>
    </w:rPr>
  </w:style>
  <w:style w:type="character" w:customStyle="1" w:styleId="CommentTextChar">
    <w:name w:val="Comment Text Char"/>
    <w:basedOn w:val="DefaultParagraphFont"/>
    <w:link w:val="CommentText"/>
    <w:uiPriority w:val="99"/>
    <w:rsid w:val="001A3992"/>
    <w:rPr>
      <w:rFonts w:ascii="Cambria" w:hAnsi="Cambria"/>
      <w:sz w:val="20"/>
      <w:szCs w:val="20"/>
    </w:rPr>
  </w:style>
  <w:style w:type="paragraph" w:styleId="FootnoteText">
    <w:name w:val="footnote text"/>
    <w:basedOn w:val="Normal"/>
    <w:link w:val="FootnoteTextChar"/>
    <w:uiPriority w:val="99"/>
    <w:rsid w:val="001A3992"/>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uiPriority w:val="99"/>
    <w:rsid w:val="001A3992"/>
    <w:rPr>
      <w:rFonts w:ascii="Calibri" w:eastAsia="Calibri" w:hAnsi="Calibri" w:cs="Times New Roman"/>
      <w:sz w:val="20"/>
    </w:rPr>
  </w:style>
  <w:style w:type="character" w:styleId="FootnoteReference">
    <w:name w:val="footnote reference"/>
    <w:basedOn w:val="DefaultParagraphFont"/>
    <w:uiPriority w:val="99"/>
    <w:unhideWhenUsed/>
    <w:rsid w:val="001A3992"/>
    <w:rPr>
      <w:vertAlign w:val="superscript"/>
    </w:rPr>
  </w:style>
  <w:style w:type="paragraph" w:styleId="ListBullet">
    <w:name w:val="List Bullet"/>
    <w:basedOn w:val="Normal"/>
    <w:uiPriority w:val="99"/>
    <w:unhideWhenUsed/>
    <w:rsid w:val="001A3992"/>
    <w:pPr>
      <w:ind w:left="425" w:hanging="425"/>
      <w:contextualSpacing/>
    </w:pPr>
    <w:rPr>
      <w:rFonts w:ascii="Cambria" w:hAnsi="Cambria"/>
    </w:rPr>
  </w:style>
  <w:style w:type="character" w:styleId="Hyperlink">
    <w:name w:val="Hyperlink"/>
    <w:basedOn w:val="DefaultParagraphFont"/>
    <w:uiPriority w:val="99"/>
    <w:unhideWhenUsed/>
    <w:rsid w:val="001A3992"/>
    <w:rPr>
      <w:color w:val="0000FF" w:themeColor="hyperlink"/>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nhideWhenUsed/>
    <w:rsid w:val="001A3992"/>
    <w:pPr>
      <w:tabs>
        <w:tab w:val="center" w:pos="4513"/>
        <w:tab w:val="right" w:pos="9026"/>
      </w:tabs>
    </w:pPr>
    <w:rPr>
      <w:rFonts w:ascii="Cambria" w:hAnsi="Cambria"/>
    </w:rPr>
  </w:style>
  <w:style w:type="character" w:customStyle="1" w:styleId="FooterChar">
    <w:name w:val="Footer Char"/>
    <w:basedOn w:val="DefaultParagraphFont"/>
    <w:link w:val="Footer"/>
    <w:rsid w:val="001A3992"/>
    <w:rPr>
      <w:rFonts w:ascii="Cambria" w:hAnsi="Cambria"/>
    </w:rPr>
  </w:style>
  <w:style w:type="paragraph" w:styleId="BalloonText">
    <w:name w:val="Balloon Text"/>
    <w:basedOn w:val="Normal"/>
    <w:link w:val="BalloonTextChar"/>
    <w:uiPriority w:val="99"/>
    <w:semiHidden/>
    <w:unhideWhenUsed/>
    <w:rsid w:val="001A3992"/>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styleId="Header">
    <w:name w:val="header"/>
    <w:basedOn w:val="Normal"/>
    <w:link w:val="HeaderChar"/>
    <w:unhideWhenUsed/>
    <w:rsid w:val="00CA6CCF"/>
    <w:pPr>
      <w:tabs>
        <w:tab w:val="center" w:pos="4513"/>
        <w:tab w:val="right" w:pos="9026"/>
      </w:tabs>
    </w:pPr>
  </w:style>
  <w:style w:type="character" w:customStyle="1" w:styleId="HeaderChar">
    <w:name w:val="Header Char"/>
    <w:basedOn w:val="DefaultParagraphFont"/>
    <w:link w:val="Header"/>
    <w:rsid w:val="00CA6CCF"/>
  </w:style>
  <w:style w:type="paragraph" w:customStyle="1" w:styleId="PINormal">
    <w:name w:val="PI Normal"/>
    <w:basedOn w:val="Normal"/>
    <w:uiPriority w:val="6"/>
    <w:qFormat/>
    <w:rsid w:val="002054D7"/>
    <w:pPr>
      <w:spacing w:line="240" w:lineRule="atLeast"/>
    </w:pPr>
    <w:rPr>
      <w:szCs w:val="20"/>
      <w:lang w:val="en-US"/>
    </w:rPr>
  </w:style>
  <w:style w:type="paragraph" w:customStyle="1" w:styleId="PIHeading2">
    <w:name w:val="PI Heading 2"/>
    <w:basedOn w:val="Heading2"/>
    <w:uiPriority w:val="3"/>
    <w:qFormat/>
    <w:rsid w:val="007330AF"/>
    <w:pPr>
      <w:keepNext/>
      <w:numPr>
        <w:ilvl w:val="0"/>
        <w:numId w:val="0"/>
      </w:numPr>
      <w:tabs>
        <w:tab w:val="num" w:pos="360"/>
      </w:tabs>
      <w:spacing w:before="120"/>
    </w:pPr>
    <w:rPr>
      <w:rFonts w:ascii="Times New Roman" w:hAnsi="Times New Roman"/>
      <w:bCs/>
      <w:smallCaps w:val="0"/>
      <w:sz w:val="28"/>
      <w:szCs w:val="28"/>
      <w:lang w:val="en-US"/>
    </w:rPr>
  </w:style>
  <w:style w:type="paragraph" w:customStyle="1" w:styleId="PIHeading1">
    <w:name w:val="PI Heading 1"/>
    <w:basedOn w:val="Heading1"/>
    <w:uiPriority w:val="2"/>
    <w:qFormat/>
    <w:rsid w:val="007F4633"/>
    <w:pPr>
      <w:keepLines w:val="0"/>
      <w:numPr>
        <w:numId w:val="0"/>
      </w:numPr>
      <w:tabs>
        <w:tab w:val="num" w:pos="360"/>
      </w:tabs>
      <w:spacing w:after="240"/>
    </w:pPr>
    <w:rPr>
      <w:rFonts w:ascii="Times New Roman" w:eastAsia="Times New Roman" w:hAnsi="Times New Roman"/>
      <w:kern w:val="32"/>
      <w:szCs w:val="32"/>
      <w:lang w:val="en-US"/>
    </w:rPr>
  </w:style>
  <w:style w:type="paragraph" w:customStyle="1" w:styleId="PIHeading3">
    <w:name w:val="PI Heading 3"/>
    <w:basedOn w:val="Heading3"/>
    <w:uiPriority w:val="4"/>
    <w:qFormat/>
    <w:rsid w:val="001D48D3"/>
    <w:pPr>
      <w:keepLines w:val="0"/>
      <w:tabs>
        <w:tab w:val="num" w:pos="360"/>
      </w:tabs>
    </w:pPr>
    <w:rPr>
      <w:rFonts w:eastAsia="Times New Roman" w:cs="Arial"/>
      <w:bCs w:val="0"/>
      <w:sz w:val="24"/>
      <w:szCs w:val="20"/>
      <w:lang w:val="en-US"/>
    </w:rPr>
  </w:style>
  <w:style w:type="paragraph" w:customStyle="1" w:styleId="PITableTitle">
    <w:name w:val="PI Table Title"/>
    <w:basedOn w:val="Normal"/>
    <w:uiPriority w:val="7"/>
    <w:qFormat/>
    <w:rsid w:val="007F4633"/>
    <w:pPr>
      <w:keepNext/>
      <w:keepLines/>
      <w:spacing w:before="360"/>
    </w:pPr>
    <w:rPr>
      <w:rFonts w:ascii="Times New Roman" w:hAnsi="Times New Roman"/>
      <w:b/>
      <w:color w:val="000000"/>
      <w:sz w:val="24"/>
      <w:szCs w:val="24"/>
      <w:lang w:val="en-US"/>
    </w:rPr>
  </w:style>
  <w:style w:type="paragraph" w:customStyle="1" w:styleId="GTCTitle">
    <w:name w:val="GTC Title"/>
    <w:basedOn w:val="Normal"/>
    <w:rsid w:val="007F4633"/>
    <w:pPr>
      <w:spacing w:before="120" w:after="120"/>
    </w:pPr>
    <w:rPr>
      <w:b/>
      <w:bCs/>
      <w:sz w:val="36"/>
      <w:szCs w:val="36"/>
      <w:lang w:val="en-US"/>
    </w:rPr>
  </w:style>
  <w:style w:type="paragraph" w:customStyle="1" w:styleId="PITableText">
    <w:name w:val="PI Table Text"/>
    <w:basedOn w:val="Normal"/>
    <w:uiPriority w:val="7"/>
    <w:qFormat/>
    <w:rsid w:val="00F24F97"/>
    <w:rPr>
      <w:rFonts w:ascii="Times New Roman" w:hAnsi="Times New Roman"/>
      <w:snapToGrid w:val="0"/>
      <w:color w:val="000000"/>
      <w:sz w:val="24"/>
      <w:szCs w:val="24"/>
      <w:lang w:val="en-US"/>
    </w:rPr>
  </w:style>
  <w:style w:type="paragraph" w:customStyle="1" w:styleId="PIHeading4">
    <w:name w:val="PI Heading 4"/>
    <w:basedOn w:val="Heading4"/>
    <w:uiPriority w:val="5"/>
    <w:qFormat/>
    <w:rsid w:val="00EB412E"/>
    <w:pPr>
      <w:keepLines w:val="0"/>
      <w:tabs>
        <w:tab w:val="num" w:pos="360"/>
      </w:tabs>
      <w:spacing w:before="120" w:after="120"/>
    </w:pPr>
    <w:rPr>
      <w:rFonts w:ascii="Times New Roman" w:eastAsia="Times New Roman" w:hAnsi="Times New Roman" w:cs="Times New Roman"/>
      <w:i/>
      <w:iCs w:val="0"/>
      <w:sz w:val="24"/>
      <w:szCs w:val="28"/>
      <w:lang w:val="en-US"/>
    </w:rPr>
  </w:style>
  <w:style w:type="paragraph" w:customStyle="1" w:styleId="C-TableHeader">
    <w:name w:val="C-Table Header"/>
    <w:next w:val="C-TableText"/>
    <w:link w:val="C-TableHeaderChar"/>
    <w:rsid w:val="00EB412E"/>
    <w:pPr>
      <w:keepNext/>
      <w:spacing w:before="60" w:after="60" w:line="240" w:lineRule="auto"/>
    </w:pPr>
    <w:rPr>
      <w:rFonts w:ascii="Times New Roman" w:eastAsia="Times New Roman" w:hAnsi="Times New Roman" w:cs="Times New Roman"/>
      <w:b/>
      <w:szCs w:val="20"/>
      <w:lang w:val="en-US"/>
    </w:rPr>
  </w:style>
  <w:style w:type="paragraph" w:customStyle="1" w:styleId="C-TableText">
    <w:name w:val="C-Table Text"/>
    <w:link w:val="C-TableTextChar"/>
    <w:rsid w:val="00EB412E"/>
    <w:pPr>
      <w:spacing w:before="60" w:after="60" w:line="240" w:lineRule="auto"/>
    </w:pPr>
    <w:rPr>
      <w:rFonts w:ascii="Times New Roman" w:eastAsia="Times New Roman" w:hAnsi="Times New Roman" w:cs="Times New Roman"/>
      <w:szCs w:val="20"/>
      <w:lang w:val="en-US"/>
    </w:rPr>
  </w:style>
  <w:style w:type="character" w:customStyle="1" w:styleId="C-TableTextChar">
    <w:name w:val="C-Table Text Char"/>
    <w:link w:val="C-TableText"/>
    <w:rsid w:val="00EB412E"/>
    <w:rPr>
      <w:rFonts w:ascii="Times New Roman" w:eastAsia="Times New Roman" w:hAnsi="Times New Roman" w:cs="Times New Roman"/>
      <w:szCs w:val="20"/>
      <w:lang w:val="en-US"/>
    </w:rPr>
  </w:style>
  <w:style w:type="character" w:customStyle="1" w:styleId="C-TableHeaderChar">
    <w:name w:val="C-Table Header Char"/>
    <w:link w:val="C-TableHeader"/>
    <w:rsid w:val="00EB412E"/>
    <w:rPr>
      <w:rFonts w:ascii="Times New Roman" w:eastAsia="Times New Roman" w:hAnsi="Times New Roman" w:cs="Times New Roman"/>
      <w:b/>
      <w:szCs w:val="20"/>
      <w:lang w:val="en-US"/>
    </w:rPr>
  </w:style>
  <w:style w:type="paragraph" w:styleId="CommentSubject">
    <w:name w:val="annotation subject"/>
    <w:basedOn w:val="CommentText"/>
    <w:next w:val="CommentText"/>
    <w:link w:val="CommentSubjectChar"/>
    <w:uiPriority w:val="99"/>
    <w:semiHidden/>
    <w:unhideWhenUsed/>
    <w:rsid w:val="00BC6C9F"/>
    <w:rPr>
      <w:rFonts w:asciiTheme="minorHAnsi" w:hAnsiTheme="minorHAnsi"/>
      <w:b/>
      <w:bCs/>
    </w:rPr>
  </w:style>
  <w:style w:type="character" w:customStyle="1" w:styleId="CommentSubjectChar">
    <w:name w:val="Comment Subject Char"/>
    <w:basedOn w:val="CommentTextChar"/>
    <w:link w:val="CommentSubject"/>
    <w:uiPriority w:val="99"/>
    <w:semiHidden/>
    <w:rsid w:val="00BC6C9F"/>
    <w:rPr>
      <w:rFonts w:ascii="Cambria" w:hAnsi="Cambria"/>
      <w:b/>
      <w:bCs/>
      <w:sz w:val="20"/>
      <w:szCs w:val="20"/>
    </w:rPr>
  </w:style>
  <w:style w:type="paragraph" w:customStyle="1" w:styleId="GTCParagraph">
    <w:name w:val="GTC Paragraph"/>
    <w:rsid w:val="00F6528B"/>
    <w:pPr>
      <w:spacing w:after="0" w:line="240" w:lineRule="auto"/>
    </w:pPr>
    <w:rPr>
      <w:rFonts w:ascii="Times New Roman" w:eastAsia="Times New Roman" w:hAnsi="Times New Roman" w:cs="Times New Roman"/>
      <w:sz w:val="24"/>
      <w:szCs w:val="24"/>
      <w:lang w:val="en-US"/>
    </w:rPr>
  </w:style>
  <w:style w:type="paragraph" w:customStyle="1" w:styleId="Tableheadings">
    <w:name w:val="Table headings"/>
    <w:basedOn w:val="Heading2"/>
    <w:qFormat/>
    <w:rsid w:val="005A6697"/>
    <w:pPr>
      <w:keepNext/>
      <w:numPr>
        <w:ilvl w:val="0"/>
        <w:numId w:val="0"/>
      </w:numPr>
      <w:spacing w:before="0"/>
      <w:outlineLvl w:val="3"/>
    </w:pPr>
    <w:rPr>
      <w:bCs/>
      <w:iCs/>
      <w:smallCaps w:val="0"/>
      <w:sz w:val="22"/>
    </w:rPr>
  </w:style>
  <w:style w:type="paragraph" w:customStyle="1" w:styleId="C-BodyText">
    <w:name w:val="C-Body Text"/>
    <w:link w:val="C-BodyTextChar"/>
    <w:rsid w:val="00EC63EC"/>
    <w:pPr>
      <w:spacing w:before="120" w:after="120" w:line="280" w:lineRule="atLeast"/>
    </w:pPr>
    <w:rPr>
      <w:rFonts w:ascii="Times New Roman" w:eastAsia="Times New Roman" w:hAnsi="Times New Roman" w:cs="Times New Roman"/>
      <w:sz w:val="24"/>
      <w:szCs w:val="20"/>
      <w:lang w:val="en-US"/>
    </w:rPr>
  </w:style>
  <w:style w:type="character" w:customStyle="1" w:styleId="C-BodyTextChar">
    <w:name w:val="C-Body Text Char"/>
    <w:link w:val="C-BodyText"/>
    <w:locked/>
    <w:rsid w:val="00EC63EC"/>
    <w:rPr>
      <w:rFonts w:ascii="Times New Roman" w:eastAsia="Times New Roman" w:hAnsi="Times New Roman" w:cs="Times New Roman"/>
      <w:sz w:val="24"/>
      <w:szCs w:val="20"/>
      <w:lang w:val="en-US"/>
    </w:rPr>
  </w:style>
  <w:style w:type="paragraph" w:customStyle="1" w:styleId="GTCBodyText">
    <w:name w:val="GTC Body Text"/>
    <w:basedOn w:val="Normal"/>
    <w:rsid w:val="00EC63EC"/>
    <w:pPr>
      <w:spacing w:before="240" w:after="240" w:line="300" w:lineRule="auto"/>
    </w:pPr>
    <w:rPr>
      <w:rFonts w:ascii="Times New Roman" w:hAnsi="Times New Roman" w:cs="Times New Roman"/>
      <w:sz w:val="24"/>
      <w:szCs w:val="24"/>
      <w:lang w:val="en-US"/>
    </w:rPr>
  </w:style>
  <w:style w:type="paragraph" w:styleId="Revision">
    <w:name w:val="Revision"/>
    <w:hidden/>
    <w:uiPriority w:val="99"/>
    <w:semiHidden/>
    <w:rsid w:val="00B5312D"/>
    <w:pPr>
      <w:spacing w:after="0" w:line="240" w:lineRule="auto"/>
    </w:pPr>
  </w:style>
  <w:style w:type="character" w:styleId="UnresolvedMention">
    <w:name w:val="Unresolved Mention"/>
    <w:basedOn w:val="DefaultParagraphFont"/>
    <w:uiPriority w:val="99"/>
    <w:semiHidden/>
    <w:unhideWhenUsed/>
    <w:rsid w:val="00876C6A"/>
    <w:rPr>
      <w:color w:val="605E5C"/>
      <w:shd w:val="clear" w:color="auto" w:fill="E1DFDD"/>
    </w:rPr>
  </w:style>
  <w:style w:type="paragraph" w:customStyle="1" w:styleId="Paragraph">
    <w:name w:val="Paragraph"/>
    <w:link w:val="ParagraphChar"/>
    <w:qFormat/>
    <w:rsid w:val="000D71DA"/>
    <w:pPr>
      <w:spacing w:after="240"/>
    </w:pPr>
    <w:rPr>
      <w:rFonts w:ascii="Times New Roman" w:eastAsia="Times New Roman" w:hAnsi="Times New Roman" w:cs="Times New Roman"/>
      <w:sz w:val="24"/>
      <w:szCs w:val="24"/>
      <w:lang w:val="en-GB"/>
    </w:rPr>
  </w:style>
  <w:style w:type="character" w:customStyle="1" w:styleId="ParagraphChar">
    <w:name w:val="Paragraph Char"/>
    <w:basedOn w:val="DefaultParagraphFont"/>
    <w:link w:val="Paragraph"/>
    <w:rsid w:val="000D71DA"/>
    <w:rPr>
      <w:rFonts w:ascii="Times New Roman" w:eastAsia="Times New Roman" w:hAnsi="Times New Roman" w:cs="Times New Roman"/>
      <w:sz w:val="24"/>
      <w:szCs w:val="24"/>
      <w:lang w:val="en-GB"/>
    </w:rPr>
  </w:style>
  <w:style w:type="table" w:styleId="TableGrid">
    <w:name w:val="Table Grid"/>
    <w:basedOn w:val="TableNormal"/>
    <w:uiPriority w:val="59"/>
    <w:rsid w:val="000D71DA"/>
    <w:pPr>
      <w:spacing w:after="0" w:line="240" w:lineRule="auto"/>
    </w:pPr>
    <w:rPr>
      <w:rFonts w:eastAsiaTheme="minorEastAsia"/>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ableCallout">
    <w:name w:val="C-Table Callout"/>
    <w:rsid w:val="000D71DA"/>
    <w:rPr>
      <w:rFonts w:ascii="Times New Roman" w:hAnsi="Times New Roman"/>
      <w:color w:val="auto"/>
      <w:spacing w:val="0"/>
      <w:w w:val="100"/>
      <w:sz w:val="22"/>
      <w:u w:val="none"/>
      <w:effect w:val="none"/>
      <w:vertAlign w:val="superscript"/>
      <w:em w:val="none"/>
    </w:rPr>
  </w:style>
  <w:style w:type="paragraph" w:customStyle="1" w:styleId="C-Footnote">
    <w:name w:val="C-Footnote"/>
    <w:basedOn w:val="Normal"/>
    <w:qFormat/>
    <w:rsid w:val="000D71DA"/>
    <w:pPr>
      <w:tabs>
        <w:tab w:val="left" w:pos="144"/>
      </w:tabs>
      <w:jc w:val="left"/>
    </w:pPr>
    <w:rPr>
      <w:rFonts w:ascii="Times New Roman" w:hAnsi="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ga.gov.au/reporting-problem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ga.gov.au/reporting-problems" TargetMode="Externa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eid\Downloads\pi-template-new-form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71BB7C4203AD49B23344082759F7E2" ma:contentTypeVersion="16" ma:contentTypeDescription="Create a new document." ma:contentTypeScope="" ma:versionID="e70fe1a6911cf8ee23f1c97b619f775f">
  <xsd:schema xmlns:xsd="http://www.w3.org/2001/XMLSchema" xmlns:xs="http://www.w3.org/2001/XMLSchema" xmlns:p="http://schemas.microsoft.com/office/2006/metadata/properties" xmlns:ns2="549f0d3b-66fa-4744-b1d9-547f69736562" xmlns:ns3="6e45e5e2-6366-4b71-955c-fe04032d787a" targetNamespace="http://schemas.microsoft.com/office/2006/metadata/properties" ma:root="true" ma:fieldsID="1f7c58fa73182644036bb7e62d89d469" ns2:_="" ns3:_="">
    <xsd:import namespace="549f0d3b-66fa-4744-b1d9-547f69736562"/>
    <xsd:import namespace="6e45e5e2-6366-4b71-955c-fe04032d787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9f0d3b-66fa-4744-b1d9-547f697365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da02e20-3405-48c8-b010-e0d39bee4d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e45e5e2-6366-4b71-955c-fe04032d787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7322877-996e-45fb-9e36-0818693d5b33}" ma:internalName="TaxCatchAll" ma:showField="CatchAllData" ma:web="6e45e5e2-6366-4b71-955c-fe04032d78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e45e5e2-6366-4b71-955c-fe04032d787a" xsi:nil="true"/>
    <lcf76f155ced4ddcb4097134ff3c332f xmlns="549f0d3b-66fa-4744-b1d9-547f6973656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FB59E6A-D8FF-48F9-A13D-13CA06CDBD79}">
  <ds:schemaRefs>
    <ds:schemaRef ds:uri="http://schemas.openxmlformats.org/officeDocument/2006/bibliography"/>
  </ds:schemaRefs>
</ds:datastoreItem>
</file>

<file path=customXml/itemProps2.xml><?xml version="1.0" encoding="utf-8"?>
<ds:datastoreItem xmlns:ds="http://schemas.openxmlformats.org/officeDocument/2006/customXml" ds:itemID="{616BB73C-4F60-426D-9BBD-5ECC4A526BC9}">
  <ds:schemaRefs>
    <ds:schemaRef ds:uri="http://schemas.microsoft.com/sharepoint/v3/contenttype/forms"/>
  </ds:schemaRefs>
</ds:datastoreItem>
</file>

<file path=customXml/itemProps3.xml><?xml version="1.0" encoding="utf-8"?>
<ds:datastoreItem xmlns:ds="http://schemas.openxmlformats.org/officeDocument/2006/customXml" ds:itemID="{0E27369B-6DA5-41D9-AF6A-E9A6EA7C1B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9f0d3b-66fa-4744-b1d9-547f69736562"/>
    <ds:schemaRef ds:uri="6e45e5e2-6366-4b71-955c-fe04032d78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65FB0B-2477-4323-B1EA-1960FB0B8617}">
  <ds:schemaRefs>
    <ds:schemaRef ds:uri="http://schemas.openxmlformats.org/package/2006/metadata/core-properties"/>
    <ds:schemaRef ds:uri="http://purl.org/dc/elements/1.1/"/>
    <ds:schemaRef ds:uri="http://schemas.microsoft.com/office/infopath/2007/PartnerControls"/>
    <ds:schemaRef ds:uri="549f0d3b-66fa-4744-b1d9-547f69736562"/>
    <ds:schemaRef ds:uri="6e45e5e2-6366-4b71-955c-fe04032d787a"/>
    <ds:schemaRef ds:uri="http://schemas.microsoft.com/office/2006/metadata/properties"/>
    <ds:schemaRef ds:uri="http://purl.org/dc/terms/"/>
    <ds:schemaRef ds:uri="http://schemas.microsoft.com/office/2006/documentManagement/typ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pi-template-new-format.dotx</Template>
  <TotalTime>1</TotalTime>
  <Pages>27</Pages>
  <Words>9926</Words>
  <Characters>57180</Characters>
  <Application>Microsoft Office Word</Application>
  <DocSecurity>0</DocSecurity>
  <Lines>1299</Lines>
  <Paragraphs>706</Paragraphs>
  <ScaleCrop>false</ScaleCrop>
  <HeadingPairs>
    <vt:vector size="2" baseType="variant">
      <vt:variant>
        <vt:lpstr>Title</vt:lpstr>
      </vt:variant>
      <vt:variant>
        <vt:i4>1</vt:i4>
      </vt:variant>
    </vt:vector>
  </HeadingPairs>
  <TitlesOfParts>
    <vt:vector size="1" baseType="lpstr">
      <vt:lpstr>PI template</vt:lpstr>
    </vt:vector>
  </TitlesOfParts>
  <Company>Biogen Australia Pty Ltd</Company>
  <LinksUpToDate>false</LinksUpToDate>
  <CharactersWithSpaces>66400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Vumerity</dc:title>
  <dc:subject>Prescription medicines regulation</dc:subject>
  <dc:creator>Biogen Australia Pty Ltd</dc:creator>
  <cp:keywords/>
  <cp:lastModifiedBy>KOLARIK-O'REILLY, Kristy</cp:lastModifiedBy>
  <cp:revision>3</cp:revision>
  <cp:lastPrinted>2017-09-06T23:25:00Z</cp:lastPrinted>
  <dcterms:created xsi:type="dcterms:W3CDTF">2023-02-07T23:06:00Z</dcterms:created>
  <dcterms:modified xsi:type="dcterms:W3CDTF">2023-02-10T03:22:00Z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0x010100C571BB7C4203AD49B23344082759F7E2</vt:lpwstr>
  </property>
  <property fmtid="{D5CDD505-2E9C-101B-9397-08002B2CF9AE}" pid="3" name="MediaServiceImageTags">
    <vt:lpwstr/>
  </property>
</Properties>
</file>