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76A1660" w14:textId="77777777" w:rsidTr="00BF1190">
        <w:trPr>
          <w:trHeight w:val="1863"/>
        </w:trPr>
        <w:tc>
          <w:tcPr>
            <w:tcW w:w="3652" w:type="dxa"/>
            <w:tcBorders>
              <w:top w:val="nil"/>
              <w:left w:val="nil"/>
              <w:bottom w:val="nil"/>
              <w:right w:val="nil"/>
            </w:tcBorders>
          </w:tcPr>
          <w:p w14:paraId="34846D83" w14:textId="2478CF22" w:rsidR="008E7846" w:rsidRPr="00096AA7" w:rsidRDefault="00DB0E9F" w:rsidP="00F931CE">
            <w:pPr>
              <w:pStyle w:val="Date"/>
              <w:framePr w:hSpace="0" w:wrap="auto" w:vAnchor="margin" w:hAnchor="text" w:yAlign="inline"/>
              <w:suppressOverlap w:val="0"/>
            </w:pPr>
            <w:r>
              <w:t xml:space="preserve">January </w:t>
            </w:r>
            <w:r w:rsidR="00207670">
              <w:t>202</w:t>
            </w:r>
            <w:r>
              <w:t>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06C8E66" w14:textId="77777777" w:rsidTr="0032583B">
        <w:trPr>
          <w:trHeight w:val="868"/>
        </w:trPr>
        <w:tc>
          <w:tcPr>
            <w:tcW w:w="9079" w:type="dxa"/>
          </w:tcPr>
          <w:p w14:paraId="1BE94E46" w14:textId="73C20066" w:rsidR="0032583B" w:rsidRPr="00A964D1" w:rsidRDefault="0032583B" w:rsidP="00F931CE">
            <w:pPr>
              <w:pStyle w:val="Title"/>
              <w:framePr w:hSpace="0" w:wrap="auto" w:vAnchor="margin" w:yAlign="inline"/>
            </w:pPr>
            <w:r w:rsidRPr="00A964D1">
              <w:t>Australian Public Assessment Report for</w:t>
            </w:r>
            <w:r w:rsidR="00AF2313">
              <w:t xml:space="preserve"> </w:t>
            </w:r>
            <w:r w:rsidR="0030756E">
              <w:t>Voxzogo</w:t>
            </w:r>
          </w:p>
        </w:tc>
      </w:tr>
      <w:tr w:rsidR="0032583B" w:rsidRPr="00B64760" w14:paraId="6D3D1E18" w14:textId="77777777" w:rsidTr="0032583B">
        <w:tc>
          <w:tcPr>
            <w:tcW w:w="9079" w:type="dxa"/>
          </w:tcPr>
          <w:p w14:paraId="3F9FB705" w14:textId="57C7F4FC" w:rsidR="0032583B" w:rsidRPr="008E7846" w:rsidRDefault="00BB75D6" w:rsidP="00F931CE">
            <w:pPr>
              <w:pStyle w:val="Subtitle"/>
              <w:framePr w:hSpace="0" w:wrap="auto" w:vAnchor="margin" w:yAlign="inline"/>
            </w:pPr>
            <w:r>
              <w:t>Active ingredients</w:t>
            </w:r>
            <w:r w:rsidR="0032583B" w:rsidRPr="008E7846">
              <w:t xml:space="preserve">: </w:t>
            </w:r>
            <w:r w:rsidR="0030756E">
              <w:t>Vosoritide</w:t>
            </w:r>
          </w:p>
        </w:tc>
      </w:tr>
      <w:tr w:rsidR="0032583B" w:rsidRPr="00B64760" w14:paraId="2B09EB01" w14:textId="77777777" w:rsidTr="0032583B">
        <w:trPr>
          <w:trHeight w:val="486"/>
        </w:trPr>
        <w:tc>
          <w:tcPr>
            <w:tcW w:w="9079" w:type="dxa"/>
          </w:tcPr>
          <w:p w14:paraId="5CB87268" w14:textId="06C74819" w:rsidR="0032583B" w:rsidRPr="008E7846" w:rsidRDefault="00460036" w:rsidP="006779FF">
            <w:pPr>
              <w:pStyle w:val="Subtitle"/>
              <w:framePr w:hSpace="0" w:wrap="auto" w:vAnchor="margin" w:yAlign="inline"/>
              <w:ind w:left="1901" w:hanging="1728"/>
            </w:pPr>
            <w:r>
              <w:t>Sponsor:</w:t>
            </w:r>
            <w:r w:rsidR="00120F4C">
              <w:t xml:space="preserve"> </w:t>
            </w:r>
            <w:r w:rsidR="0030756E" w:rsidRPr="00B61E84">
              <w:t>BioMarin Pharmaceutical Australia</w:t>
            </w:r>
            <w:r w:rsidR="00DB0E9F">
              <w:t> </w:t>
            </w:r>
            <w:r w:rsidR="0030756E" w:rsidRPr="00B61E84">
              <w:t>Pty</w:t>
            </w:r>
            <w:r w:rsidR="00DB0E9F">
              <w:t> </w:t>
            </w:r>
            <w:r w:rsidR="0030756E" w:rsidRPr="00B61E84">
              <w:t>Ltd</w:t>
            </w:r>
          </w:p>
        </w:tc>
      </w:tr>
    </w:tbl>
    <w:p w14:paraId="36895C6E" w14:textId="77777777" w:rsidR="008E7846" w:rsidRPr="0085156D" w:rsidRDefault="008E7846" w:rsidP="0085156D">
      <w:r w:rsidRPr="0085156D">
        <w:br w:type="page"/>
      </w:r>
    </w:p>
    <w:p w14:paraId="4EABC459" w14:textId="77777777" w:rsidR="008E7846" w:rsidRPr="001F6CBA" w:rsidRDefault="008E7846" w:rsidP="008E7846">
      <w:pPr>
        <w:pStyle w:val="NonTOCHeading2"/>
      </w:pPr>
      <w:r w:rsidRPr="001F6CBA">
        <w:lastRenderedPageBreak/>
        <w:t>About the Therapeutic Goods Administration (TGA)</w:t>
      </w:r>
    </w:p>
    <w:p w14:paraId="2E9862C0" w14:textId="485CDF83" w:rsidR="00AF2313" w:rsidRPr="00391B0C" w:rsidRDefault="00AF2313" w:rsidP="00AF2313">
      <w:pPr>
        <w:pStyle w:val="ListBullet"/>
      </w:pPr>
      <w:r w:rsidRPr="00391B0C">
        <w:t xml:space="preserve">The Therapeutic Goods Administration (TGA) is part of the Australian Government Department of Health </w:t>
      </w:r>
      <w:r w:rsidR="006D3454">
        <w:t xml:space="preserve">and Aged Care </w:t>
      </w:r>
      <w:r w:rsidRPr="00391B0C">
        <w:t>and is responsible for regulating therapeutic goods, including medicines, medical devices, and biologicals.</w:t>
      </w:r>
    </w:p>
    <w:p w14:paraId="2711201E"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5709D37F"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2F039C9C"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389BCE9C" w14:textId="36D55A31"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4C520A84" w14:textId="77777777" w:rsidR="008E7846" w:rsidRDefault="008E7846" w:rsidP="00875A6B">
      <w:pPr>
        <w:pStyle w:val="NonTOCHeading2"/>
      </w:pPr>
      <w:r>
        <w:t>About AusPARs</w:t>
      </w:r>
    </w:p>
    <w:p w14:paraId="026A4D9D" w14:textId="31F1C824" w:rsidR="00AF2313" w:rsidRPr="003C6D1F" w:rsidRDefault="00AF2313" w:rsidP="00AF2313">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(AusPAR) guidance</w:t>
        </w:r>
      </w:hyperlink>
      <w:r>
        <w:t>.</w:t>
      </w:r>
    </w:p>
    <w:p w14:paraId="4330237A" w14:textId="77777777" w:rsidR="00AF2313" w:rsidRPr="003C6D1F" w:rsidRDefault="00AF2313" w:rsidP="00AF2313">
      <w:pPr>
        <w:pStyle w:val="ListBullet"/>
      </w:pPr>
      <w:r w:rsidRPr="003C6D1F">
        <w:t>AusPARs are prepared and published by the TGA.</w:t>
      </w:r>
    </w:p>
    <w:p w14:paraId="28CDD5F1" w14:textId="77777777" w:rsidR="00AF2313" w:rsidRPr="003C6D1F" w:rsidRDefault="00AF2313" w:rsidP="00AF2313">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rsidR="008110BC">
        <w:t xml:space="preserve"> The publication of an AusPAR is an important part of the transparency of the TGA’s decision-making process.</w:t>
      </w:r>
    </w:p>
    <w:p w14:paraId="7B954821" w14:textId="77777777" w:rsidR="00AF2313" w:rsidRPr="003C6D1F" w:rsidRDefault="00AF2313" w:rsidP="00AF2313">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28FD0211" w14:textId="77777777" w:rsidR="00924482" w:rsidRPr="00DF1D7F" w:rsidRDefault="00924482" w:rsidP="00F54B65">
      <w:pPr>
        <w:pStyle w:val="LegalSubheading"/>
        <w:spacing w:before="3120"/>
      </w:pPr>
      <w:r w:rsidRPr="00DF1D7F">
        <w:t>Copyright</w:t>
      </w:r>
    </w:p>
    <w:p w14:paraId="0D450532" w14:textId="2397EBB7"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DB0E9F">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14:paraId="2BE4F96D"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0A418F29" w14:textId="77777777" w:rsidR="0089635C" w:rsidRPr="0089635C" w:rsidRDefault="0089635C" w:rsidP="0010788A">
          <w:pPr>
            <w:pStyle w:val="Contents"/>
          </w:pPr>
          <w:r w:rsidRPr="0010788A">
            <w:t>Contents</w:t>
          </w:r>
        </w:p>
        <w:p w14:paraId="13077FE3" w14:textId="015487FC" w:rsidR="00E25847"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26055185" w:history="1">
            <w:r w:rsidR="00E25847" w:rsidRPr="009206D1">
              <w:rPr>
                <w:rStyle w:val="Hyperlink"/>
                <w:noProof/>
              </w:rPr>
              <w:t>List of abbreviations</w:t>
            </w:r>
            <w:r w:rsidR="00E25847">
              <w:rPr>
                <w:noProof/>
                <w:webHidden/>
              </w:rPr>
              <w:tab/>
            </w:r>
            <w:r w:rsidR="00E25847">
              <w:rPr>
                <w:noProof/>
                <w:webHidden/>
              </w:rPr>
              <w:fldChar w:fldCharType="begin"/>
            </w:r>
            <w:r w:rsidR="00E25847">
              <w:rPr>
                <w:noProof/>
                <w:webHidden/>
              </w:rPr>
              <w:instrText xml:space="preserve"> PAGEREF _Toc126055185 \h </w:instrText>
            </w:r>
            <w:r w:rsidR="00E25847">
              <w:rPr>
                <w:noProof/>
                <w:webHidden/>
              </w:rPr>
            </w:r>
            <w:r w:rsidR="00E25847">
              <w:rPr>
                <w:noProof/>
                <w:webHidden/>
              </w:rPr>
              <w:fldChar w:fldCharType="separate"/>
            </w:r>
            <w:r w:rsidR="001C74BD">
              <w:rPr>
                <w:noProof/>
                <w:webHidden/>
              </w:rPr>
              <w:t>4</w:t>
            </w:r>
            <w:r w:rsidR="00E25847">
              <w:rPr>
                <w:noProof/>
                <w:webHidden/>
              </w:rPr>
              <w:fldChar w:fldCharType="end"/>
            </w:r>
          </w:hyperlink>
        </w:p>
        <w:p w14:paraId="21C1F218" w14:textId="6BA86D53" w:rsidR="00E25847" w:rsidRDefault="001C74BD">
          <w:pPr>
            <w:pStyle w:val="TOC1"/>
            <w:rPr>
              <w:rFonts w:asciiTheme="minorHAnsi" w:eastAsiaTheme="minorEastAsia" w:hAnsiTheme="minorHAnsi" w:cstheme="minorBidi"/>
              <w:b w:val="0"/>
              <w:noProof/>
              <w:sz w:val="22"/>
              <w:lang w:eastAsia="en-AU"/>
            </w:rPr>
          </w:pPr>
          <w:hyperlink w:anchor="_Toc126055186" w:history="1">
            <w:r w:rsidR="00E25847" w:rsidRPr="009206D1">
              <w:rPr>
                <w:rStyle w:val="Hyperlink"/>
                <w:noProof/>
              </w:rPr>
              <w:t>Product submission</w:t>
            </w:r>
            <w:r w:rsidR="00E25847">
              <w:rPr>
                <w:noProof/>
                <w:webHidden/>
              </w:rPr>
              <w:tab/>
            </w:r>
            <w:r w:rsidR="00E25847">
              <w:rPr>
                <w:noProof/>
                <w:webHidden/>
              </w:rPr>
              <w:fldChar w:fldCharType="begin"/>
            </w:r>
            <w:r w:rsidR="00E25847">
              <w:rPr>
                <w:noProof/>
                <w:webHidden/>
              </w:rPr>
              <w:instrText xml:space="preserve"> PAGEREF _Toc126055186 \h </w:instrText>
            </w:r>
            <w:r w:rsidR="00E25847">
              <w:rPr>
                <w:noProof/>
                <w:webHidden/>
              </w:rPr>
            </w:r>
            <w:r w:rsidR="00E25847">
              <w:rPr>
                <w:noProof/>
                <w:webHidden/>
              </w:rPr>
              <w:fldChar w:fldCharType="separate"/>
            </w:r>
            <w:r>
              <w:rPr>
                <w:noProof/>
                <w:webHidden/>
              </w:rPr>
              <w:t>6</w:t>
            </w:r>
            <w:r w:rsidR="00E25847">
              <w:rPr>
                <w:noProof/>
                <w:webHidden/>
              </w:rPr>
              <w:fldChar w:fldCharType="end"/>
            </w:r>
          </w:hyperlink>
        </w:p>
        <w:p w14:paraId="28715943" w14:textId="7A4625DE" w:rsidR="00E25847" w:rsidRDefault="001C74BD">
          <w:pPr>
            <w:pStyle w:val="TOC2"/>
            <w:rPr>
              <w:rFonts w:asciiTheme="minorHAnsi" w:eastAsiaTheme="minorEastAsia" w:hAnsiTheme="minorHAnsi" w:cstheme="minorBidi"/>
              <w:b w:val="0"/>
              <w:noProof/>
              <w:sz w:val="22"/>
              <w:lang w:eastAsia="en-AU"/>
            </w:rPr>
          </w:pPr>
          <w:hyperlink w:anchor="_Toc126055187" w:history="1">
            <w:r w:rsidR="00E25847" w:rsidRPr="009206D1">
              <w:rPr>
                <w:rStyle w:val="Hyperlink"/>
                <w:noProof/>
                <w:lang w:eastAsia="en-AU"/>
              </w:rPr>
              <w:t>Submission details</w:t>
            </w:r>
            <w:r w:rsidR="00E25847">
              <w:rPr>
                <w:noProof/>
                <w:webHidden/>
              </w:rPr>
              <w:tab/>
            </w:r>
            <w:r w:rsidR="00E25847">
              <w:rPr>
                <w:noProof/>
                <w:webHidden/>
              </w:rPr>
              <w:fldChar w:fldCharType="begin"/>
            </w:r>
            <w:r w:rsidR="00E25847">
              <w:rPr>
                <w:noProof/>
                <w:webHidden/>
              </w:rPr>
              <w:instrText xml:space="preserve"> PAGEREF _Toc126055187 \h </w:instrText>
            </w:r>
            <w:r w:rsidR="00E25847">
              <w:rPr>
                <w:noProof/>
                <w:webHidden/>
              </w:rPr>
            </w:r>
            <w:r w:rsidR="00E25847">
              <w:rPr>
                <w:noProof/>
                <w:webHidden/>
              </w:rPr>
              <w:fldChar w:fldCharType="separate"/>
            </w:r>
            <w:r>
              <w:rPr>
                <w:noProof/>
                <w:webHidden/>
              </w:rPr>
              <w:t>6</w:t>
            </w:r>
            <w:r w:rsidR="00E25847">
              <w:rPr>
                <w:noProof/>
                <w:webHidden/>
              </w:rPr>
              <w:fldChar w:fldCharType="end"/>
            </w:r>
          </w:hyperlink>
        </w:p>
        <w:p w14:paraId="1F7A3150" w14:textId="62D496AC" w:rsidR="00E25847" w:rsidRDefault="001C74BD">
          <w:pPr>
            <w:pStyle w:val="TOC2"/>
            <w:rPr>
              <w:rFonts w:asciiTheme="minorHAnsi" w:eastAsiaTheme="minorEastAsia" w:hAnsiTheme="minorHAnsi" w:cstheme="minorBidi"/>
              <w:b w:val="0"/>
              <w:noProof/>
              <w:sz w:val="22"/>
              <w:lang w:eastAsia="en-AU"/>
            </w:rPr>
          </w:pPr>
          <w:hyperlink w:anchor="_Toc126055188" w:history="1">
            <w:r w:rsidR="00E25847" w:rsidRPr="009206D1">
              <w:rPr>
                <w:rStyle w:val="Hyperlink"/>
                <w:noProof/>
              </w:rPr>
              <w:t>Product background</w:t>
            </w:r>
            <w:r w:rsidR="00E25847">
              <w:rPr>
                <w:noProof/>
                <w:webHidden/>
              </w:rPr>
              <w:tab/>
            </w:r>
            <w:r w:rsidR="00E25847">
              <w:rPr>
                <w:noProof/>
                <w:webHidden/>
              </w:rPr>
              <w:fldChar w:fldCharType="begin"/>
            </w:r>
            <w:r w:rsidR="00E25847">
              <w:rPr>
                <w:noProof/>
                <w:webHidden/>
              </w:rPr>
              <w:instrText xml:space="preserve"> PAGEREF _Toc126055188 \h </w:instrText>
            </w:r>
            <w:r w:rsidR="00E25847">
              <w:rPr>
                <w:noProof/>
                <w:webHidden/>
              </w:rPr>
            </w:r>
            <w:r w:rsidR="00E25847">
              <w:rPr>
                <w:noProof/>
                <w:webHidden/>
              </w:rPr>
              <w:fldChar w:fldCharType="separate"/>
            </w:r>
            <w:r>
              <w:rPr>
                <w:noProof/>
                <w:webHidden/>
              </w:rPr>
              <w:t>8</w:t>
            </w:r>
            <w:r w:rsidR="00E25847">
              <w:rPr>
                <w:noProof/>
                <w:webHidden/>
              </w:rPr>
              <w:fldChar w:fldCharType="end"/>
            </w:r>
          </w:hyperlink>
        </w:p>
        <w:p w14:paraId="2DC298F7" w14:textId="58206C49" w:rsidR="00E25847" w:rsidRDefault="001C74BD">
          <w:pPr>
            <w:pStyle w:val="TOC2"/>
            <w:rPr>
              <w:rFonts w:asciiTheme="minorHAnsi" w:eastAsiaTheme="minorEastAsia" w:hAnsiTheme="minorHAnsi" w:cstheme="minorBidi"/>
              <w:b w:val="0"/>
              <w:noProof/>
              <w:sz w:val="22"/>
              <w:lang w:eastAsia="en-AU"/>
            </w:rPr>
          </w:pPr>
          <w:hyperlink w:anchor="_Toc126055189" w:history="1">
            <w:r w:rsidR="00E25847" w:rsidRPr="009206D1">
              <w:rPr>
                <w:rStyle w:val="Hyperlink"/>
                <w:noProof/>
              </w:rPr>
              <w:t>Regulatory status</w:t>
            </w:r>
            <w:r w:rsidR="00E25847">
              <w:rPr>
                <w:noProof/>
                <w:webHidden/>
              </w:rPr>
              <w:tab/>
            </w:r>
            <w:r w:rsidR="00E25847">
              <w:rPr>
                <w:noProof/>
                <w:webHidden/>
              </w:rPr>
              <w:fldChar w:fldCharType="begin"/>
            </w:r>
            <w:r w:rsidR="00E25847">
              <w:rPr>
                <w:noProof/>
                <w:webHidden/>
              </w:rPr>
              <w:instrText xml:space="preserve"> PAGEREF _Toc126055189 \h </w:instrText>
            </w:r>
            <w:r w:rsidR="00E25847">
              <w:rPr>
                <w:noProof/>
                <w:webHidden/>
              </w:rPr>
            </w:r>
            <w:r w:rsidR="00E25847">
              <w:rPr>
                <w:noProof/>
                <w:webHidden/>
              </w:rPr>
              <w:fldChar w:fldCharType="separate"/>
            </w:r>
            <w:r>
              <w:rPr>
                <w:noProof/>
                <w:webHidden/>
              </w:rPr>
              <w:t>9</w:t>
            </w:r>
            <w:r w:rsidR="00E25847">
              <w:rPr>
                <w:noProof/>
                <w:webHidden/>
              </w:rPr>
              <w:fldChar w:fldCharType="end"/>
            </w:r>
          </w:hyperlink>
        </w:p>
        <w:p w14:paraId="1D72F979" w14:textId="18F6B864" w:rsidR="00E25847" w:rsidRDefault="001C74BD">
          <w:pPr>
            <w:pStyle w:val="TOC2"/>
            <w:rPr>
              <w:rFonts w:asciiTheme="minorHAnsi" w:eastAsiaTheme="minorEastAsia" w:hAnsiTheme="minorHAnsi" w:cstheme="minorBidi"/>
              <w:b w:val="0"/>
              <w:noProof/>
              <w:sz w:val="22"/>
              <w:lang w:eastAsia="en-AU"/>
            </w:rPr>
          </w:pPr>
          <w:hyperlink w:anchor="_Toc126055190" w:history="1">
            <w:r w:rsidR="00E25847" w:rsidRPr="009206D1">
              <w:rPr>
                <w:rStyle w:val="Hyperlink"/>
                <w:noProof/>
              </w:rPr>
              <w:t>Product Information</w:t>
            </w:r>
            <w:r w:rsidR="00E25847">
              <w:rPr>
                <w:noProof/>
                <w:webHidden/>
              </w:rPr>
              <w:tab/>
            </w:r>
            <w:r w:rsidR="00E25847">
              <w:rPr>
                <w:noProof/>
                <w:webHidden/>
              </w:rPr>
              <w:fldChar w:fldCharType="begin"/>
            </w:r>
            <w:r w:rsidR="00E25847">
              <w:rPr>
                <w:noProof/>
                <w:webHidden/>
              </w:rPr>
              <w:instrText xml:space="preserve"> PAGEREF _Toc126055190 \h </w:instrText>
            </w:r>
            <w:r w:rsidR="00E25847">
              <w:rPr>
                <w:noProof/>
                <w:webHidden/>
              </w:rPr>
            </w:r>
            <w:r w:rsidR="00E25847">
              <w:rPr>
                <w:noProof/>
                <w:webHidden/>
              </w:rPr>
              <w:fldChar w:fldCharType="separate"/>
            </w:r>
            <w:r>
              <w:rPr>
                <w:noProof/>
                <w:webHidden/>
              </w:rPr>
              <w:t>10</w:t>
            </w:r>
            <w:r w:rsidR="00E25847">
              <w:rPr>
                <w:noProof/>
                <w:webHidden/>
              </w:rPr>
              <w:fldChar w:fldCharType="end"/>
            </w:r>
          </w:hyperlink>
        </w:p>
        <w:p w14:paraId="5ED96435" w14:textId="5D5C93DB" w:rsidR="00E25847" w:rsidRDefault="001C74BD">
          <w:pPr>
            <w:pStyle w:val="TOC1"/>
            <w:rPr>
              <w:rFonts w:asciiTheme="minorHAnsi" w:eastAsiaTheme="minorEastAsia" w:hAnsiTheme="minorHAnsi" w:cstheme="minorBidi"/>
              <w:b w:val="0"/>
              <w:noProof/>
              <w:sz w:val="22"/>
              <w:lang w:eastAsia="en-AU"/>
            </w:rPr>
          </w:pPr>
          <w:hyperlink w:anchor="_Toc126055191" w:history="1">
            <w:r w:rsidR="00E25847" w:rsidRPr="009206D1">
              <w:rPr>
                <w:rStyle w:val="Hyperlink"/>
                <w:noProof/>
              </w:rPr>
              <w:t>Registration timeline</w:t>
            </w:r>
            <w:r w:rsidR="00E25847">
              <w:rPr>
                <w:noProof/>
                <w:webHidden/>
              </w:rPr>
              <w:tab/>
            </w:r>
            <w:r w:rsidR="00E25847">
              <w:rPr>
                <w:noProof/>
                <w:webHidden/>
              </w:rPr>
              <w:fldChar w:fldCharType="begin"/>
            </w:r>
            <w:r w:rsidR="00E25847">
              <w:rPr>
                <w:noProof/>
                <w:webHidden/>
              </w:rPr>
              <w:instrText xml:space="preserve"> PAGEREF _Toc126055191 \h </w:instrText>
            </w:r>
            <w:r w:rsidR="00E25847">
              <w:rPr>
                <w:noProof/>
                <w:webHidden/>
              </w:rPr>
            </w:r>
            <w:r w:rsidR="00E25847">
              <w:rPr>
                <w:noProof/>
                <w:webHidden/>
              </w:rPr>
              <w:fldChar w:fldCharType="separate"/>
            </w:r>
            <w:r>
              <w:rPr>
                <w:noProof/>
                <w:webHidden/>
              </w:rPr>
              <w:t>10</w:t>
            </w:r>
            <w:r w:rsidR="00E25847">
              <w:rPr>
                <w:noProof/>
                <w:webHidden/>
              </w:rPr>
              <w:fldChar w:fldCharType="end"/>
            </w:r>
          </w:hyperlink>
        </w:p>
        <w:p w14:paraId="54E62982" w14:textId="5C32F919" w:rsidR="00E25847" w:rsidRDefault="001C74BD">
          <w:pPr>
            <w:pStyle w:val="TOC1"/>
            <w:rPr>
              <w:rFonts w:asciiTheme="minorHAnsi" w:eastAsiaTheme="minorEastAsia" w:hAnsiTheme="minorHAnsi" w:cstheme="minorBidi"/>
              <w:b w:val="0"/>
              <w:noProof/>
              <w:sz w:val="22"/>
              <w:lang w:eastAsia="en-AU"/>
            </w:rPr>
          </w:pPr>
          <w:hyperlink w:anchor="_Toc126055192" w:history="1">
            <w:r w:rsidR="00E25847" w:rsidRPr="009206D1">
              <w:rPr>
                <w:rStyle w:val="Hyperlink"/>
                <w:noProof/>
              </w:rPr>
              <w:t>Submission overview and risk/benefit assessment</w:t>
            </w:r>
            <w:r w:rsidR="00E25847">
              <w:rPr>
                <w:noProof/>
                <w:webHidden/>
              </w:rPr>
              <w:tab/>
            </w:r>
            <w:r w:rsidR="00E25847">
              <w:rPr>
                <w:noProof/>
                <w:webHidden/>
              </w:rPr>
              <w:fldChar w:fldCharType="begin"/>
            </w:r>
            <w:r w:rsidR="00E25847">
              <w:rPr>
                <w:noProof/>
                <w:webHidden/>
              </w:rPr>
              <w:instrText xml:space="preserve"> PAGEREF _Toc126055192 \h </w:instrText>
            </w:r>
            <w:r w:rsidR="00E25847">
              <w:rPr>
                <w:noProof/>
                <w:webHidden/>
              </w:rPr>
            </w:r>
            <w:r w:rsidR="00E25847">
              <w:rPr>
                <w:noProof/>
                <w:webHidden/>
              </w:rPr>
              <w:fldChar w:fldCharType="separate"/>
            </w:r>
            <w:r>
              <w:rPr>
                <w:noProof/>
                <w:webHidden/>
              </w:rPr>
              <w:t>11</w:t>
            </w:r>
            <w:r w:rsidR="00E25847">
              <w:rPr>
                <w:noProof/>
                <w:webHidden/>
              </w:rPr>
              <w:fldChar w:fldCharType="end"/>
            </w:r>
          </w:hyperlink>
        </w:p>
        <w:p w14:paraId="1CD33B6B" w14:textId="6D569EBF" w:rsidR="00E25847" w:rsidRDefault="001C74BD">
          <w:pPr>
            <w:pStyle w:val="TOC2"/>
            <w:rPr>
              <w:rFonts w:asciiTheme="minorHAnsi" w:eastAsiaTheme="minorEastAsia" w:hAnsiTheme="minorHAnsi" w:cstheme="minorBidi"/>
              <w:b w:val="0"/>
              <w:noProof/>
              <w:sz w:val="22"/>
              <w:lang w:eastAsia="en-AU"/>
            </w:rPr>
          </w:pPr>
          <w:hyperlink w:anchor="_Toc126055193" w:history="1">
            <w:r w:rsidR="00E25847" w:rsidRPr="009206D1">
              <w:rPr>
                <w:rStyle w:val="Hyperlink"/>
                <w:noProof/>
              </w:rPr>
              <w:t>Quality</w:t>
            </w:r>
            <w:r w:rsidR="00E25847">
              <w:rPr>
                <w:noProof/>
                <w:webHidden/>
              </w:rPr>
              <w:tab/>
            </w:r>
            <w:r w:rsidR="00E25847">
              <w:rPr>
                <w:noProof/>
                <w:webHidden/>
              </w:rPr>
              <w:fldChar w:fldCharType="begin"/>
            </w:r>
            <w:r w:rsidR="00E25847">
              <w:rPr>
                <w:noProof/>
                <w:webHidden/>
              </w:rPr>
              <w:instrText xml:space="preserve"> PAGEREF _Toc126055193 \h </w:instrText>
            </w:r>
            <w:r w:rsidR="00E25847">
              <w:rPr>
                <w:noProof/>
                <w:webHidden/>
              </w:rPr>
            </w:r>
            <w:r w:rsidR="00E25847">
              <w:rPr>
                <w:noProof/>
                <w:webHidden/>
              </w:rPr>
              <w:fldChar w:fldCharType="separate"/>
            </w:r>
            <w:r>
              <w:rPr>
                <w:noProof/>
                <w:webHidden/>
              </w:rPr>
              <w:t>11</w:t>
            </w:r>
            <w:r w:rsidR="00E25847">
              <w:rPr>
                <w:noProof/>
                <w:webHidden/>
              </w:rPr>
              <w:fldChar w:fldCharType="end"/>
            </w:r>
          </w:hyperlink>
        </w:p>
        <w:p w14:paraId="6E9B2D84" w14:textId="545CB421" w:rsidR="00E25847" w:rsidRDefault="001C74BD">
          <w:pPr>
            <w:pStyle w:val="TOC2"/>
            <w:rPr>
              <w:rFonts w:asciiTheme="minorHAnsi" w:eastAsiaTheme="minorEastAsia" w:hAnsiTheme="minorHAnsi" w:cstheme="minorBidi"/>
              <w:b w:val="0"/>
              <w:noProof/>
              <w:sz w:val="22"/>
              <w:lang w:eastAsia="en-AU"/>
            </w:rPr>
          </w:pPr>
          <w:hyperlink w:anchor="_Toc126055194" w:history="1">
            <w:r w:rsidR="00E25847" w:rsidRPr="009206D1">
              <w:rPr>
                <w:rStyle w:val="Hyperlink"/>
                <w:noProof/>
              </w:rPr>
              <w:t>Nonclinical</w:t>
            </w:r>
            <w:r w:rsidR="00E25847">
              <w:rPr>
                <w:noProof/>
                <w:webHidden/>
              </w:rPr>
              <w:tab/>
            </w:r>
            <w:r w:rsidR="00E25847">
              <w:rPr>
                <w:noProof/>
                <w:webHidden/>
              </w:rPr>
              <w:fldChar w:fldCharType="begin"/>
            </w:r>
            <w:r w:rsidR="00E25847">
              <w:rPr>
                <w:noProof/>
                <w:webHidden/>
              </w:rPr>
              <w:instrText xml:space="preserve"> PAGEREF _Toc126055194 \h </w:instrText>
            </w:r>
            <w:r w:rsidR="00E25847">
              <w:rPr>
                <w:noProof/>
                <w:webHidden/>
              </w:rPr>
            </w:r>
            <w:r w:rsidR="00E25847">
              <w:rPr>
                <w:noProof/>
                <w:webHidden/>
              </w:rPr>
              <w:fldChar w:fldCharType="separate"/>
            </w:r>
            <w:r>
              <w:rPr>
                <w:noProof/>
                <w:webHidden/>
              </w:rPr>
              <w:t>12</w:t>
            </w:r>
            <w:r w:rsidR="00E25847">
              <w:rPr>
                <w:noProof/>
                <w:webHidden/>
              </w:rPr>
              <w:fldChar w:fldCharType="end"/>
            </w:r>
          </w:hyperlink>
        </w:p>
        <w:p w14:paraId="522E2341" w14:textId="1A68B587" w:rsidR="00E25847" w:rsidRDefault="001C74BD">
          <w:pPr>
            <w:pStyle w:val="TOC2"/>
            <w:rPr>
              <w:rFonts w:asciiTheme="minorHAnsi" w:eastAsiaTheme="minorEastAsia" w:hAnsiTheme="minorHAnsi" w:cstheme="minorBidi"/>
              <w:b w:val="0"/>
              <w:noProof/>
              <w:sz w:val="22"/>
              <w:lang w:eastAsia="en-AU"/>
            </w:rPr>
          </w:pPr>
          <w:hyperlink w:anchor="_Toc126055195" w:history="1">
            <w:r w:rsidR="00E25847" w:rsidRPr="009206D1">
              <w:rPr>
                <w:rStyle w:val="Hyperlink"/>
                <w:noProof/>
              </w:rPr>
              <w:t>Clinical</w:t>
            </w:r>
            <w:r w:rsidR="00E25847">
              <w:rPr>
                <w:noProof/>
                <w:webHidden/>
              </w:rPr>
              <w:tab/>
            </w:r>
            <w:r w:rsidR="00E25847">
              <w:rPr>
                <w:noProof/>
                <w:webHidden/>
              </w:rPr>
              <w:fldChar w:fldCharType="begin"/>
            </w:r>
            <w:r w:rsidR="00E25847">
              <w:rPr>
                <w:noProof/>
                <w:webHidden/>
              </w:rPr>
              <w:instrText xml:space="preserve"> PAGEREF _Toc126055195 \h </w:instrText>
            </w:r>
            <w:r w:rsidR="00E25847">
              <w:rPr>
                <w:noProof/>
                <w:webHidden/>
              </w:rPr>
            </w:r>
            <w:r w:rsidR="00E25847">
              <w:rPr>
                <w:noProof/>
                <w:webHidden/>
              </w:rPr>
              <w:fldChar w:fldCharType="separate"/>
            </w:r>
            <w:r>
              <w:rPr>
                <w:noProof/>
                <w:webHidden/>
              </w:rPr>
              <w:t>12</w:t>
            </w:r>
            <w:r w:rsidR="00E25847">
              <w:rPr>
                <w:noProof/>
                <w:webHidden/>
              </w:rPr>
              <w:fldChar w:fldCharType="end"/>
            </w:r>
          </w:hyperlink>
        </w:p>
        <w:p w14:paraId="4F0B49A8" w14:textId="47C15434" w:rsidR="00E25847" w:rsidRDefault="001C74BD">
          <w:pPr>
            <w:pStyle w:val="TOC2"/>
            <w:rPr>
              <w:rFonts w:asciiTheme="minorHAnsi" w:eastAsiaTheme="minorEastAsia" w:hAnsiTheme="minorHAnsi" w:cstheme="minorBidi"/>
              <w:b w:val="0"/>
              <w:noProof/>
              <w:sz w:val="22"/>
              <w:lang w:eastAsia="en-AU"/>
            </w:rPr>
          </w:pPr>
          <w:hyperlink w:anchor="_Toc126055196" w:history="1">
            <w:r w:rsidR="00E25847" w:rsidRPr="009206D1">
              <w:rPr>
                <w:rStyle w:val="Hyperlink"/>
                <w:noProof/>
                <w:lang w:eastAsia="en-AU"/>
              </w:rPr>
              <w:t>Risk management plan</w:t>
            </w:r>
            <w:r w:rsidR="00E25847">
              <w:rPr>
                <w:noProof/>
                <w:webHidden/>
              </w:rPr>
              <w:tab/>
            </w:r>
            <w:r w:rsidR="00E25847">
              <w:rPr>
                <w:noProof/>
                <w:webHidden/>
              </w:rPr>
              <w:fldChar w:fldCharType="begin"/>
            </w:r>
            <w:r w:rsidR="00E25847">
              <w:rPr>
                <w:noProof/>
                <w:webHidden/>
              </w:rPr>
              <w:instrText xml:space="preserve"> PAGEREF _Toc126055196 \h </w:instrText>
            </w:r>
            <w:r w:rsidR="00E25847">
              <w:rPr>
                <w:noProof/>
                <w:webHidden/>
              </w:rPr>
            </w:r>
            <w:r w:rsidR="00E25847">
              <w:rPr>
                <w:noProof/>
                <w:webHidden/>
              </w:rPr>
              <w:fldChar w:fldCharType="separate"/>
            </w:r>
            <w:r>
              <w:rPr>
                <w:noProof/>
                <w:webHidden/>
              </w:rPr>
              <w:t>23</w:t>
            </w:r>
            <w:r w:rsidR="00E25847">
              <w:rPr>
                <w:noProof/>
                <w:webHidden/>
              </w:rPr>
              <w:fldChar w:fldCharType="end"/>
            </w:r>
          </w:hyperlink>
        </w:p>
        <w:p w14:paraId="7F159216" w14:textId="6278D7E1" w:rsidR="00E25847" w:rsidRDefault="001C74BD">
          <w:pPr>
            <w:pStyle w:val="TOC2"/>
            <w:rPr>
              <w:rFonts w:asciiTheme="minorHAnsi" w:eastAsiaTheme="minorEastAsia" w:hAnsiTheme="minorHAnsi" w:cstheme="minorBidi"/>
              <w:b w:val="0"/>
              <w:noProof/>
              <w:sz w:val="22"/>
              <w:lang w:eastAsia="en-AU"/>
            </w:rPr>
          </w:pPr>
          <w:hyperlink w:anchor="_Toc126055197" w:history="1">
            <w:r w:rsidR="00E25847" w:rsidRPr="009206D1">
              <w:rPr>
                <w:rStyle w:val="Hyperlink"/>
                <w:noProof/>
              </w:rPr>
              <w:t>Risk-benefit analysis</w:t>
            </w:r>
            <w:r w:rsidR="00E25847">
              <w:rPr>
                <w:noProof/>
                <w:webHidden/>
              </w:rPr>
              <w:tab/>
            </w:r>
            <w:r w:rsidR="00E25847">
              <w:rPr>
                <w:noProof/>
                <w:webHidden/>
              </w:rPr>
              <w:fldChar w:fldCharType="begin"/>
            </w:r>
            <w:r w:rsidR="00E25847">
              <w:rPr>
                <w:noProof/>
                <w:webHidden/>
              </w:rPr>
              <w:instrText xml:space="preserve"> PAGEREF _Toc126055197 \h </w:instrText>
            </w:r>
            <w:r w:rsidR="00E25847">
              <w:rPr>
                <w:noProof/>
                <w:webHidden/>
              </w:rPr>
            </w:r>
            <w:r w:rsidR="00E25847">
              <w:rPr>
                <w:noProof/>
                <w:webHidden/>
              </w:rPr>
              <w:fldChar w:fldCharType="separate"/>
            </w:r>
            <w:r>
              <w:rPr>
                <w:noProof/>
                <w:webHidden/>
              </w:rPr>
              <w:t>24</w:t>
            </w:r>
            <w:r w:rsidR="00E25847">
              <w:rPr>
                <w:noProof/>
                <w:webHidden/>
              </w:rPr>
              <w:fldChar w:fldCharType="end"/>
            </w:r>
          </w:hyperlink>
        </w:p>
        <w:p w14:paraId="799250F2" w14:textId="031F09FD" w:rsidR="00E25847" w:rsidRDefault="001C74BD">
          <w:pPr>
            <w:pStyle w:val="TOC1"/>
            <w:rPr>
              <w:rFonts w:asciiTheme="minorHAnsi" w:eastAsiaTheme="minorEastAsia" w:hAnsiTheme="minorHAnsi" w:cstheme="minorBidi"/>
              <w:b w:val="0"/>
              <w:noProof/>
              <w:sz w:val="22"/>
              <w:lang w:eastAsia="en-AU"/>
            </w:rPr>
          </w:pPr>
          <w:hyperlink w:anchor="_Toc126055198" w:history="1">
            <w:r w:rsidR="00E25847" w:rsidRPr="009206D1">
              <w:rPr>
                <w:rStyle w:val="Hyperlink"/>
                <w:noProof/>
              </w:rPr>
              <w:t>Outcome</w:t>
            </w:r>
            <w:r w:rsidR="00E25847">
              <w:rPr>
                <w:noProof/>
                <w:webHidden/>
              </w:rPr>
              <w:tab/>
            </w:r>
            <w:r w:rsidR="00E25847">
              <w:rPr>
                <w:noProof/>
                <w:webHidden/>
              </w:rPr>
              <w:fldChar w:fldCharType="begin"/>
            </w:r>
            <w:r w:rsidR="00E25847">
              <w:rPr>
                <w:noProof/>
                <w:webHidden/>
              </w:rPr>
              <w:instrText xml:space="preserve"> PAGEREF _Toc126055198 \h </w:instrText>
            </w:r>
            <w:r w:rsidR="00E25847">
              <w:rPr>
                <w:noProof/>
                <w:webHidden/>
              </w:rPr>
            </w:r>
            <w:r w:rsidR="00E25847">
              <w:rPr>
                <w:noProof/>
                <w:webHidden/>
              </w:rPr>
              <w:fldChar w:fldCharType="separate"/>
            </w:r>
            <w:r>
              <w:rPr>
                <w:noProof/>
                <w:webHidden/>
              </w:rPr>
              <w:t>26</w:t>
            </w:r>
            <w:r w:rsidR="00E25847">
              <w:rPr>
                <w:noProof/>
                <w:webHidden/>
              </w:rPr>
              <w:fldChar w:fldCharType="end"/>
            </w:r>
          </w:hyperlink>
        </w:p>
        <w:p w14:paraId="7D3856F6" w14:textId="3BD1DA04" w:rsidR="00E25847" w:rsidRDefault="001C74BD">
          <w:pPr>
            <w:pStyle w:val="TOC2"/>
            <w:rPr>
              <w:rFonts w:asciiTheme="minorHAnsi" w:eastAsiaTheme="minorEastAsia" w:hAnsiTheme="minorHAnsi" w:cstheme="minorBidi"/>
              <w:b w:val="0"/>
              <w:noProof/>
              <w:sz w:val="22"/>
              <w:lang w:eastAsia="en-AU"/>
            </w:rPr>
          </w:pPr>
          <w:hyperlink w:anchor="_Toc126055199" w:history="1">
            <w:r w:rsidR="00E25847" w:rsidRPr="009206D1">
              <w:rPr>
                <w:rStyle w:val="Hyperlink"/>
                <w:noProof/>
              </w:rPr>
              <w:t>Specific conditions of registration applying to these goods</w:t>
            </w:r>
            <w:r w:rsidR="00E25847">
              <w:rPr>
                <w:noProof/>
                <w:webHidden/>
              </w:rPr>
              <w:tab/>
            </w:r>
            <w:r w:rsidR="00E25847">
              <w:rPr>
                <w:noProof/>
                <w:webHidden/>
              </w:rPr>
              <w:fldChar w:fldCharType="begin"/>
            </w:r>
            <w:r w:rsidR="00E25847">
              <w:rPr>
                <w:noProof/>
                <w:webHidden/>
              </w:rPr>
              <w:instrText xml:space="preserve"> PAGEREF _Toc126055199 \h </w:instrText>
            </w:r>
            <w:r w:rsidR="00E25847">
              <w:rPr>
                <w:noProof/>
                <w:webHidden/>
              </w:rPr>
            </w:r>
            <w:r w:rsidR="00E25847">
              <w:rPr>
                <w:noProof/>
                <w:webHidden/>
              </w:rPr>
              <w:fldChar w:fldCharType="separate"/>
            </w:r>
            <w:r>
              <w:rPr>
                <w:noProof/>
                <w:webHidden/>
              </w:rPr>
              <w:t>26</w:t>
            </w:r>
            <w:r w:rsidR="00E25847">
              <w:rPr>
                <w:noProof/>
                <w:webHidden/>
              </w:rPr>
              <w:fldChar w:fldCharType="end"/>
            </w:r>
          </w:hyperlink>
        </w:p>
        <w:p w14:paraId="756D0FBA" w14:textId="5AB966FA" w:rsidR="00E25847" w:rsidRDefault="001C74BD">
          <w:pPr>
            <w:pStyle w:val="TOC1"/>
            <w:rPr>
              <w:rFonts w:asciiTheme="minorHAnsi" w:eastAsiaTheme="minorEastAsia" w:hAnsiTheme="minorHAnsi" w:cstheme="minorBidi"/>
              <w:b w:val="0"/>
              <w:noProof/>
              <w:sz w:val="22"/>
              <w:lang w:eastAsia="en-AU"/>
            </w:rPr>
          </w:pPr>
          <w:hyperlink w:anchor="_Toc126055200" w:history="1">
            <w:r w:rsidR="00E25847" w:rsidRPr="009206D1">
              <w:rPr>
                <w:rStyle w:val="Hyperlink"/>
                <w:noProof/>
              </w:rPr>
              <w:t>Attachment 1. Product Information</w:t>
            </w:r>
            <w:r w:rsidR="00E25847">
              <w:rPr>
                <w:noProof/>
                <w:webHidden/>
              </w:rPr>
              <w:tab/>
            </w:r>
            <w:r w:rsidR="00E25847">
              <w:rPr>
                <w:noProof/>
                <w:webHidden/>
              </w:rPr>
              <w:fldChar w:fldCharType="begin"/>
            </w:r>
            <w:r w:rsidR="00E25847">
              <w:rPr>
                <w:noProof/>
                <w:webHidden/>
              </w:rPr>
              <w:instrText xml:space="preserve"> PAGEREF _Toc126055200 \h </w:instrText>
            </w:r>
            <w:r w:rsidR="00E25847">
              <w:rPr>
                <w:noProof/>
                <w:webHidden/>
              </w:rPr>
            </w:r>
            <w:r w:rsidR="00E25847">
              <w:rPr>
                <w:noProof/>
                <w:webHidden/>
              </w:rPr>
              <w:fldChar w:fldCharType="separate"/>
            </w:r>
            <w:r>
              <w:rPr>
                <w:noProof/>
                <w:webHidden/>
              </w:rPr>
              <w:t>27</w:t>
            </w:r>
            <w:r w:rsidR="00E25847">
              <w:rPr>
                <w:noProof/>
                <w:webHidden/>
              </w:rPr>
              <w:fldChar w:fldCharType="end"/>
            </w:r>
          </w:hyperlink>
        </w:p>
        <w:p w14:paraId="7397F39C" w14:textId="74015637" w:rsidR="003A7F6C" w:rsidRPr="00B811C6" w:rsidRDefault="00C525A2" w:rsidP="00EB36D6">
          <w:r>
            <w:fldChar w:fldCharType="end"/>
          </w:r>
        </w:p>
      </w:sdtContent>
    </w:sdt>
    <w:bookmarkStart w:id="2" w:name="_Toc314842482" w:displacedByCustomXml="prev"/>
    <w:p w14:paraId="2769AC99" w14:textId="61BA09B1" w:rsidR="00FD119B" w:rsidRDefault="00D97A6B">
      <w:pPr>
        <w:spacing w:before="0" w:after="200" w:line="0" w:lineRule="auto"/>
      </w:pPr>
      <w:r>
        <w:t xml:space="preserve">  </w:t>
      </w:r>
      <w:r w:rsidR="00FD119B">
        <w:br w:type="page"/>
      </w:r>
    </w:p>
    <w:p w14:paraId="1C0F260D" w14:textId="4CCE3795" w:rsidR="00AF2313" w:rsidRDefault="00AF2313" w:rsidP="00AF2313">
      <w:pPr>
        <w:pStyle w:val="Heading2"/>
      </w:pPr>
      <w:bookmarkStart w:id="3" w:name="_Toc98931917"/>
      <w:bookmarkStart w:id="4" w:name="_Toc126055185"/>
      <w:r>
        <w:lastRenderedPageBreak/>
        <w:t>List of abbreviations</w:t>
      </w:r>
      <w:bookmarkEnd w:id="3"/>
      <w:bookmarkEnd w:id="4"/>
    </w:p>
    <w:tbl>
      <w:tblPr>
        <w:tblStyle w:val="TableTGAblue"/>
        <w:tblW w:w="5000" w:type="pct"/>
        <w:tblLook w:val="04A0" w:firstRow="1" w:lastRow="0" w:firstColumn="1" w:lastColumn="0" w:noHBand="0" w:noVBand="1"/>
      </w:tblPr>
      <w:tblGrid>
        <w:gridCol w:w="1719"/>
        <w:gridCol w:w="1196"/>
        <w:gridCol w:w="5569"/>
      </w:tblGrid>
      <w:tr w:rsidR="00246E7C" w14:paraId="248E5DB6" w14:textId="77777777" w:rsidTr="00DB0E9F">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0D0660A8" w14:textId="77777777" w:rsidR="00246E7C" w:rsidRDefault="00246E7C" w:rsidP="00DB0E9F">
            <w:pPr>
              <w:rPr>
                <w:color w:val="FFFFFF"/>
              </w:rPr>
            </w:pPr>
            <w:r>
              <w:t>Abbreviation</w:t>
            </w:r>
          </w:p>
        </w:tc>
        <w:tc>
          <w:tcPr>
            <w:tcW w:w="3282" w:type="pct"/>
            <w:hideMark/>
          </w:tcPr>
          <w:p w14:paraId="48B6B6C4" w14:textId="77777777" w:rsidR="00246E7C" w:rsidRDefault="00246E7C" w:rsidP="00DB0E9F">
            <w:r>
              <w:t>Meaning</w:t>
            </w:r>
          </w:p>
        </w:tc>
      </w:tr>
      <w:tr w:rsidR="00246E7C" w14:paraId="2B604625"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7A59AB84" w14:textId="77777777" w:rsidR="00246E7C" w:rsidRPr="00713132" w:rsidRDefault="00246E7C" w:rsidP="00DB0E9F">
            <w:r w:rsidRPr="00713132">
              <w:t>ADR</w:t>
            </w:r>
          </w:p>
        </w:tc>
        <w:tc>
          <w:tcPr>
            <w:tcW w:w="3987" w:type="pct"/>
            <w:gridSpan w:val="2"/>
            <w:tcBorders>
              <w:top w:val="single" w:sz="8" w:space="0" w:color="002C47"/>
              <w:left w:val="single" w:sz="8" w:space="0" w:color="002C47"/>
              <w:bottom w:val="single" w:sz="8" w:space="0" w:color="002C47"/>
              <w:right w:val="single" w:sz="8" w:space="0" w:color="002C47"/>
            </w:tcBorders>
          </w:tcPr>
          <w:p w14:paraId="5D15E0DC" w14:textId="77777777" w:rsidR="00246E7C" w:rsidRPr="00713132" w:rsidRDefault="00246E7C" w:rsidP="00DB0E9F">
            <w:r w:rsidRPr="00713132">
              <w:t>Adverse drug reaction</w:t>
            </w:r>
          </w:p>
        </w:tc>
      </w:tr>
      <w:tr w:rsidR="00246E7C" w14:paraId="7EBCC38F"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276FB456" w14:textId="77777777" w:rsidR="00246E7C" w:rsidRPr="00713132" w:rsidRDefault="00246E7C" w:rsidP="00DB0E9F">
            <w:pPr>
              <w:rPr>
                <w:color w:val="auto"/>
              </w:rPr>
            </w:pPr>
            <w:r w:rsidRPr="00713132">
              <w:rPr>
                <w:color w:val="auto"/>
              </w:rPr>
              <w:t>AE</w:t>
            </w:r>
          </w:p>
        </w:tc>
        <w:tc>
          <w:tcPr>
            <w:tcW w:w="3987" w:type="pct"/>
            <w:gridSpan w:val="2"/>
            <w:tcBorders>
              <w:top w:val="single" w:sz="8" w:space="0" w:color="002C47"/>
              <w:left w:val="single" w:sz="8" w:space="0" w:color="002C47"/>
              <w:bottom w:val="single" w:sz="8" w:space="0" w:color="002C47"/>
              <w:right w:val="single" w:sz="8" w:space="0" w:color="002C47"/>
            </w:tcBorders>
          </w:tcPr>
          <w:p w14:paraId="0366183E" w14:textId="77777777" w:rsidR="00246E7C" w:rsidRPr="00713132" w:rsidRDefault="00246E7C" w:rsidP="00DB0E9F">
            <w:pPr>
              <w:rPr>
                <w:color w:val="auto"/>
              </w:rPr>
            </w:pPr>
            <w:r w:rsidRPr="00713132">
              <w:rPr>
                <w:color w:val="auto"/>
              </w:rPr>
              <w:t>Adverse event</w:t>
            </w:r>
          </w:p>
        </w:tc>
      </w:tr>
      <w:tr w:rsidR="00246E7C" w14:paraId="15045E2D"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2AA73844" w14:textId="77777777" w:rsidR="00246E7C" w:rsidRPr="00713132" w:rsidRDefault="00246E7C" w:rsidP="00DB0E9F">
            <w:pPr>
              <w:rPr>
                <w:color w:val="auto"/>
              </w:rPr>
            </w:pPr>
            <w:r w:rsidRPr="00713132">
              <w:rPr>
                <w:color w:val="auto"/>
              </w:rPr>
              <w:t>AGV</w:t>
            </w:r>
          </w:p>
        </w:tc>
        <w:tc>
          <w:tcPr>
            <w:tcW w:w="3987" w:type="pct"/>
            <w:gridSpan w:val="2"/>
            <w:tcBorders>
              <w:top w:val="single" w:sz="8" w:space="0" w:color="002C47"/>
              <w:left w:val="single" w:sz="8" w:space="0" w:color="002C47"/>
              <w:bottom w:val="single" w:sz="8" w:space="0" w:color="002C47"/>
              <w:right w:val="single" w:sz="8" w:space="0" w:color="002C47"/>
            </w:tcBorders>
          </w:tcPr>
          <w:p w14:paraId="6C265128" w14:textId="553FD415" w:rsidR="00246E7C" w:rsidRPr="00713132" w:rsidRDefault="00246E7C" w:rsidP="00DB0E9F">
            <w:pPr>
              <w:rPr>
                <w:color w:val="auto"/>
              </w:rPr>
            </w:pPr>
            <w:r w:rsidRPr="00713132">
              <w:rPr>
                <w:color w:val="auto"/>
              </w:rPr>
              <w:t>Annuali</w:t>
            </w:r>
            <w:r w:rsidR="00922563">
              <w:rPr>
                <w:color w:val="auto"/>
              </w:rPr>
              <w:t>s</w:t>
            </w:r>
            <w:r w:rsidRPr="00713132">
              <w:rPr>
                <w:color w:val="auto"/>
              </w:rPr>
              <w:t>ed growth velocity</w:t>
            </w:r>
          </w:p>
        </w:tc>
      </w:tr>
      <w:tr w:rsidR="00246E7C" w14:paraId="56FA555A"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639D9486" w14:textId="77777777" w:rsidR="00246E7C" w:rsidRPr="00456D04" w:rsidRDefault="00246E7C" w:rsidP="00DB0E9F">
            <w:pPr>
              <w:rPr>
                <w:color w:val="auto"/>
              </w:rPr>
            </w:pPr>
            <w:r w:rsidRPr="00456D04">
              <w:rPr>
                <w:color w:val="auto"/>
              </w:rPr>
              <w:t>ASA</w:t>
            </w:r>
          </w:p>
        </w:tc>
        <w:tc>
          <w:tcPr>
            <w:tcW w:w="3987" w:type="pct"/>
            <w:gridSpan w:val="2"/>
            <w:tcBorders>
              <w:top w:val="single" w:sz="8" w:space="0" w:color="002C47"/>
              <w:left w:val="single" w:sz="8" w:space="0" w:color="002C47"/>
              <w:bottom w:val="single" w:sz="8" w:space="0" w:color="002C47"/>
              <w:right w:val="single" w:sz="8" w:space="0" w:color="002C47"/>
            </w:tcBorders>
          </w:tcPr>
          <w:p w14:paraId="2F57D104" w14:textId="77777777" w:rsidR="00246E7C" w:rsidRPr="00456D04" w:rsidRDefault="00246E7C" w:rsidP="00DB0E9F">
            <w:pPr>
              <w:rPr>
                <w:color w:val="auto"/>
              </w:rPr>
            </w:pPr>
            <w:r w:rsidRPr="00456D04">
              <w:rPr>
                <w:color w:val="auto"/>
              </w:rPr>
              <w:t>Australia specific annex</w:t>
            </w:r>
          </w:p>
        </w:tc>
      </w:tr>
      <w:tr w:rsidR="00246E7C" w14:paraId="31A4C905"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4EA0450E" w14:textId="77777777" w:rsidR="00246E7C" w:rsidRPr="00456D04" w:rsidRDefault="00246E7C" w:rsidP="00DB0E9F">
            <w:pPr>
              <w:rPr>
                <w:color w:val="auto"/>
              </w:rPr>
            </w:pPr>
            <w:r w:rsidRPr="00456D04">
              <w:rPr>
                <w:color w:val="auto"/>
              </w:rPr>
              <w:t>cGMP</w:t>
            </w:r>
          </w:p>
        </w:tc>
        <w:tc>
          <w:tcPr>
            <w:tcW w:w="3987" w:type="pct"/>
            <w:gridSpan w:val="2"/>
            <w:tcBorders>
              <w:top w:val="single" w:sz="8" w:space="0" w:color="002C47"/>
              <w:left w:val="single" w:sz="8" w:space="0" w:color="002C47"/>
              <w:bottom w:val="single" w:sz="8" w:space="0" w:color="002C47"/>
              <w:right w:val="single" w:sz="8" w:space="0" w:color="002C47"/>
            </w:tcBorders>
          </w:tcPr>
          <w:p w14:paraId="75860618" w14:textId="77777777" w:rsidR="00246E7C" w:rsidRPr="00456D04" w:rsidRDefault="00246E7C" w:rsidP="00DB0E9F">
            <w:pPr>
              <w:rPr>
                <w:color w:val="auto"/>
              </w:rPr>
            </w:pPr>
            <w:r w:rsidRPr="00456D04">
              <w:rPr>
                <w:color w:val="auto"/>
              </w:rPr>
              <w:t>Cyclic guanosine monophosphate</w:t>
            </w:r>
          </w:p>
        </w:tc>
      </w:tr>
      <w:tr w:rsidR="00246E7C" w14:paraId="58F0ADC7"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19C099DD" w14:textId="77777777" w:rsidR="00246E7C" w:rsidRPr="00456D04" w:rsidRDefault="00246E7C" w:rsidP="00DB0E9F">
            <w:pPr>
              <w:rPr>
                <w:color w:val="auto"/>
              </w:rPr>
            </w:pPr>
            <w:r w:rsidRPr="00456D04">
              <w:rPr>
                <w:color w:val="auto"/>
              </w:rPr>
              <w:t xml:space="preserve">CI </w:t>
            </w:r>
          </w:p>
        </w:tc>
        <w:tc>
          <w:tcPr>
            <w:tcW w:w="3987" w:type="pct"/>
            <w:gridSpan w:val="2"/>
            <w:tcBorders>
              <w:top w:val="single" w:sz="8" w:space="0" w:color="002C47"/>
              <w:left w:val="single" w:sz="8" w:space="0" w:color="002C47"/>
              <w:bottom w:val="single" w:sz="8" w:space="0" w:color="002C47"/>
              <w:right w:val="single" w:sz="8" w:space="0" w:color="002C47"/>
            </w:tcBorders>
          </w:tcPr>
          <w:p w14:paraId="0CDB6CFC" w14:textId="77777777" w:rsidR="00246E7C" w:rsidRPr="00456D04" w:rsidRDefault="00246E7C" w:rsidP="00DB0E9F">
            <w:pPr>
              <w:rPr>
                <w:color w:val="auto"/>
              </w:rPr>
            </w:pPr>
            <w:r w:rsidRPr="00456D04">
              <w:rPr>
                <w:color w:val="auto"/>
              </w:rPr>
              <w:t>Confidence interval</w:t>
            </w:r>
          </w:p>
        </w:tc>
      </w:tr>
      <w:tr w:rsidR="00246E7C" w14:paraId="0DD17C87"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244787E8" w14:textId="77777777" w:rsidR="00246E7C" w:rsidRPr="00456D04" w:rsidRDefault="00246E7C" w:rsidP="00DB0E9F">
            <w:pPr>
              <w:rPr>
                <w:color w:val="auto"/>
              </w:rPr>
            </w:pPr>
            <w:r w:rsidRPr="00456D04">
              <w:rPr>
                <w:color w:val="auto"/>
              </w:rPr>
              <w:t>CMI</w:t>
            </w:r>
          </w:p>
        </w:tc>
        <w:tc>
          <w:tcPr>
            <w:tcW w:w="3987" w:type="pct"/>
            <w:gridSpan w:val="2"/>
            <w:tcBorders>
              <w:top w:val="single" w:sz="8" w:space="0" w:color="002C47"/>
              <w:left w:val="single" w:sz="8" w:space="0" w:color="002C47"/>
              <w:bottom w:val="single" w:sz="8" w:space="0" w:color="002C47"/>
              <w:right w:val="single" w:sz="8" w:space="0" w:color="002C47"/>
            </w:tcBorders>
          </w:tcPr>
          <w:p w14:paraId="6735963C" w14:textId="0C3AB129" w:rsidR="00246E7C" w:rsidRPr="00456D04" w:rsidRDefault="00246E7C" w:rsidP="00DB0E9F">
            <w:pPr>
              <w:rPr>
                <w:color w:val="auto"/>
              </w:rPr>
            </w:pPr>
            <w:r w:rsidRPr="00456D04">
              <w:rPr>
                <w:color w:val="auto"/>
              </w:rPr>
              <w:t xml:space="preserve">Consumer </w:t>
            </w:r>
            <w:r w:rsidR="00281F81">
              <w:rPr>
                <w:color w:val="auto"/>
              </w:rPr>
              <w:t>M</w:t>
            </w:r>
            <w:r w:rsidRPr="00456D04">
              <w:rPr>
                <w:color w:val="auto"/>
              </w:rPr>
              <w:t xml:space="preserve">edicine </w:t>
            </w:r>
            <w:r w:rsidR="00281F81">
              <w:rPr>
                <w:color w:val="auto"/>
              </w:rPr>
              <w:t>I</w:t>
            </w:r>
            <w:r w:rsidRPr="00456D04">
              <w:rPr>
                <w:color w:val="auto"/>
              </w:rPr>
              <w:t>nformation</w:t>
            </w:r>
          </w:p>
        </w:tc>
      </w:tr>
      <w:tr w:rsidR="00246E7C" w14:paraId="0F3AD906"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38A2FCC4" w14:textId="77777777" w:rsidR="00246E7C" w:rsidRPr="00456D04" w:rsidRDefault="00246E7C" w:rsidP="00DB0E9F">
            <w:pPr>
              <w:rPr>
                <w:color w:val="auto"/>
              </w:rPr>
            </w:pPr>
            <w:r w:rsidRPr="00456D04">
              <w:rPr>
                <w:color w:val="auto"/>
              </w:rPr>
              <w:t>CNP</w:t>
            </w:r>
          </w:p>
        </w:tc>
        <w:tc>
          <w:tcPr>
            <w:tcW w:w="3987" w:type="pct"/>
            <w:gridSpan w:val="2"/>
            <w:tcBorders>
              <w:top w:val="single" w:sz="8" w:space="0" w:color="002C47"/>
              <w:left w:val="single" w:sz="8" w:space="0" w:color="002C47"/>
              <w:bottom w:val="single" w:sz="8" w:space="0" w:color="002C47"/>
              <w:right w:val="single" w:sz="8" w:space="0" w:color="002C47"/>
            </w:tcBorders>
          </w:tcPr>
          <w:p w14:paraId="5FC7CE1B" w14:textId="77777777" w:rsidR="00246E7C" w:rsidRPr="00456D04" w:rsidRDefault="00246E7C" w:rsidP="00DB0E9F">
            <w:pPr>
              <w:rPr>
                <w:color w:val="auto"/>
              </w:rPr>
            </w:pPr>
            <w:r w:rsidRPr="00456D04">
              <w:rPr>
                <w:color w:val="auto"/>
              </w:rPr>
              <w:t>C-type natriuretic peptide</w:t>
            </w:r>
          </w:p>
        </w:tc>
      </w:tr>
      <w:tr w:rsidR="00AF3E92" w14:paraId="10E1E92E"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21F1BB05" w14:textId="4DF00C53" w:rsidR="00AF3E92" w:rsidRPr="00456D04" w:rsidRDefault="00AF3E92" w:rsidP="00DB0E9F">
            <w:r>
              <w:t>EMA</w:t>
            </w:r>
          </w:p>
        </w:tc>
        <w:tc>
          <w:tcPr>
            <w:tcW w:w="3987" w:type="pct"/>
            <w:gridSpan w:val="2"/>
            <w:tcBorders>
              <w:top w:val="single" w:sz="8" w:space="0" w:color="002C47"/>
              <w:left w:val="single" w:sz="8" w:space="0" w:color="002C47"/>
              <w:bottom w:val="single" w:sz="8" w:space="0" w:color="002C47"/>
              <w:right w:val="single" w:sz="8" w:space="0" w:color="002C47"/>
            </w:tcBorders>
          </w:tcPr>
          <w:p w14:paraId="51A06224" w14:textId="2B4F9D0A" w:rsidR="00AF3E92" w:rsidRPr="00456D04" w:rsidRDefault="00AF3E92" w:rsidP="00DB0E9F">
            <w:r>
              <w:t>European Medicines Agency (European Union)</w:t>
            </w:r>
          </w:p>
        </w:tc>
      </w:tr>
      <w:tr w:rsidR="00246E7C" w14:paraId="1E0A7802"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2ED113DE" w14:textId="77777777" w:rsidR="00246E7C" w:rsidRPr="00456D04" w:rsidRDefault="00246E7C" w:rsidP="00DB0E9F">
            <w:pPr>
              <w:rPr>
                <w:color w:val="auto"/>
              </w:rPr>
            </w:pPr>
            <w:r w:rsidRPr="00456D04">
              <w:rPr>
                <w:color w:val="auto"/>
              </w:rPr>
              <w:t>EU</w:t>
            </w:r>
          </w:p>
        </w:tc>
        <w:tc>
          <w:tcPr>
            <w:tcW w:w="3987" w:type="pct"/>
            <w:gridSpan w:val="2"/>
            <w:tcBorders>
              <w:top w:val="single" w:sz="8" w:space="0" w:color="002C47"/>
              <w:left w:val="single" w:sz="8" w:space="0" w:color="002C47"/>
              <w:bottom w:val="single" w:sz="8" w:space="0" w:color="002C47"/>
              <w:right w:val="single" w:sz="8" w:space="0" w:color="002C47"/>
            </w:tcBorders>
          </w:tcPr>
          <w:p w14:paraId="25F40903" w14:textId="77777777" w:rsidR="00246E7C" w:rsidRPr="00456D04" w:rsidRDefault="00246E7C" w:rsidP="00DB0E9F">
            <w:pPr>
              <w:rPr>
                <w:color w:val="auto"/>
              </w:rPr>
            </w:pPr>
            <w:r w:rsidRPr="00456D04">
              <w:rPr>
                <w:color w:val="auto"/>
              </w:rPr>
              <w:t>European Union</w:t>
            </w:r>
          </w:p>
        </w:tc>
      </w:tr>
      <w:tr w:rsidR="00246E7C" w14:paraId="28699F18"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12AA95E2" w14:textId="77777777" w:rsidR="00246E7C" w:rsidRPr="00456D04" w:rsidRDefault="00246E7C" w:rsidP="00DB0E9F">
            <w:pPr>
              <w:rPr>
                <w:color w:val="auto"/>
              </w:rPr>
            </w:pPr>
            <w:r w:rsidRPr="00456D04">
              <w:rPr>
                <w:color w:val="auto"/>
              </w:rPr>
              <w:t>FGFR3</w:t>
            </w:r>
          </w:p>
        </w:tc>
        <w:tc>
          <w:tcPr>
            <w:tcW w:w="3987" w:type="pct"/>
            <w:gridSpan w:val="2"/>
            <w:tcBorders>
              <w:top w:val="single" w:sz="8" w:space="0" w:color="002C47"/>
              <w:left w:val="single" w:sz="8" w:space="0" w:color="002C47"/>
              <w:bottom w:val="single" w:sz="8" w:space="0" w:color="002C47"/>
              <w:right w:val="single" w:sz="8" w:space="0" w:color="002C47"/>
            </w:tcBorders>
          </w:tcPr>
          <w:p w14:paraId="3544B893" w14:textId="7EAF36D8" w:rsidR="00246E7C" w:rsidRPr="00456D04" w:rsidRDefault="00246E7C" w:rsidP="00DB0E9F">
            <w:pPr>
              <w:rPr>
                <w:color w:val="auto"/>
              </w:rPr>
            </w:pPr>
            <w:r w:rsidRPr="00456D04">
              <w:rPr>
                <w:color w:val="auto"/>
              </w:rPr>
              <w:t xml:space="preserve">Fibroblast </w:t>
            </w:r>
            <w:r w:rsidR="00922563">
              <w:rPr>
                <w:color w:val="auto"/>
              </w:rPr>
              <w:t>g</w:t>
            </w:r>
            <w:r w:rsidRPr="00456D04">
              <w:rPr>
                <w:color w:val="auto"/>
              </w:rPr>
              <w:t xml:space="preserve">rowth </w:t>
            </w:r>
            <w:r w:rsidR="00922563">
              <w:rPr>
                <w:color w:val="auto"/>
              </w:rPr>
              <w:t>f</w:t>
            </w:r>
            <w:r w:rsidRPr="00456D04">
              <w:rPr>
                <w:color w:val="auto"/>
              </w:rPr>
              <w:t xml:space="preserve">actor </w:t>
            </w:r>
            <w:r w:rsidR="00922563">
              <w:rPr>
                <w:color w:val="auto"/>
              </w:rPr>
              <w:t>r</w:t>
            </w:r>
            <w:r w:rsidRPr="00456D04">
              <w:rPr>
                <w:color w:val="auto"/>
              </w:rPr>
              <w:t>eceptor 3</w:t>
            </w:r>
          </w:p>
        </w:tc>
      </w:tr>
      <w:tr w:rsidR="00246E7C" w14:paraId="5006F30C"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77091E54" w14:textId="77777777" w:rsidR="00246E7C" w:rsidRPr="00456D04" w:rsidRDefault="00246E7C" w:rsidP="00DB0E9F">
            <w:pPr>
              <w:rPr>
                <w:color w:val="auto"/>
              </w:rPr>
            </w:pPr>
            <w:r w:rsidRPr="00456D04">
              <w:rPr>
                <w:color w:val="auto"/>
              </w:rPr>
              <w:t xml:space="preserve">ISR </w:t>
            </w:r>
          </w:p>
        </w:tc>
        <w:tc>
          <w:tcPr>
            <w:tcW w:w="3987" w:type="pct"/>
            <w:gridSpan w:val="2"/>
            <w:tcBorders>
              <w:top w:val="single" w:sz="8" w:space="0" w:color="002C47"/>
              <w:left w:val="single" w:sz="8" w:space="0" w:color="002C47"/>
              <w:bottom w:val="single" w:sz="8" w:space="0" w:color="002C47"/>
              <w:right w:val="single" w:sz="8" w:space="0" w:color="002C47"/>
            </w:tcBorders>
          </w:tcPr>
          <w:p w14:paraId="33DD68B7" w14:textId="77777777" w:rsidR="00246E7C" w:rsidRPr="00456D04" w:rsidRDefault="00246E7C" w:rsidP="00DB0E9F">
            <w:pPr>
              <w:rPr>
                <w:color w:val="auto"/>
              </w:rPr>
            </w:pPr>
            <w:r w:rsidRPr="00456D04">
              <w:rPr>
                <w:color w:val="auto"/>
              </w:rPr>
              <w:t>Injection site reaction</w:t>
            </w:r>
          </w:p>
        </w:tc>
      </w:tr>
      <w:tr w:rsidR="00246E7C" w14:paraId="5E948965"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35A6E089" w14:textId="77777777" w:rsidR="00246E7C" w:rsidRPr="00456D04" w:rsidRDefault="00246E7C" w:rsidP="00DB0E9F">
            <w:r w:rsidRPr="00456D04">
              <w:t>LS</w:t>
            </w:r>
          </w:p>
        </w:tc>
        <w:tc>
          <w:tcPr>
            <w:tcW w:w="3987" w:type="pct"/>
            <w:gridSpan w:val="2"/>
            <w:tcBorders>
              <w:top w:val="single" w:sz="8" w:space="0" w:color="002C47"/>
              <w:left w:val="single" w:sz="8" w:space="0" w:color="002C47"/>
              <w:bottom w:val="single" w:sz="8" w:space="0" w:color="002C47"/>
              <w:right w:val="single" w:sz="8" w:space="0" w:color="002C47"/>
            </w:tcBorders>
          </w:tcPr>
          <w:p w14:paraId="5E00C50E" w14:textId="16FDA7D7" w:rsidR="00246E7C" w:rsidRPr="00DE43A4" w:rsidRDefault="00246E7C" w:rsidP="00DB0E9F">
            <w:pPr>
              <w:rPr>
                <w:color w:val="auto"/>
              </w:rPr>
            </w:pPr>
            <w:r w:rsidRPr="00456D04">
              <w:rPr>
                <w:color w:val="auto"/>
              </w:rPr>
              <w:t>Least square</w:t>
            </w:r>
            <w:r w:rsidR="00DB0E9F">
              <w:rPr>
                <w:color w:val="auto"/>
              </w:rPr>
              <w:t>s</w:t>
            </w:r>
          </w:p>
        </w:tc>
      </w:tr>
      <w:tr w:rsidR="00246E7C" w14:paraId="7F3ED607"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0367C355" w14:textId="77777777" w:rsidR="00246E7C" w:rsidRPr="00456D04" w:rsidRDefault="00246E7C" w:rsidP="00DB0E9F">
            <w:pPr>
              <w:rPr>
                <w:color w:val="auto"/>
              </w:rPr>
            </w:pPr>
            <w:r w:rsidRPr="00456D04">
              <w:rPr>
                <w:color w:val="auto"/>
              </w:rPr>
              <w:t>NAb</w:t>
            </w:r>
          </w:p>
        </w:tc>
        <w:tc>
          <w:tcPr>
            <w:tcW w:w="3987" w:type="pct"/>
            <w:gridSpan w:val="2"/>
            <w:tcBorders>
              <w:top w:val="single" w:sz="8" w:space="0" w:color="002C47"/>
              <w:left w:val="single" w:sz="8" w:space="0" w:color="002C47"/>
              <w:bottom w:val="single" w:sz="8" w:space="0" w:color="002C47"/>
              <w:right w:val="single" w:sz="8" w:space="0" w:color="002C47"/>
            </w:tcBorders>
          </w:tcPr>
          <w:p w14:paraId="3EBD4CFA" w14:textId="1C1CB142" w:rsidR="00246E7C" w:rsidRPr="00456D04" w:rsidRDefault="00246E7C" w:rsidP="00DB0E9F">
            <w:pPr>
              <w:rPr>
                <w:color w:val="auto"/>
              </w:rPr>
            </w:pPr>
            <w:r w:rsidRPr="00456D04">
              <w:rPr>
                <w:color w:val="auto"/>
              </w:rPr>
              <w:t>Neutralising antibod</w:t>
            </w:r>
            <w:r w:rsidR="00DB0E9F">
              <w:rPr>
                <w:color w:val="auto"/>
              </w:rPr>
              <w:t>y</w:t>
            </w:r>
          </w:p>
        </w:tc>
      </w:tr>
      <w:tr w:rsidR="00246E7C" w14:paraId="032099E4"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43CD7262" w14:textId="77777777" w:rsidR="00246E7C" w:rsidRPr="00713132" w:rsidRDefault="00246E7C" w:rsidP="00DB0E9F">
            <w:pPr>
              <w:rPr>
                <w:highlight w:val="yellow"/>
              </w:rPr>
            </w:pPr>
            <w:r w:rsidRPr="00871F07">
              <w:t>PD</w:t>
            </w:r>
          </w:p>
        </w:tc>
        <w:tc>
          <w:tcPr>
            <w:tcW w:w="3987" w:type="pct"/>
            <w:gridSpan w:val="2"/>
            <w:tcBorders>
              <w:top w:val="single" w:sz="8" w:space="0" w:color="002C47"/>
              <w:left w:val="single" w:sz="8" w:space="0" w:color="002C47"/>
              <w:bottom w:val="single" w:sz="8" w:space="0" w:color="002C47"/>
              <w:right w:val="single" w:sz="8" w:space="0" w:color="002C47"/>
            </w:tcBorders>
          </w:tcPr>
          <w:p w14:paraId="3BA9FB75" w14:textId="56C8C724" w:rsidR="00246E7C" w:rsidRPr="00713132" w:rsidRDefault="00246E7C" w:rsidP="00DB0E9F">
            <w:pPr>
              <w:rPr>
                <w:highlight w:val="yellow"/>
              </w:rPr>
            </w:pPr>
            <w:r>
              <w:t>P</w:t>
            </w:r>
            <w:r w:rsidRPr="00871F07">
              <w:t>harmacodynamic</w:t>
            </w:r>
            <w:r w:rsidR="00922563">
              <w:t>(</w:t>
            </w:r>
            <w:r>
              <w:t>s</w:t>
            </w:r>
            <w:r w:rsidR="00922563">
              <w:t>)</w:t>
            </w:r>
          </w:p>
        </w:tc>
      </w:tr>
      <w:tr w:rsidR="00246E7C" w14:paraId="3AE0A070"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14BC5FE7" w14:textId="77777777" w:rsidR="00246E7C" w:rsidRPr="00456D04" w:rsidRDefault="00246E7C" w:rsidP="00DB0E9F">
            <w:pPr>
              <w:rPr>
                <w:rStyle w:val="CommentReference"/>
                <w:color w:val="auto"/>
              </w:rPr>
            </w:pPr>
            <w:r w:rsidRPr="00456D04">
              <w:rPr>
                <w:color w:val="auto"/>
              </w:rP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19B7CA82" w14:textId="77777777" w:rsidR="00246E7C" w:rsidRPr="00456D04" w:rsidRDefault="00246E7C" w:rsidP="00DB0E9F">
            <w:pPr>
              <w:rPr>
                <w:color w:val="auto"/>
              </w:rPr>
            </w:pPr>
            <w:r w:rsidRPr="00456D04">
              <w:rPr>
                <w:color w:val="auto"/>
              </w:rPr>
              <w:t>Product information</w:t>
            </w:r>
          </w:p>
        </w:tc>
      </w:tr>
      <w:tr w:rsidR="00246E7C" w14:paraId="569279B2"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5677BFE7" w14:textId="3B9475DF" w:rsidR="00246E7C" w:rsidRPr="00456D04" w:rsidRDefault="00246E7C" w:rsidP="00DB0E9F">
            <w:pPr>
              <w:rPr>
                <w:color w:val="auto"/>
              </w:rPr>
            </w:pPr>
            <w:r w:rsidRPr="00456D04">
              <w:rPr>
                <w:color w:val="auto"/>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4B09EB3E" w14:textId="42AB2AC4" w:rsidR="00246E7C" w:rsidRPr="00456D04" w:rsidRDefault="00246E7C" w:rsidP="00DB0E9F">
            <w:pPr>
              <w:rPr>
                <w:color w:val="auto"/>
              </w:rPr>
            </w:pPr>
            <w:r w:rsidRPr="00456D04">
              <w:rPr>
                <w:color w:val="auto"/>
              </w:rPr>
              <w:t>Pharmacokinetic</w:t>
            </w:r>
            <w:r w:rsidR="00922563">
              <w:rPr>
                <w:color w:val="auto"/>
              </w:rPr>
              <w:t>(</w:t>
            </w:r>
            <w:r w:rsidRPr="00456D04">
              <w:rPr>
                <w:color w:val="auto"/>
              </w:rPr>
              <w:t>s</w:t>
            </w:r>
            <w:r w:rsidR="00922563">
              <w:rPr>
                <w:color w:val="auto"/>
              </w:rPr>
              <w:t>)</w:t>
            </w:r>
          </w:p>
        </w:tc>
      </w:tr>
      <w:tr w:rsidR="00246E7C" w14:paraId="75DD0A42"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4C538924" w14:textId="77777777" w:rsidR="00246E7C" w:rsidRPr="00871F07" w:rsidRDefault="00246E7C" w:rsidP="00DB0E9F">
            <w:pPr>
              <w:rPr>
                <w:color w:val="auto"/>
              </w:rPr>
            </w:pPr>
            <w:r w:rsidRPr="00871F07">
              <w:rPr>
                <w:color w:val="auto"/>
              </w:rPr>
              <w:t>PSUR</w:t>
            </w:r>
          </w:p>
        </w:tc>
        <w:tc>
          <w:tcPr>
            <w:tcW w:w="3987" w:type="pct"/>
            <w:gridSpan w:val="2"/>
            <w:tcBorders>
              <w:top w:val="single" w:sz="8" w:space="0" w:color="002C47"/>
              <w:left w:val="single" w:sz="8" w:space="0" w:color="002C47"/>
              <w:bottom w:val="single" w:sz="8" w:space="0" w:color="002C47"/>
              <w:right w:val="single" w:sz="8" w:space="0" w:color="002C47"/>
            </w:tcBorders>
          </w:tcPr>
          <w:p w14:paraId="3BC0FE00" w14:textId="13C8F5C4" w:rsidR="00246E7C" w:rsidRPr="00871F07" w:rsidRDefault="00246E7C" w:rsidP="00DB0E9F">
            <w:pPr>
              <w:rPr>
                <w:color w:val="auto"/>
              </w:rPr>
            </w:pPr>
            <w:r w:rsidRPr="00871F07">
              <w:rPr>
                <w:color w:val="auto"/>
              </w:rPr>
              <w:t>Periodic safety update report</w:t>
            </w:r>
          </w:p>
        </w:tc>
      </w:tr>
      <w:tr w:rsidR="00246E7C" w14:paraId="00BF5826"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3BDF7206" w14:textId="77777777" w:rsidR="00246E7C" w:rsidRPr="005148DD" w:rsidRDefault="00246E7C" w:rsidP="00DB0E9F">
            <w:pPr>
              <w:rPr>
                <w:color w:val="auto"/>
              </w:rPr>
            </w:pPr>
            <w:r w:rsidRPr="005148DD">
              <w:rPr>
                <w:color w:val="auto"/>
              </w:rPr>
              <w:t>RCT</w:t>
            </w:r>
          </w:p>
        </w:tc>
        <w:tc>
          <w:tcPr>
            <w:tcW w:w="3987" w:type="pct"/>
            <w:gridSpan w:val="2"/>
            <w:tcBorders>
              <w:top w:val="single" w:sz="8" w:space="0" w:color="002C47"/>
              <w:left w:val="single" w:sz="8" w:space="0" w:color="002C47"/>
              <w:bottom w:val="single" w:sz="8" w:space="0" w:color="002C47"/>
              <w:right w:val="single" w:sz="8" w:space="0" w:color="002C47"/>
            </w:tcBorders>
          </w:tcPr>
          <w:p w14:paraId="06262753" w14:textId="77777777" w:rsidR="00246E7C" w:rsidRPr="005148DD" w:rsidRDefault="00246E7C" w:rsidP="00DB0E9F">
            <w:pPr>
              <w:rPr>
                <w:color w:val="auto"/>
              </w:rPr>
            </w:pPr>
            <w:r w:rsidRPr="005148DD">
              <w:rPr>
                <w:color w:val="auto"/>
              </w:rPr>
              <w:t>Randomised controlled trial</w:t>
            </w:r>
          </w:p>
        </w:tc>
      </w:tr>
      <w:tr w:rsidR="00246E7C" w14:paraId="4CE661F6"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47A557BC" w14:textId="77777777" w:rsidR="00246E7C" w:rsidRPr="00456D04" w:rsidRDefault="00246E7C" w:rsidP="00DB0E9F">
            <w:pPr>
              <w:rPr>
                <w:color w:val="auto"/>
              </w:rPr>
            </w:pPr>
            <w:r w:rsidRPr="00456D04">
              <w:rPr>
                <w:color w:val="auto"/>
              </w:rPr>
              <w:t>RMP</w:t>
            </w:r>
          </w:p>
        </w:tc>
        <w:tc>
          <w:tcPr>
            <w:tcW w:w="3987" w:type="pct"/>
            <w:gridSpan w:val="2"/>
            <w:tcBorders>
              <w:top w:val="single" w:sz="8" w:space="0" w:color="002C47"/>
              <w:left w:val="single" w:sz="8" w:space="0" w:color="002C47"/>
              <w:bottom w:val="single" w:sz="8" w:space="0" w:color="002C47"/>
              <w:right w:val="single" w:sz="8" w:space="0" w:color="002C47"/>
            </w:tcBorders>
          </w:tcPr>
          <w:p w14:paraId="2D23AE67" w14:textId="77777777" w:rsidR="00246E7C" w:rsidRPr="00456D04" w:rsidRDefault="00246E7C" w:rsidP="00DB0E9F">
            <w:pPr>
              <w:rPr>
                <w:color w:val="auto"/>
              </w:rPr>
            </w:pPr>
            <w:r w:rsidRPr="00456D04">
              <w:rPr>
                <w:color w:val="auto"/>
              </w:rPr>
              <w:t>Risk management plan</w:t>
            </w:r>
          </w:p>
        </w:tc>
      </w:tr>
      <w:tr w:rsidR="00246E7C" w14:paraId="5BF0C89B"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3D48EB37" w14:textId="77777777" w:rsidR="00246E7C" w:rsidRPr="005148DD" w:rsidRDefault="00246E7C" w:rsidP="00DB0E9F">
            <w:pPr>
              <w:rPr>
                <w:color w:val="auto"/>
              </w:rPr>
            </w:pPr>
            <w:r w:rsidRPr="005148DD">
              <w:rPr>
                <w:color w:val="auto"/>
              </w:rPr>
              <w:t xml:space="preserve">SAE </w:t>
            </w:r>
          </w:p>
        </w:tc>
        <w:tc>
          <w:tcPr>
            <w:tcW w:w="3987" w:type="pct"/>
            <w:gridSpan w:val="2"/>
            <w:tcBorders>
              <w:top w:val="single" w:sz="8" w:space="0" w:color="002C47"/>
              <w:left w:val="single" w:sz="8" w:space="0" w:color="002C47"/>
              <w:bottom w:val="single" w:sz="8" w:space="0" w:color="002C47"/>
              <w:right w:val="single" w:sz="8" w:space="0" w:color="002C47"/>
            </w:tcBorders>
          </w:tcPr>
          <w:p w14:paraId="31747672" w14:textId="77777777" w:rsidR="00246E7C" w:rsidRPr="005148DD" w:rsidRDefault="00246E7C" w:rsidP="00DB0E9F">
            <w:pPr>
              <w:rPr>
                <w:color w:val="auto"/>
              </w:rPr>
            </w:pPr>
            <w:r w:rsidRPr="005148DD">
              <w:rPr>
                <w:color w:val="auto"/>
              </w:rPr>
              <w:t>Serious adverse event</w:t>
            </w:r>
          </w:p>
        </w:tc>
      </w:tr>
      <w:tr w:rsidR="00956FEE" w14:paraId="63EB9DB8"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3D247168" w14:textId="328AE85C" w:rsidR="00956FEE" w:rsidRPr="005148DD" w:rsidRDefault="00956FEE" w:rsidP="00DB0E9F">
            <w:r>
              <w:t>SD</w:t>
            </w:r>
          </w:p>
        </w:tc>
        <w:tc>
          <w:tcPr>
            <w:tcW w:w="3987" w:type="pct"/>
            <w:gridSpan w:val="2"/>
            <w:tcBorders>
              <w:top w:val="single" w:sz="8" w:space="0" w:color="002C47"/>
              <w:left w:val="single" w:sz="8" w:space="0" w:color="002C47"/>
              <w:bottom w:val="single" w:sz="8" w:space="0" w:color="002C47"/>
              <w:right w:val="single" w:sz="8" w:space="0" w:color="002C47"/>
            </w:tcBorders>
          </w:tcPr>
          <w:p w14:paraId="3A1F7581" w14:textId="6CEE34B4" w:rsidR="00956FEE" w:rsidRPr="005148DD" w:rsidRDefault="00956FEE" w:rsidP="00DB0E9F">
            <w:r>
              <w:t>Standard deviation</w:t>
            </w:r>
          </w:p>
        </w:tc>
      </w:tr>
      <w:tr w:rsidR="00246E7C" w14:paraId="2E53994D"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3F4CD04E" w14:textId="77777777" w:rsidR="00246E7C" w:rsidRPr="005148DD" w:rsidRDefault="00246E7C" w:rsidP="00DB0E9F">
            <w:pPr>
              <w:rPr>
                <w:color w:val="auto"/>
              </w:rPr>
            </w:pPr>
            <w:r w:rsidRPr="005148DD">
              <w:rPr>
                <w:color w:val="auto"/>
              </w:rPr>
              <w:t>SDS</w:t>
            </w:r>
          </w:p>
        </w:tc>
        <w:tc>
          <w:tcPr>
            <w:tcW w:w="3987" w:type="pct"/>
            <w:gridSpan w:val="2"/>
            <w:tcBorders>
              <w:top w:val="single" w:sz="8" w:space="0" w:color="002C47"/>
              <w:left w:val="single" w:sz="8" w:space="0" w:color="002C47"/>
              <w:bottom w:val="single" w:sz="8" w:space="0" w:color="002C47"/>
              <w:right w:val="single" w:sz="8" w:space="0" w:color="002C47"/>
            </w:tcBorders>
          </w:tcPr>
          <w:p w14:paraId="00E00CB1" w14:textId="77777777" w:rsidR="00246E7C" w:rsidRPr="005148DD" w:rsidRDefault="00246E7C" w:rsidP="00DB0E9F">
            <w:pPr>
              <w:rPr>
                <w:color w:val="auto"/>
              </w:rPr>
            </w:pPr>
            <w:r w:rsidRPr="005148DD">
              <w:rPr>
                <w:color w:val="auto"/>
              </w:rPr>
              <w:t>Standard deviation score</w:t>
            </w:r>
          </w:p>
        </w:tc>
      </w:tr>
      <w:tr w:rsidR="00246E7C" w14:paraId="6E939620"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582CDEE3" w14:textId="795F4972" w:rsidR="00246E7C" w:rsidRPr="005148DD" w:rsidRDefault="008A0543" w:rsidP="008A0543">
            <w:pPr>
              <w:rPr>
                <w:color w:val="auto"/>
              </w:rPr>
            </w:pPr>
            <w:r>
              <w:rPr>
                <w:color w:val="auto"/>
              </w:rPr>
              <w:t>t</w:t>
            </w:r>
            <w:r w:rsidRPr="008A0543">
              <w:rPr>
                <w:color w:val="auto"/>
                <w:vertAlign w:val="subscript"/>
              </w:rPr>
              <w:t>1/2</w:t>
            </w:r>
            <w:r w:rsidR="00246E7C" w:rsidRPr="005148DD">
              <w:rPr>
                <w:color w:val="auto"/>
              </w:rPr>
              <w:t xml:space="preserve"> </w:t>
            </w:r>
          </w:p>
        </w:tc>
        <w:tc>
          <w:tcPr>
            <w:tcW w:w="3987" w:type="pct"/>
            <w:gridSpan w:val="2"/>
            <w:tcBorders>
              <w:top w:val="single" w:sz="8" w:space="0" w:color="002C47"/>
              <w:left w:val="single" w:sz="8" w:space="0" w:color="002C47"/>
              <w:bottom w:val="single" w:sz="8" w:space="0" w:color="002C47"/>
              <w:right w:val="single" w:sz="8" w:space="0" w:color="002C47"/>
            </w:tcBorders>
          </w:tcPr>
          <w:p w14:paraId="4C6F8D7B" w14:textId="77777777" w:rsidR="00246E7C" w:rsidRPr="005148DD" w:rsidRDefault="00246E7C" w:rsidP="00DB0E9F">
            <w:pPr>
              <w:rPr>
                <w:color w:val="auto"/>
              </w:rPr>
            </w:pPr>
            <w:r w:rsidRPr="005148DD">
              <w:rPr>
                <w:color w:val="auto"/>
              </w:rPr>
              <w:t>Half-life</w:t>
            </w:r>
          </w:p>
        </w:tc>
      </w:tr>
      <w:tr w:rsidR="00246E7C" w14:paraId="50AE7AD9"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2EF33FCA" w14:textId="77777777" w:rsidR="00246E7C" w:rsidRPr="00456D04" w:rsidRDefault="00246E7C" w:rsidP="00DB0E9F">
            <w:pPr>
              <w:rPr>
                <w:color w:val="auto"/>
              </w:rPr>
            </w:pPr>
            <w:r w:rsidRPr="00456D04">
              <w:rPr>
                <w:color w:val="auto"/>
              </w:rPr>
              <w:t>TGA</w:t>
            </w:r>
          </w:p>
        </w:tc>
        <w:tc>
          <w:tcPr>
            <w:tcW w:w="3987" w:type="pct"/>
            <w:gridSpan w:val="2"/>
            <w:tcBorders>
              <w:top w:val="single" w:sz="8" w:space="0" w:color="002C47"/>
              <w:left w:val="single" w:sz="8" w:space="0" w:color="002C47"/>
              <w:bottom w:val="single" w:sz="8" w:space="0" w:color="002C47"/>
              <w:right w:val="single" w:sz="8" w:space="0" w:color="002C47"/>
            </w:tcBorders>
          </w:tcPr>
          <w:p w14:paraId="44E2ED18" w14:textId="77777777" w:rsidR="00246E7C" w:rsidRPr="00456D04" w:rsidRDefault="00246E7C" w:rsidP="00DB0E9F">
            <w:pPr>
              <w:rPr>
                <w:color w:val="auto"/>
              </w:rPr>
            </w:pPr>
            <w:r w:rsidRPr="00456D04">
              <w:rPr>
                <w:color w:val="auto"/>
              </w:rPr>
              <w:t>Therapeutic Goods Administration</w:t>
            </w:r>
          </w:p>
        </w:tc>
      </w:tr>
      <w:tr w:rsidR="00B17B74" w14:paraId="48A78B82" w14:textId="77777777" w:rsidTr="00DB0E9F">
        <w:trPr>
          <w:cantSplit/>
        </w:trPr>
        <w:tc>
          <w:tcPr>
            <w:tcW w:w="1013" w:type="pct"/>
            <w:tcBorders>
              <w:top w:val="single" w:sz="8" w:space="0" w:color="002C47"/>
              <w:left w:val="single" w:sz="8" w:space="0" w:color="002C47"/>
              <w:bottom w:val="single" w:sz="8" w:space="0" w:color="002C47"/>
              <w:right w:val="single" w:sz="8" w:space="0" w:color="002C47"/>
            </w:tcBorders>
          </w:tcPr>
          <w:p w14:paraId="69DCDF53" w14:textId="5BC575F9" w:rsidR="00B17B74" w:rsidRPr="00456D04" w:rsidRDefault="00B17B74" w:rsidP="00DB0E9F">
            <w:r>
              <w:lastRenderedPageBreak/>
              <w:t>QoL</w:t>
            </w:r>
          </w:p>
        </w:tc>
        <w:tc>
          <w:tcPr>
            <w:tcW w:w="3987" w:type="pct"/>
            <w:gridSpan w:val="2"/>
            <w:tcBorders>
              <w:top w:val="single" w:sz="8" w:space="0" w:color="002C47"/>
              <w:left w:val="single" w:sz="8" w:space="0" w:color="002C47"/>
              <w:bottom w:val="single" w:sz="8" w:space="0" w:color="002C47"/>
              <w:right w:val="single" w:sz="8" w:space="0" w:color="002C47"/>
            </w:tcBorders>
          </w:tcPr>
          <w:p w14:paraId="59706A36" w14:textId="63021EB2" w:rsidR="00B17B74" w:rsidRPr="00456D04" w:rsidRDefault="00B17B74" w:rsidP="00DB0E9F">
            <w:r>
              <w:t>Quality of life</w:t>
            </w:r>
          </w:p>
        </w:tc>
      </w:tr>
    </w:tbl>
    <w:p w14:paraId="267D1417" w14:textId="77777777" w:rsidR="00FD119B" w:rsidRPr="00FD119B" w:rsidRDefault="00FD119B" w:rsidP="00FD119B">
      <w:pPr>
        <w:spacing w:before="0" w:after="200" w:line="0" w:lineRule="auto"/>
        <w:rPr>
          <w:b/>
          <w:i/>
          <w:sz w:val="24"/>
          <w:szCs w:val="24"/>
        </w:rPr>
      </w:pPr>
      <w:r w:rsidRPr="00FD119B">
        <w:rPr>
          <w:b/>
          <w:i/>
          <w:sz w:val="24"/>
          <w:szCs w:val="24"/>
        </w:rPr>
        <w:br w:type="page"/>
      </w:r>
    </w:p>
    <w:p w14:paraId="345E285C" w14:textId="77777777" w:rsidR="008E7846" w:rsidRDefault="009F2673" w:rsidP="008E7846">
      <w:pPr>
        <w:pStyle w:val="Heading2"/>
      </w:pPr>
      <w:bookmarkStart w:id="5" w:name="_Toc126055186"/>
      <w:r>
        <w:lastRenderedPageBreak/>
        <w:t>Pr</w:t>
      </w:r>
      <w:r w:rsidR="008E7846">
        <w:t>oduct submission</w:t>
      </w:r>
      <w:bookmarkEnd w:id="5"/>
      <w:bookmarkEnd w:id="2"/>
      <w:bookmarkEnd w:id="0"/>
    </w:p>
    <w:p w14:paraId="60CA8241" w14:textId="77777777" w:rsidR="008E7846" w:rsidRDefault="008E7846" w:rsidP="009E5A87">
      <w:pPr>
        <w:pStyle w:val="Heading3"/>
        <w:rPr>
          <w:lang w:eastAsia="en-AU"/>
        </w:rPr>
      </w:pPr>
      <w:bookmarkStart w:id="6" w:name="_Toc247691502"/>
      <w:bookmarkStart w:id="7" w:name="_Toc314842483"/>
      <w:bookmarkStart w:id="8" w:name="_Toc126055187"/>
      <w:r>
        <w:rPr>
          <w:lang w:eastAsia="en-AU"/>
        </w:rPr>
        <w:t>Submission details</w:t>
      </w:r>
      <w:bookmarkEnd w:id="6"/>
      <w:bookmarkEnd w:id="7"/>
      <w:bookmarkEnd w:id="8"/>
    </w:p>
    <w:tbl>
      <w:tblPr>
        <w:tblW w:w="5000" w:type="pct"/>
        <w:tblLook w:val="01E0" w:firstRow="1" w:lastRow="1" w:firstColumn="1" w:lastColumn="1" w:noHBand="0" w:noVBand="0"/>
      </w:tblPr>
      <w:tblGrid>
        <w:gridCol w:w="2615"/>
        <w:gridCol w:w="5889"/>
      </w:tblGrid>
      <w:tr w:rsidR="009F2673" w:rsidRPr="003D1E62" w14:paraId="27FF78BC" w14:textId="77777777" w:rsidTr="00120F4C">
        <w:tc>
          <w:tcPr>
            <w:tcW w:w="1577" w:type="pct"/>
          </w:tcPr>
          <w:p w14:paraId="53F3D19A" w14:textId="77777777" w:rsidR="009F2673" w:rsidRPr="003D1E62" w:rsidRDefault="009F2673" w:rsidP="009E5A87">
            <w:pPr>
              <w:rPr>
                <w:i/>
              </w:rPr>
            </w:pPr>
            <w:r>
              <w:rPr>
                <w:i/>
              </w:rPr>
              <w:t>Type of s</w:t>
            </w:r>
            <w:r w:rsidRPr="003D1E62">
              <w:rPr>
                <w:i/>
              </w:rPr>
              <w:t>ubmission</w:t>
            </w:r>
            <w:r>
              <w:rPr>
                <w:i/>
              </w:rPr>
              <w:t>:</w:t>
            </w:r>
          </w:p>
        </w:tc>
        <w:tc>
          <w:tcPr>
            <w:tcW w:w="3423" w:type="pct"/>
          </w:tcPr>
          <w:p w14:paraId="4BBCE08E" w14:textId="409A27E8" w:rsidR="009F2673" w:rsidRPr="003D1E62" w:rsidRDefault="009F2673" w:rsidP="009E5A87">
            <w:r w:rsidRPr="003D1E62">
              <w:t xml:space="preserve">New </w:t>
            </w:r>
            <w:r w:rsidR="00F07B4E">
              <w:t>biological</w:t>
            </w:r>
            <w:r w:rsidRPr="003D1E62">
              <w:t xml:space="preserve"> </w:t>
            </w:r>
            <w:r>
              <w:t>e</w:t>
            </w:r>
            <w:r w:rsidRPr="003D1E62">
              <w:t>ntity</w:t>
            </w:r>
          </w:p>
        </w:tc>
      </w:tr>
      <w:tr w:rsidR="009F2673" w:rsidRPr="003D1E62" w14:paraId="058A9336" w14:textId="77777777" w:rsidTr="00120F4C">
        <w:tc>
          <w:tcPr>
            <w:tcW w:w="1577" w:type="pct"/>
          </w:tcPr>
          <w:p w14:paraId="0EC79346" w14:textId="39DA74A8" w:rsidR="009F2673" w:rsidRPr="003D1E62" w:rsidRDefault="009F2673" w:rsidP="009E5A87">
            <w:pPr>
              <w:rPr>
                <w:i/>
              </w:rPr>
            </w:pPr>
            <w:r w:rsidRPr="00460036">
              <w:rPr>
                <w:i/>
              </w:rPr>
              <w:t>Product name:</w:t>
            </w:r>
          </w:p>
        </w:tc>
        <w:tc>
          <w:tcPr>
            <w:tcW w:w="3423" w:type="pct"/>
          </w:tcPr>
          <w:p w14:paraId="1969A924" w14:textId="63125515" w:rsidR="009F2673" w:rsidRPr="003D1E62" w:rsidRDefault="006C3A2A" w:rsidP="009A3BDC">
            <w:pPr>
              <w:tabs>
                <w:tab w:val="left" w:pos="1635"/>
              </w:tabs>
            </w:pPr>
            <w:r>
              <w:t>Voxzogo</w:t>
            </w:r>
          </w:p>
        </w:tc>
      </w:tr>
      <w:tr w:rsidR="009F2673" w:rsidRPr="003D1E62" w14:paraId="012929FA" w14:textId="77777777" w:rsidTr="00120F4C">
        <w:tc>
          <w:tcPr>
            <w:tcW w:w="1577" w:type="pct"/>
          </w:tcPr>
          <w:p w14:paraId="303E3CE2" w14:textId="22DBA244" w:rsidR="009F2673" w:rsidRPr="003D1E62" w:rsidRDefault="009F2673" w:rsidP="009E5A87">
            <w:pPr>
              <w:rPr>
                <w:i/>
              </w:rPr>
            </w:pPr>
            <w:r w:rsidRPr="00460036">
              <w:rPr>
                <w:i/>
              </w:rPr>
              <w:t>Active ingredient:</w:t>
            </w:r>
          </w:p>
        </w:tc>
        <w:tc>
          <w:tcPr>
            <w:tcW w:w="3423" w:type="pct"/>
          </w:tcPr>
          <w:p w14:paraId="5EB281C4" w14:textId="0593BFC7" w:rsidR="009F2673" w:rsidRPr="003D1E62" w:rsidRDefault="00F07B4E" w:rsidP="009E5A87">
            <w:r w:rsidRPr="00F07B4E">
              <w:t>Vosoritide</w:t>
            </w:r>
          </w:p>
        </w:tc>
      </w:tr>
      <w:tr w:rsidR="009F2673" w:rsidRPr="003D1E62" w14:paraId="118FA341" w14:textId="77777777" w:rsidTr="00120F4C">
        <w:tc>
          <w:tcPr>
            <w:tcW w:w="1577" w:type="pct"/>
          </w:tcPr>
          <w:p w14:paraId="233C1345" w14:textId="77777777" w:rsidR="009F2673" w:rsidRPr="009F2673" w:rsidRDefault="009F2673" w:rsidP="009E5A87">
            <w:pPr>
              <w:rPr>
                <w:i/>
              </w:rPr>
            </w:pPr>
            <w:r w:rsidRPr="003D1E62">
              <w:rPr>
                <w:i/>
              </w:rPr>
              <w:t>Decision</w:t>
            </w:r>
            <w:r w:rsidRPr="009F2673">
              <w:rPr>
                <w:i/>
              </w:rPr>
              <w:t>:</w:t>
            </w:r>
          </w:p>
        </w:tc>
        <w:tc>
          <w:tcPr>
            <w:tcW w:w="3423" w:type="pct"/>
          </w:tcPr>
          <w:p w14:paraId="52BC016D" w14:textId="7C9D0D7C" w:rsidR="009F2673" w:rsidRPr="003D1E62" w:rsidRDefault="009F2673" w:rsidP="009E5A87">
            <w:r w:rsidRPr="00460036">
              <w:t>Approved</w:t>
            </w:r>
          </w:p>
        </w:tc>
      </w:tr>
      <w:tr w:rsidR="009F2673" w:rsidRPr="003D1E62" w14:paraId="4924AA96" w14:textId="77777777" w:rsidTr="00120F4C">
        <w:tc>
          <w:tcPr>
            <w:tcW w:w="1577" w:type="pct"/>
          </w:tcPr>
          <w:p w14:paraId="4E76BEF1"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3C880495" w14:textId="55E51212" w:rsidR="009F2673" w:rsidRPr="003D1E62" w:rsidRDefault="00BF4CD2" w:rsidP="009E5A87">
            <w:r>
              <w:t>29 June 2022</w:t>
            </w:r>
          </w:p>
        </w:tc>
      </w:tr>
      <w:tr w:rsidR="009F2673" w:rsidRPr="003D1E62" w14:paraId="7D1E2CC2" w14:textId="77777777" w:rsidTr="00120F4C">
        <w:tc>
          <w:tcPr>
            <w:tcW w:w="1577" w:type="pct"/>
          </w:tcPr>
          <w:p w14:paraId="1EB109E5" w14:textId="77777777" w:rsidR="009F2673" w:rsidRPr="00441C3F" w:rsidRDefault="009F2673" w:rsidP="009E5A87">
            <w:pPr>
              <w:rPr>
                <w:i/>
              </w:rPr>
            </w:pPr>
            <w:r w:rsidRPr="00441C3F">
              <w:rPr>
                <w:i/>
              </w:rPr>
              <w:t>Date of entry onto ARTG</w:t>
            </w:r>
            <w:r>
              <w:rPr>
                <w:i/>
              </w:rPr>
              <w:t>:</w:t>
            </w:r>
          </w:p>
        </w:tc>
        <w:tc>
          <w:tcPr>
            <w:tcW w:w="3423" w:type="pct"/>
          </w:tcPr>
          <w:p w14:paraId="08D56206" w14:textId="533C1C8C" w:rsidR="009F2673" w:rsidRPr="009F2673" w:rsidRDefault="006C3A2A" w:rsidP="009E5A87">
            <w:r>
              <w:t>6 July 2022</w:t>
            </w:r>
          </w:p>
        </w:tc>
      </w:tr>
      <w:tr w:rsidR="009F2673" w:rsidRPr="003D1E62" w14:paraId="24306AF8" w14:textId="77777777" w:rsidTr="00120F4C">
        <w:tc>
          <w:tcPr>
            <w:tcW w:w="1577" w:type="pct"/>
          </w:tcPr>
          <w:p w14:paraId="09A8119B" w14:textId="3BF534A0" w:rsidR="009F2673" w:rsidRPr="00441C3F" w:rsidRDefault="009F2673" w:rsidP="009E5A87">
            <w:pPr>
              <w:rPr>
                <w:i/>
              </w:rPr>
            </w:pPr>
            <w:r>
              <w:rPr>
                <w:i/>
              </w:rPr>
              <w:t>ARTG numbers:</w:t>
            </w:r>
          </w:p>
        </w:tc>
        <w:tc>
          <w:tcPr>
            <w:tcW w:w="3423" w:type="pct"/>
          </w:tcPr>
          <w:p w14:paraId="0FB815FE" w14:textId="497ACF97" w:rsidR="009F2673" w:rsidRPr="00441C3F" w:rsidRDefault="00BF4CD2" w:rsidP="009E5A87">
            <w:r w:rsidRPr="00BF4CD2">
              <w:t>376616</w:t>
            </w:r>
            <w:r>
              <w:t xml:space="preserve">, </w:t>
            </w:r>
            <w:r w:rsidRPr="00BF4CD2">
              <w:t>376617</w:t>
            </w:r>
            <w:r w:rsidR="00281F81">
              <w:t xml:space="preserve"> and</w:t>
            </w:r>
            <w:r>
              <w:t xml:space="preserve"> </w:t>
            </w:r>
            <w:r w:rsidRPr="00BF4CD2">
              <w:t>376618</w:t>
            </w:r>
          </w:p>
        </w:tc>
      </w:tr>
      <w:tr w:rsidR="009F2673" w:rsidRPr="003D1E62" w14:paraId="45E8EB8F" w14:textId="77777777" w:rsidTr="00120F4C">
        <w:tc>
          <w:tcPr>
            <w:tcW w:w="1577" w:type="pct"/>
          </w:tcPr>
          <w:p w14:paraId="708480AF" w14:textId="226AC1B7"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p>
        </w:tc>
        <w:tc>
          <w:tcPr>
            <w:tcW w:w="3423" w:type="pct"/>
          </w:tcPr>
          <w:p w14:paraId="0A6BBA91" w14:textId="77777777" w:rsidR="009D521D" w:rsidRDefault="009D521D" w:rsidP="009D521D">
            <w:r>
              <w:t>Yes</w:t>
            </w:r>
          </w:p>
          <w:p w14:paraId="1BCDEC24" w14:textId="4A0A5BAC" w:rsidR="009F2673" w:rsidRPr="00487162" w:rsidRDefault="009F2673" w:rsidP="009D521D">
            <w:r>
              <w:t xml:space="preserve">This product will remain in the scheme for 5 years, starting on the date the product is first supplied in </w:t>
            </w:r>
            <w:r w:rsidRPr="00D453FA">
              <w:t>Australia</w:t>
            </w:r>
          </w:p>
        </w:tc>
      </w:tr>
      <w:tr w:rsidR="009F2673" w:rsidRPr="003D1E62" w14:paraId="6756809F" w14:textId="77777777" w:rsidTr="00120F4C">
        <w:tc>
          <w:tcPr>
            <w:tcW w:w="1577" w:type="pct"/>
          </w:tcPr>
          <w:p w14:paraId="13A1958F"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1A64AC27" w14:textId="416A96A3" w:rsidR="009F2673" w:rsidRDefault="00547011" w:rsidP="009A3BDC">
            <w:pPr>
              <w:tabs>
                <w:tab w:val="right" w:pos="5606"/>
              </w:tabs>
            </w:pPr>
            <w:r w:rsidRPr="00547011">
              <w:t>BioMarin Pharmaceutical Australia Pty Ltd</w:t>
            </w:r>
          </w:p>
          <w:p w14:paraId="39AD0BC5" w14:textId="77777777" w:rsidR="00287598" w:rsidRDefault="00547011" w:rsidP="00547011">
            <w:r>
              <w:t>119 Willoughby Road</w:t>
            </w:r>
          </w:p>
          <w:p w14:paraId="38F342CD" w14:textId="20A77414" w:rsidR="00547011" w:rsidRDefault="00547011" w:rsidP="00287598">
            <w:r>
              <w:t>Crows Nest</w:t>
            </w:r>
            <w:r w:rsidR="00287598">
              <w:t xml:space="preserve">, </w:t>
            </w:r>
            <w:r>
              <w:t>NSW, 2605</w:t>
            </w:r>
          </w:p>
        </w:tc>
      </w:tr>
      <w:tr w:rsidR="009F2673" w:rsidRPr="003D1E62" w14:paraId="5BEB999B" w14:textId="77777777" w:rsidTr="00120F4C">
        <w:tc>
          <w:tcPr>
            <w:tcW w:w="1577" w:type="pct"/>
          </w:tcPr>
          <w:p w14:paraId="7C913EE8" w14:textId="1A928E65" w:rsidR="009F2673" w:rsidRPr="00487162" w:rsidRDefault="009F2673" w:rsidP="009E5A87">
            <w:pPr>
              <w:rPr>
                <w:i/>
              </w:rPr>
            </w:pPr>
            <w:r>
              <w:rPr>
                <w:i/>
              </w:rPr>
              <w:t>Dose form:</w:t>
            </w:r>
          </w:p>
        </w:tc>
        <w:tc>
          <w:tcPr>
            <w:tcW w:w="3423" w:type="pct"/>
          </w:tcPr>
          <w:p w14:paraId="6B2740BE" w14:textId="0AAB4C04" w:rsidR="009F2673" w:rsidRDefault="00547011" w:rsidP="009E5A87">
            <w:r>
              <w:t>P</w:t>
            </w:r>
            <w:r w:rsidRPr="00547011">
              <w:t>owder for injection</w:t>
            </w:r>
          </w:p>
        </w:tc>
      </w:tr>
      <w:tr w:rsidR="009F2673" w:rsidRPr="003D1E62" w14:paraId="2BC55E0F" w14:textId="77777777" w:rsidTr="00120F4C">
        <w:tc>
          <w:tcPr>
            <w:tcW w:w="1577" w:type="pct"/>
          </w:tcPr>
          <w:p w14:paraId="7870AE64" w14:textId="47290B39" w:rsidR="009F2673" w:rsidRPr="00487162" w:rsidRDefault="009F2673" w:rsidP="009E5A87">
            <w:pPr>
              <w:rPr>
                <w:i/>
              </w:rPr>
            </w:pPr>
            <w:r w:rsidRPr="00487162">
              <w:rPr>
                <w:i/>
              </w:rPr>
              <w:t>Strength</w:t>
            </w:r>
            <w:r w:rsidR="0089651A">
              <w:rPr>
                <w:i/>
              </w:rPr>
              <w:t>s</w:t>
            </w:r>
            <w:r w:rsidRPr="00487162">
              <w:rPr>
                <w:i/>
              </w:rPr>
              <w:t>:</w:t>
            </w:r>
          </w:p>
        </w:tc>
        <w:tc>
          <w:tcPr>
            <w:tcW w:w="3423" w:type="pct"/>
          </w:tcPr>
          <w:p w14:paraId="7DDB6B16" w14:textId="71885B70" w:rsidR="008A0543" w:rsidRDefault="008A0543" w:rsidP="009E5A87">
            <w:r>
              <w:t>0.4 mg/vial</w:t>
            </w:r>
            <w:r w:rsidR="00A179A8">
              <w:t xml:space="preserve"> (reconstituted as 0.4 mg/0.5 mL solution, </w:t>
            </w:r>
            <w:r w:rsidR="0086767E">
              <w:t xml:space="preserve">producing </w:t>
            </w:r>
            <w:r w:rsidR="00A818CC">
              <w:t xml:space="preserve">a </w:t>
            </w:r>
            <w:r w:rsidR="00A179A8">
              <w:t>0.8 mg/mL</w:t>
            </w:r>
            <w:r w:rsidR="00F16D1E">
              <w:t xml:space="preserve"> concentration</w:t>
            </w:r>
            <w:r w:rsidR="00A179A8">
              <w:t>)</w:t>
            </w:r>
          </w:p>
          <w:p w14:paraId="00BC3CC6" w14:textId="744BC2DC" w:rsidR="008A0543" w:rsidRDefault="008A0543" w:rsidP="009E5A87">
            <w:r>
              <w:t>0.56 mg/vial</w:t>
            </w:r>
            <w:r w:rsidR="00A179A8">
              <w:t xml:space="preserve"> (reconstituted as 0.56 mg/0.7 mL solution, </w:t>
            </w:r>
            <w:r w:rsidR="0086767E">
              <w:t>producing</w:t>
            </w:r>
            <w:r w:rsidR="00A179A8">
              <w:t xml:space="preserve"> </w:t>
            </w:r>
            <w:r w:rsidR="00A818CC">
              <w:t xml:space="preserve">a </w:t>
            </w:r>
            <w:r w:rsidR="00A179A8">
              <w:t>0.8 mg/mL</w:t>
            </w:r>
            <w:r w:rsidR="00F16D1E">
              <w:t xml:space="preserve"> concentration</w:t>
            </w:r>
            <w:r w:rsidR="00A179A8">
              <w:t>)</w:t>
            </w:r>
          </w:p>
          <w:p w14:paraId="15DF1F6D" w14:textId="610CB0B4" w:rsidR="009F2673" w:rsidRDefault="00A179A8" w:rsidP="009E5A87">
            <w:r>
              <w:t>1.2 mg/vial (reconstitu</w:t>
            </w:r>
            <w:r w:rsidR="0086767E">
              <w:t xml:space="preserve">ted as 1.2 mg/0.6 mL solution, producing </w:t>
            </w:r>
            <w:r w:rsidR="00A818CC">
              <w:t xml:space="preserve">a </w:t>
            </w:r>
            <w:r>
              <w:t>2 mg/mL</w:t>
            </w:r>
            <w:r w:rsidR="00F16D1E">
              <w:t xml:space="preserve"> concentration</w:t>
            </w:r>
            <w:r>
              <w:t>)</w:t>
            </w:r>
          </w:p>
        </w:tc>
      </w:tr>
      <w:tr w:rsidR="009F2673" w:rsidRPr="003D1E62" w14:paraId="03AAC0A4" w14:textId="77777777" w:rsidTr="00120F4C">
        <w:tc>
          <w:tcPr>
            <w:tcW w:w="1577" w:type="pct"/>
          </w:tcPr>
          <w:p w14:paraId="4DB62789" w14:textId="019BD214" w:rsidR="009F2673" w:rsidRPr="00487162" w:rsidRDefault="009F2673" w:rsidP="009E5A87">
            <w:pPr>
              <w:rPr>
                <w:i/>
              </w:rPr>
            </w:pPr>
            <w:r w:rsidRPr="00487162">
              <w:rPr>
                <w:i/>
              </w:rPr>
              <w:t>Containers:</w:t>
            </w:r>
          </w:p>
        </w:tc>
        <w:tc>
          <w:tcPr>
            <w:tcW w:w="3423" w:type="pct"/>
          </w:tcPr>
          <w:p w14:paraId="6017948D" w14:textId="752A576E" w:rsidR="009F2673" w:rsidRDefault="00547011" w:rsidP="009A3BDC">
            <w:pPr>
              <w:tabs>
                <w:tab w:val="left" w:pos="4440"/>
              </w:tabs>
            </w:pPr>
            <w:r>
              <w:t>Vial</w:t>
            </w:r>
            <w:r w:rsidR="00247E8A">
              <w:t xml:space="preserve"> </w:t>
            </w:r>
            <w:r w:rsidR="00247E8A" w:rsidRPr="00247E8A">
              <w:t>and pre-filled syringe</w:t>
            </w:r>
          </w:p>
        </w:tc>
      </w:tr>
      <w:tr w:rsidR="009F2673" w:rsidRPr="003D1E62" w14:paraId="4D3A0B2C" w14:textId="77777777" w:rsidTr="00120F4C">
        <w:tc>
          <w:tcPr>
            <w:tcW w:w="1577" w:type="pct"/>
          </w:tcPr>
          <w:p w14:paraId="48ACF7C5" w14:textId="4DA48646" w:rsidR="009F2673" w:rsidRPr="00487162" w:rsidRDefault="009F2673" w:rsidP="009E5A87">
            <w:pPr>
              <w:rPr>
                <w:i/>
              </w:rPr>
            </w:pPr>
            <w:r w:rsidRPr="00487162">
              <w:rPr>
                <w:i/>
              </w:rPr>
              <w:t>Pack size:</w:t>
            </w:r>
          </w:p>
        </w:tc>
        <w:tc>
          <w:tcPr>
            <w:tcW w:w="3423" w:type="pct"/>
          </w:tcPr>
          <w:p w14:paraId="7A1E8529" w14:textId="77777777" w:rsidR="00A179A8" w:rsidRDefault="00547011" w:rsidP="009E5A87">
            <w:r w:rsidRPr="00547011">
              <w:t>10 vials</w:t>
            </w:r>
          </w:p>
          <w:p w14:paraId="511A8647" w14:textId="1106E82B" w:rsidR="00A179A8" w:rsidRDefault="00A179A8" w:rsidP="009E5A87">
            <w:r>
              <w:t>Each pack contains:</w:t>
            </w:r>
          </w:p>
          <w:p w14:paraId="510566E1" w14:textId="424A37D4" w:rsidR="00A179A8" w:rsidRDefault="00A179A8" w:rsidP="00FB1897">
            <w:pPr>
              <w:pStyle w:val="ListBullet"/>
            </w:pPr>
            <w:r>
              <w:t>10 vials of Voxzogo (vosoritide), powder for injection</w:t>
            </w:r>
          </w:p>
          <w:p w14:paraId="344C9AE8" w14:textId="63AB71B1" w:rsidR="00A179A8" w:rsidRDefault="00F16D1E" w:rsidP="00FB1897">
            <w:pPr>
              <w:pStyle w:val="ListBullet"/>
            </w:pPr>
            <w:r>
              <w:t>10 prefilled syringes of diluent (water for injection)</w:t>
            </w:r>
          </w:p>
          <w:p w14:paraId="43357828" w14:textId="6F8B7689" w:rsidR="00F16D1E" w:rsidRDefault="00F16D1E" w:rsidP="00FB1897">
            <w:pPr>
              <w:pStyle w:val="ListBullet"/>
            </w:pPr>
            <w:r>
              <w:t>10 individual single use needles (23 gauge, for reconstitution)</w:t>
            </w:r>
          </w:p>
          <w:p w14:paraId="2EAA1024" w14:textId="398B3F1A" w:rsidR="00A179A8" w:rsidRDefault="00F16D1E" w:rsidP="00FB1897">
            <w:pPr>
              <w:pStyle w:val="ListBullet"/>
            </w:pPr>
            <w:r>
              <w:t>10 individual single use syringes (30 gauge, for administration)</w:t>
            </w:r>
          </w:p>
        </w:tc>
      </w:tr>
      <w:tr w:rsidR="009F2673" w:rsidRPr="003D1E62" w14:paraId="5EC0740D" w14:textId="77777777" w:rsidTr="00120F4C">
        <w:tc>
          <w:tcPr>
            <w:tcW w:w="1577" w:type="pct"/>
          </w:tcPr>
          <w:p w14:paraId="46CB6582"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040213DB" w14:textId="08FE66B6" w:rsidR="009F2673" w:rsidRPr="009D521D" w:rsidRDefault="009D521D" w:rsidP="009E5A87">
            <w:pPr>
              <w:rPr>
                <w:i/>
                <w:iCs/>
              </w:rPr>
            </w:pPr>
            <w:r w:rsidRPr="009D521D">
              <w:rPr>
                <w:i/>
                <w:iCs/>
              </w:rPr>
              <w:t xml:space="preserve">Voxzogo is indicated for the treatment of achondroplasia in patients 2 years of age and older whose epiphyses are not </w:t>
            </w:r>
            <w:r w:rsidRPr="009D521D">
              <w:rPr>
                <w:i/>
                <w:iCs/>
              </w:rPr>
              <w:lastRenderedPageBreak/>
              <w:t>closed. The diagnosis of achondroplasia should be confirmed by appropriate genetic testing.</w:t>
            </w:r>
          </w:p>
        </w:tc>
      </w:tr>
      <w:tr w:rsidR="009F2673" w:rsidRPr="003D1E62" w14:paraId="5CA6E578" w14:textId="77777777" w:rsidTr="00120F4C">
        <w:tc>
          <w:tcPr>
            <w:tcW w:w="1577" w:type="pct"/>
          </w:tcPr>
          <w:p w14:paraId="1830F91B" w14:textId="21B0AB89" w:rsidR="009F2673" w:rsidRPr="00487162" w:rsidRDefault="009F2673" w:rsidP="009E5A87">
            <w:pPr>
              <w:rPr>
                <w:i/>
              </w:rPr>
            </w:pPr>
            <w:r w:rsidRPr="00487162">
              <w:rPr>
                <w:i/>
              </w:rPr>
              <w:lastRenderedPageBreak/>
              <w:t>Route of administration:</w:t>
            </w:r>
          </w:p>
        </w:tc>
        <w:tc>
          <w:tcPr>
            <w:tcW w:w="3423" w:type="pct"/>
          </w:tcPr>
          <w:p w14:paraId="29D1473E" w14:textId="2B301C62" w:rsidR="009F2673" w:rsidRPr="00487162" w:rsidRDefault="009D521D" w:rsidP="009E5A87">
            <w:r>
              <w:t>Subcutaneous injection</w:t>
            </w:r>
          </w:p>
        </w:tc>
      </w:tr>
      <w:tr w:rsidR="009F2673" w:rsidRPr="003D1E62" w14:paraId="561D17EA" w14:textId="77777777" w:rsidTr="00120F4C">
        <w:tc>
          <w:tcPr>
            <w:tcW w:w="1577" w:type="pct"/>
          </w:tcPr>
          <w:p w14:paraId="09BE2588" w14:textId="77777777" w:rsidR="009F2673" w:rsidRPr="00487162" w:rsidRDefault="009F2673" w:rsidP="009E5A87">
            <w:pPr>
              <w:rPr>
                <w:i/>
              </w:rPr>
            </w:pPr>
            <w:r w:rsidRPr="00487162">
              <w:rPr>
                <w:i/>
              </w:rPr>
              <w:t>Dosage:</w:t>
            </w:r>
          </w:p>
        </w:tc>
        <w:tc>
          <w:tcPr>
            <w:tcW w:w="3423" w:type="pct"/>
          </w:tcPr>
          <w:p w14:paraId="1562EE09" w14:textId="77777777" w:rsidR="00247E8A" w:rsidRDefault="00247E8A" w:rsidP="00247E8A">
            <w:r>
              <w:t>Treatment with Voxzogo should be initiated and directed by a physician appropriately qualified in the management of growth disorders or skeletal dysplasias. It is important to initiate treatment in children as young as possible.</w:t>
            </w:r>
          </w:p>
          <w:p w14:paraId="4678BCB2" w14:textId="77777777" w:rsidR="00F16D1E" w:rsidRDefault="00247E8A" w:rsidP="00247E8A">
            <w:r>
              <w:t>The volume of Voxzogo to be administered at the recommended dose is based on the patient's weight and the vosoritide concentration.</w:t>
            </w:r>
          </w:p>
          <w:p w14:paraId="5514016B" w14:textId="57FE7F32" w:rsidR="00F16D1E" w:rsidRDefault="00F16D1E" w:rsidP="00247E8A">
            <w:r>
              <w:t>The usual dose is 15 µg/kg body weight. For practicality reasons and to account for weight-related pharmacokinetic changes (see section 5.2 Pharmacokinetic Properties</w:t>
            </w:r>
            <w:r w:rsidR="000B1D1B">
              <w:t xml:space="preserve"> of the Product Information</w:t>
            </w:r>
            <w:r>
              <w:t>), the following dosing is recommended</w:t>
            </w:r>
            <w:r w:rsidR="000B1D1B">
              <w:t xml:space="preserve"> in the table below.</w:t>
            </w:r>
          </w:p>
          <w:tbl>
            <w:tblPr>
              <w:tblStyle w:val="TableGrid"/>
              <w:tblW w:w="5663" w:type="dxa"/>
              <w:tblLook w:val="04A0" w:firstRow="1" w:lastRow="0" w:firstColumn="1" w:lastColumn="0" w:noHBand="0" w:noVBand="1"/>
            </w:tblPr>
            <w:tblGrid>
              <w:gridCol w:w="983"/>
              <w:gridCol w:w="1530"/>
              <w:gridCol w:w="1620"/>
              <w:gridCol w:w="1530"/>
            </w:tblGrid>
            <w:tr w:rsidR="00696A91" w:rsidRPr="00F16D1E" w14:paraId="1BC06319" w14:textId="77777777" w:rsidTr="00564934">
              <w:tc>
                <w:tcPr>
                  <w:tcW w:w="983" w:type="dxa"/>
                  <w:vMerge w:val="restart"/>
                  <w:vAlign w:val="bottom"/>
                </w:tcPr>
                <w:p w14:paraId="0A738DB9" w14:textId="6B74B8FC" w:rsidR="00696A91" w:rsidRPr="00FB1897" w:rsidRDefault="00696A91" w:rsidP="00FB1897">
                  <w:pPr>
                    <w:jc w:val="center"/>
                    <w:rPr>
                      <w:b/>
                      <w:sz w:val="20"/>
                    </w:rPr>
                  </w:pPr>
                  <w:r w:rsidRPr="00FB1897">
                    <w:rPr>
                      <w:b/>
                      <w:sz w:val="20"/>
                    </w:rPr>
                    <w:t>Body weight (kg)</w:t>
                  </w:r>
                </w:p>
              </w:tc>
              <w:tc>
                <w:tcPr>
                  <w:tcW w:w="4680" w:type="dxa"/>
                  <w:gridSpan w:val="3"/>
                  <w:vAlign w:val="bottom"/>
                </w:tcPr>
                <w:p w14:paraId="395F655D" w14:textId="380C67DF" w:rsidR="00696A91" w:rsidRPr="00FB1897" w:rsidRDefault="00696A91" w:rsidP="00FB1897">
                  <w:pPr>
                    <w:jc w:val="center"/>
                    <w:rPr>
                      <w:b/>
                      <w:sz w:val="20"/>
                    </w:rPr>
                  </w:pPr>
                  <w:r w:rsidRPr="00FB1897">
                    <w:rPr>
                      <w:b/>
                      <w:sz w:val="20"/>
                    </w:rPr>
                    <w:t>Voxzogo daily injection volume (mL)</w:t>
                  </w:r>
                </w:p>
              </w:tc>
            </w:tr>
            <w:tr w:rsidR="00696A91" w:rsidRPr="00F16D1E" w14:paraId="13ECEA83" w14:textId="77777777" w:rsidTr="00564934">
              <w:tc>
                <w:tcPr>
                  <w:tcW w:w="983" w:type="dxa"/>
                  <w:vMerge/>
                </w:tcPr>
                <w:p w14:paraId="3EA68668" w14:textId="1FC92BAB" w:rsidR="00696A91" w:rsidRPr="00FB1897" w:rsidRDefault="00696A91" w:rsidP="00FB1897">
                  <w:pPr>
                    <w:jc w:val="center"/>
                    <w:rPr>
                      <w:sz w:val="20"/>
                    </w:rPr>
                  </w:pPr>
                </w:p>
              </w:tc>
              <w:tc>
                <w:tcPr>
                  <w:tcW w:w="1530" w:type="dxa"/>
                </w:tcPr>
                <w:p w14:paraId="157F12D5" w14:textId="1D7129E3" w:rsidR="00696A91" w:rsidRPr="00FB1897" w:rsidRDefault="00696A91" w:rsidP="00FB1897">
                  <w:pPr>
                    <w:jc w:val="center"/>
                    <w:rPr>
                      <w:sz w:val="20"/>
                    </w:rPr>
                  </w:pPr>
                  <w:r w:rsidRPr="00FB1897">
                    <w:rPr>
                      <w:sz w:val="20"/>
                    </w:rPr>
                    <w:t>0.4 mg</w:t>
                  </w:r>
                  <w:r w:rsidRPr="00F16D1E">
                    <w:rPr>
                      <w:sz w:val="20"/>
                    </w:rPr>
                    <w:t>/0.5 mL</w:t>
                  </w:r>
                </w:p>
              </w:tc>
              <w:tc>
                <w:tcPr>
                  <w:tcW w:w="1620" w:type="dxa"/>
                </w:tcPr>
                <w:p w14:paraId="4702410E" w14:textId="7FDF62D2" w:rsidR="00696A91" w:rsidRPr="00FB1897" w:rsidRDefault="00696A91" w:rsidP="00FB1897">
                  <w:pPr>
                    <w:jc w:val="center"/>
                    <w:rPr>
                      <w:sz w:val="20"/>
                    </w:rPr>
                  </w:pPr>
                  <w:r w:rsidRPr="00FB1897">
                    <w:rPr>
                      <w:sz w:val="20"/>
                    </w:rPr>
                    <w:t>0.56 mg</w:t>
                  </w:r>
                  <w:r>
                    <w:rPr>
                      <w:sz w:val="20"/>
                    </w:rPr>
                    <w:t>/</w:t>
                  </w:r>
                  <w:r w:rsidR="0008420D">
                    <w:rPr>
                      <w:sz w:val="20"/>
                    </w:rPr>
                    <w:t>0.7</w:t>
                  </w:r>
                  <w:r>
                    <w:rPr>
                      <w:sz w:val="20"/>
                    </w:rPr>
                    <w:t xml:space="preserve"> mL</w:t>
                  </w:r>
                </w:p>
              </w:tc>
              <w:tc>
                <w:tcPr>
                  <w:tcW w:w="1530" w:type="dxa"/>
                </w:tcPr>
                <w:p w14:paraId="3C86A175" w14:textId="1D846899" w:rsidR="00696A91" w:rsidRPr="00FB1897" w:rsidRDefault="00696A91" w:rsidP="00FB1897">
                  <w:pPr>
                    <w:jc w:val="center"/>
                    <w:rPr>
                      <w:sz w:val="20"/>
                    </w:rPr>
                  </w:pPr>
                  <w:r w:rsidRPr="00FB1897">
                    <w:rPr>
                      <w:sz w:val="20"/>
                    </w:rPr>
                    <w:t>1.2 mg</w:t>
                  </w:r>
                  <w:r>
                    <w:rPr>
                      <w:sz w:val="20"/>
                    </w:rPr>
                    <w:t>/0.6 mL</w:t>
                  </w:r>
                </w:p>
              </w:tc>
            </w:tr>
            <w:tr w:rsidR="00F16D1E" w:rsidRPr="00F16D1E" w14:paraId="1072C2D5" w14:textId="77777777" w:rsidTr="00FB1897">
              <w:tc>
                <w:tcPr>
                  <w:tcW w:w="983" w:type="dxa"/>
                </w:tcPr>
                <w:p w14:paraId="02ED5160" w14:textId="0C2731E9" w:rsidR="00F16D1E" w:rsidRPr="00FB1897" w:rsidRDefault="00696A91" w:rsidP="00FB1897">
                  <w:pPr>
                    <w:jc w:val="center"/>
                    <w:rPr>
                      <w:sz w:val="20"/>
                    </w:rPr>
                  </w:pPr>
                  <w:r>
                    <w:rPr>
                      <w:sz w:val="20"/>
                    </w:rPr>
                    <w:t>10-11</w:t>
                  </w:r>
                </w:p>
              </w:tc>
              <w:tc>
                <w:tcPr>
                  <w:tcW w:w="1530" w:type="dxa"/>
                </w:tcPr>
                <w:p w14:paraId="655782AD" w14:textId="7B0B07C5" w:rsidR="00F16D1E" w:rsidRPr="00FB1897" w:rsidRDefault="00696A91" w:rsidP="00FB1897">
                  <w:pPr>
                    <w:jc w:val="center"/>
                    <w:rPr>
                      <w:sz w:val="20"/>
                    </w:rPr>
                  </w:pPr>
                  <w:r>
                    <w:rPr>
                      <w:sz w:val="20"/>
                    </w:rPr>
                    <w:t>0.30 mL</w:t>
                  </w:r>
                </w:p>
              </w:tc>
              <w:tc>
                <w:tcPr>
                  <w:tcW w:w="1620" w:type="dxa"/>
                </w:tcPr>
                <w:p w14:paraId="693D0688" w14:textId="77777777" w:rsidR="00F16D1E" w:rsidRPr="00FB1897" w:rsidRDefault="00F16D1E" w:rsidP="00FB1897">
                  <w:pPr>
                    <w:jc w:val="center"/>
                    <w:rPr>
                      <w:sz w:val="20"/>
                    </w:rPr>
                  </w:pPr>
                </w:p>
              </w:tc>
              <w:tc>
                <w:tcPr>
                  <w:tcW w:w="1530" w:type="dxa"/>
                </w:tcPr>
                <w:p w14:paraId="65307E86" w14:textId="77777777" w:rsidR="00F16D1E" w:rsidRPr="00FB1897" w:rsidRDefault="00F16D1E" w:rsidP="00FB1897">
                  <w:pPr>
                    <w:jc w:val="center"/>
                    <w:rPr>
                      <w:sz w:val="20"/>
                    </w:rPr>
                  </w:pPr>
                </w:p>
              </w:tc>
            </w:tr>
            <w:tr w:rsidR="00F16D1E" w:rsidRPr="00F16D1E" w14:paraId="4FD38B22" w14:textId="77777777" w:rsidTr="00FB1897">
              <w:tc>
                <w:tcPr>
                  <w:tcW w:w="983" w:type="dxa"/>
                </w:tcPr>
                <w:p w14:paraId="1DA92B4A" w14:textId="7CE749A4" w:rsidR="00F16D1E" w:rsidRPr="00FB1897" w:rsidRDefault="00696A91" w:rsidP="00FB1897">
                  <w:pPr>
                    <w:jc w:val="center"/>
                    <w:rPr>
                      <w:sz w:val="20"/>
                    </w:rPr>
                  </w:pPr>
                  <w:r>
                    <w:rPr>
                      <w:sz w:val="20"/>
                    </w:rPr>
                    <w:t>12-16</w:t>
                  </w:r>
                </w:p>
              </w:tc>
              <w:tc>
                <w:tcPr>
                  <w:tcW w:w="1530" w:type="dxa"/>
                </w:tcPr>
                <w:p w14:paraId="7DEE7B6A" w14:textId="77777777" w:rsidR="00F16D1E" w:rsidRPr="00FB1897" w:rsidRDefault="00F16D1E" w:rsidP="00FB1897">
                  <w:pPr>
                    <w:jc w:val="center"/>
                    <w:rPr>
                      <w:sz w:val="20"/>
                    </w:rPr>
                  </w:pPr>
                </w:p>
              </w:tc>
              <w:tc>
                <w:tcPr>
                  <w:tcW w:w="1620" w:type="dxa"/>
                </w:tcPr>
                <w:p w14:paraId="410180ED" w14:textId="0B9CDC23" w:rsidR="00F16D1E" w:rsidRPr="00FB1897" w:rsidRDefault="00696A91" w:rsidP="00FB1897">
                  <w:pPr>
                    <w:jc w:val="center"/>
                    <w:rPr>
                      <w:sz w:val="20"/>
                    </w:rPr>
                  </w:pPr>
                  <w:r>
                    <w:rPr>
                      <w:sz w:val="20"/>
                    </w:rPr>
                    <w:t>0.35 mL</w:t>
                  </w:r>
                </w:p>
              </w:tc>
              <w:tc>
                <w:tcPr>
                  <w:tcW w:w="1530" w:type="dxa"/>
                </w:tcPr>
                <w:p w14:paraId="71BBE1D5" w14:textId="77777777" w:rsidR="00F16D1E" w:rsidRPr="00FB1897" w:rsidRDefault="00F16D1E" w:rsidP="00FB1897">
                  <w:pPr>
                    <w:jc w:val="center"/>
                    <w:rPr>
                      <w:sz w:val="20"/>
                    </w:rPr>
                  </w:pPr>
                </w:p>
              </w:tc>
            </w:tr>
            <w:tr w:rsidR="00F16D1E" w:rsidRPr="00F16D1E" w14:paraId="0860A7A4" w14:textId="77777777" w:rsidTr="00FB1897">
              <w:tc>
                <w:tcPr>
                  <w:tcW w:w="983" w:type="dxa"/>
                </w:tcPr>
                <w:p w14:paraId="018D80C8" w14:textId="4007985E" w:rsidR="00F16D1E" w:rsidRPr="00FB1897" w:rsidRDefault="00696A91" w:rsidP="00FB1897">
                  <w:pPr>
                    <w:jc w:val="center"/>
                    <w:rPr>
                      <w:sz w:val="20"/>
                    </w:rPr>
                  </w:pPr>
                  <w:r>
                    <w:rPr>
                      <w:sz w:val="20"/>
                    </w:rPr>
                    <w:t>17-21</w:t>
                  </w:r>
                </w:p>
              </w:tc>
              <w:tc>
                <w:tcPr>
                  <w:tcW w:w="1530" w:type="dxa"/>
                </w:tcPr>
                <w:p w14:paraId="2C921B93" w14:textId="77777777" w:rsidR="00F16D1E" w:rsidRPr="00FB1897" w:rsidRDefault="00F16D1E" w:rsidP="00FB1897">
                  <w:pPr>
                    <w:jc w:val="center"/>
                    <w:rPr>
                      <w:sz w:val="20"/>
                    </w:rPr>
                  </w:pPr>
                </w:p>
              </w:tc>
              <w:tc>
                <w:tcPr>
                  <w:tcW w:w="1620" w:type="dxa"/>
                </w:tcPr>
                <w:p w14:paraId="7C38A29A" w14:textId="52D3BAF8" w:rsidR="00F16D1E" w:rsidRPr="00FB1897" w:rsidRDefault="00696A91" w:rsidP="00FB1897">
                  <w:pPr>
                    <w:jc w:val="center"/>
                    <w:rPr>
                      <w:sz w:val="20"/>
                    </w:rPr>
                  </w:pPr>
                  <w:r>
                    <w:rPr>
                      <w:sz w:val="20"/>
                    </w:rPr>
                    <w:t>0.40 mL</w:t>
                  </w:r>
                </w:p>
              </w:tc>
              <w:tc>
                <w:tcPr>
                  <w:tcW w:w="1530" w:type="dxa"/>
                </w:tcPr>
                <w:p w14:paraId="23C2EF3C" w14:textId="77777777" w:rsidR="00F16D1E" w:rsidRPr="00FB1897" w:rsidRDefault="00F16D1E" w:rsidP="00FB1897">
                  <w:pPr>
                    <w:jc w:val="center"/>
                    <w:rPr>
                      <w:sz w:val="20"/>
                    </w:rPr>
                  </w:pPr>
                </w:p>
              </w:tc>
            </w:tr>
            <w:tr w:rsidR="00F16D1E" w:rsidRPr="00F16D1E" w14:paraId="183F978B" w14:textId="77777777" w:rsidTr="00FB1897">
              <w:tc>
                <w:tcPr>
                  <w:tcW w:w="983" w:type="dxa"/>
                </w:tcPr>
                <w:p w14:paraId="7F0C060E" w14:textId="7E437B62" w:rsidR="00F16D1E" w:rsidRPr="00FB1897" w:rsidRDefault="00696A91" w:rsidP="00FB1897">
                  <w:pPr>
                    <w:jc w:val="center"/>
                    <w:rPr>
                      <w:sz w:val="20"/>
                    </w:rPr>
                  </w:pPr>
                  <w:r>
                    <w:rPr>
                      <w:sz w:val="20"/>
                    </w:rPr>
                    <w:t>22-32</w:t>
                  </w:r>
                </w:p>
              </w:tc>
              <w:tc>
                <w:tcPr>
                  <w:tcW w:w="1530" w:type="dxa"/>
                </w:tcPr>
                <w:p w14:paraId="0B51523B" w14:textId="77777777" w:rsidR="00F16D1E" w:rsidRPr="00FB1897" w:rsidRDefault="00F16D1E" w:rsidP="00FB1897">
                  <w:pPr>
                    <w:jc w:val="center"/>
                    <w:rPr>
                      <w:sz w:val="20"/>
                    </w:rPr>
                  </w:pPr>
                </w:p>
              </w:tc>
              <w:tc>
                <w:tcPr>
                  <w:tcW w:w="1620" w:type="dxa"/>
                </w:tcPr>
                <w:p w14:paraId="49CC60BF" w14:textId="7C87ACA1" w:rsidR="00F16D1E" w:rsidRPr="00FB1897" w:rsidRDefault="00696A91" w:rsidP="00FB1897">
                  <w:pPr>
                    <w:jc w:val="center"/>
                    <w:rPr>
                      <w:sz w:val="20"/>
                    </w:rPr>
                  </w:pPr>
                  <w:r>
                    <w:rPr>
                      <w:sz w:val="20"/>
                    </w:rPr>
                    <w:t>0.50 mL</w:t>
                  </w:r>
                </w:p>
              </w:tc>
              <w:tc>
                <w:tcPr>
                  <w:tcW w:w="1530" w:type="dxa"/>
                </w:tcPr>
                <w:p w14:paraId="40A86BE2" w14:textId="77777777" w:rsidR="00F16D1E" w:rsidRPr="00FB1897" w:rsidRDefault="00F16D1E" w:rsidP="00FB1897">
                  <w:pPr>
                    <w:jc w:val="center"/>
                    <w:rPr>
                      <w:sz w:val="20"/>
                    </w:rPr>
                  </w:pPr>
                </w:p>
              </w:tc>
            </w:tr>
            <w:tr w:rsidR="00F16D1E" w:rsidRPr="00F16D1E" w14:paraId="0F13C55F" w14:textId="77777777" w:rsidTr="00FB1897">
              <w:tc>
                <w:tcPr>
                  <w:tcW w:w="983" w:type="dxa"/>
                </w:tcPr>
                <w:p w14:paraId="5AA56C30" w14:textId="08BCDA6D" w:rsidR="00F16D1E" w:rsidRPr="00FB1897" w:rsidRDefault="00696A91" w:rsidP="00FB1897">
                  <w:pPr>
                    <w:jc w:val="center"/>
                    <w:rPr>
                      <w:sz w:val="20"/>
                    </w:rPr>
                  </w:pPr>
                  <w:r>
                    <w:rPr>
                      <w:sz w:val="20"/>
                    </w:rPr>
                    <w:t>33-43</w:t>
                  </w:r>
                </w:p>
              </w:tc>
              <w:tc>
                <w:tcPr>
                  <w:tcW w:w="1530" w:type="dxa"/>
                </w:tcPr>
                <w:p w14:paraId="17344C39" w14:textId="77777777" w:rsidR="00F16D1E" w:rsidRPr="00FB1897" w:rsidRDefault="00F16D1E" w:rsidP="00FB1897">
                  <w:pPr>
                    <w:jc w:val="center"/>
                    <w:rPr>
                      <w:sz w:val="20"/>
                    </w:rPr>
                  </w:pPr>
                </w:p>
              </w:tc>
              <w:tc>
                <w:tcPr>
                  <w:tcW w:w="1620" w:type="dxa"/>
                </w:tcPr>
                <w:p w14:paraId="4C5CF7EE" w14:textId="77777777" w:rsidR="00F16D1E" w:rsidRPr="00FB1897" w:rsidRDefault="00F16D1E" w:rsidP="00FB1897">
                  <w:pPr>
                    <w:jc w:val="center"/>
                    <w:rPr>
                      <w:sz w:val="20"/>
                    </w:rPr>
                  </w:pPr>
                </w:p>
              </w:tc>
              <w:tc>
                <w:tcPr>
                  <w:tcW w:w="1530" w:type="dxa"/>
                </w:tcPr>
                <w:p w14:paraId="25A03B68" w14:textId="1CA11DC1" w:rsidR="00F16D1E" w:rsidRPr="00FB1897" w:rsidRDefault="00696A91" w:rsidP="00FB1897">
                  <w:pPr>
                    <w:jc w:val="center"/>
                    <w:rPr>
                      <w:sz w:val="20"/>
                    </w:rPr>
                  </w:pPr>
                  <w:r>
                    <w:rPr>
                      <w:sz w:val="20"/>
                    </w:rPr>
                    <w:t>0.25 mL</w:t>
                  </w:r>
                </w:p>
              </w:tc>
            </w:tr>
            <w:tr w:rsidR="00F16D1E" w:rsidRPr="00F16D1E" w14:paraId="4AB1BEBC" w14:textId="77777777" w:rsidTr="00FB1897">
              <w:tc>
                <w:tcPr>
                  <w:tcW w:w="983" w:type="dxa"/>
                </w:tcPr>
                <w:p w14:paraId="04879705" w14:textId="4D1B68A0" w:rsidR="00F16D1E" w:rsidRPr="00FB1897" w:rsidRDefault="00696A91" w:rsidP="00FB1897">
                  <w:pPr>
                    <w:jc w:val="center"/>
                    <w:rPr>
                      <w:sz w:val="20"/>
                    </w:rPr>
                  </w:pPr>
                  <w:r>
                    <w:rPr>
                      <w:sz w:val="20"/>
                    </w:rPr>
                    <w:t>44-59</w:t>
                  </w:r>
                </w:p>
              </w:tc>
              <w:tc>
                <w:tcPr>
                  <w:tcW w:w="1530" w:type="dxa"/>
                </w:tcPr>
                <w:p w14:paraId="60B9558F" w14:textId="77777777" w:rsidR="00F16D1E" w:rsidRPr="00FB1897" w:rsidRDefault="00F16D1E" w:rsidP="00FB1897">
                  <w:pPr>
                    <w:jc w:val="center"/>
                    <w:rPr>
                      <w:sz w:val="20"/>
                    </w:rPr>
                  </w:pPr>
                </w:p>
              </w:tc>
              <w:tc>
                <w:tcPr>
                  <w:tcW w:w="1620" w:type="dxa"/>
                </w:tcPr>
                <w:p w14:paraId="41143860" w14:textId="77777777" w:rsidR="00F16D1E" w:rsidRPr="00FB1897" w:rsidRDefault="00F16D1E" w:rsidP="00FB1897">
                  <w:pPr>
                    <w:jc w:val="center"/>
                    <w:rPr>
                      <w:sz w:val="20"/>
                    </w:rPr>
                  </w:pPr>
                </w:p>
              </w:tc>
              <w:tc>
                <w:tcPr>
                  <w:tcW w:w="1530" w:type="dxa"/>
                </w:tcPr>
                <w:p w14:paraId="3FC38428" w14:textId="75EEB350" w:rsidR="00F16D1E" w:rsidRPr="00FB1897" w:rsidRDefault="00696A91" w:rsidP="00FB1897">
                  <w:pPr>
                    <w:jc w:val="center"/>
                    <w:rPr>
                      <w:sz w:val="20"/>
                    </w:rPr>
                  </w:pPr>
                  <w:r>
                    <w:rPr>
                      <w:sz w:val="20"/>
                    </w:rPr>
                    <w:t>0.30 mL</w:t>
                  </w:r>
                </w:p>
              </w:tc>
            </w:tr>
            <w:tr w:rsidR="00696A91" w:rsidRPr="00F16D1E" w14:paraId="73F39F3E" w14:textId="77777777" w:rsidTr="00696A91">
              <w:tc>
                <w:tcPr>
                  <w:tcW w:w="983" w:type="dxa"/>
                </w:tcPr>
                <w:p w14:paraId="3CB150D9" w14:textId="05215A77" w:rsidR="00696A91" w:rsidRDefault="00696A91" w:rsidP="00FB1897">
                  <w:pPr>
                    <w:jc w:val="center"/>
                    <w:rPr>
                      <w:sz w:val="20"/>
                    </w:rPr>
                  </w:pPr>
                  <w:r>
                    <w:rPr>
                      <w:sz w:val="20"/>
                    </w:rPr>
                    <w:t>60-89</w:t>
                  </w:r>
                </w:p>
              </w:tc>
              <w:tc>
                <w:tcPr>
                  <w:tcW w:w="1530" w:type="dxa"/>
                </w:tcPr>
                <w:p w14:paraId="7977727D" w14:textId="77777777" w:rsidR="00696A91" w:rsidRPr="00696A91" w:rsidRDefault="00696A91" w:rsidP="00FB1897">
                  <w:pPr>
                    <w:jc w:val="center"/>
                    <w:rPr>
                      <w:sz w:val="20"/>
                    </w:rPr>
                  </w:pPr>
                </w:p>
              </w:tc>
              <w:tc>
                <w:tcPr>
                  <w:tcW w:w="1620" w:type="dxa"/>
                </w:tcPr>
                <w:p w14:paraId="7670278F" w14:textId="77777777" w:rsidR="00696A91" w:rsidRPr="00696A91" w:rsidRDefault="00696A91" w:rsidP="00FB1897">
                  <w:pPr>
                    <w:jc w:val="center"/>
                    <w:rPr>
                      <w:sz w:val="20"/>
                    </w:rPr>
                  </w:pPr>
                </w:p>
              </w:tc>
              <w:tc>
                <w:tcPr>
                  <w:tcW w:w="1530" w:type="dxa"/>
                </w:tcPr>
                <w:p w14:paraId="47AA866B" w14:textId="044CB6F8" w:rsidR="00696A91" w:rsidRPr="00696A91" w:rsidRDefault="00696A91" w:rsidP="00FB1897">
                  <w:pPr>
                    <w:jc w:val="center"/>
                    <w:rPr>
                      <w:sz w:val="20"/>
                    </w:rPr>
                  </w:pPr>
                  <w:r>
                    <w:rPr>
                      <w:sz w:val="20"/>
                    </w:rPr>
                    <w:t>0.35 mL</w:t>
                  </w:r>
                </w:p>
              </w:tc>
            </w:tr>
            <w:tr w:rsidR="00696A91" w:rsidRPr="00F16D1E" w14:paraId="29460011" w14:textId="77777777" w:rsidTr="00696A91">
              <w:tc>
                <w:tcPr>
                  <w:tcW w:w="983" w:type="dxa"/>
                </w:tcPr>
                <w:p w14:paraId="16737244" w14:textId="195961F9" w:rsidR="00696A91" w:rsidRDefault="00696A91" w:rsidP="00FB1897">
                  <w:pPr>
                    <w:jc w:val="center"/>
                    <w:rPr>
                      <w:sz w:val="20"/>
                    </w:rPr>
                  </w:pPr>
                  <w:r>
                    <w:rPr>
                      <w:sz w:val="20"/>
                    </w:rPr>
                    <w:t>≥ 90</w:t>
                  </w:r>
                </w:p>
              </w:tc>
              <w:tc>
                <w:tcPr>
                  <w:tcW w:w="1530" w:type="dxa"/>
                </w:tcPr>
                <w:p w14:paraId="65F361FF" w14:textId="77777777" w:rsidR="00696A91" w:rsidRPr="00696A91" w:rsidRDefault="00696A91" w:rsidP="00FB1897">
                  <w:pPr>
                    <w:jc w:val="center"/>
                    <w:rPr>
                      <w:sz w:val="20"/>
                    </w:rPr>
                  </w:pPr>
                </w:p>
              </w:tc>
              <w:tc>
                <w:tcPr>
                  <w:tcW w:w="1620" w:type="dxa"/>
                </w:tcPr>
                <w:p w14:paraId="45035A2D" w14:textId="77777777" w:rsidR="00696A91" w:rsidRPr="00696A91" w:rsidRDefault="00696A91" w:rsidP="00FB1897">
                  <w:pPr>
                    <w:jc w:val="center"/>
                    <w:rPr>
                      <w:sz w:val="20"/>
                    </w:rPr>
                  </w:pPr>
                </w:p>
              </w:tc>
              <w:tc>
                <w:tcPr>
                  <w:tcW w:w="1530" w:type="dxa"/>
                </w:tcPr>
                <w:p w14:paraId="2CA74D1C" w14:textId="14B95F1B" w:rsidR="00696A91" w:rsidRPr="00696A91" w:rsidRDefault="00696A91" w:rsidP="00FB1897">
                  <w:pPr>
                    <w:jc w:val="center"/>
                    <w:rPr>
                      <w:sz w:val="20"/>
                    </w:rPr>
                  </w:pPr>
                  <w:r>
                    <w:rPr>
                      <w:sz w:val="20"/>
                    </w:rPr>
                    <w:t>0.40 mL</w:t>
                  </w:r>
                </w:p>
              </w:tc>
            </w:tr>
          </w:tbl>
          <w:p w14:paraId="0C82BAC1" w14:textId="6EFF5FCF" w:rsidR="00F16D1E" w:rsidRDefault="00696A91" w:rsidP="00FB1897">
            <w:pPr>
              <w:pStyle w:val="TableDescription"/>
            </w:pPr>
            <w:r>
              <w:t>Note: 0.4 mg/0.5 mL corresponds to 0.8 mg/mL; 0.56 mg/</w:t>
            </w:r>
            <w:r w:rsidR="0008420D">
              <w:t>0.7</w:t>
            </w:r>
            <w:r>
              <w:t xml:space="preserve"> mL corresponds to 0.8 mg/mL, and 1.2 mg/0.6 mL corresponds to 2 mg/mL </w:t>
            </w:r>
            <w:r w:rsidR="000B1D1B">
              <w:t xml:space="preserve">concentration of </w:t>
            </w:r>
            <w:r>
              <w:t>vosoritide.</w:t>
            </w:r>
          </w:p>
          <w:p w14:paraId="4D09B354" w14:textId="77777777" w:rsidR="000B1D1B" w:rsidRPr="00FB1897" w:rsidRDefault="000B1D1B" w:rsidP="00247E8A">
            <w:pPr>
              <w:rPr>
                <w:i/>
              </w:rPr>
            </w:pPr>
            <w:r w:rsidRPr="00FB1897">
              <w:rPr>
                <w:i/>
              </w:rPr>
              <w:t>Duration of treatment</w:t>
            </w:r>
          </w:p>
          <w:p w14:paraId="66CAB223" w14:textId="4CFA3CB7" w:rsidR="000B1D1B" w:rsidRDefault="000B1D1B" w:rsidP="000B1D1B">
            <w:r>
              <w:t>Treatment with Voxzogo should be stopped upon confirmation of no further growth potential, indicated by a growth velocity of less than 1.5 cm/year and closure of epiphyses.</w:t>
            </w:r>
          </w:p>
          <w:p w14:paraId="29EBD972" w14:textId="77777777" w:rsidR="000B1D1B" w:rsidRPr="00FB1897" w:rsidRDefault="000B1D1B" w:rsidP="000B1D1B">
            <w:pPr>
              <w:rPr>
                <w:i/>
              </w:rPr>
            </w:pPr>
            <w:r w:rsidRPr="00FB1897">
              <w:rPr>
                <w:i/>
              </w:rPr>
              <w:t>Growth monitoring</w:t>
            </w:r>
          </w:p>
          <w:p w14:paraId="4FE9B159" w14:textId="7F80C927" w:rsidR="00F16D1E" w:rsidRDefault="000B1D1B" w:rsidP="000B1D1B">
            <w:r>
              <w:t>Patients should be monitored and assessed regularly every 3 to 6 months to check body weight, growth and physical development. Dose should be adjusted according to the patient’s body weight (see table above</w:t>
            </w:r>
            <w:r w:rsidR="00A818CC">
              <w:t xml:space="preserve"> and the Product Information for details</w:t>
            </w:r>
            <w:r>
              <w:t>).</w:t>
            </w:r>
          </w:p>
          <w:p w14:paraId="02BE35A8" w14:textId="2E00A835" w:rsidR="009F2673" w:rsidRPr="00487162" w:rsidRDefault="00247E8A" w:rsidP="00247E8A">
            <w:r>
              <w:lastRenderedPageBreak/>
              <w:t>For further information refer to the Product Information.</w:t>
            </w:r>
          </w:p>
        </w:tc>
      </w:tr>
      <w:tr w:rsidR="009F2673" w:rsidRPr="003D1E62" w14:paraId="4576D131" w14:textId="77777777" w:rsidTr="00120F4C">
        <w:tc>
          <w:tcPr>
            <w:tcW w:w="1577" w:type="pct"/>
          </w:tcPr>
          <w:p w14:paraId="352B5A75" w14:textId="77777777" w:rsidR="009F2673" w:rsidRPr="00487162" w:rsidRDefault="009F2673" w:rsidP="009E5A87">
            <w:pPr>
              <w:rPr>
                <w:i/>
              </w:rPr>
            </w:pPr>
            <w:r w:rsidRPr="00460036">
              <w:rPr>
                <w:i/>
              </w:rPr>
              <w:lastRenderedPageBreak/>
              <w:t>Pregnancy category</w:t>
            </w:r>
            <w:r>
              <w:rPr>
                <w:i/>
              </w:rPr>
              <w:t>:</w:t>
            </w:r>
          </w:p>
        </w:tc>
        <w:tc>
          <w:tcPr>
            <w:tcW w:w="3423" w:type="pct"/>
          </w:tcPr>
          <w:p w14:paraId="67021F4F" w14:textId="77777777" w:rsidR="00247E8A" w:rsidRDefault="00247E8A" w:rsidP="00247E8A">
            <w:r>
              <w:t>B2</w:t>
            </w:r>
          </w:p>
          <w:p w14:paraId="57781135" w14:textId="77777777" w:rsidR="00247E8A" w:rsidRDefault="00247E8A" w:rsidP="00247E8A">
            <w:r>
              <w:t>Drugs which have been taken by only a limited number of pregnant women and women of childbearing age, without an increase in the frequency of malformation or other direct or indirect harmful effects on the human fetus having been observed.</w:t>
            </w:r>
          </w:p>
          <w:p w14:paraId="34391398" w14:textId="77777777" w:rsidR="00247E8A" w:rsidRDefault="00247E8A" w:rsidP="00247E8A">
            <w:r>
              <w:t>Studies in animals are inadequate or may be lacking, but available data show no evidence of an increased occurrence of fetal damage.</w:t>
            </w:r>
          </w:p>
          <w:p w14:paraId="28F12074" w14:textId="0CB172EE" w:rsidR="009F2673" w:rsidRPr="00487162" w:rsidRDefault="00247E8A" w:rsidP="00247E8A">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7A44107A" w14:textId="7E87F98E" w:rsidR="008E7846" w:rsidRDefault="008E7846" w:rsidP="009A3BDC">
      <w:pPr>
        <w:pStyle w:val="Heading3"/>
        <w:tabs>
          <w:tab w:val="left" w:pos="3525"/>
        </w:tabs>
      </w:pPr>
      <w:bookmarkStart w:id="9" w:name="_Toc247691503"/>
      <w:bookmarkStart w:id="10" w:name="_Toc314842484"/>
      <w:bookmarkStart w:id="11" w:name="_Toc126055188"/>
      <w:r>
        <w:t>Product background</w:t>
      </w:r>
      <w:bookmarkEnd w:id="9"/>
      <w:bookmarkEnd w:id="10"/>
      <w:bookmarkEnd w:id="11"/>
    </w:p>
    <w:p w14:paraId="203903B2" w14:textId="75558A8D" w:rsidR="009F2673" w:rsidRDefault="009F2673" w:rsidP="009F2673">
      <w:r w:rsidRPr="000A4A42">
        <w:t xml:space="preserve">This AusPAR describes the </w:t>
      </w:r>
      <w:r w:rsidR="001E359E">
        <w:t>submission</w:t>
      </w:r>
      <w:r w:rsidRPr="000A4A42">
        <w:t xml:space="preserve"> by</w:t>
      </w:r>
      <w:r w:rsidR="00247E8A" w:rsidRPr="00247E8A">
        <w:t xml:space="preserve"> BioMarin Pharmaceutical Australia Pty Ltd</w:t>
      </w:r>
      <w:r w:rsidRPr="000A4A42">
        <w:t xml:space="preserve"> (the sponsor) to register </w:t>
      </w:r>
      <w:r w:rsidR="00247E8A">
        <w:t>Voxzogo</w:t>
      </w:r>
      <w:r w:rsidRPr="000A4A42">
        <w:t xml:space="preserve"> (</w:t>
      </w:r>
      <w:r w:rsidR="00247E8A">
        <w:t>vosoritide</w:t>
      </w:r>
      <w:r w:rsidRPr="000A4A42">
        <w:t xml:space="preserve">) </w:t>
      </w:r>
      <w:r w:rsidR="00667E1D">
        <w:t xml:space="preserve">0.4 mg, 0.56 mg, and 1.2 mg </w:t>
      </w:r>
      <w:r w:rsidR="00247E8A">
        <w:t>powder for injection</w:t>
      </w:r>
      <w:r w:rsidR="00980A28">
        <w:t xml:space="preserve"> </w:t>
      </w:r>
      <w:r w:rsidR="00667E1D">
        <w:t xml:space="preserve">(vial) </w:t>
      </w:r>
      <w:r w:rsidRPr="000A4A42">
        <w:t>for the following proposed indication:</w:t>
      </w:r>
    </w:p>
    <w:p w14:paraId="210B3A2C" w14:textId="347B9EA0" w:rsidR="00980A28" w:rsidRDefault="00980A28" w:rsidP="00980A28">
      <w:pPr>
        <w:ind w:left="720"/>
        <w:rPr>
          <w:i/>
          <w:iCs/>
        </w:rPr>
      </w:pPr>
      <w:r w:rsidRPr="00980A28">
        <w:rPr>
          <w:i/>
          <w:iCs/>
        </w:rPr>
        <w:t>Voxzogo is indicated for the treatment of achondroplasia in patients 2 years of age and older whose epiphyses are not closed. The diagnosis of achondroplasia should be confirmed by appropriate genetic testing.</w:t>
      </w:r>
    </w:p>
    <w:p w14:paraId="47223AB5" w14:textId="2EE65655" w:rsidR="00667E1D" w:rsidRDefault="00667E1D" w:rsidP="00FB1897">
      <w:r>
        <w:t>Each vial of vosoritide is intended to be diluted</w:t>
      </w:r>
      <w:r w:rsidR="00AF3E92">
        <w:t xml:space="preserve"> with water for injection</w:t>
      </w:r>
      <w:r>
        <w:t xml:space="preserve"> </w:t>
      </w:r>
      <w:r w:rsidR="0086767E">
        <w:t>(via a supplied prefilled syringe with the intended volume of diluent needed) prior to administration. Each vial, well reconstituted provides the following</w:t>
      </w:r>
      <w:r>
        <w:t>:</w:t>
      </w:r>
    </w:p>
    <w:p w14:paraId="1227FE6E" w14:textId="2058378C" w:rsidR="00667E1D" w:rsidRDefault="0086767E" w:rsidP="00FB1897">
      <w:pPr>
        <w:pStyle w:val="ListBullet"/>
      </w:pPr>
      <w:r>
        <w:t>0.4 mg/</w:t>
      </w:r>
      <w:r w:rsidR="00667E1D">
        <w:t>vial</w:t>
      </w:r>
      <w:r w:rsidR="00AF3E92">
        <w:t xml:space="preserve">, </w:t>
      </w:r>
      <w:r w:rsidR="00667E1D">
        <w:t xml:space="preserve">reconstituted as 0.4 mg/0.5 mL solution, corresponding to </w:t>
      </w:r>
      <w:r w:rsidR="00A818CC">
        <w:t xml:space="preserve">a </w:t>
      </w:r>
      <w:r>
        <w:t>vosoritide </w:t>
      </w:r>
      <w:r w:rsidR="00667E1D">
        <w:t>0.8 mg/mL concentration</w:t>
      </w:r>
      <w:r w:rsidR="00AF3E92">
        <w:t>;</w:t>
      </w:r>
    </w:p>
    <w:p w14:paraId="23588061" w14:textId="0FB1ABF0" w:rsidR="00667E1D" w:rsidRDefault="00667E1D" w:rsidP="00FB1897">
      <w:pPr>
        <w:pStyle w:val="ListBullet"/>
      </w:pPr>
      <w:r>
        <w:t>0.56 mg/vial</w:t>
      </w:r>
      <w:r w:rsidR="00AF3E92">
        <w:t xml:space="preserve">, </w:t>
      </w:r>
      <w:r>
        <w:t xml:space="preserve">reconstituted as 0.56 mg/0.7 mL solution, corresponding to </w:t>
      </w:r>
      <w:r w:rsidR="00A818CC">
        <w:t xml:space="preserve">a </w:t>
      </w:r>
      <w:r w:rsidR="0086767E">
        <w:t>vosoritide </w:t>
      </w:r>
      <w:r>
        <w:t>0.8 mg/mL concentration</w:t>
      </w:r>
      <w:r w:rsidR="00AF3E92">
        <w:t>; and</w:t>
      </w:r>
    </w:p>
    <w:p w14:paraId="058135D9" w14:textId="2AD8A4BD" w:rsidR="00667E1D" w:rsidRPr="00667E1D" w:rsidRDefault="00667E1D" w:rsidP="00FB1897">
      <w:pPr>
        <w:pStyle w:val="ListBullet"/>
      </w:pPr>
      <w:r>
        <w:t>1.2 mg/vial</w:t>
      </w:r>
      <w:r w:rsidR="00AF3E92">
        <w:t xml:space="preserve"> </w:t>
      </w:r>
      <w:r>
        <w:t xml:space="preserve">reconstituted as 1.2 mg/0.6 mL solution, corresponding to </w:t>
      </w:r>
      <w:r w:rsidR="00A818CC">
        <w:t xml:space="preserve">a </w:t>
      </w:r>
      <w:r w:rsidR="0086767E">
        <w:t>vosoritide 2 </w:t>
      </w:r>
      <w:r>
        <w:t>mg/mL concentration)</w:t>
      </w:r>
    </w:p>
    <w:p w14:paraId="77CEF5A1" w14:textId="194F5425" w:rsidR="00980A28" w:rsidRPr="008D2A87" w:rsidRDefault="00980A28" w:rsidP="008D2A87">
      <w:r w:rsidRPr="008D2A87">
        <w:t>Achondroplasia is an inherited autosomal dominant condition caused by a gain of function mutation in</w:t>
      </w:r>
      <w:r w:rsidR="00AF3E92">
        <w:t xml:space="preserve"> the</w:t>
      </w:r>
      <w:r w:rsidR="0036309C" w:rsidRPr="0036309C">
        <w:t xml:space="preserve"> </w:t>
      </w:r>
      <w:r w:rsidR="00D249B1" w:rsidRPr="00FB1897">
        <w:rPr>
          <w:iCs/>
        </w:rPr>
        <w:t>f</w:t>
      </w:r>
      <w:r w:rsidR="0036309C" w:rsidRPr="00FB1897">
        <w:rPr>
          <w:iCs/>
        </w:rPr>
        <w:t xml:space="preserve">ibroblast </w:t>
      </w:r>
      <w:r w:rsidR="00D249B1" w:rsidRPr="00FB1897">
        <w:rPr>
          <w:iCs/>
        </w:rPr>
        <w:t>g</w:t>
      </w:r>
      <w:r w:rsidR="0036309C" w:rsidRPr="00FB1897">
        <w:rPr>
          <w:iCs/>
        </w:rPr>
        <w:t xml:space="preserve">rowth </w:t>
      </w:r>
      <w:r w:rsidR="00D249B1" w:rsidRPr="00FB1897">
        <w:rPr>
          <w:iCs/>
        </w:rPr>
        <w:t>f</w:t>
      </w:r>
      <w:r w:rsidR="0036309C" w:rsidRPr="00FB1897">
        <w:rPr>
          <w:iCs/>
        </w:rPr>
        <w:t xml:space="preserve">actor </w:t>
      </w:r>
      <w:r w:rsidR="00D249B1" w:rsidRPr="00FB1897">
        <w:rPr>
          <w:iCs/>
        </w:rPr>
        <w:t>r</w:t>
      </w:r>
      <w:r w:rsidR="0036309C" w:rsidRPr="00FB1897">
        <w:rPr>
          <w:iCs/>
        </w:rPr>
        <w:t>eceptor 3</w:t>
      </w:r>
      <w:r w:rsidR="0036309C" w:rsidRPr="0036309C">
        <w:t xml:space="preserve"> </w:t>
      </w:r>
      <w:r w:rsidR="00D249B1">
        <w:t xml:space="preserve">gene </w:t>
      </w:r>
      <w:r w:rsidR="0036309C">
        <w:t>(</w:t>
      </w:r>
      <w:r w:rsidRPr="00DE43A4">
        <w:rPr>
          <w:i/>
          <w:iCs/>
        </w:rPr>
        <w:t>FGFR3</w:t>
      </w:r>
      <w:r w:rsidR="0036309C">
        <w:t>)</w:t>
      </w:r>
      <w:r w:rsidRPr="008D2A87">
        <w:t xml:space="preserve">, </w:t>
      </w:r>
      <w:r w:rsidR="00AF3E92">
        <w:t xml:space="preserve">encoding </w:t>
      </w:r>
      <w:r w:rsidRPr="008D2A87">
        <w:t xml:space="preserve">a negative regulator of chondrocyte proliferation and differentiation in the long bone growth plate. </w:t>
      </w:r>
      <w:r w:rsidR="00AF3E92" w:rsidRPr="008D2A87">
        <w:t>Achondroplasia</w:t>
      </w:r>
      <w:r w:rsidR="00AF3E92" w:rsidRPr="008D2A87" w:rsidDel="00AF3E92">
        <w:t xml:space="preserve"> </w:t>
      </w:r>
      <w:r w:rsidRPr="008D2A87">
        <w:t xml:space="preserve">accounts for more than 90% of disproportionate short stature, or dwarfism, and is characterised by shortening of the proximal part of the arms and legs. </w:t>
      </w:r>
      <w:r w:rsidR="00AF3E92" w:rsidRPr="008D2A87">
        <w:t>Achondroplasia</w:t>
      </w:r>
      <w:r w:rsidR="00AF3E92" w:rsidRPr="008D2A87" w:rsidDel="00AF3E92">
        <w:t xml:space="preserve"> </w:t>
      </w:r>
      <w:r w:rsidRPr="008D2A87">
        <w:t>is associated with potentially serious medical complications such as foramen magnum and spinal stenosis, both of which cause increased morbidity and mortality.</w:t>
      </w:r>
    </w:p>
    <w:p w14:paraId="6DA77E18" w14:textId="49CE9249" w:rsidR="00980A28" w:rsidRPr="008D2A87" w:rsidRDefault="00980A28" w:rsidP="008D2A87">
      <w:r w:rsidRPr="008D2A87">
        <w:t xml:space="preserve">Additional clinical characteristics include bowed legs, frontal bossing, macrocephaly with a prominent forehead, midface hypoplasia, narrow chest, trident shaped hands with short fingers, spinal cord compression, otitis media, hearing loss, dental overcrowding, excessive weight gain, severe thoracolumbar kyphosis, and lumbar lordosis. Patients with </w:t>
      </w:r>
      <w:r w:rsidRPr="008D2A87">
        <w:lastRenderedPageBreak/>
        <w:t>achondroplasia suffer from impaired health related quality of life, with decreased physical and mental health scores.</w:t>
      </w:r>
    </w:p>
    <w:p w14:paraId="7D93E374" w14:textId="135BC757" w:rsidR="00980A28" w:rsidRPr="008D2A87" w:rsidRDefault="00980A28" w:rsidP="008D2A87">
      <w:r w:rsidRPr="008D2A87">
        <w:t xml:space="preserve">There are currently no pharmacological treatments for </w:t>
      </w:r>
      <w:r w:rsidR="00AF3E92">
        <w:t>a</w:t>
      </w:r>
      <w:r w:rsidR="00AF3E92" w:rsidRPr="008D2A87">
        <w:t>chondroplasia</w:t>
      </w:r>
      <w:r w:rsidR="00AF3E92" w:rsidRPr="008D2A87" w:rsidDel="00AF3E92">
        <w:t xml:space="preserve"> </w:t>
      </w:r>
      <w:r w:rsidRPr="008D2A87">
        <w:t>registered in Australia, and the only standard treatment is supportive care, which includes devices and occupational therapy to help with the activities of daily living, physical therapy, and surgical interventions to manage medical complications associated with the disease. Due to the risk of potentially serious sequelae, it is important that treatment is sought for complications at an early stage.</w:t>
      </w:r>
    </w:p>
    <w:p w14:paraId="4E10F5C1" w14:textId="55871E27" w:rsidR="00980A28" w:rsidRPr="008D2A87" w:rsidRDefault="00980A28" w:rsidP="008D2A87">
      <w:r w:rsidRPr="008D2A87">
        <w:t xml:space="preserve">Vosoritide was designed to mimic </w:t>
      </w:r>
      <w:r w:rsidR="0036309C" w:rsidRPr="0036309C">
        <w:t xml:space="preserve">C-type natriuretic peptide </w:t>
      </w:r>
      <w:r w:rsidR="0036309C">
        <w:t>(</w:t>
      </w:r>
      <w:r w:rsidRPr="0036309C">
        <w:t>CNP</w:t>
      </w:r>
      <w:r w:rsidR="0036309C">
        <w:t>)</w:t>
      </w:r>
      <w:r w:rsidRPr="008D2A87">
        <w:t xml:space="preserve"> pharmacological activity by down regulating </w:t>
      </w:r>
      <w:r w:rsidRPr="00956FEE">
        <w:rPr>
          <w:i/>
          <w:iCs/>
        </w:rPr>
        <w:t>FGFR3</w:t>
      </w:r>
      <w:r w:rsidR="00AF3E92">
        <w:t>-</w:t>
      </w:r>
      <w:r w:rsidRPr="008D2A87">
        <w:t xml:space="preserve">signalling and consequently promoting endochondral bone formation, such that with sufficient duration of treatment, it has the potential to improve the phenotype of individuals with </w:t>
      </w:r>
      <w:r w:rsidR="00AF3E92">
        <w:t>achondroplasia</w:t>
      </w:r>
      <w:r w:rsidRPr="008D2A87">
        <w:t>. Vosoritide was developed to be resistant to neutral endopeptidase (NEP) degradation resulting in an extended half</w:t>
      </w:r>
      <w:r w:rsidR="00AF3E92">
        <w:noBreakHyphen/>
      </w:r>
      <w:r w:rsidRPr="008D2A87">
        <w:t>life (t</w:t>
      </w:r>
      <w:r w:rsidRPr="008D2A87">
        <w:rPr>
          <w:vertAlign w:val="subscript"/>
        </w:rPr>
        <w:t>1/2</w:t>
      </w:r>
      <w:r w:rsidRPr="008D2A87">
        <w:t>) relative to endogenous CNP that increases exposure to the target growth plate and allows for once daily subcutaneous administration to produce its desired pharmacologic effect.</w:t>
      </w:r>
    </w:p>
    <w:p w14:paraId="6D1A6197" w14:textId="749650BC" w:rsidR="009F2673" w:rsidRDefault="009F2673" w:rsidP="009F2673">
      <w:bookmarkStart w:id="12" w:name="_Toc314842485"/>
      <w:bookmarkStart w:id="13" w:name="_Toc247691504"/>
      <w:r w:rsidRPr="000A4A42">
        <w:t xml:space="preserve">This </w:t>
      </w:r>
      <w:r w:rsidR="00BB0B78">
        <w:t>submission</w:t>
      </w:r>
      <w:r w:rsidRPr="000A4A42">
        <w:t xml:space="preserve"> was submitted through the TGA’s </w:t>
      </w:r>
      <w:hyperlink r:id="rId15" w:history="1">
        <w:r w:rsidRPr="005A2EB8">
          <w:rPr>
            <w:rStyle w:val="Hyperlink"/>
          </w:rPr>
          <w:t>Comparable Overseas Regulator</w:t>
        </w:r>
      </w:hyperlink>
      <w:r>
        <w:t xml:space="preserve"> </w:t>
      </w:r>
      <w:r w:rsidRPr="000A4A42">
        <w:t>A (COR-A)</w:t>
      </w:r>
      <w:r w:rsidR="008D2A87">
        <w:t xml:space="preserve"> </w:t>
      </w:r>
      <w:r w:rsidRPr="000A4A42">
        <w:t xml:space="preserve">process, using evaluation reports from </w:t>
      </w:r>
      <w:r w:rsidR="0036309C" w:rsidRPr="0036309C">
        <w:t xml:space="preserve">European Medicines Agency </w:t>
      </w:r>
      <w:r w:rsidR="0036309C">
        <w:t>(EMA)</w:t>
      </w:r>
      <w:r w:rsidR="0036309C" w:rsidRPr="0036309C">
        <w:t xml:space="preserve"> </w:t>
      </w:r>
      <w:r w:rsidRPr="000A4A42">
        <w:t>The full dossier was submitted to the TGA.</w:t>
      </w:r>
    </w:p>
    <w:p w14:paraId="281EBD51" w14:textId="77777777" w:rsidR="008E7846" w:rsidRPr="003F31A2" w:rsidRDefault="00386150" w:rsidP="008E7846">
      <w:pPr>
        <w:pStyle w:val="Heading3"/>
      </w:pPr>
      <w:bookmarkStart w:id="14" w:name="_Toc126055189"/>
      <w:r>
        <w:t>Regulatory s</w:t>
      </w:r>
      <w:r w:rsidR="008E7846">
        <w:t>tatus</w:t>
      </w:r>
      <w:bookmarkEnd w:id="12"/>
      <w:bookmarkEnd w:id="13"/>
      <w:bookmarkEnd w:id="14"/>
    </w:p>
    <w:p w14:paraId="3E518FC9" w14:textId="690EBEDC" w:rsidR="00332715" w:rsidRDefault="00332715" w:rsidP="00332715">
      <w:bookmarkStart w:id="15" w:name="_Toc247691505"/>
      <w:bookmarkStart w:id="16" w:name="_Toc314842486"/>
      <w:r>
        <w:t>This product is considered a new biological entity for Australian regulatory purposes.</w:t>
      </w:r>
    </w:p>
    <w:p w14:paraId="31E83511" w14:textId="45A43289" w:rsidR="00332715" w:rsidRDefault="00332715" w:rsidP="00332715">
      <w:r>
        <w:t xml:space="preserve">This product received </w:t>
      </w:r>
      <w:hyperlink r:id="rId16" w:history="1">
        <w:r>
          <w:rPr>
            <w:rStyle w:val="Hyperlink"/>
          </w:rPr>
          <w:t>orphan drug designation</w:t>
        </w:r>
      </w:hyperlink>
      <w:r>
        <w:t xml:space="preserve"> on </w:t>
      </w:r>
      <w:r w:rsidR="00CC3242">
        <w:t>16 June 2021</w:t>
      </w:r>
      <w:r>
        <w:t xml:space="preserve"> for the following indication:</w:t>
      </w:r>
    </w:p>
    <w:p w14:paraId="57C1BCC6" w14:textId="5DAB85F5" w:rsidR="00CC3242" w:rsidRPr="00DE43A4" w:rsidRDefault="00CC3242" w:rsidP="00DE43A4">
      <w:pPr>
        <w:ind w:firstLine="720"/>
        <w:rPr>
          <w:i/>
          <w:iCs/>
        </w:rPr>
      </w:pPr>
      <w:r w:rsidRPr="00DE43A4">
        <w:rPr>
          <w:i/>
          <w:iCs/>
        </w:rPr>
        <w:t>For the treatment of achondroplasia (ACH).</w:t>
      </w:r>
    </w:p>
    <w:p w14:paraId="6DE6568C" w14:textId="3B9CA053" w:rsidR="00332715" w:rsidRDefault="00332715" w:rsidP="00332715">
      <w:r>
        <w:t xml:space="preserve">At the time the TGA considered this </w:t>
      </w:r>
      <w:r w:rsidR="00BB0B78">
        <w:t>submission</w:t>
      </w:r>
      <w:r>
        <w:t xml:space="preserve">, a similar </w:t>
      </w:r>
      <w:r w:rsidR="00BB0B78">
        <w:t>submission</w:t>
      </w:r>
      <w:r>
        <w:t xml:space="preserve"> had been approved in </w:t>
      </w:r>
      <w:r w:rsidR="00CC3242">
        <w:t>the European Union</w:t>
      </w:r>
      <w:r>
        <w:t xml:space="preserve"> on </w:t>
      </w:r>
      <w:r w:rsidR="00CC3242">
        <w:t>26 August 2021</w:t>
      </w:r>
      <w:r>
        <w:t xml:space="preserve">. A similar </w:t>
      </w:r>
      <w:r w:rsidR="00BB0B78">
        <w:t>submission</w:t>
      </w:r>
      <w:r>
        <w:t xml:space="preserve"> was under consideration in </w:t>
      </w:r>
      <w:r w:rsidR="00CC3242">
        <w:t>the United States</w:t>
      </w:r>
      <w:r>
        <w:t xml:space="preserve"> (submitted on </w:t>
      </w:r>
      <w:r w:rsidR="00CC3242">
        <w:t>20 August 2020</w:t>
      </w:r>
      <w:r>
        <w:t>)</w:t>
      </w:r>
      <w:r w:rsidR="00CC3242">
        <w:t xml:space="preserve"> and Japan (submitted on 28</w:t>
      </w:r>
      <w:r w:rsidR="00AF3E92">
        <w:t> </w:t>
      </w:r>
      <w:r w:rsidR="00CC3242">
        <w:t>September 2021)</w:t>
      </w:r>
      <w:r>
        <w:t>.</w:t>
      </w:r>
    </w:p>
    <w:p w14:paraId="007749CB" w14:textId="77777777" w:rsidR="00332715" w:rsidRDefault="0072292E" w:rsidP="00332715">
      <w:r>
        <w:t xml:space="preserve">The following table </w:t>
      </w:r>
      <w:r w:rsidR="00332715">
        <w:t xml:space="preserve">summarises these </w:t>
      </w:r>
      <w:r w:rsidR="00BB0B78">
        <w:t>submissions</w:t>
      </w:r>
      <w:r w:rsidR="00332715">
        <w:t xml:space="preserve"> and provides the indications where approved.</w:t>
      </w:r>
    </w:p>
    <w:p w14:paraId="7B568F04" w14:textId="74C9EF86" w:rsidR="00324E45" w:rsidRPr="00F0146F" w:rsidRDefault="00324E45" w:rsidP="00324E45">
      <w:pPr>
        <w:pStyle w:val="TableTitle"/>
      </w:pPr>
      <w:bookmarkStart w:id="17" w:name="_Ref99705479"/>
      <w:r>
        <w:t xml:space="preserve">Table </w:t>
      </w:r>
      <w:r w:rsidR="001C74BD">
        <w:fldChar w:fldCharType="begin"/>
      </w:r>
      <w:r w:rsidR="001C74BD">
        <w:instrText xml:space="preserve"> SEQ Table \* ARABIC </w:instrText>
      </w:r>
      <w:r w:rsidR="001C74BD">
        <w:fldChar w:fldCharType="separate"/>
      </w:r>
      <w:r w:rsidR="00736E75">
        <w:rPr>
          <w:noProof/>
        </w:rPr>
        <w:t>1</w:t>
      </w:r>
      <w:r w:rsidR="001C74BD">
        <w:rPr>
          <w:noProof/>
        </w:rPr>
        <w:fldChar w:fldCharType="end"/>
      </w:r>
      <w:bookmarkEnd w:id="17"/>
      <w:r>
        <w:t>: International regulatory status</w:t>
      </w:r>
    </w:p>
    <w:tbl>
      <w:tblPr>
        <w:tblStyle w:val="TableTGAblue"/>
        <w:tblW w:w="8815" w:type="dxa"/>
        <w:tblLook w:val="04A0" w:firstRow="1" w:lastRow="0" w:firstColumn="1" w:lastColumn="0" w:noHBand="0" w:noVBand="1"/>
      </w:tblPr>
      <w:tblGrid>
        <w:gridCol w:w="1435"/>
        <w:gridCol w:w="1890"/>
        <w:gridCol w:w="2250"/>
        <w:gridCol w:w="3240"/>
      </w:tblGrid>
      <w:tr w:rsidR="00892DF8" w14:paraId="3B1272AE" w14:textId="77777777" w:rsidTr="00FB1897">
        <w:trPr>
          <w:cnfStyle w:val="100000000000" w:firstRow="1" w:lastRow="0" w:firstColumn="0" w:lastColumn="0" w:oddVBand="0" w:evenVBand="0" w:oddHBand="0" w:evenHBand="0" w:firstRowFirstColumn="0" w:firstRowLastColumn="0" w:lastRowFirstColumn="0" w:lastRowLastColumn="0"/>
        </w:trPr>
        <w:tc>
          <w:tcPr>
            <w:tcW w:w="1435" w:type="dxa"/>
            <w:tcBorders>
              <w:top w:val="single" w:sz="4" w:space="0" w:color="auto"/>
              <w:left w:val="single" w:sz="4" w:space="0" w:color="auto"/>
              <w:bottom w:val="single" w:sz="4" w:space="0" w:color="auto"/>
              <w:right w:val="single" w:sz="4" w:space="0" w:color="auto"/>
            </w:tcBorders>
          </w:tcPr>
          <w:p w14:paraId="42B974FB" w14:textId="77777777" w:rsidR="00006FAB" w:rsidRDefault="00006FAB" w:rsidP="00006FAB">
            <w:pPr>
              <w:ind w:left="0" w:right="0"/>
            </w:pPr>
            <w:r>
              <w:t>Region</w:t>
            </w:r>
          </w:p>
        </w:tc>
        <w:tc>
          <w:tcPr>
            <w:tcW w:w="1890" w:type="dxa"/>
            <w:tcBorders>
              <w:top w:val="single" w:sz="4" w:space="0" w:color="auto"/>
              <w:left w:val="single" w:sz="4" w:space="0" w:color="auto"/>
              <w:bottom w:val="single" w:sz="4" w:space="0" w:color="auto"/>
              <w:right w:val="single" w:sz="4" w:space="0" w:color="auto"/>
            </w:tcBorders>
          </w:tcPr>
          <w:p w14:paraId="5FC98F2F" w14:textId="77777777" w:rsidR="00006FAB" w:rsidRDefault="00006FAB" w:rsidP="00006FAB">
            <w:pPr>
              <w:ind w:left="0" w:right="0"/>
            </w:pPr>
            <w:r>
              <w:t>Submission date</w:t>
            </w:r>
          </w:p>
        </w:tc>
        <w:tc>
          <w:tcPr>
            <w:tcW w:w="2250" w:type="dxa"/>
            <w:tcBorders>
              <w:top w:val="single" w:sz="4" w:space="0" w:color="auto"/>
              <w:left w:val="single" w:sz="4" w:space="0" w:color="auto"/>
              <w:bottom w:val="single" w:sz="4" w:space="0" w:color="auto"/>
              <w:right w:val="single" w:sz="4" w:space="0" w:color="auto"/>
            </w:tcBorders>
          </w:tcPr>
          <w:p w14:paraId="5286DB49" w14:textId="77777777" w:rsidR="00006FAB" w:rsidRDefault="00006FAB" w:rsidP="00006FAB">
            <w:pPr>
              <w:ind w:left="0" w:right="0"/>
            </w:pPr>
            <w:r>
              <w:t>Status</w:t>
            </w:r>
          </w:p>
        </w:tc>
        <w:tc>
          <w:tcPr>
            <w:tcW w:w="3240" w:type="dxa"/>
            <w:tcBorders>
              <w:top w:val="single" w:sz="4" w:space="0" w:color="auto"/>
              <w:left w:val="single" w:sz="4" w:space="0" w:color="auto"/>
              <w:bottom w:val="single" w:sz="4" w:space="0" w:color="auto"/>
              <w:right w:val="single" w:sz="4" w:space="0" w:color="auto"/>
            </w:tcBorders>
          </w:tcPr>
          <w:p w14:paraId="1A9757DD" w14:textId="77777777" w:rsidR="00006FAB" w:rsidRDefault="00006FAB" w:rsidP="00006FAB">
            <w:pPr>
              <w:ind w:left="0" w:right="0"/>
            </w:pPr>
            <w:r>
              <w:t>Approved indications</w:t>
            </w:r>
          </w:p>
        </w:tc>
      </w:tr>
      <w:tr w:rsidR="00006FAB" w14:paraId="5C627F24" w14:textId="77777777" w:rsidTr="00FB1897">
        <w:tc>
          <w:tcPr>
            <w:tcW w:w="1435" w:type="dxa"/>
            <w:tcBorders>
              <w:top w:val="single" w:sz="4" w:space="0" w:color="auto"/>
            </w:tcBorders>
          </w:tcPr>
          <w:p w14:paraId="3EEDE2BB" w14:textId="77777777" w:rsidR="00006FAB" w:rsidRPr="005060DF" w:rsidRDefault="00CC3242" w:rsidP="00006FAB">
            <w:pPr>
              <w:ind w:left="0" w:right="0"/>
              <w:rPr>
                <w:szCs w:val="22"/>
              </w:rPr>
            </w:pPr>
            <w:r w:rsidRPr="005060DF">
              <w:rPr>
                <w:szCs w:val="22"/>
              </w:rPr>
              <w:t>European Union</w:t>
            </w:r>
          </w:p>
          <w:p w14:paraId="04BFD721" w14:textId="77777777" w:rsidR="00D249B1" w:rsidRPr="005060DF" w:rsidRDefault="00D249B1" w:rsidP="00006FAB">
            <w:pPr>
              <w:ind w:left="0" w:right="0"/>
              <w:rPr>
                <w:szCs w:val="22"/>
              </w:rPr>
            </w:pPr>
            <w:r w:rsidRPr="005060DF">
              <w:rPr>
                <w:szCs w:val="22"/>
              </w:rPr>
              <w:t>Rapporteur: Germany</w:t>
            </w:r>
          </w:p>
          <w:p w14:paraId="4DC65C4B" w14:textId="3460C207" w:rsidR="00D249B1" w:rsidRPr="005060DF" w:rsidRDefault="00D249B1" w:rsidP="00006FAB">
            <w:pPr>
              <w:ind w:left="0" w:right="0"/>
              <w:rPr>
                <w:szCs w:val="22"/>
              </w:rPr>
            </w:pPr>
            <w:r w:rsidRPr="005060DF">
              <w:rPr>
                <w:szCs w:val="22"/>
              </w:rPr>
              <w:t>Co-rapporteur: Austria</w:t>
            </w:r>
          </w:p>
        </w:tc>
        <w:tc>
          <w:tcPr>
            <w:tcW w:w="1890" w:type="dxa"/>
            <w:tcBorders>
              <w:top w:val="single" w:sz="4" w:space="0" w:color="auto"/>
            </w:tcBorders>
          </w:tcPr>
          <w:p w14:paraId="4DCF9657" w14:textId="1B887F24" w:rsidR="00006FAB" w:rsidRPr="005060DF" w:rsidRDefault="00CC3242" w:rsidP="00006FAB">
            <w:pPr>
              <w:ind w:left="0" w:right="0"/>
              <w:rPr>
                <w:szCs w:val="22"/>
              </w:rPr>
            </w:pPr>
            <w:r w:rsidRPr="005060DF">
              <w:rPr>
                <w:szCs w:val="22"/>
              </w:rPr>
              <w:t>24 July 2020</w:t>
            </w:r>
          </w:p>
        </w:tc>
        <w:tc>
          <w:tcPr>
            <w:tcW w:w="2250" w:type="dxa"/>
            <w:tcBorders>
              <w:top w:val="single" w:sz="4" w:space="0" w:color="auto"/>
            </w:tcBorders>
          </w:tcPr>
          <w:p w14:paraId="2FC7736E" w14:textId="19782CCA" w:rsidR="00006FAB" w:rsidRPr="005060DF" w:rsidRDefault="00006FAB" w:rsidP="00006FAB">
            <w:pPr>
              <w:ind w:left="0" w:right="0"/>
              <w:rPr>
                <w:szCs w:val="22"/>
              </w:rPr>
            </w:pPr>
            <w:r w:rsidRPr="005060DF">
              <w:rPr>
                <w:szCs w:val="22"/>
              </w:rPr>
              <w:t xml:space="preserve">Approved on </w:t>
            </w:r>
            <w:r w:rsidR="00CC3242" w:rsidRPr="005060DF">
              <w:rPr>
                <w:szCs w:val="22"/>
              </w:rPr>
              <w:t>26</w:t>
            </w:r>
            <w:r w:rsidR="00AF3E92">
              <w:rPr>
                <w:szCs w:val="22"/>
              </w:rPr>
              <w:t> </w:t>
            </w:r>
            <w:r w:rsidR="00CC3242" w:rsidRPr="005060DF">
              <w:rPr>
                <w:szCs w:val="22"/>
              </w:rPr>
              <w:t>August 2021</w:t>
            </w:r>
          </w:p>
        </w:tc>
        <w:tc>
          <w:tcPr>
            <w:tcW w:w="3240" w:type="dxa"/>
            <w:tcBorders>
              <w:top w:val="single" w:sz="4" w:space="0" w:color="auto"/>
            </w:tcBorders>
          </w:tcPr>
          <w:p w14:paraId="11A4050D" w14:textId="17C91D5D" w:rsidR="00006FAB" w:rsidRPr="005060DF" w:rsidRDefault="00CC3242" w:rsidP="00CC3242">
            <w:pPr>
              <w:ind w:left="0" w:right="0"/>
              <w:rPr>
                <w:i/>
                <w:iCs/>
                <w:szCs w:val="22"/>
              </w:rPr>
            </w:pPr>
            <w:r w:rsidRPr="005060DF">
              <w:rPr>
                <w:i/>
                <w:iCs/>
                <w:szCs w:val="22"/>
              </w:rPr>
              <w:t>Voxzogo is indicated for the treatment of achondroplasia in patients 2 years of age and older whose epiphyses are not closed. The diagnosis of achondroplasia should be confirmed by appropriate genetic testing. (</w:t>
            </w:r>
            <w:r w:rsidRPr="00FB1897">
              <w:rPr>
                <w:iCs/>
              </w:rPr>
              <w:t xml:space="preserve">Approved orphan </w:t>
            </w:r>
            <w:r w:rsidR="00FB1897" w:rsidRPr="00FB1897">
              <w:rPr>
                <w:iCs/>
              </w:rPr>
              <w:t>indication</w:t>
            </w:r>
            <w:r w:rsidR="00FB1897">
              <w:rPr>
                <w:iCs/>
                <w:szCs w:val="22"/>
              </w:rPr>
              <w:t>:</w:t>
            </w:r>
            <w:r w:rsidR="00FB1897" w:rsidRPr="00FB1897">
              <w:rPr>
                <w:iCs/>
              </w:rPr>
              <w:t xml:space="preserve"> Treatment</w:t>
            </w:r>
            <w:r w:rsidRPr="00FB1897">
              <w:rPr>
                <w:iCs/>
              </w:rPr>
              <w:t xml:space="preserve"> of </w:t>
            </w:r>
            <w:r w:rsidR="00AF3E92" w:rsidRPr="00AF3E92">
              <w:t>achondroplasia</w:t>
            </w:r>
            <w:r w:rsidRPr="005060DF">
              <w:rPr>
                <w:i/>
                <w:iCs/>
                <w:szCs w:val="22"/>
              </w:rPr>
              <w:t>)</w:t>
            </w:r>
          </w:p>
        </w:tc>
      </w:tr>
      <w:tr w:rsidR="00892DF8" w14:paraId="7448B93B" w14:textId="77777777" w:rsidTr="00FB1897">
        <w:tc>
          <w:tcPr>
            <w:tcW w:w="1435" w:type="dxa"/>
          </w:tcPr>
          <w:p w14:paraId="73DE7869" w14:textId="110D9DB9" w:rsidR="00892DF8" w:rsidRPr="005060DF" w:rsidRDefault="00892DF8" w:rsidP="00892DF8">
            <w:pPr>
              <w:ind w:left="0"/>
              <w:rPr>
                <w:szCs w:val="22"/>
              </w:rPr>
            </w:pPr>
            <w:r w:rsidRPr="005060DF">
              <w:rPr>
                <w:szCs w:val="22"/>
              </w:rPr>
              <w:t>United States</w:t>
            </w:r>
            <w:r w:rsidR="00AF3E92">
              <w:rPr>
                <w:szCs w:val="22"/>
              </w:rPr>
              <w:t xml:space="preserve"> of America</w:t>
            </w:r>
          </w:p>
        </w:tc>
        <w:tc>
          <w:tcPr>
            <w:tcW w:w="1890" w:type="dxa"/>
          </w:tcPr>
          <w:p w14:paraId="38BE58C5" w14:textId="775B09EB" w:rsidR="00892DF8" w:rsidRPr="005060DF" w:rsidRDefault="00892DF8" w:rsidP="00892DF8">
            <w:pPr>
              <w:ind w:left="0"/>
              <w:rPr>
                <w:szCs w:val="22"/>
              </w:rPr>
            </w:pPr>
            <w:r w:rsidRPr="005060DF">
              <w:rPr>
                <w:szCs w:val="22"/>
              </w:rPr>
              <w:t>20 August 2020</w:t>
            </w:r>
          </w:p>
        </w:tc>
        <w:tc>
          <w:tcPr>
            <w:tcW w:w="2250" w:type="dxa"/>
          </w:tcPr>
          <w:p w14:paraId="79604485" w14:textId="325AF71C" w:rsidR="00892DF8" w:rsidRPr="005060DF" w:rsidRDefault="00D249B1" w:rsidP="00892DF8">
            <w:pPr>
              <w:ind w:left="0"/>
              <w:rPr>
                <w:szCs w:val="22"/>
              </w:rPr>
            </w:pPr>
            <w:r w:rsidRPr="005060DF">
              <w:rPr>
                <w:szCs w:val="22"/>
              </w:rPr>
              <w:t>Approved on 19</w:t>
            </w:r>
            <w:r w:rsidR="00787FA5">
              <w:rPr>
                <w:szCs w:val="22"/>
              </w:rPr>
              <w:t> </w:t>
            </w:r>
            <w:r w:rsidRPr="005060DF">
              <w:rPr>
                <w:szCs w:val="22"/>
              </w:rPr>
              <w:t>November 2021</w:t>
            </w:r>
          </w:p>
        </w:tc>
        <w:tc>
          <w:tcPr>
            <w:tcW w:w="3240" w:type="dxa"/>
          </w:tcPr>
          <w:p w14:paraId="7D31A30A" w14:textId="66C6A9B6" w:rsidR="00892DF8" w:rsidRPr="005060DF" w:rsidRDefault="00D249B1" w:rsidP="00892DF8">
            <w:pPr>
              <w:ind w:left="0"/>
              <w:rPr>
                <w:szCs w:val="22"/>
              </w:rPr>
            </w:pPr>
            <w:r w:rsidRPr="005060DF">
              <w:rPr>
                <w:i/>
                <w:iCs/>
                <w:szCs w:val="22"/>
              </w:rPr>
              <w:t xml:space="preserve">Voxzogo is indicated to increase linear growth in pediatric patients with achondroplasia who are </w:t>
            </w:r>
            <w:r w:rsidRPr="005060DF">
              <w:rPr>
                <w:i/>
                <w:iCs/>
                <w:szCs w:val="22"/>
              </w:rPr>
              <w:lastRenderedPageBreak/>
              <w:t>5</w:t>
            </w:r>
            <w:r w:rsidR="00787FA5">
              <w:rPr>
                <w:i/>
                <w:iCs/>
                <w:szCs w:val="22"/>
              </w:rPr>
              <w:t> </w:t>
            </w:r>
            <w:r w:rsidRPr="005060DF">
              <w:rPr>
                <w:i/>
                <w:iCs/>
                <w:szCs w:val="22"/>
              </w:rPr>
              <w:t>years of age and older with open epiphyses. This indication is approved under accelerated approval based on an improvement in annualized growth velocity [see Clinical Studies (14)]. Continued approval for this indication may be contingent upon verification and description of clinical benefit in confirmatory trial(s).</w:t>
            </w:r>
          </w:p>
        </w:tc>
      </w:tr>
      <w:tr w:rsidR="00006FAB" w14:paraId="260F774E" w14:textId="77777777" w:rsidTr="00FB1897">
        <w:tc>
          <w:tcPr>
            <w:tcW w:w="1435" w:type="dxa"/>
          </w:tcPr>
          <w:p w14:paraId="49B4637E" w14:textId="34BFEA43" w:rsidR="00006FAB" w:rsidRPr="005060DF" w:rsidRDefault="00892DF8" w:rsidP="00006FAB">
            <w:pPr>
              <w:ind w:left="0" w:right="0"/>
              <w:rPr>
                <w:szCs w:val="22"/>
              </w:rPr>
            </w:pPr>
            <w:r w:rsidRPr="005060DF">
              <w:rPr>
                <w:szCs w:val="22"/>
              </w:rPr>
              <w:lastRenderedPageBreak/>
              <w:t>Japan</w:t>
            </w:r>
          </w:p>
        </w:tc>
        <w:tc>
          <w:tcPr>
            <w:tcW w:w="1890" w:type="dxa"/>
          </w:tcPr>
          <w:p w14:paraId="2859A354" w14:textId="1960939E" w:rsidR="00006FAB" w:rsidRPr="005060DF" w:rsidRDefault="00892DF8" w:rsidP="00006FAB">
            <w:pPr>
              <w:ind w:left="0" w:right="0"/>
              <w:rPr>
                <w:szCs w:val="22"/>
              </w:rPr>
            </w:pPr>
            <w:r w:rsidRPr="005060DF">
              <w:rPr>
                <w:szCs w:val="22"/>
              </w:rPr>
              <w:t>28 September 2021</w:t>
            </w:r>
          </w:p>
        </w:tc>
        <w:tc>
          <w:tcPr>
            <w:tcW w:w="2250" w:type="dxa"/>
          </w:tcPr>
          <w:p w14:paraId="11DB9D18" w14:textId="77777777" w:rsidR="00006FAB" w:rsidRPr="005060DF" w:rsidRDefault="00006FAB" w:rsidP="00006FAB">
            <w:pPr>
              <w:ind w:left="0" w:right="0"/>
              <w:rPr>
                <w:szCs w:val="22"/>
              </w:rPr>
            </w:pPr>
            <w:r w:rsidRPr="005060DF">
              <w:rPr>
                <w:szCs w:val="22"/>
              </w:rPr>
              <w:t>Under consideration</w:t>
            </w:r>
          </w:p>
        </w:tc>
        <w:tc>
          <w:tcPr>
            <w:tcW w:w="3240" w:type="dxa"/>
          </w:tcPr>
          <w:p w14:paraId="31265173" w14:textId="77777777" w:rsidR="00006FAB" w:rsidRPr="005060DF" w:rsidRDefault="00006FAB" w:rsidP="00006FAB">
            <w:pPr>
              <w:ind w:left="0" w:right="0"/>
              <w:rPr>
                <w:szCs w:val="22"/>
              </w:rPr>
            </w:pPr>
            <w:r w:rsidRPr="005060DF">
              <w:rPr>
                <w:szCs w:val="22"/>
              </w:rPr>
              <w:t>Under consideration</w:t>
            </w:r>
          </w:p>
        </w:tc>
      </w:tr>
    </w:tbl>
    <w:p w14:paraId="3A60AC99" w14:textId="77777777" w:rsidR="008E7846" w:rsidRDefault="008E7846" w:rsidP="00940A89">
      <w:pPr>
        <w:pStyle w:val="Heading3"/>
      </w:pPr>
      <w:bookmarkStart w:id="18" w:name="_Toc126055190"/>
      <w:r>
        <w:t>Product Information</w:t>
      </w:r>
      <w:bookmarkEnd w:id="15"/>
      <w:bookmarkEnd w:id="16"/>
      <w:bookmarkEnd w:id="18"/>
    </w:p>
    <w:p w14:paraId="29CA4B71" w14:textId="01F6E3B1" w:rsidR="00332715" w:rsidRDefault="00332715" w:rsidP="00332715">
      <w:bookmarkStart w:id="19" w:name="_Toc504480011"/>
      <w:bookmarkStart w:id="20" w:name="_Toc247691506"/>
      <w:bookmarkStart w:id="21" w:name="_Toc314842487"/>
      <w:r>
        <w:t xml:space="preserve">The Product Information (PI) approved with the submission which is described in this AusPAR can be found as Attachment 1. For the most recent PI, please refer to the TGA </w:t>
      </w:r>
      <w:hyperlink r:id="rId17" w:history="1">
        <w:r>
          <w:rPr>
            <w:rStyle w:val="Hyperlink"/>
          </w:rPr>
          <w:t>PI/CMI search facility</w:t>
        </w:r>
        <w:r w:rsidRPr="009556D7">
          <w:rPr>
            <w:rStyle w:val="Hyperlink"/>
            <w:color w:val="auto"/>
            <w:u w:val="none"/>
          </w:rPr>
          <w:t>.</w:t>
        </w:r>
      </w:hyperlink>
    </w:p>
    <w:p w14:paraId="7A6C7AF8" w14:textId="39E8635B" w:rsidR="00500337" w:rsidRDefault="00500337" w:rsidP="00BC4B9D">
      <w:pPr>
        <w:pStyle w:val="Heading2"/>
        <w:tabs>
          <w:tab w:val="left" w:pos="5595"/>
        </w:tabs>
      </w:pPr>
      <w:bookmarkStart w:id="22" w:name="_Toc126055191"/>
      <w:r>
        <w:t>Registration timeline</w:t>
      </w:r>
      <w:bookmarkEnd w:id="19"/>
      <w:bookmarkEnd w:id="22"/>
    </w:p>
    <w:p w14:paraId="2EB67268" w14:textId="77777777" w:rsidR="0074163C" w:rsidRPr="00C93EC1" w:rsidRDefault="0074163C" w:rsidP="0074163C">
      <w:r w:rsidRPr="00C93EC1">
        <w:t xml:space="preserve">The following table captures the key steps and dates for this </w:t>
      </w:r>
      <w:r w:rsidR="00804D99">
        <w:t>submission</w:t>
      </w:r>
      <w:r w:rsidRPr="00C93EC1">
        <w:t>.</w:t>
      </w:r>
    </w:p>
    <w:p w14:paraId="1131FEAD" w14:textId="430617FD" w:rsidR="0074163C" w:rsidRPr="00892DF8" w:rsidRDefault="0074163C" w:rsidP="00892DF8">
      <w:pPr>
        <w:pStyle w:val="TableTitle"/>
        <w:rPr>
          <w:szCs w:val="19"/>
        </w:rPr>
      </w:pPr>
      <w:r>
        <w:t xml:space="preserve">Table </w:t>
      </w:r>
      <w:r w:rsidR="001C74BD">
        <w:fldChar w:fldCharType="begin"/>
      </w:r>
      <w:r w:rsidR="001C74BD">
        <w:instrText xml:space="preserve"> SEQ Table \* ARABIC </w:instrText>
      </w:r>
      <w:r w:rsidR="001C74BD">
        <w:fldChar w:fldCharType="separate"/>
      </w:r>
      <w:r w:rsidR="00736E75">
        <w:rPr>
          <w:noProof/>
        </w:rPr>
        <w:t>2</w:t>
      </w:r>
      <w:r w:rsidR="001C74BD">
        <w:rPr>
          <w:noProof/>
        </w:rPr>
        <w:fldChar w:fldCharType="end"/>
      </w:r>
      <w:r>
        <w:t>:</w:t>
      </w:r>
      <w:r w:rsidRPr="006A58A8">
        <w:t xml:space="preserve"> Timeline for Submission </w:t>
      </w:r>
      <w:r w:rsidR="00892DF8" w:rsidRPr="00892DF8">
        <w:t>PM-2021-04759-1-5</w:t>
      </w:r>
    </w:p>
    <w:tbl>
      <w:tblPr>
        <w:tblStyle w:val="TableTGAblue"/>
        <w:tblW w:w="0" w:type="auto"/>
        <w:tblLook w:val="04A0" w:firstRow="1" w:lastRow="0" w:firstColumn="1" w:lastColumn="0" w:noHBand="0" w:noVBand="1"/>
      </w:tblPr>
      <w:tblGrid>
        <w:gridCol w:w="4265"/>
        <w:gridCol w:w="4229"/>
      </w:tblGrid>
      <w:tr w:rsidR="0074163C" w14:paraId="3877240C" w14:textId="77777777" w:rsidTr="00892DF8">
        <w:trPr>
          <w:cnfStyle w:val="100000000000" w:firstRow="1" w:lastRow="0" w:firstColumn="0" w:lastColumn="0" w:oddVBand="0" w:evenVBand="0" w:oddHBand="0" w:evenHBand="0" w:firstRowFirstColumn="0" w:firstRowLastColumn="0" w:lastRowFirstColumn="0" w:lastRowLastColumn="0"/>
        </w:trPr>
        <w:tc>
          <w:tcPr>
            <w:tcW w:w="4265" w:type="dxa"/>
            <w:tcBorders>
              <w:top w:val="single" w:sz="4" w:space="0" w:color="auto"/>
              <w:left w:val="single" w:sz="4" w:space="0" w:color="auto"/>
              <w:bottom w:val="single" w:sz="4" w:space="0" w:color="auto"/>
              <w:right w:val="single" w:sz="4" w:space="0" w:color="auto"/>
            </w:tcBorders>
          </w:tcPr>
          <w:p w14:paraId="4603EB1E" w14:textId="2D44EE7C" w:rsidR="0074163C" w:rsidRDefault="0074163C" w:rsidP="00BC4B9D">
            <w:pPr>
              <w:tabs>
                <w:tab w:val="right" w:pos="3879"/>
              </w:tabs>
            </w:pPr>
            <w:r>
              <w:t>Description</w:t>
            </w:r>
          </w:p>
        </w:tc>
        <w:tc>
          <w:tcPr>
            <w:tcW w:w="4229" w:type="dxa"/>
            <w:tcBorders>
              <w:top w:val="single" w:sz="4" w:space="0" w:color="auto"/>
              <w:left w:val="single" w:sz="4" w:space="0" w:color="auto"/>
              <w:bottom w:val="single" w:sz="4" w:space="0" w:color="auto"/>
              <w:right w:val="single" w:sz="4" w:space="0" w:color="auto"/>
            </w:tcBorders>
          </w:tcPr>
          <w:p w14:paraId="1F5FC78D" w14:textId="77777777" w:rsidR="0074163C" w:rsidRDefault="0074163C" w:rsidP="009E5A87">
            <w:r>
              <w:t>Date</w:t>
            </w:r>
          </w:p>
        </w:tc>
      </w:tr>
      <w:tr w:rsidR="0074163C" w14:paraId="4517DDDB" w14:textId="77777777" w:rsidTr="00892DF8">
        <w:tc>
          <w:tcPr>
            <w:tcW w:w="4265" w:type="dxa"/>
            <w:tcBorders>
              <w:top w:val="single" w:sz="4" w:space="0" w:color="auto"/>
            </w:tcBorders>
          </w:tcPr>
          <w:p w14:paraId="4DAEA033" w14:textId="27D551C3" w:rsidR="0074163C" w:rsidRPr="000351EB" w:rsidRDefault="0074163C" w:rsidP="009E5A87">
            <w:pPr>
              <w:pStyle w:val="Instructions"/>
              <w:rPr>
                <w:iCs/>
              </w:rPr>
            </w:pPr>
            <w:r w:rsidRPr="00892DF8">
              <w:rPr>
                <w:i w:val="0"/>
                <w:iCs/>
                <w:color w:val="auto"/>
              </w:rPr>
              <w:t>Designation (Orphan)</w:t>
            </w:r>
          </w:p>
        </w:tc>
        <w:tc>
          <w:tcPr>
            <w:tcW w:w="4229" w:type="dxa"/>
            <w:tcBorders>
              <w:top w:val="single" w:sz="4" w:space="0" w:color="auto"/>
            </w:tcBorders>
          </w:tcPr>
          <w:p w14:paraId="3F449513" w14:textId="25A76C02" w:rsidR="0074163C" w:rsidRDefault="00892DF8" w:rsidP="009E5A87">
            <w:r>
              <w:t>16 June 2021</w:t>
            </w:r>
          </w:p>
        </w:tc>
      </w:tr>
      <w:tr w:rsidR="0074163C" w14:paraId="18DE2A65" w14:textId="77777777" w:rsidTr="00892DF8">
        <w:tc>
          <w:tcPr>
            <w:tcW w:w="4265" w:type="dxa"/>
          </w:tcPr>
          <w:p w14:paraId="448B31A1" w14:textId="77777777" w:rsidR="0074163C" w:rsidRDefault="0074163C" w:rsidP="009E5A87">
            <w:r>
              <w:t>Submission dossier accepted and first round evaluation commenced</w:t>
            </w:r>
          </w:p>
        </w:tc>
        <w:tc>
          <w:tcPr>
            <w:tcW w:w="4229" w:type="dxa"/>
          </w:tcPr>
          <w:p w14:paraId="2AFBCC6D" w14:textId="3B53472C" w:rsidR="0074163C" w:rsidRDefault="00892DF8" w:rsidP="009E5A87">
            <w:r>
              <w:t>30 November 2021</w:t>
            </w:r>
          </w:p>
        </w:tc>
      </w:tr>
      <w:tr w:rsidR="0074163C" w14:paraId="3C4E0B5E" w14:textId="77777777" w:rsidTr="00892DF8">
        <w:tc>
          <w:tcPr>
            <w:tcW w:w="4265" w:type="dxa"/>
          </w:tcPr>
          <w:p w14:paraId="1E0D3265" w14:textId="77777777" w:rsidR="0074163C" w:rsidRDefault="0074163C" w:rsidP="009E5A87">
            <w:r>
              <w:t>First round evaluation completed</w:t>
            </w:r>
          </w:p>
        </w:tc>
        <w:tc>
          <w:tcPr>
            <w:tcW w:w="4229" w:type="dxa"/>
          </w:tcPr>
          <w:p w14:paraId="7B530E07" w14:textId="720B3392" w:rsidR="0074163C" w:rsidRDefault="00892DF8" w:rsidP="009E5A87">
            <w:r>
              <w:t>22 April 2022</w:t>
            </w:r>
          </w:p>
        </w:tc>
      </w:tr>
      <w:tr w:rsidR="0074163C" w14:paraId="0F8ACBF6" w14:textId="77777777" w:rsidTr="00892DF8">
        <w:tc>
          <w:tcPr>
            <w:tcW w:w="4265" w:type="dxa"/>
          </w:tcPr>
          <w:p w14:paraId="1916F37C" w14:textId="77777777" w:rsidR="0074163C" w:rsidRDefault="0074163C" w:rsidP="009E5A87">
            <w:r>
              <w:t>Sponsor provides responses on questions raised in first round evaluation</w:t>
            </w:r>
          </w:p>
        </w:tc>
        <w:tc>
          <w:tcPr>
            <w:tcW w:w="4229" w:type="dxa"/>
          </w:tcPr>
          <w:p w14:paraId="2087A9D3" w14:textId="254EA94C" w:rsidR="0074163C" w:rsidRDefault="00892DF8" w:rsidP="009E5A87">
            <w:r>
              <w:t>23 May 2022</w:t>
            </w:r>
          </w:p>
        </w:tc>
      </w:tr>
      <w:tr w:rsidR="0074163C" w14:paraId="1406AF9E" w14:textId="77777777" w:rsidTr="00892DF8">
        <w:tc>
          <w:tcPr>
            <w:tcW w:w="4265" w:type="dxa"/>
          </w:tcPr>
          <w:p w14:paraId="5ABF5AB5" w14:textId="77777777" w:rsidR="0074163C" w:rsidRDefault="0074163C" w:rsidP="009E5A87">
            <w:r>
              <w:t>Second round evaluation completed</w:t>
            </w:r>
          </w:p>
        </w:tc>
        <w:tc>
          <w:tcPr>
            <w:tcW w:w="4229" w:type="dxa"/>
          </w:tcPr>
          <w:p w14:paraId="7A07B063" w14:textId="052ED908" w:rsidR="0074163C" w:rsidRDefault="00892DF8" w:rsidP="009E5A87">
            <w:r>
              <w:t>10 June 2022</w:t>
            </w:r>
          </w:p>
        </w:tc>
      </w:tr>
      <w:tr w:rsidR="0074163C" w14:paraId="5A643930" w14:textId="77777777" w:rsidTr="00892DF8">
        <w:tc>
          <w:tcPr>
            <w:tcW w:w="4265" w:type="dxa"/>
          </w:tcPr>
          <w:p w14:paraId="5F8BF85E" w14:textId="10E45246" w:rsidR="0074163C" w:rsidRDefault="0074163C" w:rsidP="009E5A87">
            <w:r>
              <w:t>Delegate’s Overall benefit-risk assessment</w:t>
            </w:r>
          </w:p>
        </w:tc>
        <w:tc>
          <w:tcPr>
            <w:tcW w:w="4229" w:type="dxa"/>
          </w:tcPr>
          <w:p w14:paraId="17C4224A" w14:textId="1F023E50" w:rsidR="0074163C" w:rsidRDefault="00892DF8" w:rsidP="00BC4B9D">
            <w:pPr>
              <w:tabs>
                <w:tab w:val="center" w:pos="2006"/>
              </w:tabs>
            </w:pPr>
            <w:r>
              <w:t>28 June 2022</w:t>
            </w:r>
          </w:p>
        </w:tc>
      </w:tr>
      <w:tr w:rsidR="0074163C" w14:paraId="083EC1C4" w14:textId="77777777" w:rsidTr="00892DF8">
        <w:tc>
          <w:tcPr>
            <w:tcW w:w="4265" w:type="dxa"/>
          </w:tcPr>
          <w:p w14:paraId="18655594" w14:textId="77777777" w:rsidR="0074163C" w:rsidRDefault="0074163C" w:rsidP="009E5A87">
            <w:r>
              <w:t>Registration decision (Outcome)</w:t>
            </w:r>
          </w:p>
        </w:tc>
        <w:tc>
          <w:tcPr>
            <w:tcW w:w="4229" w:type="dxa"/>
          </w:tcPr>
          <w:p w14:paraId="0290CE16" w14:textId="19206294" w:rsidR="0074163C" w:rsidRDefault="00892DF8" w:rsidP="009E5A87">
            <w:r>
              <w:t>29 June 2022</w:t>
            </w:r>
          </w:p>
        </w:tc>
      </w:tr>
      <w:tr w:rsidR="0074163C" w14:paraId="4820DDE7" w14:textId="77777777" w:rsidTr="00892DF8">
        <w:tc>
          <w:tcPr>
            <w:tcW w:w="4265" w:type="dxa"/>
          </w:tcPr>
          <w:p w14:paraId="6A9C3047" w14:textId="77777777" w:rsidR="0074163C" w:rsidRDefault="0074163C" w:rsidP="009E5A87">
            <w:r>
              <w:t>Completion of administrative activities and registration on the ARTG</w:t>
            </w:r>
          </w:p>
        </w:tc>
        <w:tc>
          <w:tcPr>
            <w:tcW w:w="4229" w:type="dxa"/>
          </w:tcPr>
          <w:p w14:paraId="04F50DD9" w14:textId="09161A74" w:rsidR="0074163C" w:rsidRDefault="00892DF8" w:rsidP="009E5A87">
            <w:r>
              <w:t>6 July 2022</w:t>
            </w:r>
          </w:p>
        </w:tc>
      </w:tr>
      <w:tr w:rsidR="0074163C" w14:paraId="3D3F85A1" w14:textId="77777777" w:rsidTr="00892DF8">
        <w:tc>
          <w:tcPr>
            <w:tcW w:w="4265" w:type="dxa"/>
          </w:tcPr>
          <w:p w14:paraId="2FEDB6DE" w14:textId="77777777" w:rsidR="0074163C" w:rsidRDefault="0074163C" w:rsidP="009E5A87">
            <w:r>
              <w:lastRenderedPageBreak/>
              <w:t>Number of working days from submission dossier acceptance to registration decision*</w:t>
            </w:r>
          </w:p>
        </w:tc>
        <w:tc>
          <w:tcPr>
            <w:tcW w:w="4229" w:type="dxa"/>
          </w:tcPr>
          <w:p w14:paraId="4D8D3538" w14:textId="6CAFB060" w:rsidR="0074163C" w:rsidRDefault="00892DF8" w:rsidP="009E5A87">
            <w:r>
              <w:t>117</w:t>
            </w:r>
          </w:p>
        </w:tc>
      </w:tr>
    </w:tbl>
    <w:p w14:paraId="284DAE60" w14:textId="77777777" w:rsidR="0074163C" w:rsidRDefault="0074163C" w:rsidP="0074163C">
      <w:pPr>
        <w:pStyle w:val="TableDescription"/>
      </w:pPr>
      <w:r w:rsidRPr="00006FAB">
        <w:t>*The COR-A process has a 120 working day evaluation and decision timeframe.</w:t>
      </w:r>
    </w:p>
    <w:p w14:paraId="58642BEC" w14:textId="77777777" w:rsidR="008E7846" w:rsidRPr="00792A32" w:rsidRDefault="00006FAB" w:rsidP="008E7846">
      <w:pPr>
        <w:pStyle w:val="Heading2"/>
      </w:pPr>
      <w:bookmarkStart w:id="23" w:name="_Toc196046504"/>
      <w:bookmarkStart w:id="24" w:name="_Toc247691527"/>
      <w:bookmarkStart w:id="25" w:name="_Toc314842510"/>
      <w:bookmarkStart w:id="26" w:name="_Toc126055192"/>
      <w:bookmarkStart w:id="27" w:name="_Toc163441390"/>
      <w:bookmarkEnd w:id="20"/>
      <w:bookmarkEnd w:id="21"/>
      <w:bookmarkEnd w:id="1"/>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3"/>
      <w:bookmarkEnd w:id="24"/>
      <w:bookmarkEnd w:id="25"/>
      <w:bookmarkEnd w:id="26"/>
    </w:p>
    <w:p w14:paraId="15F5E8B5" w14:textId="77777777" w:rsidR="005A79F5" w:rsidRDefault="005A79F5" w:rsidP="0074163C">
      <w:pPr>
        <w:pStyle w:val="Instructions"/>
        <w:rPr>
          <w:i w:val="0"/>
          <w:color w:val="auto"/>
        </w:rPr>
      </w:pPr>
      <w:bookmarkStart w:id="28" w:name="_Toc247691528"/>
      <w:bookmarkStart w:id="29" w:name="_Toc314842511"/>
      <w:r w:rsidRPr="005A79F5">
        <w:rPr>
          <w:i w:val="0"/>
          <w:color w:val="auto"/>
        </w:rPr>
        <w:t>A summary of the TGA’s assessment for this submission is provided below</w:t>
      </w:r>
      <w:r>
        <w:rPr>
          <w:i w:val="0"/>
          <w:color w:val="auto"/>
        </w:rPr>
        <w:t>.</w:t>
      </w:r>
    </w:p>
    <w:p w14:paraId="4881A6D5" w14:textId="77777777" w:rsidR="0074163C" w:rsidRDefault="0074163C" w:rsidP="0074163C">
      <w:r>
        <w:t>This section is a TGA summary of wording used in TGA’s evaluation report, which discussed numerous aspects of overseas evaluation reports and included some information that was commercial-in-confidence.</w:t>
      </w:r>
    </w:p>
    <w:p w14:paraId="4DA39BDB" w14:textId="77777777" w:rsidR="008E7846" w:rsidRDefault="008E7846" w:rsidP="008E7846">
      <w:pPr>
        <w:pStyle w:val="Heading3"/>
      </w:pPr>
      <w:bookmarkStart w:id="30" w:name="_Toc126055193"/>
      <w:r>
        <w:t>Quality</w:t>
      </w:r>
      <w:bookmarkEnd w:id="28"/>
      <w:bookmarkEnd w:id="29"/>
      <w:bookmarkEnd w:id="30"/>
    </w:p>
    <w:p w14:paraId="28898CBB" w14:textId="08BC6FB6" w:rsidR="00840861" w:rsidRDefault="00840861" w:rsidP="0074163C">
      <w:r w:rsidRPr="00840861">
        <w:t>The manufactured drug substance is a recombinant protein made up of 39 amino acids</w:t>
      </w:r>
      <w:r>
        <w:t xml:space="preserve">. </w:t>
      </w:r>
      <w:r w:rsidRPr="00840861">
        <w:t xml:space="preserve">The </w:t>
      </w:r>
      <w:r>
        <w:t>structure</w:t>
      </w:r>
      <w:r w:rsidRPr="00840861">
        <w:t xml:space="preserve"> is shown below in</w:t>
      </w:r>
      <w:r>
        <w:t xml:space="preserve"> </w:t>
      </w:r>
      <w:r>
        <w:fldChar w:fldCharType="begin"/>
      </w:r>
      <w:r>
        <w:instrText xml:space="preserve"> REF _Ref119928607 \h </w:instrText>
      </w:r>
      <w:r>
        <w:fldChar w:fldCharType="separate"/>
      </w:r>
      <w:r w:rsidR="00736E75">
        <w:t xml:space="preserve">Figure </w:t>
      </w:r>
      <w:r w:rsidR="00736E75">
        <w:rPr>
          <w:noProof/>
        </w:rPr>
        <w:t>1</w:t>
      </w:r>
      <w:r>
        <w:fldChar w:fldCharType="end"/>
      </w:r>
      <w:r w:rsidRPr="00840861">
        <w:t xml:space="preserve">. </w:t>
      </w:r>
      <w:r w:rsidR="00264FFC">
        <w:t>Vosoritide</w:t>
      </w:r>
      <w:r w:rsidRPr="00840861">
        <w:t xml:space="preserve"> contains C-</w:t>
      </w:r>
      <w:r w:rsidR="00D249B1">
        <w:t>t</w:t>
      </w:r>
      <w:r w:rsidRPr="00840861">
        <w:t xml:space="preserve">erminal residues of the native human CNP and two additional </w:t>
      </w:r>
      <w:r w:rsidR="00D249B1">
        <w:t>p</w:t>
      </w:r>
      <w:r w:rsidRPr="00840861">
        <w:t xml:space="preserve">roline and </w:t>
      </w:r>
      <w:r w:rsidR="00D249B1">
        <w:t>g</w:t>
      </w:r>
      <w:r w:rsidRPr="00840861">
        <w:t xml:space="preserve">lycine residues at the N-terminus. Vosoritide weighs 4100 </w:t>
      </w:r>
      <w:r>
        <w:t>D</w:t>
      </w:r>
      <w:r w:rsidRPr="00840861">
        <w:t xml:space="preserve">altons (Da) and contains a </w:t>
      </w:r>
      <w:r w:rsidR="00D249B1">
        <w:t>c</w:t>
      </w:r>
      <w:r w:rsidRPr="00840861">
        <w:t>ysteine disulfide bond forming a cyclical loop and stem structure.</w:t>
      </w:r>
    </w:p>
    <w:p w14:paraId="16FBD923" w14:textId="11F2085C" w:rsidR="00840861" w:rsidRDefault="00840861" w:rsidP="00840861">
      <w:pPr>
        <w:pStyle w:val="FigureTitle"/>
      </w:pPr>
      <w:bookmarkStart w:id="31" w:name="_Ref119928607"/>
      <w:r>
        <w:t xml:space="preserve">Figure </w:t>
      </w:r>
      <w:r w:rsidR="001C74BD">
        <w:fldChar w:fldCharType="begin"/>
      </w:r>
      <w:r w:rsidR="001C74BD">
        <w:instrText xml:space="preserve"> SEQ Figure \* ARABIC </w:instrText>
      </w:r>
      <w:r w:rsidR="001C74BD">
        <w:fldChar w:fldCharType="separate"/>
      </w:r>
      <w:r w:rsidR="00736E75">
        <w:rPr>
          <w:noProof/>
        </w:rPr>
        <w:t>1</w:t>
      </w:r>
      <w:r w:rsidR="001C74BD">
        <w:rPr>
          <w:noProof/>
        </w:rPr>
        <w:fldChar w:fldCharType="end"/>
      </w:r>
      <w:bookmarkEnd w:id="31"/>
      <w:r>
        <w:t xml:space="preserve">: Structure of </w:t>
      </w:r>
      <w:r w:rsidR="00403313">
        <w:t>v</w:t>
      </w:r>
      <w:r>
        <w:t>osoritide</w:t>
      </w:r>
    </w:p>
    <w:p w14:paraId="1E2052C3" w14:textId="2B589B3E" w:rsidR="00840861" w:rsidRDefault="00840861" w:rsidP="00840861">
      <w:pPr>
        <w:pStyle w:val="FigureTitle"/>
      </w:pPr>
      <w:r>
        <w:rPr>
          <w:noProof/>
          <w:lang w:val="en-GB" w:eastAsia="en-GB"/>
        </w:rPr>
        <w:drawing>
          <wp:inline distT="0" distB="0" distL="0" distR="0" wp14:anchorId="6E8C0B0E" wp14:editId="64CDA8C2">
            <wp:extent cx="5189088" cy="1563274"/>
            <wp:effectExtent l="0" t="0" r="0" b="0"/>
            <wp:docPr id="2" name="Picture 2" descr="Structure of vosori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ucture of vosoritide"/>
                    <pic:cNvPicPr>
                      <a:picLocks noChangeAspect="1" noChangeArrowheads="1"/>
                    </pic:cNvPicPr>
                  </pic:nvPicPr>
                  <pic:blipFill rotWithShape="1">
                    <a:blip r:embed="rId18">
                      <a:extLst>
                        <a:ext uri="{28A0092B-C50C-407E-A947-70E740481C1C}">
                          <a14:useLocalDpi xmlns:a14="http://schemas.microsoft.com/office/drawing/2010/main" val="0"/>
                        </a:ext>
                      </a:extLst>
                    </a:blip>
                    <a:srcRect l="3575" t="1391" r="1996" b="10047"/>
                    <a:stretch/>
                  </pic:blipFill>
                  <pic:spPr bwMode="auto">
                    <a:xfrm>
                      <a:off x="0" y="0"/>
                      <a:ext cx="5206404" cy="1568491"/>
                    </a:xfrm>
                    <a:prstGeom prst="rect">
                      <a:avLst/>
                    </a:prstGeom>
                    <a:noFill/>
                    <a:ln>
                      <a:noFill/>
                    </a:ln>
                    <a:extLst>
                      <a:ext uri="{53640926-AAD7-44D8-BBD7-CCE9431645EC}">
                        <a14:shadowObscured xmlns:a14="http://schemas.microsoft.com/office/drawing/2010/main"/>
                      </a:ext>
                    </a:extLst>
                  </pic:spPr>
                </pic:pic>
              </a:graphicData>
            </a:graphic>
          </wp:inline>
        </w:drawing>
      </w:r>
    </w:p>
    <w:p w14:paraId="3553818F" w14:textId="754D95E2" w:rsidR="00840861" w:rsidRDefault="00840861" w:rsidP="00840861">
      <w:r w:rsidRPr="00840861">
        <w:t xml:space="preserve">The </w:t>
      </w:r>
      <w:r w:rsidR="00403313">
        <w:t>v</w:t>
      </w:r>
      <w:r w:rsidRPr="00840861">
        <w:t xml:space="preserve">osoritide drug product is a sterile lyophilised powder. This powder is intended for single use following reconstitution with sterile water for injection. Vosoritide </w:t>
      </w:r>
      <w:r w:rsidR="00264FFC">
        <w:t>drug product</w:t>
      </w:r>
      <w:r w:rsidRPr="00840861">
        <w:t xml:space="preserve"> </w:t>
      </w:r>
      <w:r>
        <w:t xml:space="preserve">is </w:t>
      </w:r>
      <w:r w:rsidRPr="00840861">
        <w:t>available in three concentrations 0.4 mg</w:t>
      </w:r>
      <w:r w:rsidR="00264FFC">
        <w:t xml:space="preserve"> per </w:t>
      </w:r>
      <w:r w:rsidRPr="00840861">
        <w:t>vial, 0.56 mg</w:t>
      </w:r>
      <w:r w:rsidR="00264FFC">
        <w:t xml:space="preserve"> per </w:t>
      </w:r>
      <w:r w:rsidRPr="00840861">
        <w:t>vial and 1.2 mg</w:t>
      </w:r>
      <w:r w:rsidR="00264FFC">
        <w:t xml:space="preserve"> per </w:t>
      </w:r>
      <w:r w:rsidRPr="00840861">
        <w:t>vial. The reconstituted solution contains</w:t>
      </w:r>
      <w:r w:rsidR="00787FA5">
        <w:t xml:space="preserve"> a vosoritide concentration of</w:t>
      </w:r>
      <w:r w:rsidRPr="00840861">
        <w:t xml:space="preserve"> 0.8 mg</w:t>
      </w:r>
      <w:r w:rsidR="00264FFC">
        <w:t xml:space="preserve"> per </w:t>
      </w:r>
      <w:r w:rsidRPr="00840861">
        <w:t>mL</w:t>
      </w:r>
      <w:r w:rsidR="00787FA5">
        <w:t xml:space="preserve"> (for the 0.4 mg and 0.56 mg vials)</w:t>
      </w:r>
      <w:r w:rsidRPr="00840861">
        <w:t xml:space="preserve"> or 2 mg</w:t>
      </w:r>
      <w:r w:rsidR="00264FFC">
        <w:t xml:space="preserve"> per </w:t>
      </w:r>
      <w:r w:rsidRPr="00840861">
        <w:t xml:space="preserve">mL </w:t>
      </w:r>
      <w:r w:rsidR="00787FA5">
        <w:t xml:space="preserve">(for the 1.2 mg vial) </w:t>
      </w:r>
      <w:r w:rsidRPr="00840861">
        <w:t>of the active substance</w:t>
      </w:r>
      <w:r>
        <w:t>.</w:t>
      </w:r>
    </w:p>
    <w:p w14:paraId="60492F3D" w14:textId="10B8EC9E" w:rsidR="00D903A4" w:rsidRDefault="00D903A4" w:rsidP="00D903A4">
      <w:r>
        <w:t>Vosoritide is supplied in a container closure system consisting of a 2 mL clear glass vial closed with</w:t>
      </w:r>
      <w:r w:rsidR="00264FFC">
        <w:t xml:space="preserve"> a</w:t>
      </w:r>
      <w:r>
        <w:t xml:space="preserve"> rubber stopper and crimp sealed with flip</w:t>
      </w:r>
      <w:r w:rsidR="00264FFC">
        <w:t xml:space="preserve"> </w:t>
      </w:r>
      <w:r>
        <w:t>off aluminium cap.</w:t>
      </w:r>
    </w:p>
    <w:p w14:paraId="05E0E5FD" w14:textId="1CDBF978" w:rsidR="00264FFC" w:rsidRDefault="00D903A4" w:rsidP="00840861">
      <w:r>
        <w:t xml:space="preserve">The proposed shelf life for </w:t>
      </w:r>
      <w:r w:rsidR="00403313">
        <w:t>v</w:t>
      </w:r>
      <w:r>
        <w:t>osoritide is 24 months when stored at 2 to 8°C. The product may be stored at room temperature below 30°C for a single period of up to 90 days, but not beyond the expiry date.</w:t>
      </w:r>
      <w:r w:rsidR="00264FFC">
        <w:t xml:space="preserve"> </w:t>
      </w:r>
      <w:r>
        <w:t>Vosoritide should not be returned to the refrigerator after storage at room temperature.</w:t>
      </w:r>
      <w:r w:rsidR="00264FFC" w:rsidRPr="00264FFC">
        <w:t xml:space="preserve"> The product should be stored in the original package to protect from light</w:t>
      </w:r>
      <w:r w:rsidR="00264FFC">
        <w:t>.</w:t>
      </w:r>
      <w:r>
        <w:t xml:space="preserve"> Freezing should be avoided.</w:t>
      </w:r>
      <w:r w:rsidR="00264FFC">
        <w:t xml:space="preserve"> The reconstituted solution, if not used immediately, must be administered within three hours.</w:t>
      </w:r>
    </w:p>
    <w:p w14:paraId="5F2AABC5" w14:textId="17070CF0" w:rsidR="00D903A4" w:rsidRPr="00840861" w:rsidRDefault="00264FFC" w:rsidP="00840861">
      <w:r>
        <w:rPr>
          <w:lang w:val="en-US"/>
        </w:rPr>
        <w:t>T</w:t>
      </w:r>
      <w:r w:rsidR="00D903A4" w:rsidRPr="00F6020D">
        <w:rPr>
          <w:lang w:val="en-US"/>
        </w:rPr>
        <w:t xml:space="preserve">here are </w:t>
      </w:r>
      <w:r w:rsidR="00D903A4">
        <w:rPr>
          <w:lang w:val="en-US"/>
        </w:rPr>
        <w:t xml:space="preserve">no </w:t>
      </w:r>
      <w:r w:rsidR="00D903A4" w:rsidRPr="00F6020D">
        <w:rPr>
          <w:lang w:val="en-US"/>
        </w:rPr>
        <w:t>outstanding issues</w:t>
      </w:r>
      <w:r w:rsidR="00D903A4">
        <w:rPr>
          <w:lang w:val="en-US"/>
        </w:rPr>
        <w:t xml:space="preserve"> and no objection</w:t>
      </w:r>
      <w:r w:rsidR="00787FA5">
        <w:rPr>
          <w:lang w:val="en-US"/>
        </w:rPr>
        <w:t>s</w:t>
      </w:r>
      <w:r w:rsidR="00D903A4">
        <w:rPr>
          <w:lang w:val="en-US"/>
        </w:rPr>
        <w:t xml:space="preserve"> on quality grounds to </w:t>
      </w:r>
      <w:r>
        <w:rPr>
          <w:lang w:val="en-US"/>
        </w:rPr>
        <w:t>the registration of Voxzogo.</w:t>
      </w:r>
    </w:p>
    <w:p w14:paraId="1B2FEE61" w14:textId="77777777" w:rsidR="008E7846" w:rsidRDefault="008E7846" w:rsidP="008E7846">
      <w:pPr>
        <w:pStyle w:val="Heading3"/>
      </w:pPr>
      <w:bookmarkStart w:id="32" w:name="_Toc314842512"/>
      <w:bookmarkStart w:id="33" w:name="_Toc126055194"/>
      <w:r>
        <w:lastRenderedPageBreak/>
        <w:t>Nonclinical</w:t>
      </w:r>
      <w:bookmarkEnd w:id="32"/>
      <w:bookmarkEnd w:id="33"/>
    </w:p>
    <w:p w14:paraId="2CA82754" w14:textId="3337E3C0" w:rsidR="00110A5C" w:rsidRPr="00070DFD" w:rsidRDefault="00110A5C" w:rsidP="00070DFD">
      <w:r w:rsidRPr="00110A5C">
        <w:t xml:space="preserve">The nonclinical data support the proposed indication. Vosoritide increased bone growth in healthy animals and disease models. However, bone growth was irregular and resulted in impaired hind limb function, most notably in healthy animals. The potential for this to occur as a result of vosoritide treatment in animal models of disease was less clear, as </w:t>
      </w:r>
      <w:r w:rsidR="00787FA5">
        <w:t>achondroplasia</w:t>
      </w:r>
      <w:r w:rsidR="00787FA5" w:rsidRPr="00110A5C" w:rsidDel="00787FA5">
        <w:t xml:space="preserve"> </w:t>
      </w:r>
      <w:r w:rsidRPr="00110A5C">
        <w:t>itself impairs joint and limb function. The potential long</w:t>
      </w:r>
      <w:r w:rsidR="0025110D">
        <w:t>-</w:t>
      </w:r>
      <w:r w:rsidRPr="00110A5C">
        <w:t xml:space="preserve">term risks of bone or joint malformations that could lead to osteonecrosis and cartilage dysfunction after longer treatment durations cannot be fully evaluated based on the nonclinical data. According to the </w:t>
      </w:r>
      <w:r>
        <w:t>overseas regulator</w:t>
      </w:r>
      <w:r w:rsidR="00787FA5">
        <w:t>,</w:t>
      </w:r>
      <w:r>
        <w:t xml:space="preserve"> </w:t>
      </w:r>
      <w:r w:rsidRPr="00110A5C">
        <w:t>long term safety will be further characterised in the post</w:t>
      </w:r>
      <w:r>
        <w:t xml:space="preserve"> </w:t>
      </w:r>
      <w:r w:rsidRPr="00110A5C">
        <w:t>market setting from ongoing long</w:t>
      </w:r>
      <w:r w:rsidR="0025110D">
        <w:t>-</w:t>
      </w:r>
      <w:r w:rsidRPr="00110A5C">
        <w:t>term studies</w:t>
      </w:r>
      <w:r>
        <w:t xml:space="preserve"> </w:t>
      </w:r>
      <w:r w:rsidRPr="00110A5C">
        <w:t xml:space="preserve">and the planned </w:t>
      </w:r>
      <w:r w:rsidR="00070DFD">
        <w:t>p</w:t>
      </w:r>
      <w:r w:rsidR="00070DFD" w:rsidRPr="00070DFD">
        <w:t>ost authorisation safety study</w:t>
      </w:r>
      <w:r w:rsidRPr="00110A5C">
        <w:t>. The nonclinical evaluator supports this proposal for post market monitoring.</w:t>
      </w:r>
    </w:p>
    <w:p w14:paraId="5BC1F672" w14:textId="3CF936B4" w:rsidR="00110A5C" w:rsidRPr="00110A5C" w:rsidRDefault="00110A5C" w:rsidP="00110A5C">
      <w:r w:rsidRPr="00110A5C">
        <w:t>Safety pharmacology studies did not identify clinically relevant hazards aside from hypotension and tachycardia, which are pharmacological effects of vosoritide. Slight irritation was observed at injection sites in animal studies. Vosoritide is not considered to pose a genotoxic or carcinogenic hazard in humans.</w:t>
      </w:r>
    </w:p>
    <w:p w14:paraId="03771586" w14:textId="74F5F786" w:rsidR="00110A5C" w:rsidRPr="00110A5C" w:rsidRDefault="00110A5C" w:rsidP="00110A5C">
      <w:r w:rsidRPr="00110A5C">
        <w:t xml:space="preserve">The sponsor has proposed </w:t>
      </w:r>
      <w:r>
        <w:t>p</w:t>
      </w:r>
      <w:r w:rsidRPr="00110A5C">
        <w:t xml:space="preserve">regnancy </w:t>
      </w:r>
      <w:r>
        <w:t>c</w:t>
      </w:r>
      <w:r w:rsidRPr="00110A5C">
        <w:t>ategory B1.</w:t>
      </w:r>
      <w:r w:rsidR="00D249B1">
        <w:rPr>
          <w:rStyle w:val="FootnoteReference"/>
        </w:rPr>
        <w:footnoteReference w:id="1"/>
      </w:r>
      <w:r w:rsidRPr="00110A5C">
        <w:t xml:space="preserve"> Based on in the low predictive value of the embryofetal studies in rats and rabbits, </w:t>
      </w:r>
      <w:r>
        <w:t>p</w:t>
      </w:r>
      <w:r w:rsidRPr="00110A5C">
        <w:t xml:space="preserve">regnancy </w:t>
      </w:r>
      <w:r>
        <w:t>c</w:t>
      </w:r>
      <w:r w:rsidRPr="00110A5C">
        <w:t>ategory B2</w:t>
      </w:r>
      <w:r w:rsidR="00071052">
        <w:t>;</w:t>
      </w:r>
      <w:r w:rsidR="00071052">
        <w:rPr>
          <w:rStyle w:val="FootnoteReference"/>
        </w:rPr>
        <w:footnoteReference w:id="2"/>
      </w:r>
      <w:r w:rsidRPr="00110A5C">
        <w:t xml:space="preserve"> is recommended.</w:t>
      </w:r>
    </w:p>
    <w:p w14:paraId="6B565F53" w14:textId="396CB1F7" w:rsidR="00110A5C" w:rsidRPr="00110A5C" w:rsidRDefault="00110A5C" w:rsidP="00110A5C">
      <w:r w:rsidRPr="00110A5C">
        <w:t xml:space="preserve">There are no nonclinical objections to the registration of </w:t>
      </w:r>
      <w:r w:rsidR="00070DFD" w:rsidRPr="00110A5C">
        <w:t>vosoritide,</w:t>
      </w:r>
      <w:r w:rsidRPr="00110A5C">
        <w:t xml:space="preserve"> but it is recommended that the potential for undesired bone and joint effects should be monitored post</w:t>
      </w:r>
      <w:r w:rsidR="00071052">
        <w:t>-</w:t>
      </w:r>
      <w:r w:rsidRPr="00110A5C">
        <w:t>market.</w:t>
      </w:r>
    </w:p>
    <w:p w14:paraId="34E2243C" w14:textId="77777777" w:rsidR="008E7846" w:rsidRDefault="008E7846" w:rsidP="008E7846">
      <w:pPr>
        <w:pStyle w:val="Heading3"/>
      </w:pPr>
      <w:bookmarkStart w:id="34" w:name="_Toc247691530"/>
      <w:bookmarkStart w:id="35" w:name="_Toc314842513"/>
      <w:bookmarkStart w:id="36" w:name="_Toc126055195"/>
      <w:r>
        <w:t>Clinical</w:t>
      </w:r>
      <w:bookmarkEnd w:id="34"/>
      <w:bookmarkEnd w:id="35"/>
      <w:bookmarkEnd w:id="36"/>
    </w:p>
    <w:p w14:paraId="1F14A993" w14:textId="5ED072DD" w:rsidR="00C70BE5" w:rsidRPr="00C70BE5" w:rsidRDefault="00C70BE5" w:rsidP="00C70BE5">
      <w:pPr>
        <w:pStyle w:val="Heading4"/>
      </w:pPr>
      <w:r w:rsidRPr="00C70BE5">
        <w:t>Pharmacology</w:t>
      </w:r>
    </w:p>
    <w:p w14:paraId="76BA3FA5" w14:textId="741EDB50" w:rsidR="00C70BE5" w:rsidRPr="00C70BE5" w:rsidRDefault="00C70BE5" w:rsidP="00C70BE5">
      <w:pPr>
        <w:pStyle w:val="Heading5"/>
      </w:pPr>
      <w:r w:rsidRPr="00C70BE5">
        <w:t>Pharmacokinetics</w:t>
      </w:r>
    </w:p>
    <w:p w14:paraId="62289593" w14:textId="1062E2A1" w:rsidR="00C70BE5" w:rsidRPr="00C70BE5" w:rsidRDefault="00C70BE5" w:rsidP="00C70BE5">
      <w:r w:rsidRPr="00C70BE5">
        <w:t xml:space="preserve">The human pharmacokinetic </w:t>
      </w:r>
      <w:r>
        <w:t>(</w:t>
      </w:r>
      <w:r w:rsidRPr="00C70BE5">
        <w:t>PK</w:t>
      </w:r>
      <w:r>
        <w:t>)</w:t>
      </w:r>
      <w:r w:rsidRPr="00C70BE5">
        <w:t xml:space="preserve"> properties of vosoritide were assessed in </w:t>
      </w:r>
      <w:r>
        <w:t>three</w:t>
      </w:r>
      <w:r w:rsidRPr="00C70BE5">
        <w:t xml:space="preserve"> </w:t>
      </w:r>
      <w:r w:rsidRPr="00C70BE5">
        <w:rPr>
          <w:i/>
          <w:iCs/>
        </w:rPr>
        <w:t>in vitro</w:t>
      </w:r>
      <w:r w:rsidRPr="00C70BE5">
        <w:t xml:space="preserve"> studies performed using human biomaterials and </w:t>
      </w:r>
      <w:r>
        <w:t>seven</w:t>
      </w:r>
      <w:r w:rsidRPr="00C70BE5">
        <w:t xml:space="preserve"> clinical studies.</w:t>
      </w:r>
    </w:p>
    <w:p w14:paraId="49FF1353" w14:textId="0C0D450E" w:rsidR="00C70BE5" w:rsidRPr="00C70BE5" w:rsidRDefault="00C70BE5" w:rsidP="00C70BE5">
      <w:r w:rsidRPr="00C70BE5">
        <w:t xml:space="preserve">The </w:t>
      </w:r>
      <w:r>
        <w:t>sponsor</w:t>
      </w:r>
      <w:r w:rsidRPr="00C70BE5">
        <w:t xml:space="preserve"> has presented a limited investigation on clinical pharmacokinetics partly owing to the nature of the compound (being a protein), the orphan nature of the disease to be treated, and the difficulties in investigating PK in healthy subjects, with hypotensive effects preventing the administration of higher doses. This is considered acceptable.</w:t>
      </w:r>
    </w:p>
    <w:p w14:paraId="599538B5" w14:textId="19F418F7" w:rsidR="00C70BE5" w:rsidRPr="00C70BE5" w:rsidRDefault="00C70BE5" w:rsidP="00C70BE5">
      <w:r w:rsidRPr="00C70BE5">
        <w:t xml:space="preserve">The absolute bioavailability of vosoritide is unknown, as only the </w:t>
      </w:r>
      <w:r>
        <w:t>subcutaneous</w:t>
      </w:r>
      <w:r w:rsidRPr="00C70BE5">
        <w:t xml:space="preserve"> route was investigated in the clinical studies. While basic parameters of PK (absorption, distribution </w:t>
      </w:r>
      <w:r w:rsidR="00071052">
        <w:t>and other parameters</w:t>
      </w:r>
      <w:r w:rsidRPr="00C70BE5">
        <w:t>) have been adequately investigated, several aspects of PK investigations and characterisations have been omitted or are partly deficient. The compound has been found to be non-proportional with increased plasma levels at higher doses. Demographic factors appear to play a role with regard to age and weight, however, this is thought to be attributable to weight only, which is likely to also explain the time</w:t>
      </w:r>
      <w:r w:rsidR="005359FB">
        <w:t xml:space="preserve"> </w:t>
      </w:r>
      <w:r w:rsidRPr="00C70BE5">
        <w:t>related effect of increase bioavailability over time (in long</w:t>
      </w:r>
      <w:r w:rsidR="005359FB">
        <w:t xml:space="preserve"> </w:t>
      </w:r>
      <w:r w:rsidRPr="00C70BE5">
        <w:t>term observation).</w:t>
      </w:r>
    </w:p>
    <w:p w14:paraId="4CAD64A0" w14:textId="7531A17E" w:rsidR="00C70BE5" w:rsidRPr="00C70BE5" w:rsidRDefault="00C70BE5" w:rsidP="00C70BE5">
      <w:r w:rsidRPr="00C70BE5">
        <w:t xml:space="preserve">Only minor changes to formulation were made during the development, therefore no relevant changes in bioavailability are expected, and no comparison between formulations </w:t>
      </w:r>
      <w:r w:rsidRPr="00C70BE5">
        <w:lastRenderedPageBreak/>
        <w:t xml:space="preserve">has been conducted. The interchangeability of administration sites has only partly been investigated, but no relevant differences were detected, and the proposed alteration of administration sites was also mirrored in the </w:t>
      </w:r>
      <w:r w:rsidRPr="00A17B95">
        <w:t>development program</w:t>
      </w:r>
      <w:r w:rsidRPr="00C70BE5">
        <w:t>, it appears that no clinically relevant deviation is expected, and the proposed dosing/administration site is considered acceptable.</w:t>
      </w:r>
    </w:p>
    <w:p w14:paraId="32FA250B" w14:textId="03106F45" w:rsidR="00C70BE5" w:rsidRPr="00C70BE5" w:rsidRDefault="00C70BE5" w:rsidP="00C70BE5">
      <w:r w:rsidRPr="00C70BE5">
        <w:t>In addition, theoretical considerations on metabolism were provided since, as a small peptide, vosoritide is expected to be cleared primarily by protease</w:t>
      </w:r>
      <w:r w:rsidR="00A17B95">
        <w:t xml:space="preserve"> </w:t>
      </w:r>
      <w:r w:rsidRPr="00C70BE5">
        <w:t xml:space="preserve">mediated catabolism, receptor mediated clearance via </w:t>
      </w:r>
      <w:r w:rsidR="00A17B95" w:rsidRPr="00A17B95">
        <w:t>natriuretic peptide receptor C (</w:t>
      </w:r>
      <w:r w:rsidRPr="00A17B95">
        <w:t>NPR-C</w:t>
      </w:r>
      <w:r w:rsidR="00A17B95" w:rsidRPr="00A17B95">
        <w:t>)</w:t>
      </w:r>
      <w:r w:rsidRPr="00A17B95">
        <w:t xml:space="preserve"> and</w:t>
      </w:r>
      <w:r w:rsidRPr="00C70BE5">
        <w:t xml:space="preserve"> renal elimination. Due to the nature of the compound and its rapid clearance, no further investigations were carried out with regard to identification of further degradants</w:t>
      </w:r>
      <w:r w:rsidR="00A17B95">
        <w:t xml:space="preserve"> or </w:t>
      </w:r>
      <w:r w:rsidRPr="00C70BE5">
        <w:t xml:space="preserve">metabolites and their </w:t>
      </w:r>
      <w:r w:rsidR="00A17B95">
        <w:t>pharmacodynamic (PD)</w:t>
      </w:r>
      <w:r w:rsidRPr="00C70BE5">
        <w:t xml:space="preserve"> activity.</w:t>
      </w:r>
    </w:p>
    <w:p w14:paraId="416BE572" w14:textId="658549FA" w:rsidR="00C70BE5" w:rsidRPr="00C70BE5" w:rsidRDefault="00C70BE5" w:rsidP="00C70BE5">
      <w:r w:rsidRPr="00C70BE5">
        <w:t xml:space="preserve">The </w:t>
      </w:r>
      <w:r w:rsidR="00860F60">
        <w:t>sponsor</w:t>
      </w:r>
      <w:r w:rsidRPr="00C70BE5">
        <w:t xml:space="preserve"> clarified that endogenous CNP has a short half-life of 2.6 minutes in humans.</w:t>
      </w:r>
      <w:r w:rsidR="00A17B95">
        <w:rPr>
          <w:rStyle w:val="FootnoteReference"/>
        </w:rPr>
        <w:footnoteReference w:id="3"/>
      </w:r>
      <w:r w:rsidR="00A17B95" w:rsidRPr="00FB1897">
        <w:rPr>
          <w:vertAlign w:val="superscript"/>
        </w:rPr>
        <w:t>,</w:t>
      </w:r>
      <w:r w:rsidR="00A17B95">
        <w:rPr>
          <w:rStyle w:val="FootnoteReference"/>
        </w:rPr>
        <w:footnoteReference w:id="4"/>
      </w:r>
      <w:r w:rsidRPr="00C70BE5">
        <w:t xml:space="preserve"> The structural modification of vosoritide confers resistance to proteolysis by neutral endopeptidase such that its half-life is extended almost 10-fold (mean t</w:t>
      </w:r>
      <w:r w:rsidRPr="00860F60">
        <w:rPr>
          <w:vertAlign w:val="subscript"/>
        </w:rPr>
        <w:t xml:space="preserve">1/2 </w:t>
      </w:r>
      <w:r w:rsidRPr="00C70BE5">
        <w:t>of 27.</w:t>
      </w:r>
      <w:r w:rsidRPr="00D44C38">
        <w:t>9</w:t>
      </w:r>
      <w:r w:rsidR="00D44C38">
        <w:t> </w:t>
      </w:r>
      <w:r w:rsidRPr="00D44C38">
        <w:t>minutes</w:t>
      </w:r>
      <w:r w:rsidRPr="00C70BE5">
        <w:t xml:space="preserve"> at Week 52 of </w:t>
      </w:r>
      <w:r w:rsidR="00860F60">
        <w:t>S</w:t>
      </w:r>
      <w:r w:rsidRPr="00C70BE5">
        <w:t>tudy 111-301) in comparison to endogenous CNP.</w:t>
      </w:r>
      <w:r w:rsidR="00A17B95">
        <w:rPr>
          <w:rStyle w:val="FootnoteReference"/>
        </w:rPr>
        <w:footnoteReference w:id="5"/>
      </w:r>
      <w:r w:rsidRPr="00C70BE5">
        <w:t xml:space="preserve"> Furthermore, the</w:t>
      </w:r>
      <w:r w:rsidR="00860F60">
        <w:t xml:space="preserve"> sponsor</w:t>
      </w:r>
      <w:r w:rsidRPr="00C70BE5">
        <w:t xml:space="preserve"> explained that the longer half-life observed during the trials in healthy volunteers might be explainable by the higher body weight of the healthy adult volunteers compared to the paediatric </w:t>
      </w:r>
      <w:r w:rsidR="00787FA5">
        <w:t xml:space="preserve">achondroplasia </w:t>
      </w:r>
      <w:r w:rsidRPr="00C70BE5">
        <w:t>patients. The increased total dose administered to adult healthy volunteers might have saturated clearance and prolonged the elimination half-life. This appears acceptable.</w:t>
      </w:r>
    </w:p>
    <w:p w14:paraId="2C0ACB9E" w14:textId="7573AEA0" w:rsidR="00C70BE5" w:rsidRDefault="00C70BE5" w:rsidP="00C70BE5">
      <w:r w:rsidRPr="00C70BE5">
        <w:t>Antibody formation</w:t>
      </w:r>
      <w:r w:rsidR="00860F60">
        <w:t xml:space="preserve"> </w:t>
      </w:r>
      <w:r w:rsidRPr="00C70BE5">
        <w:t>has not shown to have an influence on PK.</w:t>
      </w:r>
    </w:p>
    <w:p w14:paraId="05243E93" w14:textId="7DD36A37" w:rsidR="00D44C38" w:rsidRPr="00D44C38" w:rsidRDefault="00D44C38" w:rsidP="00D44C38">
      <w:pPr>
        <w:pStyle w:val="Heading5"/>
      </w:pPr>
      <w:r w:rsidRPr="00D44C38">
        <w:t xml:space="preserve">Population </w:t>
      </w:r>
      <w:r>
        <w:t>pharmacokinetic</w:t>
      </w:r>
      <w:r w:rsidRPr="00D44C38">
        <w:t xml:space="preserve"> data</w:t>
      </w:r>
    </w:p>
    <w:p w14:paraId="5A8150B0" w14:textId="0CEBCB9D" w:rsidR="00D44C38" w:rsidRPr="00D44C38" w:rsidRDefault="00D44C38" w:rsidP="00D44C38">
      <w:r w:rsidRPr="00D44C38">
        <w:t>A population pharmacokinetic</w:t>
      </w:r>
      <w:r>
        <w:t xml:space="preserve"> </w:t>
      </w:r>
      <w:r w:rsidR="00787FA5">
        <w:t xml:space="preserve">(popPK) </w:t>
      </w:r>
      <w:r w:rsidRPr="00D44C38">
        <w:t>analysis for vosoritide was performed with data from 158 patients</w:t>
      </w:r>
      <w:r w:rsidR="00787FA5">
        <w:t xml:space="preserve"> with achondroplasia</w:t>
      </w:r>
      <w:r w:rsidRPr="00D44C38">
        <w:t xml:space="preserve"> (4741 observations finally included from 6181 observations in total) from </w:t>
      </w:r>
      <w:r>
        <w:t>S</w:t>
      </w:r>
      <w:r w:rsidRPr="00D44C38">
        <w:t>tud</w:t>
      </w:r>
      <w:r>
        <w:t>y</w:t>
      </w:r>
      <w:r w:rsidRPr="00D44C38">
        <w:t xml:space="preserve"> 111-202, </w:t>
      </w:r>
      <w:r>
        <w:t xml:space="preserve">Study </w:t>
      </w:r>
      <w:r w:rsidRPr="00D44C38">
        <w:t xml:space="preserve">111-205, </w:t>
      </w:r>
      <w:r>
        <w:t xml:space="preserve">Study </w:t>
      </w:r>
      <w:r w:rsidRPr="00D44C38">
        <w:t xml:space="preserve">111-206, </w:t>
      </w:r>
      <w:r>
        <w:t xml:space="preserve">Study </w:t>
      </w:r>
      <w:r w:rsidRPr="00D44C38">
        <w:t>111-301 and</w:t>
      </w:r>
      <w:r>
        <w:t xml:space="preserve"> Study </w:t>
      </w:r>
      <w:r w:rsidRPr="00D44C38">
        <w:t>111</w:t>
      </w:r>
      <w:r w:rsidR="003B3264">
        <w:noBreakHyphen/>
      </w:r>
      <w:r>
        <w:t>3</w:t>
      </w:r>
      <w:r w:rsidRPr="00D44C38">
        <w:t xml:space="preserve">02. Data from </w:t>
      </w:r>
      <w:r>
        <w:t>S</w:t>
      </w:r>
      <w:r w:rsidRPr="00D44C38">
        <w:t xml:space="preserve">tudy 111-101, a study with 22 healthy male adults was not included because </w:t>
      </w:r>
      <w:r w:rsidR="00787FA5">
        <w:t>popPK</w:t>
      </w:r>
      <w:r w:rsidRPr="00D44C38">
        <w:t xml:space="preserve"> parameters were too different.</w:t>
      </w:r>
    </w:p>
    <w:p w14:paraId="2E014E20" w14:textId="4A151107" w:rsidR="00D44C38" w:rsidRPr="00D44C38" w:rsidRDefault="00D44C38" w:rsidP="00D44C38">
      <w:r w:rsidRPr="00D44C38">
        <w:t xml:space="preserve">The </w:t>
      </w:r>
      <w:r w:rsidR="002D3F8A">
        <w:t>population pharmacokinetics</w:t>
      </w:r>
      <w:r w:rsidRPr="00D44C38">
        <w:t xml:space="preserve"> database included data from patients ranging in age from 0.95 to 15 years (mean age was 8.43 years). Weight ranged from 9 kg to 74.5 kg (mean baseline weight was 23.8 kg). Actual daily doses included 2.5 </w:t>
      </w:r>
      <w:r w:rsidR="003B3264">
        <w:t>µ</w:t>
      </w:r>
      <w:r w:rsidRPr="00D44C38">
        <w:t>g/kg/day (</w:t>
      </w:r>
      <w:r w:rsidR="002D3F8A">
        <w:t>six</w:t>
      </w:r>
      <w:r w:rsidRPr="00D44C38">
        <w:t xml:space="preserve"> patients), 7.5 </w:t>
      </w:r>
      <w:bookmarkStart w:id="37" w:name="_Hlk120542423"/>
      <w:r w:rsidR="003B3264">
        <w:t>µ</w:t>
      </w:r>
      <w:bookmarkEnd w:id="37"/>
      <w:r w:rsidRPr="00D44C38">
        <w:t xml:space="preserve">g/kg/day (12 patients), 15 </w:t>
      </w:r>
      <w:r w:rsidR="00DE43A4">
        <w:t>µ</w:t>
      </w:r>
      <w:r w:rsidRPr="00D44C38">
        <w:t xml:space="preserve">g/kg/day (151 patients) and 30 </w:t>
      </w:r>
      <w:r w:rsidR="00DE43A4">
        <w:t>µ</w:t>
      </w:r>
      <w:r w:rsidRPr="00D44C38">
        <w:t>g/kg/day (11</w:t>
      </w:r>
      <w:r w:rsidR="002D3F8A">
        <w:t> </w:t>
      </w:r>
      <w:r w:rsidRPr="00D44C38">
        <w:t>patients).</w:t>
      </w:r>
    </w:p>
    <w:p w14:paraId="031EE178" w14:textId="253B0945" w:rsidR="00D44C38" w:rsidRPr="00D44C38" w:rsidRDefault="00D44C38" w:rsidP="00D44C38">
      <w:r w:rsidRPr="00D44C38">
        <w:t>Model development revealed that vosoritide PK was best described by a</w:t>
      </w:r>
      <w:r w:rsidR="003B3264">
        <w:t xml:space="preserve"> one </w:t>
      </w:r>
      <w:r w:rsidRPr="00D44C38">
        <w:t xml:space="preserve">compartment model with first order absorption and first order elimination, when administered by the subcutaneous route. For the final model sex, race, age, location of injection, </w:t>
      </w:r>
      <w:r w:rsidR="002D3F8A">
        <w:t>antidrug antibody (</w:t>
      </w:r>
      <w:r w:rsidRPr="00D44C38">
        <w:t>ADA</w:t>
      </w:r>
      <w:r w:rsidR="002D3F8A">
        <w:t>)</w:t>
      </w:r>
      <w:r w:rsidRPr="00D44C38">
        <w:t xml:space="preserve"> status and </w:t>
      </w:r>
      <w:r w:rsidR="002D3F8A">
        <w:t>neutralising antibody (</w:t>
      </w:r>
      <w:r w:rsidRPr="00D44C38">
        <w:t>NA</w:t>
      </w:r>
      <w:r w:rsidR="00262D55">
        <w:t>b</w:t>
      </w:r>
      <w:r w:rsidR="002D3F8A">
        <w:t>)</w:t>
      </w:r>
      <w:r w:rsidRPr="00D44C38">
        <w:t xml:space="preserve"> status were tested as </w:t>
      </w:r>
      <w:r w:rsidR="002D3F8A" w:rsidRPr="00D44C38">
        <w:t>covariates but</w:t>
      </w:r>
      <w:r w:rsidRPr="00D44C38">
        <w:t xml:space="preserve"> were not significant within the respective dataset.</w:t>
      </w:r>
    </w:p>
    <w:p w14:paraId="52BC62C7" w14:textId="63D6D8F1" w:rsidR="00D44C38" w:rsidRPr="00D44C38" w:rsidRDefault="00D44C38" w:rsidP="00D44C38">
      <w:r w:rsidRPr="00D44C38">
        <w:t xml:space="preserve">The underlying confounding effect of weight on clearance was addressed in the proposed weight band posology. In the </w:t>
      </w:r>
      <w:r w:rsidR="002D3F8A">
        <w:t>population pharmacokinetics m</w:t>
      </w:r>
      <w:r w:rsidRPr="00D44C38">
        <w:t xml:space="preserve">odel, an allometric coefficient was used. Consequently, for dosing allometric scaling is as well considered appropriate. Increased weight and dose of patients (and decreasing clearance per bodyweight) over time during the studies could rather be an explanation for higher plasma concentrations over time. To address the need for a lower per kilogram dose for older patients (higher </w:t>
      </w:r>
      <w:r w:rsidRPr="00D44C38">
        <w:lastRenderedPageBreak/>
        <w:t xml:space="preserve">bodyweight) and for a higher per kilogram dose for younger patients (lower bodyweight) a </w:t>
      </w:r>
      <w:r w:rsidR="002D3F8A">
        <w:t>w</w:t>
      </w:r>
      <w:r w:rsidRPr="00D44C38">
        <w:t>eight</w:t>
      </w:r>
      <w:r w:rsidR="002D3F8A">
        <w:t xml:space="preserve"> </w:t>
      </w:r>
      <w:r w:rsidRPr="00D44C38">
        <w:t>band based posology was proposed.</w:t>
      </w:r>
    </w:p>
    <w:p w14:paraId="20265040" w14:textId="79D6808E" w:rsidR="00D44C38" w:rsidRPr="00D44C38" w:rsidRDefault="00D44C38" w:rsidP="00D44C38">
      <w:r w:rsidRPr="00D44C38">
        <w:t xml:space="preserve">The compound is intended for the use in children and adolescents only, and hence, no data on adults and elderly patients are available. The data available for young children proposed for treatment between </w:t>
      </w:r>
      <w:r w:rsidR="002D3F8A">
        <w:t>two</w:t>
      </w:r>
      <w:r w:rsidRPr="00D44C38">
        <w:t xml:space="preserve"> and </w:t>
      </w:r>
      <w:r w:rsidR="002D3F8A">
        <w:t>five</w:t>
      </w:r>
      <w:r w:rsidRPr="00D44C38">
        <w:t xml:space="preserve"> years of age have been updated from the available results of </w:t>
      </w:r>
      <w:r w:rsidR="002D3F8A">
        <w:t>S</w:t>
      </w:r>
      <w:r w:rsidRPr="00D44C38">
        <w:t xml:space="preserve">tudy </w:t>
      </w:r>
      <w:r w:rsidR="0008420D">
        <w:t>111-</w:t>
      </w:r>
      <w:r w:rsidRPr="00D44C38">
        <w:t>206 and are considered sufficient to be included in the posology. The proposed weight bands are considered acceptable.</w:t>
      </w:r>
    </w:p>
    <w:p w14:paraId="71FF13DA" w14:textId="49015CE3" w:rsidR="00860F60" w:rsidRPr="00FB4945" w:rsidRDefault="00D44C38" w:rsidP="00D44C38">
      <w:r w:rsidRPr="004A6615">
        <w:t>The sponsor was requested to revise the posology to make it simpler and alleviate the concern of higher exposur</w:t>
      </w:r>
      <w:r w:rsidR="00287598">
        <w:t>e</w:t>
      </w:r>
      <w:r w:rsidRPr="004A6615">
        <w:t xml:space="preserve">. This revised proposal proposes a weight band dosing which does not include the 15 </w:t>
      </w:r>
      <w:r w:rsidR="00DE43A4">
        <w:t>µ</w:t>
      </w:r>
      <w:r w:rsidRPr="004A6615">
        <w:t>g/kg, namely with a 22</w:t>
      </w:r>
      <w:r w:rsidR="004A6615">
        <w:t xml:space="preserve"> to </w:t>
      </w:r>
      <w:r w:rsidRPr="004A6615">
        <w:t xml:space="preserve">24 </w:t>
      </w:r>
      <w:r w:rsidR="00DE43A4">
        <w:t>µ</w:t>
      </w:r>
      <w:r w:rsidRPr="004A6615">
        <w:t>g/kg and a 18</w:t>
      </w:r>
      <w:r w:rsidR="004A6615">
        <w:t xml:space="preserve"> to </w:t>
      </w:r>
      <w:r w:rsidRPr="004A6615">
        <w:t>23</w:t>
      </w:r>
      <w:r w:rsidR="004A6615">
        <w:t> </w:t>
      </w:r>
      <w:r w:rsidR="00DE43A4">
        <w:t>µ</w:t>
      </w:r>
      <w:r w:rsidRPr="004A6615">
        <w:t>g/kg dose, only for those children of 10</w:t>
      </w:r>
      <w:r w:rsidR="004A6615">
        <w:t xml:space="preserve"> to </w:t>
      </w:r>
      <w:r w:rsidRPr="004A6615">
        <w:t>11</w:t>
      </w:r>
      <w:r w:rsidR="00C31248">
        <w:t xml:space="preserve"> kg,</w:t>
      </w:r>
      <w:r w:rsidRPr="004A6615">
        <w:t xml:space="preserve"> and 12</w:t>
      </w:r>
      <w:r w:rsidR="004A6615">
        <w:t xml:space="preserve"> to </w:t>
      </w:r>
      <w:r w:rsidRPr="004A6615">
        <w:t xml:space="preserve">16 kg body weight, respectively. However, since most of the children reaching the age of </w:t>
      </w:r>
      <w:r w:rsidR="00D4377A" w:rsidRPr="004A6615">
        <w:t>two</w:t>
      </w:r>
      <w:r w:rsidRPr="004A6615">
        <w:t xml:space="preserve"> fall in a weight above the two lowest bands and considering the background of higher clearance per kg bodyweight. This dosing in the children under the lowest weight bands was agreed by the </w:t>
      </w:r>
      <w:r w:rsidR="004A6615" w:rsidRPr="004A6615">
        <w:t>overseas regulator</w:t>
      </w:r>
      <w:r w:rsidRPr="004A6615">
        <w:t xml:space="preserve">. Further data will present with the final data of </w:t>
      </w:r>
      <w:r w:rsidR="004A6615" w:rsidRPr="004A6615">
        <w:t>S</w:t>
      </w:r>
      <w:r w:rsidRPr="004A6615">
        <w:t>tudy 111-206. The revised posology also addresses the nonlinear effect of weight on clearance. No</w:t>
      </w:r>
      <w:r w:rsidRPr="00D44C38">
        <w:t xml:space="preserve"> studies have been conducted in patients with renal or hepatic impairment, based on the nature of the compound and the fact that patients in the intended indication (and age) will rarely suffer from impairment of </w:t>
      </w:r>
      <w:r w:rsidRPr="00FB4945">
        <w:t>renal or hepatic function.</w:t>
      </w:r>
    </w:p>
    <w:p w14:paraId="4F71273E" w14:textId="4750C836" w:rsidR="000C659B" w:rsidRPr="000C659B" w:rsidRDefault="000C659B" w:rsidP="000C659B">
      <w:pPr>
        <w:pStyle w:val="Heading5"/>
      </w:pPr>
      <w:r w:rsidRPr="00FB4945">
        <w:t>Pharmacodynamics</w:t>
      </w:r>
    </w:p>
    <w:p w14:paraId="42FB4A0B" w14:textId="41901CEB" w:rsidR="000C659B" w:rsidRPr="000C659B" w:rsidRDefault="000C659B" w:rsidP="000C659B">
      <w:r w:rsidRPr="000C659B">
        <w:t xml:space="preserve">There were no designated </w:t>
      </w:r>
      <w:r w:rsidR="00787FA5">
        <w:t>pharmacodynamic (</w:t>
      </w:r>
      <w:r w:rsidRPr="000C659B">
        <w:t>PD</w:t>
      </w:r>
      <w:r w:rsidR="00787FA5">
        <w:t>)</w:t>
      </w:r>
      <w:r w:rsidRPr="000C659B">
        <w:t xml:space="preserve"> studies, but PD markers were assessed as secondary and exploratory endpoints in the clinical studies.</w:t>
      </w:r>
    </w:p>
    <w:p w14:paraId="3D545DA4" w14:textId="4CEF0A25" w:rsidR="000C659B" w:rsidRPr="000C659B" w:rsidRDefault="000C659B" w:rsidP="000C659B">
      <w:r w:rsidRPr="000C659B">
        <w:t>To test PD effects of vosoritide</w:t>
      </w:r>
      <w:r w:rsidR="001229B3" w:rsidRPr="001229B3">
        <w:t xml:space="preserve"> cyclic guanosine monophosphate</w:t>
      </w:r>
      <w:r w:rsidRPr="000C659B">
        <w:t xml:space="preserve"> </w:t>
      </w:r>
      <w:r w:rsidR="001229B3">
        <w:t>(</w:t>
      </w:r>
      <w:r w:rsidRPr="000C659B">
        <w:t>cGMP</w:t>
      </w:r>
      <w:r w:rsidR="001229B3">
        <w:t>)</w:t>
      </w:r>
      <w:r w:rsidRPr="000C659B">
        <w:t xml:space="preserve"> (as measured in plasma and urine normali</w:t>
      </w:r>
      <w:r w:rsidR="00451434">
        <w:t>s</w:t>
      </w:r>
      <w:r w:rsidRPr="000C659B">
        <w:t>ed to creatinine) and</w:t>
      </w:r>
      <w:r w:rsidR="001229B3" w:rsidRPr="001229B3">
        <w:t xml:space="preserve"> collagen X</w:t>
      </w:r>
      <w:r w:rsidRPr="000C659B">
        <w:t xml:space="preserve"> (measured in serum) were selected as key biomarkers. Additionally, a clinical PD/efficacy parameter annuali</w:t>
      </w:r>
      <w:r w:rsidR="00AA5000">
        <w:t>s</w:t>
      </w:r>
      <w:r w:rsidRPr="000C659B">
        <w:t>ed growth velocity (AGV) was evaluated. cGMP reflects activation of the target receptor (</w:t>
      </w:r>
      <w:r w:rsidR="001229B3" w:rsidRPr="001229B3">
        <w:t>natriuretic peptide receptor type B</w:t>
      </w:r>
      <w:r w:rsidRPr="000C659B">
        <w:t>) of vosoritide in the target (growth plate/bones) and off</w:t>
      </w:r>
      <w:r w:rsidR="00AA5000">
        <w:t xml:space="preserve"> </w:t>
      </w:r>
      <w:r w:rsidRPr="000C659B">
        <w:t>target (</w:t>
      </w:r>
      <w:r w:rsidR="007143C4">
        <w:t xml:space="preserve">for </w:t>
      </w:r>
      <w:r w:rsidR="001229B3">
        <w:t>example</w:t>
      </w:r>
      <w:r w:rsidR="00AA5000">
        <w:t>,</w:t>
      </w:r>
      <w:r w:rsidR="001229B3">
        <w:t xml:space="preserve"> </w:t>
      </w:r>
      <w:r w:rsidRPr="000C659B">
        <w:t xml:space="preserve">vasculature) tissues, and as </w:t>
      </w:r>
      <w:r w:rsidR="00AA5000" w:rsidRPr="001229B3">
        <w:t>collagen X</w:t>
      </w:r>
      <w:r w:rsidRPr="000C659B">
        <w:t xml:space="preserve"> is thought to reflect endochondral ossification/bone gr</w:t>
      </w:r>
      <w:r w:rsidRPr="00DB7845">
        <w:t>owth</w:t>
      </w:r>
      <w:r w:rsidR="00DB7845" w:rsidRPr="00DB7845">
        <w:t>.</w:t>
      </w:r>
      <w:r w:rsidR="001229B3" w:rsidRPr="00DB7845">
        <w:rPr>
          <w:rStyle w:val="FootnoteReference"/>
        </w:rPr>
        <w:footnoteReference w:id="6"/>
      </w:r>
      <w:r w:rsidRPr="00DB7845">
        <w:t xml:space="preserve"> The AGV</w:t>
      </w:r>
      <w:r w:rsidRPr="000C659B">
        <w:t xml:space="preserve"> parameter is broadly acknowledged and clinically relevant as it directly measures effects of vosoritide on growth</w:t>
      </w:r>
      <w:r w:rsidR="001229B3">
        <w:t>.</w:t>
      </w:r>
      <w:r w:rsidRPr="000C659B">
        <w:t xml:space="preserve"> AGV was the key efficacy clinical parameter in all vosoritide studies in </w:t>
      </w:r>
      <w:r w:rsidR="00C31248">
        <w:t xml:space="preserve">achondroplasia </w:t>
      </w:r>
      <w:r w:rsidRPr="000C659B">
        <w:t>patients.</w:t>
      </w:r>
    </w:p>
    <w:p w14:paraId="689927A7" w14:textId="748EF7FA" w:rsidR="000C659B" w:rsidRPr="000C659B" w:rsidRDefault="000C659B" w:rsidP="000C659B">
      <w:r w:rsidRPr="000C659B">
        <w:t>Model</w:t>
      </w:r>
      <w:r w:rsidR="001229B3">
        <w:t xml:space="preserve"> </w:t>
      </w:r>
      <w:r w:rsidRPr="000C659B">
        <w:t>based exposur</w:t>
      </w:r>
      <w:r w:rsidR="001229B3">
        <w:t xml:space="preserve">e </w:t>
      </w:r>
      <w:r w:rsidRPr="000C659B">
        <w:t xml:space="preserve">response analyses showed PK/PD dependencies which were consistent with the descriptive PD analysis. All </w:t>
      </w:r>
      <w:r w:rsidR="001229B3">
        <w:t>three</w:t>
      </w:r>
      <w:r w:rsidRPr="000C659B">
        <w:t xml:space="preserve"> PD parameters showed correlation between the exposures and effects at the dose levels up</w:t>
      </w:r>
      <w:r w:rsidR="001229B3">
        <w:t xml:space="preserve"> </w:t>
      </w:r>
      <w:r w:rsidRPr="000C659B">
        <w:t xml:space="preserve">to 15 </w:t>
      </w:r>
      <w:r w:rsidR="00DE43A4">
        <w:t>µ</w:t>
      </w:r>
      <w:r w:rsidRPr="000C659B">
        <w:t xml:space="preserve">g/kg. But no correlations were noted at 15 and 30 </w:t>
      </w:r>
      <w:r w:rsidR="00DE43A4">
        <w:t>µ</w:t>
      </w:r>
      <w:r w:rsidRPr="000C659B">
        <w:t xml:space="preserve">g/kg dose levels, that supports the assumption, that there is a saturation of PD effects 15 </w:t>
      </w:r>
      <w:r w:rsidR="00DE43A4">
        <w:t>µ</w:t>
      </w:r>
      <w:r w:rsidRPr="000C659B">
        <w:t>g/kg dose.</w:t>
      </w:r>
    </w:p>
    <w:p w14:paraId="56933205" w14:textId="0478FF76" w:rsidR="000C659B" w:rsidRPr="000C659B" w:rsidRDefault="000C659B" w:rsidP="000C659B">
      <w:r w:rsidRPr="000C659B">
        <w:t>Since consistent dose and exposure</w:t>
      </w:r>
      <w:r w:rsidR="001229B3">
        <w:t xml:space="preserve"> </w:t>
      </w:r>
      <w:r w:rsidRPr="000C659B">
        <w:t xml:space="preserve">dependent changes were observed across various PD parameters (biomarkers, </w:t>
      </w:r>
      <w:r w:rsidR="001229B3">
        <w:t>that is</w:t>
      </w:r>
      <w:r w:rsidRPr="000C659B">
        <w:t xml:space="preserve">, cGMP, </w:t>
      </w:r>
      <w:r w:rsidR="00AA5000" w:rsidRPr="001229B3">
        <w:t>collagen X</w:t>
      </w:r>
      <w:r w:rsidRPr="000C659B">
        <w:t xml:space="preserve"> and clinical parameter AGV) and across the studies, the observed findings are considered reliable and support the use of 15 </w:t>
      </w:r>
      <w:r w:rsidR="00DE43A4">
        <w:t>µ</w:t>
      </w:r>
      <w:r w:rsidRPr="000C659B">
        <w:t xml:space="preserve">g/kg dose of vosoritide in the </w:t>
      </w:r>
      <w:r w:rsidR="00C31248">
        <w:t xml:space="preserve">achondroplasia </w:t>
      </w:r>
      <w:r w:rsidRPr="000C659B">
        <w:t xml:space="preserve">population </w:t>
      </w:r>
      <w:r w:rsidR="007143C4">
        <w:t>greater than or equal to</w:t>
      </w:r>
      <w:r w:rsidRPr="000C659B">
        <w:t xml:space="preserve"> </w:t>
      </w:r>
      <w:r w:rsidR="007143C4">
        <w:t>five</w:t>
      </w:r>
      <w:r w:rsidRPr="000C659B">
        <w:t xml:space="preserve"> years </w:t>
      </w:r>
      <w:r w:rsidR="00C31248">
        <w:t>of age</w:t>
      </w:r>
      <w:r w:rsidRPr="000C659B">
        <w:t>.</w:t>
      </w:r>
    </w:p>
    <w:p w14:paraId="67F2C96C" w14:textId="0F2C7B91" w:rsidR="000C659B" w:rsidRPr="000C659B" w:rsidRDefault="000C659B" w:rsidP="000C659B">
      <w:r w:rsidRPr="000C659B">
        <w:t xml:space="preserve">In patients </w:t>
      </w:r>
      <w:r w:rsidR="00C31248">
        <w:t xml:space="preserve">from </w:t>
      </w:r>
      <w:r w:rsidRPr="000C659B">
        <w:t>2</w:t>
      </w:r>
      <w:r w:rsidR="007143C4">
        <w:t xml:space="preserve"> to less than </w:t>
      </w:r>
      <w:r w:rsidRPr="000C659B">
        <w:t>5 years of age</w:t>
      </w:r>
      <w:r w:rsidR="00C31248">
        <w:t>,</w:t>
      </w:r>
      <w:r w:rsidRPr="000C659B">
        <w:t xml:space="preserve"> only very limited data have been submitted due to the fact that the study is still ongoing and blinded. Study</w:t>
      </w:r>
      <w:r w:rsidR="00C31248">
        <w:t>-</w:t>
      </w:r>
      <w:r w:rsidRPr="000C659B">
        <w:t xml:space="preserve"> or age</w:t>
      </w:r>
      <w:r w:rsidR="00C31248">
        <w:t>-</w:t>
      </w:r>
      <w:r w:rsidRPr="000C659B">
        <w:t>related differences (</w:t>
      </w:r>
      <w:r w:rsidR="00C31248">
        <w:t xml:space="preserve">age of </w:t>
      </w:r>
      <w:r w:rsidRPr="000C659B">
        <w:t>2</w:t>
      </w:r>
      <w:r w:rsidR="007143C4">
        <w:t xml:space="preserve"> to less than </w:t>
      </w:r>
      <w:r w:rsidRPr="000C659B">
        <w:t xml:space="preserve">5 years old </w:t>
      </w:r>
      <w:r w:rsidR="007143C4">
        <w:t>verses</w:t>
      </w:r>
      <w:r w:rsidRPr="000C659B">
        <w:t xml:space="preserve"> older age groups) regarding the exposure</w:t>
      </w:r>
      <w:r w:rsidR="007143C4">
        <w:t xml:space="preserve"> </w:t>
      </w:r>
      <w:r w:rsidRPr="000C659B">
        <w:t>response relationship could neither be determined nor excluded based on the presented data.</w:t>
      </w:r>
    </w:p>
    <w:p w14:paraId="68262BBE" w14:textId="0ACE29EF" w:rsidR="000C659B" w:rsidRPr="000C659B" w:rsidRDefault="000C659B" w:rsidP="000C659B">
      <w:r w:rsidRPr="000C659B">
        <w:lastRenderedPageBreak/>
        <w:t xml:space="preserve">Limited PD data in </w:t>
      </w:r>
      <w:r w:rsidR="00C31248">
        <w:t xml:space="preserve">the </w:t>
      </w:r>
      <w:r w:rsidRPr="000C659B">
        <w:t>2</w:t>
      </w:r>
      <w:r w:rsidR="007143C4">
        <w:t xml:space="preserve"> to less than </w:t>
      </w:r>
      <w:r w:rsidRPr="000C659B">
        <w:t>5</w:t>
      </w:r>
      <w:r w:rsidR="007143C4">
        <w:t xml:space="preserve"> </w:t>
      </w:r>
      <w:r w:rsidRPr="000C659B">
        <w:t>year</w:t>
      </w:r>
      <w:r w:rsidR="007143C4">
        <w:t xml:space="preserve">s </w:t>
      </w:r>
      <w:r w:rsidR="00C31248">
        <w:t>age group</w:t>
      </w:r>
      <w:r w:rsidR="00C31248" w:rsidRPr="000C659B">
        <w:t xml:space="preserve"> </w:t>
      </w:r>
      <w:r w:rsidRPr="000C659B">
        <w:t>and their comparison to older patients suggest that PD effects of vosoritide are similar across various age groups.</w:t>
      </w:r>
    </w:p>
    <w:p w14:paraId="43039DF2" w14:textId="213CD60A" w:rsidR="004A6615" w:rsidRDefault="000C659B" w:rsidP="000C659B">
      <w:r w:rsidRPr="000C659B">
        <w:t xml:space="preserve">The </w:t>
      </w:r>
      <w:r w:rsidR="007143C4">
        <w:t>sponsor</w:t>
      </w:r>
      <w:r w:rsidRPr="000C659B">
        <w:t xml:space="preserve"> has not conducted dedicated secondary pharmacology studies, however, evaluations including exposure</w:t>
      </w:r>
      <w:r w:rsidR="007143C4">
        <w:t xml:space="preserve"> </w:t>
      </w:r>
      <w:r w:rsidRPr="000C659B">
        <w:t xml:space="preserve">response relationship for safety relevant parameters, such as </w:t>
      </w:r>
      <w:r w:rsidR="007143C4" w:rsidRPr="007143C4">
        <w:t>heart rate</w:t>
      </w:r>
      <w:r w:rsidRPr="007143C4">
        <w:t xml:space="preserve">, </w:t>
      </w:r>
      <w:r w:rsidR="007143C4" w:rsidRPr="007143C4">
        <w:t>blood</w:t>
      </w:r>
      <w:r w:rsidR="007143C4">
        <w:t xml:space="preserve"> pressure</w:t>
      </w:r>
      <w:r w:rsidRPr="000C659B">
        <w:t xml:space="preserve">, hypotension, and injection site reactions were conducted and showed no or weak correlation with vosoritide exposure. Overall, based on the data available, there are no concerns raised in regard to potential effects of vosoritide on </w:t>
      </w:r>
      <w:r w:rsidR="00C31248">
        <w:t xml:space="preserve">cardiac </w:t>
      </w:r>
      <w:r w:rsidRPr="002D1401">
        <w:t>QT</w:t>
      </w:r>
      <w:r w:rsidR="00C31248">
        <w:noBreakHyphen/>
        <w:t>interval</w:t>
      </w:r>
      <w:r w:rsidRPr="002D1401">
        <w:t>.</w:t>
      </w:r>
      <w:r w:rsidR="0031552F">
        <w:rPr>
          <w:rStyle w:val="FootnoteReference"/>
        </w:rPr>
        <w:footnoteReference w:id="7"/>
      </w:r>
      <w:r w:rsidRPr="000C659B">
        <w:t xml:space="preserve"> Effects of intrinsic/extrinsic factors on PD were assessed as subgroup analyses (sex, age group, Tanner stage</w:t>
      </w:r>
      <w:bookmarkStart w:id="38" w:name="_Ref120617476"/>
      <w:r w:rsidR="0037449C">
        <w:t>,</w:t>
      </w:r>
      <w:r w:rsidR="005F0D28">
        <w:rPr>
          <w:rStyle w:val="FootnoteReference"/>
        </w:rPr>
        <w:footnoteReference w:id="8"/>
      </w:r>
      <w:bookmarkEnd w:id="38"/>
      <w:r w:rsidRPr="000C659B">
        <w:t xml:space="preserve"> strata, baseline height Z-score, and baseline AGV) in Study 111-301. The results from the subgroup were overall consistent with the main analysis.</w:t>
      </w:r>
    </w:p>
    <w:p w14:paraId="07F790E2" w14:textId="66593FFE" w:rsidR="00DB7845" w:rsidRDefault="00DB7845" w:rsidP="00DB7845">
      <w:pPr>
        <w:pStyle w:val="Heading4"/>
      </w:pPr>
      <w:r w:rsidRPr="00DB7845">
        <w:t>Efficacy</w:t>
      </w:r>
    </w:p>
    <w:p w14:paraId="08F8D6DB" w14:textId="7A662D1E" w:rsidR="00A818CC" w:rsidRDefault="00A818CC" w:rsidP="00A12EF6">
      <w:pPr>
        <w:pStyle w:val="Heading5"/>
      </w:pPr>
      <w:r>
        <w:t>Efficacy overview</w:t>
      </w:r>
    </w:p>
    <w:p w14:paraId="3CDDCB4A" w14:textId="0B28E032" w:rsidR="00A818CC" w:rsidRPr="00956FEE" w:rsidRDefault="00A818CC" w:rsidP="00A12EF6">
      <w:pPr>
        <w:pStyle w:val="Heading6"/>
      </w:pPr>
      <w:r>
        <w:t>Studies providing efficacy data</w:t>
      </w:r>
    </w:p>
    <w:p w14:paraId="46145D9A" w14:textId="243B9CCE" w:rsidR="00A818CC" w:rsidRDefault="00DB7845" w:rsidP="00DB7845">
      <w:r w:rsidRPr="00DB7845">
        <w:t xml:space="preserve">The </w:t>
      </w:r>
      <w:r>
        <w:t>sponsor</w:t>
      </w:r>
      <w:r w:rsidRPr="00DB7845">
        <w:t xml:space="preserve"> provided a comprehensive clinical data package with results from </w:t>
      </w:r>
      <w:r w:rsidR="00A818CC">
        <w:t>7 </w:t>
      </w:r>
      <w:r w:rsidRPr="00DB7845">
        <w:t xml:space="preserve">prospective clinical studies </w:t>
      </w:r>
      <w:r w:rsidR="00A818CC">
        <w:t>as follows:</w:t>
      </w:r>
    </w:p>
    <w:p w14:paraId="1D1477B8" w14:textId="3D7691D4" w:rsidR="00A818CC" w:rsidRDefault="00A818CC" w:rsidP="00A12EF6">
      <w:pPr>
        <w:pStyle w:val="ListBullet"/>
      </w:pPr>
      <w:r>
        <w:t>Study 111-101-FIM</w:t>
      </w:r>
      <w:r w:rsidRPr="00DB7845">
        <w:t xml:space="preserve"> </w:t>
      </w:r>
      <w:r>
        <w:t>(</w:t>
      </w:r>
      <w:r w:rsidR="00DB7845" w:rsidRPr="00DB7845">
        <w:t>in healthy volunteers</w:t>
      </w:r>
      <w:r>
        <w:t>)</w:t>
      </w:r>
    </w:p>
    <w:p w14:paraId="022F28BD" w14:textId="77777777" w:rsidR="00A818CC" w:rsidRDefault="00A818CC" w:rsidP="00A12EF6">
      <w:pPr>
        <w:pStyle w:val="ListBullet"/>
      </w:pPr>
      <w:r>
        <w:t>Six studies in subjects with genetically confirmed achondroplasia:</w:t>
      </w:r>
    </w:p>
    <w:p w14:paraId="56AD90AF" w14:textId="1B90D21B" w:rsidR="00A818CC" w:rsidRDefault="009B5BF3" w:rsidP="00A12EF6">
      <w:pPr>
        <w:pStyle w:val="ListBullet2"/>
      </w:pPr>
      <w:r>
        <w:t>Study</w:t>
      </w:r>
      <w:r w:rsidR="00C31248">
        <w:t> </w:t>
      </w:r>
      <w:r w:rsidR="00DB7845" w:rsidRPr="00DB7845">
        <w:t>111-202</w:t>
      </w:r>
      <w:r>
        <w:t xml:space="preserve"> </w:t>
      </w:r>
      <w:r w:rsidR="00DB7845" w:rsidRPr="00DB7845">
        <w:t>(</w:t>
      </w:r>
      <w:r w:rsidR="00DB7845">
        <w:t>plus</w:t>
      </w:r>
      <w:r>
        <w:t xml:space="preserve"> Study</w:t>
      </w:r>
      <w:r w:rsidR="00DB7845">
        <w:t xml:space="preserve"> </w:t>
      </w:r>
      <w:r w:rsidR="00DB7845" w:rsidRPr="00DB7845">
        <w:t>111-205)</w:t>
      </w:r>
      <w:r w:rsidR="00A818CC">
        <w:t>, a</w:t>
      </w:r>
      <w:r w:rsidR="00DB7845" w:rsidRPr="00DB7845">
        <w:t xml:space="preserve"> dose</w:t>
      </w:r>
      <w:r w:rsidR="00DB7845">
        <w:t xml:space="preserve"> </w:t>
      </w:r>
      <w:r w:rsidR="00DB7845" w:rsidRPr="00DB7845">
        <w:t>finding</w:t>
      </w:r>
      <w:r w:rsidR="00A818CC">
        <w:t xml:space="preserve"> study</w:t>
      </w:r>
      <w:r w:rsidR="00DB7845" w:rsidRPr="00DB7845">
        <w:t>,</w:t>
      </w:r>
    </w:p>
    <w:p w14:paraId="102EF4F9" w14:textId="77871268" w:rsidR="00A818CC" w:rsidRDefault="009B5BF3" w:rsidP="00A12EF6">
      <w:pPr>
        <w:pStyle w:val="ListBullet2"/>
      </w:pPr>
      <w:r>
        <w:t xml:space="preserve">Study </w:t>
      </w:r>
      <w:r w:rsidR="00DB7845" w:rsidRPr="00DB7845">
        <w:t>111-301 (</w:t>
      </w:r>
      <w:r w:rsidR="00DB7845">
        <w:t>plus</w:t>
      </w:r>
      <w:r>
        <w:t xml:space="preserve"> Study</w:t>
      </w:r>
      <w:r w:rsidR="00DB7845">
        <w:t xml:space="preserve"> </w:t>
      </w:r>
      <w:r w:rsidR="00DB7845" w:rsidRPr="00DB7845">
        <w:t>111-302)</w:t>
      </w:r>
      <w:r w:rsidR="00A818CC">
        <w:t xml:space="preserve">, a </w:t>
      </w:r>
      <w:r w:rsidR="00DB7845" w:rsidRPr="00DB7845">
        <w:t xml:space="preserve">pivotal </w:t>
      </w:r>
      <w:r w:rsidR="00DB7845">
        <w:t>P</w:t>
      </w:r>
      <w:r w:rsidR="00DB7845" w:rsidRPr="00DB7845">
        <w:t xml:space="preserve">hase </w:t>
      </w:r>
      <w:r w:rsidR="00D87E20">
        <w:t>III</w:t>
      </w:r>
      <w:r w:rsidR="00DB7845" w:rsidRPr="00DB7845">
        <w:t xml:space="preserve"> </w:t>
      </w:r>
      <w:r w:rsidR="00D87E20">
        <w:t>r</w:t>
      </w:r>
      <w:r w:rsidR="00D87E20" w:rsidRPr="00D87E20">
        <w:t xml:space="preserve">andomised controlled trial </w:t>
      </w:r>
      <w:r w:rsidR="00D87E20">
        <w:t>(</w:t>
      </w:r>
      <w:r w:rsidR="00DB7845" w:rsidRPr="00DB7845">
        <w:t>RCT</w:t>
      </w:r>
      <w:r w:rsidR="00D87E20">
        <w:t>)</w:t>
      </w:r>
      <w:r w:rsidR="00DB7845" w:rsidRPr="00DB7845">
        <w:t xml:space="preserve"> </w:t>
      </w:r>
      <w:r w:rsidR="00A818CC">
        <w:t xml:space="preserve">in </w:t>
      </w:r>
      <w:r w:rsidR="00C31248">
        <w:t>subjects aged</w:t>
      </w:r>
      <w:r w:rsidR="00DB7845">
        <w:t xml:space="preserve"> </w:t>
      </w:r>
      <w:r w:rsidR="00DB7845" w:rsidRPr="00DB7845">
        <w:t>5</w:t>
      </w:r>
      <w:r w:rsidR="00DB7845">
        <w:t xml:space="preserve"> </w:t>
      </w:r>
      <w:r w:rsidR="00C31248">
        <w:t xml:space="preserve">years and older up to </w:t>
      </w:r>
      <w:r>
        <w:t>1</w:t>
      </w:r>
      <w:r w:rsidR="00DB7845" w:rsidRPr="00DB7845">
        <w:t>8</w:t>
      </w:r>
      <w:r w:rsidR="00A818CC">
        <w:t> </w:t>
      </w:r>
      <w:r w:rsidR="00DB7845" w:rsidRPr="00DB7845">
        <w:t>years</w:t>
      </w:r>
      <w:r w:rsidR="00A818CC">
        <w:t xml:space="preserve"> of age</w:t>
      </w:r>
      <w:r w:rsidR="00DB7845" w:rsidRPr="00DB7845">
        <w:t>)</w:t>
      </w:r>
      <w:r w:rsidR="00A818CC">
        <w:t>,</w:t>
      </w:r>
      <w:r w:rsidR="00DB7845" w:rsidRPr="00DB7845">
        <w:t xml:space="preserve"> and</w:t>
      </w:r>
    </w:p>
    <w:p w14:paraId="4F80D700" w14:textId="0720EA43" w:rsidR="00A818CC" w:rsidRDefault="009B5BF3" w:rsidP="00A12EF6">
      <w:pPr>
        <w:pStyle w:val="ListBullet2"/>
      </w:pPr>
      <w:r>
        <w:t>Study</w:t>
      </w:r>
      <w:r w:rsidR="00C31248">
        <w:t> </w:t>
      </w:r>
      <w:r w:rsidR="00DB7845" w:rsidRPr="00DB7845">
        <w:t>111-206 (</w:t>
      </w:r>
      <w:r>
        <w:t xml:space="preserve">plus Study </w:t>
      </w:r>
      <w:r w:rsidR="00DB7845" w:rsidRPr="00DB7845">
        <w:t>111-208)</w:t>
      </w:r>
      <w:r w:rsidR="00A818CC">
        <w:t xml:space="preserve">, a </w:t>
      </w:r>
      <w:r w:rsidR="00DB7845" w:rsidRPr="00DB7845">
        <w:t xml:space="preserve">pivotal </w:t>
      </w:r>
      <w:r>
        <w:t>P</w:t>
      </w:r>
      <w:r w:rsidR="00DB7845" w:rsidRPr="00DB7845">
        <w:t xml:space="preserve">hase </w:t>
      </w:r>
      <w:r w:rsidR="00D87E20">
        <w:t>II</w:t>
      </w:r>
      <w:r w:rsidR="00DB7845" w:rsidRPr="00DB7845">
        <w:t xml:space="preserve"> RCT (</w:t>
      </w:r>
      <w:r w:rsidR="00C31248">
        <w:t>in subjects from the age of zero up to and including those of 5 years of age</w:t>
      </w:r>
      <w:r w:rsidR="00DB7845" w:rsidRPr="00DB7845">
        <w:t>).</w:t>
      </w:r>
    </w:p>
    <w:p w14:paraId="65DDF58D" w14:textId="4CC91599" w:rsidR="00A818CC" w:rsidRDefault="00DB7845">
      <w:r w:rsidRPr="00DB7845">
        <w:t xml:space="preserve">In order to optimise disease characterisation of the untreated population at </w:t>
      </w:r>
      <w:r w:rsidR="00D043B1">
        <w:t>B</w:t>
      </w:r>
      <w:r w:rsidRPr="00DB7845">
        <w:t>aseline and for further comparisons of the long</w:t>
      </w:r>
      <w:r w:rsidR="00C31248">
        <w:t>-</w:t>
      </w:r>
      <w:r w:rsidRPr="00DB7845">
        <w:t xml:space="preserve">term outcome, the applicant has performed one observational </w:t>
      </w:r>
      <w:r w:rsidR="00C87558">
        <w:t>study,</w:t>
      </w:r>
      <w:r w:rsidR="005060DF">
        <w:t xml:space="preserve"> </w:t>
      </w:r>
      <w:r w:rsidR="009B5BF3">
        <w:t>S</w:t>
      </w:r>
      <w:r w:rsidRPr="00DB7845">
        <w:t>tudy 111-901</w:t>
      </w:r>
      <w:r w:rsidR="00C87558">
        <w:t>,</w:t>
      </w:r>
      <w:r w:rsidRPr="00DB7845">
        <w:t xml:space="preserve"> and generated real world evidence from different natural history sources.</w:t>
      </w:r>
    </w:p>
    <w:p w14:paraId="217F8FEB" w14:textId="789EDA09" w:rsidR="00A818CC" w:rsidRDefault="00A818CC" w:rsidP="00A12EF6">
      <w:pPr>
        <w:pStyle w:val="Heading6"/>
      </w:pPr>
      <w:r>
        <w:t>Efficacy assessments and endpoints</w:t>
      </w:r>
    </w:p>
    <w:p w14:paraId="3F7DDF8E" w14:textId="594E79A7" w:rsidR="00DB7845" w:rsidRPr="00DB7845" w:rsidRDefault="00DB7845">
      <w:r w:rsidRPr="00DB7845">
        <w:t xml:space="preserve">The endpoints as well as their assessment during all clinical trials was rather similar, which allows to prove consistency of the outcome and facilitate reliable pooling. Since benefits and risks may differ, younger children below the age of </w:t>
      </w:r>
      <w:r w:rsidR="009B5BF3">
        <w:t>five</w:t>
      </w:r>
      <w:r w:rsidRPr="00DB7845">
        <w:t xml:space="preserve"> years were separately investigated after sufficient evidence was generated in those above </w:t>
      </w:r>
      <w:r w:rsidR="009B5BF3">
        <w:t>five</w:t>
      </w:r>
      <w:r w:rsidRPr="00DB7845">
        <w:t xml:space="preserve"> years of age.</w:t>
      </w:r>
    </w:p>
    <w:p w14:paraId="5AF61FEE" w14:textId="329DEB2A" w:rsidR="00DB7845" w:rsidRPr="00DB7845" w:rsidRDefault="00DB7845" w:rsidP="00DB7845">
      <w:r w:rsidRPr="00DB7845">
        <w:t xml:space="preserve">The efficacy assessment is based mainly on anthropometric measurements. </w:t>
      </w:r>
      <w:r w:rsidR="00A818CC">
        <w:t>The p</w:t>
      </w:r>
      <w:r w:rsidRPr="00DB7845">
        <w:t xml:space="preserve">rimary endpoint was the </w:t>
      </w:r>
      <w:r w:rsidR="000032DD">
        <w:t>annualised growth velocity (</w:t>
      </w:r>
      <w:r w:rsidRPr="00DB7845">
        <w:t>AGV</w:t>
      </w:r>
      <w:r w:rsidR="000032DD">
        <w:t>)</w:t>
      </w:r>
      <w:r w:rsidRPr="00DB7845">
        <w:t>, which was validated and already accepted for the approval for several other growth</w:t>
      </w:r>
      <w:r w:rsidR="009B5BF3">
        <w:t xml:space="preserve"> </w:t>
      </w:r>
      <w:r w:rsidRPr="00DB7845">
        <w:t xml:space="preserve">promoting products. The key </w:t>
      </w:r>
      <w:r w:rsidRPr="00DB7845">
        <w:lastRenderedPageBreak/>
        <w:t xml:space="preserve">secondary endpoints include </w:t>
      </w:r>
      <w:r w:rsidR="00D043B1">
        <w:t>h</w:t>
      </w:r>
      <w:r w:rsidRPr="00DB7845">
        <w:t>eight Z</w:t>
      </w:r>
      <w:r w:rsidR="009B5BF3">
        <w:noBreakHyphen/>
      </w:r>
      <w:r w:rsidRPr="00DB7845">
        <w:t xml:space="preserve">score in order to demonstrate robustness of the primary outcome, as well as </w:t>
      </w:r>
      <w:r w:rsidR="009B5BF3">
        <w:t>‘</w:t>
      </w:r>
      <w:r w:rsidRPr="00DB7845">
        <w:t>upper to lower body segment ratio</w:t>
      </w:r>
      <w:r w:rsidR="009B5BF3">
        <w:t>’</w:t>
      </w:r>
      <w:r w:rsidRPr="00DB7845">
        <w:t xml:space="preserve"> and </w:t>
      </w:r>
      <w:r w:rsidR="009B5BF3">
        <w:t>‘</w:t>
      </w:r>
      <w:r w:rsidRPr="00DB7845">
        <w:t>standing height</w:t>
      </w:r>
      <w:r w:rsidR="009B5BF3">
        <w:t>’</w:t>
      </w:r>
      <w:r w:rsidRPr="00DB7845">
        <w:t xml:space="preserve"> as very important endpoints with respect to long</w:t>
      </w:r>
      <w:r w:rsidR="009B5BF3">
        <w:t xml:space="preserve"> </w:t>
      </w:r>
      <w:r w:rsidRPr="00DB7845">
        <w:t xml:space="preserve">term outcome. In addition, several </w:t>
      </w:r>
      <w:r w:rsidR="009B5BF3">
        <w:t>quality of life (</w:t>
      </w:r>
      <w:r w:rsidRPr="00DB7845">
        <w:t>QoL</w:t>
      </w:r>
      <w:r w:rsidR="009B5BF3">
        <w:t>)</w:t>
      </w:r>
      <w:r w:rsidRPr="00DB7845">
        <w:t xml:space="preserve"> scores and many other endpoints of interest in the target population were included and assessed. Regarding the endpoints assessment, the Type I error was adequately controlled by hierarchical testing.</w:t>
      </w:r>
    </w:p>
    <w:p w14:paraId="2F33C308" w14:textId="6F536885" w:rsidR="00DB7845" w:rsidRPr="00DB7845" w:rsidRDefault="00DB7845" w:rsidP="00DB7845">
      <w:r w:rsidRPr="00DB7845">
        <w:t>The inclusion and exclusion criteria used characterise the target population of patients</w:t>
      </w:r>
      <w:r w:rsidR="000032DD">
        <w:t xml:space="preserve"> with achondroplasia</w:t>
      </w:r>
      <w:r w:rsidRPr="00DB7845">
        <w:t>.</w:t>
      </w:r>
    </w:p>
    <w:p w14:paraId="6FCDCE03" w14:textId="372E9182" w:rsidR="00DB7845" w:rsidRDefault="00DB7845" w:rsidP="00DB7845">
      <w:r w:rsidRPr="00DB7845">
        <w:t>All patients in the clinical program were initially included in the baseline observational growth study (</w:t>
      </w:r>
      <w:r w:rsidR="009B5BF3">
        <w:t xml:space="preserve">Study </w:t>
      </w:r>
      <w:r w:rsidRPr="00DB7845">
        <w:t xml:space="preserve">111-901) at least for </w:t>
      </w:r>
      <w:r w:rsidR="009B5BF3">
        <w:t>six</w:t>
      </w:r>
      <w:r w:rsidRPr="00DB7845">
        <w:t xml:space="preserve"> months until they could be recruited for one of three studies (and their corresponding extension trials)</w:t>
      </w:r>
      <w:r w:rsidR="000032DD">
        <w:t>.</w:t>
      </w:r>
    </w:p>
    <w:p w14:paraId="2BA4D12E" w14:textId="4C6F78CD" w:rsidR="00E61EC1" w:rsidRPr="00DB7845" w:rsidRDefault="00E61EC1" w:rsidP="00A12EF6">
      <w:pPr>
        <w:pStyle w:val="Heading5"/>
      </w:pPr>
      <w:r>
        <w:t>Dose finding studies</w:t>
      </w:r>
    </w:p>
    <w:p w14:paraId="45654D90" w14:textId="033ED425" w:rsidR="00DB7845" w:rsidRPr="000032DD" w:rsidRDefault="000032DD" w:rsidP="00A12EF6">
      <w:pPr>
        <w:pStyle w:val="Heading6"/>
      </w:pPr>
      <w:r>
        <w:t>Study 1</w:t>
      </w:r>
      <w:r w:rsidR="00E61EC1">
        <w:t>11-202</w:t>
      </w:r>
    </w:p>
    <w:p w14:paraId="5A5D6C8C" w14:textId="1090F52E" w:rsidR="00DB7845" w:rsidRPr="00DB7845" w:rsidRDefault="00DB7845" w:rsidP="00DB7845">
      <w:r w:rsidRPr="00DB7845">
        <w:t>Study 111-202 was an open</w:t>
      </w:r>
      <w:r w:rsidR="009B5BF3">
        <w:t xml:space="preserve"> </w:t>
      </w:r>
      <w:r w:rsidRPr="00DB7845">
        <w:t>label, dose</w:t>
      </w:r>
      <w:r w:rsidR="009B5BF3">
        <w:t xml:space="preserve"> </w:t>
      </w:r>
      <w:r w:rsidRPr="00DB7845">
        <w:t xml:space="preserve">escalation </w:t>
      </w:r>
      <w:r w:rsidR="009B5BF3">
        <w:t>P</w:t>
      </w:r>
      <w:r w:rsidRPr="00DB7845">
        <w:t xml:space="preserve">hase </w:t>
      </w:r>
      <w:r w:rsidR="00D87E20">
        <w:t>II</w:t>
      </w:r>
      <w:r w:rsidRPr="00DB7845">
        <w:t xml:space="preserve"> </w:t>
      </w:r>
      <w:r w:rsidR="00D043B1">
        <w:t>s</w:t>
      </w:r>
      <w:r w:rsidRPr="00DB7845">
        <w:t xml:space="preserve">tudy which included 34 subjects </w:t>
      </w:r>
      <w:r w:rsidR="000032DD">
        <w:t>with achondroplasia in</w:t>
      </w:r>
      <w:r w:rsidRPr="00DB7845">
        <w:t xml:space="preserve"> the age range of 5</w:t>
      </w:r>
      <w:r w:rsidR="009B5BF3">
        <w:t xml:space="preserve"> to </w:t>
      </w:r>
      <w:r w:rsidRPr="00DB7845">
        <w:t>14 years of age, who received vosoritide daily in doses of 2.5</w:t>
      </w:r>
      <w:r w:rsidR="009B5BF3">
        <w:t xml:space="preserve"> </w:t>
      </w:r>
      <w:r w:rsidR="00B17B74">
        <w:t>µ</w:t>
      </w:r>
      <w:r w:rsidRPr="00DB7845">
        <w:t>g, 7.5</w:t>
      </w:r>
      <w:r w:rsidR="009B5BF3">
        <w:t xml:space="preserve"> </w:t>
      </w:r>
      <w:r w:rsidR="00B17B74">
        <w:t>µ</w:t>
      </w:r>
      <w:r w:rsidRPr="00DB7845">
        <w:t>g, 15</w:t>
      </w:r>
      <w:r w:rsidR="009B5BF3">
        <w:t xml:space="preserve"> </w:t>
      </w:r>
      <w:r w:rsidR="00B17B74">
        <w:t>µ</w:t>
      </w:r>
      <w:r w:rsidRPr="00DB7845">
        <w:t>g and 30</w:t>
      </w:r>
      <w:r w:rsidR="009B5BF3">
        <w:t xml:space="preserve"> </w:t>
      </w:r>
      <w:r w:rsidR="00B17B74">
        <w:t>µ</w:t>
      </w:r>
      <w:r w:rsidRPr="00DB7845">
        <w:t>g</w:t>
      </w:r>
      <w:r w:rsidR="009B5BF3">
        <w:t xml:space="preserve"> subcutaneous</w:t>
      </w:r>
      <w:r w:rsidRPr="00DB7845">
        <w:t xml:space="preserve"> in </w:t>
      </w:r>
      <w:r w:rsidR="009B5BF3">
        <w:t>four</w:t>
      </w:r>
      <w:r w:rsidRPr="00DB7845">
        <w:t xml:space="preserve"> sequential cohorts of at least </w:t>
      </w:r>
      <w:r w:rsidR="009B5BF3">
        <w:t>eight</w:t>
      </w:r>
      <w:r w:rsidRPr="00DB7845">
        <w:t xml:space="preserve"> subjects. Duration was </w:t>
      </w:r>
      <w:r w:rsidR="009B5BF3">
        <w:t>six</w:t>
      </w:r>
      <w:r w:rsidRPr="00DB7845">
        <w:t xml:space="preserve"> months, with an optional treatment extension of 18 months. Type I error was adequately controlled by hierarchical testing. After reaching the end of 24 months treatment in </w:t>
      </w:r>
      <w:r w:rsidR="009B5BF3">
        <w:t>S</w:t>
      </w:r>
      <w:r w:rsidRPr="00DB7845">
        <w:t>tudy 111-202, the 30 subjects could be rolled over in the long</w:t>
      </w:r>
      <w:r w:rsidR="000032DD">
        <w:t>-</w:t>
      </w:r>
      <w:r w:rsidRPr="00DB7845">
        <w:t xml:space="preserve">term extension </w:t>
      </w:r>
      <w:r w:rsidR="009B5BF3">
        <w:t>S</w:t>
      </w:r>
      <w:r w:rsidRPr="00DB7845">
        <w:t xml:space="preserve">tudy 111-205. Subjects were followed until reaching near final adult height or a minimum of </w:t>
      </w:r>
      <w:r w:rsidR="009B5BF3">
        <w:t>five</w:t>
      </w:r>
      <w:r w:rsidRPr="00DB7845">
        <w:t xml:space="preserve"> years. Subjects in the low dose cohorts were transferred after completion of </w:t>
      </w:r>
      <w:r w:rsidR="009B5BF3">
        <w:t xml:space="preserve">Study </w:t>
      </w:r>
      <w:r w:rsidRPr="00DB7845">
        <w:t xml:space="preserve">111-202 into the 15 </w:t>
      </w:r>
      <w:r w:rsidR="00B17B74">
        <w:t>µ</w:t>
      </w:r>
      <w:r w:rsidRPr="00DB7845">
        <w:t>g/kg dose cohort to increase the information about the selected posology.</w:t>
      </w:r>
    </w:p>
    <w:p w14:paraId="4D1A0B87" w14:textId="44F866D6" w:rsidR="00DB7845" w:rsidRPr="00DB7845" w:rsidRDefault="00DB7845" w:rsidP="00DB7845">
      <w:r w:rsidRPr="00DB7845">
        <w:t>In the dose finding</w:t>
      </w:r>
      <w:r w:rsidR="00D478F8">
        <w:t xml:space="preserve"> study,</w:t>
      </w:r>
      <w:r w:rsidRPr="00DB7845">
        <w:t xml:space="preserve"> </w:t>
      </w:r>
      <w:r w:rsidR="009B5BF3">
        <w:t>S</w:t>
      </w:r>
      <w:r w:rsidRPr="00DB7845">
        <w:t>tudy</w:t>
      </w:r>
      <w:r w:rsidR="00D478F8">
        <w:t xml:space="preserve"> 111-</w:t>
      </w:r>
      <w:r w:rsidRPr="00DB7845">
        <w:t>202</w:t>
      </w:r>
      <w:r w:rsidR="00D478F8">
        <w:t>,</w:t>
      </w:r>
      <w:r w:rsidRPr="00DB7845">
        <w:t xml:space="preserve"> at </w:t>
      </w:r>
      <w:r w:rsidR="009B5BF3">
        <w:t>six</w:t>
      </w:r>
      <w:r w:rsidRPr="00DB7845">
        <w:t xml:space="preserve"> months, a significant increase in AGV was observed with vosoritide at 15 and 30 </w:t>
      </w:r>
      <w:r w:rsidR="00B17B74">
        <w:t>µ</w:t>
      </w:r>
      <w:r w:rsidRPr="00DB7845">
        <w:t xml:space="preserve">g/kg. The changes in AGV were dose dependent and achieved plateau with 15 </w:t>
      </w:r>
      <w:r w:rsidR="00B17B74">
        <w:t>µ</w:t>
      </w:r>
      <w:r w:rsidRPr="00DB7845">
        <w:t>g/kg, (AGV-</w:t>
      </w:r>
      <w:r w:rsidR="00D043B1">
        <w:t>m</w:t>
      </w:r>
      <w:r w:rsidRPr="00DB7845">
        <w:t>edian 2</w:t>
      </w:r>
      <w:r w:rsidR="009B5BF3">
        <w:t>.</w:t>
      </w:r>
      <w:r w:rsidRPr="00DB7845">
        <w:t>5</w:t>
      </w:r>
      <w:r w:rsidR="009B5BF3">
        <w:t xml:space="preserve"> </w:t>
      </w:r>
      <w:r w:rsidR="00B17B74">
        <w:t>µ</w:t>
      </w:r>
      <w:r w:rsidRPr="00DB7845">
        <w:t>g: -0.146; 7</w:t>
      </w:r>
      <w:r w:rsidR="009B5BF3">
        <w:t>.</w:t>
      </w:r>
      <w:r w:rsidRPr="00DB7845">
        <w:t>5 mg: 1.348; 15</w:t>
      </w:r>
      <w:r w:rsidR="00700B72">
        <w:t> </w:t>
      </w:r>
      <w:r w:rsidR="00B17B74">
        <w:t>µ</w:t>
      </w:r>
      <w:r w:rsidRPr="00DB7845">
        <w:t>g:</w:t>
      </w:r>
      <w:r w:rsidR="00700B72">
        <w:t> </w:t>
      </w:r>
      <w:r w:rsidRPr="00DB7845">
        <w:t xml:space="preserve">2.652 and 30 </w:t>
      </w:r>
      <w:r w:rsidR="00B17B74">
        <w:t>µ</w:t>
      </w:r>
      <w:r w:rsidRPr="00DB7845">
        <w:t xml:space="preserve">g: 2.899). Since no additional benefit in effect on AGV was seen with 30 </w:t>
      </w:r>
      <w:r w:rsidR="00B17B74">
        <w:t>µ</w:t>
      </w:r>
      <w:r w:rsidRPr="00DB7845">
        <w:t xml:space="preserve">g/kg daily dose compared to 15 </w:t>
      </w:r>
      <w:r w:rsidR="00B17B74">
        <w:t>µ</w:t>
      </w:r>
      <w:r w:rsidRPr="00DB7845">
        <w:t>g/kg, the selected dose appears to be adequately justified. The selected dose was further supported by the observed increase in AGV maintained over long</w:t>
      </w:r>
      <w:r w:rsidR="00D043B1">
        <w:t xml:space="preserve"> </w:t>
      </w:r>
      <w:r w:rsidRPr="00DB7845">
        <w:t xml:space="preserve">term treatment period for Cohorts 3 and 4 in the extension </w:t>
      </w:r>
      <w:r w:rsidR="00E72232">
        <w:t>S</w:t>
      </w:r>
      <w:r w:rsidRPr="00DB7845">
        <w:t>tudy</w:t>
      </w:r>
      <w:r w:rsidR="00700B72">
        <w:t> </w:t>
      </w:r>
      <w:r w:rsidR="00D478F8">
        <w:t>111-</w:t>
      </w:r>
      <w:r w:rsidRPr="00DB7845">
        <w:t>205. Moreover, participants initially receiving lower doses in Cohorts 1(2.5</w:t>
      </w:r>
      <w:r w:rsidR="00700B72">
        <w:t> </w:t>
      </w:r>
      <w:r w:rsidR="00B17B74">
        <w:t>µ</w:t>
      </w:r>
      <w:r w:rsidRPr="00DB7845">
        <w:t>g/kg dose) and Cohort 2 (7.5</w:t>
      </w:r>
      <w:r w:rsidR="00E72232">
        <w:t> </w:t>
      </w:r>
      <w:r w:rsidR="00B17B74">
        <w:t>µ</w:t>
      </w:r>
      <w:r w:rsidRPr="00DB7845">
        <w:t xml:space="preserve">g/kg dose) transitioned to 15 </w:t>
      </w:r>
      <w:r w:rsidR="00B17B74">
        <w:t>µ</w:t>
      </w:r>
      <w:r w:rsidRPr="00DB7845">
        <w:t xml:space="preserve">g/kg as the selected therapeutic dose during extension and their AGV increased over time, to the level observed with 15 </w:t>
      </w:r>
      <w:r w:rsidR="00B17B74">
        <w:t>µ</w:t>
      </w:r>
      <w:r w:rsidRPr="00DB7845">
        <w:t xml:space="preserve">g/kg. These findings were consistent also if the key secondary endpoint </w:t>
      </w:r>
      <w:r w:rsidR="00E72232">
        <w:t>h</w:t>
      </w:r>
      <w:r w:rsidRPr="00DB7845">
        <w:t>eight Z-score was used for assessment.</w:t>
      </w:r>
    </w:p>
    <w:p w14:paraId="7B391D9F" w14:textId="794A5127" w:rsidR="00DB7845" w:rsidRPr="00DB7845" w:rsidRDefault="00DB7845" w:rsidP="00DB7845">
      <w:r w:rsidRPr="00DB7845">
        <w:t>The once</w:t>
      </w:r>
      <w:r w:rsidR="00E72232">
        <w:t xml:space="preserve"> </w:t>
      </w:r>
      <w:r w:rsidRPr="00DB7845">
        <w:t xml:space="preserve">daily regimen was selected because it was expected to yield a maximal treatment effect based on nonclinical evidence. </w:t>
      </w:r>
      <w:r w:rsidRPr="00E72232">
        <w:rPr>
          <w:i/>
          <w:iCs/>
        </w:rPr>
        <w:t>In vitro</w:t>
      </w:r>
      <w:r w:rsidRPr="00DB7845">
        <w:t xml:space="preserve"> studies demonstrated that a once</w:t>
      </w:r>
      <w:r w:rsidR="00E72232">
        <w:t xml:space="preserve"> </w:t>
      </w:r>
      <w:r w:rsidRPr="00DB7845">
        <w:t>daily regimen resulted in a similar extent of chondrocyte proliferation relative to twice</w:t>
      </w:r>
      <w:r w:rsidR="00E72232">
        <w:t xml:space="preserve"> </w:t>
      </w:r>
      <w:r w:rsidRPr="00DB7845">
        <w:t>daily or continuous exposure. This finding is consistent also with respect to the outcome of further pharmacodynamics parameters evaluated.</w:t>
      </w:r>
    </w:p>
    <w:p w14:paraId="5695545C" w14:textId="069E6F9B" w:rsidR="00E61EC1" w:rsidRDefault="00E61EC1" w:rsidP="00A12EF6">
      <w:pPr>
        <w:pStyle w:val="Heading5"/>
      </w:pPr>
      <w:r>
        <w:t xml:space="preserve">Efficacy in </w:t>
      </w:r>
      <w:r w:rsidR="00A818CC">
        <w:t>children aged from 5 to 18 years</w:t>
      </w:r>
    </w:p>
    <w:p w14:paraId="2E227D61" w14:textId="2567DB38" w:rsidR="00700B72" w:rsidRDefault="00E61EC1" w:rsidP="00A12EF6">
      <w:pPr>
        <w:pStyle w:val="Heading6"/>
      </w:pPr>
      <w:r>
        <w:t>Study 111-301</w:t>
      </w:r>
    </w:p>
    <w:p w14:paraId="78B2C91A" w14:textId="345C9FAF" w:rsidR="00DB7845" w:rsidRPr="00DB7845" w:rsidRDefault="00DB7845" w:rsidP="00DB7845">
      <w:r w:rsidRPr="00DB7845">
        <w:t>Study 111-301 is a completed multicentre, randomi</w:t>
      </w:r>
      <w:r w:rsidR="0061718F">
        <w:t>s</w:t>
      </w:r>
      <w:r w:rsidRPr="00DB7845">
        <w:t>ed, double</w:t>
      </w:r>
      <w:r w:rsidR="00D043B1">
        <w:t xml:space="preserve"> </w:t>
      </w:r>
      <w:r w:rsidRPr="00DB7845">
        <w:t>blind, placebo</w:t>
      </w:r>
      <w:r w:rsidR="00E72232">
        <w:t xml:space="preserve"> </w:t>
      </w:r>
      <w:r w:rsidRPr="00DB7845">
        <w:t xml:space="preserve">controlled Phase </w:t>
      </w:r>
      <w:r w:rsidR="00D87E20">
        <w:t>III</w:t>
      </w:r>
      <w:r w:rsidRPr="00DB7845">
        <w:t xml:space="preserve"> trial which evaluated the efficacy and safety of 52 </w:t>
      </w:r>
      <w:r w:rsidR="00E72232">
        <w:t>w</w:t>
      </w:r>
      <w:r w:rsidRPr="00DB7845">
        <w:t xml:space="preserve">eeks of treatment with vosoritide (15 </w:t>
      </w:r>
      <w:r w:rsidR="00B17B74">
        <w:t>µ</w:t>
      </w:r>
      <w:r w:rsidRPr="00DB7845">
        <w:t xml:space="preserve">g/kg daily) compared with placebo in children aged 5 to </w:t>
      </w:r>
      <w:r w:rsidR="00E72232">
        <w:t xml:space="preserve">less than </w:t>
      </w:r>
      <w:r w:rsidRPr="00DB7845">
        <w:t xml:space="preserve">18 years with a clinical diagnosis of </w:t>
      </w:r>
      <w:r w:rsidR="00700B72">
        <w:t xml:space="preserve">achondroplasia </w:t>
      </w:r>
      <w:r w:rsidRPr="00DB7845">
        <w:t>confirmed by genetic testing. Randomi</w:t>
      </w:r>
      <w:r w:rsidR="00451434">
        <w:t>s</w:t>
      </w:r>
      <w:r w:rsidRPr="00DB7845">
        <w:t>ation (</w:t>
      </w:r>
      <w:r w:rsidR="00700B72">
        <w:t xml:space="preserve">in a </w:t>
      </w:r>
      <w:r w:rsidRPr="00DB7845">
        <w:t>1:1</w:t>
      </w:r>
      <w:r w:rsidR="00700B72">
        <w:t xml:space="preserve"> ratio</w:t>
      </w:r>
      <w:r w:rsidRPr="00DB7845">
        <w:t xml:space="preserve">) was stratified by sex and Tanner stage (Tanner stage 1, or Tanner stage </w:t>
      </w:r>
      <w:r w:rsidR="00E72232">
        <w:t xml:space="preserve">greater than </w:t>
      </w:r>
      <w:r w:rsidRPr="00DB7845">
        <w:t>1</w:t>
      </w:r>
      <w:r w:rsidR="00A92D6D">
        <w:t>)</w:t>
      </w:r>
      <w:r w:rsidR="0037449C">
        <w:t>;</w:t>
      </w:r>
      <w:r w:rsidR="00A92D6D">
        <w:fldChar w:fldCharType="begin"/>
      </w:r>
      <w:r w:rsidR="00A92D6D">
        <w:instrText xml:space="preserve"> NOTEREF _Ref120617476 \f \h </w:instrText>
      </w:r>
      <w:r w:rsidR="00A92D6D">
        <w:fldChar w:fldCharType="separate"/>
      </w:r>
      <w:r w:rsidR="00736E75" w:rsidRPr="00736E75">
        <w:rPr>
          <w:rStyle w:val="FootnoteReference"/>
        </w:rPr>
        <w:t>8</w:t>
      </w:r>
      <w:r w:rsidR="00A92D6D">
        <w:fldChar w:fldCharType="end"/>
      </w:r>
      <w:r w:rsidRPr="00DB7845">
        <w:t xml:space="preserve"> with no more than 20% of Tanner stage</w:t>
      </w:r>
      <w:r w:rsidR="00E72232">
        <w:t xml:space="preserve"> greater than </w:t>
      </w:r>
      <w:r w:rsidRPr="00DB7845">
        <w:t>1 to be enrolled. A total of 121 subjects were enrolled into the study; 61 subjects were randomi</w:t>
      </w:r>
      <w:r w:rsidR="00451434">
        <w:t>s</w:t>
      </w:r>
      <w:r w:rsidRPr="00DB7845">
        <w:t xml:space="preserve">ed to receive placebo and 60 subjects to receive daily vosoritide 15 </w:t>
      </w:r>
      <w:r w:rsidR="00B17B74">
        <w:t>µ</w:t>
      </w:r>
      <w:r w:rsidRPr="00DB7845">
        <w:t xml:space="preserve">g/kg. After 52 </w:t>
      </w:r>
      <w:r w:rsidR="00E72232">
        <w:t>w</w:t>
      </w:r>
      <w:r w:rsidRPr="00DB7845">
        <w:t xml:space="preserve">eeks of treatment, </w:t>
      </w:r>
      <w:r w:rsidRPr="00DB7845">
        <w:lastRenderedPageBreak/>
        <w:t xml:space="preserve">all 61 subjects in the placebo group completed the study and in the vosoritide group, 58 subjects completed, and </w:t>
      </w:r>
      <w:r w:rsidR="00E72232">
        <w:t>two</w:t>
      </w:r>
      <w:r w:rsidRPr="00DB7845">
        <w:t xml:space="preserve"> subjects withdrew from the study. All subjects were transferred to </w:t>
      </w:r>
      <w:r w:rsidR="00700B72">
        <w:t>an</w:t>
      </w:r>
      <w:r w:rsidR="00700B72" w:rsidRPr="00DB7845">
        <w:t xml:space="preserve"> </w:t>
      </w:r>
      <w:r w:rsidRPr="00DB7845">
        <w:t xml:space="preserve">extension </w:t>
      </w:r>
      <w:r w:rsidR="00700B72">
        <w:t>study (</w:t>
      </w:r>
      <w:r w:rsidR="00E72232">
        <w:t>S</w:t>
      </w:r>
      <w:r w:rsidRPr="00DB7845">
        <w:t>tudy 111-302</w:t>
      </w:r>
      <w:r w:rsidR="00700B72">
        <w:t>)</w:t>
      </w:r>
      <w:r w:rsidRPr="00DB7845">
        <w:t xml:space="preserve">, in which patients were treated with vosoritide until they either attain </w:t>
      </w:r>
      <w:r w:rsidR="00E72232">
        <w:t>near</w:t>
      </w:r>
      <w:r w:rsidR="0061718F">
        <w:t xml:space="preserve"> </w:t>
      </w:r>
      <w:r w:rsidR="00E72232">
        <w:t xml:space="preserve">final adult height </w:t>
      </w:r>
      <w:r w:rsidRPr="00DB7845">
        <w:t xml:space="preserve">defined as evidence of growth plate closure and </w:t>
      </w:r>
      <w:r w:rsidR="00E72232">
        <w:t xml:space="preserve">six </w:t>
      </w:r>
      <w:r w:rsidRPr="00DB7845">
        <w:t xml:space="preserve">month interval AGV </w:t>
      </w:r>
      <w:r w:rsidR="00E72232">
        <w:t>less than</w:t>
      </w:r>
      <w:r w:rsidRPr="00DB7845">
        <w:t xml:space="preserve"> 1.5 cm</w:t>
      </w:r>
      <w:r w:rsidR="00E72232">
        <w:t xml:space="preserve"> per </w:t>
      </w:r>
      <w:r w:rsidRPr="00DB7845">
        <w:t xml:space="preserve">year AGV or for </w:t>
      </w:r>
      <w:r w:rsidR="00E0379A">
        <w:t>five</w:t>
      </w:r>
      <w:r w:rsidRPr="00DB7845">
        <w:t xml:space="preserve"> years, if </w:t>
      </w:r>
      <w:r w:rsidR="0061718F">
        <w:t>n</w:t>
      </w:r>
      <w:r w:rsidR="0061718F" w:rsidRPr="00456D04">
        <w:t>ear</w:t>
      </w:r>
      <w:r w:rsidR="0061718F">
        <w:t xml:space="preserve"> </w:t>
      </w:r>
      <w:r w:rsidR="0061718F" w:rsidRPr="00456D04">
        <w:t>final adult height</w:t>
      </w:r>
      <w:r w:rsidRPr="00DB7845">
        <w:t xml:space="preserve"> occurs prior to the end of the </w:t>
      </w:r>
      <w:r w:rsidR="00E0379A">
        <w:t>five</w:t>
      </w:r>
      <w:r w:rsidR="00E72232">
        <w:t xml:space="preserve"> </w:t>
      </w:r>
      <w:r w:rsidRPr="00DB7845">
        <w:t>year period.</w:t>
      </w:r>
    </w:p>
    <w:p w14:paraId="7DD9E95F" w14:textId="7937360C" w:rsidR="00DB7845" w:rsidRPr="00DB7845" w:rsidRDefault="00DB7845" w:rsidP="00DB7845">
      <w:r w:rsidRPr="00DB7845">
        <w:t xml:space="preserve">The initially presented short term analyses of AGV, based on the primary efficacy endpoint in </w:t>
      </w:r>
      <w:r w:rsidR="00E72232">
        <w:t>S</w:t>
      </w:r>
      <w:r w:rsidRPr="00DB7845">
        <w:t xml:space="preserve">tudy 111-301 demonstrates a highly statistically significant improvement in AGV from </w:t>
      </w:r>
      <w:r w:rsidR="0061718F">
        <w:t>B</w:t>
      </w:r>
      <w:r w:rsidRPr="00DB7845">
        <w:t>aseline to Week 52 (</w:t>
      </w:r>
      <w:r w:rsidR="00A92DD7">
        <w:t>one</w:t>
      </w:r>
      <w:r w:rsidR="00E72232">
        <w:t xml:space="preserve"> </w:t>
      </w:r>
      <w:r w:rsidRPr="00DB7845">
        <w:t>year) in favour of vosoritide with a least square</w:t>
      </w:r>
      <w:r w:rsidR="00700B72">
        <w:t>s</w:t>
      </w:r>
      <w:r w:rsidRPr="00DB7845">
        <w:t xml:space="preserve"> (LS) mean difference of 1.57 cm</w:t>
      </w:r>
      <w:r w:rsidR="00E72232">
        <w:t xml:space="preserve"> per </w:t>
      </w:r>
      <w:r w:rsidRPr="00DB7845">
        <w:t xml:space="preserve">year (95% confidence interval </w:t>
      </w:r>
      <w:r w:rsidR="00E72232">
        <w:t>(</w:t>
      </w:r>
      <w:r w:rsidRPr="00DB7845">
        <w:t>CI</w:t>
      </w:r>
      <w:r w:rsidR="00E72232">
        <w:t>)</w:t>
      </w:r>
      <w:r w:rsidRPr="00DB7845">
        <w:t xml:space="preserve"> 1.22, 1.93, two</w:t>
      </w:r>
      <w:r w:rsidR="0061718F">
        <w:t xml:space="preserve"> </w:t>
      </w:r>
      <w:r w:rsidRPr="00DB7845">
        <w:t>sided p</w:t>
      </w:r>
      <w:r w:rsidR="00A92DD7">
        <w:t> &lt;</w:t>
      </w:r>
      <w:r w:rsidR="004523A2">
        <w:t> </w:t>
      </w:r>
      <w:r w:rsidRPr="00DB7845">
        <w:t>0.0001). The improvement in AGV observed at 52 weeks (mean AGV 5.67 cm</w:t>
      </w:r>
      <w:r w:rsidR="00E72232">
        <w:t xml:space="preserve"> per </w:t>
      </w:r>
      <w:r w:rsidRPr="00DB7845">
        <w:t>year) was maintained after 104 weeks (mean AGV 5.64 cm</w:t>
      </w:r>
      <w:r w:rsidR="00E72232">
        <w:t xml:space="preserve"> per </w:t>
      </w:r>
      <w:r w:rsidRPr="00DB7845">
        <w:t xml:space="preserve">year). The maintenance of positive effect on AGV resulted in a continuous improvement in height Z-score, with a change from </w:t>
      </w:r>
      <w:r w:rsidR="00B450C4">
        <w:t>B</w:t>
      </w:r>
      <w:r w:rsidRPr="00DB7845">
        <w:t xml:space="preserve">aseline of </w:t>
      </w:r>
      <w:r w:rsidR="00E72232">
        <w:t>+</w:t>
      </w:r>
      <w:r w:rsidRPr="00DB7845">
        <w:t xml:space="preserve">0.24 </w:t>
      </w:r>
      <w:r w:rsidR="00E72232">
        <w:t>standard deviation score (</w:t>
      </w:r>
      <w:r w:rsidRPr="00DB7845">
        <w:t>SDS</w:t>
      </w:r>
      <w:r w:rsidR="00E72232">
        <w:t>)</w:t>
      </w:r>
      <w:r w:rsidRPr="00DB7845">
        <w:t xml:space="preserve"> (LS mean difference of</w:t>
      </w:r>
      <w:r w:rsidR="00E72232">
        <w:t xml:space="preserve"> </w:t>
      </w:r>
      <w:r w:rsidRPr="00DB7845">
        <w:t xml:space="preserve">+0.28 (95% CI 0.17, 0.39)) after 52 weeks of treatment and to +0.45 SDS after 104 weeks of treatment. Improvement in the upper to lower body segment ratio was also observed, with a change from </w:t>
      </w:r>
      <w:r w:rsidR="00B450C4">
        <w:t>B</w:t>
      </w:r>
      <w:r w:rsidRPr="00DB7845">
        <w:t>aseline of -0.03 after 52 weeks and -0.09 after 104 weeks of treatment.</w:t>
      </w:r>
    </w:p>
    <w:p w14:paraId="2BDAD654" w14:textId="1A9447A1" w:rsidR="00DB7845" w:rsidRPr="00DB7845" w:rsidRDefault="00DB7845" w:rsidP="00DB7845">
      <w:r w:rsidRPr="00DB7845">
        <w:t xml:space="preserve">The consistency of vosoritide treatment effect in AGV from </w:t>
      </w:r>
      <w:r w:rsidR="00B450C4">
        <w:t>B</w:t>
      </w:r>
      <w:r w:rsidRPr="00DB7845">
        <w:t>aseline to Week 52 (</w:t>
      </w:r>
      <w:r w:rsidR="00A92DD7">
        <w:t xml:space="preserve">one </w:t>
      </w:r>
      <w:r w:rsidRPr="00DB7845">
        <w:t>year) was demonstrated in the pre-specified subgroup analyses for the following subgroups of interest: sex, age group, Tanner stage, strata, baseline height Z-score, and baseline AGV. In addition, these analyses were repeated with the subgroups of race and region showing also a consistent treatment effect.</w:t>
      </w:r>
    </w:p>
    <w:p w14:paraId="055D0EE4" w14:textId="01B4C8B9" w:rsidR="00DB7845" w:rsidRPr="00DB7845" w:rsidRDefault="00DB7845" w:rsidP="00DB7845">
      <w:r w:rsidRPr="00DB7845">
        <w:t>The comparative analyses on AGV, with follow</w:t>
      </w:r>
      <w:r w:rsidR="00A92DD7">
        <w:t xml:space="preserve"> </w:t>
      </w:r>
      <w:r w:rsidRPr="00DB7845">
        <w:t xml:space="preserve">up of 18 months and </w:t>
      </w:r>
      <w:r w:rsidR="00A92DD7">
        <w:t>two</w:t>
      </w:r>
      <w:r w:rsidRPr="00DB7845">
        <w:t xml:space="preserve"> years using an observational/placebo and external control, demonstrated that treatment effect of vosoritide on AGV observed at </w:t>
      </w:r>
      <w:r w:rsidR="00A92DD7">
        <w:t>one</w:t>
      </w:r>
      <w:r w:rsidRPr="00DB7845">
        <w:t xml:space="preserve"> year is maintained with continued treatment through Month 18 and </w:t>
      </w:r>
      <w:r w:rsidR="00A92DD7">
        <w:t>two</w:t>
      </w:r>
      <w:r w:rsidRPr="00DB7845">
        <w:t xml:space="preserve"> years, as indicated by the consistency of the results.</w:t>
      </w:r>
    </w:p>
    <w:p w14:paraId="5E10E10C" w14:textId="3166AB37" w:rsidR="00DB7845" w:rsidRPr="00DB7845" w:rsidRDefault="00DB7845" w:rsidP="00DB7845">
      <w:r w:rsidRPr="00DB7845">
        <w:t>The magnitude of the effect of vosoritide on AGV (mean difference of 1</w:t>
      </w:r>
      <w:r w:rsidR="00A92DD7">
        <w:t>.</w:t>
      </w:r>
      <w:r w:rsidRPr="00DB7845">
        <w:t xml:space="preserve">57 cm </w:t>
      </w:r>
      <w:r w:rsidR="00A92DD7">
        <w:t>per</w:t>
      </w:r>
      <w:r w:rsidRPr="00DB7845">
        <w:t xml:space="preserve"> year) represents restoration of a substantial proportion of the estimated 2 cm</w:t>
      </w:r>
      <w:r w:rsidR="00A92DD7">
        <w:t xml:space="preserve"> per </w:t>
      </w:r>
      <w:r w:rsidRPr="00DB7845">
        <w:t xml:space="preserve">year AGV deficit observed between children with </w:t>
      </w:r>
      <w:r w:rsidR="00700B72">
        <w:t xml:space="preserve">achondroplasia </w:t>
      </w:r>
      <w:r w:rsidRPr="00DB7845">
        <w:t>and those with average stature in this age ran</w:t>
      </w:r>
      <w:r w:rsidRPr="00A6220C">
        <w:t>ge.</w:t>
      </w:r>
      <w:r w:rsidR="00A92DD7" w:rsidRPr="00A6220C">
        <w:rPr>
          <w:rStyle w:val="FootnoteReference"/>
        </w:rPr>
        <w:footnoteReference w:id="9"/>
      </w:r>
      <w:r w:rsidR="00A92DD7" w:rsidRPr="00A6220C">
        <w:rPr>
          <w:vertAlign w:val="superscript"/>
        </w:rPr>
        <w:t>,</w:t>
      </w:r>
      <w:r w:rsidR="00A92DD7" w:rsidRPr="00A6220C">
        <w:rPr>
          <w:rStyle w:val="FootnoteReference"/>
        </w:rPr>
        <w:footnoteReference w:id="10"/>
      </w:r>
      <w:r w:rsidRPr="00DB7845">
        <w:t xml:space="preserve"> In the 15 μg/kg analysis population, which allows to assess additional children with longer observation periods are available from all trials the mean (</w:t>
      </w:r>
      <w:r w:rsidR="00A92DD7">
        <w:t>standard deviation (</w:t>
      </w:r>
      <w:r w:rsidRPr="00DB7845">
        <w:t>SD</w:t>
      </w:r>
      <w:r w:rsidR="00A92DD7">
        <w:t>)</w:t>
      </w:r>
      <w:r w:rsidRPr="00DB7845">
        <w:t xml:space="preserve">) change from </w:t>
      </w:r>
      <w:r w:rsidR="00583C90">
        <w:t>B</w:t>
      </w:r>
      <w:r w:rsidRPr="00DB7845">
        <w:t>aseline in AGV to Year 1 was 1.49 (1.62) cm</w:t>
      </w:r>
      <w:r w:rsidR="00A92DD7">
        <w:t xml:space="preserve"> per </w:t>
      </w:r>
      <w:r w:rsidRPr="00DB7845">
        <w:t>year and to Year 5 (Month 60) was 1.34 (1.31) cm</w:t>
      </w:r>
      <w:r w:rsidR="00A92DD7">
        <w:t xml:space="preserve"> per </w:t>
      </w:r>
      <w:r w:rsidRPr="00DB7845">
        <w:t>year. Considering the 95% confidence intervals, these results allow to presume the absence of clinically relevant tachyphylaxi</w:t>
      </w:r>
      <w:r w:rsidR="00700B72">
        <w:t>s</w:t>
      </w:r>
      <w:r w:rsidRPr="00DB7845">
        <w:t xml:space="preserve">. Compared to </w:t>
      </w:r>
      <w:r w:rsidR="00700B72">
        <w:t>B</w:t>
      </w:r>
      <w:r w:rsidRPr="00DB7845">
        <w:t>aseline, the improvement in AGV with vosoritide, was sustained year</w:t>
      </w:r>
      <w:r w:rsidR="00A92DD7">
        <w:t xml:space="preserve"> </w:t>
      </w:r>
      <w:r w:rsidRPr="00DB7845">
        <w:t>by</w:t>
      </w:r>
      <w:r w:rsidR="00A92DD7">
        <w:t xml:space="preserve"> </w:t>
      </w:r>
      <w:r w:rsidRPr="00DB7845">
        <w:t xml:space="preserve">year over </w:t>
      </w:r>
      <w:r w:rsidR="00A92DD7">
        <w:t>five</w:t>
      </w:r>
      <w:r w:rsidRPr="00DB7845">
        <w:t xml:space="preserve"> years of treatment, in reference to the untreated subjects with </w:t>
      </w:r>
      <w:r w:rsidR="00BE7A20">
        <w:t>achondroplasia</w:t>
      </w:r>
      <w:r w:rsidR="00700B72" w:rsidRPr="00DB7845">
        <w:t xml:space="preserve"> </w:t>
      </w:r>
      <w:r w:rsidRPr="00DB7845">
        <w:t>at the studied age range, in whom a natural downward trend in AGV is observed (estimated to be 0.2 cm</w:t>
      </w:r>
      <w:r w:rsidR="00A92DD7">
        <w:t xml:space="preserve"> per </w:t>
      </w:r>
      <w:r w:rsidRPr="00DB7845">
        <w:t xml:space="preserve">year) according </w:t>
      </w:r>
      <w:r w:rsidR="00A92DD7">
        <w:t xml:space="preserve">to </w:t>
      </w:r>
      <w:r w:rsidRPr="00DB7845">
        <w:t xml:space="preserve">the </w:t>
      </w:r>
      <w:r w:rsidR="00A92DD7" w:rsidRPr="00A92DD7">
        <w:t>Achondroplasia Natural History</w:t>
      </w:r>
      <w:r w:rsidRPr="00DB7845">
        <w:t xml:space="preserve"> database available. These results were supported by the outcome regarding the </w:t>
      </w:r>
      <w:r w:rsidR="00E0379A">
        <w:t>h</w:t>
      </w:r>
      <w:r w:rsidRPr="00DB7845">
        <w:t>eight Z-Score</w:t>
      </w:r>
      <w:r w:rsidR="00E0379A">
        <w:t>.</w:t>
      </w:r>
      <w:r w:rsidRPr="00DB7845">
        <w:t xml:space="preserve"> </w:t>
      </w:r>
      <w:r w:rsidR="00A818CC" w:rsidRPr="00DB7845">
        <w:t>Short</w:t>
      </w:r>
      <w:r w:rsidR="00A818CC">
        <w:t>-term</w:t>
      </w:r>
      <w:r w:rsidRPr="00DB7845">
        <w:t xml:space="preserve"> analyses of improvements in height Z-score in terms reported a LS mean difference of +0.28 SDS (95% CI: 0.17, 0.39, p &lt;</w:t>
      </w:r>
      <w:r w:rsidR="0091760F">
        <w:t> </w:t>
      </w:r>
      <w:r w:rsidRPr="00DB7845">
        <w:t xml:space="preserve">0.0001) with reference to average stature children and thereby demonstrate consistency to the AGV outcome. In the updated efficacy analysis from </w:t>
      </w:r>
      <w:r w:rsidR="00A70C74">
        <w:t>S</w:t>
      </w:r>
      <w:r w:rsidRPr="00DB7845">
        <w:t>tudy 111-302 provided during the procedure, consistency of efficacy was demonstrated both, in the initially vosoritide treated population as well as in the newly treated former placebo</w:t>
      </w:r>
      <w:r w:rsidR="00A70C74">
        <w:t xml:space="preserve"> </w:t>
      </w:r>
      <w:r w:rsidRPr="00DB7845">
        <w:t>receiving subjects.</w:t>
      </w:r>
    </w:p>
    <w:p w14:paraId="4896673F" w14:textId="7DAC1A01" w:rsidR="00DB7845" w:rsidRPr="00DB7845" w:rsidRDefault="00DB7845" w:rsidP="00DB7845">
      <w:r w:rsidRPr="00DB7845">
        <w:lastRenderedPageBreak/>
        <w:t>Similarly, the durability of the effect of vosoritide was also shown regarding the outcome on height Z-scores in the lon</w:t>
      </w:r>
      <w:r w:rsidR="00A70C74">
        <w:t>g</w:t>
      </w:r>
      <w:r w:rsidR="00B450C4">
        <w:t xml:space="preserve"> </w:t>
      </w:r>
      <w:r w:rsidRPr="00DB7845">
        <w:t xml:space="preserve">term analyses was assessed using </w:t>
      </w:r>
      <w:r w:rsidR="00A70C74">
        <w:t xml:space="preserve">natural history </w:t>
      </w:r>
      <w:r w:rsidRPr="00DB7845">
        <w:t xml:space="preserve">comparative analyses on height Z-score at </w:t>
      </w:r>
      <w:r w:rsidR="00A70C74">
        <w:t>five</w:t>
      </w:r>
      <w:r w:rsidRPr="00DB7845">
        <w:t xml:space="preserve"> years, in subjects treated in </w:t>
      </w:r>
      <w:r w:rsidR="00A70C74">
        <w:t>S</w:t>
      </w:r>
      <w:r w:rsidRPr="00DB7845">
        <w:t>tudy</w:t>
      </w:r>
      <w:r w:rsidR="0091760F">
        <w:t> </w:t>
      </w:r>
      <w:r w:rsidRPr="00DB7845">
        <w:t>111</w:t>
      </w:r>
      <w:r w:rsidR="0091760F">
        <w:noBreakHyphen/>
      </w:r>
      <w:r w:rsidRPr="00DB7845">
        <w:t xml:space="preserve">202/205. The relative improvement to placebo in standing height was observed after </w:t>
      </w:r>
      <w:r w:rsidR="00A70C74">
        <w:t xml:space="preserve">one </w:t>
      </w:r>
      <w:r w:rsidRPr="00DB7845">
        <w:t xml:space="preserve">year of treatment (LS mean change: 1.57 cm </w:t>
      </w:r>
      <w:r w:rsidR="00564934">
        <w:t>(</w:t>
      </w:r>
      <w:r w:rsidR="00A70C74">
        <w:t xml:space="preserve">analysis of covariance </w:t>
      </w:r>
      <w:r w:rsidRPr="00DB7845">
        <w:t>model; 95% CI:1.21, 1.93, p</w:t>
      </w:r>
      <w:r w:rsidR="00A70C74">
        <w:t> </w:t>
      </w:r>
      <w:r w:rsidRPr="00DB7845">
        <w:t>&lt;</w:t>
      </w:r>
      <w:r w:rsidR="00A70C74">
        <w:t> </w:t>
      </w:r>
      <w:r w:rsidRPr="00DB7845">
        <w:t>0.0001, Study 111-301</w:t>
      </w:r>
      <w:r w:rsidR="00564934">
        <w:t>)</w:t>
      </w:r>
      <w:r w:rsidRPr="00DB7845">
        <w:t xml:space="preserve"> in favour of vosoritide. The long</w:t>
      </w:r>
      <w:r w:rsidR="00564934">
        <w:noBreakHyphen/>
      </w:r>
      <w:r w:rsidRPr="00DB7845">
        <w:t xml:space="preserve">term increase in height gain, quantifying the sustained and durable effect of vosoritide after </w:t>
      </w:r>
      <w:r w:rsidR="00A70C74">
        <w:t>five</w:t>
      </w:r>
      <w:r w:rsidRPr="00DB7845">
        <w:t xml:space="preserve"> years of treatment versus untreated children with </w:t>
      </w:r>
      <w:r w:rsidR="00564934">
        <w:t>achondroplasia</w:t>
      </w:r>
      <w:r w:rsidRPr="00DB7845">
        <w:t>, has been confirmed using an external control in cross</w:t>
      </w:r>
      <w:r w:rsidR="0091760F">
        <w:t xml:space="preserve"> </w:t>
      </w:r>
      <w:r w:rsidRPr="00DB7845">
        <w:t>sectional and longitudinal analyses using multiple sensitivity methods. These analyses report a baseline</w:t>
      </w:r>
      <w:r w:rsidR="00A70C74">
        <w:t xml:space="preserve"> </w:t>
      </w:r>
      <w:r w:rsidRPr="00DB7845">
        <w:t>adjusted mean difference at</w:t>
      </w:r>
      <w:r w:rsidR="00A70C74">
        <w:t xml:space="preserve"> five </w:t>
      </w:r>
      <w:r w:rsidRPr="00DB7845">
        <w:t>year follow</w:t>
      </w:r>
      <w:r w:rsidR="00A70C74">
        <w:t xml:space="preserve"> </w:t>
      </w:r>
      <w:r w:rsidRPr="00DB7845">
        <w:t>up in cumulative height gain of 9.08 cm (95%</w:t>
      </w:r>
      <w:r w:rsidR="00564934">
        <w:t> </w:t>
      </w:r>
      <w:r w:rsidRPr="00DB7845">
        <w:t xml:space="preserve">CI 5.77, 12.38, </w:t>
      </w:r>
      <w:r w:rsidR="00564934">
        <w:t>p</w:t>
      </w:r>
      <w:r w:rsidR="00B17B74">
        <w:t xml:space="preserve"> </w:t>
      </w:r>
      <w:r w:rsidRPr="00DB7845">
        <w:t>=</w:t>
      </w:r>
      <w:r w:rsidR="00B17B74">
        <w:t xml:space="preserve"> </w:t>
      </w:r>
      <w:r w:rsidRPr="00DB7845">
        <w:t>0.0002) in favour of vosoritide. Although long</w:t>
      </w:r>
      <w:r w:rsidR="0091760F">
        <w:t xml:space="preserve"> </w:t>
      </w:r>
      <w:r w:rsidRPr="00DB7845">
        <w:t xml:space="preserve">term data about efficacy during 4 to 5 years is currently restricted on 31 patients from </w:t>
      </w:r>
      <w:r w:rsidR="00A70C74">
        <w:t>S</w:t>
      </w:r>
      <w:r w:rsidRPr="00DB7845">
        <w:t xml:space="preserve">tudy 111-205, including 10 patients treated only with vosoritide 15 </w:t>
      </w:r>
      <w:r w:rsidR="00B17B74">
        <w:t>µ</w:t>
      </w:r>
      <w:r w:rsidRPr="00DB7845">
        <w:t xml:space="preserve">g/kg, the </w:t>
      </w:r>
      <w:r w:rsidR="00A70C74">
        <w:t>regulator</w:t>
      </w:r>
      <w:r w:rsidRPr="00DB7845">
        <w:t xml:space="preserve"> acknowledges that the incremental gain in height over </w:t>
      </w:r>
      <w:r w:rsidR="00A70C74">
        <w:t>five</w:t>
      </w:r>
      <w:r w:rsidRPr="00DB7845">
        <w:t xml:space="preserve"> years of treatment was consistent with an approximate 5</w:t>
      </w:r>
      <w:r w:rsidR="00A70C74">
        <w:t xml:space="preserve"> </w:t>
      </w:r>
      <w:r w:rsidRPr="00DB7845">
        <w:t xml:space="preserve">time multiple of the gain in height observed in the pivotal </w:t>
      </w:r>
      <w:r w:rsidR="00A70C74">
        <w:t>S</w:t>
      </w:r>
      <w:r w:rsidRPr="00DB7845">
        <w:t xml:space="preserve">tudy 111-301 over a </w:t>
      </w:r>
      <w:r w:rsidR="00A70C74">
        <w:t xml:space="preserve">one </w:t>
      </w:r>
      <w:r w:rsidRPr="00DB7845">
        <w:t>year period. This allows concluding that the positive effect on growth with vosoritide is maintained year</w:t>
      </w:r>
      <w:r w:rsidR="00A70C74">
        <w:t xml:space="preserve"> </w:t>
      </w:r>
      <w:r w:rsidRPr="00DB7845">
        <w:t>by</w:t>
      </w:r>
      <w:r w:rsidR="00A70C74">
        <w:t xml:space="preserve"> </w:t>
      </w:r>
      <w:r w:rsidRPr="00DB7845">
        <w:t xml:space="preserve">year. However, although the attempts to generate comparative efficacy data for time periods beyond the </w:t>
      </w:r>
      <w:r w:rsidR="00A70C74">
        <w:t xml:space="preserve">one </w:t>
      </w:r>
      <w:r w:rsidRPr="00DB7845">
        <w:t>year time horizon of the randomised study is methodologically acknowledged and overall reasonable, it needs to be considered that due to inevitable limitations of the underlying data the analyses are considered to be highly exploratory. More comparative data from the ongoing trials and also final height data will become available post-marketing.</w:t>
      </w:r>
    </w:p>
    <w:p w14:paraId="4D03A637" w14:textId="7FF4E15C" w:rsidR="00DB7845" w:rsidRPr="00DB7845" w:rsidRDefault="00DB7845" w:rsidP="00DB7845">
      <w:r w:rsidRPr="00DB7845">
        <w:t>The effect on growth has not been associated with accelerated bone maturation, suggesting that final height may indeed be improved. In addition, improvement in linear growth was not associated with an unfavourable effect on body proportion. In fact, the 18</w:t>
      </w:r>
      <w:r w:rsidR="00A70C74">
        <w:t> </w:t>
      </w:r>
      <w:r w:rsidRPr="00DB7845">
        <w:t>month comparative analysis of upper to lower body segment ratio indicates a trend for a greater decrease in ratio in the vosoritide arm compared to observational/placebo group, suggesting a small positive treatment effect.</w:t>
      </w:r>
    </w:p>
    <w:p w14:paraId="40145E59" w14:textId="77777777" w:rsidR="0091760F" w:rsidRDefault="00DB7845" w:rsidP="00DB7845">
      <w:r w:rsidRPr="00DB7845">
        <w:t xml:space="preserve">The criteria for stopping treatment is in the Section 4.2 of the PI in alignment with the criteria for treatment discontinuation in the open label </w:t>
      </w:r>
      <w:r w:rsidR="00A70C74">
        <w:t>S</w:t>
      </w:r>
      <w:r w:rsidRPr="00DB7845">
        <w:t>tudy 111-302, as follows:</w:t>
      </w:r>
    </w:p>
    <w:p w14:paraId="200C6D04" w14:textId="3C04EC06" w:rsidR="00DB7845" w:rsidRPr="00DB7845" w:rsidRDefault="0091760F" w:rsidP="00A92D6D">
      <w:pPr>
        <w:ind w:left="360"/>
      </w:pPr>
      <w:r>
        <w:t>‘</w:t>
      </w:r>
      <w:r w:rsidR="00DB7845" w:rsidRPr="00DB7845">
        <w:t xml:space="preserve">Treatment with this medicinal product should be stopped upon confirmation of no further growth potential, indicated by a growth velocity of </w:t>
      </w:r>
      <w:r w:rsidR="00A70C74">
        <w:t xml:space="preserve">less than </w:t>
      </w:r>
      <w:r w:rsidR="00DB7845" w:rsidRPr="00DB7845">
        <w:t>1.5 cm</w:t>
      </w:r>
      <w:r w:rsidR="00A70C74">
        <w:t xml:space="preserve"> per </w:t>
      </w:r>
      <w:r w:rsidR="00DB7845" w:rsidRPr="00DB7845">
        <w:t>year and closure of epiphyses</w:t>
      </w:r>
      <w:r>
        <w:t>.’</w:t>
      </w:r>
    </w:p>
    <w:p w14:paraId="014A7341" w14:textId="7DC540AE" w:rsidR="00564934" w:rsidRDefault="00E61EC1" w:rsidP="00A12EF6">
      <w:pPr>
        <w:pStyle w:val="Heading5"/>
      </w:pPr>
      <w:r>
        <w:t xml:space="preserve">Efficacy in </w:t>
      </w:r>
      <w:r w:rsidR="00A818CC">
        <w:t>children aged</w:t>
      </w:r>
      <w:r>
        <w:t xml:space="preserve"> 0 to 5 years </w:t>
      </w:r>
      <w:r w:rsidR="00A818CC">
        <w:t>of age</w:t>
      </w:r>
    </w:p>
    <w:p w14:paraId="6D5A1B6E" w14:textId="14861C4D" w:rsidR="00E61EC1" w:rsidRPr="00E61EC1" w:rsidRDefault="00E61EC1" w:rsidP="00A12EF6">
      <w:pPr>
        <w:pStyle w:val="Heading6"/>
      </w:pPr>
      <w:r>
        <w:t>Study 111-206</w:t>
      </w:r>
    </w:p>
    <w:p w14:paraId="12D23E43" w14:textId="3E814DC9" w:rsidR="00DB7845" w:rsidRPr="00DB7845" w:rsidRDefault="00DB7845" w:rsidP="00DB7845">
      <w:r w:rsidRPr="00DB7845">
        <w:t>Study 111-206 is an ongoing 52</w:t>
      </w:r>
      <w:r w:rsidR="00A6220C">
        <w:t xml:space="preserve"> </w:t>
      </w:r>
      <w:r w:rsidRPr="00DB7845">
        <w:t xml:space="preserve">week multicentre, </w:t>
      </w:r>
      <w:r w:rsidR="00A6220C">
        <w:t>P</w:t>
      </w:r>
      <w:r w:rsidRPr="00DB7845">
        <w:t xml:space="preserve">hase </w:t>
      </w:r>
      <w:r w:rsidR="00D87E20">
        <w:t>II</w:t>
      </w:r>
      <w:r w:rsidRPr="00DB7845">
        <w:t xml:space="preserve"> randomi</w:t>
      </w:r>
      <w:r w:rsidR="00D478F8">
        <w:t>s</w:t>
      </w:r>
      <w:r w:rsidRPr="00DB7845">
        <w:t>ed, double</w:t>
      </w:r>
      <w:r w:rsidR="00D478F8">
        <w:t xml:space="preserve"> </w:t>
      </w:r>
      <w:r w:rsidRPr="00DB7845">
        <w:t>blind</w:t>
      </w:r>
      <w:r w:rsidR="00D478F8">
        <w:t>ed</w:t>
      </w:r>
      <w:r w:rsidRPr="00DB7845">
        <w:t>, placebo</w:t>
      </w:r>
      <w:r w:rsidR="00A6220C">
        <w:t xml:space="preserve"> </w:t>
      </w:r>
      <w:r w:rsidRPr="00DB7845">
        <w:t>controlled clinical study. The main objectives of the study are to evaluate the safety of vosoritide and its impact on growth in infants and younger children recruited from birth to 60 months (</w:t>
      </w:r>
      <w:r w:rsidR="001C5D2D">
        <w:t>five</w:t>
      </w:r>
      <w:r w:rsidRPr="00DB7845">
        <w:t xml:space="preserve"> years) of age with genetically confirmed </w:t>
      </w:r>
      <w:r w:rsidR="00E61EC1">
        <w:t>achondroplasia</w:t>
      </w:r>
      <w:r w:rsidRPr="00DB7845">
        <w:t xml:space="preserve">. Subjects are or will be enrolled into three age cohorts based on age </w:t>
      </w:r>
      <w:r w:rsidR="001C5D2D">
        <w:t>(</w:t>
      </w:r>
      <w:r w:rsidRPr="00DB7845">
        <w:t>Cohort 1:</w:t>
      </w:r>
      <w:r w:rsidR="001C5D2D">
        <w:t xml:space="preserve"> </w:t>
      </w:r>
      <w:r w:rsidR="00E61EC1">
        <w:t>from 24 months of age</w:t>
      </w:r>
      <w:r w:rsidR="001C5D2D">
        <w:t xml:space="preserve"> </w:t>
      </w:r>
      <w:r w:rsidRPr="00DB7845">
        <w:t xml:space="preserve">to </w:t>
      </w:r>
      <w:r w:rsidR="001C5D2D">
        <w:t>less than</w:t>
      </w:r>
      <w:r w:rsidRPr="00DB7845">
        <w:t xml:space="preserve"> 60 months (</w:t>
      </w:r>
      <w:r w:rsidR="00E61EC1">
        <w:t>enrolment of or more subjects planned</w:t>
      </w:r>
      <w:r w:rsidRPr="00DB7845">
        <w:t>)</w:t>
      </w:r>
      <w:r w:rsidR="001C5D2D">
        <w:t>,</w:t>
      </w:r>
      <w:r w:rsidRPr="00DB7845">
        <w:t xml:space="preserve"> Cohort 2: </w:t>
      </w:r>
      <w:r w:rsidR="00E61EC1">
        <w:t>from</w:t>
      </w:r>
      <w:r w:rsidR="00A818CC">
        <w:t xml:space="preserve"> </w:t>
      </w:r>
      <w:r w:rsidRPr="00DB7845">
        <w:t>6</w:t>
      </w:r>
      <w:r w:rsidR="001C5D2D">
        <w:t xml:space="preserve"> months</w:t>
      </w:r>
      <w:r w:rsidRPr="00DB7845">
        <w:t xml:space="preserve"> </w:t>
      </w:r>
      <w:r w:rsidR="00E61EC1">
        <w:t>of age to under</w:t>
      </w:r>
      <w:r w:rsidR="00A12EF6">
        <w:t xml:space="preserve"> </w:t>
      </w:r>
      <w:r w:rsidRPr="00DB7845">
        <w:t>24 months (</w:t>
      </w:r>
      <w:r w:rsidR="00E61EC1">
        <w:t>enrolment of 20 or more subjects planned</w:t>
      </w:r>
      <w:r w:rsidRPr="00DB7845">
        <w:t>)</w:t>
      </w:r>
      <w:r w:rsidR="001C5D2D">
        <w:t>,</w:t>
      </w:r>
      <w:r w:rsidRPr="00DB7845">
        <w:t xml:space="preserve"> Cohort 3: </w:t>
      </w:r>
      <w:r w:rsidR="00E61EC1">
        <w:t xml:space="preserve">from </w:t>
      </w:r>
      <w:r w:rsidRPr="00DB7845">
        <w:t xml:space="preserve">0 to </w:t>
      </w:r>
      <w:r w:rsidR="001C5D2D">
        <w:t>less than</w:t>
      </w:r>
      <w:r w:rsidRPr="00DB7845">
        <w:t xml:space="preserve"> 6 months (</w:t>
      </w:r>
      <w:r w:rsidR="00E61EC1">
        <w:t>enrolment of 20 or more subjects planned</w:t>
      </w:r>
      <w:r w:rsidRPr="00DB7845">
        <w:t>)</w:t>
      </w:r>
      <w:r w:rsidR="001C5D2D">
        <w:t>)</w:t>
      </w:r>
      <w:r w:rsidRPr="00DB7845">
        <w:t xml:space="preserve"> starting with the eldest population</w:t>
      </w:r>
      <w:r w:rsidR="00E61EC1">
        <w:t xml:space="preserve"> group</w:t>
      </w:r>
      <w:r w:rsidRPr="00DB7845">
        <w:t xml:space="preserve">. Subjects in the extension </w:t>
      </w:r>
      <w:r w:rsidR="0091760F">
        <w:t>t</w:t>
      </w:r>
      <w:r w:rsidRPr="00DB7845">
        <w:t>rial</w:t>
      </w:r>
      <w:r w:rsidR="0091760F">
        <w:t>, Study</w:t>
      </w:r>
      <w:r w:rsidRPr="00DB7845">
        <w:t xml:space="preserve"> 111-208 will receive vosoritide until they reach</w:t>
      </w:r>
      <w:r w:rsidR="001C5D2D">
        <w:t>ed</w:t>
      </w:r>
      <w:r w:rsidRPr="00DB7845">
        <w:t xml:space="preserve"> </w:t>
      </w:r>
      <w:r w:rsidR="0061718F">
        <w:t>n</w:t>
      </w:r>
      <w:r w:rsidR="0061718F" w:rsidRPr="00456D04">
        <w:t>ear</w:t>
      </w:r>
      <w:r w:rsidR="0061718F">
        <w:t xml:space="preserve"> </w:t>
      </w:r>
      <w:r w:rsidR="0061718F" w:rsidRPr="00456D04">
        <w:t>final adult height</w:t>
      </w:r>
      <w:r w:rsidRPr="00DB7845">
        <w:t>. However, this trial was started in June 2018, at the time of data cut</w:t>
      </w:r>
      <w:r w:rsidR="00E61EC1">
        <w:t>-</w:t>
      </w:r>
      <w:r w:rsidRPr="00DB7845">
        <w:t xml:space="preserve">off in September 2019 only 44 of the planned 70 subjects could have been included and </w:t>
      </w:r>
      <w:r w:rsidR="001C5D2D" w:rsidRPr="00DB7845">
        <w:t>enrol</w:t>
      </w:r>
      <w:r w:rsidR="001C5D2D">
        <w:t>led</w:t>
      </w:r>
      <w:r w:rsidRPr="00DB7845">
        <w:t xml:space="preserve"> in Cohort 3 </w:t>
      </w:r>
      <w:r w:rsidR="001C5D2D">
        <w:t xml:space="preserve">which </w:t>
      </w:r>
      <w:r w:rsidRPr="00DB7845">
        <w:t>ha</w:t>
      </w:r>
      <w:r w:rsidR="001C5D2D">
        <w:t>d</w:t>
      </w:r>
      <w:r w:rsidRPr="00DB7845">
        <w:t xml:space="preserve"> not commenced yet. Only </w:t>
      </w:r>
      <w:r w:rsidR="001C5D2D">
        <w:t>six</w:t>
      </w:r>
      <w:r w:rsidRPr="00DB7845">
        <w:t xml:space="preserve"> patients finali</w:t>
      </w:r>
      <w:r w:rsidR="00451434">
        <w:t>s</w:t>
      </w:r>
      <w:r w:rsidRPr="00DB7845">
        <w:t xml:space="preserve">ed the 52 week period and could be evaluated regarding efficacy; they were transferred to the extension </w:t>
      </w:r>
      <w:r w:rsidR="00E61EC1">
        <w:t>t</w:t>
      </w:r>
      <w:r w:rsidRPr="00DB7845">
        <w:t xml:space="preserve">rial </w:t>
      </w:r>
      <w:r w:rsidR="00E61EC1">
        <w:t>(Study 111-208)</w:t>
      </w:r>
      <w:r w:rsidRPr="00DB7845">
        <w:t>. Since the study is still ongoing and blinded, only very limited results are currently available.</w:t>
      </w:r>
    </w:p>
    <w:p w14:paraId="26AB5C2B" w14:textId="4B269753" w:rsidR="00DB7845" w:rsidRPr="00DB7845" w:rsidRDefault="00DB7845" w:rsidP="00DB7845">
      <w:r w:rsidRPr="00DB7845">
        <w:lastRenderedPageBreak/>
        <w:t xml:space="preserve">Efficacy data in the population from 2 to </w:t>
      </w:r>
      <w:r w:rsidR="001C5D2D">
        <w:t xml:space="preserve">less than </w:t>
      </w:r>
      <w:r w:rsidRPr="00DB7845">
        <w:t xml:space="preserve">5 years of age from the </w:t>
      </w:r>
      <w:r w:rsidR="001C5D2D">
        <w:t>P</w:t>
      </w:r>
      <w:r w:rsidRPr="00DB7845">
        <w:t xml:space="preserve">hase </w:t>
      </w:r>
      <w:r w:rsidR="00D87E20">
        <w:t>II</w:t>
      </w:r>
      <w:r w:rsidRPr="00DB7845">
        <w:t xml:space="preserve"> </w:t>
      </w:r>
      <w:r w:rsidR="0091760F">
        <w:t>t</w:t>
      </w:r>
      <w:r w:rsidRPr="00DB7845">
        <w:t>rial</w:t>
      </w:r>
      <w:r w:rsidR="0091760F">
        <w:t>, Study</w:t>
      </w:r>
      <w:r w:rsidR="00B17B74">
        <w:t xml:space="preserve"> </w:t>
      </w:r>
      <w:r w:rsidRPr="00DB7845">
        <w:t xml:space="preserve">111-206 is currently available only for </w:t>
      </w:r>
      <w:r w:rsidR="001C5D2D">
        <w:t>four</w:t>
      </w:r>
      <w:r w:rsidRPr="00DB7845">
        <w:t xml:space="preserve"> sentinel subjects in </w:t>
      </w:r>
      <w:r w:rsidR="001C5D2D">
        <w:t>C</w:t>
      </w:r>
      <w:r w:rsidRPr="00DB7845">
        <w:t>ohort 1 at time of data cut</w:t>
      </w:r>
      <w:r w:rsidR="00A818CC">
        <w:t>-</w:t>
      </w:r>
      <w:r w:rsidRPr="00DB7845">
        <w:t xml:space="preserve">off in September 2020. From </w:t>
      </w:r>
      <w:r w:rsidR="00583C90">
        <w:t>B</w:t>
      </w:r>
      <w:r w:rsidRPr="00DB7845">
        <w:t>aseline to 52</w:t>
      </w:r>
      <w:r w:rsidR="001C5D2D">
        <w:t xml:space="preserve"> </w:t>
      </w:r>
      <w:r w:rsidRPr="00DB7845">
        <w:t xml:space="preserve">weeks of treatment, these patients experienced a mean (median) increase in height Z-score of 0.34 (0.27), which appears encouraging. At Week 104, two of the three sentinel subjects showed an improvement in the height Z-scores of +0.77 SDS and +0.86 SDS, while an improvement of +0.27 SDS (at Week 78) and +0.20 SDS was noted in the other two subjects. AGV at Week 104 indicated that vosoritide treatment reverted the decline in AGV expected in most of the subjects, with consistent improvement observed over </w:t>
      </w:r>
      <w:r w:rsidR="001C5D2D">
        <w:t>two</w:t>
      </w:r>
      <w:r w:rsidRPr="00DB7845">
        <w:t xml:space="preserve"> years of treatment. In addition, the effect appears to be greater in the population younger compared to those older than </w:t>
      </w:r>
      <w:r w:rsidR="001C5D2D">
        <w:t>five</w:t>
      </w:r>
      <w:r w:rsidRPr="00DB7845">
        <w:t xml:space="preserve"> years, which is biologically plausible since the maximum growth deficit in children with achondroplasia is accrued before </w:t>
      </w:r>
      <w:r w:rsidR="001C5D2D">
        <w:t>five</w:t>
      </w:r>
      <w:r w:rsidRPr="00DB7845">
        <w:t xml:space="preserve"> years of age. There was no worsening in upper to lower body segment ratio, which is clinically important as it indicates that the observed increase in growth is occurring proportionally in both the spine and the lower limbs.</w:t>
      </w:r>
    </w:p>
    <w:p w14:paraId="16FBB092" w14:textId="5712356E" w:rsidR="00DB7845" w:rsidRPr="00DB7845" w:rsidRDefault="00DB7845" w:rsidP="00DB7845">
      <w:r w:rsidRPr="00DB7845">
        <w:t>Additional data with a cut</w:t>
      </w:r>
      <w:r w:rsidR="00E61EC1">
        <w:t>-</w:t>
      </w:r>
      <w:r w:rsidRPr="00DB7845">
        <w:t>off</w:t>
      </w:r>
      <w:r w:rsidR="00E61EC1">
        <w:t xml:space="preserve"> date </w:t>
      </w:r>
      <w:r w:rsidRPr="00DB7845">
        <w:t>o</w:t>
      </w:r>
      <w:r w:rsidR="00E61EC1">
        <w:t>f</w:t>
      </w:r>
      <w:r w:rsidRPr="00DB7845">
        <w:t xml:space="preserve"> 20 March 2021 were provided for sentinel subjects from Cohort 1. Subjects in Cohort 1 have received vosoritide for a median of 978 days (range: 921 to 1012 days) and the available efficacy data continue to show positive trends across outcome measures.</w:t>
      </w:r>
    </w:p>
    <w:p w14:paraId="50B18770" w14:textId="77777777" w:rsidR="00DB7845" w:rsidRPr="00DB7845" w:rsidRDefault="00DB7845" w:rsidP="00DB7845">
      <w:r w:rsidRPr="00DB7845">
        <w:t>In addition to the efficacy results available in patients 2 to 5 years, the applicant claims that the extrapolation of efficacy from older to younger children is further supported based on the following elements:</w:t>
      </w:r>
    </w:p>
    <w:p w14:paraId="45A5A895" w14:textId="7098979F" w:rsidR="00DB7845" w:rsidRPr="00DB7845" w:rsidRDefault="00EA7D2B" w:rsidP="00EA7D2B">
      <w:pPr>
        <w:pStyle w:val="Numberbullet0"/>
        <w:numPr>
          <w:ilvl w:val="0"/>
          <w:numId w:val="34"/>
        </w:numPr>
      </w:pPr>
      <w:r>
        <w:t>T</w:t>
      </w:r>
      <w:r w:rsidR="00DB7845" w:rsidRPr="00DB7845">
        <w:t xml:space="preserve">he pathophysiology of </w:t>
      </w:r>
      <w:r w:rsidR="00E61EC1">
        <w:t xml:space="preserve">achondroplasia </w:t>
      </w:r>
      <w:r w:rsidR="00DB7845" w:rsidRPr="00DB7845">
        <w:t>which is a genetic disorder caused by a single mutation with the underlying pathophysiology of the disease being similar in all age groups</w:t>
      </w:r>
      <w:r>
        <w:t>.</w:t>
      </w:r>
    </w:p>
    <w:p w14:paraId="7F412E3F" w14:textId="28FDB230" w:rsidR="00DB7845" w:rsidRPr="00DB7845" w:rsidRDefault="00EA7D2B" w:rsidP="00EA7D2B">
      <w:pPr>
        <w:pStyle w:val="Numberbullet0"/>
      </w:pPr>
      <w:r>
        <w:t>T</w:t>
      </w:r>
      <w:r w:rsidR="00DB7845" w:rsidRPr="00DB7845">
        <w:t xml:space="preserve">he mechanism of action of vosoritide that directly targets the underlying pathophysiology of </w:t>
      </w:r>
      <w:r w:rsidR="00A17A51">
        <w:t xml:space="preserve">achondroplasia </w:t>
      </w:r>
      <w:r w:rsidR="00DB7845" w:rsidRPr="00DB7845">
        <w:t>by down regulatin</w:t>
      </w:r>
      <w:r w:rsidR="00DB7845" w:rsidRPr="00822ACB">
        <w:t xml:space="preserve">g </w:t>
      </w:r>
      <w:r w:rsidR="00DB7845" w:rsidRPr="005060DF">
        <w:rPr>
          <w:i/>
          <w:iCs/>
        </w:rPr>
        <w:t>F</w:t>
      </w:r>
      <w:r w:rsidR="00822ACB" w:rsidRPr="005060DF">
        <w:rPr>
          <w:i/>
          <w:iCs/>
        </w:rPr>
        <w:t>GFR</w:t>
      </w:r>
      <w:r w:rsidR="00DB7845" w:rsidRPr="005060DF">
        <w:rPr>
          <w:i/>
          <w:iCs/>
        </w:rPr>
        <w:t>3</w:t>
      </w:r>
      <w:r w:rsidR="00DB7845" w:rsidRPr="00DB7845">
        <w:t xml:space="preserve"> signalling</w:t>
      </w:r>
      <w:r>
        <w:t>.</w:t>
      </w:r>
    </w:p>
    <w:p w14:paraId="02982A17" w14:textId="5E347B7A" w:rsidR="00DB7845" w:rsidRPr="00DB7845" w:rsidRDefault="00EA7D2B" w:rsidP="00EA7D2B">
      <w:pPr>
        <w:pStyle w:val="Numberbullet0"/>
      </w:pPr>
      <w:r>
        <w:t>V</w:t>
      </w:r>
      <w:r w:rsidR="00DB7845" w:rsidRPr="00DB7845">
        <w:t>osoritide pharmacology, bone</w:t>
      </w:r>
      <w:r w:rsidR="00D478F8">
        <w:t xml:space="preserve"> </w:t>
      </w:r>
      <w:r w:rsidR="00DB7845" w:rsidRPr="00DB7845">
        <w:t>specific biomarker response, based on PD marker cGMP and bone</w:t>
      </w:r>
      <w:r w:rsidR="00D478F8">
        <w:t xml:space="preserve"> </w:t>
      </w:r>
      <w:r w:rsidR="00DB7845" w:rsidRPr="00DB7845">
        <w:t xml:space="preserve">specific biomarker serum </w:t>
      </w:r>
      <w:r w:rsidR="00AA5000" w:rsidRPr="001229B3">
        <w:t>collagen X</w:t>
      </w:r>
      <w:r w:rsidR="00DB7845" w:rsidRPr="00DB7845">
        <w:t>, showing the time course and pattern of changes consistent with changes seen in the older children treated with vosoritide.</w:t>
      </w:r>
    </w:p>
    <w:p w14:paraId="40682063" w14:textId="1C094CD3" w:rsidR="00DB7845" w:rsidRDefault="00DB7845" w:rsidP="00DB7845">
      <w:r w:rsidRPr="00DB7845">
        <w:t xml:space="preserve">The </w:t>
      </w:r>
      <w:r w:rsidR="00EA7D2B">
        <w:t>sponsor’s</w:t>
      </w:r>
      <w:r w:rsidRPr="00DB7845">
        <w:t xml:space="preserve"> rationale appears acceptable, the efficacy in children as of </w:t>
      </w:r>
      <w:r w:rsidR="00EA7D2B">
        <w:t>two</w:t>
      </w:r>
      <w:r w:rsidRPr="00DB7845">
        <w:t xml:space="preserve"> years of age is considered sufficiently demonstrated. However, the ongoing </w:t>
      </w:r>
      <w:r w:rsidR="00EA7D2B">
        <w:t>S</w:t>
      </w:r>
      <w:r w:rsidRPr="00DB7845">
        <w:t xml:space="preserve">tudy 111-206 in this subgroup is important for the collection of additional efficacy data. Submission of final results for </w:t>
      </w:r>
      <w:r w:rsidR="00EA7D2B">
        <w:t>S</w:t>
      </w:r>
      <w:r w:rsidRPr="00DB7845">
        <w:t xml:space="preserve">tudy 111-206 is an imposed condition of registration. </w:t>
      </w:r>
      <w:r w:rsidR="00A17A51">
        <w:t>Evaluation of h</w:t>
      </w:r>
      <w:r w:rsidRPr="00DB7845">
        <w:t>ealth</w:t>
      </w:r>
      <w:r w:rsidR="00A17A51">
        <w:t>-</w:t>
      </w:r>
      <w:r w:rsidRPr="00DB7845">
        <w:t xml:space="preserve">related </w:t>
      </w:r>
      <w:r w:rsidR="00A17A51">
        <w:t>quality of life</w:t>
      </w:r>
      <w:r w:rsidRPr="00DB7845">
        <w:t xml:space="preserve"> outcomes of vosoritide treatment in the target population remains inconclusive, since no difference was detected between the vosoritide and the placebo groups in the pivotal trial after 52 weeks of treatment. Nevertheless, it is noted that the </w:t>
      </w:r>
      <w:r w:rsidR="00A17A51">
        <w:t>quality of life</w:t>
      </w:r>
      <w:r w:rsidR="00A17A51" w:rsidRPr="00DB7845">
        <w:t xml:space="preserve"> </w:t>
      </w:r>
      <w:r w:rsidRPr="00DB7845">
        <w:t>assessment was adequately included in all ongoing extension studies.</w:t>
      </w:r>
    </w:p>
    <w:p w14:paraId="23BF4E01" w14:textId="2BB01CDD" w:rsidR="00066E70" w:rsidRDefault="00066E70" w:rsidP="009874E4">
      <w:pPr>
        <w:pStyle w:val="Heading4"/>
        <w:tabs>
          <w:tab w:val="left" w:pos="1470"/>
        </w:tabs>
      </w:pPr>
      <w:r w:rsidRPr="00A46C35">
        <w:t>Safety</w:t>
      </w:r>
    </w:p>
    <w:p w14:paraId="79498247" w14:textId="369D030A" w:rsidR="00A17A51" w:rsidRDefault="00A17A51" w:rsidP="00A12EF6">
      <w:pPr>
        <w:pStyle w:val="Heading5"/>
      </w:pPr>
      <w:r>
        <w:t>Safety data</w:t>
      </w:r>
    </w:p>
    <w:p w14:paraId="1E5022A1" w14:textId="76B783D5" w:rsidR="00A17A51" w:rsidRDefault="00A17A51" w:rsidP="00A12EF6">
      <w:r>
        <w:t>Safety data from 7 interventional studies have been included with this submission. These are as follows:</w:t>
      </w:r>
    </w:p>
    <w:p w14:paraId="58D93510" w14:textId="1DBC94B4" w:rsidR="00A17A51" w:rsidRDefault="00A17A51" w:rsidP="00A12EF6">
      <w:pPr>
        <w:pStyle w:val="ListBullet"/>
      </w:pPr>
      <w:r>
        <w:t xml:space="preserve">Study </w:t>
      </w:r>
      <w:r w:rsidR="00066E70" w:rsidRPr="00A46C35">
        <w:t>111</w:t>
      </w:r>
      <w:r w:rsidR="00B17B74">
        <w:noBreakHyphen/>
      </w:r>
      <w:r w:rsidR="00066E70" w:rsidRPr="00A46C35">
        <w:t>101 (</w:t>
      </w:r>
      <w:r>
        <w:t xml:space="preserve">dosage of </w:t>
      </w:r>
      <w:r w:rsidR="00066E70" w:rsidRPr="00A46C35">
        <w:t xml:space="preserve">up to 15 </w:t>
      </w:r>
      <w:r w:rsidR="00B17B74">
        <w:t>µ</w:t>
      </w:r>
      <w:r w:rsidR="00066E70" w:rsidRPr="00A46C35">
        <w:t>g/kg vosoritide)</w:t>
      </w:r>
      <w:r w:rsidR="00036231">
        <w:t>,</w:t>
      </w:r>
    </w:p>
    <w:p w14:paraId="0C97F769" w14:textId="66A19188" w:rsidR="00A17A51" w:rsidRDefault="00036231" w:rsidP="00A12EF6">
      <w:pPr>
        <w:pStyle w:val="ListBullet"/>
      </w:pPr>
      <w:r>
        <w:t xml:space="preserve">Study </w:t>
      </w:r>
      <w:r w:rsidR="00066E70" w:rsidRPr="00A46C35">
        <w:t>111-202 (</w:t>
      </w:r>
      <w:r w:rsidR="00A17A51">
        <w:t xml:space="preserve">dosage of </w:t>
      </w:r>
      <w:r w:rsidR="00066E70" w:rsidRPr="00A46C35">
        <w:t xml:space="preserve">2.5, 7.5, 15 or 30 </w:t>
      </w:r>
      <w:r w:rsidR="00B17B74">
        <w:t>µ</w:t>
      </w:r>
      <w:r w:rsidR="00066E70" w:rsidRPr="00A46C35">
        <w:t>g/kg vosoritide)</w:t>
      </w:r>
      <w:r>
        <w:t>,</w:t>
      </w:r>
    </w:p>
    <w:p w14:paraId="66F6ACD6" w14:textId="033992D3" w:rsidR="00A17A51" w:rsidRDefault="00036231" w:rsidP="00A12EF6">
      <w:pPr>
        <w:pStyle w:val="ListBullet"/>
      </w:pPr>
      <w:r>
        <w:t>Stud</w:t>
      </w:r>
      <w:r w:rsidR="00A17A51">
        <w:t>ies</w:t>
      </w:r>
      <w:r w:rsidR="00B17B74">
        <w:t> </w:t>
      </w:r>
      <w:r w:rsidR="00066E70" w:rsidRPr="00A46C35">
        <w:t>111-205, 111-206 and 111-208 (</w:t>
      </w:r>
      <w:r w:rsidR="00A17A51">
        <w:t xml:space="preserve">dosage of </w:t>
      </w:r>
      <w:r w:rsidR="00066E70" w:rsidRPr="00A46C35">
        <w:t xml:space="preserve">15 or 30 </w:t>
      </w:r>
      <w:r w:rsidR="00B17B74">
        <w:t>µ</w:t>
      </w:r>
      <w:r w:rsidR="00066E70" w:rsidRPr="00A46C35">
        <w:t>g/kg vosoritide), and</w:t>
      </w:r>
    </w:p>
    <w:p w14:paraId="700B49C1" w14:textId="52C26DBC" w:rsidR="00066E70" w:rsidRDefault="00036231" w:rsidP="00A12EF6">
      <w:pPr>
        <w:pStyle w:val="ListBullet"/>
      </w:pPr>
      <w:r>
        <w:t>Study</w:t>
      </w:r>
      <w:r w:rsidR="00B17B74">
        <w:t> </w:t>
      </w:r>
      <w:r w:rsidR="00066E70" w:rsidRPr="00A46C35">
        <w:t xml:space="preserve">111-301 and </w:t>
      </w:r>
      <w:r>
        <w:t xml:space="preserve">Study </w:t>
      </w:r>
      <w:r w:rsidR="00066E70" w:rsidRPr="00A46C35">
        <w:t>111-302 (</w:t>
      </w:r>
      <w:r w:rsidR="00A17A51">
        <w:t xml:space="preserve">dosage of </w:t>
      </w:r>
      <w:r w:rsidR="00066E70" w:rsidRPr="00A46C35">
        <w:t xml:space="preserve">15 </w:t>
      </w:r>
      <w:r w:rsidR="00B17B74">
        <w:t>µ</w:t>
      </w:r>
      <w:r w:rsidR="00066E70" w:rsidRPr="00A46C35">
        <w:t>g/kg vosoritide).</w:t>
      </w:r>
    </w:p>
    <w:p w14:paraId="7FB746E9" w14:textId="602CB29A" w:rsidR="00A17A51" w:rsidRPr="00956FEE" w:rsidRDefault="00A17A51" w:rsidP="00A12EF6">
      <w:pPr>
        <w:pStyle w:val="Heading5"/>
      </w:pPr>
      <w:r>
        <w:lastRenderedPageBreak/>
        <w:t>Exposure</w:t>
      </w:r>
    </w:p>
    <w:p w14:paraId="7C1968C5" w14:textId="51A5E831" w:rsidR="00066E70" w:rsidRPr="00A46C35" w:rsidRDefault="00066E70" w:rsidP="00A46C35">
      <w:r w:rsidRPr="00A46C35">
        <w:t xml:space="preserve">The Phase </w:t>
      </w:r>
      <w:r w:rsidR="00D87E20">
        <w:t>II</w:t>
      </w:r>
      <w:r w:rsidRPr="00A46C35">
        <w:t xml:space="preserve"> and </w:t>
      </w:r>
      <w:r w:rsidR="00D87E20">
        <w:t>III</w:t>
      </w:r>
      <w:r w:rsidRPr="00A46C35">
        <w:t xml:space="preserve"> clinical studies were considered generally similar in design to justify pooling of the data to facilitate evaluation of long</w:t>
      </w:r>
      <w:r w:rsidR="00A17A51">
        <w:t>-</w:t>
      </w:r>
      <w:r w:rsidRPr="00A46C35">
        <w:t>term safety of vosoritide on the maximum number of subjects</w:t>
      </w:r>
      <w:r w:rsidR="00A17A51">
        <w:t xml:space="preserve"> with achondroplasia</w:t>
      </w:r>
      <w:r w:rsidRPr="00A46C35">
        <w:t xml:space="preserve"> exposed to vosoritide for the longest duration. Three pooled populations were defined to evaluate the safety profile of vosoritide in subjects</w:t>
      </w:r>
      <w:r w:rsidR="00A17A51">
        <w:t xml:space="preserve"> with achondroplasia</w:t>
      </w:r>
      <w:r w:rsidRPr="00A46C35">
        <w:t>:</w:t>
      </w:r>
    </w:p>
    <w:p w14:paraId="75D550EA" w14:textId="75A4EF15" w:rsidR="00066E70" w:rsidRPr="00A46C35" w:rsidRDefault="00066E70" w:rsidP="00036231">
      <w:pPr>
        <w:pStyle w:val="ListBullet"/>
      </w:pPr>
      <w:r w:rsidRPr="00A46C35">
        <w:t xml:space="preserve">All </w:t>
      </w:r>
      <w:r w:rsidR="00A816C8">
        <w:t>t</w:t>
      </w:r>
      <w:r w:rsidRPr="00A46C35">
        <w:t>reated population (pooled)</w:t>
      </w:r>
      <w:r w:rsidR="00A816C8">
        <w:t xml:space="preserve"> includes</w:t>
      </w:r>
      <w:r w:rsidRPr="00A46C35">
        <w:t xml:space="preserve"> all subjects</w:t>
      </w:r>
      <w:r w:rsidR="00A17A51">
        <w:t xml:space="preserve"> with achondroplasia</w:t>
      </w:r>
      <w:r w:rsidRPr="00A46C35">
        <w:t xml:space="preserve"> treated with daily vosoritide irrespective of the age or dose received (164</w:t>
      </w:r>
      <w:r w:rsidR="00A17A51">
        <w:t xml:space="preserve"> subjects</w:t>
      </w:r>
      <w:r w:rsidRPr="00A46C35">
        <w:t>)</w:t>
      </w:r>
      <w:r w:rsidR="00036231">
        <w:t>.</w:t>
      </w:r>
    </w:p>
    <w:p w14:paraId="138E0AE2" w14:textId="704BAECD" w:rsidR="00066E70" w:rsidRPr="00A46C35" w:rsidRDefault="00066E70" w:rsidP="00036231">
      <w:pPr>
        <w:pStyle w:val="ListBullet"/>
      </w:pPr>
      <w:r w:rsidRPr="00A46C35">
        <w:t xml:space="preserve">Maximum </w:t>
      </w:r>
      <w:r w:rsidR="00A17A51">
        <w:t xml:space="preserve">dosage of </w:t>
      </w:r>
      <w:r w:rsidRPr="00A46C35">
        <w:t xml:space="preserve">15 </w:t>
      </w:r>
      <w:r w:rsidR="00B17B74">
        <w:t>µ</w:t>
      </w:r>
      <w:r w:rsidRPr="00A46C35">
        <w:t xml:space="preserve">g/kg population </w:t>
      </w:r>
      <w:r w:rsidR="00A816C8">
        <w:t>includes</w:t>
      </w:r>
      <w:r w:rsidRPr="00A46C35">
        <w:t xml:space="preserve"> all subjects</w:t>
      </w:r>
      <w:r w:rsidR="00A17A51">
        <w:t xml:space="preserve"> with achondroplasia </w:t>
      </w:r>
      <w:r w:rsidRPr="00A46C35">
        <w:t>treated with at least one dose of</w:t>
      </w:r>
      <w:r w:rsidR="00A17A51">
        <w:t xml:space="preserve"> vosoritide</w:t>
      </w:r>
      <w:r w:rsidRPr="00A46C35">
        <w:t xml:space="preserve"> </w:t>
      </w:r>
      <w:r w:rsidR="00A17A51">
        <w:t>but no dose higher than</w:t>
      </w:r>
      <w:r w:rsidRPr="00A46C35">
        <w:t xml:space="preserve"> 15 </w:t>
      </w:r>
      <w:r w:rsidR="00B17B74">
        <w:t>µ</w:t>
      </w:r>
      <w:r w:rsidRPr="00A46C35">
        <w:t>g/kg daily (148</w:t>
      </w:r>
      <w:r w:rsidR="00A17A51">
        <w:t xml:space="preserve"> subjects</w:t>
      </w:r>
      <w:r w:rsidRPr="00A46C35">
        <w:t>)</w:t>
      </w:r>
      <w:r w:rsidR="00036231">
        <w:t>.</w:t>
      </w:r>
    </w:p>
    <w:p w14:paraId="4B444CE7" w14:textId="05E6615C" w:rsidR="00066E70" w:rsidRPr="00A46C35" w:rsidRDefault="00066E70" w:rsidP="00036231">
      <w:pPr>
        <w:pStyle w:val="ListBullet"/>
      </w:pPr>
      <w:r w:rsidRPr="00A46C35">
        <w:t xml:space="preserve">Pure 15 </w:t>
      </w:r>
      <w:r w:rsidR="00B17B74">
        <w:t>µ</w:t>
      </w:r>
      <w:r w:rsidRPr="00A46C35">
        <w:t xml:space="preserve">g/kg population </w:t>
      </w:r>
      <w:r w:rsidR="00A816C8">
        <w:t xml:space="preserve">includes </w:t>
      </w:r>
      <w:r w:rsidRPr="00A46C35">
        <w:t xml:space="preserve">all subjects </w:t>
      </w:r>
      <w:r w:rsidR="00A17A51">
        <w:t xml:space="preserve">with achondroplasia </w:t>
      </w:r>
      <w:r w:rsidRPr="00A46C35">
        <w:t xml:space="preserve">aged </w:t>
      </w:r>
      <w:r w:rsidR="00036231">
        <w:t>five</w:t>
      </w:r>
      <w:r w:rsidRPr="00A46C35">
        <w:t xml:space="preserve"> years</w:t>
      </w:r>
      <w:r w:rsidR="00A17A51">
        <w:t xml:space="preserve"> or more</w:t>
      </w:r>
      <w:r w:rsidRPr="00A46C35">
        <w:t xml:space="preserve"> treated exclusively with vosoritide</w:t>
      </w:r>
      <w:r w:rsidR="00A17A51">
        <w:t xml:space="preserve"> at a dosage of</w:t>
      </w:r>
      <w:r w:rsidRPr="00A46C35">
        <w:t xml:space="preserve"> 15 </w:t>
      </w:r>
      <w:r w:rsidR="00B17B74">
        <w:t>µ</w:t>
      </w:r>
      <w:r w:rsidRPr="00A46C35">
        <w:t xml:space="preserve">g/kg daily </w:t>
      </w:r>
      <w:r w:rsidR="00A17A51">
        <w:t>(</w:t>
      </w:r>
      <w:r w:rsidRPr="00A46C35">
        <w:t>131</w:t>
      </w:r>
      <w:r w:rsidR="00A17A51">
        <w:t xml:space="preserve"> subjects</w:t>
      </w:r>
      <w:r w:rsidRPr="00A46C35">
        <w:t>)</w:t>
      </w:r>
      <w:r w:rsidR="00036231">
        <w:t>.</w:t>
      </w:r>
    </w:p>
    <w:p w14:paraId="21C030B0" w14:textId="7CB78DB2" w:rsidR="0070145A" w:rsidRDefault="00066E70" w:rsidP="00A46C35">
      <w:r w:rsidRPr="00A46C35">
        <w:t>Safety can be assessed from 164 subjects</w:t>
      </w:r>
      <w:r w:rsidR="00A17A51">
        <w:t xml:space="preserve"> with achondroplasia who received</w:t>
      </w:r>
      <w:r w:rsidRPr="00A46C35">
        <w:t xml:space="preserve"> treat</w:t>
      </w:r>
      <w:r w:rsidR="00A17A51">
        <w:t>ment</w:t>
      </w:r>
      <w:r w:rsidRPr="00A46C35">
        <w:t xml:space="preserve"> (pooled safety population of </w:t>
      </w:r>
      <w:r w:rsidRPr="00956FEE">
        <w:t>all</w:t>
      </w:r>
      <w:r w:rsidRPr="00A46C35">
        <w:t xml:space="preserve"> treated subjects) of whom 60</w:t>
      </w:r>
      <w:r w:rsidR="00A17A51">
        <w:t xml:space="preserve"> subjects</w:t>
      </w:r>
      <w:r w:rsidRPr="00A46C35">
        <w:t xml:space="preserve"> were included in the placebo</w:t>
      </w:r>
      <w:r w:rsidR="00036231">
        <w:t xml:space="preserve"> </w:t>
      </w:r>
      <w:r w:rsidRPr="00A46C35">
        <w:t xml:space="preserve">controlled, double blinded, randomised </w:t>
      </w:r>
      <w:r w:rsidR="00036231">
        <w:t>P</w:t>
      </w:r>
      <w:r w:rsidRPr="00A46C35">
        <w:t xml:space="preserve">hase III </w:t>
      </w:r>
      <w:r w:rsidR="00036231">
        <w:t>t</w:t>
      </w:r>
      <w:r w:rsidRPr="00A46C35">
        <w:t>rial</w:t>
      </w:r>
      <w:r w:rsidR="00036231">
        <w:t xml:space="preserve"> Study</w:t>
      </w:r>
      <w:r w:rsidRPr="00A46C35">
        <w:t xml:space="preserve"> 111-301</w:t>
      </w:r>
      <w:r w:rsidR="00A17A51">
        <w:t>,</w:t>
      </w:r>
      <w:r w:rsidRPr="00A46C35">
        <w:t xml:space="preserve"> in subjects in the age range of 5 </w:t>
      </w:r>
      <w:r w:rsidR="00A17A51">
        <w:t xml:space="preserve">to </w:t>
      </w:r>
      <w:r w:rsidRPr="00A46C35">
        <w:t>18</w:t>
      </w:r>
      <w:r w:rsidR="00036231">
        <w:t> </w:t>
      </w:r>
      <w:r w:rsidRPr="00A46C35">
        <w:t>years</w:t>
      </w:r>
      <w:r w:rsidR="00A17A51">
        <w:t xml:space="preserve"> of age</w:t>
      </w:r>
      <w:r w:rsidRPr="00A46C35">
        <w:t>.</w:t>
      </w:r>
    </w:p>
    <w:p w14:paraId="7A449225" w14:textId="777B709F" w:rsidR="0070145A" w:rsidRDefault="00066E70" w:rsidP="00A46C35">
      <w:r w:rsidRPr="00A46C35">
        <w:t>With respect to the demographic and other baseline factors</w:t>
      </w:r>
      <w:r w:rsidR="00A816C8">
        <w:t>,</w:t>
      </w:r>
      <w:r w:rsidRPr="00A46C35">
        <w:t xml:space="preserve"> it is concluded that the population available reflects adequately the characteristic of the target population. However, the majority of safety data is derived from the population of children between the age of </w:t>
      </w:r>
      <w:r w:rsidR="00036231">
        <w:t>five years</w:t>
      </w:r>
      <w:r w:rsidRPr="00A46C35">
        <w:t xml:space="preserve"> </w:t>
      </w:r>
      <w:r w:rsidR="0070145A">
        <w:t>or more, up to (and including) children aged 8 years</w:t>
      </w:r>
      <w:r w:rsidRPr="00A46C35">
        <w:t>.</w:t>
      </w:r>
    </w:p>
    <w:p w14:paraId="16471ABA" w14:textId="56B93654" w:rsidR="00066E70" w:rsidRPr="00A46C35" w:rsidRDefault="00066E70" w:rsidP="00A46C35">
      <w:r w:rsidRPr="00A46C35">
        <w:t xml:space="preserve">Data in younger children </w:t>
      </w:r>
      <w:r w:rsidR="0070145A">
        <w:t>aged</w:t>
      </w:r>
      <w:r w:rsidR="00036231">
        <w:t xml:space="preserve"> five</w:t>
      </w:r>
      <w:r w:rsidRPr="00A46C35">
        <w:t xml:space="preserve"> years </w:t>
      </w:r>
      <w:r w:rsidR="0070145A">
        <w:t xml:space="preserve">or less </w:t>
      </w:r>
      <w:r w:rsidRPr="00A46C35">
        <w:t xml:space="preserve">at the time of treatment start </w:t>
      </w:r>
      <w:r w:rsidR="0070145A">
        <w:t>is restricted to 8 patients, and data in patients aged</w:t>
      </w:r>
      <w:r w:rsidRPr="00A46C35">
        <w:t xml:space="preserve"> 15 years</w:t>
      </w:r>
      <w:r w:rsidR="0070145A">
        <w:t xml:space="preserve"> or more</w:t>
      </w:r>
      <w:r w:rsidRPr="00A46C35">
        <w:t xml:space="preserve"> i</w:t>
      </w:r>
      <w:r w:rsidR="0070145A">
        <w:t xml:space="preserve">s restricted to </w:t>
      </w:r>
      <w:r w:rsidR="00036231">
        <w:t>one</w:t>
      </w:r>
      <w:r w:rsidRPr="00A46C35">
        <w:t xml:space="preserve"> patient. The use in patients </w:t>
      </w:r>
      <w:r w:rsidR="0070145A">
        <w:t xml:space="preserve">from </w:t>
      </w:r>
      <w:r w:rsidRPr="00A46C35">
        <w:t xml:space="preserve">2 to 5 years old is listed as missing information in the </w:t>
      </w:r>
      <w:r w:rsidR="00036231">
        <w:t>risk management plan (</w:t>
      </w:r>
      <w:r w:rsidRPr="00A46C35">
        <w:t>RMP</w:t>
      </w:r>
      <w:r w:rsidR="00036231">
        <w:t>)</w:t>
      </w:r>
      <w:r w:rsidRPr="00A46C35">
        <w:t xml:space="preserve">. Additional data will be available from the </w:t>
      </w:r>
      <w:r w:rsidR="0070145A">
        <w:t xml:space="preserve">still </w:t>
      </w:r>
      <w:r w:rsidRPr="00A46C35">
        <w:t xml:space="preserve">ongoing blinded </w:t>
      </w:r>
      <w:r w:rsidR="0070145A">
        <w:t xml:space="preserve">and </w:t>
      </w:r>
      <w:r w:rsidRPr="00A46C35">
        <w:t xml:space="preserve">randomised </w:t>
      </w:r>
      <w:r w:rsidR="00036231">
        <w:t>S</w:t>
      </w:r>
      <w:r w:rsidRPr="00A46C35">
        <w:t>tudy 111-206</w:t>
      </w:r>
      <w:r w:rsidR="00036231">
        <w:t xml:space="preserve">, </w:t>
      </w:r>
      <w:r w:rsidRPr="00A46C35">
        <w:t xml:space="preserve">which is an imposed condition to the marketing authorisation and from the corresponding extension </w:t>
      </w:r>
      <w:r w:rsidR="0070145A">
        <w:t xml:space="preserve">trial of </w:t>
      </w:r>
      <w:r w:rsidR="00036231">
        <w:t>S</w:t>
      </w:r>
      <w:r w:rsidRPr="00A46C35">
        <w:t>tudy 111-20</w:t>
      </w:r>
      <w:r w:rsidR="00D41320">
        <w:t>8</w:t>
      </w:r>
      <w:r w:rsidRPr="00A46C35">
        <w:t>.</w:t>
      </w:r>
    </w:p>
    <w:p w14:paraId="40D91F1F" w14:textId="02ADE746" w:rsidR="00066E70" w:rsidRPr="00A46C35" w:rsidRDefault="00066E70" w:rsidP="00A46C35">
      <w:r w:rsidRPr="00A46C35">
        <w:t xml:space="preserve">Overall, it is concluded that the exposure is adequate for the population </w:t>
      </w:r>
      <w:r w:rsidR="0070145A">
        <w:t xml:space="preserve">of </w:t>
      </w:r>
      <w:r w:rsidRPr="00A46C35">
        <w:t xml:space="preserve">subjects </w:t>
      </w:r>
      <w:r w:rsidR="007A688F">
        <w:t>5</w:t>
      </w:r>
      <w:r w:rsidR="0070145A">
        <w:t> </w:t>
      </w:r>
      <w:r w:rsidRPr="00A46C35">
        <w:t>year</w:t>
      </w:r>
      <w:r w:rsidR="007A688F">
        <w:t>s</w:t>
      </w:r>
      <w:r w:rsidR="0070145A">
        <w:t xml:space="preserve"> of age or older</w:t>
      </w:r>
      <w:r w:rsidRPr="00A46C35">
        <w:t xml:space="preserve">, as data available </w:t>
      </w:r>
      <w:r w:rsidR="007A688F">
        <w:t xml:space="preserve">also </w:t>
      </w:r>
      <w:r w:rsidRPr="00A46C35">
        <w:t>include long</w:t>
      </w:r>
      <w:r w:rsidR="0070145A">
        <w:t>-</w:t>
      </w:r>
      <w:r w:rsidRPr="00A46C35">
        <w:t>term safety outcome. Nevertheless, more robust long</w:t>
      </w:r>
      <w:r w:rsidR="0070145A">
        <w:t>-</w:t>
      </w:r>
      <w:r w:rsidRPr="00A46C35">
        <w:t>term safety is needed considering the long</w:t>
      </w:r>
      <w:r w:rsidR="003B0036">
        <w:t>-</w:t>
      </w:r>
      <w:r w:rsidRPr="00A46C35">
        <w:t>term treatment duration. Long</w:t>
      </w:r>
      <w:r w:rsidR="0070145A">
        <w:t>-</w:t>
      </w:r>
      <w:r w:rsidRPr="00A46C35">
        <w:t>term safety including skeletal effects as impaired function of extremities and joints and immunogenic potential is listed as missing information in the RMP and additional data will be collected from the ongoing and planned pharmacovigilance activities.</w:t>
      </w:r>
    </w:p>
    <w:p w14:paraId="648BC206" w14:textId="648E2006" w:rsidR="00066E70" w:rsidRPr="00A46C35" w:rsidRDefault="00066E70" w:rsidP="00A46C35">
      <w:r w:rsidRPr="00A46C35">
        <w:t>Safety data is available only from the target population since vosoritide was specifically designed to treat patients</w:t>
      </w:r>
      <w:r w:rsidR="0070145A">
        <w:t xml:space="preserve"> with achondroplasia</w:t>
      </w:r>
      <w:r w:rsidRPr="00A46C35">
        <w:t>.</w:t>
      </w:r>
    </w:p>
    <w:p w14:paraId="609F513F" w14:textId="77777777" w:rsidR="00066E70" w:rsidRPr="00A46C35" w:rsidRDefault="00066E70" w:rsidP="007A688F">
      <w:pPr>
        <w:pStyle w:val="Heading5"/>
      </w:pPr>
      <w:r w:rsidRPr="00A46C35">
        <w:t>Adverse events</w:t>
      </w:r>
    </w:p>
    <w:p w14:paraId="5AFCBB65" w14:textId="3F3B9505" w:rsidR="00066E70" w:rsidRPr="00A46C35" w:rsidRDefault="00066E70" w:rsidP="00A46C35">
      <w:r w:rsidRPr="00A46C35">
        <w:t>In the placebo</w:t>
      </w:r>
      <w:r w:rsidR="0070145A">
        <w:noBreakHyphen/>
      </w:r>
      <w:r w:rsidRPr="00A46C35">
        <w:t xml:space="preserve">controlled </w:t>
      </w:r>
      <w:r w:rsidR="007A688F">
        <w:t xml:space="preserve">Study </w:t>
      </w:r>
      <w:r w:rsidRPr="00A46C35">
        <w:t xml:space="preserve">111-301, the incidence of </w:t>
      </w:r>
      <w:r w:rsidR="007A688F">
        <w:t>adverse events (</w:t>
      </w:r>
      <w:r w:rsidRPr="00A46C35">
        <w:t>AEs</w:t>
      </w:r>
      <w:r w:rsidR="007A688F">
        <w:t>)</w:t>
      </w:r>
      <w:r w:rsidRPr="00A46C35">
        <w:t xml:space="preserve"> was similar between the vosoritide (98.3%) and placebo (98.4%)</w:t>
      </w:r>
      <w:r w:rsidR="0070145A">
        <w:t xml:space="preserve"> groups</w:t>
      </w:r>
      <w:r w:rsidRPr="00A46C35">
        <w:t>, which may allow to conclude with respect to frequency of AEs that the overall toxicity is not significantly increased compared with placebo.</w:t>
      </w:r>
    </w:p>
    <w:p w14:paraId="2CAE05E8" w14:textId="37C22FD5" w:rsidR="00066E70" w:rsidRPr="00A46C35" w:rsidRDefault="00066E70" w:rsidP="00A46C35">
      <w:r w:rsidRPr="00A46C35">
        <w:t>Adverse events reported in the pivotal trial</w:t>
      </w:r>
      <w:r w:rsidR="0070145A">
        <w:t xml:space="preserve"> for this submission (</w:t>
      </w:r>
      <w:r w:rsidR="007A688F">
        <w:t>Study</w:t>
      </w:r>
      <w:r w:rsidRPr="00A46C35">
        <w:t xml:space="preserve"> 111-301</w:t>
      </w:r>
      <w:r w:rsidR="0070145A">
        <w:t>)</w:t>
      </w:r>
      <w:r w:rsidRPr="00A46C35">
        <w:t xml:space="preserve"> with a 5% </w:t>
      </w:r>
      <w:r w:rsidR="0070145A">
        <w:t xml:space="preserve">or more </w:t>
      </w:r>
      <w:r w:rsidRPr="00A46C35">
        <w:t>difference between the vosoritide group compared to placebo and in 5</w:t>
      </w:r>
      <w:r w:rsidR="0070145A">
        <w:t xml:space="preserve"> or more</w:t>
      </w:r>
      <w:r w:rsidRPr="00A46C35">
        <w:t xml:space="preserve"> subjects were: injection site reaction</w:t>
      </w:r>
      <w:r w:rsidR="007A688F">
        <w:t xml:space="preserve"> (ISR)</w:t>
      </w:r>
      <w:r w:rsidRPr="00A46C35">
        <w:t xml:space="preserve"> (73.3% versus 47.5%), injection site swelling (38.3% versus 9.8%), vomiting (26.7% versus 19.7%), arthralgia (15% versus 6.6%), injection site urticaria (13.3% versus 3.3%), blood pressure decreased (11.7% versus 4.9%), diarrhoea (10% versus 3.3%), ear pain, and influenza (10</w:t>
      </w:r>
      <w:r w:rsidR="007A688F">
        <w:t>%</w:t>
      </w:r>
      <w:r w:rsidRPr="00A46C35">
        <w:t xml:space="preserve"> versus 4.9%).</w:t>
      </w:r>
    </w:p>
    <w:p w14:paraId="2B25648F" w14:textId="5505AAE9" w:rsidR="00066E70" w:rsidRPr="00A46C35" w:rsidRDefault="00066E70" w:rsidP="00A46C35">
      <w:r w:rsidRPr="00A46C35">
        <w:t xml:space="preserve">In the larger pooled safety population, which includes 104 additional patients to those investigated in the pivotal </w:t>
      </w:r>
      <w:r w:rsidR="007A688F">
        <w:t>Study</w:t>
      </w:r>
      <w:r w:rsidRPr="00A46C35">
        <w:t xml:space="preserve"> 111-301, the frequency of the most commonly AEs were </w:t>
      </w:r>
      <w:r w:rsidRPr="00A46C35">
        <w:lastRenderedPageBreak/>
        <w:t xml:space="preserve">rather similar: </w:t>
      </w:r>
      <w:r w:rsidR="007A688F">
        <w:t>ISR</w:t>
      </w:r>
      <w:r w:rsidRPr="00A46C35">
        <w:t xml:space="preserve"> (49.4%), injection site erythema (47%), nasopharyngitis (28.7%), injection site swelling (24.4%), cough (20.1%), headache (20.1%), pyrexia (23.2%), and vomiting (22.6%). Most AEs were Grade 1 (</w:t>
      </w:r>
      <w:r w:rsidR="0070145A">
        <w:t xml:space="preserve">or </w:t>
      </w:r>
      <w:r w:rsidRPr="00A46C35">
        <w:t>mild) in severity. Assessment of the details did result in the identification of any relevant or clinically meaningful difference. In the limited data of subjects received a higher dose of 30</w:t>
      </w:r>
      <w:r w:rsidR="007A688F">
        <w:t> </w:t>
      </w:r>
      <w:r w:rsidR="00D41320">
        <w:t>µ</w:t>
      </w:r>
      <w:r w:rsidR="00A816C8" w:rsidRPr="00D41320">
        <w:t>g</w:t>
      </w:r>
      <w:r w:rsidRPr="00A46C35">
        <w:t>/kg, no evidence is seen for a clear dose dependency of any of these events.</w:t>
      </w:r>
    </w:p>
    <w:p w14:paraId="548F7C2B" w14:textId="37808ACB" w:rsidR="00066E70" w:rsidRPr="00A46C35" w:rsidRDefault="00066E70" w:rsidP="00A46C35">
      <w:r w:rsidRPr="00A46C35">
        <w:t xml:space="preserve">In </w:t>
      </w:r>
      <w:r w:rsidR="005060DF">
        <w:t xml:space="preserve">the </w:t>
      </w:r>
      <w:r w:rsidR="005E2844">
        <w:t>a</w:t>
      </w:r>
      <w:r w:rsidRPr="00A46C35">
        <w:t xml:space="preserve">ll </w:t>
      </w:r>
      <w:r w:rsidR="005E2844">
        <w:t>t</w:t>
      </w:r>
      <w:r w:rsidRPr="00A46C35">
        <w:t>reated population, the most common treatment</w:t>
      </w:r>
      <w:r w:rsidR="0070145A">
        <w:t>-</w:t>
      </w:r>
      <w:r w:rsidRPr="00A46C35">
        <w:t xml:space="preserve">related AEs reported in 10% </w:t>
      </w:r>
      <w:r w:rsidR="0070145A">
        <w:t xml:space="preserve">or more </w:t>
      </w:r>
      <w:r w:rsidRPr="00A46C35">
        <w:t xml:space="preserve">of subjects were injection site reaction (48.8%), injection site erythema (47%), injection site swelling (24.4%), hypotension (11.6%), and injection site urticaria (10.4%). </w:t>
      </w:r>
      <w:r w:rsidR="0070145A">
        <w:t>All o</w:t>
      </w:r>
      <w:r w:rsidRPr="00A46C35">
        <w:t>ther treatment</w:t>
      </w:r>
      <w:r w:rsidR="0070145A">
        <w:t>-</w:t>
      </w:r>
      <w:r w:rsidRPr="00A46C35">
        <w:t xml:space="preserve">related AEs </w:t>
      </w:r>
      <w:r w:rsidR="0070145A">
        <w:t xml:space="preserve">were </w:t>
      </w:r>
      <w:r w:rsidRPr="00A46C35">
        <w:t>reported i</w:t>
      </w:r>
      <w:r w:rsidR="0070145A">
        <w:t xml:space="preserve">n </w:t>
      </w:r>
      <w:r w:rsidR="007A688F">
        <w:t>less than one</w:t>
      </w:r>
      <w:r w:rsidRPr="00A46C35">
        <w:t xml:space="preserve"> subject, apart from </w:t>
      </w:r>
      <w:r w:rsidR="0070145A">
        <w:t xml:space="preserve">injection site </w:t>
      </w:r>
      <w:r w:rsidRPr="00A46C35">
        <w:t>related events, were blood pressure decreased (4.9%), vomiting (3%), dizziness (3%), headache (1.8%), fatigue, pre-syncope, and nausea (</w:t>
      </w:r>
      <w:r w:rsidR="0070145A">
        <w:t xml:space="preserve">all </w:t>
      </w:r>
      <w:r w:rsidRPr="00A46C35">
        <w:t>1.2% each).</w:t>
      </w:r>
    </w:p>
    <w:p w14:paraId="1F9B5CA2" w14:textId="77777777" w:rsidR="00066E70" w:rsidRPr="00A46C35" w:rsidRDefault="00066E70" w:rsidP="007A688F">
      <w:pPr>
        <w:pStyle w:val="Heading5"/>
      </w:pPr>
      <w:r w:rsidRPr="00A46C35">
        <w:t>Adverse events of special interest</w:t>
      </w:r>
    </w:p>
    <w:p w14:paraId="263D729E" w14:textId="52E279F4" w:rsidR="00066E70" w:rsidRPr="00A46C35" w:rsidRDefault="00066E70" w:rsidP="00A46C35">
      <w:r w:rsidRPr="00A46C35">
        <w:t xml:space="preserve">In summary, according to the data all </w:t>
      </w:r>
      <w:r w:rsidR="0070145A">
        <w:t>injection site reaction type</w:t>
      </w:r>
      <w:r w:rsidR="0070145A" w:rsidRPr="00A46C35">
        <w:t xml:space="preserve"> </w:t>
      </w:r>
      <w:r w:rsidRPr="00A46C35">
        <w:t xml:space="preserve">events reported during the study were described as transient, non-serious, and in the majority as mild, resolving without medical intervention. This finding seems to be confirmed by the observation that no subjects discontinued from treatment due to </w:t>
      </w:r>
      <w:r w:rsidR="0070145A">
        <w:t>injection site reaction</w:t>
      </w:r>
      <w:r w:rsidR="007A688F">
        <w:t xml:space="preserve"> </w:t>
      </w:r>
      <w:r w:rsidRPr="00A46C35">
        <w:t>related events.</w:t>
      </w:r>
    </w:p>
    <w:p w14:paraId="1E62E0FB" w14:textId="0BCD6493" w:rsidR="00066E70" w:rsidRPr="00A46C35" w:rsidRDefault="0070145A" w:rsidP="00A46C35">
      <w:r>
        <w:t>Decreases of b</w:t>
      </w:r>
      <w:r w:rsidR="00066E70" w:rsidRPr="00A46C35">
        <w:t xml:space="preserve">lood pressure were described under the most common </w:t>
      </w:r>
      <w:r w:rsidR="007A688F">
        <w:t>adverse drug reactions (</w:t>
      </w:r>
      <w:r w:rsidR="00066E70" w:rsidRPr="00A46C35">
        <w:t>ADRs</w:t>
      </w:r>
      <w:r w:rsidR="007A688F">
        <w:t>)</w:t>
      </w:r>
      <w:r w:rsidR="00066E70" w:rsidRPr="00A46C35">
        <w:t xml:space="preserve"> reported after </w:t>
      </w:r>
      <w:r>
        <w:t>injection rite reactions</w:t>
      </w:r>
      <w:r w:rsidRPr="00A46C35">
        <w:t xml:space="preserve"> </w:t>
      </w:r>
      <w:r w:rsidR="00066E70" w:rsidRPr="00A46C35">
        <w:t>(85%) and vomiting (27%). A decrease</w:t>
      </w:r>
      <w:r>
        <w:t xml:space="preserve"> in </w:t>
      </w:r>
      <w:r w:rsidR="00066E70" w:rsidRPr="00A46C35">
        <w:t xml:space="preserve">blood pressure was observed in </w:t>
      </w:r>
      <w:r>
        <w:t>8 patients</w:t>
      </w:r>
      <w:r w:rsidR="00066E70" w:rsidRPr="00A46C35">
        <w:t xml:space="preserve"> (13.3 %</w:t>
      </w:r>
      <w:r w:rsidR="00D41320">
        <w:t xml:space="preserve"> </w:t>
      </w:r>
      <w:r>
        <w:t>(</w:t>
      </w:r>
      <w:r w:rsidR="00066E70" w:rsidRPr="00A46C35">
        <w:t>11 events</w:t>
      </w:r>
      <w:r>
        <w:t>)</w:t>
      </w:r>
      <w:r w:rsidR="00066E70" w:rsidRPr="00A46C35">
        <w:t xml:space="preserve">) treated with vosoritide compared to </w:t>
      </w:r>
      <w:r w:rsidR="009C15B1">
        <w:t>three</w:t>
      </w:r>
      <w:r w:rsidR="00066E70" w:rsidRPr="00A46C35">
        <w:t xml:space="preserve"> </w:t>
      </w:r>
      <w:r>
        <w:t xml:space="preserve">patients </w:t>
      </w:r>
      <w:r w:rsidR="00066E70" w:rsidRPr="00A46C35">
        <w:t>(4.9%</w:t>
      </w:r>
      <w:r w:rsidR="00D41320">
        <w:t xml:space="preserve"> </w:t>
      </w:r>
      <w:r>
        <w:t xml:space="preserve">(3 </w:t>
      </w:r>
      <w:r w:rsidR="00066E70" w:rsidRPr="00A46C35">
        <w:t>events</w:t>
      </w:r>
      <w:r>
        <w:t>)</w:t>
      </w:r>
      <w:r w:rsidR="00066E70" w:rsidRPr="00A46C35">
        <w:t xml:space="preserve">) in the placebo arm of the pivotal </w:t>
      </w:r>
      <w:r w:rsidR="009C15B1">
        <w:t xml:space="preserve">Study </w:t>
      </w:r>
      <w:r w:rsidR="00066E70" w:rsidRPr="00A46C35">
        <w:t xml:space="preserve">111-301. All events were Grade 1 (mild), and no subject discontinued treatment due to an AE of decrease in </w:t>
      </w:r>
      <w:r w:rsidR="009C15B1">
        <w:t>blood pressure.</w:t>
      </w:r>
      <w:r w:rsidR="00066E70" w:rsidRPr="00A46C35">
        <w:t xml:space="preserve"> The adverse reactions of pre-syncope, syncope, dizziness and fatigue are considered clinically relevant and included as ADR</w:t>
      </w:r>
      <w:r w:rsidR="00454A3D">
        <w:t>s</w:t>
      </w:r>
      <w:r w:rsidR="00066E70" w:rsidRPr="00A46C35">
        <w:t xml:space="preserve"> in Section 4.8</w:t>
      </w:r>
      <w:r w:rsidR="00454A3D">
        <w:t xml:space="preserve"> </w:t>
      </w:r>
      <w:r w:rsidR="00454A3D" w:rsidRPr="003B0036">
        <w:rPr>
          <w:i/>
        </w:rPr>
        <w:t xml:space="preserve">adverse effects (undesirable effects) </w:t>
      </w:r>
      <w:r w:rsidR="00066E70" w:rsidRPr="00A46C35">
        <w:t xml:space="preserve">of the PI. Nausea is also included as an ADR as this AE was considered </w:t>
      </w:r>
      <w:r w:rsidR="00454A3D">
        <w:t>to be</w:t>
      </w:r>
      <w:r w:rsidR="00454A3D" w:rsidRPr="00A46C35">
        <w:t xml:space="preserve"> </w:t>
      </w:r>
      <w:r w:rsidR="00454A3D">
        <w:t xml:space="preserve">a </w:t>
      </w:r>
      <w:r w:rsidR="00066E70" w:rsidRPr="00A46C35">
        <w:t>treatment</w:t>
      </w:r>
      <w:r w:rsidR="00454A3D">
        <w:noBreakHyphen/>
      </w:r>
      <w:r w:rsidR="00066E70" w:rsidRPr="00A46C35">
        <w:t>related AE.</w:t>
      </w:r>
    </w:p>
    <w:p w14:paraId="50A5628F" w14:textId="79E65EFE" w:rsidR="00454A3D" w:rsidRDefault="00066E70" w:rsidP="00A46C35">
      <w:r w:rsidRPr="00A46C35">
        <w:t xml:space="preserve">Since vosoritide is a peptide, immunisation and potential hypersensitivity </w:t>
      </w:r>
      <w:r w:rsidR="00454A3D">
        <w:t>AEs</w:t>
      </w:r>
      <w:r w:rsidRPr="00A46C35">
        <w:t xml:space="preserve"> are of special interest with respect to safety. In the placebo</w:t>
      </w:r>
      <w:r w:rsidR="00454A3D">
        <w:noBreakHyphen/>
      </w:r>
      <w:r w:rsidRPr="00A46C35">
        <w:t xml:space="preserve">controlled pivotal </w:t>
      </w:r>
      <w:r w:rsidR="00454A3D">
        <w:t>study (</w:t>
      </w:r>
      <w:r w:rsidR="009C15B1">
        <w:t>Study</w:t>
      </w:r>
      <w:r w:rsidR="00454A3D">
        <w:t> </w:t>
      </w:r>
      <w:r w:rsidRPr="00A46C35">
        <w:t>111-301</w:t>
      </w:r>
      <w:r w:rsidR="00454A3D">
        <w:t>)</w:t>
      </w:r>
      <w:r w:rsidRPr="00A46C35">
        <w:t xml:space="preserve"> (131</w:t>
      </w:r>
      <w:r w:rsidR="00454A3D">
        <w:t xml:space="preserve"> subjects</w:t>
      </w:r>
      <w:r w:rsidRPr="00A46C35">
        <w:t xml:space="preserve">) the incidence for </w:t>
      </w:r>
      <w:r w:rsidR="00454A3D">
        <w:t>hypersensitivity AEs</w:t>
      </w:r>
      <w:r w:rsidRPr="00A46C35">
        <w:t xml:space="preserve"> was higher in vosoritide group (16 </w:t>
      </w:r>
      <w:r w:rsidR="00454A3D">
        <w:t xml:space="preserve">subjects </w:t>
      </w:r>
      <w:r w:rsidR="009C15B1">
        <w:t>(</w:t>
      </w:r>
      <w:r w:rsidRPr="00A46C35">
        <w:t>26.7%</w:t>
      </w:r>
      <w:r w:rsidR="009C15B1">
        <w:t>)</w:t>
      </w:r>
      <w:r w:rsidRPr="00A46C35">
        <w:t xml:space="preserve"> with 81 events) compared to placebo (</w:t>
      </w:r>
      <w:r w:rsidR="00454A3D">
        <w:t>7 subjects</w:t>
      </w:r>
      <w:r w:rsidR="00454A3D" w:rsidRPr="00A46C35">
        <w:t xml:space="preserve"> </w:t>
      </w:r>
      <w:r w:rsidR="009C15B1">
        <w:t>(</w:t>
      </w:r>
      <w:r w:rsidRPr="00A46C35">
        <w:t>11.5%</w:t>
      </w:r>
      <w:r w:rsidR="009C15B1">
        <w:t>)</w:t>
      </w:r>
      <w:r w:rsidRPr="00A46C35">
        <w:t xml:space="preserve"> with 13</w:t>
      </w:r>
      <w:r w:rsidR="00454A3D">
        <w:t> </w:t>
      </w:r>
      <w:r w:rsidRPr="00A46C35">
        <w:t>events).</w:t>
      </w:r>
    </w:p>
    <w:p w14:paraId="525DBEE5" w14:textId="7E06A468" w:rsidR="00066E70" w:rsidRPr="00A46C35" w:rsidRDefault="00066E70" w:rsidP="00A46C35">
      <w:r w:rsidRPr="00A46C35">
        <w:t>It is considered reassuring that no Grade 3 or higher events were reported and no subjects experienced events meeting</w:t>
      </w:r>
      <w:r w:rsidR="009C15B1">
        <w:t xml:space="preserve"> National Institute of Allergy and Infectious Diseases/ </w:t>
      </w:r>
      <w:r w:rsidR="009C15B1" w:rsidRPr="009C15B1">
        <w:t>Food Allergy and Anaphylaxis Networ</w:t>
      </w:r>
      <w:r w:rsidR="009C15B1">
        <w:t>k</w:t>
      </w:r>
      <w:r w:rsidRPr="00A46C35">
        <w:t xml:space="preserve"> criteria for anaphylaxis.</w:t>
      </w:r>
      <w:r w:rsidR="008B4AFD">
        <w:rPr>
          <w:rStyle w:val="FootnoteReference"/>
        </w:rPr>
        <w:footnoteReference w:id="11"/>
      </w:r>
      <w:r w:rsidRPr="00A46C35">
        <w:t xml:space="preserve"> In conclusion, the risk for the target population due to </w:t>
      </w:r>
      <w:r w:rsidR="008B4AFD">
        <w:t xml:space="preserve">hypersensitivity </w:t>
      </w:r>
      <w:r w:rsidRPr="00A46C35">
        <w:t>AEs can be assessed as mild to moderate, probably also during longer treatment periods as needed.</w:t>
      </w:r>
    </w:p>
    <w:p w14:paraId="71713C7E" w14:textId="7B2EBC52" w:rsidR="00066E70" w:rsidRPr="00A46C35" w:rsidRDefault="00066E70" w:rsidP="00A46C35">
      <w:r w:rsidRPr="00A46C35">
        <w:t xml:space="preserve">No deaths occurred in the clinical trials and low rate of </w:t>
      </w:r>
      <w:r w:rsidR="009C15B1">
        <w:t xml:space="preserve">serious adverse events </w:t>
      </w:r>
      <w:r w:rsidRPr="00A46C35">
        <w:t xml:space="preserve">is reported with 10 </w:t>
      </w:r>
      <w:r w:rsidR="008B4AFD">
        <w:t>serious AEs</w:t>
      </w:r>
      <w:r w:rsidR="008B4AFD" w:rsidRPr="00A46C35">
        <w:t xml:space="preserve"> </w:t>
      </w:r>
      <w:r w:rsidRPr="00A46C35">
        <w:t xml:space="preserve">in </w:t>
      </w:r>
      <w:r w:rsidR="008B4AFD">
        <w:t>9</w:t>
      </w:r>
      <w:r w:rsidR="008B4AFD" w:rsidRPr="00A46C35">
        <w:t xml:space="preserve"> </w:t>
      </w:r>
      <w:r w:rsidRPr="00A46C35">
        <w:t xml:space="preserve">subjects across all Phase </w:t>
      </w:r>
      <w:r w:rsidR="00D87E20">
        <w:t>II</w:t>
      </w:r>
      <w:r w:rsidRPr="00A46C35">
        <w:t xml:space="preserve"> and </w:t>
      </w:r>
      <w:r w:rsidR="00D87E20">
        <w:t>III</w:t>
      </w:r>
      <w:r w:rsidRPr="00A46C35">
        <w:t xml:space="preserve"> vosoritide studies. Three </w:t>
      </w:r>
      <w:r w:rsidR="008B4AFD">
        <w:t xml:space="preserve">subjects </w:t>
      </w:r>
      <w:r w:rsidRPr="00A46C35">
        <w:t>(5%) in the pivota</w:t>
      </w:r>
      <w:r w:rsidRPr="00D87E20">
        <w:t>l RCT</w:t>
      </w:r>
      <w:r w:rsidRPr="00A46C35">
        <w:t xml:space="preserve"> </w:t>
      </w:r>
      <w:r w:rsidR="009C15B1">
        <w:t xml:space="preserve">Study </w:t>
      </w:r>
      <w:r w:rsidRPr="00A46C35">
        <w:t xml:space="preserve">111-301 experienced </w:t>
      </w:r>
      <w:r w:rsidR="009C15B1">
        <w:t>four</w:t>
      </w:r>
      <w:r w:rsidRPr="00A46C35">
        <w:t xml:space="preserve"> </w:t>
      </w:r>
      <w:r w:rsidR="008B4AFD">
        <w:t>serious AEs</w:t>
      </w:r>
      <w:r w:rsidR="008B4AFD" w:rsidRPr="00A46C35">
        <w:t xml:space="preserve"> </w:t>
      </w:r>
      <w:r w:rsidRPr="00A46C35">
        <w:t xml:space="preserve">in the </w:t>
      </w:r>
      <w:r w:rsidR="00403313">
        <w:t>v</w:t>
      </w:r>
      <w:r w:rsidRPr="00A46C35">
        <w:t xml:space="preserve">osoritide group compared with </w:t>
      </w:r>
      <w:r w:rsidR="008B4AFD">
        <w:t>4 subjects</w:t>
      </w:r>
      <w:r w:rsidR="008B4AFD" w:rsidRPr="00A46C35">
        <w:t xml:space="preserve"> </w:t>
      </w:r>
      <w:r w:rsidRPr="00A46C35">
        <w:t xml:space="preserve">(6.6%), who experienced </w:t>
      </w:r>
      <w:r w:rsidR="009C15B1">
        <w:t>five</w:t>
      </w:r>
      <w:r w:rsidRPr="00A46C35">
        <w:t xml:space="preserve"> </w:t>
      </w:r>
      <w:r w:rsidR="008B4AFD">
        <w:t>serious AEs</w:t>
      </w:r>
      <w:r w:rsidR="008B4AFD" w:rsidRPr="00A46C35">
        <w:t xml:space="preserve"> </w:t>
      </w:r>
      <w:r w:rsidRPr="00A46C35">
        <w:t xml:space="preserve">in the placebo group. None of these events was assessed as </w:t>
      </w:r>
      <w:r w:rsidR="008B4AFD">
        <w:t xml:space="preserve">being </w:t>
      </w:r>
      <w:r w:rsidRPr="00A46C35">
        <w:t>drug related.</w:t>
      </w:r>
    </w:p>
    <w:p w14:paraId="202A9DCB" w14:textId="09820ABE" w:rsidR="00066E70" w:rsidRPr="00A46C35" w:rsidRDefault="00066E70" w:rsidP="00A46C35">
      <w:r w:rsidRPr="00A46C35">
        <w:t>Similar</w:t>
      </w:r>
      <w:r w:rsidR="009C15B1">
        <w:t xml:space="preserve"> t</w:t>
      </w:r>
      <w:r w:rsidR="009C15B1" w:rsidRPr="009C15B1">
        <w:t>reatment</w:t>
      </w:r>
      <w:r w:rsidR="008B4AFD">
        <w:noBreakHyphen/>
      </w:r>
      <w:r w:rsidR="009C15B1" w:rsidRPr="009C15B1">
        <w:t>emergent adverse event</w:t>
      </w:r>
      <w:r w:rsidR="009C15B1">
        <w:t>s</w:t>
      </w:r>
      <w:r w:rsidRPr="00A46C35">
        <w:t xml:space="preserve"> and rates were observed also in the updated safety data from the ongoing </w:t>
      </w:r>
      <w:r w:rsidR="009C15B1">
        <w:t xml:space="preserve">Study </w:t>
      </w:r>
      <w:r w:rsidRPr="00A46C35">
        <w:t xml:space="preserve">111-302, particularly in the newly exposed former placebo population from </w:t>
      </w:r>
      <w:r w:rsidR="009C15B1">
        <w:t xml:space="preserve">Study </w:t>
      </w:r>
      <w:r w:rsidRPr="00A46C35">
        <w:t>111-301.</w:t>
      </w:r>
    </w:p>
    <w:p w14:paraId="1DF43D81" w14:textId="5CE2D76A" w:rsidR="00066E70" w:rsidRPr="00A46C35" w:rsidRDefault="00066E70" w:rsidP="009C15B1">
      <w:pPr>
        <w:pStyle w:val="Heading5"/>
      </w:pPr>
      <w:r w:rsidRPr="00A46C35">
        <w:lastRenderedPageBreak/>
        <w:t xml:space="preserve">Laboratory </w:t>
      </w:r>
      <w:r w:rsidR="008B4AFD">
        <w:t>findings</w:t>
      </w:r>
    </w:p>
    <w:p w14:paraId="3DE83FA7" w14:textId="727AF089" w:rsidR="00066E70" w:rsidRPr="00A46C35" w:rsidRDefault="00066E70" w:rsidP="00A46C35">
      <w:r w:rsidRPr="00A46C35">
        <w:t xml:space="preserve">With respect to the haematological parameter in the laboratory AEs, slight differences between vosoritide and placebo were noted in favour for placebo. Decreased </w:t>
      </w:r>
      <w:r w:rsidR="00DB411B">
        <w:t>white blood cell</w:t>
      </w:r>
      <w:r w:rsidRPr="00A46C35">
        <w:t xml:space="preserve"> and decreased neutrophils in a number of patients on vosoritide compared to placebo are reported. However, it is acknowledged that the majority of shifts that occurred were self</w:t>
      </w:r>
      <w:r w:rsidR="00DB411B">
        <w:t xml:space="preserve"> </w:t>
      </w:r>
      <w:r w:rsidRPr="00A46C35">
        <w:t>limiting, resolved on or before the next scheduled visit and no haematotoxicity was described in the animal studies. Therefore, these findings are considered unlikely to indicate a safety risk of vosoritide.</w:t>
      </w:r>
    </w:p>
    <w:p w14:paraId="11DEAF94" w14:textId="5B58821B" w:rsidR="00066E70" w:rsidRPr="00A46C35" w:rsidRDefault="008B4AFD" w:rsidP="00A46C35">
      <w:r>
        <w:t>In n</w:t>
      </w:r>
      <w:r w:rsidR="00066E70" w:rsidRPr="00A46C35">
        <w:t xml:space="preserve">either the pivotal </w:t>
      </w:r>
      <w:r w:rsidR="00DB411B">
        <w:t xml:space="preserve">Study </w:t>
      </w:r>
      <w:r w:rsidR="00066E70" w:rsidRPr="00A46C35">
        <w:t xml:space="preserve">111-301 nor in the pooled safety population </w:t>
      </w:r>
      <w:r>
        <w:t xml:space="preserve">were </w:t>
      </w:r>
      <w:r w:rsidR="00066E70" w:rsidRPr="00A46C35">
        <w:t>clinically meaningful changes in the mean values for the other clinical chemistry parameters over time identified with respect to</w:t>
      </w:r>
      <w:r>
        <w:t xml:space="preserve"> treatment with</w:t>
      </w:r>
      <w:r w:rsidR="00066E70" w:rsidRPr="00A46C35">
        <w:t xml:space="preserve"> vosoritide.</w:t>
      </w:r>
    </w:p>
    <w:p w14:paraId="2702864D" w14:textId="77CE1042" w:rsidR="00066E70" w:rsidRPr="00A46C35" w:rsidRDefault="00066E70" w:rsidP="00A46C35">
      <w:r w:rsidRPr="00A46C35">
        <w:t xml:space="preserve">Subgroup analyses were not performed in </w:t>
      </w:r>
      <w:r w:rsidR="00DB411B">
        <w:t xml:space="preserve">Study </w:t>
      </w:r>
      <w:r w:rsidRPr="00A46C35">
        <w:t>111-301 and only presented for the pooled safety population (</w:t>
      </w:r>
      <w:r w:rsidR="005E2844">
        <w:t>a</w:t>
      </w:r>
      <w:r w:rsidRPr="00A46C35">
        <w:t xml:space="preserve">ll </w:t>
      </w:r>
      <w:r w:rsidR="005E2844">
        <w:t>t</w:t>
      </w:r>
      <w:r w:rsidRPr="00A46C35">
        <w:t>reated pooled group). In these restricted analyses differences in a limited population of 164 patients, safety outcome regarding sex, race/ethnicity groups and geographical regions did not to indicate any reliable difference.</w:t>
      </w:r>
    </w:p>
    <w:p w14:paraId="26E70108" w14:textId="1E2535C1" w:rsidR="00066E70" w:rsidRPr="00A46C35" w:rsidRDefault="00066E70" w:rsidP="00A46C35">
      <w:r w:rsidRPr="00A46C35">
        <w:t xml:space="preserve">Safety data in subjects </w:t>
      </w:r>
      <w:r w:rsidR="008B4AFD">
        <w:t xml:space="preserve">with achondroplasia </w:t>
      </w:r>
      <w:r w:rsidRPr="00A46C35">
        <w:t xml:space="preserve">below the age of </w:t>
      </w:r>
      <w:r w:rsidR="00DB411B">
        <w:t>five</w:t>
      </w:r>
      <w:r w:rsidRPr="00A46C35">
        <w:t xml:space="preserve"> years is restricted to </w:t>
      </w:r>
      <w:r w:rsidR="008B4AFD">
        <w:t>8 </w:t>
      </w:r>
      <w:r w:rsidRPr="00A46C35">
        <w:t xml:space="preserve">patients only. The safety profile in these younger children appears similar to older children, however, no reliable conclusions can be drawn at present. Overall, in the small orphan population the reliability of subgroup analyses may be challenged in general. The use in patients </w:t>
      </w:r>
      <w:r w:rsidR="008B4AFD">
        <w:t xml:space="preserve">from </w:t>
      </w:r>
      <w:r w:rsidRPr="00A46C35">
        <w:t xml:space="preserve">2 to 5 years old is listed as missing information in the RMP. Additional data will be available from the ongoing </w:t>
      </w:r>
      <w:r w:rsidR="00DB411B">
        <w:t>Studies</w:t>
      </w:r>
      <w:r w:rsidRPr="00A46C35">
        <w:t xml:space="preserve"> 111-206</w:t>
      </w:r>
      <w:r w:rsidR="005E2844">
        <w:t xml:space="preserve"> and 111-</w:t>
      </w:r>
      <w:r w:rsidRPr="00A46C35">
        <w:t>208 in accordance with the agreed RMP.</w:t>
      </w:r>
    </w:p>
    <w:p w14:paraId="071F4735" w14:textId="6C7385E9" w:rsidR="00066E70" w:rsidRPr="00A46C35" w:rsidRDefault="00066E70" w:rsidP="009D7D49">
      <w:pPr>
        <w:pStyle w:val="Heading5"/>
      </w:pPr>
      <w:r w:rsidRPr="00A46C35">
        <w:t>Immunisation</w:t>
      </w:r>
    </w:p>
    <w:p w14:paraId="55FB71AD" w14:textId="239EF0DB" w:rsidR="00066E70" w:rsidRPr="00A46C35" w:rsidRDefault="00066E70" w:rsidP="00A46C35">
      <w:r w:rsidRPr="00A46C35">
        <w:t xml:space="preserve">Since vosoritide is a peptide, immunisation and potential </w:t>
      </w:r>
      <w:r w:rsidR="008B4AFD">
        <w:t xml:space="preserve">hypersensitivity </w:t>
      </w:r>
      <w:r w:rsidRPr="00A46C35">
        <w:t>AE</w:t>
      </w:r>
      <w:r w:rsidR="00DB411B">
        <w:t>s</w:t>
      </w:r>
      <w:r w:rsidRPr="00A46C35">
        <w:t xml:space="preserve"> are of special interest. The effect of anti-vosoritide antibodies was evaluated in the context of reported </w:t>
      </w:r>
      <w:r w:rsidR="008B4AFD">
        <w:t>injection-site reactions</w:t>
      </w:r>
      <w:r w:rsidRPr="00A46C35">
        <w:t xml:space="preserve">, </w:t>
      </w:r>
      <w:r w:rsidR="008B4AFD">
        <w:t xml:space="preserve">hypersensitivity </w:t>
      </w:r>
      <w:r w:rsidRPr="00A46C35">
        <w:t>AEs, and safety impact associated with cross-reactive antibodies. Across the study anti-drug antibodies, responses were detected in approximately 34% to 63% of subjects across studies with the incidence being 38% (59</w:t>
      </w:r>
      <w:r w:rsidR="008B4AFD">
        <w:t> </w:t>
      </w:r>
      <w:r w:rsidR="00DB411B">
        <w:t xml:space="preserve">out of </w:t>
      </w:r>
      <w:r w:rsidRPr="00A46C35">
        <w:t>156) in the</w:t>
      </w:r>
      <w:r w:rsidR="00D478F8">
        <w:t xml:space="preserve"> all t</w:t>
      </w:r>
      <w:r w:rsidRPr="00A46C35">
        <w:t xml:space="preserve">reated population. </w:t>
      </w:r>
      <w:r w:rsidR="008B4AFD">
        <w:t xml:space="preserve">Neutralising antibodies (NAbs) </w:t>
      </w:r>
      <w:r w:rsidRPr="00A46C35">
        <w:t>were detected in 2% (3</w:t>
      </w:r>
      <w:r w:rsidR="00DB411B">
        <w:t xml:space="preserve"> out of </w:t>
      </w:r>
      <w:r w:rsidRPr="00A46C35">
        <w:t xml:space="preserve">156) of </w:t>
      </w:r>
      <w:r w:rsidR="005E2844">
        <w:t>a</w:t>
      </w:r>
      <w:r w:rsidRPr="00A46C35">
        <w:t xml:space="preserve">ll </w:t>
      </w:r>
      <w:r w:rsidR="005E2844">
        <w:t>t</w:t>
      </w:r>
      <w:r w:rsidRPr="00A46C35">
        <w:t xml:space="preserve">reated subjects at a single visit after which they reverted to NAb negative status at the next time point and remained negative for all subsequent study visits. According </w:t>
      </w:r>
      <w:r w:rsidR="00DB411B">
        <w:t xml:space="preserve">to </w:t>
      </w:r>
      <w:r w:rsidRPr="00A46C35">
        <w:t xml:space="preserve">the information available the presence of </w:t>
      </w:r>
      <w:r w:rsidR="008B4AFD">
        <w:t>NAbs</w:t>
      </w:r>
      <w:r w:rsidRPr="00A46C35">
        <w:t xml:space="preserve"> in the </w:t>
      </w:r>
      <w:r w:rsidR="00DB411B">
        <w:t>three</w:t>
      </w:r>
      <w:r w:rsidRPr="00A46C35">
        <w:t xml:space="preserve"> subjects had no negative impact on the </w:t>
      </w:r>
      <w:r w:rsidR="00262D55">
        <w:t>AGV</w:t>
      </w:r>
      <w:r w:rsidRPr="00A46C35">
        <w:t xml:space="preserve"> observed. In general, it appears that the limited immunogenicity results currently available did not indicate a high risk from immunogenicity</w:t>
      </w:r>
      <w:r w:rsidR="00DB411B">
        <w:t xml:space="preserve"> </w:t>
      </w:r>
      <w:r w:rsidRPr="00A46C35">
        <w:t>caused complications.</w:t>
      </w:r>
    </w:p>
    <w:p w14:paraId="2A44E73F" w14:textId="77777777" w:rsidR="00066E70" w:rsidRPr="00A46C35" w:rsidRDefault="00066E70" w:rsidP="009D7D49">
      <w:pPr>
        <w:pStyle w:val="Heading5"/>
      </w:pPr>
      <w:r w:rsidRPr="00A46C35">
        <w:t>Discontinuation or treatment interruption due to adverse events</w:t>
      </w:r>
    </w:p>
    <w:p w14:paraId="306816DB" w14:textId="63B25CA5" w:rsidR="00066E70" w:rsidRPr="00A46C35" w:rsidRDefault="00066E70" w:rsidP="00A46C35">
      <w:r w:rsidRPr="00A46C35">
        <w:t xml:space="preserve">In the pooled safety population </w:t>
      </w:r>
      <w:r w:rsidR="00510D3C">
        <w:t>3 subjects</w:t>
      </w:r>
      <w:r w:rsidR="00510D3C" w:rsidRPr="00A46C35">
        <w:t xml:space="preserve"> </w:t>
      </w:r>
      <w:r w:rsidRPr="00A46C35">
        <w:t xml:space="preserve">(1.8%) discontinued treatment due to an AE. These do not appear to raise any important safety concerns. The proportion of subjects experiencing AEs and </w:t>
      </w:r>
      <w:r w:rsidR="00510D3C">
        <w:t xml:space="preserve">serious </w:t>
      </w:r>
      <w:r w:rsidRPr="00A46C35">
        <w:t xml:space="preserve">AEs that led to study drug interruption was balanced between the vosoritide </w:t>
      </w:r>
      <w:r w:rsidR="00510D3C">
        <w:t xml:space="preserve">group </w:t>
      </w:r>
      <w:r w:rsidRPr="00A46C35">
        <w:t>(10</w:t>
      </w:r>
      <w:r w:rsidR="00510D3C">
        <w:t xml:space="preserve"> subjects</w:t>
      </w:r>
      <w:r w:rsidRPr="00A46C35">
        <w:t xml:space="preserve"> </w:t>
      </w:r>
      <w:r w:rsidR="00DB411B">
        <w:t>(</w:t>
      </w:r>
      <w:r w:rsidRPr="00A46C35">
        <w:t>16.7%</w:t>
      </w:r>
      <w:r w:rsidR="00DB411B">
        <w:t>)</w:t>
      </w:r>
      <w:r w:rsidRPr="00A46C35">
        <w:t xml:space="preserve"> and </w:t>
      </w:r>
      <w:r w:rsidR="00510D3C">
        <w:t xml:space="preserve">3 subjects </w:t>
      </w:r>
      <w:r w:rsidR="00DB411B">
        <w:t>(</w:t>
      </w:r>
      <w:r w:rsidRPr="00A46C35">
        <w:t>3.3%</w:t>
      </w:r>
      <w:r w:rsidR="00DB411B">
        <w:t>)</w:t>
      </w:r>
      <w:r w:rsidRPr="00A46C35">
        <w:t xml:space="preserve">, respectively) and placebo </w:t>
      </w:r>
      <w:r w:rsidR="00510D3C">
        <w:t xml:space="preserve">group </w:t>
      </w:r>
      <w:r w:rsidRPr="00A46C35">
        <w:t xml:space="preserve">(10 </w:t>
      </w:r>
      <w:r w:rsidR="00510D3C">
        <w:t xml:space="preserve">subjects </w:t>
      </w:r>
      <w:r w:rsidR="00DB411B">
        <w:t>(</w:t>
      </w:r>
      <w:r w:rsidRPr="00A46C35">
        <w:t>16.4%</w:t>
      </w:r>
      <w:r w:rsidR="00DB411B">
        <w:t>)</w:t>
      </w:r>
      <w:r w:rsidRPr="00A46C35">
        <w:t xml:space="preserve"> and </w:t>
      </w:r>
      <w:r w:rsidR="00510D3C">
        <w:t>2 subjects</w:t>
      </w:r>
      <w:r w:rsidR="00510D3C" w:rsidRPr="00A46C35">
        <w:t xml:space="preserve"> </w:t>
      </w:r>
      <w:r w:rsidR="00DB411B">
        <w:t>(</w:t>
      </w:r>
      <w:r w:rsidRPr="00A46C35">
        <w:t>3.3%</w:t>
      </w:r>
      <w:r w:rsidR="00DB411B">
        <w:t>)</w:t>
      </w:r>
      <w:r w:rsidRPr="00A46C35">
        <w:t xml:space="preserve">, respectively) groups. Thus, it may be seen as an additional confirmation that </w:t>
      </w:r>
      <w:r w:rsidR="00510D3C">
        <w:t xml:space="preserve">the </w:t>
      </w:r>
      <w:r w:rsidRPr="00A46C35">
        <w:t>vosoritide</w:t>
      </w:r>
      <w:r w:rsidR="00510D3C">
        <w:t xml:space="preserve"> </w:t>
      </w:r>
      <w:r w:rsidRPr="00A46C35">
        <w:t xml:space="preserve">safety risk profile is mild and differences observed regarding the types of some </w:t>
      </w:r>
      <w:r w:rsidR="00510D3C">
        <w:t>AEs</w:t>
      </w:r>
      <w:r w:rsidRPr="00A46C35">
        <w:t xml:space="preserve"> are explained by the pharmacological effects of the product sufficiently.</w:t>
      </w:r>
    </w:p>
    <w:p w14:paraId="370EBDF4" w14:textId="2441A787" w:rsidR="00EA7D2B" w:rsidRPr="00A46C35" w:rsidRDefault="00066E70" w:rsidP="00A46C35">
      <w:r w:rsidRPr="00A46C35">
        <w:t>From the safety database all the adverse reactions reported in clinical trials have been included in the PI.</w:t>
      </w:r>
    </w:p>
    <w:p w14:paraId="713599BB" w14:textId="77777777" w:rsidR="008E7846" w:rsidRDefault="00386150" w:rsidP="007B6132">
      <w:pPr>
        <w:pStyle w:val="Heading3"/>
        <w:rPr>
          <w:lang w:eastAsia="en-AU"/>
        </w:rPr>
      </w:pPr>
      <w:bookmarkStart w:id="39" w:name="_Toc314842514"/>
      <w:bookmarkStart w:id="40" w:name="_Toc126055196"/>
      <w:r>
        <w:rPr>
          <w:lang w:eastAsia="en-AU"/>
        </w:rPr>
        <w:lastRenderedPageBreak/>
        <w:t>Risk m</w:t>
      </w:r>
      <w:r w:rsidR="008E7846">
        <w:rPr>
          <w:lang w:eastAsia="en-AU"/>
        </w:rPr>
        <w:t xml:space="preserve">anagement </w:t>
      </w:r>
      <w:r>
        <w:rPr>
          <w:lang w:eastAsia="en-AU"/>
        </w:rPr>
        <w:t>p</w:t>
      </w:r>
      <w:r w:rsidR="008E7846">
        <w:rPr>
          <w:lang w:eastAsia="en-AU"/>
        </w:rPr>
        <w:t>lan</w:t>
      </w:r>
      <w:bookmarkEnd w:id="39"/>
      <w:bookmarkEnd w:id="40"/>
    </w:p>
    <w:p w14:paraId="5413B1DD" w14:textId="5DA7C124" w:rsidR="00EB6A65" w:rsidRPr="00EB6A65" w:rsidRDefault="00EB6A65" w:rsidP="00EB6A65">
      <w:bookmarkStart w:id="41" w:name="_Toc247691531"/>
      <w:bookmarkStart w:id="42" w:name="_Toc314842515"/>
      <w:bookmarkStart w:id="43" w:name="_Toc196046505"/>
      <w:bookmarkStart w:id="44" w:name="_Toc196046949"/>
      <w:r>
        <w:t>The sponsor</w:t>
      </w:r>
      <w:r w:rsidRPr="00EB6A65">
        <w:t xml:space="preserve"> has submitted</w:t>
      </w:r>
      <w:r>
        <w:t xml:space="preserve"> European Union (EU) </w:t>
      </w:r>
      <w:r w:rsidRPr="00EB6A65">
        <w:t xml:space="preserve">RMP version 2.0 (date 21 June 2021; </w:t>
      </w:r>
      <w:r>
        <w:t>data lock point (</w:t>
      </w:r>
      <w:r w:rsidRPr="00EB6A65">
        <w:t>DLP</w:t>
      </w:r>
      <w:r>
        <w:t>)</w:t>
      </w:r>
      <w:r w:rsidRPr="00EB6A65">
        <w:t xml:space="preserve"> 20 November 2019) and </w:t>
      </w:r>
      <w:r>
        <w:t>Australia specific annex (</w:t>
      </w:r>
      <w:r w:rsidRPr="00EB6A65">
        <w:t>ASA</w:t>
      </w:r>
      <w:r>
        <w:t>)</w:t>
      </w:r>
      <w:r w:rsidRPr="00EB6A65">
        <w:t xml:space="preserve"> version </w:t>
      </w:r>
      <w:r>
        <w:t>0.1</w:t>
      </w:r>
      <w:r w:rsidRPr="00EB6A65">
        <w:t xml:space="preserve"> </w:t>
      </w:r>
      <w:r>
        <w:t>(</w:t>
      </w:r>
      <w:r w:rsidRPr="00EB6A65">
        <w:t xml:space="preserve">16 August 2021) in support of this application. At round </w:t>
      </w:r>
      <w:r>
        <w:t>two</w:t>
      </w:r>
      <w:r w:rsidRPr="00EB6A65">
        <w:t xml:space="preserve"> the sponsor submitted ASA version 0.2 (13 April 2022).</w:t>
      </w:r>
    </w:p>
    <w:p w14:paraId="2BF89EB0" w14:textId="25DE4683" w:rsidR="0074163C" w:rsidRDefault="0074163C" w:rsidP="0074163C">
      <w:r>
        <w:t xml:space="preserve">The summary of safety concerns and their associated risk monitoring and mitigation strategies are summarised in </w:t>
      </w:r>
      <w:r w:rsidR="00EB6A65">
        <w:fldChar w:fldCharType="begin"/>
      </w:r>
      <w:r w:rsidR="00EB6A65">
        <w:instrText xml:space="preserve"> REF _Ref97629131 \h </w:instrText>
      </w:r>
      <w:r w:rsidR="00EB6A65">
        <w:fldChar w:fldCharType="separate"/>
      </w:r>
      <w:r w:rsidR="00736E75">
        <w:t xml:space="preserve">Table </w:t>
      </w:r>
      <w:r w:rsidR="00736E75">
        <w:rPr>
          <w:noProof/>
        </w:rPr>
        <w:t>3</w:t>
      </w:r>
      <w:r w:rsidR="00EB6A65">
        <w:fldChar w:fldCharType="end"/>
      </w:r>
      <w:r>
        <w:t xml:space="preserve">. Further information regarding </w:t>
      </w:r>
      <w:r w:rsidR="00CC5044">
        <w:t>the TGA</w:t>
      </w:r>
      <w:r w:rsidR="00BF7063">
        <w:t>’</w:t>
      </w:r>
      <w:r w:rsidR="00CC5044">
        <w:t>s r</w:t>
      </w:r>
      <w:r>
        <w:t xml:space="preserve">isk management approach can be found in </w:t>
      </w:r>
      <w:hyperlink r:id="rId19" w:history="1">
        <w:r w:rsidRPr="0023444E">
          <w:rPr>
            <w:rStyle w:val="Hyperlink"/>
          </w:rPr>
          <w:t>risk management plans for medicines and biologicals</w:t>
        </w:r>
      </w:hyperlink>
      <w:r>
        <w:t xml:space="preserve"> and </w:t>
      </w:r>
      <w:hyperlink r:id="rId20" w:history="1">
        <w:r w:rsidRPr="0023444E">
          <w:rPr>
            <w:rStyle w:val="Hyperlink"/>
          </w:rPr>
          <w:t>the TGA's risk management approach</w:t>
        </w:r>
      </w:hyperlink>
      <w:r>
        <w:t>.</w:t>
      </w:r>
    </w:p>
    <w:p w14:paraId="7BEC8D91" w14:textId="1B135A62" w:rsidR="0074163C" w:rsidRDefault="0074163C" w:rsidP="0074163C">
      <w:pPr>
        <w:pStyle w:val="TableTitle"/>
      </w:pPr>
      <w:bookmarkStart w:id="45" w:name="_Ref97629131"/>
      <w:r>
        <w:t xml:space="preserve">Table </w:t>
      </w:r>
      <w:r w:rsidR="001C74BD">
        <w:fldChar w:fldCharType="begin"/>
      </w:r>
      <w:r w:rsidR="001C74BD">
        <w:instrText xml:space="preserve"> SEQ Table \* ARABIC </w:instrText>
      </w:r>
      <w:r w:rsidR="001C74BD">
        <w:fldChar w:fldCharType="separate"/>
      </w:r>
      <w:r w:rsidR="00736E75">
        <w:rPr>
          <w:noProof/>
        </w:rPr>
        <w:t>3</w:t>
      </w:r>
      <w:r w:rsidR="001C74BD">
        <w:rPr>
          <w:noProof/>
        </w:rPr>
        <w:fldChar w:fldCharType="end"/>
      </w:r>
      <w:bookmarkEnd w:id="45"/>
      <w:r>
        <w:t>: Summary of safety concerns</w:t>
      </w:r>
    </w:p>
    <w:tbl>
      <w:tblPr>
        <w:tblStyle w:val="TableTGAblue"/>
        <w:tblW w:w="0" w:type="auto"/>
        <w:tblLook w:val="04A0" w:firstRow="1" w:lastRow="0" w:firstColumn="1" w:lastColumn="0" w:noHBand="0" w:noVBand="1"/>
      </w:tblPr>
      <w:tblGrid>
        <w:gridCol w:w="1379"/>
        <w:gridCol w:w="2057"/>
        <w:gridCol w:w="1162"/>
        <w:gridCol w:w="1362"/>
        <w:gridCol w:w="1162"/>
        <w:gridCol w:w="1362"/>
      </w:tblGrid>
      <w:tr w:rsidR="0031552F" w:rsidRPr="00BF52F4" w14:paraId="121B6995" w14:textId="77777777" w:rsidTr="005060DF">
        <w:trPr>
          <w:cnfStyle w:val="100000000000" w:firstRow="1" w:lastRow="0" w:firstColumn="0" w:lastColumn="0" w:oddVBand="0" w:evenVBand="0" w:oddHBand="0" w:evenHBand="0" w:firstRowFirstColumn="0" w:firstRowLastColumn="0" w:lastRowFirstColumn="0" w:lastRowLastColumn="0"/>
          <w:trHeight w:val="131"/>
        </w:trPr>
        <w:tc>
          <w:tcPr>
            <w:tcW w:w="0" w:type="auto"/>
            <w:gridSpan w:val="2"/>
            <w:vMerge w:val="restart"/>
            <w:tcBorders>
              <w:right w:val="single" w:sz="4" w:space="0" w:color="auto"/>
            </w:tcBorders>
          </w:tcPr>
          <w:p w14:paraId="75EAA569" w14:textId="77777777" w:rsidR="00583C90" w:rsidRPr="00BF52F4" w:rsidRDefault="00583C90" w:rsidP="00DB0E9F">
            <w:pPr>
              <w:pStyle w:val="Tabletext"/>
              <w:rPr>
                <w:b w:val="0"/>
              </w:rPr>
            </w:pPr>
            <w:r w:rsidRPr="00BF52F4">
              <w:t>Summary of safety concerns</w:t>
            </w:r>
          </w:p>
        </w:tc>
        <w:tc>
          <w:tcPr>
            <w:tcW w:w="0" w:type="auto"/>
            <w:gridSpan w:val="2"/>
            <w:tcBorders>
              <w:left w:val="single" w:sz="4" w:space="0" w:color="auto"/>
              <w:right w:val="single" w:sz="4" w:space="0" w:color="auto"/>
            </w:tcBorders>
          </w:tcPr>
          <w:p w14:paraId="45D8A5EE" w14:textId="77777777" w:rsidR="00583C90" w:rsidRPr="00BF52F4" w:rsidRDefault="00583C90" w:rsidP="00DB0E9F">
            <w:pPr>
              <w:pStyle w:val="Tabletext"/>
              <w:rPr>
                <w:b w:val="0"/>
                <w:sz w:val="18"/>
              </w:rPr>
            </w:pPr>
            <w:r w:rsidRPr="00BF52F4">
              <w:rPr>
                <w:sz w:val="18"/>
              </w:rPr>
              <w:t>Pharmacovigilance</w:t>
            </w:r>
          </w:p>
        </w:tc>
        <w:tc>
          <w:tcPr>
            <w:tcW w:w="0" w:type="auto"/>
            <w:gridSpan w:val="2"/>
            <w:tcBorders>
              <w:left w:val="single" w:sz="4" w:space="0" w:color="auto"/>
            </w:tcBorders>
          </w:tcPr>
          <w:p w14:paraId="23626DCF" w14:textId="77777777" w:rsidR="00583C90" w:rsidRPr="00BF52F4" w:rsidRDefault="00583C90" w:rsidP="00DB0E9F">
            <w:pPr>
              <w:pStyle w:val="Tabletext"/>
              <w:rPr>
                <w:b w:val="0"/>
                <w:sz w:val="18"/>
              </w:rPr>
            </w:pPr>
            <w:r w:rsidRPr="00BF52F4">
              <w:rPr>
                <w:sz w:val="18"/>
              </w:rPr>
              <w:t>Risk Minimisation</w:t>
            </w:r>
          </w:p>
        </w:tc>
      </w:tr>
      <w:tr w:rsidR="0031552F" w:rsidRPr="00BF52F4" w14:paraId="3ADD6D74" w14:textId="77777777" w:rsidTr="005060DF">
        <w:trPr>
          <w:trHeight w:val="150"/>
        </w:trPr>
        <w:tc>
          <w:tcPr>
            <w:tcW w:w="0" w:type="auto"/>
            <w:gridSpan w:val="2"/>
            <w:vMerge/>
            <w:tcBorders>
              <w:right w:val="single" w:sz="4" w:space="0" w:color="auto"/>
            </w:tcBorders>
          </w:tcPr>
          <w:p w14:paraId="40AE2244" w14:textId="77777777" w:rsidR="00583C90" w:rsidRPr="00BF52F4" w:rsidRDefault="00583C90" w:rsidP="00DB0E9F">
            <w:pPr>
              <w:pStyle w:val="Tabletext"/>
              <w:rPr>
                <w:b/>
              </w:rPr>
            </w:pPr>
          </w:p>
        </w:tc>
        <w:tc>
          <w:tcPr>
            <w:tcW w:w="0" w:type="auto"/>
            <w:tcBorders>
              <w:left w:val="single" w:sz="4" w:space="0" w:color="auto"/>
            </w:tcBorders>
            <w:shd w:val="clear" w:color="auto" w:fill="006DA7"/>
          </w:tcPr>
          <w:p w14:paraId="736559D3" w14:textId="77777777" w:rsidR="00583C90" w:rsidRPr="0031552F" w:rsidRDefault="00583C90" w:rsidP="00DB0E9F">
            <w:pPr>
              <w:pStyle w:val="Tabletext"/>
              <w:rPr>
                <w:color w:val="FFFFFF" w:themeColor="background1"/>
                <w:sz w:val="18"/>
              </w:rPr>
            </w:pPr>
            <w:r w:rsidRPr="0031552F">
              <w:rPr>
                <w:color w:val="FFFFFF" w:themeColor="background1"/>
                <w:sz w:val="18"/>
              </w:rPr>
              <w:t>Routine</w:t>
            </w:r>
          </w:p>
        </w:tc>
        <w:tc>
          <w:tcPr>
            <w:tcW w:w="0" w:type="auto"/>
            <w:shd w:val="clear" w:color="auto" w:fill="006DA7"/>
          </w:tcPr>
          <w:p w14:paraId="1233ECAA" w14:textId="77777777" w:rsidR="00583C90" w:rsidRPr="0031552F" w:rsidRDefault="00583C90" w:rsidP="00DB0E9F">
            <w:pPr>
              <w:pStyle w:val="Tabletext"/>
              <w:rPr>
                <w:color w:val="FFFFFF" w:themeColor="background1"/>
                <w:sz w:val="18"/>
              </w:rPr>
            </w:pPr>
            <w:r w:rsidRPr="0031552F">
              <w:rPr>
                <w:color w:val="FFFFFF" w:themeColor="background1"/>
                <w:sz w:val="18"/>
              </w:rPr>
              <w:t>Additional</w:t>
            </w:r>
          </w:p>
        </w:tc>
        <w:tc>
          <w:tcPr>
            <w:tcW w:w="0" w:type="auto"/>
            <w:shd w:val="clear" w:color="auto" w:fill="006DA7"/>
          </w:tcPr>
          <w:p w14:paraId="6D0AF6B8" w14:textId="77777777" w:rsidR="00583C90" w:rsidRPr="0031552F" w:rsidRDefault="00583C90" w:rsidP="00DB0E9F">
            <w:pPr>
              <w:pStyle w:val="Tabletext"/>
              <w:rPr>
                <w:color w:val="FFFFFF" w:themeColor="background1"/>
                <w:sz w:val="18"/>
              </w:rPr>
            </w:pPr>
            <w:r w:rsidRPr="0031552F">
              <w:rPr>
                <w:color w:val="FFFFFF" w:themeColor="background1"/>
                <w:sz w:val="18"/>
              </w:rPr>
              <w:t>Routine</w:t>
            </w:r>
          </w:p>
        </w:tc>
        <w:tc>
          <w:tcPr>
            <w:tcW w:w="0" w:type="auto"/>
            <w:shd w:val="clear" w:color="auto" w:fill="006DA7"/>
          </w:tcPr>
          <w:p w14:paraId="58A7DD30" w14:textId="77777777" w:rsidR="00583C90" w:rsidRPr="0031552F" w:rsidRDefault="00583C90" w:rsidP="00DB0E9F">
            <w:pPr>
              <w:pStyle w:val="Tabletext"/>
              <w:rPr>
                <w:color w:val="FFFFFF" w:themeColor="background1"/>
                <w:sz w:val="18"/>
              </w:rPr>
            </w:pPr>
            <w:r w:rsidRPr="0031552F">
              <w:rPr>
                <w:color w:val="FFFFFF" w:themeColor="background1"/>
                <w:sz w:val="18"/>
              </w:rPr>
              <w:t>Additional</w:t>
            </w:r>
          </w:p>
        </w:tc>
      </w:tr>
      <w:tr w:rsidR="00583C90" w:rsidRPr="00BF52F4" w14:paraId="022CF666" w14:textId="77777777" w:rsidTr="00583C90">
        <w:trPr>
          <w:trHeight w:val="889"/>
        </w:trPr>
        <w:tc>
          <w:tcPr>
            <w:tcW w:w="0" w:type="auto"/>
          </w:tcPr>
          <w:p w14:paraId="5BBCCE03" w14:textId="77777777" w:rsidR="00583C90" w:rsidRPr="00BF52F4" w:rsidRDefault="00583C90" w:rsidP="0031552F">
            <w:pPr>
              <w:pStyle w:val="Tabletext"/>
              <w:ind w:left="0" w:right="0"/>
              <w:rPr>
                <w:b/>
              </w:rPr>
            </w:pPr>
            <w:r w:rsidRPr="00BF52F4">
              <w:rPr>
                <w:b/>
              </w:rPr>
              <w:t>Important identified risks</w:t>
            </w:r>
          </w:p>
        </w:tc>
        <w:tc>
          <w:tcPr>
            <w:tcW w:w="0" w:type="auto"/>
          </w:tcPr>
          <w:p w14:paraId="75381EE1" w14:textId="77777777" w:rsidR="00583C90" w:rsidRPr="00BF52F4" w:rsidRDefault="00583C90" w:rsidP="0031552F">
            <w:pPr>
              <w:pStyle w:val="Tabletext"/>
              <w:ind w:left="0" w:right="0"/>
            </w:pPr>
            <w:r>
              <w:t>None</w:t>
            </w:r>
          </w:p>
        </w:tc>
        <w:tc>
          <w:tcPr>
            <w:tcW w:w="0" w:type="auto"/>
          </w:tcPr>
          <w:p w14:paraId="05059D1F" w14:textId="77777777" w:rsidR="00583C90" w:rsidRPr="00BF52F4" w:rsidRDefault="00583C90" w:rsidP="0031552F">
            <w:pPr>
              <w:pStyle w:val="Tabletext"/>
              <w:ind w:left="0" w:right="0"/>
              <w:jc w:val="center"/>
              <w:rPr>
                <w:color w:val="00B050"/>
              </w:rPr>
            </w:pPr>
          </w:p>
        </w:tc>
        <w:tc>
          <w:tcPr>
            <w:tcW w:w="0" w:type="auto"/>
          </w:tcPr>
          <w:p w14:paraId="436959A5" w14:textId="77777777" w:rsidR="00583C90" w:rsidRPr="00BF52F4" w:rsidRDefault="00583C90" w:rsidP="0031552F">
            <w:pPr>
              <w:pStyle w:val="Tabletext"/>
              <w:ind w:left="0" w:right="0"/>
              <w:jc w:val="center"/>
              <w:rPr>
                <w:color w:val="00B050"/>
              </w:rPr>
            </w:pPr>
          </w:p>
        </w:tc>
        <w:tc>
          <w:tcPr>
            <w:tcW w:w="0" w:type="auto"/>
          </w:tcPr>
          <w:p w14:paraId="3BA0EF4D" w14:textId="77777777" w:rsidR="00583C90" w:rsidRPr="00BF52F4" w:rsidRDefault="00583C90" w:rsidP="0031552F">
            <w:pPr>
              <w:pStyle w:val="Tabletext"/>
              <w:ind w:left="0" w:right="0"/>
              <w:jc w:val="center"/>
              <w:rPr>
                <w:color w:val="00B050"/>
              </w:rPr>
            </w:pPr>
          </w:p>
        </w:tc>
        <w:tc>
          <w:tcPr>
            <w:tcW w:w="0" w:type="auto"/>
          </w:tcPr>
          <w:p w14:paraId="28092714" w14:textId="77777777" w:rsidR="00583C90" w:rsidRPr="00BF52F4" w:rsidRDefault="00583C90" w:rsidP="0031552F">
            <w:pPr>
              <w:pStyle w:val="Tabletext"/>
              <w:ind w:left="0" w:right="0"/>
              <w:jc w:val="center"/>
              <w:rPr>
                <w:color w:val="00B050"/>
              </w:rPr>
            </w:pPr>
          </w:p>
        </w:tc>
      </w:tr>
      <w:tr w:rsidR="00583C90" w:rsidRPr="00BF52F4" w14:paraId="171381FA" w14:textId="77777777" w:rsidTr="00583C90">
        <w:trPr>
          <w:trHeight w:val="889"/>
        </w:trPr>
        <w:tc>
          <w:tcPr>
            <w:tcW w:w="0" w:type="auto"/>
          </w:tcPr>
          <w:p w14:paraId="11F54926" w14:textId="77777777" w:rsidR="00583C90" w:rsidRPr="00BF52F4" w:rsidRDefault="00583C90" w:rsidP="0031552F">
            <w:pPr>
              <w:pStyle w:val="Tabletext"/>
              <w:ind w:left="0" w:right="0"/>
              <w:rPr>
                <w:b/>
              </w:rPr>
            </w:pPr>
            <w:r w:rsidRPr="00BF52F4">
              <w:rPr>
                <w:b/>
              </w:rPr>
              <w:t>Important potential risks</w:t>
            </w:r>
          </w:p>
        </w:tc>
        <w:tc>
          <w:tcPr>
            <w:tcW w:w="0" w:type="auto"/>
          </w:tcPr>
          <w:p w14:paraId="0A040316" w14:textId="77777777" w:rsidR="00583C90" w:rsidRPr="00BF52F4" w:rsidRDefault="00583C90" w:rsidP="0031552F">
            <w:pPr>
              <w:pStyle w:val="Tabletext"/>
              <w:ind w:left="0" w:right="0"/>
            </w:pPr>
            <w:r>
              <w:t>None</w:t>
            </w:r>
          </w:p>
        </w:tc>
        <w:tc>
          <w:tcPr>
            <w:tcW w:w="0" w:type="auto"/>
          </w:tcPr>
          <w:p w14:paraId="56F72A06" w14:textId="77777777" w:rsidR="00583C90" w:rsidRPr="00BF52F4" w:rsidRDefault="00583C90" w:rsidP="0031552F">
            <w:pPr>
              <w:pStyle w:val="Tabletext"/>
              <w:ind w:left="0" w:right="0"/>
              <w:jc w:val="center"/>
              <w:rPr>
                <w:color w:val="00B050"/>
              </w:rPr>
            </w:pPr>
          </w:p>
        </w:tc>
        <w:tc>
          <w:tcPr>
            <w:tcW w:w="0" w:type="auto"/>
          </w:tcPr>
          <w:p w14:paraId="63140982" w14:textId="77777777" w:rsidR="00583C90" w:rsidRPr="00BF52F4" w:rsidRDefault="00583C90" w:rsidP="0031552F">
            <w:pPr>
              <w:pStyle w:val="Tabletext"/>
              <w:ind w:left="0" w:right="0"/>
              <w:jc w:val="center"/>
              <w:rPr>
                <w:color w:val="00B050"/>
              </w:rPr>
            </w:pPr>
          </w:p>
        </w:tc>
        <w:tc>
          <w:tcPr>
            <w:tcW w:w="0" w:type="auto"/>
          </w:tcPr>
          <w:p w14:paraId="12BDBE8F" w14:textId="77777777" w:rsidR="00583C90" w:rsidRPr="00BF52F4" w:rsidRDefault="00583C90" w:rsidP="0031552F">
            <w:pPr>
              <w:pStyle w:val="Tabletext"/>
              <w:ind w:left="0" w:right="0"/>
              <w:jc w:val="center"/>
              <w:rPr>
                <w:color w:val="00B050"/>
              </w:rPr>
            </w:pPr>
          </w:p>
        </w:tc>
        <w:tc>
          <w:tcPr>
            <w:tcW w:w="0" w:type="auto"/>
          </w:tcPr>
          <w:p w14:paraId="144430DE" w14:textId="77777777" w:rsidR="00583C90" w:rsidRPr="00BF52F4" w:rsidRDefault="00583C90" w:rsidP="0031552F">
            <w:pPr>
              <w:pStyle w:val="Tabletext"/>
              <w:ind w:left="0" w:right="0"/>
              <w:jc w:val="center"/>
              <w:rPr>
                <w:color w:val="00B050"/>
              </w:rPr>
            </w:pPr>
          </w:p>
        </w:tc>
      </w:tr>
      <w:tr w:rsidR="00583C90" w:rsidRPr="00BF52F4" w14:paraId="13C9A2A8" w14:textId="77777777" w:rsidTr="00583C90">
        <w:trPr>
          <w:trHeight w:val="178"/>
        </w:trPr>
        <w:tc>
          <w:tcPr>
            <w:tcW w:w="0" w:type="auto"/>
            <w:vMerge w:val="restart"/>
          </w:tcPr>
          <w:p w14:paraId="626E18AD" w14:textId="77777777" w:rsidR="00583C90" w:rsidRPr="00BF52F4" w:rsidRDefault="00583C90" w:rsidP="0031552F">
            <w:pPr>
              <w:pStyle w:val="Tabletext"/>
              <w:ind w:left="0" w:right="0"/>
              <w:rPr>
                <w:b/>
              </w:rPr>
            </w:pPr>
            <w:r w:rsidRPr="00BF52F4">
              <w:rPr>
                <w:b/>
              </w:rPr>
              <w:t>Missing information</w:t>
            </w:r>
          </w:p>
        </w:tc>
        <w:tc>
          <w:tcPr>
            <w:tcW w:w="0" w:type="auto"/>
          </w:tcPr>
          <w:p w14:paraId="34B5A247" w14:textId="77777777" w:rsidR="00583C90" w:rsidRPr="00CF7163" w:rsidRDefault="00583C90" w:rsidP="0031552F">
            <w:pPr>
              <w:pStyle w:val="Tabletext"/>
              <w:ind w:left="0" w:right="0"/>
            </w:pPr>
            <w:r w:rsidRPr="00CF7163">
              <w:t>Long-term safety including skeletal effects as impaired function of extremities and joints and immunogenic potential</w:t>
            </w:r>
          </w:p>
        </w:tc>
        <w:tc>
          <w:tcPr>
            <w:tcW w:w="0" w:type="auto"/>
          </w:tcPr>
          <w:p w14:paraId="371F5A2E" w14:textId="77777777" w:rsidR="00583C90" w:rsidRPr="00CF7163" w:rsidRDefault="00583C90" w:rsidP="0031552F">
            <w:pPr>
              <w:pStyle w:val="Tabletext"/>
              <w:ind w:left="0" w:right="0"/>
              <w:jc w:val="center"/>
            </w:pPr>
            <w:r w:rsidRPr="00CF7163">
              <w:sym w:font="Wingdings" w:char="F0FC"/>
            </w:r>
          </w:p>
        </w:tc>
        <w:tc>
          <w:tcPr>
            <w:tcW w:w="0" w:type="auto"/>
          </w:tcPr>
          <w:p w14:paraId="48D36F20" w14:textId="77777777" w:rsidR="00583C90" w:rsidRPr="00CF7163" w:rsidRDefault="00583C90" w:rsidP="0031552F">
            <w:pPr>
              <w:pStyle w:val="Tabletext"/>
              <w:ind w:left="0" w:right="0"/>
              <w:jc w:val="center"/>
            </w:pPr>
            <w:r w:rsidRPr="00CF7163">
              <w:sym w:font="Wingdings" w:char="F0FC"/>
            </w:r>
            <w:r w:rsidRPr="00CF7163">
              <w:t>†‡</w:t>
            </w:r>
          </w:p>
        </w:tc>
        <w:tc>
          <w:tcPr>
            <w:tcW w:w="0" w:type="auto"/>
          </w:tcPr>
          <w:p w14:paraId="725B0559" w14:textId="77777777" w:rsidR="00583C90" w:rsidRPr="00CF7163" w:rsidRDefault="00583C90" w:rsidP="0031552F">
            <w:pPr>
              <w:pStyle w:val="Tabletext"/>
              <w:ind w:left="0" w:right="0"/>
              <w:jc w:val="center"/>
            </w:pPr>
            <w:r w:rsidRPr="00CF7163">
              <w:t>–</w:t>
            </w:r>
          </w:p>
        </w:tc>
        <w:tc>
          <w:tcPr>
            <w:tcW w:w="0" w:type="auto"/>
          </w:tcPr>
          <w:p w14:paraId="28E928A9" w14:textId="77777777" w:rsidR="00583C90" w:rsidRPr="00CF7163" w:rsidRDefault="00583C90" w:rsidP="0031552F">
            <w:pPr>
              <w:pStyle w:val="Tabletext"/>
              <w:ind w:left="0" w:right="0"/>
              <w:jc w:val="center"/>
            </w:pPr>
            <w:r w:rsidRPr="00CF7163">
              <w:t>–</w:t>
            </w:r>
          </w:p>
        </w:tc>
      </w:tr>
      <w:tr w:rsidR="00583C90" w:rsidRPr="00BF52F4" w14:paraId="3B3A0A66" w14:textId="77777777" w:rsidTr="00583C90">
        <w:trPr>
          <w:trHeight w:val="103"/>
        </w:trPr>
        <w:tc>
          <w:tcPr>
            <w:tcW w:w="0" w:type="auto"/>
            <w:vMerge/>
          </w:tcPr>
          <w:p w14:paraId="3971B08B" w14:textId="77777777" w:rsidR="00583C90" w:rsidRPr="00BF52F4" w:rsidRDefault="00583C90" w:rsidP="0031552F">
            <w:pPr>
              <w:pStyle w:val="Tabletext"/>
              <w:ind w:left="0" w:right="0"/>
            </w:pPr>
          </w:p>
        </w:tc>
        <w:tc>
          <w:tcPr>
            <w:tcW w:w="0" w:type="auto"/>
          </w:tcPr>
          <w:p w14:paraId="598E9019" w14:textId="77777777" w:rsidR="00583C90" w:rsidRPr="00CF7163" w:rsidRDefault="00583C90" w:rsidP="0031552F">
            <w:pPr>
              <w:pStyle w:val="Tabletext"/>
              <w:ind w:left="0" w:right="0"/>
            </w:pPr>
            <w:r w:rsidRPr="00CF7163">
              <w:t>Use in pregnancy</w:t>
            </w:r>
          </w:p>
        </w:tc>
        <w:tc>
          <w:tcPr>
            <w:tcW w:w="0" w:type="auto"/>
          </w:tcPr>
          <w:p w14:paraId="4D3AF37C" w14:textId="77777777" w:rsidR="00583C90" w:rsidRPr="00CF7163" w:rsidRDefault="00583C90" w:rsidP="0031552F">
            <w:pPr>
              <w:pStyle w:val="Tabletext"/>
              <w:ind w:left="0" w:right="0"/>
              <w:jc w:val="center"/>
            </w:pPr>
            <w:r w:rsidRPr="00CF7163">
              <w:sym w:font="Wingdings" w:char="F0FC"/>
            </w:r>
            <w:r w:rsidRPr="00CF7163">
              <w:t>*</w:t>
            </w:r>
          </w:p>
        </w:tc>
        <w:tc>
          <w:tcPr>
            <w:tcW w:w="0" w:type="auto"/>
          </w:tcPr>
          <w:p w14:paraId="699BC52B" w14:textId="77777777" w:rsidR="00583C90" w:rsidRPr="00CF7163" w:rsidRDefault="00583C90" w:rsidP="0031552F">
            <w:pPr>
              <w:pStyle w:val="Tabletext"/>
              <w:ind w:left="0" w:right="0"/>
              <w:jc w:val="center"/>
            </w:pPr>
            <w:r w:rsidRPr="00CF7163">
              <w:t>–</w:t>
            </w:r>
          </w:p>
        </w:tc>
        <w:tc>
          <w:tcPr>
            <w:tcW w:w="0" w:type="auto"/>
          </w:tcPr>
          <w:p w14:paraId="17E7FCC2" w14:textId="77777777" w:rsidR="00583C90" w:rsidRPr="00CF7163" w:rsidRDefault="00583C90" w:rsidP="0031552F">
            <w:pPr>
              <w:pStyle w:val="Tabletext"/>
              <w:ind w:left="0" w:right="0"/>
              <w:jc w:val="center"/>
            </w:pPr>
            <w:r w:rsidRPr="00CF7163">
              <w:sym w:font="Wingdings" w:char="F0FC"/>
            </w:r>
          </w:p>
        </w:tc>
        <w:tc>
          <w:tcPr>
            <w:tcW w:w="0" w:type="auto"/>
          </w:tcPr>
          <w:p w14:paraId="39D854CD" w14:textId="77777777" w:rsidR="00583C90" w:rsidRPr="00CF7163" w:rsidRDefault="00583C90" w:rsidP="0031552F">
            <w:pPr>
              <w:pStyle w:val="Tabletext"/>
              <w:ind w:left="0" w:right="0"/>
              <w:jc w:val="center"/>
            </w:pPr>
            <w:r w:rsidRPr="00CF7163">
              <w:t>–</w:t>
            </w:r>
          </w:p>
        </w:tc>
      </w:tr>
      <w:tr w:rsidR="00583C90" w:rsidRPr="00BF52F4" w14:paraId="6D6D0549" w14:textId="77777777" w:rsidTr="00583C90">
        <w:trPr>
          <w:trHeight w:val="140"/>
        </w:trPr>
        <w:tc>
          <w:tcPr>
            <w:tcW w:w="0" w:type="auto"/>
            <w:vMerge/>
          </w:tcPr>
          <w:p w14:paraId="3CADC14C" w14:textId="77777777" w:rsidR="00583C90" w:rsidRPr="00BF52F4" w:rsidRDefault="00583C90" w:rsidP="0031552F">
            <w:pPr>
              <w:pStyle w:val="Tabletext"/>
              <w:ind w:left="0" w:right="0"/>
            </w:pPr>
          </w:p>
        </w:tc>
        <w:tc>
          <w:tcPr>
            <w:tcW w:w="0" w:type="auto"/>
          </w:tcPr>
          <w:p w14:paraId="70DD5D11" w14:textId="77777777" w:rsidR="00583C90" w:rsidRPr="00CF7163" w:rsidRDefault="00583C90" w:rsidP="0031552F">
            <w:pPr>
              <w:pStyle w:val="Tabletext"/>
              <w:ind w:left="0" w:right="0"/>
            </w:pPr>
            <w:r w:rsidRPr="00CF7163">
              <w:t>Use in patients 2-5 years old</w:t>
            </w:r>
          </w:p>
        </w:tc>
        <w:tc>
          <w:tcPr>
            <w:tcW w:w="0" w:type="auto"/>
          </w:tcPr>
          <w:p w14:paraId="77485AEB" w14:textId="77777777" w:rsidR="00583C90" w:rsidRPr="00CF7163" w:rsidRDefault="00583C90" w:rsidP="0031552F">
            <w:pPr>
              <w:pStyle w:val="Tabletext"/>
              <w:ind w:left="0" w:right="0"/>
              <w:jc w:val="center"/>
            </w:pPr>
            <w:r w:rsidRPr="00CF7163">
              <w:sym w:font="Wingdings" w:char="F0FC"/>
            </w:r>
          </w:p>
        </w:tc>
        <w:tc>
          <w:tcPr>
            <w:tcW w:w="0" w:type="auto"/>
          </w:tcPr>
          <w:p w14:paraId="2DD4F26B" w14:textId="77777777" w:rsidR="00583C90" w:rsidRPr="00CF7163" w:rsidRDefault="00583C90" w:rsidP="0031552F">
            <w:pPr>
              <w:pStyle w:val="Tabletext"/>
              <w:ind w:left="0" w:right="0"/>
              <w:jc w:val="center"/>
            </w:pPr>
            <w:r w:rsidRPr="00CF7163">
              <w:sym w:font="Wingdings" w:char="F0FC"/>
            </w:r>
            <w:r w:rsidRPr="00CF7163">
              <w:t>†§</w:t>
            </w:r>
          </w:p>
        </w:tc>
        <w:tc>
          <w:tcPr>
            <w:tcW w:w="0" w:type="auto"/>
          </w:tcPr>
          <w:p w14:paraId="5D64AEE3" w14:textId="77777777" w:rsidR="00583C90" w:rsidRPr="00CF7163" w:rsidRDefault="00583C90" w:rsidP="0031552F">
            <w:pPr>
              <w:pStyle w:val="Tabletext"/>
              <w:ind w:left="0" w:right="0"/>
              <w:jc w:val="center"/>
            </w:pPr>
            <w:r w:rsidRPr="00CF7163">
              <w:sym w:font="Wingdings" w:char="F0FC"/>
            </w:r>
          </w:p>
        </w:tc>
        <w:tc>
          <w:tcPr>
            <w:tcW w:w="0" w:type="auto"/>
          </w:tcPr>
          <w:p w14:paraId="7A962742" w14:textId="77777777" w:rsidR="00583C90" w:rsidRPr="00CF7163" w:rsidRDefault="00583C90" w:rsidP="0031552F">
            <w:pPr>
              <w:pStyle w:val="Tabletext"/>
              <w:ind w:left="0" w:right="0"/>
              <w:jc w:val="center"/>
            </w:pPr>
            <w:r w:rsidRPr="00CF7163">
              <w:t>–</w:t>
            </w:r>
          </w:p>
        </w:tc>
      </w:tr>
    </w:tbl>
    <w:p w14:paraId="6B78570A" w14:textId="77777777" w:rsidR="00EB6A65" w:rsidRPr="00956FEE" w:rsidRDefault="00EB6A65" w:rsidP="009D7D49">
      <w:pPr>
        <w:pStyle w:val="TableDescription"/>
      </w:pPr>
      <w:r w:rsidRPr="00956FEE">
        <w:t>* Targeted follow up questionnaire</w:t>
      </w:r>
    </w:p>
    <w:p w14:paraId="02B016CB" w14:textId="553CCB68" w:rsidR="00EB6A65" w:rsidRPr="0086767E" w:rsidRDefault="00EB6A65" w:rsidP="009D7D49">
      <w:pPr>
        <w:pStyle w:val="TableDescription"/>
      </w:pPr>
      <w:r w:rsidRPr="00956FEE">
        <w:t xml:space="preserve">† Clinical </w:t>
      </w:r>
      <w:r w:rsidR="00BF7B53" w:rsidRPr="00956FEE">
        <w:t>S</w:t>
      </w:r>
      <w:r w:rsidRPr="00B13A0C">
        <w:t xml:space="preserve">tudy 111-208 and planned </w:t>
      </w:r>
      <w:r w:rsidR="002D1401" w:rsidRPr="00B13A0C">
        <w:t>post authorisation safety study (PASS)</w:t>
      </w:r>
      <w:r w:rsidRPr="00B13A0C">
        <w:t xml:space="preserve"> </w:t>
      </w:r>
      <w:r w:rsidR="00BF7B53" w:rsidRPr="0086767E">
        <w:t>S</w:t>
      </w:r>
      <w:r w:rsidRPr="0086767E">
        <w:t>tudy 111-603</w:t>
      </w:r>
    </w:p>
    <w:p w14:paraId="38671C79" w14:textId="51A3D2B9" w:rsidR="00EB6A65" w:rsidRPr="00510D3C" w:rsidRDefault="00EB6A65" w:rsidP="009D7D49">
      <w:pPr>
        <w:pStyle w:val="TableDescription"/>
      </w:pPr>
      <w:r w:rsidRPr="0086767E">
        <w:t xml:space="preserve">‡ Clinical </w:t>
      </w:r>
      <w:r w:rsidR="00BF7B53" w:rsidRPr="00510D3C">
        <w:t>S</w:t>
      </w:r>
      <w:r w:rsidRPr="00510D3C">
        <w:t xml:space="preserve">tudy 111-205 and </w:t>
      </w:r>
      <w:r w:rsidR="00BF7B53" w:rsidRPr="00510D3C">
        <w:t xml:space="preserve">Study </w:t>
      </w:r>
      <w:r w:rsidRPr="00510D3C">
        <w:t>111-302</w:t>
      </w:r>
    </w:p>
    <w:p w14:paraId="4EB81034" w14:textId="38A10306" w:rsidR="00EB6A65" w:rsidRPr="00510D3C" w:rsidRDefault="00EB6A65" w:rsidP="009D7D49">
      <w:pPr>
        <w:pStyle w:val="TableDescription"/>
      </w:pPr>
      <w:r w:rsidRPr="00510D3C">
        <w:t xml:space="preserve">§ Clinical </w:t>
      </w:r>
      <w:r w:rsidR="00BF7B53" w:rsidRPr="00510D3C">
        <w:t>S</w:t>
      </w:r>
      <w:r w:rsidRPr="00510D3C">
        <w:t>tudy 111-206</w:t>
      </w:r>
    </w:p>
    <w:p w14:paraId="41BA7A92" w14:textId="2124DD29" w:rsidR="00BF7B53" w:rsidRPr="00BF7B53" w:rsidRDefault="00BF7B53" w:rsidP="00BF7B53">
      <w:r w:rsidRPr="00BF7B53">
        <w:t>The summary of safety concerns in the ASA aligns with the EU-RMP and is acceptable.</w:t>
      </w:r>
    </w:p>
    <w:p w14:paraId="29FD1C17" w14:textId="7CCF008A" w:rsidR="00BF7B53" w:rsidRPr="00BF7B53" w:rsidRDefault="00BF7B53" w:rsidP="00BF7B53">
      <w:r w:rsidRPr="00BF7B53">
        <w:t>The sponsor has proposed routine pharmacovigilance for all safety concerns. A targeted follow up questionnaire is included for the missing information ‘use in pregnancy’.</w:t>
      </w:r>
      <w:r w:rsidR="00D41320">
        <w:t xml:space="preserve"> </w:t>
      </w:r>
      <w:r w:rsidR="005E2844">
        <w:t>At second round of RMP evaluation, t</w:t>
      </w:r>
      <w:r w:rsidRPr="00BF7B53">
        <w:t>he sponsor has committed to including a field to record Aboriginal and Torres Strait Islander ethnicity. All of the additional pharmacovigilance studies included in the EU-RMP have been included in the ASA. The pharmacovigilance plan is acceptable.</w:t>
      </w:r>
    </w:p>
    <w:p w14:paraId="2A263A50" w14:textId="698CE93F" w:rsidR="00BF7B53" w:rsidRDefault="00BF7B53" w:rsidP="00BF7B53">
      <w:r w:rsidRPr="00BF7B53">
        <w:t>Routine risk minimisation is proposed for the missing information ‘use in pregnancy’ and ‘use in patients 2</w:t>
      </w:r>
      <w:r>
        <w:t xml:space="preserve"> to </w:t>
      </w:r>
      <w:r w:rsidRPr="00BF7B53">
        <w:t xml:space="preserve">5 years old’. This aligns with the EU-RMP. Additional risk minimisation is not proposed in the EU-RMP or ASA. The </w:t>
      </w:r>
      <w:r w:rsidR="005E2844">
        <w:t>C</w:t>
      </w:r>
      <w:r w:rsidR="00262D55">
        <w:t xml:space="preserve">onsumer </w:t>
      </w:r>
      <w:r w:rsidR="005E2844">
        <w:t>M</w:t>
      </w:r>
      <w:r w:rsidR="00262D55">
        <w:t xml:space="preserve">edicine </w:t>
      </w:r>
      <w:r w:rsidR="005E2844">
        <w:t>I</w:t>
      </w:r>
      <w:r w:rsidR="00262D55">
        <w:t>nformation (</w:t>
      </w:r>
      <w:r w:rsidRPr="00BF7B53">
        <w:t>CMI</w:t>
      </w:r>
      <w:r w:rsidR="00262D55">
        <w:t>)</w:t>
      </w:r>
      <w:r w:rsidRPr="00BF7B53">
        <w:t xml:space="preserve"> includes instructions for reconstitution and subcutaneous injection. </w:t>
      </w:r>
      <w:r w:rsidR="005E2844">
        <w:t>At second round of RMP evaluation, t</w:t>
      </w:r>
      <w:r>
        <w:t>he</w:t>
      </w:r>
      <w:r w:rsidRPr="00BF7B53">
        <w:t xml:space="preserve"> sponsor confirms inclusion of the CMI document in the product </w:t>
      </w:r>
      <w:r w:rsidRPr="00BF7B53">
        <w:lastRenderedPageBreak/>
        <w:t>packaging. The risk minimisation plan in the ASA aligns with the EU-RMP and is acceptable.</w:t>
      </w:r>
    </w:p>
    <w:p w14:paraId="47C1F2D2" w14:textId="5A314BCB" w:rsidR="005E2844" w:rsidRDefault="005E2844" w:rsidP="00BF7B53">
      <w:r>
        <w:t>There</w:t>
      </w:r>
      <w:r w:rsidRPr="00EB6A65">
        <w:t xml:space="preserve"> are no new or outstanding recommendations.</w:t>
      </w:r>
    </w:p>
    <w:p w14:paraId="3DE12D4A" w14:textId="2545E592" w:rsidR="00510D3C" w:rsidRPr="00956FEE" w:rsidRDefault="004523A2" w:rsidP="009D7D49">
      <w:pPr>
        <w:pStyle w:val="Heading4"/>
      </w:pPr>
      <w:r w:rsidRPr="004523A2">
        <w:t>Wording for conditions of registratio</w:t>
      </w:r>
      <w:r w:rsidR="00510D3C">
        <w:t>n</w:t>
      </w:r>
    </w:p>
    <w:p w14:paraId="15DC28EB" w14:textId="77777777" w:rsidR="004523A2" w:rsidRPr="004523A2" w:rsidRDefault="004523A2" w:rsidP="004523A2">
      <w:r w:rsidRPr="004523A2">
        <w:t xml:space="preserve">Any changes to which the sponsor has agreed should be included in a revised RMP and ASA. However, irrespective of whether or not they are included in the currently available version of the RMP document, the agreed changes become part of the risk management system. </w:t>
      </w:r>
    </w:p>
    <w:p w14:paraId="3A1A8222" w14:textId="0584DA59" w:rsidR="004523A2" w:rsidRPr="004523A2" w:rsidRDefault="004523A2" w:rsidP="004523A2">
      <w:r w:rsidRPr="004523A2">
        <w:t>The</w:t>
      </w:r>
      <w:r w:rsidR="00510D3C">
        <w:t xml:space="preserve"> wording suggested by the RMP evaluation is as follows</w:t>
      </w:r>
      <w:r w:rsidRPr="004523A2">
        <w:t xml:space="preserve">: </w:t>
      </w:r>
    </w:p>
    <w:p w14:paraId="25FF2620" w14:textId="32E9CB32" w:rsidR="004523A2" w:rsidRPr="004523A2" w:rsidRDefault="004523A2" w:rsidP="004523A2">
      <w:pPr>
        <w:ind w:left="720"/>
      </w:pPr>
      <w:r>
        <w:t>‘</w:t>
      </w:r>
      <w:r w:rsidRPr="004523A2">
        <w:t>The Voxzogo EU-Risk Management Plan (RMP) (version 2.0, dated 21 June 2021, data lock point 20 November 2019), with Australian Specific Annex (version 0.2, dated 13 April 2022), included with submission PM-2021-04759-1-5, and any subsequent revisions, to be revised to the satisfaction of the TGA, will be implemented in Australia.</w:t>
      </w:r>
      <w:r>
        <w:t>’</w:t>
      </w:r>
    </w:p>
    <w:p w14:paraId="48664FF3" w14:textId="77777777" w:rsidR="004523A2" w:rsidRPr="004523A2" w:rsidRDefault="004523A2" w:rsidP="004523A2">
      <w:r w:rsidRPr="004523A2">
        <w:t>The following wording is recommended for the PSUR requirement:</w:t>
      </w:r>
    </w:p>
    <w:p w14:paraId="1815EB35" w14:textId="22C3A436" w:rsidR="004523A2" w:rsidRPr="004523A2" w:rsidRDefault="004523A2" w:rsidP="004523A2">
      <w:pPr>
        <w:ind w:left="720"/>
      </w:pPr>
      <w:r>
        <w:t>‘</w:t>
      </w:r>
      <w:r w:rsidRPr="004523A2">
        <w:t>An obligatory component of risk management plans is routine pharmacovigilance. Routine pharmacovigilance includes the submission of periodic safety update reports (PSURs).</w:t>
      </w:r>
    </w:p>
    <w:p w14:paraId="1BED0023" w14:textId="5461A503" w:rsidR="004523A2" w:rsidRPr="004523A2" w:rsidRDefault="004523A2" w:rsidP="004523A2">
      <w:pPr>
        <w:ind w:left="720"/>
      </w:pPr>
      <w:r w:rsidRPr="004523A2">
        <w:t>Reports are to be provided in line with the current published list of EU reference dates and frequency of submission of PSURs until the period covered by such reports is not less than three years from the date of t</w:t>
      </w:r>
      <w:r w:rsidR="006D2064">
        <w:t>his</w:t>
      </w:r>
      <w:r w:rsidRPr="004523A2">
        <w:t xml:space="preserve"> approval letter. </w:t>
      </w:r>
    </w:p>
    <w:p w14:paraId="6E2AF4D0" w14:textId="455736BD" w:rsidR="004523A2" w:rsidRPr="004523A2" w:rsidRDefault="004523A2" w:rsidP="004523A2">
      <w:pPr>
        <w:ind w:left="720"/>
      </w:pPr>
      <w:r w:rsidRPr="004523A2">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r>
        <w:t>’</w:t>
      </w:r>
    </w:p>
    <w:p w14:paraId="00FEAEF3" w14:textId="77777777" w:rsidR="004523A2" w:rsidRPr="004523A2" w:rsidRDefault="004523A2" w:rsidP="004523A2">
      <w:r w:rsidRPr="004523A2">
        <w:t>As Voxzogo is a new biological entity it should be included in the Black Triangle Scheme as a condition of registration. The following wording is recommended for the condition of registration:</w:t>
      </w:r>
    </w:p>
    <w:p w14:paraId="3035960B" w14:textId="4A6DCE21" w:rsidR="004523A2" w:rsidRPr="004523A2" w:rsidRDefault="004523A2" w:rsidP="004523A2">
      <w:pPr>
        <w:ind w:left="720"/>
      </w:pPr>
      <w:r>
        <w:t>‘</w:t>
      </w:r>
      <w:r w:rsidRPr="004523A2">
        <w:t>Voxzogo (vosoritide) is to be included in the Black Triangle Scheme. The PI and CMI for Voxzogo must include the black triangle symbol and mandatory accompanying text for five years, which starts from the date that the sponsor notifies the TGA of supply of the product.</w:t>
      </w:r>
      <w:r>
        <w:t>’</w:t>
      </w:r>
    </w:p>
    <w:p w14:paraId="28C5CC64" w14:textId="77777777" w:rsidR="008E7846" w:rsidRDefault="00AA0ED0" w:rsidP="008E7846">
      <w:pPr>
        <w:pStyle w:val="Heading3"/>
      </w:pPr>
      <w:bookmarkStart w:id="46" w:name="_Toc126055197"/>
      <w:r>
        <w:t>Risk-benefit a</w:t>
      </w:r>
      <w:r w:rsidR="008E7846">
        <w:t>nalysis</w:t>
      </w:r>
      <w:bookmarkEnd w:id="41"/>
      <w:bookmarkEnd w:id="42"/>
      <w:bookmarkEnd w:id="46"/>
    </w:p>
    <w:p w14:paraId="473ED22D" w14:textId="77777777" w:rsidR="0074163C" w:rsidRDefault="0074163C" w:rsidP="0074163C">
      <w:pPr>
        <w:pStyle w:val="Heading4"/>
      </w:pPr>
      <w:bookmarkStart w:id="47" w:name="_Toc98931932"/>
      <w:r>
        <w:t>Delegate’s considerations</w:t>
      </w:r>
      <w:bookmarkEnd w:id="47"/>
    </w:p>
    <w:p w14:paraId="7C63ADE0" w14:textId="77777777" w:rsidR="00BF7B53" w:rsidRPr="00BF7B53" w:rsidRDefault="00BF7B53" w:rsidP="00BF7B53">
      <w:pPr>
        <w:pStyle w:val="Heading5"/>
      </w:pPr>
      <w:r w:rsidRPr="00BF7B53">
        <w:t>Quality</w:t>
      </w:r>
    </w:p>
    <w:p w14:paraId="4E244A2F" w14:textId="5DDCF3B2" w:rsidR="00BF7B53" w:rsidRDefault="00BF7B53" w:rsidP="00BF7B53">
      <w:r w:rsidRPr="00BF7B53">
        <w:t xml:space="preserve">There are no outstanding </w:t>
      </w:r>
      <w:r w:rsidR="00CC261A">
        <w:t>q</w:t>
      </w:r>
      <w:r w:rsidRPr="00BF7B53">
        <w:t>uality issues.</w:t>
      </w:r>
    </w:p>
    <w:p w14:paraId="3E78EA13" w14:textId="0D95B7C7" w:rsidR="00BF7B53" w:rsidRPr="00BF7B53" w:rsidRDefault="00BF7B53" w:rsidP="00EB3F72">
      <w:pPr>
        <w:pStyle w:val="Heading5"/>
      </w:pPr>
      <w:r w:rsidRPr="00BF7B53">
        <w:t>Efficacy</w:t>
      </w:r>
    </w:p>
    <w:p w14:paraId="3FB8C261" w14:textId="54B946AC" w:rsidR="00BF7B53" w:rsidRPr="00BF7B53" w:rsidRDefault="00BF7B53" w:rsidP="00BF7B53">
      <w:r w:rsidRPr="00BF7B53">
        <w:t>The information on vosoritide pharmacokinetics is sufficient</w:t>
      </w:r>
      <w:r w:rsidR="00510D3C">
        <w:t xml:space="preserve"> </w:t>
      </w:r>
      <w:r w:rsidR="00510D3C" w:rsidRPr="00BF7B53">
        <w:t>overall</w:t>
      </w:r>
      <w:r w:rsidRPr="00BF7B53">
        <w:t>.</w:t>
      </w:r>
    </w:p>
    <w:p w14:paraId="2E05D729" w14:textId="62D9131E" w:rsidR="00BF7B53" w:rsidRPr="00BF7B53" w:rsidRDefault="00BF7B53" w:rsidP="00BF7B53">
      <w:r w:rsidRPr="00BF7B53">
        <w:t>The strength of the clinical development program</w:t>
      </w:r>
      <w:r w:rsidR="002068D9">
        <w:t xml:space="preserve"> is adequate</w:t>
      </w:r>
      <w:r w:rsidRPr="00BF7B53">
        <w:t xml:space="preserve"> since </w:t>
      </w:r>
      <w:r w:rsidR="00510D3C">
        <w:t xml:space="preserve">achondroplasia </w:t>
      </w:r>
      <w:r w:rsidRPr="00BF7B53">
        <w:t>is a rare orphan disease</w:t>
      </w:r>
      <w:r w:rsidR="00D51F01">
        <w:t>.</w:t>
      </w:r>
      <w:r w:rsidRPr="00BF7B53">
        <w:t xml:space="preserve"> </w:t>
      </w:r>
      <w:r w:rsidR="00D51F01">
        <w:t>T</w:t>
      </w:r>
      <w:r w:rsidRPr="00BF7B53">
        <w:t xml:space="preserve">he </w:t>
      </w:r>
      <w:r w:rsidR="00EB3F72">
        <w:t>sponsor</w:t>
      </w:r>
      <w:r w:rsidRPr="00BF7B53">
        <w:t xml:space="preserve"> has performed double</w:t>
      </w:r>
      <w:r w:rsidR="004523A2">
        <w:t xml:space="preserve"> </w:t>
      </w:r>
      <w:r w:rsidRPr="00BF7B53">
        <w:t>blinded placebo controlled randomised clinical trials to define efficacy (and safety) adequately.</w:t>
      </w:r>
    </w:p>
    <w:p w14:paraId="311C0428" w14:textId="72DEEFE5" w:rsidR="00BF7B53" w:rsidRPr="00BF7B53" w:rsidRDefault="00BF7B53" w:rsidP="00BF7B53">
      <w:r w:rsidRPr="00BF7B53">
        <w:lastRenderedPageBreak/>
        <w:t xml:space="preserve">The dose finding regarding the 15 μg/kg daily dose seems to be adequately justified in children above </w:t>
      </w:r>
      <w:r w:rsidR="00EB3F72">
        <w:t xml:space="preserve">the </w:t>
      </w:r>
      <w:r w:rsidRPr="00BF7B53">
        <w:t xml:space="preserve">age of </w:t>
      </w:r>
      <w:r w:rsidR="00EB3F72">
        <w:t>two</w:t>
      </w:r>
      <w:r w:rsidRPr="00BF7B53">
        <w:t xml:space="preserve"> years. More study data will be available with the final results from the ongoing </w:t>
      </w:r>
      <w:r w:rsidR="00EB3F72">
        <w:t>S</w:t>
      </w:r>
      <w:r w:rsidRPr="00BF7B53">
        <w:t>tudy 111-206.</w:t>
      </w:r>
    </w:p>
    <w:p w14:paraId="1AD83838" w14:textId="3CBF4F8C" w:rsidR="00BF7B53" w:rsidRPr="00BF7B53" w:rsidRDefault="00BF7B53" w:rsidP="00BF7B53">
      <w:r w:rsidRPr="00BF7B53">
        <w:t xml:space="preserve">Vosoritide has been shown to be efficacious in children with </w:t>
      </w:r>
      <w:r w:rsidR="00510D3C">
        <w:t xml:space="preserve">achondroplasia </w:t>
      </w:r>
      <w:r w:rsidRPr="00BF7B53">
        <w:t xml:space="preserve">from 5 to </w:t>
      </w:r>
      <w:r w:rsidR="00EB3F72">
        <w:t xml:space="preserve">less than </w:t>
      </w:r>
      <w:r w:rsidRPr="00BF7B53">
        <w:t>18</w:t>
      </w:r>
      <w:r w:rsidR="00FC7B1D">
        <w:t> </w:t>
      </w:r>
      <w:r w:rsidRPr="00BF7B53">
        <w:t>years of age. Data from the pivotal placebo</w:t>
      </w:r>
      <w:r w:rsidR="00451434">
        <w:t xml:space="preserve"> </w:t>
      </w:r>
      <w:r w:rsidRPr="00BF7B53">
        <w:t xml:space="preserve">controlled </w:t>
      </w:r>
      <w:r w:rsidR="00EB3F72">
        <w:t>P</w:t>
      </w:r>
      <w:r w:rsidRPr="00BF7B53">
        <w:t xml:space="preserve">hase </w:t>
      </w:r>
      <w:r w:rsidR="00EB3F72">
        <w:t>III</w:t>
      </w:r>
      <w:r w:rsidRPr="00BF7B53">
        <w:t xml:space="preserve"> </w:t>
      </w:r>
      <w:r w:rsidR="00EB3F72">
        <w:t>S</w:t>
      </w:r>
      <w:r w:rsidRPr="00BF7B53">
        <w:t>tudies 111-301</w:t>
      </w:r>
      <w:r w:rsidR="00D41320">
        <w:t xml:space="preserve"> and 111-</w:t>
      </w:r>
      <w:r w:rsidRPr="00BF7B53">
        <w:t>302, together with the already available long</w:t>
      </w:r>
      <w:r w:rsidR="00B450C4">
        <w:t xml:space="preserve"> </w:t>
      </w:r>
      <w:r w:rsidRPr="00BF7B53">
        <w:t xml:space="preserve">term data in </w:t>
      </w:r>
      <w:r w:rsidR="00EB3F72">
        <w:t>S</w:t>
      </w:r>
      <w:r w:rsidRPr="00BF7B53">
        <w:t>tudies</w:t>
      </w:r>
      <w:r w:rsidR="00D41320">
        <w:t xml:space="preserve"> 111-</w:t>
      </w:r>
      <w:r w:rsidRPr="00BF7B53">
        <w:t>202</w:t>
      </w:r>
      <w:r w:rsidR="00D41320">
        <w:t xml:space="preserve"> and 111</w:t>
      </w:r>
      <w:r w:rsidR="00D41320">
        <w:noBreakHyphen/>
      </w:r>
      <w:r w:rsidRPr="00BF7B53">
        <w:t xml:space="preserve">205, demonstrate a consistent statistically significant and clinically relevant efficacy for the primary endpoint AGV. These results are supported by a consistent outcome for the key secondary endpoints </w:t>
      </w:r>
      <w:r w:rsidR="00EB3F72">
        <w:t>h</w:t>
      </w:r>
      <w:r w:rsidRPr="00BF7B53">
        <w:t>eight Z-</w:t>
      </w:r>
      <w:r w:rsidR="00CC261A">
        <w:t>s</w:t>
      </w:r>
      <w:r w:rsidRPr="00BF7B53">
        <w:t xml:space="preserve">cores as well as standing height. This is illustrated by the highly statistically significant improvement in AGV from </w:t>
      </w:r>
      <w:r w:rsidR="00B450C4">
        <w:t>B</w:t>
      </w:r>
      <w:r w:rsidRPr="00BF7B53">
        <w:t>aseline to Week 52 (</w:t>
      </w:r>
      <w:r w:rsidR="00EB3F72">
        <w:t xml:space="preserve">one </w:t>
      </w:r>
      <w:r w:rsidRPr="00BF7B53">
        <w:t>year) in favour of vosoritide with a LS mean difference of 1.57 cm</w:t>
      </w:r>
      <w:r w:rsidR="00EB3F72">
        <w:t xml:space="preserve"> per </w:t>
      </w:r>
      <w:r w:rsidRPr="00BF7B53">
        <w:t>year (95% CI</w:t>
      </w:r>
      <w:r w:rsidR="00EB3F72">
        <w:t>:</w:t>
      </w:r>
      <w:r w:rsidRPr="00BF7B53">
        <w:t xml:space="preserve"> 1.22, 1.93, two-sided p &lt;</w:t>
      </w:r>
      <w:r w:rsidR="004523A2">
        <w:t xml:space="preserve"> </w:t>
      </w:r>
      <w:r w:rsidRPr="00BF7B53">
        <w:t>0.0001). This suggests that about 75% of the normal growth in the corresponding age could be restored.</w:t>
      </w:r>
    </w:p>
    <w:p w14:paraId="73F16CF8" w14:textId="08F7E83D" w:rsidR="00BF7B53" w:rsidRPr="00BF7B53" w:rsidRDefault="00BF7B53" w:rsidP="00BF7B53">
      <w:r w:rsidRPr="00BF7B53">
        <w:t>Although lon</w:t>
      </w:r>
      <w:r w:rsidR="00510D3C">
        <w:t>g-</w:t>
      </w:r>
      <w:r w:rsidRPr="00BF7B53">
        <w:t>term data about efficacy during 4 to 5 years is currently restricted to 31</w:t>
      </w:r>
      <w:r w:rsidR="00510D3C">
        <w:t> </w:t>
      </w:r>
      <w:r w:rsidRPr="00BF7B53">
        <w:t xml:space="preserve">patients from </w:t>
      </w:r>
      <w:r w:rsidR="00EB3F72">
        <w:t>S</w:t>
      </w:r>
      <w:r w:rsidRPr="00BF7B53">
        <w:t xml:space="preserve">tudy 111-205, it seems important that the incremental gain in height over </w:t>
      </w:r>
      <w:r w:rsidR="00510D3C">
        <w:t>5</w:t>
      </w:r>
      <w:r w:rsidR="00510D3C" w:rsidRPr="00BF7B53">
        <w:t xml:space="preserve"> </w:t>
      </w:r>
      <w:r w:rsidRPr="00BF7B53">
        <w:t xml:space="preserve">years of treatment was consistent with an approximate </w:t>
      </w:r>
      <w:r w:rsidR="00EB3F72">
        <w:t xml:space="preserve">five </w:t>
      </w:r>
      <w:r w:rsidRPr="00BF7B53">
        <w:t xml:space="preserve">time multiple of the gain in height observed in the pivotal </w:t>
      </w:r>
      <w:r w:rsidR="00EB3F72">
        <w:t>S</w:t>
      </w:r>
      <w:r w:rsidRPr="00BF7B53">
        <w:t xml:space="preserve">tudy 111-301 over a </w:t>
      </w:r>
      <w:r w:rsidR="00EB3F72">
        <w:t xml:space="preserve">one </w:t>
      </w:r>
      <w:r w:rsidRPr="00BF7B53">
        <w:t>year period. This might allow concluding that the positive effect on growth with vosoritide is maintained long term.</w:t>
      </w:r>
    </w:p>
    <w:p w14:paraId="3B958669" w14:textId="5BB741AF" w:rsidR="00BF7B53" w:rsidRDefault="00BF7B53" w:rsidP="00BF7B53">
      <w:r w:rsidRPr="00BF7B53">
        <w:t xml:space="preserve">Although, 24 month data from </w:t>
      </w:r>
      <w:r w:rsidR="00EB3F72">
        <w:t>four</w:t>
      </w:r>
      <w:r w:rsidRPr="00BF7B53">
        <w:t xml:space="preserve"> (</w:t>
      </w:r>
      <w:r w:rsidR="00EB3F72">
        <w:t>eight</w:t>
      </w:r>
      <w:r w:rsidRPr="00BF7B53">
        <w:t xml:space="preserve">) sentinel subjects aged 2 to </w:t>
      </w:r>
      <w:r w:rsidR="00EB3F72">
        <w:t xml:space="preserve">less than </w:t>
      </w:r>
      <w:r w:rsidRPr="00BF7B53">
        <w:t xml:space="preserve">5 years suggest consistent improvement in growth, the placebo-controlled </w:t>
      </w:r>
      <w:r w:rsidR="00D87E20">
        <w:t>P</w:t>
      </w:r>
      <w:r w:rsidRPr="00BF7B53">
        <w:t xml:space="preserve">hase III </w:t>
      </w:r>
      <w:r w:rsidR="00EB3F72">
        <w:t>S</w:t>
      </w:r>
      <w:r w:rsidRPr="00BF7B53">
        <w:t>tudy</w:t>
      </w:r>
      <w:r w:rsidR="00D41320">
        <w:t> </w:t>
      </w:r>
      <w:r w:rsidRPr="00BF7B53">
        <w:t>111</w:t>
      </w:r>
      <w:r w:rsidR="00D41320">
        <w:noBreakHyphen/>
      </w:r>
      <w:r w:rsidRPr="00BF7B53">
        <w:t xml:space="preserve">206 (and the extension </w:t>
      </w:r>
      <w:r w:rsidR="00EB3F72">
        <w:t>S</w:t>
      </w:r>
      <w:r w:rsidRPr="00BF7B53">
        <w:t>tudy 111-208) are still ongoing and therefore no results are currently available on the randomi</w:t>
      </w:r>
      <w:r w:rsidR="00451434">
        <w:t>s</w:t>
      </w:r>
      <w:r w:rsidRPr="00BF7B53">
        <w:t xml:space="preserve">ed groups. The efficacy in this patient subgroup is further supported by extrapolation of the efficacy demonstrated in patients </w:t>
      </w:r>
      <w:r w:rsidR="00EB3F72">
        <w:t>five</w:t>
      </w:r>
      <w:r w:rsidRPr="00BF7B53">
        <w:t xml:space="preserve"> years and above since the same underlying pathophysiology applies to all age groups and vosoritide acts as a disease modifier the same way across all age groups. In addition, vosoritide pharmacology with bone-specific biomarker response has shown time course and pattern of changes in younger children consistent with changes seen in the older children treated with vosoritide. Therefore, and because early treatment is likely to maximi</w:t>
      </w:r>
      <w:r w:rsidR="00451434">
        <w:t>s</w:t>
      </w:r>
      <w:r w:rsidRPr="00BF7B53">
        <w:t>e patient benefit, it appears reasonable to include patients from the age</w:t>
      </w:r>
      <w:r w:rsidR="00510D3C">
        <w:t xml:space="preserve"> of 2</w:t>
      </w:r>
      <w:r w:rsidRPr="00BF7B53">
        <w:t xml:space="preserve"> years in the authorised indication. The final results from the ongoing </w:t>
      </w:r>
      <w:r w:rsidR="00EB3F72">
        <w:t>S</w:t>
      </w:r>
      <w:r w:rsidRPr="00BF7B53">
        <w:t>tudy 111-206 in this subgroup will provide more supporting data.</w:t>
      </w:r>
    </w:p>
    <w:p w14:paraId="32BD2C92" w14:textId="77777777" w:rsidR="00EB3F72" w:rsidRPr="00EB3F72" w:rsidRDefault="00EB3F72" w:rsidP="00EB3F72">
      <w:pPr>
        <w:pStyle w:val="Heading5"/>
      </w:pPr>
      <w:r w:rsidRPr="00EB3F72">
        <w:t>Safety</w:t>
      </w:r>
    </w:p>
    <w:p w14:paraId="1E639E3B" w14:textId="43B7F83A" w:rsidR="00EB3F72" w:rsidRPr="00EB3F72" w:rsidRDefault="00EB3F72" w:rsidP="00EB3F72">
      <w:r w:rsidRPr="00EB3F72">
        <w:t>Vosoritide has an acceptable safety profile and treatment is generally well tolerated from the available clinical development safety data. No signal for additional safety risk in human was identified during the clinical development.</w:t>
      </w:r>
    </w:p>
    <w:p w14:paraId="6EBA08F5" w14:textId="1552AA9F" w:rsidR="00EB3F72" w:rsidRPr="00EB3F72" w:rsidRDefault="00EB3F72" w:rsidP="00EB3F72">
      <w:r w:rsidRPr="00EB3F72">
        <w:t>The main adverse reactions identified during the clinical development are related to injection site reactions, blood pressure decrease, vomiting, nausea, fatigue and increased alkaline phosphatase. The available data did not indicate that the improvements in growth is associated with any detectable premature bone maturation, disproportionate skeletal growth or abnormal bone morphology. Moreover, there was no evidence suggestive of any off</w:t>
      </w:r>
      <w:r>
        <w:t xml:space="preserve"> </w:t>
      </w:r>
      <w:r w:rsidRPr="00EB3F72">
        <w:t xml:space="preserve">target effects including renal or </w:t>
      </w:r>
      <w:r>
        <w:t>central nervous system</w:t>
      </w:r>
      <w:r w:rsidRPr="00EB3F72">
        <w:t>. The limited immunogenicity results currently available did not indicate a high risk from immunogenicity</w:t>
      </w:r>
      <w:r>
        <w:t xml:space="preserve"> </w:t>
      </w:r>
      <w:r w:rsidRPr="00EB3F72">
        <w:t>caused complications.</w:t>
      </w:r>
    </w:p>
    <w:p w14:paraId="54A061C7" w14:textId="568BB5AB" w:rsidR="00EB3F72" w:rsidRPr="00EB3F72" w:rsidRDefault="00EB3F72" w:rsidP="00EB3F72">
      <w:r w:rsidRPr="00EB3F72">
        <w:t xml:space="preserve">The sponsor has applied for the treatment </w:t>
      </w:r>
      <w:r w:rsidR="00510D3C">
        <w:t xml:space="preserve">of </w:t>
      </w:r>
      <w:r w:rsidRPr="00EB3F72">
        <w:t>children</w:t>
      </w:r>
      <w:r w:rsidR="00510D3C">
        <w:t xml:space="preserve"> with achondroplasia</w:t>
      </w:r>
      <w:r w:rsidRPr="00EB3F72">
        <w:t xml:space="preserve"> above the age of </w:t>
      </w:r>
      <w:r>
        <w:t>two</w:t>
      </w:r>
      <w:r w:rsidRPr="00EB3F72">
        <w:t xml:space="preserve"> years. However, currently safety in the population of children with </w:t>
      </w:r>
      <w:r w:rsidR="00510D3C">
        <w:t xml:space="preserve">achondroplasia </w:t>
      </w:r>
      <w:r w:rsidRPr="00EB3F72">
        <w:t xml:space="preserve">in the age </w:t>
      </w:r>
      <w:r w:rsidR="00510D3C">
        <w:t xml:space="preserve">range </w:t>
      </w:r>
      <w:r w:rsidRPr="00EB3F72">
        <w:t xml:space="preserve">of between 2 to 5 years can be only assessed from </w:t>
      </w:r>
      <w:r w:rsidR="00FC7B1D">
        <w:t>four</w:t>
      </w:r>
      <w:r w:rsidRPr="00EB3F72">
        <w:t xml:space="preserve"> sentinel patients. Although exposure in the now presented updated safety report was significantly higher and the preliminary data presented seems to indicate no differences regarding the observed adverse events and safety risks from the pivotal </w:t>
      </w:r>
      <w:r w:rsidR="00FC7B1D">
        <w:t>Stud</w:t>
      </w:r>
      <w:r w:rsidR="00510D3C">
        <w:t>ies</w:t>
      </w:r>
      <w:r w:rsidR="00FC7B1D">
        <w:t xml:space="preserve"> </w:t>
      </w:r>
      <w:r w:rsidRPr="00EB3F72">
        <w:t>111-206</w:t>
      </w:r>
      <w:r w:rsidR="00D41320">
        <w:t xml:space="preserve"> and 111-</w:t>
      </w:r>
      <w:r w:rsidRPr="00EB3F72">
        <w:t>208, the data is still limited. Use in patients</w:t>
      </w:r>
      <w:r w:rsidR="00510D3C">
        <w:t xml:space="preserve"> aged from</w:t>
      </w:r>
      <w:r w:rsidRPr="00EB3F72">
        <w:t xml:space="preserve"> 2 to 5 years is listed as missing </w:t>
      </w:r>
      <w:r w:rsidRPr="00EB3F72">
        <w:lastRenderedPageBreak/>
        <w:t xml:space="preserve">information in the RMP. Additional information will be collected from the ongoing </w:t>
      </w:r>
      <w:r w:rsidR="00FC7B1D">
        <w:t>S</w:t>
      </w:r>
      <w:r w:rsidRPr="00EB3F72">
        <w:t>tudy</w:t>
      </w:r>
      <w:r w:rsidR="00510D3C">
        <w:t> </w:t>
      </w:r>
      <w:r w:rsidRPr="00EB3F72">
        <w:t xml:space="preserve">111-206 which is imposed as a condition of registration and from </w:t>
      </w:r>
      <w:r w:rsidR="00FC7B1D">
        <w:t>two</w:t>
      </w:r>
      <w:r w:rsidRPr="00EB3F72">
        <w:t xml:space="preserve"> additional </w:t>
      </w:r>
      <w:r w:rsidR="00510D3C">
        <w:t>post-marketing</w:t>
      </w:r>
      <w:r w:rsidRPr="00EB3F72">
        <w:t xml:space="preserve"> studies (ongoing long</w:t>
      </w:r>
      <w:r w:rsidR="00B450C4">
        <w:t xml:space="preserve"> </w:t>
      </w:r>
      <w:r w:rsidRPr="00EB3F72">
        <w:t xml:space="preserve">term </w:t>
      </w:r>
      <w:r w:rsidR="00FC7B1D">
        <w:t>S</w:t>
      </w:r>
      <w:r w:rsidRPr="00EB3F72">
        <w:t xml:space="preserve">tudy 111-208 and planned </w:t>
      </w:r>
      <w:r w:rsidR="002D1401">
        <w:t>p</w:t>
      </w:r>
      <w:r w:rsidR="002D1401" w:rsidRPr="002D1401">
        <w:t>ost authorisation safety study</w:t>
      </w:r>
      <w:r w:rsidRPr="00EB3F72">
        <w:t>).</w:t>
      </w:r>
    </w:p>
    <w:p w14:paraId="581F489E" w14:textId="77777777" w:rsidR="0074163C" w:rsidRDefault="0074163C" w:rsidP="0074163C">
      <w:pPr>
        <w:pStyle w:val="Heading4"/>
      </w:pPr>
      <w:bookmarkStart w:id="48" w:name="_Toc98931933"/>
      <w:r w:rsidRPr="00D23139">
        <w:t>Proposed action</w:t>
      </w:r>
      <w:bookmarkEnd w:id="48"/>
    </w:p>
    <w:p w14:paraId="66A28BCE" w14:textId="23477EBF" w:rsidR="00FC7B1D" w:rsidRDefault="00FC7B1D" w:rsidP="00FC7B1D">
      <w:r w:rsidRPr="00FC7B1D">
        <w:t>Overall, the Delegate considers that the benefit-risk balance of Voxzogo is favourable for the proposed indication</w:t>
      </w:r>
      <w:r>
        <w:t>.</w:t>
      </w:r>
    </w:p>
    <w:p w14:paraId="1A603D51" w14:textId="77777777" w:rsidR="00956FEE" w:rsidRPr="00F73346" w:rsidRDefault="00956FEE" w:rsidP="00956FEE">
      <w:pPr>
        <w:pStyle w:val="Heading4"/>
      </w:pPr>
      <w:bookmarkStart w:id="49" w:name="_Toc98931936"/>
      <w:r w:rsidRPr="00F73346">
        <w:t>Advisory Committee considerations</w:t>
      </w:r>
      <w:bookmarkEnd w:id="49"/>
    </w:p>
    <w:p w14:paraId="08D62754" w14:textId="543C19B8" w:rsidR="00956FEE" w:rsidRDefault="00956FEE" w:rsidP="00FC7B1D">
      <w:r w:rsidRPr="00C65E63">
        <w:t xml:space="preserve">The Delegate did not refer this </w:t>
      </w:r>
      <w:r>
        <w:t>submission</w:t>
      </w:r>
      <w:r w:rsidRPr="00C65E63">
        <w:t xml:space="preserve"> to the Advisory Committee on Medicines for advice.</w:t>
      </w:r>
    </w:p>
    <w:p w14:paraId="08630D97" w14:textId="77777777" w:rsidR="008E7846" w:rsidRPr="002E238E" w:rsidRDefault="008E7846" w:rsidP="00D212F3">
      <w:pPr>
        <w:pStyle w:val="Heading2"/>
      </w:pPr>
      <w:bookmarkStart w:id="50" w:name="_Toc247691532"/>
      <w:bookmarkStart w:id="51" w:name="_Toc314842516"/>
      <w:bookmarkStart w:id="52" w:name="_Toc126055198"/>
      <w:bookmarkEnd w:id="27"/>
      <w:bookmarkEnd w:id="43"/>
      <w:bookmarkEnd w:id="44"/>
      <w:r>
        <w:t>Outcome</w:t>
      </w:r>
      <w:bookmarkEnd w:id="50"/>
      <w:bookmarkEnd w:id="51"/>
      <w:bookmarkEnd w:id="52"/>
    </w:p>
    <w:p w14:paraId="0C26B531" w14:textId="65D6B80A" w:rsidR="00B13A0C" w:rsidRDefault="0074163C" w:rsidP="0074163C">
      <w:bookmarkStart w:id="53" w:name="_Toc247691533"/>
      <w:bookmarkStart w:id="54" w:name="_Toc314842517"/>
      <w:r>
        <w:t xml:space="preserve">Based on a review of quality, </w:t>
      </w:r>
      <w:r w:rsidR="00CC5044">
        <w:t>safety,</w:t>
      </w:r>
      <w:r>
        <w:t xml:space="preserve"> and efficacy, the TGA approved the registration of </w:t>
      </w:r>
      <w:r w:rsidR="00FC7B1D" w:rsidRPr="00FC7B1D">
        <w:t>Voxzogo (vosoritide)</w:t>
      </w:r>
      <w:r w:rsidR="00956FEE">
        <w:t xml:space="preserve"> 0.4 mg, 0.56 mg, a</w:t>
      </w:r>
      <w:r w:rsidR="0086767E">
        <w:t>nd 1.2 mg powder for injection (</w:t>
      </w:r>
      <w:r w:rsidR="00B13A0C">
        <w:t>vial</w:t>
      </w:r>
      <w:r w:rsidR="0086767E">
        <w:t>);</w:t>
      </w:r>
      <w:r w:rsidR="0086767E">
        <w:rPr>
          <w:rStyle w:val="FootnoteReference"/>
        </w:rPr>
        <w:footnoteReference w:id="12"/>
      </w:r>
      <w:r w:rsidR="00956FEE">
        <w:t xml:space="preserve"> </w:t>
      </w:r>
      <w:r>
        <w:t>indicated for</w:t>
      </w:r>
      <w:r w:rsidR="00FC7B1D">
        <w:t>:</w:t>
      </w:r>
    </w:p>
    <w:p w14:paraId="538D5A21" w14:textId="705BA852" w:rsidR="00B13A0C" w:rsidRPr="009D7D49" w:rsidRDefault="00FC7B1D" w:rsidP="0086767E">
      <w:pPr>
        <w:ind w:left="720"/>
        <w:rPr>
          <w:i/>
          <w:iCs/>
        </w:rPr>
      </w:pPr>
      <w:r w:rsidRPr="00FC7B1D">
        <w:rPr>
          <w:i/>
          <w:iCs/>
        </w:rPr>
        <w:t>Voxzogo is indicated for the treatment of achondroplasia in patients 2 years of age and older whose epiphyses are not closed. The diagnosis of achondroplasia should be confirmed by appropriate genetic testing</w:t>
      </w:r>
      <w:r w:rsidR="009D7D49">
        <w:rPr>
          <w:i/>
          <w:iCs/>
        </w:rPr>
        <w:t>.</w:t>
      </w:r>
    </w:p>
    <w:p w14:paraId="0A802689" w14:textId="77777777" w:rsidR="00D23139" w:rsidRPr="00D23139" w:rsidRDefault="00D23139" w:rsidP="00D212F3">
      <w:pPr>
        <w:pStyle w:val="Heading3"/>
      </w:pPr>
      <w:bookmarkStart w:id="55" w:name="_Toc126055199"/>
      <w:r w:rsidRPr="00D23139">
        <w:t>Specific conditions of registration applying to these goods</w:t>
      </w:r>
      <w:bookmarkEnd w:id="55"/>
    </w:p>
    <w:p w14:paraId="78DEDF50" w14:textId="77777777" w:rsidR="00FB4945" w:rsidRPr="00FB4945" w:rsidRDefault="00FB4945" w:rsidP="00FB4945">
      <w:pPr>
        <w:pStyle w:val="ListBullet"/>
      </w:pPr>
      <w:r w:rsidRPr="00FB4945">
        <w:t>Voxzogo (vosoritide) is to be included in the Black Triangle Scheme. The PI and CMI for Voxzogo must include the black triangle symbol and mandatory accompanying text for five years, which starts from the date that the sponsor notifies the TGA of supply of the product.</w:t>
      </w:r>
    </w:p>
    <w:p w14:paraId="07E06153" w14:textId="77777777" w:rsidR="00FB4945" w:rsidRDefault="00FB4945" w:rsidP="00FB4945">
      <w:pPr>
        <w:pStyle w:val="ListBullet"/>
      </w:pPr>
      <w:r w:rsidRPr="00FB4945">
        <w:t>The Voxzogo EU-Risk Management Plan (RMP) (version 2.0, dated 21 June 2021, data lock point 20 November 2019), with Australian Specific Annex (version 0.2, dated 13 April 2022), included with submission PM-2021-04759-1-5, and any subsequent revisions, to be revised to the satisfaction of the TGA, will be implemented in Australia.</w:t>
      </w:r>
    </w:p>
    <w:p w14:paraId="4C859CCB" w14:textId="0C49D797" w:rsidR="00FB4945" w:rsidRPr="00FB4945" w:rsidRDefault="00FB4945" w:rsidP="00D41320">
      <w:pPr>
        <w:pStyle w:val="ListBullet"/>
        <w:numPr>
          <w:ilvl w:val="0"/>
          <w:numId w:val="0"/>
        </w:numPr>
        <w:ind w:left="360"/>
      </w:pPr>
      <w:r w:rsidRPr="00FB4945">
        <w:t>An obligatory component of risk management plans is routine pharmacovigilance. Routine pharmacovigilance includes the submission of periodic safety update reports (PSURs).</w:t>
      </w:r>
    </w:p>
    <w:p w14:paraId="3CDCF568" w14:textId="1FE8329A" w:rsidR="00FB4945" w:rsidRPr="00FB4945" w:rsidRDefault="00FB4945" w:rsidP="00D41320">
      <w:pPr>
        <w:pStyle w:val="ListBullet"/>
        <w:numPr>
          <w:ilvl w:val="0"/>
          <w:numId w:val="0"/>
        </w:numPr>
        <w:ind w:left="360"/>
      </w:pPr>
      <w:r w:rsidRPr="00FB4945">
        <w:t>Reports are to be provided in line with the current published list of EU reference dates and frequency of submission of PSURs until the period covered by such reports is not less than three years from the date of th</w:t>
      </w:r>
      <w:r w:rsidR="006D2064">
        <w:t>e</w:t>
      </w:r>
      <w:r w:rsidRPr="00FB4945">
        <w:t xml:space="preserve"> approval letter.</w:t>
      </w:r>
    </w:p>
    <w:p w14:paraId="629B1212" w14:textId="63395E0E" w:rsidR="00FB4945" w:rsidRPr="00FB4945" w:rsidRDefault="00FB4945" w:rsidP="00D41320">
      <w:pPr>
        <w:pStyle w:val="ListBullet"/>
        <w:numPr>
          <w:ilvl w:val="0"/>
          <w:numId w:val="0"/>
        </w:numPr>
        <w:ind w:left="360"/>
      </w:pPr>
      <w:r w:rsidRPr="00FB4945">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15B3CBFB" w14:textId="624F2DA7" w:rsidR="00FB4945" w:rsidRPr="00FB4945" w:rsidRDefault="00FB4945" w:rsidP="00FB4945">
      <w:pPr>
        <w:pStyle w:val="ListBullet"/>
      </w:pPr>
      <w:r w:rsidRPr="00FB4945">
        <w:lastRenderedPageBreak/>
        <w:t>When available, the sponsor should submit the final results of the Study 111-206, to further evaluate and support the efficacy and safety of vosoritide in patients aged 2</w:t>
      </w:r>
      <w:r w:rsidR="00120F4C">
        <w:t xml:space="preserve"> to </w:t>
      </w:r>
      <w:r w:rsidRPr="00FB4945">
        <w:t>5 years.</w:t>
      </w:r>
    </w:p>
    <w:p w14:paraId="31C68784" w14:textId="336EFEBF" w:rsidR="00FB4945" w:rsidRPr="00FB4945" w:rsidRDefault="00FB4945" w:rsidP="00FB4945">
      <w:pPr>
        <w:pStyle w:val="ListBullet"/>
      </w:pPr>
      <w:r w:rsidRPr="00FB4945">
        <w:t>The sponsor should inform TGA of any status or PI changes (especially in patients aged 2</w:t>
      </w:r>
      <w:r w:rsidR="00120F4C">
        <w:t xml:space="preserve"> to </w:t>
      </w:r>
      <w:r w:rsidRPr="00FB4945">
        <w:t>5 years) including for the comparable overseas regulators based on Study 111-206 or from the missing information as listed in the RMP.</w:t>
      </w:r>
    </w:p>
    <w:p w14:paraId="2915ABDB" w14:textId="484364A9" w:rsidR="00FB4945" w:rsidRPr="00FB4945" w:rsidRDefault="00FB4945" w:rsidP="00FB4945">
      <w:r w:rsidRPr="00FB4945">
        <w:t>Laboratory testing &amp; compliance with Certified Product Details (CPD)</w:t>
      </w:r>
    </w:p>
    <w:p w14:paraId="536FDFDF" w14:textId="006BA40A" w:rsidR="00120F4C" w:rsidRDefault="00FB4945" w:rsidP="00120F4C">
      <w:pPr>
        <w:pStyle w:val="ListBullet"/>
      </w:pPr>
      <w:r w:rsidRPr="00FB4945">
        <w:t>All batches of V</w:t>
      </w:r>
      <w:r w:rsidR="00120F4C">
        <w:t>oxzogo</w:t>
      </w:r>
      <w:r w:rsidRPr="00FB4945">
        <w:t xml:space="preserve"> supplied in Australia must comply with the product details and specifications approved during evaluation and detailed in the Certified Product Details (CPD).</w:t>
      </w:r>
    </w:p>
    <w:p w14:paraId="0E9E7D51" w14:textId="7E270397" w:rsidR="00FB4945" w:rsidRDefault="00FB4945" w:rsidP="00D41320">
      <w:pPr>
        <w:pStyle w:val="ListBullet"/>
        <w:numPr>
          <w:ilvl w:val="0"/>
          <w:numId w:val="0"/>
        </w:numPr>
        <w:ind w:left="360"/>
      </w:pPr>
      <w:r w:rsidRPr="00FB4945">
        <w:t xml:space="preserve">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w:t>
      </w:r>
      <w:hyperlink r:id="rId21" w:history="1">
        <w:r w:rsidRPr="00B2662E">
          <w:rPr>
            <w:rStyle w:val="Hyperlink"/>
          </w:rPr>
          <w:t>http://www.tga.gov.au/ws-labs-index</w:t>
        </w:r>
      </w:hyperlink>
      <w:r>
        <w:t xml:space="preserve"> </w:t>
      </w:r>
      <w:r w:rsidRPr="00FB4945">
        <w:t>and periodically in testing reports on the TGA website.</w:t>
      </w:r>
    </w:p>
    <w:p w14:paraId="16D7F386" w14:textId="0CF0D816" w:rsidR="00FB4945" w:rsidRPr="00FB4945" w:rsidRDefault="00FB4945" w:rsidP="00FB4945">
      <w:r w:rsidRPr="00FB4945">
        <w:t>Certified Product Details</w:t>
      </w:r>
    </w:p>
    <w:p w14:paraId="5DBB6357" w14:textId="39C1C1A6" w:rsidR="00FB4945" w:rsidRPr="00FB4945" w:rsidRDefault="00FB4945" w:rsidP="00DB0E9F">
      <w:pPr>
        <w:pStyle w:val="ListBullet"/>
        <w:tabs>
          <w:tab w:val="left" w:pos="0"/>
        </w:tabs>
        <w:ind w:left="567" w:hanging="567"/>
      </w:pPr>
      <w:r w:rsidRPr="00FB4945">
        <w:t xml:space="preserve">The Certified Product Details (CPD), as described in Guidance 7: Certified Product Details of the Australian Regulatory Guidelines for Prescription Medicines (ARGPM) </w:t>
      </w:r>
      <w:hyperlink r:id="rId22" w:history="1">
        <w:r w:rsidRPr="00FB4945">
          <w:rPr>
            <w:rStyle w:val="Hyperlink"/>
          </w:rPr>
          <w:t>http://www.tga.gov.au/industry/pm-argpm-guidance-7.htm</w:t>
        </w:r>
      </w:hyperlink>
      <w:r w:rsidRPr="00FB4945">
        <w:t>,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3344D277" w14:textId="77777777" w:rsidR="008E7846" w:rsidRPr="00FC7B1D" w:rsidRDefault="00A80B5B" w:rsidP="00D23139">
      <w:pPr>
        <w:pStyle w:val="Heading2"/>
      </w:pPr>
      <w:bookmarkStart w:id="56" w:name="_Toc126055200"/>
      <w:r w:rsidRPr="00FC7B1D">
        <w:t xml:space="preserve">Attachment 1. </w:t>
      </w:r>
      <w:r w:rsidR="008E7846" w:rsidRPr="00FC7B1D">
        <w:t xml:space="preserve">Product </w:t>
      </w:r>
      <w:r w:rsidR="00AA0ED0" w:rsidRPr="00FC7B1D">
        <w:t>I</w:t>
      </w:r>
      <w:r w:rsidR="008E7846" w:rsidRPr="00FC7B1D">
        <w:t>nformation</w:t>
      </w:r>
      <w:bookmarkEnd w:id="53"/>
      <w:bookmarkEnd w:id="54"/>
      <w:bookmarkEnd w:id="56"/>
    </w:p>
    <w:p w14:paraId="724AFC37" w14:textId="6EA8DADE" w:rsidR="00523A21" w:rsidRDefault="006136D7" w:rsidP="00C80137">
      <w:r w:rsidRPr="00FC7B1D">
        <w:t xml:space="preserve">The PI for </w:t>
      </w:r>
      <w:r w:rsidR="00FC7B1D" w:rsidRPr="00FC7B1D">
        <w:t>Voxzogo</w:t>
      </w:r>
      <w:r w:rsidR="0074163C" w:rsidRPr="00FC7B1D">
        <w:t xml:space="preserve"> </w:t>
      </w:r>
      <w:r w:rsidRPr="00FC7B1D">
        <w:t>approved</w:t>
      </w:r>
      <w:r>
        <w:t xml:space="preserve"> with the submission which is described in </w:t>
      </w:r>
      <w:r w:rsidRPr="002B3624">
        <w:t>this AusPAR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23" w:history="1">
        <w:r w:rsidR="0074163C" w:rsidRPr="008A698E">
          <w:rPr>
            <w:rStyle w:val="Hyperlink"/>
          </w:rPr>
          <w:t>PI/CMI search facility</w:t>
        </w:r>
        <w:r w:rsidR="0074163C" w:rsidRPr="00EB36D6">
          <w:rPr>
            <w:rStyle w:val="Hyperlink"/>
            <w:color w:val="auto"/>
            <w:u w:val="none"/>
          </w:rPr>
          <w:t>.</w:t>
        </w:r>
      </w:hyperlink>
    </w:p>
    <w:p w14:paraId="11826342" w14:textId="0F342697" w:rsidR="00744121" w:rsidRDefault="008E7846" w:rsidP="00744121">
      <w:r w:rsidRPr="00C80137">
        <w:br w:type="page"/>
      </w:r>
    </w:p>
    <w:p w14:paraId="52268802" w14:textId="77777777" w:rsidR="00C80137" w:rsidRPr="001D043B" w:rsidRDefault="00C80137"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4E2A775B" w14:textId="77777777" w:rsidTr="00A05FA4">
        <w:trPr>
          <w:trHeight w:hRule="exact" w:val="704"/>
        </w:trPr>
        <w:tc>
          <w:tcPr>
            <w:tcW w:w="9175" w:type="dxa"/>
          </w:tcPr>
          <w:p w14:paraId="2B3C94F0" w14:textId="77777777" w:rsidR="001C32CD" w:rsidRPr="00487162" w:rsidRDefault="001C32CD" w:rsidP="00A05FA4">
            <w:pPr>
              <w:pStyle w:val="TGASignoff"/>
            </w:pPr>
            <w:r w:rsidRPr="00487162">
              <w:lastRenderedPageBreak/>
              <w:t>Therapeutic Goods Administration</w:t>
            </w:r>
          </w:p>
        </w:tc>
      </w:tr>
      <w:tr w:rsidR="001C32CD" w:rsidRPr="004C239D" w14:paraId="1EA0A44B" w14:textId="77777777" w:rsidTr="00A05FA4">
        <w:trPr>
          <w:trHeight w:val="1221"/>
        </w:trPr>
        <w:tc>
          <w:tcPr>
            <w:tcW w:w="9175" w:type="dxa"/>
            <w:tcMar>
              <w:top w:w="28" w:type="dxa"/>
            </w:tcMar>
          </w:tcPr>
          <w:p w14:paraId="4E31B26D" w14:textId="77777777" w:rsidR="001C32CD" w:rsidRPr="00487162" w:rsidRDefault="001C32CD" w:rsidP="00A05FA4">
            <w:pPr>
              <w:pStyle w:val="Address"/>
            </w:pPr>
            <w:r w:rsidRPr="00487162">
              <w:t>PO Box 100 Woden ACT 2606 Australia</w:t>
            </w:r>
          </w:p>
          <w:p w14:paraId="6396EDAA" w14:textId="5EE17041" w:rsidR="001C32CD" w:rsidRPr="00487162" w:rsidRDefault="001C32CD" w:rsidP="00A05FA4">
            <w:pPr>
              <w:pStyle w:val="Address"/>
            </w:pPr>
            <w:r w:rsidRPr="00487162">
              <w:t xml:space="preserve">Email: </w:t>
            </w:r>
            <w:hyperlink r:id="rId28" w:history="1">
              <w:r w:rsidRPr="004C239D">
                <w:rPr>
                  <w:rStyle w:val="Hyperlink"/>
                </w:rPr>
                <w:t>info@tga.gov.au</w:t>
              </w:r>
            </w:hyperlink>
            <w:r w:rsidR="00120F4C">
              <w:t xml:space="preserve"> </w:t>
            </w:r>
            <w:r w:rsidRPr="00487162">
              <w:t>Phone: 1800 020 653</w:t>
            </w:r>
            <w:r w:rsidR="00120F4C">
              <w:t xml:space="preserve"> </w:t>
            </w:r>
            <w:r w:rsidRPr="00487162">
              <w:t>Fax: 02 6232 8605</w:t>
            </w:r>
          </w:p>
          <w:p w14:paraId="30288C71" w14:textId="099C6654" w:rsidR="001C32CD" w:rsidRPr="004C239D" w:rsidRDefault="001C74BD"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13CB918A"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B73E" w14:textId="77777777" w:rsidR="001506C4" w:rsidRDefault="001506C4" w:rsidP="00C40A36">
      <w:pPr>
        <w:spacing w:after="0"/>
      </w:pPr>
      <w:r>
        <w:separator/>
      </w:r>
    </w:p>
  </w:endnote>
  <w:endnote w:type="continuationSeparator" w:id="0">
    <w:p w14:paraId="54D870DB" w14:textId="77777777" w:rsidR="001506C4" w:rsidRDefault="001506C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956FEE" w:rsidRPr="00487162" w14:paraId="5EF03080" w14:textId="77777777" w:rsidTr="00DB750B">
      <w:trPr>
        <w:trHeight w:val="269"/>
      </w:trPr>
      <w:tc>
        <w:tcPr>
          <w:tcW w:w="7371" w:type="dxa"/>
          <w:tcMar>
            <w:top w:w="142" w:type="dxa"/>
            <w:bottom w:w="0" w:type="dxa"/>
          </w:tcMar>
        </w:tcPr>
        <w:p w14:paraId="4B265767" w14:textId="31D7571C" w:rsidR="00956FEE" w:rsidRPr="00487162" w:rsidRDefault="00956FEE" w:rsidP="00460036">
          <w:pPr>
            <w:pStyle w:val="Footer"/>
          </w:pPr>
          <w:r w:rsidRPr="00487162">
            <w:t>AusPA</w:t>
          </w:r>
          <w:r>
            <w:t>R - Voxzogo -</w:t>
          </w:r>
          <w:r w:rsidRPr="00460036">
            <w:t xml:space="preserve"> </w:t>
          </w:r>
          <w:r>
            <w:t>Vosoritide</w:t>
          </w:r>
          <w:r w:rsidRPr="00460036">
            <w:t xml:space="preserve"> </w:t>
          </w:r>
          <w:r>
            <w:t xml:space="preserve">- </w:t>
          </w:r>
          <w:r w:rsidRPr="001107C3">
            <w:t>BioMarin Pharmaceutical Australia Pty Ltd</w:t>
          </w:r>
          <w:r>
            <w:t xml:space="preserve"> </w:t>
          </w:r>
          <w:r w:rsidRPr="0089651A">
            <w:t>PM-2021-04759-1-5</w:t>
          </w:r>
          <w:r>
            <w:t xml:space="preserve"> </w:t>
          </w:r>
          <w:r w:rsidR="006779FF">
            <w:t>FINAL</w:t>
          </w:r>
          <w:r w:rsidRPr="00487162">
            <w:t xml:space="preserve"> </w:t>
          </w:r>
          <w:r w:rsidR="006779FF">
            <w:t>27 January</w:t>
          </w:r>
          <w:r>
            <w:t xml:space="preserve"> 202</w:t>
          </w:r>
          <w:r w:rsidR="006779FF">
            <w:t>3</w:t>
          </w:r>
        </w:p>
      </w:tc>
      <w:tc>
        <w:tcPr>
          <w:tcW w:w="1490" w:type="dxa"/>
          <w:tcMar>
            <w:top w:w="142" w:type="dxa"/>
            <w:bottom w:w="0" w:type="dxa"/>
          </w:tcMar>
        </w:tcPr>
        <w:p w14:paraId="18F3E04A" w14:textId="57F06B33" w:rsidR="00956FEE" w:rsidRPr="00487162" w:rsidRDefault="00956FEE" w:rsidP="00DB750B">
          <w:pPr>
            <w:pStyle w:val="Footer"/>
            <w:jc w:val="right"/>
          </w:pPr>
          <w:r w:rsidRPr="00487162">
            <w:t xml:space="preserve">Page </w:t>
          </w:r>
          <w:r>
            <w:fldChar w:fldCharType="begin"/>
          </w:r>
          <w:r>
            <w:instrText xml:space="preserve"> PAGE  \* Arabic </w:instrText>
          </w:r>
          <w:r>
            <w:fldChar w:fldCharType="separate"/>
          </w:r>
          <w:r w:rsidR="0086767E">
            <w:rPr>
              <w:noProof/>
            </w:rPr>
            <w:t>9</w:t>
          </w:r>
          <w:r>
            <w:fldChar w:fldCharType="end"/>
          </w:r>
          <w:r w:rsidRPr="00487162">
            <w:t xml:space="preserve"> of </w:t>
          </w:r>
          <w:r w:rsidR="001C74BD">
            <w:fldChar w:fldCharType="begin"/>
          </w:r>
          <w:r w:rsidR="001C74BD">
            <w:instrText xml:space="preserve"> NUMPAGES  \* Arabic </w:instrText>
          </w:r>
          <w:r w:rsidR="001C74BD">
            <w:fldChar w:fldCharType="separate"/>
          </w:r>
          <w:r w:rsidR="0086767E">
            <w:rPr>
              <w:noProof/>
            </w:rPr>
            <w:t>29</w:t>
          </w:r>
          <w:r w:rsidR="001C74BD">
            <w:rPr>
              <w:noProof/>
            </w:rPr>
            <w:fldChar w:fldCharType="end"/>
          </w:r>
        </w:p>
      </w:tc>
    </w:tr>
  </w:tbl>
  <w:p w14:paraId="3F81927D" w14:textId="77777777" w:rsidR="00956FEE" w:rsidRDefault="00956FEE"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56FEE" w:rsidRPr="00487162" w14:paraId="1A394DE3" w14:textId="77777777" w:rsidTr="00E45619">
      <w:trPr>
        <w:trHeight w:val="269"/>
      </w:trPr>
      <w:tc>
        <w:tcPr>
          <w:tcW w:w="4519" w:type="dxa"/>
          <w:tcBorders>
            <w:top w:val="single" w:sz="4" w:space="0" w:color="auto"/>
          </w:tcBorders>
          <w:tcMar>
            <w:top w:w="142" w:type="dxa"/>
            <w:bottom w:w="0" w:type="dxa"/>
          </w:tcMar>
        </w:tcPr>
        <w:p w14:paraId="58E1E125" w14:textId="77777777" w:rsidR="00956FEE" w:rsidRPr="00487162" w:rsidRDefault="00956FEE" w:rsidP="00FE1DEE">
          <w:pPr>
            <w:pStyle w:val="Footer"/>
          </w:pPr>
          <w:r w:rsidRPr="00487162">
            <w:t>Document title, Part #, Section # - Section title</w:t>
          </w:r>
        </w:p>
        <w:p w14:paraId="6C873682" w14:textId="77777777" w:rsidR="00956FEE" w:rsidRPr="00487162" w:rsidRDefault="00956FEE" w:rsidP="00FE1DEE">
          <w:pPr>
            <w:pStyle w:val="Footer"/>
          </w:pPr>
          <w:r w:rsidRPr="00487162">
            <w:t>V1.0 October 2010</w:t>
          </w:r>
        </w:p>
      </w:tc>
      <w:tc>
        <w:tcPr>
          <w:tcW w:w="4342" w:type="dxa"/>
          <w:tcBorders>
            <w:top w:val="single" w:sz="4" w:space="0" w:color="auto"/>
          </w:tcBorders>
          <w:tcMar>
            <w:top w:w="142" w:type="dxa"/>
            <w:bottom w:w="0" w:type="dxa"/>
          </w:tcMar>
        </w:tcPr>
        <w:p w14:paraId="1A4312EA" w14:textId="77777777" w:rsidR="00956FEE" w:rsidRPr="00487162" w:rsidRDefault="00956FE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1C74BD">
            <w:fldChar w:fldCharType="begin"/>
          </w:r>
          <w:r w:rsidR="001C74BD">
            <w:instrText xml:space="preserve"> NUMPAGES  </w:instrText>
          </w:r>
          <w:r w:rsidR="001C74BD">
            <w:fldChar w:fldCharType="separate"/>
          </w:r>
          <w:r>
            <w:rPr>
              <w:noProof/>
            </w:rPr>
            <w:t>21</w:t>
          </w:r>
          <w:r w:rsidR="001C74BD">
            <w:rPr>
              <w:noProof/>
            </w:rPr>
            <w:fldChar w:fldCharType="end"/>
          </w:r>
        </w:p>
      </w:tc>
    </w:tr>
  </w:tbl>
  <w:p w14:paraId="236DBDC1" w14:textId="77777777" w:rsidR="00956FEE" w:rsidRDefault="00956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7A31" w14:textId="77777777" w:rsidR="00956FEE" w:rsidRPr="001C32CD" w:rsidRDefault="00956FEE"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56FEE" w14:paraId="5EB16E16" w14:textId="77777777" w:rsidTr="0010601F">
      <w:trPr>
        <w:trHeight w:val="108"/>
      </w:trPr>
      <w:tc>
        <w:tcPr>
          <w:tcW w:w="8875" w:type="dxa"/>
          <w:gridSpan w:val="2"/>
          <w:tcBorders>
            <w:bottom w:val="single" w:sz="4" w:space="0" w:color="auto"/>
          </w:tcBorders>
          <w:tcMar>
            <w:right w:w="284" w:type="dxa"/>
          </w:tcMar>
        </w:tcPr>
        <w:p w14:paraId="00469AA5" w14:textId="77777777" w:rsidR="00956FEE" w:rsidRDefault="00956FEE" w:rsidP="006E08B3">
          <w:pPr>
            <w:pStyle w:val="Heading3"/>
          </w:pPr>
          <w:r>
            <w:t>Copyright</w:t>
          </w:r>
        </w:p>
        <w:p w14:paraId="2FA7493D" w14:textId="77777777" w:rsidR="00956FEE" w:rsidRDefault="00956FEE" w:rsidP="006E08B3">
          <w:r>
            <w:rPr>
              <w:rFonts w:cs="Arial"/>
            </w:rPr>
            <w:t>©</w:t>
          </w:r>
          <w:r>
            <w:t xml:space="preserve"> Commonwealth of Australia [add year]</w:t>
          </w:r>
        </w:p>
        <w:p w14:paraId="3FB183D3" w14:textId="77777777" w:rsidR="00956FEE" w:rsidRDefault="00956FEE" w:rsidP="006E08B3"/>
        <w:p w14:paraId="181B15A3" w14:textId="77777777" w:rsidR="00956FEE" w:rsidRDefault="00956FE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6219DBD7" w14:textId="77777777" w:rsidR="00956FEE" w:rsidRDefault="00956FEE" w:rsidP="006E08B3"/>
        <w:p w14:paraId="1513A7D7" w14:textId="77777777" w:rsidR="00956FEE" w:rsidRDefault="00956FEE" w:rsidP="006E08B3">
          <w:pPr>
            <w:pStyle w:val="Heading3"/>
          </w:pPr>
          <w:r>
            <w:t>Confidentiality</w:t>
          </w:r>
        </w:p>
        <w:p w14:paraId="2E1AA9B0" w14:textId="77777777" w:rsidR="00956FEE" w:rsidRDefault="00956FE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FECA2D2" w14:textId="77777777" w:rsidR="00956FEE" w:rsidRDefault="00956FEE" w:rsidP="006E08B3"/>
        <w:p w14:paraId="442F42FB" w14:textId="77777777" w:rsidR="00956FEE" w:rsidRDefault="00956FEE" w:rsidP="006E08B3">
          <w:r>
            <w:t>For submission made by individuals, all personal details, other than your name, will be removed from your submission before it is published on the TGA’s Internet site.</w:t>
          </w:r>
        </w:p>
        <w:p w14:paraId="64297837" w14:textId="77777777" w:rsidR="00956FEE" w:rsidRDefault="00956FEE" w:rsidP="006E08B3"/>
        <w:p w14:paraId="25F5B870" w14:textId="77777777" w:rsidR="00956FEE" w:rsidRDefault="00956FEE" w:rsidP="006E08B3">
          <w:r>
            <w:t>In addition, a list of parties making submissions will be published. If you do not wish to be identified with your submission you must specifically request this in the space provided in the submission coversheet.</w:t>
          </w:r>
        </w:p>
      </w:tc>
    </w:tr>
    <w:tr w:rsidR="00956FEE" w14:paraId="479A00A9" w14:textId="77777777" w:rsidTr="0010601F">
      <w:trPr>
        <w:trHeight w:val="417"/>
      </w:trPr>
      <w:tc>
        <w:tcPr>
          <w:tcW w:w="4519" w:type="dxa"/>
          <w:tcBorders>
            <w:top w:val="single" w:sz="4" w:space="0" w:color="auto"/>
          </w:tcBorders>
          <w:tcMar>
            <w:top w:w="142" w:type="dxa"/>
            <w:bottom w:w="0" w:type="dxa"/>
          </w:tcMar>
        </w:tcPr>
        <w:p w14:paraId="57D9342F" w14:textId="77777777" w:rsidR="00956FEE" w:rsidRDefault="00956FEE" w:rsidP="006E08B3">
          <w:r>
            <w:t>Document title, Part #, Section # - Section title</w:t>
          </w:r>
        </w:p>
        <w:p w14:paraId="42B3C205" w14:textId="77777777" w:rsidR="00956FEE" w:rsidRDefault="00956FEE" w:rsidP="006E08B3">
          <w:r>
            <w:t>V1.0 October 2010</w:t>
          </w:r>
        </w:p>
      </w:tc>
      <w:tc>
        <w:tcPr>
          <w:tcW w:w="4356" w:type="dxa"/>
          <w:tcBorders>
            <w:top w:val="single" w:sz="4" w:space="0" w:color="auto"/>
          </w:tcBorders>
          <w:tcMar>
            <w:top w:w="142" w:type="dxa"/>
            <w:bottom w:w="0" w:type="dxa"/>
          </w:tcMar>
        </w:tcPr>
        <w:p w14:paraId="05271695" w14:textId="77777777" w:rsidR="00956FEE" w:rsidRDefault="00956FE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1C74BD">
            <w:fldChar w:fldCharType="begin"/>
          </w:r>
          <w:r w:rsidR="001C74BD">
            <w:instrText xml:space="preserve"> NUMPAGES  \* Arabic </w:instrText>
          </w:r>
          <w:r w:rsidR="001C74BD">
            <w:fldChar w:fldCharType="separate"/>
          </w:r>
          <w:r>
            <w:rPr>
              <w:noProof/>
            </w:rPr>
            <w:t>21</w:t>
          </w:r>
          <w:r w:rsidR="001C74BD">
            <w:rPr>
              <w:noProof/>
            </w:rPr>
            <w:fldChar w:fldCharType="end"/>
          </w:r>
          <w:r>
            <w:t xml:space="preserve">  </w:t>
          </w:r>
        </w:p>
      </w:tc>
    </w:tr>
  </w:tbl>
  <w:p w14:paraId="7A182583" w14:textId="77777777" w:rsidR="00956FEE" w:rsidRDefault="00956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56B6" w14:textId="77777777" w:rsidR="001506C4" w:rsidRDefault="001506C4" w:rsidP="00C40A36">
      <w:pPr>
        <w:spacing w:after="0"/>
      </w:pPr>
      <w:r>
        <w:separator/>
      </w:r>
    </w:p>
  </w:footnote>
  <w:footnote w:type="continuationSeparator" w:id="0">
    <w:p w14:paraId="34C3E1B7" w14:textId="77777777" w:rsidR="001506C4" w:rsidRDefault="001506C4" w:rsidP="00C40A36">
      <w:pPr>
        <w:spacing w:after="0"/>
      </w:pPr>
      <w:r>
        <w:continuationSeparator/>
      </w:r>
    </w:p>
  </w:footnote>
  <w:footnote w:id="1">
    <w:p w14:paraId="35730B92" w14:textId="6956C067" w:rsidR="00956FEE" w:rsidRDefault="00956FEE" w:rsidP="00D249B1">
      <w:pPr>
        <w:pStyle w:val="FootnoteText"/>
      </w:pPr>
      <w:r>
        <w:rPr>
          <w:rStyle w:val="FootnoteReference"/>
        </w:rPr>
        <w:footnoteRef/>
      </w:r>
      <w:r>
        <w:t xml:space="preserve"> </w:t>
      </w:r>
      <w:r w:rsidRPr="00FB1897">
        <w:rPr>
          <w:b/>
        </w:rPr>
        <w:t>Pregnancy category B1</w:t>
      </w:r>
      <w:r>
        <w:t>: Drugs which have been taken by only a limited number of pregnant women and women of childbearing age, without an increase in the frequency of malformation or other direct or indirect harmful effects on the human fetus having been observed.</w:t>
      </w:r>
    </w:p>
    <w:p w14:paraId="7A03E7C6" w14:textId="198FB037" w:rsidR="00956FEE" w:rsidRDefault="00956FEE" w:rsidP="00D249B1">
      <w:pPr>
        <w:pStyle w:val="FootnoteText"/>
      </w:pPr>
      <w:r>
        <w:t>Studies in animals have not shown evidence of an increased occurrence of fetal damage.</w:t>
      </w:r>
    </w:p>
  </w:footnote>
  <w:footnote w:id="2">
    <w:p w14:paraId="6370A864" w14:textId="3C873041" w:rsidR="00956FEE" w:rsidRDefault="00956FEE" w:rsidP="00071052">
      <w:pPr>
        <w:pStyle w:val="FootnoteText"/>
      </w:pPr>
      <w:r>
        <w:rPr>
          <w:rStyle w:val="FootnoteReference"/>
        </w:rPr>
        <w:footnoteRef/>
      </w:r>
      <w:r>
        <w:t xml:space="preserve"> </w:t>
      </w:r>
      <w:r w:rsidRPr="00FB1897">
        <w:rPr>
          <w:b/>
        </w:rPr>
        <w:t>Pregnancy category B2</w:t>
      </w:r>
      <w:r>
        <w:t>: Drugs which have been taken by only a limited number of pregnant women and women of childbearing age, without an increase in the frequency of malformation or other direct or indirect harmful effects on the human fetus having been observed.</w:t>
      </w:r>
    </w:p>
    <w:p w14:paraId="1B25D7AD" w14:textId="73F8ECA0" w:rsidR="00956FEE" w:rsidRDefault="00956FEE" w:rsidP="00071052">
      <w:pPr>
        <w:pStyle w:val="FootnoteText"/>
      </w:pPr>
      <w:r>
        <w:t>Studies in animals are inadequate or may be lacking, but available data show no evidence of an increased occurrence of fetal damage.</w:t>
      </w:r>
    </w:p>
  </w:footnote>
  <w:footnote w:id="3">
    <w:p w14:paraId="401B0533" w14:textId="160E9139" w:rsidR="00956FEE" w:rsidRDefault="00956FEE">
      <w:pPr>
        <w:pStyle w:val="FootnoteText"/>
      </w:pPr>
      <w:r>
        <w:rPr>
          <w:rStyle w:val="FootnoteReference"/>
        </w:rPr>
        <w:footnoteRef/>
      </w:r>
      <w:r>
        <w:t xml:space="preserve"> Potter, L.R. Natriuretic Peptide Metabolism, Clearance and Degradation, </w:t>
      </w:r>
      <w:r w:rsidRPr="00860F60">
        <w:rPr>
          <w:i/>
          <w:iCs/>
        </w:rPr>
        <w:t>FEBS J</w:t>
      </w:r>
      <w:r>
        <w:t>., 2011; 278 (11): 1008-1817.</w:t>
      </w:r>
    </w:p>
  </w:footnote>
  <w:footnote w:id="4">
    <w:p w14:paraId="665A3581" w14:textId="07DB06BB" w:rsidR="00956FEE" w:rsidRDefault="00956FEE">
      <w:pPr>
        <w:pStyle w:val="FootnoteText"/>
      </w:pPr>
      <w:r>
        <w:rPr>
          <w:rStyle w:val="FootnoteReference"/>
        </w:rPr>
        <w:footnoteRef/>
      </w:r>
      <w:r>
        <w:t xml:space="preserve"> Lorget. F. et al. Evaluation of the Therapeutic Potential of a CNP Analog in a </w:t>
      </w:r>
      <w:r>
        <w:rPr>
          <w:i/>
          <w:iCs/>
        </w:rPr>
        <w:t xml:space="preserve">Fgfr3 </w:t>
      </w:r>
      <w:r>
        <w:t xml:space="preserve">Mouse Model Recapitulating Achondroplasia, </w:t>
      </w:r>
      <w:r>
        <w:rPr>
          <w:i/>
          <w:iCs/>
        </w:rPr>
        <w:t>The American Journal of Human Genetics</w:t>
      </w:r>
      <w:r>
        <w:t>, 2012; 97: 1108-1114.</w:t>
      </w:r>
    </w:p>
  </w:footnote>
  <w:footnote w:id="5">
    <w:p w14:paraId="3B86B01C" w14:textId="7108A3D9" w:rsidR="00956FEE" w:rsidRDefault="00956FEE">
      <w:pPr>
        <w:pStyle w:val="FootnoteText"/>
      </w:pPr>
      <w:r>
        <w:rPr>
          <w:rStyle w:val="FootnoteReference"/>
        </w:rPr>
        <w:footnoteRef/>
      </w:r>
      <w:r>
        <w:t xml:space="preserve"> Wendt, D.J. et al. Neutral Endopeptidase-Resistant C-Type Natriuretic Peptide Variant Represents a New Therapeutic Approach for Treatment of Fibroblast Growth Factor Receptor 3-Related Dwarfism, </w:t>
      </w:r>
      <w:r>
        <w:rPr>
          <w:i/>
          <w:iCs/>
        </w:rPr>
        <w:t xml:space="preserve">The Journal of Pharmacology and Experimental Therapeutics, </w:t>
      </w:r>
      <w:r>
        <w:t>2015; 353: 132-149.</w:t>
      </w:r>
    </w:p>
  </w:footnote>
  <w:footnote w:id="6">
    <w:p w14:paraId="7E670190" w14:textId="0725C94F" w:rsidR="00956FEE" w:rsidRPr="00DB7845" w:rsidRDefault="00956FEE">
      <w:pPr>
        <w:pStyle w:val="FootnoteText"/>
      </w:pPr>
      <w:r>
        <w:rPr>
          <w:rStyle w:val="FootnoteReference"/>
        </w:rPr>
        <w:footnoteRef/>
      </w:r>
      <w:r>
        <w:t xml:space="preserve"> Coghlan, R.F. et al. A degradation fragment of type X collagen is a real-time marker for bone growth velocity, </w:t>
      </w:r>
      <w:r>
        <w:rPr>
          <w:i/>
          <w:iCs/>
        </w:rPr>
        <w:t xml:space="preserve">Science Translational Medicine, </w:t>
      </w:r>
      <w:r>
        <w:t>2017; 9.</w:t>
      </w:r>
    </w:p>
  </w:footnote>
  <w:footnote w:id="7">
    <w:p w14:paraId="291B3989" w14:textId="09860759" w:rsidR="00956FEE" w:rsidRDefault="00956FEE" w:rsidP="0031552F">
      <w:pPr>
        <w:pStyle w:val="FootnoteText"/>
      </w:pPr>
      <w:r>
        <w:rPr>
          <w:rStyle w:val="FootnoteReference"/>
        </w:rPr>
        <w:footnoteRef/>
      </w:r>
      <w:r>
        <w:t xml:space="preserve"> </w:t>
      </w:r>
      <w:r w:rsidRPr="0031552F">
        <w:t xml:space="preserve">The </w:t>
      </w:r>
      <w:r w:rsidRPr="00A12EF6">
        <w:rPr>
          <w:b/>
        </w:rPr>
        <w:t>QT interval</w:t>
      </w:r>
      <w:r w:rsidRPr="0031552F">
        <w:t xml:space="preserve"> is the time from the start of the QRS wave complex to the end of the corresponding T wave. It approximates to the time taken for ventricular depolarisation and repolarisation, that is to say, the period of ventricular systole from ventricular isovolumetric contraction to isovolumetric relaxation.</w:t>
      </w:r>
    </w:p>
  </w:footnote>
  <w:footnote w:id="8">
    <w:p w14:paraId="1E58CF7C" w14:textId="78D0D542" w:rsidR="00956FEE" w:rsidRDefault="00956FEE" w:rsidP="00A92D6D">
      <w:pPr>
        <w:pStyle w:val="FootnoteText"/>
      </w:pPr>
      <w:r>
        <w:rPr>
          <w:rStyle w:val="FootnoteReference"/>
        </w:rPr>
        <w:footnoteRef/>
      </w:r>
      <w:r>
        <w:t xml:space="preserve"> The </w:t>
      </w:r>
      <w:r w:rsidRPr="00A12EF6">
        <w:rPr>
          <w:b/>
        </w:rPr>
        <w:t>Tanner stage</w:t>
      </w:r>
      <w:r>
        <w:t>, also known as sexual maturity rating (SMR), is an objective classification system used to document and track the development of a sequence of secondary sex characteristics of children during puberty. For females, Stage 1 occurs after the 8th birthday with no noticeable changes. Stage 2 occurs from ages 9 to 11 with breast ‘buds’ and pubic hair starting to form. Stage 3 occurs after the age of 12 where acne and armpit hair start to form and height increases at its fastest rate. Stage 4 occurs around age 13 when first period arrives. Stage 5 occurs around the age of 15 where reproductive organs and genitals are fully developed. For males, Stage 1 occurs after the 9th or 10th birthday with no noticeable changes. Stage 2 occurs around the age of 11 with pubic hair starting to form. Stage 3 occurs around the age of 13 where the voice begins to change and muscles get larger. Stage 4 occurs around the age of 14 where acne and armpit hair forms. Stage 5 occurs around the age of 15 when facial hair comes in.</w:t>
      </w:r>
    </w:p>
  </w:footnote>
  <w:footnote w:id="9">
    <w:p w14:paraId="39A3BA9E" w14:textId="1147B9DB" w:rsidR="00956FEE" w:rsidRPr="00A70C74" w:rsidRDefault="00956FEE">
      <w:pPr>
        <w:pStyle w:val="FootnoteText"/>
      </w:pPr>
      <w:r>
        <w:rPr>
          <w:rStyle w:val="FootnoteReference"/>
        </w:rPr>
        <w:footnoteRef/>
      </w:r>
      <w:r>
        <w:t xml:space="preserve"> Hoover-Fong, J.E. et al. Age-appropriate body mass index in children with achondroplasia: interpretation in relation to indexes of height, </w:t>
      </w:r>
      <w:r>
        <w:rPr>
          <w:i/>
          <w:iCs/>
        </w:rPr>
        <w:t xml:space="preserve">The American Journal of Clinical Nutrition, </w:t>
      </w:r>
      <w:r>
        <w:t>2008; 88: 364-371.</w:t>
      </w:r>
    </w:p>
  </w:footnote>
  <w:footnote w:id="10">
    <w:p w14:paraId="09D4B98D" w14:textId="53C1C4BB" w:rsidR="00956FEE" w:rsidRPr="00A6220C" w:rsidRDefault="00956FEE">
      <w:pPr>
        <w:pStyle w:val="FootnoteText"/>
      </w:pPr>
      <w:r>
        <w:rPr>
          <w:rStyle w:val="FootnoteReference"/>
        </w:rPr>
        <w:footnoteRef/>
      </w:r>
      <w:r>
        <w:t xml:space="preserve"> Kelly, A. et al. Age-Based Reference Ranges for Annual Height Velocity in US Children, </w:t>
      </w:r>
      <w:r>
        <w:rPr>
          <w:i/>
          <w:iCs/>
        </w:rPr>
        <w:t xml:space="preserve">The Journal of Clinical Endocrinology and Metabolism, </w:t>
      </w:r>
      <w:r>
        <w:t>2014; 99: 2104-2112.</w:t>
      </w:r>
    </w:p>
  </w:footnote>
  <w:footnote w:id="11">
    <w:p w14:paraId="0C8FF97A" w14:textId="21D29335" w:rsidR="00956FEE" w:rsidRPr="009D7D49" w:rsidRDefault="00956FEE">
      <w:pPr>
        <w:pStyle w:val="FootnoteText"/>
        <w:rPr>
          <w:lang w:val="en-GB"/>
        </w:rPr>
      </w:pPr>
      <w:r>
        <w:rPr>
          <w:rStyle w:val="FootnoteReference"/>
        </w:rPr>
        <w:footnoteRef/>
      </w:r>
      <w:r>
        <w:t xml:space="preserve"> Sampson H et al. </w:t>
      </w:r>
      <w:r w:rsidRPr="008B4AFD">
        <w:t>Second symposium on the definition and management of anaphylaxis: summary report–Second National Institute of Allergy and Infectious Disease/Food Allergy an</w:t>
      </w:r>
      <w:r>
        <w:t>d Anaphylaxis Network symposium; 2006.</w:t>
      </w:r>
      <w:r w:rsidRPr="008B4AFD">
        <w:t xml:space="preserve"> </w:t>
      </w:r>
      <w:r w:rsidRPr="009D7D49">
        <w:rPr>
          <w:i/>
        </w:rPr>
        <w:t>J Allergy Clin Immunol</w:t>
      </w:r>
      <w:r w:rsidRPr="008B4AFD">
        <w:t xml:space="preserve"> 117:391–397</w:t>
      </w:r>
    </w:p>
  </w:footnote>
  <w:footnote w:id="12">
    <w:p w14:paraId="7675E3F1" w14:textId="11ACFE4F" w:rsidR="0086767E" w:rsidRDefault="0086767E" w:rsidP="0086767E">
      <w:pPr>
        <w:pStyle w:val="FootnoteText"/>
      </w:pPr>
      <w:r>
        <w:rPr>
          <w:rStyle w:val="FootnoteReference"/>
        </w:rPr>
        <w:footnoteRef/>
      </w:r>
      <w:r>
        <w:t xml:space="preserve"> Each vial of vosoritide is intended to be diluted with water for injection (via supplied prefilled syringe) prior to administration to provide the following:</w:t>
      </w:r>
    </w:p>
    <w:p w14:paraId="23B69AC0" w14:textId="18BDE074" w:rsidR="0086767E" w:rsidRDefault="0086767E" w:rsidP="0086767E">
      <w:pPr>
        <w:pStyle w:val="FootnoteText"/>
      </w:pPr>
      <w:r>
        <w:t>• 0.4 mg/vial, reconstituted as 0.4 mg/0.5 mL solution, corresponding to a 0.8 mg/mL concentration;</w:t>
      </w:r>
    </w:p>
    <w:p w14:paraId="2F5B7784" w14:textId="35BAD6BF" w:rsidR="0086767E" w:rsidRDefault="0086767E" w:rsidP="0086767E">
      <w:pPr>
        <w:pStyle w:val="FootnoteText"/>
      </w:pPr>
      <w:r>
        <w:t>• 0.56 mg/vial, reconstituted as 0.56 mg/0.7 mL solution, corresponding to a 0.8 mg/mL concentration; and</w:t>
      </w:r>
    </w:p>
    <w:p w14:paraId="00C26FAE" w14:textId="7B64B740" w:rsidR="0086767E" w:rsidRPr="009D7D49" w:rsidRDefault="0086767E" w:rsidP="0086767E">
      <w:pPr>
        <w:pStyle w:val="FootnoteText"/>
        <w:rPr>
          <w:lang w:val="en-GB"/>
        </w:rPr>
      </w:pPr>
      <w:r>
        <w:t>• 1.2 mg/vial reconstituted as 1.2 mg/0.6 mL solution, corresponding to a 2 mg/mL concentration.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FBA0" w14:textId="77777777" w:rsidR="00956FEE" w:rsidRDefault="00956FEE"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A007" w14:textId="77777777" w:rsidR="00956FEE" w:rsidRDefault="00956FEE">
    <w:pPr>
      <w:rPr>
        <w:noProof/>
        <w:lang w:eastAsia="en-AU"/>
      </w:rPr>
    </w:pPr>
    <w:r w:rsidRPr="00347824">
      <w:rPr>
        <w:noProof/>
        <w:lang w:val="en-GB" w:eastAsia="en-GB"/>
      </w:rPr>
      <w:drawing>
        <wp:anchor distT="0" distB="0" distL="114300" distR="114300" simplePos="0" relativeHeight="251659264" behindDoc="1" locked="0" layoutInCell="1" allowOverlap="1" wp14:anchorId="60BF98C2" wp14:editId="31542391">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6EB9" w14:textId="77777777" w:rsidR="00956FEE" w:rsidRDefault="00956F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8C79" w14:textId="77777777" w:rsidR="00956FEE" w:rsidRDefault="00956FEE">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49E7" w14:textId="77777777" w:rsidR="00956FEE" w:rsidRDefault="00956FE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2267" w14:textId="77777777" w:rsidR="00956FEE" w:rsidRDefault="00956F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968D" w14:textId="77777777" w:rsidR="00956FEE" w:rsidRDefault="00956FEE"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DE32" w14:textId="77777777" w:rsidR="00956FEE" w:rsidRDefault="00956FEE" w:rsidP="006E08B3">
    <w:r>
      <w:t>Therapeutic Goods Administration</w:t>
    </w:r>
  </w:p>
  <w:p w14:paraId="07AC4785" w14:textId="12334F32" w:rsidR="00956FEE" w:rsidRDefault="00956FEE"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E79CFE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9B15D7"/>
    <w:multiLevelType w:val="hybridMultilevel"/>
    <w:tmpl w:val="C4FC8BC4"/>
    <w:lvl w:ilvl="0" w:tplc="6F2444C6">
      <w:start w:val="1"/>
      <w:numFmt w:val="bullet"/>
      <w:pStyle w:val="Bulletpoint"/>
      <w:lvlText w:val=""/>
      <w:lvlJc w:val="left"/>
      <w:pPr>
        <w:tabs>
          <w:tab w:val="num" w:pos="369"/>
        </w:tabs>
        <w:ind w:left="369" w:hanging="227"/>
      </w:pPr>
      <w:rPr>
        <w:rFonts w:ascii="Symbol" w:hAnsi="Symbol" w:hint="default"/>
        <w:color w:val="auto"/>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7381F4D"/>
    <w:multiLevelType w:val="hybridMultilevel"/>
    <w:tmpl w:val="6AB4E120"/>
    <w:lvl w:ilvl="0" w:tplc="4BC8A140">
      <w:start w:val="1"/>
      <w:numFmt w:val="decimal"/>
      <w:pStyle w:val="ListNumb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3"/>
  </w:num>
  <w:num w:numId="29">
    <w:abstractNumId w:val="6"/>
  </w:num>
  <w:num w:numId="30">
    <w:abstractNumId w:val="8"/>
  </w:num>
  <w:num w:numId="31">
    <w:abstractNumId w:val="4"/>
  </w:num>
  <w:num w:numId="32">
    <w:abstractNumId w:val="11"/>
  </w:num>
  <w:num w:numId="33">
    <w:abstractNumId w:val="9"/>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5"/>
    <w:rsid w:val="00002031"/>
    <w:rsid w:val="000032DD"/>
    <w:rsid w:val="00004734"/>
    <w:rsid w:val="00006B22"/>
    <w:rsid w:val="00006FAB"/>
    <w:rsid w:val="0001276A"/>
    <w:rsid w:val="000246AE"/>
    <w:rsid w:val="00025C67"/>
    <w:rsid w:val="00036231"/>
    <w:rsid w:val="00044772"/>
    <w:rsid w:val="0004541C"/>
    <w:rsid w:val="0005559E"/>
    <w:rsid w:val="000604D6"/>
    <w:rsid w:val="00066E70"/>
    <w:rsid w:val="00070DFD"/>
    <w:rsid w:val="00071052"/>
    <w:rsid w:val="000734D8"/>
    <w:rsid w:val="00077775"/>
    <w:rsid w:val="0008420D"/>
    <w:rsid w:val="00086E72"/>
    <w:rsid w:val="00090213"/>
    <w:rsid w:val="00090471"/>
    <w:rsid w:val="00096AA7"/>
    <w:rsid w:val="000A2A1F"/>
    <w:rsid w:val="000A3AED"/>
    <w:rsid w:val="000B0C5C"/>
    <w:rsid w:val="000B1D1B"/>
    <w:rsid w:val="000B3532"/>
    <w:rsid w:val="000B3A75"/>
    <w:rsid w:val="000C00C2"/>
    <w:rsid w:val="000C659B"/>
    <w:rsid w:val="000C690F"/>
    <w:rsid w:val="000D1295"/>
    <w:rsid w:val="000D391B"/>
    <w:rsid w:val="000D3D6D"/>
    <w:rsid w:val="000D4FC7"/>
    <w:rsid w:val="000E6196"/>
    <w:rsid w:val="000F4869"/>
    <w:rsid w:val="000F5B42"/>
    <w:rsid w:val="000F6E6F"/>
    <w:rsid w:val="0010601F"/>
    <w:rsid w:val="0010788A"/>
    <w:rsid w:val="00107A31"/>
    <w:rsid w:val="001107C3"/>
    <w:rsid w:val="00110A5C"/>
    <w:rsid w:val="00110EA5"/>
    <w:rsid w:val="00112F56"/>
    <w:rsid w:val="00117C1F"/>
    <w:rsid w:val="00120F4C"/>
    <w:rsid w:val="001229B3"/>
    <w:rsid w:val="00122C2E"/>
    <w:rsid w:val="00124ACD"/>
    <w:rsid w:val="00125318"/>
    <w:rsid w:val="001305A2"/>
    <w:rsid w:val="00133238"/>
    <w:rsid w:val="00133A1B"/>
    <w:rsid w:val="0014197B"/>
    <w:rsid w:val="001447CD"/>
    <w:rsid w:val="001506C4"/>
    <w:rsid w:val="001516B1"/>
    <w:rsid w:val="00154EBB"/>
    <w:rsid w:val="00156316"/>
    <w:rsid w:val="00161181"/>
    <w:rsid w:val="00161D56"/>
    <w:rsid w:val="00162D14"/>
    <w:rsid w:val="00163780"/>
    <w:rsid w:val="00165389"/>
    <w:rsid w:val="0017693F"/>
    <w:rsid w:val="0018110E"/>
    <w:rsid w:val="00181684"/>
    <w:rsid w:val="001843C6"/>
    <w:rsid w:val="001850E0"/>
    <w:rsid w:val="00185407"/>
    <w:rsid w:val="001A03AF"/>
    <w:rsid w:val="001A2158"/>
    <w:rsid w:val="001A525F"/>
    <w:rsid w:val="001A5A00"/>
    <w:rsid w:val="001A66B8"/>
    <w:rsid w:val="001B09F9"/>
    <w:rsid w:val="001B1DA4"/>
    <w:rsid w:val="001B5C90"/>
    <w:rsid w:val="001B6448"/>
    <w:rsid w:val="001C32CD"/>
    <w:rsid w:val="001C5D2D"/>
    <w:rsid w:val="001C74BD"/>
    <w:rsid w:val="001D2984"/>
    <w:rsid w:val="001E07CF"/>
    <w:rsid w:val="001E359E"/>
    <w:rsid w:val="001E59F1"/>
    <w:rsid w:val="001F2CEE"/>
    <w:rsid w:val="001F49EB"/>
    <w:rsid w:val="001F6CBA"/>
    <w:rsid w:val="00201D4E"/>
    <w:rsid w:val="002068D9"/>
    <w:rsid w:val="00207670"/>
    <w:rsid w:val="002076C9"/>
    <w:rsid w:val="00220B8A"/>
    <w:rsid w:val="002257F3"/>
    <w:rsid w:val="00227BA8"/>
    <w:rsid w:val="002314EA"/>
    <w:rsid w:val="00233456"/>
    <w:rsid w:val="002339A5"/>
    <w:rsid w:val="00246E7C"/>
    <w:rsid w:val="00247DDF"/>
    <w:rsid w:val="00247E8A"/>
    <w:rsid w:val="00250271"/>
    <w:rsid w:val="00250F35"/>
    <w:rsid w:val="0025110D"/>
    <w:rsid w:val="00257848"/>
    <w:rsid w:val="002578E8"/>
    <w:rsid w:val="00262D55"/>
    <w:rsid w:val="00264FFC"/>
    <w:rsid w:val="0027084A"/>
    <w:rsid w:val="00271E85"/>
    <w:rsid w:val="00280265"/>
    <w:rsid w:val="00281F81"/>
    <w:rsid w:val="00286434"/>
    <w:rsid w:val="00286C59"/>
    <w:rsid w:val="00287598"/>
    <w:rsid w:val="00291957"/>
    <w:rsid w:val="002942D1"/>
    <w:rsid w:val="00294AB0"/>
    <w:rsid w:val="0029501A"/>
    <w:rsid w:val="002A3721"/>
    <w:rsid w:val="002B1638"/>
    <w:rsid w:val="002B3624"/>
    <w:rsid w:val="002D0952"/>
    <w:rsid w:val="002D1401"/>
    <w:rsid w:val="002D3F8A"/>
    <w:rsid w:val="002D49E7"/>
    <w:rsid w:val="002E40B3"/>
    <w:rsid w:val="002E4C9A"/>
    <w:rsid w:val="002F11F8"/>
    <w:rsid w:val="002F3F56"/>
    <w:rsid w:val="002F44B5"/>
    <w:rsid w:val="002F5122"/>
    <w:rsid w:val="0030756E"/>
    <w:rsid w:val="00311AC0"/>
    <w:rsid w:val="0031552F"/>
    <w:rsid w:val="003176FC"/>
    <w:rsid w:val="00324E45"/>
    <w:rsid w:val="0032583B"/>
    <w:rsid w:val="00327883"/>
    <w:rsid w:val="00332715"/>
    <w:rsid w:val="00335504"/>
    <w:rsid w:val="00340C18"/>
    <w:rsid w:val="003442FD"/>
    <w:rsid w:val="00347824"/>
    <w:rsid w:val="00350567"/>
    <w:rsid w:val="003521E8"/>
    <w:rsid w:val="0036309C"/>
    <w:rsid w:val="00370CE3"/>
    <w:rsid w:val="003728F3"/>
    <w:rsid w:val="003735BC"/>
    <w:rsid w:val="0037449C"/>
    <w:rsid w:val="0037496E"/>
    <w:rsid w:val="00383221"/>
    <w:rsid w:val="00386150"/>
    <w:rsid w:val="003874CE"/>
    <w:rsid w:val="00390900"/>
    <w:rsid w:val="003A7F6C"/>
    <w:rsid w:val="003B0036"/>
    <w:rsid w:val="003B3264"/>
    <w:rsid w:val="003B4D60"/>
    <w:rsid w:val="003B7E39"/>
    <w:rsid w:val="003C58DC"/>
    <w:rsid w:val="003D1E62"/>
    <w:rsid w:val="003E0B99"/>
    <w:rsid w:val="003E2486"/>
    <w:rsid w:val="003E3208"/>
    <w:rsid w:val="003F0B04"/>
    <w:rsid w:val="0040134E"/>
    <w:rsid w:val="00403313"/>
    <w:rsid w:val="004334C7"/>
    <w:rsid w:val="00440A2D"/>
    <w:rsid w:val="00441C3F"/>
    <w:rsid w:val="00444D1A"/>
    <w:rsid w:val="00451434"/>
    <w:rsid w:val="0045186A"/>
    <w:rsid w:val="004523A2"/>
    <w:rsid w:val="00453F94"/>
    <w:rsid w:val="00454A3D"/>
    <w:rsid w:val="00454BDC"/>
    <w:rsid w:val="004564A7"/>
    <w:rsid w:val="00456765"/>
    <w:rsid w:val="00460036"/>
    <w:rsid w:val="004617BF"/>
    <w:rsid w:val="00463658"/>
    <w:rsid w:val="004637A0"/>
    <w:rsid w:val="004722CC"/>
    <w:rsid w:val="00490483"/>
    <w:rsid w:val="004936E4"/>
    <w:rsid w:val="00494E60"/>
    <w:rsid w:val="00497487"/>
    <w:rsid w:val="004A2771"/>
    <w:rsid w:val="004A6189"/>
    <w:rsid w:val="004A6615"/>
    <w:rsid w:val="004A7390"/>
    <w:rsid w:val="004B7B76"/>
    <w:rsid w:val="004C239D"/>
    <w:rsid w:val="004C2B1B"/>
    <w:rsid w:val="004C2DCA"/>
    <w:rsid w:val="004C4FBE"/>
    <w:rsid w:val="004C61D2"/>
    <w:rsid w:val="004D5B05"/>
    <w:rsid w:val="004F0C4A"/>
    <w:rsid w:val="004F0F38"/>
    <w:rsid w:val="004F1710"/>
    <w:rsid w:val="004F47D6"/>
    <w:rsid w:val="00500337"/>
    <w:rsid w:val="00501921"/>
    <w:rsid w:val="00505417"/>
    <w:rsid w:val="005060DF"/>
    <w:rsid w:val="00510D3C"/>
    <w:rsid w:val="0052149B"/>
    <w:rsid w:val="00521FB8"/>
    <w:rsid w:val="00523A21"/>
    <w:rsid w:val="00530354"/>
    <w:rsid w:val="005359FB"/>
    <w:rsid w:val="0053625B"/>
    <w:rsid w:val="005434C6"/>
    <w:rsid w:val="00543B39"/>
    <w:rsid w:val="00545CDB"/>
    <w:rsid w:val="00546154"/>
    <w:rsid w:val="00547011"/>
    <w:rsid w:val="00550096"/>
    <w:rsid w:val="00555280"/>
    <w:rsid w:val="00557FF9"/>
    <w:rsid w:val="00562327"/>
    <w:rsid w:val="00564934"/>
    <w:rsid w:val="005711D5"/>
    <w:rsid w:val="00576378"/>
    <w:rsid w:val="00577130"/>
    <w:rsid w:val="00577945"/>
    <w:rsid w:val="00577E38"/>
    <w:rsid w:val="00583C90"/>
    <w:rsid w:val="00585322"/>
    <w:rsid w:val="005857C6"/>
    <w:rsid w:val="00592F6E"/>
    <w:rsid w:val="00593AD1"/>
    <w:rsid w:val="005A68B6"/>
    <w:rsid w:val="005A79F5"/>
    <w:rsid w:val="005C494B"/>
    <w:rsid w:val="005C5358"/>
    <w:rsid w:val="005C5570"/>
    <w:rsid w:val="005C5B66"/>
    <w:rsid w:val="005C79A4"/>
    <w:rsid w:val="005D5442"/>
    <w:rsid w:val="005E2844"/>
    <w:rsid w:val="005F0D28"/>
    <w:rsid w:val="00603F32"/>
    <w:rsid w:val="00605AD4"/>
    <w:rsid w:val="006136D7"/>
    <w:rsid w:val="0061718F"/>
    <w:rsid w:val="00625A6E"/>
    <w:rsid w:val="00632398"/>
    <w:rsid w:val="00640FC3"/>
    <w:rsid w:val="00642020"/>
    <w:rsid w:val="006430EE"/>
    <w:rsid w:val="00643CE5"/>
    <w:rsid w:val="0065337B"/>
    <w:rsid w:val="0065419D"/>
    <w:rsid w:val="006603BC"/>
    <w:rsid w:val="006604D8"/>
    <w:rsid w:val="00664A5B"/>
    <w:rsid w:val="0066735C"/>
    <w:rsid w:val="00667E1D"/>
    <w:rsid w:val="006763D2"/>
    <w:rsid w:val="006779FF"/>
    <w:rsid w:val="00677EE7"/>
    <w:rsid w:val="00680C08"/>
    <w:rsid w:val="006901BA"/>
    <w:rsid w:val="006916A0"/>
    <w:rsid w:val="006931B1"/>
    <w:rsid w:val="00696A91"/>
    <w:rsid w:val="006A15C0"/>
    <w:rsid w:val="006A58A8"/>
    <w:rsid w:val="006B79F3"/>
    <w:rsid w:val="006C3A2A"/>
    <w:rsid w:val="006C3E2A"/>
    <w:rsid w:val="006C642F"/>
    <w:rsid w:val="006D03E5"/>
    <w:rsid w:val="006D2064"/>
    <w:rsid w:val="006D3454"/>
    <w:rsid w:val="006D5D3E"/>
    <w:rsid w:val="006E08B3"/>
    <w:rsid w:val="006E7D4A"/>
    <w:rsid w:val="006F17AC"/>
    <w:rsid w:val="006F25B8"/>
    <w:rsid w:val="006F572E"/>
    <w:rsid w:val="00700B72"/>
    <w:rsid w:val="0070145A"/>
    <w:rsid w:val="007046D6"/>
    <w:rsid w:val="00705DB0"/>
    <w:rsid w:val="007143C4"/>
    <w:rsid w:val="0072292E"/>
    <w:rsid w:val="00722B57"/>
    <w:rsid w:val="00730F8A"/>
    <w:rsid w:val="00735A8C"/>
    <w:rsid w:val="00736E75"/>
    <w:rsid w:val="0074163C"/>
    <w:rsid w:val="0074253D"/>
    <w:rsid w:val="00744121"/>
    <w:rsid w:val="0074429B"/>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87FA5"/>
    <w:rsid w:val="00793A59"/>
    <w:rsid w:val="007A46F5"/>
    <w:rsid w:val="007A6505"/>
    <w:rsid w:val="007A688F"/>
    <w:rsid w:val="007B6132"/>
    <w:rsid w:val="007B6E9F"/>
    <w:rsid w:val="007C1216"/>
    <w:rsid w:val="007C1AF7"/>
    <w:rsid w:val="007C6B9B"/>
    <w:rsid w:val="007D53B6"/>
    <w:rsid w:val="00804D99"/>
    <w:rsid w:val="008054C5"/>
    <w:rsid w:val="00805D27"/>
    <w:rsid w:val="00806DCB"/>
    <w:rsid w:val="008110BC"/>
    <w:rsid w:val="00821776"/>
    <w:rsid w:val="00822ACB"/>
    <w:rsid w:val="008321F5"/>
    <w:rsid w:val="00832369"/>
    <w:rsid w:val="00833033"/>
    <w:rsid w:val="00833ED8"/>
    <w:rsid w:val="00834660"/>
    <w:rsid w:val="00836BC2"/>
    <w:rsid w:val="00840861"/>
    <w:rsid w:val="0085156D"/>
    <w:rsid w:val="00852B28"/>
    <w:rsid w:val="0085641B"/>
    <w:rsid w:val="00857136"/>
    <w:rsid w:val="00860F60"/>
    <w:rsid w:val="00865B03"/>
    <w:rsid w:val="0086767E"/>
    <w:rsid w:val="00875A6B"/>
    <w:rsid w:val="00885B11"/>
    <w:rsid w:val="00886D15"/>
    <w:rsid w:val="00887DD8"/>
    <w:rsid w:val="00891BA9"/>
    <w:rsid w:val="00892DF8"/>
    <w:rsid w:val="00896018"/>
    <w:rsid w:val="008960DD"/>
    <w:rsid w:val="0089635C"/>
    <w:rsid w:val="0089651A"/>
    <w:rsid w:val="008A0543"/>
    <w:rsid w:val="008A2B9D"/>
    <w:rsid w:val="008A3D9F"/>
    <w:rsid w:val="008A5E0B"/>
    <w:rsid w:val="008A6D59"/>
    <w:rsid w:val="008B4AFD"/>
    <w:rsid w:val="008B4B03"/>
    <w:rsid w:val="008B596F"/>
    <w:rsid w:val="008C159F"/>
    <w:rsid w:val="008C1623"/>
    <w:rsid w:val="008C1850"/>
    <w:rsid w:val="008C51A9"/>
    <w:rsid w:val="008C713E"/>
    <w:rsid w:val="008D2A87"/>
    <w:rsid w:val="008E7846"/>
    <w:rsid w:val="008F02E5"/>
    <w:rsid w:val="008F1CCC"/>
    <w:rsid w:val="008F2967"/>
    <w:rsid w:val="008F6943"/>
    <w:rsid w:val="00902A21"/>
    <w:rsid w:val="0091523F"/>
    <w:rsid w:val="0091760F"/>
    <w:rsid w:val="00920330"/>
    <w:rsid w:val="009219D7"/>
    <w:rsid w:val="00922563"/>
    <w:rsid w:val="00922D53"/>
    <w:rsid w:val="00923B70"/>
    <w:rsid w:val="00924482"/>
    <w:rsid w:val="0092770F"/>
    <w:rsid w:val="00930237"/>
    <w:rsid w:val="00935FAB"/>
    <w:rsid w:val="00937C17"/>
    <w:rsid w:val="00940A89"/>
    <w:rsid w:val="00941F77"/>
    <w:rsid w:val="00946EA5"/>
    <w:rsid w:val="009556D7"/>
    <w:rsid w:val="00956FEE"/>
    <w:rsid w:val="00960520"/>
    <w:rsid w:val="00963C08"/>
    <w:rsid w:val="009752A5"/>
    <w:rsid w:val="00980A28"/>
    <w:rsid w:val="0098585A"/>
    <w:rsid w:val="009874E4"/>
    <w:rsid w:val="009A3BDC"/>
    <w:rsid w:val="009A4CED"/>
    <w:rsid w:val="009A690D"/>
    <w:rsid w:val="009B1D12"/>
    <w:rsid w:val="009B3A80"/>
    <w:rsid w:val="009B3AD6"/>
    <w:rsid w:val="009B416B"/>
    <w:rsid w:val="009B5BF3"/>
    <w:rsid w:val="009C15B1"/>
    <w:rsid w:val="009C4BD5"/>
    <w:rsid w:val="009D521D"/>
    <w:rsid w:val="009D7B77"/>
    <w:rsid w:val="009D7D49"/>
    <w:rsid w:val="009E0BB0"/>
    <w:rsid w:val="009E3FBB"/>
    <w:rsid w:val="009E47C8"/>
    <w:rsid w:val="009E5A87"/>
    <w:rsid w:val="009F2673"/>
    <w:rsid w:val="009F7353"/>
    <w:rsid w:val="00A04F85"/>
    <w:rsid w:val="00A05FA4"/>
    <w:rsid w:val="00A102E4"/>
    <w:rsid w:val="00A1219C"/>
    <w:rsid w:val="00A12C42"/>
    <w:rsid w:val="00A12EF6"/>
    <w:rsid w:val="00A14DF7"/>
    <w:rsid w:val="00A179A8"/>
    <w:rsid w:val="00A17A51"/>
    <w:rsid w:val="00A17B95"/>
    <w:rsid w:val="00A22D57"/>
    <w:rsid w:val="00A3246D"/>
    <w:rsid w:val="00A36FA7"/>
    <w:rsid w:val="00A44DDB"/>
    <w:rsid w:val="00A46C35"/>
    <w:rsid w:val="00A475B7"/>
    <w:rsid w:val="00A47AF7"/>
    <w:rsid w:val="00A47C3E"/>
    <w:rsid w:val="00A50226"/>
    <w:rsid w:val="00A60BAD"/>
    <w:rsid w:val="00A6220C"/>
    <w:rsid w:val="00A70C74"/>
    <w:rsid w:val="00A77F87"/>
    <w:rsid w:val="00A80B5B"/>
    <w:rsid w:val="00A816C8"/>
    <w:rsid w:val="00A818CC"/>
    <w:rsid w:val="00A84E36"/>
    <w:rsid w:val="00A92D6D"/>
    <w:rsid w:val="00A92DD7"/>
    <w:rsid w:val="00A964D1"/>
    <w:rsid w:val="00AA0ED0"/>
    <w:rsid w:val="00AA5000"/>
    <w:rsid w:val="00AC2B40"/>
    <w:rsid w:val="00AC2BB2"/>
    <w:rsid w:val="00AC2C3C"/>
    <w:rsid w:val="00AC512D"/>
    <w:rsid w:val="00AD0083"/>
    <w:rsid w:val="00AD3935"/>
    <w:rsid w:val="00AE2147"/>
    <w:rsid w:val="00AE65EB"/>
    <w:rsid w:val="00AE67A7"/>
    <w:rsid w:val="00AF1D94"/>
    <w:rsid w:val="00AF2313"/>
    <w:rsid w:val="00AF3E92"/>
    <w:rsid w:val="00AF60C5"/>
    <w:rsid w:val="00B009C6"/>
    <w:rsid w:val="00B01548"/>
    <w:rsid w:val="00B130C5"/>
    <w:rsid w:val="00B13A0C"/>
    <w:rsid w:val="00B13EBD"/>
    <w:rsid w:val="00B1406F"/>
    <w:rsid w:val="00B15804"/>
    <w:rsid w:val="00B17B74"/>
    <w:rsid w:val="00B21D29"/>
    <w:rsid w:val="00B25034"/>
    <w:rsid w:val="00B33588"/>
    <w:rsid w:val="00B33863"/>
    <w:rsid w:val="00B37D17"/>
    <w:rsid w:val="00B4175E"/>
    <w:rsid w:val="00B41C85"/>
    <w:rsid w:val="00B450C4"/>
    <w:rsid w:val="00B452CE"/>
    <w:rsid w:val="00B54C25"/>
    <w:rsid w:val="00B76B91"/>
    <w:rsid w:val="00B77EB1"/>
    <w:rsid w:val="00B811C6"/>
    <w:rsid w:val="00B855B0"/>
    <w:rsid w:val="00B92E08"/>
    <w:rsid w:val="00BB0B78"/>
    <w:rsid w:val="00BB75D6"/>
    <w:rsid w:val="00BC4B9D"/>
    <w:rsid w:val="00BC622A"/>
    <w:rsid w:val="00BE0A78"/>
    <w:rsid w:val="00BE442F"/>
    <w:rsid w:val="00BE6542"/>
    <w:rsid w:val="00BE79F0"/>
    <w:rsid w:val="00BE7A20"/>
    <w:rsid w:val="00BF046D"/>
    <w:rsid w:val="00BF1190"/>
    <w:rsid w:val="00BF3774"/>
    <w:rsid w:val="00BF4CD2"/>
    <w:rsid w:val="00BF5D04"/>
    <w:rsid w:val="00BF7063"/>
    <w:rsid w:val="00BF7B53"/>
    <w:rsid w:val="00C009AA"/>
    <w:rsid w:val="00C1164D"/>
    <w:rsid w:val="00C16861"/>
    <w:rsid w:val="00C31248"/>
    <w:rsid w:val="00C34133"/>
    <w:rsid w:val="00C346AB"/>
    <w:rsid w:val="00C404A6"/>
    <w:rsid w:val="00C40A36"/>
    <w:rsid w:val="00C44419"/>
    <w:rsid w:val="00C45E7B"/>
    <w:rsid w:val="00C471B1"/>
    <w:rsid w:val="00C525A2"/>
    <w:rsid w:val="00C52E24"/>
    <w:rsid w:val="00C6316B"/>
    <w:rsid w:val="00C634A9"/>
    <w:rsid w:val="00C64586"/>
    <w:rsid w:val="00C70A36"/>
    <w:rsid w:val="00C70BE5"/>
    <w:rsid w:val="00C70D53"/>
    <w:rsid w:val="00C73D0B"/>
    <w:rsid w:val="00C74F5C"/>
    <w:rsid w:val="00C772FF"/>
    <w:rsid w:val="00C80137"/>
    <w:rsid w:val="00C801AF"/>
    <w:rsid w:val="00C80256"/>
    <w:rsid w:val="00C829AE"/>
    <w:rsid w:val="00C87558"/>
    <w:rsid w:val="00C94CD4"/>
    <w:rsid w:val="00C9747E"/>
    <w:rsid w:val="00CA1D34"/>
    <w:rsid w:val="00CB6BC0"/>
    <w:rsid w:val="00CC1B7C"/>
    <w:rsid w:val="00CC261A"/>
    <w:rsid w:val="00CC3242"/>
    <w:rsid w:val="00CC5044"/>
    <w:rsid w:val="00CC727F"/>
    <w:rsid w:val="00CF15C3"/>
    <w:rsid w:val="00CF2B6F"/>
    <w:rsid w:val="00CF2F3E"/>
    <w:rsid w:val="00CF58B6"/>
    <w:rsid w:val="00CF5DAD"/>
    <w:rsid w:val="00D0062D"/>
    <w:rsid w:val="00D017ED"/>
    <w:rsid w:val="00D040D3"/>
    <w:rsid w:val="00D043B1"/>
    <w:rsid w:val="00D04C65"/>
    <w:rsid w:val="00D153D8"/>
    <w:rsid w:val="00D201D2"/>
    <w:rsid w:val="00D212F3"/>
    <w:rsid w:val="00D224FE"/>
    <w:rsid w:val="00D23139"/>
    <w:rsid w:val="00D249B1"/>
    <w:rsid w:val="00D41320"/>
    <w:rsid w:val="00D425BB"/>
    <w:rsid w:val="00D4377A"/>
    <w:rsid w:val="00D44C38"/>
    <w:rsid w:val="00D453FA"/>
    <w:rsid w:val="00D478F8"/>
    <w:rsid w:val="00D51F01"/>
    <w:rsid w:val="00D56348"/>
    <w:rsid w:val="00D6493E"/>
    <w:rsid w:val="00D7195D"/>
    <w:rsid w:val="00D72CBA"/>
    <w:rsid w:val="00D7301E"/>
    <w:rsid w:val="00D83AE1"/>
    <w:rsid w:val="00D854AC"/>
    <w:rsid w:val="00D855D4"/>
    <w:rsid w:val="00D87E20"/>
    <w:rsid w:val="00D902C9"/>
    <w:rsid w:val="00D903A4"/>
    <w:rsid w:val="00D93466"/>
    <w:rsid w:val="00D97A6B"/>
    <w:rsid w:val="00DA1124"/>
    <w:rsid w:val="00DA64CB"/>
    <w:rsid w:val="00DB06B8"/>
    <w:rsid w:val="00DB0E9F"/>
    <w:rsid w:val="00DB411B"/>
    <w:rsid w:val="00DB6124"/>
    <w:rsid w:val="00DB750B"/>
    <w:rsid w:val="00DB75B7"/>
    <w:rsid w:val="00DB7845"/>
    <w:rsid w:val="00DC0A2F"/>
    <w:rsid w:val="00DC1948"/>
    <w:rsid w:val="00DC6E02"/>
    <w:rsid w:val="00DD09C1"/>
    <w:rsid w:val="00DD28CD"/>
    <w:rsid w:val="00DE02AE"/>
    <w:rsid w:val="00DE39D1"/>
    <w:rsid w:val="00DE43A4"/>
    <w:rsid w:val="00DF1D7F"/>
    <w:rsid w:val="00DF4BE4"/>
    <w:rsid w:val="00DF7C6F"/>
    <w:rsid w:val="00E02382"/>
    <w:rsid w:val="00E02FB4"/>
    <w:rsid w:val="00E0379A"/>
    <w:rsid w:val="00E05CC7"/>
    <w:rsid w:val="00E06F14"/>
    <w:rsid w:val="00E13FC7"/>
    <w:rsid w:val="00E20571"/>
    <w:rsid w:val="00E21C61"/>
    <w:rsid w:val="00E235F7"/>
    <w:rsid w:val="00E23659"/>
    <w:rsid w:val="00E239D4"/>
    <w:rsid w:val="00E25847"/>
    <w:rsid w:val="00E26130"/>
    <w:rsid w:val="00E33D42"/>
    <w:rsid w:val="00E40B22"/>
    <w:rsid w:val="00E44ED1"/>
    <w:rsid w:val="00E45619"/>
    <w:rsid w:val="00E4588F"/>
    <w:rsid w:val="00E46DA3"/>
    <w:rsid w:val="00E51BB1"/>
    <w:rsid w:val="00E55CB0"/>
    <w:rsid w:val="00E60DF8"/>
    <w:rsid w:val="00E61EC1"/>
    <w:rsid w:val="00E624A5"/>
    <w:rsid w:val="00E64BA4"/>
    <w:rsid w:val="00E72232"/>
    <w:rsid w:val="00E7344E"/>
    <w:rsid w:val="00E82665"/>
    <w:rsid w:val="00EA7D2B"/>
    <w:rsid w:val="00EB0798"/>
    <w:rsid w:val="00EB36D6"/>
    <w:rsid w:val="00EB3F72"/>
    <w:rsid w:val="00EB40AD"/>
    <w:rsid w:val="00EB586E"/>
    <w:rsid w:val="00EB5FC8"/>
    <w:rsid w:val="00EB6A65"/>
    <w:rsid w:val="00EC463D"/>
    <w:rsid w:val="00EC7A85"/>
    <w:rsid w:val="00ED2922"/>
    <w:rsid w:val="00ED3CAD"/>
    <w:rsid w:val="00ED5A41"/>
    <w:rsid w:val="00EE1DE8"/>
    <w:rsid w:val="00EE27C2"/>
    <w:rsid w:val="00EF4BAD"/>
    <w:rsid w:val="00EF59DC"/>
    <w:rsid w:val="00F033EC"/>
    <w:rsid w:val="00F04F68"/>
    <w:rsid w:val="00F07B4E"/>
    <w:rsid w:val="00F12670"/>
    <w:rsid w:val="00F14B27"/>
    <w:rsid w:val="00F16D1E"/>
    <w:rsid w:val="00F3148D"/>
    <w:rsid w:val="00F325C5"/>
    <w:rsid w:val="00F32FE0"/>
    <w:rsid w:val="00F35298"/>
    <w:rsid w:val="00F47333"/>
    <w:rsid w:val="00F47E37"/>
    <w:rsid w:val="00F51982"/>
    <w:rsid w:val="00F53C07"/>
    <w:rsid w:val="00F54B65"/>
    <w:rsid w:val="00F63DBF"/>
    <w:rsid w:val="00F640B6"/>
    <w:rsid w:val="00F66DF2"/>
    <w:rsid w:val="00F80E40"/>
    <w:rsid w:val="00F848D9"/>
    <w:rsid w:val="00F931CE"/>
    <w:rsid w:val="00FA4BBA"/>
    <w:rsid w:val="00FA5069"/>
    <w:rsid w:val="00FA5B82"/>
    <w:rsid w:val="00FA639E"/>
    <w:rsid w:val="00FB1897"/>
    <w:rsid w:val="00FB4945"/>
    <w:rsid w:val="00FC1FCA"/>
    <w:rsid w:val="00FC25E4"/>
    <w:rsid w:val="00FC4EF7"/>
    <w:rsid w:val="00FC7B1D"/>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3BA91"/>
  <w15:docId w15:val="{5E7A7D8B-D361-4EA9-BF0F-0D95D198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7E1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customStyle="1" w:styleId="Bulletpoint">
    <w:name w:val="Bullet point"/>
    <w:basedOn w:val="Normal"/>
    <w:rsid w:val="00110A5C"/>
    <w:pPr>
      <w:numPr>
        <w:numId w:val="33"/>
      </w:numPr>
      <w:tabs>
        <w:tab w:val="left" w:pos="397"/>
      </w:tabs>
      <w:spacing w:before="0" w:after="180" w:line="252" w:lineRule="auto"/>
    </w:pPr>
    <w:rPr>
      <w:rFonts w:eastAsia="Times New Roman"/>
      <w:snapToGrid w:val="0"/>
      <w:kern w:val="16"/>
      <w:szCs w:val="24"/>
    </w:rPr>
  </w:style>
  <w:style w:type="paragraph" w:styleId="ListNumber">
    <w:name w:val="List Number"/>
    <w:basedOn w:val="ListParagraph"/>
    <w:uiPriority w:val="99"/>
    <w:unhideWhenUsed/>
    <w:rsid w:val="00FB4945"/>
    <w:pPr>
      <w:numPr>
        <w:numId w:val="35"/>
      </w:numPr>
      <w:tabs>
        <w:tab w:val="num" w:pos="360"/>
      </w:tabs>
      <w:spacing w:before="0" w:line="240" w:lineRule="auto"/>
      <w:ind w:left="426" w:hanging="426"/>
    </w:pPr>
    <w:rPr>
      <w:rFonts w:asciiTheme="minorHAnsi" w:eastAsia="Times New Roman" w:hAnsiTheme="minorHAnsi"/>
      <w:b/>
      <w:lang w:eastAsia="en-AU"/>
    </w:rPr>
  </w:style>
  <w:style w:type="paragraph" w:styleId="ListParagraph">
    <w:name w:val="List Paragraph"/>
    <w:basedOn w:val="Normal"/>
    <w:uiPriority w:val="34"/>
    <w:rsid w:val="00FB4945"/>
    <w:pPr>
      <w:ind w:left="720"/>
      <w:contextualSpacing/>
    </w:pPr>
  </w:style>
  <w:style w:type="character" w:customStyle="1" w:styleId="TabletextChar">
    <w:name w:val="Table text Char"/>
    <w:basedOn w:val="DefaultParagraphFont"/>
    <w:link w:val="Tabletext"/>
    <w:rsid w:val="00583C90"/>
    <w:rPr>
      <w:rFonts w:ascii="Cambria" w:eastAsia="Cambria" w:hAnsi="Cambria"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830604674">
      <w:bodyDiv w:val="1"/>
      <w:marLeft w:val="0"/>
      <w:marRight w:val="0"/>
      <w:marTop w:val="0"/>
      <w:marBottom w:val="0"/>
      <w:divBdr>
        <w:top w:val="none" w:sz="0" w:space="0" w:color="auto"/>
        <w:left w:val="none" w:sz="0" w:space="0" w:color="auto"/>
        <w:bottom w:val="none" w:sz="0" w:space="0" w:color="auto"/>
        <w:right w:val="none" w:sz="0" w:space="0" w:color="auto"/>
      </w:divBdr>
    </w:div>
    <w:div w:id="925528745">
      <w:bodyDiv w:val="1"/>
      <w:marLeft w:val="0"/>
      <w:marRight w:val="0"/>
      <w:marTop w:val="0"/>
      <w:marBottom w:val="0"/>
      <w:divBdr>
        <w:top w:val="none" w:sz="0" w:space="0" w:color="auto"/>
        <w:left w:val="none" w:sz="0" w:space="0" w:color="auto"/>
        <w:bottom w:val="none" w:sz="0" w:space="0" w:color="auto"/>
        <w:right w:val="none" w:sz="0" w:space="0" w:color="auto"/>
      </w:divBdr>
    </w:div>
    <w:div w:id="929196473">
      <w:bodyDiv w:val="1"/>
      <w:marLeft w:val="0"/>
      <w:marRight w:val="0"/>
      <w:marTop w:val="0"/>
      <w:marBottom w:val="0"/>
      <w:divBdr>
        <w:top w:val="none" w:sz="0" w:space="0" w:color="auto"/>
        <w:left w:val="none" w:sz="0" w:space="0" w:color="auto"/>
        <w:bottom w:val="none" w:sz="0" w:space="0" w:color="auto"/>
        <w:right w:val="none" w:sz="0" w:space="0" w:color="auto"/>
      </w:divBdr>
    </w:div>
    <w:div w:id="1248734989">
      <w:bodyDiv w:val="1"/>
      <w:marLeft w:val="0"/>
      <w:marRight w:val="0"/>
      <w:marTop w:val="0"/>
      <w:marBottom w:val="0"/>
      <w:divBdr>
        <w:top w:val="none" w:sz="0" w:space="0" w:color="auto"/>
        <w:left w:val="none" w:sz="0" w:space="0" w:color="auto"/>
        <w:bottom w:val="none" w:sz="0" w:space="0" w:color="auto"/>
        <w:right w:val="none" w:sz="0" w:space="0" w:color="auto"/>
      </w:divBdr>
    </w:div>
    <w:div w:id="1331054964">
      <w:bodyDiv w:val="1"/>
      <w:marLeft w:val="0"/>
      <w:marRight w:val="0"/>
      <w:marTop w:val="0"/>
      <w:marBottom w:val="0"/>
      <w:divBdr>
        <w:top w:val="none" w:sz="0" w:space="0" w:color="auto"/>
        <w:left w:val="none" w:sz="0" w:space="0" w:color="auto"/>
        <w:bottom w:val="none" w:sz="0" w:space="0" w:color="auto"/>
        <w:right w:val="none" w:sz="0" w:space="0" w:color="auto"/>
      </w:divBdr>
    </w:div>
    <w:div w:id="1640918186">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tga.gov.au/ws-labs-index"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ga.gov.au/picmi-search-facility" TargetMode="Externa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ga.gov.au/publication/orphan-drug-designation" TargetMode="External"/><Relationship Id="rId20" Type="http://schemas.openxmlformats.org/officeDocument/2006/relationships/hyperlink" Target="https://www.tga.gov.au/tgas-risk-management-approach" TargetMode="Externa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ga.gov.au/comparable-overseas-regulators-cors-timeframes-and-milestones" TargetMode="External"/><Relationship Id="rId23" Type="http://schemas.openxmlformats.org/officeDocument/2006/relationships/hyperlink" Target="https://www.tga.gov.au/picmi-search-facility"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hyperlink" Target="https://www.tga.gov.au/publication/risk-management-plans-medicines-and-biologicals"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hyperlink" Target="http://www.tga.gov.au/industry/pm-argpm-guidance-7.htm" TargetMode="External"/><Relationship Id="rId27"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UMMV\AppData\Local\Hewlett-Packard\HP%20TRIM\TEMP\HPTRIM.8224\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7DAF7-6010-43FD-8908-0B868552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D22-5542303  AusPAR template.DOTX</Template>
  <TotalTime>158</TotalTime>
  <Pages>28</Pages>
  <Words>10368</Words>
  <Characters>59101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69331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Voxzogo</dc:title>
  <dc:subject>prescription medicine regulation</dc:subject>
  <dc:creator>Therapeutic Goods Administration</dc:creator>
  <cp:keywords/>
  <cp:lastModifiedBy>PITKIN, Brendan</cp:lastModifiedBy>
  <cp:revision>8</cp:revision>
  <cp:lastPrinted>2019-08-14T04:30:00Z</cp:lastPrinted>
  <dcterms:created xsi:type="dcterms:W3CDTF">2023-01-27T03:27:00Z</dcterms:created>
  <dcterms:modified xsi:type="dcterms:W3CDTF">2023-02-06T03:33:00Z</dcterms:modified>
  <cp:category/>
</cp:coreProperties>
</file>