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tblpY="3316"/>
        <w:tblW w:w="9079" w:type="dxa"/>
        <w:tblLayout w:type="fixed"/>
        <w:tblLook w:val="04A0" w:firstRow="1" w:lastRow="0" w:firstColumn="1" w:lastColumn="0" w:noHBand="0" w:noVBand="1"/>
      </w:tblPr>
      <w:tblGrid>
        <w:gridCol w:w="9079"/>
      </w:tblGrid>
      <w:tr w:rsidR="007C78CD" w:rsidRPr="007C78CD" w14:paraId="08C803F8" w14:textId="77777777" w:rsidTr="0032583B">
        <w:trPr>
          <w:trHeight w:val="868"/>
        </w:trPr>
        <w:tc>
          <w:tcPr>
            <w:tcW w:w="9079" w:type="dxa"/>
          </w:tcPr>
          <w:p w14:paraId="451D1C00" w14:textId="7CC7717A" w:rsidR="0032583B" w:rsidRPr="007C78CD" w:rsidRDefault="0032583B" w:rsidP="00F931CE">
            <w:pPr>
              <w:pStyle w:val="Title"/>
              <w:framePr w:hSpace="0" w:wrap="auto" w:vAnchor="margin" w:yAlign="inline"/>
              <w:rPr>
                <w:color w:val="001871"/>
              </w:rPr>
            </w:pPr>
            <w:r w:rsidRPr="007C78CD">
              <w:rPr>
                <w:color w:val="001871"/>
              </w:rPr>
              <w:t>Australian Public Assessment Report for</w:t>
            </w:r>
            <w:r w:rsidR="005368F7" w:rsidRPr="007C78CD">
              <w:rPr>
                <w:color w:val="001871"/>
              </w:rPr>
              <w:t xml:space="preserve"> </w:t>
            </w:r>
            <w:proofErr w:type="spellStart"/>
            <w:r w:rsidR="005368F7" w:rsidRPr="007C78CD">
              <w:rPr>
                <w:color w:val="001871"/>
              </w:rPr>
              <w:t>Vaxelis</w:t>
            </w:r>
            <w:proofErr w:type="spellEnd"/>
          </w:p>
        </w:tc>
      </w:tr>
      <w:tr w:rsidR="007C78CD" w:rsidRPr="007C78CD" w14:paraId="30B9866B" w14:textId="77777777" w:rsidTr="0032583B">
        <w:tc>
          <w:tcPr>
            <w:tcW w:w="9079" w:type="dxa"/>
          </w:tcPr>
          <w:p w14:paraId="7C4CFE02" w14:textId="7FB8F730" w:rsidR="00FE268F" w:rsidRPr="007C78CD" w:rsidRDefault="00BB75D6" w:rsidP="007C78CD">
            <w:pPr>
              <w:pStyle w:val="Subtitle"/>
              <w:framePr w:hSpace="0" w:wrap="auto" w:vAnchor="margin" w:yAlign="inline"/>
              <w:ind w:left="0"/>
              <w:rPr>
                <w:rFonts w:asciiTheme="majorHAnsi" w:hAnsiTheme="majorHAnsi" w:cstheme="majorHAnsi"/>
                <w:color w:val="006BA6"/>
                <w:szCs w:val="40"/>
                <w:lang w:eastAsia="en-AU"/>
              </w:rPr>
            </w:pPr>
            <w:r w:rsidRPr="007C78CD">
              <w:rPr>
                <w:color w:val="006BA6"/>
              </w:rPr>
              <w:t>Active ingredients</w:t>
            </w:r>
            <w:r w:rsidR="0032583B" w:rsidRPr="007C78CD">
              <w:rPr>
                <w:color w:val="006BA6"/>
              </w:rPr>
              <w:t>:</w:t>
            </w:r>
            <w:r w:rsidR="00F5559E" w:rsidRPr="007C78CD">
              <w:rPr>
                <w:color w:val="006BA6"/>
              </w:rPr>
              <w:t xml:space="preserve"> </w:t>
            </w:r>
            <w:r w:rsidR="00FE268F" w:rsidRPr="007C78CD">
              <w:rPr>
                <w:color w:val="006BA6"/>
              </w:rPr>
              <w:t xml:space="preserve">Diphtheria, tetanus, pertussis, hepatitis B, </w:t>
            </w:r>
            <w:r w:rsidR="00403AB2" w:rsidRPr="007C78CD">
              <w:rPr>
                <w:color w:val="006BA6"/>
              </w:rPr>
              <w:t>poliovirus,</w:t>
            </w:r>
            <w:r w:rsidR="00FE268F" w:rsidRPr="007C78CD">
              <w:rPr>
                <w:color w:val="006BA6"/>
              </w:rPr>
              <w:t xml:space="preserve"> and haemophilus influenzae type b conjugate</w:t>
            </w:r>
            <w:r w:rsidR="00330791" w:rsidRPr="007C78CD">
              <w:rPr>
                <w:color w:val="006BA6"/>
              </w:rPr>
              <w:t xml:space="preserve"> [vaccine]</w:t>
            </w:r>
          </w:p>
        </w:tc>
      </w:tr>
      <w:tr w:rsidR="007C78CD" w:rsidRPr="007C78CD" w14:paraId="6EA58BFF" w14:textId="77777777" w:rsidTr="007C78CD">
        <w:trPr>
          <w:trHeight w:val="3691"/>
        </w:trPr>
        <w:tc>
          <w:tcPr>
            <w:tcW w:w="9079" w:type="dxa"/>
          </w:tcPr>
          <w:p w14:paraId="58667BBB" w14:textId="444CCB90" w:rsidR="0032583B" w:rsidRPr="007C78CD" w:rsidRDefault="00460036" w:rsidP="007C78CD">
            <w:pPr>
              <w:pStyle w:val="Subtitle"/>
              <w:framePr w:hSpace="0" w:wrap="auto" w:vAnchor="margin" w:yAlign="inline"/>
              <w:ind w:left="0"/>
              <w:rPr>
                <w:color w:val="006BA6"/>
              </w:rPr>
            </w:pPr>
            <w:r w:rsidRPr="007C78CD">
              <w:rPr>
                <w:color w:val="006BA6"/>
              </w:rPr>
              <w:t xml:space="preserve">Sponsor: </w:t>
            </w:r>
            <w:r w:rsidR="005368F7" w:rsidRPr="007C78CD">
              <w:rPr>
                <w:color w:val="006BA6"/>
              </w:rPr>
              <w:t>Maxx Pharma Pty Ltd</w:t>
            </w:r>
          </w:p>
        </w:tc>
      </w:tr>
      <w:tr w:rsidR="007C78CD" w:rsidRPr="007C78CD" w14:paraId="389F982D" w14:textId="77777777" w:rsidTr="0032583B">
        <w:trPr>
          <w:trHeight w:val="486"/>
        </w:trPr>
        <w:tc>
          <w:tcPr>
            <w:tcW w:w="9079" w:type="dxa"/>
          </w:tcPr>
          <w:p w14:paraId="55870A36" w14:textId="173BD9B5" w:rsidR="007C78CD" w:rsidRPr="007C78CD" w:rsidRDefault="007C78CD" w:rsidP="007C78CD">
            <w:pPr>
              <w:pStyle w:val="Subtitle"/>
              <w:framePr w:hSpace="0" w:wrap="auto" w:vAnchor="margin" w:yAlign="inline"/>
              <w:ind w:left="0"/>
              <w:rPr>
                <w:color w:val="333F4A"/>
                <w:sz w:val="28"/>
                <w:szCs w:val="28"/>
              </w:rPr>
            </w:pPr>
            <w:r>
              <w:rPr>
                <w:color w:val="333F4A"/>
                <w:sz w:val="28"/>
                <w:szCs w:val="28"/>
              </w:rPr>
              <w:t>January 2023</w:t>
            </w:r>
          </w:p>
        </w:tc>
      </w:tr>
    </w:tbl>
    <w:p w14:paraId="5FF8B863" w14:textId="77777777" w:rsidR="008E7846" w:rsidRPr="007C78CD" w:rsidRDefault="008E7846" w:rsidP="0085156D">
      <w:pPr>
        <w:rPr>
          <w:i/>
          <w:iCs/>
        </w:rPr>
      </w:pPr>
      <w:r w:rsidRPr="0085156D">
        <w:br w:type="page"/>
      </w:r>
    </w:p>
    <w:p w14:paraId="63C68674" w14:textId="77777777" w:rsidR="008E7846" w:rsidRPr="001F6CBA" w:rsidRDefault="008E7846" w:rsidP="008E7846">
      <w:pPr>
        <w:pStyle w:val="NonTOCHeading2"/>
      </w:pPr>
      <w:r w:rsidRPr="001F6CBA">
        <w:t>About the Therapeutic Goods Administration (TGA)</w:t>
      </w:r>
    </w:p>
    <w:p w14:paraId="5220FDD6" w14:textId="77777777" w:rsidR="00AF2313" w:rsidRPr="00391B0C" w:rsidRDefault="00AF2313" w:rsidP="007C78CD">
      <w:pPr>
        <w:pStyle w:val="ListBullet"/>
      </w:pPr>
      <w:r w:rsidRPr="00391B0C">
        <w:t>The Therapeutic Goods Administration (TGA) is part of the Australian Government Department of Health and is responsible for regulating therapeutic goods, including medicines, medical devices, and biologicals.</w:t>
      </w:r>
    </w:p>
    <w:p w14:paraId="56B6D195" w14:textId="77777777" w:rsidR="00AF2313" w:rsidRPr="00391B0C" w:rsidRDefault="00AF2313" w:rsidP="007C78CD">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3E932EF9"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2F7DEB3D" w14:textId="77777777" w:rsidR="00AF2313" w:rsidRPr="003C6D1F" w:rsidRDefault="00AF2313" w:rsidP="007C78CD">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0CB64267" w14:textId="77777777" w:rsidR="00AF2313" w:rsidRDefault="00AF2313" w:rsidP="007C78CD">
      <w:pPr>
        <w:pStyle w:val="ListBullet"/>
      </w:pPr>
      <w:r w:rsidRPr="003C6D1F">
        <w:t xml:space="preserve">To report a problem with a </w:t>
      </w:r>
      <w:r>
        <w:t>therapeutic good</w:t>
      </w:r>
      <w:r w:rsidRPr="003C6D1F">
        <w:t xml:space="preserve">, please see the information on the </w:t>
      </w:r>
      <w:hyperlink r:id="rId11" w:history="1">
        <w:r w:rsidRPr="000F15B4">
          <w:rPr>
            <w:rStyle w:val="Hyperlink"/>
          </w:rPr>
          <w:t>TGA website</w:t>
        </w:r>
      </w:hyperlink>
      <w:r w:rsidRPr="003C6D1F">
        <w:t>.</w:t>
      </w:r>
    </w:p>
    <w:p w14:paraId="471E2895" w14:textId="77777777" w:rsidR="008E7846" w:rsidRDefault="008E7846" w:rsidP="00875A6B">
      <w:pPr>
        <w:pStyle w:val="NonTOCHeading2"/>
      </w:pPr>
      <w:r>
        <w:t>About AusPARs</w:t>
      </w:r>
    </w:p>
    <w:p w14:paraId="6B07BAB0" w14:textId="77777777"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2" w:history="1">
        <w:r w:rsidRPr="005A2EB8">
          <w:rPr>
            <w:rStyle w:val="Hyperlink"/>
          </w:rPr>
          <w:t>Australian Public Assessment Report (AusPAR) guidance</w:t>
        </w:r>
      </w:hyperlink>
      <w:r>
        <w:t>.</w:t>
      </w:r>
    </w:p>
    <w:p w14:paraId="2291D49F" w14:textId="77777777" w:rsidR="00AF2313" w:rsidRPr="003C6D1F" w:rsidRDefault="00AF2313" w:rsidP="00AF2313">
      <w:pPr>
        <w:pStyle w:val="ListBullet"/>
      </w:pPr>
      <w:r w:rsidRPr="003C6D1F">
        <w:t>AusPARs are prepared and published by the TGA.</w:t>
      </w:r>
    </w:p>
    <w:p w14:paraId="4F9693C7" w14:textId="77777777" w:rsidR="00AF2313" w:rsidRPr="003C6D1F" w:rsidRDefault="00AF2313" w:rsidP="00AF2313">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5EB02616"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26B2104E" w14:textId="77777777" w:rsidR="00924482" w:rsidRPr="00DF1D7F" w:rsidRDefault="00924482" w:rsidP="00F54B65">
      <w:pPr>
        <w:pStyle w:val="LegalSubheading"/>
        <w:spacing w:before="3120"/>
      </w:pPr>
      <w:r w:rsidRPr="00DF1D7F">
        <w:t>Copyright</w:t>
      </w:r>
    </w:p>
    <w:p w14:paraId="182852E9" w14:textId="121DB05E"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30791">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14:paraId="5E016E90"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77FB73CF" w14:textId="77777777" w:rsidR="0089635C" w:rsidRPr="0089635C" w:rsidRDefault="0089635C" w:rsidP="0010788A">
          <w:pPr>
            <w:pStyle w:val="Contents"/>
          </w:pPr>
          <w:r w:rsidRPr="0010788A">
            <w:t>Contents</w:t>
          </w:r>
        </w:p>
        <w:p w14:paraId="0472E0BC" w14:textId="6A37C169" w:rsidR="00B14E72"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6332720" w:history="1">
            <w:r w:rsidR="00B14E72" w:rsidRPr="00A1053E">
              <w:rPr>
                <w:rStyle w:val="Hyperlink"/>
                <w:noProof/>
              </w:rPr>
              <w:t>List of abbreviations</w:t>
            </w:r>
            <w:r w:rsidR="00B14E72">
              <w:rPr>
                <w:noProof/>
                <w:webHidden/>
              </w:rPr>
              <w:tab/>
            </w:r>
            <w:r w:rsidR="00B14E72">
              <w:rPr>
                <w:noProof/>
                <w:webHidden/>
              </w:rPr>
              <w:fldChar w:fldCharType="begin"/>
            </w:r>
            <w:r w:rsidR="00B14E72">
              <w:rPr>
                <w:noProof/>
                <w:webHidden/>
              </w:rPr>
              <w:instrText xml:space="preserve"> PAGEREF _Toc126332720 \h </w:instrText>
            </w:r>
            <w:r w:rsidR="00B14E72">
              <w:rPr>
                <w:noProof/>
                <w:webHidden/>
              </w:rPr>
            </w:r>
            <w:r w:rsidR="00B14E72">
              <w:rPr>
                <w:noProof/>
                <w:webHidden/>
              </w:rPr>
              <w:fldChar w:fldCharType="separate"/>
            </w:r>
            <w:r w:rsidR="00B14E72">
              <w:rPr>
                <w:noProof/>
                <w:webHidden/>
              </w:rPr>
              <w:t>4</w:t>
            </w:r>
            <w:r w:rsidR="00B14E72">
              <w:rPr>
                <w:noProof/>
                <w:webHidden/>
              </w:rPr>
              <w:fldChar w:fldCharType="end"/>
            </w:r>
          </w:hyperlink>
        </w:p>
        <w:p w14:paraId="46244C23" w14:textId="310DDC57" w:rsidR="00B14E72" w:rsidRDefault="00F5089D">
          <w:pPr>
            <w:pStyle w:val="TOC1"/>
            <w:rPr>
              <w:rFonts w:asciiTheme="minorHAnsi" w:eastAsiaTheme="minorEastAsia" w:hAnsiTheme="minorHAnsi" w:cstheme="minorBidi"/>
              <w:b w:val="0"/>
              <w:noProof/>
              <w:sz w:val="22"/>
              <w:lang w:eastAsia="en-AU"/>
            </w:rPr>
          </w:pPr>
          <w:hyperlink w:anchor="_Toc126332721" w:history="1">
            <w:r w:rsidR="00B14E72" w:rsidRPr="00A1053E">
              <w:rPr>
                <w:rStyle w:val="Hyperlink"/>
                <w:noProof/>
              </w:rPr>
              <w:t>Product submission</w:t>
            </w:r>
            <w:r w:rsidR="00B14E72">
              <w:rPr>
                <w:noProof/>
                <w:webHidden/>
              </w:rPr>
              <w:tab/>
            </w:r>
            <w:r w:rsidR="00B14E72">
              <w:rPr>
                <w:noProof/>
                <w:webHidden/>
              </w:rPr>
              <w:fldChar w:fldCharType="begin"/>
            </w:r>
            <w:r w:rsidR="00B14E72">
              <w:rPr>
                <w:noProof/>
                <w:webHidden/>
              </w:rPr>
              <w:instrText xml:space="preserve"> PAGEREF _Toc126332721 \h </w:instrText>
            </w:r>
            <w:r w:rsidR="00B14E72">
              <w:rPr>
                <w:noProof/>
                <w:webHidden/>
              </w:rPr>
            </w:r>
            <w:r w:rsidR="00B14E72">
              <w:rPr>
                <w:noProof/>
                <w:webHidden/>
              </w:rPr>
              <w:fldChar w:fldCharType="separate"/>
            </w:r>
            <w:r w:rsidR="00B14E72">
              <w:rPr>
                <w:noProof/>
                <w:webHidden/>
              </w:rPr>
              <w:t>6</w:t>
            </w:r>
            <w:r w:rsidR="00B14E72">
              <w:rPr>
                <w:noProof/>
                <w:webHidden/>
              </w:rPr>
              <w:fldChar w:fldCharType="end"/>
            </w:r>
          </w:hyperlink>
        </w:p>
        <w:p w14:paraId="7989AB42" w14:textId="6223C4D9" w:rsidR="00B14E72" w:rsidRDefault="00F5089D">
          <w:pPr>
            <w:pStyle w:val="TOC2"/>
            <w:rPr>
              <w:rFonts w:asciiTheme="minorHAnsi" w:eastAsiaTheme="minorEastAsia" w:hAnsiTheme="minorHAnsi" w:cstheme="minorBidi"/>
              <w:b w:val="0"/>
              <w:noProof/>
              <w:sz w:val="22"/>
              <w:lang w:eastAsia="en-AU"/>
            </w:rPr>
          </w:pPr>
          <w:hyperlink w:anchor="_Toc126332722" w:history="1">
            <w:r w:rsidR="00B14E72" w:rsidRPr="00A1053E">
              <w:rPr>
                <w:rStyle w:val="Hyperlink"/>
                <w:noProof/>
                <w:lang w:eastAsia="en-AU"/>
              </w:rPr>
              <w:t>Submission details</w:t>
            </w:r>
            <w:r w:rsidR="00B14E72">
              <w:rPr>
                <w:noProof/>
                <w:webHidden/>
              </w:rPr>
              <w:tab/>
            </w:r>
            <w:r w:rsidR="00B14E72">
              <w:rPr>
                <w:noProof/>
                <w:webHidden/>
              </w:rPr>
              <w:fldChar w:fldCharType="begin"/>
            </w:r>
            <w:r w:rsidR="00B14E72">
              <w:rPr>
                <w:noProof/>
                <w:webHidden/>
              </w:rPr>
              <w:instrText xml:space="preserve"> PAGEREF _Toc126332722 \h </w:instrText>
            </w:r>
            <w:r w:rsidR="00B14E72">
              <w:rPr>
                <w:noProof/>
                <w:webHidden/>
              </w:rPr>
            </w:r>
            <w:r w:rsidR="00B14E72">
              <w:rPr>
                <w:noProof/>
                <w:webHidden/>
              </w:rPr>
              <w:fldChar w:fldCharType="separate"/>
            </w:r>
            <w:r w:rsidR="00B14E72">
              <w:rPr>
                <w:noProof/>
                <w:webHidden/>
              </w:rPr>
              <w:t>6</w:t>
            </w:r>
            <w:r w:rsidR="00B14E72">
              <w:rPr>
                <w:noProof/>
                <w:webHidden/>
              </w:rPr>
              <w:fldChar w:fldCharType="end"/>
            </w:r>
          </w:hyperlink>
        </w:p>
        <w:p w14:paraId="317C0D4C" w14:textId="5421BD9D" w:rsidR="00B14E72" w:rsidRDefault="00F5089D">
          <w:pPr>
            <w:pStyle w:val="TOC2"/>
            <w:rPr>
              <w:rFonts w:asciiTheme="minorHAnsi" w:eastAsiaTheme="minorEastAsia" w:hAnsiTheme="minorHAnsi" w:cstheme="minorBidi"/>
              <w:b w:val="0"/>
              <w:noProof/>
              <w:sz w:val="22"/>
              <w:lang w:eastAsia="en-AU"/>
            </w:rPr>
          </w:pPr>
          <w:hyperlink w:anchor="_Toc126332723" w:history="1">
            <w:r w:rsidR="00B14E72" w:rsidRPr="00A1053E">
              <w:rPr>
                <w:rStyle w:val="Hyperlink"/>
                <w:noProof/>
              </w:rPr>
              <w:t>Product background</w:t>
            </w:r>
            <w:r w:rsidR="00B14E72">
              <w:rPr>
                <w:noProof/>
                <w:webHidden/>
              </w:rPr>
              <w:tab/>
            </w:r>
            <w:r w:rsidR="00B14E72">
              <w:rPr>
                <w:noProof/>
                <w:webHidden/>
              </w:rPr>
              <w:fldChar w:fldCharType="begin"/>
            </w:r>
            <w:r w:rsidR="00B14E72">
              <w:rPr>
                <w:noProof/>
                <w:webHidden/>
              </w:rPr>
              <w:instrText xml:space="preserve"> PAGEREF _Toc126332723 \h </w:instrText>
            </w:r>
            <w:r w:rsidR="00B14E72">
              <w:rPr>
                <w:noProof/>
                <w:webHidden/>
              </w:rPr>
            </w:r>
            <w:r w:rsidR="00B14E72">
              <w:rPr>
                <w:noProof/>
                <w:webHidden/>
              </w:rPr>
              <w:fldChar w:fldCharType="separate"/>
            </w:r>
            <w:r w:rsidR="00B14E72">
              <w:rPr>
                <w:noProof/>
                <w:webHidden/>
              </w:rPr>
              <w:t>8</w:t>
            </w:r>
            <w:r w:rsidR="00B14E72">
              <w:rPr>
                <w:noProof/>
                <w:webHidden/>
              </w:rPr>
              <w:fldChar w:fldCharType="end"/>
            </w:r>
          </w:hyperlink>
        </w:p>
        <w:p w14:paraId="7F16DC12" w14:textId="78A87755" w:rsidR="00B14E72" w:rsidRDefault="00F5089D">
          <w:pPr>
            <w:pStyle w:val="TOC2"/>
            <w:rPr>
              <w:rFonts w:asciiTheme="minorHAnsi" w:eastAsiaTheme="minorEastAsia" w:hAnsiTheme="minorHAnsi" w:cstheme="minorBidi"/>
              <w:b w:val="0"/>
              <w:noProof/>
              <w:sz w:val="22"/>
              <w:lang w:eastAsia="en-AU"/>
            </w:rPr>
          </w:pPr>
          <w:hyperlink w:anchor="_Toc126332724" w:history="1">
            <w:r w:rsidR="00B14E72" w:rsidRPr="00A1053E">
              <w:rPr>
                <w:rStyle w:val="Hyperlink"/>
                <w:noProof/>
              </w:rPr>
              <w:t>Regulatory status</w:t>
            </w:r>
            <w:r w:rsidR="00B14E72">
              <w:rPr>
                <w:noProof/>
                <w:webHidden/>
              </w:rPr>
              <w:tab/>
            </w:r>
            <w:r w:rsidR="00B14E72">
              <w:rPr>
                <w:noProof/>
                <w:webHidden/>
              </w:rPr>
              <w:fldChar w:fldCharType="begin"/>
            </w:r>
            <w:r w:rsidR="00B14E72">
              <w:rPr>
                <w:noProof/>
                <w:webHidden/>
              </w:rPr>
              <w:instrText xml:space="preserve"> PAGEREF _Toc126332724 \h </w:instrText>
            </w:r>
            <w:r w:rsidR="00B14E72">
              <w:rPr>
                <w:noProof/>
                <w:webHidden/>
              </w:rPr>
            </w:r>
            <w:r w:rsidR="00B14E72">
              <w:rPr>
                <w:noProof/>
                <w:webHidden/>
              </w:rPr>
              <w:fldChar w:fldCharType="separate"/>
            </w:r>
            <w:r w:rsidR="00B14E72">
              <w:rPr>
                <w:noProof/>
                <w:webHidden/>
              </w:rPr>
              <w:t>12</w:t>
            </w:r>
            <w:r w:rsidR="00B14E72">
              <w:rPr>
                <w:noProof/>
                <w:webHidden/>
              </w:rPr>
              <w:fldChar w:fldCharType="end"/>
            </w:r>
          </w:hyperlink>
        </w:p>
        <w:p w14:paraId="2B0598F9" w14:textId="44FEDFCD" w:rsidR="00B14E72" w:rsidRDefault="00F5089D">
          <w:pPr>
            <w:pStyle w:val="TOC2"/>
            <w:rPr>
              <w:rFonts w:asciiTheme="minorHAnsi" w:eastAsiaTheme="minorEastAsia" w:hAnsiTheme="minorHAnsi" w:cstheme="minorBidi"/>
              <w:b w:val="0"/>
              <w:noProof/>
              <w:sz w:val="22"/>
              <w:lang w:eastAsia="en-AU"/>
            </w:rPr>
          </w:pPr>
          <w:hyperlink w:anchor="_Toc126332725" w:history="1">
            <w:r w:rsidR="00B14E72" w:rsidRPr="00A1053E">
              <w:rPr>
                <w:rStyle w:val="Hyperlink"/>
                <w:noProof/>
              </w:rPr>
              <w:t>Product Information</w:t>
            </w:r>
            <w:r w:rsidR="00B14E72">
              <w:rPr>
                <w:noProof/>
                <w:webHidden/>
              </w:rPr>
              <w:tab/>
            </w:r>
            <w:r w:rsidR="00B14E72">
              <w:rPr>
                <w:noProof/>
                <w:webHidden/>
              </w:rPr>
              <w:fldChar w:fldCharType="begin"/>
            </w:r>
            <w:r w:rsidR="00B14E72">
              <w:rPr>
                <w:noProof/>
                <w:webHidden/>
              </w:rPr>
              <w:instrText xml:space="preserve"> PAGEREF _Toc126332725 \h </w:instrText>
            </w:r>
            <w:r w:rsidR="00B14E72">
              <w:rPr>
                <w:noProof/>
                <w:webHidden/>
              </w:rPr>
            </w:r>
            <w:r w:rsidR="00B14E72">
              <w:rPr>
                <w:noProof/>
                <w:webHidden/>
              </w:rPr>
              <w:fldChar w:fldCharType="separate"/>
            </w:r>
            <w:r w:rsidR="00B14E72">
              <w:rPr>
                <w:noProof/>
                <w:webHidden/>
              </w:rPr>
              <w:t>13</w:t>
            </w:r>
            <w:r w:rsidR="00B14E72">
              <w:rPr>
                <w:noProof/>
                <w:webHidden/>
              </w:rPr>
              <w:fldChar w:fldCharType="end"/>
            </w:r>
          </w:hyperlink>
        </w:p>
        <w:p w14:paraId="10CA5ACE" w14:textId="162BB961" w:rsidR="00B14E72" w:rsidRDefault="00F5089D">
          <w:pPr>
            <w:pStyle w:val="TOC1"/>
            <w:rPr>
              <w:rFonts w:asciiTheme="minorHAnsi" w:eastAsiaTheme="minorEastAsia" w:hAnsiTheme="minorHAnsi" w:cstheme="minorBidi"/>
              <w:b w:val="0"/>
              <w:noProof/>
              <w:sz w:val="22"/>
              <w:lang w:eastAsia="en-AU"/>
            </w:rPr>
          </w:pPr>
          <w:hyperlink w:anchor="_Toc126332726" w:history="1">
            <w:r w:rsidR="00B14E72" w:rsidRPr="00A1053E">
              <w:rPr>
                <w:rStyle w:val="Hyperlink"/>
                <w:noProof/>
              </w:rPr>
              <w:t>Registration timeline</w:t>
            </w:r>
            <w:r w:rsidR="00B14E72">
              <w:rPr>
                <w:noProof/>
                <w:webHidden/>
              </w:rPr>
              <w:tab/>
            </w:r>
            <w:r w:rsidR="00B14E72">
              <w:rPr>
                <w:noProof/>
                <w:webHidden/>
              </w:rPr>
              <w:fldChar w:fldCharType="begin"/>
            </w:r>
            <w:r w:rsidR="00B14E72">
              <w:rPr>
                <w:noProof/>
                <w:webHidden/>
              </w:rPr>
              <w:instrText xml:space="preserve"> PAGEREF _Toc126332726 \h </w:instrText>
            </w:r>
            <w:r w:rsidR="00B14E72">
              <w:rPr>
                <w:noProof/>
                <w:webHidden/>
              </w:rPr>
            </w:r>
            <w:r w:rsidR="00B14E72">
              <w:rPr>
                <w:noProof/>
                <w:webHidden/>
              </w:rPr>
              <w:fldChar w:fldCharType="separate"/>
            </w:r>
            <w:r w:rsidR="00B14E72">
              <w:rPr>
                <w:noProof/>
                <w:webHidden/>
              </w:rPr>
              <w:t>13</w:t>
            </w:r>
            <w:r w:rsidR="00B14E72">
              <w:rPr>
                <w:noProof/>
                <w:webHidden/>
              </w:rPr>
              <w:fldChar w:fldCharType="end"/>
            </w:r>
          </w:hyperlink>
        </w:p>
        <w:p w14:paraId="3E0A5C37" w14:textId="154559A8" w:rsidR="00B14E72" w:rsidRDefault="00F5089D">
          <w:pPr>
            <w:pStyle w:val="TOC1"/>
            <w:rPr>
              <w:rFonts w:asciiTheme="minorHAnsi" w:eastAsiaTheme="minorEastAsia" w:hAnsiTheme="minorHAnsi" w:cstheme="minorBidi"/>
              <w:b w:val="0"/>
              <w:noProof/>
              <w:sz w:val="22"/>
              <w:lang w:eastAsia="en-AU"/>
            </w:rPr>
          </w:pPr>
          <w:hyperlink w:anchor="_Toc126332727" w:history="1">
            <w:r w:rsidR="00B14E72" w:rsidRPr="00A1053E">
              <w:rPr>
                <w:rStyle w:val="Hyperlink"/>
                <w:noProof/>
              </w:rPr>
              <w:t>Submission overview and risk/benefit assessment</w:t>
            </w:r>
            <w:r w:rsidR="00B14E72">
              <w:rPr>
                <w:noProof/>
                <w:webHidden/>
              </w:rPr>
              <w:tab/>
            </w:r>
            <w:r w:rsidR="00B14E72">
              <w:rPr>
                <w:noProof/>
                <w:webHidden/>
              </w:rPr>
              <w:fldChar w:fldCharType="begin"/>
            </w:r>
            <w:r w:rsidR="00B14E72">
              <w:rPr>
                <w:noProof/>
                <w:webHidden/>
              </w:rPr>
              <w:instrText xml:space="preserve"> PAGEREF _Toc126332727 \h </w:instrText>
            </w:r>
            <w:r w:rsidR="00B14E72">
              <w:rPr>
                <w:noProof/>
                <w:webHidden/>
              </w:rPr>
            </w:r>
            <w:r w:rsidR="00B14E72">
              <w:rPr>
                <w:noProof/>
                <w:webHidden/>
              </w:rPr>
              <w:fldChar w:fldCharType="separate"/>
            </w:r>
            <w:r w:rsidR="00B14E72">
              <w:rPr>
                <w:noProof/>
                <w:webHidden/>
              </w:rPr>
              <w:t>14</w:t>
            </w:r>
            <w:r w:rsidR="00B14E72">
              <w:rPr>
                <w:noProof/>
                <w:webHidden/>
              </w:rPr>
              <w:fldChar w:fldCharType="end"/>
            </w:r>
          </w:hyperlink>
        </w:p>
        <w:p w14:paraId="2E80797B" w14:textId="4D4D4D10" w:rsidR="00B14E72" w:rsidRDefault="00F5089D">
          <w:pPr>
            <w:pStyle w:val="TOC2"/>
            <w:rPr>
              <w:rFonts w:asciiTheme="minorHAnsi" w:eastAsiaTheme="minorEastAsia" w:hAnsiTheme="minorHAnsi" w:cstheme="minorBidi"/>
              <w:b w:val="0"/>
              <w:noProof/>
              <w:sz w:val="22"/>
              <w:lang w:eastAsia="en-AU"/>
            </w:rPr>
          </w:pPr>
          <w:hyperlink w:anchor="_Toc126332728" w:history="1">
            <w:r w:rsidR="00B14E72" w:rsidRPr="00A1053E">
              <w:rPr>
                <w:rStyle w:val="Hyperlink"/>
                <w:noProof/>
                <w:lang w:eastAsia="ja-JP"/>
              </w:rPr>
              <w:t>Guidance</w:t>
            </w:r>
            <w:r w:rsidR="00B14E72">
              <w:rPr>
                <w:noProof/>
                <w:webHidden/>
              </w:rPr>
              <w:tab/>
            </w:r>
            <w:r w:rsidR="00B14E72">
              <w:rPr>
                <w:noProof/>
                <w:webHidden/>
              </w:rPr>
              <w:fldChar w:fldCharType="begin"/>
            </w:r>
            <w:r w:rsidR="00B14E72">
              <w:rPr>
                <w:noProof/>
                <w:webHidden/>
              </w:rPr>
              <w:instrText xml:space="preserve"> PAGEREF _Toc126332728 \h </w:instrText>
            </w:r>
            <w:r w:rsidR="00B14E72">
              <w:rPr>
                <w:noProof/>
                <w:webHidden/>
              </w:rPr>
            </w:r>
            <w:r w:rsidR="00B14E72">
              <w:rPr>
                <w:noProof/>
                <w:webHidden/>
              </w:rPr>
              <w:fldChar w:fldCharType="separate"/>
            </w:r>
            <w:r w:rsidR="00B14E72">
              <w:rPr>
                <w:noProof/>
                <w:webHidden/>
              </w:rPr>
              <w:t>14</w:t>
            </w:r>
            <w:r w:rsidR="00B14E72">
              <w:rPr>
                <w:noProof/>
                <w:webHidden/>
              </w:rPr>
              <w:fldChar w:fldCharType="end"/>
            </w:r>
          </w:hyperlink>
        </w:p>
        <w:p w14:paraId="11C132D0" w14:textId="6A641EC6" w:rsidR="00B14E72" w:rsidRDefault="00F5089D">
          <w:pPr>
            <w:pStyle w:val="TOC2"/>
            <w:rPr>
              <w:rFonts w:asciiTheme="minorHAnsi" w:eastAsiaTheme="minorEastAsia" w:hAnsiTheme="minorHAnsi" w:cstheme="minorBidi"/>
              <w:b w:val="0"/>
              <w:noProof/>
              <w:sz w:val="22"/>
              <w:lang w:eastAsia="en-AU"/>
            </w:rPr>
          </w:pPr>
          <w:hyperlink w:anchor="_Toc126332729" w:history="1">
            <w:r w:rsidR="00B14E72" w:rsidRPr="00A1053E">
              <w:rPr>
                <w:rStyle w:val="Hyperlink"/>
                <w:noProof/>
              </w:rPr>
              <w:t>Quality</w:t>
            </w:r>
            <w:r w:rsidR="00B14E72">
              <w:rPr>
                <w:noProof/>
                <w:webHidden/>
              </w:rPr>
              <w:tab/>
            </w:r>
            <w:r w:rsidR="00B14E72">
              <w:rPr>
                <w:noProof/>
                <w:webHidden/>
              </w:rPr>
              <w:fldChar w:fldCharType="begin"/>
            </w:r>
            <w:r w:rsidR="00B14E72">
              <w:rPr>
                <w:noProof/>
                <w:webHidden/>
              </w:rPr>
              <w:instrText xml:space="preserve"> PAGEREF _Toc126332729 \h </w:instrText>
            </w:r>
            <w:r w:rsidR="00B14E72">
              <w:rPr>
                <w:noProof/>
                <w:webHidden/>
              </w:rPr>
            </w:r>
            <w:r w:rsidR="00B14E72">
              <w:rPr>
                <w:noProof/>
                <w:webHidden/>
              </w:rPr>
              <w:fldChar w:fldCharType="separate"/>
            </w:r>
            <w:r w:rsidR="00B14E72">
              <w:rPr>
                <w:noProof/>
                <w:webHidden/>
              </w:rPr>
              <w:t>15</w:t>
            </w:r>
            <w:r w:rsidR="00B14E72">
              <w:rPr>
                <w:noProof/>
                <w:webHidden/>
              </w:rPr>
              <w:fldChar w:fldCharType="end"/>
            </w:r>
          </w:hyperlink>
        </w:p>
        <w:p w14:paraId="3BC701D9" w14:textId="1A229BDF" w:rsidR="00B14E72" w:rsidRDefault="00F5089D">
          <w:pPr>
            <w:pStyle w:val="TOC2"/>
            <w:rPr>
              <w:rFonts w:asciiTheme="minorHAnsi" w:eastAsiaTheme="minorEastAsia" w:hAnsiTheme="minorHAnsi" w:cstheme="minorBidi"/>
              <w:b w:val="0"/>
              <w:noProof/>
              <w:sz w:val="22"/>
              <w:lang w:eastAsia="en-AU"/>
            </w:rPr>
          </w:pPr>
          <w:hyperlink w:anchor="_Toc126332730" w:history="1">
            <w:r w:rsidR="00B14E72" w:rsidRPr="00A1053E">
              <w:rPr>
                <w:rStyle w:val="Hyperlink"/>
                <w:noProof/>
              </w:rPr>
              <w:t>Nonclinical</w:t>
            </w:r>
            <w:r w:rsidR="00B14E72">
              <w:rPr>
                <w:noProof/>
                <w:webHidden/>
              </w:rPr>
              <w:tab/>
            </w:r>
            <w:r w:rsidR="00B14E72">
              <w:rPr>
                <w:noProof/>
                <w:webHidden/>
              </w:rPr>
              <w:fldChar w:fldCharType="begin"/>
            </w:r>
            <w:r w:rsidR="00B14E72">
              <w:rPr>
                <w:noProof/>
                <w:webHidden/>
              </w:rPr>
              <w:instrText xml:space="preserve"> PAGEREF _Toc126332730 \h </w:instrText>
            </w:r>
            <w:r w:rsidR="00B14E72">
              <w:rPr>
                <w:noProof/>
                <w:webHidden/>
              </w:rPr>
            </w:r>
            <w:r w:rsidR="00B14E72">
              <w:rPr>
                <w:noProof/>
                <w:webHidden/>
              </w:rPr>
              <w:fldChar w:fldCharType="separate"/>
            </w:r>
            <w:r w:rsidR="00B14E72">
              <w:rPr>
                <w:noProof/>
                <w:webHidden/>
              </w:rPr>
              <w:t>15</w:t>
            </w:r>
            <w:r w:rsidR="00B14E72">
              <w:rPr>
                <w:noProof/>
                <w:webHidden/>
              </w:rPr>
              <w:fldChar w:fldCharType="end"/>
            </w:r>
          </w:hyperlink>
        </w:p>
        <w:p w14:paraId="5C9EA2B8" w14:textId="1DBDCC25" w:rsidR="00B14E72" w:rsidRDefault="00F5089D">
          <w:pPr>
            <w:pStyle w:val="TOC2"/>
            <w:rPr>
              <w:rFonts w:asciiTheme="minorHAnsi" w:eastAsiaTheme="minorEastAsia" w:hAnsiTheme="minorHAnsi" w:cstheme="minorBidi"/>
              <w:b w:val="0"/>
              <w:noProof/>
              <w:sz w:val="22"/>
              <w:lang w:eastAsia="en-AU"/>
            </w:rPr>
          </w:pPr>
          <w:hyperlink w:anchor="_Toc126332731" w:history="1">
            <w:r w:rsidR="00B14E72" w:rsidRPr="00A1053E">
              <w:rPr>
                <w:rStyle w:val="Hyperlink"/>
                <w:noProof/>
              </w:rPr>
              <w:t>Clinical</w:t>
            </w:r>
            <w:r w:rsidR="00B14E72">
              <w:rPr>
                <w:noProof/>
                <w:webHidden/>
              </w:rPr>
              <w:tab/>
            </w:r>
            <w:r w:rsidR="00B14E72">
              <w:rPr>
                <w:noProof/>
                <w:webHidden/>
              </w:rPr>
              <w:fldChar w:fldCharType="begin"/>
            </w:r>
            <w:r w:rsidR="00B14E72">
              <w:rPr>
                <w:noProof/>
                <w:webHidden/>
              </w:rPr>
              <w:instrText xml:space="preserve"> PAGEREF _Toc126332731 \h </w:instrText>
            </w:r>
            <w:r w:rsidR="00B14E72">
              <w:rPr>
                <w:noProof/>
                <w:webHidden/>
              </w:rPr>
            </w:r>
            <w:r w:rsidR="00B14E72">
              <w:rPr>
                <w:noProof/>
                <w:webHidden/>
              </w:rPr>
              <w:fldChar w:fldCharType="separate"/>
            </w:r>
            <w:r w:rsidR="00B14E72">
              <w:rPr>
                <w:noProof/>
                <w:webHidden/>
              </w:rPr>
              <w:t>16</w:t>
            </w:r>
            <w:r w:rsidR="00B14E72">
              <w:rPr>
                <w:noProof/>
                <w:webHidden/>
              </w:rPr>
              <w:fldChar w:fldCharType="end"/>
            </w:r>
          </w:hyperlink>
        </w:p>
        <w:p w14:paraId="4CD55239" w14:textId="4A244E93" w:rsidR="00B14E72" w:rsidRDefault="00F5089D">
          <w:pPr>
            <w:pStyle w:val="TOC2"/>
            <w:rPr>
              <w:rFonts w:asciiTheme="minorHAnsi" w:eastAsiaTheme="minorEastAsia" w:hAnsiTheme="minorHAnsi" w:cstheme="minorBidi"/>
              <w:b w:val="0"/>
              <w:noProof/>
              <w:sz w:val="22"/>
              <w:lang w:eastAsia="en-AU"/>
            </w:rPr>
          </w:pPr>
          <w:hyperlink w:anchor="_Toc126332732" w:history="1">
            <w:r w:rsidR="00B14E72" w:rsidRPr="00A1053E">
              <w:rPr>
                <w:rStyle w:val="Hyperlink"/>
                <w:noProof/>
                <w:lang w:eastAsia="en-AU"/>
              </w:rPr>
              <w:t>Risk management plan</w:t>
            </w:r>
            <w:r w:rsidR="00B14E72">
              <w:rPr>
                <w:noProof/>
                <w:webHidden/>
              </w:rPr>
              <w:tab/>
            </w:r>
            <w:r w:rsidR="00B14E72">
              <w:rPr>
                <w:noProof/>
                <w:webHidden/>
              </w:rPr>
              <w:fldChar w:fldCharType="begin"/>
            </w:r>
            <w:r w:rsidR="00B14E72">
              <w:rPr>
                <w:noProof/>
                <w:webHidden/>
              </w:rPr>
              <w:instrText xml:space="preserve"> PAGEREF _Toc126332732 \h </w:instrText>
            </w:r>
            <w:r w:rsidR="00B14E72">
              <w:rPr>
                <w:noProof/>
                <w:webHidden/>
              </w:rPr>
            </w:r>
            <w:r w:rsidR="00B14E72">
              <w:rPr>
                <w:noProof/>
                <w:webHidden/>
              </w:rPr>
              <w:fldChar w:fldCharType="separate"/>
            </w:r>
            <w:r w:rsidR="00B14E72">
              <w:rPr>
                <w:noProof/>
                <w:webHidden/>
              </w:rPr>
              <w:t>25</w:t>
            </w:r>
            <w:r w:rsidR="00B14E72">
              <w:rPr>
                <w:noProof/>
                <w:webHidden/>
              </w:rPr>
              <w:fldChar w:fldCharType="end"/>
            </w:r>
          </w:hyperlink>
        </w:p>
        <w:p w14:paraId="2EC02555" w14:textId="27873165" w:rsidR="00B14E72" w:rsidRDefault="00F5089D">
          <w:pPr>
            <w:pStyle w:val="TOC2"/>
            <w:rPr>
              <w:rFonts w:asciiTheme="minorHAnsi" w:eastAsiaTheme="minorEastAsia" w:hAnsiTheme="minorHAnsi" w:cstheme="minorBidi"/>
              <w:b w:val="0"/>
              <w:noProof/>
              <w:sz w:val="22"/>
              <w:lang w:eastAsia="en-AU"/>
            </w:rPr>
          </w:pPr>
          <w:hyperlink w:anchor="_Toc126332733" w:history="1">
            <w:r w:rsidR="00B14E72" w:rsidRPr="00A1053E">
              <w:rPr>
                <w:rStyle w:val="Hyperlink"/>
                <w:noProof/>
              </w:rPr>
              <w:t>Risk-benefit analysis</w:t>
            </w:r>
            <w:r w:rsidR="00B14E72">
              <w:rPr>
                <w:noProof/>
                <w:webHidden/>
              </w:rPr>
              <w:tab/>
            </w:r>
            <w:r w:rsidR="00B14E72">
              <w:rPr>
                <w:noProof/>
                <w:webHidden/>
              </w:rPr>
              <w:fldChar w:fldCharType="begin"/>
            </w:r>
            <w:r w:rsidR="00B14E72">
              <w:rPr>
                <w:noProof/>
                <w:webHidden/>
              </w:rPr>
              <w:instrText xml:space="preserve"> PAGEREF _Toc126332733 \h </w:instrText>
            </w:r>
            <w:r w:rsidR="00B14E72">
              <w:rPr>
                <w:noProof/>
                <w:webHidden/>
              </w:rPr>
            </w:r>
            <w:r w:rsidR="00B14E72">
              <w:rPr>
                <w:noProof/>
                <w:webHidden/>
              </w:rPr>
              <w:fldChar w:fldCharType="separate"/>
            </w:r>
            <w:r w:rsidR="00B14E72">
              <w:rPr>
                <w:noProof/>
                <w:webHidden/>
              </w:rPr>
              <w:t>26</w:t>
            </w:r>
            <w:r w:rsidR="00B14E72">
              <w:rPr>
                <w:noProof/>
                <w:webHidden/>
              </w:rPr>
              <w:fldChar w:fldCharType="end"/>
            </w:r>
          </w:hyperlink>
        </w:p>
        <w:p w14:paraId="1C64F271" w14:textId="1F27B683" w:rsidR="00B14E72" w:rsidRDefault="00F5089D">
          <w:pPr>
            <w:pStyle w:val="TOC1"/>
            <w:rPr>
              <w:rFonts w:asciiTheme="minorHAnsi" w:eastAsiaTheme="minorEastAsia" w:hAnsiTheme="minorHAnsi" w:cstheme="minorBidi"/>
              <w:b w:val="0"/>
              <w:noProof/>
              <w:sz w:val="22"/>
              <w:lang w:eastAsia="en-AU"/>
            </w:rPr>
          </w:pPr>
          <w:hyperlink w:anchor="_Toc126332734" w:history="1">
            <w:r w:rsidR="00B14E72" w:rsidRPr="00A1053E">
              <w:rPr>
                <w:rStyle w:val="Hyperlink"/>
                <w:noProof/>
              </w:rPr>
              <w:t>Outcome</w:t>
            </w:r>
            <w:r w:rsidR="00B14E72">
              <w:rPr>
                <w:noProof/>
                <w:webHidden/>
              </w:rPr>
              <w:tab/>
            </w:r>
            <w:r w:rsidR="00B14E72">
              <w:rPr>
                <w:noProof/>
                <w:webHidden/>
              </w:rPr>
              <w:fldChar w:fldCharType="begin"/>
            </w:r>
            <w:r w:rsidR="00B14E72">
              <w:rPr>
                <w:noProof/>
                <w:webHidden/>
              </w:rPr>
              <w:instrText xml:space="preserve"> PAGEREF _Toc126332734 \h </w:instrText>
            </w:r>
            <w:r w:rsidR="00B14E72">
              <w:rPr>
                <w:noProof/>
                <w:webHidden/>
              </w:rPr>
            </w:r>
            <w:r w:rsidR="00B14E72">
              <w:rPr>
                <w:noProof/>
                <w:webHidden/>
              </w:rPr>
              <w:fldChar w:fldCharType="separate"/>
            </w:r>
            <w:r w:rsidR="00B14E72">
              <w:rPr>
                <w:noProof/>
                <w:webHidden/>
              </w:rPr>
              <w:t>29</w:t>
            </w:r>
            <w:r w:rsidR="00B14E72">
              <w:rPr>
                <w:noProof/>
                <w:webHidden/>
              </w:rPr>
              <w:fldChar w:fldCharType="end"/>
            </w:r>
          </w:hyperlink>
        </w:p>
        <w:p w14:paraId="67B5943E" w14:textId="18AAD5C4" w:rsidR="00B14E72" w:rsidRDefault="00F5089D">
          <w:pPr>
            <w:pStyle w:val="TOC1"/>
            <w:rPr>
              <w:rFonts w:asciiTheme="minorHAnsi" w:eastAsiaTheme="minorEastAsia" w:hAnsiTheme="minorHAnsi" w:cstheme="minorBidi"/>
              <w:b w:val="0"/>
              <w:noProof/>
              <w:sz w:val="22"/>
              <w:lang w:eastAsia="en-AU"/>
            </w:rPr>
          </w:pPr>
          <w:hyperlink w:anchor="_Toc126332735" w:history="1">
            <w:r w:rsidR="00B14E72" w:rsidRPr="00A1053E">
              <w:rPr>
                <w:rStyle w:val="Hyperlink"/>
                <w:noProof/>
              </w:rPr>
              <w:t>Attachment 1. Product Information</w:t>
            </w:r>
            <w:r w:rsidR="00B14E72">
              <w:rPr>
                <w:noProof/>
                <w:webHidden/>
              </w:rPr>
              <w:tab/>
            </w:r>
            <w:r w:rsidR="00B14E72">
              <w:rPr>
                <w:noProof/>
                <w:webHidden/>
              </w:rPr>
              <w:fldChar w:fldCharType="begin"/>
            </w:r>
            <w:r w:rsidR="00B14E72">
              <w:rPr>
                <w:noProof/>
                <w:webHidden/>
              </w:rPr>
              <w:instrText xml:space="preserve"> PAGEREF _Toc126332735 \h </w:instrText>
            </w:r>
            <w:r w:rsidR="00B14E72">
              <w:rPr>
                <w:noProof/>
                <w:webHidden/>
              </w:rPr>
            </w:r>
            <w:r w:rsidR="00B14E72">
              <w:rPr>
                <w:noProof/>
                <w:webHidden/>
              </w:rPr>
              <w:fldChar w:fldCharType="separate"/>
            </w:r>
            <w:r w:rsidR="00B14E72">
              <w:rPr>
                <w:noProof/>
                <w:webHidden/>
              </w:rPr>
              <w:t>30</w:t>
            </w:r>
            <w:r w:rsidR="00B14E72">
              <w:rPr>
                <w:noProof/>
                <w:webHidden/>
              </w:rPr>
              <w:fldChar w:fldCharType="end"/>
            </w:r>
          </w:hyperlink>
        </w:p>
        <w:p w14:paraId="767444A1" w14:textId="3C04FB65" w:rsidR="003A7F6C" w:rsidRPr="00B811C6" w:rsidRDefault="00C525A2" w:rsidP="00EB36D6">
          <w:r>
            <w:fldChar w:fldCharType="end"/>
          </w:r>
        </w:p>
      </w:sdtContent>
    </w:sdt>
    <w:bookmarkStart w:id="2" w:name="_Toc314842482" w:displacedByCustomXml="prev"/>
    <w:p w14:paraId="6579CDDF" w14:textId="77777777" w:rsidR="00FD119B" w:rsidRDefault="00FD119B">
      <w:pPr>
        <w:spacing w:before="0" w:after="200" w:line="0" w:lineRule="auto"/>
      </w:pPr>
      <w:r>
        <w:br w:type="page"/>
      </w:r>
    </w:p>
    <w:p w14:paraId="0CDBC7BF" w14:textId="5D1CFE20" w:rsidR="00AF2313" w:rsidRDefault="00AF2313" w:rsidP="00AF2313">
      <w:pPr>
        <w:pStyle w:val="Heading2"/>
      </w:pPr>
      <w:bookmarkStart w:id="3" w:name="_Toc98931917"/>
      <w:bookmarkStart w:id="4" w:name="_Toc126332720"/>
      <w:r>
        <w:lastRenderedPageBreak/>
        <w:t>List of abbreviations</w:t>
      </w:r>
      <w:bookmarkEnd w:id="3"/>
      <w:bookmarkEnd w:id="4"/>
    </w:p>
    <w:tbl>
      <w:tblPr>
        <w:tblStyle w:val="TableTGAblue"/>
        <w:tblW w:w="0" w:type="auto"/>
        <w:tblLook w:val="04A0" w:firstRow="1" w:lastRow="0" w:firstColumn="1" w:lastColumn="0" w:noHBand="0" w:noVBand="1"/>
      </w:tblPr>
      <w:tblGrid>
        <w:gridCol w:w="1796"/>
        <w:gridCol w:w="6688"/>
      </w:tblGrid>
      <w:tr w:rsidR="009A6E1B" w:rsidRPr="00FD119B" w14:paraId="5D056954" w14:textId="77777777" w:rsidTr="00FE268F">
        <w:trPr>
          <w:cnfStyle w:val="100000000000" w:firstRow="1" w:lastRow="0" w:firstColumn="0" w:lastColumn="0" w:oddVBand="0" w:evenVBand="0" w:oddHBand="0" w:evenHBand="0" w:firstRowFirstColumn="0" w:firstRowLastColumn="0" w:lastRowFirstColumn="0" w:lastRowLastColumn="0"/>
        </w:trPr>
        <w:tc>
          <w:tcPr>
            <w:tcW w:w="1796" w:type="dxa"/>
          </w:tcPr>
          <w:p w14:paraId="16C48995" w14:textId="77777777" w:rsidR="009A6E1B" w:rsidRPr="00FD119B" w:rsidRDefault="009A6E1B">
            <w:pPr>
              <w:keepNext w:val="0"/>
              <w:ind w:left="0" w:right="0"/>
              <w:rPr>
                <w:szCs w:val="22"/>
                <w:lang w:eastAsia="en-US"/>
              </w:rPr>
            </w:pPr>
            <w:r w:rsidRPr="00FD119B">
              <w:rPr>
                <w:szCs w:val="22"/>
                <w:lang w:eastAsia="en-US"/>
              </w:rPr>
              <w:t>Abbreviation</w:t>
            </w:r>
          </w:p>
        </w:tc>
        <w:tc>
          <w:tcPr>
            <w:tcW w:w="6688" w:type="dxa"/>
          </w:tcPr>
          <w:p w14:paraId="0CDEDE5E" w14:textId="77777777" w:rsidR="009A6E1B" w:rsidRPr="00FD119B" w:rsidRDefault="009A6E1B">
            <w:pPr>
              <w:keepNext w:val="0"/>
              <w:ind w:left="0" w:right="0"/>
              <w:rPr>
                <w:szCs w:val="22"/>
                <w:lang w:eastAsia="en-US"/>
              </w:rPr>
            </w:pPr>
            <w:r w:rsidRPr="00FD119B">
              <w:rPr>
                <w:szCs w:val="22"/>
                <w:lang w:eastAsia="en-US"/>
              </w:rPr>
              <w:t>Meaning</w:t>
            </w:r>
          </w:p>
        </w:tc>
      </w:tr>
      <w:tr w:rsidR="009A6E1B" w:rsidRPr="00FD119B" w14:paraId="525318B1" w14:textId="77777777" w:rsidTr="00FE268F">
        <w:tc>
          <w:tcPr>
            <w:tcW w:w="1796" w:type="dxa"/>
          </w:tcPr>
          <w:p w14:paraId="33A6A9A9" w14:textId="77777777" w:rsidR="009A6E1B" w:rsidRPr="00F505FD" w:rsidRDefault="009A6E1B">
            <w:r>
              <w:t>ACV</w:t>
            </w:r>
          </w:p>
        </w:tc>
        <w:tc>
          <w:tcPr>
            <w:tcW w:w="6688" w:type="dxa"/>
          </w:tcPr>
          <w:p w14:paraId="1BC792B0" w14:textId="77777777" w:rsidR="009A6E1B" w:rsidRPr="00967D8E" w:rsidRDefault="009A6E1B">
            <w:r>
              <w:t>Advisory Committee on Vaccines</w:t>
            </w:r>
          </w:p>
        </w:tc>
      </w:tr>
      <w:tr w:rsidR="009A6E1B" w:rsidRPr="00FD119B" w14:paraId="475DE1E5" w14:textId="77777777" w:rsidTr="00FE268F">
        <w:tc>
          <w:tcPr>
            <w:tcW w:w="1796" w:type="dxa"/>
          </w:tcPr>
          <w:p w14:paraId="58E72553" w14:textId="77777777" w:rsidR="009A6E1B" w:rsidRPr="00F505FD" w:rsidRDefault="009A6E1B">
            <w:r>
              <w:t>ASA</w:t>
            </w:r>
          </w:p>
        </w:tc>
        <w:tc>
          <w:tcPr>
            <w:tcW w:w="6688" w:type="dxa"/>
          </w:tcPr>
          <w:p w14:paraId="368FD7FD" w14:textId="77777777" w:rsidR="009A6E1B" w:rsidRPr="00967D8E" w:rsidRDefault="009A6E1B">
            <w:r>
              <w:t>Australian specific Annex</w:t>
            </w:r>
          </w:p>
        </w:tc>
      </w:tr>
      <w:tr w:rsidR="009A6E1B" w:rsidRPr="00FD119B" w14:paraId="05E6B4C1" w14:textId="77777777" w:rsidTr="00FE268F">
        <w:tc>
          <w:tcPr>
            <w:tcW w:w="1796" w:type="dxa"/>
          </w:tcPr>
          <w:p w14:paraId="2396C92B" w14:textId="77777777" w:rsidR="009A6E1B" w:rsidRPr="00F505FD" w:rsidRDefault="009A6E1B">
            <w:r w:rsidRPr="00F505FD">
              <w:t>CI</w:t>
            </w:r>
          </w:p>
        </w:tc>
        <w:tc>
          <w:tcPr>
            <w:tcW w:w="6688" w:type="dxa"/>
          </w:tcPr>
          <w:p w14:paraId="6AB03B7A" w14:textId="77777777" w:rsidR="009A6E1B" w:rsidRPr="00F505FD" w:rsidRDefault="009A6E1B">
            <w:r>
              <w:t>C</w:t>
            </w:r>
            <w:r w:rsidRPr="00967D8E">
              <w:t>onfidence interval</w:t>
            </w:r>
          </w:p>
        </w:tc>
      </w:tr>
      <w:tr w:rsidR="009A6E1B" w:rsidRPr="00FD119B" w14:paraId="0B160E9F" w14:textId="77777777" w:rsidTr="00FE268F">
        <w:tc>
          <w:tcPr>
            <w:tcW w:w="1796" w:type="dxa"/>
          </w:tcPr>
          <w:p w14:paraId="1407EC72" w14:textId="77777777" w:rsidR="009A6E1B" w:rsidRDefault="009A6E1B">
            <w:r>
              <w:t>DLP</w:t>
            </w:r>
          </w:p>
        </w:tc>
        <w:tc>
          <w:tcPr>
            <w:tcW w:w="6688" w:type="dxa"/>
          </w:tcPr>
          <w:p w14:paraId="0F069886" w14:textId="77777777" w:rsidR="009A6E1B" w:rsidRPr="00967D8E" w:rsidRDefault="009A6E1B">
            <w:r>
              <w:t>Data lock point</w:t>
            </w:r>
          </w:p>
        </w:tc>
      </w:tr>
      <w:tr w:rsidR="009A6E1B" w:rsidRPr="00FD119B" w14:paraId="3B3AF384" w14:textId="77777777" w:rsidTr="00FE268F">
        <w:tc>
          <w:tcPr>
            <w:tcW w:w="1796" w:type="dxa"/>
          </w:tcPr>
          <w:p w14:paraId="683B973E" w14:textId="77777777" w:rsidR="009A6E1B" w:rsidRPr="00F505FD" w:rsidRDefault="009A6E1B">
            <w:r w:rsidRPr="00F505FD">
              <w:t>DTP</w:t>
            </w:r>
          </w:p>
        </w:tc>
        <w:tc>
          <w:tcPr>
            <w:tcW w:w="6688" w:type="dxa"/>
          </w:tcPr>
          <w:p w14:paraId="5126092D" w14:textId="77777777" w:rsidR="009A6E1B" w:rsidRPr="00F505FD" w:rsidRDefault="009A6E1B">
            <w:r w:rsidRPr="00967D8E">
              <w:t xml:space="preserve">Diphtheria, </w:t>
            </w:r>
            <w:r>
              <w:t>t</w:t>
            </w:r>
            <w:r w:rsidRPr="00967D8E">
              <w:t xml:space="preserve">etanus, and whole cell </w:t>
            </w:r>
            <w:r>
              <w:t>p</w:t>
            </w:r>
            <w:r w:rsidRPr="00967D8E">
              <w:t>ertussis</w:t>
            </w:r>
            <w:r>
              <w:t xml:space="preserve"> (vaccine)</w:t>
            </w:r>
          </w:p>
        </w:tc>
      </w:tr>
      <w:tr w:rsidR="009A6E1B" w:rsidRPr="00FD119B" w14:paraId="608669F6" w14:textId="77777777" w:rsidTr="00FE268F">
        <w:tc>
          <w:tcPr>
            <w:tcW w:w="1796" w:type="dxa"/>
          </w:tcPr>
          <w:p w14:paraId="5F9CE592" w14:textId="77777777" w:rsidR="009A6E1B" w:rsidRPr="00F505FD" w:rsidRDefault="009A6E1B">
            <w:r>
              <w:t>DT</w:t>
            </w:r>
            <w:r w:rsidRPr="00F505FD">
              <w:t>P</w:t>
            </w:r>
            <w:r>
              <w:t>a</w:t>
            </w:r>
          </w:p>
        </w:tc>
        <w:tc>
          <w:tcPr>
            <w:tcW w:w="6688" w:type="dxa"/>
          </w:tcPr>
          <w:p w14:paraId="1DA7782F" w14:textId="6ACF36E2" w:rsidR="008A0659" w:rsidRDefault="00330791" w:rsidP="008A0659">
            <w:r w:rsidRPr="008A0659">
              <w:t xml:space="preserve">Combination </w:t>
            </w:r>
            <w:r w:rsidR="008A0659">
              <w:t xml:space="preserve">(paediatric formulation) </w:t>
            </w:r>
            <w:r w:rsidRPr="008A0659">
              <w:t>vaccine against d</w:t>
            </w:r>
            <w:r w:rsidR="009A6E1B" w:rsidRPr="008A0659">
              <w:t>iphtheria, tetanus, and pertussis</w:t>
            </w:r>
            <w:r w:rsidRPr="008A0659">
              <w:t xml:space="preserve"> (note, </w:t>
            </w:r>
            <w:r w:rsidR="008A0659">
              <w:t>uppercase</w:t>
            </w:r>
            <w:r w:rsidRPr="00403AB2">
              <w:t xml:space="preserve"> ‘</w:t>
            </w:r>
            <w:r w:rsidR="008A0659" w:rsidRPr="008A0659">
              <w:t>D</w:t>
            </w:r>
            <w:r w:rsidRPr="00403AB2">
              <w:t>’ and ‘</w:t>
            </w:r>
            <w:r w:rsidR="008A0659" w:rsidRPr="008A0659">
              <w:t>P</w:t>
            </w:r>
            <w:r w:rsidRPr="00403AB2">
              <w:t>’</w:t>
            </w:r>
            <w:r w:rsidR="008A0659" w:rsidRPr="008A0659">
              <w:t xml:space="preserve"> indicate </w:t>
            </w:r>
            <w:r w:rsidR="008A0659">
              <w:t>substantially</w:t>
            </w:r>
            <w:r w:rsidR="008A0659" w:rsidRPr="008A0659">
              <w:t xml:space="preserve"> </w:t>
            </w:r>
            <w:r w:rsidR="008A0659">
              <w:t>greater</w:t>
            </w:r>
            <w:r w:rsidRPr="00403AB2">
              <w:t xml:space="preserve"> concentrations of diphtheria toxoids and pert</w:t>
            </w:r>
            <w:r w:rsidR="008A0659" w:rsidRPr="00403AB2">
              <w:t>ussis antigens</w:t>
            </w:r>
            <w:r w:rsidR="008A0659">
              <w:t xml:space="preserve"> as compared with dTpa vaccine formulations (see below)</w:t>
            </w:r>
            <w:r w:rsidR="008A0659" w:rsidRPr="008A0659">
              <w:t xml:space="preserve">; </w:t>
            </w:r>
            <w:r w:rsidR="008A0659" w:rsidRPr="00403AB2">
              <w:t>‘a’ in ‘Pa’</w:t>
            </w:r>
            <w:r w:rsidRPr="00403AB2">
              <w:t xml:space="preserve"> indicates that the </w:t>
            </w:r>
            <w:r w:rsidR="008A0659" w:rsidRPr="008A0659">
              <w:t>pertussis toxoids are acellular</w:t>
            </w:r>
          </w:p>
          <w:p w14:paraId="211FEAFB" w14:textId="02676E32" w:rsidR="009A6E1B" w:rsidRPr="00F505FD" w:rsidRDefault="008A0659">
            <w:r>
              <w:t xml:space="preserve">Also known as DTaP </w:t>
            </w:r>
            <w:r w:rsidR="00310B86">
              <w:t>or</w:t>
            </w:r>
            <w:r>
              <w:t xml:space="preserve"> TDaP</w:t>
            </w:r>
            <w:r w:rsidR="00310B86">
              <w:t xml:space="preserve"> vaccine</w:t>
            </w:r>
          </w:p>
        </w:tc>
      </w:tr>
      <w:tr w:rsidR="008A0659" w:rsidRPr="00FD119B" w14:paraId="2177BC79" w14:textId="77777777" w:rsidTr="00FE268F">
        <w:tc>
          <w:tcPr>
            <w:tcW w:w="1796" w:type="dxa"/>
          </w:tcPr>
          <w:p w14:paraId="736390BD" w14:textId="0997E069" w:rsidR="008A0659" w:rsidRDefault="008A0659">
            <w:r>
              <w:t>dTpa</w:t>
            </w:r>
          </w:p>
        </w:tc>
        <w:tc>
          <w:tcPr>
            <w:tcW w:w="6688" w:type="dxa"/>
          </w:tcPr>
          <w:p w14:paraId="2B6A64D6" w14:textId="3CD491AF" w:rsidR="008A0659" w:rsidRDefault="008A0659" w:rsidP="008A0659">
            <w:r w:rsidRPr="008A0659">
              <w:t xml:space="preserve">Combination </w:t>
            </w:r>
            <w:r>
              <w:t xml:space="preserve">(adult formulation) </w:t>
            </w:r>
            <w:r w:rsidRPr="008A0659">
              <w:t xml:space="preserve">vaccine against diphtheria, tetanus, and pertussis (note, </w:t>
            </w:r>
            <w:r>
              <w:t>lower</w:t>
            </w:r>
            <w:r w:rsidRPr="001C574D">
              <w:t xml:space="preserve">case ‘d’ and ‘p’ indicate </w:t>
            </w:r>
            <w:r>
              <w:t xml:space="preserve">substantially </w:t>
            </w:r>
            <w:r w:rsidRPr="001C574D">
              <w:t>smaller concentrations of diphtheria toxoids and pert</w:t>
            </w:r>
            <w:r>
              <w:t xml:space="preserve">ussis antigens as compared with DTPa vaccine formulations (see above); </w:t>
            </w:r>
            <w:r w:rsidRPr="001C574D">
              <w:t>‘a’ in ‘</w:t>
            </w:r>
            <w:r>
              <w:t>p</w:t>
            </w:r>
            <w:r w:rsidRPr="001C574D">
              <w:t xml:space="preserve">a’ indicates that the </w:t>
            </w:r>
            <w:r w:rsidRPr="008A0659">
              <w:t>pertussis toxoids are acellular</w:t>
            </w:r>
          </w:p>
          <w:p w14:paraId="4DB485A4" w14:textId="258DF04E" w:rsidR="008A0659" w:rsidRPr="00403AB2" w:rsidRDefault="00310B86" w:rsidP="00310B86">
            <w:r>
              <w:t>Also known as dTap vaccine</w:t>
            </w:r>
          </w:p>
        </w:tc>
      </w:tr>
      <w:tr w:rsidR="004D7396" w:rsidRPr="00FD119B" w14:paraId="7930B3C0" w14:textId="77777777" w:rsidTr="00FE268F">
        <w:tc>
          <w:tcPr>
            <w:tcW w:w="1796" w:type="dxa"/>
          </w:tcPr>
          <w:p w14:paraId="0E5FF42C" w14:textId="5C784399" w:rsidR="004D7396" w:rsidRDefault="004D7396">
            <w:r>
              <w:t>EMA</w:t>
            </w:r>
          </w:p>
        </w:tc>
        <w:tc>
          <w:tcPr>
            <w:tcW w:w="6688" w:type="dxa"/>
          </w:tcPr>
          <w:p w14:paraId="1226E520" w14:textId="12596DAE" w:rsidR="004D7396" w:rsidRPr="008A0659" w:rsidRDefault="004D7396" w:rsidP="008A0659">
            <w:r>
              <w:t>European Medicines Agency (European Union)</w:t>
            </w:r>
          </w:p>
        </w:tc>
      </w:tr>
      <w:tr w:rsidR="009A6E1B" w:rsidRPr="00FD119B" w14:paraId="4DD1710C" w14:textId="77777777" w:rsidTr="00FE268F">
        <w:tc>
          <w:tcPr>
            <w:tcW w:w="1796" w:type="dxa"/>
          </w:tcPr>
          <w:p w14:paraId="4E022F5B" w14:textId="77777777" w:rsidR="009A6E1B" w:rsidRDefault="009A6E1B">
            <w:r>
              <w:t>EU</w:t>
            </w:r>
          </w:p>
        </w:tc>
        <w:tc>
          <w:tcPr>
            <w:tcW w:w="6688" w:type="dxa"/>
          </w:tcPr>
          <w:p w14:paraId="44DF83D6" w14:textId="77777777" w:rsidR="009A6E1B" w:rsidRDefault="009A6E1B">
            <w:r>
              <w:t>European Union</w:t>
            </w:r>
          </w:p>
        </w:tc>
      </w:tr>
      <w:tr w:rsidR="009A6E1B" w:rsidRPr="00FD119B" w14:paraId="2256E124" w14:textId="77777777" w:rsidTr="00FE268F">
        <w:tc>
          <w:tcPr>
            <w:tcW w:w="1796" w:type="dxa"/>
          </w:tcPr>
          <w:p w14:paraId="76EABE0F" w14:textId="77777777" w:rsidR="009A6E1B" w:rsidRDefault="009A6E1B">
            <w:r>
              <w:t>EU-RMP</w:t>
            </w:r>
          </w:p>
        </w:tc>
        <w:tc>
          <w:tcPr>
            <w:tcW w:w="6688" w:type="dxa"/>
          </w:tcPr>
          <w:p w14:paraId="268A4A73" w14:textId="77777777" w:rsidR="009A6E1B" w:rsidRDefault="009A6E1B">
            <w:r>
              <w:t>European Union-Risk Management Plan</w:t>
            </w:r>
          </w:p>
        </w:tc>
      </w:tr>
      <w:tr w:rsidR="009A6E1B" w:rsidRPr="00FD119B" w14:paraId="151F84EF" w14:textId="77777777" w:rsidTr="00FE268F">
        <w:tc>
          <w:tcPr>
            <w:tcW w:w="1796" w:type="dxa"/>
          </w:tcPr>
          <w:p w14:paraId="7A07E0DD" w14:textId="77777777" w:rsidR="009A6E1B" w:rsidRPr="00F505FD" w:rsidRDefault="009A6E1B">
            <w:r>
              <w:t>FDA</w:t>
            </w:r>
          </w:p>
        </w:tc>
        <w:tc>
          <w:tcPr>
            <w:tcW w:w="6688" w:type="dxa"/>
          </w:tcPr>
          <w:p w14:paraId="1B4A86BB" w14:textId="54FB349A" w:rsidR="009A6E1B" w:rsidRDefault="009A6E1B" w:rsidP="00310B86">
            <w:r>
              <w:t>Food and Drug Administration (</w:t>
            </w:r>
            <w:r w:rsidR="00310B86">
              <w:t>United States of America)</w:t>
            </w:r>
          </w:p>
        </w:tc>
      </w:tr>
      <w:tr w:rsidR="009A6E1B" w:rsidRPr="00FD119B" w14:paraId="0392B89F" w14:textId="77777777" w:rsidTr="00FE268F">
        <w:tc>
          <w:tcPr>
            <w:tcW w:w="1796" w:type="dxa"/>
          </w:tcPr>
          <w:p w14:paraId="753B85DC" w14:textId="77777777" w:rsidR="009A6E1B" w:rsidRPr="00F505FD" w:rsidRDefault="009A6E1B">
            <w:r>
              <w:t>FHA</w:t>
            </w:r>
          </w:p>
        </w:tc>
        <w:tc>
          <w:tcPr>
            <w:tcW w:w="6688" w:type="dxa"/>
          </w:tcPr>
          <w:p w14:paraId="078B3C3E" w14:textId="77777777" w:rsidR="009A6E1B" w:rsidRPr="00F505FD" w:rsidRDefault="009A6E1B">
            <w:r w:rsidRPr="00967D8E">
              <w:t>Filamentous h</w:t>
            </w:r>
            <w:r>
              <w:t>aemagglutinin</w:t>
            </w:r>
          </w:p>
        </w:tc>
      </w:tr>
      <w:tr w:rsidR="00310B86" w:rsidRPr="00FD119B" w14:paraId="137DC4E5" w14:textId="77777777" w:rsidTr="00FE268F">
        <w:tc>
          <w:tcPr>
            <w:tcW w:w="1796" w:type="dxa"/>
          </w:tcPr>
          <w:p w14:paraId="5F070E84" w14:textId="147387D9" w:rsidR="00310B86" w:rsidRDefault="00310B86">
            <w:r>
              <w:t>HA</w:t>
            </w:r>
          </w:p>
        </w:tc>
        <w:tc>
          <w:tcPr>
            <w:tcW w:w="6688" w:type="dxa"/>
          </w:tcPr>
          <w:p w14:paraId="2CC4C31C" w14:textId="69332DEC" w:rsidR="00310B86" w:rsidRPr="00967D8E" w:rsidRDefault="00310B86">
            <w:r>
              <w:t>Haemagglutinin</w:t>
            </w:r>
          </w:p>
        </w:tc>
      </w:tr>
      <w:tr w:rsidR="006F4BD8" w:rsidRPr="00FD119B" w14:paraId="0E7401AC" w14:textId="77777777" w:rsidTr="00FE268F">
        <w:tc>
          <w:tcPr>
            <w:tcW w:w="1796" w:type="dxa"/>
          </w:tcPr>
          <w:p w14:paraId="3E5F4D83" w14:textId="591E5484" w:rsidR="006F4BD8" w:rsidRDefault="006F4BD8">
            <w:r>
              <w:t>HBsAg</w:t>
            </w:r>
          </w:p>
        </w:tc>
        <w:tc>
          <w:tcPr>
            <w:tcW w:w="6688" w:type="dxa"/>
          </w:tcPr>
          <w:p w14:paraId="692D6B23" w14:textId="441DD9E1" w:rsidR="006F4BD8" w:rsidRPr="00967D8E" w:rsidRDefault="006F4BD8">
            <w:r w:rsidRPr="004D7396">
              <w:t xml:space="preserve">Hepatitis B </w:t>
            </w:r>
            <w:r>
              <w:t xml:space="preserve">surface </w:t>
            </w:r>
            <w:r w:rsidR="00310B86">
              <w:t>a</w:t>
            </w:r>
            <w:r>
              <w:t>ntigen</w:t>
            </w:r>
          </w:p>
        </w:tc>
      </w:tr>
      <w:tr w:rsidR="00310B86" w:rsidRPr="00FD119B" w14:paraId="65F991E0" w14:textId="77777777" w:rsidTr="00FE268F">
        <w:tc>
          <w:tcPr>
            <w:tcW w:w="1796" w:type="dxa"/>
          </w:tcPr>
          <w:p w14:paraId="2FA3100F" w14:textId="6176BA70" w:rsidR="00310B86" w:rsidRDefault="00310B86">
            <w:r>
              <w:t>HBV</w:t>
            </w:r>
          </w:p>
        </w:tc>
        <w:tc>
          <w:tcPr>
            <w:tcW w:w="6688" w:type="dxa"/>
          </w:tcPr>
          <w:p w14:paraId="1DABE193" w14:textId="4D556A22" w:rsidR="00310B86" w:rsidRPr="004D7396" w:rsidRDefault="00310B86">
            <w:r w:rsidRPr="004D7396">
              <w:t>Hepatitis B virus</w:t>
            </w:r>
          </w:p>
        </w:tc>
      </w:tr>
      <w:tr w:rsidR="009A6E1B" w:rsidRPr="00FD119B" w14:paraId="307A9E6A" w14:textId="77777777" w:rsidTr="00FE268F">
        <w:tc>
          <w:tcPr>
            <w:tcW w:w="1796" w:type="dxa"/>
          </w:tcPr>
          <w:p w14:paraId="58AE0B17" w14:textId="77777777" w:rsidR="009A6E1B" w:rsidRPr="00F505FD" w:rsidRDefault="009A6E1B">
            <w:r>
              <w:t>Hib</w:t>
            </w:r>
          </w:p>
        </w:tc>
        <w:tc>
          <w:tcPr>
            <w:tcW w:w="6688" w:type="dxa"/>
          </w:tcPr>
          <w:p w14:paraId="27EC54B6" w14:textId="7DADAF48" w:rsidR="009A6E1B" w:rsidRPr="00967D8E" w:rsidRDefault="009A6E1B">
            <w:r w:rsidRPr="00403AB2">
              <w:rPr>
                <w:i/>
              </w:rPr>
              <w:t>Haemophilus influenza</w:t>
            </w:r>
            <w:r w:rsidR="00310B86" w:rsidRPr="00403AB2">
              <w:rPr>
                <w:i/>
              </w:rPr>
              <w:t>e</w:t>
            </w:r>
            <w:r w:rsidRPr="00967D8E">
              <w:t xml:space="preserve"> type b</w:t>
            </w:r>
          </w:p>
        </w:tc>
      </w:tr>
      <w:tr w:rsidR="006F4BD8" w:rsidRPr="00C14EBC" w14:paraId="741C463C" w14:textId="77777777" w:rsidTr="00FE268F">
        <w:tc>
          <w:tcPr>
            <w:tcW w:w="1796" w:type="dxa"/>
          </w:tcPr>
          <w:p w14:paraId="0BE5835E" w14:textId="4D24B278" w:rsidR="006F4BD8" w:rsidRDefault="006F4BD8">
            <w:r>
              <w:t>IPV</w:t>
            </w:r>
          </w:p>
        </w:tc>
        <w:tc>
          <w:tcPr>
            <w:tcW w:w="6688" w:type="dxa"/>
          </w:tcPr>
          <w:p w14:paraId="7EED63D8" w14:textId="65B89800" w:rsidR="006F4BD8" w:rsidRPr="00C42479" w:rsidRDefault="006F4BD8">
            <w:pPr>
              <w:rPr>
                <w:lang w:val="it-IT"/>
              </w:rPr>
            </w:pPr>
            <w:r w:rsidRPr="00C42479">
              <w:rPr>
                <w:lang w:val="it-IT"/>
              </w:rPr>
              <w:t>Inactivated Vero Trivalent Polio</w:t>
            </w:r>
            <w:r w:rsidR="00042B3F" w:rsidRPr="00C42479">
              <w:rPr>
                <w:lang w:val="it-IT"/>
              </w:rPr>
              <w:t xml:space="preserve"> </w:t>
            </w:r>
            <w:r w:rsidRPr="00C42479">
              <w:rPr>
                <w:lang w:val="it-IT"/>
              </w:rPr>
              <w:t>vaccine</w:t>
            </w:r>
          </w:p>
        </w:tc>
      </w:tr>
      <w:tr w:rsidR="003674AA" w:rsidRPr="00FD119B" w14:paraId="0DB73D2B" w14:textId="77777777" w:rsidTr="00FE268F">
        <w:tc>
          <w:tcPr>
            <w:tcW w:w="1796" w:type="dxa"/>
          </w:tcPr>
          <w:p w14:paraId="78823781" w14:textId="592B7E16" w:rsidR="003674AA" w:rsidRDefault="003674AA">
            <w:r>
              <w:t>IU</w:t>
            </w:r>
          </w:p>
        </w:tc>
        <w:tc>
          <w:tcPr>
            <w:tcW w:w="6688" w:type="dxa"/>
          </w:tcPr>
          <w:p w14:paraId="369859BB" w14:textId="4B128FC7" w:rsidR="003674AA" w:rsidRDefault="003674AA">
            <w:r>
              <w:t>International units</w:t>
            </w:r>
          </w:p>
        </w:tc>
      </w:tr>
      <w:tr w:rsidR="009A6E1B" w:rsidRPr="00FD119B" w14:paraId="0952214E" w14:textId="77777777" w:rsidTr="00FE268F">
        <w:tc>
          <w:tcPr>
            <w:tcW w:w="1796" w:type="dxa"/>
          </w:tcPr>
          <w:p w14:paraId="007AF617" w14:textId="77777777" w:rsidR="009A6E1B" w:rsidRPr="00F505FD" w:rsidRDefault="009A6E1B">
            <w:r>
              <w:lastRenderedPageBreak/>
              <w:t>LBS</w:t>
            </w:r>
          </w:p>
        </w:tc>
        <w:tc>
          <w:tcPr>
            <w:tcW w:w="6688" w:type="dxa"/>
          </w:tcPr>
          <w:p w14:paraId="083F8EB3" w14:textId="77777777" w:rsidR="009A6E1B" w:rsidRPr="00F505FD" w:rsidRDefault="009A6E1B">
            <w:r>
              <w:t>L</w:t>
            </w:r>
            <w:r w:rsidRPr="00967D8E">
              <w:t xml:space="preserve">iterature based submission </w:t>
            </w:r>
          </w:p>
        </w:tc>
      </w:tr>
      <w:tr w:rsidR="009A6E1B" w:rsidRPr="00FD119B" w14:paraId="27AC1D51" w14:textId="77777777" w:rsidTr="00FE268F">
        <w:tc>
          <w:tcPr>
            <w:tcW w:w="1796" w:type="dxa"/>
          </w:tcPr>
          <w:p w14:paraId="2ED455C3" w14:textId="77777777" w:rsidR="009A6E1B" w:rsidRPr="00F505FD" w:rsidRDefault="009A6E1B">
            <w:r>
              <w:t>PRN</w:t>
            </w:r>
          </w:p>
        </w:tc>
        <w:tc>
          <w:tcPr>
            <w:tcW w:w="6688" w:type="dxa"/>
          </w:tcPr>
          <w:p w14:paraId="22EAE050" w14:textId="77777777" w:rsidR="009A6E1B" w:rsidRPr="00F505FD" w:rsidRDefault="009A6E1B">
            <w:r>
              <w:t>Pertactin</w:t>
            </w:r>
          </w:p>
        </w:tc>
      </w:tr>
      <w:tr w:rsidR="009A6E1B" w:rsidRPr="00FD119B" w14:paraId="1586C8DF" w14:textId="77777777" w:rsidTr="00FE268F">
        <w:tc>
          <w:tcPr>
            <w:tcW w:w="1796" w:type="dxa"/>
          </w:tcPr>
          <w:p w14:paraId="10ED69C2" w14:textId="77777777" w:rsidR="009A6E1B" w:rsidRPr="00F505FD" w:rsidRDefault="009A6E1B">
            <w:r>
              <w:t>PT</w:t>
            </w:r>
          </w:p>
        </w:tc>
        <w:tc>
          <w:tcPr>
            <w:tcW w:w="6688" w:type="dxa"/>
          </w:tcPr>
          <w:p w14:paraId="7EFEF194" w14:textId="77777777" w:rsidR="009A6E1B" w:rsidRPr="00F505FD" w:rsidRDefault="009A6E1B">
            <w:r w:rsidRPr="00967D8E">
              <w:t xml:space="preserve">Pertussis </w:t>
            </w:r>
            <w:r>
              <w:t>t</w:t>
            </w:r>
            <w:r w:rsidRPr="00967D8E">
              <w:t>oxin</w:t>
            </w:r>
          </w:p>
        </w:tc>
      </w:tr>
      <w:tr w:rsidR="009A6E1B" w:rsidRPr="00FD119B" w14:paraId="077E5F0C" w14:textId="77777777" w:rsidTr="00FE268F">
        <w:tc>
          <w:tcPr>
            <w:tcW w:w="1796" w:type="dxa"/>
          </w:tcPr>
          <w:p w14:paraId="6ED4C5E3" w14:textId="77777777" w:rsidR="009A6E1B" w:rsidRPr="00F505FD" w:rsidRDefault="009A6E1B">
            <w:r>
              <w:t>RMP</w:t>
            </w:r>
          </w:p>
        </w:tc>
        <w:tc>
          <w:tcPr>
            <w:tcW w:w="6688" w:type="dxa"/>
          </w:tcPr>
          <w:p w14:paraId="73B87C1D" w14:textId="77777777" w:rsidR="009A6E1B" w:rsidRPr="00967D8E" w:rsidRDefault="009A6E1B">
            <w:r>
              <w:t>Risk management plan</w:t>
            </w:r>
          </w:p>
        </w:tc>
      </w:tr>
      <w:tr w:rsidR="009A6E1B" w:rsidRPr="00FD119B" w14:paraId="15816BF5" w14:textId="77777777" w:rsidTr="00FE268F">
        <w:tc>
          <w:tcPr>
            <w:tcW w:w="1796" w:type="dxa"/>
          </w:tcPr>
          <w:p w14:paraId="5945DA29" w14:textId="241CBBE9" w:rsidR="009A6E1B" w:rsidRPr="00F505FD" w:rsidRDefault="009A6E1B">
            <w:r>
              <w:t>US</w:t>
            </w:r>
            <w:r w:rsidR="00FE268F">
              <w:t>A</w:t>
            </w:r>
          </w:p>
        </w:tc>
        <w:tc>
          <w:tcPr>
            <w:tcW w:w="6688" w:type="dxa"/>
          </w:tcPr>
          <w:p w14:paraId="67CF4470" w14:textId="2F6782C4" w:rsidR="009A6E1B" w:rsidRPr="00F505FD" w:rsidRDefault="009A6E1B">
            <w:r>
              <w:t>United States</w:t>
            </w:r>
            <w:r w:rsidR="00310B86">
              <w:t xml:space="preserve"> of America</w:t>
            </w:r>
          </w:p>
        </w:tc>
      </w:tr>
      <w:tr w:rsidR="009A6E1B" w:rsidRPr="00FD119B" w14:paraId="35412C90" w14:textId="77777777" w:rsidTr="00FE268F">
        <w:tc>
          <w:tcPr>
            <w:tcW w:w="1796" w:type="dxa"/>
          </w:tcPr>
          <w:p w14:paraId="45431F7D" w14:textId="77777777" w:rsidR="009A6E1B" w:rsidRPr="00F505FD" w:rsidRDefault="009A6E1B">
            <w:r>
              <w:t>WHO</w:t>
            </w:r>
          </w:p>
        </w:tc>
        <w:tc>
          <w:tcPr>
            <w:tcW w:w="6688" w:type="dxa"/>
          </w:tcPr>
          <w:p w14:paraId="3B1BD182" w14:textId="77777777" w:rsidR="009A6E1B" w:rsidRPr="00F505FD" w:rsidRDefault="009A6E1B">
            <w:r>
              <w:t>World Health Organization</w:t>
            </w:r>
          </w:p>
        </w:tc>
      </w:tr>
    </w:tbl>
    <w:p w14:paraId="1500C852" w14:textId="77777777" w:rsidR="00E30B80" w:rsidRDefault="00E30B80">
      <w:pPr>
        <w:spacing w:before="0" w:after="200" w:line="0" w:lineRule="auto"/>
        <w:rPr>
          <w:rFonts w:ascii="Arial" w:eastAsia="Times New Roman" w:hAnsi="Arial"/>
          <w:b/>
          <w:bCs/>
          <w:sz w:val="32"/>
          <w:szCs w:val="26"/>
        </w:rPr>
      </w:pPr>
      <w:r>
        <w:br w:type="page"/>
      </w:r>
    </w:p>
    <w:p w14:paraId="5F315F69" w14:textId="2D64F466" w:rsidR="008E7846" w:rsidRDefault="009F2673" w:rsidP="008E7846">
      <w:pPr>
        <w:pStyle w:val="Heading2"/>
      </w:pPr>
      <w:bookmarkStart w:id="5" w:name="_Toc126332721"/>
      <w:r>
        <w:lastRenderedPageBreak/>
        <w:t>Pr</w:t>
      </w:r>
      <w:r w:rsidR="008E7846">
        <w:t>oduct submission</w:t>
      </w:r>
      <w:bookmarkEnd w:id="5"/>
      <w:bookmarkEnd w:id="2"/>
      <w:bookmarkEnd w:id="0"/>
    </w:p>
    <w:p w14:paraId="48E63BB0" w14:textId="77777777" w:rsidR="008E7846" w:rsidRDefault="008E7846" w:rsidP="009E5A87">
      <w:pPr>
        <w:pStyle w:val="Heading3"/>
        <w:rPr>
          <w:lang w:eastAsia="en-AU"/>
        </w:rPr>
      </w:pPr>
      <w:bookmarkStart w:id="6" w:name="_Toc247691502"/>
      <w:bookmarkStart w:id="7" w:name="_Toc314842483"/>
      <w:bookmarkStart w:id="8" w:name="_Toc126332722"/>
      <w:r>
        <w:rPr>
          <w:lang w:eastAsia="en-AU"/>
        </w:rPr>
        <w:t>Submission details</w:t>
      </w:r>
      <w:bookmarkEnd w:id="6"/>
      <w:bookmarkEnd w:id="7"/>
      <w:bookmarkEnd w:id="8"/>
    </w:p>
    <w:tbl>
      <w:tblPr>
        <w:tblW w:w="5239" w:type="pct"/>
        <w:tblLook w:val="01E0" w:firstRow="1" w:lastRow="1" w:firstColumn="1" w:lastColumn="1" w:noHBand="0" w:noVBand="0"/>
      </w:tblPr>
      <w:tblGrid>
        <w:gridCol w:w="2682"/>
        <w:gridCol w:w="6228"/>
      </w:tblGrid>
      <w:tr w:rsidR="009F2673" w:rsidRPr="003D1E62" w14:paraId="7F9E4EC1" w14:textId="77777777" w:rsidTr="00403AB2">
        <w:tc>
          <w:tcPr>
            <w:tcW w:w="1505" w:type="pct"/>
          </w:tcPr>
          <w:p w14:paraId="438CA2DB" w14:textId="77777777" w:rsidR="009F2673" w:rsidRPr="003D1E62" w:rsidRDefault="009F2673" w:rsidP="009E5A87">
            <w:pPr>
              <w:rPr>
                <w:i/>
              </w:rPr>
            </w:pPr>
            <w:r>
              <w:rPr>
                <w:i/>
              </w:rPr>
              <w:t>Type of s</w:t>
            </w:r>
            <w:r w:rsidRPr="003D1E62">
              <w:rPr>
                <w:i/>
              </w:rPr>
              <w:t>ubmission</w:t>
            </w:r>
            <w:r>
              <w:rPr>
                <w:i/>
              </w:rPr>
              <w:t>:</w:t>
            </w:r>
          </w:p>
        </w:tc>
        <w:tc>
          <w:tcPr>
            <w:tcW w:w="3495" w:type="pct"/>
          </w:tcPr>
          <w:p w14:paraId="0550962F" w14:textId="0A2CB518" w:rsidR="009F2673" w:rsidRPr="003D1E62" w:rsidRDefault="009F2673" w:rsidP="009E5A87">
            <w:r w:rsidRPr="003D1E62">
              <w:t xml:space="preserve">New </w:t>
            </w:r>
            <w:r w:rsidR="0060638D">
              <w:t>biological medicine</w:t>
            </w:r>
          </w:p>
        </w:tc>
      </w:tr>
      <w:tr w:rsidR="009F2673" w:rsidRPr="003D1E62" w14:paraId="193C9393" w14:textId="77777777" w:rsidTr="00403AB2">
        <w:tc>
          <w:tcPr>
            <w:tcW w:w="1505" w:type="pct"/>
          </w:tcPr>
          <w:p w14:paraId="77403F77" w14:textId="483C66BA" w:rsidR="009F2673" w:rsidRPr="003D1E62" w:rsidRDefault="009F2673" w:rsidP="009E5A87">
            <w:pPr>
              <w:rPr>
                <w:i/>
              </w:rPr>
            </w:pPr>
            <w:r w:rsidRPr="00460036">
              <w:rPr>
                <w:i/>
              </w:rPr>
              <w:t>Product name:</w:t>
            </w:r>
          </w:p>
        </w:tc>
        <w:tc>
          <w:tcPr>
            <w:tcW w:w="3495" w:type="pct"/>
          </w:tcPr>
          <w:p w14:paraId="76CFB415" w14:textId="04067036" w:rsidR="009F2673" w:rsidRPr="00B20D99" w:rsidRDefault="00986A2D" w:rsidP="00B20D99">
            <w:r w:rsidRPr="00B20D99">
              <w:t>Vaxelis</w:t>
            </w:r>
          </w:p>
        </w:tc>
      </w:tr>
      <w:tr w:rsidR="009F2673" w:rsidRPr="003D1E62" w14:paraId="51A07903" w14:textId="77777777" w:rsidTr="00403AB2">
        <w:tc>
          <w:tcPr>
            <w:tcW w:w="1505" w:type="pct"/>
          </w:tcPr>
          <w:p w14:paraId="43F63150" w14:textId="6DF52EDB" w:rsidR="009F2673" w:rsidRPr="003D1E62" w:rsidRDefault="009F2673" w:rsidP="009E5A87">
            <w:pPr>
              <w:rPr>
                <w:i/>
              </w:rPr>
            </w:pPr>
            <w:r w:rsidRPr="00460036">
              <w:rPr>
                <w:i/>
              </w:rPr>
              <w:t>Active ingredients:</w:t>
            </w:r>
          </w:p>
        </w:tc>
        <w:tc>
          <w:tcPr>
            <w:tcW w:w="3495" w:type="pct"/>
          </w:tcPr>
          <w:p w14:paraId="56CEABC5" w14:textId="34671913" w:rsidR="00986A2D" w:rsidRPr="00FE268F" w:rsidRDefault="00986A2D" w:rsidP="00B20D99">
            <w:pPr>
              <w:rPr>
                <w:highlight w:val="yellow"/>
              </w:rPr>
            </w:pPr>
            <w:r w:rsidRPr="00FE268F">
              <w:t>Diphtheria, tetanus, pertussis</w:t>
            </w:r>
            <w:r w:rsidR="00B202F0">
              <w:t xml:space="preserve"> (acellular, component)</w:t>
            </w:r>
            <w:r w:rsidRPr="00FE268F">
              <w:t>, hepatitis B</w:t>
            </w:r>
            <w:r w:rsidR="00B202F0">
              <w:t xml:space="preserve"> (rDNA)</w:t>
            </w:r>
            <w:r w:rsidRPr="00FE268F">
              <w:t xml:space="preserve">, poliovirus </w:t>
            </w:r>
            <w:r w:rsidR="00B202F0">
              <w:t xml:space="preserve">(inactivated) </w:t>
            </w:r>
            <w:r w:rsidRPr="00FE268F">
              <w:t xml:space="preserve">and </w:t>
            </w:r>
            <w:r w:rsidR="00FE268F">
              <w:t>h</w:t>
            </w:r>
            <w:r w:rsidRPr="00FE268F">
              <w:t>aemophilus influenzae type b conjugate vaccin</w:t>
            </w:r>
            <w:r w:rsidR="005034A1" w:rsidRPr="00FE268F">
              <w:t>e</w:t>
            </w:r>
            <w:r w:rsidR="00B202F0">
              <w:t xml:space="preserve"> (adsorbed)</w:t>
            </w:r>
          </w:p>
        </w:tc>
      </w:tr>
      <w:tr w:rsidR="009F2673" w:rsidRPr="003D1E62" w14:paraId="73526508" w14:textId="77777777" w:rsidTr="00403AB2">
        <w:tc>
          <w:tcPr>
            <w:tcW w:w="1505" w:type="pct"/>
          </w:tcPr>
          <w:p w14:paraId="144F36C4" w14:textId="77777777" w:rsidR="009F2673" w:rsidRPr="009F2673" w:rsidRDefault="009F2673" w:rsidP="009E5A87">
            <w:pPr>
              <w:rPr>
                <w:i/>
              </w:rPr>
            </w:pPr>
            <w:r w:rsidRPr="003D1E62">
              <w:rPr>
                <w:i/>
              </w:rPr>
              <w:t>Decision</w:t>
            </w:r>
            <w:r w:rsidRPr="009F2673">
              <w:rPr>
                <w:i/>
              </w:rPr>
              <w:t>:</w:t>
            </w:r>
          </w:p>
        </w:tc>
        <w:tc>
          <w:tcPr>
            <w:tcW w:w="3495" w:type="pct"/>
          </w:tcPr>
          <w:p w14:paraId="3DF4CC67" w14:textId="55450972" w:rsidR="009F2673" w:rsidRPr="003D1E62" w:rsidRDefault="009F2673" w:rsidP="009E5A87">
            <w:r w:rsidRPr="00460036">
              <w:t>Approved</w:t>
            </w:r>
          </w:p>
        </w:tc>
      </w:tr>
      <w:tr w:rsidR="009F2673" w:rsidRPr="003D1E62" w14:paraId="7968B526" w14:textId="77777777" w:rsidTr="00403AB2">
        <w:tc>
          <w:tcPr>
            <w:tcW w:w="1505" w:type="pct"/>
          </w:tcPr>
          <w:p w14:paraId="3AFAC709" w14:textId="77777777" w:rsidR="009F2673" w:rsidRPr="003D1E62" w:rsidRDefault="009F2673" w:rsidP="009E5A87">
            <w:pPr>
              <w:rPr>
                <w:i/>
              </w:rPr>
            </w:pPr>
            <w:r w:rsidRPr="003D1E62">
              <w:rPr>
                <w:i/>
              </w:rPr>
              <w:t xml:space="preserve">Date of </w:t>
            </w:r>
            <w:r>
              <w:rPr>
                <w:i/>
              </w:rPr>
              <w:t>d</w:t>
            </w:r>
            <w:r w:rsidRPr="003D1E62">
              <w:rPr>
                <w:i/>
              </w:rPr>
              <w:t>ecision:</w:t>
            </w:r>
          </w:p>
        </w:tc>
        <w:tc>
          <w:tcPr>
            <w:tcW w:w="3495" w:type="pct"/>
          </w:tcPr>
          <w:p w14:paraId="41B28A19" w14:textId="23F0732B" w:rsidR="009F2673" w:rsidRPr="003D1E62" w:rsidRDefault="00B20D99" w:rsidP="009E5A87">
            <w:r>
              <w:t>22 March 2022</w:t>
            </w:r>
          </w:p>
        </w:tc>
      </w:tr>
      <w:tr w:rsidR="009F2673" w:rsidRPr="003D1E62" w14:paraId="29D40278" w14:textId="77777777" w:rsidTr="00403AB2">
        <w:tc>
          <w:tcPr>
            <w:tcW w:w="1505" w:type="pct"/>
          </w:tcPr>
          <w:p w14:paraId="40FA6B5D" w14:textId="77777777" w:rsidR="009F2673" w:rsidRPr="00441C3F" w:rsidRDefault="009F2673" w:rsidP="009E5A87">
            <w:pPr>
              <w:rPr>
                <w:i/>
              </w:rPr>
            </w:pPr>
            <w:r w:rsidRPr="00441C3F">
              <w:rPr>
                <w:i/>
              </w:rPr>
              <w:t>Date of entry onto ARTG</w:t>
            </w:r>
            <w:r>
              <w:rPr>
                <w:i/>
              </w:rPr>
              <w:t>:</w:t>
            </w:r>
          </w:p>
        </w:tc>
        <w:tc>
          <w:tcPr>
            <w:tcW w:w="3495" w:type="pct"/>
          </w:tcPr>
          <w:p w14:paraId="61F5B2AA" w14:textId="22D79DE3" w:rsidR="009F2673" w:rsidRPr="009F2673" w:rsidRDefault="00B20D99" w:rsidP="009E5A87">
            <w:r>
              <w:t>23 March 2022</w:t>
            </w:r>
          </w:p>
        </w:tc>
      </w:tr>
      <w:tr w:rsidR="009F2673" w:rsidRPr="003D1E62" w14:paraId="4CEC14C5" w14:textId="77777777" w:rsidTr="00403AB2">
        <w:tc>
          <w:tcPr>
            <w:tcW w:w="1505" w:type="pct"/>
          </w:tcPr>
          <w:p w14:paraId="456F7FD9" w14:textId="46A8A097" w:rsidR="009F2673" w:rsidRPr="00441C3F" w:rsidRDefault="009F2673" w:rsidP="009E5A87">
            <w:pPr>
              <w:rPr>
                <w:i/>
              </w:rPr>
            </w:pPr>
            <w:r>
              <w:rPr>
                <w:i/>
              </w:rPr>
              <w:t>ARTG numbers:</w:t>
            </w:r>
          </w:p>
        </w:tc>
        <w:tc>
          <w:tcPr>
            <w:tcW w:w="3495" w:type="pct"/>
          </w:tcPr>
          <w:p w14:paraId="618881E5" w14:textId="7F38D925" w:rsidR="009F2673" w:rsidRPr="009B66CF" w:rsidRDefault="00B20D99" w:rsidP="009B66CF">
            <w:r w:rsidRPr="009B66CF">
              <w:t>363251 and 364413</w:t>
            </w:r>
          </w:p>
        </w:tc>
      </w:tr>
      <w:tr w:rsidR="009F2673" w:rsidRPr="003D1E62" w14:paraId="3D58CB28" w14:textId="77777777" w:rsidTr="00403AB2">
        <w:tc>
          <w:tcPr>
            <w:tcW w:w="1505" w:type="pct"/>
          </w:tcPr>
          <w:p w14:paraId="17E59698" w14:textId="77777777" w:rsidR="009F2673" w:rsidRDefault="001B1DA4" w:rsidP="009E5A87">
            <w:pPr>
              <w:rPr>
                <w:i/>
              </w:rPr>
            </w:pPr>
            <w:r>
              <w:rPr>
                <w:rFonts w:ascii="Wingdings 3" w:hAnsi="Wingdings 3"/>
                <w:sz w:val="34"/>
                <w:szCs w:val="34"/>
                <w:lang w:eastAsia="en-AU"/>
              </w:rPr>
              <w:t></w:t>
            </w:r>
            <w:hyperlink r:id="rId17" w:history="1">
              <w:r w:rsidR="009F2673" w:rsidRPr="009F2673">
                <w:rPr>
                  <w:rStyle w:val="Hyperlink"/>
                  <w:i/>
                </w:rPr>
                <w:t>Black Triangle Scheme</w:t>
              </w:r>
            </w:hyperlink>
            <w:r w:rsidR="009F2673">
              <w:rPr>
                <w:i/>
              </w:rPr>
              <w:t>:</w:t>
            </w:r>
          </w:p>
        </w:tc>
        <w:tc>
          <w:tcPr>
            <w:tcW w:w="3495" w:type="pct"/>
          </w:tcPr>
          <w:p w14:paraId="5DCF1491" w14:textId="3F5220F3" w:rsidR="009F2673" w:rsidRPr="00E30B80" w:rsidRDefault="009F2673" w:rsidP="009E5A87">
            <w:r w:rsidRPr="00E30B80">
              <w:t>Yes</w:t>
            </w:r>
          </w:p>
          <w:p w14:paraId="7B1DB294" w14:textId="0A6CAA78" w:rsidR="009F2673" w:rsidRPr="00E30B80" w:rsidRDefault="009F2673" w:rsidP="00B20D99">
            <w:r w:rsidRPr="00E30B80">
              <w:t>This product will remain in the scheme for 5 years, starting on the date the product is first supplied in Australia</w:t>
            </w:r>
            <w:r w:rsidR="00B20D99" w:rsidRPr="00E30B80">
              <w:t>.</w:t>
            </w:r>
          </w:p>
        </w:tc>
      </w:tr>
      <w:tr w:rsidR="009F2673" w:rsidRPr="003D1E62" w14:paraId="5F11A0C5" w14:textId="77777777" w:rsidTr="00403AB2">
        <w:tc>
          <w:tcPr>
            <w:tcW w:w="1505" w:type="pct"/>
          </w:tcPr>
          <w:p w14:paraId="12768CE2"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95" w:type="pct"/>
          </w:tcPr>
          <w:tbl>
            <w:tblPr>
              <w:tblW w:w="0" w:type="auto"/>
              <w:tblBorders>
                <w:top w:val="nil"/>
                <w:left w:val="nil"/>
                <w:bottom w:val="nil"/>
                <w:right w:val="nil"/>
              </w:tblBorders>
              <w:tblLook w:val="0000" w:firstRow="0" w:lastRow="0" w:firstColumn="0" w:lastColumn="0" w:noHBand="0" w:noVBand="0"/>
            </w:tblPr>
            <w:tblGrid>
              <w:gridCol w:w="2209"/>
            </w:tblGrid>
            <w:tr w:rsidR="00B20D99" w:rsidRPr="00B20D99" w14:paraId="3C5A2B98" w14:textId="77777777" w:rsidTr="009B66CF">
              <w:trPr>
                <w:trHeight w:val="238"/>
              </w:trPr>
              <w:tc>
                <w:tcPr>
                  <w:tcW w:w="0" w:type="auto"/>
                </w:tcPr>
                <w:p w14:paraId="0167D2E8" w14:textId="77777777" w:rsidR="009B66CF" w:rsidRPr="00665AA6" w:rsidRDefault="0060638D" w:rsidP="00FE268F">
                  <w:pPr>
                    <w:ind w:hanging="65"/>
                    <w:jc w:val="both"/>
                  </w:pPr>
                  <w:r w:rsidRPr="00665AA6">
                    <w:t>Maxx Pharma</w:t>
                  </w:r>
                </w:p>
                <w:p w14:paraId="74FA0997" w14:textId="77777777" w:rsidR="00101066" w:rsidRDefault="00B20D99" w:rsidP="00FE268F">
                  <w:pPr>
                    <w:ind w:hanging="65"/>
                    <w:jc w:val="both"/>
                  </w:pPr>
                  <w:r w:rsidRPr="00665AA6">
                    <w:t>500 Collins Street</w:t>
                  </w:r>
                </w:p>
                <w:p w14:paraId="33B4DB9F" w14:textId="72137CE5" w:rsidR="00B20D99" w:rsidRPr="00B20D99" w:rsidRDefault="00B20D99" w:rsidP="00FE268F">
                  <w:pPr>
                    <w:ind w:hanging="65"/>
                    <w:jc w:val="both"/>
                    <w:rPr>
                      <w:rFonts w:eastAsiaTheme="minorHAnsi" w:cs="Cambria"/>
                      <w:color w:val="000000"/>
                    </w:rPr>
                  </w:pPr>
                  <w:r w:rsidRPr="00665AA6">
                    <w:t>Melbourne VIC 3000</w:t>
                  </w:r>
                </w:p>
              </w:tc>
            </w:tr>
          </w:tbl>
          <w:p w14:paraId="69077B49" w14:textId="4CC6D535" w:rsidR="00B20D99" w:rsidRDefault="00B20D99" w:rsidP="009E5A87"/>
        </w:tc>
      </w:tr>
      <w:tr w:rsidR="009F2673" w:rsidRPr="003D1E62" w14:paraId="75F5450D" w14:textId="77777777" w:rsidTr="00403AB2">
        <w:tc>
          <w:tcPr>
            <w:tcW w:w="1505" w:type="pct"/>
          </w:tcPr>
          <w:p w14:paraId="42518C12" w14:textId="090E348C" w:rsidR="009F2673" w:rsidRPr="00487162" w:rsidRDefault="009F2673" w:rsidP="009E5A87">
            <w:pPr>
              <w:rPr>
                <w:i/>
              </w:rPr>
            </w:pPr>
            <w:r>
              <w:rPr>
                <w:i/>
              </w:rPr>
              <w:t>Dose for</w:t>
            </w:r>
            <w:r w:rsidR="00E13652">
              <w:rPr>
                <w:i/>
              </w:rPr>
              <w:t>m</w:t>
            </w:r>
            <w:r>
              <w:rPr>
                <w:i/>
              </w:rPr>
              <w:t>:</w:t>
            </w:r>
          </w:p>
        </w:tc>
        <w:tc>
          <w:tcPr>
            <w:tcW w:w="3495" w:type="pct"/>
          </w:tcPr>
          <w:p w14:paraId="4D775499" w14:textId="7605E1A5" w:rsidR="009F2673" w:rsidRDefault="00101066" w:rsidP="00101066">
            <w:r>
              <w:t>S</w:t>
            </w:r>
            <w:r w:rsidR="00E30B80">
              <w:t>uspension</w:t>
            </w:r>
            <w:r>
              <w:t xml:space="preserve"> for injection</w:t>
            </w:r>
          </w:p>
        </w:tc>
      </w:tr>
      <w:tr w:rsidR="009F2673" w:rsidRPr="003D1E62" w14:paraId="68945358" w14:textId="77777777" w:rsidTr="00403AB2">
        <w:trPr>
          <w:trHeight w:val="1002"/>
        </w:trPr>
        <w:tc>
          <w:tcPr>
            <w:tcW w:w="1505" w:type="pct"/>
          </w:tcPr>
          <w:p w14:paraId="5D66EAE6" w14:textId="0FA4F61D" w:rsidR="009F2673" w:rsidRPr="00487162" w:rsidRDefault="009F2673" w:rsidP="009E5A87">
            <w:pPr>
              <w:rPr>
                <w:i/>
              </w:rPr>
            </w:pPr>
            <w:r w:rsidRPr="00487162">
              <w:rPr>
                <w:i/>
              </w:rPr>
              <w:t>Strength:</w:t>
            </w:r>
          </w:p>
        </w:tc>
        <w:tc>
          <w:tcPr>
            <w:tcW w:w="3495" w:type="pct"/>
          </w:tcPr>
          <w:p w14:paraId="49BF247C" w14:textId="464D5930" w:rsidR="00101066" w:rsidRDefault="00FE268F" w:rsidP="00403AB2">
            <w:r w:rsidRPr="002320EF">
              <w:t xml:space="preserve">Each </w:t>
            </w:r>
            <w:r w:rsidR="009B66CF" w:rsidRPr="00D646AE">
              <w:t>0.5 mL</w:t>
            </w:r>
            <w:r w:rsidRPr="00D646AE">
              <w:t xml:space="preserve"> dose of vaccine contains</w:t>
            </w:r>
            <w:r w:rsidR="004D7396">
              <w:t xml:space="preserv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1278"/>
            </w:tblGrid>
            <w:tr w:rsidR="00101066" w14:paraId="72798C51" w14:textId="77777777" w:rsidTr="00403AB2">
              <w:tc>
                <w:tcPr>
                  <w:tcW w:w="4318" w:type="dxa"/>
                </w:tcPr>
                <w:p w14:paraId="2D558D34" w14:textId="5B77494F" w:rsidR="00101066" w:rsidRDefault="00101066" w:rsidP="00101066">
                  <w:r w:rsidRPr="001C574D">
                    <w:t>Diphtheria toxoid</w:t>
                  </w:r>
                </w:p>
              </w:tc>
              <w:tc>
                <w:tcPr>
                  <w:tcW w:w="1278" w:type="dxa"/>
                </w:tcPr>
                <w:p w14:paraId="4616C467" w14:textId="60E75EF7" w:rsidR="00101066" w:rsidRDefault="00101066" w:rsidP="00403AB2">
                  <w:pPr>
                    <w:jc w:val="right"/>
                  </w:pPr>
                  <w:r w:rsidRPr="001C574D">
                    <w:t>≥</w:t>
                  </w:r>
                  <w:r>
                    <w:t xml:space="preserve"> </w:t>
                  </w:r>
                  <w:r w:rsidRPr="001C574D">
                    <w:t>20</w:t>
                  </w:r>
                  <w:r>
                    <w:t xml:space="preserve"> IU</w:t>
                  </w:r>
                </w:p>
              </w:tc>
            </w:tr>
            <w:tr w:rsidR="00101066" w14:paraId="68BC1684" w14:textId="77777777" w:rsidTr="00403AB2">
              <w:tc>
                <w:tcPr>
                  <w:tcW w:w="4318" w:type="dxa"/>
                </w:tcPr>
                <w:p w14:paraId="3C08E4A8" w14:textId="4D91C6C4" w:rsidR="00101066" w:rsidRDefault="00101066" w:rsidP="002320EF">
                  <w:r w:rsidRPr="00403AB2">
                    <w:rPr>
                      <w:i/>
                    </w:rPr>
                    <w:t>Haemophilus influenza</w:t>
                  </w:r>
                  <w:r w:rsidRPr="00101066">
                    <w:t xml:space="preserve"> type B polysaccharide</w:t>
                  </w:r>
                </w:p>
              </w:tc>
              <w:tc>
                <w:tcPr>
                  <w:tcW w:w="1278" w:type="dxa"/>
                </w:tcPr>
                <w:p w14:paraId="3C38C3CB" w14:textId="77777777" w:rsidR="00101066" w:rsidRDefault="00101066" w:rsidP="00403AB2">
                  <w:pPr>
                    <w:jc w:val="right"/>
                  </w:pPr>
                </w:p>
              </w:tc>
            </w:tr>
            <w:tr w:rsidR="00101066" w14:paraId="64AB9A1B" w14:textId="77777777" w:rsidTr="00403AB2">
              <w:tc>
                <w:tcPr>
                  <w:tcW w:w="4318" w:type="dxa"/>
                </w:tcPr>
                <w:p w14:paraId="12B8A2A4" w14:textId="1DEB9A6E" w:rsidR="00101066" w:rsidRDefault="00101066" w:rsidP="00403AB2">
                  <w:pPr>
                    <w:pStyle w:val="ListBullet"/>
                    <w:spacing w:before="0" w:after="0"/>
                  </w:pPr>
                  <w:r>
                    <w:t>Polyribosylribitol phosphate</w:t>
                  </w:r>
                </w:p>
              </w:tc>
              <w:tc>
                <w:tcPr>
                  <w:tcW w:w="1278" w:type="dxa"/>
                </w:tcPr>
                <w:p w14:paraId="50443B81" w14:textId="080E458D" w:rsidR="00101066" w:rsidRDefault="00101066" w:rsidP="00403AB2">
                  <w:pPr>
                    <w:spacing w:before="0" w:after="0"/>
                    <w:jc w:val="right"/>
                  </w:pPr>
                  <w:r w:rsidRPr="001C574D">
                    <w:t>3 µg</w:t>
                  </w:r>
                </w:p>
              </w:tc>
            </w:tr>
            <w:tr w:rsidR="00101066" w14:paraId="2DC8E662" w14:textId="77777777" w:rsidTr="00403AB2">
              <w:tc>
                <w:tcPr>
                  <w:tcW w:w="4318" w:type="dxa"/>
                </w:tcPr>
                <w:p w14:paraId="2643DA46" w14:textId="2513DB01" w:rsidR="00101066" w:rsidRDefault="00101066" w:rsidP="00403AB2">
                  <w:pPr>
                    <w:pStyle w:val="ListBullet"/>
                    <w:spacing w:before="0"/>
                  </w:pPr>
                  <w:r>
                    <w:t>Conjugated to meningococcal protein</w:t>
                  </w:r>
                </w:p>
              </w:tc>
              <w:tc>
                <w:tcPr>
                  <w:tcW w:w="1278" w:type="dxa"/>
                </w:tcPr>
                <w:p w14:paraId="14196874" w14:textId="6DB69319" w:rsidR="00101066" w:rsidRDefault="00101066" w:rsidP="00403AB2">
                  <w:pPr>
                    <w:spacing w:before="0"/>
                    <w:jc w:val="right"/>
                  </w:pPr>
                  <w:r>
                    <w:t xml:space="preserve">50 </w:t>
                  </w:r>
                  <w:r w:rsidRPr="001C574D">
                    <w:t>µg</w:t>
                  </w:r>
                </w:p>
              </w:tc>
            </w:tr>
            <w:tr w:rsidR="00101066" w14:paraId="3B57A769" w14:textId="77777777" w:rsidTr="00403AB2">
              <w:tc>
                <w:tcPr>
                  <w:tcW w:w="4318" w:type="dxa"/>
                </w:tcPr>
                <w:p w14:paraId="0F3B18F1" w14:textId="48006AB1" w:rsidR="00101066" w:rsidRDefault="00101066" w:rsidP="00101066">
                  <w:r>
                    <w:t>Hepatitis B virus surface antigen</w:t>
                  </w:r>
                </w:p>
              </w:tc>
              <w:tc>
                <w:tcPr>
                  <w:tcW w:w="1278" w:type="dxa"/>
                </w:tcPr>
                <w:p w14:paraId="69389922" w14:textId="215AC63A" w:rsidR="00101066" w:rsidRDefault="00101066" w:rsidP="00403AB2">
                  <w:pPr>
                    <w:jc w:val="right"/>
                  </w:pPr>
                  <w:r>
                    <w:t xml:space="preserve">10 </w:t>
                  </w:r>
                  <w:r w:rsidRPr="001C574D">
                    <w:t>µg</w:t>
                  </w:r>
                </w:p>
              </w:tc>
            </w:tr>
            <w:tr w:rsidR="00101066" w14:paraId="2412DEC0" w14:textId="77777777" w:rsidTr="00403AB2">
              <w:tc>
                <w:tcPr>
                  <w:tcW w:w="4318" w:type="dxa"/>
                </w:tcPr>
                <w:p w14:paraId="2CBE3CDD" w14:textId="2C66807E" w:rsidR="00101066" w:rsidRDefault="00101066" w:rsidP="00101066">
                  <w:r w:rsidRPr="00403AB2">
                    <w:rPr>
                      <w:i/>
                    </w:rPr>
                    <w:t>Bordetella pertussis</w:t>
                  </w:r>
                  <w:r w:rsidRPr="001C574D">
                    <w:t xml:space="preserve"> antigens</w:t>
                  </w:r>
                </w:p>
              </w:tc>
              <w:tc>
                <w:tcPr>
                  <w:tcW w:w="1278" w:type="dxa"/>
                </w:tcPr>
                <w:p w14:paraId="1931BC56" w14:textId="77777777" w:rsidR="00101066" w:rsidRDefault="00101066" w:rsidP="00403AB2">
                  <w:pPr>
                    <w:jc w:val="right"/>
                  </w:pPr>
                </w:p>
              </w:tc>
            </w:tr>
            <w:tr w:rsidR="00101066" w14:paraId="1A86CE74" w14:textId="77777777" w:rsidTr="00403AB2">
              <w:tc>
                <w:tcPr>
                  <w:tcW w:w="4318" w:type="dxa"/>
                </w:tcPr>
                <w:p w14:paraId="02F82560" w14:textId="43AA835B" w:rsidR="00101066" w:rsidRDefault="00101066" w:rsidP="00403AB2">
                  <w:pPr>
                    <w:pStyle w:val="ListBullet"/>
                    <w:spacing w:before="0" w:after="0"/>
                  </w:pPr>
                  <w:r>
                    <w:t>Pertactin</w:t>
                  </w:r>
                </w:p>
              </w:tc>
              <w:tc>
                <w:tcPr>
                  <w:tcW w:w="1278" w:type="dxa"/>
                </w:tcPr>
                <w:p w14:paraId="04BE7B24" w14:textId="61A32B23" w:rsidR="00101066" w:rsidRDefault="00101066" w:rsidP="00403AB2">
                  <w:pPr>
                    <w:spacing w:before="0" w:after="0"/>
                    <w:jc w:val="right"/>
                  </w:pPr>
                  <w:r>
                    <w:t>3 µg</w:t>
                  </w:r>
                </w:p>
              </w:tc>
            </w:tr>
            <w:tr w:rsidR="00101066" w14:paraId="10A9A381" w14:textId="77777777" w:rsidTr="00403AB2">
              <w:tc>
                <w:tcPr>
                  <w:tcW w:w="4318" w:type="dxa"/>
                </w:tcPr>
                <w:p w14:paraId="296130BA" w14:textId="242358C2" w:rsidR="00101066" w:rsidRDefault="00101066" w:rsidP="00403AB2">
                  <w:pPr>
                    <w:pStyle w:val="ListBullet"/>
                    <w:spacing w:before="0" w:after="0"/>
                  </w:pPr>
                  <w:r w:rsidRPr="001C574D">
                    <w:t>Pertussi</w:t>
                  </w:r>
                  <w:r>
                    <w:t>s filamentous haemagglutinin</w:t>
                  </w:r>
                </w:p>
              </w:tc>
              <w:tc>
                <w:tcPr>
                  <w:tcW w:w="1278" w:type="dxa"/>
                </w:tcPr>
                <w:p w14:paraId="10971FBF" w14:textId="4E01768D" w:rsidR="00101066" w:rsidRDefault="00101066" w:rsidP="00403AB2">
                  <w:pPr>
                    <w:spacing w:before="0" w:after="0"/>
                    <w:jc w:val="right"/>
                  </w:pPr>
                  <w:r>
                    <w:t xml:space="preserve">20 </w:t>
                  </w:r>
                  <w:r w:rsidRPr="001C574D">
                    <w:t>µg</w:t>
                  </w:r>
                </w:p>
              </w:tc>
            </w:tr>
            <w:tr w:rsidR="00101066" w14:paraId="5DB988EB" w14:textId="77777777" w:rsidTr="00403AB2">
              <w:tc>
                <w:tcPr>
                  <w:tcW w:w="4318" w:type="dxa"/>
                </w:tcPr>
                <w:p w14:paraId="386B7F32" w14:textId="1BE07A0B" w:rsidR="00101066" w:rsidRDefault="006C1231" w:rsidP="00403AB2">
                  <w:pPr>
                    <w:pStyle w:val="ListBullet"/>
                    <w:spacing w:before="0" w:after="0"/>
                  </w:pPr>
                  <w:r>
                    <w:t>Pertussis fimbriae types 2 and 3</w:t>
                  </w:r>
                </w:p>
              </w:tc>
              <w:tc>
                <w:tcPr>
                  <w:tcW w:w="1278" w:type="dxa"/>
                </w:tcPr>
                <w:p w14:paraId="0EFB6760" w14:textId="5FDD782E" w:rsidR="00101066" w:rsidRDefault="006C1231" w:rsidP="00403AB2">
                  <w:pPr>
                    <w:spacing w:before="0" w:after="0"/>
                    <w:jc w:val="right"/>
                  </w:pPr>
                  <w:r>
                    <w:t>5 µg</w:t>
                  </w:r>
                </w:p>
              </w:tc>
            </w:tr>
            <w:tr w:rsidR="00101066" w14:paraId="00507917" w14:textId="77777777" w:rsidTr="00403AB2">
              <w:tc>
                <w:tcPr>
                  <w:tcW w:w="4318" w:type="dxa"/>
                </w:tcPr>
                <w:p w14:paraId="63B36B46" w14:textId="446D6896" w:rsidR="00101066" w:rsidRDefault="006C1231" w:rsidP="00403AB2">
                  <w:pPr>
                    <w:pStyle w:val="ListBullet"/>
                    <w:spacing w:before="0"/>
                  </w:pPr>
                  <w:r>
                    <w:t>Pertussis toxoid</w:t>
                  </w:r>
                </w:p>
              </w:tc>
              <w:tc>
                <w:tcPr>
                  <w:tcW w:w="1278" w:type="dxa"/>
                </w:tcPr>
                <w:p w14:paraId="752750B7" w14:textId="40041ACF" w:rsidR="00101066" w:rsidRDefault="006C1231" w:rsidP="00403AB2">
                  <w:pPr>
                    <w:spacing w:before="0"/>
                    <w:jc w:val="right"/>
                  </w:pPr>
                  <w:r>
                    <w:t>20 µg</w:t>
                  </w:r>
                </w:p>
              </w:tc>
            </w:tr>
            <w:tr w:rsidR="006C1231" w14:paraId="619B381A" w14:textId="77777777" w:rsidTr="00403AB2">
              <w:tc>
                <w:tcPr>
                  <w:tcW w:w="4318" w:type="dxa"/>
                </w:tcPr>
                <w:p w14:paraId="656A021D" w14:textId="15FB55A0" w:rsidR="006C1231" w:rsidRDefault="006C1231" w:rsidP="00403AB2">
                  <w:pPr>
                    <w:pStyle w:val="ListBullet"/>
                    <w:numPr>
                      <w:ilvl w:val="0"/>
                      <w:numId w:val="0"/>
                    </w:numPr>
                    <w:ind w:left="360" w:hanging="360"/>
                  </w:pPr>
                  <w:r>
                    <w:t>Poliovirus (inactivated)</w:t>
                  </w:r>
                </w:p>
              </w:tc>
              <w:tc>
                <w:tcPr>
                  <w:tcW w:w="1278" w:type="dxa"/>
                </w:tcPr>
                <w:p w14:paraId="2EDFFA89" w14:textId="77777777" w:rsidR="006C1231" w:rsidRDefault="006C1231" w:rsidP="00403AB2">
                  <w:pPr>
                    <w:jc w:val="right"/>
                  </w:pPr>
                </w:p>
              </w:tc>
            </w:tr>
            <w:tr w:rsidR="006C1231" w14:paraId="263F1740" w14:textId="77777777" w:rsidTr="00403AB2">
              <w:tc>
                <w:tcPr>
                  <w:tcW w:w="4318" w:type="dxa"/>
                </w:tcPr>
                <w:p w14:paraId="3A73F8A8" w14:textId="791A965C" w:rsidR="006C1231" w:rsidRDefault="006C1231" w:rsidP="00403AB2">
                  <w:pPr>
                    <w:pStyle w:val="ListBullet"/>
                    <w:spacing w:before="0" w:after="0"/>
                  </w:pPr>
                  <w:r>
                    <w:t>Type 1 (Mahoney)</w:t>
                  </w:r>
                </w:p>
              </w:tc>
              <w:tc>
                <w:tcPr>
                  <w:tcW w:w="1278" w:type="dxa"/>
                </w:tcPr>
                <w:p w14:paraId="0E1712F6" w14:textId="77EA063F" w:rsidR="006C1231" w:rsidRDefault="006C1231" w:rsidP="00403AB2">
                  <w:pPr>
                    <w:spacing w:before="0" w:after="0"/>
                    <w:jc w:val="right"/>
                  </w:pPr>
                  <w:r>
                    <w:t>40 DAgU</w:t>
                  </w:r>
                </w:p>
              </w:tc>
            </w:tr>
            <w:tr w:rsidR="006C1231" w14:paraId="769B19B9" w14:textId="77777777" w:rsidTr="00403AB2">
              <w:tc>
                <w:tcPr>
                  <w:tcW w:w="4318" w:type="dxa"/>
                </w:tcPr>
                <w:p w14:paraId="408E1727" w14:textId="1BF6DF24" w:rsidR="006C1231" w:rsidRDefault="006C1231" w:rsidP="00403AB2">
                  <w:pPr>
                    <w:pStyle w:val="ListBullet"/>
                    <w:spacing w:before="0" w:after="0"/>
                  </w:pPr>
                  <w:r>
                    <w:t>Type 2 (MEF-1)</w:t>
                  </w:r>
                </w:p>
              </w:tc>
              <w:tc>
                <w:tcPr>
                  <w:tcW w:w="1278" w:type="dxa"/>
                </w:tcPr>
                <w:p w14:paraId="261B0BA9" w14:textId="2B34B82C" w:rsidR="006C1231" w:rsidRDefault="006C1231" w:rsidP="00403AB2">
                  <w:pPr>
                    <w:spacing w:before="0" w:after="0"/>
                    <w:jc w:val="right"/>
                  </w:pPr>
                  <w:r>
                    <w:t>8 DAgU</w:t>
                  </w:r>
                </w:p>
              </w:tc>
            </w:tr>
            <w:tr w:rsidR="006C1231" w14:paraId="6B48F435" w14:textId="77777777" w:rsidTr="00403AB2">
              <w:tc>
                <w:tcPr>
                  <w:tcW w:w="4318" w:type="dxa"/>
                </w:tcPr>
                <w:p w14:paraId="344AFCFC" w14:textId="64423F41" w:rsidR="006C1231" w:rsidRDefault="006C1231" w:rsidP="00403AB2">
                  <w:pPr>
                    <w:pStyle w:val="ListBullet"/>
                    <w:spacing w:before="0"/>
                  </w:pPr>
                  <w:r>
                    <w:t>Type 3 (Saukett)</w:t>
                  </w:r>
                </w:p>
              </w:tc>
              <w:tc>
                <w:tcPr>
                  <w:tcW w:w="1278" w:type="dxa"/>
                </w:tcPr>
                <w:p w14:paraId="3BD81275" w14:textId="2D3D7605" w:rsidR="006C1231" w:rsidRDefault="006C1231" w:rsidP="00403AB2">
                  <w:pPr>
                    <w:spacing w:before="0"/>
                    <w:jc w:val="right"/>
                  </w:pPr>
                  <w:r>
                    <w:t>32 DAgU</w:t>
                  </w:r>
                </w:p>
              </w:tc>
            </w:tr>
            <w:tr w:rsidR="006C1231" w14:paraId="0E6B61F4" w14:textId="77777777" w:rsidTr="00403AB2">
              <w:tc>
                <w:tcPr>
                  <w:tcW w:w="4318" w:type="dxa"/>
                </w:tcPr>
                <w:p w14:paraId="02DF7EDE" w14:textId="37F8E145" w:rsidR="006C1231" w:rsidRDefault="006C1231" w:rsidP="00403AB2">
                  <w:pPr>
                    <w:pStyle w:val="ListBullet"/>
                    <w:numPr>
                      <w:ilvl w:val="0"/>
                      <w:numId w:val="0"/>
                    </w:numPr>
                    <w:ind w:left="360" w:hanging="360"/>
                  </w:pPr>
                  <w:r>
                    <w:lastRenderedPageBreak/>
                    <w:t>Tetanus toxoid</w:t>
                  </w:r>
                </w:p>
              </w:tc>
              <w:tc>
                <w:tcPr>
                  <w:tcW w:w="1278" w:type="dxa"/>
                </w:tcPr>
                <w:p w14:paraId="5312AC5E" w14:textId="16DCB770" w:rsidR="006C1231" w:rsidRDefault="006C1231" w:rsidP="00101066">
                  <w:r w:rsidRPr="001C574D">
                    <w:t>≥</w:t>
                  </w:r>
                  <w:r>
                    <w:t xml:space="preserve"> </w:t>
                  </w:r>
                  <w:r w:rsidRPr="001C574D">
                    <w:t>40 IU</w:t>
                  </w:r>
                </w:p>
              </w:tc>
            </w:tr>
          </w:tbl>
          <w:p w14:paraId="504E580A" w14:textId="6BE663F1" w:rsidR="009F2673" w:rsidRPr="0095474E" w:rsidRDefault="00B10CE7" w:rsidP="00403AB2">
            <w:pPr>
              <w:pStyle w:val="TableDescription"/>
              <w:rPr>
                <w:rFonts w:ascii="Times New Roman" w:eastAsia="Times New Roman" w:hAnsi="Times New Roman"/>
                <w:sz w:val="12"/>
                <w:szCs w:val="12"/>
                <w:lang w:val="en-GB" w:eastAsia="en-GB"/>
              </w:rPr>
            </w:pPr>
            <w:r>
              <w:t>Note: DAgU = D antigen units; IU = International units</w:t>
            </w:r>
          </w:p>
        </w:tc>
      </w:tr>
      <w:tr w:rsidR="009F2673" w:rsidRPr="003D1E62" w14:paraId="65E83008" w14:textId="77777777" w:rsidTr="00403AB2">
        <w:tc>
          <w:tcPr>
            <w:tcW w:w="1505" w:type="pct"/>
          </w:tcPr>
          <w:p w14:paraId="1D4E3D66" w14:textId="13A86C96" w:rsidR="009F2673" w:rsidRPr="00487162" w:rsidRDefault="009F2673" w:rsidP="009E5A87">
            <w:pPr>
              <w:rPr>
                <w:i/>
              </w:rPr>
            </w:pPr>
            <w:r w:rsidRPr="00487162">
              <w:rPr>
                <w:i/>
              </w:rPr>
              <w:lastRenderedPageBreak/>
              <w:t>Containers:</w:t>
            </w:r>
          </w:p>
        </w:tc>
        <w:tc>
          <w:tcPr>
            <w:tcW w:w="3495" w:type="pct"/>
          </w:tcPr>
          <w:p w14:paraId="5D963125" w14:textId="1750C228" w:rsidR="009F2673" w:rsidRDefault="00061BFD" w:rsidP="009E5A87">
            <w:r>
              <w:t>Vial</w:t>
            </w:r>
            <w:r w:rsidR="004D1884">
              <w:t xml:space="preserve"> and</w:t>
            </w:r>
            <w:r>
              <w:t xml:space="preserve"> pre-filled syringe</w:t>
            </w:r>
          </w:p>
        </w:tc>
      </w:tr>
      <w:tr w:rsidR="009F2673" w:rsidRPr="003D1E62" w14:paraId="296510ED" w14:textId="77777777" w:rsidTr="00403AB2">
        <w:tc>
          <w:tcPr>
            <w:tcW w:w="1505" w:type="pct"/>
          </w:tcPr>
          <w:p w14:paraId="178789B6" w14:textId="099A8C8A" w:rsidR="009F2673" w:rsidRPr="00487162" w:rsidRDefault="009F2673" w:rsidP="009E5A87">
            <w:pPr>
              <w:rPr>
                <w:i/>
              </w:rPr>
            </w:pPr>
            <w:r w:rsidRPr="00487162">
              <w:rPr>
                <w:i/>
              </w:rPr>
              <w:t>Pack sizes:</w:t>
            </w:r>
          </w:p>
        </w:tc>
        <w:tc>
          <w:tcPr>
            <w:tcW w:w="3495" w:type="pct"/>
          </w:tcPr>
          <w:p w14:paraId="4E32B2C8" w14:textId="77777777" w:rsidR="00665AA6" w:rsidRDefault="00665AA6" w:rsidP="005034A1">
            <w:r>
              <w:t>10</w:t>
            </w:r>
            <w:r w:rsidRPr="00610601">
              <w:t xml:space="preserve"> </w:t>
            </w:r>
            <w:r>
              <w:t>vials</w:t>
            </w:r>
            <w:r w:rsidRPr="00610601">
              <w:t xml:space="preserve"> </w:t>
            </w:r>
          </w:p>
          <w:p w14:paraId="45BAC6AF" w14:textId="74C194F0" w:rsidR="00610601" w:rsidRDefault="005034A1" w:rsidP="00665AA6">
            <w:r w:rsidRPr="00610601">
              <w:t>1 or 10</w:t>
            </w:r>
            <w:r>
              <w:t xml:space="preserve"> </w:t>
            </w:r>
            <w:r w:rsidR="00610601" w:rsidRPr="00610601">
              <w:t>pre-filled syringe</w:t>
            </w:r>
            <w:r>
              <w:t>s</w:t>
            </w:r>
          </w:p>
        </w:tc>
      </w:tr>
      <w:tr w:rsidR="009F2673" w:rsidRPr="003D1E62" w14:paraId="5B53ECA4" w14:textId="77777777" w:rsidTr="00403AB2">
        <w:tc>
          <w:tcPr>
            <w:tcW w:w="1505" w:type="pct"/>
          </w:tcPr>
          <w:p w14:paraId="25471669"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95" w:type="pct"/>
          </w:tcPr>
          <w:p w14:paraId="231AF321" w14:textId="7890665F" w:rsidR="00B20D99" w:rsidRDefault="00B20D99" w:rsidP="00B20D99">
            <w:pPr>
              <w:pStyle w:val="Default"/>
              <w:rPr>
                <w:sz w:val="22"/>
                <w:szCs w:val="22"/>
              </w:rPr>
            </w:pPr>
            <w:r>
              <w:rPr>
                <w:i/>
                <w:iCs/>
                <w:sz w:val="22"/>
                <w:szCs w:val="22"/>
              </w:rPr>
              <w:t xml:space="preserve">Vaxelis (DTPa5-HB-IPV-Hib) is indicated for primary and booster vaccination in infants and toddlers from the age of 6 weeks, against diphtheria, tetanus, pertussis, hepatitis B, poliomyelitis and invasive diseases caused by Haemophilus influenzae type b (Hib). </w:t>
            </w:r>
          </w:p>
          <w:p w14:paraId="33338A78" w14:textId="5BEE0171" w:rsidR="009F2673" w:rsidRPr="00487162" w:rsidRDefault="00B20D99" w:rsidP="00B20D99">
            <w:r>
              <w:rPr>
                <w:i/>
                <w:iCs/>
              </w:rPr>
              <w:t>The use of Vaxelis should be in accordance with official recommendations.</w:t>
            </w:r>
          </w:p>
        </w:tc>
      </w:tr>
      <w:tr w:rsidR="009F2673" w:rsidRPr="003D1E62" w14:paraId="01AFAB93" w14:textId="77777777" w:rsidTr="00403AB2">
        <w:tc>
          <w:tcPr>
            <w:tcW w:w="1505" w:type="pct"/>
          </w:tcPr>
          <w:p w14:paraId="3DAA419F" w14:textId="00950E2A" w:rsidR="009F2673" w:rsidRPr="00487162" w:rsidRDefault="009F2673" w:rsidP="009E5A87">
            <w:pPr>
              <w:rPr>
                <w:i/>
              </w:rPr>
            </w:pPr>
            <w:r w:rsidRPr="00487162">
              <w:rPr>
                <w:i/>
              </w:rPr>
              <w:t>Route of administration:</w:t>
            </w:r>
          </w:p>
        </w:tc>
        <w:tc>
          <w:tcPr>
            <w:tcW w:w="3495" w:type="pct"/>
          </w:tcPr>
          <w:p w14:paraId="47A435C5" w14:textId="26BC34FB" w:rsidR="009F2673" w:rsidRPr="00B20D99" w:rsidRDefault="00B20D99" w:rsidP="00B20D99">
            <w:r>
              <w:t>I</w:t>
            </w:r>
            <w:r w:rsidRPr="00B20D99">
              <w:t>ntramuscular (IM) injection</w:t>
            </w:r>
          </w:p>
        </w:tc>
      </w:tr>
      <w:tr w:rsidR="009F2673" w:rsidRPr="003D1E62" w14:paraId="0A4FEDE3" w14:textId="77777777" w:rsidTr="00403AB2">
        <w:tc>
          <w:tcPr>
            <w:tcW w:w="1505" w:type="pct"/>
          </w:tcPr>
          <w:p w14:paraId="4B55D42F" w14:textId="77777777" w:rsidR="009F2673" w:rsidRPr="00487162" w:rsidRDefault="009F2673" w:rsidP="009E5A87">
            <w:pPr>
              <w:rPr>
                <w:i/>
              </w:rPr>
            </w:pPr>
            <w:r w:rsidRPr="00487162">
              <w:rPr>
                <w:i/>
              </w:rPr>
              <w:t>Dosage:</w:t>
            </w:r>
          </w:p>
        </w:tc>
        <w:tc>
          <w:tcPr>
            <w:tcW w:w="3495" w:type="pct"/>
          </w:tcPr>
          <w:p w14:paraId="6F266F1A" w14:textId="714D0D3D" w:rsidR="00B20D99" w:rsidRPr="00403AB2" w:rsidRDefault="00B20D99" w:rsidP="00B20D99">
            <w:pPr>
              <w:rPr>
                <w:b/>
                <w:i/>
              </w:rPr>
            </w:pPr>
            <w:r w:rsidRPr="00403AB2">
              <w:rPr>
                <w:b/>
                <w:i/>
              </w:rPr>
              <w:t>Primary vaccination</w:t>
            </w:r>
          </w:p>
          <w:p w14:paraId="3081192E" w14:textId="3401CEE7" w:rsidR="00B20D99" w:rsidRPr="00B20D99" w:rsidRDefault="00B20D99" w:rsidP="00B20D99">
            <w:r w:rsidRPr="00B20D99">
              <w:t xml:space="preserve">The primary vaccination schedule consists of 2 or 3 doses, with an interval of at least </w:t>
            </w:r>
            <w:r w:rsidR="00B10CE7">
              <w:t>one</w:t>
            </w:r>
            <w:r w:rsidRPr="00B20D99">
              <w:t xml:space="preserve"> month between doses, and may be given from 6 weeks of age, in accordance with the official recommendations. </w:t>
            </w:r>
          </w:p>
          <w:p w14:paraId="63AFC05E" w14:textId="73152991" w:rsidR="00B20D99" w:rsidRPr="00B20D99" w:rsidRDefault="00B20D99" w:rsidP="00B20D99">
            <w:r w:rsidRPr="00B20D99">
              <w:t>Where a dose of hepatitis B vaccine is given at birth, Vaxelis can be used for supplementary doses of hepatitis B vaccine from the age of 6 weeks. If a second dose of hepatitis B vaccine is required before this age, monovalent hepatitis B vaccine should be used. Vaxelis can be used for a mixed hexavalent/</w:t>
            </w:r>
            <w:r w:rsidR="00B10CE7">
              <w:t xml:space="preserve"> </w:t>
            </w:r>
            <w:r w:rsidRPr="00B20D99">
              <w:t>pentavalent/</w:t>
            </w:r>
            <w:r w:rsidR="00B10CE7">
              <w:t xml:space="preserve"> </w:t>
            </w:r>
            <w:r w:rsidRPr="00B20D99">
              <w:t xml:space="preserve">hexavalent combined vaccine immunisation schedule. </w:t>
            </w:r>
          </w:p>
          <w:p w14:paraId="6873BB00" w14:textId="446B4EF5" w:rsidR="00B20D99" w:rsidRPr="00403AB2" w:rsidRDefault="00B20D99" w:rsidP="002320EF">
            <w:pPr>
              <w:rPr>
                <w:b/>
                <w:i/>
              </w:rPr>
            </w:pPr>
            <w:r w:rsidRPr="00403AB2">
              <w:rPr>
                <w:b/>
                <w:i/>
              </w:rPr>
              <w:t>Booster vaccination</w:t>
            </w:r>
          </w:p>
          <w:p w14:paraId="3AD9DB92" w14:textId="77777777" w:rsidR="00B20D99" w:rsidRPr="00B20D99" w:rsidRDefault="00B20D99" w:rsidP="00B20D99">
            <w:r w:rsidRPr="00B20D99">
              <w:t xml:space="preserve">After a 3-dose primary series vaccination with Vaxelis, a booster dose may be given. When giving a booster dose, this should be at least 6 months after the last priming dose. After a 2-dose primary series vaccination with Vaxelis, a booster dose should be given at least 6 months after the last priming dose. </w:t>
            </w:r>
          </w:p>
          <w:p w14:paraId="772966A9" w14:textId="77777777" w:rsidR="009F2673" w:rsidRDefault="00B20D99" w:rsidP="00B20D99">
            <w:r w:rsidRPr="00B20D99">
              <w:t>Booster doses should be given in accordance with the official recommendations.</w:t>
            </w:r>
          </w:p>
          <w:p w14:paraId="7EE676A9" w14:textId="77777777" w:rsidR="00B10CE7" w:rsidRPr="00403AB2" w:rsidRDefault="00B10CE7" w:rsidP="00B20D99">
            <w:pPr>
              <w:rPr>
                <w:b/>
                <w:i/>
              </w:rPr>
            </w:pPr>
            <w:r w:rsidRPr="00403AB2">
              <w:rPr>
                <w:b/>
                <w:i/>
              </w:rPr>
              <w:t>Method of administration</w:t>
            </w:r>
          </w:p>
          <w:p w14:paraId="150F62D9" w14:textId="274AE2AB" w:rsidR="00B10CE7" w:rsidRPr="00B20D99" w:rsidRDefault="00B10CE7" w:rsidP="00B20D99">
            <w:r>
              <w:t>Vaxelis should only be administered by intramuscular (IM) injection. The recommended injection sites are the anterolateral area of the thigh (preferred site for infants under one year of age) or the deltoid muscle of the upper arm. Vaxelis is for single use only and must not be used in more than one individual. Discard any remaining unused contents.</w:t>
            </w:r>
          </w:p>
        </w:tc>
      </w:tr>
      <w:tr w:rsidR="009F2673" w:rsidRPr="003D1E62" w14:paraId="096B6298" w14:textId="77777777" w:rsidTr="00403AB2">
        <w:tc>
          <w:tcPr>
            <w:tcW w:w="1505" w:type="pct"/>
          </w:tcPr>
          <w:p w14:paraId="3765C2C8" w14:textId="77777777" w:rsidR="009F2673" w:rsidRPr="00487162" w:rsidRDefault="009F2673" w:rsidP="009E5A87">
            <w:pPr>
              <w:rPr>
                <w:i/>
              </w:rPr>
            </w:pPr>
            <w:r w:rsidRPr="00460036">
              <w:rPr>
                <w:i/>
              </w:rPr>
              <w:t>Pregnancy category</w:t>
            </w:r>
            <w:r>
              <w:rPr>
                <w:i/>
              </w:rPr>
              <w:t>:</w:t>
            </w:r>
          </w:p>
        </w:tc>
        <w:tc>
          <w:tcPr>
            <w:tcW w:w="3495" w:type="pct"/>
          </w:tcPr>
          <w:p w14:paraId="5AFBD61A" w14:textId="5295696F" w:rsidR="00A940FB" w:rsidRPr="00403AB2" w:rsidRDefault="00A940FB" w:rsidP="00A940FB">
            <w:pPr>
              <w:rPr>
                <w:i/>
              </w:rPr>
            </w:pPr>
            <w:r w:rsidRPr="00403AB2">
              <w:rPr>
                <w:i/>
              </w:rPr>
              <w:t>Note use in pregnancy is not applicable for this product. This vaccine is not intended for administration to women of child</w:t>
            </w:r>
            <w:r w:rsidRPr="00403AB2">
              <w:rPr>
                <w:i/>
              </w:rPr>
              <w:noBreakHyphen/>
              <w:t>bearing age.</w:t>
            </w:r>
          </w:p>
          <w:p w14:paraId="0440AD37" w14:textId="10163380" w:rsidR="00A940FB" w:rsidRDefault="00A940FB" w:rsidP="00A940FB">
            <w:r>
              <w:lastRenderedPageBreak/>
              <w:t xml:space="preserve">Category </w:t>
            </w:r>
            <w:r w:rsidR="009B66CF">
              <w:t>B2</w:t>
            </w:r>
            <w:r>
              <w:t>: Drugs which have been taken by only a limited number of pregnant women and women of childbearing age, without an increase in the frequency of malformation or other direct or indirect harmful effects on the human fetus having been observed.</w:t>
            </w:r>
          </w:p>
          <w:p w14:paraId="2D5DFACD" w14:textId="389142AA" w:rsidR="009F2673" w:rsidRPr="00F43983" w:rsidRDefault="00A940FB" w:rsidP="00403AB2">
            <w:r>
              <w:t>Studies in animals are inadequate or may be lacking, but available data show no evidence of an increased occurrence of fetal damage.</w:t>
            </w:r>
          </w:p>
        </w:tc>
      </w:tr>
    </w:tbl>
    <w:p w14:paraId="77B205B5" w14:textId="77777777" w:rsidR="008E7846" w:rsidRDefault="008E7846" w:rsidP="008E7846">
      <w:pPr>
        <w:pStyle w:val="Heading3"/>
      </w:pPr>
      <w:bookmarkStart w:id="9" w:name="_Toc247691503"/>
      <w:bookmarkStart w:id="10" w:name="_Toc314842484"/>
      <w:bookmarkStart w:id="11" w:name="_Toc126332723"/>
      <w:r>
        <w:lastRenderedPageBreak/>
        <w:t>Product background</w:t>
      </w:r>
      <w:bookmarkEnd w:id="9"/>
      <w:bookmarkEnd w:id="10"/>
      <w:bookmarkEnd w:id="11"/>
    </w:p>
    <w:p w14:paraId="09661BD1" w14:textId="6501A821" w:rsidR="009B66CF" w:rsidRPr="006F4BD8" w:rsidRDefault="009F2673" w:rsidP="004F70D0">
      <w:r w:rsidRPr="000A4A42">
        <w:t xml:space="preserve">This AusPAR describes the </w:t>
      </w:r>
      <w:r w:rsidR="001E359E">
        <w:t>submission</w:t>
      </w:r>
      <w:r w:rsidRPr="000A4A42">
        <w:t xml:space="preserve"> by </w:t>
      </w:r>
      <w:r w:rsidR="004F70D0">
        <w:t>Maxx Pharma Pty Ltd</w:t>
      </w:r>
      <w:r w:rsidRPr="000A4A42">
        <w:t xml:space="preserve"> (the sponsor) to register </w:t>
      </w:r>
      <w:r w:rsidR="004F70D0">
        <w:t xml:space="preserve">a new biological entity, </w:t>
      </w:r>
      <w:r w:rsidR="00665AA6">
        <w:t>d</w:t>
      </w:r>
      <w:r w:rsidR="004F70D0">
        <w:t>iphtheria, tetanus, pertussis (acellular, component), hepatitis B (rDNA), poliovirus (inactivated), and Haemophilus influenzae type b conjugate vaccine (DTPa5</w:t>
      </w:r>
      <w:r w:rsidR="004F70D0" w:rsidRPr="006F4BD8">
        <w:t xml:space="preserve">-Hep B-IPV-Hib) </w:t>
      </w:r>
      <w:r w:rsidR="00E13652">
        <w:t xml:space="preserve">as </w:t>
      </w:r>
      <w:r w:rsidR="004F70D0" w:rsidRPr="006F4BD8">
        <w:t>Vaxelis</w:t>
      </w:r>
      <w:r w:rsidR="004D1884">
        <w:t>,</w:t>
      </w:r>
      <w:r w:rsidR="00665AA6" w:rsidRPr="006F4BD8">
        <w:t xml:space="preserve"> for the indication:</w:t>
      </w:r>
    </w:p>
    <w:p w14:paraId="40187B99" w14:textId="77777777" w:rsidR="00C31EF1" w:rsidRDefault="00C31EF1" w:rsidP="00C31EF1">
      <w:pPr>
        <w:pStyle w:val="Default"/>
        <w:ind w:left="720"/>
        <w:rPr>
          <w:sz w:val="22"/>
          <w:szCs w:val="22"/>
        </w:rPr>
      </w:pPr>
      <w:r w:rsidRPr="006F4BD8">
        <w:rPr>
          <w:i/>
          <w:iCs/>
          <w:sz w:val="22"/>
          <w:szCs w:val="22"/>
        </w:rPr>
        <w:t>Vaxelis (DTPa5-HB-IPV-Hib</w:t>
      </w:r>
      <w:r>
        <w:rPr>
          <w:i/>
          <w:iCs/>
          <w:sz w:val="22"/>
          <w:szCs w:val="22"/>
        </w:rPr>
        <w:t xml:space="preserve">) is indicated for primary and booster vaccination in infants and toddlers from the age of 6 weeks, against diphtheria, tetanus, pertussis, hepatitis B, poliomyelitis and invasive diseases caused by Haemophilus influenzae type b (Hib). </w:t>
      </w:r>
    </w:p>
    <w:p w14:paraId="76CA0B17" w14:textId="064A7B5F" w:rsidR="00C31EF1" w:rsidRDefault="00C31EF1" w:rsidP="00C31EF1">
      <w:pPr>
        <w:ind w:left="720"/>
      </w:pPr>
      <w:r>
        <w:rPr>
          <w:i/>
          <w:iCs/>
        </w:rPr>
        <w:t>The use of Vaxelis should be in accordance with official recommendations.</w:t>
      </w:r>
    </w:p>
    <w:p w14:paraId="7DEE8C8C" w14:textId="4FA36B77" w:rsidR="00061BFD" w:rsidRDefault="00061BFD" w:rsidP="00061BFD">
      <w:pPr>
        <w:rPr>
          <w:lang w:eastAsia="ja-JP"/>
        </w:rPr>
      </w:pPr>
      <w:r w:rsidRPr="00061BFD">
        <w:rPr>
          <w:lang w:eastAsia="ja-JP"/>
        </w:rPr>
        <w:t xml:space="preserve">Vaxelis was co-developed by Sanofi Pasteur and Merck Sharp &amp; Dohme (MSD) for primary and booster immunisation of infants and toddlers. It is a hybrid </w:t>
      </w:r>
      <w:r w:rsidR="00591A45">
        <w:rPr>
          <w:lang w:eastAsia="ja-JP"/>
        </w:rPr>
        <w:t xml:space="preserve">hexavalent </w:t>
      </w:r>
      <w:r w:rsidRPr="00061BFD">
        <w:rPr>
          <w:lang w:eastAsia="ja-JP"/>
        </w:rPr>
        <w:t>vaccine</w:t>
      </w:r>
      <w:r w:rsidR="00591A45">
        <w:rPr>
          <w:lang w:eastAsia="ja-JP"/>
        </w:rPr>
        <w:t xml:space="preserve"> (that is, targeting 6 different infectious diseases)</w:t>
      </w:r>
      <w:r w:rsidRPr="00061BFD">
        <w:rPr>
          <w:lang w:eastAsia="ja-JP"/>
        </w:rPr>
        <w:t xml:space="preserve"> </w:t>
      </w:r>
      <w:r w:rsidR="00591A45">
        <w:rPr>
          <w:lang w:eastAsia="ja-JP"/>
        </w:rPr>
        <w:t xml:space="preserve">composed </w:t>
      </w:r>
      <w:r w:rsidRPr="00061BFD">
        <w:rPr>
          <w:lang w:eastAsia="ja-JP"/>
        </w:rPr>
        <w:t xml:space="preserve">of </w:t>
      </w:r>
      <w:r w:rsidR="00A940FB">
        <w:rPr>
          <w:lang w:eastAsia="ja-JP"/>
        </w:rPr>
        <w:t xml:space="preserve">a </w:t>
      </w:r>
      <w:r w:rsidRPr="00061BFD">
        <w:rPr>
          <w:lang w:eastAsia="ja-JP"/>
        </w:rPr>
        <w:t xml:space="preserve">5 </w:t>
      </w:r>
      <w:r w:rsidR="00B40334">
        <w:rPr>
          <w:lang w:eastAsia="ja-JP"/>
        </w:rPr>
        <w:t xml:space="preserve">acellular </w:t>
      </w:r>
      <w:r w:rsidRPr="00061BFD">
        <w:rPr>
          <w:lang w:eastAsia="ja-JP"/>
        </w:rPr>
        <w:t>pertussis antigen</w:t>
      </w:r>
      <w:r w:rsidR="00A940FB">
        <w:rPr>
          <w:lang w:eastAsia="ja-JP"/>
        </w:rPr>
        <w:t>-</w:t>
      </w:r>
      <w:r w:rsidRPr="00061BFD">
        <w:rPr>
          <w:lang w:eastAsia="ja-JP"/>
        </w:rPr>
        <w:t xml:space="preserve">component DTaP </w:t>
      </w:r>
      <w:r w:rsidR="00A940FB">
        <w:rPr>
          <w:lang w:eastAsia="ja-JP"/>
        </w:rPr>
        <w:t xml:space="preserve">vaccine </w:t>
      </w:r>
      <w:r w:rsidRPr="00061BFD">
        <w:rPr>
          <w:lang w:eastAsia="ja-JP"/>
        </w:rPr>
        <w:t xml:space="preserve">(Sanofi Pasteur), Vero IPV (Sanofi Pasteur), </w:t>
      </w:r>
      <w:r w:rsidR="00B40334">
        <w:rPr>
          <w:lang w:eastAsia="ja-JP"/>
        </w:rPr>
        <w:t>h</w:t>
      </w:r>
      <w:r w:rsidRPr="00061BFD">
        <w:rPr>
          <w:lang w:eastAsia="ja-JP"/>
        </w:rPr>
        <w:t>epatitis B (</w:t>
      </w:r>
      <w:r w:rsidR="00591A45">
        <w:rPr>
          <w:lang w:eastAsia="ja-JP"/>
        </w:rPr>
        <w:t>MSD</w:t>
      </w:r>
      <w:r w:rsidRPr="00061BFD">
        <w:rPr>
          <w:lang w:eastAsia="ja-JP"/>
        </w:rPr>
        <w:t>) and PRP</w:t>
      </w:r>
      <w:r w:rsidR="00591A45">
        <w:rPr>
          <w:lang w:eastAsia="ja-JP"/>
        </w:rPr>
        <w:noBreakHyphen/>
      </w:r>
      <w:r w:rsidRPr="00061BFD">
        <w:rPr>
          <w:lang w:eastAsia="ja-JP"/>
        </w:rPr>
        <w:t>OMPC (</w:t>
      </w:r>
      <w:r w:rsidR="00591A45">
        <w:rPr>
          <w:lang w:eastAsia="ja-JP"/>
        </w:rPr>
        <w:t>MSD</w:t>
      </w:r>
      <w:r w:rsidRPr="00061BFD">
        <w:rPr>
          <w:lang w:eastAsia="ja-JP"/>
        </w:rPr>
        <w:t>).</w:t>
      </w:r>
    </w:p>
    <w:p w14:paraId="70964E79" w14:textId="4C793666" w:rsidR="00B40334" w:rsidRPr="002320EF" w:rsidRDefault="00B40334" w:rsidP="002320EF">
      <w:bookmarkStart w:id="12" w:name="_Ref124501162"/>
      <w:r w:rsidRPr="002320EF">
        <w:t xml:space="preserve">A summary of the different vaccine components and </w:t>
      </w:r>
      <w:r w:rsidRPr="00D646AE">
        <w:t xml:space="preserve">diseases vaccinated against is provided in </w:t>
      </w:r>
      <w:r w:rsidR="00403AB2">
        <w:t>Table 1</w:t>
      </w:r>
      <w:r w:rsidRPr="002320EF">
        <w:t>, below.</w:t>
      </w:r>
    </w:p>
    <w:p w14:paraId="430767D9" w14:textId="75AD69A4" w:rsidR="00591A45" w:rsidRDefault="00591A45" w:rsidP="00403AB2">
      <w:pPr>
        <w:pStyle w:val="TableTitle"/>
      </w:pPr>
      <w:bookmarkStart w:id="13" w:name="_Ref124501187"/>
      <w:r>
        <w:t xml:space="preserve">Table </w:t>
      </w:r>
      <w:r w:rsidR="00403AB2">
        <w:t>1</w:t>
      </w:r>
      <w:bookmarkEnd w:id="13"/>
      <w:r>
        <w:t>: Vaxelis vaccine components</w:t>
      </w:r>
      <w:bookmarkEnd w:id="12"/>
    </w:p>
    <w:tbl>
      <w:tblPr>
        <w:tblStyle w:val="TableTGAblue"/>
        <w:tblW w:w="8540" w:type="dxa"/>
        <w:tblLook w:val="04A0" w:firstRow="1" w:lastRow="0" w:firstColumn="1" w:lastColumn="0" w:noHBand="0" w:noVBand="1"/>
      </w:tblPr>
      <w:tblGrid>
        <w:gridCol w:w="2420"/>
        <w:gridCol w:w="2700"/>
        <w:gridCol w:w="3420"/>
      </w:tblGrid>
      <w:tr w:rsidR="00B45417" w14:paraId="62E06BE3" w14:textId="41D7BCF7" w:rsidTr="00403AB2">
        <w:trPr>
          <w:cnfStyle w:val="100000000000" w:firstRow="1" w:lastRow="0" w:firstColumn="0" w:lastColumn="0" w:oddVBand="0" w:evenVBand="0" w:oddHBand="0" w:evenHBand="0" w:firstRowFirstColumn="0" w:firstRowLastColumn="0" w:lastRowFirstColumn="0" w:lastRowLastColumn="0"/>
        </w:trPr>
        <w:tc>
          <w:tcPr>
            <w:tcW w:w="2420" w:type="dxa"/>
          </w:tcPr>
          <w:p w14:paraId="330E352A" w14:textId="4FA11116" w:rsidR="00B45417" w:rsidRPr="00403AB2" w:rsidRDefault="00B45417" w:rsidP="00403AB2">
            <w:pPr>
              <w:ind w:left="72" w:right="0"/>
            </w:pPr>
            <w:r w:rsidRPr="00403AB2">
              <w:rPr>
                <w:lang w:eastAsia="en-US"/>
              </w:rPr>
              <w:t>Vaccine components</w:t>
            </w:r>
          </w:p>
        </w:tc>
        <w:tc>
          <w:tcPr>
            <w:tcW w:w="2700" w:type="dxa"/>
          </w:tcPr>
          <w:p w14:paraId="431A4BF2" w14:textId="2A5F6A5B" w:rsidR="00B45417" w:rsidRPr="00403AB2" w:rsidRDefault="00B45417" w:rsidP="00403AB2">
            <w:pPr>
              <w:ind w:left="72" w:right="0"/>
            </w:pPr>
            <w:r w:rsidRPr="00403AB2">
              <w:rPr>
                <w:lang w:eastAsia="en-US"/>
              </w:rPr>
              <w:t>Targeted disease</w:t>
            </w:r>
          </w:p>
        </w:tc>
        <w:tc>
          <w:tcPr>
            <w:tcW w:w="3420" w:type="dxa"/>
          </w:tcPr>
          <w:p w14:paraId="0C792394" w14:textId="647C9462" w:rsidR="00B45417" w:rsidRPr="00403AB2" w:rsidRDefault="00591A45" w:rsidP="00403AB2">
            <w:pPr>
              <w:ind w:left="72" w:right="0"/>
            </w:pPr>
            <w:r w:rsidRPr="00403AB2">
              <w:rPr>
                <w:lang w:eastAsia="en-US"/>
              </w:rPr>
              <w:t>Form</w:t>
            </w:r>
          </w:p>
        </w:tc>
      </w:tr>
      <w:tr w:rsidR="00B45417" w14:paraId="2F08E26F" w14:textId="1E56A20F" w:rsidTr="00403AB2">
        <w:tc>
          <w:tcPr>
            <w:tcW w:w="2420" w:type="dxa"/>
            <w:vMerge w:val="restart"/>
          </w:tcPr>
          <w:p w14:paraId="7106BEEE" w14:textId="2F3AF55C" w:rsidR="00B45417" w:rsidRPr="00403AB2" w:rsidRDefault="00B45417" w:rsidP="00403AB2">
            <w:pPr>
              <w:spacing w:before="60" w:after="60" w:line="120" w:lineRule="atLeast"/>
              <w:ind w:left="72" w:right="0"/>
              <w:rPr>
                <w:sz w:val="21"/>
                <w:lang w:eastAsia="ja-JP"/>
              </w:rPr>
            </w:pPr>
            <w:r w:rsidRPr="00403AB2">
              <w:rPr>
                <w:sz w:val="21"/>
                <w:lang w:eastAsia="ja-JP"/>
              </w:rPr>
              <w:t>DTPa5 vaccine (Sanofi Pasteur)</w:t>
            </w:r>
          </w:p>
        </w:tc>
        <w:tc>
          <w:tcPr>
            <w:tcW w:w="2700" w:type="dxa"/>
          </w:tcPr>
          <w:p w14:paraId="2AD7ACB2" w14:textId="140013C2" w:rsidR="00B45417" w:rsidRPr="00403AB2" w:rsidRDefault="00B45417" w:rsidP="00403AB2">
            <w:pPr>
              <w:spacing w:before="60" w:after="60" w:line="120" w:lineRule="atLeast"/>
              <w:ind w:left="72" w:right="0"/>
              <w:rPr>
                <w:sz w:val="21"/>
                <w:lang w:eastAsia="ja-JP"/>
              </w:rPr>
            </w:pPr>
            <w:r w:rsidRPr="00403AB2">
              <w:rPr>
                <w:sz w:val="21"/>
                <w:lang w:eastAsia="ja-JP"/>
              </w:rPr>
              <w:t>Diphtheria</w:t>
            </w:r>
          </w:p>
        </w:tc>
        <w:tc>
          <w:tcPr>
            <w:tcW w:w="3420" w:type="dxa"/>
          </w:tcPr>
          <w:p w14:paraId="7C93E340" w14:textId="0F2ACF90" w:rsidR="00B45417" w:rsidRPr="00403AB2" w:rsidRDefault="00591A45" w:rsidP="00403AB2">
            <w:pPr>
              <w:spacing w:before="60" w:after="60" w:line="120" w:lineRule="atLeast"/>
              <w:ind w:left="72" w:right="0"/>
              <w:rPr>
                <w:sz w:val="21"/>
                <w:lang w:eastAsia="ja-JP"/>
              </w:rPr>
            </w:pPr>
            <w:r w:rsidRPr="00403AB2">
              <w:rPr>
                <w:sz w:val="21"/>
                <w:lang w:eastAsia="ja-JP"/>
              </w:rPr>
              <w:t>Toxoid</w:t>
            </w:r>
          </w:p>
        </w:tc>
      </w:tr>
      <w:tr w:rsidR="00B45417" w14:paraId="5E8D0B68" w14:textId="50820B3B" w:rsidTr="00403AB2">
        <w:tc>
          <w:tcPr>
            <w:tcW w:w="2420" w:type="dxa"/>
            <w:vMerge/>
          </w:tcPr>
          <w:p w14:paraId="16B6B90D" w14:textId="77777777" w:rsidR="00B45417" w:rsidRPr="00403AB2" w:rsidRDefault="00B45417" w:rsidP="00403AB2">
            <w:pPr>
              <w:spacing w:before="60" w:after="60" w:line="120" w:lineRule="atLeast"/>
              <w:ind w:left="72" w:right="0"/>
              <w:rPr>
                <w:sz w:val="21"/>
                <w:lang w:eastAsia="ja-JP"/>
              </w:rPr>
            </w:pPr>
          </w:p>
        </w:tc>
        <w:tc>
          <w:tcPr>
            <w:tcW w:w="2700" w:type="dxa"/>
          </w:tcPr>
          <w:p w14:paraId="7AE5D799" w14:textId="75FC1328" w:rsidR="00B45417" w:rsidRPr="00403AB2" w:rsidRDefault="00B45417" w:rsidP="00403AB2">
            <w:pPr>
              <w:spacing w:before="60" w:after="60" w:line="120" w:lineRule="atLeast"/>
              <w:ind w:left="72" w:right="0"/>
              <w:rPr>
                <w:sz w:val="21"/>
                <w:lang w:eastAsia="ja-JP"/>
              </w:rPr>
            </w:pPr>
            <w:r w:rsidRPr="00403AB2">
              <w:rPr>
                <w:sz w:val="21"/>
                <w:lang w:eastAsia="ja-JP"/>
              </w:rPr>
              <w:t>Tetanus</w:t>
            </w:r>
          </w:p>
        </w:tc>
        <w:tc>
          <w:tcPr>
            <w:tcW w:w="3420" w:type="dxa"/>
          </w:tcPr>
          <w:p w14:paraId="27F5AF60" w14:textId="7CC50CEE" w:rsidR="00B45417" w:rsidRPr="00403AB2" w:rsidRDefault="00591A45" w:rsidP="00403AB2">
            <w:pPr>
              <w:spacing w:before="60" w:after="60" w:line="120" w:lineRule="atLeast"/>
              <w:ind w:left="72" w:right="0"/>
              <w:rPr>
                <w:sz w:val="21"/>
                <w:lang w:eastAsia="ja-JP"/>
              </w:rPr>
            </w:pPr>
            <w:r w:rsidRPr="00403AB2">
              <w:rPr>
                <w:sz w:val="21"/>
                <w:lang w:eastAsia="ja-JP"/>
              </w:rPr>
              <w:t>Toxoid</w:t>
            </w:r>
          </w:p>
        </w:tc>
      </w:tr>
      <w:tr w:rsidR="00B45417" w14:paraId="224A99E6" w14:textId="1755C0A8" w:rsidTr="00403AB2">
        <w:tc>
          <w:tcPr>
            <w:tcW w:w="2420" w:type="dxa"/>
            <w:vMerge/>
          </w:tcPr>
          <w:p w14:paraId="7A4D51D3" w14:textId="77777777" w:rsidR="00B45417" w:rsidRPr="00403AB2" w:rsidRDefault="00B45417" w:rsidP="00403AB2">
            <w:pPr>
              <w:spacing w:before="60" w:after="60" w:line="120" w:lineRule="atLeast"/>
              <w:ind w:left="72" w:right="0"/>
              <w:rPr>
                <w:sz w:val="21"/>
                <w:lang w:eastAsia="ja-JP"/>
              </w:rPr>
            </w:pPr>
          </w:p>
        </w:tc>
        <w:tc>
          <w:tcPr>
            <w:tcW w:w="2700" w:type="dxa"/>
          </w:tcPr>
          <w:p w14:paraId="0348FE26" w14:textId="63DCD395" w:rsidR="00B45417" w:rsidRPr="00403AB2" w:rsidRDefault="00B45417" w:rsidP="00403AB2">
            <w:pPr>
              <w:spacing w:before="60" w:after="60" w:line="120" w:lineRule="atLeast"/>
              <w:ind w:left="72" w:right="0"/>
              <w:rPr>
                <w:sz w:val="21"/>
                <w:lang w:eastAsia="ja-JP"/>
              </w:rPr>
            </w:pPr>
            <w:r w:rsidRPr="00403AB2">
              <w:rPr>
                <w:sz w:val="21"/>
                <w:lang w:eastAsia="ja-JP"/>
              </w:rPr>
              <w:t>Pertussis</w:t>
            </w:r>
          </w:p>
        </w:tc>
        <w:tc>
          <w:tcPr>
            <w:tcW w:w="3420" w:type="dxa"/>
          </w:tcPr>
          <w:p w14:paraId="4FCCAB25" w14:textId="7DB29E33" w:rsidR="00B45417" w:rsidRPr="00403AB2" w:rsidRDefault="00B45417" w:rsidP="00403AB2">
            <w:pPr>
              <w:spacing w:before="60" w:after="60" w:line="120" w:lineRule="atLeast"/>
              <w:ind w:left="72" w:right="0"/>
              <w:rPr>
                <w:sz w:val="21"/>
                <w:lang w:eastAsia="ja-JP"/>
              </w:rPr>
            </w:pPr>
            <w:r w:rsidRPr="00403AB2">
              <w:rPr>
                <w:sz w:val="21"/>
              </w:rPr>
              <w:t xml:space="preserve">5 </w:t>
            </w:r>
            <w:r w:rsidRPr="00403AB2">
              <w:rPr>
                <w:i/>
                <w:sz w:val="21"/>
              </w:rPr>
              <w:t>Bordetella pertussis</w:t>
            </w:r>
            <w:r w:rsidRPr="00403AB2">
              <w:rPr>
                <w:sz w:val="21"/>
              </w:rPr>
              <w:t xml:space="preserve"> antigens (</w:t>
            </w:r>
            <w:r w:rsidRPr="00403AB2">
              <w:rPr>
                <w:sz w:val="21"/>
                <w:lang w:eastAsia="ja-JP"/>
              </w:rPr>
              <w:t>acellular component)</w:t>
            </w:r>
          </w:p>
        </w:tc>
      </w:tr>
      <w:tr w:rsidR="00B45417" w14:paraId="640BF956" w14:textId="79CE9A88" w:rsidTr="00403AB2">
        <w:tc>
          <w:tcPr>
            <w:tcW w:w="2420" w:type="dxa"/>
          </w:tcPr>
          <w:p w14:paraId="02E397E4" w14:textId="0DED976E" w:rsidR="00B45417" w:rsidRPr="00403AB2" w:rsidRDefault="00B45417" w:rsidP="00403AB2">
            <w:pPr>
              <w:spacing w:before="60" w:after="60" w:line="120" w:lineRule="atLeast"/>
              <w:ind w:left="72" w:right="0"/>
              <w:rPr>
                <w:sz w:val="21"/>
                <w:lang w:eastAsia="ja-JP"/>
              </w:rPr>
            </w:pPr>
            <w:r w:rsidRPr="00403AB2">
              <w:rPr>
                <w:sz w:val="21"/>
                <w:lang w:eastAsia="ja-JP"/>
              </w:rPr>
              <w:t>Vero IPV vaccine (Sanofi Pasteur)</w:t>
            </w:r>
          </w:p>
        </w:tc>
        <w:tc>
          <w:tcPr>
            <w:tcW w:w="2700" w:type="dxa"/>
          </w:tcPr>
          <w:p w14:paraId="7046B7F4" w14:textId="2CBA78BB" w:rsidR="00B45417" w:rsidRPr="00403AB2" w:rsidRDefault="00B45417" w:rsidP="00403AB2">
            <w:pPr>
              <w:spacing w:before="60" w:after="60" w:line="120" w:lineRule="atLeast"/>
              <w:ind w:left="72" w:right="0"/>
              <w:rPr>
                <w:sz w:val="21"/>
                <w:lang w:eastAsia="ja-JP"/>
              </w:rPr>
            </w:pPr>
            <w:r w:rsidRPr="00403AB2">
              <w:rPr>
                <w:sz w:val="21"/>
                <w:lang w:eastAsia="ja-JP"/>
              </w:rPr>
              <w:t>Poliovirus</w:t>
            </w:r>
          </w:p>
        </w:tc>
        <w:tc>
          <w:tcPr>
            <w:tcW w:w="3420" w:type="dxa"/>
          </w:tcPr>
          <w:p w14:paraId="060B496C" w14:textId="785747E5" w:rsidR="00B45417" w:rsidRPr="00403AB2" w:rsidRDefault="00B45417" w:rsidP="00403AB2">
            <w:pPr>
              <w:spacing w:before="60" w:after="60" w:line="120" w:lineRule="atLeast"/>
              <w:ind w:left="72" w:right="0"/>
              <w:rPr>
                <w:sz w:val="21"/>
                <w:lang w:eastAsia="ja-JP"/>
              </w:rPr>
            </w:pPr>
            <w:r w:rsidRPr="00403AB2">
              <w:rPr>
                <w:sz w:val="21"/>
                <w:lang w:eastAsia="ja-JP"/>
              </w:rPr>
              <w:t>Inactivated, 3 types</w:t>
            </w:r>
          </w:p>
        </w:tc>
      </w:tr>
      <w:tr w:rsidR="00B45417" w14:paraId="14C83B10" w14:textId="7A0C6B01" w:rsidTr="00403AB2">
        <w:tc>
          <w:tcPr>
            <w:tcW w:w="2420" w:type="dxa"/>
          </w:tcPr>
          <w:p w14:paraId="3A69462A" w14:textId="6FEC04CC" w:rsidR="00B45417" w:rsidRPr="00403AB2" w:rsidRDefault="00B45417" w:rsidP="00403AB2">
            <w:pPr>
              <w:spacing w:before="60" w:after="60" w:line="120" w:lineRule="atLeast"/>
              <w:ind w:left="72" w:right="0"/>
              <w:rPr>
                <w:sz w:val="21"/>
                <w:lang w:eastAsia="ja-JP"/>
              </w:rPr>
            </w:pPr>
            <w:r w:rsidRPr="00403AB2">
              <w:rPr>
                <w:sz w:val="21"/>
                <w:lang w:eastAsia="ja-JP"/>
              </w:rPr>
              <w:t>Hepatitis B vaccine (MSD)</w:t>
            </w:r>
          </w:p>
        </w:tc>
        <w:tc>
          <w:tcPr>
            <w:tcW w:w="2700" w:type="dxa"/>
          </w:tcPr>
          <w:p w14:paraId="73B57EA3" w14:textId="5051FFAD" w:rsidR="00B45417" w:rsidRPr="00403AB2" w:rsidRDefault="00B45417" w:rsidP="00403AB2">
            <w:pPr>
              <w:spacing w:before="60" w:after="60" w:line="120" w:lineRule="atLeast"/>
              <w:ind w:left="72" w:right="0"/>
              <w:rPr>
                <w:sz w:val="21"/>
                <w:lang w:eastAsia="ja-JP"/>
              </w:rPr>
            </w:pPr>
            <w:r w:rsidRPr="00403AB2">
              <w:rPr>
                <w:sz w:val="21"/>
                <w:lang w:eastAsia="ja-JP"/>
              </w:rPr>
              <w:t>Hepatitis B</w:t>
            </w:r>
          </w:p>
        </w:tc>
        <w:tc>
          <w:tcPr>
            <w:tcW w:w="3420" w:type="dxa"/>
          </w:tcPr>
          <w:p w14:paraId="4971FD19" w14:textId="58090531" w:rsidR="00B45417" w:rsidRPr="00403AB2" w:rsidRDefault="00B45417" w:rsidP="00403AB2">
            <w:pPr>
              <w:spacing w:before="60" w:after="60" w:line="120" w:lineRule="atLeast"/>
              <w:ind w:left="72" w:right="0"/>
              <w:rPr>
                <w:sz w:val="21"/>
                <w:lang w:eastAsia="ja-JP"/>
              </w:rPr>
            </w:pPr>
            <w:r w:rsidRPr="00403AB2">
              <w:rPr>
                <w:sz w:val="21"/>
                <w:lang w:eastAsia="ja-JP"/>
              </w:rPr>
              <w:t>rDNA</w:t>
            </w:r>
          </w:p>
        </w:tc>
      </w:tr>
      <w:tr w:rsidR="00B45417" w14:paraId="4A213343" w14:textId="35078C1D" w:rsidTr="00403AB2">
        <w:tc>
          <w:tcPr>
            <w:tcW w:w="2420" w:type="dxa"/>
          </w:tcPr>
          <w:p w14:paraId="608E946D" w14:textId="7AEC4D71" w:rsidR="00B45417" w:rsidRPr="00403AB2" w:rsidRDefault="00B45417" w:rsidP="00403AB2">
            <w:pPr>
              <w:spacing w:before="60" w:after="60" w:line="120" w:lineRule="atLeast"/>
              <w:ind w:left="72" w:right="0"/>
              <w:rPr>
                <w:sz w:val="21"/>
                <w:lang w:eastAsia="ja-JP"/>
              </w:rPr>
            </w:pPr>
            <w:r w:rsidRPr="00403AB2">
              <w:rPr>
                <w:sz w:val="21"/>
                <w:lang w:eastAsia="ja-JP"/>
              </w:rPr>
              <w:t>PRP-OMPC (MSD)</w:t>
            </w:r>
          </w:p>
        </w:tc>
        <w:tc>
          <w:tcPr>
            <w:tcW w:w="2700" w:type="dxa"/>
          </w:tcPr>
          <w:p w14:paraId="58E0FB9A" w14:textId="09337049" w:rsidR="00B45417" w:rsidRPr="00403AB2" w:rsidRDefault="00B45417" w:rsidP="00403AB2">
            <w:pPr>
              <w:spacing w:before="60" w:after="60" w:line="120" w:lineRule="atLeast"/>
              <w:ind w:left="72" w:right="0"/>
              <w:rPr>
                <w:sz w:val="21"/>
                <w:lang w:eastAsia="ja-JP"/>
              </w:rPr>
            </w:pPr>
            <w:r w:rsidRPr="00403AB2">
              <w:rPr>
                <w:i/>
                <w:sz w:val="21"/>
                <w:lang w:eastAsia="ja-JP"/>
              </w:rPr>
              <w:t>Haemophilus influenzae</w:t>
            </w:r>
            <w:r w:rsidRPr="00403AB2">
              <w:rPr>
                <w:sz w:val="21"/>
                <w:lang w:eastAsia="ja-JP"/>
              </w:rPr>
              <w:t xml:space="preserve"> type b (HIB)</w:t>
            </w:r>
          </w:p>
        </w:tc>
        <w:tc>
          <w:tcPr>
            <w:tcW w:w="3420" w:type="dxa"/>
          </w:tcPr>
          <w:p w14:paraId="7D96FAD1" w14:textId="5FB30261" w:rsidR="00B45417" w:rsidRPr="00403AB2" w:rsidRDefault="00B45417" w:rsidP="00403AB2">
            <w:pPr>
              <w:spacing w:before="60" w:after="60" w:line="120" w:lineRule="atLeast"/>
              <w:ind w:left="72" w:right="0"/>
              <w:rPr>
                <w:sz w:val="21"/>
                <w:lang w:eastAsia="ja-JP"/>
              </w:rPr>
            </w:pPr>
            <w:r w:rsidRPr="00403AB2">
              <w:rPr>
                <w:sz w:val="21"/>
              </w:rPr>
              <w:t xml:space="preserve">Conjugated </w:t>
            </w:r>
            <w:r w:rsidRPr="00403AB2">
              <w:rPr>
                <w:i/>
                <w:sz w:val="21"/>
              </w:rPr>
              <w:t>Haemophilus influenzae</w:t>
            </w:r>
            <w:r w:rsidRPr="00403AB2">
              <w:rPr>
                <w:sz w:val="21"/>
              </w:rPr>
              <w:t xml:space="preserve"> type b polysaccharide</w:t>
            </w:r>
          </w:p>
        </w:tc>
      </w:tr>
    </w:tbl>
    <w:p w14:paraId="2BFE4017" w14:textId="77777777" w:rsidR="00B40334" w:rsidRDefault="00B40334" w:rsidP="00061BFD">
      <w:pPr>
        <w:rPr>
          <w:lang w:eastAsia="ja-JP"/>
        </w:rPr>
      </w:pPr>
    </w:p>
    <w:p w14:paraId="60559F45" w14:textId="7E641C09" w:rsidR="005368F7" w:rsidRDefault="005368F7" w:rsidP="005368F7">
      <w:r>
        <w:t xml:space="preserve">This submission was submitted through the TGA’s </w:t>
      </w:r>
      <w:hyperlink r:id="rId18" w:history="1">
        <w:r>
          <w:rPr>
            <w:rStyle w:val="Hyperlink"/>
          </w:rPr>
          <w:t>Comparable Overseas Regulator</w:t>
        </w:r>
      </w:hyperlink>
      <w:r>
        <w:t xml:space="preserve"> B (COR-B) process, using evaluation reports from European Medicines Agency (EMA). The full dossier was submitted to the TGA.</w:t>
      </w:r>
    </w:p>
    <w:p w14:paraId="61948D90" w14:textId="384989F2" w:rsidR="00B40334" w:rsidRDefault="00B40334" w:rsidP="00403AB2">
      <w:pPr>
        <w:pStyle w:val="Heading4"/>
      </w:pPr>
      <w:r>
        <w:lastRenderedPageBreak/>
        <w:t>Vaccination schedules</w:t>
      </w:r>
    </w:p>
    <w:p w14:paraId="0F5C76DA" w14:textId="3F899C83" w:rsidR="00D1399B" w:rsidRPr="00D1399B" w:rsidRDefault="00986A2D" w:rsidP="00D1399B">
      <w:r w:rsidRPr="00D1399B">
        <w:t>The primary vaccination schedule consists of two or three doses, with an interval of at least 1 month between doses, and may be given from 6 weeks of age, in accordance with the official recommendations. After a 3</w:t>
      </w:r>
      <w:r w:rsidR="00B40334">
        <w:t>-</w:t>
      </w:r>
      <w:r w:rsidRPr="00D1399B">
        <w:t>dose primary series vaccination a booster dose may be given.</w:t>
      </w:r>
      <w:r w:rsidR="00D1399B">
        <w:t xml:space="preserve"> </w:t>
      </w:r>
      <w:r w:rsidR="007109DA" w:rsidRPr="00D1399B">
        <w:t>The following table (</w:t>
      </w:r>
      <w:r w:rsidR="00B40334">
        <w:t xml:space="preserve">see </w:t>
      </w:r>
      <w:r w:rsidR="00B40334">
        <w:fldChar w:fldCharType="begin"/>
      </w:r>
      <w:r w:rsidR="00B40334">
        <w:instrText xml:space="preserve"> REF _Ref124501638 \h </w:instrText>
      </w:r>
      <w:r w:rsidR="00B40334">
        <w:fldChar w:fldCharType="separate"/>
      </w:r>
      <w:r w:rsidR="00403AB2">
        <w:t xml:space="preserve">Table </w:t>
      </w:r>
      <w:r w:rsidR="00403AB2">
        <w:rPr>
          <w:noProof/>
        </w:rPr>
        <w:t>1</w:t>
      </w:r>
      <w:r w:rsidR="00B40334">
        <w:fldChar w:fldCharType="end"/>
      </w:r>
      <w:r w:rsidR="007109DA" w:rsidRPr="00D1399B">
        <w:t>) prov</w:t>
      </w:r>
      <w:r w:rsidR="00D1399B" w:rsidRPr="00D1399B">
        <w:t>ides the current Australian National Immunisation Program</w:t>
      </w:r>
      <w:r w:rsidR="002320EF">
        <w:t xml:space="preserve"> at the time this submission was considered for approval</w:t>
      </w:r>
      <w:r w:rsidR="00D1399B" w:rsidRPr="00D1399B">
        <w:t xml:space="preserve"> (modified from</w:t>
      </w:r>
      <w:r w:rsidR="002320EF">
        <w:t xml:space="preserve"> the National Centre for Immunisation Research and Surveillance.</w:t>
      </w:r>
      <w:r w:rsidR="002320EF">
        <w:rPr>
          <w:rStyle w:val="FootnoteReference"/>
        </w:rPr>
        <w:footnoteReference w:id="2"/>
      </w:r>
    </w:p>
    <w:p w14:paraId="11D3D51A" w14:textId="34B6737E" w:rsidR="00D1399B" w:rsidRDefault="00B40334" w:rsidP="00403AB2">
      <w:pPr>
        <w:pStyle w:val="Tabletitle0"/>
      </w:pPr>
      <w:bookmarkStart w:id="14" w:name="_Ref124501638"/>
      <w:r>
        <w:t xml:space="preserve">Table </w:t>
      </w:r>
      <w:fldSimple w:instr=" SEQ Table \* ARABIC ">
        <w:r w:rsidR="00403AB2">
          <w:rPr>
            <w:noProof/>
          </w:rPr>
          <w:t>1</w:t>
        </w:r>
      </w:fldSimple>
      <w:bookmarkEnd w:id="14"/>
      <w:r w:rsidR="002320EF">
        <w:t xml:space="preserve">: Vaccine schedule </w:t>
      </w:r>
      <w:r>
        <w:t>as per the current Australian National Immunisation Program</w:t>
      </w:r>
    </w:p>
    <w:tbl>
      <w:tblPr>
        <w:tblStyle w:val="TableTGAblue"/>
        <w:tblW w:w="8630" w:type="dxa"/>
        <w:tblLook w:val="04A0" w:firstRow="1" w:lastRow="0" w:firstColumn="1" w:lastColumn="0" w:noHBand="0" w:noVBand="1"/>
      </w:tblPr>
      <w:tblGrid>
        <w:gridCol w:w="2232"/>
        <w:gridCol w:w="914"/>
        <w:gridCol w:w="914"/>
        <w:gridCol w:w="914"/>
        <w:gridCol w:w="914"/>
        <w:gridCol w:w="914"/>
        <w:gridCol w:w="914"/>
        <w:gridCol w:w="914"/>
      </w:tblGrid>
      <w:tr w:rsidR="00216D08" w:rsidRPr="0078108C" w14:paraId="2AF00DBB" w14:textId="77777777" w:rsidTr="00403AB2">
        <w:trPr>
          <w:cnfStyle w:val="100000000000" w:firstRow="1" w:lastRow="0" w:firstColumn="0" w:lastColumn="0" w:oddVBand="0" w:evenVBand="0" w:oddHBand="0" w:evenHBand="0" w:firstRowFirstColumn="0" w:firstRowLastColumn="0" w:lastRowFirstColumn="0" w:lastRowLastColumn="0"/>
        </w:trPr>
        <w:tc>
          <w:tcPr>
            <w:tcW w:w="0" w:type="auto"/>
            <w:vMerge w:val="restart"/>
            <w:tcBorders>
              <w:right w:val="single" w:sz="4" w:space="0" w:color="auto"/>
            </w:tcBorders>
          </w:tcPr>
          <w:p w14:paraId="463E9A27" w14:textId="1E9E4E7F" w:rsidR="0078108C" w:rsidRPr="002320EF" w:rsidRDefault="0078108C" w:rsidP="00403AB2">
            <w:pPr>
              <w:ind w:left="0"/>
              <w:rPr>
                <w:sz w:val="20"/>
              </w:rPr>
            </w:pPr>
            <w:r>
              <w:rPr>
                <w:sz w:val="20"/>
              </w:rPr>
              <w:t>Disease/ vaccine antigen (abbreviation)</w:t>
            </w:r>
          </w:p>
        </w:tc>
        <w:tc>
          <w:tcPr>
            <w:tcW w:w="6398" w:type="dxa"/>
            <w:gridSpan w:val="7"/>
            <w:tcBorders>
              <w:left w:val="single" w:sz="4" w:space="0" w:color="auto"/>
            </w:tcBorders>
          </w:tcPr>
          <w:p w14:paraId="7384063B" w14:textId="5E969A1B" w:rsidR="0078108C" w:rsidRPr="002320EF" w:rsidRDefault="0078108C" w:rsidP="00403AB2">
            <w:pPr>
              <w:jc w:val="center"/>
              <w:rPr>
                <w:sz w:val="20"/>
              </w:rPr>
            </w:pPr>
            <w:r>
              <w:rPr>
                <w:sz w:val="20"/>
              </w:rPr>
              <w:t>Age</w:t>
            </w:r>
          </w:p>
        </w:tc>
      </w:tr>
      <w:tr w:rsidR="00216D08" w:rsidRPr="0078108C" w14:paraId="23AAA1BD" w14:textId="77777777" w:rsidTr="00403AB2">
        <w:tc>
          <w:tcPr>
            <w:tcW w:w="0" w:type="auto"/>
            <w:vMerge/>
            <w:tcBorders>
              <w:right w:val="single" w:sz="4" w:space="0" w:color="auto"/>
            </w:tcBorders>
          </w:tcPr>
          <w:p w14:paraId="7D85ECA4" w14:textId="77777777" w:rsidR="0078108C" w:rsidRPr="00403AB2" w:rsidRDefault="0078108C" w:rsidP="00403AB2">
            <w:pPr>
              <w:ind w:left="0" w:right="0"/>
              <w:rPr>
                <w:sz w:val="20"/>
              </w:rPr>
            </w:pPr>
          </w:p>
        </w:tc>
        <w:tc>
          <w:tcPr>
            <w:tcW w:w="914" w:type="dxa"/>
            <w:tcBorders>
              <w:left w:val="single" w:sz="4" w:space="0" w:color="auto"/>
            </w:tcBorders>
          </w:tcPr>
          <w:p w14:paraId="15D44A50" w14:textId="6642257E" w:rsidR="0078108C" w:rsidRPr="00403AB2" w:rsidRDefault="0078108C" w:rsidP="00403AB2">
            <w:pPr>
              <w:ind w:left="0" w:right="0"/>
              <w:jc w:val="center"/>
              <w:rPr>
                <w:b/>
                <w:sz w:val="20"/>
              </w:rPr>
            </w:pPr>
            <w:r w:rsidRPr="00403AB2">
              <w:rPr>
                <w:b/>
                <w:sz w:val="20"/>
              </w:rPr>
              <w:t>At birth</w:t>
            </w:r>
          </w:p>
        </w:tc>
        <w:tc>
          <w:tcPr>
            <w:tcW w:w="914" w:type="dxa"/>
          </w:tcPr>
          <w:p w14:paraId="0C33A6EC" w14:textId="52D5F656" w:rsidR="0078108C" w:rsidRPr="00403AB2" w:rsidRDefault="0078108C" w:rsidP="00403AB2">
            <w:pPr>
              <w:ind w:left="0" w:right="0"/>
              <w:jc w:val="center"/>
              <w:rPr>
                <w:b/>
                <w:sz w:val="20"/>
              </w:rPr>
            </w:pPr>
            <w:r w:rsidRPr="00403AB2">
              <w:rPr>
                <w:b/>
                <w:sz w:val="20"/>
              </w:rPr>
              <w:t>2 months</w:t>
            </w:r>
          </w:p>
        </w:tc>
        <w:tc>
          <w:tcPr>
            <w:tcW w:w="914" w:type="dxa"/>
          </w:tcPr>
          <w:p w14:paraId="349766A1" w14:textId="18E8A03B" w:rsidR="0078108C" w:rsidRPr="00403AB2" w:rsidRDefault="0078108C" w:rsidP="00403AB2">
            <w:pPr>
              <w:ind w:left="0" w:right="0"/>
              <w:jc w:val="center"/>
              <w:rPr>
                <w:b/>
                <w:sz w:val="20"/>
              </w:rPr>
            </w:pPr>
            <w:r w:rsidRPr="00403AB2">
              <w:rPr>
                <w:b/>
                <w:sz w:val="20"/>
              </w:rPr>
              <w:t>4 months</w:t>
            </w:r>
          </w:p>
        </w:tc>
        <w:tc>
          <w:tcPr>
            <w:tcW w:w="914" w:type="dxa"/>
          </w:tcPr>
          <w:p w14:paraId="2F48FF7D" w14:textId="7B09D0E7" w:rsidR="0078108C" w:rsidRPr="00403AB2" w:rsidRDefault="0078108C" w:rsidP="00403AB2">
            <w:pPr>
              <w:ind w:left="0" w:right="0"/>
              <w:jc w:val="center"/>
              <w:rPr>
                <w:b/>
                <w:sz w:val="20"/>
              </w:rPr>
            </w:pPr>
            <w:r w:rsidRPr="00403AB2">
              <w:rPr>
                <w:b/>
                <w:sz w:val="20"/>
              </w:rPr>
              <w:t>6</w:t>
            </w:r>
            <w:r w:rsidR="00216D08" w:rsidRPr="00403AB2">
              <w:rPr>
                <w:b/>
                <w:sz w:val="20"/>
              </w:rPr>
              <w:t xml:space="preserve"> </w:t>
            </w:r>
            <w:r w:rsidRPr="00403AB2">
              <w:rPr>
                <w:b/>
                <w:sz w:val="20"/>
              </w:rPr>
              <w:t>month</w:t>
            </w:r>
            <w:r w:rsidR="00216D08" w:rsidRPr="00403AB2">
              <w:rPr>
                <w:b/>
                <w:sz w:val="20"/>
              </w:rPr>
              <w:t>s</w:t>
            </w:r>
          </w:p>
        </w:tc>
        <w:tc>
          <w:tcPr>
            <w:tcW w:w="914" w:type="dxa"/>
          </w:tcPr>
          <w:p w14:paraId="1E7E1F73" w14:textId="203BC6EC" w:rsidR="0078108C" w:rsidRPr="00403AB2" w:rsidRDefault="0078108C" w:rsidP="00403AB2">
            <w:pPr>
              <w:ind w:left="0" w:right="0"/>
              <w:jc w:val="center"/>
              <w:rPr>
                <w:b/>
                <w:sz w:val="20"/>
              </w:rPr>
            </w:pPr>
            <w:r w:rsidRPr="00403AB2">
              <w:rPr>
                <w:b/>
                <w:sz w:val="20"/>
              </w:rPr>
              <w:t>12</w:t>
            </w:r>
            <w:r w:rsidR="00216D08" w:rsidRPr="00403AB2">
              <w:rPr>
                <w:b/>
                <w:sz w:val="20"/>
              </w:rPr>
              <w:t xml:space="preserve"> </w:t>
            </w:r>
            <w:r w:rsidRPr="00403AB2">
              <w:rPr>
                <w:b/>
                <w:sz w:val="20"/>
              </w:rPr>
              <w:t>months</w:t>
            </w:r>
          </w:p>
        </w:tc>
        <w:tc>
          <w:tcPr>
            <w:tcW w:w="914" w:type="dxa"/>
          </w:tcPr>
          <w:p w14:paraId="67894BBA" w14:textId="713E2A3D" w:rsidR="0078108C" w:rsidRPr="00403AB2" w:rsidRDefault="0078108C" w:rsidP="00403AB2">
            <w:pPr>
              <w:ind w:left="0" w:right="0"/>
              <w:jc w:val="center"/>
              <w:rPr>
                <w:b/>
                <w:sz w:val="20"/>
              </w:rPr>
            </w:pPr>
            <w:r w:rsidRPr="00403AB2">
              <w:rPr>
                <w:b/>
                <w:sz w:val="20"/>
              </w:rPr>
              <w:t>18</w:t>
            </w:r>
            <w:r w:rsidR="00216D08" w:rsidRPr="00403AB2">
              <w:rPr>
                <w:b/>
                <w:sz w:val="20"/>
              </w:rPr>
              <w:t xml:space="preserve"> </w:t>
            </w:r>
            <w:r w:rsidRPr="00403AB2">
              <w:rPr>
                <w:b/>
                <w:sz w:val="20"/>
              </w:rPr>
              <w:t>months</w:t>
            </w:r>
          </w:p>
        </w:tc>
        <w:tc>
          <w:tcPr>
            <w:tcW w:w="914" w:type="dxa"/>
          </w:tcPr>
          <w:p w14:paraId="192B0D51" w14:textId="0DA67C0F" w:rsidR="0078108C" w:rsidRPr="00403AB2" w:rsidRDefault="0078108C" w:rsidP="00403AB2">
            <w:pPr>
              <w:ind w:left="0" w:right="0"/>
              <w:jc w:val="center"/>
              <w:rPr>
                <w:b/>
                <w:sz w:val="20"/>
              </w:rPr>
            </w:pPr>
            <w:r w:rsidRPr="00403AB2">
              <w:rPr>
                <w:b/>
                <w:sz w:val="20"/>
              </w:rPr>
              <w:t>4 years</w:t>
            </w:r>
          </w:p>
        </w:tc>
      </w:tr>
      <w:tr w:rsidR="00216D08" w:rsidRPr="0078108C" w14:paraId="2A60ABFD" w14:textId="77777777" w:rsidTr="00403AB2">
        <w:tc>
          <w:tcPr>
            <w:tcW w:w="0" w:type="auto"/>
          </w:tcPr>
          <w:p w14:paraId="1091BF67" w14:textId="6ACED051" w:rsidR="00216D08" w:rsidRPr="00403AB2" w:rsidRDefault="00216D08" w:rsidP="00403AB2">
            <w:pPr>
              <w:ind w:left="0" w:right="0"/>
              <w:rPr>
                <w:sz w:val="20"/>
              </w:rPr>
            </w:pPr>
            <w:r>
              <w:rPr>
                <w:sz w:val="20"/>
              </w:rPr>
              <w:t>Hepatitis B (HepB)</w:t>
            </w:r>
          </w:p>
        </w:tc>
        <w:tc>
          <w:tcPr>
            <w:tcW w:w="914" w:type="dxa"/>
          </w:tcPr>
          <w:p w14:paraId="4268903C" w14:textId="32657B07" w:rsidR="00216D08" w:rsidRPr="00403AB2" w:rsidRDefault="00216D08" w:rsidP="00403AB2">
            <w:pPr>
              <w:jc w:val="center"/>
              <w:rPr>
                <w:rFonts w:asciiTheme="minorHAnsi" w:hAnsiTheme="minorHAnsi"/>
                <w:b/>
              </w:rPr>
            </w:pPr>
            <w:r w:rsidRPr="00403AB2">
              <w:rPr>
                <w:rFonts w:ascii="Segoe UI Symbol" w:hAnsi="Segoe UI Symbol" w:cs="Segoe UI Symbol"/>
                <w:b/>
              </w:rPr>
              <w:t>✓</w:t>
            </w:r>
          </w:p>
        </w:tc>
        <w:tc>
          <w:tcPr>
            <w:tcW w:w="914" w:type="dxa"/>
          </w:tcPr>
          <w:p w14:paraId="40722204" w14:textId="4776AA87" w:rsidR="00216D08" w:rsidRPr="00403AB2" w:rsidRDefault="00216D08" w:rsidP="00403AB2">
            <w:pPr>
              <w:jc w:val="center"/>
              <w:rPr>
                <w:rFonts w:asciiTheme="minorHAnsi" w:hAnsiTheme="minorHAnsi"/>
                <w:b/>
              </w:rPr>
            </w:pPr>
            <w:r w:rsidRPr="00403AB2">
              <w:rPr>
                <w:rFonts w:ascii="Segoe UI Symbol" w:hAnsi="Segoe UI Symbol" w:cs="Segoe UI Symbol"/>
                <w:b/>
              </w:rPr>
              <w:t>✓</w:t>
            </w:r>
            <w:r w:rsidRPr="00403AB2">
              <w:rPr>
                <w:rFonts w:asciiTheme="minorHAnsi" w:hAnsiTheme="minorHAnsi"/>
                <w:b/>
                <w:vertAlign w:val="superscript"/>
              </w:rPr>
              <w:t>1</w:t>
            </w:r>
          </w:p>
        </w:tc>
        <w:tc>
          <w:tcPr>
            <w:tcW w:w="914" w:type="dxa"/>
          </w:tcPr>
          <w:p w14:paraId="758FD395" w14:textId="52C7F096" w:rsidR="00216D08" w:rsidRPr="00403AB2" w:rsidRDefault="00216D08" w:rsidP="00403AB2">
            <w:pPr>
              <w:ind w:left="0" w:right="0"/>
              <w:jc w:val="center"/>
              <w:rPr>
                <w:sz w:val="20"/>
              </w:rPr>
            </w:pPr>
            <w:r w:rsidRPr="00B50306">
              <w:rPr>
                <w:rFonts w:ascii="Segoe UI Symbol" w:hAnsi="Segoe UI Symbol" w:cs="Segoe UI Symbol"/>
                <w:b/>
              </w:rPr>
              <w:t>✓</w:t>
            </w:r>
            <w:r w:rsidRPr="00B50306">
              <w:rPr>
                <w:rFonts w:asciiTheme="minorHAnsi" w:hAnsiTheme="minorHAnsi"/>
                <w:b/>
                <w:vertAlign w:val="superscript"/>
              </w:rPr>
              <w:t>1</w:t>
            </w:r>
          </w:p>
        </w:tc>
        <w:tc>
          <w:tcPr>
            <w:tcW w:w="914" w:type="dxa"/>
          </w:tcPr>
          <w:p w14:paraId="29B4FD0E" w14:textId="6449CD38" w:rsidR="00216D08" w:rsidRPr="00403AB2" w:rsidRDefault="00216D08" w:rsidP="00403AB2">
            <w:pPr>
              <w:ind w:left="0" w:right="0"/>
              <w:jc w:val="center"/>
              <w:rPr>
                <w:sz w:val="20"/>
              </w:rPr>
            </w:pPr>
            <w:r w:rsidRPr="00411445">
              <w:rPr>
                <w:rFonts w:ascii="Segoe UI Symbol" w:hAnsi="Segoe UI Symbol" w:cs="Segoe UI Symbol"/>
                <w:b/>
              </w:rPr>
              <w:t>✓</w:t>
            </w:r>
            <w:r w:rsidRPr="00411445">
              <w:rPr>
                <w:rFonts w:asciiTheme="minorHAnsi" w:hAnsiTheme="minorHAnsi"/>
                <w:b/>
                <w:vertAlign w:val="superscript"/>
              </w:rPr>
              <w:t>1</w:t>
            </w:r>
          </w:p>
        </w:tc>
        <w:tc>
          <w:tcPr>
            <w:tcW w:w="914" w:type="dxa"/>
          </w:tcPr>
          <w:p w14:paraId="1F5CDABA" w14:textId="0496012A" w:rsidR="00216D08" w:rsidRPr="00403AB2" w:rsidRDefault="00216D08" w:rsidP="00403AB2">
            <w:pPr>
              <w:ind w:left="0" w:right="0"/>
              <w:jc w:val="center"/>
              <w:rPr>
                <w:sz w:val="20"/>
                <w:vertAlign w:val="superscript"/>
              </w:rPr>
            </w:pPr>
            <w:r w:rsidRPr="001C574D">
              <w:rPr>
                <w:rFonts w:ascii="Segoe UI Symbol" w:hAnsi="Segoe UI Symbol" w:cs="Segoe UI Symbol"/>
                <w:b/>
              </w:rPr>
              <w:t>✓</w:t>
            </w:r>
            <w:r>
              <w:rPr>
                <w:rFonts w:ascii="Segoe UI Symbol" w:hAnsi="Segoe UI Symbol" w:cs="Segoe UI Symbol"/>
                <w:b/>
                <w:vertAlign w:val="superscript"/>
              </w:rPr>
              <w:t>2</w:t>
            </w:r>
          </w:p>
        </w:tc>
        <w:tc>
          <w:tcPr>
            <w:tcW w:w="914" w:type="dxa"/>
          </w:tcPr>
          <w:p w14:paraId="483FE6D7" w14:textId="77777777" w:rsidR="00216D08" w:rsidRPr="00403AB2" w:rsidRDefault="00216D08" w:rsidP="00403AB2">
            <w:pPr>
              <w:ind w:left="0" w:right="0"/>
              <w:jc w:val="center"/>
              <w:rPr>
                <w:sz w:val="20"/>
              </w:rPr>
            </w:pPr>
          </w:p>
        </w:tc>
        <w:tc>
          <w:tcPr>
            <w:tcW w:w="914" w:type="dxa"/>
          </w:tcPr>
          <w:p w14:paraId="568794B4" w14:textId="77777777" w:rsidR="00216D08" w:rsidRPr="00403AB2" w:rsidRDefault="00216D08" w:rsidP="00403AB2">
            <w:pPr>
              <w:ind w:left="0" w:right="0"/>
              <w:jc w:val="center"/>
              <w:rPr>
                <w:sz w:val="20"/>
              </w:rPr>
            </w:pPr>
          </w:p>
        </w:tc>
      </w:tr>
      <w:tr w:rsidR="00216D08" w:rsidRPr="0078108C" w14:paraId="5065A1BC" w14:textId="77777777" w:rsidTr="00403AB2">
        <w:tc>
          <w:tcPr>
            <w:tcW w:w="0" w:type="auto"/>
          </w:tcPr>
          <w:p w14:paraId="39876CEA" w14:textId="1A82E583" w:rsidR="00216D08" w:rsidRPr="00403AB2" w:rsidRDefault="002320EF" w:rsidP="00403AB2">
            <w:pPr>
              <w:ind w:left="0" w:right="0"/>
              <w:rPr>
                <w:sz w:val="20"/>
              </w:rPr>
            </w:pPr>
            <w:r>
              <w:rPr>
                <w:sz w:val="20"/>
              </w:rPr>
              <w:t>Diphtheria</w:t>
            </w:r>
            <w:r w:rsidR="00216D08">
              <w:rPr>
                <w:sz w:val="20"/>
              </w:rPr>
              <w:t>, tetanus, pertussis (DTPa)</w:t>
            </w:r>
          </w:p>
        </w:tc>
        <w:tc>
          <w:tcPr>
            <w:tcW w:w="914" w:type="dxa"/>
          </w:tcPr>
          <w:p w14:paraId="1B6A0FEC" w14:textId="77777777" w:rsidR="00216D08" w:rsidRPr="00403AB2" w:rsidRDefault="00216D08" w:rsidP="00403AB2">
            <w:pPr>
              <w:ind w:left="0" w:right="0"/>
              <w:jc w:val="center"/>
              <w:rPr>
                <w:sz w:val="20"/>
              </w:rPr>
            </w:pPr>
          </w:p>
        </w:tc>
        <w:tc>
          <w:tcPr>
            <w:tcW w:w="914" w:type="dxa"/>
          </w:tcPr>
          <w:p w14:paraId="4EF18C14" w14:textId="4A7CCEAD" w:rsidR="00216D08" w:rsidRPr="00403AB2" w:rsidRDefault="00216D08" w:rsidP="00403AB2">
            <w:pPr>
              <w:ind w:left="0" w:right="0"/>
              <w:jc w:val="center"/>
              <w:rPr>
                <w:sz w:val="20"/>
              </w:rPr>
            </w:pPr>
            <w:r w:rsidRPr="001C574D">
              <w:rPr>
                <w:rFonts w:ascii="Segoe UI Symbol" w:hAnsi="Segoe UI Symbol" w:cs="Segoe UI Symbol"/>
                <w:b/>
              </w:rPr>
              <w:t>✓</w:t>
            </w:r>
            <w:r w:rsidRPr="001C574D">
              <w:rPr>
                <w:rFonts w:asciiTheme="minorHAnsi" w:hAnsiTheme="minorHAnsi"/>
                <w:b/>
                <w:vertAlign w:val="superscript"/>
              </w:rPr>
              <w:t>1</w:t>
            </w:r>
          </w:p>
        </w:tc>
        <w:tc>
          <w:tcPr>
            <w:tcW w:w="914" w:type="dxa"/>
          </w:tcPr>
          <w:p w14:paraId="2397AFB6" w14:textId="0160CABA" w:rsidR="00216D08" w:rsidRPr="00403AB2" w:rsidRDefault="00216D08" w:rsidP="00403AB2">
            <w:pPr>
              <w:ind w:left="0" w:right="0"/>
              <w:jc w:val="center"/>
              <w:rPr>
                <w:sz w:val="20"/>
              </w:rPr>
            </w:pPr>
            <w:r w:rsidRPr="00B50306">
              <w:rPr>
                <w:rFonts w:ascii="Segoe UI Symbol" w:hAnsi="Segoe UI Symbol" w:cs="Segoe UI Symbol"/>
                <w:b/>
              </w:rPr>
              <w:t>✓</w:t>
            </w:r>
            <w:r w:rsidRPr="00B50306">
              <w:rPr>
                <w:rFonts w:asciiTheme="minorHAnsi" w:hAnsiTheme="minorHAnsi"/>
                <w:b/>
                <w:vertAlign w:val="superscript"/>
              </w:rPr>
              <w:t>1</w:t>
            </w:r>
          </w:p>
        </w:tc>
        <w:tc>
          <w:tcPr>
            <w:tcW w:w="914" w:type="dxa"/>
          </w:tcPr>
          <w:p w14:paraId="0D3CA7CC" w14:textId="4BC18F03" w:rsidR="00216D08" w:rsidRPr="00403AB2" w:rsidRDefault="00216D08" w:rsidP="00403AB2">
            <w:pPr>
              <w:ind w:left="0" w:right="0"/>
              <w:jc w:val="center"/>
              <w:rPr>
                <w:sz w:val="20"/>
              </w:rPr>
            </w:pPr>
            <w:r w:rsidRPr="00411445">
              <w:rPr>
                <w:rFonts w:ascii="Segoe UI Symbol" w:hAnsi="Segoe UI Symbol" w:cs="Segoe UI Symbol"/>
                <w:b/>
              </w:rPr>
              <w:t>✓</w:t>
            </w:r>
            <w:r w:rsidRPr="00411445">
              <w:rPr>
                <w:rFonts w:asciiTheme="minorHAnsi" w:hAnsiTheme="minorHAnsi"/>
                <w:b/>
                <w:vertAlign w:val="superscript"/>
              </w:rPr>
              <w:t>1</w:t>
            </w:r>
          </w:p>
        </w:tc>
        <w:tc>
          <w:tcPr>
            <w:tcW w:w="914" w:type="dxa"/>
          </w:tcPr>
          <w:p w14:paraId="6AFDE5F1" w14:textId="77777777" w:rsidR="00216D08" w:rsidRPr="00403AB2" w:rsidRDefault="00216D08" w:rsidP="00403AB2">
            <w:pPr>
              <w:ind w:left="0" w:right="0"/>
              <w:jc w:val="center"/>
              <w:rPr>
                <w:sz w:val="20"/>
              </w:rPr>
            </w:pPr>
          </w:p>
        </w:tc>
        <w:tc>
          <w:tcPr>
            <w:tcW w:w="914" w:type="dxa"/>
          </w:tcPr>
          <w:p w14:paraId="296B4E88" w14:textId="7659BC8C" w:rsidR="00216D08" w:rsidRPr="00403AB2" w:rsidRDefault="00216D08" w:rsidP="00403AB2">
            <w:pPr>
              <w:ind w:left="0" w:right="0"/>
              <w:jc w:val="center"/>
              <w:rPr>
                <w:sz w:val="20"/>
              </w:rPr>
            </w:pPr>
            <w:r w:rsidRPr="001C574D">
              <w:rPr>
                <w:rFonts w:ascii="Segoe UI Symbol" w:hAnsi="Segoe UI Symbol" w:cs="Segoe UI Symbol"/>
                <w:b/>
              </w:rPr>
              <w:t>✓</w:t>
            </w:r>
          </w:p>
        </w:tc>
        <w:tc>
          <w:tcPr>
            <w:tcW w:w="914" w:type="dxa"/>
          </w:tcPr>
          <w:p w14:paraId="14B0742D" w14:textId="79227774" w:rsidR="00216D08" w:rsidRPr="00403AB2" w:rsidRDefault="00216D08" w:rsidP="00403AB2">
            <w:pPr>
              <w:ind w:left="0" w:right="0"/>
              <w:jc w:val="center"/>
              <w:rPr>
                <w:sz w:val="20"/>
                <w:vertAlign w:val="superscript"/>
              </w:rPr>
            </w:pPr>
            <w:r w:rsidRPr="001C574D">
              <w:rPr>
                <w:rFonts w:ascii="Segoe UI Symbol" w:hAnsi="Segoe UI Symbol" w:cs="Segoe UI Symbol"/>
                <w:b/>
              </w:rPr>
              <w:t>✓</w:t>
            </w:r>
            <w:r>
              <w:rPr>
                <w:rFonts w:asciiTheme="minorHAnsi" w:hAnsiTheme="minorHAnsi"/>
                <w:b/>
                <w:vertAlign w:val="superscript"/>
              </w:rPr>
              <w:t>3</w:t>
            </w:r>
          </w:p>
        </w:tc>
      </w:tr>
      <w:tr w:rsidR="00216D08" w:rsidRPr="0078108C" w14:paraId="54F7B965" w14:textId="77777777" w:rsidTr="00403AB2">
        <w:tc>
          <w:tcPr>
            <w:tcW w:w="0" w:type="auto"/>
          </w:tcPr>
          <w:p w14:paraId="5A5CBB28" w14:textId="284FE800" w:rsidR="00216D08" w:rsidRPr="00403AB2" w:rsidRDefault="00216D08" w:rsidP="00403AB2">
            <w:pPr>
              <w:ind w:left="0" w:right="0"/>
              <w:rPr>
                <w:sz w:val="20"/>
              </w:rPr>
            </w:pPr>
            <w:r>
              <w:rPr>
                <w:sz w:val="20"/>
              </w:rPr>
              <w:t>Poliomyelitis (IPV)</w:t>
            </w:r>
          </w:p>
        </w:tc>
        <w:tc>
          <w:tcPr>
            <w:tcW w:w="914" w:type="dxa"/>
          </w:tcPr>
          <w:p w14:paraId="3284D0F6" w14:textId="77777777" w:rsidR="00216D08" w:rsidRPr="00403AB2" w:rsidRDefault="00216D08" w:rsidP="00403AB2">
            <w:pPr>
              <w:ind w:left="0" w:right="0"/>
              <w:jc w:val="center"/>
              <w:rPr>
                <w:sz w:val="20"/>
              </w:rPr>
            </w:pPr>
          </w:p>
        </w:tc>
        <w:tc>
          <w:tcPr>
            <w:tcW w:w="914" w:type="dxa"/>
          </w:tcPr>
          <w:p w14:paraId="2C5148A2" w14:textId="49376F71" w:rsidR="00216D08" w:rsidRPr="00403AB2" w:rsidRDefault="00216D08" w:rsidP="00403AB2">
            <w:pPr>
              <w:ind w:left="0" w:right="0"/>
              <w:jc w:val="center"/>
              <w:rPr>
                <w:sz w:val="20"/>
              </w:rPr>
            </w:pPr>
            <w:r w:rsidRPr="00FD0F58">
              <w:rPr>
                <w:rFonts w:ascii="Segoe UI Symbol" w:hAnsi="Segoe UI Symbol" w:cs="Segoe UI Symbol"/>
                <w:b/>
              </w:rPr>
              <w:t>✓</w:t>
            </w:r>
            <w:r w:rsidRPr="00FD0F58">
              <w:rPr>
                <w:rFonts w:asciiTheme="minorHAnsi" w:hAnsiTheme="minorHAnsi"/>
                <w:b/>
                <w:vertAlign w:val="superscript"/>
              </w:rPr>
              <w:t>1</w:t>
            </w:r>
          </w:p>
        </w:tc>
        <w:tc>
          <w:tcPr>
            <w:tcW w:w="914" w:type="dxa"/>
          </w:tcPr>
          <w:p w14:paraId="455C2B78" w14:textId="45E5AC54" w:rsidR="00216D08" w:rsidRPr="00403AB2" w:rsidRDefault="00216D08" w:rsidP="00403AB2">
            <w:pPr>
              <w:ind w:left="0" w:right="0"/>
              <w:jc w:val="center"/>
              <w:rPr>
                <w:sz w:val="20"/>
              </w:rPr>
            </w:pPr>
            <w:r w:rsidRPr="00B50306">
              <w:rPr>
                <w:rFonts w:ascii="Segoe UI Symbol" w:hAnsi="Segoe UI Symbol" w:cs="Segoe UI Symbol"/>
                <w:b/>
              </w:rPr>
              <w:t>✓</w:t>
            </w:r>
            <w:r w:rsidRPr="00B50306">
              <w:rPr>
                <w:rFonts w:asciiTheme="minorHAnsi" w:hAnsiTheme="minorHAnsi"/>
                <w:b/>
                <w:vertAlign w:val="superscript"/>
              </w:rPr>
              <w:t>1</w:t>
            </w:r>
          </w:p>
        </w:tc>
        <w:tc>
          <w:tcPr>
            <w:tcW w:w="914" w:type="dxa"/>
          </w:tcPr>
          <w:p w14:paraId="7BFC7268" w14:textId="21909FCB" w:rsidR="00216D08" w:rsidRPr="00403AB2" w:rsidRDefault="00216D08" w:rsidP="00403AB2">
            <w:pPr>
              <w:ind w:left="0" w:right="0"/>
              <w:jc w:val="center"/>
              <w:rPr>
                <w:sz w:val="20"/>
              </w:rPr>
            </w:pPr>
            <w:r w:rsidRPr="00411445">
              <w:rPr>
                <w:rFonts w:ascii="Segoe UI Symbol" w:hAnsi="Segoe UI Symbol" w:cs="Segoe UI Symbol"/>
                <w:b/>
              </w:rPr>
              <w:t>✓</w:t>
            </w:r>
            <w:r w:rsidRPr="00411445">
              <w:rPr>
                <w:rFonts w:asciiTheme="minorHAnsi" w:hAnsiTheme="minorHAnsi"/>
                <w:b/>
                <w:vertAlign w:val="superscript"/>
              </w:rPr>
              <w:t>1</w:t>
            </w:r>
          </w:p>
        </w:tc>
        <w:tc>
          <w:tcPr>
            <w:tcW w:w="914" w:type="dxa"/>
          </w:tcPr>
          <w:p w14:paraId="1EBDFB7D" w14:textId="77777777" w:rsidR="00216D08" w:rsidRPr="00403AB2" w:rsidRDefault="00216D08" w:rsidP="00403AB2">
            <w:pPr>
              <w:ind w:left="0" w:right="0"/>
              <w:jc w:val="center"/>
              <w:rPr>
                <w:sz w:val="20"/>
              </w:rPr>
            </w:pPr>
          </w:p>
        </w:tc>
        <w:tc>
          <w:tcPr>
            <w:tcW w:w="914" w:type="dxa"/>
          </w:tcPr>
          <w:p w14:paraId="7965C00D" w14:textId="77777777" w:rsidR="00216D08" w:rsidRPr="00403AB2" w:rsidRDefault="00216D08" w:rsidP="00403AB2">
            <w:pPr>
              <w:ind w:left="0" w:right="0"/>
              <w:jc w:val="center"/>
              <w:rPr>
                <w:sz w:val="20"/>
              </w:rPr>
            </w:pPr>
          </w:p>
        </w:tc>
        <w:tc>
          <w:tcPr>
            <w:tcW w:w="914" w:type="dxa"/>
          </w:tcPr>
          <w:p w14:paraId="4F85A42A" w14:textId="680C8F3C" w:rsidR="00216D08" w:rsidRPr="00403AB2" w:rsidRDefault="00216D08" w:rsidP="00403AB2">
            <w:pPr>
              <w:ind w:left="0" w:right="0"/>
              <w:jc w:val="center"/>
              <w:rPr>
                <w:sz w:val="20"/>
              </w:rPr>
            </w:pPr>
            <w:r w:rsidRPr="001C574D">
              <w:rPr>
                <w:rFonts w:ascii="Segoe UI Symbol" w:hAnsi="Segoe UI Symbol" w:cs="Segoe UI Symbol"/>
                <w:b/>
              </w:rPr>
              <w:t>✓</w:t>
            </w:r>
            <w:r>
              <w:rPr>
                <w:rFonts w:asciiTheme="minorHAnsi" w:hAnsiTheme="minorHAnsi"/>
                <w:b/>
                <w:vertAlign w:val="superscript"/>
              </w:rPr>
              <w:t>3</w:t>
            </w:r>
          </w:p>
        </w:tc>
      </w:tr>
      <w:tr w:rsidR="00216D08" w:rsidRPr="0078108C" w14:paraId="3D9934FC" w14:textId="77777777" w:rsidTr="00403AB2">
        <w:tc>
          <w:tcPr>
            <w:tcW w:w="0" w:type="auto"/>
          </w:tcPr>
          <w:p w14:paraId="3FBCFE11" w14:textId="22DE462B" w:rsidR="00216D08" w:rsidRPr="00403AB2" w:rsidRDefault="00216D08" w:rsidP="00403AB2">
            <w:pPr>
              <w:ind w:left="0" w:right="0"/>
              <w:rPr>
                <w:sz w:val="20"/>
              </w:rPr>
            </w:pPr>
            <w:r w:rsidRPr="00403AB2">
              <w:rPr>
                <w:i/>
                <w:sz w:val="20"/>
              </w:rPr>
              <w:t>Haemophilus influenza</w:t>
            </w:r>
            <w:r>
              <w:rPr>
                <w:sz w:val="20"/>
              </w:rPr>
              <w:t xml:space="preserve"> type b</w:t>
            </w:r>
          </w:p>
        </w:tc>
        <w:tc>
          <w:tcPr>
            <w:tcW w:w="914" w:type="dxa"/>
          </w:tcPr>
          <w:p w14:paraId="506BA1E6" w14:textId="77777777" w:rsidR="00216D08" w:rsidRPr="00403AB2" w:rsidRDefault="00216D08" w:rsidP="00403AB2">
            <w:pPr>
              <w:ind w:left="0" w:right="0"/>
              <w:jc w:val="center"/>
              <w:rPr>
                <w:sz w:val="20"/>
              </w:rPr>
            </w:pPr>
          </w:p>
        </w:tc>
        <w:tc>
          <w:tcPr>
            <w:tcW w:w="914" w:type="dxa"/>
          </w:tcPr>
          <w:p w14:paraId="4C2ED895" w14:textId="6097880C" w:rsidR="00216D08" w:rsidRPr="00403AB2" w:rsidRDefault="00216D08" w:rsidP="00403AB2">
            <w:pPr>
              <w:ind w:left="0" w:right="0"/>
              <w:jc w:val="center"/>
              <w:rPr>
                <w:sz w:val="20"/>
              </w:rPr>
            </w:pPr>
            <w:r w:rsidRPr="00FD0F58">
              <w:rPr>
                <w:rFonts w:ascii="Segoe UI Symbol" w:hAnsi="Segoe UI Symbol" w:cs="Segoe UI Symbol"/>
                <w:b/>
              </w:rPr>
              <w:t>✓</w:t>
            </w:r>
            <w:r w:rsidRPr="00FD0F58">
              <w:rPr>
                <w:rFonts w:asciiTheme="minorHAnsi" w:hAnsiTheme="minorHAnsi"/>
                <w:b/>
                <w:vertAlign w:val="superscript"/>
              </w:rPr>
              <w:t>1</w:t>
            </w:r>
          </w:p>
        </w:tc>
        <w:tc>
          <w:tcPr>
            <w:tcW w:w="914" w:type="dxa"/>
          </w:tcPr>
          <w:p w14:paraId="3C37B8C7" w14:textId="40A30F4F" w:rsidR="00216D08" w:rsidRPr="00403AB2" w:rsidRDefault="00216D08" w:rsidP="00403AB2">
            <w:pPr>
              <w:ind w:left="0" w:right="0"/>
              <w:jc w:val="center"/>
              <w:rPr>
                <w:sz w:val="20"/>
              </w:rPr>
            </w:pPr>
            <w:r w:rsidRPr="00B50306">
              <w:rPr>
                <w:rFonts w:ascii="Segoe UI Symbol" w:hAnsi="Segoe UI Symbol" w:cs="Segoe UI Symbol"/>
                <w:b/>
              </w:rPr>
              <w:t>✓</w:t>
            </w:r>
            <w:r w:rsidRPr="00B50306">
              <w:rPr>
                <w:rFonts w:asciiTheme="minorHAnsi" w:hAnsiTheme="minorHAnsi"/>
                <w:b/>
                <w:vertAlign w:val="superscript"/>
              </w:rPr>
              <w:t>1</w:t>
            </w:r>
          </w:p>
        </w:tc>
        <w:tc>
          <w:tcPr>
            <w:tcW w:w="914" w:type="dxa"/>
          </w:tcPr>
          <w:p w14:paraId="40B86C4E" w14:textId="7CCEFAD0" w:rsidR="00216D08" w:rsidRPr="00403AB2" w:rsidRDefault="00216D08" w:rsidP="00403AB2">
            <w:pPr>
              <w:ind w:left="0" w:right="0"/>
              <w:jc w:val="center"/>
              <w:rPr>
                <w:sz w:val="20"/>
              </w:rPr>
            </w:pPr>
            <w:r w:rsidRPr="00411445">
              <w:rPr>
                <w:rFonts w:ascii="Segoe UI Symbol" w:hAnsi="Segoe UI Symbol" w:cs="Segoe UI Symbol"/>
                <w:b/>
              </w:rPr>
              <w:t>✓</w:t>
            </w:r>
            <w:r w:rsidRPr="00411445">
              <w:rPr>
                <w:rFonts w:asciiTheme="minorHAnsi" w:hAnsiTheme="minorHAnsi"/>
                <w:b/>
                <w:vertAlign w:val="superscript"/>
              </w:rPr>
              <w:t>1</w:t>
            </w:r>
          </w:p>
        </w:tc>
        <w:tc>
          <w:tcPr>
            <w:tcW w:w="914" w:type="dxa"/>
          </w:tcPr>
          <w:p w14:paraId="7E1FC725" w14:textId="77777777" w:rsidR="00216D08" w:rsidRPr="00403AB2" w:rsidRDefault="00216D08" w:rsidP="00403AB2">
            <w:pPr>
              <w:ind w:left="0" w:right="0"/>
              <w:jc w:val="center"/>
              <w:rPr>
                <w:sz w:val="20"/>
              </w:rPr>
            </w:pPr>
          </w:p>
        </w:tc>
        <w:tc>
          <w:tcPr>
            <w:tcW w:w="914" w:type="dxa"/>
          </w:tcPr>
          <w:p w14:paraId="2427DC57" w14:textId="61D9DE92" w:rsidR="00216D08" w:rsidRPr="00403AB2" w:rsidRDefault="00216D08" w:rsidP="00403AB2">
            <w:pPr>
              <w:ind w:left="0" w:right="0"/>
              <w:jc w:val="center"/>
              <w:rPr>
                <w:sz w:val="20"/>
              </w:rPr>
            </w:pPr>
            <w:r w:rsidRPr="001C574D">
              <w:rPr>
                <w:rFonts w:ascii="Segoe UI Symbol" w:hAnsi="Segoe UI Symbol" w:cs="Segoe UI Symbol"/>
                <w:b/>
              </w:rPr>
              <w:t>✓</w:t>
            </w:r>
          </w:p>
        </w:tc>
        <w:tc>
          <w:tcPr>
            <w:tcW w:w="914" w:type="dxa"/>
          </w:tcPr>
          <w:p w14:paraId="283CBFDC" w14:textId="77777777" w:rsidR="00216D08" w:rsidRPr="00403AB2" w:rsidRDefault="00216D08" w:rsidP="00403AB2">
            <w:pPr>
              <w:ind w:left="0" w:right="0"/>
              <w:jc w:val="center"/>
              <w:rPr>
                <w:sz w:val="20"/>
              </w:rPr>
            </w:pPr>
          </w:p>
        </w:tc>
      </w:tr>
    </w:tbl>
    <w:p w14:paraId="0419F31A" w14:textId="1C1CE10E" w:rsidR="0078108C" w:rsidRDefault="00216D08" w:rsidP="00403AB2">
      <w:pPr>
        <w:pStyle w:val="TableDescription"/>
      </w:pPr>
      <w:r>
        <w:t>1 Combination vaccine is used. The first dose of the 2, 4, and 6 months schedule may be given from 6 weeks of age. The next schedule dose (second dose) is maintained at Month 4.</w:t>
      </w:r>
    </w:p>
    <w:p w14:paraId="1AF28F55" w14:textId="2E1683DB" w:rsidR="00216D08" w:rsidRDefault="00216D08" w:rsidP="00403AB2">
      <w:pPr>
        <w:pStyle w:val="TableDescription"/>
      </w:pPr>
      <w:r>
        <w:t xml:space="preserve">2 Hepatitis B booster dose only in preterm babies (less than 32 weeks gestation or birth weight under 2000 g, unless anti-hepatitis </w:t>
      </w:r>
      <w:r w:rsidR="002320EF">
        <w:t>B virus surface antigen (anti-HBsAg) antibody titre is ≥ 10 mIU/mL at one month after primary 3-dose series.</w:t>
      </w:r>
    </w:p>
    <w:p w14:paraId="564BC876" w14:textId="2768E62D" w:rsidR="00216D08" w:rsidRDefault="002320EF" w:rsidP="00403AB2">
      <w:pPr>
        <w:pStyle w:val="TableDescription"/>
      </w:pPr>
      <w:r>
        <w:t>3</w:t>
      </w:r>
      <w:r w:rsidR="00216D08">
        <w:t xml:space="preserve"> Appropriate combination vaccine may be used.</w:t>
      </w:r>
    </w:p>
    <w:p w14:paraId="734B26E1" w14:textId="40A2CE7B" w:rsidR="00A10EF1" w:rsidRPr="00061BFD" w:rsidRDefault="00D1399B" w:rsidP="00A10EF1">
      <w:pPr>
        <w:rPr>
          <w:lang w:eastAsia="ja-JP"/>
        </w:rPr>
      </w:pPr>
      <w:bookmarkStart w:id="15" w:name="_Toc314842485"/>
      <w:bookmarkStart w:id="16" w:name="_Toc247691504"/>
      <w:r>
        <w:rPr>
          <w:lang w:eastAsia="ja-JP"/>
        </w:rPr>
        <w:t>Vaxelis</w:t>
      </w:r>
      <w:r w:rsidR="00A10EF1" w:rsidRPr="00061BFD">
        <w:rPr>
          <w:lang w:eastAsia="ja-JP"/>
        </w:rPr>
        <w:t xml:space="preserve"> is designed to protect against</w:t>
      </w:r>
      <w:r w:rsidR="00061BFD" w:rsidRPr="00061BFD">
        <w:rPr>
          <w:lang w:eastAsia="ja-JP"/>
        </w:rPr>
        <w:t xml:space="preserve"> </w:t>
      </w:r>
      <w:r w:rsidR="00A10EF1" w:rsidRPr="00061BFD">
        <w:rPr>
          <w:lang w:eastAsia="ja-JP"/>
        </w:rPr>
        <w:t xml:space="preserve">6 diseases </w:t>
      </w:r>
      <w:r w:rsidR="00D93D89">
        <w:rPr>
          <w:lang w:eastAsia="ja-JP"/>
        </w:rPr>
        <w:t xml:space="preserve">(described below) </w:t>
      </w:r>
      <w:r w:rsidR="00A10EF1" w:rsidRPr="00061BFD">
        <w:rPr>
          <w:lang w:eastAsia="ja-JP"/>
        </w:rPr>
        <w:t xml:space="preserve">that are designated as public health priorities by </w:t>
      </w:r>
      <w:r w:rsidR="00061BFD" w:rsidRPr="00061BFD">
        <w:rPr>
          <w:lang w:eastAsia="ja-JP"/>
        </w:rPr>
        <w:t>the World Health Organization (</w:t>
      </w:r>
      <w:r w:rsidR="00A10EF1" w:rsidRPr="00061BFD">
        <w:rPr>
          <w:lang w:eastAsia="ja-JP"/>
        </w:rPr>
        <w:t>WHO</w:t>
      </w:r>
      <w:r w:rsidR="00061BFD" w:rsidRPr="00061BFD">
        <w:rPr>
          <w:lang w:eastAsia="ja-JP"/>
        </w:rPr>
        <w:t>)</w:t>
      </w:r>
      <w:r w:rsidR="00665AA6">
        <w:rPr>
          <w:lang w:eastAsia="ja-JP"/>
        </w:rPr>
        <w:t>.</w:t>
      </w:r>
    </w:p>
    <w:p w14:paraId="6B41F8FC" w14:textId="77777777" w:rsidR="00A10EF1" w:rsidRPr="00665AA6" w:rsidRDefault="00A10EF1" w:rsidP="00665AA6">
      <w:pPr>
        <w:pStyle w:val="Heading4"/>
      </w:pPr>
      <w:r w:rsidRPr="00061BFD">
        <w:rPr>
          <w:lang w:eastAsia="ja-JP"/>
        </w:rPr>
        <w:t>Diphtheria</w:t>
      </w:r>
    </w:p>
    <w:p w14:paraId="5CF9DD19" w14:textId="0B581F73" w:rsidR="00A10EF1" w:rsidRDefault="00A10EF1" w:rsidP="00A10EF1">
      <w:pPr>
        <w:rPr>
          <w:lang w:eastAsia="ja-JP"/>
        </w:rPr>
      </w:pPr>
      <w:r>
        <w:rPr>
          <w:lang w:eastAsia="ja-JP"/>
        </w:rPr>
        <w:t xml:space="preserve">Diphtheria is an acute disease caused by the exotoxin-producing bacterium, </w:t>
      </w:r>
      <w:r>
        <w:rPr>
          <w:i/>
          <w:lang w:eastAsia="ja-JP"/>
        </w:rPr>
        <w:t>Corynebacterium diphtheriae</w:t>
      </w:r>
      <w:r>
        <w:rPr>
          <w:lang w:eastAsia="ja-JP"/>
        </w:rPr>
        <w:t xml:space="preserve">. Humans are the only natural host for </w:t>
      </w:r>
      <w:r w:rsidR="00665AA6">
        <w:rPr>
          <w:i/>
          <w:lang w:eastAsia="ja-JP"/>
        </w:rPr>
        <w:t>Corynebacterium diphtheriae</w:t>
      </w:r>
      <w:r>
        <w:rPr>
          <w:lang w:eastAsia="ja-JP"/>
        </w:rPr>
        <w:t>. Transmission occurs through droplets and close physical contact. Diphtheria is rare in infants younger than 6 months of age due to the presence of maternal antibod</w:t>
      </w:r>
      <w:r w:rsidR="002320EF">
        <w:rPr>
          <w:lang w:eastAsia="ja-JP"/>
        </w:rPr>
        <w:t>ies</w:t>
      </w:r>
      <w:r>
        <w:rPr>
          <w:lang w:eastAsia="ja-JP"/>
        </w:rPr>
        <w:t>.</w:t>
      </w:r>
      <w:r w:rsidR="00665AA6">
        <w:rPr>
          <w:lang w:eastAsia="ja-JP"/>
        </w:rPr>
        <w:t xml:space="preserve"> </w:t>
      </w:r>
      <w:r>
        <w:rPr>
          <w:lang w:eastAsia="ja-JP"/>
        </w:rPr>
        <w:t>In non-immune persons of all ages, symptoms of diphtheria typically occur after an incubation period of 1 to 5 days. The clinical presentation involves an insidious onset of pharyngitis and/or laryngitis associated with a characteristic thick, adherent, grey-white membrane on the pharynx.</w:t>
      </w:r>
      <w:r w:rsidR="00665AA6">
        <w:rPr>
          <w:lang w:eastAsia="ja-JP"/>
        </w:rPr>
        <w:t xml:space="preserve"> </w:t>
      </w:r>
      <w:r>
        <w:rPr>
          <w:lang w:eastAsia="ja-JP"/>
        </w:rPr>
        <w:t xml:space="preserve">The case fatality for diphtheria is </w:t>
      </w:r>
      <w:r w:rsidR="002320EF">
        <w:rPr>
          <w:lang w:eastAsia="ja-JP"/>
        </w:rPr>
        <w:t xml:space="preserve">between </w:t>
      </w:r>
      <w:r>
        <w:rPr>
          <w:lang w:eastAsia="ja-JP"/>
        </w:rPr>
        <w:t>5</w:t>
      </w:r>
      <w:r w:rsidR="002320EF">
        <w:rPr>
          <w:lang w:eastAsia="ja-JP"/>
        </w:rPr>
        <w:t xml:space="preserve"> and </w:t>
      </w:r>
      <w:r>
        <w:rPr>
          <w:lang w:eastAsia="ja-JP"/>
        </w:rPr>
        <w:t>10%.</w:t>
      </w:r>
      <w:r>
        <w:rPr>
          <w:rStyle w:val="FootnoteReference"/>
          <w:lang w:eastAsia="ja-JP"/>
        </w:rPr>
        <w:footnoteReference w:id="3"/>
      </w:r>
      <w:r>
        <w:rPr>
          <w:lang w:eastAsia="ja-JP"/>
        </w:rPr>
        <w:t xml:space="preserve"> Diphtheria is extremely rare in developed countries, particularly after introduction of widespread vaccine against the disease.</w:t>
      </w:r>
      <w:r w:rsidR="00665AA6">
        <w:rPr>
          <w:lang w:eastAsia="ja-JP"/>
        </w:rPr>
        <w:t xml:space="preserve"> </w:t>
      </w:r>
    </w:p>
    <w:p w14:paraId="78A3E42A" w14:textId="4EBB3A0C" w:rsidR="00A10EF1" w:rsidRDefault="00A10EF1" w:rsidP="00A10EF1">
      <w:pPr>
        <w:rPr>
          <w:lang w:eastAsia="ja-JP"/>
        </w:rPr>
      </w:pPr>
      <w:r>
        <w:rPr>
          <w:lang w:eastAsia="ja-JP"/>
        </w:rPr>
        <w:lastRenderedPageBreak/>
        <w:t>Between 1997 and 2016, diphtheria caused 3 deaths in Australia. The highest number of deaths reported in a single year in Australia was 898 in 1921, prior to introduction of widespread vaccine in 1932.</w:t>
      </w:r>
      <w:r>
        <w:rPr>
          <w:rStyle w:val="FootnoteReference"/>
          <w:lang w:eastAsia="ja-JP"/>
        </w:rPr>
        <w:footnoteReference w:id="4"/>
      </w:r>
    </w:p>
    <w:p w14:paraId="23A093E5" w14:textId="77777777" w:rsidR="00A10EF1" w:rsidRDefault="00A10EF1" w:rsidP="005368F7">
      <w:pPr>
        <w:pStyle w:val="Heading4"/>
        <w:rPr>
          <w:lang w:eastAsia="ja-JP"/>
        </w:rPr>
      </w:pPr>
      <w:r>
        <w:rPr>
          <w:lang w:eastAsia="ja-JP"/>
        </w:rPr>
        <w:t>Tetanus</w:t>
      </w:r>
    </w:p>
    <w:p w14:paraId="62566B4A" w14:textId="00AF50B8" w:rsidR="00A10EF1" w:rsidRDefault="00A10EF1" w:rsidP="00A10EF1">
      <w:pPr>
        <w:rPr>
          <w:lang w:eastAsia="ja-JP"/>
        </w:rPr>
      </w:pPr>
      <w:r>
        <w:rPr>
          <w:lang w:eastAsia="ja-JP"/>
        </w:rPr>
        <w:t xml:space="preserve">Tetanus is an infectious bacterial disease caused by </w:t>
      </w:r>
      <w:r>
        <w:rPr>
          <w:i/>
          <w:lang w:eastAsia="ja-JP"/>
        </w:rPr>
        <w:t>Clostridium tetani</w:t>
      </w:r>
      <w:r>
        <w:rPr>
          <w:lang w:eastAsia="ja-JP"/>
        </w:rPr>
        <w:t>, a ubiquitous spore</w:t>
      </w:r>
      <w:r w:rsidR="00042B3F">
        <w:rPr>
          <w:lang w:eastAsia="ja-JP"/>
        </w:rPr>
        <w:t xml:space="preserve"> </w:t>
      </w:r>
      <w:r>
        <w:rPr>
          <w:lang w:eastAsia="ja-JP"/>
        </w:rPr>
        <w:t xml:space="preserve">forming anaerobic bacillus, which can produce a potent neurotoxin, tetanospasmin. The toxin blocks inhibitory neurotransmitters in the central nervous system and causes the muscular stiffness and spasms typical of generalised tetanus. Tetanus can never be eradicated as </w:t>
      </w:r>
      <w:r w:rsidR="00665AA6">
        <w:rPr>
          <w:i/>
          <w:lang w:eastAsia="ja-JP"/>
        </w:rPr>
        <w:t>Clostridium tetani</w:t>
      </w:r>
      <w:r w:rsidR="00D93D89">
        <w:rPr>
          <w:lang w:eastAsia="ja-JP"/>
        </w:rPr>
        <w:t xml:space="preserve"> </w:t>
      </w:r>
      <w:r>
        <w:rPr>
          <w:lang w:eastAsia="ja-JP"/>
        </w:rPr>
        <w:t>spores are prevalent in the environment and may be carried in the intestinal tracts of humans and animals. Tetanus is not transmitted from person to person. Tetanus, with an incubation period varying between 2 days and 2 months, typically presents as trismus (lockjaw) and sudden, generalised tonic seizures.</w:t>
      </w:r>
    </w:p>
    <w:p w14:paraId="285EF171" w14:textId="73237906" w:rsidR="00A10EF1" w:rsidRDefault="00A10EF1" w:rsidP="00A10EF1">
      <w:pPr>
        <w:rPr>
          <w:lang w:eastAsia="ja-JP"/>
        </w:rPr>
      </w:pPr>
      <w:r>
        <w:rPr>
          <w:lang w:eastAsia="ja-JP"/>
        </w:rPr>
        <w:t xml:space="preserve">Tetanus affects all age groups and case-fatality rates can be high even where modern intensive care is available. The overall tetanus case-fatality rate varies from 10% to 70%, depending on treatment, </w:t>
      </w:r>
      <w:r w:rsidR="0063023C">
        <w:rPr>
          <w:lang w:eastAsia="ja-JP"/>
        </w:rPr>
        <w:t>age,</w:t>
      </w:r>
      <w:r>
        <w:rPr>
          <w:lang w:eastAsia="ja-JP"/>
        </w:rPr>
        <w:t xml:space="preserve"> and general health of the patient. Without hospitalisation and intensive care, fatality is almost 100% among the oldest and the youngest patients.</w:t>
      </w:r>
      <w:r w:rsidR="00665AA6">
        <w:rPr>
          <w:lang w:eastAsia="ja-JP"/>
        </w:rPr>
        <w:t xml:space="preserve"> </w:t>
      </w:r>
      <w:r>
        <w:rPr>
          <w:lang w:eastAsia="ja-JP"/>
        </w:rPr>
        <w:t xml:space="preserve">The tetanus toxoid became a component of routine childhood vaccination in the </w:t>
      </w:r>
      <w:r w:rsidR="00665AA6">
        <w:rPr>
          <w:lang w:eastAsia="ja-JP"/>
        </w:rPr>
        <w:t>USA</w:t>
      </w:r>
      <w:r>
        <w:rPr>
          <w:lang w:eastAsia="ja-JP"/>
        </w:rPr>
        <w:t xml:space="preserve"> in the 1940s</w:t>
      </w:r>
      <w:r w:rsidR="00665AA6">
        <w:rPr>
          <w:lang w:eastAsia="ja-JP"/>
        </w:rPr>
        <w:t xml:space="preserve"> and </w:t>
      </w:r>
      <w:r>
        <w:rPr>
          <w:lang w:eastAsia="ja-JP"/>
        </w:rPr>
        <w:t xml:space="preserve">reported tetanus cases have </w:t>
      </w:r>
      <w:r w:rsidR="00665AA6">
        <w:rPr>
          <w:lang w:eastAsia="ja-JP"/>
        </w:rPr>
        <w:t xml:space="preserve">since </w:t>
      </w:r>
      <w:r>
        <w:rPr>
          <w:lang w:eastAsia="ja-JP"/>
        </w:rPr>
        <w:t xml:space="preserve">declined </w:t>
      </w:r>
      <w:r w:rsidR="00665AA6">
        <w:rPr>
          <w:lang w:eastAsia="ja-JP"/>
        </w:rPr>
        <w:t xml:space="preserve">by </w:t>
      </w:r>
      <w:r>
        <w:rPr>
          <w:lang w:eastAsia="ja-JP"/>
        </w:rPr>
        <w:t>&gt;</w:t>
      </w:r>
      <w:r w:rsidR="00E13652">
        <w:rPr>
          <w:lang w:eastAsia="ja-JP"/>
        </w:rPr>
        <w:t xml:space="preserve"> </w:t>
      </w:r>
      <w:r>
        <w:rPr>
          <w:lang w:eastAsia="ja-JP"/>
        </w:rPr>
        <w:t>95%</w:t>
      </w:r>
      <w:r w:rsidR="00665AA6">
        <w:rPr>
          <w:lang w:eastAsia="ja-JP"/>
        </w:rPr>
        <w:t>. S</w:t>
      </w:r>
      <w:r>
        <w:rPr>
          <w:lang w:eastAsia="ja-JP"/>
        </w:rPr>
        <w:t>ince the disease became reportable nationally in 1947, deaths have declined &gt;</w:t>
      </w:r>
      <w:r w:rsidR="00E13652">
        <w:rPr>
          <w:lang w:eastAsia="ja-JP"/>
        </w:rPr>
        <w:t xml:space="preserve"> </w:t>
      </w:r>
      <w:r>
        <w:rPr>
          <w:lang w:eastAsia="ja-JP"/>
        </w:rPr>
        <w:t>99%</w:t>
      </w:r>
      <w:r w:rsidR="00665AA6">
        <w:rPr>
          <w:lang w:eastAsia="ja-JP"/>
        </w:rPr>
        <w:t xml:space="preserve"> in the USA</w:t>
      </w:r>
      <w:r>
        <w:rPr>
          <w:lang w:eastAsia="ja-JP"/>
        </w:rPr>
        <w:t>.</w:t>
      </w:r>
    </w:p>
    <w:p w14:paraId="5D6143AE" w14:textId="403B7FA1" w:rsidR="00A10EF1" w:rsidRDefault="00A10EF1" w:rsidP="00A10EF1">
      <w:pPr>
        <w:rPr>
          <w:lang w:eastAsia="ja-JP"/>
        </w:rPr>
      </w:pPr>
      <w:r>
        <w:rPr>
          <w:lang w:eastAsia="ja-JP"/>
        </w:rPr>
        <w:t>In Australia, tetanus caused 14 deaths in Australia between 1997 and 2016. The number of deaths has fallen considerably since tetanus vaccination was introduced for children in the early 1950s.</w:t>
      </w:r>
      <w:r w:rsidR="00665AA6">
        <w:rPr>
          <w:lang w:eastAsia="ja-JP"/>
        </w:rPr>
        <w:t xml:space="preserve"> </w:t>
      </w:r>
      <w:r>
        <w:rPr>
          <w:lang w:eastAsia="ja-JP"/>
        </w:rPr>
        <w:t>Most (90%) of the deaths in the past 30 years have occurred in people aged 65 years and older, who have not been vaccinated at all or only recently.</w:t>
      </w:r>
      <w:r>
        <w:rPr>
          <w:rStyle w:val="FootnoteReference"/>
          <w:lang w:eastAsia="ja-JP"/>
        </w:rPr>
        <w:footnoteReference w:id="5"/>
      </w:r>
    </w:p>
    <w:p w14:paraId="5FEFCD75" w14:textId="77777777" w:rsidR="00A10EF1" w:rsidRDefault="00A10EF1" w:rsidP="005368F7">
      <w:pPr>
        <w:pStyle w:val="Heading4"/>
        <w:rPr>
          <w:lang w:eastAsia="ja-JP"/>
        </w:rPr>
      </w:pPr>
      <w:r>
        <w:rPr>
          <w:lang w:eastAsia="ja-JP"/>
        </w:rPr>
        <w:t>Pertussis</w:t>
      </w:r>
    </w:p>
    <w:p w14:paraId="0DA9E7EF" w14:textId="7239F33B" w:rsidR="00A10EF1" w:rsidRDefault="00A10EF1" w:rsidP="00A10EF1">
      <w:pPr>
        <w:rPr>
          <w:lang w:eastAsia="ja-JP"/>
        </w:rPr>
      </w:pPr>
      <w:r>
        <w:rPr>
          <w:lang w:eastAsia="ja-JP"/>
        </w:rPr>
        <w:t>Pertussis</w:t>
      </w:r>
      <w:r w:rsidR="00AE19B2">
        <w:rPr>
          <w:lang w:eastAsia="ja-JP"/>
        </w:rPr>
        <w:t xml:space="preserve">, more commonly known as </w:t>
      </w:r>
      <w:r>
        <w:rPr>
          <w:lang w:eastAsia="ja-JP"/>
        </w:rPr>
        <w:t>whooping cough</w:t>
      </w:r>
      <w:r w:rsidR="00AE19B2">
        <w:rPr>
          <w:lang w:eastAsia="ja-JP"/>
        </w:rPr>
        <w:t>,</w:t>
      </w:r>
      <w:r>
        <w:rPr>
          <w:lang w:eastAsia="ja-JP"/>
        </w:rPr>
        <w:t xml:space="preserve"> is caused by the bacterium </w:t>
      </w:r>
      <w:r>
        <w:rPr>
          <w:i/>
          <w:lang w:eastAsia="ja-JP"/>
        </w:rPr>
        <w:t xml:space="preserve">Bordetella </w:t>
      </w:r>
      <w:r w:rsidR="00403AB2">
        <w:rPr>
          <w:i/>
          <w:lang w:eastAsia="ja-JP"/>
        </w:rPr>
        <w:t>pertussis,</w:t>
      </w:r>
      <w:r>
        <w:rPr>
          <w:lang w:eastAsia="ja-JP"/>
        </w:rPr>
        <w:t xml:space="preserve"> and is transmitted from infected to susceptible individuals through droplets. The incubation period of pertussis ranges from 6 to 21 days and is usually 7 to 10 days. Pertussis begins with mild upper respiratory tract symptoms (catarrhal stage), progresses to cough and then to paroxysms of cough (paroxysmal stage) characterised by an inspiratory whoop commonly followed by vomiting. Fever is absent or minimal. Symptoms wane gradually over weeks to months (convalescent stage). The duration of classic pertussis is 6 to 10 weeks in the paediatric population.</w:t>
      </w:r>
    </w:p>
    <w:p w14:paraId="4A337AEA" w14:textId="77777777" w:rsidR="00A10EF1" w:rsidRDefault="00A10EF1" w:rsidP="00A10EF1">
      <w:pPr>
        <w:rPr>
          <w:lang w:eastAsia="ja-JP"/>
        </w:rPr>
      </w:pPr>
      <w:r>
        <w:rPr>
          <w:lang w:eastAsia="ja-JP"/>
        </w:rPr>
        <w:t>Adolescents and adults can become susceptible to pertussis because of waning immunity approximately 5 to 10 years after booster vaccination.</w:t>
      </w:r>
    </w:p>
    <w:p w14:paraId="33FF3A9A" w14:textId="13DF2D35" w:rsidR="00A10EF1" w:rsidRDefault="00A10EF1" w:rsidP="00A10EF1">
      <w:pPr>
        <w:rPr>
          <w:lang w:eastAsia="ja-JP"/>
        </w:rPr>
      </w:pPr>
      <w:r>
        <w:rPr>
          <w:lang w:eastAsia="ja-JP"/>
        </w:rPr>
        <w:t>In Australia, pertussis epidemics occur approximately every 3</w:t>
      </w:r>
      <w:r w:rsidR="00AE19B2">
        <w:rPr>
          <w:lang w:eastAsia="ja-JP"/>
        </w:rPr>
        <w:t xml:space="preserve"> to </w:t>
      </w:r>
      <w:r>
        <w:rPr>
          <w:lang w:eastAsia="ja-JP"/>
        </w:rPr>
        <w:t>4 years.</w:t>
      </w:r>
      <w:r>
        <w:rPr>
          <w:rStyle w:val="FootnoteReference"/>
          <w:lang w:eastAsia="ja-JP"/>
        </w:rPr>
        <w:footnoteReference w:id="6"/>
      </w:r>
      <w:r w:rsidR="00665AA6">
        <w:rPr>
          <w:lang w:eastAsia="ja-JP"/>
        </w:rPr>
        <w:t xml:space="preserve"> </w:t>
      </w:r>
      <w:r>
        <w:rPr>
          <w:lang w:eastAsia="ja-JP"/>
        </w:rPr>
        <w:t>Infants under 6</w:t>
      </w:r>
      <w:r w:rsidR="00AE19B2">
        <w:rPr>
          <w:lang w:eastAsia="ja-JP"/>
        </w:rPr>
        <w:t> </w:t>
      </w:r>
      <w:r>
        <w:rPr>
          <w:lang w:eastAsia="ja-JP"/>
        </w:rPr>
        <w:t>months of age account for the vast majority of pertussis hospitalisations and deaths.</w:t>
      </w:r>
      <w:r w:rsidR="00665AA6">
        <w:rPr>
          <w:lang w:eastAsia="ja-JP"/>
        </w:rPr>
        <w:t xml:space="preserve"> </w:t>
      </w:r>
      <w:r>
        <w:rPr>
          <w:lang w:eastAsia="ja-JP"/>
        </w:rPr>
        <w:t>In 2016, there were 445 hospital admissions for whooping cough in Australia, with over one</w:t>
      </w:r>
      <w:r w:rsidR="00AE19B2">
        <w:rPr>
          <w:lang w:eastAsia="ja-JP"/>
        </w:rPr>
        <w:noBreakHyphen/>
      </w:r>
      <w:r>
        <w:rPr>
          <w:lang w:eastAsia="ja-JP"/>
        </w:rPr>
        <w:t>third (38%) of these in children aged under 1 year.</w:t>
      </w:r>
      <w:r w:rsidR="00665AA6">
        <w:rPr>
          <w:lang w:eastAsia="ja-JP"/>
        </w:rPr>
        <w:t xml:space="preserve"> </w:t>
      </w:r>
      <w:r>
        <w:rPr>
          <w:lang w:eastAsia="ja-JP"/>
        </w:rPr>
        <w:t>Vaccination against pertussis began in Australia in 1942, after which the deaths fell rapidly.</w:t>
      </w:r>
      <w:r w:rsidR="00665AA6">
        <w:rPr>
          <w:lang w:eastAsia="ja-JP"/>
        </w:rPr>
        <w:t xml:space="preserve"> </w:t>
      </w:r>
      <w:r>
        <w:rPr>
          <w:lang w:eastAsia="ja-JP"/>
        </w:rPr>
        <w:t xml:space="preserve">Australian data for </w:t>
      </w:r>
      <w:r w:rsidR="00AE19B2">
        <w:rPr>
          <w:lang w:eastAsia="ja-JP"/>
        </w:rPr>
        <w:t xml:space="preserve">the period from </w:t>
      </w:r>
      <w:r>
        <w:rPr>
          <w:lang w:eastAsia="ja-JP"/>
        </w:rPr>
        <w:t>2009</w:t>
      </w:r>
      <w:r w:rsidR="00AE19B2">
        <w:rPr>
          <w:lang w:eastAsia="ja-JP"/>
        </w:rPr>
        <w:t xml:space="preserve"> to </w:t>
      </w:r>
      <w:r>
        <w:rPr>
          <w:lang w:eastAsia="ja-JP"/>
        </w:rPr>
        <w:t>2010 indicate a case fatality rate of less than 0.5% in infants too young to be protected by vaccine.</w:t>
      </w:r>
      <w:r>
        <w:rPr>
          <w:rStyle w:val="FootnoteReference"/>
          <w:lang w:eastAsia="ja-JP"/>
        </w:rPr>
        <w:footnoteReference w:id="7"/>
      </w:r>
    </w:p>
    <w:p w14:paraId="4FCE1F88" w14:textId="77777777" w:rsidR="00A10EF1" w:rsidRDefault="00A10EF1" w:rsidP="005368F7">
      <w:pPr>
        <w:pStyle w:val="Heading4"/>
        <w:rPr>
          <w:lang w:eastAsia="ja-JP"/>
        </w:rPr>
      </w:pPr>
      <w:r>
        <w:rPr>
          <w:lang w:eastAsia="ja-JP"/>
        </w:rPr>
        <w:lastRenderedPageBreak/>
        <w:t>Poliomyelitis</w:t>
      </w:r>
    </w:p>
    <w:p w14:paraId="319C8DC2" w14:textId="211D7332" w:rsidR="00A10EF1" w:rsidRDefault="00AE19B2" w:rsidP="00A10EF1">
      <w:pPr>
        <w:rPr>
          <w:lang w:eastAsia="ja-JP"/>
        </w:rPr>
      </w:pPr>
      <w:r>
        <w:rPr>
          <w:lang w:eastAsia="ja-JP"/>
        </w:rPr>
        <w:t>Poliomyelitis, or more simply p</w:t>
      </w:r>
      <w:r w:rsidR="00A10EF1">
        <w:rPr>
          <w:lang w:eastAsia="ja-JP"/>
        </w:rPr>
        <w:t>olio</w:t>
      </w:r>
      <w:r>
        <w:rPr>
          <w:lang w:eastAsia="ja-JP"/>
        </w:rPr>
        <w:t>,</w:t>
      </w:r>
      <w:r w:rsidR="00A10EF1">
        <w:rPr>
          <w:lang w:eastAsia="ja-JP"/>
        </w:rPr>
        <w:t xml:space="preserve"> is an acute infectious and communicable </w:t>
      </w:r>
      <w:r w:rsidR="00A10EF1" w:rsidRPr="00CE1671">
        <w:t xml:space="preserve">disease caused by poliovirus, which occurs only in humans. Polioviruses are single stranded </w:t>
      </w:r>
      <w:r w:rsidR="00CE1671" w:rsidRPr="00CE1671">
        <w:t>ribonucleic acid (</w:t>
      </w:r>
      <w:r w:rsidR="00A10EF1" w:rsidRPr="00CE1671">
        <w:t>RNA</w:t>
      </w:r>
      <w:r w:rsidR="00CE1671" w:rsidRPr="00CE1671">
        <w:t>)</w:t>
      </w:r>
      <w:r w:rsidR="00A10EF1" w:rsidRPr="00CE1671">
        <w:t xml:space="preserve"> enteroviruses (</w:t>
      </w:r>
      <w:r w:rsidR="00A10EF1" w:rsidRPr="00403AB2">
        <w:rPr>
          <w:i/>
        </w:rPr>
        <w:t>Picornaviridae</w:t>
      </w:r>
      <w:r w:rsidR="00A10EF1" w:rsidRPr="00CE1671">
        <w:t>). There are three poliovirus serotypes: 1, 2, and 3. Transmission is person-to-person via fecal-to-oral and oral-to-oral routes with an incubation period from exposure to first symptoms (minor illness) of 3 to 6</w:t>
      </w:r>
      <w:r>
        <w:t> </w:t>
      </w:r>
      <w:r w:rsidR="00A10EF1" w:rsidRPr="00CE1671">
        <w:t>days, and from infection to onset of paralytic disease of usually 7 to 21 days, with a range of 3 to 35 days.</w:t>
      </w:r>
      <w:r w:rsidR="00A10EF1">
        <w:rPr>
          <w:lang w:eastAsia="ja-JP"/>
        </w:rPr>
        <w:t xml:space="preserve"> Infection is more common in infants and young children and occurs at an earlier age among children living in poor hygienic conditions. The case fatality rate is variable and depends primarily on the age groups affected. Case fatality rates of 5</w:t>
      </w:r>
      <w:r w:rsidR="00E13652">
        <w:rPr>
          <w:lang w:eastAsia="ja-JP"/>
        </w:rPr>
        <w:t>%</w:t>
      </w:r>
      <w:r w:rsidR="00A10EF1">
        <w:rPr>
          <w:lang w:eastAsia="ja-JP"/>
        </w:rPr>
        <w:t xml:space="preserve"> and 10% have been reported based on epidemic cases in the early 20th century. Childhood immunisation programs with oral polio vaccine (OPV) or with inactivated polio vaccine (IPV) have been very effective.</w:t>
      </w:r>
    </w:p>
    <w:p w14:paraId="5DF70DC9" w14:textId="7E594CC6" w:rsidR="00A10EF1" w:rsidRDefault="00A10EF1" w:rsidP="00A10EF1">
      <w:pPr>
        <w:rPr>
          <w:lang w:eastAsia="ja-JP"/>
        </w:rPr>
      </w:pPr>
      <w:r>
        <w:rPr>
          <w:lang w:eastAsia="ja-JP"/>
        </w:rPr>
        <w:t>Since the widespread introduction of the polio vaccine in the 1950s, polio case has been rare in Australia.</w:t>
      </w:r>
      <w:r w:rsidR="00665AA6">
        <w:rPr>
          <w:lang w:eastAsia="ja-JP"/>
        </w:rPr>
        <w:t xml:space="preserve"> </w:t>
      </w:r>
      <w:r>
        <w:rPr>
          <w:lang w:eastAsia="ja-JP"/>
        </w:rPr>
        <w:t xml:space="preserve">Since 1987, there </w:t>
      </w:r>
      <w:r w:rsidR="00013156">
        <w:rPr>
          <w:lang w:eastAsia="ja-JP"/>
        </w:rPr>
        <w:t>has been</w:t>
      </w:r>
      <w:r>
        <w:rPr>
          <w:lang w:eastAsia="ja-JP"/>
        </w:rPr>
        <w:t xml:space="preserve"> no reported </w:t>
      </w:r>
      <w:r w:rsidR="00AE19B2">
        <w:rPr>
          <w:lang w:eastAsia="ja-JP"/>
        </w:rPr>
        <w:t xml:space="preserve">case of </w:t>
      </w:r>
      <w:r>
        <w:rPr>
          <w:lang w:eastAsia="ja-JP"/>
        </w:rPr>
        <w:t>local transmission of the disease in Australia.</w:t>
      </w:r>
      <w:r>
        <w:rPr>
          <w:rStyle w:val="FootnoteReference"/>
          <w:lang w:eastAsia="ja-JP"/>
        </w:rPr>
        <w:footnoteReference w:id="8"/>
      </w:r>
    </w:p>
    <w:p w14:paraId="3D7EC4CE" w14:textId="01D91591" w:rsidR="00A10EF1" w:rsidRDefault="00A10EF1" w:rsidP="005368F7">
      <w:pPr>
        <w:pStyle w:val="Heading4"/>
        <w:rPr>
          <w:lang w:eastAsia="ja-JP"/>
        </w:rPr>
      </w:pPr>
      <w:r>
        <w:rPr>
          <w:lang w:eastAsia="ja-JP"/>
        </w:rPr>
        <w:t>Haemophilus influenza type B</w:t>
      </w:r>
    </w:p>
    <w:p w14:paraId="4350DE83" w14:textId="3550F895" w:rsidR="00A10EF1" w:rsidRDefault="00A10EF1" w:rsidP="00A10EF1">
      <w:pPr>
        <w:rPr>
          <w:lang w:eastAsia="ja-JP"/>
        </w:rPr>
      </w:pPr>
      <w:r>
        <w:rPr>
          <w:i/>
          <w:lang w:eastAsia="ja-JP"/>
        </w:rPr>
        <w:t>Haemophilus influenzae</w:t>
      </w:r>
      <w:r>
        <w:rPr>
          <w:lang w:eastAsia="ja-JP"/>
        </w:rPr>
        <w:t xml:space="preserve"> is a Gram-negative coccobacillus that enters the body through the nasopharynx. Encapsulated </w:t>
      </w:r>
      <w:r>
        <w:rPr>
          <w:i/>
          <w:lang w:eastAsia="ja-JP"/>
        </w:rPr>
        <w:t>Haemophilus influenzae</w:t>
      </w:r>
      <w:r>
        <w:rPr>
          <w:lang w:eastAsia="ja-JP"/>
        </w:rPr>
        <w:t xml:space="preserve"> has 6 serological types (types a to f); however most invasive diseases are caused by </w:t>
      </w:r>
      <w:r w:rsidR="00AE19B2" w:rsidRPr="00403AB2">
        <w:rPr>
          <w:i/>
          <w:lang w:eastAsia="ja-JP"/>
        </w:rPr>
        <w:t>Haemophilus influenzae</w:t>
      </w:r>
      <w:r w:rsidR="00AE19B2">
        <w:rPr>
          <w:lang w:eastAsia="ja-JP"/>
        </w:rPr>
        <w:t xml:space="preserve"> t</w:t>
      </w:r>
      <w:r>
        <w:rPr>
          <w:lang w:eastAsia="ja-JP"/>
        </w:rPr>
        <w:t xml:space="preserve">ype b (Hib). </w:t>
      </w:r>
      <w:r w:rsidR="00AE19B2">
        <w:rPr>
          <w:lang w:eastAsia="ja-JP"/>
        </w:rPr>
        <w:t xml:space="preserve">The bacteria </w:t>
      </w:r>
      <w:r w:rsidR="00403AB2">
        <w:rPr>
          <w:lang w:eastAsia="ja-JP"/>
        </w:rPr>
        <w:t>are</w:t>
      </w:r>
      <w:r>
        <w:rPr>
          <w:lang w:eastAsia="ja-JP"/>
        </w:rPr>
        <w:t xml:space="preserve"> transmitted primarily by airborne droplets or by direct contact with respiratory secretions. Humans (asymptomatic carriers) are the only known reservoir. The most important manifestations of Hib infection</w:t>
      </w:r>
      <w:r w:rsidR="00D93D89">
        <w:rPr>
          <w:lang w:eastAsia="ja-JP"/>
        </w:rPr>
        <w:t>,</w:t>
      </w:r>
      <w:r>
        <w:rPr>
          <w:lang w:eastAsia="ja-JP"/>
        </w:rPr>
        <w:t xml:space="preserve"> namely, meningitis (the most common form of invasive Hib disease), pneumonia and other invasive diseases</w:t>
      </w:r>
      <w:r w:rsidR="00D93D89">
        <w:rPr>
          <w:lang w:eastAsia="ja-JP"/>
        </w:rPr>
        <w:t>,</w:t>
      </w:r>
      <w:r>
        <w:rPr>
          <w:lang w:eastAsia="ja-JP"/>
        </w:rPr>
        <w:t xml:space="preserve"> occur primarily in infants and toddlers less than 2 years of age. The disease burden is highest among infants 4 to 18 months of age, but invasive Hib disease is occasionally observed in infants aged &lt;</w:t>
      </w:r>
      <w:r w:rsidR="00AE19B2">
        <w:rPr>
          <w:lang w:eastAsia="ja-JP"/>
        </w:rPr>
        <w:t xml:space="preserve"> </w:t>
      </w:r>
      <w:r>
        <w:rPr>
          <w:lang w:eastAsia="ja-JP"/>
        </w:rPr>
        <w:t>3 months and among those aged &gt;</w:t>
      </w:r>
      <w:r w:rsidR="00AE19B2">
        <w:rPr>
          <w:lang w:eastAsia="ja-JP"/>
        </w:rPr>
        <w:t xml:space="preserve"> </w:t>
      </w:r>
      <w:r>
        <w:rPr>
          <w:lang w:eastAsia="ja-JP"/>
        </w:rPr>
        <w:t>5 years.</w:t>
      </w:r>
    </w:p>
    <w:p w14:paraId="107532F7" w14:textId="77777777" w:rsidR="00A10EF1" w:rsidRDefault="00A10EF1" w:rsidP="00A10EF1">
      <w:pPr>
        <w:rPr>
          <w:lang w:eastAsia="ja-JP"/>
        </w:rPr>
      </w:pPr>
      <w:r>
        <w:rPr>
          <w:lang w:eastAsia="ja-JP"/>
        </w:rPr>
        <w:t>In unvaccinated populations, invasive Hib is the dominant cause of non-epidemic bacterial meningitis during the first year of life. Even with prompt and adequate antibiotic treatment, the case fatality rate of patients with Hib meningitis is 3 to 20%.</w:t>
      </w:r>
    </w:p>
    <w:p w14:paraId="7B30EC5E" w14:textId="79E73C11" w:rsidR="00A10EF1" w:rsidRDefault="00A10EF1" w:rsidP="00A10EF1">
      <w:pPr>
        <w:rPr>
          <w:lang w:eastAsia="ja-JP"/>
        </w:rPr>
      </w:pPr>
      <w:r>
        <w:rPr>
          <w:lang w:eastAsia="ja-JP"/>
        </w:rPr>
        <w:t xml:space="preserve">Significant associations </w:t>
      </w:r>
      <w:r w:rsidR="00013156">
        <w:rPr>
          <w:lang w:eastAsia="ja-JP"/>
        </w:rPr>
        <w:t>are</w:t>
      </w:r>
      <w:r>
        <w:rPr>
          <w:lang w:eastAsia="ja-JP"/>
        </w:rPr>
        <w:t xml:space="preserve"> found between Hib disease and household crowding and day-care attendance.</w:t>
      </w:r>
      <w:r w:rsidR="00665AA6">
        <w:rPr>
          <w:lang w:eastAsia="ja-JP"/>
        </w:rPr>
        <w:t xml:space="preserve"> </w:t>
      </w:r>
      <w:r>
        <w:rPr>
          <w:lang w:eastAsia="ja-JP"/>
        </w:rPr>
        <w:t xml:space="preserve">In Australia, Aboriginal and Torres Strait Islander </w:t>
      </w:r>
      <w:r w:rsidR="00AE19B2">
        <w:rPr>
          <w:lang w:eastAsia="ja-JP"/>
        </w:rPr>
        <w:t>Australians are</w:t>
      </w:r>
      <w:r>
        <w:rPr>
          <w:lang w:eastAsia="ja-JP"/>
        </w:rPr>
        <w:t xml:space="preserve"> at increased risk.</w:t>
      </w:r>
      <w:r w:rsidR="00665AA6">
        <w:rPr>
          <w:lang w:eastAsia="ja-JP"/>
        </w:rPr>
        <w:t xml:space="preserve"> </w:t>
      </w:r>
      <w:r>
        <w:rPr>
          <w:lang w:eastAsia="ja-JP"/>
        </w:rPr>
        <w:t>There has been a marked reduction in the number of notified Hib cases in Australia since the introduction of Hib vaccine.</w:t>
      </w:r>
      <w:r w:rsidR="00665AA6">
        <w:rPr>
          <w:lang w:eastAsia="ja-JP"/>
        </w:rPr>
        <w:t xml:space="preserve"> </w:t>
      </w:r>
      <w:r>
        <w:rPr>
          <w:lang w:eastAsia="ja-JP"/>
        </w:rPr>
        <w:t>Invasive disease incidence declined dramatically from 1995 to 2005 and has since remained steady at a rate of 0.1 cases per 100,000 population or less, with the majority of cases in children aged less than 5 years.</w:t>
      </w:r>
      <w:r w:rsidR="00665AA6">
        <w:rPr>
          <w:lang w:eastAsia="ja-JP"/>
        </w:rPr>
        <w:t xml:space="preserve"> </w:t>
      </w:r>
      <w:r>
        <w:rPr>
          <w:lang w:eastAsia="ja-JP"/>
        </w:rPr>
        <w:t>Before the introduction of Hib vaccines to the routine immunisation schedule in 1993, Hib was the most common cause of bacterial meningitis in Australian children.</w:t>
      </w:r>
      <w:r>
        <w:rPr>
          <w:rStyle w:val="FootnoteReference"/>
          <w:lang w:eastAsia="ja-JP"/>
        </w:rPr>
        <w:footnoteReference w:id="9"/>
      </w:r>
    </w:p>
    <w:p w14:paraId="64002245" w14:textId="36F846D9" w:rsidR="00A10EF1" w:rsidRDefault="00A10EF1" w:rsidP="005368F7">
      <w:pPr>
        <w:pStyle w:val="Heading4"/>
        <w:rPr>
          <w:lang w:eastAsia="ja-JP"/>
        </w:rPr>
      </w:pPr>
      <w:r>
        <w:rPr>
          <w:lang w:eastAsia="ja-JP"/>
        </w:rPr>
        <w:t>Hepatitis B</w:t>
      </w:r>
    </w:p>
    <w:p w14:paraId="742F97B7" w14:textId="6116A37D" w:rsidR="00A10EF1" w:rsidRDefault="00A10EF1" w:rsidP="00A10EF1">
      <w:pPr>
        <w:rPr>
          <w:lang w:eastAsia="ja-JP"/>
        </w:rPr>
      </w:pPr>
      <w:r>
        <w:rPr>
          <w:lang w:eastAsia="ja-JP"/>
        </w:rPr>
        <w:t xml:space="preserve">Hepatitis B infection is caused by the hepatitis B virus, a member of the </w:t>
      </w:r>
      <w:r>
        <w:rPr>
          <w:i/>
          <w:lang w:eastAsia="ja-JP"/>
        </w:rPr>
        <w:t>hepadnaviridae</w:t>
      </w:r>
      <w:r>
        <w:rPr>
          <w:lang w:eastAsia="ja-JP"/>
        </w:rPr>
        <w:t xml:space="preserve"> family, which includes a hepatotropic group of DNA viruses. Most acute cases of hepatitis B infection in children are asymptomatic. Most patients recover, but the chronic carrier state complicates up to 10% of cases acquired in adulthood. The rate of acquisition of chronic infection depends largely on the mode and age of acquisition and is up to 90% in </w:t>
      </w:r>
      <w:r>
        <w:rPr>
          <w:lang w:eastAsia="ja-JP"/>
        </w:rPr>
        <w:lastRenderedPageBreak/>
        <w:t xml:space="preserve">perinatal cases. Individuals with </w:t>
      </w:r>
      <w:r w:rsidR="00AE19B2">
        <w:rPr>
          <w:lang w:eastAsia="ja-JP"/>
        </w:rPr>
        <w:t xml:space="preserve">chronic infection of </w:t>
      </w:r>
      <w:r>
        <w:rPr>
          <w:lang w:eastAsia="ja-JP"/>
        </w:rPr>
        <w:t>hepatitis B are at increased risk of developing cirrhosis and hepatocellular carcinoma.</w:t>
      </w:r>
    </w:p>
    <w:p w14:paraId="60DC41D6" w14:textId="2B96211D" w:rsidR="00A10EF1" w:rsidRDefault="00A10EF1" w:rsidP="00A10EF1">
      <w:pPr>
        <w:rPr>
          <w:lang w:eastAsia="ja-JP"/>
        </w:rPr>
      </w:pPr>
      <w:r>
        <w:rPr>
          <w:lang w:eastAsia="ja-JP"/>
        </w:rPr>
        <w:t>The clinical effectiveness is thought to be high for who successfully complete the 3</w:t>
      </w:r>
      <w:r w:rsidR="00D93D89">
        <w:rPr>
          <w:lang w:eastAsia="ja-JP"/>
        </w:rPr>
        <w:t xml:space="preserve"> </w:t>
      </w:r>
      <w:r>
        <w:rPr>
          <w:lang w:eastAsia="ja-JP"/>
        </w:rPr>
        <w:t>dose vaccination series. In the US</w:t>
      </w:r>
      <w:r w:rsidR="00D93D89">
        <w:rPr>
          <w:lang w:eastAsia="ja-JP"/>
        </w:rPr>
        <w:t>A</w:t>
      </w:r>
      <w:r>
        <w:rPr>
          <w:lang w:eastAsia="ja-JP"/>
        </w:rPr>
        <w:t>, since 1990 (coinciding with the implementation of universal hepatitis B vaccination), the number of acute hepatitis B cases has declined 84%, from 8.5 cases per 100,000 in 1990 to 1.1 cases per 100,000 in 2009. During this time, the greatest decline in acute hepatitis B infection has been in children &lt;</w:t>
      </w:r>
      <w:r w:rsidR="00AE19B2">
        <w:rPr>
          <w:lang w:eastAsia="ja-JP"/>
        </w:rPr>
        <w:t xml:space="preserve"> </w:t>
      </w:r>
      <w:r>
        <w:rPr>
          <w:lang w:eastAsia="ja-JP"/>
        </w:rPr>
        <w:t>15 years of age, the population targeted for routine vaccination. Incidence has declined 98% in children aged &lt;</w:t>
      </w:r>
      <w:r w:rsidR="00AE19B2">
        <w:rPr>
          <w:lang w:eastAsia="ja-JP"/>
        </w:rPr>
        <w:t> </w:t>
      </w:r>
      <w:r>
        <w:rPr>
          <w:lang w:eastAsia="ja-JP"/>
        </w:rPr>
        <w:t>15 years, from 1.2 per 100,000 in 1990 to 0.02 per 100,000 in 2007. In 2009, the lowest rates of acute hepatitis B infection were in adolescents and children age ≤ 19 years (0.06 cases per 100,000).</w:t>
      </w:r>
    </w:p>
    <w:p w14:paraId="39811154" w14:textId="3C82FAE3" w:rsidR="008D4F02" w:rsidRDefault="008D4F02" w:rsidP="00403AB2">
      <w:pPr>
        <w:pStyle w:val="Heading4"/>
        <w:rPr>
          <w:lang w:eastAsia="ja-JP"/>
        </w:rPr>
      </w:pPr>
      <w:r>
        <w:rPr>
          <w:lang w:eastAsia="ja-JP"/>
        </w:rPr>
        <w:t>Hexavalent vaccines in Australia</w:t>
      </w:r>
    </w:p>
    <w:p w14:paraId="77A3B74A" w14:textId="4B37FCD2" w:rsidR="004F70D0" w:rsidRDefault="004F70D0" w:rsidP="00403AB2">
      <w:bookmarkStart w:id="17" w:name="_Toc247691505"/>
      <w:bookmarkStart w:id="18" w:name="_Toc314842486"/>
      <w:bookmarkEnd w:id="15"/>
      <w:bookmarkEnd w:id="16"/>
      <w:r w:rsidRPr="00AF40CA">
        <w:t xml:space="preserve">There are currently </w:t>
      </w:r>
      <w:r w:rsidR="00D646AE">
        <w:t>two</w:t>
      </w:r>
      <w:r w:rsidRPr="00AF40CA">
        <w:t xml:space="preserve"> approved hexavalent vaccines in Australia.</w:t>
      </w:r>
      <w:r w:rsidR="00D646AE">
        <w:t xml:space="preserve"> Hexaxim was approved in </w:t>
      </w:r>
      <w:r w:rsidR="00845C98">
        <w:t xml:space="preserve">September </w:t>
      </w:r>
      <w:r w:rsidR="00D646AE">
        <w:t>2014.</w:t>
      </w:r>
      <w:r w:rsidR="00845C98">
        <w:rPr>
          <w:rStyle w:val="FootnoteReference"/>
        </w:rPr>
        <w:footnoteReference w:id="10"/>
      </w:r>
      <w:r w:rsidR="00845C98">
        <w:rPr>
          <w:vertAlign w:val="superscript"/>
        </w:rPr>
        <w:t>,</w:t>
      </w:r>
      <w:r w:rsidR="00D646AE">
        <w:rPr>
          <w:rStyle w:val="FootnoteReference"/>
        </w:rPr>
        <w:footnoteReference w:id="11"/>
      </w:r>
      <w:r w:rsidRPr="00AF40CA">
        <w:t xml:space="preserve"> </w:t>
      </w:r>
      <w:r w:rsidR="00845C98">
        <w:t>Infanrix-Hexa was approved in January 2007.</w:t>
      </w:r>
      <w:r w:rsidR="00845C98">
        <w:rPr>
          <w:rStyle w:val="FootnoteReference"/>
        </w:rPr>
        <w:footnoteReference w:id="12"/>
      </w:r>
      <w:r w:rsidR="00845C98">
        <w:t xml:space="preserve"> </w:t>
      </w:r>
      <w:r w:rsidRPr="00AF40CA">
        <w:t xml:space="preserve">Their formulations along with </w:t>
      </w:r>
      <w:r w:rsidRPr="00E30B80">
        <w:t>V</w:t>
      </w:r>
      <w:r w:rsidR="00E30B80">
        <w:t>axelis</w:t>
      </w:r>
      <w:r w:rsidRPr="00AF40CA">
        <w:t xml:space="preserve"> (per 0.5</w:t>
      </w:r>
      <w:r w:rsidR="00CE1671">
        <w:t xml:space="preserve"> </w:t>
      </w:r>
      <w:r w:rsidRPr="00AF40CA">
        <w:t>mL dose) are shown below</w:t>
      </w:r>
      <w:r w:rsidR="00CE1671">
        <w:t xml:space="preserve"> </w:t>
      </w:r>
      <w:r w:rsidR="00403AB2">
        <w:t>in Table 3</w:t>
      </w:r>
      <w:r w:rsidR="00D646AE">
        <w:t>.</w:t>
      </w:r>
    </w:p>
    <w:p w14:paraId="5EBB8E0A" w14:textId="7A3939BD" w:rsidR="004F70D0" w:rsidRDefault="004F70D0" w:rsidP="005368F7">
      <w:pPr>
        <w:spacing w:line="240" w:lineRule="auto"/>
        <w:rPr>
          <w:noProof/>
        </w:rPr>
      </w:pPr>
    </w:p>
    <w:p w14:paraId="1FA64FC3" w14:textId="39057015" w:rsidR="00D646AE" w:rsidRDefault="00D646AE" w:rsidP="00403AB2">
      <w:pPr>
        <w:pStyle w:val="Tabletitle0"/>
      </w:pPr>
      <w:bookmarkStart w:id="19" w:name="_Ref124504608"/>
      <w:r>
        <w:t xml:space="preserve">Table </w:t>
      </w:r>
      <w:fldSimple w:instr=" SEQ Table \* ARABIC ">
        <w:r w:rsidR="00403AB2">
          <w:rPr>
            <w:noProof/>
          </w:rPr>
          <w:t>2</w:t>
        </w:r>
      </w:fldSimple>
      <w:bookmarkEnd w:id="19"/>
      <w:r>
        <w:t>: Hexavalent vaccines currently approved in Australia</w:t>
      </w:r>
    </w:p>
    <w:p w14:paraId="6540AC1C" w14:textId="5E713BF1" w:rsidR="00487228" w:rsidRDefault="00487228" w:rsidP="005368F7">
      <w:pPr>
        <w:spacing w:line="240" w:lineRule="auto"/>
        <w:rPr>
          <w:noProof/>
        </w:rPr>
      </w:pPr>
      <w:r>
        <w:rPr>
          <w:noProof/>
          <w:lang w:val="en-GB" w:eastAsia="en-GB"/>
        </w:rPr>
        <w:drawing>
          <wp:inline distT="0" distB="0" distL="0" distR="0" wp14:anchorId="5687D24F" wp14:editId="6C905E87">
            <wp:extent cx="5557520" cy="1192696"/>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603177" cy="1202494"/>
                    </a:xfrm>
                    <a:prstGeom prst="rect">
                      <a:avLst/>
                    </a:prstGeom>
                  </pic:spPr>
                </pic:pic>
              </a:graphicData>
            </a:graphic>
          </wp:inline>
        </w:drawing>
      </w:r>
    </w:p>
    <w:p w14:paraId="391585B6" w14:textId="5AB1BAD9" w:rsidR="00D646AE" w:rsidRDefault="00D646AE" w:rsidP="00403AB2">
      <w:pPr>
        <w:pStyle w:val="TableDescription"/>
        <w:rPr>
          <w:noProof/>
        </w:rPr>
      </w:pPr>
      <w:r>
        <w:t>Abbreviations: Vaxelis = Vaxelis vaccine = Hexavalent vaccine (DTPa5-HB-IPV-HiB) contains 3 µg PRP conjugated to 50 µg OMPC Infanrix Hexa = Hexavalent vaccine (DTPa3-HB-IPV-HiB) contains 10 µg PRP conjugated to 20 to 40 µg TT Hexaxim = Hexavalent vaccine (DTPa2-HB-IPV-HiB) contains 12µg PRP conjugated to 22-36 µg TT</w:t>
      </w:r>
    </w:p>
    <w:p w14:paraId="5C44EEB9" w14:textId="75E768BD" w:rsidR="004F70D0" w:rsidRPr="00CE1671" w:rsidRDefault="004F70D0" w:rsidP="00CE1671">
      <w:r w:rsidRPr="00CE1671">
        <w:t xml:space="preserve">Note </w:t>
      </w:r>
      <w:r w:rsidR="00D93D89">
        <w:t xml:space="preserve">that </w:t>
      </w:r>
      <w:r w:rsidRPr="00CE1671">
        <w:t xml:space="preserve">Vaxelis and Hexaxim are </w:t>
      </w:r>
      <w:r w:rsidR="00D93D89">
        <w:t xml:space="preserve">both </w:t>
      </w:r>
      <w:r w:rsidRPr="00CE1671">
        <w:t>liquid preparations, whereas Infanrix Hexa requires reconstitution of its liquid component with a HiB pellet before administration.</w:t>
      </w:r>
    </w:p>
    <w:p w14:paraId="58C9FE86" w14:textId="77777777" w:rsidR="008D4F02" w:rsidRPr="003F31A2" w:rsidRDefault="008D4F02" w:rsidP="008D4F02">
      <w:pPr>
        <w:pStyle w:val="Heading3"/>
      </w:pPr>
      <w:bookmarkStart w:id="20" w:name="_Toc126332724"/>
      <w:r>
        <w:t>Regulatory status</w:t>
      </w:r>
      <w:bookmarkEnd w:id="20"/>
    </w:p>
    <w:p w14:paraId="6190EC0F" w14:textId="0DEF301C" w:rsidR="008D4F02" w:rsidRDefault="008D4F02" w:rsidP="00CE1671">
      <w:r w:rsidRPr="00AF40CA">
        <w:t xml:space="preserve">This product is considered a new biological entity medicine for </w:t>
      </w:r>
      <w:r>
        <w:t>Australian regulatory purposes.</w:t>
      </w:r>
    </w:p>
    <w:p w14:paraId="11840886" w14:textId="0068F79B" w:rsidR="0060638D" w:rsidRPr="004F70D0" w:rsidRDefault="00332715" w:rsidP="00CE1671">
      <w:r w:rsidRPr="00CE1671">
        <w:t xml:space="preserve">At the time the TGA considered this </w:t>
      </w:r>
      <w:r w:rsidR="00BB0B78" w:rsidRPr="00CE1671">
        <w:t>submission</w:t>
      </w:r>
      <w:r w:rsidRPr="00CE1671">
        <w:t xml:space="preserve">, similar </w:t>
      </w:r>
      <w:r w:rsidR="00BB0B78" w:rsidRPr="00CE1671">
        <w:t>submission</w:t>
      </w:r>
      <w:r w:rsidR="00013156" w:rsidRPr="00CE1671">
        <w:t>s</w:t>
      </w:r>
      <w:r w:rsidRPr="00CE1671">
        <w:t xml:space="preserve"> had been approved in </w:t>
      </w:r>
      <w:r w:rsidR="0060638D" w:rsidRPr="00CE1671">
        <w:t xml:space="preserve">the </w:t>
      </w:r>
      <w:r w:rsidR="00272FE2">
        <w:t xml:space="preserve">European Union (EU; </w:t>
      </w:r>
      <w:r w:rsidR="00CE1671">
        <w:t xml:space="preserve">15 February </w:t>
      </w:r>
      <w:r w:rsidR="0060638D" w:rsidRPr="004F70D0">
        <w:t>2016)</w:t>
      </w:r>
      <w:r w:rsidR="005368F7">
        <w:t>,</w:t>
      </w:r>
      <w:r w:rsidR="0060638D" w:rsidRPr="004F70D0">
        <w:t xml:space="preserve"> the United States of America (</w:t>
      </w:r>
      <w:r w:rsidR="00CE1671">
        <w:t xml:space="preserve">21 December </w:t>
      </w:r>
      <w:r w:rsidR="0060638D" w:rsidRPr="004F70D0">
        <w:t>2018)</w:t>
      </w:r>
      <w:r w:rsidR="005368F7">
        <w:t xml:space="preserve"> and Switzerland</w:t>
      </w:r>
      <w:r w:rsidR="00CE1671">
        <w:t xml:space="preserve"> (28 August 2019)</w:t>
      </w:r>
      <w:r w:rsidRPr="004F70D0">
        <w:t xml:space="preserve">. </w:t>
      </w:r>
      <w:r w:rsidR="005368F7">
        <w:t>For details</w:t>
      </w:r>
      <w:r w:rsidR="00013156">
        <w:t xml:space="preserve"> of these approvals</w:t>
      </w:r>
      <w:r w:rsidR="005368F7">
        <w:t xml:space="preserve"> see Table </w:t>
      </w:r>
      <w:r w:rsidR="008D4F02">
        <w:t>4</w:t>
      </w:r>
      <w:r w:rsidR="005368F7">
        <w:t xml:space="preserve"> below.</w:t>
      </w:r>
    </w:p>
    <w:p w14:paraId="404D041C" w14:textId="5A83FAB6" w:rsidR="008D4F02" w:rsidRDefault="008D4F02" w:rsidP="00403AB2">
      <w:pPr>
        <w:pStyle w:val="TableTitle"/>
      </w:pPr>
      <w:r>
        <w:lastRenderedPageBreak/>
        <w:t xml:space="preserve">Table </w:t>
      </w:r>
      <w:fldSimple w:instr=" SEQ Table \* ARABIC ">
        <w:r w:rsidR="00403AB2">
          <w:rPr>
            <w:noProof/>
          </w:rPr>
          <w:t>3</w:t>
        </w:r>
      </w:fldSimple>
      <w:r>
        <w:t>: International regulatory status</w:t>
      </w:r>
    </w:p>
    <w:tbl>
      <w:tblPr>
        <w:tblStyle w:val="TableTGAblue"/>
        <w:tblW w:w="8784" w:type="dxa"/>
        <w:tblLook w:val="04A0" w:firstRow="1" w:lastRow="0" w:firstColumn="1" w:lastColumn="0" w:noHBand="0" w:noVBand="1"/>
      </w:tblPr>
      <w:tblGrid>
        <w:gridCol w:w="1696"/>
        <w:gridCol w:w="1560"/>
        <w:gridCol w:w="1417"/>
        <w:gridCol w:w="4111"/>
      </w:tblGrid>
      <w:tr w:rsidR="00AF40CA" w14:paraId="4CB4A88B" w14:textId="77777777" w:rsidTr="00CE1671">
        <w:trPr>
          <w:cnfStyle w:val="100000000000" w:firstRow="1" w:lastRow="0" w:firstColumn="0" w:lastColumn="0" w:oddVBand="0" w:evenVBand="0" w:oddHBand="0" w:evenHBand="0" w:firstRowFirstColumn="0" w:firstRowLastColumn="0" w:lastRowFirstColumn="0" w:lastRowLastColumn="0"/>
        </w:trPr>
        <w:tc>
          <w:tcPr>
            <w:tcW w:w="1696" w:type="dxa"/>
            <w:tcBorders>
              <w:top w:val="single" w:sz="4" w:space="0" w:color="auto"/>
              <w:left w:val="single" w:sz="4" w:space="0" w:color="auto"/>
              <w:bottom w:val="single" w:sz="4" w:space="0" w:color="auto"/>
              <w:right w:val="single" w:sz="4" w:space="0" w:color="auto"/>
            </w:tcBorders>
          </w:tcPr>
          <w:p w14:paraId="1F7D7A0C" w14:textId="77777777" w:rsidR="00006FAB" w:rsidRDefault="00006FAB" w:rsidP="00006FAB">
            <w:pPr>
              <w:ind w:left="0" w:right="0"/>
            </w:pPr>
            <w:r>
              <w:t>Region</w:t>
            </w:r>
          </w:p>
        </w:tc>
        <w:tc>
          <w:tcPr>
            <w:tcW w:w="1560" w:type="dxa"/>
            <w:tcBorders>
              <w:top w:val="single" w:sz="4" w:space="0" w:color="auto"/>
              <w:left w:val="single" w:sz="4" w:space="0" w:color="auto"/>
              <w:bottom w:val="single" w:sz="4" w:space="0" w:color="auto"/>
              <w:right w:val="single" w:sz="4" w:space="0" w:color="auto"/>
            </w:tcBorders>
          </w:tcPr>
          <w:p w14:paraId="2BBFDF06" w14:textId="77777777" w:rsidR="00006FAB" w:rsidRDefault="00006FAB" w:rsidP="00006FAB">
            <w:pPr>
              <w:ind w:left="0" w:right="0"/>
            </w:pPr>
            <w:r>
              <w:t>Submission date</w:t>
            </w:r>
          </w:p>
        </w:tc>
        <w:tc>
          <w:tcPr>
            <w:tcW w:w="1417" w:type="dxa"/>
            <w:tcBorders>
              <w:top w:val="single" w:sz="4" w:space="0" w:color="auto"/>
              <w:left w:val="single" w:sz="4" w:space="0" w:color="auto"/>
              <w:bottom w:val="single" w:sz="4" w:space="0" w:color="auto"/>
              <w:right w:val="single" w:sz="4" w:space="0" w:color="auto"/>
            </w:tcBorders>
          </w:tcPr>
          <w:p w14:paraId="7ADBB9A6" w14:textId="77777777" w:rsidR="00006FAB" w:rsidRDefault="00006FAB" w:rsidP="00006FAB">
            <w:pPr>
              <w:ind w:left="0" w:right="0"/>
            </w:pPr>
            <w:r>
              <w:t>Status</w:t>
            </w:r>
          </w:p>
        </w:tc>
        <w:tc>
          <w:tcPr>
            <w:tcW w:w="4111" w:type="dxa"/>
            <w:tcBorders>
              <w:top w:val="single" w:sz="4" w:space="0" w:color="auto"/>
              <w:left w:val="single" w:sz="4" w:space="0" w:color="auto"/>
              <w:bottom w:val="single" w:sz="4" w:space="0" w:color="auto"/>
              <w:right w:val="single" w:sz="4" w:space="0" w:color="auto"/>
            </w:tcBorders>
          </w:tcPr>
          <w:p w14:paraId="5A6E18A7" w14:textId="77777777" w:rsidR="00006FAB" w:rsidRDefault="00006FAB" w:rsidP="00006FAB">
            <w:pPr>
              <w:ind w:left="0" w:right="0"/>
            </w:pPr>
            <w:r>
              <w:t>Approved indications</w:t>
            </w:r>
          </w:p>
        </w:tc>
      </w:tr>
      <w:tr w:rsidR="00AF40CA" w14:paraId="30648B69" w14:textId="77777777" w:rsidTr="00CE1671">
        <w:tc>
          <w:tcPr>
            <w:tcW w:w="1696" w:type="dxa"/>
            <w:tcBorders>
              <w:top w:val="single" w:sz="4" w:space="0" w:color="auto"/>
            </w:tcBorders>
          </w:tcPr>
          <w:p w14:paraId="49B2A939" w14:textId="73622C80" w:rsidR="00006FAB" w:rsidRDefault="00A10EF1" w:rsidP="00006FAB">
            <w:pPr>
              <w:ind w:left="0" w:right="0"/>
            </w:pPr>
            <w:r>
              <w:t>EU</w:t>
            </w:r>
          </w:p>
        </w:tc>
        <w:tc>
          <w:tcPr>
            <w:tcW w:w="1560" w:type="dxa"/>
            <w:tcBorders>
              <w:top w:val="single" w:sz="4" w:space="0" w:color="auto"/>
            </w:tcBorders>
          </w:tcPr>
          <w:p w14:paraId="6612C98B" w14:textId="44C79DA0" w:rsidR="00006FAB" w:rsidRDefault="00AF40CA" w:rsidP="00006FAB">
            <w:pPr>
              <w:ind w:left="0" w:right="0"/>
            </w:pPr>
            <w:r>
              <w:t xml:space="preserve">17 December </w:t>
            </w:r>
            <w:r w:rsidR="007F0C15">
              <w:t>2014</w:t>
            </w:r>
          </w:p>
        </w:tc>
        <w:tc>
          <w:tcPr>
            <w:tcW w:w="1417" w:type="dxa"/>
            <w:tcBorders>
              <w:top w:val="single" w:sz="4" w:space="0" w:color="auto"/>
            </w:tcBorders>
          </w:tcPr>
          <w:p w14:paraId="79CAD187" w14:textId="75E906CE" w:rsidR="00006FAB" w:rsidRDefault="00AF40CA" w:rsidP="00006FAB">
            <w:pPr>
              <w:ind w:left="0" w:right="0"/>
            </w:pPr>
            <w:r>
              <w:t>15 February 2016</w:t>
            </w:r>
          </w:p>
        </w:tc>
        <w:tc>
          <w:tcPr>
            <w:tcW w:w="4111" w:type="dxa"/>
            <w:tcBorders>
              <w:top w:val="single" w:sz="4" w:space="0" w:color="auto"/>
            </w:tcBorders>
          </w:tcPr>
          <w:p w14:paraId="74D527CB" w14:textId="093D99B3" w:rsidR="00006FAB" w:rsidRPr="0097385C" w:rsidRDefault="00AF40CA" w:rsidP="0097385C">
            <w:pPr>
              <w:ind w:left="151" w:right="0"/>
              <w:rPr>
                <w:i/>
                <w:iCs/>
              </w:rPr>
            </w:pPr>
            <w:r w:rsidRPr="0097385C">
              <w:rPr>
                <w:i/>
                <w:iCs/>
              </w:rPr>
              <w:t>Vaxelis (DTPa5-HB-IPV-HiB) is indicated for primary and booster vaccination in infants and toddlers from the age of 6 weeks, against diphtheria, tetanus, pertussis, hepatitis B, poliomyelitis and invasive diseases caused by Haemophilus influenzae type b (Hib). The use of Vaxelis should be in accordance with official recommendations</w:t>
            </w:r>
          </w:p>
        </w:tc>
      </w:tr>
      <w:tr w:rsidR="00AF40CA" w14:paraId="4E9CBFBF" w14:textId="77777777" w:rsidTr="00CE1671">
        <w:tc>
          <w:tcPr>
            <w:tcW w:w="1696" w:type="dxa"/>
          </w:tcPr>
          <w:p w14:paraId="1C450DF1" w14:textId="7CB64ED7" w:rsidR="00006FAB" w:rsidRDefault="00A10EF1" w:rsidP="00006FAB">
            <w:pPr>
              <w:ind w:left="0" w:right="0"/>
            </w:pPr>
            <w:r>
              <w:t>USA</w:t>
            </w:r>
          </w:p>
        </w:tc>
        <w:tc>
          <w:tcPr>
            <w:tcW w:w="1560" w:type="dxa"/>
          </w:tcPr>
          <w:p w14:paraId="2034A561" w14:textId="4433FCB0" w:rsidR="00006FAB" w:rsidRDefault="00AF40CA" w:rsidP="00006FAB">
            <w:pPr>
              <w:ind w:left="0" w:right="0"/>
            </w:pPr>
            <w:r>
              <w:t>13 August 2014</w:t>
            </w:r>
          </w:p>
        </w:tc>
        <w:tc>
          <w:tcPr>
            <w:tcW w:w="1417" w:type="dxa"/>
          </w:tcPr>
          <w:p w14:paraId="1EB93103" w14:textId="549EBB36" w:rsidR="00006FAB" w:rsidRDefault="00AF40CA" w:rsidP="00006FAB">
            <w:pPr>
              <w:ind w:left="0" w:right="0"/>
            </w:pPr>
            <w:r>
              <w:t>21 December 2018</w:t>
            </w:r>
          </w:p>
        </w:tc>
        <w:tc>
          <w:tcPr>
            <w:tcW w:w="4111" w:type="dxa"/>
          </w:tcPr>
          <w:p w14:paraId="419A1176" w14:textId="54D2635B" w:rsidR="00006FAB" w:rsidRPr="0097385C" w:rsidRDefault="00AF40CA" w:rsidP="0097385C">
            <w:pPr>
              <w:rPr>
                <w:i/>
                <w:iCs/>
              </w:rPr>
            </w:pPr>
            <w:r w:rsidRPr="0097385C">
              <w:rPr>
                <w:i/>
                <w:iCs/>
              </w:rPr>
              <w:t xml:space="preserve">Vaxelis is a vaccine for the active immunisation for prevention of diphtheria, tetanus, pertussis, hepatitis B, poliomyelitis and invasive diseases caused by Haemophilus influenzae type b (Hib). Vaxelis is approved as a 3 dose series </w:t>
            </w:r>
            <w:r w:rsidR="0097385C" w:rsidRPr="0097385C">
              <w:rPr>
                <w:i/>
                <w:iCs/>
              </w:rPr>
              <w:t>in children 6 weeks through 4 years of age (prior to 5</w:t>
            </w:r>
            <w:r w:rsidR="0097385C" w:rsidRPr="0097385C">
              <w:rPr>
                <w:i/>
                <w:iCs/>
                <w:vertAlign w:val="superscript"/>
              </w:rPr>
              <w:t>th</w:t>
            </w:r>
            <w:r w:rsidR="0097385C" w:rsidRPr="0097385C">
              <w:rPr>
                <w:i/>
                <w:iCs/>
              </w:rPr>
              <w:t xml:space="preserve"> birthdays).</w:t>
            </w:r>
          </w:p>
        </w:tc>
      </w:tr>
      <w:tr w:rsidR="00AF40CA" w14:paraId="0B128EE5" w14:textId="77777777" w:rsidTr="00CE1671">
        <w:tc>
          <w:tcPr>
            <w:tcW w:w="1696" w:type="dxa"/>
          </w:tcPr>
          <w:p w14:paraId="24B00F76" w14:textId="0DEF8841" w:rsidR="00A10EF1" w:rsidRDefault="00A10EF1" w:rsidP="00CE1671">
            <w:pPr>
              <w:ind w:hanging="138"/>
            </w:pPr>
            <w:r>
              <w:t>Switzerland</w:t>
            </w:r>
          </w:p>
        </w:tc>
        <w:tc>
          <w:tcPr>
            <w:tcW w:w="1560" w:type="dxa"/>
          </w:tcPr>
          <w:p w14:paraId="114DEA40" w14:textId="33705BA0" w:rsidR="00A10EF1" w:rsidRDefault="00AF40CA" w:rsidP="00006FAB">
            <w:r>
              <w:t>2 November 2017</w:t>
            </w:r>
          </w:p>
        </w:tc>
        <w:tc>
          <w:tcPr>
            <w:tcW w:w="1417" w:type="dxa"/>
          </w:tcPr>
          <w:p w14:paraId="75205E8E" w14:textId="5D846612" w:rsidR="00A10EF1" w:rsidRPr="00006FAB" w:rsidRDefault="00AF40CA" w:rsidP="00006FAB">
            <w:r>
              <w:t>28 August 2019</w:t>
            </w:r>
          </w:p>
        </w:tc>
        <w:tc>
          <w:tcPr>
            <w:tcW w:w="4111" w:type="dxa"/>
          </w:tcPr>
          <w:p w14:paraId="75D86E76" w14:textId="777B836A" w:rsidR="00A10EF1" w:rsidRPr="0097385C" w:rsidRDefault="00AF40CA" w:rsidP="00006FAB">
            <w:pPr>
              <w:rPr>
                <w:i/>
                <w:iCs/>
              </w:rPr>
            </w:pPr>
            <w:r w:rsidRPr="0097385C">
              <w:rPr>
                <w:i/>
                <w:iCs/>
              </w:rPr>
              <w:t>Vaxelis (DTPa5-HB-IPV-HiB) is indicated for primary and booster vaccination in infants and toddlers from the age of 6 weeks through 4 years (prior to 5</w:t>
            </w:r>
            <w:r w:rsidRPr="0097385C">
              <w:rPr>
                <w:i/>
                <w:iCs/>
                <w:vertAlign w:val="superscript"/>
              </w:rPr>
              <w:t>th</w:t>
            </w:r>
            <w:r w:rsidRPr="0097385C">
              <w:rPr>
                <w:i/>
                <w:iCs/>
              </w:rPr>
              <w:t xml:space="preserve"> birthdays), against diphtheria, tetanus, pertussis, hepatitis B, poliomyelitis and invasive diseases caused by Haemophilus influenzae type b (Hib). The use of Vaxelis should be in accordance with official recommendations</w:t>
            </w:r>
          </w:p>
        </w:tc>
      </w:tr>
    </w:tbl>
    <w:p w14:paraId="6E74E118" w14:textId="20944317" w:rsidR="008E7846" w:rsidRDefault="008E7846" w:rsidP="00940A89">
      <w:pPr>
        <w:pStyle w:val="Heading3"/>
      </w:pPr>
      <w:bookmarkStart w:id="21" w:name="_Toc126332725"/>
      <w:r>
        <w:t>Product Information</w:t>
      </w:r>
      <w:bookmarkEnd w:id="17"/>
      <w:bookmarkEnd w:id="18"/>
      <w:bookmarkEnd w:id="21"/>
    </w:p>
    <w:p w14:paraId="14EC4657" w14:textId="77777777" w:rsidR="00332715" w:rsidRDefault="00332715" w:rsidP="00332715">
      <w:bookmarkStart w:id="22" w:name="_Toc504480011"/>
      <w:bookmarkStart w:id="23" w:name="_Toc247691506"/>
      <w:bookmarkStart w:id="24" w:name="_Toc314842487"/>
      <w:r>
        <w:t xml:space="preserve">The Product Information (PI) approved with the submission which is described in this AusPAR can be found as Attachment 1. For the most recent PI, please refer to the TGA </w:t>
      </w:r>
      <w:hyperlink r:id="rId21" w:history="1">
        <w:r>
          <w:rPr>
            <w:rStyle w:val="Hyperlink"/>
          </w:rPr>
          <w:t>PI/CMI search facility</w:t>
        </w:r>
        <w:r w:rsidRPr="009556D7">
          <w:rPr>
            <w:rStyle w:val="Hyperlink"/>
            <w:color w:val="auto"/>
            <w:u w:val="none"/>
          </w:rPr>
          <w:t>.</w:t>
        </w:r>
      </w:hyperlink>
    </w:p>
    <w:p w14:paraId="5CB415C8" w14:textId="77777777" w:rsidR="00500337" w:rsidRDefault="00500337" w:rsidP="00500337">
      <w:pPr>
        <w:pStyle w:val="Heading2"/>
      </w:pPr>
      <w:bookmarkStart w:id="25" w:name="_Toc126332726"/>
      <w:r>
        <w:t>Registration timeline</w:t>
      </w:r>
      <w:bookmarkEnd w:id="22"/>
      <w:bookmarkEnd w:id="25"/>
    </w:p>
    <w:p w14:paraId="71CCE4D1" w14:textId="007B7187" w:rsidR="0074163C" w:rsidRPr="00822FCB" w:rsidRDefault="0074163C" w:rsidP="00403AB2">
      <w:r w:rsidRPr="00272FE2">
        <w:t xml:space="preserve">The following table </w:t>
      </w:r>
      <w:r w:rsidR="00042B3F">
        <w:t xml:space="preserve">(Table </w:t>
      </w:r>
      <w:r w:rsidR="008D4F02">
        <w:t>5</w:t>
      </w:r>
      <w:r w:rsidR="00042B3F">
        <w:t xml:space="preserve">) </w:t>
      </w:r>
      <w:r w:rsidRPr="00272FE2">
        <w:t xml:space="preserve">captures the key steps and dates for this </w:t>
      </w:r>
      <w:r w:rsidR="00804D99" w:rsidRPr="00272FE2">
        <w:t>submission</w:t>
      </w:r>
      <w:r w:rsidRPr="00272FE2">
        <w:t>.</w:t>
      </w:r>
    </w:p>
    <w:p w14:paraId="16CCABAF" w14:textId="45EB2752" w:rsidR="008D4F02" w:rsidRDefault="008D4F02" w:rsidP="00403AB2">
      <w:pPr>
        <w:pStyle w:val="Tabletitle0"/>
      </w:pPr>
      <w:r>
        <w:lastRenderedPageBreak/>
        <w:t xml:space="preserve">Table </w:t>
      </w:r>
      <w:fldSimple w:instr=" SEQ Table \* ARABIC ">
        <w:r w:rsidR="00403AB2">
          <w:rPr>
            <w:noProof/>
          </w:rPr>
          <w:t>4</w:t>
        </w:r>
      </w:fldSimple>
      <w:r>
        <w:t xml:space="preserve">: </w:t>
      </w:r>
      <w:r w:rsidRPr="00272FE2">
        <w:t xml:space="preserve">Timeline for Submission </w:t>
      </w:r>
      <w:r w:rsidRPr="00272FE2">
        <w:rPr>
          <w:lang w:eastAsia="en-AU"/>
        </w:rPr>
        <w:t>PM-2021-01695-1-2</w:t>
      </w:r>
    </w:p>
    <w:tbl>
      <w:tblPr>
        <w:tblStyle w:val="TableTGAblue"/>
        <w:tblW w:w="0" w:type="auto"/>
        <w:tblLook w:val="04A0" w:firstRow="1" w:lastRow="0" w:firstColumn="1" w:lastColumn="0" w:noHBand="0" w:noVBand="1"/>
      </w:tblPr>
      <w:tblGrid>
        <w:gridCol w:w="4255"/>
        <w:gridCol w:w="4239"/>
      </w:tblGrid>
      <w:tr w:rsidR="0074163C" w14:paraId="43ED2958" w14:textId="77777777" w:rsidTr="00403AB2">
        <w:trPr>
          <w:cnfStyle w:val="100000000000" w:firstRow="1" w:lastRow="0" w:firstColumn="0" w:lastColumn="0" w:oddVBand="0" w:evenVBand="0" w:oddHBand="0" w:evenHBand="0" w:firstRowFirstColumn="0" w:firstRowLastColumn="0" w:lastRowFirstColumn="0" w:lastRowLastColumn="0"/>
        </w:trPr>
        <w:tc>
          <w:tcPr>
            <w:tcW w:w="4255" w:type="dxa"/>
            <w:tcBorders>
              <w:top w:val="single" w:sz="4" w:space="0" w:color="auto"/>
              <w:left w:val="single" w:sz="4" w:space="0" w:color="auto"/>
              <w:bottom w:val="single" w:sz="4" w:space="0" w:color="auto"/>
              <w:right w:val="single" w:sz="4" w:space="0" w:color="auto"/>
            </w:tcBorders>
          </w:tcPr>
          <w:p w14:paraId="5C732BD2" w14:textId="77777777" w:rsidR="0074163C" w:rsidRDefault="0074163C" w:rsidP="009E5A87">
            <w:r>
              <w:t>Description</w:t>
            </w:r>
          </w:p>
        </w:tc>
        <w:tc>
          <w:tcPr>
            <w:tcW w:w="4239" w:type="dxa"/>
            <w:tcBorders>
              <w:top w:val="single" w:sz="4" w:space="0" w:color="auto"/>
              <w:left w:val="single" w:sz="4" w:space="0" w:color="auto"/>
              <w:bottom w:val="single" w:sz="4" w:space="0" w:color="auto"/>
              <w:right w:val="single" w:sz="4" w:space="0" w:color="auto"/>
            </w:tcBorders>
          </w:tcPr>
          <w:p w14:paraId="496507E8" w14:textId="77777777" w:rsidR="0074163C" w:rsidRDefault="0074163C" w:rsidP="009E5A87">
            <w:r>
              <w:t>Date</w:t>
            </w:r>
          </w:p>
        </w:tc>
      </w:tr>
      <w:tr w:rsidR="0074163C" w14:paraId="546131D0" w14:textId="77777777" w:rsidTr="00403AB2">
        <w:tc>
          <w:tcPr>
            <w:tcW w:w="4255" w:type="dxa"/>
            <w:tcBorders>
              <w:top w:val="single" w:sz="4" w:space="0" w:color="auto"/>
            </w:tcBorders>
          </w:tcPr>
          <w:p w14:paraId="7C57FB8B" w14:textId="77777777" w:rsidR="0074163C" w:rsidRDefault="0074163C" w:rsidP="009E5A87">
            <w:r>
              <w:t>Submission dossier accepted and first round evaluation commenced</w:t>
            </w:r>
          </w:p>
        </w:tc>
        <w:tc>
          <w:tcPr>
            <w:tcW w:w="4239" w:type="dxa"/>
            <w:tcBorders>
              <w:top w:val="single" w:sz="4" w:space="0" w:color="auto"/>
            </w:tcBorders>
          </w:tcPr>
          <w:p w14:paraId="5659F6E2" w14:textId="7541B07A" w:rsidR="0074163C" w:rsidRDefault="00B202F0" w:rsidP="009E5A87">
            <w:r>
              <w:t>01 June 2021</w:t>
            </w:r>
          </w:p>
        </w:tc>
      </w:tr>
      <w:tr w:rsidR="0074163C" w14:paraId="01BE7CBE" w14:textId="77777777" w:rsidTr="00403AB2">
        <w:tc>
          <w:tcPr>
            <w:tcW w:w="4255" w:type="dxa"/>
          </w:tcPr>
          <w:p w14:paraId="2FC0E01D" w14:textId="77777777" w:rsidR="0074163C" w:rsidRDefault="0074163C" w:rsidP="009E5A87">
            <w:r>
              <w:t>First round evaluation completed</w:t>
            </w:r>
          </w:p>
        </w:tc>
        <w:tc>
          <w:tcPr>
            <w:tcW w:w="4239" w:type="dxa"/>
          </w:tcPr>
          <w:p w14:paraId="1562936D" w14:textId="10BDF6C7" w:rsidR="0074163C" w:rsidRDefault="00B202F0" w:rsidP="009E5A87">
            <w:r>
              <w:t>26 October 2021</w:t>
            </w:r>
          </w:p>
        </w:tc>
      </w:tr>
      <w:tr w:rsidR="0074163C" w14:paraId="177E4D3C" w14:textId="77777777" w:rsidTr="00403AB2">
        <w:tc>
          <w:tcPr>
            <w:tcW w:w="4255" w:type="dxa"/>
          </w:tcPr>
          <w:p w14:paraId="03C424B9" w14:textId="77777777" w:rsidR="0074163C" w:rsidRDefault="0074163C" w:rsidP="009E5A87">
            <w:r>
              <w:t>Sponsor provides responses on questions raised in first round evaluation</w:t>
            </w:r>
          </w:p>
        </w:tc>
        <w:tc>
          <w:tcPr>
            <w:tcW w:w="4239" w:type="dxa"/>
          </w:tcPr>
          <w:p w14:paraId="16C17A52" w14:textId="1ABEF36E" w:rsidR="0074163C" w:rsidRDefault="00C42479" w:rsidP="009E5A87">
            <w:r>
              <w:t xml:space="preserve">23 </w:t>
            </w:r>
            <w:r w:rsidR="00B202F0">
              <w:t>November 2021</w:t>
            </w:r>
          </w:p>
        </w:tc>
      </w:tr>
      <w:tr w:rsidR="0074163C" w14:paraId="62F0B5B3" w14:textId="77777777" w:rsidTr="00403AB2">
        <w:tc>
          <w:tcPr>
            <w:tcW w:w="4255" w:type="dxa"/>
          </w:tcPr>
          <w:p w14:paraId="6365BCE4" w14:textId="77777777" w:rsidR="0074163C" w:rsidRDefault="0074163C" w:rsidP="009E5A87">
            <w:r>
              <w:t>Second round evaluation completed</w:t>
            </w:r>
          </w:p>
        </w:tc>
        <w:tc>
          <w:tcPr>
            <w:tcW w:w="4239" w:type="dxa"/>
          </w:tcPr>
          <w:p w14:paraId="510C60F7" w14:textId="1D6E1C65" w:rsidR="0074163C" w:rsidRDefault="00046C3D" w:rsidP="009E5A87">
            <w:r>
              <w:t>23 December 2021</w:t>
            </w:r>
          </w:p>
        </w:tc>
      </w:tr>
      <w:tr w:rsidR="0074163C" w14:paraId="16041A2A" w14:textId="77777777" w:rsidTr="00403AB2">
        <w:tc>
          <w:tcPr>
            <w:tcW w:w="4255" w:type="dxa"/>
          </w:tcPr>
          <w:p w14:paraId="4777894A" w14:textId="2587AD0A" w:rsidR="0074163C" w:rsidRDefault="0074163C" w:rsidP="009E5A87">
            <w:r>
              <w:t>Delegate’s Overall benefit-risk assessment</w:t>
            </w:r>
          </w:p>
        </w:tc>
        <w:tc>
          <w:tcPr>
            <w:tcW w:w="4239" w:type="dxa"/>
          </w:tcPr>
          <w:p w14:paraId="4FDABFFD" w14:textId="35EB6DFE" w:rsidR="0074163C" w:rsidRDefault="00046C3D" w:rsidP="009E5A87">
            <w:r>
              <w:t>24 January 2022</w:t>
            </w:r>
          </w:p>
        </w:tc>
      </w:tr>
      <w:tr w:rsidR="0074163C" w14:paraId="0DD8B70D" w14:textId="77777777" w:rsidTr="00403AB2">
        <w:tc>
          <w:tcPr>
            <w:tcW w:w="4255" w:type="dxa"/>
          </w:tcPr>
          <w:p w14:paraId="23C1DB75" w14:textId="77777777" w:rsidR="0074163C" w:rsidRDefault="0074163C" w:rsidP="009E5A87">
            <w:r>
              <w:t>Advisory Committee meeting</w:t>
            </w:r>
          </w:p>
        </w:tc>
        <w:tc>
          <w:tcPr>
            <w:tcW w:w="4239" w:type="dxa"/>
          </w:tcPr>
          <w:p w14:paraId="5F0CEC79" w14:textId="2A8D7CF5" w:rsidR="0074163C" w:rsidRDefault="00046C3D" w:rsidP="009E5A87">
            <w:r>
              <w:t>N</w:t>
            </w:r>
            <w:r w:rsidR="008D4F02">
              <w:t>ot applicable</w:t>
            </w:r>
          </w:p>
        </w:tc>
      </w:tr>
      <w:tr w:rsidR="0074163C" w14:paraId="5729108E" w14:textId="77777777" w:rsidTr="00403AB2">
        <w:tc>
          <w:tcPr>
            <w:tcW w:w="4255" w:type="dxa"/>
          </w:tcPr>
          <w:p w14:paraId="4DF32013" w14:textId="77777777" w:rsidR="0074163C" w:rsidRDefault="0074163C" w:rsidP="009E5A87">
            <w:r>
              <w:t>Registration decision (Outcome)</w:t>
            </w:r>
          </w:p>
        </w:tc>
        <w:tc>
          <w:tcPr>
            <w:tcW w:w="4239" w:type="dxa"/>
          </w:tcPr>
          <w:p w14:paraId="03225525" w14:textId="53473FC7" w:rsidR="0074163C" w:rsidRDefault="00046C3D" w:rsidP="009E5A87">
            <w:r>
              <w:t>22 March 2022</w:t>
            </w:r>
          </w:p>
        </w:tc>
      </w:tr>
      <w:tr w:rsidR="0074163C" w14:paraId="5CF1B1EB" w14:textId="77777777" w:rsidTr="00403AB2">
        <w:tc>
          <w:tcPr>
            <w:tcW w:w="4255" w:type="dxa"/>
          </w:tcPr>
          <w:p w14:paraId="5D6D068E" w14:textId="77777777" w:rsidR="0074163C" w:rsidRDefault="0074163C" w:rsidP="009E5A87">
            <w:r w:rsidRPr="005A79F5">
              <w:t>Completion of administrative activities and registration on the ARTG</w:t>
            </w:r>
          </w:p>
        </w:tc>
        <w:tc>
          <w:tcPr>
            <w:tcW w:w="4239" w:type="dxa"/>
          </w:tcPr>
          <w:p w14:paraId="3AA166CE" w14:textId="5A272E2C" w:rsidR="0074163C" w:rsidRDefault="00046C3D" w:rsidP="009E5A87">
            <w:r>
              <w:t>23 March 2022</w:t>
            </w:r>
          </w:p>
        </w:tc>
      </w:tr>
      <w:tr w:rsidR="0074163C" w14:paraId="55217CD0" w14:textId="77777777" w:rsidTr="00403AB2">
        <w:tc>
          <w:tcPr>
            <w:tcW w:w="4255" w:type="dxa"/>
          </w:tcPr>
          <w:p w14:paraId="3F437058" w14:textId="77777777" w:rsidR="0074163C" w:rsidRDefault="0074163C" w:rsidP="009E5A87">
            <w:r>
              <w:t>Number of working days from submission dossier acceptance to registration decision*</w:t>
            </w:r>
          </w:p>
        </w:tc>
        <w:tc>
          <w:tcPr>
            <w:tcW w:w="4239" w:type="dxa"/>
          </w:tcPr>
          <w:p w14:paraId="1939AFFF" w14:textId="238BAD14" w:rsidR="0074163C" w:rsidRDefault="00B202F0" w:rsidP="009E5A87">
            <w:r>
              <w:t>158</w:t>
            </w:r>
          </w:p>
        </w:tc>
      </w:tr>
    </w:tbl>
    <w:p w14:paraId="1749145C" w14:textId="77777777" w:rsidR="0074163C" w:rsidRDefault="0074163C" w:rsidP="0074163C">
      <w:pPr>
        <w:pStyle w:val="TableDescription"/>
      </w:pPr>
      <w:r w:rsidRPr="00006FAB">
        <w:t>*The COR-B process has a 175 working day evaluation and decision timeframe.</w:t>
      </w:r>
    </w:p>
    <w:p w14:paraId="77CEC3CF" w14:textId="77777777" w:rsidR="008E7846" w:rsidRPr="00792A32" w:rsidRDefault="00006FAB" w:rsidP="008E7846">
      <w:pPr>
        <w:pStyle w:val="Heading2"/>
      </w:pPr>
      <w:bookmarkStart w:id="26" w:name="_Toc196046504"/>
      <w:bookmarkStart w:id="27" w:name="_Toc247691527"/>
      <w:bookmarkStart w:id="28" w:name="_Toc314842510"/>
      <w:bookmarkStart w:id="29" w:name="_Toc126332727"/>
      <w:bookmarkStart w:id="30" w:name="_Toc163441390"/>
      <w:bookmarkEnd w:id="23"/>
      <w:bookmarkEnd w:id="24"/>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38F90946" w14:textId="162358DF" w:rsidR="0074163C" w:rsidRDefault="0074163C" w:rsidP="0074163C">
      <w:bookmarkStart w:id="31" w:name="_Toc247691528"/>
      <w:bookmarkStart w:id="32" w:name="_Toc314842511"/>
      <w:r>
        <w:t>This section is a TGA summary of wording used in TGA’s evaluation report, which discussed numerous aspects of overseas evaluation reports and included some information that was commercial-in-confidence.</w:t>
      </w:r>
    </w:p>
    <w:p w14:paraId="0FDC0D34" w14:textId="77777777" w:rsidR="008D4F02" w:rsidRDefault="008D4F02" w:rsidP="00403AB2">
      <w:pPr>
        <w:pStyle w:val="Heading3"/>
      </w:pPr>
      <w:bookmarkStart w:id="33" w:name="_Toc126332728"/>
      <w:r>
        <w:rPr>
          <w:lang w:eastAsia="ja-JP"/>
        </w:rPr>
        <w:t>Guidance</w:t>
      </w:r>
      <w:bookmarkEnd w:id="33"/>
    </w:p>
    <w:p w14:paraId="07F32D1B" w14:textId="77777777" w:rsidR="008D4F02" w:rsidRDefault="008D4F02" w:rsidP="008D4F02">
      <w:r>
        <w:t>Guidance documents relevant to clinical aspects of this submission include:</w:t>
      </w:r>
    </w:p>
    <w:p w14:paraId="1716148A" w14:textId="77777777" w:rsidR="008D4F02" w:rsidRDefault="008D4F02" w:rsidP="008D4F02">
      <w:pPr>
        <w:pStyle w:val="ListBullet"/>
        <w:numPr>
          <w:ilvl w:val="0"/>
          <w:numId w:val="38"/>
        </w:numPr>
        <w:rPr>
          <w:lang w:eastAsia="ja-JP"/>
        </w:rPr>
      </w:pPr>
      <w:r>
        <w:rPr>
          <w:lang w:eastAsia="ja-JP"/>
        </w:rPr>
        <w:t>TGA Form for providing product information</w:t>
      </w:r>
      <w:r>
        <w:rPr>
          <w:rStyle w:val="FootnoteReference"/>
          <w:lang w:eastAsia="ja-JP"/>
        </w:rPr>
        <w:footnoteReference w:id="13"/>
      </w:r>
    </w:p>
    <w:p w14:paraId="451EC0A8" w14:textId="77777777" w:rsidR="008D4F02" w:rsidRDefault="008D4F02" w:rsidP="008D4F02">
      <w:pPr>
        <w:pStyle w:val="ListBullet"/>
        <w:numPr>
          <w:ilvl w:val="0"/>
          <w:numId w:val="38"/>
        </w:numPr>
        <w:rPr>
          <w:lang w:eastAsia="ja-JP"/>
        </w:rPr>
      </w:pPr>
      <w:r>
        <w:rPr>
          <w:lang w:eastAsia="ja-JP"/>
        </w:rPr>
        <w:t xml:space="preserve">European Medicines Agency (EMA) </w:t>
      </w:r>
      <w:hyperlink r:id="rId22" w:history="1">
        <w:r w:rsidRPr="00D646AE">
          <w:rPr>
            <w:rStyle w:val="Hyperlink"/>
            <w:lang w:eastAsia="ja-JP"/>
          </w:rPr>
          <w:t>Guideline on Clinical Evaluation of New Vaccines EMEA/CHMP/VWP/164653/2005</w:t>
        </w:r>
      </w:hyperlink>
      <w:r>
        <w:rPr>
          <w:lang w:eastAsia="ja-JP"/>
        </w:rPr>
        <w:t xml:space="preserve"> </w:t>
      </w:r>
    </w:p>
    <w:p w14:paraId="47D1D4A8" w14:textId="77777777" w:rsidR="008D4F02" w:rsidRDefault="008D4F02" w:rsidP="008D4F02">
      <w:pPr>
        <w:pStyle w:val="ListBullet"/>
        <w:numPr>
          <w:ilvl w:val="0"/>
          <w:numId w:val="38"/>
        </w:numPr>
        <w:rPr>
          <w:lang w:eastAsia="ja-JP"/>
        </w:rPr>
      </w:pPr>
      <w:r>
        <w:rPr>
          <w:lang w:eastAsia="ja-JP"/>
        </w:rPr>
        <w:t xml:space="preserve">EMA </w:t>
      </w:r>
      <w:hyperlink r:id="rId23" w:history="1">
        <w:r w:rsidRPr="00D646AE">
          <w:rPr>
            <w:rStyle w:val="Hyperlink"/>
            <w:lang w:eastAsia="ja-JP"/>
          </w:rPr>
          <w:t>Guideline on the Choice of the Non-Inferiority Margin EMEA/CPMP/EWP/2158/99</w:t>
        </w:r>
      </w:hyperlink>
    </w:p>
    <w:p w14:paraId="57D812E3" w14:textId="77777777" w:rsidR="008D4F02" w:rsidRDefault="008D4F02" w:rsidP="008D4F02">
      <w:pPr>
        <w:pStyle w:val="ListBullet"/>
        <w:numPr>
          <w:ilvl w:val="0"/>
          <w:numId w:val="38"/>
        </w:numPr>
        <w:rPr>
          <w:lang w:eastAsia="ja-JP"/>
        </w:rPr>
      </w:pPr>
      <w:r>
        <w:rPr>
          <w:lang w:eastAsia="ja-JP"/>
        </w:rPr>
        <w:t xml:space="preserve">EMA </w:t>
      </w:r>
      <w:hyperlink r:id="rId24" w:history="1">
        <w:r w:rsidRPr="00D646AE">
          <w:rPr>
            <w:rStyle w:val="Hyperlink"/>
            <w:lang w:eastAsia="ja-JP"/>
          </w:rPr>
          <w:t>Guideline on pharmaceutical development of medicines for paediatric use EMA/CHMP/QWP/805880/2012 Rev. 2</w:t>
        </w:r>
      </w:hyperlink>
    </w:p>
    <w:p w14:paraId="65152279" w14:textId="77777777" w:rsidR="008D4F02" w:rsidRDefault="008D4F02" w:rsidP="0074163C"/>
    <w:p w14:paraId="2DFEBD79" w14:textId="77777777" w:rsidR="008E7846" w:rsidRDefault="008E7846" w:rsidP="008E7846">
      <w:pPr>
        <w:pStyle w:val="Heading3"/>
      </w:pPr>
      <w:bookmarkStart w:id="34" w:name="_Toc126332729"/>
      <w:r>
        <w:lastRenderedPageBreak/>
        <w:t>Quality</w:t>
      </w:r>
      <w:bookmarkEnd w:id="31"/>
      <w:bookmarkEnd w:id="32"/>
      <w:bookmarkEnd w:id="34"/>
    </w:p>
    <w:p w14:paraId="1F1F615D" w14:textId="10FF989D" w:rsidR="009B66CF" w:rsidRPr="00272FE2" w:rsidRDefault="00F04E74" w:rsidP="009B66CF">
      <w:r>
        <w:t xml:space="preserve">Vaxelis </w:t>
      </w:r>
      <w:r w:rsidR="009B66CF" w:rsidRPr="009B66CF">
        <w:t xml:space="preserve">is a </w:t>
      </w:r>
      <w:r w:rsidR="00FF513B">
        <w:t>cloudy, white to off-white liquid</w:t>
      </w:r>
      <w:r w:rsidR="009B66CF" w:rsidRPr="009B66CF">
        <w:t xml:space="preserve">, ready-to-use formulation presented as a </w:t>
      </w:r>
      <w:r w:rsidR="009B66CF" w:rsidRPr="00272FE2">
        <w:t xml:space="preserve">suspension for </w:t>
      </w:r>
      <w:r w:rsidR="008D4F02">
        <w:t>intramuscular</w:t>
      </w:r>
      <w:r w:rsidR="008D4F02" w:rsidRPr="00272FE2">
        <w:t xml:space="preserve"> </w:t>
      </w:r>
      <w:r w:rsidR="009B66CF" w:rsidRPr="00272FE2">
        <w:t xml:space="preserve">injection adjuvanted onto aluminium phosphate and aluminium in single dose prefilled syringe </w:t>
      </w:r>
      <w:r w:rsidR="00FF513B" w:rsidRPr="00272FE2">
        <w:t>or</w:t>
      </w:r>
      <w:r w:rsidR="009B66CF" w:rsidRPr="00272FE2">
        <w:t xml:space="preserve"> </w:t>
      </w:r>
      <w:r w:rsidR="00FF513B" w:rsidRPr="00272FE2">
        <w:t xml:space="preserve">glass </w:t>
      </w:r>
      <w:r w:rsidR="009B66CF" w:rsidRPr="00272FE2">
        <w:t>vial.</w:t>
      </w:r>
    </w:p>
    <w:p w14:paraId="035BCDB6" w14:textId="388E7373" w:rsidR="00DF2B03" w:rsidRPr="00013156" w:rsidRDefault="00DF2B03" w:rsidP="00DF2B03">
      <w:r w:rsidRPr="00FF513B">
        <w:t xml:space="preserve">Table </w:t>
      </w:r>
      <w:r w:rsidR="00104710">
        <w:t>6</w:t>
      </w:r>
      <w:r w:rsidRPr="00FF513B">
        <w:t xml:space="preserve"> describes the composition of Vaxelis as a combination</w:t>
      </w:r>
      <w:r>
        <w:t xml:space="preserve"> of licensed vac</w:t>
      </w:r>
      <w:r w:rsidR="00272FE2">
        <w:t>c</w:t>
      </w:r>
      <w:r>
        <w:t>ines.</w:t>
      </w:r>
    </w:p>
    <w:p w14:paraId="3A396908" w14:textId="757B7BC4" w:rsidR="008D4F02" w:rsidRDefault="008D4F02" w:rsidP="00403AB2">
      <w:pPr>
        <w:pStyle w:val="TableTitle"/>
      </w:pPr>
      <w:r>
        <w:t xml:space="preserve">Table </w:t>
      </w:r>
      <w:fldSimple w:instr=" SEQ Table \* ARABIC ">
        <w:r w:rsidR="00403AB2">
          <w:rPr>
            <w:noProof/>
          </w:rPr>
          <w:t>5</w:t>
        </w:r>
      </w:fldSimple>
      <w:r w:rsidR="00104710">
        <w:t>: Composition of Vaxelis vaccine as a combination of different licensed vaccines</w:t>
      </w:r>
    </w:p>
    <w:p w14:paraId="45F4ACE8" w14:textId="77777777" w:rsidR="00DF2B03" w:rsidRDefault="00DF2B03" w:rsidP="00DF2B03">
      <w:pPr>
        <w:rPr>
          <w:b/>
        </w:rPr>
      </w:pPr>
      <w:r>
        <w:rPr>
          <w:b/>
          <w:noProof/>
          <w:lang w:val="en-GB" w:eastAsia="en-GB"/>
        </w:rPr>
        <w:drawing>
          <wp:inline distT="0" distB="0" distL="0" distR="0" wp14:anchorId="6F567B09" wp14:editId="6D61CE71">
            <wp:extent cx="5406432" cy="3325468"/>
            <wp:effectExtent l="0" t="0" r="3810" b="8890"/>
            <wp:docPr id="14" name="Picture 14" descr="Composition of Vaxelis (PR5I) as a combination of licensed vaccines in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mposition of Vaxelis (PR5I) as a combination of licensed vaccines in overseas"/>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9081" cy="3333248"/>
                    </a:xfrm>
                    <a:prstGeom prst="rect">
                      <a:avLst/>
                    </a:prstGeom>
                    <a:noFill/>
                    <a:ln>
                      <a:noFill/>
                    </a:ln>
                  </pic:spPr>
                </pic:pic>
              </a:graphicData>
            </a:graphic>
          </wp:inline>
        </w:drawing>
      </w:r>
    </w:p>
    <w:p w14:paraId="0985BA51" w14:textId="3DED1D9C" w:rsidR="00774DB8" w:rsidRPr="00FF513B" w:rsidRDefault="00DF2B03" w:rsidP="00FF513B">
      <w:r w:rsidRPr="00FF513B">
        <w:t xml:space="preserve">The shelf life is </w:t>
      </w:r>
      <w:r w:rsidR="00774DB8" w:rsidRPr="00FF513B">
        <w:t xml:space="preserve">48 months </w:t>
      </w:r>
      <w:r w:rsidRPr="00FF513B">
        <w:t>and must be s</w:t>
      </w:r>
      <w:r w:rsidR="00774DB8" w:rsidRPr="00FF513B">
        <w:t>tore</w:t>
      </w:r>
      <w:r w:rsidRPr="00FF513B">
        <w:t>d</w:t>
      </w:r>
      <w:r w:rsidR="00774DB8" w:rsidRPr="00FF513B">
        <w:t xml:space="preserve"> in a refrigerator (2°C </w:t>
      </w:r>
      <w:r w:rsidR="00104710">
        <w:t>to</w:t>
      </w:r>
      <w:r w:rsidR="00774DB8" w:rsidRPr="00FF513B">
        <w:t xml:space="preserve"> 8°C). </w:t>
      </w:r>
    </w:p>
    <w:p w14:paraId="3AA48E7F" w14:textId="5C4E3C6B" w:rsidR="00774DB8" w:rsidRPr="00FF513B" w:rsidRDefault="00774DB8" w:rsidP="00FF513B">
      <w:r w:rsidRPr="00FF513B">
        <w:t>Do not freeze. Keep the pre-filled syringe or vial in the outer carton in order to protect from light.</w:t>
      </w:r>
    </w:p>
    <w:p w14:paraId="2D0AB17E" w14:textId="5CE51B1E" w:rsidR="00DF2B03" w:rsidRPr="00F04E74" w:rsidRDefault="00DF2B03" w:rsidP="00A75764">
      <w:r w:rsidRPr="00FF513B">
        <w:t>There were no</w:t>
      </w:r>
      <w:r>
        <w:t xml:space="preserve"> </w:t>
      </w:r>
      <w:r w:rsidRPr="00A75764">
        <w:t>objections</w:t>
      </w:r>
      <w:r>
        <w:t xml:space="preserve"> from a quality perspective to </w:t>
      </w:r>
      <w:r w:rsidR="00FF513B">
        <w:t xml:space="preserve">the </w:t>
      </w:r>
      <w:r>
        <w:t>approval of Vaxelis.</w:t>
      </w:r>
    </w:p>
    <w:p w14:paraId="5202EF11" w14:textId="6352F30B" w:rsidR="008E7846" w:rsidRDefault="008E7846" w:rsidP="008E7846">
      <w:pPr>
        <w:pStyle w:val="Heading3"/>
      </w:pPr>
      <w:bookmarkStart w:id="35" w:name="_Toc314842512"/>
      <w:bookmarkStart w:id="36" w:name="_Toc126332730"/>
      <w:r>
        <w:t>Nonclinical</w:t>
      </w:r>
      <w:bookmarkEnd w:id="35"/>
      <w:bookmarkEnd w:id="36"/>
    </w:p>
    <w:p w14:paraId="28F1D46F" w14:textId="600E7AFC" w:rsidR="0060638D" w:rsidRDefault="0060638D" w:rsidP="009B66CF">
      <w:r w:rsidRPr="009B66CF">
        <w:t xml:space="preserve">The </w:t>
      </w:r>
      <w:r w:rsidR="00046C3D">
        <w:t>nonclinical</w:t>
      </w:r>
      <w:r w:rsidRPr="009B66CF">
        <w:t xml:space="preserve"> dossier consisted of a single dose rat study only, which examined local tolerance and specific systemic toxicity endpoints.</w:t>
      </w:r>
      <w:r w:rsidR="00F04E74">
        <w:t xml:space="preserve"> </w:t>
      </w:r>
      <w:r w:rsidRPr="009B66CF">
        <w:t xml:space="preserve">There were no animal immunogenicity studies. This was considered acceptable by the </w:t>
      </w:r>
      <w:r w:rsidR="00046C3D">
        <w:t>nonclinical</w:t>
      </w:r>
      <w:r w:rsidRPr="009B66CF">
        <w:t xml:space="preserve"> </w:t>
      </w:r>
      <w:r w:rsidR="00046C3D">
        <w:t>evaluator</w:t>
      </w:r>
      <w:r w:rsidRPr="009B66CF">
        <w:t xml:space="preserve"> given the availability of human</w:t>
      </w:r>
      <w:r w:rsidR="00046C3D">
        <w:t xml:space="preserve"> data</w:t>
      </w:r>
      <w:r w:rsidRPr="009B66CF">
        <w:t>.</w:t>
      </w:r>
    </w:p>
    <w:p w14:paraId="2605038C" w14:textId="4C95B593" w:rsidR="00AF2B98" w:rsidRPr="00AF2B98" w:rsidRDefault="00AF2B98" w:rsidP="00AF2B98">
      <w:r w:rsidRPr="00AF2B98">
        <w:t xml:space="preserve">The </w:t>
      </w:r>
      <w:r w:rsidRPr="00272FE2">
        <w:t>single dose study in rats</w:t>
      </w:r>
      <w:r w:rsidR="00042B3F">
        <w:t xml:space="preserve"> </w:t>
      </w:r>
      <w:r w:rsidRPr="00272FE2">
        <w:t>focused</w:t>
      </w:r>
      <w:r w:rsidR="00073AA3">
        <w:t xml:space="preserve"> </w:t>
      </w:r>
      <w:r w:rsidRPr="00272FE2">
        <w:t>on local tolerance and included specific systemic toxicity endpoints (histopathology included site of administration and all gross lesions). The dose administered to each animal matched or exceeded the human dose except for inactivated trivalent polio antigens (29-D, 7-D and 26-D compared to 40-D, 8-D and 32-D antigen units for type 1, 2 and 3 respectively). The human</w:t>
      </w:r>
      <w:r w:rsidRPr="00AF2B98">
        <w:t xml:space="preserve"> route of administration (IM) and volume of dose (0.5 mL) were used in the study. No booster dose was administered to animals. The proposed vaccine is a </w:t>
      </w:r>
      <w:r w:rsidRPr="00272FE2">
        <w:t>combination vaccine containing components that are currently registered in the Australia and the EU and that have a well-established safety profile in humans.</w:t>
      </w:r>
    </w:p>
    <w:p w14:paraId="6296B0AE" w14:textId="2663A251" w:rsidR="004D1884" w:rsidRDefault="0060638D" w:rsidP="009B66CF">
      <w:r w:rsidRPr="009B66CF">
        <w:t>The</w:t>
      </w:r>
      <w:r w:rsidR="00104710">
        <w:t>re</w:t>
      </w:r>
      <w:r w:rsidRPr="009B66CF">
        <w:t xml:space="preserve"> </w:t>
      </w:r>
      <w:r w:rsidR="00104710">
        <w:t>were</w:t>
      </w:r>
      <w:r>
        <w:t xml:space="preserve"> no </w:t>
      </w:r>
      <w:r w:rsidR="00046C3D">
        <w:t>non</w:t>
      </w:r>
      <w:r>
        <w:t>clinical objection</w:t>
      </w:r>
      <w:r w:rsidR="00104710">
        <w:t>s</w:t>
      </w:r>
      <w:r>
        <w:t xml:space="preserve"> to approval</w:t>
      </w:r>
      <w:r w:rsidR="00104710">
        <w:t xml:space="preserve"> of Vaxelis</w:t>
      </w:r>
      <w:r>
        <w:t>.</w:t>
      </w:r>
    </w:p>
    <w:p w14:paraId="606F7C6A" w14:textId="7A2E704A" w:rsidR="0060638D" w:rsidRDefault="00046C3D" w:rsidP="009B66CF">
      <w:r>
        <w:t>Nonclinical r</w:t>
      </w:r>
      <w:r w:rsidR="0060638D">
        <w:t xml:space="preserve">ecommendations for </w:t>
      </w:r>
      <w:r>
        <w:t xml:space="preserve">amendments to </w:t>
      </w:r>
      <w:r w:rsidR="0060638D">
        <w:t xml:space="preserve">the PI </w:t>
      </w:r>
      <w:r w:rsidR="00E13652">
        <w:t>were</w:t>
      </w:r>
      <w:r w:rsidR="0060638D">
        <w:t xml:space="preserve"> noted</w:t>
      </w:r>
      <w:r w:rsidR="00E13652">
        <w:t xml:space="preserve"> by the Delegate</w:t>
      </w:r>
      <w:r w:rsidR="0060638D">
        <w:t>.</w:t>
      </w:r>
    </w:p>
    <w:p w14:paraId="35D22AE9" w14:textId="662EE2C3" w:rsidR="008D4F02" w:rsidRPr="008D4F02" w:rsidRDefault="008E7846" w:rsidP="008D4F02">
      <w:pPr>
        <w:pStyle w:val="Heading3"/>
      </w:pPr>
      <w:bookmarkStart w:id="37" w:name="_Toc247691530"/>
      <w:bookmarkStart w:id="38" w:name="_Toc314842513"/>
      <w:bookmarkStart w:id="39" w:name="_Toc126332731"/>
      <w:r>
        <w:lastRenderedPageBreak/>
        <w:t>Clinical</w:t>
      </w:r>
      <w:bookmarkEnd w:id="37"/>
      <w:bookmarkEnd w:id="38"/>
      <w:bookmarkEnd w:id="39"/>
    </w:p>
    <w:p w14:paraId="6EC7B8A2" w14:textId="77777777" w:rsidR="0074163C" w:rsidRDefault="0074163C" w:rsidP="0074163C">
      <w:pPr>
        <w:pStyle w:val="Heading4"/>
      </w:pPr>
      <w:bookmarkStart w:id="40" w:name="_Toc98931928"/>
      <w:r>
        <w:t>Summary of clinical studies</w:t>
      </w:r>
      <w:bookmarkEnd w:id="40"/>
    </w:p>
    <w:p w14:paraId="1BEBD184" w14:textId="395F1F72" w:rsidR="004D1884" w:rsidRDefault="0060638D" w:rsidP="004D1884">
      <w:pPr>
        <w:pStyle w:val="ListBullet"/>
        <w:numPr>
          <w:ilvl w:val="0"/>
          <w:numId w:val="0"/>
        </w:numPr>
      </w:pPr>
      <w:bookmarkStart w:id="41" w:name="_Toc314842514"/>
      <w:r>
        <w:t xml:space="preserve">The COR-B submission included clinical evaluations by </w:t>
      </w:r>
      <w:r w:rsidR="00104710">
        <w:t xml:space="preserve">the European Medicines Agency (EMA) </w:t>
      </w:r>
      <w:r>
        <w:t xml:space="preserve">to support </w:t>
      </w:r>
      <w:r w:rsidR="004D1884">
        <w:t xml:space="preserve">the </w:t>
      </w:r>
      <w:r>
        <w:t xml:space="preserve">dossier. </w:t>
      </w:r>
      <w:r w:rsidR="004D1884">
        <w:t xml:space="preserve">A (redacted) clinical review by </w:t>
      </w:r>
      <w:r w:rsidR="00104710">
        <w:t>the US Food and Drug Administration (</w:t>
      </w:r>
      <w:r w:rsidR="004D1884">
        <w:t>FDA</w:t>
      </w:r>
      <w:r w:rsidR="00104710">
        <w:t>)</w:t>
      </w:r>
      <w:r w:rsidR="004D1884">
        <w:t xml:space="preserve"> is also publicly available.</w:t>
      </w:r>
      <w:r w:rsidR="004D1884">
        <w:rPr>
          <w:rStyle w:val="FootnoteReference"/>
        </w:rPr>
        <w:footnoteReference w:id="14"/>
      </w:r>
      <w:r w:rsidR="004D1884">
        <w:t xml:space="preserve"> Note that approval in the USA is for 3</w:t>
      </w:r>
      <w:r w:rsidR="00104710">
        <w:noBreakHyphen/>
      </w:r>
      <w:r w:rsidR="004D1884">
        <w:t>dose primary series only, with non-specific advice on booster with respect to Vaxelis.</w:t>
      </w:r>
    </w:p>
    <w:p w14:paraId="5779E54A" w14:textId="4B538CAF" w:rsidR="0060638D" w:rsidRDefault="0060638D" w:rsidP="009B234E">
      <w:pPr>
        <w:pStyle w:val="ListBullet"/>
        <w:numPr>
          <w:ilvl w:val="0"/>
          <w:numId w:val="0"/>
        </w:numPr>
      </w:pPr>
      <w:r>
        <w:t xml:space="preserve">An abridged TGA </w:t>
      </w:r>
      <w:r w:rsidR="00104710">
        <w:t xml:space="preserve">clinical evaluation </w:t>
      </w:r>
      <w:r>
        <w:t>based on EMA reports was completed. The clinical evaluat</w:t>
      </w:r>
      <w:r w:rsidR="00104710">
        <w:t>ion</w:t>
      </w:r>
      <w:r>
        <w:t xml:space="preserve"> supports approval.</w:t>
      </w:r>
    </w:p>
    <w:p w14:paraId="0B0F278D" w14:textId="173D4B6B" w:rsidR="0060638D" w:rsidRDefault="0060638D" w:rsidP="009B234E">
      <w:pPr>
        <w:pStyle w:val="ListBullet"/>
        <w:numPr>
          <w:ilvl w:val="0"/>
          <w:numId w:val="0"/>
        </w:numPr>
      </w:pPr>
      <w:r>
        <w:t>The clinical dataset comprised 10 studies of which 4 (</w:t>
      </w:r>
      <w:r w:rsidR="009B66CF">
        <w:t>S</w:t>
      </w:r>
      <w:r>
        <w:t xml:space="preserve">tudies 001 to 004) were formulation studies. The remaining 6 studies used the final formulation. These were all immunogenicity studies. The Phase III </w:t>
      </w:r>
      <w:r w:rsidR="009B234E">
        <w:t>S</w:t>
      </w:r>
      <w:r>
        <w:t>tud</w:t>
      </w:r>
      <w:r w:rsidR="00104710">
        <w:t>y</w:t>
      </w:r>
      <w:r>
        <w:t xml:space="preserve"> 005 (randomised, open label), </w:t>
      </w:r>
      <w:r w:rsidR="00104710">
        <w:t xml:space="preserve">Study </w:t>
      </w:r>
      <w:r>
        <w:t xml:space="preserve">006 (randomised, partial double blind), </w:t>
      </w:r>
      <w:r w:rsidR="00104710">
        <w:t xml:space="preserve">Study </w:t>
      </w:r>
      <w:r>
        <w:t xml:space="preserve">007 (randomised, double blind) and </w:t>
      </w:r>
      <w:r w:rsidR="00104710">
        <w:t xml:space="preserve">Study </w:t>
      </w:r>
      <w:r>
        <w:t>008 (randomised, double blind) are considered pivotal</w:t>
      </w:r>
      <w:r w:rsidR="009B234E">
        <w:t>.</w:t>
      </w:r>
      <w:bookmarkStart w:id="42" w:name="_Ref118901583"/>
      <w:r>
        <w:rPr>
          <w:vertAlign w:val="superscript"/>
        </w:rPr>
        <w:footnoteReference w:id="15"/>
      </w:r>
      <w:bookmarkEnd w:id="42"/>
      <w:r w:rsidR="009B234E">
        <w:t xml:space="preserve"> Table </w:t>
      </w:r>
      <w:r w:rsidR="00104710">
        <w:t>7</w:t>
      </w:r>
      <w:r w:rsidR="009B234E">
        <w:t xml:space="preserve"> describes Studies 005</w:t>
      </w:r>
      <w:r w:rsidR="00104710">
        <w:t xml:space="preserve"> to </w:t>
      </w:r>
      <w:r w:rsidR="009B234E">
        <w:t xml:space="preserve">008 as well as </w:t>
      </w:r>
      <w:r w:rsidR="00104710">
        <w:t xml:space="preserve">Studies </w:t>
      </w:r>
      <w:r w:rsidR="009B234E">
        <w:t>PRIO1C and PRIO2C.</w:t>
      </w:r>
    </w:p>
    <w:p w14:paraId="478C1FA2" w14:textId="3BA8A900" w:rsidR="00104710" w:rsidRDefault="00104710" w:rsidP="00403AB2">
      <w:pPr>
        <w:pStyle w:val="Tabletitle0"/>
      </w:pPr>
      <w:r>
        <w:t xml:space="preserve">Table </w:t>
      </w:r>
      <w:fldSimple w:instr=" SEQ Table \* ARABIC ">
        <w:r w:rsidR="00403AB2">
          <w:rPr>
            <w:noProof/>
          </w:rPr>
          <w:t>6</w:t>
        </w:r>
      </w:fldSimple>
      <w:r>
        <w:t>: Studies submitted in support of this submission</w:t>
      </w:r>
    </w:p>
    <w:p w14:paraId="5F6D04CB" w14:textId="1D8BEB68" w:rsidR="0060638D" w:rsidRDefault="0060638D" w:rsidP="005F1654">
      <w:pPr>
        <w:pStyle w:val="ListBullet"/>
        <w:numPr>
          <w:ilvl w:val="0"/>
          <w:numId w:val="0"/>
        </w:numPr>
        <w:ind w:left="360" w:hanging="360"/>
        <w:rPr>
          <w:rFonts w:ascii="Calibri" w:eastAsia="Calibri" w:hAnsi="Calibri"/>
        </w:rPr>
      </w:pPr>
      <w:r>
        <w:rPr>
          <w:noProof/>
          <w:lang w:val="en-GB" w:eastAsia="en-GB"/>
        </w:rPr>
        <w:drawing>
          <wp:inline distT="0" distB="0" distL="0" distR="0" wp14:anchorId="0EFECDAC" wp14:editId="686F76B1">
            <wp:extent cx="5542060" cy="2072281"/>
            <wp:effectExtent l="0" t="0" r="1905" b="4445"/>
            <wp:docPr id="10" name="Picture 10" descr="Table 4: Studies submitted in support of thi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4: Studies submitted in support of this application"/>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61602" cy="2079588"/>
                    </a:xfrm>
                    <a:prstGeom prst="rect">
                      <a:avLst/>
                    </a:prstGeom>
                    <a:noFill/>
                    <a:ln>
                      <a:noFill/>
                    </a:ln>
                  </pic:spPr>
                </pic:pic>
              </a:graphicData>
            </a:graphic>
          </wp:inline>
        </w:drawing>
      </w:r>
    </w:p>
    <w:p w14:paraId="745DBEE7" w14:textId="7AC00F7B" w:rsidR="0060638D" w:rsidRDefault="009B234E" w:rsidP="005F1654">
      <w:pPr>
        <w:pStyle w:val="ListBullet"/>
        <w:numPr>
          <w:ilvl w:val="0"/>
          <w:numId w:val="0"/>
        </w:numPr>
      </w:pPr>
      <w:r>
        <w:t>S</w:t>
      </w:r>
      <w:r w:rsidR="0060638D">
        <w:t>tudies 005 (1,473</w:t>
      </w:r>
      <w:r w:rsidR="00104710">
        <w:t xml:space="preserve"> subjects</w:t>
      </w:r>
      <w:r w:rsidR="0060638D">
        <w:t xml:space="preserve">) and 006 </w:t>
      </w:r>
      <w:r w:rsidR="00104710">
        <w:t>(</w:t>
      </w:r>
      <w:r w:rsidR="0060638D">
        <w:t>2,808</w:t>
      </w:r>
      <w:r w:rsidR="00104710">
        <w:t xml:space="preserve"> subjects</w:t>
      </w:r>
      <w:r w:rsidR="0060638D">
        <w:t>) were US</w:t>
      </w:r>
      <w:r w:rsidR="00D93D89">
        <w:t>A</w:t>
      </w:r>
      <w:r w:rsidR="00104710">
        <w:t>-based</w:t>
      </w:r>
      <w:r w:rsidR="0060638D">
        <w:t xml:space="preserve"> studies, whereas </w:t>
      </w:r>
      <w:r>
        <w:t xml:space="preserve">Studies </w:t>
      </w:r>
      <w:r w:rsidR="0060638D">
        <w:t>007 (1,217</w:t>
      </w:r>
      <w:r w:rsidR="00104710">
        <w:t xml:space="preserve"> subjects</w:t>
      </w:r>
      <w:r w:rsidR="0060638D">
        <w:t>) and 008 (1,315</w:t>
      </w:r>
      <w:r w:rsidR="00104710">
        <w:t xml:space="preserve"> subjects</w:t>
      </w:r>
      <w:r w:rsidR="0060638D">
        <w:t>) were EU</w:t>
      </w:r>
      <w:r w:rsidR="00104710">
        <w:t>-based</w:t>
      </w:r>
      <w:r w:rsidR="0060638D">
        <w:t xml:space="preserve"> studies. All subjects were healthy</w:t>
      </w:r>
      <w:r>
        <w:t xml:space="preserve"> and</w:t>
      </w:r>
      <w:r w:rsidR="0060638D">
        <w:t xml:space="preserve"> born full term</w:t>
      </w:r>
      <w:r w:rsidR="0060638D" w:rsidRPr="00272FE2">
        <w:t xml:space="preserve">. The participants in </w:t>
      </w:r>
      <w:r w:rsidRPr="00272FE2">
        <w:t>S</w:t>
      </w:r>
      <w:r w:rsidR="0060638D" w:rsidRPr="00272FE2">
        <w:t xml:space="preserve">tudies 005 and 006 received a birth dose of monovalent </w:t>
      </w:r>
      <w:r w:rsidR="00272FE2" w:rsidRPr="00272FE2">
        <w:t>hepatitis B</w:t>
      </w:r>
      <w:r w:rsidR="0060638D" w:rsidRPr="00272FE2">
        <w:t xml:space="preserve"> vaccine, whereas participants in </w:t>
      </w:r>
      <w:r w:rsidRPr="00272FE2">
        <w:t>S</w:t>
      </w:r>
      <w:r w:rsidR="0060638D" w:rsidRPr="00272FE2">
        <w:t>tudies 007 and 008 were vaccine</w:t>
      </w:r>
      <w:r w:rsidR="00104710">
        <w:noBreakHyphen/>
      </w:r>
      <w:r w:rsidR="0060638D" w:rsidRPr="00272FE2">
        <w:t>naïve. Study 006 was also</w:t>
      </w:r>
      <w:r w:rsidR="0060638D">
        <w:t xml:space="preserve"> a </w:t>
      </w:r>
      <w:r w:rsidR="00272FE2">
        <w:t>Vaxelis vaccine</w:t>
      </w:r>
      <w:r w:rsidR="0060638D">
        <w:t xml:space="preserve"> lot</w:t>
      </w:r>
      <w:r w:rsidR="00D93D89">
        <w:t>-</w:t>
      </w:r>
      <w:r w:rsidR="0060638D">
        <w:t>to</w:t>
      </w:r>
      <w:r w:rsidR="00D93D89">
        <w:t>-</w:t>
      </w:r>
      <w:r w:rsidR="0060638D">
        <w:t>lot consistency study.</w:t>
      </w:r>
    </w:p>
    <w:p w14:paraId="4B7197FB" w14:textId="77777777" w:rsidR="0060638D" w:rsidRDefault="0060638D" w:rsidP="005F1654">
      <w:pPr>
        <w:pStyle w:val="ListBullet"/>
        <w:numPr>
          <w:ilvl w:val="0"/>
          <w:numId w:val="0"/>
        </w:numPr>
      </w:pPr>
      <w:r>
        <w:t>The study groups also received other concomitantly administered vaccines based on individual trial designs in addition to the test and control vaccines within each study.</w:t>
      </w:r>
    </w:p>
    <w:p w14:paraId="7A1EC1A4" w14:textId="28CDD6E3" w:rsidR="003E31B6" w:rsidRDefault="0060638D" w:rsidP="00403AB2">
      <w:pPr>
        <w:pStyle w:val="ListBullet"/>
        <w:numPr>
          <w:ilvl w:val="0"/>
          <w:numId w:val="0"/>
        </w:numPr>
      </w:pPr>
      <w:r>
        <w:t xml:space="preserve">There were no vaccine efficacy studies. However, correlates of protection are established (except </w:t>
      </w:r>
      <w:r w:rsidR="00425E9B">
        <w:t xml:space="preserve">in </w:t>
      </w:r>
      <w:r>
        <w:t>pertussis) and accepted for regulatory purposes for assessment of comparative immunogenicity using non-inferiority designs with the currently approved vaccines (</w:t>
      </w:r>
      <w:r w:rsidR="00104710">
        <w:t xml:space="preserve">see </w:t>
      </w:r>
      <w:r w:rsidR="006F4BD8">
        <w:t>Table</w:t>
      </w:r>
      <w:r w:rsidR="00104710">
        <w:t> 8</w:t>
      </w:r>
      <w:r>
        <w:t>)</w:t>
      </w:r>
      <w:r w:rsidR="00422191">
        <w:t>.</w:t>
      </w:r>
    </w:p>
    <w:p w14:paraId="57971837" w14:textId="08A19BE7" w:rsidR="00422191" w:rsidRDefault="00422191" w:rsidP="00403AB2">
      <w:pPr>
        <w:pStyle w:val="TableTitle"/>
      </w:pPr>
      <w:r>
        <w:lastRenderedPageBreak/>
        <w:t xml:space="preserve">Table </w:t>
      </w:r>
      <w:fldSimple w:instr=" SEQ Table \* ARABIC ">
        <w:r w:rsidR="00403AB2">
          <w:rPr>
            <w:noProof/>
          </w:rPr>
          <w:t>7</w:t>
        </w:r>
      </w:fldSimple>
      <w:r>
        <w:t>: Immune correlates for Vaxelis studies</w:t>
      </w:r>
    </w:p>
    <w:p w14:paraId="5FC58E42" w14:textId="25C46B2C" w:rsidR="006F4BD8" w:rsidRDefault="006F4BD8" w:rsidP="005F1654">
      <w:pPr>
        <w:pStyle w:val="ListBullet"/>
        <w:numPr>
          <w:ilvl w:val="0"/>
          <w:numId w:val="0"/>
        </w:numPr>
      </w:pPr>
      <w:r w:rsidRPr="006F4BD8">
        <w:rPr>
          <w:noProof/>
          <w:lang w:val="en-GB" w:eastAsia="en-GB"/>
        </w:rPr>
        <w:drawing>
          <wp:inline distT="0" distB="0" distL="0" distR="0" wp14:anchorId="2498BBC6" wp14:editId="241DFF5F">
            <wp:extent cx="5482077" cy="3888622"/>
            <wp:effectExtent l="0" t="0" r="4445" b="0"/>
            <wp:docPr id="15" name="Picture 15" descr="Immune cor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mune correlates"/>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516142" cy="3912785"/>
                    </a:xfrm>
                    <a:prstGeom prst="rect">
                      <a:avLst/>
                    </a:prstGeom>
                    <a:noFill/>
                    <a:ln>
                      <a:noFill/>
                    </a:ln>
                  </pic:spPr>
                </pic:pic>
              </a:graphicData>
            </a:graphic>
          </wp:inline>
        </w:drawing>
      </w:r>
    </w:p>
    <w:p w14:paraId="3DCE29CC" w14:textId="71A39566" w:rsidR="0060638D" w:rsidRPr="00DB005D" w:rsidRDefault="0060638D" w:rsidP="00DB005D">
      <w:r w:rsidRPr="00DB005D">
        <w:t xml:space="preserve">A summary of results </w:t>
      </w:r>
      <w:r w:rsidR="00104710">
        <w:t>for</w:t>
      </w:r>
      <w:r w:rsidR="00104710" w:rsidRPr="00DB005D">
        <w:t xml:space="preserve"> </w:t>
      </w:r>
      <w:r w:rsidR="0048390D" w:rsidRPr="00DB005D">
        <w:t>S</w:t>
      </w:r>
      <w:r w:rsidRPr="00DB005D">
        <w:t xml:space="preserve">tudies 005, 006, 007 and 008 </w:t>
      </w:r>
      <w:r w:rsidR="00104710">
        <w:t>are</w:t>
      </w:r>
      <w:r w:rsidR="00104710" w:rsidRPr="00DB005D">
        <w:t xml:space="preserve"> </w:t>
      </w:r>
      <w:r w:rsidRPr="00DB005D">
        <w:t>presented below. All post</w:t>
      </w:r>
      <w:r w:rsidR="00104710">
        <w:noBreakHyphen/>
      </w:r>
      <w:r w:rsidRPr="00DB005D">
        <w:t>primary series results are one month after the completion of primary infant series. All post</w:t>
      </w:r>
      <w:r w:rsidR="00104710">
        <w:noBreakHyphen/>
      </w:r>
      <w:r w:rsidRPr="00DB005D">
        <w:t xml:space="preserve">toddler dose results are one month after the toddler dose and are referred to as base groups </w:t>
      </w:r>
      <w:r w:rsidR="00425E9B">
        <w:t>‘</w:t>
      </w:r>
      <w:r w:rsidR="00272FE2" w:rsidRPr="00DB005D">
        <w:t>Vaxelis vaccine</w:t>
      </w:r>
      <w:r w:rsidR="00425E9B">
        <w:t>’</w:t>
      </w:r>
      <w:r w:rsidRPr="00DB005D">
        <w:t xml:space="preserve"> and </w:t>
      </w:r>
      <w:r w:rsidR="00425E9B">
        <w:t>‘</w:t>
      </w:r>
      <w:r w:rsidRPr="00DB005D">
        <w:t>control</w:t>
      </w:r>
      <w:r w:rsidR="00425E9B">
        <w:t>’</w:t>
      </w:r>
      <w:r w:rsidRPr="00DB005D">
        <w:t xml:space="preserve"> regardless of the type of booster</w:t>
      </w:r>
      <w:r w:rsidR="00073AA3">
        <w:t>.</w:t>
      </w:r>
    </w:p>
    <w:p w14:paraId="29265140" w14:textId="77777777" w:rsidR="0060638D" w:rsidRDefault="0060638D" w:rsidP="0048390D">
      <w:pPr>
        <w:pStyle w:val="Heading5"/>
      </w:pPr>
      <w:r>
        <w:t xml:space="preserve">Diphtheria </w:t>
      </w:r>
    </w:p>
    <w:p w14:paraId="3E07CB6F" w14:textId="2BA74F22" w:rsidR="0060638D" w:rsidRDefault="0060638D" w:rsidP="005F1654">
      <w:pPr>
        <w:pStyle w:val="ListBullet"/>
        <w:numPr>
          <w:ilvl w:val="0"/>
          <w:numId w:val="0"/>
        </w:numPr>
      </w:pPr>
      <w:r>
        <w:t>At the completion of primary series, seroprotection rates (% with titre</w:t>
      </w:r>
      <w:r w:rsidR="00073AA3">
        <w:t xml:space="preserve"> ≥ </w:t>
      </w:r>
      <w:r>
        <w:t xml:space="preserve">0.01 </w:t>
      </w:r>
      <w:r w:rsidR="00042B3F">
        <w:t xml:space="preserve">international </w:t>
      </w:r>
      <w:r w:rsidR="00042B3F" w:rsidRPr="00042B3F">
        <w:t>units (</w:t>
      </w:r>
      <w:r w:rsidRPr="00042B3F">
        <w:t>IU</w:t>
      </w:r>
      <w:r w:rsidR="00042B3F" w:rsidRPr="00042B3F">
        <w:t>)</w:t>
      </w:r>
      <w:r w:rsidRPr="00042B3F">
        <w:t>/mL</w:t>
      </w:r>
      <w:r>
        <w:t>) were high (98</w:t>
      </w:r>
      <w:r w:rsidR="00104710">
        <w:t xml:space="preserve"> to </w:t>
      </w:r>
      <w:r>
        <w:t xml:space="preserve">100%) and </w:t>
      </w:r>
      <w:r w:rsidR="00427EF6">
        <w:t>comparable for the Vaxelis vaccine groups and their respective control groups across the 4 studies</w:t>
      </w:r>
      <w:r>
        <w:t xml:space="preserve"> (</w:t>
      </w:r>
      <w:r w:rsidR="0048390D">
        <w:t xml:space="preserve">Studies </w:t>
      </w:r>
      <w:r>
        <w:t xml:space="preserve">005/006, 007, </w:t>
      </w:r>
      <w:r w:rsidR="00104710">
        <w:t xml:space="preserve">and </w:t>
      </w:r>
      <w:r>
        <w:t>008). The seroprotection rates (% with titre</w:t>
      </w:r>
      <w:r w:rsidR="00073AA3">
        <w:t xml:space="preserve"> ≥ </w:t>
      </w:r>
      <w:r>
        <w:t>0.1 IU/mL) were comparable (</w:t>
      </w:r>
      <w:r w:rsidR="00272FE2">
        <w:t>Vaxelis vaccine</w:t>
      </w:r>
      <w:r w:rsidR="00C44432">
        <w:t xml:space="preserve"> versus </w:t>
      </w:r>
      <w:r>
        <w:t xml:space="preserve">respective controls) but found to be higher in </w:t>
      </w:r>
      <w:r w:rsidR="0048390D">
        <w:t xml:space="preserve">Studies </w:t>
      </w:r>
      <w:r>
        <w:t>005/006 (84%</w:t>
      </w:r>
      <w:r w:rsidR="00C44432">
        <w:t xml:space="preserve"> versus </w:t>
      </w:r>
      <w:r>
        <w:t xml:space="preserve">86%) </w:t>
      </w:r>
      <w:r w:rsidRPr="00272FE2">
        <w:t xml:space="preserve">relative to </w:t>
      </w:r>
      <w:r w:rsidR="0048390D" w:rsidRPr="00272FE2">
        <w:t>S</w:t>
      </w:r>
      <w:r w:rsidRPr="00272FE2">
        <w:t>tudies 007 (45%</w:t>
      </w:r>
      <w:r w:rsidR="00C44432" w:rsidRPr="00272FE2">
        <w:t xml:space="preserve"> versus </w:t>
      </w:r>
      <w:r w:rsidRPr="00272FE2">
        <w:t>46%) and 008 (42%</w:t>
      </w:r>
      <w:r w:rsidR="00C44432" w:rsidRPr="00272FE2">
        <w:t xml:space="preserve"> versus </w:t>
      </w:r>
      <w:r w:rsidRPr="00272FE2">
        <w:t xml:space="preserve">39%). The </w:t>
      </w:r>
      <w:r w:rsidR="00272FE2" w:rsidRPr="00272FE2">
        <w:t>geometric mean titre</w:t>
      </w:r>
      <w:r w:rsidR="004D6B64">
        <w:t>s</w:t>
      </w:r>
      <w:r w:rsidR="00272FE2" w:rsidRPr="00272FE2">
        <w:t xml:space="preserve"> (</w:t>
      </w:r>
      <w:r w:rsidRPr="00272FE2">
        <w:t>GMTs</w:t>
      </w:r>
      <w:r w:rsidR="00272FE2" w:rsidRPr="00272FE2">
        <w:t>)</w:t>
      </w:r>
      <w:r w:rsidRPr="00272FE2">
        <w:t xml:space="preserve"> were comparable (</w:t>
      </w:r>
      <w:r w:rsidR="00272FE2" w:rsidRPr="00272FE2">
        <w:t>Vaxelis vaccine</w:t>
      </w:r>
      <w:r w:rsidR="00C44432" w:rsidRPr="00272FE2">
        <w:t xml:space="preserve"> versus </w:t>
      </w:r>
      <w:r w:rsidRPr="00272FE2">
        <w:t xml:space="preserve">respective controls) but similarly higher in </w:t>
      </w:r>
      <w:r w:rsidR="0048390D" w:rsidRPr="00272FE2">
        <w:t xml:space="preserve">Studies </w:t>
      </w:r>
      <w:r w:rsidRPr="00272FE2">
        <w:t>005/006 (0.36</w:t>
      </w:r>
      <w:r w:rsidR="00C44432" w:rsidRPr="00272FE2">
        <w:t xml:space="preserve"> versus </w:t>
      </w:r>
      <w:r w:rsidRPr="00272FE2">
        <w:t xml:space="preserve">0.37) relative to </w:t>
      </w:r>
      <w:r w:rsidR="0048390D" w:rsidRPr="00272FE2">
        <w:t>S</w:t>
      </w:r>
      <w:r w:rsidRPr="00272FE2">
        <w:t>tudies 007 (0.11</w:t>
      </w:r>
      <w:r w:rsidR="00C44432" w:rsidRPr="00272FE2">
        <w:t xml:space="preserve"> versus </w:t>
      </w:r>
      <w:r w:rsidRPr="00272FE2">
        <w:t>0.11) and 008</w:t>
      </w:r>
      <w:r>
        <w:t xml:space="preserve"> (0.08</w:t>
      </w:r>
      <w:r w:rsidR="00C44432">
        <w:t xml:space="preserve"> versus </w:t>
      </w:r>
      <w:r>
        <w:t>0.09).</w:t>
      </w:r>
    </w:p>
    <w:p w14:paraId="4C142A3B" w14:textId="77777777" w:rsidR="0060638D" w:rsidRDefault="0060638D" w:rsidP="005F1654">
      <w:pPr>
        <w:pStyle w:val="ListBullet"/>
        <w:numPr>
          <w:ilvl w:val="0"/>
          <w:numId w:val="0"/>
        </w:numPr>
        <w:ind w:left="360" w:hanging="360"/>
      </w:pPr>
      <w:r>
        <w:t>Pre-toddler levels were not provided.</w:t>
      </w:r>
    </w:p>
    <w:p w14:paraId="3CA4E928" w14:textId="5768D825" w:rsidR="0060638D" w:rsidRDefault="0060638D" w:rsidP="005F1654">
      <w:pPr>
        <w:pStyle w:val="ListBullet"/>
        <w:numPr>
          <w:ilvl w:val="0"/>
          <w:numId w:val="0"/>
        </w:numPr>
      </w:pPr>
      <w:r>
        <w:t>Post</w:t>
      </w:r>
      <w:r w:rsidR="00104710">
        <w:t>-</w:t>
      </w:r>
      <w:r>
        <w:t>toddler dose, seroprotection rates (% with titre</w:t>
      </w:r>
      <w:r w:rsidR="00073AA3">
        <w:t xml:space="preserve"> ≥ </w:t>
      </w:r>
      <w:r>
        <w:t>0.1 IU/mL) were high (98</w:t>
      </w:r>
      <w:r w:rsidR="00104710">
        <w:t xml:space="preserve"> to </w:t>
      </w:r>
      <w:r>
        <w:t xml:space="preserve">100%) and </w:t>
      </w:r>
      <w:r w:rsidR="00427EF6">
        <w:t>comparable for the Vaxelis vaccine groups and their respective control groups across the 4 studies</w:t>
      </w:r>
      <w:r>
        <w:t>. The GMTs ranged from 1.46 to 4.73 across the 4 studies and were comparable (</w:t>
      </w:r>
      <w:r w:rsidR="00272FE2">
        <w:t>Vaxelis vaccine</w:t>
      </w:r>
      <w:r w:rsidR="00C44432">
        <w:t xml:space="preserve"> versus </w:t>
      </w:r>
      <w:r>
        <w:t>respective control) within the studies.</w:t>
      </w:r>
    </w:p>
    <w:p w14:paraId="1D918790" w14:textId="77777777" w:rsidR="0060638D" w:rsidRPr="005F1654" w:rsidRDefault="0060638D" w:rsidP="0048390D">
      <w:pPr>
        <w:pStyle w:val="Heading5"/>
      </w:pPr>
      <w:r w:rsidRPr="005F1654">
        <w:t xml:space="preserve">Tetanus </w:t>
      </w:r>
    </w:p>
    <w:p w14:paraId="730A6598" w14:textId="5CDE6135" w:rsidR="0060638D" w:rsidRDefault="0060638D" w:rsidP="005F1654">
      <w:r w:rsidRPr="005F1654">
        <w:t>At the completion of primary series, seroprotection rates (% with titre</w:t>
      </w:r>
      <w:r w:rsidR="00073AA3">
        <w:t xml:space="preserve"> ≥ </w:t>
      </w:r>
      <w:r w:rsidRPr="005F1654">
        <w:t>0.01 or</w:t>
      </w:r>
      <w:r w:rsidR="00073AA3">
        <w:t xml:space="preserve"> ≥</w:t>
      </w:r>
      <w:r w:rsidR="00104710">
        <w:t> </w:t>
      </w:r>
      <w:r w:rsidRPr="005F1654">
        <w:t>0.1</w:t>
      </w:r>
      <w:r w:rsidR="00104710">
        <w:t> </w:t>
      </w:r>
      <w:r w:rsidRPr="005F1654">
        <w:t xml:space="preserve">IU/mL) were high (97-100%) and </w:t>
      </w:r>
      <w:r w:rsidR="00427EF6">
        <w:t>comparable for the Vaxelis vaccine groups and their respective control groups across the 4 studies</w:t>
      </w:r>
      <w:r w:rsidRPr="005F1654">
        <w:t>. The GMTs were also comparable (</w:t>
      </w:r>
      <w:r w:rsidR="00272FE2">
        <w:t>Vaxelis vaccine</w:t>
      </w:r>
      <w:r w:rsidR="00C44432">
        <w:t xml:space="preserve"> versus </w:t>
      </w:r>
      <w:r w:rsidRPr="005F1654">
        <w:t xml:space="preserve">respective controls) across the 4 studies but found to be higher in </w:t>
      </w:r>
      <w:r w:rsidR="000D79C4">
        <w:t>S</w:t>
      </w:r>
      <w:r w:rsidRPr="005F1654">
        <w:t>tudies 005/006 (1.86</w:t>
      </w:r>
      <w:r w:rsidR="00C44432">
        <w:t xml:space="preserve"> versus </w:t>
      </w:r>
      <w:r w:rsidRPr="005F1654">
        <w:t xml:space="preserve">1.07) relative to </w:t>
      </w:r>
      <w:r w:rsidR="000D79C4">
        <w:t>S</w:t>
      </w:r>
      <w:r w:rsidRPr="005F1654">
        <w:t>tudy 007 (0.70</w:t>
      </w:r>
      <w:r w:rsidR="00C44432">
        <w:t xml:space="preserve"> versus </w:t>
      </w:r>
      <w:r w:rsidRPr="005F1654">
        <w:t xml:space="preserve">0.53) and </w:t>
      </w:r>
      <w:r w:rsidR="000D79C4">
        <w:t>S</w:t>
      </w:r>
      <w:r w:rsidRPr="005F1654">
        <w:t>tudy 008 (0.47</w:t>
      </w:r>
      <w:r w:rsidR="00C44432">
        <w:t xml:space="preserve"> versus </w:t>
      </w:r>
      <w:r w:rsidRPr="005F1654">
        <w:t>0.48).</w:t>
      </w:r>
    </w:p>
    <w:p w14:paraId="70E86097" w14:textId="77777777" w:rsidR="0060638D" w:rsidRPr="005F1654" w:rsidRDefault="0060638D" w:rsidP="005F1654">
      <w:r w:rsidRPr="005F1654">
        <w:lastRenderedPageBreak/>
        <w:t>Pre-toddler levels were not provided.</w:t>
      </w:r>
    </w:p>
    <w:p w14:paraId="1DCE821C" w14:textId="7EED5097" w:rsidR="0060638D" w:rsidRDefault="0060638D" w:rsidP="005F1654">
      <w:r w:rsidRPr="005F1654">
        <w:t>Post</w:t>
      </w:r>
      <w:r w:rsidR="00104710">
        <w:noBreakHyphen/>
      </w:r>
      <w:r w:rsidRPr="005F1654">
        <w:t>toddler dose, seroprotection rates (titre</w:t>
      </w:r>
      <w:r w:rsidR="00073AA3">
        <w:t xml:space="preserve"> ≥ </w:t>
      </w:r>
      <w:r w:rsidRPr="005F1654">
        <w:t>0.1 IU/mL) were high (99</w:t>
      </w:r>
      <w:r w:rsidR="00104710">
        <w:t xml:space="preserve"> to </w:t>
      </w:r>
      <w:r w:rsidRPr="005F1654">
        <w:t xml:space="preserve">100%) and </w:t>
      </w:r>
      <w:r w:rsidR="00427EF6">
        <w:t>comparable for the Vaxelis vaccine groups and their respective control groups across the 4</w:t>
      </w:r>
      <w:r w:rsidR="00104710">
        <w:t> </w:t>
      </w:r>
      <w:r w:rsidR="00427EF6">
        <w:t>studies</w:t>
      </w:r>
      <w:r w:rsidRPr="005F1654">
        <w:t xml:space="preserve">. The GMTs ranged from 2.96 to 8.16 across the 4 studies and were consistently higher with </w:t>
      </w:r>
      <w:r w:rsidR="00272FE2">
        <w:t>Vaxelis vaccine</w:t>
      </w:r>
      <w:r w:rsidR="00C44432">
        <w:t xml:space="preserve"> versus </w:t>
      </w:r>
      <w:r w:rsidRPr="005F1654">
        <w:t>the controls within the studies.</w:t>
      </w:r>
    </w:p>
    <w:p w14:paraId="16622C63" w14:textId="0F85AE76" w:rsidR="0060638D" w:rsidRPr="005F1654" w:rsidRDefault="00422191" w:rsidP="000D79C4">
      <w:pPr>
        <w:pStyle w:val="Heading5"/>
      </w:pPr>
      <w:r>
        <w:t>P</w:t>
      </w:r>
      <w:r w:rsidRPr="00422191">
        <w:t>olyribosylribitol phosphate</w:t>
      </w:r>
      <w:r>
        <w:t xml:space="preserve"> (</w:t>
      </w:r>
      <w:r w:rsidR="0060638D" w:rsidRPr="005F1654">
        <w:t>PRP</w:t>
      </w:r>
      <w:r>
        <w:t>)</w:t>
      </w:r>
      <w:r w:rsidR="0060638D" w:rsidRPr="005F1654">
        <w:t xml:space="preserve"> </w:t>
      </w:r>
    </w:p>
    <w:p w14:paraId="4F4D9EFE" w14:textId="3DC43B28" w:rsidR="0060638D" w:rsidRDefault="0060638D" w:rsidP="005F1654">
      <w:r w:rsidRPr="005F1654">
        <w:t>At the completion of primary series, seroprotection rates (% with titre</w:t>
      </w:r>
      <w:r w:rsidR="00073AA3">
        <w:t xml:space="preserve"> ≥ </w:t>
      </w:r>
      <w:r w:rsidRPr="005F1654">
        <w:t xml:space="preserve">0.15 µg/mL) were consistently higher </w:t>
      </w:r>
      <w:r w:rsidR="002E3904">
        <w:t>in the</w:t>
      </w:r>
      <w:r w:rsidRPr="005F1654">
        <w:t xml:space="preserve"> </w:t>
      </w:r>
      <w:r w:rsidR="00272FE2">
        <w:t>Vaxelis vaccine</w:t>
      </w:r>
      <w:r w:rsidR="00C44432">
        <w:t xml:space="preserve"> </w:t>
      </w:r>
      <w:r w:rsidR="002E3904">
        <w:t xml:space="preserve">groups </w:t>
      </w:r>
      <w:r w:rsidR="00464443">
        <w:t xml:space="preserve">compared to </w:t>
      </w:r>
      <w:r w:rsidR="00AB1F6A">
        <w:t>the</w:t>
      </w:r>
      <w:r w:rsidR="002E3904">
        <w:t>ir</w:t>
      </w:r>
      <w:r w:rsidR="00AB1F6A">
        <w:t xml:space="preserve"> respective control</w:t>
      </w:r>
      <w:r w:rsidR="002E3904">
        <w:t xml:space="preserve"> group</w:t>
      </w:r>
      <w:r w:rsidR="00AB1F6A">
        <w:t>s</w:t>
      </w:r>
      <w:r w:rsidRPr="005F1654">
        <w:t xml:space="preserve"> in </w:t>
      </w:r>
      <w:r w:rsidR="000D79C4">
        <w:t xml:space="preserve">Studies </w:t>
      </w:r>
      <w:r w:rsidRPr="005F1654">
        <w:t>005/006 (98%</w:t>
      </w:r>
      <w:r w:rsidR="00C44432">
        <w:t xml:space="preserve"> versus </w:t>
      </w:r>
      <w:r w:rsidRPr="005F1654">
        <w:t>94%), 007 (98%</w:t>
      </w:r>
      <w:r w:rsidR="00C44432">
        <w:t xml:space="preserve"> versus </w:t>
      </w:r>
      <w:r w:rsidRPr="005F1654">
        <w:t>86%) and 008 (96%</w:t>
      </w:r>
      <w:r w:rsidR="00C44432">
        <w:t xml:space="preserve"> versus </w:t>
      </w:r>
      <w:r w:rsidRPr="005F1654">
        <w:t>77%). The seroprotection rate</w:t>
      </w:r>
      <w:r w:rsidR="00464443">
        <w:t>s</w:t>
      </w:r>
      <w:r w:rsidRPr="005F1654">
        <w:t xml:space="preserve"> (% with titre</w:t>
      </w:r>
      <w:r w:rsidR="00073AA3">
        <w:t xml:space="preserve"> ≥ </w:t>
      </w:r>
      <w:r w:rsidRPr="005F1654">
        <w:t xml:space="preserve">1.0 µg/mL) for </w:t>
      </w:r>
      <w:r w:rsidR="00464443">
        <w:t xml:space="preserve">the </w:t>
      </w:r>
      <w:r w:rsidR="00272FE2">
        <w:t>Vaxelis vaccine</w:t>
      </w:r>
      <w:r w:rsidR="00C44432">
        <w:t xml:space="preserve"> </w:t>
      </w:r>
      <w:r w:rsidR="002E3904">
        <w:t xml:space="preserve">groups </w:t>
      </w:r>
      <w:r w:rsidR="00464443">
        <w:t xml:space="preserve">as compared to </w:t>
      </w:r>
      <w:r w:rsidR="00AB1F6A">
        <w:t>the respective control</w:t>
      </w:r>
      <w:r w:rsidR="002E3904">
        <w:t xml:space="preserve"> group</w:t>
      </w:r>
      <w:r w:rsidR="00AB1F6A">
        <w:t>s</w:t>
      </w:r>
      <w:r w:rsidRPr="005F1654">
        <w:t xml:space="preserve"> w</w:t>
      </w:r>
      <w:r w:rsidR="00464443">
        <w:t>ere</w:t>
      </w:r>
      <w:r w:rsidRPr="005F1654">
        <w:t xml:space="preserve"> 86%</w:t>
      </w:r>
      <w:r w:rsidR="00C44432">
        <w:t xml:space="preserve"> versus </w:t>
      </w:r>
      <w:r w:rsidRPr="005F1654">
        <w:t>77% (</w:t>
      </w:r>
      <w:r w:rsidR="000D79C4">
        <w:t xml:space="preserve">Studies </w:t>
      </w:r>
      <w:r w:rsidRPr="005F1654">
        <w:t>005/006), 83%</w:t>
      </w:r>
      <w:r w:rsidR="00C44432">
        <w:t xml:space="preserve"> versus </w:t>
      </w:r>
      <w:r w:rsidRPr="005F1654">
        <w:t>36% (</w:t>
      </w:r>
      <w:r w:rsidR="000D79C4">
        <w:t xml:space="preserve">Study </w:t>
      </w:r>
      <w:r w:rsidRPr="005F1654">
        <w:t>007) and 72%</w:t>
      </w:r>
      <w:r w:rsidR="00C44432">
        <w:t xml:space="preserve"> versus </w:t>
      </w:r>
      <w:r w:rsidRPr="005F1654">
        <w:t>26% (</w:t>
      </w:r>
      <w:r w:rsidR="000D79C4">
        <w:t xml:space="preserve">Study </w:t>
      </w:r>
      <w:r w:rsidRPr="005F1654">
        <w:t xml:space="preserve">008). Consistent with this, GMTs for </w:t>
      </w:r>
      <w:r w:rsidR="0063023C">
        <w:t xml:space="preserve">the </w:t>
      </w:r>
      <w:r w:rsidR="00272FE2">
        <w:t>Vaxelis vaccine</w:t>
      </w:r>
      <w:r w:rsidR="00C44432">
        <w:t xml:space="preserve"> </w:t>
      </w:r>
      <w:r w:rsidR="0063023C">
        <w:t xml:space="preserve">groups </w:t>
      </w:r>
      <w:r w:rsidR="00C44432">
        <w:t xml:space="preserve">versus </w:t>
      </w:r>
      <w:r w:rsidR="0063023C">
        <w:t xml:space="preserve">their </w:t>
      </w:r>
      <w:r w:rsidRPr="005F1654">
        <w:t>respective control</w:t>
      </w:r>
      <w:r w:rsidR="0063023C">
        <w:t xml:space="preserve"> group</w:t>
      </w:r>
      <w:r w:rsidRPr="005F1654">
        <w:t>s were 5.75</w:t>
      </w:r>
      <w:r w:rsidR="00C44432">
        <w:t xml:space="preserve"> versus </w:t>
      </w:r>
      <w:r w:rsidRPr="005F1654">
        <w:t>3.42 (</w:t>
      </w:r>
      <w:r w:rsidR="000D79C4">
        <w:t xml:space="preserve">Studies </w:t>
      </w:r>
      <w:r w:rsidRPr="005F1654">
        <w:t>005/006), 3.90</w:t>
      </w:r>
      <w:r w:rsidR="00C44432">
        <w:t xml:space="preserve"> versus </w:t>
      </w:r>
      <w:r w:rsidRPr="005F1654">
        <w:t>0.65 (</w:t>
      </w:r>
      <w:r w:rsidR="000D79C4">
        <w:t xml:space="preserve">Study </w:t>
      </w:r>
      <w:r w:rsidRPr="005F1654">
        <w:t>007) and 2.38</w:t>
      </w:r>
      <w:r w:rsidR="00C44432">
        <w:t xml:space="preserve"> versus </w:t>
      </w:r>
      <w:r w:rsidRPr="005F1654">
        <w:t>0.46 (</w:t>
      </w:r>
      <w:r w:rsidR="000D79C4">
        <w:t xml:space="preserve">Study </w:t>
      </w:r>
      <w:r w:rsidRPr="005F1654">
        <w:t>008).</w:t>
      </w:r>
    </w:p>
    <w:p w14:paraId="02B1AB0E" w14:textId="3072EB52" w:rsidR="00035D73" w:rsidRPr="00035D73" w:rsidRDefault="00035D73" w:rsidP="00035D73">
      <w:r w:rsidRPr="00035D73">
        <w:t>Pre-toddler dose, seroprotection rates (% with titre</w:t>
      </w:r>
      <w:r w:rsidR="00073AA3">
        <w:t xml:space="preserve"> ≥ </w:t>
      </w:r>
      <w:r w:rsidRPr="00035D73">
        <w:t xml:space="preserve">0.15 μg/mL) for </w:t>
      </w:r>
      <w:r w:rsidR="00427EF6">
        <w:t xml:space="preserve">the </w:t>
      </w:r>
      <w:r w:rsidR="00464443">
        <w:t>Vaxelis vaccine</w:t>
      </w:r>
      <w:r>
        <w:t xml:space="preserve"> </w:t>
      </w:r>
      <w:r w:rsidR="00427EF6">
        <w:t xml:space="preserve">groups compared to their </w:t>
      </w:r>
      <w:r w:rsidRPr="00035D73">
        <w:t>respective control</w:t>
      </w:r>
      <w:r w:rsidR="00427EF6">
        <w:t xml:space="preserve"> group</w:t>
      </w:r>
      <w:r w:rsidRPr="00035D73">
        <w:t>s were 93%</w:t>
      </w:r>
      <w:r>
        <w:t xml:space="preserve"> versus </w:t>
      </w:r>
      <w:r w:rsidRPr="00035D73">
        <w:t>78% (</w:t>
      </w:r>
      <w:r>
        <w:t xml:space="preserve">Study </w:t>
      </w:r>
      <w:r w:rsidRPr="00035D73">
        <w:t>005), 89%</w:t>
      </w:r>
      <w:r>
        <w:t xml:space="preserve"> versus </w:t>
      </w:r>
      <w:r w:rsidRPr="00035D73">
        <w:t>74% (</w:t>
      </w:r>
      <w:r>
        <w:t xml:space="preserve">Study </w:t>
      </w:r>
      <w:r w:rsidRPr="00035D73">
        <w:t>006), 94%</w:t>
      </w:r>
      <w:r>
        <w:t xml:space="preserve"> versus </w:t>
      </w:r>
      <w:r w:rsidRPr="00035D73">
        <w:t>64% (</w:t>
      </w:r>
      <w:r>
        <w:t xml:space="preserve">Study </w:t>
      </w:r>
      <w:r w:rsidRPr="00035D73">
        <w:t>007) and 91%</w:t>
      </w:r>
      <w:r>
        <w:t xml:space="preserve"> versus </w:t>
      </w:r>
      <w:r w:rsidRPr="00035D73">
        <w:t>48% (</w:t>
      </w:r>
      <w:r w:rsidR="00422191">
        <w:t>Study </w:t>
      </w:r>
      <w:r w:rsidRPr="00035D73">
        <w:t>008). The seroprotection rates (% with titre</w:t>
      </w:r>
      <w:r w:rsidR="00073AA3">
        <w:t xml:space="preserve"> ≥ </w:t>
      </w:r>
      <w:r w:rsidRPr="00035D73">
        <w:t xml:space="preserve">1.0 μg/mL) were lower but similarly favoured </w:t>
      </w:r>
      <w:r w:rsidR="00464443">
        <w:t>the Vaxelis vaccine</w:t>
      </w:r>
      <w:r w:rsidRPr="00035D73">
        <w:t xml:space="preserve"> </w:t>
      </w:r>
      <w:r w:rsidR="00464443">
        <w:t xml:space="preserve">over </w:t>
      </w:r>
      <w:r w:rsidR="00AB1F6A">
        <w:t>the controls</w:t>
      </w:r>
      <w:r w:rsidRPr="00035D73">
        <w:t xml:space="preserve"> </w:t>
      </w:r>
      <w:r w:rsidR="00427EF6">
        <w:t xml:space="preserve">in each study </w:t>
      </w:r>
      <w:r w:rsidR="00E0172B">
        <w:t>(</w:t>
      </w:r>
      <w:r w:rsidRPr="00035D73">
        <w:t>42%</w:t>
      </w:r>
      <w:r>
        <w:t xml:space="preserve"> versus </w:t>
      </w:r>
      <w:r w:rsidRPr="00035D73">
        <w:t xml:space="preserve">27% </w:t>
      </w:r>
      <w:r w:rsidR="00E0172B">
        <w:t xml:space="preserve">in </w:t>
      </w:r>
      <w:r>
        <w:t>Study</w:t>
      </w:r>
      <w:r w:rsidR="00422191">
        <w:t> </w:t>
      </w:r>
      <w:r w:rsidRPr="00035D73">
        <w:t>005, 43%</w:t>
      </w:r>
      <w:r>
        <w:t xml:space="preserve"> versus </w:t>
      </w:r>
      <w:r w:rsidRPr="00035D73">
        <w:t xml:space="preserve">29% </w:t>
      </w:r>
      <w:r w:rsidR="00E0172B">
        <w:t xml:space="preserve">in </w:t>
      </w:r>
      <w:r>
        <w:t xml:space="preserve">Study </w:t>
      </w:r>
      <w:r w:rsidRPr="00035D73">
        <w:t>006, 57%</w:t>
      </w:r>
      <w:r>
        <w:t xml:space="preserve"> versus </w:t>
      </w:r>
      <w:r w:rsidRPr="00035D73">
        <w:t xml:space="preserve">11% </w:t>
      </w:r>
      <w:r w:rsidR="00E0172B">
        <w:t xml:space="preserve">in </w:t>
      </w:r>
      <w:r>
        <w:t xml:space="preserve">Study </w:t>
      </w:r>
      <w:r w:rsidRPr="00035D73">
        <w:t>007</w:t>
      </w:r>
      <w:r w:rsidR="00E0172B">
        <w:t xml:space="preserve"> </w:t>
      </w:r>
      <w:r w:rsidRPr="00035D73">
        <w:t>and 50%</w:t>
      </w:r>
      <w:r>
        <w:t xml:space="preserve"> versus </w:t>
      </w:r>
      <w:r w:rsidRPr="00035D73">
        <w:t xml:space="preserve">10% </w:t>
      </w:r>
      <w:r w:rsidR="00E0172B">
        <w:t>in Study</w:t>
      </w:r>
      <w:r w:rsidR="00422191">
        <w:t> </w:t>
      </w:r>
      <w:r w:rsidRPr="00035D73">
        <w:t>008. Pre-toddler dose, GMTs were higher (</w:t>
      </w:r>
      <w:r w:rsidR="00422191">
        <w:t xml:space="preserve">around </w:t>
      </w:r>
      <w:r w:rsidRPr="00035D73">
        <w:t>2</w:t>
      </w:r>
      <w:r w:rsidR="00422191">
        <w:t xml:space="preserve"> times</w:t>
      </w:r>
      <w:r w:rsidRPr="00035D73">
        <w:t xml:space="preserve"> or more) with </w:t>
      </w:r>
      <w:r w:rsidR="00464443">
        <w:t>the Vaxelis vaccine</w:t>
      </w:r>
      <w:r>
        <w:t xml:space="preserve"> versus </w:t>
      </w:r>
      <w:r w:rsidR="00AB1F6A">
        <w:t>the control</w:t>
      </w:r>
      <w:r w:rsidRPr="00035D73">
        <w:t xml:space="preserve"> </w:t>
      </w:r>
      <w:r w:rsidR="00427EF6">
        <w:t xml:space="preserve">in each study </w:t>
      </w:r>
      <w:r w:rsidR="00464443">
        <w:t>(</w:t>
      </w:r>
      <w:r w:rsidRPr="00035D73">
        <w:t>0.81</w:t>
      </w:r>
      <w:r>
        <w:t xml:space="preserve"> versus </w:t>
      </w:r>
      <w:r w:rsidRPr="00035D73">
        <w:t>0.42 (</w:t>
      </w:r>
      <w:r>
        <w:t xml:space="preserve">Study </w:t>
      </w:r>
      <w:r w:rsidRPr="00035D73">
        <w:t>005), 0.80</w:t>
      </w:r>
      <w:r>
        <w:t xml:space="preserve"> versus </w:t>
      </w:r>
      <w:r w:rsidRPr="00035D73">
        <w:t>0.42 (</w:t>
      </w:r>
      <w:r>
        <w:t xml:space="preserve">Study </w:t>
      </w:r>
      <w:r w:rsidRPr="00035D73">
        <w:t>006), 1.19</w:t>
      </w:r>
      <w:r>
        <w:t xml:space="preserve"> versus </w:t>
      </w:r>
      <w:r w:rsidRPr="00035D73">
        <w:t>0.24 (</w:t>
      </w:r>
      <w:r>
        <w:t xml:space="preserve">Study </w:t>
      </w:r>
      <w:r w:rsidRPr="00035D73">
        <w:t>007) and 0.94</w:t>
      </w:r>
      <w:r>
        <w:t xml:space="preserve"> versus </w:t>
      </w:r>
      <w:r w:rsidRPr="00035D73">
        <w:t>0.17 (</w:t>
      </w:r>
      <w:r>
        <w:t xml:space="preserve">Study </w:t>
      </w:r>
      <w:r w:rsidRPr="00035D73">
        <w:t>008)</w:t>
      </w:r>
      <w:r w:rsidR="00464443">
        <w:t>)</w:t>
      </w:r>
      <w:r w:rsidRPr="00035D73">
        <w:t>.</w:t>
      </w:r>
    </w:p>
    <w:p w14:paraId="7D50CC4F" w14:textId="41694C9E" w:rsidR="0060638D" w:rsidRDefault="0060638D" w:rsidP="005F1654">
      <w:r w:rsidRPr="005F1654">
        <w:t>Post</w:t>
      </w:r>
      <w:r w:rsidR="00422191">
        <w:t>-</w:t>
      </w:r>
      <w:r w:rsidRPr="005F1654">
        <w:t>toddler dos</w:t>
      </w:r>
      <w:r w:rsidR="00F5559E">
        <w:t>e</w:t>
      </w:r>
      <w:r w:rsidRPr="005F1654">
        <w:t>, seroprotection rates (% with titre</w:t>
      </w:r>
      <w:r w:rsidR="00073AA3">
        <w:t xml:space="preserve"> ≥ </w:t>
      </w:r>
      <w:r w:rsidRPr="005F1654">
        <w:t>0.15</w:t>
      </w:r>
      <w:r w:rsidR="003F26C2">
        <w:t xml:space="preserve"> </w:t>
      </w:r>
      <w:r w:rsidRPr="005F1654">
        <w:t>µg/mL) were high (99</w:t>
      </w:r>
      <w:r w:rsidR="00422191">
        <w:t xml:space="preserve"> to </w:t>
      </w:r>
      <w:r w:rsidRPr="005F1654">
        <w:t xml:space="preserve">100%) and comparable </w:t>
      </w:r>
      <w:r w:rsidR="00427EF6">
        <w:t>for the</w:t>
      </w:r>
      <w:r w:rsidRPr="005F1654">
        <w:t xml:space="preserve"> </w:t>
      </w:r>
      <w:r w:rsidR="00272FE2">
        <w:t>Vaxelis vaccine</w:t>
      </w:r>
      <w:r w:rsidR="00C44432">
        <w:t xml:space="preserve"> </w:t>
      </w:r>
      <w:r w:rsidR="00427EF6">
        <w:t>and the</w:t>
      </w:r>
      <w:r w:rsidR="00C44432">
        <w:t xml:space="preserve"> </w:t>
      </w:r>
      <w:r w:rsidRPr="005F1654">
        <w:t>respective control across the 4</w:t>
      </w:r>
      <w:r w:rsidR="00422191">
        <w:t> </w:t>
      </w:r>
      <w:r w:rsidRPr="005F1654">
        <w:t>studies. The rates for % titre</w:t>
      </w:r>
      <w:r w:rsidR="00073AA3">
        <w:t xml:space="preserve"> ≥ </w:t>
      </w:r>
      <w:r w:rsidRPr="005F1654">
        <w:t>1.0</w:t>
      </w:r>
      <w:r w:rsidR="000D79C4">
        <w:t xml:space="preserve"> </w:t>
      </w:r>
      <w:r w:rsidRPr="005F1654">
        <w:t>µg/mL were similarly high (89</w:t>
      </w:r>
      <w:r w:rsidR="00422191">
        <w:t xml:space="preserve"> to </w:t>
      </w:r>
      <w:r w:rsidRPr="005F1654">
        <w:t xml:space="preserve">99%) and comparable within the studies. The GMTs rose but were lower with </w:t>
      </w:r>
      <w:r w:rsidR="00464443">
        <w:t xml:space="preserve">the </w:t>
      </w:r>
      <w:r w:rsidR="00272FE2">
        <w:t>Vaxelis vaccine</w:t>
      </w:r>
      <w:r w:rsidR="00C44432">
        <w:t xml:space="preserve"> </w:t>
      </w:r>
      <w:r w:rsidR="00427EF6">
        <w:t xml:space="preserve">groups </w:t>
      </w:r>
      <w:r w:rsidR="00464443">
        <w:t xml:space="preserve">compared to </w:t>
      </w:r>
      <w:r w:rsidR="00AB1F6A">
        <w:t>the</w:t>
      </w:r>
      <w:r w:rsidR="00427EF6">
        <w:t>ir</w:t>
      </w:r>
      <w:r w:rsidR="00AB1F6A">
        <w:t xml:space="preserve"> respective control</w:t>
      </w:r>
      <w:r w:rsidR="00427EF6">
        <w:t xml:space="preserve"> groups</w:t>
      </w:r>
      <w:r w:rsidRPr="005F1654">
        <w:t xml:space="preserve"> in </w:t>
      </w:r>
      <w:r w:rsidR="000D79C4">
        <w:t xml:space="preserve">Studies </w:t>
      </w:r>
      <w:r w:rsidRPr="005F1654">
        <w:t>005 (8.44</w:t>
      </w:r>
      <w:r w:rsidR="00C44432">
        <w:t xml:space="preserve"> versus </w:t>
      </w:r>
      <w:r w:rsidRPr="005F1654">
        <w:t>17.21), 007 (6.79</w:t>
      </w:r>
      <w:r w:rsidR="00C44432">
        <w:t xml:space="preserve"> versus </w:t>
      </w:r>
      <w:r w:rsidRPr="005F1654">
        <w:t>21.39) and 008 (4.43</w:t>
      </w:r>
      <w:r w:rsidR="00C44432">
        <w:t xml:space="preserve"> versus </w:t>
      </w:r>
      <w:r w:rsidRPr="005F1654">
        <w:t>7.76) but higher in the lot</w:t>
      </w:r>
      <w:r w:rsidR="00272FE2">
        <w:t>-</w:t>
      </w:r>
      <w:r w:rsidRPr="005F1654">
        <w:t>to</w:t>
      </w:r>
      <w:r w:rsidR="00272FE2">
        <w:t>-</w:t>
      </w:r>
      <w:r w:rsidRPr="005F1654">
        <w:t xml:space="preserve">lot consistency </w:t>
      </w:r>
      <w:r w:rsidR="000D79C4">
        <w:t>S</w:t>
      </w:r>
      <w:r w:rsidRPr="005F1654">
        <w:t>tudy 006 (49.41</w:t>
      </w:r>
      <w:r w:rsidR="00C44432">
        <w:t xml:space="preserve"> versus </w:t>
      </w:r>
      <w:r w:rsidRPr="005F1654">
        <w:t>19.17).</w:t>
      </w:r>
    </w:p>
    <w:p w14:paraId="1FBAF41A" w14:textId="285F1D2A" w:rsidR="0060638D" w:rsidRPr="005F1654" w:rsidRDefault="004D6B64" w:rsidP="000D79C4">
      <w:pPr>
        <w:pStyle w:val="Heading5"/>
      </w:pPr>
      <w:r>
        <w:t>Hepatitis B surface Antigen</w:t>
      </w:r>
      <w:r w:rsidRPr="005F1654">
        <w:t xml:space="preserve"> </w:t>
      </w:r>
      <w:r>
        <w:t>(</w:t>
      </w:r>
      <w:r w:rsidR="0060638D" w:rsidRPr="005F1654">
        <w:t>HBsAg</w:t>
      </w:r>
      <w:r>
        <w:t>)</w:t>
      </w:r>
      <w:r w:rsidR="0060638D" w:rsidRPr="005F1654">
        <w:t xml:space="preserve"> </w:t>
      </w:r>
    </w:p>
    <w:p w14:paraId="62335798" w14:textId="7FAD0F27" w:rsidR="0060638D" w:rsidRDefault="0060638D" w:rsidP="005F1654">
      <w:r w:rsidRPr="005F1654">
        <w:t>At the completion of primary series, seroprotection rates (% with titre</w:t>
      </w:r>
      <w:r w:rsidR="00073AA3">
        <w:t xml:space="preserve"> ≥ </w:t>
      </w:r>
      <w:r w:rsidRPr="005F1654">
        <w:t>10</w:t>
      </w:r>
      <w:r w:rsidR="000D79C4">
        <w:t xml:space="preserve"> </w:t>
      </w:r>
      <w:r w:rsidRPr="005F1654">
        <w:t>mIU/mL) were high (96</w:t>
      </w:r>
      <w:r w:rsidR="00422191">
        <w:t xml:space="preserve"> to </w:t>
      </w:r>
      <w:r w:rsidRPr="005F1654">
        <w:t xml:space="preserve">99%) and comparable </w:t>
      </w:r>
      <w:r w:rsidR="00427EF6">
        <w:t>for the Vaxelis vaccine groups compared to their respective control groups</w:t>
      </w:r>
      <w:r w:rsidRPr="005F1654">
        <w:t xml:space="preserve"> across the 4 studies. Similarly, the GMTs were high (all groups &gt;</w:t>
      </w:r>
      <w:r w:rsidR="00422191">
        <w:t> </w:t>
      </w:r>
      <w:r w:rsidRPr="005F1654">
        <w:t xml:space="preserve">225) and </w:t>
      </w:r>
      <w:r w:rsidR="00427EF6">
        <w:t>comparable for the Vaxelis vaccine groups and their respective control groups across the 4 studies</w:t>
      </w:r>
      <w:r w:rsidRPr="005F1654">
        <w:t>.</w:t>
      </w:r>
    </w:p>
    <w:p w14:paraId="66B44D5D" w14:textId="3D49C75F" w:rsidR="0060638D" w:rsidRPr="005F1654" w:rsidRDefault="0060638D" w:rsidP="005F1654">
      <w:r w:rsidRPr="005F1654">
        <w:t>Pre-toddler dose, seroprotection rates (% with titre</w:t>
      </w:r>
      <w:r w:rsidR="00073AA3">
        <w:t xml:space="preserve"> ≥ </w:t>
      </w:r>
      <w:r w:rsidRPr="005F1654">
        <w:t>10</w:t>
      </w:r>
      <w:r w:rsidR="000D79C4">
        <w:t xml:space="preserve"> </w:t>
      </w:r>
      <w:r w:rsidRPr="005F1654">
        <w:t>mIU/mL) remained high (&gt;</w:t>
      </w:r>
      <w:r w:rsidR="00422191">
        <w:t> </w:t>
      </w:r>
      <w:r w:rsidRPr="005F1654">
        <w:t xml:space="preserve">85%) in all groups and were </w:t>
      </w:r>
      <w:r w:rsidR="00427EF6">
        <w:t>comparable for the Vaxelis vaccine groups and their respective control groups across the 4 studies</w:t>
      </w:r>
      <w:r w:rsidRPr="005F1654">
        <w:t>. Pre-toddler dose GMTs also stayed high (all groups &gt;</w:t>
      </w:r>
      <w:r w:rsidR="00422191">
        <w:t> </w:t>
      </w:r>
      <w:r w:rsidRPr="005F1654">
        <w:t>59) and were comparable within the studies.</w:t>
      </w:r>
    </w:p>
    <w:p w14:paraId="2E08DF40" w14:textId="3026FB8A" w:rsidR="0060638D" w:rsidRDefault="0060638D" w:rsidP="005F1654">
      <w:r w:rsidRPr="005F1654">
        <w:t>Post</w:t>
      </w:r>
      <w:r w:rsidR="00422191">
        <w:noBreakHyphen/>
      </w:r>
      <w:r w:rsidRPr="005F1654">
        <w:t xml:space="preserve">toddler dose, the pre-toddler dose seroprotection rates and GMTs were maintained in </w:t>
      </w:r>
      <w:r w:rsidR="000D79C4">
        <w:t>S</w:t>
      </w:r>
      <w:r w:rsidRPr="005F1654">
        <w:t xml:space="preserve">tudies 005 and 006 (the booster did not include HBsAg in these studies). There was strong and comparable immune response in </w:t>
      </w:r>
      <w:r w:rsidR="000D79C4">
        <w:t>S</w:t>
      </w:r>
      <w:r w:rsidRPr="005F1654">
        <w:t xml:space="preserve">tudies 007 and 008 with seroprotection rates for </w:t>
      </w:r>
      <w:r w:rsidR="00C0365A">
        <w:t xml:space="preserve">the </w:t>
      </w:r>
      <w:r w:rsidR="00AE3512">
        <w:t>Vaxelis vaccine</w:t>
      </w:r>
      <w:r w:rsidRPr="005F1654">
        <w:t xml:space="preserve"> </w:t>
      </w:r>
      <w:r w:rsidR="00427EF6">
        <w:t xml:space="preserve">groups </w:t>
      </w:r>
      <w:r w:rsidRPr="005F1654">
        <w:t xml:space="preserve">and </w:t>
      </w:r>
      <w:r w:rsidR="00AB1F6A">
        <w:t>the</w:t>
      </w:r>
      <w:r w:rsidR="00427EF6">
        <w:t>ir</w:t>
      </w:r>
      <w:r w:rsidR="00AB1F6A">
        <w:t xml:space="preserve"> respective control</w:t>
      </w:r>
      <w:r w:rsidR="00427EF6">
        <w:t xml:space="preserve"> group</w:t>
      </w:r>
      <w:r w:rsidR="00AB1F6A">
        <w:t>s</w:t>
      </w:r>
      <w:r w:rsidRPr="005F1654">
        <w:t xml:space="preserve"> ranging from 98</w:t>
      </w:r>
      <w:r w:rsidR="00422191">
        <w:t> to </w:t>
      </w:r>
      <w:r w:rsidRPr="005F1654">
        <w:t>99% and very high GMTs. Additional data on antibody persistence at 4</w:t>
      </w:r>
      <w:r w:rsidR="00422191">
        <w:t xml:space="preserve"> to </w:t>
      </w:r>
      <w:r w:rsidRPr="005F1654">
        <w:t>5 years and challenge (</w:t>
      </w:r>
      <w:r w:rsidR="0092130E">
        <w:t xml:space="preserve">Study </w:t>
      </w:r>
      <w:r w:rsidRPr="005F1654">
        <w:t>PRI03C) with a 5</w:t>
      </w:r>
      <w:r w:rsidR="000D79C4">
        <w:t xml:space="preserve"> </w:t>
      </w:r>
      <w:r w:rsidRPr="005F1654">
        <w:t xml:space="preserve">µg HBsAg dose in the </w:t>
      </w:r>
      <w:r w:rsidR="000D79C4">
        <w:t xml:space="preserve">Studies </w:t>
      </w:r>
      <w:r w:rsidRPr="005F1654">
        <w:t xml:space="preserve">007/008 population was satisfactory. Note children in </w:t>
      </w:r>
      <w:r w:rsidR="000D79C4">
        <w:t>S</w:t>
      </w:r>
      <w:r w:rsidRPr="005F1654">
        <w:t xml:space="preserve">tudies 007/008 did not receive birth dose of </w:t>
      </w:r>
      <w:r w:rsidR="00422191">
        <w:t xml:space="preserve">hepatitis B </w:t>
      </w:r>
      <w:r w:rsidRPr="005F1654">
        <w:t>vaccine.</w:t>
      </w:r>
    </w:p>
    <w:p w14:paraId="54D77EBB" w14:textId="75090303" w:rsidR="0060638D" w:rsidRPr="005F1654" w:rsidRDefault="0060638D" w:rsidP="007109DA">
      <w:pPr>
        <w:pStyle w:val="Heading5"/>
      </w:pPr>
      <w:bookmarkStart w:id="43" w:name="_Hlk93498628"/>
      <w:r w:rsidRPr="005F1654">
        <w:lastRenderedPageBreak/>
        <w:t>Pertussis</w:t>
      </w:r>
    </w:p>
    <w:p w14:paraId="6A25B62E" w14:textId="7EB96B67" w:rsidR="0060638D" w:rsidRDefault="0060638D" w:rsidP="005F1654">
      <w:r w:rsidRPr="005F1654">
        <w:t xml:space="preserve">At the completion of primary series, seroresponse rates (as defined </w:t>
      </w:r>
      <w:r w:rsidR="003F26C2">
        <w:t xml:space="preserve">in </w:t>
      </w:r>
      <w:r w:rsidR="00E56EA6">
        <w:t xml:space="preserve">Table </w:t>
      </w:r>
      <w:r w:rsidR="00403AB2">
        <w:t>8</w:t>
      </w:r>
      <w:r w:rsidRPr="005F1654">
        <w:t>) were high (98</w:t>
      </w:r>
      <w:r w:rsidR="00422191">
        <w:t xml:space="preserve"> to </w:t>
      </w:r>
      <w:r w:rsidRPr="005F1654">
        <w:t xml:space="preserve">99%) and comparable for </w:t>
      </w:r>
      <w:r w:rsidR="00C0365A">
        <w:t xml:space="preserve">the </w:t>
      </w:r>
      <w:r w:rsidR="00272FE2">
        <w:t>Vaxelis vaccine</w:t>
      </w:r>
      <w:r w:rsidR="00C44432">
        <w:t xml:space="preserve"> </w:t>
      </w:r>
      <w:r w:rsidR="00C0365A">
        <w:t xml:space="preserve">and </w:t>
      </w:r>
      <w:r w:rsidR="00AB1F6A">
        <w:t>the respective controls</w:t>
      </w:r>
      <w:r w:rsidRPr="005F1654">
        <w:t xml:space="preserve">. The GMTs </w:t>
      </w:r>
      <w:r w:rsidR="00427EF6">
        <w:t xml:space="preserve">were also comparable for the Vaxelis vaccine groups and their respective control </w:t>
      </w:r>
      <w:r w:rsidR="0063023C">
        <w:t>groups (</w:t>
      </w:r>
      <w:r w:rsidRPr="005F1654">
        <w:t>102.07</w:t>
      </w:r>
      <w:r w:rsidR="00C44432">
        <w:t xml:space="preserve"> versus </w:t>
      </w:r>
      <w:r w:rsidRPr="005F1654">
        <w:t xml:space="preserve">84.73 </w:t>
      </w:r>
      <w:r w:rsidR="0092130E">
        <w:t xml:space="preserve">in </w:t>
      </w:r>
      <w:r w:rsidR="007A4E6C">
        <w:t xml:space="preserve">Studies </w:t>
      </w:r>
      <w:r w:rsidRPr="005F1654">
        <w:t>005/006, 129.58</w:t>
      </w:r>
      <w:r w:rsidR="00C44432">
        <w:t xml:space="preserve"> versus </w:t>
      </w:r>
      <w:r w:rsidRPr="005F1654">
        <w:t xml:space="preserve">83.66 </w:t>
      </w:r>
      <w:r w:rsidR="0092130E">
        <w:t xml:space="preserve">in </w:t>
      </w:r>
      <w:r w:rsidR="007A4E6C">
        <w:t xml:space="preserve">Study </w:t>
      </w:r>
      <w:r w:rsidRPr="005F1654">
        <w:t>006 and 113.10</w:t>
      </w:r>
      <w:r w:rsidR="00C44432">
        <w:t xml:space="preserve"> versus </w:t>
      </w:r>
      <w:r w:rsidRPr="005F1654">
        <w:t xml:space="preserve">92.44 </w:t>
      </w:r>
      <w:r w:rsidR="0092130E">
        <w:t xml:space="preserve">in </w:t>
      </w:r>
      <w:r w:rsidR="007A4E6C">
        <w:t xml:space="preserve">Study </w:t>
      </w:r>
      <w:r w:rsidRPr="005F1654">
        <w:t>008).</w:t>
      </w:r>
    </w:p>
    <w:p w14:paraId="43CAF247" w14:textId="3773C444" w:rsidR="0060638D" w:rsidRPr="005F1654" w:rsidRDefault="0060638D" w:rsidP="005F1654">
      <w:r w:rsidRPr="005F1654">
        <w:t>Pre-toddler dose, seroresponse rates (</w:t>
      </w:r>
      <w:r w:rsidR="003F26C2">
        <w:t xml:space="preserve">as defined in Table </w:t>
      </w:r>
      <w:r w:rsidR="00422191">
        <w:t>8</w:t>
      </w:r>
      <w:r w:rsidRPr="005F1654">
        <w:t xml:space="preserve">) for </w:t>
      </w:r>
      <w:r w:rsidR="00C0365A">
        <w:t xml:space="preserve">the </w:t>
      </w:r>
      <w:r w:rsidR="00272FE2">
        <w:t>Vaxelis vaccine</w:t>
      </w:r>
      <w:r w:rsidR="00C44432">
        <w:t xml:space="preserve"> </w:t>
      </w:r>
      <w:r w:rsidR="002E3904">
        <w:t xml:space="preserve">groups </w:t>
      </w:r>
      <w:r w:rsidR="00C0365A">
        <w:t xml:space="preserve">and </w:t>
      </w:r>
      <w:r w:rsidR="00AB1F6A">
        <w:t>the</w:t>
      </w:r>
      <w:r w:rsidR="002E3904">
        <w:t>ir</w:t>
      </w:r>
      <w:r w:rsidR="00AB1F6A">
        <w:t xml:space="preserve"> respective controls</w:t>
      </w:r>
      <w:r w:rsidRPr="005F1654">
        <w:t xml:space="preserve"> </w:t>
      </w:r>
      <w:r w:rsidR="002E3904">
        <w:t xml:space="preserve">groups </w:t>
      </w:r>
      <w:r w:rsidRPr="005F1654">
        <w:t>were 22%</w:t>
      </w:r>
      <w:r w:rsidR="00C44432">
        <w:t xml:space="preserve"> versus </w:t>
      </w:r>
      <w:r w:rsidRPr="005F1654">
        <w:t>30% (</w:t>
      </w:r>
      <w:r w:rsidR="007A4E6C">
        <w:t xml:space="preserve">Study </w:t>
      </w:r>
      <w:r w:rsidRPr="005F1654">
        <w:t>005), 22%</w:t>
      </w:r>
      <w:r w:rsidR="00C44432">
        <w:t xml:space="preserve"> versus </w:t>
      </w:r>
      <w:r w:rsidRPr="005F1654">
        <w:t>22% (</w:t>
      </w:r>
      <w:r w:rsidR="007A4E6C">
        <w:t xml:space="preserve">Study </w:t>
      </w:r>
      <w:r w:rsidRPr="005F1654">
        <w:t>006) and 79%</w:t>
      </w:r>
      <w:r w:rsidR="00C44432">
        <w:t xml:space="preserve"> versus </w:t>
      </w:r>
      <w:r w:rsidRPr="005F1654">
        <w:t>89% (</w:t>
      </w:r>
      <w:r w:rsidR="007A4E6C">
        <w:t xml:space="preserve">Study </w:t>
      </w:r>
      <w:r w:rsidRPr="005F1654">
        <w:t>008) The pre-toddler dose GMTs (</w:t>
      </w:r>
      <w:r w:rsidR="00272FE2">
        <w:t>Vaxelis vaccine</w:t>
      </w:r>
      <w:r w:rsidR="00C44432">
        <w:t xml:space="preserve"> versus </w:t>
      </w:r>
      <w:r w:rsidRPr="005F1654">
        <w:t>respective control) were 9.33</w:t>
      </w:r>
      <w:r w:rsidR="00C44432">
        <w:t xml:space="preserve"> versus </w:t>
      </w:r>
      <w:r w:rsidRPr="005F1654">
        <w:t>10.71 (</w:t>
      </w:r>
      <w:r w:rsidR="007A4E6C">
        <w:t xml:space="preserve">Study </w:t>
      </w:r>
      <w:r w:rsidRPr="005F1654">
        <w:t>005), 8.83</w:t>
      </w:r>
      <w:r w:rsidR="00C44432">
        <w:t xml:space="preserve"> versus </w:t>
      </w:r>
      <w:r w:rsidRPr="005F1654">
        <w:t>9.38 (</w:t>
      </w:r>
      <w:r w:rsidR="007A4E6C">
        <w:t xml:space="preserve">Study </w:t>
      </w:r>
      <w:r w:rsidRPr="005F1654">
        <w:t>006), 12.91</w:t>
      </w:r>
      <w:r w:rsidR="00C44432">
        <w:t xml:space="preserve"> versus </w:t>
      </w:r>
      <w:r w:rsidRPr="005F1654">
        <w:t>13.49 (</w:t>
      </w:r>
      <w:r w:rsidR="007A4E6C">
        <w:t xml:space="preserve">Study </w:t>
      </w:r>
      <w:r w:rsidRPr="005F1654">
        <w:t>007) and 11.21</w:t>
      </w:r>
      <w:r w:rsidR="00C44432">
        <w:t xml:space="preserve"> versus </w:t>
      </w:r>
      <w:r w:rsidRPr="005F1654">
        <w:t>15.38 (</w:t>
      </w:r>
      <w:r w:rsidR="007A4E6C">
        <w:t xml:space="preserve">Study </w:t>
      </w:r>
      <w:r w:rsidRPr="005F1654">
        <w:t>008).</w:t>
      </w:r>
    </w:p>
    <w:p w14:paraId="5BBD7963" w14:textId="3D30B6E8" w:rsidR="0060638D" w:rsidRDefault="0060638D" w:rsidP="005F1654">
      <w:r w:rsidRPr="005F1654">
        <w:t>Post</w:t>
      </w:r>
      <w:r w:rsidR="00422191">
        <w:t>-</w:t>
      </w:r>
      <w:r w:rsidRPr="005F1654">
        <w:t>toddler dose, seroresponse rates (</w:t>
      </w:r>
      <w:r w:rsidR="009A45DB">
        <w:t xml:space="preserve">as defined in Table </w:t>
      </w:r>
      <w:r w:rsidR="00422191">
        <w:t>8</w:t>
      </w:r>
      <w:r w:rsidRPr="005F1654">
        <w:t>) were high (97</w:t>
      </w:r>
      <w:r w:rsidR="00422191">
        <w:t xml:space="preserve"> to </w:t>
      </w:r>
      <w:r w:rsidRPr="005F1654">
        <w:t xml:space="preserve">99%) in all groups and </w:t>
      </w:r>
      <w:r w:rsidR="00427EF6">
        <w:t>comparable for the Vaxelis vaccine groups and their respective control groups across the 4 studies</w:t>
      </w:r>
      <w:r w:rsidRPr="005F1654">
        <w:t xml:space="preserve">. There was significant rise in GMTs from pre toddler dose levels in both groups. The GMTs were comparable within the studies and consistently higher in </w:t>
      </w:r>
      <w:r w:rsidR="00C0365A">
        <w:t xml:space="preserve">the </w:t>
      </w:r>
      <w:r w:rsidR="00272FE2">
        <w:t>Vaxelis vaccine</w:t>
      </w:r>
      <w:r w:rsidRPr="005F1654">
        <w:t xml:space="preserve"> group</w:t>
      </w:r>
      <w:r w:rsidR="00427EF6">
        <w:t>s</w:t>
      </w:r>
      <w:r w:rsidR="00C0365A">
        <w:t xml:space="preserve"> compared to</w:t>
      </w:r>
      <w:r w:rsidR="00C44432">
        <w:t xml:space="preserve"> </w:t>
      </w:r>
      <w:r w:rsidR="00AB1F6A">
        <w:t>the</w:t>
      </w:r>
      <w:r w:rsidR="00427EF6">
        <w:t>ir</w:t>
      </w:r>
      <w:r w:rsidR="00AB1F6A">
        <w:t xml:space="preserve"> respective control</w:t>
      </w:r>
      <w:r w:rsidR="002E3904">
        <w:t xml:space="preserve"> group</w:t>
      </w:r>
      <w:r w:rsidR="00AB1F6A">
        <w:t>s</w:t>
      </w:r>
      <w:r w:rsidRPr="005F1654">
        <w:t xml:space="preserve"> </w:t>
      </w:r>
      <w:r w:rsidR="0092130E">
        <w:t>(1</w:t>
      </w:r>
      <w:r w:rsidRPr="005F1654">
        <w:t>27.22</w:t>
      </w:r>
      <w:r w:rsidR="00C44432">
        <w:t xml:space="preserve"> versus </w:t>
      </w:r>
      <w:r w:rsidRPr="005F1654">
        <w:t xml:space="preserve">91.31 </w:t>
      </w:r>
      <w:r w:rsidR="0092130E">
        <w:t xml:space="preserve">in </w:t>
      </w:r>
      <w:r w:rsidR="007A4E6C">
        <w:t xml:space="preserve">Study </w:t>
      </w:r>
      <w:r w:rsidRPr="005F1654">
        <w:t>005, 110.61</w:t>
      </w:r>
      <w:r w:rsidR="00C44432">
        <w:t xml:space="preserve"> versus </w:t>
      </w:r>
      <w:r w:rsidRPr="005F1654">
        <w:t xml:space="preserve">102.82 </w:t>
      </w:r>
      <w:r w:rsidR="0092130E">
        <w:t xml:space="preserve">in </w:t>
      </w:r>
      <w:r w:rsidR="007A4E6C">
        <w:t xml:space="preserve">Study </w:t>
      </w:r>
      <w:r w:rsidRPr="005F1654">
        <w:t>006, 196.81</w:t>
      </w:r>
      <w:r w:rsidR="00C44432">
        <w:t xml:space="preserve"> versus </w:t>
      </w:r>
      <w:r w:rsidRPr="005F1654">
        <w:t xml:space="preserve">90.69 </w:t>
      </w:r>
      <w:r w:rsidR="0092130E">
        <w:t xml:space="preserve">in </w:t>
      </w:r>
      <w:r w:rsidR="007A4E6C">
        <w:t xml:space="preserve">Study </w:t>
      </w:r>
      <w:r w:rsidRPr="005F1654">
        <w:t>007</w:t>
      </w:r>
      <w:r w:rsidR="0092130E">
        <w:t xml:space="preserve"> </w:t>
      </w:r>
      <w:r w:rsidRPr="005F1654">
        <w:t>and 157.39</w:t>
      </w:r>
      <w:r w:rsidR="00C44432">
        <w:t xml:space="preserve"> versus </w:t>
      </w:r>
      <w:r w:rsidRPr="005F1654">
        <w:t>109.96</w:t>
      </w:r>
      <w:r w:rsidR="0092130E">
        <w:t xml:space="preserve"> in </w:t>
      </w:r>
      <w:r w:rsidR="007A4E6C">
        <w:t xml:space="preserve">Study </w:t>
      </w:r>
      <w:r w:rsidRPr="005F1654">
        <w:t>008).</w:t>
      </w:r>
    </w:p>
    <w:p w14:paraId="0EE6C4E0" w14:textId="402425D3" w:rsidR="0060638D" w:rsidRPr="005F1654" w:rsidRDefault="007109DA" w:rsidP="007A4E6C">
      <w:pPr>
        <w:pStyle w:val="Heading5"/>
      </w:pPr>
      <w:r>
        <w:t xml:space="preserve">Purified </w:t>
      </w:r>
      <w:r w:rsidR="00422191">
        <w:t>f</w:t>
      </w:r>
      <w:r>
        <w:t xml:space="preserve">ilamentous </w:t>
      </w:r>
      <w:r w:rsidR="00422191">
        <w:t>hae</w:t>
      </w:r>
      <w:r>
        <w:t>magglutini</w:t>
      </w:r>
      <w:r w:rsidR="00422191">
        <w:t>n</w:t>
      </w:r>
      <w:r w:rsidR="0060638D" w:rsidRPr="005F1654">
        <w:t xml:space="preserve"> </w:t>
      </w:r>
    </w:p>
    <w:p w14:paraId="461B8D28" w14:textId="45CBEDC3" w:rsidR="0060638D" w:rsidRPr="005F1654" w:rsidRDefault="0060638D" w:rsidP="005F1654">
      <w:r w:rsidRPr="005F1654">
        <w:t>At the completion of primary series, seroresponse rates (</w:t>
      </w:r>
      <w:r w:rsidR="003F26C2">
        <w:t xml:space="preserve">as defined in Table </w:t>
      </w:r>
      <w:r w:rsidR="00422191">
        <w:t>8</w:t>
      </w:r>
      <w:r w:rsidRPr="005F1654">
        <w:t xml:space="preserve">) for </w:t>
      </w:r>
      <w:r w:rsidR="00427EF6">
        <w:t xml:space="preserve">the Vaxelis vaccine groups compared to their respective control groups were </w:t>
      </w:r>
      <w:r w:rsidRPr="005F1654">
        <w:t>87%</w:t>
      </w:r>
      <w:r w:rsidR="00C44432">
        <w:t xml:space="preserve"> versus </w:t>
      </w:r>
      <w:r w:rsidRPr="005F1654">
        <w:t>92% (</w:t>
      </w:r>
      <w:r w:rsidR="007A4E6C">
        <w:t xml:space="preserve">Studies </w:t>
      </w:r>
      <w:r w:rsidRPr="005F1654">
        <w:t>005/006), 89%</w:t>
      </w:r>
      <w:r w:rsidR="00C44432">
        <w:t xml:space="preserve"> versus </w:t>
      </w:r>
      <w:r w:rsidRPr="005F1654">
        <w:t>96% (</w:t>
      </w:r>
      <w:r w:rsidR="007A4E6C">
        <w:t xml:space="preserve">Study </w:t>
      </w:r>
      <w:r w:rsidRPr="005F1654">
        <w:t>007) and 88%</w:t>
      </w:r>
      <w:r w:rsidR="00C44432">
        <w:t xml:space="preserve"> versus </w:t>
      </w:r>
      <w:r w:rsidRPr="005F1654">
        <w:t>96% (</w:t>
      </w:r>
      <w:r w:rsidR="007A4E6C">
        <w:t xml:space="preserve">Study </w:t>
      </w:r>
      <w:r w:rsidRPr="005F1654">
        <w:t xml:space="preserve">008). The GMTs were also consistently lower </w:t>
      </w:r>
      <w:r w:rsidR="00427EF6">
        <w:t>for the Vaxelis vaccine groups compared to their respective control groups</w:t>
      </w:r>
      <w:r w:rsidRPr="005F1654">
        <w:t xml:space="preserve"> in </w:t>
      </w:r>
      <w:r w:rsidR="007A4E6C">
        <w:t xml:space="preserve">Studies </w:t>
      </w:r>
      <w:r w:rsidRPr="005F1654">
        <w:t>005/006 (49.24</w:t>
      </w:r>
      <w:r w:rsidR="00C44432">
        <w:t xml:space="preserve"> versus </w:t>
      </w:r>
      <w:r w:rsidRPr="005F1654">
        <w:t>73.92), 007 (49.51</w:t>
      </w:r>
      <w:r w:rsidR="00C44432">
        <w:t xml:space="preserve"> versus </w:t>
      </w:r>
      <w:r w:rsidRPr="005F1654">
        <w:t>96.80) and 008 (44.52</w:t>
      </w:r>
      <w:r w:rsidR="00C44432">
        <w:t xml:space="preserve"> versus </w:t>
      </w:r>
      <w:r w:rsidRPr="005F1654">
        <w:t>86.55).</w:t>
      </w:r>
    </w:p>
    <w:p w14:paraId="2A0311D2" w14:textId="3B6D3113" w:rsidR="0060638D" w:rsidRPr="005F1654" w:rsidRDefault="0060638D" w:rsidP="005F1654">
      <w:r w:rsidRPr="005F1654">
        <w:t>Pre-toddler dose, seroresponse rates (</w:t>
      </w:r>
      <w:r w:rsidR="003F26C2">
        <w:t xml:space="preserve">as defined in Table </w:t>
      </w:r>
      <w:r w:rsidR="00422191">
        <w:t>8</w:t>
      </w:r>
      <w:r w:rsidRPr="005F1654">
        <w:t xml:space="preserve">) for </w:t>
      </w:r>
      <w:r w:rsidR="00427EF6">
        <w:t xml:space="preserve">the Vaxelis vaccine groups compared to their respective control groups were </w:t>
      </w:r>
      <w:r w:rsidRPr="005F1654">
        <w:t>22%</w:t>
      </w:r>
      <w:r w:rsidR="00C44432">
        <w:t xml:space="preserve"> versus </w:t>
      </w:r>
      <w:r w:rsidRPr="005F1654">
        <w:t>48% (</w:t>
      </w:r>
      <w:r w:rsidR="007A4E6C">
        <w:t xml:space="preserve">Study </w:t>
      </w:r>
      <w:r w:rsidRPr="005F1654">
        <w:t>005), 21%</w:t>
      </w:r>
      <w:r w:rsidR="00C44432">
        <w:t xml:space="preserve"> versus </w:t>
      </w:r>
      <w:r w:rsidRPr="005F1654">
        <w:t>38% (</w:t>
      </w:r>
      <w:r w:rsidR="007A4E6C">
        <w:t xml:space="preserve">Study </w:t>
      </w:r>
      <w:r w:rsidRPr="005F1654">
        <w:t>006) and 58%</w:t>
      </w:r>
      <w:r w:rsidR="00C44432">
        <w:t xml:space="preserve"> versus </w:t>
      </w:r>
      <w:r w:rsidRPr="005F1654">
        <w:t>82% (</w:t>
      </w:r>
      <w:r w:rsidR="007A4E6C">
        <w:t xml:space="preserve">Study </w:t>
      </w:r>
      <w:r w:rsidRPr="005F1654">
        <w:t>008). The pre-toddler dose GMTs (</w:t>
      </w:r>
      <w:r w:rsidR="00272FE2">
        <w:t>Vaxelis vaccine</w:t>
      </w:r>
      <w:r w:rsidR="00C44432">
        <w:t xml:space="preserve"> versus </w:t>
      </w:r>
      <w:r w:rsidRPr="005F1654">
        <w:t xml:space="preserve">respective controls) were also consistently lower with </w:t>
      </w:r>
      <w:r w:rsidR="00AB1F6A">
        <w:t xml:space="preserve">the </w:t>
      </w:r>
      <w:r w:rsidR="00272FE2">
        <w:t>Vaxelis vaccine</w:t>
      </w:r>
      <w:r w:rsidRPr="005F1654">
        <w:t xml:space="preserve"> </w:t>
      </w:r>
      <w:r w:rsidR="0092130E">
        <w:t>(</w:t>
      </w:r>
      <w:r w:rsidRPr="005F1654">
        <w:t>6.26</w:t>
      </w:r>
      <w:r w:rsidR="00C44432">
        <w:t xml:space="preserve"> versus </w:t>
      </w:r>
      <w:r w:rsidRPr="005F1654">
        <w:t xml:space="preserve">13.22 </w:t>
      </w:r>
      <w:r w:rsidR="0092130E">
        <w:t xml:space="preserve">in </w:t>
      </w:r>
      <w:r w:rsidR="007A4E6C">
        <w:t xml:space="preserve">Study </w:t>
      </w:r>
      <w:r w:rsidRPr="005F1654">
        <w:t>005, 6.10</w:t>
      </w:r>
      <w:r w:rsidR="00C44432">
        <w:t xml:space="preserve"> versus </w:t>
      </w:r>
      <w:r w:rsidRPr="005F1654">
        <w:t xml:space="preserve">11.22 </w:t>
      </w:r>
      <w:r w:rsidR="0092130E">
        <w:t xml:space="preserve">in </w:t>
      </w:r>
      <w:r w:rsidR="007A4E6C">
        <w:t xml:space="preserve">Study </w:t>
      </w:r>
      <w:r w:rsidRPr="005F1654">
        <w:t>006, 8.63</w:t>
      </w:r>
      <w:r w:rsidR="00C44432">
        <w:t xml:space="preserve"> versus </w:t>
      </w:r>
      <w:r w:rsidRPr="005F1654">
        <w:t xml:space="preserve">22.85 </w:t>
      </w:r>
      <w:r w:rsidR="0092130E">
        <w:t xml:space="preserve">in </w:t>
      </w:r>
      <w:r w:rsidR="007A4E6C">
        <w:t xml:space="preserve">Study </w:t>
      </w:r>
      <w:r w:rsidRPr="005F1654">
        <w:t>007 and 8.09</w:t>
      </w:r>
      <w:r w:rsidR="00C44432">
        <w:t xml:space="preserve"> versus </w:t>
      </w:r>
      <w:r w:rsidRPr="005F1654">
        <w:t xml:space="preserve">22.70 </w:t>
      </w:r>
      <w:r w:rsidR="0092130E">
        <w:t xml:space="preserve">in </w:t>
      </w:r>
      <w:r w:rsidR="007A4E6C">
        <w:t xml:space="preserve">Study </w:t>
      </w:r>
      <w:r w:rsidRPr="005F1654">
        <w:t>008).</w:t>
      </w:r>
    </w:p>
    <w:p w14:paraId="52CF7A68" w14:textId="5F4F9499" w:rsidR="0060638D" w:rsidRPr="005F1654" w:rsidRDefault="0060638D" w:rsidP="005F1654">
      <w:r w:rsidRPr="005F1654">
        <w:t>Post</w:t>
      </w:r>
      <w:r w:rsidR="00422191">
        <w:t>-</w:t>
      </w:r>
      <w:r w:rsidRPr="005F1654">
        <w:t>toddler dose, seroresponse rates (</w:t>
      </w:r>
      <w:r w:rsidR="003F26C2">
        <w:t xml:space="preserve">as defined in Table </w:t>
      </w:r>
      <w:r w:rsidR="00422191">
        <w:t>8</w:t>
      </w:r>
      <w:r w:rsidRPr="005F1654">
        <w:t xml:space="preserve">) were high (93-99%) and comparable for </w:t>
      </w:r>
      <w:r w:rsidR="00AB1F6A">
        <w:t>the V</w:t>
      </w:r>
      <w:r w:rsidR="00272FE2">
        <w:t>axelis vaccine</w:t>
      </w:r>
      <w:r w:rsidRPr="005F1654">
        <w:t xml:space="preserve"> group</w:t>
      </w:r>
      <w:r w:rsidR="00427EF6">
        <w:t>s</w:t>
      </w:r>
      <w:r w:rsidR="00C44432">
        <w:t xml:space="preserve"> </w:t>
      </w:r>
      <w:r w:rsidR="00AB1F6A">
        <w:t>and the</w:t>
      </w:r>
      <w:r w:rsidR="00427EF6">
        <w:t>ir</w:t>
      </w:r>
      <w:r w:rsidR="00AB1F6A">
        <w:t xml:space="preserve"> respective control</w:t>
      </w:r>
      <w:r w:rsidR="00427EF6">
        <w:t xml:space="preserve"> group</w:t>
      </w:r>
      <w:r w:rsidR="00AB1F6A">
        <w:t>s</w:t>
      </w:r>
      <w:r w:rsidRPr="005F1654">
        <w:t xml:space="preserve"> across the 4</w:t>
      </w:r>
      <w:r w:rsidR="00422191">
        <w:t> </w:t>
      </w:r>
      <w:r w:rsidRPr="005F1654">
        <w:t xml:space="preserve">studies. There was significant rise in GMTs from pre toddler dose levels in all groups </w:t>
      </w:r>
      <w:r w:rsidR="0092130E">
        <w:t>(</w:t>
      </w:r>
      <w:r w:rsidRPr="005F1654">
        <w:t>88.92</w:t>
      </w:r>
      <w:r w:rsidR="00C44432">
        <w:t xml:space="preserve"> versus </w:t>
      </w:r>
      <w:r w:rsidRPr="005F1654">
        <w:t xml:space="preserve">89.18 </w:t>
      </w:r>
      <w:r w:rsidR="0092130E">
        <w:t xml:space="preserve">in </w:t>
      </w:r>
      <w:r w:rsidR="007A4E6C">
        <w:t xml:space="preserve">Study </w:t>
      </w:r>
      <w:r w:rsidRPr="005F1654">
        <w:t>005, 106.30</w:t>
      </w:r>
      <w:r w:rsidR="00C44432">
        <w:t xml:space="preserve"> versus </w:t>
      </w:r>
      <w:r w:rsidRPr="005F1654">
        <w:t xml:space="preserve">121.00 </w:t>
      </w:r>
      <w:r w:rsidR="0092130E">
        <w:t xml:space="preserve">in </w:t>
      </w:r>
      <w:r w:rsidR="007A4E6C">
        <w:t xml:space="preserve">Study </w:t>
      </w:r>
      <w:r w:rsidRPr="005F1654">
        <w:t>006, 121.59</w:t>
      </w:r>
      <w:r w:rsidR="00C44432">
        <w:t xml:space="preserve"> versus </w:t>
      </w:r>
      <w:r w:rsidRPr="005F1654">
        <w:t xml:space="preserve">196.53 </w:t>
      </w:r>
      <w:r w:rsidR="0092130E">
        <w:t xml:space="preserve">in </w:t>
      </w:r>
      <w:r w:rsidR="007A4E6C">
        <w:t xml:space="preserve">Study </w:t>
      </w:r>
      <w:r w:rsidRPr="005F1654">
        <w:t>007 and 120.79</w:t>
      </w:r>
      <w:r w:rsidR="00C44432">
        <w:t xml:space="preserve"> versus </w:t>
      </w:r>
      <w:r w:rsidRPr="005F1654">
        <w:t xml:space="preserve">204.21 </w:t>
      </w:r>
      <w:r w:rsidR="0092130E">
        <w:t xml:space="preserve">in </w:t>
      </w:r>
      <w:r w:rsidR="007A4E6C">
        <w:t xml:space="preserve">Study </w:t>
      </w:r>
      <w:r w:rsidRPr="005F1654">
        <w:t>008).</w:t>
      </w:r>
    </w:p>
    <w:p w14:paraId="7C97CECE" w14:textId="168FDACD" w:rsidR="0060638D" w:rsidRPr="005F1654" w:rsidRDefault="007109DA" w:rsidP="007A4E6C">
      <w:pPr>
        <w:pStyle w:val="Heading5"/>
      </w:pPr>
      <w:r>
        <w:t>Pertactin</w:t>
      </w:r>
      <w:r w:rsidRPr="005F1654">
        <w:t xml:space="preserve"> </w:t>
      </w:r>
      <w:r>
        <w:t>(</w:t>
      </w:r>
      <w:r w:rsidR="0060638D" w:rsidRPr="005F1654">
        <w:t>PRN</w:t>
      </w:r>
      <w:r>
        <w:t>)</w:t>
      </w:r>
      <w:r w:rsidR="0060638D" w:rsidRPr="005F1654">
        <w:t xml:space="preserve"> </w:t>
      </w:r>
    </w:p>
    <w:p w14:paraId="66E5ABAC" w14:textId="6730685E" w:rsidR="0060638D" w:rsidRPr="005F1654" w:rsidRDefault="0060638D" w:rsidP="005F1654">
      <w:r w:rsidRPr="005F1654">
        <w:t>At the completion of primary series, seroresponse rates (</w:t>
      </w:r>
      <w:r w:rsidR="003F26C2">
        <w:t xml:space="preserve">as defined in Table </w:t>
      </w:r>
      <w:r w:rsidR="00403AB2">
        <w:t>8</w:t>
      </w:r>
      <w:r w:rsidRPr="005F1654">
        <w:t xml:space="preserve">) for </w:t>
      </w:r>
      <w:r w:rsidR="00427EF6">
        <w:t xml:space="preserve">the Vaxelis vaccine groups compared to their respective control groups were </w:t>
      </w:r>
      <w:r w:rsidRPr="005F1654">
        <w:t>79%</w:t>
      </w:r>
      <w:r w:rsidR="00C44432">
        <w:t xml:space="preserve"> versus </w:t>
      </w:r>
      <w:r w:rsidRPr="005F1654">
        <w:t>79% (</w:t>
      </w:r>
      <w:r w:rsidR="007A4E6C">
        <w:t xml:space="preserve">Studies </w:t>
      </w:r>
      <w:r w:rsidRPr="005F1654">
        <w:t>005/006), 86%</w:t>
      </w:r>
      <w:r w:rsidR="00C44432">
        <w:t xml:space="preserve"> versus </w:t>
      </w:r>
      <w:r w:rsidRPr="005F1654">
        <w:t>92% (</w:t>
      </w:r>
      <w:r w:rsidR="007A4E6C">
        <w:t xml:space="preserve">Study </w:t>
      </w:r>
      <w:r w:rsidRPr="005F1654">
        <w:t>007) and 80%</w:t>
      </w:r>
      <w:r w:rsidR="00C44432">
        <w:t xml:space="preserve"> versus </w:t>
      </w:r>
      <w:r w:rsidRPr="005F1654">
        <w:t>91% (</w:t>
      </w:r>
      <w:r w:rsidR="007A4E6C">
        <w:t xml:space="preserve">Study </w:t>
      </w:r>
      <w:r w:rsidRPr="005F1654">
        <w:t xml:space="preserve">008). The GMTs were also consistently lower </w:t>
      </w:r>
      <w:r w:rsidR="00427EF6">
        <w:t>for the Vaxelis vaccine groups compared to their respective control groups</w:t>
      </w:r>
      <w:r w:rsidRPr="005F1654">
        <w:t xml:space="preserve"> in</w:t>
      </w:r>
      <w:r w:rsidR="007A4E6C">
        <w:t xml:space="preserve"> Studies</w:t>
      </w:r>
      <w:r w:rsidRPr="005F1654">
        <w:t xml:space="preserve"> 005/006 (53.78</w:t>
      </w:r>
      <w:r w:rsidR="00C44432">
        <w:t xml:space="preserve"> versus </w:t>
      </w:r>
      <w:r w:rsidRPr="005F1654">
        <w:t>59.12), 006 (46.76</w:t>
      </w:r>
      <w:r w:rsidR="00C44432">
        <w:t xml:space="preserve"> versus </w:t>
      </w:r>
      <w:r w:rsidRPr="005F1654">
        <w:t>77.79) and 008 (37.84</w:t>
      </w:r>
      <w:r w:rsidR="00C44432">
        <w:t xml:space="preserve"> versus </w:t>
      </w:r>
      <w:r w:rsidRPr="005F1654">
        <w:t>78.27).</w:t>
      </w:r>
    </w:p>
    <w:p w14:paraId="13F7C2A0" w14:textId="0B048C53" w:rsidR="0060638D" w:rsidRPr="005F1654" w:rsidRDefault="0060638D" w:rsidP="005F1654">
      <w:r w:rsidRPr="005F1654">
        <w:t>Pre-toddler dose, seroresponse rates (</w:t>
      </w:r>
      <w:r w:rsidR="003F26C2">
        <w:t xml:space="preserve">as defined in Table </w:t>
      </w:r>
      <w:r w:rsidR="00422191">
        <w:t>8</w:t>
      </w:r>
      <w:r w:rsidRPr="005F1654">
        <w:t xml:space="preserve">) for </w:t>
      </w:r>
      <w:r w:rsidR="00427EF6">
        <w:t xml:space="preserve">the Vaxelis vaccine groups compared to their respective control groups were </w:t>
      </w:r>
      <w:r w:rsidRPr="005F1654">
        <w:t>17%</w:t>
      </w:r>
      <w:r w:rsidR="00C44432">
        <w:t xml:space="preserve"> versus </w:t>
      </w:r>
      <w:r w:rsidRPr="005F1654">
        <w:t>23% (</w:t>
      </w:r>
      <w:r w:rsidR="007A4E6C">
        <w:t xml:space="preserve">Study </w:t>
      </w:r>
      <w:r w:rsidRPr="005F1654">
        <w:t>005), 19%</w:t>
      </w:r>
      <w:r w:rsidR="00C44432">
        <w:t xml:space="preserve"> versus </w:t>
      </w:r>
      <w:r w:rsidRPr="005F1654">
        <w:t>21% (</w:t>
      </w:r>
      <w:r w:rsidR="007A4E6C">
        <w:t xml:space="preserve">Study </w:t>
      </w:r>
      <w:r w:rsidRPr="005F1654">
        <w:t>006) and 53%</w:t>
      </w:r>
      <w:r w:rsidR="00C44432">
        <w:t xml:space="preserve"> versus </w:t>
      </w:r>
      <w:r w:rsidRPr="005F1654">
        <w:t>67% (</w:t>
      </w:r>
      <w:r w:rsidR="007A4E6C">
        <w:t xml:space="preserve">Study </w:t>
      </w:r>
      <w:r w:rsidRPr="005F1654">
        <w:t>008). The pre-toddler dose GMTs (</w:t>
      </w:r>
      <w:r w:rsidR="00272FE2">
        <w:t>Vaxelis vaccine</w:t>
      </w:r>
      <w:r w:rsidR="00C44432">
        <w:t xml:space="preserve"> versus </w:t>
      </w:r>
      <w:r w:rsidRPr="005F1654">
        <w:t>control) were 7.28</w:t>
      </w:r>
      <w:r w:rsidR="00C44432">
        <w:t xml:space="preserve"> versus </w:t>
      </w:r>
      <w:r w:rsidRPr="005F1654">
        <w:t>8.97 (</w:t>
      </w:r>
      <w:r w:rsidR="007A4E6C">
        <w:t xml:space="preserve">Study </w:t>
      </w:r>
      <w:r w:rsidRPr="005F1654">
        <w:t>005), 8.61</w:t>
      </w:r>
      <w:r w:rsidR="00C44432">
        <w:t xml:space="preserve"> versus </w:t>
      </w:r>
      <w:r w:rsidRPr="005F1654">
        <w:t>8.80 (</w:t>
      </w:r>
      <w:r w:rsidR="007A4E6C">
        <w:t xml:space="preserve">Study </w:t>
      </w:r>
      <w:r w:rsidRPr="005F1654">
        <w:t>006), 11.47</w:t>
      </w:r>
      <w:r w:rsidR="00C44432">
        <w:t xml:space="preserve"> versus </w:t>
      </w:r>
      <w:r w:rsidRPr="005F1654">
        <w:t>12.09 (</w:t>
      </w:r>
      <w:r w:rsidR="007A4E6C">
        <w:t xml:space="preserve">Study </w:t>
      </w:r>
      <w:r w:rsidRPr="005F1654">
        <w:t>007) and 6.53</w:t>
      </w:r>
      <w:r w:rsidR="00C44432">
        <w:t xml:space="preserve"> versus </w:t>
      </w:r>
      <w:r w:rsidRPr="005F1654">
        <w:t>11.04 (</w:t>
      </w:r>
      <w:r w:rsidR="007A4E6C">
        <w:t xml:space="preserve">Study </w:t>
      </w:r>
      <w:r w:rsidRPr="005F1654">
        <w:t>008).</w:t>
      </w:r>
    </w:p>
    <w:p w14:paraId="22F21F23" w14:textId="7B277ADD" w:rsidR="0060638D" w:rsidRPr="005F1654" w:rsidRDefault="0060638D" w:rsidP="005F1654">
      <w:r w:rsidRPr="005F1654">
        <w:lastRenderedPageBreak/>
        <w:t>Post</w:t>
      </w:r>
      <w:r w:rsidR="00422191">
        <w:t>-</w:t>
      </w:r>
      <w:r w:rsidRPr="005F1654">
        <w:t>toddler dose, seroresponse rates (</w:t>
      </w:r>
      <w:r w:rsidR="003F26C2">
        <w:t xml:space="preserve">as defined in Table </w:t>
      </w:r>
      <w:r w:rsidR="00422191">
        <w:t>8</w:t>
      </w:r>
      <w:r w:rsidRPr="005F1654">
        <w:t>) were high in all groups (93</w:t>
      </w:r>
      <w:r w:rsidR="00422191">
        <w:t xml:space="preserve"> to </w:t>
      </w:r>
      <w:r w:rsidRPr="005F1654">
        <w:t xml:space="preserve">98%) and comparable for </w:t>
      </w:r>
      <w:r w:rsidR="00AB1F6A">
        <w:t xml:space="preserve">the </w:t>
      </w:r>
      <w:r w:rsidR="00272FE2">
        <w:t>Vaxelis vaccine</w:t>
      </w:r>
      <w:r w:rsidR="00C44432">
        <w:t xml:space="preserve"> </w:t>
      </w:r>
      <w:r w:rsidR="00427EF6">
        <w:t xml:space="preserve">groups </w:t>
      </w:r>
      <w:r w:rsidR="00AB1F6A">
        <w:t>and the</w:t>
      </w:r>
      <w:r w:rsidR="00427EF6">
        <w:t>ir</w:t>
      </w:r>
      <w:r w:rsidR="00AB1F6A">
        <w:t xml:space="preserve"> respective control</w:t>
      </w:r>
      <w:r w:rsidR="00427EF6">
        <w:t xml:space="preserve"> groups</w:t>
      </w:r>
      <w:r w:rsidRPr="005F1654">
        <w:t xml:space="preserve"> across the 4 studies. There was significant rise in GMTs from pre</w:t>
      </w:r>
      <w:r w:rsidR="00422191">
        <w:t>-</w:t>
      </w:r>
      <w:r w:rsidRPr="005F1654">
        <w:t>toddler dose levels in all groups</w:t>
      </w:r>
      <w:r w:rsidR="0092130E">
        <w:t xml:space="preserve"> (</w:t>
      </w:r>
      <w:r w:rsidRPr="005F1654">
        <w:t>108.05</w:t>
      </w:r>
      <w:r w:rsidR="00C44432">
        <w:t xml:space="preserve"> versus </w:t>
      </w:r>
      <w:r w:rsidRPr="005F1654">
        <w:t xml:space="preserve">139.35 </w:t>
      </w:r>
      <w:r w:rsidR="0092130E">
        <w:t xml:space="preserve">in </w:t>
      </w:r>
      <w:r w:rsidR="007A4E6C">
        <w:t xml:space="preserve">Study </w:t>
      </w:r>
      <w:r w:rsidRPr="005F1654">
        <w:t>005, 104.51</w:t>
      </w:r>
      <w:r w:rsidR="00C44432">
        <w:t xml:space="preserve"> versus </w:t>
      </w:r>
      <w:r w:rsidRPr="005F1654">
        <w:t xml:space="preserve">142.32 </w:t>
      </w:r>
      <w:r w:rsidR="0092130E">
        <w:t xml:space="preserve">in </w:t>
      </w:r>
      <w:r w:rsidR="007A4E6C">
        <w:t>Study</w:t>
      </w:r>
      <w:r w:rsidR="00422191">
        <w:t> </w:t>
      </w:r>
      <w:r w:rsidRPr="005F1654">
        <w:t>006, 166.67</w:t>
      </w:r>
      <w:r w:rsidR="00C44432">
        <w:t xml:space="preserve"> versus </w:t>
      </w:r>
      <w:r w:rsidRPr="005F1654">
        <w:t xml:space="preserve">182.08 </w:t>
      </w:r>
      <w:r w:rsidR="0092130E">
        <w:t xml:space="preserve">in </w:t>
      </w:r>
      <w:r w:rsidR="007A4E6C">
        <w:t xml:space="preserve">Study </w:t>
      </w:r>
      <w:r w:rsidRPr="005F1654">
        <w:t>007 and 104.25</w:t>
      </w:r>
      <w:r w:rsidR="00C44432">
        <w:t xml:space="preserve"> versus </w:t>
      </w:r>
      <w:r w:rsidRPr="005F1654">
        <w:t xml:space="preserve">153.50 </w:t>
      </w:r>
      <w:r w:rsidR="0092130E">
        <w:t xml:space="preserve">in </w:t>
      </w:r>
      <w:r w:rsidR="007A4E6C">
        <w:t xml:space="preserve">Study </w:t>
      </w:r>
      <w:r w:rsidRPr="005F1654">
        <w:t>008).</w:t>
      </w:r>
    </w:p>
    <w:p w14:paraId="3DA13F3B" w14:textId="3162B1B0" w:rsidR="0060638D" w:rsidRPr="007A4E6C" w:rsidRDefault="007109DA" w:rsidP="007A4E6C">
      <w:pPr>
        <w:pStyle w:val="Heading5"/>
      </w:pPr>
      <w:r>
        <w:t>Fimbriae 2 and 3 (</w:t>
      </w:r>
      <w:r w:rsidR="0060638D" w:rsidRPr="007A4E6C">
        <w:t>FIM 2+3)</w:t>
      </w:r>
    </w:p>
    <w:p w14:paraId="6E039924" w14:textId="34A167A6" w:rsidR="0060638D" w:rsidRPr="005F1654" w:rsidRDefault="0060638D" w:rsidP="005F1654">
      <w:r w:rsidRPr="005F1654">
        <w:t>At the completion of primary series, seroresponse rates (</w:t>
      </w:r>
      <w:r w:rsidR="003F26C2">
        <w:t xml:space="preserve">as defined in Table </w:t>
      </w:r>
      <w:r w:rsidR="00422191">
        <w:t>8</w:t>
      </w:r>
      <w:r w:rsidRPr="005F1654">
        <w:t xml:space="preserve">) and GMTs were comparable for </w:t>
      </w:r>
      <w:r w:rsidR="00AB1F6A">
        <w:t xml:space="preserve">the </w:t>
      </w:r>
      <w:r w:rsidR="00272FE2">
        <w:t>Vaxelis vaccine</w:t>
      </w:r>
      <w:r w:rsidR="00C44432">
        <w:t xml:space="preserve"> </w:t>
      </w:r>
      <w:r w:rsidR="00AB1F6A">
        <w:t>and the respective controls</w:t>
      </w:r>
      <w:r w:rsidRPr="005F1654">
        <w:t xml:space="preserve"> in </w:t>
      </w:r>
      <w:r w:rsidR="007A4E6C">
        <w:t xml:space="preserve">Studies </w:t>
      </w:r>
      <w:r w:rsidRPr="005F1654">
        <w:t xml:space="preserve">005/006 combined data. FIM </w:t>
      </w:r>
      <w:r w:rsidR="00AB1F6A">
        <w:t>was</w:t>
      </w:r>
      <w:r w:rsidRPr="005F1654">
        <w:t xml:space="preserve"> not a component of </w:t>
      </w:r>
      <w:r w:rsidR="00AB1F6A">
        <w:t xml:space="preserve">the </w:t>
      </w:r>
      <w:r w:rsidRPr="005F1654">
        <w:t xml:space="preserve">control in </w:t>
      </w:r>
      <w:r w:rsidR="007A4E6C">
        <w:t>S</w:t>
      </w:r>
      <w:r w:rsidRPr="005F1654">
        <w:t>tudies 007 and 008.</w:t>
      </w:r>
    </w:p>
    <w:p w14:paraId="1B16EAB3" w14:textId="2F120C6B" w:rsidR="0060638D" w:rsidRPr="005F1654" w:rsidRDefault="0060638D" w:rsidP="005F1654">
      <w:r w:rsidRPr="005F1654">
        <w:t>Pre-toddler dose, seroresponse rates (</w:t>
      </w:r>
      <w:r w:rsidR="003F26C2">
        <w:t xml:space="preserve">as defined in Table </w:t>
      </w:r>
      <w:r w:rsidR="00422191">
        <w:t>8</w:t>
      </w:r>
      <w:r w:rsidRPr="005F1654">
        <w:t>) and GMTs were comparable (</w:t>
      </w:r>
      <w:r w:rsidR="00272FE2">
        <w:t>Vaxelis vaccine</w:t>
      </w:r>
      <w:r w:rsidR="00C44432">
        <w:t xml:space="preserve"> versus </w:t>
      </w:r>
      <w:r w:rsidRPr="005F1654">
        <w:t xml:space="preserve">control) in </w:t>
      </w:r>
      <w:r w:rsidR="007A4E6C">
        <w:t>S</w:t>
      </w:r>
      <w:r w:rsidRPr="005F1654">
        <w:t>tudies 005 and 006.</w:t>
      </w:r>
    </w:p>
    <w:p w14:paraId="593688CD" w14:textId="14C904E1" w:rsidR="0060638D" w:rsidRPr="005F1654" w:rsidRDefault="0060638D" w:rsidP="005F1654">
      <w:r w:rsidRPr="005F1654">
        <w:t>Post</w:t>
      </w:r>
      <w:r w:rsidR="00422191">
        <w:noBreakHyphen/>
      </w:r>
      <w:r w:rsidRPr="005F1654">
        <w:t>toddler dose, seroresponse rates (</w:t>
      </w:r>
      <w:r w:rsidR="003F26C2">
        <w:t xml:space="preserve">as defined in Table </w:t>
      </w:r>
      <w:r w:rsidR="00422191">
        <w:t>8</w:t>
      </w:r>
      <w:r w:rsidRPr="005F1654">
        <w:t>) were high (90</w:t>
      </w:r>
      <w:r w:rsidR="00422191">
        <w:t xml:space="preserve"> to </w:t>
      </w:r>
      <w:r w:rsidRPr="005F1654">
        <w:t xml:space="preserve">99%) in all groups across the 4 studies and comparable for </w:t>
      </w:r>
      <w:r w:rsidR="00272FE2">
        <w:t>Vaxelis vaccine</w:t>
      </w:r>
      <w:r w:rsidR="00C44432">
        <w:t xml:space="preserve"> </w:t>
      </w:r>
      <w:r w:rsidR="00427EF6">
        <w:t xml:space="preserve">groups </w:t>
      </w:r>
      <w:r w:rsidR="00AB1F6A">
        <w:t>and the</w:t>
      </w:r>
      <w:r w:rsidR="00427EF6">
        <w:t>ir</w:t>
      </w:r>
      <w:r w:rsidR="00AB1F6A">
        <w:t xml:space="preserve"> respective controls</w:t>
      </w:r>
      <w:r w:rsidRPr="005F1654">
        <w:t xml:space="preserve"> in </w:t>
      </w:r>
      <w:r w:rsidR="007A4E6C">
        <w:t>S</w:t>
      </w:r>
      <w:r w:rsidRPr="005F1654">
        <w:t>tudies 005 and 006. There was significant rise in GMTs from pre</w:t>
      </w:r>
      <w:r w:rsidR="00422191">
        <w:noBreakHyphen/>
      </w:r>
      <w:r w:rsidRPr="005F1654">
        <w:t xml:space="preserve">toddler dose levels in all groups and the GMT levels were comparable within the </w:t>
      </w:r>
      <w:r w:rsidR="007A4E6C">
        <w:t>S</w:t>
      </w:r>
      <w:r w:rsidRPr="005F1654">
        <w:t>tudies</w:t>
      </w:r>
      <w:r w:rsidR="00422191">
        <w:t> </w:t>
      </w:r>
      <w:r w:rsidRPr="005F1654">
        <w:t xml:space="preserve">005 and 006, noting again that the control in </w:t>
      </w:r>
      <w:r w:rsidR="007A4E6C">
        <w:t>S</w:t>
      </w:r>
      <w:r w:rsidRPr="005F1654">
        <w:t>tudies 007 and 008 did not contain FIM.</w:t>
      </w:r>
    </w:p>
    <w:bookmarkEnd w:id="43"/>
    <w:p w14:paraId="3AC59EB9" w14:textId="7A6F6FF7" w:rsidR="0060638D" w:rsidRPr="005F1654" w:rsidRDefault="0060638D" w:rsidP="007109DA">
      <w:pPr>
        <w:pStyle w:val="Heading5"/>
      </w:pPr>
      <w:r w:rsidRPr="005F1654">
        <w:t>Polio</w:t>
      </w:r>
      <w:r w:rsidR="007109DA">
        <w:t xml:space="preserve"> </w:t>
      </w:r>
      <w:r w:rsidRPr="005F1654">
        <w:t>Type (1, 2, 3)</w:t>
      </w:r>
    </w:p>
    <w:p w14:paraId="4A66EEEE" w14:textId="7ECCD9D1" w:rsidR="0060638D" w:rsidRPr="005F1654" w:rsidRDefault="0060638D" w:rsidP="005F1654">
      <w:r w:rsidRPr="005F1654">
        <w:t>At the completion of primary series, seroprotection rates (neutralising antibodies</w:t>
      </w:r>
      <w:r w:rsidR="00073AA3">
        <w:t xml:space="preserve"> ≥ </w:t>
      </w:r>
      <w:r w:rsidRPr="005F1654">
        <w:t>1/8 dilution) were high (92</w:t>
      </w:r>
      <w:r w:rsidR="00422191">
        <w:t xml:space="preserve"> to </w:t>
      </w:r>
      <w:r w:rsidRPr="005F1654">
        <w:t xml:space="preserve">100%) and comparable for </w:t>
      </w:r>
      <w:r w:rsidR="005360CE">
        <w:t xml:space="preserve">the </w:t>
      </w:r>
      <w:r w:rsidR="00272FE2">
        <w:t>Vaxelis vaccine</w:t>
      </w:r>
      <w:r w:rsidR="00C44432">
        <w:t xml:space="preserve"> </w:t>
      </w:r>
      <w:r w:rsidR="005360CE">
        <w:t>compared to the</w:t>
      </w:r>
      <w:r w:rsidR="00C44432">
        <w:t xml:space="preserve"> </w:t>
      </w:r>
      <w:r w:rsidRPr="005F1654">
        <w:t xml:space="preserve">respective controls across the 4 studies. The GMTs for the 3 polio types were similarly comparable </w:t>
      </w:r>
      <w:r w:rsidR="00AB1F6A">
        <w:t>between the Vaxelis vaccine groups and their respective control groups</w:t>
      </w:r>
      <w:r w:rsidRPr="005F1654">
        <w:t>.</w:t>
      </w:r>
    </w:p>
    <w:p w14:paraId="69E9047D" w14:textId="77777777" w:rsidR="0060638D" w:rsidRPr="005F1654" w:rsidRDefault="0060638D" w:rsidP="005F1654">
      <w:r w:rsidRPr="005F1654">
        <w:t>Pre-toddler levels were not provided.</w:t>
      </w:r>
    </w:p>
    <w:p w14:paraId="2B5E1C0F" w14:textId="3EB6A214" w:rsidR="0060638D" w:rsidRPr="005F1654" w:rsidRDefault="0060638D" w:rsidP="005F1654">
      <w:r w:rsidRPr="005F1654">
        <w:t>Post</w:t>
      </w:r>
      <w:r w:rsidR="00422191">
        <w:noBreakHyphen/>
      </w:r>
      <w:r w:rsidRPr="005F1654">
        <w:t>toddler dose, seroprotection rates (neutralising antibodies</w:t>
      </w:r>
      <w:r w:rsidR="00073AA3">
        <w:t xml:space="preserve"> ≥ </w:t>
      </w:r>
      <w:r w:rsidRPr="005F1654">
        <w:t xml:space="preserve">1/8 dilution) were high (99-100%) for the 3 polio types and were comparable for </w:t>
      </w:r>
      <w:r w:rsidR="005360CE">
        <w:t xml:space="preserve">the </w:t>
      </w:r>
      <w:r w:rsidR="00272FE2">
        <w:t>Vaxelis vaccine</w:t>
      </w:r>
      <w:r w:rsidR="00C44432">
        <w:t xml:space="preserve"> </w:t>
      </w:r>
      <w:r w:rsidR="005360CE">
        <w:t xml:space="preserve">groups </w:t>
      </w:r>
      <w:r w:rsidR="00C44432">
        <w:t xml:space="preserve">versus </w:t>
      </w:r>
      <w:r w:rsidR="005360CE">
        <w:t xml:space="preserve">the </w:t>
      </w:r>
      <w:r w:rsidRPr="005F1654">
        <w:t>respective control</w:t>
      </w:r>
      <w:r w:rsidR="005360CE">
        <w:t xml:space="preserve"> group</w:t>
      </w:r>
      <w:r w:rsidRPr="005F1654">
        <w:t>s (</w:t>
      </w:r>
      <w:r w:rsidR="007A4E6C">
        <w:t>S</w:t>
      </w:r>
      <w:r w:rsidRPr="005F1654">
        <w:t>tudies 006, 007 and 008). There was a marked rise in GMTs in these 3 studies compared to the levels reported at the completion of primary series. Note</w:t>
      </w:r>
      <w:r w:rsidR="00422191">
        <w:t>,</w:t>
      </w:r>
      <w:r w:rsidRPr="005F1654">
        <w:t xml:space="preserve"> toddler boosting in </w:t>
      </w:r>
      <w:r w:rsidR="007A4E6C">
        <w:t>S</w:t>
      </w:r>
      <w:r w:rsidRPr="005F1654">
        <w:t xml:space="preserve">tudy 005 did not include IPV component. The seroprotection rates at this timepoint in </w:t>
      </w:r>
      <w:r w:rsidR="007A4E6C">
        <w:t>S</w:t>
      </w:r>
      <w:r w:rsidRPr="005F1654">
        <w:t>tudy</w:t>
      </w:r>
      <w:r w:rsidR="007A4E6C">
        <w:t xml:space="preserve"> </w:t>
      </w:r>
      <w:r w:rsidRPr="005F1654">
        <w:t>005 ranged from 83</w:t>
      </w:r>
      <w:r w:rsidR="00422191">
        <w:t xml:space="preserve"> to 9</w:t>
      </w:r>
      <w:r w:rsidRPr="005F1654">
        <w:t>9% for the 3 types in both groups and GMTs were maintained.</w:t>
      </w:r>
    </w:p>
    <w:p w14:paraId="1547E2AF" w14:textId="3DEAEB04" w:rsidR="0060638D" w:rsidRPr="005F1654" w:rsidRDefault="0060638D" w:rsidP="005F1654">
      <w:r w:rsidRPr="005F1654">
        <w:t xml:space="preserve">The submitted data included </w:t>
      </w:r>
      <w:r w:rsidR="00422191">
        <w:t xml:space="preserve">around </w:t>
      </w:r>
      <w:r w:rsidRPr="005F1654">
        <w:t>100 premature babies. At present, there are no data in immunocompromised children or children with chronic conditions.</w:t>
      </w:r>
    </w:p>
    <w:p w14:paraId="01D00CC0" w14:textId="77777777" w:rsidR="0060638D" w:rsidRPr="005F1654" w:rsidRDefault="0060638D" w:rsidP="007A4E6C">
      <w:pPr>
        <w:pStyle w:val="Heading4"/>
      </w:pPr>
      <w:r w:rsidRPr="005F1654">
        <w:t>Clinical safety</w:t>
      </w:r>
    </w:p>
    <w:p w14:paraId="2585C591" w14:textId="194FCDE6" w:rsidR="0060638D" w:rsidRPr="005F1654" w:rsidRDefault="0060638D" w:rsidP="005F1654">
      <w:r w:rsidRPr="005F1654">
        <w:t>The</w:t>
      </w:r>
      <w:r w:rsidR="00F5559E">
        <w:t xml:space="preserve"> Vaxelis vaccine </w:t>
      </w:r>
      <w:r w:rsidRPr="005F1654">
        <w:t>clinical development program included approximately 9,500 subjects who participated in 10 clinical studies. The mean age of the participants at randomisation was 64 days (range 43 to 99 days).</w:t>
      </w:r>
    </w:p>
    <w:p w14:paraId="17F91EC7" w14:textId="3E33081B" w:rsidR="0060638D" w:rsidRPr="005F1654" w:rsidRDefault="0060638D" w:rsidP="005F1654">
      <w:r w:rsidRPr="005F1654">
        <w:t>More than 95% of subjects in both vaccination groups reported one or more adverse events (AE) in the six studies combined (</w:t>
      </w:r>
      <w:r w:rsidR="007A4E6C">
        <w:t xml:space="preserve">Studies </w:t>
      </w:r>
      <w:r w:rsidRPr="005F1654">
        <w:t>004, 005, 006, 007, 008 and PRI01C). A slightly higher percentage of subjects in the</w:t>
      </w:r>
      <w:r w:rsidR="00F5559E">
        <w:t xml:space="preserve"> Vaxelis vaccine </w:t>
      </w:r>
      <w:r w:rsidRPr="005F1654">
        <w:t xml:space="preserve">group as compared to the </w:t>
      </w:r>
      <w:r w:rsidR="003968D2">
        <w:t>c</w:t>
      </w:r>
      <w:r w:rsidRPr="005F1654">
        <w:t xml:space="preserve">ontrol group reported at least one AE from Day 1 through Day 15 after any dose </w:t>
      </w:r>
      <w:r w:rsidR="001E01EA">
        <w:t>(</w:t>
      </w:r>
      <w:r w:rsidRPr="005F1654">
        <w:t>estimated difference 1.2% (95%</w:t>
      </w:r>
      <w:r w:rsidR="008B6AB1">
        <w:t xml:space="preserve"> confidence interval (</w:t>
      </w:r>
      <w:r w:rsidRPr="005F1654">
        <w:t>CI</w:t>
      </w:r>
      <w:r w:rsidR="008B6AB1">
        <w:t>)</w:t>
      </w:r>
      <w:r w:rsidRPr="005F1654">
        <w:t xml:space="preserve"> 0.1, 2.4)</w:t>
      </w:r>
      <w:r w:rsidR="00422191">
        <w:t>)</w:t>
      </w:r>
      <w:r w:rsidRPr="005F1654">
        <w:t xml:space="preserve">. The estimated difference for </w:t>
      </w:r>
      <w:r w:rsidR="00422191">
        <w:t>s</w:t>
      </w:r>
      <w:r w:rsidRPr="005F1654">
        <w:t>erious AEs (Day 1 to 15) was 0.2 (95%</w:t>
      </w:r>
      <w:r w:rsidR="00422191">
        <w:t xml:space="preserve"> </w:t>
      </w:r>
      <w:r w:rsidRPr="005F1654">
        <w:t>CI -0.4, 0.8).</w:t>
      </w:r>
    </w:p>
    <w:p w14:paraId="005082F0" w14:textId="0A3D2305" w:rsidR="008B6AB1" w:rsidRPr="005F1654" w:rsidRDefault="0060638D" w:rsidP="00403AB2">
      <w:r w:rsidRPr="005F1654">
        <w:t>Overall, solicited local AEs were reported in similar proportions in both groups (81.9%</w:t>
      </w:r>
      <w:r w:rsidR="00C44432">
        <w:t xml:space="preserve"> versus </w:t>
      </w:r>
      <w:r w:rsidRPr="005F1654">
        <w:t>81.8%) but injection site erythema (55%</w:t>
      </w:r>
      <w:r w:rsidR="00C44432">
        <w:t xml:space="preserve"> versus </w:t>
      </w:r>
      <w:r w:rsidRPr="005F1654">
        <w:t>49.9%) and injection site swelling (</w:t>
      </w:r>
      <w:r w:rsidRPr="00042B3F">
        <w:t>44%</w:t>
      </w:r>
      <w:r w:rsidR="00C44432" w:rsidRPr="00042B3F">
        <w:t xml:space="preserve"> versus </w:t>
      </w:r>
      <w:r w:rsidRPr="00042B3F">
        <w:t xml:space="preserve">40.9%) were reported more frequently </w:t>
      </w:r>
      <w:r w:rsidR="00AB1F6A">
        <w:t>in the Vaxelis vaccine group as compared to the control group</w:t>
      </w:r>
      <w:r w:rsidR="00D1399B" w:rsidRPr="00042B3F">
        <w:t xml:space="preserve"> (Table </w:t>
      </w:r>
      <w:r w:rsidR="00422191">
        <w:t>9</w:t>
      </w:r>
      <w:r w:rsidR="00D1399B" w:rsidRPr="00042B3F">
        <w:t>)</w:t>
      </w:r>
      <w:r w:rsidR="008B6AB1" w:rsidRPr="00042B3F">
        <w:t>.</w:t>
      </w:r>
    </w:p>
    <w:p w14:paraId="2AFF896A" w14:textId="2D7B2609" w:rsidR="00422191" w:rsidRDefault="00422191" w:rsidP="00403AB2">
      <w:pPr>
        <w:pStyle w:val="Tabletitle0"/>
      </w:pPr>
      <w:r>
        <w:lastRenderedPageBreak/>
        <w:t xml:space="preserve">Table </w:t>
      </w:r>
      <w:fldSimple w:instr=" SEQ Table \* ARABIC ">
        <w:r w:rsidR="00403AB2">
          <w:rPr>
            <w:noProof/>
          </w:rPr>
          <w:t>8</w:t>
        </w:r>
      </w:fldSimple>
      <w:r>
        <w:t xml:space="preserve">: </w:t>
      </w:r>
      <w:r w:rsidR="001E01EA">
        <w:t xml:space="preserve">Solicited injection site-related adverse events (more than </w:t>
      </w:r>
      <w:r>
        <w:t>0% in any group)</w:t>
      </w:r>
      <w:r w:rsidR="001E01EA">
        <w:t>;</w:t>
      </w:r>
      <w:r>
        <w:t xml:space="preserve"> </w:t>
      </w:r>
      <w:r w:rsidR="001E01EA">
        <w:t>Day 1 to 5 after any dose (a</w:t>
      </w:r>
      <w:r>
        <w:t>s treated population</w:t>
      </w:r>
      <w:r w:rsidR="001E01EA">
        <w:t>, from</w:t>
      </w:r>
      <w:r>
        <w:t xml:space="preserve"> Studies 004, 005, 006, 007, 008 and PRIO1C)</w:t>
      </w:r>
    </w:p>
    <w:p w14:paraId="6952B3A6" w14:textId="2219FA8F" w:rsidR="0060638D" w:rsidRDefault="0060638D" w:rsidP="005F1654">
      <w:pPr>
        <w:pStyle w:val="ListBullet"/>
        <w:numPr>
          <w:ilvl w:val="0"/>
          <w:numId w:val="0"/>
        </w:numPr>
        <w:ind w:left="360" w:hanging="360"/>
      </w:pPr>
      <w:r>
        <w:rPr>
          <w:noProof/>
          <w:lang w:val="en-GB" w:eastAsia="en-GB"/>
        </w:rPr>
        <w:drawing>
          <wp:inline distT="0" distB="0" distL="0" distR="0" wp14:anchorId="602501A5" wp14:editId="04C75AB7">
            <wp:extent cx="5466739" cy="2076450"/>
            <wp:effectExtent l="0" t="0" r="635" b="0"/>
            <wp:docPr id="9" name="Picture 9" descr="Solicited injection site related AEs (&gt;0% in any group) – Day 1 to 5 after any dose (As treated population – Studies 004, 005, 006, 007, 008 and PRIO1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licited injection site related AEs (&gt;0% in any group) – Day 1 to 5 after any dose (As treated population – Studies 004, 005, 006, 007, 008 and PRIO1C).&#10;"/>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771" t="18235" r="1558"/>
                    <a:stretch/>
                  </pic:blipFill>
                  <pic:spPr bwMode="auto">
                    <a:xfrm>
                      <a:off x="0" y="0"/>
                      <a:ext cx="5485788" cy="2083685"/>
                    </a:xfrm>
                    <a:prstGeom prst="rect">
                      <a:avLst/>
                    </a:prstGeom>
                    <a:noFill/>
                    <a:ln>
                      <a:noFill/>
                    </a:ln>
                    <a:extLst>
                      <a:ext uri="{53640926-AAD7-44D8-BBD7-CCE9431645EC}">
                        <a14:shadowObscured xmlns:a14="http://schemas.microsoft.com/office/drawing/2010/main"/>
                      </a:ext>
                    </a:extLst>
                  </pic:spPr>
                </pic:pic>
              </a:graphicData>
            </a:graphic>
          </wp:inline>
        </w:drawing>
      </w:r>
    </w:p>
    <w:p w14:paraId="24C2E15D" w14:textId="48B10768" w:rsidR="0060638D" w:rsidRPr="005F1654" w:rsidRDefault="0060638D" w:rsidP="005F1654">
      <w:r w:rsidRPr="005F1654">
        <w:t xml:space="preserve">These trends were also noticeable in the smaller </w:t>
      </w:r>
      <w:r w:rsidR="00350DE0">
        <w:t xml:space="preserve">Studies </w:t>
      </w:r>
      <w:r w:rsidRPr="005F1654">
        <w:t xml:space="preserve">007/008 population for </w:t>
      </w:r>
      <w:r w:rsidR="00272FE2">
        <w:t>Vaxelis vaccine</w:t>
      </w:r>
      <w:r w:rsidR="00C44432">
        <w:t xml:space="preserve"> versus </w:t>
      </w:r>
      <w:r w:rsidR="00350DE0" w:rsidRPr="005F1654">
        <w:t xml:space="preserve">Infanrix Hexa </w:t>
      </w:r>
      <w:r w:rsidRPr="005F1654">
        <w:t>(68.8%</w:t>
      </w:r>
      <w:r w:rsidR="00C44432">
        <w:t xml:space="preserve"> versus </w:t>
      </w:r>
      <w:r w:rsidRPr="005F1654">
        <w:t>62.2% for injection site erythema, 73.5%</w:t>
      </w:r>
      <w:r w:rsidR="00C44432">
        <w:t xml:space="preserve"> versus </w:t>
      </w:r>
      <w:r w:rsidRPr="005F1654">
        <w:t>70.8% for injection site pain and 56.8%</w:t>
      </w:r>
      <w:r w:rsidR="00C44432">
        <w:t xml:space="preserve"> versus </w:t>
      </w:r>
      <w:r w:rsidRPr="005F1654">
        <w:t>51.0% for injection site swelling).</w:t>
      </w:r>
    </w:p>
    <w:p w14:paraId="0C9636B5" w14:textId="7B54C809" w:rsidR="00350DE0" w:rsidRPr="005F1654" w:rsidRDefault="0060638D" w:rsidP="00403AB2">
      <w:r w:rsidRPr="005F1654">
        <w:t>Overall, solicited systemic AEs were reported in similar proportions in both groups but pyrexia (56.8%</w:t>
      </w:r>
      <w:r w:rsidR="00C44432">
        <w:t xml:space="preserve"> versus </w:t>
      </w:r>
      <w:r w:rsidRPr="005F1654">
        <w:t xml:space="preserve">47.4%) was reported more frequently in </w:t>
      </w:r>
      <w:r w:rsidR="00272FE2">
        <w:t>Vaxelis vaccine</w:t>
      </w:r>
      <w:r w:rsidR="00C44432">
        <w:t xml:space="preserve"> </w:t>
      </w:r>
      <w:r w:rsidR="003968D2">
        <w:t>versus control</w:t>
      </w:r>
      <w:r w:rsidR="00D1399B">
        <w:t xml:space="preserve"> (</w:t>
      </w:r>
      <w:r w:rsidR="001E01EA">
        <w:t xml:space="preserve">see </w:t>
      </w:r>
      <w:r w:rsidR="00D1399B">
        <w:t xml:space="preserve">Table </w:t>
      </w:r>
      <w:r w:rsidR="001E01EA">
        <w:t>10</w:t>
      </w:r>
      <w:r w:rsidR="00D1399B">
        <w:t>)</w:t>
      </w:r>
      <w:r w:rsidR="00350DE0">
        <w:t>.</w:t>
      </w:r>
    </w:p>
    <w:p w14:paraId="19095839" w14:textId="50C94184" w:rsidR="001E01EA" w:rsidRDefault="001E01EA" w:rsidP="00403AB2">
      <w:pPr>
        <w:pStyle w:val="Tabletitle0"/>
      </w:pPr>
      <w:r>
        <w:t xml:space="preserve">Table </w:t>
      </w:r>
      <w:fldSimple w:instr=" SEQ Table \* ARABIC ">
        <w:r w:rsidR="00403AB2">
          <w:rPr>
            <w:noProof/>
          </w:rPr>
          <w:t>9</w:t>
        </w:r>
      </w:fldSimple>
      <w:r>
        <w:t>: Solicited systemic adverse events (more than 0% in any group); Day 1 and 5 after any dose (as treated population, from Studies 004, 005, 006, 007, 008 and PRIO1C)</w:t>
      </w:r>
    </w:p>
    <w:p w14:paraId="093760EA" w14:textId="19E4B3BD" w:rsidR="0060638D" w:rsidRDefault="0060638D" w:rsidP="00350DE0">
      <w:pPr>
        <w:pStyle w:val="ListBullet"/>
        <w:keepNext/>
        <w:keepLines/>
        <w:numPr>
          <w:ilvl w:val="0"/>
          <w:numId w:val="0"/>
        </w:numPr>
        <w:ind w:left="360" w:hanging="360"/>
      </w:pPr>
      <w:r>
        <w:rPr>
          <w:noProof/>
          <w:lang w:val="en-GB" w:eastAsia="en-GB"/>
        </w:rPr>
        <w:drawing>
          <wp:inline distT="0" distB="0" distL="0" distR="0" wp14:anchorId="06BCFFB2" wp14:editId="5B59B619">
            <wp:extent cx="5267325" cy="2235387"/>
            <wp:effectExtent l="0" t="0" r="0" b="0"/>
            <wp:docPr id="8" name="Picture 8" descr="Solicited systemic AEs (&gt; 0% in any group). Day 1 and 5 after any dose. As treated population. Studies 004, 005, 006, 007, 008 and PRIO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olicited systemic AEs (&gt; 0% in any group). Day 1 and 5 after any dose. As treated population. Studies 004, 005, 006, 007, 008 and PRIO1C."/>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t="16662"/>
                    <a:stretch/>
                  </pic:blipFill>
                  <pic:spPr bwMode="auto">
                    <a:xfrm>
                      <a:off x="0" y="0"/>
                      <a:ext cx="5275571" cy="2238886"/>
                    </a:xfrm>
                    <a:prstGeom prst="rect">
                      <a:avLst/>
                    </a:prstGeom>
                    <a:noFill/>
                    <a:ln>
                      <a:noFill/>
                    </a:ln>
                    <a:extLst>
                      <a:ext uri="{53640926-AAD7-44D8-BBD7-CCE9431645EC}">
                        <a14:shadowObscured xmlns:a14="http://schemas.microsoft.com/office/drawing/2010/main"/>
                      </a:ext>
                    </a:extLst>
                  </pic:spPr>
                </pic:pic>
              </a:graphicData>
            </a:graphic>
          </wp:inline>
        </w:drawing>
      </w:r>
    </w:p>
    <w:p w14:paraId="2C8DA084" w14:textId="59D711AC" w:rsidR="0060638D" w:rsidRPr="005F1654" w:rsidRDefault="0060638D" w:rsidP="005F1654">
      <w:r w:rsidRPr="005F1654">
        <w:t>These trends were also noticeable but less pronounced in the small</w:t>
      </w:r>
      <w:r w:rsidR="00716699">
        <w:t xml:space="preserve">er </w:t>
      </w:r>
      <w:r w:rsidR="00350DE0">
        <w:t xml:space="preserve">Studies </w:t>
      </w:r>
      <w:r w:rsidRPr="005F1654">
        <w:t>007/008</w:t>
      </w:r>
      <w:r w:rsidR="00716699">
        <w:t>)</w:t>
      </w:r>
      <w:r w:rsidRPr="005F1654">
        <w:t xml:space="preserve"> combined population for </w:t>
      </w:r>
      <w:r w:rsidR="00272FE2">
        <w:t>Vaxelis vaccine</w:t>
      </w:r>
      <w:r w:rsidR="00C44432">
        <w:t xml:space="preserve"> versus </w:t>
      </w:r>
      <w:r w:rsidR="00350DE0" w:rsidRPr="005F1654">
        <w:t>Infanrix Hexa</w:t>
      </w:r>
      <w:r w:rsidRPr="005F1654">
        <w:t>. For pyrexia (72.7%</w:t>
      </w:r>
      <w:r w:rsidR="00C44432">
        <w:t xml:space="preserve"> versus </w:t>
      </w:r>
      <w:r w:rsidRPr="005F1654">
        <w:t>70.1) the estimated difference was 2.5% (95%</w:t>
      </w:r>
      <w:r w:rsidR="001E01EA">
        <w:t xml:space="preserve"> </w:t>
      </w:r>
      <w:r w:rsidRPr="005F1654">
        <w:t>CI</w:t>
      </w:r>
      <w:r w:rsidR="001E01EA">
        <w:t>:</w:t>
      </w:r>
      <w:r w:rsidRPr="005F1654">
        <w:t xml:space="preserve"> -1.0, 6.1).</w:t>
      </w:r>
    </w:p>
    <w:p w14:paraId="5053A193" w14:textId="56EE8FD8" w:rsidR="0060638D" w:rsidRDefault="0060638D" w:rsidP="005F1654">
      <w:r w:rsidRPr="005F1654">
        <w:t xml:space="preserve">Further analysis of </w:t>
      </w:r>
      <w:r w:rsidR="003968D2">
        <w:t>p</w:t>
      </w:r>
      <w:r w:rsidRPr="005F1654">
        <w:t>yrexia event</w:t>
      </w:r>
      <w:r w:rsidR="003968D2">
        <w:t>s</w:t>
      </w:r>
      <w:r w:rsidRPr="005F1654">
        <w:t xml:space="preserve"> in the </w:t>
      </w:r>
      <w:r w:rsidR="00350DE0">
        <w:t xml:space="preserve">Studies </w:t>
      </w:r>
      <w:r w:rsidRPr="005F1654">
        <w:t>005/006/007/008 population confirmed a higher trend of fever</w:t>
      </w:r>
      <w:r w:rsidR="00073AA3">
        <w:t xml:space="preserve"> ≥ </w:t>
      </w:r>
      <w:r w:rsidRPr="005F1654">
        <w:t xml:space="preserve">38 </w:t>
      </w:r>
      <w:r w:rsidR="001E01EA">
        <w:t>°</w:t>
      </w:r>
      <w:r w:rsidRPr="005F1654">
        <w:t xml:space="preserve">C in </w:t>
      </w:r>
      <w:r w:rsidR="00272FE2">
        <w:t>Vaxelis vaccine</w:t>
      </w:r>
      <w:r w:rsidRPr="005F1654">
        <w:t xml:space="preserve"> group</w:t>
      </w:r>
      <w:r w:rsidR="00C44432">
        <w:t xml:space="preserve"> versus</w:t>
      </w:r>
      <w:r w:rsidR="003968D2">
        <w:t xml:space="preserve"> control group</w:t>
      </w:r>
      <w:r w:rsidR="00D1399B">
        <w:t xml:space="preserve"> (</w:t>
      </w:r>
      <w:r w:rsidR="001E01EA">
        <w:t xml:space="preserve">see </w:t>
      </w:r>
      <w:r w:rsidR="00403AB2">
        <w:t xml:space="preserve">Table </w:t>
      </w:r>
      <w:r w:rsidR="00042B3F">
        <w:t>1</w:t>
      </w:r>
      <w:r w:rsidR="001E01EA">
        <w:t>1, below</w:t>
      </w:r>
      <w:r w:rsidR="00D1399B">
        <w:t>)</w:t>
      </w:r>
      <w:r w:rsidR="00350DE0">
        <w:t>.</w:t>
      </w:r>
    </w:p>
    <w:p w14:paraId="004F2F30" w14:textId="78D588B2" w:rsidR="001E01EA" w:rsidRDefault="001E01EA" w:rsidP="00403AB2">
      <w:pPr>
        <w:pStyle w:val="Tabletitle0"/>
      </w:pPr>
      <w:r>
        <w:lastRenderedPageBreak/>
        <w:t xml:space="preserve">Table </w:t>
      </w:r>
      <w:fldSimple w:instr=" SEQ Table \* ARABIC ">
        <w:r w:rsidR="00403AB2">
          <w:rPr>
            <w:noProof/>
          </w:rPr>
          <w:t>10</w:t>
        </w:r>
      </w:fldSimple>
      <w:r>
        <w:t>: Subjects with temperature by severity; Day 1 to 5 after any dose (as treated population from Studies 004, 005, 006, 007, 008)</w:t>
      </w:r>
    </w:p>
    <w:p w14:paraId="336A5207" w14:textId="6F0714F0" w:rsidR="0060638D" w:rsidRDefault="0060638D" w:rsidP="005F1654">
      <w:pPr>
        <w:pStyle w:val="ListBullet"/>
        <w:numPr>
          <w:ilvl w:val="0"/>
          <w:numId w:val="0"/>
        </w:numPr>
        <w:ind w:left="360" w:hanging="360"/>
      </w:pPr>
      <w:r>
        <w:rPr>
          <w:noProof/>
          <w:lang w:val="en-GB" w:eastAsia="en-GB"/>
        </w:rPr>
        <w:drawing>
          <wp:inline distT="0" distB="0" distL="0" distR="0" wp14:anchorId="1BAA0098" wp14:editId="3170BEBF">
            <wp:extent cx="5095875" cy="2873634"/>
            <wp:effectExtent l="0" t="0" r="0" b="3175"/>
            <wp:docPr id="6" name="Picture 6" descr="Subjects with temperature by severity. Day 1 to 5 after any dose. As treated population. Studies 004, 005, 006, 007, 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bjects with temperature by severity. Day 1 to 5 after any dose. As treated population. Studies 004, 005, 006, 007, 008. "/>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t="12828"/>
                    <a:stretch/>
                  </pic:blipFill>
                  <pic:spPr bwMode="auto">
                    <a:xfrm>
                      <a:off x="0" y="0"/>
                      <a:ext cx="5100584" cy="2876289"/>
                    </a:xfrm>
                    <a:prstGeom prst="rect">
                      <a:avLst/>
                    </a:prstGeom>
                    <a:noFill/>
                    <a:ln>
                      <a:noFill/>
                    </a:ln>
                    <a:extLst>
                      <a:ext uri="{53640926-AAD7-44D8-BBD7-CCE9431645EC}">
                        <a14:shadowObscured xmlns:a14="http://schemas.microsoft.com/office/drawing/2010/main"/>
                      </a:ext>
                    </a:extLst>
                  </pic:spPr>
                </pic:pic>
              </a:graphicData>
            </a:graphic>
          </wp:inline>
        </w:drawing>
      </w:r>
    </w:p>
    <w:p w14:paraId="72A5C0B9" w14:textId="53786AED" w:rsidR="00231E7B" w:rsidRDefault="0060638D" w:rsidP="00403AB2">
      <w:pPr>
        <w:pStyle w:val="ListBullet"/>
        <w:numPr>
          <w:ilvl w:val="0"/>
          <w:numId w:val="0"/>
        </w:numPr>
      </w:pPr>
      <w:r>
        <w:t xml:space="preserve">The reported occurrences of pyrexia, febrile convulsion and convulsion events over extended follow up period were as </w:t>
      </w:r>
      <w:r w:rsidR="00231E7B">
        <w:t xml:space="preserve">shown in Table </w:t>
      </w:r>
      <w:r w:rsidR="00D1399B">
        <w:t>1</w:t>
      </w:r>
      <w:r w:rsidR="001E01EA">
        <w:t>2</w:t>
      </w:r>
      <w:r w:rsidR="00231E7B">
        <w:t xml:space="preserve"> below.</w:t>
      </w:r>
    </w:p>
    <w:p w14:paraId="0E1AF03E" w14:textId="29432CCC" w:rsidR="001E01EA" w:rsidRDefault="001E01EA" w:rsidP="00403AB2">
      <w:pPr>
        <w:pStyle w:val="Tabletitle0"/>
      </w:pPr>
      <w:r>
        <w:lastRenderedPageBreak/>
        <w:t xml:space="preserve">Table </w:t>
      </w:r>
      <w:fldSimple w:instr=" SEQ Table \* ARABIC ">
        <w:r w:rsidR="00403AB2">
          <w:rPr>
            <w:noProof/>
          </w:rPr>
          <w:t>11</w:t>
        </w:r>
      </w:fldSimple>
      <w:r>
        <w:t>: Subjects with pyrexia, febrile convulsion, convulsion (more than 0% in any group) after any dose (as treated population from Studies 004, 005, 006, 007, 008 and PRIO1C)</w:t>
      </w:r>
    </w:p>
    <w:p w14:paraId="0B58E561" w14:textId="56C835DA" w:rsidR="0060638D" w:rsidRDefault="0060638D" w:rsidP="005F1654">
      <w:pPr>
        <w:pStyle w:val="ListBullet"/>
        <w:numPr>
          <w:ilvl w:val="0"/>
          <w:numId w:val="0"/>
        </w:numPr>
        <w:ind w:left="360" w:hanging="360"/>
      </w:pPr>
      <w:r>
        <w:rPr>
          <w:noProof/>
          <w:lang w:val="en-GB" w:eastAsia="en-GB"/>
        </w:rPr>
        <w:drawing>
          <wp:inline distT="0" distB="0" distL="0" distR="0" wp14:anchorId="63E59225" wp14:editId="557DD403">
            <wp:extent cx="5490110" cy="5334000"/>
            <wp:effectExtent l="0" t="0" r="0" b="0"/>
            <wp:docPr id="5" name="Picture 5" descr="Subjects with Pyrexia, febrile convulsion, convulsion (&gt; 0% in any group) after any dose. As treated population. Studies 004, 005, 006, 007, 008 and PRIO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bjects with Pyrexia, febrile convulsion, convulsion (&gt; 0% in any group) after any dose. As treated population. Studies 004, 005, 006, 007, 008 and PRIO1C"/>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260" t="8843" r="11578"/>
                    <a:stretch/>
                  </pic:blipFill>
                  <pic:spPr bwMode="auto">
                    <a:xfrm>
                      <a:off x="0" y="0"/>
                      <a:ext cx="5510786" cy="5354088"/>
                    </a:xfrm>
                    <a:prstGeom prst="rect">
                      <a:avLst/>
                    </a:prstGeom>
                    <a:noFill/>
                    <a:ln>
                      <a:noFill/>
                    </a:ln>
                    <a:extLst>
                      <a:ext uri="{53640926-AAD7-44D8-BBD7-CCE9431645EC}">
                        <a14:shadowObscured xmlns:a14="http://schemas.microsoft.com/office/drawing/2010/main"/>
                      </a:ext>
                    </a:extLst>
                  </pic:spPr>
                </pic:pic>
              </a:graphicData>
            </a:graphic>
          </wp:inline>
        </w:drawing>
      </w:r>
    </w:p>
    <w:p w14:paraId="52FC2E3F" w14:textId="4DAAF777" w:rsidR="00231E7B" w:rsidRDefault="0060638D" w:rsidP="00231E7B">
      <w:pPr>
        <w:pStyle w:val="ListBullet"/>
        <w:numPr>
          <w:ilvl w:val="0"/>
          <w:numId w:val="0"/>
        </w:numPr>
      </w:pPr>
      <w:r>
        <w:t xml:space="preserve">In </w:t>
      </w:r>
      <w:r w:rsidR="00716699">
        <w:t xml:space="preserve">combined data for </w:t>
      </w:r>
      <w:r w:rsidR="00231E7B">
        <w:t xml:space="preserve">Studies </w:t>
      </w:r>
      <w:r>
        <w:t xml:space="preserve">007/008, there were four reports of febrile convulsion or convulsion (2 each in </w:t>
      </w:r>
      <w:r w:rsidR="00272FE2">
        <w:t>Vaxelis vaccine</w:t>
      </w:r>
      <w:r>
        <w:t xml:space="preserve"> and Control) that were considered serious within Days 1 to 15</w:t>
      </w:r>
      <w:r w:rsidR="00D1399B">
        <w:t xml:space="preserve"> (Table 1</w:t>
      </w:r>
      <w:r w:rsidR="001E01EA">
        <w:t>3</w:t>
      </w:r>
      <w:r w:rsidR="00D1399B">
        <w:t>)</w:t>
      </w:r>
      <w:r>
        <w:t>. Two of these were considered vaccine</w:t>
      </w:r>
      <w:r w:rsidR="00716699">
        <w:t xml:space="preserve"> </w:t>
      </w:r>
      <w:r>
        <w:t>related (one in each group)</w:t>
      </w:r>
      <w:r w:rsidR="00231E7B">
        <w:t>.</w:t>
      </w:r>
    </w:p>
    <w:p w14:paraId="14161210" w14:textId="1A84683C" w:rsidR="001E01EA" w:rsidRDefault="001E01EA" w:rsidP="00403AB2">
      <w:pPr>
        <w:pStyle w:val="Tabletitle0"/>
      </w:pPr>
      <w:r>
        <w:lastRenderedPageBreak/>
        <w:t xml:space="preserve">Table </w:t>
      </w:r>
      <w:fldSimple w:instr=" SEQ Table \* ARABIC ">
        <w:r w:rsidR="00403AB2">
          <w:rPr>
            <w:noProof/>
          </w:rPr>
          <w:t>12</w:t>
        </w:r>
      </w:fldSimple>
      <w:r>
        <w:t xml:space="preserve">: </w:t>
      </w:r>
      <w:r w:rsidRPr="00A75764">
        <w:t>Subjects wit</w:t>
      </w:r>
      <w:r w:rsidRPr="00945D17">
        <w:t>h pyrexia, febrile convulsion (more than</w:t>
      </w:r>
      <w:r w:rsidRPr="00403AB2">
        <w:t xml:space="preserve"> 0% in any group) after any dose (as treated population </w:t>
      </w:r>
      <w:r>
        <w:t xml:space="preserve">from </w:t>
      </w:r>
      <w:r w:rsidRPr="00A75764">
        <w:t>Studies 007 and 008)</w:t>
      </w:r>
    </w:p>
    <w:p w14:paraId="646D102B" w14:textId="5472CBAA" w:rsidR="0060638D" w:rsidRDefault="0060638D" w:rsidP="004D6B64">
      <w:pPr>
        <w:pStyle w:val="ListBullet"/>
        <w:keepNext/>
        <w:keepLines/>
        <w:numPr>
          <w:ilvl w:val="0"/>
          <w:numId w:val="0"/>
        </w:numPr>
        <w:jc w:val="both"/>
      </w:pPr>
      <w:r>
        <w:rPr>
          <w:noProof/>
          <w:lang w:val="en-GB" w:eastAsia="en-GB"/>
        </w:rPr>
        <w:drawing>
          <wp:inline distT="0" distB="0" distL="0" distR="0" wp14:anchorId="792487DB" wp14:editId="247F2D23">
            <wp:extent cx="5237177" cy="3267075"/>
            <wp:effectExtent l="0" t="0" r="1905" b="0"/>
            <wp:docPr id="4" name="Picture 4" descr="Subjects with pyrexia, febrile convulsion (&gt; 0% in any group) after any dose. As treated population Studies 007 and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bjects with pyrexia, febrile convulsion (&gt; 0% in any group) after any dose. As treated population Studies 007 and 008."/>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8333" t="12364" r="9713"/>
                    <a:stretch/>
                  </pic:blipFill>
                  <pic:spPr bwMode="auto">
                    <a:xfrm>
                      <a:off x="0" y="0"/>
                      <a:ext cx="5249894" cy="3275008"/>
                    </a:xfrm>
                    <a:prstGeom prst="rect">
                      <a:avLst/>
                    </a:prstGeom>
                    <a:noFill/>
                    <a:ln>
                      <a:noFill/>
                    </a:ln>
                    <a:extLst>
                      <a:ext uri="{53640926-AAD7-44D8-BBD7-CCE9431645EC}">
                        <a14:shadowObscured xmlns:a14="http://schemas.microsoft.com/office/drawing/2010/main"/>
                      </a:ext>
                    </a:extLst>
                  </pic:spPr>
                </pic:pic>
              </a:graphicData>
            </a:graphic>
          </wp:inline>
        </w:drawing>
      </w:r>
    </w:p>
    <w:p w14:paraId="471222A7" w14:textId="7F6118CE" w:rsidR="0060638D" w:rsidRDefault="0060638D" w:rsidP="004D6B64">
      <w:pPr>
        <w:pStyle w:val="ListBullet"/>
        <w:numPr>
          <w:ilvl w:val="0"/>
          <w:numId w:val="0"/>
        </w:numPr>
      </w:pPr>
      <w:r>
        <w:t xml:space="preserve">Across Studies 004, 005, 006, 007, 008 and PRI01C, related </w:t>
      </w:r>
      <w:r w:rsidR="00231E7B">
        <w:t xml:space="preserve">serious </w:t>
      </w:r>
      <w:r w:rsidR="001E01EA">
        <w:t xml:space="preserve">adverse events </w:t>
      </w:r>
      <w:r>
        <w:t>were reported</w:t>
      </w:r>
      <w:r w:rsidR="00231E7B">
        <w:t xml:space="preserve"> as shown in Table 1</w:t>
      </w:r>
      <w:r w:rsidR="001E01EA">
        <w:t>4</w:t>
      </w:r>
      <w:r w:rsidR="00231E7B">
        <w:t xml:space="preserve"> below.</w:t>
      </w:r>
    </w:p>
    <w:p w14:paraId="3688AF18" w14:textId="41B66BFF" w:rsidR="001E01EA" w:rsidRDefault="001E01EA" w:rsidP="00403AB2">
      <w:pPr>
        <w:pStyle w:val="Tabletitle0"/>
      </w:pPr>
      <w:r>
        <w:t xml:space="preserve">Table </w:t>
      </w:r>
      <w:fldSimple w:instr=" SEQ Table \* ARABIC ">
        <w:r w:rsidR="00403AB2">
          <w:rPr>
            <w:noProof/>
          </w:rPr>
          <w:t>13</w:t>
        </w:r>
      </w:fldSimple>
      <w:r>
        <w:t>: Related serious adverse events across Studies 004 to 008, and Study PRIO1C and PRIO2C</w:t>
      </w:r>
    </w:p>
    <w:p w14:paraId="1DC84320" w14:textId="156E7092" w:rsidR="0060638D" w:rsidRDefault="0060638D" w:rsidP="00476AB8">
      <w:pPr>
        <w:pStyle w:val="ListBullet"/>
        <w:numPr>
          <w:ilvl w:val="0"/>
          <w:numId w:val="0"/>
        </w:numPr>
        <w:ind w:left="360" w:hanging="360"/>
        <w:rPr>
          <w:rFonts w:ascii="Calibri" w:eastAsia="Calibri" w:hAnsi="Calibri"/>
        </w:rPr>
      </w:pPr>
      <w:r>
        <w:rPr>
          <w:noProof/>
          <w:lang w:val="en-GB" w:eastAsia="en-GB"/>
        </w:rPr>
        <w:drawing>
          <wp:inline distT="0" distB="0" distL="0" distR="0" wp14:anchorId="097CC46A" wp14:editId="457810DD">
            <wp:extent cx="5214474" cy="2258419"/>
            <wp:effectExtent l="0" t="0" r="5715" b="8890"/>
            <wp:docPr id="3" name="Picture 3" descr="Related SAEs across Studies 004, 005, 006, 007, 008 and PRIO1C and PRIO2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lated SAEs across Studies 004, 005, 006, 007, 008 and PRIO1C and PRIO2C  "/>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22963" cy="2262096"/>
                    </a:xfrm>
                    <a:prstGeom prst="rect">
                      <a:avLst/>
                    </a:prstGeom>
                    <a:noFill/>
                    <a:ln>
                      <a:noFill/>
                    </a:ln>
                  </pic:spPr>
                </pic:pic>
              </a:graphicData>
            </a:graphic>
          </wp:inline>
        </w:drawing>
      </w:r>
    </w:p>
    <w:p w14:paraId="26C3F007" w14:textId="3B34673D" w:rsidR="0060638D" w:rsidRDefault="0060638D" w:rsidP="00476AB8">
      <w:pPr>
        <w:pStyle w:val="ListBullet"/>
        <w:numPr>
          <w:ilvl w:val="0"/>
          <w:numId w:val="0"/>
        </w:numPr>
      </w:pPr>
      <w:r>
        <w:t xml:space="preserve">A total of 7 deaths were reported in </w:t>
      </w:r>
      <w:r w:rsidR="00231E7B">
        <w:t>S</w:t>
      </w:r>
      <w:r>
        <w:t xml:space="preserve">tudies 005 and 006. No deaths were reported in </w:t>
      </w:r>
      <w:r w:rsidR="00231E7B">
        <w:t>S</w:t>
      </w:r>
      <w:r>
        <w:t>tudies 004, 007, 008 and PRI01C. No death was considered related to study vaccines.</w:t>
      </w:r>
    </w:p>
    <w:p w14:paraId="45DC085F" w14:textId="205A65BC" w:rsidR="0060638D" w:rsidRDefault="0060638D" w:rsidP="00476AB8">
      <w:pPr>
        <w:pStyle w:val="ListBullet"/>
        <w:numPr>
          <w:ilvl w:val="0"/>
          <w:numId w:val="0"/>
        </w:numPr>
      </w:pPr>
      <w:r>
        <w:t>Of the 12 (</w:t>
      </w:r>
      <w:r w:rsidR="00272FE2">
        <w:t>Vaxelis vaccine</w:t>
      </w:r>
      <w:r>
        <w:t xml:space="preserve"> group) and 10 (</w:t>
      </w:r>
      <w:r w:rsidR="003968D2">
        <w:t>control group</w:t>
      </w:r>
      <w:r>
        <w:t xml:space="preserve">) subjects who discontinued due to an AE in the 6 combined studies dataset, 9 subjects discontinued in </w:t>
      </w:r>
      <w:r w:rsidR="00231E7B">
        <w:t>S</w:t>
      </w:r>
      <w:r>
        <w:t xml:space="preserve">tudies 007/008, of which 8 were in </w:t>
      </w:r>
      <w:r w:rsidR="00231E7B">
        <w:t xml:space="preserve">Infanrix Hexa </w:t>
      </w:r>
      <w:r>
        <w:t>group. The one subject in</w:t>
      </w:r>
      <w:r w:rsidR="00F5559E">
        <w:t xml:space="preserve"> Vaxelis vaccine </w:t>
      </w:r>
      <w:r>
        <w:t xml:space="preserve">group discontinued due to an unrelated </w:t>
      </w:r>
      <w:r w:rsidR="001E01EA">
        <w:t xml:space="preserve">serious adverse event </w:t>
      </w:r>
      <w:r>
        <w:t xml:space="preserve">of congenital heart disease. </w:t>
      </w:r>
    </w:p>
    <w:p w14:paraId="632F1FA4" w14:textId="5B663A11" w:rsidR="00231E7B" w:rsidRDefault="0060638D" w:rsidP="00403AB2">
      <w:pPr>
        <w:pStyle w:val="ListBullet"/>
        <w:numPr>
          <w:ilvl w:val="0"/>
          <w:numId w:val="0"/>
        </w:numPr>
      </w:pPr>
      <w:r>
        <w:lastRenderedPageBreak/>
        <w:t xml:space="preserve">Regarding concomitant vaccinations, data across studies indicated that </w:t>
      </w:r>
      <w:r w:rsidR="00272FE2">
        <w:t>Vaxelis vaccine</w:t>
      </w:r>
      <w:r>
        <w:t xml:space="preserve"> co</w:t>
      </w:r>
      <w:r w:rsidR="00231E7B">
        <w:noBreakHyphen/>
      </w:r>
      <w:r>
        <w:t>administered with Prevenar 13</w:t>
      </w:r>
      <w:r w:rsidR="001E01EA">
        <w:t>;</w:t>
      </w:r>
      <w:r w:rsidR="001E01EA">
        <w:rPr>
          <w:rStyle w:val="FootnoteReference"/>
        </w:rPr>
        <w:footnoteReference w:id="16"/>
      </w:r>
      <w:r>
        <w:t xml:space="preserve"> for the toddler dose induces a higher rate of fever than other combinations</w:t>
      </w:r>
      <w:r w:rsidR="00231E7B">
        <w:t xml:space="preserve"> (Table 1</w:t>
      </w:r>
      <w:r w:rsidR="006356CC">
        <w:t>5</w:t>
      </w:r>
      <w:r w:rsidR="00231E7B">
        <w:t>)</w:t>
      </w:r>
      <w:r>
        <w:t>. A statement to this effect is proposed for inclusion in the PI.</w:t>
      </w:r>
    </w:p>
    <w:p w14:paraId="2C8FA86A" w14:textId="190E7B62" w:rsidR="006356CC" w:rsidRDefault="006356CC" w:rsidP="00403AB2">
      <w:pPr>
        <w:pStyle w:val="Tabletitle0"/>
      </w:pPr>
      <w:r>
        <w:t xml:space="preserve">Table </w:t>
      </w:r>
      <w:fldSimple w:instr=" SEQ Table \* ARABIC ">
        <w:r w:rsidR="00403AB2">
          <w:rPr>
            <w:noProof/>
          </w:rPr>
          <w:t>14</w:t>
        </w:r>
      </w:fldSimple>
      <w:r>
        <w:t>: Rates of pyrexia at the 2 month dose and the toddler dose in Studies 005, 006, 007 and 008</w:t>
      </w:r>
    </w:p>
    <w:p w14:paraId="3BD72044" w14:textId="3FC0516E" w:rsidR="0060638D" w:rsidRDefault="0060638D" w:rsidP="00476AB8">
      <w:pPr>
        <w:pStyle w:val="ListBullet"/>
        <w:numPr>
          <w:ilvl w:val="0"/>
          <w:numId w:val="0"/>
        </w:numPr>
        <w:rPr>
          <w:lang w:eastAsia="ja-JP"/>
        </w:rPr>
      </w:pPr>
      <w:r>
        <w:rPr>
          <w:noProof/>
          <w:lang w:val="en-GB" w:eastAsia="en-GB"/>
        </w:rPr>
        <w:drawing>
          <wp:inline distT="0" distB="0" distL="0" distR="0" wp14:anchorId="1287C0B2" wp14:editId="588EF0E3">
            <wp:extent cx="4296367" cy="1561908"/>
            <wp:effectExtent l="0" t="0" r="0" b="635"/>
            <wp:docPr id="2" name="Picture 2" descr="Rates of pyrexia at the 2 month dose and the toddler dose in Studies 005, 006, 007 and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tes of pyrexia at the 2 month dose and the toddler dose in Studies 005, 006, 007 and 008"/>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435" t="9114" r="4043"/>
                    <a:stretch/>
                  </pic:blipFill>
                  <pic:spPr bwMode="auto">
                    <a:xfrm>
                      <a:off x="0" y="0"/>
                      <a:ext cx="4309404" cy="1566647"/>
                    </a:xfrm>
                    <a:prstGeom prst="rect">
                      <a:avLst/>
                    </a:prstGeom>
                    <a:noFill/>
                    <a:ln>
                      <a:noFill/>
                    </a:ln>
                    <a:extLst>
                      <a:ext uri="{53640926-AAD7-44D8-BBD7-CCE9431645EC}">
                        <a14:shadowObscured xmlns:a14="http://schemas.microsoft.com/office/drawing/2010/main"/>
                      </a:ext>
                    </a:extLst>
                  </pic:spPr>
                </pic:pic>
              </a:graphicData>
            </a:graphic>
          </wp:inline>
        </w:drawing>
      </w:r>
    </w:p>
    <w:p w14:paraId="46FDA599" w14:textId="3DEA0014" w:rsidR="0060638D" w:rsidRDefault="0060638D" w:rsidP="00476AB8">
      <w:pPr>
        <w:pStyle w:val="ListBullet"/>
        <w:numPr>
          <w:ilvl w:val="0"/>
          <w:numId w:val="0"/>
        </w:numPr>
      </w:pPr>
      <w:r>
        <w:t xml:space="preserve">One year of post-market surveillance data are also available. </w:t>
      </w:r>
      <w:r w:rsidR="006A035F">
        <w:t>The clinical evaluat</w:t>
      </w:r>
      <w:r w:rsidR="006356CC">
        <w:t xml:space="preserve">ion </w:t>
      </w:r>
      <w:r w:rsidR="006A035F">
        <w:t xml:space="preserve">concluded that </w:t>
      </w:r>
      <w:r w:rsidR="006A035F">
        <w:rPr>
          <w:lang w:eastAsia="ja-JP"/>
        </w:rPr>
        <w:t>t</w:t>
      </w:r>
      <w:r w:rsidR="006A035F" w:rsidRPr="00E56CD8">
        <w:rPr>
          <w:lang w:eastAsia="ja-JP"/>
        </w:rPr>
        <w:t xml:space="preserve">here is no conclusive </w:t>
      </w:r>
      <w:r w:rsidR="006A035F">
        <w:rPr>
          <w:lang w:eastAsia="ja-JP"/>
        </w:rPr>
        <w:t xml:space="preserve">evidence </w:t>
      </w:r>
      <w:r w:rsidR="006A035F" w:rsidRPr="00E56CD8">
        <w:rPr>
          <w:lang w:eastAsia="ja-JP"/>
        </w:rPr>
        <w:t>of</w:t>
      </w:r>
      <w:r w:rsidR="006A035F">
        <w:rPr>
          <w:lang w:eastAsia="ja-JP"/>
        </w:rPr>
        <w:t xml:space="preserve"> </w:t>
      </w:r>
      <w:r w:rsidR="006A035F" w:rsidRPr="00E56CD8">
        <w:rPr>
          <w:lang w:eastAsia="ja-JP"/>
        </w:rPr>
        <w:t>vaccine failure in the post-marketing space.</w:t>
      </w:r>
    </w:p>
    <w:p w14:paraId="6F97AA6F" w14:textId="77777777" w:rsidR="008E7846" w:rsidRDefault="00386150" w:rsidP="007B6132">
      <w:pPr>
        <w:pStyle w:val="Heading3"/>
        <w:rPr>
          <w:lang w:eastAsia="en-AU"/>
        </w:rPr>
      </w:pPr>
      <w:bookmarkStart w:id="44" w:name="_Toc126332732"/>
      <w:r>
        <w:rPr>
          <w:lang w:eastAsia="en-AU"/>
        </w:rPr>
        <w:t>Risk m</w:t>
      </w:r>
      <w:r w:rsidR="008E7846">
        <w:rPr>
          <w:lang w:eastAsia="en-AU"/>
        </w:rPr>
        <w:t xml:space="preserve">anagement </w:t>
      </w:r>
      <w:r>
        <w:rPr>
          <w:lang w:eastAsia="en-AU"/>
        </w:rPr>
        <w:t>p</w:t>
      </w:r>
      <w:r w:rsidR="008E7846">
        <w:rPr>
          <w:lang w:eastAsia="en-AU"/>
        </w:rPr>
        <w:t>lan</w:t>
      </w:r>
      <w:bookmarkEnd w:id="41"/>
      <w:bookmarkEnd w:id="44"/>
    </w:p>
    <w:p w14:paraId="0AE7860C" w14:textId="5669AA75" w:rsidR="0060638D" w:rsidRDefault="0060638D" w:rsidP="00476AB8">
      <w:bookmarkStart w:id="45" w:name="_Toc247691531"/>
      <w:bookmarkStart w:id="46" w:name="_Toc314842515"/>
      <w:bookmarkStart w:id="47" w:name="_Toc196046505"/>
      <w:bookmarkStart w:id="48" w:name="_Toc196046949"/>
      <w:r>
        <w:t>The sponsor has provided EU</w:t>
      </w:r>
      <w:r w:rsidR="00885B44">
        <w:t xml:space="preserve"> </w:t>
      </w:r>
      <w:r w:rsidR="00F04E74">
        <w:t>ri</w:t>
      </w:r>
      <w:r w:rsidR="00885B44">
        <w:t>s</w:t>
      </w:r>
      <w:r w:rsidR="00F04E74">
        <w:t>k management plan (</w:t>
      </w:r>
      <w:r>
        <w:t>RMP</w:t>
      </w:r>
      <w:r w:rsidR="00F04E74">
        <w:t>)</w:t>
      </w:r>
      <w:r>
        <w:t xml:space="preserve"> version 3.1 (dated 25 February 2020; </w:t>
      </w:r>
      <w:r w:rsidR="00C44432">
        <w:t>data lock point (</w:t>
      </w:r>
      <w:r>
        <w:t>DLP</w:t>
      </w:r>
      <w:r w:rsidR="00C44432">
        <w:t>)</w:t>
      </w:r>
      <w:r>
        <w:t xml:space="preserve"> 3 October 2019) and </w:t>
      </w:r>
      <w:r w:rsidR="00C44432">
        <w:t>Australian Specific Annex (A</w:t>
      </w:r>
      <w:r>
        <w:t>SA</w:t>
      </w:r>
      <w:r w:rsidR="00C44432">
        <w:t>)</w:t>
      </w:r>
      <w:r>
        <w:t xml:space="preserve"> version 1.0 (dated April 2021) in support of this submission.</w:t>
      </w:r>
    </w:p>
    <w:p w14:paraId="4B41B621" w14:textId="38162E3F" w:rsidR="00F04E74" w:rsidRPr="0034338E" w:rsidRDefault="00F04E74" w:rsidP="00F04E74">
      <w:pPr>
        <w:pStyle w:val="Bulletlist"/>
        <w:numPr>
          <w:ilvl w:val="0"/>
          <w:numId w:val="0"/>
        </w:numPr>
        <w:snapToGrid/>
        <w:rPr>
          <w:kern w:val="0"/>
        </w:rPr>
      </w:pPr>
      <w:r w:rsidRPr="0034338E">
        <w:rPr>
          <w:kern w:val="0"/>
        </w:rPr>
        <w:t xml:space="preserve">There are no proposed safety concerns and therefore no routine risk minimisation activities. </w:t>
      </w:r>
      <w:r>
        <w:rPr>
          <w:kern w:val="0"/>
        </w:rPr>
        <w:t xml:space="preserve">This is consistent with the EU-RMP and is </w:t>
      </w:r>
      <w:r w:rsidR="003968D2">
        <w:rPr>
          <w:kern w:val="0"/>
        </w:rPr>
        <w:t xml:space="preserve">considered </w:t>
      </w:r>
      <w:r>
        <w:rPr>
          <w:kern w:val="0"/>
        </w:rPr>
        <w:t xml:space="preserve">acceptable. </w:t>
      </w:r>
    </w:p>
    <w:p w14:paraId="32F4FFA2" w14:textId="7FB9453C" w:rsidR="00F04E74" w:rsidRPr="004B710B" w:rsidRDefault="00F04E74" w:rsidP="00F04E74">
      <w:pPr>
        <w:pStyle w:val="Bulletlist"/>
        <w:numPr>
          <w:ilvl w:val="0"/>
          <w:numId w:val="0"/>
        </w:numPr>
        <w:snapToGrid/>
        <w:rPr>
          <w:kern w:val="0"/>
        </w:rPr>
      </w:pPr>
      <w:r w:rsidRPr="004B710B">
        <w:t>Routine pharmacovigilance is proposed to monitor any adverse events</w:t>
      </w:r>
      <w:r>
        <w:t xml:space="preserve"> and post market safety surveillance</w:t>
      </w:r>
      <w:r w:rsidRPr="004B710B">
        <w:t xml:space="preserve">. The </w:t>
      </w:r>
      <w:r>
        <w:t>s</w:t>
      </w:r>
      <w:r w:rsidRPr="004B710B">
        <w:t xml:space="preserve">ponsor proposes to submit </w:t>
      </w:r>
      <w:r w:rsidR="00885B44">
        <w:t>Postmarket safety update reports (</w:t>
      </w:r>
      <w:r w:rsidRPr="004B710B">
        <w:t>PSURs</w:t>
      </w:r>
      <w:r w:rsidR="00885B44">
        <w:t>)</w:t>
      </w:r>
      <w:r w:rsidRPr="004B710B">
        <w:t>/</w:t>
      </w:r>
      <w:r w:rsidR="00885B44" w:rsidRPr="00885B44">
        <w:rPr>
          <w:rFonts w:ascii="Arial" w:hAnsi="Arial" w:cs="Arial"/>
          <w:color w:val="4D5156"/>
          <w:sz w:val="21"/>
          <w:szCs w:val="21"/>
          <w:shd w:val="clear" w:color="auto" w:fill="FFFFFF"/>
        </w:rPr>
        <w:t xml:space="preserve"> </w:t>
      </w:r>
      <w:r w:rsidR="00885B44" w:rsidRPr="00885B44">
        <w:t>Periodic Benefit-Risk Evaluation Report (PBRER)</w:t>
      </w:r>
      <w:r w:rsidRPr="00885B44">
        <w:t xml:space="preserve"> for</w:t>
      </w:r>
      <w:r w:rsidRPr="004B710B">
        <w:t xml:space="preserve"> </w:t>
      </w:r>
      <w:r w:rsidRPr="00F04E74">
        <w:t>Vaxelis</w:t>
      </w:r>
      <w:r w:rsidRPr="004B710B">
        <w:t xml:space="preserve"> to the TGA annually for a total of three years post-registration. Th</w:t>
      </w:r>
      <w:r w:rsidRPr="004B710B">
        <w:rPr>
          <w:kern w:val="0"/>
        </w:rPr>
        <w:t xml:space="preserve">e timing of the first submission will be aligned with the EU PSUR reporting requirements which is </w:t>
      </w:r>
      <w:r w:rsidR="003968D2">
        <w:rPr>
          <w:kern w:val="0"/>
        </w:rPr>
        <w:t xml:space="preserve">considered </w:t>
      </w:r>
      <w:r w:rsidRPr="004B710B">
        <w:rPr>
          <w:kern w:val="0"/>
        </w:rPr>
        <w:t>acceptable.</w:t>
      </w:r>
    </w:p>
    <w:p w14:paraId="784117F4" w14:textId="2CCD192D" w:rsidR="00C44432" w:rsidRDefault="00C44432" w:rsidP="00C44432">
      <w:r>
        <w:t>The RMP evaluation area is supportive of RMP as proposed. There are no outstanding matters. Post market RMP/PSUR conditions of registration have been provided</w:t>
      </w:r>
      <w:r w:rsidR="00885B44">
        <w:t xml:space="preserve"> to the Delegate</w:t>
      </w:r>
      <w:r>
        <w:t>.</w:t>
      </w:r>
    </w:p>
    <w:p w14:paraId="47CF3D7B" w14:textId="2BCE0FF4" w:rsidR="0074163C" w:rsidRDefault="0074163C" w:rsidP="0074163C">
      <w:r>
        <w:t xml:space="preserve">Further information regarding </w:t>
      </w:r>
      <w:r w:rsidR="00CC5044">
        <w:t>the TGA</w:t>
      </w:r>
      <w:r w:rsidR="00BF7063">
        <w:t>’</w:t>
      </w:r>
      <w:r w:rsidR="00CC5044">
        <w:t>s r</w:t>
      </w:r>
      <w:r>
        <w:t xml:space="preserve">isk management approach can be found in </w:t>
      </w:r>
      <w:hyperlink r:id="rId44" w:history="1">
        <w:r w:rsidRPr="0023444E">
          <w:rPr>
            <w:rStyle w:val="Hyperlink"/>
          </w:rPr>
          <w:t>risk management plans for medicines and biologicals</w:t>
        </w:r>
      </w:hyperlink>
      <w:r>
        <w:t xml:space="preserve"> and </w:t>
      </w:r>
      <w:hyperlink r:id="rId45" w:history="1">
        <w:r w:rsidRPr="0023444E">
          <w:rPr>
            <w:rStyle w:val="Hyperlink"/>
          </w:rPr>
          <w:t>the TGA's risk management approach</w:t>
        </w:r>
      </w:hyperlink>
      <w:r>
        <w:t>.</w:t>
      </w:r>
    </w:p>
    <w:p w14:paraId="521CC2A5" w14:textId="77777777" w:rsidR="008E7846" w:rsidRDefault="00AA0ED0" w:rsidP="008E7846">
      <w:pPr>
        <w:pStyle w:val="Heading3"/>
      </w:pPr>
      <w:bookmarkStart w:id="49" w:name="_Toc126332733"/>
      <w:r>
        <w:lastRenderedPageBreak/>
        <w:t>Risk-benefit a</w:t>
      </w:r>
      <w:r w:rsidR="008E7846">
        <w:t>nalysis</w:t>
      </w:r>
      <w:bookmarkEnd w:id="45"/>
      <w:bookmarkEnd w:id="46"/>
      <w:bookmarkEnd w:id="49"/>
    </w:p>
    <w:p w14:paraId="346414F9" w14:textId="77777777" w:rsidR="0074163C" w:rsidRDefault="0074163C" w:rsidP="0074163C">
      <w:pPr>
        <w:pStyle w:val="Heading4"/>
      </w:pPr>
      <w:bookmarkStart w:id="50" w:name="_Toc98931932"/>
      <w:r>
        <w:t>Delegate’s considerations</w:t>
      </w:r>
      <w:bookmarkEnd w:id="50"/>
    </w:p>
    <w:p w14:paraId="361C5B83" w14:textId="6595EC05" w:rsidR="0060638D" w:rsidRPr="00476AB8" w:rsidRDefault="0060638D" w:rsidP="00476AB8">
      <w:bookmarkStart w:id="51" w:name="_Toc98931933"/>
      <w:r w:rsidRPr="00476AB8">
        <w:t xml:space="preserve">All predefined acceptability of response targets and non-inferior immunogenicity criteria were satisfactorily met </w:t>
      </w:r>
      <w:r w:rsidRPr="00272FE2">
        <w:t xml:space="preserve">for </w:t>
      </w:r>
      <w:r w:rsidR="00272FE2" w:rsidRPr="00272FE2">
        <w:t>Vaxelis vaccine</w:t>
      </w:r>
      <w:r w:rsidRPr="00272FE2">
        <w:t>. The overall</w:t>
      </w:r>
      <w:r w:rsidRPr="00476AB8">
        <w:t xml:space="preserve"> adverse effects profile was consistent with that expected of a </w:t>
      </w:r>
      <w:r w:rsidR="006356CC">
        <w:t xml:space="preserve">hexavalent </w:t>
      </w:r>
      <w:r w:rsidRPr="00476AB8">
        <w:t>DTPa-HB-IPV-HiB vaccine.</w:t>
      </w:r>
    </w:p>
    <w:p w14:paraId="78EF8A33" w14:textId="28107A80" w:rsidR="0060638D" w:rsidRPr="00476AB8" w:rsidRDefault="0060638D" w:rsidP="00476AB8">
      <w:r w:rsidRPr="00476AB8">
        <w:t xml:space="preserve">The results at the completion of post primary infant </w:t>
      </w:r>
      <w:r w:rsidRPr="00DB005D">
        <w:t>series allow straightforward conclusions across 4 studies (</w:t>
      </w:r>
      <w:r w:rsidR="00C44432" w:rsidRPr="00DB005D">
        <w:t xml:space="preserve">Studies </w:t>
      </w:r>
      <w:r w:rsidRPr="00DB005D">
        <w:t xml:space="preserve">005/006, 007, 008) for </w:t>
      </w:r>
      <w:r w:rsidR="00716699">
        <w:t xml:space="preserve">the </w:t>
      </w:r>
      <w:r w:rsidRPr="00DB005D">
        <w:t>(2, 3, 4</w:t>
      </w:r>
      <w:r w:rsidR="001E253D">
        <w:t xml:space="preserve"> months</w:t>
      </w:r>
      <w:r w:rsidRPr="00DB005D">
        <w:t>)</w:t>
      </w:r>
      <w:r w:rsidR="00C63E95" w:rsidRPr="00DB005D">
        <w:t>/ (</w:t>
      </w:r>
      <w:r w:rsidRPr="00DB005D">
        <w:t>2, 4, 6</w:t>
      </w:r>
      <w:r w:rsidR="006356CC">
        <w:t> </w:t>
      </w:r>
      <w:r w:rsidR="001E253D">
        <w:t>months</w:t>
      </w:r>
      <w:r w:rsidRPr="00DB005D">
        <w:t>)</w:t>
      </w:r>
      <w:r w:rsidR="00C63E95" w:rsidRPr="00DB005D">
        <w:t>/ (</w:t>
      </w:r>
      <w:r w:rsidRPr="00DB005D">
        <w:t>2, 4</w:t>
      </w:r>
      <w:r w:rsidR="001E253D">
        <w:t xml:space="preserve"> months</w:t>
      </w:r>
      <w:r w:rsidRPr="00DB005D">
        <w:t xml:space="preserve">) dose schedules. The pre-toddler dose analyses at </w:t>
      </w:r>
      <w:r w:rsidR="00C44432" w:rsidRPr="00DB005D">
        <w:t>M</w:t>
      </w:r>
      <w:r w:rsidRPr="00DB005D">
        <w:t>onth 15 also provides useful</w:t>
      </w:r>
      <w:r w:rsidRPr="00476AB8">
        <w:t xml:space="preserve"> information on (2, 4, 6</w:t>
      </w:r>
      <w:r w:rsidR="001E253D">
        <w:t xml:space="preserve"> months</w:t>
      </w:r>
      <w:r w:rsidRPr="00476AB8">
        <w:t>) primary series for its proximity to the (2,</w:t>
      </w:r>
      <w:r w:rsidR="006356CC">
        <w:t> </w:t>
      </w:r>
      <w:r w:rsidRPr="00476AB8">
        <w:t>4, 6</w:t>
      </w:r>
      <w:r w:rsidR="001E253D">
        <w:t xml:space="preserve"> months</w:t>
      </w:r>
      <w:r w:rsidRPr="00476AB8">
        <w:t>)</w:t>
      </w:r>
      <w:r w:rsidR="005D7CDE">
        <w:t xml:space="preserve"> and</w:t>
      </w:r>
      <w:r w:rsidRPr="00476AB8">
        <w:t xml:space="preserve"> (18</w:t>
      </w:r>
      <w:r w:rsidR="001E253D">
        <w:t xml:space="preserve"> month</w:t>
      </w:r>
      <w:r w:rsidR="005E070B">
        <w:t>s</w:t>
      </w:r>
      <w:r w:rsidRPr="00476AB8">
        <w:t>) infant schedule in Australia</w:t>
      </w:r>
      <w:r w:rsidR="00C44432">
        <w:t>.</w:t>
      </w:r>
    </w:p>
    <w:p w14:paraId="1895D006" w14:textId="602C41DD" w:rsidR="0060638D" w:rsidRPr="00476AB8" w:rsidRDefault="00272FE2" w:rsidP="00476AB8">
      <w:r>
        <w:t>Vaxelis vaccine</w:t>
      </w:r>
      <w:r w:rsidR="0060638D" w:rsidRPr="00476AB8">
        <w:t xml:space="preserve"> was not used as booster (toddler dose) in any group in either </w:t>
      </w:r>
      <w:r w:rsidR="003968D2">
        <w:t xml:space="preserve">the </w:t>
      </w:r>
      <w:r w:rsidR="0060638D" w:rsidRPr="00476AB8">
        <w:t>US</w:t>
      </w:r>
      <w:r w:rsidR="006356CC">
        <w:t> </w:t>
      </w:r>
      <w:r w:rsidR="0060638D" w:rsidRPr="00476AB8">
        <w:t>stud</w:t>
      </w:r>
      <w:r w:rsidR="006356CC">
        <w:t>ies</w:t>
      </w:r>
      <w:r w:rsidR="0060638D" w:rsidRPr="00476AB8">
        <w:t xml:space="preserve"> (</w:t>
      </w:r>
      <w:r w:rsidR="00885B44" w:rsidRPr="00476AB8">
        <w:t>Daptacel</w:t>
      </w:r>
      <w:r w:rsidR="006356CC">
        <w:t>;</w:t>
      </w:r>
      <w:r w:rsidR="006356CC">
        <w:rPr>
          <w:rStyle w:val="FootnoteReference"/>
        </w:rPr>
        <w:footnoteReference w:id="17"/>
      </w:r>
      <w:r w:rsidR="0060638D" w:rsidRPr="00476AB8">
        <w:t xml:space="preserve"> </w:t>
      </w:r>
      <w:r w:rsidR="006356CC">
        <w:t xml:space="preserve">was used </w:t>
      </w:r>
      <w:r w:rsidR="0060638D" w:rsidRPr="00476AB8">
        <w:t xml:space="preserve">in both groups in </w:t>
      </w:r>
      <w:r w:rsidR="00885B44">
        <w:t xml:space="preserve">Studies </w:t>
      </w:r>
      <w:r w:rsidR="0060638D" w:rsidRPr="00476AB8">
        <w:t xml:space="preserve">005 and </w:t>
      </w:r>
      <w:r w:rsidR="00885B44" w:rsidRPr="00476AB8">
        <w:t>Pentacel</w:t>
      </w:r>
      <w:r w:rsidR="006356CC">
        <w:t>;</w:t>
      </w:r>
      <w:r w:rsidR="006356CC">
        <w:rPr>
          <w:rStyle w:val="FootnoteReference"/>
        </w:rPr>
        <w:footnoteReference w:id="18"/>
      </w:r>
      <w:r w:rsidR="00885B44" w:rsidRPr="00476AB8">
        <w:t xml:space="preserve"> </w:t>
      </w:r>
      <w:r w:rsidR="0060638D" w:rsidRPr="00476AB8">
        <w:t xml:space="preserve">in both groups in </w:t>
      </w:r>
      <w:r w:rsidR="00C44432">
        <w:t xml:space="preserve">Study </w:t>
      </w:r>
      <w:r w:rsidR="0060638D" w:rsidRPr="00476AB8">
        <w:t xml:space="preserve">006). This limits the interpretation of post-toddler results in these studies with respect to </w:t>
      </w:r>
      <w:r w:rsidR="00C44432" w:rsidRPr="00476AB8">
        <w:t xml:space="preserve">Vaxelis </w:t>
      </w:r>
      <w:r w:rsidR="0060638D" w:rsidRPr="00476AB8">
        <w:t>but enhances the applicability by providing more diverse data. Overall, the comparators used in the US</w:t>
      </w:r>
      <w:r w:rsidR="00885B44">
        <w:t>A</w:t>
      </w:r>
      <w:r w:rsidR="0060638D" w:rsidRPr="00476AB8">
        <w:t xml:space="preserve"> studies </w:t>
      </w:r>
      <w:r w:rsidR="0060638D" w:rsidRPr="00272FE2">
        <w:t xml:space="preserve">are considered acceptable as equivalent vaccines are approved in Australia (except </w:t>
      </w:r>
      <w:r w:rsidR="00C44432" w:rsidRPr="00272FE2">
        <w:t xml:space="preserve">for </w:t>
      </w:r>
      <w:r w:rsidR="0060638D" w:rsidRPr="00272FE2">
        <w:t>PedvaxHiB 7.5</w:t>
      </w:r>
      <w:r w:rsidRPr="00272FE2">
        <w:t xml:space="preserve"> </w:t>
      </w:r>
      <w:r w:rsidR="0060638D" w:rsidRPr="00272FE2">
        <w:t>µg PRP-OMPC</w:t>
      </w:r>
      <w:bookmarkStart w:id="52" w:name="_Ref118901598"/>
      <w:r w:rsidRPr="00272FE2">
        <w:rPr>
          <w:rStyle w:val="FootnoteReference"/>
        </w:rPr>
        <w:footnoteReference w:id="19"/>
      </w:r>
      <w:bookmarkEnd w:id="52"/>
      <w:r w:rsidR="0060638D" w:rsidRPr="00272FE2">
        <w:t>).</w:t>
      </w:r>
    </w:p>
    <w:p w14:paraId="465A35A5" w14:textId="56566F17" w:rsidR="0060638D" w:rsidRPr="00476AB8" w:rsidRDefault="0060638D" w:rsidP="00476AB8">
      <w:r w:rsidRPr="00476AB8">
        <w:t xml:space="preserve">The EU </w:t>
      </w:r>
      <w:r w:rsidR="003968D2">
        <w:t>studies (</w:t>
      </w:r>
      <w:r w:rsidR="00C44432">
        <w:t>S</w:t>
      </w:r>
      <w:r w:rsidRPr="00476AB8">
        <w:t>tudies 007 and 008</w:t>
      </w:r>
      <w:r w:rsidR="003968D2">
        <w:t>)</w:t>
      </w:r>
      <w:r w:rsidRPr="00476AB8">
        <w:t xml:space="preserve"> provide direct comparison of </w:t>
      </w:r>
      <w:r w:rsidR="00272FE2">
        <w:t>Vaxelis vaccine</w:t>
      </w:r>
      <w:r w:rsidRPr="00476AB8">
        <w:t xml:space="preserve"> v</w:t>
      </w:r>
      <w:r w:rsidR="00C44432">
        <w:t>ersus</w:t>
      </w:r>
      <w:r w:rsidRPr="00476AB8">
        <w:t xml:space="preserve"> </w:t>
      </w:r>
      <w:r w:rsidR="00C44432" w:rsidRPr="00476AB8">
        <w:t xml:space="preserve">Infanrix Hexa </w:t>
      </w:r>
      <w:r w:rsidRPr="00476AB8">
        <w:t xml:space="preserve">in primary series and as boosters (toddler dose). This is important as </w:t>
      </w:r>
      <w:r w:rsidR="00C44432" w:rsidRPr="00476AB8">
        <w:t xml:space="preserve">Infanrix Hexa </w:t>
      </w:r>
      <w:r w:rsidRPr="00476AB8">
        <w:t>is currently being used in Australia for childhood vaccination. However, the vaccine schedules examined were (2, 3, 4</w:t>
      </w:r>
      <w:r w:rsidR="001E253D">
        <w:t xml:space="preserve"> months</w:t>
      </w:r>
      <w:r w:rsidRPr="00476AB8">
        <w:t>) (11</w:t>
      </w:r>
      <w:r w:rsidR="006356CC">
        <w:t xml:space="preserve"> to </w:t>
      </w:r>
      <w:r w:rsidRPr="00476AB8">
        <w:t>12</w:t>
      </w:r>
      <w:r w:rsidR="001E253D">
        <w:t xml:space="preserve"> months</w:t>
      </w:r>
      <w:r w:rsidRPr="00476AB8">
        <w:t xml:space="preserve">) in </w:t>
      </w:r>
      <w:r w:rsidR="00C44432">
        <w:t>S</w:t>
      </w:r>
      <w:r w:rsidRPr="00476AB8">
        <w:t>tudy 007 and (2,</w:t>
      </w:r>
      <w:r w:rsidR="006356CC">
        <w:t> </w:t>
      </w:r>
      <w:r w:rsidRPr="00476AB8">
        <w:t>4</w:t>
      </w:r>
      <w:r w:rsidR="006356CC">
        <w:t> </w:t>
      </w:r>
      <w:r w:rsidR="001E253D">
        <w:t>months</w:t>
      </w:r>
      <w:r w:rsidRPr="00476AB8">
        <w:t>)</w:t>
      </w:r>
      <w:r w:rsidR="005D7CDE">
        <w:t xml:space="preserve"> and</w:t>
      </w:r>
      <w:r w:rsidRPr="00476AB8">
        <w:t xml:space="preserve"> (11</w:t>
      </w:r>
      <w:r w:rsidR="006356CC">
        <w:t xml:space="preserve"> to </w:t>
      </w:r>
      <w:r w:rsidRPr="00476AB8">
        <w:t>12</w:t>
      </w:r>
      <w:r w:rsidR="001E253D">
        <w:t xml:space="preserve"> months</w:t>
      </w:r>
      <w:r w:rsidRPr="00476AB8">
        <w:t xml:space="preserve">) in </w:t>
      </w:r>
      <w:r w:rsidR="00C44432">
        <w:t>S</w:t>
      </w:r>
      <w:r w:rsidRPr="00476AB8">
        <w:t>tudy 008.</w:t>
      </w:r>
    </w:p>
    <w:p w14:paraId="0DC8CF04" w14:textId="4CF09920" w:rsidR="0060638D" w:rsidRDefault="0060638D" w:rsidP="00476AB8">
      <w:r w:rsidRPr="00476AB8">
        <w:t xml:space="preserve">Noticeable findings amongst the immunogenicity results </w:t>
      </w:r>
      <w:r w:rsidR="00885B44">
        <w:t>are described below</w:t>
      </w:r>
      <w:r w:rsidR="006356CC">
        <w:t>.</w:t>
      </w:r>
    </w:p>
    <w:p w14:paraId="6BBA7849" w14:textId="452F3D50" w:rsidR="0060638D" w:rsidRDefault="0060638D" w:rsidP="00C44432">
      <w:pPr>
        <w:pStyle w:val="Heading5"/>
        <w:rPr>
          <w:rFonts w:eastAsia="Calibri"/>
        </w:rPr>
      </w:pPr>
      <w:r>
        <w:rPr>
          <w:rFonts w:eastAsia="Calibri"/>
        </w:rPr>
        <w:t xml:space="preserve">Relatively lower </w:t>
      </w:r>
      <w:r w:rsidR="006356CC" w:rsidRPr="006356CC">
        <w:rPr>
          <w:rFonts w:eastAsia="Calibri"/>
        </w:rPr>
        <w:t>Haemophilus influenzae type B</w:t>
      </w:r>
      <w:r w:rsidR="006356CC" w:rsidRPr="006356CC" w:rsidDel="006356CC">
        <w:rPr>
          <w:rFonts w:eastAsia="Calibri"/>
        </w:rPr>
        <w:t xml:space="preserve"> </w:t>
      </w:r>
      <w:r>
        <w:rPr>
          <w:rFonts w:eastAsia="Calibri"/>
        </w:rPr>
        <w:t>response after toddler dose</w:t>
      </w:r>
    </w:p>
    <w:p w14:paraId="6BA56C52" w14:textId="7C6360D9" w:rsidR="0060638D" w:rsidRPr="00476AB8" w:rsidRDefault="0060638D" w:rsidP="00476AB8">
      <w:r w:rsidRPr="00476AB8">
        <w:t>Although, post</w:t>
      </w:r>
      <w:r w:rsidR="006356CC">
        <w:t>-</w:t>
      </w:r>
      <w:r w:rsidRPr="00476AB8">
        <w:t>toddler dose seroprotection rates were high (99</w:t>
      </w:r>
      <w:r w:rsidR="006356CC">
        <w:t xml:space="preserve"> to </w:t>
      </w:r>
      <w:r w:rsidRPr="00476AB8">
        <w:t xml:space="preserve">100% for </w:t>
      </w:r>
      <w:r w:rsidR="006356CC">
        <w:t>percentage</w:t>
      </w:r>
      <w:r w:rsidRPr="00476AB8">
        <w:t xml:space="preserve"> with titre</w:t>
      </w:r>
      <w:r w:rsidR="00073AA3">
        <w:t xml:space="preserve"> ≥</w:t>
      </w:r>
      <w:r w:rsidR="001E253D">
        <w:t> </w:t>
      </w:r>
      <w:r w:rsidRPr="00476AB8">
        <w:t>0.15</w:t>
      </w:r>
      <w:r w:rsidR="00885B44">
        <w:t xml:space="preserve"> </w:t>
      </w:r>
      <w:r w:rsidRPr="00476AB8">
        <w:t>µg/mL and 89%</w:t>
      </w:r>
      <w:r w:rsidR="006356CC">
        <w:t xml:space="preserve"> to </w:t>
      </w:r>
      <w:r w:rsidRPr="00476AB8">
        <w:t xml:space="preserve">99% for </w:t>
      </w:r>
      <w:r w:rsidR="006356CC">
        <w:t>percentage</w:t>
      </w:r>
      <w:r w:rsidRPr="00476AB8">
        <w:t xml:space="preserve"> with titre</w:t>
      </w:r>
      <w:r w:rsidR="00073AA3">
        <w:t xml:space="preserve"> ≥ </w:t>
      </w:r>
      <w:r w:rsidRPr="00476AB8">
        <w:t>1.0</w:t>
      </w:r>
      <w:r w:rsidR="00C44432">
        <w:t xml:space="preserve"> </w:t>
      </w:r>
      <w:r w:rsidRPr="00476AB8">
        <w:t xml:space="preserve">µg/mL) and comparable </w:t>
      </w:r>
      <w:r w:rsidR="005E070B">
        <w:t xml:space="preserve">in the </w:t>
      </w:r>
      <w:r w:rsidR="00272FE2">
        <w:t>Vaxelis vaccine</w:t>
      </w:r>
      <w:r w:rsidR="00C44432">
        <w:t xml:space="preserve"> </w:t>
      </w:r>
      <w:r w:rsidR="005E070B">
        <w:t>groups and their</w:t>
      </w:r>
      <w:r w:rsidR="00C44432">
        <w:t xml:space="preserve"> </w:t>
      </w:r>
      <w:r w:rsidRPr="00476AB8">
        <w:t>respective control</w:t>
      </w:r>
      <w:r w:rsidR="005E070B">
        <w:t xml:space="preserve"> group</w:t>
      </w:r>
      <w:r w:rsidRPr="00476AB8">
        <w:t>s across the 4</w:t>
      </w:r>
      <w:r w:rsidR="00A75764">
        <w:t> </w:t>
      </w:r>
      <w:r w:rsidRPr="00476AB8">
        <w:t xml:space="preserve">studies, the GMTs were found to be lower with </w:t>
      </w:r>
      <w:r w:rsidR="005E070B">
        <w:t xml:space="preserve">the </w:t>
      </w:r>
      <w:r w:rsidR="00272FE2">
        <w:t>Vaxelis vaccine</w:t>
      </w:r>
      <w:r w:rsidRPr="00476AB8">
        <w:t xml:space="preserve"> compared to </w:t>
      </w:r>
      <w:r w:rsidR="005E070B">
        <w:t xml:space="preserve">the </w:t>
      </w:r>
      <w:r w:rsidR="00AB1F6A">
        <w:t>control</w:t>
      </w:r>
      <w:r w:rsidRPr="00476AB8">
        <w:t xml:space="preserve"> in </w:t>
      </w:r>
      <w:r w:rsidR="00C44432">
        <w:t>Stud</w:t>
      </w:r>
      <w:r w:rsidR="008632F8">
        <w:t xml:space="preserve">ies </w:t>
      </w:r>
      <w:r w:rsidRPr="00476AB8">
        <w:t>005 (8.44</w:t>
      </w:r>
      <w:r w:rsidR="00C44432">
        <w:t xml:space="preserve"> versus </w:t>
      </w:r>
      <w:r w:rsidRPr="00476AB8">
        <w:t>17.21), 007 (6.79</w:t>
      </w:r>
      <w:r w:rsidR="00C44432">
        <w:t xml:space="preserve"> versus </w:t>
      </w:r>
      <w:r w:rsidRPr="00476AB8">
        <w:t>21.39) and 008 (4.43</w:t>
      </w:r>
      <w:r w:rsidR="00C44432">
        <w:t xml:space="preserve"> versus </w:t>
      </w:r>
      <w:r w:rsidRPr="00476AB8">
        <w:t>7.76) but higher in the lot</w:t>
      </w:r>
      <w:r w:rsidR="003968D2">
        <w:t>-</w:t>
      </w:r>
      <w:r w:rsidRPr="00476AB8">
        <w:t>to</w:t>
      </w:r>
      <w:r w:rsidR="003968D2">
        <w:t>-</w:t>
      </w:r>
      <w:r w:rsidRPr="00476AB8">
        <w:t xml:space="preserve">lot consistency </w:t>
      </w:r>
      <w:r w:rsidR="008632F8">
        <w:t>S</w:t>
      </w:r>
      <w:r w:rsidRPr="00476AB8">
        <w:t>tudy 006 (49.41</w:t>
      </w:r>
      <w:r w:rsidR="00C44432">
        <w:t xml:space="preserve"> versus </w:t>
      </w:r>
      <w:r w:rsidRPr="00476AB8">
        <w:t>19.17). This was an unexpected finding given that post</w:t>
      </w:r>
      <w:r w:rsidR="00A75764">
        <w:t>-</w:t>
      </w:r>
      <w:r w:rsidRPr="00476AB8">
        <w:t xml:space="preserve">primary seroprotection rates and GMTs </w:t>
      </w:r>
      <w:r w:rsidR="00A75764">
        <w:t>(</w:t>
      </w:r>
      <w:r w:rsidRPr="00476AB8">
        <w:t>5.75</w:t>
      </w:r>
      <w:r w:rsidR="00C44432">
        <w:t xml:space="preserve"> versus </w:t>
      </w:r>
      <w:r w:rsidRPr="00476AB8">
        <w:t>3.42 (</w:t>
      </w:r>
      <w:r w:rsidR="008632F8">
        <w:t xml:space="preserve">Studies </w:t>
      </w:r>
      <w:r w:rsidRPr="00476AB8">
        <w:t>005/006), 3.90</w:t>
      </w:r>
      <w:r w:rsidR="00C44432">
        <w:t xml:space="preserve"> versus </w:t>
      </w:r>
      <w:r w:rsidRPr="00476AB8">
        <w:t>0.65 (</w:t>
      </w:r>
      <w:r w:rsidR="00885B44">
        <w:t xml:space="preserve">Study </w:t>
      </w:r>
      <w:r w:rsidRPr="00476AB8">
        <w:t>007) and 2.38</w:t>
      </w:r>
      <w:r w:rsidR="00C44432">
        <w:t xml:space="preserve"> versus </w:t>
      </w:r>
      <w:r w:rsidRPr="00476AB8">
        <w:t>0.46 (</w:t>
      </w:r>
      <w:r w:rsidR="00885B44">
        <w:t xml:space="preserve">Study </w:t>
      </w:r>
      <w:r w:rsidRPr="00476AB8">
        <w:t>008)</w:t>
      </w:r>
      <w:r w:rsidR="00A75764">
        <w:t>)</w:t>
      </w:r>
      <w:r w:rsidRPr="00476AB8">
        <w:t xml:space="preserve"> were higher with </w:t>
      </w:r>
      <w:r w:rsidR="00272FE2">
        <w:t>Vaxelis vaccine</w:t>
      </w:r>
      <w:r w:rsidR="00C44432">
        <w:t xml:space="preserve"> versus </w:t>
      </w:r>
      <w:r w:rsidRPr="00476AB8">
        <w:t>respective controls. The antibodies further declined in both groups but the pre toddler dose seroprotection rates (</w:t>
      </w:r>
      <w:r w:rsidR="00A75764">
        <w:t>percentage</w:t>
      </w:r>
      <w:r w:rsidRPr="00476AB8">
        <w:t xml:space="preserve"> with titre</w:t>
      </w:r>
      <w:r w:rsidR="00073AA3">
        <w:t xml:space="preserve"> ≥</w:t>
      </w:r>
      <w:r w:rsidR="00A75764">
        <w:t> </w:t>
      </w:r>
      <w:r w:rsidRPr="00476AB8">
        <w:t>1.0</w:t>
      </w:r>
      <w:r w:rsidR="00A75764">
        <w:t> </w:t>
      </w:r>
      <w:r w:rsidRPr="00476AB8">
        <w:t xml:space="preserve">µg/mL) still favoured </w:t>
      </w:r>
      <w:r w:rsidR="005E070B">
        <w:t xml:space="preserve">the </w:t>
      </w:r>
      <w:r w:rsidR="00272FE2">
        <w:t>Vaxelis vaccine</w:t>
      </w:r>
      <w:r w:rsidR="00C44432">
        <w:t xml:space="preserve"> versus </w:t>
      </w:r>
      <w:r w:rsidR="005E070B">
        <w:t>the</w:t>
      </w:r>
      <w:r w:rsidRPr="00476AB8">
        <w:t xml:space="preserve"> control</w:t>
      </w:r>
      <w:r w:rsidR="005E070B">
        <w:t>s</w:t>
      </w:r>
      <w:r w:rsidRPr="00476AB8">
        <w:t xml:space="preserve"> </w:t>
      </w:r>
      <w:r w:rsidR="00A75764">
        <w:t>(</w:t>
      </w:r>
      <w:r w:rsidRPr="00476AB8">
        <w:t>42%</w:t>
      </w:r>
      <w:r w:rsidR="00C44432">
        <w:t xml:space="preserve"> versus </w:t>
      </w:r>
      <w:r w:rsidRPr="00476AB8">
        <w:t>27% (</w:t>
      </w:r>
      <w:r w:rsidR="00885B44">
        <w:t xml:space="preserve">Study </w:t>
      </w:r>
      <w:r w:rsidRPr="00476AB8">
        <w:t>005), 43%</w:t>
      </w:r>
      <w:r w:rsidR="00C44432">
        <w:t xml:space="preserve"> versus </w:t>
      </w:r>
      <w:r w:rsidRPr="00476AB8">
        <w:t>29% (006), 57%</w:t>
      </w:r>
      <w:r w:rsidR="00C44432">
        <w:t xml:space="preserve"> versus </w:t>
      </w:r>
      <w:r w:rsidRPr="00476AB8">
        <w:t>11% (</w:t>
      </w:r>
      <w:r w:rsidR="00885B44">
        <w:t xml:space="preserve">Study </w:t>
      </w:r>
      <w:r w:rsidRPr="00476AB8">
        <w:t>007) and 50%</w:t>
      </w:r>
      <w:r w:rsidR="00C44432">
        <w:t xml:space="preserve"> versus </w:t>
      </w:r>
      <w:r w:rsidRPr="00476AB8">
        <w:t>10% (</w:t>
      </w:r>
      <w:r w:rsidR="00885B44">
        <w:t xml:space="preserve">Study </w:t>
      </w:r>
      <w:r w:rsidRPr="00476AB8">
        <w:t>008)</w:t>
      </w:r>
      <w:r w:rsidR="00A75764">
        <w:t>)</w:t>
      </w:r>
      <w:r w:rsidRPr="00476AB8">
        <w:t xml:space="preserve"> and the pre-toddler dose GMTs were consistently higher with </w:t>
      </w:r>
      <w:r w:rsidR="00272FE2">
        <w:t>Vaxelis vaccine</w:t>
      </w:r>
      <w:r w:rsidR="00C44432">
        <w:t xml:space="preserve"> versus </w:t>
      </w:r>
      <w:r w:rsidRPr="00476AB8">
        <w:t xml:space="preserve">respective controls </w:t>
      </w:r>
      <w:r w:rsidR="00A75764">
        <w:t>(</w:t>
      </w:r>
      <w:r w:rsidRPr="00476AB8">
        <w:t>0.81</w:t>
      </w:r>
      <w:r w:rsidR="00C44432">
        <w:t xml:space="preserve"> versus </w:t>
      </w:r>
      <w:r w:rsidRPr="00476AB8">
        <w:t>0.42 (</w:t>
      </w:r>
      <w:r w:rsidR="00885B44">
        <w:t xml:space="preserve">Study </w:t>
      </w:r>
      <w:r w:rsidRPr="00476AB8">
        <w:t>005), 0.80</w:t>
      </w:r>
      <w:r w:rsidR="00C44432">
        <w:t xml:space="preserve"> versus </w:t>
      </w:r>
      <w:r w:rsidRPr="00476AB8">
        <w:t>0.42 (</w:t>
      </w:r>
      <w:r w:rsidR="00885B44">
        <w:t xml:space="preserve">Study </w:t>
      </w:r>
      <w:r w:rsidRPr="00476AB8">
        <w:t>006), 1.19</w:t>
      </w:r>
      <w:r w:rsidR="00C44432">
        <w:t xml:space="preserve"> versus </w:t>
      </w:r>
      <w:r w:rsidRPr="00476AB8">
        <w:t>0.24 (</w:t>
      </w:r>
      <w:r w:rsidR="00885B44">
        <w:t xml:space="preserve">Study </w:t>
      </w:r>
      <w:r w:rsidRPr="00476AB8">
        <w:t>007) and 0.94</w:t>
      </w:r>
      <w:r w:rsidR="00C44432">
        <w:t xml:space="preserve"> versus </w:t>
      </w:r>
      <w:r w:rsidRPr="00476AB8">
        <w:t xml:space="preserve">0.17 </w:t>
      </w:r>
      <w:r w:rsidR="005D7CDE">
        <w:t>(</w:t>
      </w:r>
      <w:r w:rsidR="00885B44">
        <w:t xml:space="preserve">Study </w:t>
      </w:r>
      <w:r w:rsidRPr="00476AB8">
        <w:t>(008)</w:t>
      </w:r>
      <w:r w:rsidR="00A75764">
        <w:t>)</w:t>
      </w:r>
      <w:r w:rsidRPr="00476AB8">
        <w:t>.</w:t>
      </w:r>
    </w:p>
    <w:p w14:paraId="443983E5" w14:textId="61507DA4" w:rsidR="0060638D" w:rsidRPr="003968D2" w:rsidRDefault="0060638D" w:rsidP="00476AB8">
      <w:r w:rsidRPr="00476AB8">
        <w:t xml:space="preserve">Overall, however, </w:t>
      </w:r>
      <w:r w:rsidRPr="003968D2">
        <w:t xml:space="preserve">the </w:t>
      </w:r>
      <w:r w:rsidR="008632F8" w:rsidRPr="003968D2">
        <w:t>anti-</w:t>
      </w:r>
      <w:r w:rsidR="004D6B64" w:rsidRPr="003968D2">
        <w:t xml:space="preserve">polyribosylribitol phosphate </w:t>
      </w:r>
      <w:r w:rsidR="008632F8" w:rsidRPr="003968D2">
        <w:t>(</w:t>
      </w:r>
      <w:r w:rsidRPr="003968D2">
        <w:t>anti-PRP</w:t>
      </w:r>
      <w:r w:rsidR="008632F8" w:rsidRPr="003968D2">
        <w:t>)</w:t>
      </w:r>
      <w:r w:rsidRPr="003968D2">
        <w:t xml:space="preserve"> response with </w:t>
      </w:r>
      <w:r w:rsidR="00272FE2" w:rsidRPr="003968D2">
        <w:t>Vaxelis vaccine</w:t>
      </w:r>
      <w:r w:rsidRPr="003968D2">
        <w:t xml:space="preserve"> is considered satisfactory and stronger </w:t>
      </w:r>
      <w:r w:rsidR="005F50A7" w:rsidRPr="003968D2">
        <w:t xml:space="preserve">relatively </w:t>
      </w:r>
      <w:r w:rsidR="005F50A7">
        <w:t>to</w:t>
      </w:r>
      <w:r w:rsidRPr="003968D2">
        <w:t xml:space="preserve"> the comparators in these studies</w:t>
      </w:r>
      <w:r w:rsidR="005F50A7">
        <w:t>,</w:t>
      </w:r>
      <w:r w:rsidRPr="003968D2">
        <w:t xml:space="preserve"> particularly post</w:t>
      </w:r>
      <w:r w:rsidR="00A75764">
        <w:t>-</w:t>
      </w:r>
      <w:r w:rsidRPr="003968D2">
        <w:t>primary.</w:t>
      </w:r>
    </w:p>
    <w:p w14:paraId="6D85B6A4" w14:textId="2716189D" w:rsidR="0060638D" w:rsidRPr="00476AB8" w:rsidRDefault="0060638D" w:rsidP="00476AB8">
      <w:r w:rsidRPr="00476AB8">
        <w:t xml:space="preserve">Note that PRP antigen in </w:t>
      </w:r>
      <w:r w:rsidR="00272FE2">
        <w:t>Vaxelis vaccine</w:t>
      </w:r>
      <w:r w:rsidRPr="00476AB8">
        <w:t xml:space="preserve"> is conjugated to meningococcal outer membrane carrier protein. </w:t>
      </w:r>
      <w:r w:rsidRPr="00272FE2">
        <w:t>The PRP-OMPC</w:t>
      </w:r>
      <w:r w:rsidR="00272FE2" w:rsidRPr="00272FE2">
        <w:rPr>
          <w:vertAlign w:val="superscript"/>
        </w:rPr>
        <w:fldChar w:fldCharType="begin"/>
      </w:r>
      <w:r w:rsidR="00272FE2" w:rsidRPr="00272FE2">
        <w:rPr>
          <w:vertAlign w:val="superscript"/>
        </w:rPr>
        <w:instrText xml:space="preserve"> NOTEREF _Ref118901598 \h  \* MERGEFORMAT </w:instrText>
      </w:r>
      <w:r w:rsidR="00272FE2" w:rsidRPr="00272FE2">
        <w:rPr>
          <w:vertAlign w:val="superscript"/>
        </w:rPr>
      </w:r>
      <w:r w:rsidR="00272FE2" w:rsidRPr="00272FE2">
        <w:rPr>
          <w:vertAlign w:val="superscript"/>
        </w:rPr>
        <w:fldChar w:fldCharType="separate"/>
      </w:r>
      <w:r w:rsidR="00403AB2">
        <w:rPr>
          <w:vertAlign w:val="superscript"/>
        </w:rPr>
        <w:t>18</w:t>
      </w:r>
      <w:r w:rsidR="00272FE2" w:rsidRPr="00272FE2">
        <w:rPr>
          <w:vertAlign w:val="superscript"/>
        </w:rPr>
        <w:fldChar w:fldCharType="end"/>
      </w:r>
      <w:r w:rsidRPr="00272FE2">
        <w:t xml:space="preserve"> conjugation</w:t>
      </w:r>
      <w:r w:rsidRPr="00476AB8">
        <w:t xml:space="preserve"> imposed a significant reduction in PRP </w:t>
      </w:r>
      <w:r w:rsidRPr="00476AB8">
        <w:lastRenderedPageBreak/>
        <w:t>content (3</w:t>
      </w:r>
      <w:r w:rsidR="008632F8">
        <w:t xml:space="preserve"> </w:t>
      </w:r>
      <w:r w:rsidRPr="004D6B64">
        <w:t xml:space="preserve">µg) in the </w:t>
      </w:r>
      <w:r w:rsidR="00272FE2" w:rsidRPr="004D6B64">
        <w:t>Vaxelis vaccine</w:t>
      </w:r>
      <w:r w:rsidRPr="004D6B64">
        <w:t xml:space="preserve"> formulation and exhibits a different immunogenicity profile to the PRP-</w:t>
      </w:r>
      <w:r w:rsidR="004D6B64" w:rsidRPr="004D6B64">
        <w:t>tetanus toxoid (TT)</w:t>
      </w:r>
      <w:r w:rsidRPr="004D6B64">
        <w:t xml:space="preserve"> conjugation</w:t>
      </w:r>
      <w:r w:rsidRPr="00476AB8">
        <w:t>.</w:t>
      </w:r>
    </w:p>
    <w:p w14:paraId="3DBC923C" w14:textId="77777777" w:rsidR="0060638D" w:rsidRDefault="0060638D" w:rsidP="008632F8">
      <w:pPr>
        <w:pStyle w:val="Heading5"/>
        <w:rPr>
          <w:rFonts w:eastAsia="Calibri"/>
        </w:rPr>
      </w:pPr>
      <w:r>
        <w:rPr>
          <w:rFonts w:eastAsia="Calibri"/>
        </w:rPr>
        <w:t>Relatively lower pertussis responses after primary series and waning before toddler dose</w:t>
      </w:r>
    </w:p>
    <w:p w14:paraId="0642EDEE" w14:textId="24AEE8D4" w:rsidR="0060638D" w:rsidRPr="00476AB8" w:rsidRDefault="00A75764" w:rsidP="00476AB8">
      <w:r>
        <w:t>Filamentous haemagglutinin (</w:t>
      </w:r>
      <w:r w:rsidR="0060638D" w:rsidRPr="00042B3F">
        <w:t>FHA</w:t>
      </w:r>
      <w:r>
        <w:t>)</w:t>
      </w:r>
      <w:r w:rsidR="0060638D" w:rsidRPr="00042B3F">
        <w:t xml:space="preserve"> and </w:t>
      </w:r>
      <w:r>
        <w:t>pertactin (</w:t>
      </w:r>
      <w:r w:rsidR="00042B3F" w:rsidRPr="00042B3F">
        <w:t>PRN</w:t>
      </w:r>
      <w:r>
        <w:t>)</w:t>
      </w:r>
      <w:r w:rsidR="00042B3F" w:rsidRPr="00042B3F">
        <w:t xml:space="preserve"> </w:t>
      </w:r>
      <w:r w:rsidR="0060638D" w:rsidRPr="00042B3F">
        <w:t>seroresponse</w:t>
      </w:r>
      <w:r w:rsidR="0060638D" w:rsidRPr="00272FE2">
        <w:t xml:space="preserve"> rates and GMTs were found to be lower than controls.</w:t>
      </w:r>
    </w:p>
    <w:p w14:paraId="50AE66AD" w14:textId="0BD71089" w:rsidR="0060638D" w:rsidRPr="00476AB8" w:rsidRDefault="0060638D" w:rsidP="00476AB8">
      <w:r w:rsidRPr="00476AB8">
        <w:t xml:space="preserve">For FHA, at the completion of primary series, seroresponse rates for </w:t>
      </w:r>
      <w:r w:rsidR="005E070B">
        <w:t xml:space="preserve">the </w:t>
      </w:r>
      <w:r w:rsidR="00272FE2">
        <w:t>Vaxelis vaccine</w:t>
      </w:r>
      <w:r w:rsidR="00C44432">
        <w:t xml:space="preserve"> </w:t>
      </w:r>
      <w:r w:rsidR="005E070B">
        <w:t xml:space="preserve">groups as compared to their </w:t>
      </w:r>
      <w:r w:rsidRPr="00476AB8">
        <w:t>respective controls were 87%</w:t>
      </w:r>
      <w:r w:rsidR="00C44432">
        <w:t xml:space="preserve"> versus </w:t>
      </w:r>
      <w:r w:rsidRPr="00476AB8">
        <w:t>92% (</w:t>
      </w:r>
      <w:r w:rsidR="007C45D1">
        <w:t xml:space="preserve">Studies </w:t>
      </w:r>
      <w:r w:rsidRPr="00476AB8">
        <w:t>005/006), 89%</w:t>
      </w:r>
      <w:r w:rsidR="00C44432">
        <w:t xml:space="preserve"> versus </w:t>
      </w:r>
      <w:r w:rsidRPr="00476AB8">
        <w:t>96% (</w:t>
      </w:r>
      <w:r w:rsidR="007C45D1">
        <w:t xml:space="preserve">Study </w:t>
      </w:r>
      <w:r w:rsidRPr="00476AB8">
        <w:t>007) and 88%</w:t>
      </w:r>
      <w:r w:rsidR="00C44432">
        <w:t xml:space="preserve"> versus </w:t>
      </w:r>
      <w:r w:rsidRPr="00476AB8">
        <w:t>96% (</w:t>
      </w:r>
      <w:r w:rsidR="007C45D1">
        <w:t xml:space="preserve">Study </w:t>
      </w:r>
      <w:r w:rsidRPr="00476AB8">
        <w:t xml:space="preserve">008). The GMTs were also consistently lower with </w:t>
      </w:r>
      <w:r w:rsidR="005E070B">
        <w:t xml:space="preserve">the </w:t>
      </w:r>
      <w:r w:rsidR="00272FE2">
        <w:t>Vaxelis vaccine</w:t>
      </w:r>
      <w:r w:rsidR="00C44432">
        <w:t xml:space="preserve"> </w:t>
      </w:r>
      <w:r w:rsidR="005E070B">
        <w:t xml:space="preserve">as comparted to the </w:t>
      </w:r>
      <w:r w:rsidRPr="00476AB8">
        <w:t>control</w:t>
      </w:r>
      <w:r w:rsidR="005E070B">
        <w:t xml:space="preserve"> in each of the</w:t>
      </w:r>
      <w:r w:rsidRPr="00476AB8">
        <w:t xml:space="preserve"> </w:t>
      </w:r>
      <w:r w:rsidR="007C45D1">
        <w:t xml:space="preserve">Studies </w:t>
      </w:r>
      <w:r w:rsidRPr="00476AB8">
        <w:t>005/006 (49.24</w:t>
      </w:r>
      <w:r w:rsidR="00C44432">
        <w:t xml:space="preserve"> versus </w:t>
      </w:r>
      <w:r w:rsidRPr="00476AB8">
        <w:t>73.92), 007 (49.51</w:t>
      </w:r>
      <w:r w:rsidR="00C44432">
        <w:t xml:space="preserve"> versus </w:t>
      </w:r>
      <w:r w:rsidRPr="00476AB8">
        <w:t>96.80) and 008 (44.52</w:t>
      </w:r>
      <w:r w:rsidR="00C44432">
        <w:t xml:space="preserve"> versus </w:t>
      </w:r>
      <w:r w:rsidRPr="00476AB8">
        <w:t>86.55).</w:t>
      </w:r>
    </w:p>
    <w:p w14:paraId="4DA5E2EC" w14:textId="63F69830" w:rsidR="0060638D" w:rsidRPr="00272FE2" w:rsidRDefault="0060638D" w:rsidP="00476AB8">
      <w:r w:rsidRPr="00476AB8">
        <w:t xml:space="preserve">For PRN, at the completion of primary series, seroresponse rates for </w:t>
      </w:r>
      <w:r w:rsidR="005E070B">
        <w:t xml:space="preserve">the </w:t>
      </w:r>
      <w:r w:rsidR="00272FE2">
        <w:t>Vaxelis vaccine</w:t>
      </w:r>
      <w:r w:rsidR="00C44432">
        <w:t xml:space="preserve"> </w:t>
      </w:r>
      <w:r w:rsidR="005E070B">
        <w:t>groups as compared to their</w:t>
      </w:r>
      <w:r w:rsidR="00C44432">
        <w:t xml:space="preserve"> </w:t>
      </w:r>
      <w:r w:rsidRPr="00476AB8">
        <w:t>respective controls were 79%</w:t>
      </w:r>
      <w:r w:rsidR="00C44432">
        <w:t xml:space="preserve"> versus </w:t>
      </w:r>
      <w:r w:rsidRPr="00476AB8">
        <w:t>79% (</w:t>
      </w:r>
      <w:r w:rsidR="007C45D1">
        <w:t xml:space="preserve">Studies </w:t>
      </w:r>
      <w:r w:rsidRPr="00476AB8">
        <w:t>005/006), 86%</w:t>
      </w:r>
      <w:r w:rsidR="00C44432">
        <w:t xml:space="preserve"> versus </w:t>
      </w:r>
      <w:r w:rsidRPr="00476AB8">
        <w:t>92% (</w:t>
      </w:r>
      <w:r w:rsidR="007C45D1">
        <w:t xml:space="preserve">Study </w:t>
      </w:r>
      <w:r w:rsidRPr="00476AB8">
        <w:t>007) and 80%</w:t>
      </w:r>
      <w:r w:rsidR="00C44432">
        <w:t xml:space="preserve"> versus </w:t>
      </w:r>
      <w:r w:rsidRPr="00476AB8">
        <w:t>91% (</w:t>
      </w:r>
      <w:r w:rsidR="005F50A7">
        <w:t xml:space="preserve">Study </w:t>
      </w:r>
      <w:r w:rsidRPr="00476AB8">
        <w:t xml:space="preserve">008). The GMTs were consistently lower with </w:t>
      </w:r>
      <w:r w:rsidR="00272FE2">
        <w:t>Vaxelis vaccine</w:t>
      </w:r>
      <w:r w:rsidR="00C44432">
        <w:t xml:space="preserve"> </w:t>
      </w:r>
      <w:r w:rsidR="005E070B">
        <w:t xml:space="preserve">compared to the </w:t>
      </w:r>
      <w:r w:rsidRPr="00476AB8">
        <w:t xml:space="preserve">controls </w:t>
      </w:r>
      <w:r w:rsidRPr="00272FE2">
        <w:t xml:space="preserve">in </w:t>
      </w:r>
      <w:r w:rsidR="007C45D1" w:rsidRPr="00272FE2">
        <w:t>Stud</w:t>
      </w:r>
      <w:r w:rsidR="005F50A7">
        <w:t>y</w:t>
      </w:r>
      <w:r w:rsidR="007C45D1" w:rsidRPr="00272FE2">
        <w:t xml:space="preserve"> </w:t>
      </w:r>
      <w:r w:rsidRPr="00272FE2">
        <w:t>005/006 (53.78</w:t>
      </w:r>
      <w:r w:rsidR="00C44432" w:rsidRPr="00272FE2">
        <w:t xml:space="preserve"> versus </w:t>
      </w:r>
      <w:r w:rsidRPr="00272FE2">
        <w:t xml:space="preserve">59.12), </w:t>
      </w:r>
      <w:r w:rsidR="007C45D1" w:rsidRPr="00272FE2">
        <w:t xml:space="preserve">Study </w:t>
      </w:r>
      <w:r w:rsidRPr="00272FE2">
        <w:t>00</w:t>
      </w:r>
      <w:r w:rsidR="005F50A7">
        <w:t>7</w:t>
      </w:r>
      <w:r w:rsidRPr="00272FE2">
        <w:t xml:space="preserve"> (46.76</w:t>
      </w:r>
      <w:r w:rsidR="00C44432" w:rsidRPr="00272FE2">
        <w:t xml:space="preserve"> versus </w:t>
      </w:r>
      <w:r w:rsidRPr="00272FE2">
        <w:t xml:space="preserve">77.79) and </w:t>
      </w:r>
      <w:r w:rsidR="007C45D1" w:rsidRPr="00272FE2">
        <w:t xml:space="preserve">Study </w:t>
      </w:r>
      <w:r w:rsidRPr="00272FE2">
        <w:t>008 (37.84</w:t>
      </w:r>
      <w:r w:rsidR="00C44432" w:rsidRPr="00272FE2">
        <w:t xml:space="preserve"> versus </w:t>
      </w:r>
      <w:r w:rsidRPr="00272FE2">
        <w:t>78.27).</w:t>
      </w:r>
    </w:p>
    <w:p w14:paraId="6FFF5D09" w14:textId="3B04980A" w:rsidR="0060638D" w:rsidRPr="00476AB8" w:rsidRDefault="0060638D" w:rsidP="00476AB8">
      <w:r w:rsidRPr="00272FE2">
        <w:t>It was further noted that antibodies for these antigens waned</w:t>
      </w:r>
      <w:r w:rsidRPr="00476AB8">
        <w:t xml:space="preserve"> rapidly after the primary schedule in both groups but more so in </w:t>
      </w:r>
      <w:r w:rsidR="005E070B">
        <w:t xml:space="preserve">the </w:t>
      </w:r>
      <w:r w:rsidR="00272FE2">
        <w:t>Vaxelis vaccine</w:t>
      </w:r>
      <w:r w:rsidRPr="00476AB8">
        <w:t xml:space="preserve"> </w:t>
      </w:r>
      <w:r w:rsidR="005E070B">
        <w:t xml:space="preserve">groups </w:t>
      </w:r>
      <w:r w:rsidRPr="00476AB8">
        <w:t xml:space="preserve">than </w:t>
      </w:r>
      <w:r w:rsidR="005E070B">
        <w:t xml:space="preserve">in </w:t>
      </w:r>
      <w:r w:rsidR="00AB1F6A">
        <w:t>the</w:t>
      </w:r>
      <w:r w:rsidR="005E070B">
        <w:t>ir</w:t>
      </w:r>
      <w:r w:rsidR="00AB1F6A">
        <w:t xml:space="preserve"> respective control</w:t>
      </w:r>
      <w:r w:rsidR="005E070B">
        <w:t xml:space="preserve"> group</w:t>
      </w:r>
      <w:r w:rsidR="00AB1F6A">
        <w:t>s</w:t>
      </w:r>
      <w:r w:rsidRPr="00476AB8">
        <w:t>.</w:t>
      </w:r>
    </w:p>
    <w:p w14:paraId="32A1124A" w14:textId="428CDB47" w:rsidR="0060638D" w:rsidRPr="00476AB8" w:rsidRDefault="0060638D" w:rsidP="00476AB8">
      <w:r w:rsidRPr="00476AB8">
        <w:t xml:space="preserve">For FHA, pre-toddler dose seroresponse rates for </w:t>
      </w:r>
      <w:r w:rsidR="005E070B">
        <w:t xml:space="preserve">the </w:t>
      </w:r>
      <w:r w:rsidR="00272FE2">
        <w:t>Vaxelis vaccine</w:t>
      </w:r>
      <w:r w:rsidR="00C44432">
        <w:t xml:space="preserve"> </w:t>
      </w:r>
      <w:r w:rsidR="005E070B">
        <w:t xml:space="preserve">as compared to the </w:t>
      </w:r>
      <w:r w:rsidRPr="00476AB8">
        <w:t>controls were 22%</w:t>
      </w:r>
      <w:r w:rsidR="00C44432">
        <w:t xml:space="preserve"> versus </w:t>
      </w:r>
      <w:r w:rsidRPr="00476AB8">
        <w:t>48% (</w:t>
      </w:r>
      <w:r w:rsidR="007C45D1">
        <w:t xml:space="preserve">Study </w:t>
      </w:r>
      <w:r w:rsidRPr="00476AB8">
        <w:t>005), 21%</w:t>
      </w:r>
      <w:r w:rsidR="00C44432">
        <w:t xml:space="preserve"> versus </w:t>
      </w:r>
      <w:r w:rsidRPr="00476AB8">
        <w:t>38% (</w:t>
      </w:r>
      <w:r w:rsidR="007C45D1">
        <w:t xml:space="preserve">Study </w:t>
      </w:r>
      <w:r w:rsidRPr="00476AB8">
        <w:t>006) and 58%</w:t>
      </w:r>
      <w:r w:rsidR="00C44432">
        <w:t xml:space="preserve"> versus </w:t>
      </w:r>
      <w:r w:rsidRPr="00476AB8">
        <w:t>82% (</w:t>
      </w:r>
      <w:r w:rsidR="007C45D1">
        <w:t xml:space="preserve">Study </w:t>
      </w:r>
      <w:r w:rsidRPr="00476AB8">
        <w:t xml:space="preserve">008). The pre-toddler dose GMTs were also consistently lower with </w:t>
      </w:r>
      <w:r w:rsidR="005E070B">
        <w:t xml:space="preserve">the </w:t>
      </w:r>
      <w:r w:rsidR="00272FE2">
        <w:t>Vaxelis vaccine</w:t>
      </w:r>
      <w:r w:rsidR="00C44432">
        <w:t xml:space="preserve"> </w:t>
      </w:r>
      <w:r w:rsidR="005E070B">
        <w:t>as compared to the</w:t>
      </w:r>
      <w:r w:rsidR="00C44432">
        <w:t xml:space="preserve"> </w:t>
      </w:r>
      <w:r w:rsidRPr="00476AB8">
        <w:t>controls</w:t>
      </w:r>
      <w:r w:rsidR="00E0172B">
        <w:t xml:space="preserve"> (</w:t>
      </w:r>
      <w:r w:rsidRPr="00476AB8">
        <w:t>6.26</w:t>
      </w:r>
      <w:r w:rsidR="00C44432">
        <w:t xml:space="preserve"> versus </w:t>
      </w:r>
      <w:r w:rsidRPr="00476AB8">
        <w:t xml:space="preserve">13.22 </w:t>
      </w:r>
      <w:r w:rsidR="00E0172B">
        <w:t xml:space="preserve">in </w:t>
      </w:r>
      <w:r w:rsidR="007C45D1">
        <w:t xml:space="preserve">Study </w:t>
      </w:r>
      <w:r w:rsidRPr="00476AB8">
        <w:t>005, 6.10</w:t>
      </w:r>
      <w:r w:rsidR="00C44432">
        <w:t xml:space="preserve"> versus </w:t>
      </w:r>
      <w:r w:rsidRPr="00476AB8">
        <w:t xml:space="preserve">11.22 </w:t>
      </w:r>
      <w:r w:rsidR="00E0172B">
        <w:t xml:space="preserve">in </w:t>
      </w:r>
      <w:r w:rsidR="007C45D1">
        <w:t xml:space="preserve">Study </w:t>
      </w:r>
      <w:r w:rsidRPr="00476AB8">
        <w:t>006, 8.63</w:t>
      </w:r>
      <w:r w:rsidR="00C44432">
        <w:t xml:space="preserve"> versus </w:t>
      </w:r>
      <w:r w:rsidRPr="00476AB8">
        <w:t xml:space="preserve">22.85 </w:t>
      </w:r>
      <w:r w:rsidR="00E0172B">
        <w:t xml:space="preserve">in </w:t>
      </w:r>
      <w:r w:rsidR="007C45D1">
        <w:t xml:space="preserve">Study </w:t>
      </w:r>
      <w:r w:rsidRPr="00476AB8">
        <w:t>007 and 8.09</w:t>
      </w:r>
      <w:r w:rsidR="00C44432">
        <w:t xml:space="preserve"> versus </w:t>
      </w:r>
      <w:r w:rsidRPr="00476AB8">
        <w:t xml:space="preserve">22.70 </w:t>
      </w:r>
      <w:r w:rsidR="00E0172B">
        <w:t xml:space="preserve">in </w:t>
      </w:r>
      <w:r w:rsidR="007C45D1">
        <w:t xml:space="preserve">Study </w:t>
      </w:r>
      <w:r w:rsidRPr="00476AB8">
        <w:t>008</w:t>
      </w:r>
      <w:r w:rsidR="005F50A7">
        <w:t>)</w:t>
      </w:r>
      <w:r w:rsidRPr="00476AB8">
        <w:t>.</w:t>
      </w:r>
    </w:p>
    <w:p w14:paraId="684769A3" w14:textId="72D067E6" w:rsidR="0060638D" w:rsidRPr="00476AB8" w:rsidRDefault="0060638D" w:rsidP="00476AB8">
      <w:r w:rsidRPr="00476AB8">
        <w:t xml:space="preserve">For PRN, pre-toddler dose seroresponse rates for </w:t>
      </w:r>
      <w:r w:rsidR="005E070B">
        <w:t xml:space="preserve">the </w:t>
      </w:r>
      <w:r w:rsidR="00272FE2">
        <w:t>Vaxelis vaccine</w:t>
      </w:r>
      <w:r w:rsidR="00C44432">
        <w:t xml:space="preserve"> </w:t>
      </w:r>
      <w:r w:rsidR="005E070B">
        <w:t>as compared to the</w:t>
      </w:r>
      <w:r w:rsidR="00C44432">
        <w:t xml:space="preserve"> </w:t>
      </w:r>
      <w:r w:rsidRPr="00476AB8">
        <w:t>controls were 17%</w:t>
      </w:r>
      <w:r w:rsidR="00C44432">
        <w:t xml:space="preserve"> versus </w:t>
      </w:r>
      <w:r w:rsidRPr="00476AB8">
        <w:t>23% (</w:t>
      </w:r>
      <w:r w:rsidR="007C45D1">
        <w:t xml:space="preserve">Study </w:t>
      </w:r>
      <w:r w:rsidRPr="00476AB8">
        <w:t>005), 19%</w:t>
      </w:r>
      <w:r w:rsidR="00C44432">
        <w:t xml:space="preserve"> versus </w:t>
      </w:r>
      <w:r w:rsidRPr="00476AB8">
        <w:t>21% (</w:t>
      </w:r>
      <w:r w:rsidR="007C45D1">
        <w:t xml:space="preserve">Study </w:t>
      </w:r>
      <w:r w:rsidRPr="00476AB8">
        <w:t>006) and 53%</w:t>
      </w:r>
      <w:r w:rsidR="00C44432">
        <w:t xml:space="preserve"> versus </w:t>
      </w:r>
      <w:r w:rsidRPr="00476AB8">
        <w:t>67% (</w:t>
      </w:r>
      <w:r w:rsidR="007C45D1">
        <w:t xml:space="preserve">Study </w:t>
      </w:r>
      <w:r w:rsidRPr="00476AB8">
        <w:t xml:space="preserve">008). The pre-toddler dose GMTs for </w:t>
      </w:r>
      <w:r w:rsidR="005E070B">
        <w:t xml:space="preserve">the </w:t>
      </w:r>
      <w:r w:rsidR="00272FE2">
        <w:t>Vaxelis vaccine</w:t>
      </w:r>
      <w:r w:rsidR="00C44432">
        <w:t xml:space="preserve"> </w:t>
      </w:r>
      <w:r w:rsidR="005E070B">
        <w:t xml:space="preserve">as compared to the </w:t>
      </w:r>
      <w:r w:rsidRPr="00476AB8">
        <w:t>controls were 7.28</w:t>
      </w:r>
      <w:r w:rsidR="00C44432">
        <w:t xml:space="preserve"> versus </w:t>
      </w:r>
      <w:r w:rsidRPr="00476AB8">
        <w:t>8.97 (</w:t>
      </w:r>
      <w:r w:rsidR="007C45D1">
        <w:t xml:space="preserve">Study </w:t>
      </w:r>
      <w:r w:rsidRPr="00476AB8">
        <w:t>005), 8.61</w:t>
      </w:r>
      <w:r w:rsidR="00C44432">
        <w:t xml:space="preserve"> versus </w:t>
      </w:r>
      <w:r w:rsidRPr="00476AB8">
        <w:t>8.80 (</w:t>
      </w:r>
      <w:r w:rsidR="007C45D1">
        <w:t xml:space="preserve">Study </w:t>
      </w:r>
      <w:r w:rsidRPr="00476AB8">
        <w:t>006), 11.47</w:t>
      </w:r>
      <w:r w:rsidR="00C44432">
        <w:t xml:space="preserve"> versus </w:t>
      </w:r>
      <w:r w:rsidRPr="00476AB8">
        <w:t>12.09 (</w:t>
      </w:r>
      <w:r w:rsidR="007C45D1">
        <w:t xml:space="preserve">Study </w:t>
      </w:r>
      <w:r w:rsidRPr="00476AB8">
        <w:t>007) and 6.53</w:t>
      </w:r>
      <w:r w:rsidR="00C44432">
        <w:t xml:space="preserve"> versus </w:t>
      </w:r>
      <w:r w:rsidRPr="00476AB8">
        <w:t>11.04 (</w:t>
      </w:r>
      <w:r w:rsidR="007C45D1">
        <w:t xml:space="preserve">Study </w:t>
      </w:r>
      <w:r w:rsidRPr="00476AB8">
        <w:t>008).</w:t>
      </w:r>
    </w:p>
    <w:p w14:paraId="16AC7A5E" w14:textId="67F0DA3D" w:rsidR="0060638D" w:rsidRPr="00476AB8" w:rsidRDefault="0060638D" w:rsidP="00476AB8">
      <w:r w:rsidRPr="00476AB8">
        <w:t>However, post</w:t>
      </w:r>
      <w:r w:rsidR="00A75764">
        <w:t>-</w:t>
      </w:r>
      <w:r w:rsidRPr="00476AB8">
        <w:t xml:space="preserve">toddler dose response rates and GMTs for both FHA and PRN were high and comparable for </w:t>
      </w:r>
      <w:r w:rsidR="005E070B">
        <w:t xml:space="preserve">the </w:t>
      </w:r>
      <w:r w:rsidR="00272FE2">
        <w:t>Vaxelis vaccine</w:t>
      </w:r>
      <w:r w:rsidR="00C44432">
        <w:t xml:space="preserve"> </w:t>
      </w:r>
      <w:r w:rsidR="005E070B">
        <w:t>and the</w:t>
      </w:r>
      <w:r w:rsidR="00C44432">
        <w:t xml:space="preserve"> </w:t>
      </w:r>
      <w:r w:rsidRPr="00476AB8">
        <w:t>respective control</w:t>
      </w:r>
      <w:r w:rsidR="005E070B">
        <w:t xml:space="preserve"> groups</w:t>
      </w:r>
      <w:r w:rsidRPr="00476AB8">
        <w:t xml:space="preserve">, indicative of the importance of </w:t>
      </w:r>
      <w:r w:rsidR="005F50A7">
        <w:t xml:space="preserve">the </w:t>
      </w:r>
      <w:r w:rsidRPr="00476AB8">
        <w:t xml:space="preserve">toddler dose regardless of homologous or heterologous vaccine product, and irrespective of 2 or 3 dose </w:t>
      </w:r>
      <w:r w:rsidR="003674AA" w:rsidRPr="00476AB8">
        <w:t>schedules</w:t>
      </w:r>
      <w:r w:rsidRPr="00476AB8">
        <w:t>.</w:t>
      </w:r>
    </w:p>
    <w:p w14:paraId="71DF2E0E" w14:textId="1DF131F3" w:rsidR="0060638D" w:rsidRPr="00476AB8" w:rsidRDefault="0060638D" w:rsidP="00476AB8">
      <w:r w:rsidRPr="00476AB8">
        <w:t xml:space="preserve">This also highlights the potentially unprotected risk period between </w:t>
      </w:r>
      <w:r w:rsidR="007C45D1">
        <w:t>third</w:t>
      </w:r>
      <w:r w:rsidRPr="00476AB8">
        <w:t xml:space="preserve"> dose at 6</w:t>
      </w:r>
      <w:r w:rsidR="00A75764">
        <w:t> </w:t>
      </w:r>
      <w:r w:rsidRPr="00476AB8">
        <w:t xml:space="preserve">months in </w:t>
      </w:r>
      <w:r w:rsidR="005F50A7">
        <w:t>the</w:t>
      </w:r>
      <w:r w:rsidRPr="00476AB8">
        <w:t xml:space="preserve"> primary schedule </w:t>
      </w:r>
      <w:r w:rsidR="005F50A7" w:rsidRPr="00476AB8">
        <w:t>(2, 4, 6</w:t>
      </w:r>
      <w:r w:rsidR="005F50A7">
        <w:t xml:space="preserve"> months</w:t>
      </w:r>
      <w:r w:rsidR="005F50A7" w:rsidRPr="00476AB8">
        <w:t>)</w:t>
      </w:r>
      <w:r w:rsidR="005F50A7">
        <w:t xml:space="preserve"> </w:t>
      </w:r>
      <w:r w:rsidRPr="00476AB8">
        <w:t>and booster at 18 months in the Australian vaccination schedule.</w:t>
      </w:r>
    </w:p>
    <w:p w14:paraId="19F6BAFC" w14:textId="4915FE4F" w:rsidR="0060638D" w:rsidRPr="00476AB8" w:rsidRDefault="005E070B" w:rsidP="00476AB8">
      <w:r>
        <w:t>Overall</w:t>
      </w:r>
      <w:r w:rsidR="0060638D" w:rsidRPr="00476AB8">
        <w:t>,</w:t>
      </w:r>
      <w:r w:rsidR="00F5559E">
        <w:t xml:space="preserve"> </w:t>
      </w:r>
      <w:r w:rsidR="003674AA">
        <w:t xml:space="preserve">the </w:t>
      </w:r>
      <w:r w:rsidR="00F5559E">
        <w:t xml:space="preserve">Vaxelis vaccine </w:t>
      </w:r>
      <w:r w:rsidR="0060638D" w:rsidRPr="00476AB8">
        <w:t xml:space="preserve">produced higher GMTs and similar response rates for </w:t>
      </w:r>
      <w:r>
        <w:t xml:space="preserve">the </w:t>
      </w:r>
      <w:r w:rsidR="00A75764">
        <w:t>pertussis</w:t>
      </w:r>
      <w:r w:rsidR="00A75764" w:rsidRPr="00476AB8">
        <w:t xml:space="preserve"> </w:t>
      </w:r>
      <w:r w:rsidR="00A75764">
        <w:t xml:space="preserve">toxoid </w:t>
      </w:r>
      <w:r w:rsidR="0060638D" w:rsidRPr="00476AB8">
        <w:t xml:space="preserve">antigen compared to </w:t>
      </w:r>
      <w:r w:rsidR="00AB1F6A">
        <w:t>the respective control</w:t>
      </w:r>
      <w:r>
        <w:t xml:space="preserve"> group</w:t>
      </w:r>
      <w:r w:rsidR="00AB1F6A">
        <w:t>s</w:t>
      </w:r>
      <w:r w:rsidR="0060638D" w:rsidRPr="00476AB8">
        <w:t>.</w:t>
      </w:r>
    </w:p>
    <w:p w14:paraId="29701E9B" w14:textId="48E25E71" w:rsidR="0060638D" w:rsidRPr="00476AB8" w:rsidRDefault="00A75764" w:rsidP="00476AB8">
      <w:r>
        <w:t>Fimbriae 2 and 3 (</w:t>
      </w:r>
      <w:r w:rsidR="0060638D" w:rsidRPr="00476AB8">
        <w:t>FIM</w:t>
      </w:r>
      <w:r>
        <w:t xml:space="preserve"> </w:t>
      </w:r>
      <w:r w:rsidR="0060638D" w:rsidRPr="00476AB8">
        <w:t xml:space="preserve">2+3) response rates and GMTs were comparable </w:t>
      </w:r>
      <w:r w:rsidR="0060638D" w:rsidRPr="007109DA">
        <w:t xml:space="preserve">for </w:t>
      </w:r>
      <w:r w:rsidR="005E070B">
        <w:t xml:space="preserve">the </w:t>
      </w:r>
      <w:r w:rsidR="00272FE2" w:rsidRPr="007109DA">
        <w:t>Vaxelis vaccine</w:t>
      </w:r>
      <w:r w:rsidR="0060638D" w:rsidRPr="007109DA">
        <w:t>/</w:t>
      </w:r>
      <w:r w:rsidR="00365C27" w:rsidRPr="007109DA">
        <w:t xml:space="preserve">Daptacel </w:t>
      </w:r>
      <w:r w:rsidR="005E070B">
        <w:t xml:space="preserve">group </w:t>
      </w:r>
      <w:r w:rsidR="00C44432" w:rsidRPr="007109DA">
        <w:t xml:space="preserve">versus </w:t>
      </w:r>
      <w:r w:rsidR="005E070B">
        <w:t xml:space="preserve">the </w:t>
      </w:r>
      <w:r w:rsidR="00365C27" w:rsidRPr="007109DA">
        <w:t xml:space="preserve">Pentacel/Daptacel </w:t>
      </w:r>
      <w:r w:rsidR="005E070B">
        <w:t xml:space="preserve">group </w:t>
      </w:r>
      <w:r w:rsidR="0060638D" w:rsidRPr="007109DA">
        <w:t>(</w:t>
      </w:r>
      <w:r w:rsidR="00D04D6F" w:rsidRPr="007109DA">
        <w:t xml:space="preserve">Study </w:t>
      </w:r>
      <w:r w:rsidR="0060638D" w:rsidRPr="007109DA">
        <w:t xml:space="preserve">005) or </w:t>
      </w:r>
      <w:r w:rsidR="00272FE2" w:rsidRPr="007109DA">
        <w:t>Vaxelis vaccine</w:t>
      </w:r>
      <w:r w:rsidR="0060638D" w:rsidRPr="007109DA">
        <w:t>/</w:t>
      </w:r>
      <w:r w:rsidR="00365C27" w:rsidRPr="007109DA">
        <w:t xml:space="preserve">Pentacel </w:t>
      </w:r>
      <w:r w:rsidR="005E070B">
        <w:t xml:space="preserve">group </w:t>
      </w:r>
      <w:r w:rsidR="00C44432" w:rsidRPr="007109DA">
        <w:t xml:space="preserve">versus </w:t>
      </w:r>
      <w:r w:rsidR="00365C27" w:rsidRPr="007109DA">
        <w:t>Pentacel/Pentacel</w:t>
      </w:r>
      <w:r w:rsidR="005E070B">
        <w:t xml:space="preserve"> group</w:t>
      </w:r>
      <w:r w:rsidR="00365C27" w:rsidRPr="007109DA">
        <w:t xml:space="preserve"> </w:t>
      </w:r>
      <w:r w:rsidR="0060638D" w:rsidRPr="007109DA">
        <w:t>(</w:t>
      </w:r>
      <w:r w:rsidR="00D04D6F" w:rsidRPr="007109DA">
        <w:t xml:space="preserve">Study </w:t>
      </w:r>
      <w:r w:rsidR="0060638D" w:rsidRPr="007109DA">
        <w:t xml:space="preserve">006), whereas FIM 2+3 is not a component </w:t>
      </w:r>
      <w:r w:rsidR="005E070B">
        <w:t>of</w:t>
      </w:r>
      <w:r w:rsidR="0060638D" w:rsidRPr="007109DA">
        <w:t xml:space="preserve"> </w:t>
      </w:r>
      <w:r w:rsidR="00365C27" w:rsidRPr="007109DA">
        <w:t>Infanrix</w:t>
      </w:r>
      <w:r w:rsidR="005D7CDE">
        <w:t xml:space="preserve"> </w:t>
      </w:r>
      <w:r w:rsidR="00365C27" w:rsidRPr="007109DA">
        <w:t xml:space="preserve">Hexa </w:t>
      </w:r>
      <w:r w:rsidR="005E070B">
        <w:t xml:space="preserve">which was </w:t>
      </w:r>
      <w:r w:rsidR="005F50A7">
        <w:t xml:space="preserve">used </w:t>
      </w:r>
      <w:r w:rsidR="0060638D" w:rsidRPr="007109DA">
        <w:t xml:space="preserve">in </w:t>
      </w:r>
      <w:r w:rsidR="00365C27" w:rsidRPr="007109DA">
        <w:t>S</w:t>
      </w:r>
      <w:r w:rsidR="0060638D" w:rsidRPr="007109DA">
        <w:t>tudies</w:t>
      </w:r>
      <w:r w:rsidR="0060638D" w:rsidRPr="00476AB8">
        <w:t xml:space="preserve"> 007 and 008.</w:t>
      </w:r>
    </w:p>
    <w:p w14:paraId="4D52D79B" w14:textId="62B94DCF" w:rsidR="0060638D" w:rsidRPr="00D1399B" w:rsidRDefault="0060638D" w:rsidP="00476AB8">
      <w:r w:rsidRPr="00476AB8">
        <w:t xml:space="preserve">The persistence of pertussis antibodies was measured </w:t>
      </w:r>
      <w:r w:rsidR="005F50A7">
        <w:t xml:space="preserve">in Study </w:t>
      </w:r>
      <w:r w:rsidRPr="00476AB8">
        <w:t xml:space="preserve">PRI03C in children at 4 or 5 years of age who had received </w:t>
      </w:r>
      <w:r w:rsidR="005E070B">
        <w:t xml:space="preserve">the </w:t>
      </w:r>
      <w:r w:rsidR="00272FE2">
        <w:t>Vaxelis vaccine</w:t>
      </w:r>
      <w:r w:rsidR="00C44432">
        <w:t xml:space="preserve"> </w:t>
      </w:r>
      <w:r w:rsidR="005E070B">
        <w:t>as compared to the</w:t>
      </w:r>
      <w:r w:rsidR="00C44432">
        <w:t xml:space="preserve"> </w:t>
      </w:r>
      <w:r w:rsidR="00365C27" w:rsidRPr="00476AB8">
        <w:t xml:space="preserve">Infanrix Hexa </w:t>
      </w:r>
      <w:r w:rsidR="005E070B">
        <w:t xml:space="preserve">vaccine </w:t>
      </w:r>
      <w:r w:rsidRPr="00476AB8">
        <w:t xml:space="preserve">in </w:t>
      </w:r>
      <w:r w:rsidR="00D04D6F">
        <w:t>S</w:t>
      </w:r>
      <w:r w:rsidRPr="00476AB8">
        <w:t xml:space="preserve">tudy 008 (2, 4, 12 months schedule). After approximately 4 years, the percentages of children with anti-pertussis antibodies above lower limit of quantification (LLOQ) for </w:t>
      </w:r>
      <w:r w:rsidR="00425E9B">
        <w:t xml:space="preserve">the </w:t>
      </w:r>
      <w:r w:rsidR="00272FE2">
        <w:t>Vaxelis vaccine</w:t>
      </w:r>
      <w:r w:rsidR="00C44432">
        <w:t xml:space="preserve"> </w:t>
      </w:r>
      <w:r w:rsidR="00425E9B">
        <w:t>compared to the</w:t>
      </w:r>
      <w:r w:rsidR="00C44432">
        <w:t xml:space="preserve"> </w:t>
      </w:r>
      <w:r w:rsidR="00365C27" w:rsidRPr="00476AB8">
        <w:t xml:space="preserve">Infanrix Hexa </w:t>
      </w:r>
      <w:r w:rsidR="00425E9B">
        <w:t xml:space="preserve">vaccine </w:t>
      </w:r>
      <w:r w:rsidRPr="00476AB8">
        <w:t>were anti-</w:t>
      </w:r>
      <w:r w:rsidR="00A75764">
        <w:t>pertussis toxoid</w:t>
      </w:r>
      <w:r w:rsidR="00A75764" w:rsidRPr="00476AB8">
        <w:t xml:space="preserve"> </w:t>
      </w:r>
      <w:r w:rsidRPr="00476AB8">
        <w:t>58.4%</w:t>
      </w:r>
      <w:r w:rsidR="00C44432">
        <w:t xml:space="preserve"> versus </w:t>
      </w:r>
      <w:r w:rsidRPr="00476AB8">
        <w:t>41.49%, anti-FHA 80.9%</w:t>
      </w:r>
      <w:r w:rsidR="00C44432">
        <w:t xml:space="preserve"> versus </w:t>
      </w:r>
      <w:r w:rsidRPr="00476AB8">
        <w:t>88.30%, anti-PRN 66.11%</w:t>
      </w:r>
      <w:r w:rsidR="00C44432">
        <w:t xml:space="preserve"> versus </w:t>
      </w:r>
      <w:r w:rsidRPr="00476AB8">
        <w:lastRenderedPageBreak/>
        <w:t>72.</w:t>
      </w:r>
      <w:r w:rsidRPr="00D1399B">
        <w:t>63% and anti-FIM 94.3%</w:t>
      </w:r>
      <w:r w:rsidR="00C44432" w:rsidRPr="00D1399B">
        <w:t xml:space="preserve"> versus </w:t>
      </w:r>
      <w:r w:rsidRPr="00D1399B">
        <w:t>3.28%. The GMTs at this timepoint were indicative of an overall similar performance of both vaccines</w:t>
      </w:r>
      <w:r w:rsidR="00D04D6F" w:rsidRPr="00D1399B">
        <w:t xml:space="preserve"> (</w:t>
      </w:r>
      <w:r w:rsidR="00A75764">
        <w:t xml:space="preserve">see </w:t>
      </w:r>
      <w:r w:rsidR="00D04D6F" w:rsidRPr="00D1399B">
        <w:t xml:space="preserve">Table </w:t>
      </w:r>
      <w:r w:rsidR="00365C27" w:rsidRPr="00D1399B">
        <w:t>1</w:t>
      </w:r>
      <w:r w:rsidR="00A75764">
        <w:t>6)</w:t>
      </w:r>
      <w:r w:rsidR="00D04D6F" w:rsidRPr="00D1399B">
        <w:t>.</w:t>
      </w:r>
    </w:p>
    <w:p w14:paraId="7AA04602" w14:textId="329C15D6" w:rsidR="00A75764" w:rsidRDefault="00A75764" w:rsidP="00403AB2">
      <w:pPr>
        <w:pStyle w:val="Tabletitle0"/>
      </w:pPr>
      <w:r>
        <w:t xml:space="preserve">Table </w:t>
      </w:r>
      <w:fldSimple w:instr=" SEQ Table \* ARABIC ">
        <w:r w:rsidR="00403AB2">
          <w:rPr>
            <w:noProof/>
          </w:rPr>
          <w:t>15</w:t>
        </w:r>
      </w:fldSimple>
      <w:r>
        <w:t xml:space="preserve">: </w:t>
      </w:r>
      <w:r w:rsidRPr="00D1399B">
        <w:t>Summary of pertussis a</w:t>
      </w:r>
      <w:r>
        <w:t>ntibodies persistence (GMCs) following a 2+1 schedule (persistence analysis set, pertussis analysis)</w:t>
      </w:r>
    </w:p>
    <w:p w14:paraId="7E263118" w14:textId="3B4A34AC" w:rsidR="0060638D" w:rsidRDefault="0060638D" w:rsidP="00476AB8">
      <w:pPr>
        <w:rPr>
          <w:rFonts w:ascii="Calibri" w:eastAsia="Calibri" w:hAnsi="Calibri"/>
        </w:rPr>
      </w:pPr>
      <w:r w:rsidRPr="00476AB8">
        <w:rPr>
          <w:noProof/>
          <w:lang w:val="en-GB" w:eastAsia="en-GB"/>
        </w:rPr>
        <w:drawing>
          <wp:inline distT="0" distB="0" distL="0" distR="0" wp14:anchorId="3E29B531" wp14:editId="5A924FFA">
            <wp:extent cx="5162550" cy="3677390"/>
            <wp:effectExtent l="0" t="0" r="0" b="0"/>
            <wp:docPr id="12" name="Picture 12" descr="Summary of pertussis antibodies persistence (GMCs) following a 2+1 schedule – persistence analysis set (Pertussi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mmary of pertussis antibodies persistence (GMCs) following a 2+1 schedule – persistence analysis set (Pertussis analysis)"/>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t="9185"/>
                    <a:stretch/>
                  </pic:blipFill>
                  <pic:spPr bwMode="auto">
                    <a:xfrm>
                      <a:off x="0" y="0"/>
                      <a:ext cx="5165532" cy="3679514"/>
                    </a:xfrm>
                    <a:prstGeom prst="rect">
                      <a:avLst/>
                    </a:prstGeom>
                    <a:noFill/>
                    <a:ln>
                      <a:noFill/>
                    </a:ln>
                    <a:extLst>
                      <a:ext uri="{53640926-AAD7-44D8-BBD7-CCE9431645EC}">
                        <a14:shadowObscured xmlns:a14="http://schemas.microsoft.com/office/drawing/2010/main"/>
                      </a:ext>
                    </a:extLst>
                  </pic:spPr>
                </pic:pic>
              </a:graphicData>
            </a:graphic>
          </wp:inline>
        </w:drawing>
      </w:r>
    </w:p>
    <w:p w14:paraId="1A36531E" w14:textId="5707C237" w:rsidR="0060638D" w:rsidRPr="00476AB8" w:rsidRDefault="0060638D" w:rsidP="00476AB8">
      <w:r w:rsidRPr="00476AB8">
        <w:t>The exact contribution of the individual pertussis antigens to clinical protection and any efficacy advantage of a 5</w:t>
      </w:r>
      <w:r w:rsidR="005F50A7">
        <w:t xml:space="preserve"> </w:t>
      </w:r>
      <w:r w:rsidRPr="00476AB8">
        <w:t>component (additional FIM 2+3) over a 3</w:t>
      </w:r>
      <w:r w:rsidR="005F50A7">
        <w:t xml:space="preserve"> </w:t>
      </w:r>
      <w:r w:rsidRPr="00476AB8">
        <w:t>component acellular pertussis vaccine is not clear but may have a role in protection particularly against mild disease.</w:t>
      </w:r>
    </w:p>
    <w:p w14:paraId="311F60DE" w14:textId="65381F1C" w:rsidR="0060638D" w:rsidRPr="00476AB8" w:rsidRDefault="0060638D" w:rsidP="00476AB8">
      <w:r w:rsidRPr="00476AB8">
        <w:t xml:space="preserve">A further complexity in interpretation of these results arises from the fact the immune correlates </w:t>
      </w:r>
      <w:r w:rsidR="003674AA">
        <w:t xml:space="preserve">of </w:t>
      </w:r>
      <w:r w:rsidRPr="00476AB8">
        <w:t xml:space="preserve">protection are not </w:t>
      </w:r>
      <w:r w:rsidR="00C63E95" w:rsidRPr="00476AB8">
        <w:t>known,</w:t>
      </w:r>
      <w:r w:rsidRPr="00476AB8">
        <w:t xml:space="preserve"> and the interpretation </w:t>
      </w:r>
      <w:r w:rsidR="003674AA">
        <w:t>is</w:t>
      </w:r>
      <w:r w:rsidRPr="00476AB8">
        <w:t xml:space="preserve"> only relative to the control.</w:t>
      </w:r>
    </w:p>
    <w:p w14:paraId="1BD3FC9E" w14:textId="77777777" w:rsidR="0060638D" w:rsidRDefault="0060638D" w:rsidP="00476AB8">
      <w:r w:rsidRPr="00476AB8">
        <w:t xml:space="preserve">There were no issues with respect to immune responses to diphtheria, </w:t>
      </w:r>
      <w:r w:rsidRPr="007109DA">
        <w:t>tetanus, HBsAg and</w:t>
      </w:r>
      <w:r w:rsidRPr="00476AB8">
        <w:t xml:space="preserve"> poliovirus antigens</w:t>
      </w:r>
      <w:r>
        <w:t>.</w:t>
      </w:r>
    </w:p>
    <w:p w14:paraId="2E8EF651" w14:textId="77777777" w:rsidR="0060638D" w:rsidRDefault="0060638D" w:rsidP="00D04D6F">
      <w:pPr>
        <w:pStyle w:val="Heading5"/>
        <w:rPr>
          <w:rFonts w:eastAsia="Calibri"/>
        </w:rPr>
      </w:pPr>
      <w:r>
        <w:rPr>
          <w:rFonts w:eastAsia="Calibri"/>
        </w:rPr>
        <w:t>Relatively more reactogenic than controls</w:t>
      </w:r>
    </w:p>
    <w:p w14:paraId="3D8C4EC1" w14:textId="1190AD7D" w:rsidR="0060638D" w:rsidRPr="00476AB8" w:rsidRDefault="0060638D" w:rsidP="00476AB8">
      <w:r w:rsidRPr="00476AB8">
        <w:t xml:space="preserve">There was a trend towards higher reactogenicity (local and systemic) in </w:t>
      </w:r>
      <w:r w:rsidR="00425E9B">
        <w:t xml:space="preserve">the </w:t>
      </w:r>
      <w:r w:rsidR="00272FE2">
        <w:t>Vaxelis vaccine</w:t>
      </w:r>
      <w:r w:rsidRPr="00476AB8">
        <w:t xml:space="preserve"> group compared to the</w:t>
      </w:r>
      <w:r w:rsidR="003968D2">
        <w:t xml:space="preserve"> control group</w:t>
      </w:r>
      <w:r w:rsidRPr="00476AB8">
        <w:t>. Among the infant doses the first dose seems to give more injection site reactions, while the second dose gives the highest frequency of fever. The rate of solicited injection site reactions and fever are higher after the toddler dose than the infant doses.</w:t>
      </w:r>
    </w:p>
    <w:p w14:paraId="4AB606F9" w14:textId="765C5C6A" w:rsidR="0060638D" w:rsidRPr="00476AB8" w:rsidRDefault="0060638D" w:rsidP="00476AB8">
      <w:r w:rsidRPr="007109DA">
        <w:t>The overall adverse effects profile is considered consistent with the current DTPa-HB-IPV-HiB vaccines</w:t>
      </w:r>
      <w:r w:rsidRPr="00476AB8">
        <w:t>. There was no unexpected safety signal in the limited clinical trials dataset or the early post market data available at this time with respect to serious related events, or special events of regulatory interest.</w:t>
      </w:r>
    </w:p>
    <w:p w14:paraId="44365586" w14:textId="68936FC3" w:rsidR="0060638D" w:rsidRDefault="0060638D" w:rsidP="00476AB8">
      <w:r w:rsidRPr="00476AB8">
        <w:t>None of the 4 pivotal studies (</w:t>
      </w:r>
      <w:r w:rsidR="00D04D6F">
        <w:t xml:space="preserve">Studies </w:t>
      </w:r>
      <w:r w:rsidRPr="00476AB8">
        <w:t>005, 006, 007</w:t>
      </w:r>
      <w:r w:rsidR="00D04D6F">
        <w:t xml:space="preserve"> and</w:t>
      </w:r>
      <w:r w:rsidRPr="00476AB8">
        <w:t xml:space="preserve"> 008) individually provide direct data to match the recommended (2, 4, 6, 18</w:t>
      </w:r>
      <w:r w:rsidR="005F50A7">
        <w:t xml:space="preserve"> month</w:t>
      </w:r>
      <w:r w:rsidRPr="00476AB8">
        <w:t>) schedule in the Australian National Immunisation Program (</w:t>
      </w:r>
      <w:r w:rsidR="00A75764">
        <w:t>see</w:t>
      </w:r>
      <w:r w:rsidR="00403AB2">
        <w:t xml:space="preserve"> Table 2</w:t>
      </w:r>
      <w:r w:rsidR="00A75764">
        <w:t>, above).</w:t>
      </w:r>
    </w:p>
    <w:p w14:paraId="7036AE97" w14:textId="5F60A69D" w:rsidR="0060638D" w:rsidRPr="00476AB8" w:rsidRDefault="0060638D" w:rsidP="00476AB8">
      <w:r w:rsidRPr="00476AB8">
        <w:lastRenderedPageBreak/>
        <w:t xml:space="preserve">Overall, the studies provide sufficient suitable and complementary information with respect to the Australian </w:t>
      </w:r>
      <w:r w:rsidR="00D04D6F">
        <w:t>N</w:t>
      </w:r>
      <w:r w:rsidRPr="00476AB8">
        <w:t xml:space="preserve">ational </w:t>
      </w:r>
      <w:r w:rsidR="00D04D6F">
        <w:t>I</w:t>
      </w:r>
      <w:r w:rsidRPr="00476AB8">
        <w:t>mmunisation schedule. However, this is a program implementation matter for a different forum.</w:t>
      </w:r>
    </w:p>
    <w:p w14:paraId="7CD4BD94" w14:textId="0392269A" w:rsidR="0060638D" w:rsidRPr="00476AB8" w:rsidRDefault="0060638D" w:rsidP="00476AB8">
      <w:r w:rsidRPr="00476AB8">
        <w:t xml:space="preserve">It is noted that the proposed PI includes a statement under </w:t>
      </w:r>
      <w:r w:rsidRPr="003674AA">
        <w:rPr>
          <w:i/>
          <w:iCs/>
        </w:rPr>
        <w:t xml:space="preserve">Adverse </w:t>
      </w:r>
      <w:r w:rsidR="00365C27" w:rsidRPr="003674AA">
        <w:rPr>
          <w:i/>
          <w:iCs/>
        </w:rPr>
        <w:t>e</w:t>
      </w:r>
      <w:r w:rsidRPr="003674AA">
        <w:rPr>
          <w:i/>
          <w:iCs/>
        </w:rPr>
        <w:t>ffects</w:t>
      </w:r>
      <w:r w:rsidRPr="00476AB8">
        <w:t xml:space="preserve"> section that that safety of </w:t>
      </w:r>
      <w:r w:rsidR="00D04D6F" w:rsidRPr="00476AB8">
        <w:t xml:space="preserve">Vaxelis </w:t>
      </w:r>
      <w:r w:rsidRPr="00476AB8">
        <w:t>in children over 15 months of age has not been studied in clinical trials.</w:t>
      </w:r>
    </w:p>
    <w:p w14:paraId="0879D82C" w14:textId="4840ACB4" w:rsidR="0060638D" w:rsidRPr="00476AB8" w:rsidRDefault="0060638D" w:rsidP="00476AB8">
      <w:r w:rsidRPr="00476AB8">
        <w:t xml:space="preserve">The primary basis of regulatory approval are </w:t>
      </w:r>
      <w:r w:rsidR="00D04D6F">
        <w:t>S</w:t>
      </w:r>
      <w:r w:rsidRPr="00476AB8">
        <w:t xml:space="preserve">tudies 007 and 008 as pivotal studies and </w:t>
      </w:r>
      <w:r w:rsidR="00D04D6F">
        <w:t xml:space="preserve">Studies </w:t>
      </w:r>
      <w:r w:rsidRPr="00476AB8">
        <w:t>005 and 006 as supportive studies. The data support the indication as proposed:</w:t>
      </w:r>
    </w:p>
    <w:p w14:paraId="4566B7C5" w14:textId="02B29113" w:rsidR="0060638D" w:rsidRPr="00476AB8" w:rsidRDefault="00D04D6F" w:rsidP="00D04D6F">
      <w:pPr>
        <w:ind w:left="720"/>
        <w:rPr>
          <w:i/>
          <w:iCs/>
        </w:rPr>
      </w:pPr>
      <w:r w:rsidRPr="00476AB8">
        <w:rPr>
          <w:i/>
          <w:iCs/>
        </w:rPr>
        <w:t xml:space="preserve">Vaxelis </w:t>
      </w:r>
      <w:r w:rsidR="0060638D" w:rsidRPr="00476AB8">
        <w:rPr>
          <w:i/>
          <w:iCs/>
        </w:rPr>
        <w:t xml:space="preserve">(DTPa5-HB-IPV-HiB) is indicated for primary and booster vaccination in infants and toddlers from the age of 6 weeks, against diphtheria, tetanus, pertussis, hepatitis B, poliomyelitis and invasive diseases caused by Haemophilus influenzae type b (Hib). The use of </w:t>
      </w:r>
      <w:r w:rsidRPr="00476AB8">
        <w:rPr>
          <w:i/>
          <w:iCs/>
        </w:rPr>
        <w:t xml:space="preserve">Vaxelis </w:t>
      </w:r>
      <w:r w:rsidR="0060638D" w:rsidRPr="00476AB8">
        <w:rPr>
          <w:i/>
          <w:iCs/>
        </w:rPr>
        <w:t>should be in accordance with official recommendations.</w:t>
      </w:r>
    </w:p>
    <w:p w14:paraId="10A4EBB8" w14:textId="77777777" w:rsidR="0060638D" w:rsidRDefault="0060638D" w:rsidP="00476AB8">
      <w:r>
        <w:t>The data also support the vaccination schedules as proposed:</w:t>
      </w:r>
    </w:p>
    <w:p w14:paraId="21F39B95" w14:textId="2B87B82F" w:rsidR="0060638D" w:rsidRPr="00476AB8" w:rsidRDefault="0060638D" w:rsidP="005034A1">
      <w:pPr>
        <w:ind w:left="720"/>
        <w:rPr>
          <w:i/>
          <w:iCs/>
        </w:rPr>
      </w:pPr>
      <w:r w:rsidRPr="00476AB8">
        <w:rPr>
          <w:i/>
          <w:iCs/>
        </w:rPr>
        <w:t>The primary vaccination schedule consists of 2 or 3 doses, with an interval of at least 1 month between doses, and may be given from 6 weeks of age, in accordance with the official recommendations.</w:t>
      </w:r>
    </w:p>
    <w:p w14:paraId="19A45D47" w14:textId="77777777" w:rsidR="0060638D" w:rsidRDefault="0060638D" w:rsidP="00B14E72">
      <w:r>
        <w:t>and</w:t>
      </w:r>
    </w:p>
    <w:p w14:paraId="519B1E78" w14:textId="517E5F9F" w:rsidR="0060638D" w:rsidRPr="00476AB8" w:rsidRDefault="0060638D" w:rsidP="005034A1">
      <w:pPr>
        <w:ind w:left="720"/>
        <w:rPr>
          <w:i/>
          <w:iCs/>
        </w:rPr>
      </w:pPr>
      <w:r w:rsidRPr="00476AB8">
        <w:rPr>
          <w:i/>
          <w:iCs/>
        </w:rPr>
        <w:t xml:space="preserve">After a 3-dose primary series vaccination with </w:t>
      </w:r>
      <w:r w:rsidR="005034A1">
        <w:rPr>
          <w:i/>
          <w:iCs/>
        </w:rPr>
        <w:t>Vaxelis</w:t>
      </w:r>
      <w:r w:rsidRPr="00476AB8">
        <w:rPr>
          <w:i/>
          <w:iCs/>
        </w:rPr>
        <w:t xml:space="preserve">, a booster dose may be given. When giving a booster dose, this should be at least 6 months after the last priming dose. After a 2-dose primary series vaccination with </w:t>
      </w:r>
      <w:r w:rsidR="005034A1">
        <w:rPr>
          <w:i/>
          <w:iCs/>
        </w:rPr>
        <w:t>Vaxelis</w:t>
      </w:r>
      <w:r w:rsidRPr="00476AB8">
        <w:rPr>
          <w:i/>
          <w:iCs/>
        </w:rPr>
        <w:t>, a booster dose should be given at least 6 months after the last priming dose. Booster doses should be given in accordance with the official recommendations.</w:t>
      </w:r>
    </w:p>
    <w:p w14:paraId="612FBC68" w14:textId="3D1D758E" w:rsidR="0074163C" w:rsidRDefault="0074163C" w:rsidP="0074163C">
      <w:pPr>
        <w:pStyle w:val="Heading4"/>
      </w:pPr>
      <w:r w:rsidRPr="00D23139">
        <w:t>Proposed action</w:t>
      </w:r>
      <w:bookmarkEnd w:id="51"/>
    </w:p>
    <w:p w14:paraId="2E33A593" w14:textId="5B4256FB" w:rsidR="0060638D" w:rsidRPr="0060638D" w:rsidRDefault="007109DA" w:rsidP="0060638D">
      <w:r>
        <w:t xml:space="preserve">While a decision </w:t>
      </w:r>
      <w:r w:rsidR="005F50A7">
        <w:t>wa</w:t>
      </w:r>
      <w:r>
        <w:t>s yet to be made, at this stage the Delegate was inclined to approve the registration of Vaxelis.</w:t>
      </w:r>
    </w:p>
    <w:p w14:paraId="00E2AA47" w14:textId="77777777" w:rsidR="0074163C" w:rsidRDefault="0074163C" w:rsidP="0074163C">
      <w:pPr>
        <w:pStyle w:val="Heading4"/>
      </w:pPr>
      <w:bookmarkStart w:id="53" w:name="_Toc98931934"/>
      <w:r>
        <w:t>Questions for the sponsor</w:t>
      </w:r>
      <w:bookmarkEnd w:id="53"/>
    </w:p>
    <w:p w14:paraId="48C73FCF" w14:textId="2063C5FD" w:rsidR="0074163C" w:rsidRDefault="0060638D" w:rsidP="0060638D">
      <w:r w:rsidRPr="007109DA">
        <w:t>The Delegate proposed several amendments to the PI</w:t>
      </w:r>
      <w:r w:rsidR="007109DA" w:rsidRPr="007109DA">
        <w:t xml:space="preserve"> which were implemented by the sponsor.</w:t>
      </w:r>
      <w:r w:rsidR="007109DA">
        <w:t xml:space="preserve"> The details of these are beyond the scope of this AusPAR.</w:t>
      </w:r>
    </w:p>
    <w:p w14:paraId="29B4D8C2" w14:textId="77777777" w:rsidR="0074163C" w:rsidRPr="00F73346" w:rsidRDefault="0074163C" w:rsidP="0074163C">
      <w:pPr>
        <w:pStyle w:val="Heading4"/>
      </w:pPr>
      <w:bookmarkStart w:id="54" w:name="_Toc98931936"/>
      <w:bookmarkStart w:id="55" w:name="_Toc247691532"/>
      <w:bookmarkStart w:id="56" w:name="_Toc314842516"/>
      <w:bookmarkEnd w:id="30"/>
      <w:bookmarkEnd w:id="47"/>
      <w:bookmarkEnd w:id="48"/>
      <w:r w:rsidRPr="00F73346">
        <w:t>Advisory Committee considerations</w:t>
      </w:r>
      <w:bookmarkEnd w:id="54"/>
    </w:p>
    <w:p w14:paraId="2DD525E9" w14:textId="4F51C5F0" w:rsidR="0074163C" w:rsidRPr="007D53B6" w:rsidRDefault="0074163C" w:rsidP="0074163C">
      <w:r w:rsidRPr="00C65E63">
        <w:t xml:space="preserve">The Delegate did not refer this </w:t>
      </w:r>
      <w:r w:rsidR="00BB0B78">
        <w:t>submission</w:t>
      </w:r>
      <w:r w:rsidRPr="00C65E63">
        <w:t xml:space="preserve"> to the Advisory Committee on </w:t>
      </w:r>
      <w:r>
        <w:t>Vaccines</w:t>
      </w:r>
      <w:r w:rsidRPr="00C65E63">
        <w:t xml:space="preserve"> (</w:t>
      </w:r>
      <w:r>
        <w:t>ACV</w:t>
      </w:r>
      <w:r w:rsidRPr="00C65E63">
        <w:t>) for advice.</w:t>
      </w:r>
    </w:p>
    <w:p w14:paraId="651C2F0A" w14:textId="77777777" w:rsidR="008E7846" w:rsidRPr="002E238E" w:rsidRDefault="008E7846" w:rsidP="00D212F3">
      <w:pPr>
        <w:pStyle w:val="Heading2"/>
      </w:pPr>
      <w:bookmarkStart w:id="57" w:name="_Toc126332734"/>
      <w:r>
        <w:t>Outcome</w:t>
      </w:r>
      <w:bookmarkEnd w:id="55"/>
      <w:bookmarkEnd w:id="56"/>
      <w:bookmarkEnd w:id="57"/>
    </w:p>
    <w:p w14:paraId="054572D8" w14:textId="34EEDE0E" w:rsidR="0074163C" w:rsidRDefault="0074163C" w:rsidP="0074163C">
      <w:bookmarkStart w:id="58" w:name="_Toc247691533"/>
      <w:bookmarkStart w:id="59" w:name="_Toc314842517"/>
      <w:r>
        <w:t xml:space="preserve">Based on a review of quality, </w:t>
      </w:r>
      <w:r w:rsidR="00CC5044">
        <w:t>safety,</w:t>
      </w:r>
      <w:r>
        <w:t xml:space="preserve"> and efficacy, the TGA approved the registration of </w:t>
      </w:r>
      <w:r w:rsidR="005034A1">
        <w:t>Vaxelis</w:t>
      </w:r>
      <w:r w:rsidRPr="00250271">
        <w:t xml:space="preserve"> (</w:t>
      </w:r>
      <w:r w:rsidR="005034A1" w:rsidRPr="005F50A7">
        <w:t>DTPa5-HB-IPV-Hib</w:t>
      </w:r>
      <w:r w:rsidR="00A75764">
        <w:t xml:space="preserve"> vaccine</w:t>
      </w:r>
      <w:r w:rsidRPr="00250271">
        <w:t xml:space="preserve">) </w:t>
      </w:r>
      <w:r w:rsidR="007109DA">
        <w:t>single dose (0.5 mL)</w:t>
      </w:r>
      <w:r w:rsidR="003674AA">
        <w:t xml:space="preserve"> </w:t>
      </w:r>
      <w:r w:rsidR="007109DA">
        <w:t xml:space="preserve">suspension for </w:t>
      </w:r>
      <w:r w:rsidR="00A75764">
        <w:t xml:space="preserve">intramuscular </w:t>
      </w:r>
      <w:r w:rsidR="007109DA">
        <w:t>injection</w:t>
      </w:r>
      <w:r>
        <w:t xml:space="preserve">, </w:t>
      </w:r>
      <w:r w:rsidR="007109DA">
        <w:t>in a vial or prefilled syringe</w:t>
      </w:r>
      <w:r>
        <w:t>, indicated for:</w:t>
      </w:r>
    </w:p>
    <w:p w14:paraId="43DAE7C8" w14:textId="352131EA" w:rsidR="00B20D99" w:rsidRDefault="00B20D99" w:rsidP="00476AB8">
      <w:pPr>
        <w:pStyle w:val="Default"/>
        <w:ind w:left="720"/>
        <w:rPr>
          <w:sz w:val="22"/>
          <w:szCs w:val="22"/>
        </w:rPr>
      </w:pPr>
      <w:r>
        <w:rPr>
          <w:i/>
          <w:iCs/>
          <w:sz w:val="22"/>
          <w:szCs w:val="22"/>
        </w:rPr>
        <w:t xml:space="preserve">Vaxelis (DTPa5-HB-IPV-Hib) is indicated for primary and booster vaccination in infants and toddlers from the age of 6 weeks, against diphtheria, tetanus, pertussis, hepatitis B, poliomyelitis and invasive diseases caused by Haemophilus influenzae type b (Hib). </w:t>
      </w:r>
    </w:p>
    <w:p w14:paraId="545384A3" w14:textId="3FFAC86F" w:rsidR="0074163C" w:rsidRDefault="00B20D99" w:rsidP="00476AB8">
      <w:pPr>
        <w:ind w:left="720"/>
      </w:pPr>
      <w:r>
        <w:rPr>
          <w:i/>
          <w:iCs/>
        </w:rPr>
        <w:t>The use of Vaxelis should be in accordance with official recommendations.</w:t>
      </w:r>
    </w:p>
    <w:p w14:paraId="3ECFD4CC" w14:textId="77777777" w:rsidR="00D23139" w:rsidRPr="00D23139" w:rsidRDefault="00D23139" w:rsidP="005034A1">
      <w:pPr>
        <w:pStyle w:val="Heading5"/>
      </w:pPr>
      <w:r w:rsidRPr="00D23139">
        <w:lastRenderedPageBreak/>
        <w:t>Specific conditions of registration applying to these goods</w:t>
      </w:r>
    </w:p>
    <w:p w14:paraId="44C7F074" w14:textId="31E7F0C2" w:rsidR="00476AB8" w:rsidRPr="005034A1" w:rsidRDefault="00476AB8" w:rsidP="00403AB2">
      <w:pPr>
        <w:pStyle w:val="ListBullet"/>
      </w:pPr>
      <w:r w:rsidRPr="005034A1">
        <w:t xml:space="preserve">Vaxelis (Diphtheria, tetanus, pertussis (acellular, component), hepatitis B (rDNA), poliovirus (inactivated), and Haemophilus influenzae type b conjugate vaccine) is to be included in the Black Triangle Scheme. The PI and CMI for </w:t>
      </w:r>
      <w:r w:rsidR="005034A1" w:rsidRPr="005034A1">
        <w:t>Vaxelis</w:t>
      </w:r>
      <w:r w:rsidRPr="005034A1">
        <w:t xml:space="preserve"> must include the black triangle symbol and mandatory accompanying text for five years, which starts from the date that the sponsor notifies the TGA of supply of the product. </w:t>
      </w:r>
    </w:p>
    <w:p w14:paraId="456079A7" w14:textId="623C6335" w:rsidR="00476AB8" w:rsidRPr="005034A1" w:rsidRDefault="00476AB8" w:rsidP="00403AB2">
      <w:pPr>
        <w:pStyle w:val="ListBullet"/>
      </w:pPr>
      <w:r w:rsidRPr="005034A1">
        <w:t xml:space="preserve">An obligatory component of risk management plans is routine pharmacovigilance. Routine pharmacovigilance includes the submission of periodic safety update reports (PSURs). </w:t>
      </w:r>
    </w:p>
    <w:p w14:paraId="068D9A7C" w14:textId="0923018A" w:rsidR="00476AB8" w:rsidRDefault="00476AB8" w:rsidP="00403AB2">
      <w:pPr>
        <w:pStyle w:val="ListBullet"/>
        <w:numPr>
          <w:ilvl w:val="0"/>
          <w:numId w:val="0"/>
        </w:numPr>
        <w:ind w:left="360"/>
      </w:pPr>
      <w:r w:rsidRPr="00476AB8">
        <w:t>Reports are to be provided in line with the current published list of EU reference dates and frequency of submission of PSURs until the period covered by such reports is not less than three years from the date of this approval letter.</w:t>
      </w:r>
    </w:p>
    <w:p w14:paraId="3D0532E1" w14:textId="77777777" w:rsidR="005034A1" w:rsidRDefault="00476AB8" w:rsidP="00403AB2">
      <w:pPr>
        <w:pStyle w:val="ListBullet"/>
        <w:numPr>
          <w:ilvl w:val="0"/>
          <w:numId w:val="0"/>
        </w:numPr>
        <w:ind w:left="360"/>
      </w:pPr>
      <w:r w:rsidRPr="00476AB8">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393CA835" w14:textId="4AC97F86" w:rsidR="00476AB8" w:rsidRPr="005034A1" w:rsidRDefault="00A75764" w:rsidP="00403AB2">
      <w:pPr>
        <w:pStyle w:val="ListBullet"/>
      </w:pPr>
      <w:r>
        <w:t>Good Manufacturing</w:t>
      </w:r>
      <w:r w:rsidRPr="005034A1">
        <w:t xml:space="preserve"> </w:t>
      </w:r>
      <w:r>
        <w:t xml:space="preserve">Practice (GMP) </w:t>
      </w:r>
      <w:r w:rsidR="00476AB8" w:rsidRPr="005034A1">
        <w:t>clearance for listed manufacturers:</w:t>
      </w:r>
      <w:r w:rsidR="00476AB8" w:rsidRPr="005034A1">
        <w:rPr>
          <w:b/>
          <w:bCs/>
        </w:rPr>
        <w:t xml:space="preserve"> </w:t>
      </w:r>
      <w:r w:rsidR="00476AB8" w:rsidRPr="005034A1">
        <w:t xml:space="preserve">All GMP Clearances must be approved prior to registration and supply of product to Australia. A commitment is required from the </w:t>
      </w:r>
      <w:r w:rsidR="005034A1">
        <w:t>s</w:t>
      </w:r>
      <w:r w:rsidR="00476AB8" w:rsidRPr="005034A1">
        <w:t xml:space="preserve">ponsor that they maintain the validity of all manufacturer GMP Clearances for the duration of product supply to Australia. Additionally, that adherence to the conditions of GMP Clearance approval is upheld. </w:t>
      </w:r>
    </w:p>
    <w:p w14:paraId="5E366C06" w14:textId="77777777" w:rsidR="00A75764" w:rsidRDefault="00476AB8" w:rsidP="00403AB2">
      <w:pPr>
        <w:pStyle w:val="ListBullet"/>
      </w:pPr>
      <w:r w:rsidRPr="003674AA">
        <w:t>Batch Release Testing and Compliance</w:t>
      </w:r>
    </w:p>
    <w:p w14:paraId="406C9E7F" w14:textId="08647691" w:rsidR="00476AB8" w:rsidRPr="00403AB2" w:rsidRDefault="00476AB8" w:rsidP="00403AB2">
      <w:pPr>
        <w:pStyle w:val="ListBullet"/>
        <w:numPr>
          <w:ilvl w:val="0"/>
          <w:numId w:val="0"/>
        </w:numPr>
        <w:ind w:left="360"/>
        <w:rPr>
          <w:rFonts w:eastAsiaTheme="minorHAnsi" w:cs="Cambria"/>
          <w:color w:val="000000"/>
        </w:rPr>
      </w:pPr>
      <w:r w:rsidRPr="00403AB2">
        <w:rPr>
          <w:rFonts w:eastAsiaTheme="minorHAnsi" w:cs="Cambria"/>
          <w:color w:val="000000"/>
        </w:rPr>
        <w:t xml:space="preserve">It is a condition of registration that all independent batches of </w:t>
      </w:r>
      <w:r w:rsidR="005034A1" w:rsidRPr="00403AB2">
        <w:rPr>
          <w:rFonts w:eastAsiaTheme="minorHAnsi" w:cs="Cambria"/>
          <w:color w:val="000000"/>
        </w:rPr>
        <w:t>Vaxelis</w:t>
      </w:r>
      <w:r w:rsidRPr="00403AB2">
        <w:rPr>
          <w:rFonts w:eastAsiaTheme="minorHAnsi" w:cs="Cambria"/>
          <w:color w:val="000000"/>
        </w:rPr>
        <w:t xml:space="preserve"> vaccine imported into Australia are not released for sale until samples and the manufacturer’s release data have been assessed and you have received notification acknowledging release from the Laboratories Branch, TGA.</w:t>
      </w:r>
    </w:p>
    <w:p w14:paraId="66E1E1FD" w14:textId="77777777" w:rsidR="00A75764" w:rsidRDefault="00476AB8" w:rsidP="00403AB2">
      <w:pPr>
        <w:pStyle w:val="ListBullet"/>
      </w:pPr>
      <w:r w:rsidRPr="003674AA">
        <w:t>Certified Product Details</w:t>
      </w:r>
    </w:p>
    <w:p w14:paraId="2C110851" w14:textId="5BD09FBE" w:rsidR="00476AB8" w:rsidRPr="00403AB2" w:rsidRDefault="00476AB8" w:rsidP="00403AB2">
      <w:pPr>
        <w:pStyle w:val="ListBullet"/>
        <w:numPr>
          <w:ilvl w:val="0"/>
          <w:numId w:val="0"/>
        </w:numPr>
        <w:ind w:left="360"/>
        <w:rPr>
          <w:rFonts w:eastAsiaTheme="minorHAnsi" w:cs="Cambria"/>
          <w:i/>
          <w:iCs/>
          <w:color w:val="000000"/>
        </w:rPr>
      </w:pPr>
      <w:r w:rsidRPr="00403AB2">
        <w:rPr>
          <w:rFonts w:eastAsiaTheme="minorHAnsi" w:cs="Cambria"/>
          <w:color w:val="000000"/>
        </w:rPr>
        <w:t xml:space="preserve">An electronic copy of the Certified Product Details (CPD) as described in Guidance 7: Certified Product Details of the Australian Regulatory Guidelines for Prescription Medicines (ARGPM) https://www.tga.gov.au/guidance-7-certified-product-details should be provided upon registration of the therapeutic good. In addition, an updated CPD, for the above products incorporating the approved changes is to be provided within one month of the date of approval letter. </w:t>
      </w:r>
    </w:p>
    <w:p w14:paraId="6EDE06DB" w14:textId="77777777" w:rsidR="008E7846" w:rsidRDefault="00A80B5B" w:rsidP="00D23139">
      <w:pPr>
        <w:pStyle w:val="Heading2"/>
      </w:pPr>
      <w:bookmarkStart w:id="60" w:name="_Toc126332735"/>
      <w:r>
        <w:t xml:space="preserve">Attachment 1. </w:t>
      </w:r>
      <w:r w:rsidR="008E7846">
        <w:t xml:space="preserve">Product </w:t>
      </w:r>
      <w:r w:rsidR="00AA0ED0">
        <w:t>I</w:t>
      </w:r>
      <w:r w:rsidR="008E7846">
        <w:t>nformation</w:t>
      </w:r>
      <w:bookmarkEnd w:id="58"/>
      <w:bookmarkEnd w:id="59"/>
      <w:bookmarkEnd w:id="60"/>
    </w:p>
    <w:p w14:paraId="46D92188" w14:textId="59FF5B94" w:rsidR="00291957" w:rsidRDefault="006136D7" w:rsidP="00744121">
      <w:pPr>
        <w:rPr>
          <w:lang w:eastAsia="ja-JP"/>
        </w:rPr>
      </w:pPr>
      <w:r w:rsidRPr="002B3624">
        <w:t xml:space="preserve">The </w:t>
      </w:r>
      <w:r>
        <w:t>PI</w:t>
      </w:r>
      <w:r w:rsidRPr="002B3624">
        <w:t xml:space="preserve"> for </w:t>
      </w:r>
      <w:r w:rsidR="00476AB8">
        <w:t>Vaxelis</w:t>
      </w:r>
      <w:r w:rsidR="0074163C">
        <w:t xml:space="preserve">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48" w:history="1">
        <w:r w:rsidR="0074163C" w:rsidRPr="008A698E">
          <w:rPr>
            <w:rStyle w:val="Hyperlink"/>
          </w:rPr>
          <w:t>PI/CMI search facility</w:t>
        </w:r>
        <w:r w:rsidR="0074163C" w:rsidRPr="00EB36D6">
          <w:rPr>
            <w:rStyle w:val="Hyperlink"/>
            <w:color w:val="auto"/>
            <w:u w:val="none"/>
          </w:rPr>
          <w:t>.</w:t>
        </w:r>
      </w:hyperlink>
    </w:p>
    <w:p w14:paraId="12E84297" w14:textId="77777777" w:rsidR="00744121" w:rsidRDefault="00744121" w:rsidP="00744121">
      <w:pPr>
        <w:rPr>
          <w:lang w:eastAsia="ja-JP"/>
        </w:rPr>
      </w:pPr>
    </w:p>
    <w:p w14:paraId="734F48B5" w14:textId="77777777" w:rsidR="00C80137" w:rsidRPr="001D043B" w:rsidRDefault="00C80137" w:rsidP="003A7F6C">
      <w:pPr>
        <w:pStyle w:val="TableTitle"/>
        <w:sectPr w:rsidR="00C80137" w:rsidRPr="001D043B" w:rsidSect="00B452CE">
          <w:headerReference w:type="even" r:id="rId49"/>
          <w:headerReference w:type="default" r:id="rId50"/>
          <w:headerReference w:type="first" r:id="rId51"/>
          <w:footerReference w:type="first" r:id="rId5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7B7C8E3" w14:textId="77777777" w:rsidTr="00A05FA4">
        <w:trPr>
          <w:trHeight w:hRule="exact" w:val="704"/>
        </w:trPr>
        <w:tc>
          <w:tcPr>
            <w:tcW w:w="9175" w:type="dxa"/>
          </w:tcPr>
          <w:p w14:paraId="43A54E40" w14:textId="77777777" w:rsidR="001C32CD" w:rsidRPr="00487162" w:rsidRDefault="001C32CD" w:rsidP="00A05FA4">
            <w:pPr>
              <w:pStyle w:val="TGASignoff"/>
            </w:pPr>
            <w:r w:rsidRPr="00487162">
              <w:lastRenderedPageBreak/>
              <w:t>Therapeutic Goods Administration</w:t>
            </w:r>
          </w:p>
        </w:tc>
      </w:tr>
      <w:tr w:rsidR="001C32CD" w:rsidRPr="004C239D" w14:paraId="43EC4A55" w14:textId="77777777" w:rsidTr="00A05FA4">
        <w:trPr>
          <w:trHeight w:val="1221"/>
        </w:trPr>
        <w:tc>
          <w:tcPr>
            <w:tcW w:w="9175" w:type="dxa"/>
            <w:tcMar>
              <w:top w:w="28" w:type="dxa"/>
            </w:tcMar>
          </w:tcPr>
          <w:p w14:paraId="20A28BED" w14:textId="77777777" w:rsidR="001C32CD" w:rsidRPr="00487162" w:rsidRDefault="001C32CD" w:rsidP="00A05FA4">
            <w:pPr>
              <w:pStyle w:val="Address"/>
            </w:pPr>
            <w:r w:rsidRPr="00487162">
              <w:t>PO Box 100 Woden ACT 2606 Australia</w:t>
            </w:r>
          </w:p>
          <w:p w14:paraId="16DEC650" w14:textId="1C393A4E" w:rsidR="001C32CD" w:rsidRPr="00487162" w:rsidRDefault="001C32CD" w:rsidP="00A05FA4">
            <w:pPr>
              <w:pStyle w:val="Address"/>
            </w:pPr>
            <w:r w:rsidRPr="00487162">
              <w:t xml:space="preserve">Email: </w:t>
            </w:r>
            <w:hyperlink r:id="rId53" w:history="1">
              <w:r w:rsidRPr="004C239D">
                <w:rPr>
                  <w:rStyle w:val="Hyperlink"/>
                </w:rPr>
                <w:t>info@tga.gov.au</w:t>
              </w:r>
            </w:hyperlink>
            <w:r w:rsidR="00665AA6">
              <w:t xml:space="preserve"> </w:t>
            </w:r>
            <w:r w:rsidRPr="00487162">
              <w:t>Phone: 1800 020 653</w:t>
            </w:r>
            <w:r w:rsidR="00665AA6">
              <w:t xml:space="preserve"> </w:t>
            </w:r>
            <w:r w:rsidRPr="00487162">
              <w:t>Fax: 02 6232 8605</w:t>
            </w:r>
          </w:p>
          <w:p w14:paraId="7B6A9BEA" w14:textId="77777777" w:rsidR="001C32CD" w:rsidRPr="004C239D" w:rsidRDefault="00F5089D" w:rsidP="00A05FA4">
            <w:pPr>
              <w:pStyle w:val="Address"/>
              <w:spacing w:line="260" w:lineRule="atLeast"/>
              <w:rPr>
                <w:b/>
                <w:color w:val="0000FF"/>
                <w:u w:val="single"/>
              </w:rPr>
            </w:pPr>
            <w:hyperlink r:id="rId54" w:history="1">
              <w:r w:rsidR="007C6B9B" w:rsidRPr="007C6B9B">
                <w:rPr>
                  <w:rStyle w:val="Hyperlink"/>
                  <w:b/>
                </w:rPr>
                <w:t>https://www.tga.gov.au</w:t>
              </w:r>
            </w:hyperlink>
          </w:p>
        </w:tc>
      </w:tr>
    </w:tbl>
    <w:p w14:paraId="5AEC6F20" w14:textId="77777777" w:rsidR="00774E1D" w:rsidRPr="008A5E0B" w:rsidRDefault="00774E1D" w:rsidP="004C239D"/>
    <w:sectPr w:rsidR="00774E1D" w:rsidRPr="008A5E0B" w:rsidSect="001C32CD">
      <w:headerReference w:type="even" r:id="rId55"/>
      <w:headerReference w:type="default" r:id="rId56"/>
      <w:footerReference w:type="default" r:id="rId57"/>
      <w:headerReference w:type="first" r:id="rId58"/>
      <w:footerReference w:type="first" r:id="rId5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FC3E1" w14:textId="77777777" w:rsidR="00EB3983" w:rsidRDefault="00EB3983" w:rsidP="00C40A36">
      <w:pPr>
        <w:spacing w:after="0"/>
      </w:pPr>
      <w:r>
        <w:separator/>
      </w:r>
    </w:p>
  </w:endnote>
  <w:endnote w:type="continuationSeparator" w:id="0">
    <w:p w14:paraId="5F5D2086" w14:textId="77777777" w:rsidR="00EB3983" w:rsidRDefault="00EB3983" w:rsidP="00C40A36">
      <w:pPr>
        <w:spacing w:after="0"/>
      </w:pPr>
      <w:r>
        <w:continuationSeparator/>
      </w:r>
    </w:p>
  </w:endnote>
  <w:endnote w:type="continuationNotice" w:id="1">
    <w:p w14:paraId="5EEC1F27" w14:textId="77777777" w:rsidR="00EB3983" w:rsidRDefault="00EB39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776A9" w:rsidRPr="00487162" w14:paraId="2B8DE547" w14:textId="77777777" w:rsidTr="00DB750B">
      <w:trPr>
        <w:trHeight w:val="269"/>
      </w:trPr>
      <w:tc>
        <w:tcPr>
          <w:tcW w:w="7371" w:type="dxa"/>
          <w:tcMar>
            <w:top w:w="142" w:type="dxa"/>
            <w:bottom w:w="0" w:type="dxa"/>
          </w:tcMar>
        </w:tcPr>
        <w:tbl>
          <w:tblPr>
            <w:tblW w:w="8170" w:type="dxa"/>
            <w:tblBorders>
              <w:top w:val="nil"/>
              <w:left w:val="nil"/>
              <w:bottom w:val="nil"/>
              <w:right w:val="nil"/>
            </w:tblBorders>
            <w:tblLayout w:type="fixed"/>
            <w:tblLook w:val="0000" w:firstRow="0" w:lastRow="0" w:firstColumn="0" w:lastColumn="0" w:noHBand="0" w:noVBand="0"/>
          </w:tblPr>
          <w:tblGrid>
            <w:gridCol w:w="8170"/>
          </w:tblGrid>
          <w:tr w:rsidR="00A776A9" w:rsidRPr="00E30B80" w14:paraId="0987A1DE" w14:textId="77777777" w:rsidTr="00E30B80">
            <w:trPr>
              <w:trHeight w:val="110"/>
            </w:trPr>
            <w:tc>
              <w:tcPr>
                <w:tcW w:w="8170" w:type="dxa"/>
              </w:tcPr>
              <w:p w14:paraId="0BCE6F11" w14:textId="56DD7023" w:rsidR="00A776A9" w:rsidRPr="00E30B80" w:rsidRDefault="00A776A9" w:rsidP="00CE1671">
                <w:pPr>
                  <w:pStyle w:val="Default"/>
                  <w:ind w:left="-110"/>
                  <w:rPr>
                    <w:rFonts w:asciiTheme="minorHAnsi" w:hAnsiTheme="minorHAnsi"/>
                    <w:sz w:val="16"/>
                    <w:szCs w:val="16"/>
                  </w:rPr>
                </w:pPr>
                <w:r w:rsidRPr="00E30B80">
                  <w:rPr>
                    <w:rFonts w:asciiTheme="minorHAnsi" w:hAnsiTheme="minorHAnsi"/>
                    <w:sz w:val="16"/>
                    <w:szCs w:val="16"/>
                  </w:rPr>
                  <w:t>AusPAR – Vaxelis - Diphtheria, tetanus, pertussis, hepatitis B, poliovirus, and Haemophilus influenzae type b conjugate vaccine – Maxx Pharma Pty Ltd</w:t>
                </w:r>
                <w:r>
                  <w:rPr>
                    <w:rFonts w:asciiTheme="minorHAnsi" w:hAnsiTheme="minorHAnsi"/>
                    <w:sz w:val="16"/>
                    <w:szCs w:val="16"/>
                  </w:rPr>
                  <w:t xml:space="preserve"> P</w:t>
                </w:r>
                <w:r w:rsidRPr="00E30B80">
                  <w:rPr>
                    <w:rFonts w:asciiTheme="minorHAnsi" w:hAnsiTheme="minorHAnsi"/>
                    <w:sz w:val="16"/>
                    <w:szCs w:val="16"/>
                  </w:rPr>
                  <w:t xml:space="preserve">M-2021-01695-1-2 </w:t>
                </w:r>
              </w:p>
            </w:tc>
          </w:tr>
        </w:tbl>
        <w:p w14:paraId="1065B88A" w14:textId="2538200A" w:rsidR="00A776A9" w:rsidRPr="00487162" w:rsidRDefault="00E84DA8" w:rsidP="00460036">
          <w:pPr>
            <w:pStyle w:val="Footer"/>
          </w:pPr>
          <w:r>
            <w:rPr>
              <w:rFonts w:asciiTheme="minorHAnsi" w:hAnsiTheme="minorHAnsi"/>
              <w:sz w:val="16"/>
              <w:szCs w:val="16"/>
            </w:rPr>
            <w:t>Final 25 January 2023</w:t>
          </w:r>
        </w:p>
      </w:tc>
      <w:tc>
        <w:tcPr>
          <w:tcW w:w="1490" w:type="dxa"/>
          <w:tcMar>
            <w:top w:w="142" w:type="dxa"/>
            <w:bottom w:w="0" w:type="dxa"/>
          </w:tcMar>
        </w:tcPr>
        <w:p w14:paraId="29653ACF" w14:textId="62C6F2B2" w:rsidR="00A776A9" w:rsidRPr="00487162" w:rsidRDefault="00A776A9" w:rsidP="00DB750B">
          <w:pPr>
            <w:pStyle w:val="Footer"/>
            <w:jc w:val="right"/>
          </w:pPr>
          <w:r w:rsidRPr="00487162">
            <w:t xml:space="preserve">Page </w:t>
          </w:r>
          <w:r>
            <w:fldChar w:fldCharType="begin"/>
          </w:r>
          <w:r>
            <w:instrText xml:space="preserve"> PAGE  \* Arabic </w:instrText>
          </w:r>
          <w:r>
            <w:fldChar w:fldCharType="separate"/>
          </w:r>
          <w:r w:rsidR="00AF606B">
            <w:rPr>
              <w:noProof/>
            </w:rPr>
            <w:t>7</w:t>
          </w:r>
          <w:r>
            <w:fldChar w:fldCharType="end"/>
          </w:r>
          <w:r w:rsidRPr="00487162">
            <w:t xml:space="preserve"> of </w:t>
          </w:r>
          <w:fldSimple w:instr=" NUMPAGES  \* Arabic ">
            <w:r w:rsidR="00AF606B">
              <w:rPr>
                <w:noProof/>
              </w:rPr>
              <w:t>31</w:t>
            </w:r>
          </w:fldSimple>
        </w:p>
      </w:tc>
    </w:tr>
  </w:tbl>
  <w:p w14:paraId="7DA1929B" w14:textId="77777777" w:rsidR="00A776A9" w:rsidRDefault="00A776A9"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776A9" w:rsidRPr="00487162" w14:paraId="34EE0F91" w14:textId="77777777" w:rsidTr="00E45619">
      <w:trPr>
        <w:trHeight w:val="269"/>
      </w:trPr>
      <w:tc>
        <w:tcPr>
          <w:tcW w:w="4519" w:type="dxa"/>
          <w:tcBorders>
            <w:top w:val="single" w:sz="4" w:space="0" w:color="auto"/>
          </w:tcBorders>
          <w:tcMar>
            <w:top w:w="142" w:type="dxa"/>
            <w:bottom w:w="0" w:type="dxa"/>
          </w:tcMar>
        </w:tcPr>
        <w:p w14:paraId="63AEF365" w14:textId="77777777" w:rsidR="00A776A9" w:rsidRPr="00487162" w:rsidRDefault="00A776A9" w:rsidP="00FE1DEE">
          <w:pPr>
            <w:pStyle w:val="Footer"/>
          </w:pPr>
          <w:r w:rsidRPr="00487162">
            <w:t>Document title, Part #, Section # - Section title</w:t>
          </w:r>
        </w:p>
        <w:p w14:paraId="49BC4DDF" w14:textId="77777777" w:rsidR="00A776A9" w:rsidRPr="00487162" w:rsidRDefault="00A776A9" w:rsidP="00FE1DEE">
          <w:pPr>
            <w:pStyle w:val="Footer"/>
          </w:pPr>
          <w:r w:rsidRPr="00487162">
            <w:t>V1.0 October 2010</w:t>
          </w:r>
        </w:p>
      </w:tc>
      <w:tc>
        <w:tcPr>
          <w:tcW w:w="4342" w:type="dxa"/>
          <w:tcBorders>
            <w:top w:val="single" w:sz="4" w:space="0" w:color="auto"/>
          </w:tcBorders>
          <w:tcMar>
            <w:top w:w="142" w:type="dxa"/>
            <w:bottom w:w="0" w:type="dxa"/>
          </w:tcMar>
        </w:tcPr>
        <w:p w14:paraId="5804383B" w14:textId="77777777" w:rsidR="00A776A9" w:rsidRPr="00487162" w:rsidRDefault="00A776A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2BD8093D" w14:textId="77777777" w:rsidR="00A776A9" w:rsidRDefault="00A776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47B1" w14:textId="77777777" w:rsidR="00A776A9" w:rsidRPr="001C32CD" w:rsidRDefault="00A776A9"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776A9" w14:paraId="6B3B818A" w14:textId="77777777" w:rsidTr="0010601F">
      <w:trPr>
        <w:trHeight w:val="108"/>
      </w:trPr>
      <w:tc>
        <w:tcPr>
          <w:tcW w:w="8875" w:type="dxa"/>
          <w:gridSpan w:val="2"/>
          <w:tcBorders>
            <w:bottom w:val="single" w:sz="4" w:space="0" w:color="auto"/>
          </w:tcBorders>
          <w:tcMar>
            <w:right w:w="284" w:type="dxa"/>
          </w:tcMar>
        </w:tcPr>
        <w:p w14:paraId="7A5CCA01" w14:textId="77777777" w:rsidR="00A776A9" w:rsidRDefault="00A776A9" w:rsidP="006E08B3">
          <w:pPr>
            <w:pStyle w:val="Heading3"/>
          </w:pPr>
          <w:r>
            <w:t>Copyright</w:t>
          </w:r>
        </w:p>
        <w:p w14:paraId="54BE86EB" w14:textId="77777777" w:rsidR="00A776A9" w:rsidRDefault="00A776A9" w:rsidP="006E08B3">
          <w:r>
            <w:rPr>
              <w:rFonts w:cs="Arial"/>
            </w:rPr>
            <w:t>©</w:t>
          </w:r>
          <w:r>
            <w:t xml:space="preserve"> Commonwealth of Australia [add year]</w:t>
          </w:r>
        </w:p>
        <w:p w14:paraId="2C4AB745" w14:textId="77777777" w:rsidR="00A776A9" w:rsidRDefault="00A776A9" w:rsidP="006E08B3"/>
        <w:p w14:paraId="496599FF" w14:textId="51D19B4D" w:rsidR="00A776A9" w:rsidRDefault="00A776A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9D1B3DC" w14:textId="77777777" w:rsidR="00A776A9" w:rsidRDefault="00A776A9" w:rsidP="006E08B3"/>
        <w:p w14:paraId="5CEDF229" w14:textId="77777777" w:rsidR="00A776A9" w:rsidRDefault="00A776A9" w:rsidP="006E08B3">
          <w:pPr>
            <w:pStyle w:val="Heading3"/>
          </w:pPr>
          <w:r>
            <w:t>Confidentiality</w:t>
          </w:r>
        </w:p>
        <w:p w14:paraId="2F6FF6AC" w14:textId="77777777" w:rsidR="00A776A9" w:rsidRDefault="00A776A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556EDE9" w14:textId="77777777" w:rsidR="00A776A9" w:rsidRDefault="00A776A9" w:rsidP="006E08B3"/>
        <w:p w14:paraId="22F20426" w14:textId="77777777" w:rsidR="00A776A9" w:rsidRDefault="00A776A9" w:rsidP="006E08B3">
          <w:r>
            <w:t>For submission made by individuals, all personal details, other than your name, will be removed from your submission before it is published on the TGA’s Internet site.</w:t>
          </w:r>
        </w:p>
        <w:p w14:paraId="3995ED10" w14:textId="77777777" w:rsidR="00A776A9" w:rsidRDefault="00A776A9" w:rsidP="006E08B3"/>
        <w:p w14:paraId="47B44EB0" w14:textId="77777777" w:rsidR="00A776A9" w:rsidRDefault="00A776A9" w:rsidP="006E08B3">
          <w:r>
            <w:t>In addition, a list of parties making submissions will be published. If you do not wish to be identified with your submission you must specifically request this in the space provided in the submission coversheet.</w:t>
          </w:r>
        </w:p>
      </w:tc>
    </w:tr>
    <w:tr w:rsidR="00A776A9" w14:paraId="3BCDE90E" w14:textId="77777777" w:rsidTr="0010601F">
      <w:trPr>
        <w:trHeight w:val="417"/>
      </w:trPr>
      <w:tc>
        <w:tcPr>
          <w:tcW w:w="4519" w:type="dxa"/>
          <w:tcBorders>
            <w:top w:val="single" w:sz="4" w:space="0" w:color="auto"/>
          </w:tcBorders>
          <w:tcMar>
            <w:top w:w="142" w:type="dxa"/>
            <w:bottom w:w="0" w:type="dxa"/>
          </w:tcMar>
        </w:tcPr>
        <w:p w14:paraId="64E56F89" w14:textId="77777777" w:rsidR="00A776A9" w:rsidRDefault="00A776A9" w:rsidP="006E08B3">
          <w:r>
            <w:t>Document title, Part #, Section # - Section title</w:t>
          </w:r>
        </w:p>
        <w:p w14:paraId="50F4C3E5" w14:textId="77777777" w:rsidR="00A776A9" w:rsidRDefault="00A776A9" w:rsidP="006E08B3">
          <w:r>
            <w:t>V1.0 October 2010</w:t>
          </w:r>
        </w:p>
      </w:tc>
      <w:tc>
        <w:tcPr>
          <w:tcW w:w="4356" w:type="dxa"/>
          <w:tcBorders>
            <w:top w:val="single" w:sz="4" w:space="0" w:color="auto"/>
          </w:tcBorders>
          <w:tcMar>
            <w:top w:w="142" w:type="dxa"/>
            <w:bottom w:w="0" w:type="dxa"/>
          </w:tcMar>
        </w:tcPr>
        <w:p w14:paraId="590BFBF6" w14:textId="36454A02" w:rsidR="00A776A9" w:rsidRDefault="00A776A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65728C02" w14:textId="77777777" w:rsidR="00A776A9" w:rsidRDefault="00A776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2F9F6" w14:textId="77777777" w:rsidR="00EB3983" w:rsidRDefault="00EB3983" w:rsidP="00C40A36">
      <w:pPr>
        <w:spacing w:after="0"/>
      </w:pPr>
      <w:r>
        <w:separator/>
      </w:r>
    </w:p>
  </w:footnote>
  <w:footnote w:type="continuationSeparator" w:id="0">
    <w:p w14:paraId="18D351F5" w14:textId="77777777" w:rsidR="00EB3983" w:rsidRDefault="00EB3983" w:rsidP="00C40A36">
      <w:pPr>
        <w:spacing w:after="0"/>
      </w:pPr>
      <w:r>
        <w:continuationSeparator/>
      </w:r>
    </w:p>
  </w:footnote>
  <w:footnote w:type="continuationNotice" w:id="1">
    <w:p w14:paraId="41415E76" w14:textId="77777777" w:rsidR="00EB3983" w:rsidRDefault="00EB3983">
      <w:pPr>
        <w:spacing w:before="0" w:after="0" w:line="240" w:lineRule="auto"/>
      </w:pPr>
    </w:p>
  </w:footnote>
  <w:footnote w:id="2">
    <w:p w14:paraId="68A3CA87" w14:textId="5AE407A4" w:rsidR="00A776A9" w:rsidRPr="00403AB2" w:rsidRDefault="00A776A9">
      <w:pPr>
        <w:pStyle w:val="FootnoteText"/>
        <w:rPr>
          <w:lang w:val="en-GB"/>
        </w:rPr>
      </w:pPr>
      <w:r>
        <w:rPr>
          <w:rStyle w:val="FootnoteReference"/>
        </w:rPr>
        <w:footnoteRef/>
      </w:r>
      <w:r>
        <w:t xml:space="preserve"> Adapted from ‘</w:t>
      </w:r>
      <w:r w:rsidRPr="002320EF">
        <w:t>Immunisation recommendations for Non-Indigenous Australians without risk factors for vaccine-preventable diseases</w:t>
      </w:r>
      <w:r>
        <w:t>’; NCIRS; last updated: July 2020. Available at: ‘</w:t>
      </w:r>
      <w:hyperlink r:id="rId1" w:history="1">
        <w:r w:rsidRPr="002B556D">
          <w:rPr>
            <w:rStyle w:val="Hyperlink"/>
          </w:rPr>
          <w:t>https://www.ncirs.org.au/sites/default/files/2021-08/NCIRS%20Immunisation%20schedule%20for%20non-Indigenous%20people_1%20July%202020-Final.pdf</w:t>
        </w:r>
      </w:hyperlink>
      <w:r>
        <w:t xml:space="preserve"> </w:t>
      </w:r>
    </w:p>
  </w:footnote>
  <w:footnote w:id="3">
    <w:p w14:paraId="50D4A4AD" w14:textId="77777777" w:rsidR="00A776A9" w:rsidRDefault="00A776A9" w:rsidP="00A10EF1">
      <w:pPr>
        <w:pStyle w:val="FootnoteText"/>
      </w:pPr>
      <w:r>
        <w:rPr>
          <w:rStyle w:val="FootnoteReference"/>
        </w:rPr>
        <w:footnoteRef/>
      </w:r>
      <w:r>
        <w:t xml:space="preserve"> </w:t>
      </w:r>
      <w:hyperlink r:id="rId2" w:history="1">
        <w:r>
          <w:rPr>
            <w:rStyle w:val="Hyperlink"/>
          </w:rPr>
          <w:t>NSW Health diphtheria control guideline</w:t>
        </w:r>
      </w:hyperlink>
      <w:r>
        <w:t xml:space="preserve"> (last viewed 24/10/2021) </w:t>
      </w:r>
    </w:p>
  </w:footnote>
  <w:footnote w:id="4">
    <w:p w14:paraId="08BE5419" w14:textId="77777777" w:rsidR="00A776A9" w:rsidRDefault="00A776A9" w:rsidP="00A10EF1">
      <w:pPr>
        <w:pStyle w:val="FootnoteText"/>
      </w:pPr>
      <w:r>
        <w:rPr>
          <w:rStyle w:val="FootnoteReference"/>
        </w:rPr>
        <w:footnoteRef/>
      </w:r>
      <w:r>
        <w:t xml:space="preserve"> Australian Institute of Health and Welfare (2018). Diphtheria in Australia (Vaccine-preventable disease fact sheet). Australian Government.</w:t>
      </w:r>
    </w:p>
  </w:footnote>
  <w:footnote w:id="5">
    <w:p w14:paraId="08ACEEFE" w14:textId="77777777" w:rsidR="00A776A9" w:rsidRDefault="00A776A9" w:rsidP="00A10EF1">
      <w:pPr>
        <w:pStyle w:val="FootnoteText"/>
      </w:pPr>
      <w:r>
        <w:rPr>
          <w:rStyle w:val="FootnoteReference"/>
        </w:rPr>
        <w:footnoteRef/>
      </w:r>
      <w:r>
        <w:t xml:space="preserve"> Australian Institute of Health and Welfare (2018). Tetanus in Australia (Vaccine-preventable disease fact sheet). Australian Government.</w:t>
      </w:r>
    </w:p>
  </w:footnote>
  <w:footnote w:id="6">
    <w:p w14:paraId="6D594AAE" w14:textId="77777777" w:rsidR="00A776A9" w:rsidRDefault="00A776A9" w:rsidP="00A10EF1">
      <w:pPr>
        <w:pStyle w:val="FootnoteText"/>
      </w:pPr>
      <w:r>
        <w:rPr>
          <w:rStyle w:val="FootnoteReference"/>
        </w:rPr>
        <w:footnoteRef/>
      </w:r>
      <w:r>
        <w:t xml:space="preserve"> </w:t>
      </w:r>
      <w:hyperlink r:id="rId3" w:history="1">
        <w:r>
          <w:rPr>
            <w:rStyle w:val="Hyperlink"/>
          </w:rPr>
          <w:t xml:space="preserve">NSW Health pertussis control guideline </w:t>
        </w:r>
      </w:hyperlink>
      <w:r>
        <w:t xml:space="preserve">(last viewed 21/10/2021) </w:t>
      </w:r>
    </w:p>
  </w:footnote>
  <w:footnote w:id="7">
    <w:p w14:paraId="1592EF32" w14:textId="77777777" w:rsidR="00A776A9" w:rsidRDefault="00A776A9" w:rsidP="00A10EF1">
      <w:pPr>
        <w:pStyle w:val="FootnoteText"/>
      </w:pPr>
      <w:r>
        <w:rPr>
          <w:rStyle w:val="FootnoteReference"/>
        </w:rPr>
        <w:footnoteRef/>
      </w:r>
      <w:r>
        <w:t xml:space="preserve"> Australian Institute of Health and Welfare (2018). Pertussis in Australia (Vaccine-preventable disease fact sheet). Australian Government.</w:t>
      </w:r>
    </w:p>
  </w:footnote>
  <w:footnote w:id="8">
    <w:p w14:paraId="40EF1FEA" w14:textId="77777777" w:rsidR="00A776A9" w:rsidRDefault="00A776A9" w:rsidP="00A10EF1">
      <w:pPr>
        <w:pStyle w:val="FootnoteText"/>
      </w:pPr>
      <w:r>
        <w:rPr>
          <w:rStyle w:val="FootnoteReference"/>
        </w:rPr>
        <w:footnoteRef/>
      </w:r>
      <w:r>
        <w:t xml:space="preserve"> Australian Institute of Health and Welfare (2018). Polio in Australia (Vaccine-preventable disease fact sheet). Australian Government.</w:t>
      </w:r>
    </w:p>
  </w:footnote>
  <w:footnote w:id="9">
    <w:p w14:paraId="30A82A2D" w14:textId="77777777" w:rsidR="00A776A9" w:rsidRDefault="00A776A9" w:rsidP="00A10EF1">
      <w:pPr>
        <w:pStyle w:val="FootnoteText"/>
      </w:pPr>
      <w:r>
        <w:rPr>
          <w:rStyle w:val="FootnoteReference"/>
        </w:rPr>
        <w:footnoteRef/>
      </w:r>
      <w:r>
        <w:t xml:space="preserve"> </w:t>
      </w:r>
      <w:hyperlink r:id="rId4" w:history="1">
        <w:r>
          <w:rPr>
            <w:rStyle w:val="Hyperlink"/>
          </w:rPr>
          <w:t xml:space="preserve">NSW Health </w:t>
        </w:r>
        <w:r>
          <w:rPr>
            <w:rStyle w:val="Hyperlink"/>
            <w:i/>
          </w:rPr>
          <w:t>Haemophilus influenzae</w:t>
        </w:r>
        <w:r>
          <w:rPr>
            <w:rStyle w:val="Hyperlink"/>
          </w:rPr>
          <w:t xml:space="preserve"> type b (Hib) control guideline</w:t>
        </w:r>
      </w:hyperlink>
      <w:r>
        <w:t xml:space="preserve"> (last viewed 21/10/2021)</w:t>
      </w:r>
    </w:p>
    <w:p w14:paraId="3E66D5D7" w14:textId="77777777" w:rsidR="00A776A9" w:rsidRDefault="00A776A9" w:rsidP="00A10EF1">
      <w:pPr>
        <w:pStyle w:val="FootnoteText"/>
      </w:pPr>
    </w:p>
  </w:footnote>
  <w:footnote w:id="10">
    <w:p w14:paraId="1915BF59" w14:textId="43A3B13A" w:rsidR="00A776A9" w:rsidRPr="00403AB2" w:rsidRDefault="00A776A9">
      <w:pPr>
        <w:pStyle w:val="FootnoteText"/>
        <w:rPr>
          <w:lang w:val="en-GB"/>
        </w:rPr>
      </w:pPr>
      <w:r>
        <w:rPr>
          <w:rStyle w:val="FootnoteReference"/>
        </w:rPr>
        <w:footnoteRef/>
      </w:r>
      <w:r>
        <w:t xml:space="preserve"> </w:t>
      </w:r>
      <w:r w:rsidRPr="008D4F02">
        <w:t>Hexaxim DTPa-hepB-IPV-Hib</w:t>
      </w:r>
      <w:r>
        <w:t xml:space="preserve"> (vaccine) s</w:t>
      </w:r>
      <w:r w:rsidRPr="008D4F02">
        <w:t>uspension for injection in pre-filled syringe</w:t>
      </w:r>
      <w:r>
        <w:t xml:space="preserve"> </w:t>
      </w:r>
      <w:r>
        <w:rPr>
          <w:lang w:val="en-GB"/>
        </w:rPr>
        <w:t xml:space="preserve">ARTG R </w:t>
      </w:r>
      <w:r>
        <w:t>215536.</w:t>
      </w:r>
    </w:p>
  </w:footnote>
  <w:footnote w:id="11">
    <w:p w14:paraId="12327508" w14:textId="31196832" w:rsidR="00A776A9" w:rsidRPr="00403AB2" w:rsidRDefault="00A776A9">
      <w:pPr>
        <w:pStyle w:val="FootnoteText"/>
        <w:rPr>
          <w:lang w:val="en-GB"/>
        </w:rPr>
      </w:pPr>
      <w:r>
        <w:rPr>
          <w:rStyle w:val="FootnoteReference"/>
        </w:rPr>
        <w:footnoteRef/>
      </w:r>
      <w:r>
        <w:t xml:space="preserve"> </w:t>
      </w:r>
      <w:r>
        <w:rPr>
          <w:lang w:val="en-GB"/>
        </w:rPr>
        <w:t xml:space="preserve">AusPAR for </w:t>
      </w:r>
      <w:r>
        <w:t>Hexaxim, diphtheria, tetanus, pertussis (acellular component), hepatitis b (rDNA), poliomyelitis (inactivated) and haemophilus influenzae type b conjugate vaccine (adsorbed); Sanofi-Aventis Pty Ltd, PM</w:t>
      </w:r>
      <w:r>
        <w:noBreakHyphen/>
      </w:r>
      <w:r w:rsidRPr="00845C98">
        <w:t>2013-02800-1-2</w:t>
      </w:r>
      <w:r>
        <w:t xml:space="preserve">. Published in January 2015. Available online at: </w:t>
      </w:r>
      <w:hyperlink r:id="rId5" w:history="1">
        <w:r w:rsidRPr="00845C98">
          <w:rPr>
            <w:rStyle w:val="Hyperlink"/>
          </w:rPr>
          <w:t>AusPAR for Hexaxim (DTPa-hepB-IPV-Hib vaccine)</w:t>
        </w:r>
      </w:hyperlink>
    </w:p>
  </w:footnote>
  <w:footnote w:id="12">
    <w:p w14:paraId="79C03322" w14:textId="0B3AA92C" w:rsidR="00A776A9" w:rsidRPr="00403AB2" w:rsidRDefault="00A776A9">
      <w:pPr>
        <w:pStyle w:val="FootnoteText"/>
        <w:rPr>
          <w:lang w:val="en-GB"/>
        </w:rPr>
      </w:pPr>
      <w:r>
        <w:rPr>
          <w:rStyle w:val="FootnoteReference"/>
        </w:rPr>
        <w:footnoteRef/>
      </w:r>
      <w:r>
        <w:t xml:space="preserve"> </w:t>
      </w:r>
      <w:r w:rsidRPr="00845C98">
        <w:t>Infanrix Hexa</w:t>
      </w:r>
      <w:r>
        <w:t xml:space="preserve"> DTPa-hepB-IPV-Hib </w:t>
      </w:r>
      <w:r w:rsidRPr="008D4F02">
        <w:t>conjugate vaccine (adsorbed)</w:t>
      </w:r>
      <w:r w:rsidRPr="00845C98">
        <w:t xml:space="preserve"> injection composite pack (pre-filled syringe and vial)</w:t>
      </w:r>
      <w:r>
        <w:t>, ARTG R 132881.</w:t>
      </w:r>
    </w:p>
  </w:footnote>
  <w:footnote w:id="13">
    <w:p w14:paraId="175970D9" w14:textId="77777777" w:rsidR="00A776A9" w:rsidRDefault="00A776A9" w:rsidP="008D4F02">
      <w:pPr>
        <w:pStyle w:val="FootnoteText"/>
      </w:pPr>
      <w:r>
        <w:rPr>
          <w:rStyle w:val="FootnoteReference"/>
        </w:rPr>
        <w:footnoteRef/>
      </w:r>
      <w:r>
        <w:t xml:space="preserve"> </w:t>
      </w:r>
      <w:hyperlink r:id="rId6" w:history="1">
        <w:r>
          <w:rPr>
            <w:rStyle w:val="Hyperlink"/>
            <w:lang w:eastAsia="ja-JP"/>
          </w:rPr>
          <w:t>https://www.tga.gov.au/form-providing-product-information</w:t>
        </w:r>
      </w:hyperlink>
    </w:p>
  </w:footnote>
  <w:footnote w:id="14">
    <w:p w14:paraId="3CF371E2" w14:textId="77777777" w:rsidR="00A776A9" w:rsidRDefault="00A776A9" w:rsidP="004D1884">
      <w:pPr>
        <w:pStyle w:val="FootnoteText"/>
      </w:pPr>
      <w:r>
        <w:rPr>
          <w:rStyle w:val="FootnoteReference"/>
        </w:rPr>
        <w:footnoteRef/>
      </w:r>
      <w:r>
        <w:t xml:space="preserve"> </w:t>
      </w:r>
      <w:r w:rsidRPr="009B234E">
        <w:t>https://www.fda.gov/media/119740/download</w:t>
      </w:r>
    </w:p>
  </w:footnote>
  <w:footnote w:id="15">
    <w:p w14:paraId="0BC6B0B5" w14:textId="46BA8697" w:rsidR="00A776A9" w:rsidRDefault="00A776A9" w:rsidP="0060638D">
      <w:pPr>
        <w:pStyle w:val="FootnoteText"/>
      </w:pPr>
      <w:r>
        <w:rPr>
          <w:rStyle w:val="FootnoteReference"/>
        </w:rPr>
        <w:footnoteRef/>
      </w:r>
      <w:r>
        <w:t xml:space="preserve"> DAPTACEL = DTPa5; PENTACEL; PEDIACEL = DTPa5-IPV-HiB (containing 10 µg PRP-TT); PedvaxHiB = 7.5 µg PRP-OMPC; ActHiB = 10 µg PRP-TT; RecombivaxHB = 5 µg HBsAg</w:t>
      </w:r>
    </w:p>
  </w:footnote>
  <w:footnote w:id="16">
    <w:p w14:paraId="44ABAC2A" w14:textId="6763A682" w:rsidR="00A776A9" w:rsidRPr="00403AB2" w:rsidRDefault="00A776A9">
      <w:pPr>
        <w:pStyle w:val="FootnoteText"/>
        <w:rPr>
          <w:lang w:val="en-GB"/>
        </w:rPr>
      </w:pPr>
      <w:r>
        <w:rPr>
          <w:rStyle w:val="FootnoteReference"/>
        </w:rPr>
        <w:footnoteRef/>
      </w:r>
      <w:r>
        <w:t xml:space="preserve"> </w:t>
      </w:r>
      <w:r>
        <w:rPr>
          <w:lang w:val="en-GB"/>
        </w:rPr>
        <w:t xml:space="preserve">Prevenar 13 </w:t>
      </w:r>
      <w:r w:rsidRPr="001E01EA">
        <w:rPr>
          <w:lang w:val="en-GB"/>
        </w:rPr>
        <w:t>pneumococcal polysaccharide conjugate vaccine (13-valent, adsorbed) is available as a suspension for</w:t>
      </w:r>
      <w:r>
        <w:rPr>
          <w:lang w:val="en-GB"/>
        </w:rPr>
        <w:t xml:space="preserve"> intramuuscular</w:t>
      </w:r>
      <w:r w:rsidRPr="001E01EA">
        <w:rPr>
          <w:lang w:val="en-GB"/>
        </w:rPr>
        <w:t xml:space="preserve"> injection that contains parts from 13 different types of the </w:t>
      </w:r>
      <w:r w:rsidRPr="00A75764">
        <w:rPr>
          <w:lang w:val="en-GB"/>
        </w:rPr>
        <w:t>bacterium</w:t>
      </w:r>
      <w:r w:rsidRPr="00403AB2">
        <w:rPr>
          <w:i/>
          <w:lang w:val="en-GB"/>
        </w:rPr>
        <w:t xml:space="preserve"> Streptococcus pneumoniae</w:t>
      </w:r>
      <w:r>
        <w:rPr>
          <w:lang w:val="en-GB"/>
        </w:rPr>
        <w:t xml:space="preserve">. </w:t>
      </w:r>
      <w:r w:rsidRPr="001E01EA">
        <w:rPr>
          <w:lang w:val="en-GB"/>
        </w:rPr>
        <w:t xml:space="preserve">Prevenar 13 </w:t>
      </w:r>
      <w:r>
        <w:rPr>
          <w:lang w:val="en-GB"/>
        </w:rPr>
        <w:t>may be</w:t>
      </w:r>
      <w:r w:rsidRPr="001E01EA">
        <w:rPr>
          <w:lang w:val="en-GB"/>
        </w:rPr>
        <w:t xml:space="preserve"> used to protect children </w:t>
      </w:r>
      <w:r>
        <w:rPr>
          <w:lang w:val="en-GB"/>
        </w:rPr>
        <w:t xml:space="preserve">aged from 6 </w:t>
      </w:r>
      <w:r w:rsidRPr="001E01EA">
        <w:rPr>
          <w:lang w:val="en-GB"/>
        </w:rPr>
        <w:t>weeks and 17 years again</w:t>
      </w:r>
      <w:r>
        <w:rPr>
          <w:lang w:val="en-GB"/>
        </w:rPr>
        <w:t xml:space="preserve">st invasive disease, pneumonia and acute otitis media (infection of the middle ear) </w:t>
      </w:r>
      <w:r w:rsidRPr="001E01EA">
        <w:rPr>
          <w:lang w:val="en-GB"/>
        </w:rPr>
        <w:t xml:space="preserve">caused by </w:t>
      </w:r>
      <w:r w:rsidRPr="00A75764">
        <w:rPr>
          <w:i/>
          <w:lang w:val="en-GB"/>
        </w:rPr>
        <w:t>S. </w:t>
      </w:r>
      <w:r w:rsidRPr="00403AB2">
        <w:rPr>
          <w:i/>
          <w:lang w:val="en-GB"/>
        </w:rPr>
        <w:t>pneumoniae.</w:t>
      </w:r>
    </w:p>
  </w:footnote>
  <w:footnote w:id="17">
    <w:p w14:paraId="767D24F7" w14:textId="6899803F" w:rsidR="00A776A9" w:rsidRPr="00403AB2" w:rsidRDefault="00A776A9">
      <w:pPr>
        <w:pStyle w:val="FootnoteText"/>
        <w:rPr>
          <w:lang w:val="en-GB"/>
        </w:rPr>
      </w:pPr>
      <w:r>
        <w:rPr>
          <w:rStyle w:val="FootnoteReference"/>
        </w:rPr>
        <w:footnoteRef/>
      </w:r>
      <w:r>
        <w:t xml:space="preserve"> </w:t>
      </w:r>
      <w:r w:rsidRPr="006356CC">
        <w:t xml:space="preserve">Daptacel is an </w:t>
      </w:r>
      <w:r>
        <w:t>DTaP vaccine immunising</w:t>
      </w:r>
      <w:r w:rsidRPr="006356CC">
        <w:t xml:space="preserve"> against diph</w:t>
      </w:r>
      <w:r>
        <w:t>theria, tetanus, and pertussis.</w:t>
      </w:r>
    </w:p>
  </w:footnote>
  <w:footnote w:id="18">
    <w:p w14:paraId="68B85074" w14:textId="1C56CC91" w:rsidR="00A776A9" w:rsidRPr="00403AB2" w:rsidRDefault="00A776A9">
      <w:pPr>
        <w:pStyle w:val="FootnoteText"/>
        <w:rPr>
          <w:lang w:val="en-GB"/>
        </w:rPr>
      </w:pPr>
      <w:r>
        <w:rPr>
          <w:rStyle w:val="FootnoteReference"/>
        </w:rPr>
        <w:footnoteRef/>
      </w:r>
      <w:r>
        <w:t xml:space="preserve"> Pentacel is a pentavalent </w:t>
      </w:r>
      <w:r w:rsidRPr="006356CC">
        <w:t xml:space="preserve">DTaP-IPV/Hib combination vaccine that protects against diphtheria, tetanus, </w:t>
      </w:r>
      <w:r>
        <w:t>pertussis</w:t>
      </w:r>
      <w:r w:rsidRPr="006356CC">
        <w:t>, polio, and</w:t>
      </w:r>
      <w:r>
        <w:t xml:space="preserve"> </w:t>
      </w:r>
      <w:r w:rsidRPr="00403AB2">
        <w:rPr>
          <w:i/>
        </w:rPr>
        <w:t>Haemophilus influenzae</w:t>
      </w:r>
      <w:r>
        <w:t xml:space="preserve"> type B.</w:t>
      </w:r>
    </w:p>
  </w:footnote>
  <w:footnote w:id="19">
    <w:p w14:paraId="48DB1DAB" w14:textId="14DF2B7F" w:rsidR="00A776A9" w:rsidRDefault="00A776A9">
      <w:pPr>
        <w:pStyle w:val="FootnoteText"/>
      </w:pPr>
      <w:r>
        <w:rPr>
          <w:rStyle w:val="FootnoteReference"/>
        </w:rPr>
        <w:footnoteRef/>
      </w:r>
      <w:r>
        <w:t xml:space="preserve"> PRP-OMPC= </w:t>
      </w:r>
      <w:r w:rsidRPr="00403AB2">
        <w:rPr>
          <w:i/>
        </w:rPr>
        <w:t>Haemophilus influenzae</w:t>
      </w:r>
      <w:r>
        <w:t xml:space="preserve"> type B polysaccharide conjugated to Outer membrane protein complex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C556" w14:textId="77777777" w:rsidR="00A776A9" w:rsidRDefault="00A776A9"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90F6" w14:textId="2DDBC93D" w:rsidR="00A776A9" w:rsidRDefault="007C78CD">
    <w:pPr>
      <w:rPr>
        <w:noProof/>
        <w:lang w:eastAsia="en-AU"/>
      </w:rPr>
    </w:pPr>
    <w:r w:rsidRPr="007C78CD">
      <w:rPr>
        <w:rFonts w:ascii="Calibri" w:eastAsia="Calibri" w:hAnsi="Calibri"/>
        <w:noProof/>
        <w:sz w:val="20"/>
        <w:szCs w:val="20"/>
        <w:lang w:eastAsia="en-AU"/>
      </w:rPr>
      <w:drawing>
        <wp:anchor distT="0" distB="0" distL="114300" distR="114300" simplePos="0" relativeHeight="251661312" behindDoc="0" locked="0" layoutInCell="1" allowOverlap="1" wp14:anchorId="63C3F4FC" wp14:editId="547AC412">
          <wp:simplePos x="0" y="0"/>
          <wp:positionH relativeFrom="column">
            <wp:posOffset>-399415</wp:posOffset>
          </wp:positionH>
          <wp:positionV relativeFrom="paragraph">
            <wp:posOffset>-114935</wp:posOffset>
          </wp:positionV>
          <wp:extent cx="2678400" cy="6228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8400" cy="62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eastAsia="en-AU"/>
      </w:rPr>
      <w:drawing>
        <wp:anchor distT="0" distB="0" distL="114300" distR="114300" simplePos="0" relativeHeight="251659264" behindDoc="0" locked="0" layoutInCell="0" allowOverlap="1" wp14:anchorId="3E5C20E3" wp14:editId="3B5E1648">
          <wp:simplePos x="0" y="0"/>
          <wp:positionH relativeFrom="page">
            <wp:align>left</wp:align>
          </wp:positionH>
          <wp:positionV relativeFrom="page">
            <wp:posOffset>3240405</wp:posOffset>
          </wp:positionV>
          <wp:extent cx="7664400" cy="432360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4400" cy="432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FC4C" w14:textId="77777777" w:rsidR="00A776A9" w:rsidRDefault="00A776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6FCB" w14:textId="77777777" w:rsidR="00A776A9" w:rsidRDefault="00A776A9">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F931" w14:textId="77777777" w:rsidR="00A776A9" w:rsidRDefault="00A776A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E6B00" w14:textId="77777777" w:rsidR="00A776A9" w:rsidRDefault="00A776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E6F4" w14:textId="77777777" w:rsidR="00A776A9" w:rsidRDefault="00A776A9"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FC17" w14:textId="77777777" w:rsidR="00A776A9" w:rsidRDefault="00A776A9" w:rsidP="006E08B3">
    <w:r>
      <w:t>Therapeutic Goods Administration</w:t>
    </w:r>
  </w:p>
  <w:p w14:paraId="2BECBB80" w14:textId="77777777" w:rsidR="00A776A9" w:rsidRDefault="00A776A9"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2A5731"/>
    <w:multiLevelType w:val="hybridMultilevel"/>
    <w:tmpl w:val="BACCE9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15:restartNumberingAfterBreak="0">
    <w:nsid w:val="FFFFFF89"/>
    <w:multiLevelType w:val="singleLevel"/>
    <w:tmpl w:val="AAA2A66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320B0A"/>
    <w:lvl w:ilvl="0">
      <w:numFmt w:val="bullet"/>
      <w:lvlText w:val="*"/>
      <w:lvlJc w:val="left"/>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83B3BE8"/>
    <w:multiLevelType w:val="hybridMultilevel"/>
    <w:tmpl w:val="968AC21E"/>
    <w:lvl w:ilvl="0" w:tplc="15781E58">
      <w:numFmt w:val="bullet"/>
      <w:lvlText w:val=""/>
      <w:lvlJc w:val="left"/>
      <w:pPr>
        <w:ind w:left="1080" w:hanging="360"/>
      </w:pPr>
      <w:rPr>
        <w:rFonts w:ascii="Symbol" w:eastAsia="Calibri" w:hAnsi="Symbol"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1E94488D"/>
    <w:multiLevelType w:val="hybridMultilevel"/>
    <w:tmpl w:val="1C2AC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B61B01"/>
    <w:multiLevelType w:val="hybridMultilevel"/>
    <w:tmpl w:val="6DE6A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50578F"/>
    <w:multiLevelType w:val="hybridMultilevel"/>
    <w:tmpl w:val="C7769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1CDE9D"/>
    <w:multiLevelType w:val="hybridMultilevel"/>
    <w:tmpl w:val="95089C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A7E42D7"/>
    <w:multiLevelType w:val="hybridMultilevel"/>
    <w:tmpl w:val="AB846CB6"/>
    <w:lvl w:ilvl="0" w:tplc="469A04D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9"/>
  </w:num>
  <w:num w:numId="4">
    <w:abstractNumId w:val="9"/>
  </w:num>
  <w:num w:numId="5">
    <w:abstractNumId w:val="1"/>
  </w:num>
  <w:num w:numId="6">
    <w:abstractNumId w:val="9"/>
  </w:num>
  <w:num w:numId="7">
    <w:abstractNumId w:val="9"/>
  </w:num>
  <w:num w:numId="8">
    <w:abstractNumId w:val="7"/>
  </w:num>
  <w:num w:numId="9">
    <w:abstractNumId w:val="7"/>
  </w:num>
  <w:num w:numId="10">
    <w:abstractNumId w:val="7"/>
  </w:num>
  <w:num w:numId="11">
    <w:abstractNumId w:val="7"/>
  </w:num>
  <w:num w:numId="12">
    <w:abstractNumId w:val="4"/>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19"/>
  </w:num>
  <w:num w:numId="29">
    <w:abstractNumId w:val="8"/>
  </w:num>
  <w:num w:numId="30">
    <w:abstractNumId w:val="12"/>
  </w:num>
  <w:num w:numId="31">
    <w:abstractNumId w:val="5"/>
  </w:num>
  <w:num w:numId="32">
    <w:abstractNumId w:val="17"/>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6"/>
  </w:num>
  <w:num w:numId="36">
    <w:abstractNumId w:val="15"/>
  </w:num>
  <w:num w:numId="37">
    <w:abstractNumId w:val="0"/>
  </w:num>
  <w:num w:numId="38">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1"/>
  </w:num>
  <w:num w:numId="41">
    <w:abstractNumId w:val="13"/>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38D"/>
    <w:rsid w:val="00002031"/>
    <w:rsid w:val="00004734"/>
    <w:rsid w:val="00006B22"/>
    <w:rsid w:val="00006FAB"/>
    <w:rsid w:val="0001276A"/>
    <w:rsid w:val="00013156"/>
    <w:rsid w:val="000246AE"/>
    <w:rsid w:val="00025C67"/>
    <w:rsid w:val="000277D2"/>
    <w:rsid w:val="00035D73"/>
    <w:rsid w:val="00042B3F"/>
    <w:rsid w:val="00044772"/>
    <w:rsid w:val="0004541C"/>
    <w:rsid w:val="00046C3D"/>
    <w:rsid w:val="0005559E"/>
    <w:rsid w:val="000604D6"/>
    <w:rsid w:val="00061BFD"/>
    <w:rsid w:val="000734D8"/>
    <w:rsid w:val="00073AA3"/>
    <w:rsid w:val="00077775"/>
    <w:rsid w:val="00090471"/>
    <w:rsid w:val="00096AA7"/>
    <w:rsid w:val="000A3AED"/>
    <w:rsid w:val="000B3532"/>
    <w:rsid w:val="000B3A75"/>
    <w:rsid w:val="000C00C2"/>
    <w:rsid w:val="000C690F"/>
    <w:rsid w:val="000D1295"/>
    <w:rsid w:val="000D391B"/>
    <w:rsid w:val="000D3D6D"/>
    <w:rsid w:val="000D4FC7"/>
    <w:rsid w:val="000D79C4"/>
    <w:rsid w:val="000E6196"/>
    <w:rsid w:val="000F4869"/>
    <w:rsid w:val="000F5B42"/>
    <w:rsid w:val="000F6E6F"/>
    <w:rsid w:val="00101066"/>
    <w:rsid w:val="00104710"/>
    <w:rsid w:val="0010601F"/>
    <w:rsid w:val="0010788A"/>
    <w:rsid w:val="00107A31"/>
    <w:rsid w:val="00110EA5"/>
    <w:rsid w:val="00112F56"/>
    <w:rsid w:val="0011747D"/>
    <w:rsid w:val="00117C1F"/>
    <w:rsid w:val="00122C2E"/>
    <w:rsid w:val="00124ACD"/>
    <w:rsid w:val="00125318"/>
    <w:rsid w:val="001305A2"/>
    <w:rsid w:val="00133238"/>
    <w:rsid w:val="00133A1B"/>
    <w:rsid w:val="0014197B"/>
    <w:rsid w:val="001447CD"/>
    <w:rsid w:val="001516B1"/>
    <w:rsid w:val="00154EBB"/>
    <w:rsid w:val="00156316"/>
    <w:rsid w:val="00161181"/>
    <w:rsid w:val="00161D56"/>
    <w:rsid w:val="00162D14"/>
    <w:rsid w:val="00163780"/>
    <w:rsid w:val="00165389"/>
    <w:rsid w:val="001741A1"/>
    <w:rsid w:val="0017693F"/>
    <w:rsid w:val="00180B4B"/>
    <w:rsid w:val="0018110E"/>
    <w:rsid w:val="00181684"/>
    <w:rsid w:val="001843C6"/>
    <w:rsid w:val="001850E0"/>
    <w:rsid w:val="00185407"/>
    <w:rsid w:val="00194F15"/>
    <w:rsid w:val="001A03AF"/>
    <w:rsid w:val="001A2158"/>
    <w:rsid w:val="001A384B"/>
    <w:rsid w:val="001A525F"/>
    <w:rsid w:val="001A5A00"/>
    <w:rsid w:val="001A66B8"/>
    <w:rsid w:val="001B09F9"/>
    <w:rsid w:val="001B1DA4"/>
    <w:rsid w:val="001B5C90"/>
    <w:rsid w:val="001B6448"/>
    <w:rsid w:val="001C32CD"/>
    <w:rsid w:val="001D2984"/>
    <w:rsid w:val="001E01EA"/>
    <w:rsid w:val="001E07CF"/>
    <w:rsid w:val="001E253D"/>
    <w:rsid w:val="001E359E"/>
    <w:rsid w:val="001E59F1"/>
    <w:rsid w:val="001F2CEE"/>
    <w:rsid w:val="001F49EB"/>
    <w:rsid w:val="001F6CBA"/>
    <w:rsid w:val="00201D4E"/>
    <w:rsid w:val="002076C9"/>
    <w:rsid w:val="00216D08"/>
    <w:rsid w:val="00220B8A"/>
    <w:rsid w:val="002257F3"/>
    <w:rsid w:val="002275E9"/>
    <w:rsid w:val="002314EA"/>
    <w:rsid w:val="00231E7B"/>
    <w:rsid w:val="002320EF"/>
    <w:rsid w:val="00233456"/>
    <w:rsid w:val="002339A5"/>
    <w:rsid w:val="00250271"/>
    <w:rsid w:val="00250F35"/>
    <w:rsid w:val="00257848"/>
    <w:rsid w:val="002578E8"/>
    <w:rsid w:val="00257973"/>
    <w:rsid w:val="0027084A"/>
    <w:rsid w:val="00271E85"/>
    <w:rsid w:val="00272FE2"/>
    <w:rsid w:val="00280265"/>
    <w:rsid w:val="00280987"/>
    <w:rsid w:val="00286434"/>
    <w:rsid w:val="00286C59"/>
    <w:rsid w:val="00291957"/>
    <w:rsid w:val="002942D1"/>
    <w:rsid w:val="0029501A"/>
    <w:rsid w:val="002A3721"/>
    <w:rsid w:val="002B1638"/>
    <w:rsid w:val="002B3624"/>
    <w:rsid w:val="002D0952"/>
    <w:rsid w:val="002E3904"/>
    <w:rsid w:val="002E40B3"/>
    <w:rsid w:val="002E4C9A"/>
    <w:rsid w:val="002F11F8"/>
    <w:rsid w:val="002F3F56"/>
    <w:rsid w:val="002F44B5"/>
    <w:rsid w:val="002F5122"/>
    <w:rsid w:val="00310B86"/>
    <w:rsid w:val="00311AC0"/>
    <w:rsid w:val="003176FC"/>
    <w:rsid w:val="00324E45"/>
    <w:rsid w:val="0032583B"/>
    <w:rsid w:val="00327883"/>
    <w:rsid w:val="00330791"/>
    <w:rsid w:val="00332715"/>
    <w:rsid w:val="00335504"/>
    <w:rsid w:val="00340C18"/>
    <w:rsid w:val="003442FD"/>
    <w:rsid w:val="00347824"/>
    <w:rsid w:val="00350567"/>
    <w:rsid w:val="00350DE0"/>
    <w:rsid w:val="003521E8"/>
    <w:rsid w:val="00365C27"/>
    <w:rsid w:val="003674AA"/>
    <w:rsid w:val="00370CE3"/>
    <w:rsid w:val="003728F3"/>
    <w:rsid w:val="003735BC"/>
    <w:rsid w:val="0037496E"/>
    <w:rsid w:val="00381F95"/>
    <w:rsid w:val="00383221"/>
    <w:rsid w:val="00386150"/>
    <w:rsid w:val="003874CE"/>
    <w:rsid w:val="00390900"/>
    <w:rsid w:val="00390CB5"/>
    <w:rsid w:val="003968D2"/>
    <w:rsid w:val="003A7F6C"/>
    <w:rsid w:val="003B4D60"/>
    <w:rsid w:val="003B7E39"/>
    <w:rsid w:val="003C58DC"/>
    <w:rsid w:val="003D1E62"/>
    <w:rsid w:val="003E0B99"/>
    <w:rsid w:val="003E2486"/>
    <w:rsid w:val="003E31B6"/>
    <w:rsid w:val="003E3208"/>
    <w:rsid w:val="003E7ABA"/>
    <w:rsid w:val="003F0B04"/>
    <w:rsid w:val="003F26C2"/>
    <w:rsid w:val="0040134E"/>
    <w:rsid w:val="00403AB2"/>
    <w:rsid w:val="00422191"/>
    <w:rsid w:val="00425E9B"/>
    <w:rsid w:val="00427EF6"/>
    <w:rsid w:val="004334C7"/>
    <w:rsid w:val="00440A2D"/>
    <w:rsid w:val="00441C3F"/>
    <w:rsid w:val="00444D1A"/>
    <w:rsid w:val="0045186A"/>
    <w:rsid w:val="00454BDC"/>
    <w:rsid w:val="004564A7"/>
    <w:rsid w:val="00456765"/>
    <w:rsid w:val="00460036"/>
    <w:rsid w:val="004617BF"/>
    <w:rsid w:val="00463658"/>
    <w:rsid w:val="004637A0"/>
    <w:rsid w:val="00464443"/>
    <w:rsid w:val="004722CC"/>
    <w:rsid w:val="00476AB8"/>
    <w:rsid w:val="0048390D"/>
    <w:rsid w:val="00487228"/>
    <w:rsid w:val="00490483"/>
    <w:rsid w:val="004936E4"/>
    <w:rsid w:val="00494E60"/>
    <w:rsid w:val="00497487"/>
    <w:rsid w:val="004A2771"/>
    <w:rsid w:val="004A6189"/>
    <w:rsid w:val="004A7390"/>
    <w:rsid w:val="004B7B76"/>
    <w:rsid w:val="004C239D"/>
    <w:rsid w:val="004C2B1B"/>
    <w:rsid w:val="004C2DCA"/>
    <w:rsid w:val="004C4FBE"/>
    <w:rsid w:val="004C61D2"/>
    <w:rsid w:val="004D1884"/>
    <w:rsid w:val="004D6B64"/>
    <w:rsid w:val="004D7396"/>
    <w:rsid w:val="004E1E84"/>
    <w:rsid w:val="004F0C4A"/>
    <w:rsid w:val="004F0F38"/>
    <w:rsid w:val="004F47D6"/>
    <w:rsid w:val="004F70D0"/>
    <w:rsid w:val="00500337"/>
    <w:rsid w:val="00501921"/>
    <w:rsid w:val="005034A1"/>
    <w:rsid w:val="00505417"/>
    <w:rsid w:val="0052149B"/>
    <w:rsid w:val="00523A21"/>
    <w:rsid w:val="00530354"/>
    <w:rsid w:val="005360CE"/>
    <w:rsid w:val="0053625B"/>
    <w:rsid w:val="005368F7"/>
    <w:rsid w:val="005434C6"/>
    <w:rsid w:val="00543B39"/>
    <w:rsid w:val="00545CDB"/>
    <w:rsid w:val="00546154"/>
    <w:rsid w:val="00550096"/>
    <w:rsid w:val="00555280"/>
    <w:rsid w:val="00557FF9"/>
    <w:rsid w:val="00562327"/>
    <w:rsid w:val="005711D5"/>
    <w:rsid w:val="00576378"/>
    <w:rsid w:val="00577130"/>
    <w:rsid w:val="00577945"/>
    <w:rsid w:val="00577E38"/>
    <w:rsid w:val="00585322"/>
    <w:rsid w:val="005857C6"/>
    <w:rsid w:val="00591A45"/>
    <w:rsid w:val="00592830"/>
    <w:rsid w:val="00592F6E"/>
    <w:rsid w:val="00593AD1"/>
    <w:rsid w:val="005A68B6"/>
    <w:rsid w:val="005A79F5"/>
    <w:rsid w:val="005C494B"/>
    <w:rsid w:val="005C5570"/>
    <w:rsid w:val="005C5B66"/>
    <w:rsid w:val="005C79A4"/>
    <w:rsid w:val="005D5442"/>
    <w:rsid w:val="005D7CDE"/>
    <w:rsid w:val="005E070B"/>
    <w:rsid w:val="005F1654"/>
    <w:rsid w:val="005F50A7"/>
    <w:rsid w:val="00603F32"/>
    <w:rsid w:val="00605AD4"/>
    <w:rsid w:val="0060638D"/>
    <w:rsid w:val="00610601"/>
    <w:rsid w:val="006136D7"/>
    <w:rsid w:val="00625A6E"/>
    <w:rsid w:val="0063023C"/>
    <w:rsid w:val="00632398"/>
    <w:rsid w:val="006356CC"/>
    <w:rsid w:val="00640FC3"/>
    <w:rsid w:val="00642020"/>
    <w:rsid w:val="006430EE"/>
    <w:rsid w:val="00643CE5"/>
    <w:rsid w:val="0065337B"/>
    <w:rsid w:val="0065419D"/>
    <w:rsid w:val="006603BC"/>
    <w:rsid w:val="006604D8"/>
    <w:rsid w:val="00664A5B"/>
    <w:rsid w:val="00665AA6"/>
    <w:rsid w:val="0066735C"/>
    <w:rsid w:val="00672427"/>
    <w:rsid w:val="006763D2"/>
    <w:rsid w:val="00680C08"/>
    <w:rsid w:val="00687249"/>
    <w:rsid w:val="006901BA"/>
    <w:rsid w:val="006916A0"/>
    <w:rsid w:val="006931B1"/>
    <w:rsid w:val="006931F5"/>
    <w:rsid w:val="006A035F"/>
    <w:rsid w:val="006A15C0"/>
    <w:rsid w:val="006A58A8"/>
    <w:rsid w:val="006C1231"/>
    <w:rsid w:val="006C3E2A"/>
    <w:rsid w:val="006C642F"/>
    <w:rsid w:val="006D03E5"/>
    <w:rsid w:val="006D5D3E"/>
    <w:rsid w:val="006E08B3"/>
    <w:rsid w:val="006E7D4A"/>
    <w:rsid w:val="006F17AC"/>
    <w:rsid w:val="006F25B8"/>
    <w:rsid w:val="006F4BD8"/>
    <w:rsid w:val="006F572E"/>
    <w:rsid w:val="00701F49"/>
    <w:rsid w:val="007046D6"/>
    <w:rsid w:val="00705DB0"/>
    <w:rsid w:val="007109DA"/>
    <w:rsid w:val="00716699"/>
    <w:rsid w:val="0072292E"/>
    <w:rsid w:val="00722B57"/>
    <w:rsid w:val="00730F8A"/>
    <w:rsid w:val="00734552"/>
    <w:rsid w:val="00735A8C"/>
    <w:rsid w:val="0074163C"/>
    <w:rsid w:val="0074253D"/>
    <w:rsid w:val="00744121"/>
    <w:rsid w:val="0074429B"/>
    <w:rsid w:val="00747B55"/>
    <w:rsid w:val="0075190E"/>
    <w:rsid w:val="007615BC"/>
    <w:rsid w:val="00762F05"/>
    <w:rsid w:val="007652FF"/>
    <w:rsid w:val="007703EF"/>
    <w:rsid w:val="00770CAC"/>
    <w:rsid w:val="00770EF1"/>
    <w:rsid w:val="0077131A"/>
    <w:rsid w:val="00773EF7"/>
    <w:rsid w:val="00774155"/>
    <w:rsid w:val="00774DB8"/>
    <w:rsid w:val="00774E1D"/>
    <w:rsid w:val="007765D8"/>
    <w:rsid w:val="0077675A"/>
    <w:rsid w:val="00780355"/>
    <w:rsid w:val="0078108C"/>
    <w:rsid w:val="007819FD"/>
    <w:rsid w:val="00785717"/>
    <w:rsid w:val="00785721"/>
    <w:rsid w:val="00793A59"/>
    <w:rsid w:val="007A46F5"/>
    <w:rsid w:val="007A4E6C"/>
    <w:rsid w:val="007A624B"/>
    <w:rsid w:val="007A6505"/>
    <w:rsid w:val="007B6132"/>
    <w:rsid w:val="007B6E9F"/>
    <w:rsid w:val="007C1216"/>
    <w:rsid w:val="007C1AF7"/>
    <w:rsid w:val="007C45D1"/>
    <w:rsid w:val="007C6B9B"/>
    <w:rsid w:val="007C78CD"/>
    <w:rsid w:val="007D3F19"/>
    <w:rsid w:val="007D53B6"/>
    <w:rsid w:val="007F0C15"/>
    <w:rsid w:val="00804D99"/>
    <w:rsid w:val="00805D27"/>
    <w:rsid w:val="00806DCB"/>
    <w:rsid w:val="008110BC"/>
    <w:rsid w:val="00813EFE"/>
    <w:rsid w:val="00821776"/>
    <w:rsid w:val="008321F5"/>
    <w:rsid w:val="00832369"/>
    <w:rsid w:val="00833ED8"/>
    <w:rsid w:val="00834660"/>
    <w:rsid w:val="00836BC2"/>
    <w:rsid w:val="00845C98"/>
    <w:rsid w:val="0085156D"/>
    <w:rsid w:val="00852B28"/>
    <w:rsid w:val="0085641B"/>
    <w:rsid w:val="00857136"/>
    <w:rsid w:val="008632F8"/>
    <w:rsid w:val="00865B03"/>
    <w:rsid w:val="00871675"/>
    <w:rsid w:val="00872076"/>
    <w:rsid w:val="00875A6B"/>
    <w:rsid w:val="00885B11"/>
    <w:rsid w:val="00885B44"/>
    <w:rsid w:val="00886D15"/>
    <w:rsid w:val="00887DD8"/>
    <w:rsid w:val="00891BA9"/>
    <w:rsid w:val="00896018"/>
    <w:rsid w:val="008960DD"/>
    <w:rsid w:val="0089635C"/>
    <w:rsid w:val="008A0659"/>
    <w:rsid w:val="008A2B9D"/>
    <w:rsid w:val="008A3D9F"/>
    <w:rsid w:val="008A5DE4"/>
    <w:rsid w:val="008A5E0B"/>
    <w:rsid w:val="008A6A89"/>
    <w:rsid w:val="008A6D59"/>
    <w:rsid w:val="008A72DD"/>
    <w:rsid w:val="008B4B03"/>
    <w:rsid w:val="008B596F"/>
    <w:rsid w:val="008B6AB1"/>
    <w:rsid w:val="008C159F"/>
    <w:rsid w:val="008C1623"/>
    <w:rsid w:val="008C1850"/>
    <w:rsid w:val="008C51A9"/>
    <w:rsid w:val="008D4F02"/>
    <w:rsid w:val="008E7846"/>
    <w:rsid w:val="008F02E5"/>
    <w:rsid w:val="008F1CCC"/>
    <w:rsid w:val="008F2967"/>
    <w:rsid w:val="008F6943"/>
    <w:rsid w:val="00902A21"/>
    <w:rsid w:val="00914805"/>
    <w:rsid w:val="0091523F"/>
    <w:rsid w:val="00920330"/>
    <w:rsid w:val="0092130E"/>
    <w:rsid w:val="009219D7"/>
    <w:rsid w:val="00922D53"/>
    <w:rsid w:val="00923B70"/>
    <w:rsid w:val="00924482"/>
    <w:rsid w:val="00930237"/>
    <w:rsid w:val="00937C17"/>
    <w:rsid w:val="00940A89"/>
    <w:rsid w:val="00941F77"/>
    <w:rsid w:val="00945D17"/>
    <w:rsid w:val="00946EA5"/>
    <w:rsid w:val="0095474E"/>
    <w:rsid w:val="009556D7"/>
    <w:rsid w:val="00960520"/>
    <w:rsid w:val="00963C08"/>
    <w:rsid w:val="0097385C"/>
    <w:rsid w:val="009752A5"/>
    <w:rsid w:val="0098585A"/>
    <w:rsid w:val="00986A2D"/>
    <w:rsid w:val="009A45DB"/>
    <w:rsid w:val="009A4CED"/>
    <w:rsid w:val="009A690D"/>
    <w:rsid w:val="009A6E1B"/>
    <w:rsid w:val="009B1D12"/>
    <w:rsid w:val="009B234E"/>
    <w:rsid w:val="009B416B"/>
    <w:rsid w:val="009B5A99"/>
    <w:rsid w:val="009B66CF"/>
    <w:rsid w:val="009C4BD5"/>
    <w:rsid w:val="009C78B1"/>
    <w:rsid w:val="009D7B77"/>
    <w:rsid w:val="009E06A1"/>
    <w:rsid w:val="009E0BB0"/>
    <w:rsid w:val="009E3FBB"/>
    <w:rsid w:val="009E5A87"/>
    <w:rsid w:val="009F2673"/>
    <w:rsid w:val="009F7353"/>
    <w:rsid w:val="00A048D2"/>
    <w:rsid w:val="00A04F85"/>
    <w:rsid w:val="00A05FA4"/>
    <w:rsid w:val="00A102E4"/>
    <w:rsid w:val="00A10EF1"/>
    <w:rsid w:val="00A1219C"/>
    <w:rsid w:val="00A12C42"/>
    <w:rsid w:val="00A14DF7"/>
    <w:rsid w:val="00A20930"/>
    <w:rsid w:val="00A22D57"/>
    <w:rsid w:val="00A24953"/>
    <w:rsid w:val="00A26BDB"/>
    <w:rsid w:val="00A3246D"/>
    <w:rsid w:val="00A36FA7"/>
    <w:rsid w:val="00A41FA5"/>
    <w:rsid w:val="00A44DDB"/>
    <w:rsid w:val="00A475B7"/>
    <w:rsid w:val="00A47AF7"/>
    <w:rsid w:val="00A47C3E"/>
    <w:rsid w:val="00A50226"/>
    <w:rsid w:val="00A60BAD"/>
    <w:rsid w:val="00A75764"/>
    <w:rsid w:val="00A776A9"/>
    <w:rsid w:val="00A77F87"/>
    <w:rsid w:val="00A80B5B"/>
    <w:rsid w:val="00A84E36"/>
    <w:rsid w:val="00A86AB4"/>
    <w:rsid w:val="00A940FB"/>
    <w:rsid w:val="00A964D1"/>
    <w:rsid w:val="00AA0ED0"/>
    <w:rsid w:val="00AB1F6A"/>
    <w:rsid w:val="00AC2B40"/>
    <w:rsid w:val="00AC2BB2"/>
    <w:rsid w:val="00AC2C3C"/>
    <w:rsid w:val="00AC512D"/>
    <w:rsid w:val="00AD0083"/>
    <w:rsid w:val="00AD3935"/>
    <w:rsid w:val="00AD77D5"/>
    <w:rsid w:val="00AE19B2"/>
    <w:rsid w:val="00AE3512"/>
    <w:rsid w:val="00AE65EB"/>
    <w:rsid w:val="00AE67A7"/>
    <w:rsid w:val="00AF1D94"/>
    <w:rsid w:val="00AF2313"/>
    <w:rsid w:val="00AF2B98"/>
    <w:rsid w:val="00AF40CA"/>
    <w:rsid w:val="00AF606B"/>
    <w:rsid w:val="00AF60C5"/>
    <w:rsid w:val="00B009C6"/>
    <w:rsid w:val="00B01548"/>
    <w:rsid w:val="00B10CE7"/>
    <w:rsid w:val="00B130C5"/>
    <w:rsid w:val="00B13EBD"/>
    <w:rsid w:val="00B1406F"/>
    <w:rsid w:val="00B14E72"/>
    <w:rsid w:val="00B202F0"/>
    <w:rsid w:val="00B20D99"/>
    <w:rsid w:val="00B21D29"/>
    <w:rsid w:val="00B25034"/>
    <w:rsid w:val="00B33588"/>
    <w:rsid w:val="00B33863"/>
    <w:rsid w:val="00B37D17"/>
    <w:rsid w:val="00B40334"/>
    <w:rsid w:val="00B4175E"/>
    <w:rsid w:val="00B41C85"/>
    <w:rsid w:val="00B452CE"/>
    <w:rsid w:val="00B45417"/>
    <w:rsid w:val="00B54C25"/>
    <w:rsid w:val="00B76B91"/>
    <w:rsid w:val="00B77EB1"/>
    <w:rsid w:val="00B811C6"/>
    <w:rsid w:val="00B855B0"/>
    <w:rsid w:val="00B92E08"/>
    <w:rsid w:val="00BB05CB"/>
    <w:rsid w:val="00BB0B78"/>
    <w:rsid w:val="00BB75D6"/>
    <w:rsid w:val="00BC622A"/>
    <w:rsid w:val="00BE0A78"/>
    <w:rsid w:val="00BE6542"/>
    <w:rsid w:val="00BE79F0"/>
    <w:rsid w:val="00BF046D"/>
    <w:rsid w:val="00BF1190"/>
    <w:rsid w:val="00BF3774"/>
    <w:rsid w:val="00BF5D04"/>
    <w:rsid w:val="00BF7063"/>
    <w:rsid w:val="00C009AA"/>
    <w:rsid w:val="00C0365A"/>
    <w:rsid w:val="00C1164D"/>
    <w:rsid w:val="00C14EBC"/>
    <w:rsid w:val="00C16861"/>
    <w:rsid w:val="00C31EF1"/>
    <w:rsid w:val="00C34133"/>
    <w:rsid w:val="00C346AB"/>
    <w:rsid w:val="00C404A6"/>
    <w:rsid w:val="00C40A36"/>
    <w:rsid w:val="00C42479"/>
    <w:rsid w:val="00C44419"/>
    <w:rsid w:val="00C44432"/>
    <w:rsid w:val="00C45E7B"/>
    <w:rsid w:val="00C471B1"/>
    <w:rsid w:val="00C525A2"/>
    <w:rsid w:val="00C52E24"/>
    <w:rsid w:val="00C6316B"/>
    <w:rsid w:val="00C634A9"/>
    <w:rsid w:val="00C63E95"/>
    <w:rsid w:val="00C64586"/>
    <w:rsid w:val="00C70A36"/>
    <w:rsid w:val="00C70D53"/>
    <w:rsid w:val="00C73D0B"/>
    <w:rsid w:val="00C74F5C"/>
    <w:rsid w:val="00C772FF"/>
    <w:rsid w:val="00C80137"/>
    <w:rsid w:val="00C801AF"/>
    <w:rsid w:val="00C80256"/>
    <w:rsid w:val="00C94CD4"/>
    <w:rsid w:val="00C96DD0"/>
    <w:rsid w:val="00C9747E"/>
    <w:rsid w:val="00CB22EB"/>
    <w:rsid w:val="00CB6BC0"/>
    <w:rsid w:val="00CC1B7C"/>
    <w:rsid w:val="00CC5044"/>
    <w:rsid w:val="00CC727F"/>
    <w:rsid w:val="00CE1671"/>
    <w:rsid w:val="00CF15C3"/>
    <w:rsid w:val="00CF2B6F"/>
    <w:rsid w:val="00CF2F3E"/>
    <w:rsid w:val="00CF3FB7"/>
    <w:rsid w:val="00CF58B6"/>
    <w:rsid w:val="00CF5DAD"/>
    <w:rsid w:val="00D0062D"/>
    <w:rsid w:val="00D017ED"/>
    <w:rsid w:val="00D040D3"/>
    <w:rsid w:val="00D04C65"/>
    <w:rsid w:val="00D04D6F"/>
    <w:rsid w:val="00D11C7E"/>
    <w:rsid w:val="00D1399B"/>
    <w:rsid w:val="00D153D8"/>
    <w:rsid w:val="00D201D2"/>
    <w:rsid w:val="00D212F3"/>
    <w:rsid w:val="00D224FE"/>
    <w:rsid w:val="00D23139"/>
    <w:rsid w:val="00D368E4"/>
    <w:rsid w:val="00D425BB"/>
    <w:rsid w:val="00D453FA"/>
    <w:rsid w:val="00D56348"/>
    <w:rsid w:val="00D646AE"/>
    <w:rsid w:val="00D6493E"/>
    <w:rsid w:val="00D7195D"/>
    <w:rsid w:val="00D72CBA"/>
    <w:rsid w:val="00D7301E"/>
    <w:rsid w:val="00D83AE1"/>
    <w:rsid w:val="00D854AC"/>
    <w:rsid w:val="00D855D4"/>
    <w:rsid w:val="00D902C9"/>
    <w:rsid w:val="00D93466"/>
    <w:rsid w:val="00D93D89"/>
    <w:rsid w:val="00DA1124"/>
    <w:rsid w:val="00DA64CB"/>
    <w:rsid w:val="00DB005D"/>
    <w:rsid w:val="00DB06B8"/>
    <w:rsid w:val="00DB1EE8"/>
    <w:rsid w:val="00DB6124"/>
    <w:rsid w:val="00DB750B"/>
    <w:rsid w:val="00DB75B7"/>
    <w:rsid w:val="00DC0A2F"/>
    <w:rsid w:val="00DC1948"/>
    <w:rsid w:val="00DC6E02"/>
    <w:rsid w:val="00DD28CD"/>
    <w:rsid w:val="00DE02AE"/>
    <w:rsid w:val="00DE39D1"/>
    <w:rsid w:val="00DF1D7F"/>
    <w:rsid w:val="00DF2B03"/>
    <w:rsid w:val="00DF4BE4"/>
    <w:rsid w:val="00DF7C6F"/>
    <w:rsid w:val="00E0172B"/>
    <w:rsid w:val="00E02382"/>
    <w:rsid w:val="00E02FB4"/>
    <w:rsid w:val="00E06C0E"/>
    <w:rsid w:val="00E13652"/>
    <w:rsid w:val="00E13FC7"/>
    <w:rsid w:val="00E20571"/>
    <w:rsid w:val="00E235F7"/>
    <w:rsid w:val="00E23659"/>
    <w:rsid w:val="00E239D4"/>
    <w:rsid w:val="00E26130"/>
    <w:rsid w:val="00E30B80"/>
    <w:rsid w:val="00E33D42"/>
    <w:rsid w:val="00E34ED4"/>
    <w:rsid w:val="00E40B22"/>
    <w:rsid w:val="00E44ED1"/>
    <w:rsid w:val="00E45619"/>
    <w:rsid w:val="00E4588F"/>
    <w:rsid w:val="00E46DA3"/>
    <w:rsid w:val="00E51BB1"/>
    <w:rsid w:val="00E55CB0"/>
    <w:rsid w:val="00E56EA6"/>
    <w:rsid w:val="00E624A5"/>
    <w:rsid w:val="00E64BA4"/>
    <w:rsid w:val="00E7344E"/>
    <w:rsid w:val="00E82665"/>
    <w:rsid w:val="00E84DA8"/>
    <w:rsid w:val="00EA5FED"/>
    <w:rsid w:val="00EB0798"/>
    <w:rsid w:val="00EB36D6"/>
    <w:rsid w:val="00EB3983"/>
    <w:rsid w:val="00EB40AD"/>
    <w:rsid w:val="00EB586E"/>
    <w:rsid w:val="00EB5FC8"/>
    <w:rsid w:val="00EC463D"/>
    <w:rsid w:val="00EC7A85"/>
    <w:rsid w:val="00ED2922"/>
    <w:rsid w:val="00ED3CAD"/>
    <w:rsid w:val="00ED5A41"/>
    <w:rsid w:val="00EE1DE8"/>
    <w:rsid w:val="00EE27C2"/>
    <w:rsid w:val="00EF4BAD"/>
    <w:rsid w:val="00EF59DC"/>
    <w:rsid w:val="00F033EC"/>
    <w:rsid w:val="00F04E74"/>
    <w:rsid w:val="00F04F68"/>
    <w:rsid w:val="00F12670"/>
    <w:rsid w:val="00F14B27"/>
    <w:rsid w:val="00F3148D"/>
    <w:rsid w:val="00F31D27"/>
    <w:rsid w:val="00F325C5"/>
    <w:rsid w:val="00F32FE0"/>
    <w:rsid w:val="00F35298"/>
    <w:rsid w:val="00F43983"/>
    <w:rsid w:val="00F47333"/>
    <w:rsid w:val="00F47E37"/>
    <w:rsid w:val="00F5089D"/>
    <w:rsid w:val="00F53C07"/>
    <w:rsid w:val="00F54B65"/>
    <w:rsid w:val="00F5559E"/>
    <w:rsid w:val="00F63DBF"/>
    <w:rsid w:val="00F640B6"/>
    <w:rsid w:val="00F66DF2"/>
    <w:rsid w:val="00F7634F"/>
    <w:rsid w:val="00F76D35"/>
    <w:rsid w:val="00F80E40"/>
    <w:rsid w:val="00F848D9"/>
    <w:rsid w:val="00F931CE"/>
    <w:rsid w:val="00FA4BBA"/>
    <w:rsid w:val="00FA5069"/>
    <w:rsid w:val="00FA5B82"/>
    <w:rsid w:val="00FA639E"/>
    <w:rsid w:val="00FC1FCA"/>
    <w:rsid w:val="00FC25E4"/>
    <w:rsid w:val="00FC4B29"/>
    <w:rsid w:val="00FC4EF7"/>
    <w:rsid w:val="00FD0824"/>
    <w:rsid w:val="00FD119B"/>
    <w:rsid w:val="00FD1EDC"/>
    <w:rsid w:val="00FD4B5B"/>
    <w:rsid w:val="00FE1DEE"/>
    <w:rsid w:val="00FE268F"/>
    <w:rsid w:val="00FF2126"/>
    <w:rsid w:val="00FF513B"/>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4AB63E"/>
  <w15:docId w15:val="{DE26AFF1-9002-4D09-956E-294E019F9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A065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character" w:customStyle="1" w:styleId="StandardChar">
    <w:name w:val="Standard Char"/>
    <w:basedOn w:val="DefaultParagraphFont"/>
    <w:link w:val="Standard"/>
    <w:locked/>
    <w:rsid w:val="00986A2D"/>
    <w:rPr>
      <w:rFonts w:ascii="Cambria" w:eastAsia="Times New Roman" w:hAnsi="Cambria" w:cs="Times New Roman"/>
      <w:kern w:val="16"/>
      <w:sz w:val="23"/>
      <w:szCs w:val="24"/>
    </w:rPr>
  </w:style>
  <w:style w:type="paragraph" w:customStyle="1" w:styleId="Standard">
    <w:name w:val="Standard"/>
    <w:basedOn w:val="Normal"/>
    <w:link w:val="StandardChar"/>
    <w:qFormat/>
    <w:rsid w:val="00986A2D"/>
    <w:pPr>
      <w:snapToGrid w:val="0"/>
      <w:spacing w:before="0" w:after="220" w:line="252" w:lineRule="auto"/>
    </w:pPr>
    <w:rPr>
      <w:rFonts w:eastAsia="Times New Roman"/>
      <w:kern w:val="16"/>
      <w:sz w:val="23"/>
      <w:szCs w:val="24"/>
    </w:rPr>
  </w:style>
  <w:style w:type="character" w:customStyle="1" w:styleId="BulletlistChar">
    <w:name w:val="Bullet list Char"/>
    <w:basedOn w:val="DefaultParagraphFont"/>
    <w:link w:val="Bulletlist"/>
    <w:locked/>
    <w:rsid w:val="00986A2D"/>
    <w:rPr>
      <w:rFonts w:ascii="Cambria" w:eastAsia="Times New Roman" w:hAnsi="Cambria" w:cs="Times New Roman"/>
      <w:kern w:val="2"/>
      <w:sz w:val="23"/>
    </w:rPr>
  </w:style>
  <w:style w:type="paragraph" w:customStyle="1" w:styleId="Bulletlist">
    <w:name w:val="Bullet list"/>
    <w:basedOn w:val="Normal"/>
    <w:link w:val="BulletlistChar"/>
    <w:qFormat/>
    <w:rsid w:val="00986A2D"/>
    <w:pPr>
      <w:numPr>
        <w:numId w:val="35"/>
      </w:numPr>
      <w:snapToGrid w:val="0"/>
      <w:spacing w:before="0" w:after="180" w:line="252" w:lineRule="auto"/>
      <w:ind w:left="426" w:hanging="284"/>
    </w:pPr>
    <w:rPr>
      <w:rFonts w:eastAsia="Times New Roman"/>
      <w:kern w:val="2"/>
      <w:sz w:val="23"/>
    </w:rPr>
  </w:style>
  <w:style w:type="paragraph" w:customStyle="1" w:styleId="Default">
    <w:name w:val="Default"/>
    <w:rsid w:val="00B20D99"/>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9B66CF"/>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8632F8"/>
    <w:rPr>
      <w:i/>
      <w:iCs/>
    </w:rPr>
  </w:style>
  <w:style w:type="paragraph" w:styleId="ListParagraph">
    <w:name w:val="List Paragraph"/>
    <w:basedOn w:val="Normal"/>
    <w:uiPriority w:val="34"/>
    <w:rsid w:val="005034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5740">
      <w:bodyDiv w:val="1"/>
      <w:marLeft w:val="0"/>
      <w:marRight w:val="0"/>
      <w:marTop w:val="0"/>
      <w:marBottom w:val="0"/>
      <w:divBdr>
        <w:top w:val="none" w:sz="0" w:space="0" w:color="auto"/>
        <w:left w:val="none" w:sz="0" w:space="0" w:color="auto"/>
        <w:bottom w:val="none" w:sz="0" w:space="0" w:color="auto"/>
        <w:right w:val="none" w:sz="0" w:space="0" w:color="auto"/>
      </w:divBdr>
    </w:div>
    <w:div w:id="136536193">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30450721">
      <w:bodyDiv w:val="1"/>
      <w:marLeft w:val="0"/>
      <w:marRight w:val="0"/>
      <w:marTop w:val="0"/>
      <w:marBottom w:val="0"/>
      <w:divBdr>
        <w:top w:val="none" w:sz="0" w:space="0" w:color="auto"/>
        <w:left w:val="none" w:sz="0" w:space="0" w:color="auto"/>
        <w:bottom w:val="none" w:sz="0" w:space="0" w:color="auto"/>
        <w:right w:val="none" w:sz="0" w:space="0" w:color="auto"/>
      </w:divBdr>
    </w:div>
    <w:div w:id="422993571">
      <w:bodyDiv w:val="1"/>
      <w:marLeft w:val="0"/>
      <w:marRight w:val="0"/>
      <w:marTop w:val="0"/>
      <w:marBottom w:val="0"/>
      <w:divBdr>
        <w:top w:val="none" w:sz="0" w:space="0" w:color="auto"/>
        <w:left w:val="none" w:sz="0" w:space="0" w:color="auto"/>
        <w:bottom w:val="none" w:sz="0" w:space="0" w:color="auto"/>
        <w:right w:val="none" w:sz="0" w:space="0" w:color="auto"/>
      </w:divBdr>
    </w:div>
    <w:div w:id="423183650">
      <w:bodyDiv w:val="1"/>
      <w:marLeft w:val="0"/>
      <w:marRight w:val="0"/>
      <w:marTop w:val="0"/>
      <w:marBottom w:val="0"/>
      <w:divBdr>
        <w:top w:val="none" w:sz="0" w:space="0" w:color="auto"/>
        <w:left w:val="none" w:sz="0" w:space="0" w:color="auto"/>
        <w:bottom w:val="none" w:sz="0" w:space="0" w:color="auto"/>
        <w:right w:val="none" w:sz="0" w:space="0" w:color="auto"/>
      </w:divBdr>
    </w:div>
    <w:div w:id="585696534">
      <w:bodyDiv w:val="1"/>
      <w:marLeft w:val="0"/>
      <w:marRight w:val="0"/>
      <w:marTop w:val="0"/>
      <w:marBottom w:val="0"/>
      <w:divBdr>
        <w:top w:val="none" w:sz="0" w:space="0" w:color="auto"/>
        <w:left w:val="none" w:sz="0" w:space="0" w:color="auto"/>
        <w:bottom w:val="none" w:sz="0" w:space="0" w:color="auto"/>
        <w:right w:val="none" w:sz="0" w:space="0" w:color="auto"/>
      </w:divBdr>
    </w:div>
    <w:div w:id="595133289">
      <w:bodyDiv w:val="1"/>
      <w:marLeft w:val="0"/>
      <w:marRight w:val="0"/>
      <w:marTop w:val="0"/>
      <w:marBottom w:val="0"/>
      <w:divBdr>
        <w:top w:val="none" w:sz="0" w:space="0" w:color="auto"/>
        <w:left w:val="none" w:sz="0" w:space="0" w:color="auto"/>
        <w:bottom w:val="none" w:sz="0" w:space="0" w:color="auto"/>
        <w:right w:val="none" w:sz="0" w:space="0" w:color="auto"/>
      </w:divBdr>
    </w:div>
    <w:div w:id="608855828">
      <w:bodyDiv w:val="1"/>
      <w:marLeft w:val="0"/>
      <w:marRight w:val="0"/>
      <w:marTop w:val="0"/>
      <w:marBottom w:val="0"/>
      <w:divBdr>
        <w:top w:val="none" w:sz="0" w:space="0" w:color="auto"/>
        <w:left w:val="none" w:sz="0" w:space="0" w:color="auto"/>
        <w:bottom w:val="none" w:sz="0" w:space="0" w:color="auto"/>
        <w:right w:val="none" w:sz="0" w:space="0" w:color="auto"/>
      </w:divBdr>
    </w:div>
    <w:div w:id="617299436">
      <w:bodyDiv w:val="1"/>
      <w:marLeft w:val="0"/>
      <w:marRight w:val="0"/>
      <w:marTop w:val="0"/>
      <w:marBottom w:val="0"/>
      <w:divBdr>
        <w:top w:val="none" w:sz="0" w:space="0" w:color="auto"/>
        <w:left w:val="none" w:sz="0" w:space="0" w:color="auto"/>
        <w:bottom w:val="none" w:sz="0" w:space="0" w:color="auto"/>
        <w:right w:val="none" w:sz="0" w:space="0" w:color="auto"/>
      </w:divBdr>
    </w:div>
    <w:div w:id="668018298">
      <w:bodyDiv w:val="1"/>
      <w:marLeft w:val="0"/>
      <w:marRight w:val="0"/>
      <w:marTop w:val="0"/>
      <w:marBottom w:val="0"/>
      <w:divBdr>
        <w:top w:val="none" w:sz="0" w:space="0" w:color="auto"/>
        <w:left w:val="none" w:sz="0" w:space="0" w:color="auto"/>
        <w:bottom w:val="none" w:sz="0" w:space="0" w:color="auto"/>
        <w:right w:val="none" w:sz="0" w:space="0" w:color="auto"/>
      </w:divBdr>
    </w:div>
    <w:div w:id="692608871">
      <w:bodyDiv w:val="1"/>
      <w:marLeft w:val="0"/>
      <w:marRight w:val="0"/>
      <w:marTop w:val="0"/>
      <w:marBottom w:val="0"/>
      <w:divBdr>
        <w:top w:val="none" w:sz="0" w:space="0" w:color="auto"/>
        <w:left w:val="none" w:sz="0" w:space="0" w:color="auto"/>
        <w:bottom w:val="none" w:sz="0" w:space="0" w:color="auto"/>
        <w:right w:val="none" w:sz="0" w:space="0" w:color="auto"/>
      </w:divBdr>
    </w:div>
    <w:div w:id="741105790">
      <w:bodyDiv w:val="1"/>
      <w:marLeft w:val="0"/>
      <w:marRight w:val="0"/>
      <w:marTop w:val="0"/>
      <w:marBottom w:val="0"/>
      <w:divBdr>
        <w:top w:val="none" w:sz="0" w:space="0" w:color="auto"/>
        <w:left w:val="none" w:sz="0" w:space="0" w:color="auto"/>
        <w:bottom w:val="none" w:sz="0" w:space="0" w:color="auto"/>
        <w:right w:val="none" w:sz="0" w:space="0" w:color="auto"/>
      </w:divBdr>
    </w:div>
    <w:div w:id="781146613">
      <w:bodyDiv w:val="1"/>
      <w:marLeft w:val="0"/>
      <w:marRight w:val="0"/>
      <w:marTop w:val="0"/>
      <w:marBottom w:val="0"/>
      <w:divBdr>
        <w:top w:val="none" w:sz="0" w:space="0" w:color="auto"/>
        <w:left w:val="none" w:sz="0" w:space="0" w:color="auto"/>
        <w:bottom w:val="none" w:sz="0" w:space="0" w:color="auto"/>
        <w:right w:val="none" w:sz="0" w:space="0" w:color="auto"/>
      </w:divBdr>
    </w:div>
    <w:div w:id="847409348">
      <w:bodyDiv w:val="1"/>
      <w:marLeft w:val="0"/>
      <w:marRight w:val="0"/>
      <w:marTop w:val="0"/>
      <w:marBottom w:val="0"/>
      <w:divBdr>
        <w:top w:val="none" w:sz="0" w:space="0" w:color="auto"/>
        <w:left w:val="none" w:sz="0" w:space="0" w:color="auto"/>
        <w:bottom w:val="none" w:sz="0" w:space="0" w:color="auto"/>
        <w:right w:val="none" w:sz="0" w:space="0" w:color="auto"/>
      </w:divBdr>
    </w:div>
    <w:div w:id="1274508815">
      <w:bodyDiv w:val="1"/>
      <w:marLeft w:val="0"/>
      <w:marRight w:val="0"/>
      <w:marTop w:val="0"/>
      <w:marBottom w:val="0"/>
      <w:divBdr>
        <w:top w:val="none" w:sz="0" w:space="0" w:color="auto"/>
        <w:left w:val="none" w:sz="0" w:space="0" w:color="auto"/>
        <w:bottom w:val="none" w:sz="0" w:space="0" w:color="auto"/>
        <w:right w:val="none" w:sz="0" w:space="0" w:color="auto"/>
      </w:divBdr>
      <w:divsChild>
        <w:div w:id="321079909">
          <w:marLeft w:val="0"/>
          <w:marRight w:val="0"/>
          <w:marTop w:val="0"/>
          <w:marBottom w:val="0"/>
          <w:divBdr>
            <w:top w:val="none" w:sz="0" w:space="0" w:color="auto"/>
            <w:left w:val="none" w:sz="0" w:space="0" w:color="auto"/>
            <w:bottom w:val="none" w:sz="0" w:space="0" w:color="auto"/>
            <w:right w:val="none" w:sz="0" w:space="0" w:color="auto"/>
          </w:divBdr>
        </w:div>
        <w:div w:id="550574804">
          <w:marLeft w:val="0"/>
          <w:marRight w:val="0"/>
          <w:marTop w:val="0"/>
          <w:marBottom w:val="0"/>
          <w:divBdr>
            <w:top w:val="none" w:sz="0" w:space="0" w:color="auto"/>
            <w:left w:val="none" w:sz="0" w:space="0" w:color="auto"/>
            <w:bottom w:val="none" w:sz="0" w:space="0" w:color="auto"/>
            <w:right w:val="none" w:sz="0" w:space="0" w:color="auto"/>
          </w:divBdr>
        </w:div>
      </w:divsChild>
    </w:div>
    <w:div w:id="1288009211">
      <w:bodyDiv w:val="1"/>
      <w:marLeft w:val="0"/>
      <w:marRight w:val="0"/>
      <w:marTop w:val="0"/>
      <w:marBottom w:val="0"/>
      <w:divBdr>
        <w:top w:val="none" w:sz="0" w:space="0" w:color="auto"/>
        <w:left w:val="none" w:sz="0" w:space="0" w:color="auto"/>
        <w:bottom w:val="none" w:sz="0" w:space="0" w:color="auto"/>
        <w:right w:val="none" w:sz="0" w:space="0" w:color="auto"/>
      </w:divBdr>
    </w:div>
    <w:div w:id="1385789166">
      <w:bodyDiv w:val="1"/>
      <w:marLeft w:val="0"/>
      <w:marRight w:val="0"/>
      <w:marTop w:val="0"/>
      <w:marBottom w:val="0"/>
      <w:divBdr>
        <w:top w:val="none" w:sz="0" w:space="0" w:color="auto"/>
        <w:left w:val="none" w:sz="0" w:space="0" w:color="auto"/>
        <w:bottom w:val="none" w:sz="0" w:space="0" w:color="auto"/>
        <w:right w:val="none" w:sz="0" w:space="0" w:color="auto"/>
      </w:divBdr>
    </w:div>
    <w:div w:id="1460027814">
      <w:bodyDiv w:val="1"/>
      <w:marLeft w:val="0"/>
      <w:marRight w:val="0"/>
      <w:marTop w:val="0"/>
      <w:marBottom w:val="0"/>
      <w:divBdr>
        <w:top w:val="none" w:sz="0" w:space="0" w:color="auto"/>
        <w:left w:val="none" w:sz="0" w:space="0" w:color="auto"/>
        <w:bottom w:val="none" w:sz="0" w:space="0" w:color="auto"/>
        <w:right w:val="none" w:sz="0" w:space="0" w:color="auto"/>
      </w:divBdr>
    </w:div>
    <w:div w:id="1534809432">
      <w:bodyDiv w:val="1"/>
      <w:marLeft w:val="0"/>
      <w:marRight w:val="0"/>
      <w:marTop w:val="0"/>
      <w:marBottom w:val="0"/>
      <w:divBdr>
        <w:top w:val="none" w:sz="0" w:space="0" w:color="auto"/>
        <w:left w:val="none" w:sz="0" w:space="0" w:color="auto"/>
        <w:bottom w:val="none" w:sz="0" w:space="0" w:color="auto"/>
        <w:right w:val="none" w:sz="0" w:space="0" w:color="auto"/>
      </w:divBdr>
    </w:div>
    <w:div w:id="1562666481">
      <w:bodyDiv w:val="1"/>
      <w:marLeft w:val="0"/>
      <w:marRight w:val="0"/>
      <w:marTop w:val="0"/>
      <w:marBottom w:val="0"/>
      <w:divBdr>
        <w:top w:val="none" w:sz="0" w:space="0" w:color="auto"/>
        <w:left w:val="none" w:sz="0" w:space="0" w:color="auto"/>
        <w:bottom w:val="none" w:sz="0" w:space="0" w:color="auto"/>
        <w:right w:val="none" w:sz="0" w:space="0" w:color="auto"/>
      </w:divBdr>
    </w:div>
    <w:div w:id="1732725915">
      <w:bodyDiv w:val="1"/>
      <w:marLeft w:val="0"/>
      <w:marRight w:val="0"/>
      <w:marTop w:val="0"/>
      <w:marBottom w:val="0"/>
      <w:divBdr>
        <w:top w:val="none" w:sz="0" w:space="0" w:color="auto"/>
        <w:left w:val="none" w:sz="0" w:space="0" w:color="auto"/>
        <w:bottom w:val="none" w:sz="0" w:space="0" w:color="auto"/>
        <w:right w:val="none" w:sz="0" w:space="0" w:color="auto"/>
      </w:divBdr>
    </w:div>
    <w:div w:id="1757900174">
      <w:bodyDiv w:val="1"/>
      <w:marLeft w:val="0"/>
      <w:marRight w:val="0"/>
      <w:marTop w:val="0"/>
      <w:marBottom w:val="0"/>
      <w:divBdr>
        <w:top w:val="none" w:sz="0" w:space="0" w:color="auto"/>
        <w:left w:val="none" w:sz="0" w:space="0" w:color="auto"/>
        <w:bottom w:val="none" w:sz="0" w:space="0" w:color="auto"/>
        <w:right w:val="none" w:sz="0" w:space="0" w:color="auto"/>
      </w:divBdr>
    </w:div>
    <w:div w:id="1845435988">
      <w:bodyDiv w:val="1"/>
      <w:marLeft w:val="0"/>
      <w:marRight w:val="0"/>
      <w:marTop w:val="0"/>
      <w:marBottom w:val="0"/>
      <w:divBdr>
        <w:top w:val="none" w:sz="0" w:space="0" w:color="auto"/>
        <w:left w:val="none" w:sz="0" w:space="0" w:color="auto"/>
        <w:bottom w:val="none" w:sz="0" w:space="0" w:color="auto"/>
        <w:right w:val="none" w:sz="0" w:space="0" w:color="auto"/>
      </w:divBdr>
      <w:divsChild>
        <w:div w:id="891307640">
          <w:marLeft w:val="0"/>
          <w:marRight w:val="0"/>
          <w:marTop w:val="0"/>
          <w:marBottom w:val="0"/>
          <w:divBdr>
            <w:top w:val="none" w:sz="0" w:space="0" w:color="auto"/>
            <w:left w:val="none" w:sz="0" w:space="0" w:color="auto"/>
            <w:bottom w:val="none" w:sz="0" w:space="0" w:color="auto"/>
            <w:right w:val="none" w:sz="0" w:space="0" w:color="auto"/>
          </w:divBdr>
        </w:div>
        <w:div w:id="2102875985">
          <w:marLeft w:val="0"/>
          <w:marRight w:val="0"/>
          <w:marTop w:val="0"/>
          <w:marBottom w:val="0"/>
          <w:divBdr>
            <w:top w:val="none" w:sz="0" w:space="0" w:color="auto"/>
            <w:left w:val="none" w:sz="0" w:space="0" w:color="auto"/>
            <w:bottom w:val="none" w:sz="0" w:space="0" w:color="auto"/>
            <w:right w:val="none" w:sz="0" w:space="0" w:color="auto"/>
          </w:divBdr>
        </w:div>
      </w:divsChild>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92754679">
      <w:bodyDiv w:val="1"/>
      <w:marLeft w:val="0"/>
      <w:marRight w:val="0"/>
      <w:marTop w:val="0"/>
      <w:marBottom w:val="0"/>
      <w:divBdr>
        <w:top w:val="none" w:sz="0" w:space="0" w:color="auto"/>
        <w:left w:val="none" w:sz="0" w:space="0" w:color="auto"/>
        <w:bottom w:val="none" w:sz="0" w:space="0" w:color="auto"/>
        <w:right w:val="none" w:sz="0" w:space="0" w:color="auto"/>
      </w:divBdr>
    </w:div>
    <w:div w:id="204343677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8163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tga.gov.au/comparable-overseas-regulators-cors-timeframes-and-milestones" TargetMode="External"/><Relationship Id="rId26" Type="http://schemas.microsoft.com/office/2007/relationships/hdphoto" Target="media/hdphoto2.wdp"/><Relationship Id="rId39" Type="http://schemas.microsoft.com/office/2007/relationships/hdphoto" Target="media/hdphoto8.wdp"/><Relationship Id="rId21" Type="http://schemas.openxmlformats.org/officeDocument/2006/relationships/hyperlink" Target="https://www.tga.gov.au/picmi-search-facility" TargetMode="External"/><Relationship Id="rId34" Type="http://schemas.openxmlformats.org/officeDocument/2006/relationships/image" Target="media/image9.png"/><Relationship Id="rId42" Type="http://schemas.openxmlformats.org/officeDocument/2006/relationships/image" Target="media/image13.png"/><Relationship Id="rId47" Type="http://schemas.microsoft.com/office/2007/relationships/hdphoto" Target="media/hdphoto11.wdp"/><Relationship Id="rId50" Type="http://schemas.openxmlformats.org/officeDocument/2006/relationships/header" Target="header4.xml"/><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07/relationships/hdphoto" Target="media/hdphoto1.wdp"/><Relationship Id="rId29" Type="http://schemas.openxmlformats.org/officeDocument/2006/relationships/image" Target="media/image6.emf"/><Relationship Id="rId41" Type="http://schemas.microsoft.com/office/2007/relationships/hdphoto" Target="media/hdphoto9.wdp"/><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hyperlink" Target="https://www.tga.gov.au/resources/resource/international-scientific-guidelines/international-scientific-guideline-guideline-pharmaceutical-development-medicines-paediatric-use" TargetMode="External"/><Relationship Id="rId32" Type="http://schemas.openxmlformats.org/officeDocument/2006/relationships/image" Target="media/image8.png"/><Relationship Id="rId37" Type="http://schemas.microsoft.com/office/2007/relationships/hdphoto" Target="media/hdphoto7.wdp"/><Relationship Id="rId40" Type="http://schemas.openxmlformats.org/officeDocument/2006/relationships/image" Target="media/image12.png"/><Relationship Id="rId45" Type="http://schemas.openxmlformats.org/officeDocument/2006/relationships/hyperlink" Target="https://www.tga.gov.au/tgas-risk-management-approach" TargetMode="External"/><Relationship Id="rId53" Type="http://schemas.openxmlformats.org/officeDocument/2006/relationships/hyperlink" Target="mailto:info@tga.gov.au" TargetMode="External"/><Relationship Id="rId58"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tga.gov.au/resources/resource/international-scientific-guidelines/international-scientific-guideline-guideline-choice-non-inferiority-margin" TargetMode="External"/><Relationship Id="rId28" Type="http://schemas.microsoft.com/office/2007/relationships/hdphoto" Target="media/hdphoto3.wdp"/><Relationship Id="rId36" Type="http://schemas.openxmlformats.org/officeDocument/2006/relationships/image" Target="media/image10.png"/><Relationship Id="rId49" Type="http://schemas.openxmlformats.org/officeDocument/2006/relationships/header" Target="header3.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microsoft.com/office/2007/relationships/hdphoto" Target="media/hdphoto4.wdp"/><Relationship Id="rId44" Type="http://schemas.openxmlformats.org/officeDocument/2006/relationships/hyperlink" Target="https://www.tga.gov.au/publication/risk-management-plans-medicines-and-biologicals" TargetMode="External"/><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tga.gov.au/resources/resource/international-scientific-guidelines/international-scientific-guideline-guideline-clinical-evaluation-new-vaccines" TargetMode="External"/><Relationship Id="rId27" Type="http://schemas.openxmlformats.org/officeDocument/2006/relationships/image" Target="media/image5.png"/><Relationship Id="rId30" Type="http://schemas.openxmlformats.org/officeDocument/2006/relationships/image" Target="media/image7.png"/><Relationship Id="rId35" Type="http://schemas.microsoft.com/office/2007/relationships/hdphoto" Target="media/hdphoto6.wdp"/><Relationship Id="rId43" Type="http://schemas.microsoft.com/office/2007/relationships/hdphoto" Target="media/hdphoto10.wdp"/><Relationship Id="rId48" Type="http://schemas.openxmlformats.org/officeDocument/2006/relationships/hyperlink" Target="https://www.tga.gov.au/picmi-search-facility"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4.png"/><Relationship Id="rId33" Type="http://schemas.microsoft.com/office/2007/relationships/hdphoto" Target="media/hdphoto5.wdp"/><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nsw.gov.au/Infectious/controlguideline/Pages/pertussis.aspx" TargetMode="External"/><Relationship Id="rId2" Type="http://schemas.openxmlformats.org/officeDocument/2006/relationships/hyperlink" Target="https://www.health.nsw.gov.au/Infectious/controlguideline/Pages/diphtheria.aspx" TargetMode="External"/><Relationship Id="rId1" Type="http://schemas.openxmlformats.org/officeDocument/2006/relationships/hyperlink" Target="https://www.ncirs.org.au/sites/default/files/2021-08/NCIRS%20Immunisation%20schedule%20for%20non-Indigenous%20people_1%20July%202020-Final.pdf" TargetMode="External"/><Relationship Id="rId6" Type="http://schemas.openxmlformats.org/officeDocument/2006/relationships/hyperlink" Target="https://www.tga.gov.au/form-providing-product-information" TargetMode="External"/><Relationship Id="rId5" Type="http://schemas.openxmlformats.org/officeDocument/2006/relationships/hyperlink" Target="https://www.tga.gov.au/resources/auspar/auspar-diphtheria-toxoid-haemophilus-type-b-polysaccharide-hepatitis-b-surface-antigen-pertussis-filamentous-haemagglutinin-pertussis-toxoid-poliovirus-tetanus-protein-tetanus-toxoid" TargetMode="External"/><Relationship Id="rId4" Type="http://schemas.openxmlformats.org/officeDocument/2006/relationships/hyperlink" Target="https://www.health.nsw.gov.au/Infectious/controlguideline/Pages/haemflu.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1352\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50bc91-a5db-4c52-a77e-f723805a132a" xsi:nil="true"/>
    <lcf76f155ced4ddcb4097134ff3c332f xmlns="4ba5cff4-bf93-4e34-840f-8c20d12d72d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BE3D30998CD85439B9AD20732920309" ma:contentTypeVersion="12" ma:contentTypeDescription="Create a new document." ma:contentTypeScope="" ma:versionID="872c31798e7cc1dcf93517eae4d60940">
  <xsd:schema xmlns:xsd="http://www.w3.org/2001/XMLSchema" xmlns:xs="http://www.w3.org/2001/XMLSchema" xmlns:p="http://schemas.microsoft.com/office/2006/metadata/properties" xmlns:ns2="4ba5cff4-bf93-4e34-840f-8c20d12d72d9" xmlns:ns3="7950bc91-a5db-4c52-a77e-f723805a132a" targetNamespace="http://schemas.microsoft.com/office/2006/metadata/properties" ma:root="true" ma:fieldsID="10f0330a1be05dba8bf6b80b9cffe431" ns2:_="" ns3:_="">
    <xsd:import namespace="4ba5cff4-bf93-4e34-840f-8c20d12d72d9"/>
    <xsd:import namespace="7950bc91-a5db-4c52-a77e-f723805a13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5cff4-bf93-4e34-840f-8c20d12d72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6c1fc-69fc-4b5e-9d2d-7e7aebb9d53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50bc91-a5db-4c52-a77e-f723805a13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332c78-43f1-4f70-8293-60a313a3900d}" ma:internalName="TaxCatchAll" ma:showField="CatchAllData" ma:web="7950bc91-a5db-4c52-a77e-f723805a13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7DE8F8-62EF-441C-9D81-4D59BA7695BB}">
  <ds:schemaRefs>
    <ds:schemaRef ds:uri="http://schemas.openxmlformats.org/package/2006/metadata/core-properties"/>
    <ds:schemaRef ds:uri="http://www.w3.org/XML/1998/namespace"/>
    <ds:schemaRef ds:uri="http://purl.org/dc/elements/1.1/"/>
    <ds:schemaRef ds:uri="4ba5cff4-bf93-4e34-840f-8c20d12d72d9"/>
    <ds:schemaRef ds:uri="http://schemas.microsoft.com/office/2006/metadata/properties"/>
    <ds:schemaRef ds:uri="http://purl.org/dc/terms/"/>
    <ds:schemaRef ds:uri="http://schemas.microsoft.com/office/2006/documentManagement/types"/>
    <ds:schemaRef ds:uri="http://schemas.microsoft.com/office/infopath/2007/PartnerControls"/>
    <ds:schemaRef ds:uri="7950bc91-a5db-4c52-a77e-f723805a132a"/>
    <ds:schemaRef ds:uri="http://purl.org/dc/dcmitype/"/>
  </ds:schemaRefs>
</ds:datastoreItem>
</file>

<file path=customXml/itemProps2.xml><?xml version="1.0" encoding="utf-8"?>
<ds:datastoreItem xmlns:ds="http://schemas.openxmlformats.org/officeDocument/2006/customXml" ds:itemID="{B00534AD-3966-4DD9-881E-D6AEAA0B7155}">
  <ds:schemaRefs>
    <ds:schemaRef ds:uri="http://schemas.microsoft.com/sharepoint/v3/contenttype/forms"/>
  </ds:schemaRefs>
</ds:datastoreItem>
</file>

<file path=customXml/itemProps3.xml><?xml version="1.0" encoding="utf-8"?>
<ds:datastoreItem xmlns:ds="http://schemas.openxmlformats.org/officeDocument/2006/customXml" ds:itemID="{CBC5B2B5-7681-4854-8CC1-95BD0A84DECC}">
  <ds:schemaRefs>
    <ds:schemaRef ds:uri="http://schemas.openxmlformats.org/officeDocument/2006/bibliography"/>
  </ds:schemaRefs>
</ds:datastoreItem>
</file>

<file path=customXml/itemProps4.xml><?xml version="1.0" encoding="utf-8"?>
<ds:datastoreItem xmlns:ds="http://schemas.openxmlformats.org/officeDocument/2006/customXml" ds:itemID="{1B865031-1D1B-43D2-A8E3-DA50B3880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5cff4-bf93-4e34-840f-8c20d12d72d9"/>
    <ds:schemaRef ds:uri="7950bc91-a5db-4c52-a77e-f723805a1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104</TotalTime>
  <Pages>31</Pages>
  <Words>9416</Words>
  <Characters>53107</Characters>
  <Application>Microsoft Office Word</Application>
  <DocSecurity>0</DocSecurity>
  <Lines>2042</Lines>
  <Paragraphs>1645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60878</CharactersWithSpaces>
  <SharedDoc>false</SharedDoc>
  <HLinks>
    <vt:vector size="192" baseType="variant">
      <vt:variant>
        <vt:i4>3473445</vt:i4>
      </vt:variant>
      <vt:variant>
        <vt:i4>132</vt:i4>
      </vt:variant>
      <vt:variant>
        <vt:i4>0</vt:i4>
      </vt:variant>
      <vt:variant>
        <vt:i4>5</vt:i4>
      </vt:variant>
      <vt:variant>
        <vt:lpwstr>https://www.tga.gov.au/</vt:lpwstr>
      </vt:variant>
      <vt:variant>
        <vt:lpwstr/>
      </vt:variant>
      <vt:variant>
        <vt:i4>5242926</vt:i4>
      </vt:variant>
      <vt:variant>
        <vt:i4>129</vt:i4>
      </vt:variant>
      <vt:variant>
        <vt:i4>0</vt:i4>
      </vt:variant>
      <vt:variant>
        <vt:i4>5</vt:i4>
      </vt:variant>
      <vt:variant>
        <vt:lpwstr>mailto:info@tga.gov.au</vt:lpwstr>
      </vt:variant>
      <vt:variant>
        <vt:lpwstr/>
      </vt:variant>
      <vt:variant>
        <vt:i4>720961</vt:i4>
      </vt:variant>
      <vt:variant>
        <vt:i4>126</vt:i4>
      </vt:variant>
      <vt:variant>
        <vt:i4>0</vt:i4>
      </vt:variant>
      <vt:variant>
        <vt:i4>5</vt:i4>
      </vt:variant>
      <vt:variant>
        <vt:lpwstr>https://www.tga.gov.au/picmi-search-facility</vt:lpwstr>
      </vt:variant>
      <vt:variant>
        <vt:lpwstr/>
      </vt:variant>
      <vt:variant>
        <vt:i4>5570594</vt:i4>
      </vt:variant>
      <vt:variant>
        <vt:i4>123</vt:i4>
      </vt:variant>
      <vt:variant>
        <vt:i4>0</vt:i4>
      </vt:variant>
      <vt:variant>
        <vt:i4>5</vt:i4>
      </vt:variant>
      <vt:variant>
        <vt:lpwstr>https://www.ncirs.org.au/sites/default/files/2021-08/NCIRS Immunisation schedule for non-Indigenous people_1 July 2020-Final.pdf</vt:lpwstr>
      </vt:variant>
      <vt:variant>
        <vt:lpwstr/>
      </vt:variant>
      <vt:variant>
        <vt:i4>5111899</vt:i4>
      </vt:variant>
      <vt:variant>
        <vt:i4>117</vt:i4>
      </vt:variant>
      <vt:variant>
        <vt:i4>0</vt:i4>
      </vt:variant>
      <vt:variant>
        <vt:i4>5</vt:i4>
      </vt:variant>
      <vt:variant>
        <vt:lpwstr>https://www.tga.gov.au/tgas-risk-management-approach</vt:lpwstr>
      </vt:variant>
      <vt:variant>
        <vt:lpwstr/>
      </vt:variant>
      <vt:variant>
        <vt:i4>7929888</vt:i4>
      </vt:variant>
      <vt:variant>
        <vt:i4>114</vt:i4>
      </vt:variant>
      <vt:variant>
        <vt:i4>0</vt:i4>
      </vt:variant>
      <vt:variant>
        <vt:i4>5</vt:i4>
      </vt:variant>
      <vt:variant>
        <vt:lpwstr>https://www.tga.gov.au/publication/risk-management-plans-medicines-and-biologicals</vt:lpwstr>
      </vt:variant>
      <vt:variant>
        <vt:lpwstr/>
      </vt:variant>
      <vt:variant>
        <vt:i4>720961</vt:i4>
      </vt:variant>
      <vt:variant>
        <vt:i4>111</vt:i4>
      </vt:variant>
      <vt:variant>
        <vt:i4>0</vt:i4>
      </vt:variant>
      <vt:variant>
        <vt:i4>5</vt:i4>
      </vt:variant>
      <vt:variant>
        <vt:lpwstr>https://www.tga.gov.au/picmi-search-facility</vt:lpwstr>
      </vt:variant>
      <vt:variant>
        <vt:lpwstr/>
      </vt:variant>
      <vt:variant>
        <vt:i4>5570594</vt:i4>
      </vt:variant>
      <vt:variant>
        <vt:i4>108</vt:i4>
      </vt:variant>
      <vt:variant>
        <vt:i4>0</vt:i4>
      </vt:variant>
      <vt:variant>
        <vt:i4>5</vt:i4>
      </vt:variant>
      <vt:variant>
        <vt:lpwstr>https://www.ncirs.org.au/sites/default/files/2021-08/NCIRS Immunisation schedule for non-Indigenous people_1 July 2020-Final.pdf</vt:lpwstr>
      </vt:variant>
      <vt:variant>
        <vt:lpwstr/>
      </vt:variant>
      <vt:variant>
        <vt:i4>5636121</vt:i4>
      </vt:variant>
      <vt:variant>
        <vt:i4>105</vt:i4>
      </vt:variant>
      <vt:variant>
        <vt:i4>0</vt:i4>
      </vt:variant>
      <vt:variant>
        <vt:i4>5</vt:i4>
      </vt:variant>
      <vt:variant>
        <vt:lpwstr>https://www.tga.gov.au/comparable-overseas-regulators-cors-timeframes-and-milestones</vt:lpwstr>
      </vt:variant>
      <vt:variant>
        <vt:lpwstr/>
      </vt:variant>
      <vt:variant>
        <vt:i4>786511</vt:i4>
      </vt:variant>
      <vt:variant>
        <vt:i4>102</vt:i4>
      </vt:variant>
      <vt:variant>
        <vt:i4>0</vt:i4>
      </vt:variant>
      <vt:variant>
        <vt:i4>5</vt:i4>
      </vt:variant>
      <vt:variant>
        <vt:lpwstr>https://www.tga.gov.au/black-triangle-scheme</vt:lpwstr>
      </vt:variant>
      <vt:variant>
        <vt:lpwstr/>
      </vt:variant>
      <vt:variant>
        <vt:i4>2031665</vt:i4>
      </vt:variant>
      <vt:variant>
        <vt:i4>95</vt:i4>
      </vt:variant>
      <vt:variant>
        <vt:i4>0</vt:i4>
      </vt:variant>
      <vt:variant>
        <vt:i4>5</vt:i4>
      </vt:variant>
      <vt:variant>
        <vt:lpwstr/>
      </vt:variant>
      <vt:variant>
        <vt:lpwstr>_Toc118888096</vt:lpwstr>
      </vt:variant>
      <vt:variant>
        <vt:i4>2031665</vt:i4>
      </vt:variant>
      <vt:variant>
        <vt:i4>89</vt:i4>
      </vt:variant>
      <vt:variant>
        <vt:i4>0</vt:i4>
      </vt:variant>
      <vt:variant>
        <vt:i4>5</vt:i4>
      </vt:variant>
      <vt:variant>
        <vt:lpwstr/>
      </vt:variant>
      <vt:variant>
        <vt:lpwstr>_Toc118888095</vt:lpwstr>
      </vt:variant>
      <vt:variant>
        <vt:i4>2031665</vt:i4>
      </vt:variant>
      <vt:variant>
        <vt:i4>83</vt:i4>
      </vt:variant>
      <vt:variant>
        <vt:i4>0</vt:i4>
      </vt:variant>
      <vt:variant>
        <vt:i4>5</vt:i4>
      </vt:variant>
      <vt:variant>
        <vt:lpwstr/>
      </vt:variant>
      <vt:variant>
        <vt:lpwstr>_Toc118888094</vt:lpwstr>
      </vt:variant>
      <vt:variant>
        <vt:i4>2031665</vt:i4>
      </vt:variant>
      <vt:variant>
        <vt:i4>77</vt:i4>
      </vt:variant>
      <vt:variant>
        <vt:i4>0</vt:i4>
      </vt:variant>
      <vt:variant>
        <vt:i4>5</vt:i4>
      </vt:variant>
      <vt:variant>
        <vt:lpwstr/>
      </vt:variant>
      <vt:variant>
        <vt:lpwstr>_Toc118888093</vt:lpwstr>
      </vt:variant>
      <vt:variant>
        <vt:i4>2031665</vt:i4>
      </vt:variant>
      <vt:variant>
        <vt:i4>71</vt:i4>
      </vt:variant>
      <vt:variant>
        <vt:i4>0</vt:i4>
      </vt:variant>
      <vt:variant>
        <vt:i4>5</vt:i4>
      </vt:variant>
      <vt:variant>
        <vt:lpwstr/>
      </vt:variant>
      <vt:variant>
        <vt:lpwstr>_Toc118888092</vt:lpwstr>
      </vt:variant>
      <vt:variant>
        <vt:i4>2031665</vt:i4>
      </vt:variant>
      <vt:variant>
        <vt:i4>65</vt:i4>
      </vt:variant>
      <vt:variant>
        <vt:i4>0</vt:i4>
      </vt:variant>
      <vt:variant>
        <vt:i4>5</vt:i4>
      </vt:variant>
      <vt:variant>
        <vt:lpwstr/>
      </vt:variant>
      <vt:variant>
        <vt:lpwstr>_Toc118888091</vt:lpwstr>
      </vt:variant>
      <vt:variant>
        <vt:i4>2031665</vt:i4>
      </vt:variant>
      <vt:variant>
        <vt:i4>59</vt:i4>
      </vt:variant>
      <vt:variant>
        <vt:i4>0</vt:i4>
      </vt:variant>
      <vt:variant>
        <vt:i4>5</vt:i4>
      </vt:variant>
      <vt:variant>
        <vt:lpwstr/>
      </vt:variant>
      <vt:variant>
        <vt:lpwstr>_Toc118888090</vt:lpwstr>
      </vt:variant>
      <vt:variant>
        <vt:i4>1966129</vt:i4>
      </vt:variant>
      <vt:variant>
        <vt:i4>53</vt:i4>
      </vt:variant>
      <vt:variant>
        <vt:i4>0</vt:i4>
      </vt:variant>
      <vt:variant>
        <vt:i4>5</vt:i4>
      </vt:variant>
      <vt:variant>
        <vt:lpwstr/>
      </vt:variant>
      <vt:variant>
        <vt:lpwstr>_Toc118888089</vt:lpwstr>
      </vt:variant>
      <vt:variant>
        <vt:i4>1966129</vt:i4>
      </vt:variant>
      <vt:variant>
        <vt:i4>47</vt:i4>
      </vt:variant>
      <vt:variant>
        <vt:i4>0</vt:i4>
      </vt:variant>
      <vt:variant>
        <vt:i4>5</vt:i4>
      </vt:variant>
      <vt:variant>
        <vt:lpwstr/>
      </vt:variant>
      <vt:variant>
        <vt:lpwstr>_Toc118888088</vt:lpwstr>
      </vt:variant>
      <vt:variant>
        <vt:i4>1966129</vt:i4>
      </vt:variant>
      <vt:variant>
        <vt:i4>41</vt:i4>
      </vt:variant>
      <vt:variant>
        <vt:i4>0</vt:i4>
      </vt:variant>
      <vt:variant>
        <vt:i4>5</vt:i4>
      </vt:variant>
      <vt:variant>
        <vt:lpwstr/>
      </vt:variant>
      <vt:variant>
        <vt:lpwstr>_Toc118888087</vt:lpwstr>
      </vt:variant>
      <vt:variant>
        <vt:i4>1966129</vt:i4>
      </vt:variant>
      <vt:variant>
        <vt:i4>35</vt:i4>
      </vt:variant>
      <vt:variant>
        <vt:i4>0</vt:i4>
      </vt:variant>
      <vt:variant>
        <vt:i4>5</vt:i4>
      </vt:variant>
      <vt:variant>
        <vt:lpwstr/>
      </vt:variant>
      <vt:variant>
        <vt:lpwstr>_Toc118888086</vt:lpwstr>
      </vt:variant>
      <vt:variant>
        <vt:i4>1966129</vt:i4>
      </vt:variant>
      <vt:variant>
        <vt:i4>29</vt:i4>
      </vt:variant>
      <vt:variant>
        <vt:i4>0</vt:i4>
      </vt:variant>
      <vt:variant>
        <vt:i4>5</vt:i4>
      </vt:variant>
      <vt:variant>
        <vt:lpwstr/>
      </vt:variant>
      <vt:variant>
        <vt:lpwstr>_Toc118888085</vt:lpwstr>
      </vt:variant>
      <vt:variant>
        <vt:i4>1966129</vt:i4>
      </vt:variant>
      <vt:variant>
        <vt:i4>23</vt:i4>
      </vt:variant>
      <vt:variant>
        <vt:i4>0</vt:i4>
      </vt:variant>
      <vt:variant>
        <vt:i4>5</vt:i4>
      </vt:variant>
      <vt:variant>
        <vt:lpwstr/>
      </vt:variant>
      <vt:variant>
        <vt:lpwstr>_Toc118888084</vt:lpwstr>
      </vt:variant>
      <vt:variant>
        <vt:i4>1966129</vt:i4>
      </vt:variant>
      <vt:variant>
        <vt:i4>17</vt:i4>
      </vt:variant>
      <vt:variant>
        <vt:i4>0</vt:i4>
      </vt:variant>
      <vt:variant>
        <vt:i4>5</vt:i4>
      </vt:variant>
      <vt:variant>
        <vt:lpwstr/>
      </vt:variant>
      <vt:variant>
        <vt:lpwstr>_Toc118888083</vt:lpwstr>
      </vt:variant>
      <vt:variant>
        <vt:i4>1966129</vt:i4>
      </vt:variant>
      <vt:variant>
        <vt:i4>11</vt:i4>
      </vt:variant>
      <vt:variant>
        <vt:i4>0</vt:i4>
      </vt:variant>
      <vt:variant>
        <vt:i4>5</vt:i4>
      </vt:variant>
      <vt:variant>
        <vt:lpwstr/>
      </vt:variant>
      <vt:variant>
        <vt:lpwstr>_Toc118888082</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27</vt:i4>
      </vt:variant>
      <vt:variant>
        <vt:i4>9</vt:i4>
      </vt:variant>
      <vt:variant>
        <vt:i4>0</vt:i4>
      </vt:variant>
      <vt:variant>
        <vt:i4>5</vt:i4>
      </vt:variant>
      <vt:variant>
        <vt:lpwstr>https://www.tga.gov.au/form-providing-product-information</vt:lpwstr>
      </vt:variant>
      <vt:variant>
        <vt:lpwstr/>
      </vt:variant>
      <vt:variant>
        <vt:i4>5046365</vt:i4>
      </vt:variant>
      <vt:variant>
        <vt:i4>6</vt:i4>
      </vt:variant>
      <vt:variant>
        <vt:i4>0</vt:i4>
      </vt:variant>
      <vt:variant>
        <vt:i4>5</vt:i4>
      </vt:variant>
      <vt:variant>
        <vt:lpwstr>https://www.health.nsw.gov.au/Infectious/controlguideline/Pages/haemflu.aspx</vt:lpwstr>
      </vt:variant>
      <vt:variant>
        <vt:lpwstr/>
      </vt:variant>
      <vt:variant>
        <vt:i4>2490420</vt:i4>
      </vt:variant>
      <vt:variant>
        <vt:i4>3</vt:i4>
      </vt:variant>
      <vt:variant>
        <vt:i4>0</vt:i4>
      </vt:variant>
      <vt:variant>
        <vt:i4>5</vt:i4>
      </vt:variant>
      <vt:variant>
        <vt:lpwstr>https://www.health.nsw.gov.au/Infectious/controlguideline/Pages/pertussis.aspx</vt:lpwstr>
      </vt:variant>
      <vt:variant>
        <vt:lpwstr/>
      </vt:variant>
      <vt:variant>
        <vt:i4>6488163</vt:i4>
      </vt:variant>
      <vt:variant>
        <vt:i4>0</vt:i4>
      </vt:variant>
      <vt:variant>
        <vt:i4>0</vt:i4>
      </vt:variant>
      <vt:variant>
        <vt:i4>5</vt:i4>
      </vt:variant>
      <vt:variant>
        <vt:lpwstr>https://www.health.nsw.gov.au/Infectious/controlguideline/Pages/diphtheria.aspx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Vaxelis</dc:title>
  <dc:subject>prescription medicine regulation</dc:subject>
  <dc:creator>Therapeutic Goods Administration</dc:creator>
  <cp:keywords/>
  <cp:lastModifiedBy>KOLARIK-O'REILLY, Kristy</cp:lastModifiedBy>
  <cp:revision>5</cp:revision>
  <cp:lastPrinted>2019-08-14T13:30:00Z</cp:lastPrinted>
  <dcterms:created xsi:type="dcterms:W3CDTF">2023-01-25T04:51:00Z</dcterms:created>
  <dcterms:modified xsi:type="dcterms:W3CDTF">2023-02-10T02:15:00Z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0x0101005BE3D30998CD85439B9AD20732920309</vt:lpwstr>
  </property>
  <property fmtid="{D5CDD505-2E9C-101B-9397-08002B2CF9AE}" pid="3" name="MediaServiceImageTags">
    <vt:lpwstr/>
  </property>
</Properties>
</file>