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B247AC8" w14:textId="77777777" w:rsidTr="00BF1190">
        <w:trPr>
          <w:trHeight w:val="1863"/>
        </w:trPr>
        <w:tc>
          <w:tcPr>
            <w:tcW w:w="3652" w:type="dxa"/>
            <w:tcBorders>
              <w:top w:val="nil"/>
              <w:left w:val="nil"/>
              <w:bottom w:val="nil"/>
              <w:right w:val="nil"/>
            </w:tcBorders>
          </w:tcPr>
          <w:p w14:paraId="61BD6DA7" w14:textId="007B7B5C" w:rsidR="008E7846" w:rsidRPr="00096AA7" w:rsidRDefault="00A00D37" w:rsidP="00F931CE">
            <w:pPr>
              <w:pStyle w:val="Date"/>
              <w:framePr w:hSpace="0" w:wrap="auto" w:vAnchor="margin" w:hAnchor="text" w:yAlign="inline"/>
              <w:suppressOverlap w:val="0"/>
            </w:pPr>
            <w:r>
              <w:t>February 2023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7D7F616" w14:textId="77777777" w:rsidTr="0032583B">
        <w:trPr>
          <w:trHeight w:val="868"/>
        </w:trPr>
        <w:tc>
          <w:tcPr>
            <w:tcW w:w="9079" w:type="dxa"/>
          </w:tcPr>
          <w:p w14:paraId="01871FB4" w14:textId="7EE1AFAE" w:rsidR="0032583B" w:rsidRPr="00A964D1" w:rsidRDefault="0032583B" w:rsidP="00F931CE">
            <w:pPr>
              <w:pStyle w:val="Title"/>
              <w:framePr w:hSpace="0" w:wrap="auto" w:vAnchor="margin" w:yAlign="inline"/>
            </w:pPr>
            <w:r w:rsidRPr="00A964D1">
              <w:t>Australian Public Assessment Report for</w:t>
            </w:r>
            <w:r w:rsidR="00AF2313">
              <w:t xml:space="preserve"> </w:t>
            </w:r>
            <w:proofErr w:type="spellStart"/>
            <w:r w:rsidR="00A00D37">
              <w:t>Spikevax</w:t>
            </w:r>
            <w:proofErr w:type="spellEnd"/>
            <w:r w:rsidR="00A00D37">
              <w:t xml:space="preserve"> bivalent Original/Omicron BA.4</w:t>
            </w:r>
            <w:r w:rsidR="00511ED2">
              <w:t>-</w:t>
            </w:r>
            <w:r w:rsidR="00A00D37">
              <w:t>5</w:t>
            </w:r>
          </w:p>
        </w:tc>
      </w:tr>
      <w:tr w:rsidR="0032583B" w:rsidRPr="00B64760" w14:paraId="27ED2892" w14:textId="77777777" w:rsidTr="0032583B">
        <w:tc>
          <w:tcPr>
            <w:tcW w:w="9079" w:type="dxa"/>
          </w:tcPr>
          <w:p w14:paraId="73087E96" w14:textId="79B70FEA" w:rsidR="0032583B" w:rsidRPr="008E7846" w:rsidRDefault="00BB75D6" w:rsidP="00F931CE">
            <w:pPr>
              <w:pStyle w:val="Subtitle"/>
              <w:framePr w:hSpace="0" w:wrap="auto" w:vAnchor="margin" w:yAlign="inline"/>
            </w:pPr>
            <w:r>
              <w:t>Active ingredients</w:t>
            </w:r>
            <w:r w:rsidR="0032583B" w:rsidRPr="008E7846">
              <w:t xml:space="preserve">: </w:t>
            </w:r>
            <w:proofErr w:type="spellStart"/>
            <w:r w:rsidR="00A00D37">
              <w:t>E</w:t>
            </w:r>
            <w:r w:rsidR="00A00D37" w:rsidRPr="00A00D37">
              <w:t>lasomeran</w:t>
            </w:r>
            <w:proofErr w:type="spellEnd"/>
            <w:r w:rsidR="00A00D37">
              <w:t xml:space="preserve"> and </w:t>
            </w:r>
            <w:proofErr w:type="spellStart"/>
            <w:r w:rsidR="00A00D37" w:rsidRPr="00A00D37">
              <w:t>davesomeran</w:t>
            </w:r>
            <w:proofErr w:type="spellEnd"/>
          </w:p>
        </w:tc>
      </w:tr>
      <w:tr w:rsidR="0032583B" w:rsidRPr="00B64760" w14:paraId="621F71B5" w14:textId="77777777" w:rsidTr="0032583B">
        <w:trPr>
          <w:trHeight w:val="486"/>
        </w:trPr>
        <w:tc>
          <w:tcPr>
            <w:tcW w:w="9079" w:type="dxa"/>
          </w:tcPr>
          <w:p w14:paraId="503A280E" w14:textId="35E58FAE" w:rsidR="0032583B" w:rsidRPr="008E7846" w:rsidRDefault="00460036" w:rsidP="009556D7">
            <w:pPr>
              <w:pStyle w:val="Subtitle"/>
              <w:framePr w:hSpace="0" w:wrap="auto" w:vAnchor="margin" w:yAlign="inline"/>
            </w:pPr>
            <w:r>
              <w:t xml:space="preserve">Sponsor: </w:t>
            </w:r>
            <w:r w:rsidR="00A00D37" w:rsidRPr="00A00D37">
              <w:t>Moderna Australia Pty Ltd</w:t>
            </w:r>
          </w:p>
        </w:tc>
      </w:tr>
    </w:tbl>
    <w:p w14:paraId="6B5A17AD" w14:textId="77777777" w:rsidR="008E7846" w:rsidRPr="0085156D" w:rsidRDefault="008E7846" w:rsidP="0085156D">
      <w:r w:rsidRPr="0085156D">
        <w:br w:type="page"/>
      </w:r>
    </w:p>
    <w:p w14:paraId="7A4B2967" w14:textId="77777777" w:rsidR="008E7846" w:rsidRPr="001F6CBA" w:rsidRDefault="008E7846" w:rsidP="008E7846">
      <w:pPr>
        <w:pStyle w:val="NonTOCHeading2"/>
      </w:pPr>
      <w:r w:rsidRPr="001F6CBA">
        <w:lastRenderedPageBreak/>
        <w:t>About the Therapeutic Goods Administration (TGA)</w:t>
      </w:r>
    </w:p>
    <w:p w14:paraId="30804171"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435B4A9E"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204A5C94"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5FCE50B0"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08FA4F40" w14:textId="64E27726"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8" w:history="1">
        <w:r w:rsidRPr="000F15B4">
          <w:rPr>
            <w:rStyle w:val="Hyperlink"/>
          </w:rPr>
          <w:t>TGA website</w:t>
        </w:r>
      </w:hyperlink>
      <w:r w:rsidRPr="003C6D1F">
        <w:t>.</w:t>
      </w:r>
    </w:p>
    <w:p w14:paraId="05BEFF87" w14:textId="77777777" w:rsidR="008E7846" w:rsidRDefault="008E7846" w:rsidP="00875A6B">
      <w:pPr>
        <w:pStyle w:val="NonTOCHeading2"/>
      </w:pPr>
      <w:r>
        <w:t xml:space="preserve">About </w:t>
      </w:r>
      <w:proofErr w:type="spellStart"/>
      <w:r>
        <w:t>AusPARs</w:t>
      </w:r>
      <w:proofErr w:type="spellEnd"/>
    </w:p>
    <w:p w14:paraId="0B5D9724" w14:textId="5F01D52E" w:rsidR="00AF2313" w:rsidRPr="003C6D1F" w:rsidRDefault="00AF2313" w:rsidP="00AF2313">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9"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07C034B"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50970519"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w:t>
      </w:r>
      <w:proofErr w:type="spellStart"/>
      <w:r w:rsidR="008110BC">
        <w:t>AusPAR</w:t>
      </w:r>
      <w:proofErr w:type="spellEnd"/>
      <w:r w:rsidR="008110BC">
        <w:t xml:space="preserve"> is an important part of the transparency of the TGA’s decision-making process.</w:t>
      </w:r>
    </w:p>
    <w:p w14:paraId="4CAB7A68" w14:textId="77777777" w:rsidR="00AF2313" w:rsidRPr="003C6D1F" w:rsidRDefault="00AF2313" w:rsidP="00AF2313">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6983B7F4" w14:textId="77777777" w:rsidR="00924482" w:rsidRPr="00DF1D7F" w:rsidRDefault="00924482" w:rsidP="00F54B65">
      <w:pPr>
        <w:pStyle w:val="LegalSubheading"/>
        <w:spacing w:before="3120"/>
      </w:pPr>
      <w:r w:rsidRPr="00DF1D7F">
        <w:t>Copyright</w:t>
      </w:r>
    </w:p>
    <w:p w14:paraId="7D34F31D" w14:textId="645C2086"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A00D37">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735F99D1"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359CD18D" w14:textId="77777777" w:rsidR="0089635C" w:rsidRPr="0089635C" w:rsidRDefault="0089635C" w:rsidP="0010788A">
          <w:pPr>
            <w:pStyle w:val="Contents"/>
          </w:pPr>
          <w:r w:rsidRPr="0010788A">
            <w:t>Contents</w:t>
          </w:r>
        </w:p>
        <w:p w14:paraId="014D4E35" w14:textId="681DD99D" w:rsidR="00AA4DFB"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28132169" w:history="1">
            <w:r w:rsidR="00AA4DFB" w:rsidRPr="00B66685">
              <w:rPr>
                <w:rStyle w:val="Hyperlink"/>
                <w:noProof/>
              </w:rPr>
              <w:t>List of abbreviations</w:t>
            </w:r>
            <w:r w:rsidR="00AA4DFB">
              <w:rPr>
                <w:noProof/>
                <w:webHidden/>
              </w:rPr>
              <w:tab/>
            </w:r>
            <w:r w:rsidR="00AA4DFB">
              <w:rPr>
                <w:noProof/>
                <w:webHidden/>
              </w:rPr>
              <w:fldChar w:fldCharType="begin"/>
            </w:r>
            <w:r w:rsidR="00AA4DFB">
              <w:rPr>
                <w:noProof/>
                <w:webHidden/>
              </w:rPr>
              <w:instrText xml:space="preserve"> PAGEREF _Toc128132169 \h </w:instrText>
            </w:r>
            <w:r w:rsidR="00AA4DFB">
              <w:rPr>
                <w:noProof/>
                <w:webHidden/>
              </w:rPr>
            </w:r>
            <w:r w:rsidR="00AA4DFB">
              <w:rPr>
                <w:noProof/>
                <w:webHidden/>
              </w:rPr>
              <w:fldChar w:fldCharType="separate"/>
            </w:r>
            <w:r w:rsidR="00AA4DFB">
              <w:rPr>
                <w:noProof/>
                <w:webHidden/>
              </w:rPr>
              <w:t>4</w:t>
            </w:r>
            <w:r w:rsidR="00AA4DFB">
              <w:rPr>
                <w:noProof/>
                <w:webHidden/>
              </w:rPr>
              <w:fldChar w:fldCharType="end"/>
            </w:r>
          </w:hyperlink>
        </w:p>
        <w:p w14:paraId="0DBDFBC8" w14:textId="6B960999" w:rsidR="00AA4DFB" w:rsidRDefault="00FE4B4B">
          <w:pPr>
            <w:pStyle w:val="TOC1"/>
            <w:rPr>
              <w:rFonts w:asciiTheme="minorHAnsi" w:eastAsiaTheme="minorEastAsia" w:hAnsiTheme="minorHAnsi" w:cstheme="minorBidi"/>
              <w:b w:val="0"/>
              <w:noProof/>
              <w:sz w:val="22"/>
              <w:lang w:eastAsia="en-AU"/>
            </w:rPr>
          </w:pPr>
          <w:hyperlink w:anchor="_Toc128132170" w:history="1">
            <w:r w:rsidR="00AA4DFB" w:rsidRPr="00B66685">
              <w:rPr>
                <w:rStyle w:val="Hyperlink"/>
                <w:noProof/>
              </w:rPr>
              <w:t>Product submission</w:t>
            </w:r>
            <w:r w:rsidR="00AA4DFB">
              <w:rPr>
                <w:noProof/>
                <w:webHidden/>
              </w:rPr>
              <w:tab/>
            </w:r>
            <w:r w:rsidR="00AA4DFB">
              <w:rPr>
                <w:noProof/>
                <w:webHidden/>
              </w:rPr>
              <w:fldChar w:fldCharType="begin"/>
            </w:r>
            <w:r w:rsidR="00AA4DFB">
              <w:rPr>
                <w:noProof/>
                <w:webHidden/>
              </w:rPr>
              <w:instrText xml:space="preserve"> PAGEREF _Toc128132170 \h </w:instrText>
            </w:r>
            <w:r w:rsidR="00AA4DFB">
              <w:rPr>
                <w:noProof/>
                <w:webHidden/>
              </w:rPr>
            </w:r>
            <w:r w:rsidR="00AA4DFB">
              <w:rPr>
                <w:noProof/>
                <w:webHidden/>
              </w:rPr>
              <w:fldChar w:fldCharType="separate"/>
            </w:r>
            <w:r w:rsidR="00AA4DFB">
              <w:rPr>
                <w:noProof/>
                <w:webHidden/>
              </w:rPr>
              <w:t>6</w:t>
            </w:r>
            <w:r w:rsidR="00AA4DFB">
              <w:rPr>
                <w:noProof/>
                <w:webHidden/>
              </w:rPr>
              <w:fldChar w:fldCharType="end"/>
            </w:r>
          </w:hyperlink>
        </w:p>
        <w:p w14:paraId="4C70E7CC" w14:textId="4CE1FC2D" w:rsidR="00AA4DFB" w:rsidRDefault="00FE4B4B">
          <w:pPr>
            <w:pStyle w:val="TOC2"/>
            <w:rPr>
              <w:rFonts w:asciiTheme="minorHAnsi" w:eastAsiaTheme="minorEastAsia" w:hAnsiTheme="minorHAnsi" w:cstheme="minorBidi"/>
              <w:b w:val="0"/>
              <w:noProof/>
              <w:sz w:val="22"/>
              <w:lang w:eastAsia="en-AU"/>
            </w:rPr>
          </w:pPr>
          <w:hyperlink w:anchor="_Toc128132171" w:history="1">
            <w:r w:rsidR="00AA4DFB" w:rsidRPr="00B66685">
              <w:rPr>
                <w:rStyle w:val="Hyperlink"/>
                <w:noProof/>
                <w:lang w:eastAsia="en-AU"/>
              </w:rPr>
              <w:t>Submission details</w:t>
            </w:r>
            <w:r w:rsidR="00AA4DFB">
              <w:rPr>
                <w:noProof/>
                <w:webHidden/>
              </w:rPr>
              <w:tab/>
            </w:r>
            <w:r w:rsidR="00AA4DFB">
              <w:rPr>
                <w:noProof/>
                <w:webHidden/>
              </w:rPr>
              <w:fldChar w:fldCharType="begin"/>
            </w:r>
            <w:r w:rsidR="00AA4DFB">
              <w:rPr>
                <w:noProof/>
                <w:webHidden/>
              </w:rPr>
              <w:instrText xml:space="preserve"> PAGEREF _Toc128132171 \h </w:instrText>
            </w:r>
            <w:r w:rsidR="00AA4DFB">
              <w:rPr>
                <w:noProof/>
                <w:webHidden/>
              </w:rPr>
            </w:r>
            <w:r w:rsidR="00AA4DFB">
              <w:rPr>
                <w:noProof/>
                <w:webHidden/>
              </w:rPr>
              <w:fldChar w:fldCharType="separate"/>
            </w:r>
            <w:r w:rsidR="00AA4DFB">
              <w:rPr>
                <w:noProof/>
                <w:webHidden/>
              </w:rPr>
              <w:t>6</w:t>
            </w:r>
            <w:r w:rsidR="00AA4DFB">
              <w:rPr>
                <w:noProof/>
                <w:webHidden/>
              </w:rPr>
              <w:fldChar w:fldCharType="end"/>
            </w:r>
          </w:hyperlink>
        </w:p>
        <w:p w14:paraId="22794EAC" w14:textId="27278C18" w:rsidR="00AA4DFB" w:rsidRDefault="00FE4B4B">
          <w:pPr>
            <w:pStyle w:val="TOC2"/>
            <w:rPr>
              <w:rFonts w:asciiTheme="minorHAnsi" w:eastAsiaTheme="minorEastAsia" w:hAnsiTheme="minorHAnsi" w:cstheme="minorBidi"/>
              <w:b w:val="0"/>
              <w:noProof/>
              <w:sz w:val="22"/>
              <w:lang w:eastAsia="en-AU"/>
            </w:rPr>
          </w:pPr>
          <w:hyperlink w:anchor="_Toc128132172" w:history="1">
            <w:r w:rsidR="00AA4DFB" w:rsidRPr="00B66685">
              <w:rPr>
                <w:rStyle w:val="Hyperlink"/>
                <w:noProof/>
              </w:rPr>
              <w:t>Product background</w:t>
            </w:r>
            <w:r w:rsidR="00AA4DFB">
              <w:rPr>
                <w:noProof/>
                <w:webHidden/>
              </w:rPr>
              <w:tab/>
            </w:r>
            <w:r w:rsidR="00AA4DFB">
              <w:rPr>
                <w:noProof/>
                <w:webHidden/>
              </w:rPr>
              <w:fldChar w:fldCharType="begin"/>
            </w:r>
            <w:r w:rsidR="00AA4DFB">
              <w:rPr>
                <w:noProof/>
                <w:webHidden/>
              </w:rPr>
              <w:instrText xml:space="preserve"> PAGEREF _Toc128132172 \h </w:instrText>
            </w:r>
            <w:r w:rsidR="00AA4DFB">
              <w:rPr>
                <w:noProof/>
                <w:webHidden/>
              </w:rPr>
            </w:r>
            <w:r w:rsidR="00AA4DFB">
              <w:rPr>
                <w:noProof/>
                <w:webHidden/>
              </w:rPr>
              <w:fldChar w:fldCharType="separate"/>
            </w:r>
            <w:r w:rsidR="00AA4DFB">
              <w:rPr>
                <w:noProof/>
                <w:webHidden/>
              </w:rPr>
              <w:t>7</w:t>
            </w:r>
            <w:r w:rsidR="00AA4DFB">
              <w:rPr>
                <w:noProof/>
                <w:webHidden/>
              </w:rPr>
              <w:fldChar w:fldCharType="end"/>
            </w:r>
          </w:hyperlink>
        </w:p>
        <w:p w14:paraId="22CBD847" w14:textId="71657AD5" w:rsidR="00AA4DFB" w:rsidRDefault="00FE4B4B">
          <w:pPr>
            <w:pStyle w:val="TOC2"/>
            <w:rPr>
              <w:rFonts w:asciiTheme="minorHAnsi" w:eastAsiaTheme="minorEastAsia" w:hAnsiTheme="minorHAnsi" w:cstheme="minorBidi"/>
              <w:b w:val="0"/>
              <w:noProof/>
              <w:sz w:val="22"/>
              <w:lang w:eastAsia="en-AU"/>
            </w:rPr>
          </w:pPr>
          <w:hyperlink w:anchor="_Toc128132173" w:history="1">
            <w:r w:rsidR="00AA4DFB" w:rsidRPr="00B66685">
              <w:rPr>
                <w:rStyle w:val="Hyperlink"/>
                <w:noProof/>
              </w:rPr>
              <w:t>Regulatory status</w:t>
            </w:r>
            <w:r w:rsidR="00AA4DFB">
              <w:rPr>
                <w:noProof/>
                <w:webHidden/>
              </w:rPr>
              <w:tab/>
            </w:r>
            <w:r w:rsidR="00AA4DFB">
              <w:rPr>
                <w:noProof/>
                <w:webHidden/>
              </w:rPr>
              <w:fldChar w:fldCharType="begin"/>
            </w:r>
            <w:r w:rsidR="00AA4DFB">
              <w:rPr>
                <w:noProof/>
                <w:webHidden/>
              </w:rPr>
              <w:instrText xml:space="preserve"> PAGEREF _Toc128132173 \h </w:instrText>
            </w:r>
            <w:r w:rsidR="00AA4DFB">
              <w:rPr>
                <w:noProof/>
                <w:webHidden/>
              </w:rPr>
            </w:r>
            <w:r w:rsidR="00AA4DFB">
              <w:rPr>
                <w:noProof/>
                <w:webHidden/>
              </w:rPr>
              <w:fldChar w:fldCharType="separate"/>
            </w:r>
            <w:r w:rsidR="00AA4DFB">
              <w:rPr>
                <w:noProof/>
                <w:webHidden/>
              </w:rPr>
              <w:t>11</w:t>
            </w:r>
            <w:r w:rsidR="00AA4DFB">
              <w:rPr>
                <w:noProof/>
                <w:webHidden/>
              </w:rPr>
              <w:fldChar w:fldCharType="end"/>
            </w:r>
          </w:hyperlink>
        </w:p>
        <w:p w14:paraId="0134F3B0" w14:textId="63393D81" w:rsidR="00AA4DFB" w:rsidRDefault="00FE4B4B">
          <w:pPr>
            <w:pStyle w:val="TOC2"/>
            <w:rPr>
              <w:rFonts w:asciiTheme="minorHAnsi" w:eastAsiaTheme="minorEastAsia" w:hAnsiTheme="minorHAnsi" w:cstheme="minorBidi"/>
              <w:b w:val="0"/>
              <w:noProof/>
              <w:sz w:val="22"/>
              <w:lang w:eastAsia="en-AU"/>
            </w:rPr>
          </w:pPr>
          <w:hyperlink w:anchor="_Toc128132174" w:history="1">
            <w:r w:rsidR="00AA4DFB" w:rsidRPr="00B66685">
              <w:rPr>
                <w:rStyle w:val="Hyperlink"/>
                <w:noProof/>
              </w:rPr>
              <w:t>Product Information</w:t>
            </w:r>
            <w:r w:rsidR="00AA4DFB">
              <w:rPr>
                <w:noProof/>
                <w:webHidden/>
              </w:rPr>
              <w:tab/>
            </w:r>
            <w:r w:rsidR="00AA4DFB">
              <w:rPr>
                <w:noProof/>
                <w:webHidden/>
              </w:rPr>
              <w:fldChar w:fldCharType="begin"/>
            </w:r>
            <w:r w:rsidR="00AA4DFB">
              <w:rPr>
                <w:noProof/>
                <w:webHidden/>
              </w:rPr>
              <w:instrText xml:space="preserve"> PAGEREF _Toc128132174 \h </w:instrText>
            </w:r>
            <w:r w:rsidR="00AA4DFB">
              <w:rPr>
                <w:noProof/>
                <w:webHidden/>
              </w:rPr>
            </w:r>
            <w:r w:rsidR="00AA4DFB">
              <w:rPr>
                <w:noProof/>
                <w:webHidden/>
              </w:rPr>
              <w:fldChar w:fldCharType="separate"/>
            </w:r>
            <w:r w:rsidR="00AA4DFB">
              <w:rPr>
                <w:noProof/>
                <w:webHidden/>
              </w:rPr>
              <w:t>13</w:t>
            </w:r>
            <w:r w:rsidR="00AA4DFB">
              <w:rPr>
                <w:noProof/>
                <w:webHidden/>
              </w:rPr>
              <w:fldChar w:fldCharType="end"/>
            </w:r>
          </w:hyperlink>
        </w:p>
        <w:p w14:paraId="67755CE2" w14:textId="0F81D809" w:rsidR="00AA4DFB" w:rsidRDefault="00FE4B4B">
          <w:pPr>
            <w:pStyle w:val="TOC1"/>
            <w:rPr>
              <w:rFonts w:asciiTheme="minorHAnsi" w:eastAsiaTheme="minorEastAsia" w:hAnsiTheme="minorHAnsi" w:cstheme="minorBidi"/>
              <w:b w:val="0"/>
              <w:noProof/>
              <w:sz w:val="22"/>
              <w:lang w:eastAsia="en-AU"/>
            </w:rPr>
          </w:pPr>
          <w:hyperlink w:anchor="_Toc128132175" w:history="1">
            <w:r w:rsidR="00AA4DFB" w:rsidRPr="00B66685">
              <w:rPr>
                <w:rStyle w:val="Hyperlink"/>
                <w:noProof/>
              </w:rPr>
              <w:t>Registration timeline</w:t>
            </w:r>
            <w:r w:rsidR="00AA4DFB">
              <w:rPr>
                <w:noProof/>
                <w:webHidden/>
              </w:rPr>
              <w:tab/>
            </w:r>
            <w:r w:rsidR="00AA4DFB">
              <w:rPr>
                <w:noProof/>
                <w:webHidden/>
              </w:rPr>
              <w:fldChar w:fldCharType="begin"/>
            </w:r>
            <w:r w:rsidR="00AA4DFB">
              <w:rPr>
                <w:noProof/>
                <w:webHidden/>
              </w:rPr>
              <w:instrText xml:space="preserve"> PAGEREF _Toc128132175 \h </w:instrText>
            </w:r>
            <w:r w:rsidR="00AA4DFB">
              <w:rPr>
                <w:noProof/>
                <w:webHidden/>
              </w:rPr>
            </w:r>
            <w:r w:rsidR="00AA4DFB">
              <w:rPr>
                <w:noProof/>
                <w:webHidden/>
              </w:rPr>
              <w:fldChar w:fldCharType="separate"/>
            </w:r>
            <w:r w:rsidR="00AA4DFB">
              <w:rPr>
                <w:noProof/>
                <w:webHidden/>
              </w:rPr>
              <w:t>13</w:t>
            </w:r>
            <w:r w:rsidR="00AA4DFB">
              <w:rPr>
                <w:noProof/>
                <w:webHidden/>
              </w:rPr>
              <w:fldChar w:fldCharType="end"/>
            </w:r>
          </w:hyperlink>
        </w:p>
        <w:p w14:paraId="1C7941EA" w14:textId="202255EC" w:rsidR="00AA4DFB" w:rsidRDefault="00FE4B4B">
          <w:pPr>
            <w:pStyle w:val="TOC1"/>
            <w:rPr>
              <w:rFonts w:asciiTheme="minorHAnsi" w:eastAsiaTheme="minorEastAsia" w:hAnsiTheme="minorHAnsi" w:cstheme="minorBidi"/>
              <w:b w:val="0"/>
              <w:noProof/>
              <w:sz w:val="22"/>
              <w:lang w:eastAsia="en-AU"/>
            </w:rPr>
          </w:pPr>
          <w:hyperlink w:anchor="_Toc128132176" w:history="1">
            <w:r w:rsidR="00AA4DFB" w:rsidRPr="00B66685">
              <w:rPr>
                <w:rStyle w:val="Hyperlink"/>
                <w:noProof/>
              </w:rPr>
              <w:t>Submission overview and risk/benefit assessment</w:t>
            </w:r>
            <w:r w:rsidR="00AA4DFB">
              <w:rPr>
                <w:noProof/>
                <w:webHidden/>
              </w:rPr>
              <w:tab/>
            </w:r>
            <w:r w:rsidR="00AA4DFB">
              <w:rPr>
                <w:noProof/>
                <w:webHidden/>
              </w:rPr>
              <w:fldChar w:fldCharType="begin"/>
            </w:r>
            <w:r w:rsidR="00AA4DFB">
              <w:rPr>
                <w:noProof/>
                <w:webHidden/>
              </w:rPr>
              <w:instrText xml:space="preserve"> PAGEREF _Toc128132176 \h </w:instrText>
            </w:r>
            <w:r w:rsidR="00AA4DFB">
              <w:rPr>
                <w:noProof/>
                <w:webHidden/>
              </w:rPr>
            </w:r>
            <w:r w:rsidR="00AA4DFB">
              <w:rPr>
                <w:noProof/>
                <w:webHidden/>
              </w:rPr>
              <w:fldChar w:fldCharType="separate"/>
            </w:r>
            <w:r w:rsidR="00AA4DFB">
              <w:rPr>
                <w:noProof/>
                <w:webHidden/>
              </w:rPr>
              <w:t>13</w:t>
            </w:r>
            <w:r w:rsidR="00AA4DFB">
              <w:rPr>
                <w:noProof/>
                <w:webHidden/>
              </w:rPr>
              <w:fldChar w:fldCharType="end"/>
            </w:r>
          </w:hyperlink>
        </w:p>
        <w:p w14:paraId="72E27DF4" w14:textId="5C6B2D60" w:rsidR="00AA4DFB" w:rsidRDefault="00FE4B4B">
          <w:pPr>
            <w:pStyle w:val="TOC2"/>
            <w:rPr>
              <w:rFonts w:asciiTheme="minorHAnsi" w:eastAsiaTheme="minorEastAsia" w:hAnsiTheme="minorHAnsi" w:cstheme="minorBidi"/>
              <w:b w:val="0"/>
              <w:noProof/>
              <w:sz w:val="22"/>
              <w:lang w:eastAsia="en-AU"/>
            </w:rPr>
          </w:pPr>
          <w:hyperlink w:anchor="_Toc128132177" w:history="1">
            <w:r w:rsidR="00AA4DFB" w:rsidRPr="00B66685">
              <w:rPr>
                <w:rStyle w:val="Hyperlink"/>
                <w:noProof/>
              </w:rPr>
              <w:t>Quality</w:t>
            </w:r>
            <w:r w:rsidR="00AA4DFB">
              <w:rPr>
                <w:noProof/>
                <w:webHidden/>
              </w:rPr>
              <w:tab/>
            </w:r>
            <w:r w:rsidR="00AA4DFB">
              <w:rPr>
                <w:noProof/>
                <w:webHidden/>
              </w:rPr>
              <w:fldChar w:fldCharType="begin"/>
            </w:r>
            <w:r w:rsidR="00AA4DFB">
              <w:rPr>
                <w:noProof/>
                <w:webHidden/>
              </w:rPr>
              <w:instrText xml:space="preserve"> PAGEREF _Toc128132177 \h </w:instrText>
            </w:r>
            <w:r w:rsidR="00AA4DFB">
              <w:rPr>
                <w:noProof/>
                <w:webHidden/>
              </w:rPr>
            </w:r>
            <w:r w:rsidR="00AA4DFB">
              <w:rPr>
                <w:noProof/>
                <w:webHidden/>
              </w:rPr>
              <w:fldChar w:fldCharType="separate"/>
            </w:r>
            <w:r w:rsidR="00AA4DFB">
              <w:rPr>
                <w:noProof/>
                <w:webHidden/>
              </w:rPr>
              <w:t>14</w:t>
            </w:r>
            <w:r w:rsidR="00AA4DFB">
              <w:rPr>
                <w:noProof/>
                <w:webHidden/>
              </w:rPr>
              <w:fldChar w:fldCharType="end"/>
            </w:r>
          </w:hyperlink>
        </w:p>
        <w:p w14:paraId="7606F292" w14:textId="015D4E80" w:rsidR="00AA4DFB" w:rsidRDefault="00FE4B4B">
          <w:pPr>
            <w:pStyle w:val="TOC2"/>
            <w:rPr>
              <w:rFonts w:asciiTheme="minorHAnsi" w:eastAsiaTheme="minorEastAsia" w:hAnsiTheme="minorHAnsi" w:cstheme="minorBidi"/>
              <w:b w:val="0"/>
              <w:noProof/>
              <w:sz w:val="22"/>
              <w:lang w:eastAsia="en-AU"/>
            </w:rPr>
          </w:pPr>
          <w:hyperlink w:anchor="_Toc128132178" w:history="1">
            <w:r w:rsidR="00AA4DFB" w:rsidRPr="00B66685">
              <w:rPr>
                <w:rStyle w:val="Hyperlink"/>
                <w:noProof/>
              </w:rPr>
              <w:t>Nonclinical</w:t>
            </w:r>
            <w:r w:rsidR="00AA4DFB">
              <w:rPr>
                <w:noProof/>
                <w:webHidden/>
              </w:rPr>
              <w:tab/>
            </w:r>
            <w:r w:rsidR="00AA4DFB">
              <w:rPr>
                <w:noProof/>
                <w:webHidden/>
              </w:rPr>
              <w:fldChar w:fldCharType="begin"/>
            </w:r>
            <w:r w:rsidR="00AA4DFB">
              <w:rPr>
                <w:noProof/>
                <w:webHidden/>
              </w:rPr>
              <w:instrText xml:space="preserve"> PAGEREF _Toc128132178 \h </w:instrText>
            </w:r>
            <w:r w:rsidR="00AA4DFB">
              <w:rPr>
                <w:noProof/>
                <w:webHidden/>
              </w:rPr>
            </w:r>
            <w:r w:rsidR="00AA4DFB">
              <w:rPr>
                <w:noProof/>
                <w:webHidden/>
              </w:rPr>
              <w:fldChar w:fldCharType="separate"/>
            </w:r>
            <w:r w:rsidR="00AA4DFB">
              <w:rPr>
                <w:noProof/>
                <w:webHidden/>
              </w:rPr>
              <w:t>15</w:t>
            </w:r>
            <w:r w:rsidR="00AA4DFB">
              <w:rPr>
                <w:noProof/>
                <w:webHidden/>
              </w:rPr>
              <w:fldChar w:fldCharType="end"/>
            </w:r>
          </w:hyperlink>
        </w:p>
        <w:p w14:paraId="0394D1D7" w14:textId="5EF9D8CC" w:rsidR="00AA4DFB" w:rsidRDefault="00FE4B4B">
          <w:pPr>
            <w:pStyle w:val="TOC2"/>
            <w:rPr>
              <w:rFonts w:asciiTheme="minorHAnsi" w:eastAsiaTheme="minorEastAsia" w:hAnsiTheme="minorHAnsi" w:cstheme="minorBidi"/>
              <w:b w:val="0"/>
              <w:noProof/>
              <w:sz w:val="22"/>
              <w:lang w:eastAsia="en-AU"/>
            </w:rPr>
          </w:pPr>
          <w:hyperlink w:anchor="_Toc128132179" w:history="1">
            <w:r w:rsidR="00AA4DFB" w:rsidRPr="00B66685">
              <w:rPr>
                <w:rStyle w:val="Hyperlink"/>
                <w:noProof/>
              </w:rPr>
              <w:t>Clinical</w:t>
            </w:r>
            <w:r w:rsidR="00AA4DFB">
              <w:rPr>
                <w:noProof/>
                <w:webHidden/>
              </w:rPr>
              <w:tab/>
            </w:r>
            <w:r w:rsidR="00AA4DFB">
              <w:rPr>
                <w:noProof/>
                <w:webHidden/>
              </w:rPr>
              <w:fldChar w:fldCharType="begin"/>
            </w:r>
            <w:r w:rsidR="00AA4DFB">
              <w:rPr>
                <w:noProof/>
                <w:webHidden/>
              </w:rPr>
              <w:instrText xml:space="preserve"> PAGEREF _Toc128132179 \h </w:instrText>
            </w:r>
            <w:r w:rsidR="00AA4DFB">
              <w:rPr>
                <w:noProof/>
                <w:webHidden/>
              </w:rPr>
            </w:r>
            <w:r w:rsidR="00AA4DFB">
              <w:rPr>
                <w:noProof/>
                <w:webHidden/>
              </w:rPr>
              <w:fldChar w:fldCharType="separate"/>
            </w:r>
            <w:r w:rsidR="00AA4DFB">
              <w:rPr>
                <w:noProof/>
                <w:webHidden/>
              </w:rPr>
              <w:t>16</w:t>
            </w:r>
            <w:r w:rsidR="00AA4DFB">
              <w:rPr>
                <w:noProof/>
                <w:webHidden/>
              </w:rPr>
              <w:fldChar w:fldCharType="end"/>
            </w:r>
          </w:hyperlink>
        </w:p>
        <w:p w14:paraId="7F42CFE3" w14:textId="13B2D964" w:rsidR="00AA4DFB" w:rsidRDefault="00FE4B4B">
          <w:pPr>
            <w:pStyle w:val="TOC2"/>
            <w:rPr>
              <w:rFonts w:asciiTheme="minorHAnsi" w:eastAsiaTheme="minorEastAsia" w:hAnsiTheme="minorHAnsi" w:cstheme="minorBidi"/>
              <w:b w:val="0"/>
              <w:noProof/>
              <w:sz w:val="22"/>
              <w:lang w:eastAsia="en-AU"/>
            </w:rPr>
          </w:pPr>
          <w:hyperlink w:anchor="_Toc128132180" w:history="1">
            <w:r w:rsidR="00AA4DFB" w:rsidRPr="00B66685">
              <w:rPr>
                <w:rStyle w:val="Hyperlink"/>
                <w:noProof/>
                <w:lang w:eastAsia="en-AU"/>
              </w:rPr>
              <w:t>Risk management plan</w:t>
            </w:r>
            <w:r w:rsidR="00AA4DFB">
              <w:rPr>
                <w:noProof/>
                <w:webHidden/>
              </w:rPr>
              <w:tab/>
            </w:r>
            <w:r w:rsidR="00AA4DFB">
              <w:rPr>
                <w:noProof/>
                <w:webHidden/>
              </w:rPr>
              <w:fldChar w:fldCharType="begin"/>
            </w:r>
            <w:r w:rsidR="00AA4DFB">
              <w:rPr>
                <w:noProof/>
                <w:webHidden/>
              </w:rPr>
              <w:instrText xml:space="preserve"> PAGEREF _Toc128132180 \h </w:instrText>
            </w:r>
            <w:r w:rsidR="00AA4DFB">
              <w:rPr>
                <w:noProof/>
                <w:webHidden/>
              </w:rPr>
            </w:r>
            <w:r w:rsidR="00AA4DFB">
              <w:rPr>
                <w:noProof/>
                <w:webHidden/>
              </w:rPr>
              <w:fldChar w:fldCharType="separate"/>
            </w:r>
            <w:r w:rsidR="00AA4DFB">
              <w:rPr>
                <w:noProof/>
                <w:webHidden/>
              </w:rPr>
              <w:t>45</w:t>
            </w:r>
            <w:r w:rsidR="00AA4DFB">
              <w:rPr>
                <w:noProof/>
                <w:webHidden/>
              </w:rPr>
              <w:fldChar w:fldCharType="end"/>
            </w:r>
          </w:hyperlink>
        </w:p>
        <w:p w14:paraId="412E2CCE" w14:textId="7796DEEC" w:rsidR="00AA4DFB" w:rsidRDefault="00FE4B4B">
          <w:pPr>
            <w:pStyle w:val="TOC2"/>
            <w:rPr>
              <w:rFonts w:asciiTheme="minorHAnsi" w:eastAsiaTheme="minorEastAsia" w:hAnsiTheme="minorHAnsi" w:cstheme="minorBidi"/>
              <w:b w:val="0"/>
              <w:noProof/>
              <w:sz w:val="22"/>
              <w:lang w:eastAsia="en-AU"/>
            </w:rPr>
          </w:pPr>
          <w:hyperlink w:anchor="_Toc128132181" w:history="1">
            <w:r w:rsidR="00AA4DFB" w:rsidRPr="00B66685">
              <w:rPr>
                <w:rStyle w:val="Hyperlink"/>
                <w:noProof/>
              </w:rPr>
              <w:t>Risk-benefit analysis</w:t>
            </w:r>
            <w:r w:rsidR="00AA4DFB">
              <w:rPr>
                <w:noProof/>
                <w:webHidden/>
              </w:rPr>
              <w:tab/>
            </w:r>
            <w:r w:rsidR="00AA4DFB">
              <w:rPr>
                <w:noProof/>
                <w:webHidden/>
              </w:rPr>
              <w:fldChar w:fldCharType="begin"/>
            </w:r>
            <w:r w:rsidR="00AA4DFB">
              <w:rPr>
                <w:noProof/>
                <w:webHidden/>
              </w:rPr>
              <w:instrText xml:space="preserve"> PAGEREF _Toc128132181 \h </w:instrText>
            </w:r>
            <w:r w:rsidR="00AA4DFB">
              <w:rPr>
                <w:noProof/>
                <w:webHidden/>
              </w:rPr>
            </w:r>
            <w:r w:rsidR="00AA4DFB">
              <w:rPr>
                <w:noProof/>
                <w:webHidden/>
              </w:rPr>
              <w:fldChar w:fldCharType="separate"/>
            </w:r>
            <w:r w:rsidR="00AA4DFB">
              <w:rPr>
                <w:noProof/>
                <w:webHidden/>
              </w:rPr>
              <w:t>47</w:t>
            </w:r>
            <w:r w:rsidR="00AA4DFB">
              <w:rPr>
                <w:noProof/>
                <w:webHidden/>
              </w:rPr>
              <w:fldChar w:fldCharType="end"/>
            </w:r>
          </w:hyperlink>
        </w:p>
        <w:p w14:paraId="23799FB2" w14:textId="552E93A1" w:rsidR="00AA4DFB" w:rsidRDefault="00FE4B4B">
          <w:pPr>
            <w:pStyle w:val="TOC1"/>
            <w:rPr>
              <w:rFonts w:asciiTheme="minorHAnsi" w:eastAsiaTheme="minorEastAsia" w:hAnsiTheme="minorHAnsi" w:cstheme="minorBidi"/>
              <w:b w:val="0"/>
              <w:noProof/>
              <w:sz w:val="22"/>
              <w:lang w:eastAsia="en-AU"/>
            </w:rPr>
          </w:pPr>
          <w:hyperlink w:anchor="_Toc128132182" w:history="1">
            <w:r w:rsidR="00AA4DFB" w:rsidRPr="00B66685">
              <w:rPr>
                <w:rStyle w:val="Hyperlink"/>
                <w:noProof/>
              </w:rPr>
              <w:t>Outcome</w:t>
            </w:r>
            <w:r w:rsidR="00AA4DFB">
              <w:rPr>
                <w:noProof/>
                <w:webHidden/>
              </w:rPr>
              <w:tab/>
            </w:r>
            <w:r w:rsidR="00AA4DFB">
              <w:rPr>
                <w:noProof/>
                <w:webHidden/>
              </w:rPr>
              <w:fldChar w:fldCharType="begin"/>
            </w:r>
            <w:r w:rsidR="00AA4DFB">
              <w:rPr>
                <w:noProof/>
                <w:webHidden/>
              </w:rPr>
              <w:instrText xml:space="preserve"> PAGEREF _Toc128132182 \h </w:instrText>
            </w:r>
            <w:r w:rsidR="00AA4DFB">
              <w:rPr>
                <w:noProof/>
                <w:webHidden/>
              </w:rPr>
            </w:r>
            <w:r w:rsidR="00AA4DFB">
              <w:rPr>
                <w:noProof/>
                <w:webHidden/>
              </w:rPr>
              <w:fldChar w:fldCharType="separate"/>
            </w:r>
            <w:r w:rsidR="00AA4DFB">
              <w:rPr>
                <w:noProof/>
                <w:webHidden/>
              </w:rPr>
              <w:t>59</w:t>
            </w:r>
            <w:r w:rsidR="00AA4DFB">
              <w:rPr>
                <w:noProof/>
                <w:webHidden/>
              </w:rPr>
              <w:fldChar w:fldCharType="end"/>
            </w:r>
          </w:hyperlink>
        </w:p>
        <w:p w14:paraId="0BF046BC" w14:textId="3E924C2B" w:rsidR="00AA4DFB" w:rsidRDefault="00FE4B4B">
          <w:pPr>
            <w:pStyle w:val="TOC2"/>
            <w:rPr>
              <w:rFonts w:asciiTheme="minorHAnsi" w:eastAsiaTheme="minorEastAsia" w:hAnsiTheme="minorHAnsi" w:cstheme="minorBidi"/>
              <w:b w:val="0"/>
              <w:noProof/>
              <w:sz w:val="22"/>
              <w:lang w:eastAsia="en-AU"/>
            </w:rPr>
          </w:pPr>
          <w:hyperlink w:anchor="_Toc128132183" w:history="1">
            <w:r w:rsidR="00AA4DFB" w:rsidRPr="00B66685">
              <w:rPr>
                <w:rStyle w:val="Hyperlink"/>
                <w:noProof/>
              </w:rPr>
              <w:t>Specific conditions of registration applying to these goods</w:t>
            </w:r>
            <w:r w:rsidR="00AA4DFB">
              <w:rPr>
                <w:noProof/>
                <w:webHidden/>
              </w:rPr>
              <w:tab/>
            </w:r>
            <w:r w:rsidR="00AA4DFB">
              <w:rPr>
                <w:noProof/>
                <w:webHidden/>
              </w:rPr>
              <w:fldChar w:fldCharType="begin"/>
            </w:r>
            <w:r w:rsidR="00AA4DFB">
              <w:rPr>
                <w:noProof/>
                <w:webHidden/>
              </w:rPr>
              <w:instrText xml:space="preserve"> PAGEREF _Toc128132183 \h </w:instrText>
            </w:r>
            <w:r w:rsidR="00AA4DFB">
              <w:rPr>
                <w:noProof/>
                <w:webHidden/>
              </w:rPr>
            </w:r>
            <w:r w:rsidR="00AA4DFB">
              <w:rPr>
                <w:noProof/>
                <w:webHidden/>
              </w:rPr>
              <w:fldChar w:fldCharType="separate"/>
            </w:r>
            <w:r w:rsidR="00AA4DFB">
              <w:rPr>
                <w:noProof/>
                <w:webHidden/>
              </w:rPr>
              <w:t>59</w:t>
            </w:r>
            <w:r w:rsidR="00AA4DFB">
              <w:rPr>
                <w:noProof/>
                <w:webHidden/>
              </w:rPr>
              <w:fldChar w:fldCharType="end"/>
            </w:r>
          </w:hyperlink>
        </w:p>
        <w:p w14:paraId="1BD65053" w14:textId="02ABC485" w:rsidR="00AA4DFB" w:rsidRDefault="00FE4B4B">
          <w:pPr>
            <w:pStyle w:val="TOC1"/>
            <w:rPr>
              <w:rFonts w:asciiTheme="minorHAnsi" w:eastAsiaTheme="minorEastAsia" w:hAnsiTheme="minorHAnsi" w:cstheme="minorBidi"/>
              <w:b w:val="0"/>
              <w:noProof/>
              <w:sz w:val="22"/>
              <w:lang w:eastAsia="en-AU"/>
            </w:rPr>
          </w:pPr>
          <w:hyperlink w:anchor="_Toc128132184" w:history="1">
            <w:r w:rsidR="00AA4DFB" w:rsidRPr="00B66685">
              <w:rPr>
                <w:rStyle w:val="Hyperlink"/>
                <w:noProof/>
              </w:rPr>
              <w:t>Attachment 1. Product Information</w:t>
            </w:r>
            <w:r w:rsidR="00AA4DFB">
              <w:rPr>
                <w:noProof/>
                <w:webHidden/>
              </w:rPr>
              <w:tab/>
            </w:r>
            <w:r w:rsidR="00AA4DFB">
              <w:rPr>
                <w:noProof/>
                <w:webHidden/>
              </w:rPr>
              <w:fldChar w:fldCharType="begin"/>
            </w:r>
            <w:r w:rsidR="00AA4DFB">
              <w:rPr>
                <w:noProof/>
                <w:webHidden/>
              </w:rPr>
              <w:instrText xml:space="preserve"> PAGEREF _Toc128132184 \h </w:instrText>
            </w:r>
            <w:r w:rsidR="00AA4DFB">
              <w:rPr>
                <w:noProof/>
                <w:webHidden/>
              </w:rPr>
            </w:r>
            <w:r w:rsidR="00AA4DFB">
              <w:rPr>
                <w:noProof/>
                <w:webHidden/>
              </w:rPr>
              <w:fldChar w:fldCharType="separate"/>
            </w:r>
            <w:r w:rsidR="00AA4DFB">
              <w:rPr>
                <w:noProof/>
                <w:webHidden/>
              </w:rPr>
              <w:t>62</w:t>
            </w:r>
            <w:r w:rsidR="00AA4DFB">
              <w:rPr>
                <w:noProof/>
                <w:webHidden/>
              </w:rPr>
              <w:fldChar w:fldCharType="end"/>
            </w:r>
          </w:hyperlink>
        </w:p>
        <w:p w14:paraId="5BAF275A" w14:textId="07D43235" w:rsidR="003A7F6C" w:rsidRPr="00B811C6" w:rsidRDefault="00C525A2" w:rsidP="00EB36D6">
          <w:r>
            <w:fldChar w:fldCharType="end"/>
          </w:r>
        </w:p>
      </w:sdtContent>
    </w:sdt>
    <w:bookmarkStart w:id="2" w:name="_Toc314842482" w:displacedByCustomXml="prev"/>
    <w:p w14:paraId="6985A114" w14:textId="77777777" w:rsidR="00FD119B" w:rsidRDefault="00FD119B">
      <w:pPr>
        <w:spacing w:before="0" w:after="200" w:line="0" w:lineRule="auto"/>
      </w:pPr>
      <w:r>
        <w:br w:type="page"/>
      </w:r>
    </w:p>
    <w:p w14:paraId="46815FFF" w14:textId="77777777" w:rsidR="00AF2313" w:rsidRDefault="00AF2313" w:rsidP="00AF2313">
      <w:pPr>
        <w:pStyle w:val="Heading2"/>
      </w:pPr>
      <w:bookmarkStart w:id="3" w:name="_Toc98931917"/>
      <w:bookmarkStart w:id="4" w:name="_Toc128132169"/>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CB595E" w14:paraId="6262B700" w14:textId="77777777" w:rsidTr="00963637">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578DF457" w14:textId="77777777" w:rsidR="00CB595E" w:rsidRDefault="00CB595E" w:rsidP="00963637">
            <w:pPr>
              <w:rPr>
                <w:color w:val="FFFFFF"/>
              </w:rPr>
            </w:pPr>
            <w:r>
              <w:t>Abbreviation</w:t>
            </w:r>
          </w:p>
        </w:tc>
        <w:tc>
          <w:tcPr>
            <w:tcW w:w="3282" w:type="pct"/>
            <w:hideMark/>
          </w:tcPr>
          <w:p w14:paraId="7BE38498" w14:textId="77777777" w:rsidR="00CB595E" w:rsidRDefault="00CB595E" w:rsidP="00963637">
            <w:r>
              <w:t>Meaning</w:t>
            </w:r>
          </w:p>
        </w:tc>
      </w:tr>
      <w:tr w:rsidR="00CB595E" w14:paraId="2BF4C8C0"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013578A" w14:textId="77777777" w:rsidR="00CB595E" w:rsidRDefault="00CB595E" w:rsidP="00963637">
            <w:r>
              <w:t>ACV</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1120920" w14:textId="77777777" w:rsidR="00CB595E" w:rsidRDefault="00CB595E" w:rsidP="00963637">
            <w:r>
              <w:t>Advisory Committee on Vaccines</w:t>
            </w:r>
          </w:p>
        </w:tc>
      </w:tr>
      <w:tr w:rsidR="00CB595E" w14:paraId="10FB2B13"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68C630C0" w14:textId="77777777" w:rsidR="00CB595E" w:rsidRDefault="00CB595E" w:rsidP="00963637">
            <w:pPr>
              <w:rPr>
                <w:color w:val="000000"/>
              </w:rPr>
            </w:pPr>
            <w:r>
              <w:rPr>
                <w:color w:val="000000"/>
              </w:rPr>
              <w:t>AE</w:t>
            </w:r>
          </w:p>
        </w:tc>
        <w:tc>
          <w:tcPr>
            <w:tcW w:w="3987" w:type="pct"/>
            <w:gridSpan w:val="2"/>
            <w:tcBorders>
              <w:top w:val="single" w:sz="8" w:space="0" w:color="002C47"/>
              <w:left w:val="single" w:sz="8" w:space="0" w:color="002C47"/>
              <w:bottom w:val="single" w:sz="8" w:space="0" w:color="002C47"/>
              <w:right w:val="single" w:sz="8" w:space="0" w:color="002C47"/>
            </w:tcBorders>
          </w:tcPr>
          <w:p w14:paraId="16493176" w14:textId="77777777" w:rsidR="00CB595E" w:rsidRDefault="00CB595E" w:rsidP="00963637">
            <w:pPr>
              <w:rPr>
                <w:color w:val="000000"/>
              </w:rPr>
            </w:pPr>
            <w:r>
              <w:rPr>
                <w:color w:val="000000"/>
              </w:rPr>
              <w:t>Adverse event</w:t>
            </w:r>
          </w:p>
        </w:tc>
      </w:tr>
      <w:tr w:rsidR="00CB595E" w14:paraId="519C0CC3"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0EB03C04" w14:textId="77777777" w:rsidR="00CB595E" w:rsidRDefault="00CB595E" w:rsidP="00963637">
            <w:pPr>
              <w:rPr>
                <w:color w:val="000000"/>
              </w:rPr>
            </w:pPr>
            <w:r>
              <w:rPr>
                <w:color w:val="000000"/>
              </w:rPr>
              <w:t>AESI</w:t>
            </w:r>
          </w:p>
        </w:tc>
        <w:tc>
          <w:tcPr>
            <w:tcW w:w="3987" w:type="pct"/>
            <w:gridSpan w:val="2"/>
            <w:tcBorders>
              <w:top w:val="single" w:sz="8" w:space="0" w:color="002C47"/>
              <w:left w:val="single" w:sz="8" w:space="0" w:color="002C47"/>
              <w:bottom w:val="single" w:sz="8" w:space="0" w:color="002C47"/>
              <w:right w:val="single" w:sz="8" w:space="0" w:color="002C47"/>
            </w:tcBorders>
          </w:tcPr>
          <w:p w14:paraId="19FB1D34" w14:textId="77777777" w:rsidR="00CB595E" w:rsidRDefault="00CB595E" w:rsidP="00963637">
            <w:pPr>
              <w:rPr>
                <w:color w:val="000000"/>
              </w:rPr>
            </w:pPr>
            <w:r>
              <w:t>A</w:t>
            </w:r>
            <w:r w:rsidRPr="001C585E">
              <w:t>dverse event of special interest</w:t>
            </w:r>
          </w:p>
        </w:tc>
      </w:tr>
      <w:tr w:rsidR="00CB595E" w14:paraId="3BEB5F09"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6AA26982" w14:textId="77777777" w:rsidR="00CB595E" w:rsidRDefault="00CB595E" w:rsidP="00963637">
            <w:pPr>
              <w:rPr>
                <w:color w:val="000000"/>
              </w:rPr>
            </w:pPr>
            <w:proofErr w:type="spellStart"/>
            <w:r>
              <w:rPr>
                <w:color w:val="000000"/>
              </w:rPr>
              <w:t>aHR</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73B683CE" w14:textId="77777777" w:rsidR="00CB595E" w:rsidRDefault="00CB595E" w:rsidP="00963637">
            <w:r>
              <w:t>Adjusted hazard ratios</w:t>
            </w:r>
          </w:p>
        </w:tc>
      </w:tr>
      <w:tr w:rsidR="00CB595E" w14:paraId="43B82B8C"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hideMark/>
          </w:tcPr>
          <w:p w14:paraId="4FA9B702" w14:textId="77777777" w:rsidR="00CB595E" w:rsidRDefault="00CB595E" w:rsidP="00963637">
            <w:r>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CDEA04B" w14:textId="77777777" w:rsidR="00CB595E" w:rsidRDefault="00CB595E" w:rsidP="00963637">
            <w:r>
              <w:t>Australian Register of Therapeutic Goods</w:t>
            </w:r>
          </w:p>
        </w:tc>
      </w:tr>
      <w:tr w:rsidR="00CB595E" w14:paraId="07093FCF"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B6B6C95" w14:textId="77777777" w:rsidR="00CB595E" w:rsidRDefault="00CB595E" w:rsidP="00963637">
            <w:r>
              <w:t>ASA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33157FC" w14:textId="77777777" w:rsidR="00CB595E" w:rsidRDefault="00CB595E" w:rsidP="00963637">
            <w:r>
              <w:t>Australia specific annex</w:t>
            </w:r>
          </w:p>
        </w:tc>
      </w:tr>
      <w:tr w:rsidR="00CB595E" w14:paraId="1184B19C"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08E192D6" w14:textId="77777777" w:rsidR="00CB595E" w:rsidRDefault="00CB595E" w:rsidP="00963637">
            <w:pPr>
              <w:rPr>
                <w:color w:val="000000"/>
              </w:rPr>
            </w:pPr>
            <w:r>
              <w:rPr>
                <w:color w:val="000000"/>
              </w:rPr>
              <w:t>CI</w:t>
            </w:r>
          </w:p>
        </w:tc>
        <w:tc>
          <w:tcPr>
            <w:tcW w:w="3987" w:type="pct"/>
            <w:gridSpan w:val="2"/>
            <w:tcBorders>
              <w:top w:val="single" w:sz="8" w:space="0" w:color="002C47"/>
              <w:left w:val="single" w:sz="8" w:space="0" w:color="002C47"/>
              <w:bottom w:val="single" w:sz="8" w:space="0" w:color="002C47"/>
              <w:right w:val="single" w:sz="8" w:space="0" w:color="002C47"/>
            </w:tcBorders>
          </w:tcPr>
          <w:p w14:paraId="50CADCC7" w14:textId="77777777" w:rsidR="00CB595E" w:rsidRDefault="00CB595E" w:rsidP="00963637">
            <w:pPr>
              <w:rPr>
                <w:color w:val="000000"/>
              </w:rPr>
            </w:pPr>
            <w:r>
              <w:rPr>
                <w:color w:val="000000"/>
              </w:rPr>
              <w:t>Confidence interval</w:t>
            </w:r>
          </w:p>
        </w:tc>
      </w:tr>
      <w:tr w:rsidR="00CB595E" w14:paraId="21FF4935"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2A9E760E" w14:textId="77777777" w:rsidR="00CB595E" w:rsidRDefault="00CB595E" w:rsidP="00963637">
            <w:pPr>
              <w:rPr>
                <w:color w:val="000000"/>
              </w:rPr>
            </w:pPr>
            <w:r>
              <w:rPr>
                <w:color w:val="000000"/>
              </w:rPr>
              <w:t>CMI</w:t>
            </w:r>
          </w:p>
        </w:tc>
        <w:tc>
          <w:tcPr>
            <w:tcW w:w="3987" w:type="pct"/>
            <w:gridSpan w:val="2"/>
            <w:tcBorders>
              <w:top w:val="single" w:sz="8" w:space="0" w:color="002C47"/>
              <w:left w:val="single" w:sz="8" w:space="0" w:color="002C47"/>
              <w:bottom w:val="single" w:sz="8" w:space="0" w:color="002C47"/>
              <w:right w:val="single" w:sz="8" w:space="0" w:color="002C47"/>
            </w:tcBorders>
          </w:tcPr>
          <w:p w14:paraId="1C23BC66" w14:textId="77777777" w:rsidR="00CB595E" w:rsidRDefault="00CB595E" w:rsidP="00963637">
            <w:r>
              <w:t>Consume Medicines Information</w:t>
            </w:r>
          </w:p>
        </w:tc>
      </w:tr>
      <w:tr w:rsidR="00CB595E" w14:paraId="369AB815"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59A839EA" w14:textId="77777777" w:rsidR="00CB595E" w:rsidRDefault="00CB595E" w:rsidP="00963637">
            <w:pPr>
              <w:rPr>
                <w:color w:val="000000"/>
              </w:rPr>
            </w:pPr>
            <w:r>
              <w:rPr>
                <w:color w:val="000000"/>
              </w:rPr>
              <w:t>COVID-19</w:t>
            </w:r>
          </w:p>
        </w:tc>
        <w:tc>
          <w:tcPr>
            <w:tcW w:w="3987" w:type="pct"/>
            <w:gridSpan w:val="2"/>
            <w:tcBorders>
              <w:top w:val="single" w:sz="8" w:space="0" w:color="002C47"/>
              <w:left w:val="single" w:sz="8" w:space="0" w:color="002C47"/>
              <w:bottom w:val="single" w:sz="8" w:space="0" w:color="002C47"/>
              <w:right w:val="single" w:sz="8" w:space="0" w:color="002C47"/>
            </w:tcBorders>
          </w:tcPr>
          <w:p w14:paraId="25C2A0AC" w14:textId="77777777" w:rsidR="00CB595E" w:rsidRDefault="00CB595E" w:rsidP="00963637">
            <w:pPr>
              <w:rPr>
                <w:color w:val="000000"/>
              </w:rPr>
            </w:pPr>
            <w:r>
              <w:rPr>
                <w:color w:val="000000"/>
              </w:rPr>
              <w:t>C</w:t>
            </w:r>
            <w:r w:rsidRPr="00CB60CC">
              <w:rPr>
                <w:color w:val="000000"/>
              </w:rPr>
              <w:t>oronavirus disease 2019</w:t>
            </w:r>
          </w:p>
        </w:tc>
      </w:tr>
      <w:tr w:rsidR="00CB595E" w14:paraId="4B125EEB"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894D00C" w14:textId="77777777" w:rsidR="00CB595E" w:rsidRDefault="00CB595E" w:rsidP="00963637">
            <w:r>
              <w:t>DLP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FFE5512" w14:textId="77777777" w:rsidR="00CB595E" w:rsidRDefault="00CB595E" w:rsidP="00963637">
            <w:r>
              <w:t>Data lock point</w:t>
            </w:r>
          </w:p>
        </w:tc>
      </w:tr>
      <w:tr w:rsidR="00CB595E" w14:paraId="6967AF5C"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1AD02CDF" w14:textId="77777777" w:rsidR="00CB595E" w:rsidRDefault="00CB595E" w:rsidP="00963637">
            <w:pPr>
              <w:rPr>
                <w:color w:val="000000"/>
              </w:rPr>
            </w:pPr>
            <w:r>
              <w:rPr>
                <w:color w:val="000000"/>
              </w:rPr>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3F563623" w14:textId="5BFBDE2B" w:rsidR="00CB595E" w:rsidRDefault="00CB595E" w:rsidP="00963637">
            <w:pPr>
              <w:rPr>
                <w:color w:val="000000"/>
              </w:rPr>
            </w:pPr>
            <w:r>
              <w:t>European Medicine Agency</w:t>
            </w:r>
            <w:r w:rsidR="00963637">
              <w:t xml:space="preserve"> (European Union)</w:t>
            </w:r>
          </w:p>
        </w:tc>
      </w:tr>
      <w:tr w:rsidR="00CB595E" w14:paraId="4E3EA8E8"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49BF43AC" w14:textId="77777777" w:rsidR="00CB595E" w:rsidRDefault="00CB595E" w:rsidP="00963637">
            <w:pPr>
              <w:rPr>
                <w:color w:val="000000"/>
              </w:rPr>
            </w:pPr>
            <w:r>
              <w:rPr>
                <w:color w:val="000000"/>
              </w:rPr>
              <w:t>EU</w:t>
            </w:r>
          </w:p>
        </w:tc>
        <w:tc>
          <w:tcPr>
            <w:tcW w:w="3987" w:type="pct"/>
            <w:gridSpan w:val="2"/>
            <w:tcBorders>
              <w:top w:val="single" w:sz="8" w:space="0" w:color="002C47"/>
              <w:left w:val="single" w:sz="8" w:space="0" w:color="002C47"/>
              <w:bottom w:val="single" w:sz="8" w:space="0" w:color="002C47"/>
              <w:right w:val="single" w:sz="8" w:space="0" w:color="002C47"/>
            </w:tcBorders>
          </w:tcPr>
          <w:p w14:paraId="499402DD" w14:textId="77777777" w:rsidR="00CB595E" w:rsidRDefault="00CB595E" w:rsidP="00963637">
            <w:pPr>
              <w:rPr>
                <w:color w:val="000000"/>
              </w:rPr>
            </w:pPr>
            <w:r>
              <w:rPr>
                <w:color w:val="000000"/>
              </w:rPr>
              <w:t>European Union</w:t>
            </w:r>
          </w:p>
        </w:tc>
      </w:tr>
      <w:tr w:rsidR="00CB595E" w14:paraId="13452D4A"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54E2B734" w14:textId="77777777" w:rsidR="00CB595E" w:rsidRDefault="00CB595E" w:rsidP="00963637">
            <w:pPr>
              <w:rPr>
                <w:color w:val="000000"/>
              </w:rPr>
            </w:pPr>
            <w:r>
              <w:rPr>
                <w:color w:val="000000"/>
              </w:rPr>
              <w:t>EUA</w:t>
            </w:r>
          </w:p>
        </w:tc>
        <w:tc>
          <w:tcPr>
            <w:tcW w:w="3987" w:type="pct"/>
            <w:gridSpan w:val="2"/>
            <w:tcBorders>
              <w:top w:val="single" w:sz="8" w:space="0" w:color="002C47"/>
              <w:left w:val="single" w:sz="8" w:space="0" w:color="002C47"/>
              <w:bottom w:val="single" w:sz="8" w:space="0" w:color="002C47"/>
              <w:right w:val="single" w:sz="8" w:space="0" w:color="002C47"/>
            </w:tcBorders>
          </w:tcPr>
          <w:p w14:paraId="189B2773" w14:textId="2E582FD6" w:rsidR="00CB595E" w:rsidRDefault="00CB595E" w:rsidP="00963637">
            <w:pPr>
              <w:rPr>
                <w:color w:val="000000"/>
              </w:rPr>
            </w:pPr>
            <w:r>
              <w:t>Emergency Use Authori</w:t>
            </w:r>
            <w:r w:rsidR="00963637">
              <w:t>z</w:t>
            </w:r>
            <w:r>
              <w:t>ation</w:t>
            </w:r>
            <w:r w:rsidR="00963637">
              <w:t xml:space="preserve"> (Food and Drug Administration, United States of America)</w:t>
            </w:r>
          </w:p>
        </w:tc>
      </w:tr>
      <w:tr w:rsidR="00CB595E" w14:paraId="28541A60"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5FE7206F" w14:textId="77777777" w:rsidR="00CB595E" w:rsidRDefault="00CB595E" w:rsidP="00963637">
            <w:pPr>
              <w:rPr>
                <w:color w:val="000000"/>
              </w:rPr>
            </w:pPr>
            <w:r>
              <w:rPr>
                <w:color w:val="000000"/>
              </w:rPr>
              <w:t>GMC</w:t>
            </w:r>
          </w:p>
        </w:tc>
        <w:tc>
          <w:tcPr>
            <w:tcW w:w="3987" w:type="pct"/>
            <w:gridSpan w:val="2"/>
            <w:tcBorders>
              <w:top w:val="single" w:sz="8" w:space="0" w:color="002C47"/>
              <w:left w:val="single" w:sz="8" w:space="0" w:color="002C47"/>
              <w:bottom w:val="single" w:sz="8" w:space="0" w:color="002C47"/>
              <w:right w:val="single" w:sz="8" w:space="0" w:color="002C47"/>
            </w:tcBorders>
          </w:tcPr>
          <w:p w14:paraId="40D43723" w14:textId="77777777" w:rsidR="00CB595E" w:rsidRDefault="00CB595E" w:rsidP="00963637">
            <w:pPr>
              <w:rPr>
                <w:color w:val="000000"/>
              </w:rPr>
            </w:pPr>
            <w:r>
              <w:rPr>
                <w:color w:val="000000"/>
              </w:rPr>
              <w:t>G</w:t>
            </w:r>
            <w:r w:rsidRPr="004C1E6F">
              <w:rPr>
                <w:color w:val="000000"/>
              </w:rPr>
              <w:t>eometric mean concentration</w:t>
            </w:r>
          </w:p>
        </w:tc>
      </w:tr>
      <w:tr w:rsidR="00CB595E" w14:paraId="41430FD3"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3D84947D" w14:textId="77777777" w:rsidR="00CB595E" w:rsidRDefault="00CB595E" w:rsidP="00963637">
            <w:pPr>
              <w:rPr>
                <w:color w:val="000000"/>
              </w:rPr>
            </w:pPr>
            <w:r>
              <w:rPr>
                <w:color w:val="000000"/>
              </w:rPr>
              <w:t>GMFR</w:t>
            </w:r>
          </w:p>
        </w:tc>
        <w:tc>
          <w:tcPr>
            <w:tcW w:w="3987" w:type="pct"/>
            <w:gridSpan w:val="2"/>
            <w:tcBorders>
              <w:top w:val="single" w:sz="8" w:space="0" w:color="002C47"/>
              <w:left w:val="single" w:sz="8" w:space="0" w:color="002C47"/>
              <w:bottom w:val="single" w:sz="8" w:space="0" w:color="002C47"/>
              <w:right w:val="single" w:sz="8" w:space="0" w:color="002C47"/>
            </w:tcBorders>
          </w:tcPr>
          <w:p w14:paraId="2241616B" w14:textId="77777777" w:rsidR="00CB595E" w:rsidRDefault="00CB595E" w:rsidP="00963637">
            <w:pPr>
              <w:rPr>
                <w:color w:val="000000"/>
              </w:rPr>
            </w:pPr>
            <w:r>
              <w:t>G</w:t>
            </w:r>
            <w:r w:rsidRPr="001C585E">
              <w:t>eometric mean fold rise</w:t>
            </w:r>
          </w:p>
        </w:tc>
      </w:tr>
      <w:tr w:rsidR="00CB595E" w14:paraId="7D129F2A"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44C2F635" w14:textId="77777777" w:rsidR="00CB595E" w:rsidRDefault="00CB595E" w:rsidP="00963637">
            <w:pPr>
              <w:rPr>
                <w:color w:val="000000"/>
              </w:rPr>
            </w:pPr>
            <w:r>
              <w:rPr>
                <w:color w:val="000000"/>
              </w:rPr>
              <w:t>GMT</w:t>
            </w:r>
          </w:p>
        </w:tc>
        <w:tc>
          <w:tcPr>
            <w:tcW w:w="3987" w:type="pct"/>
            <w:gridSpan w:val="2"/>
            <w:tcBorders>
              <w:top w:val="single" w:sz="8" w:space="0" w:color="002C47"/>
              <w:left w:val="single" w:sz="8" w:space="0" w:color="002C47"/>
              <w:bottom w:val="single" w:sz="8" w:space="0" w:color="002C47"/>
              <w:right w:val="single" w:sz="8" w:space="0" w:color="002C47"/>
            </w:tcBorders>
          </w:tcPr>
          <w:p w14:paraId="066C1FF5" w14:textId="77777777" w:rsidR="00CB595E" w:rsidRDefault="00CB595E" w:rsidP="00963637">
            <w:pPr>
              <w:rPr>
                <w:color w:val="000000"/>
              </w:rPr>
            </w:pPr>
            <w:r>
              <w:t>G</w:t>
            </w:r>
            <w:r w:rsidRPr="001C585E">
              <w:t>eometric mean tit</w:t>
            </w:r>
            <w:r>
              <w:t>re</w:t>
            </w:r>
          </w:p>
        </w:tc>
      </w:tr>
      <w:tr w:rsidR="00CB595E" w14:paraId="2986C025"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4E71120E" w14:textId="77777777" w:rsidR="00CB595E" w:rsidRDefault="00CB595E" w:rsidP="00963637">
            <w:pPr>
              <w:rPr>
                <w:color w:val="000000"/>
              </w:rPr>
            </w:pPr>
            <w:r>
              <w:rPr>
                <w:color w:val="000000"/>
              </w:rPr>
              <w:t>ICU</w:t>
            </w:r>
          </w:p>
        </w:tc>
        <w:tc>
          <w:tcPr>
            <w:tcW w:w="3987" w:type="pct"/>
            <w:gridSpan w:val="2"/>
            <w:tcBorders>
              <w:top w:val="single" w:sz="8" w:space="0" w:color="002C47"/>
              <w:left w:val="single" w:sz="8" w:space="0" w:color="002C47"/>
              <w:bottom w:val="single" w:sz="8" w:space="0" w:color="002C47"/>
              <w:right w:val="single" w:sz="8" w:space="0" w:color="002C47"/>
            </w:tcBorders>
          </w:tcPr>
          <w:p w14:paraId="62CE9068" w14:textId="77777777" w:rsidR="00CB595E" w:rsidRDefault="00CB595E" w:rsidP="00963637">
            <w:pPr>
              <w:rPr>
                <w:color w:val="000000"/>
              </w:rPr>
            </w:pPr>
            <w:r>
              <w:t>Intensive care unit</w:t>
            </w:r>
          </w:p>
        </w:tc>
      </w:tr>
      <w:tr w:rsidR="00CB595E" w14:paraId="66A6631F"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31862788" w14:textId="77777777" w:rsidR="00CB595E" w:rsidRDefault="00CB595E" w:rsidP="00963637">
            <w:pPr>
              <w:rPr>
                <w:color w:val="000000"/>
              </w:rPr>
            </w:pPr>
            <w:r>
              <w:rPr>
                <w:color w:val="000000"/>
              </w:rPr>
              <w:t>MAAE</w:t>
            </w:r>
          </w:p>
        </w:tc>
        <w:tc>
          <w:tcPr>
            <w:tcW w:w="3987" w:type="pct"/>
            <w:gridSpan w:val="2"/>
            <w:tcBorders>
              <w:top w:val="single" w:sz="8" w:space="0" w:color="002C47"/>
              <w:left w:val="single" w:sz="8" w:space="0" w:color="002C47"/>
              <w:bottom w:val="single" w:sz="8" w:space="0" w:color="002C47"/>
              <w:right w:val="single" w:sz="8" w:space="0" w:color="002C47"/>
            </w:tcBorders>
          </w:tcPr>
          <w:p w14:paraId="02A748F4" w14:textId="77777777" w:rsidR="00CB595E" w:rsidRDefault="00CB595E" w:rsidP="00963637">
            <w:pPr>
              <w:rPr>
                <w:color w:val="000000"/>
              </w:rPr>
            </w:pPr>
            <w:r>
              <w:t>M</w:t>
            </w:r>
            <w:r w:rsidRPr="001C585E">
              <w:t>edically attended adverse event</w:t>
            </w:r>
          </w:p>
        </w:tc>
      </w:tr>
      <w:tr w:rsidR="00CB595E" w14:paraId="584BA826"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18359C18" w14:textId="77777777" w:rsidR="00CB595E" w:rsidRDefault="00CB595E" w:rsidP="00963637">
            <w:pPr>
              <w:rPr>
                <w:color w:val="000000"/>
              </w:rPr>
            </w:pPr>
            <w:r>
              <w:rPr>
                <w:color w:val="000000"/>
              </w:rPr>
              <w:t>MAH</w:t>
            </w:r>
          </w:p>
        </w:tc>
        <w:tc>
          <w:tcPr>
            <w:tcW w:w="3987" w:type="pct"/>
            <w:gridSpan w:val="2"/>
            <w:tcBorders>
              <w:top w:val="single" w:sz="8" w:space="0" w:color="002C47"/>
              <w:left w:val="single" w:sz="8" w:space="0" w:color="002C47"/>
              <w:bottom w:val="single" w:sz="8" w:space="0" w:color="002C47"/>
              <w:right w:val="single" w:sz="8" w:space="0" w:color="002C47"/>
            </w:tcBorders>
          </w:tcPr>
          <w:p w14:paraId="5BB20A8D" w14:textId="77777777" w:rsidR="00CB595E" w:rsidRDefault="00CB595E" w:rsidP="00963637">
            <w:pPr>
              <w:rPr>
                <w:color w:val="000000"/>
              </w:rPr>
            </w:pPr>
            <w:r>
              <w:t>M</w:t>
            </w:r>
            <w:r w:rsidRPr="000D54F3">
              <w:t>arketing authorisation holder</w:t>
            </w:r>
          </w:p>
        </w:tc>
      </w:tr>
      <w:tr w:rsidR="00CB595E" w14:paraId="3EAA2AEC"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697EAD58" w14:textId="77777777" w:rsidR="00CB595E" w:rsidRDefault="00CB595E" w:rsidP="00963637">
            <w:pPr>
              <w:rPr>
                <w:color w:val="000000"/>
              </w:rPr>
            </w:pPr>
            <w:r>
              <w:rPr>
                <w:color w:val="000000"/>
              </w:rPr>
              <w:t>MedDRA</w:t>
            </w:r>
          </w:p>
        </w:tc>
        <w:tc>
          <w:tcPr>
            <w:tcW w:w="3987" w:type="pct"/>
            <w:gridSpan w:val="2"/>
            <w:tcBorders>
              <w:top w:val="single" w:sz="8" w:space="0" w:color="002C47"/>
              <w:left w:val="single" w:sz="8" w:space="0" w:color="002C47"/>
              <w:bottom w:val="single" w:sz="8" w:space="0" w:color="002C47"/>
              <w:right w:val="single" w:sz="8" w:space="0" w:color="002C47"/>
            </w:tcBorders>
          </w:tcPr>
          <w:p w14:paraId="3BCCE641" w14:textId="77777777" w:rsidR="00CB595E" w:rsidRDefault="00CB595E" w:rsidP="00963637">
            <w:pPr>
              <w:tabs>
                <w:tab w:val="left" w:pos="616"/>
              </w:tabs>
              <w:rPr>
                <w:color w:val="000000"/>
              </w:rPr>
            </w:pPr>
            <w:r>
              <w:t>Medical Dictionary for Regulatory Activities</w:t>
            </w:r>
          </w:p>
        </w:tc>
      </w:tr>
      <w:tr w:rsidR="00CB595E" w14:paraId="3C2175AB"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213D7B60" w14:textId="77777777" w:rsidR="00CB595E" w:rsidRDefault="00CB595E" w:rsidP="00963637">
            <w:pPr>
              <w:rPr>
                <w:color w:val="000000"/>
              </w:rPr>
            </w:pPr>
            <w:proofErr w:type="spellStart"/>
            <w:r>
              <w:rPr>
                <w:color w:val="000000"/>
              </w:rPr>
              <w:t>nAb</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4EB2CAF8" w14:textId="77777777" w:rsidR="00CB595E" w:rsidRDefault="00CB595E" w:rsidP="00963637">
            <w:pPr>
              <w:rPr>
                <w:color w:val="000000"/>
              </w:rPr>
            </w:pPr>
            <w:r>
              <w:t>N</w:t>
            </w:r>
            <w:r w:rsidRPr="009E18F1">
              <w:t>eutralising antibodies</w:t>
            </w:r>
          </w:p>
        </w:tc>
      </w:tr>
      <w:tr w:rsidR="00CB595E" w14:paraId="070DBBDA"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6AABF856" w14:textId="77777777" w:rsidR="00CB595E" w:rsidRDefault="00CB595E" w:rsidP="00963637">
            <w:pPr>
              <w:rPr>
                <w:color w:val="000000"/>
              </w:rPr>
            </w:pPr>
            <w:r>
              <w:rPr>
                <w:color w:val="000000"/>
              </w:rPr>
              <w:t>PI</w:t>
            </w:r>
          </w:p>
        </w:tc>
        <w:tc>
          <w:tcPr>
            <w:tcW w:w="3987" w:type="pct"/>
            <w:gridSpan w:val="2"/>
            <w:tcBorders>
              <w:top w:val="single" w:sz="8" w:space="0" w:color="002C47"/>
              <w:left w:val="single" w:sz="8" w:space="0" w:color="002C47"/>
              <w:bottom w:val="single" w:sz="8" w:space="0" w:color="002C47"/>
              <w:right w:val="single" w:sz="8" w:space="0" w:color="002C47"/>
            </w:tcBorders>
          </w:tcPr>
          <w:p w14:paraId="6262E590" w14:textId="77777777" w:rsidR="00CB595E" w:rsidRDefault="00CB595E" w:rsidP="00963637">
            <w:r>
              <w:t>Product Information</w:t>
            </w:r>
          </w:p>
        </w:tc>
      </w:tr>
      <w:tr w:rsidR="00CB595E" w14:paraId="0E18CD06"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34EC5B4F" w14:textId="77777777" w:rsidR="00CB595E" w:rsidRDefault="00CB595E" w:rsidP="00963637">
            <w:pPr>
              <w:rPr>
                <w:color w:val="000000"/>
              </w:rPr>
            </w:pPr>
            <w:r>
              <w:rPr>
                <w:color w:val="000000"/>
              </w:rPr>
              <w:t>PSUR</w:t>
            </w:r>
          </w:p>
        </w:tc>
        <w:tc>
          <w:tcPr>
            <w:tcW w:w="3987" w:type="pct"/>
            <w:gridSpan w:val="2"/>
            <w:tcBorders>
              <w:top w:val="single" w:sz="8" w:space="0" w:color="002C47"/>
              <w:left w:val="single" w:sz="8" w:space="0" w:color="002C47"/>
              <w:bottom w:val="single" w:sz="8" w:space="0" w:color="002C47"/>
              <w:right w:val="single" w:sz="8" w:space="0" w:color="002C47"/>
            </w:tcBorders>
          </w:tcPr>
          <w:p w14:paraId="6A77B99E" w14:textId="082FF37F" w:rsidR="00CB595E" w:rsidRDefault="00CB595E" w:rsidP="00963637">
            <w:r>
              <w:t>Periodic safety update report</w:t>
            </w:r>
          </w:p>
        </w:tc>
      </w:tr>
      <w:tr w:rsidR="00CB595E" w14:paraId="54C5BE36"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687E24DC" w14:textId="77777777" w:rsidR="00CB595E" w:rsidRDefault="00CB595E" w:rsidP="00963637">
            <w:pPr>
              <w:rPr>
                <w:color w:val="000000"/>
              </w:rPr>
            </w:pPr>
            <w:r>
              <w:rPr>
                <w:color w:val="000000"/>
              </w:rPr>
              <w:t>PT</w:t>
            </w:r>
          </w:p>
        </w:tc>
        <w:tc>
          <w:tcPr>
            <w:tcW w:w="3987" w:type="pct"/>
            <w:gridSpan w:val="2"/>
            <w:tcBorders>
              <w:top w:val="single" w:sz="8" w:space="0" w:color="002C47"/>
              <w:left w:val="single" w:sz="8" w:space="0" w:color="002C47"/>
              <w:bottom w:val="single" w:sz="8" w:space="0" w:color="002C47"/>
              <w:right w:val="single" w:sz="8" w:space="0" w:color="002C47"/>
            </w:tcBorders>
          </w:tcPr>
          <w:p w14:paraId="4A590947" w14:textId="77777777" w:rsidR="00CB595E" w:rsidRDefault="00CB595E" w:rsidP="00963637">
            <w:pPr>
              <w:rPr>
                <w:color w:val="000000"/>
              </w:rPr>
            </w:pPr>
            <w:r>
              <w:rPr>
                <w:color w:val="000000"/>
              </w:rPr>
              <w:t>Preferred Term</w:t>
            </w:r>
          </w:p>
        </w:tc>
      </w:tr>
      <w:tr w:rsidR="00CB595E" w14:paraId="3F081CCD"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hideMark/>
          </w:tcPr>
          <w:p w14:paraId="411EFA27" w14:textId="77777777" w:rsidR="00CB595E" w:rsidRDefault="00CB595E" w:rsidP="00963637">
            <w:r>
              <w:lastRenderedPageBreak/>
              <w:t>RMP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C6F9085" w14:textId="77777777" w:rsidR="00CB595E" w:rsidRDefault="00CB595E" w:rsidP="00963637">
            <w:r>
              <w:t>Risk management plan</w:t>
            </w:r>
          </w:p>
        </w:tc>
      </w:tr>
      <w:tr w:rsidR="00CB595E" w14:paraId="79A860F3"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3545C030" w14:textId="77777777" w:rsidR="00CB595E" w:rsidRDefault="00CB595E" w:rsidP="00963637">
            <w:pPr>
              <w:rPr>
                <w:color w:val="000000"/>
              </w:rPr>
            </w:pPr>
            <w:r>
              <w:rPr>
                <w:color w:val="000000"/>
              </w:rPr>
              <w:t>RMP</w:t>
            </w:r>
          </w:p>
        </w:tc>
        <w:tc>
          <w:tcPr>
            <w:tcW w:w="3987" w:type="pct"/>
            <w:gridSpan w:val="2"/>
            <w:tcBorders>
              <w:top w:val="single" w:sz="8" w:space="0" w:color="002C47"/>
              <w:left w:val="single" w:sz="8" w:space="0" w:color="002C47"/>
              <w:bottom w:val="single" w:sz="8" w:space="0" w:color="002C47"/>
              <w:right w:val="single" w:sz="8" w:space="0" w:color="002C47"/>
            </w:tcBorders>
          </w:tcPr>
          <w:p w14:paraId="4FEAB180" w14:textId="77777777" w:rsidR="00CB595E" w:rsidRDefault="00CB595E" w:rsidP="00963637">
            <w:r>
              <w:t>Risk management plan</w:t>
            </w:r>
          </w:p>
        </w:tc>
      </w:tr>
      <w:tr w:rsidR="00CB595E" w14:paraId="230F4D9A"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4B9C483B" w14:textId="77777777" w:rsidR="00CB595E" w:rsidRDefault="00CB595E" w:rsidP="00963637">
            <w:pPr>
              <w:rPr>
                <w:color w:val="000000"/>
              </w:rPr>
            </w:pPr>
            <w:proofErr w:type="spellStart"/>
            <w:r>
              <w:rPr>
                <w:color w:val="000000"/>
              </w:rPr>
              <w:t>rVE</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458BE64F" w14:textId="77777777" w:rsidR="00CB595E" w:rsidRDefault="00CB595E" w:rsidP="00963637">
            <w:r>
              <w:t>Relative vaccine effectiveness</w:t>
            </w:r>
          </w:p>
        </w:tc>
      </w:tr>
      <w:tr w:rsidR="00CB595E" w14:paraId="08FE3D0E"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1D20CBD0" w14:textId="77777777" w:rsidR="00CB595E" w:rsidRDefault="00CB595E" w:rsidP="00963637">
            <w:pPr>
              <w:rPr>
                <w:color w:val="000000"/>
              </w:rPr>
            </w:pPr>
            <w:r>
              <w:rPr>
                <w:color w:val="000000"/>
              </w:rPr>
              <w:t>SAE</w:t>
            </w:r>
          </w:p>
        </w:tc>
        <w:tc>
          <w:tcPr>
            <w:tcW w:w="3987" w:type="pct"/>
            <w:gridSpan w:val="2"/>
            <w:tcBorders>
              <w:top w:val="single" w:sz="8" w:space="0" w:color="002C47"/>
              <w:left w:val="single" w:sz="8" w:space="0" w:color="002C47"/>
              <w:bottom w:val="single" w:sz="8" w:space="0" w:color="002C47"/>
              <w:right w:val="single" w:sz="8" w:space="0" w:color="002C47"/>
            </w:tcBorders>
          </w:tcPr>
          <w:p w14:paraId="0E37AD41" w14:textId="77777777" w:rsidR="00CB595E" w:rsidRDefault="00CB595E" w:rsidP="00963637">
            <w:pPr>
              <w:rPr>
                <w:color w:val="000000"/>
              </w:rPr>
            </w:pPr>
            <w:r>
              <w:rPr>
                <w:color w:val="000000"/>
              </w:rPr>
              <w:t>Serious adverse event</w:t>
            </w:r>
          </w:p>
        </w:tc>
      </w:tr>
      <w:tr w:rsidR="00CB595E" w14:paraId="141D22C5"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1C78FC88" w14:textId="77777777" w:rsidR="00CB595E" w:rsidRDefault="00CB595E" w:rsidP="00963637">
            <w:pPr>
              <w:rPr>
                <w:color w:val="000000"/>
              </w:rPr>
            </w:pPr>
            <w:r w:rsidRPr="00CB60CC">
              <w:rPr>
                <w:color w:val="000000"/>
              </w:rPr>
              <w:t>SARS-CoV-2</w:t>
            </w:r>
          </w:p>
        </w:tc>
        <w:tc>
          <w:tcPr>
            <w:tcW w:w="3987" w:type="pct"/>
            <w:gridSpan w:val="2"/>
            <w:tcBorders>
              <w:top w:val="single" w:sz="8" w:space="0" w:color="002C47"/>
              <w:left w:val="single" w:sz="8" w:space="0" w:color="002C47"/>
              <w:bottom w:val="single" w:sz="8" w:space="0" w:color="002C47"/>
              <w:right w:val="single" w:sz="8" w:space="0" w:color="002C47"/>
            </w:tcBorders>
          </w:tcPr>
          <w:p w14:paraId="687CBAF4" w14:textId="77777777" w:rsidR="00CB595E" w:rsidRDefault="00CB595E" w:rsidP="00963637">
            <w:pPr>
              <w:rPr>
                <w:color w:val="000000"/>
              </w:rPr>
            </w:pPr>
            <w:r w:rsidRPr="00CB60CC">
              <w:rPr>
                <w:color w:val="000000"/>
              </w:rPr>
              <w:t>Severe acute respiratory syndrome coronavirus 2</w:t>
            </w:r>
          </w:p>
        </w:tc>
      </w:tr>
      <w:tr w:rsidR="00CB595E" w14:paraId="52B3599E"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3CCBAA45" w14:textId="77777777" w:rsidR="00CB595E" w:rsidRDefault="00CB595E" w:rsidP="00963637">
            <w:pPr>
              <w:rPr>
                <w:color w:val="000000"/>
              </w:rPr>
            </w:pPr>
            <w:r>
              <w:rPr>
                <w:color w:val="000000"/>
              </w:rPr>
              <w:t>SmPC</w:t>
            </w:r>
          </w:p>
        </w:tc>
        <w:tc>
          <w:tcPr>
            <w:tcW w:w="3987" w:type="pct"/>
            <w:gridSpan w:val="2"/>
            <w:tcBorders>
              <w:top w:val="single" w:sz="8" w:space="0" w:color="002C47"/>
              <w:left w:val="single" w:sz="8" w:space="0" w:color="002C47"/>
              <w:bottom w:val="single" w:sz="8" w:space="0" w:color="002C47"/>
              <w:right w:val="single" w:sz="8" w:space="0" w:color="002C47"/>
            </w:tcBorders>
          </w:tcPr>
          <w:p w14:paraId="6C4FF693" w14:textId="77777777" w:rsidR="00CB595E" w:rsidRDefault="00CB595E" w:rsidP="00963637">
            <w:r>
              <w:t>S</w:t>
            </w:r>
            <w:r w:rsidRPr="00B336AD">
              <w:t xml:space="preserve">ummary of </w:t>
            </w:r>
            <w:r>
              <w:t>P</w:t>
            </w:r>
            <w:r w:rsidRPr="00B336AD">
              <w:t xml:space="preserve">roduct </w:t>
            </w:r>
            <w:r>
              <w:t>C</w:t>
            </w:r>
            <w:r w:rsidRPr="00B336AD">
              <w:t>haracteristics</w:t>
            </w:r>
          </w:p>
        </w:tc>
      </w:tr>
      <w:tr w:rsidR="00CB595E" w14:paraId="7C649912"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4581D1BF" w14:textId="77777777" w:rsidR="00CB595E" w:rsidRDefault="00CB595E" w:rsidP="00963637">
            <w:pPr>
              <w:rPr>
                <w:color w:val="000000"/>
              </w:rPr>
            </w:pPr>
            <w:r>
              <w:rPr>
                <w:color w:val="000000"/>
              </w:rPr>
              <w:t>SOC</w:t>
            </w:r>
          </w:p>
        </w:tc>
        <w:tc>
          <w:tcPr>
            <w:tcW w:w="3987" w:type="pct"/>
            <w:gridSpan w:val="2"/>
            <w:tcBorders>
              <w:top w:val="single" w:sz="8" w:space="0" w:color="002C47"/>
              <w:left w:val="single" w:sz="8" w:space="0" w:color="002C47"/>
              <w:bottom w:val="single" w:sz="8" w:space="0" w:color="002C47"/>
              <w:right w:val="single" w:sz="8" w:space="0" w:color="002C47"/>
            </w:tcBorders>
          </w:tcPr>
          <w:p w14:paraId="205873F1" w14:textId="77777777" w:rsidR="00CB595E" w:rsidRDefault="00CB595E" w:rsidP="00963637">
            <w:pPr>
              <w:rPr>
                <w:color w:val="000000"/>
              </w:rPr>
            </w:pPr>
            <w:r>
              <w:t>System Organ Class</w:t>
            </w:r>
          </w:p>
        </w:tc>
      </w:tr>
      <w:tr w:rsidR="00CB595E" w14:paraId="2ADB0E94"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3A515468" w14:textId="77777777" w:rsidR="00CB595E" w:rsidRDefault="00CB595E" w:rsidP="00963637">
            <w:pPr>
              <w:rPr>
                <w:color w:val="000000"/>
              </w:rPr>
            </w:pPr>
            <w:r>
              <w:rPr>
                <w:color w:val="000000"/>
              </w:rPr>
              <w:t>SRR</w:t>
            </w:r>
          </w:p>
        </w:tc>
        <w:tc>
          <w:tcPr>
            <w:tcW w:w="3987" w:type="pct"/>
            <w:gridSpan w:val="2"/>
            <w:tcBorders>
              <w:top w:val="single" w:sz="8" w:space="0" w:color="002C47"/>
              <w:left w:val="single" w:sz="8" w:space="0" w:color="002C47"/>
              <w:bottom w:val="single" w:sz="8" w:space="0" w:color="002C47"/>
              <w:right w:val="single" w:sz="8" w:space="0" w:color="002C47"/>
            </w:tcBorders>
          </w:tcPr>
          <w:p w14:paraId="5D1FDFD6" w14:textId="77777777" w:rsidR="00CB595E" w:rsidRDefault="00CB595E" w:rsidP="00963637">
            <w:pPr>
              <w:rPr>
                <w:color w:val="000000"/>
              </w:rPr>
            </w:pPr>
            <w:proofErr w:type="spellStart"/>
            <w:r>
              <w:t>S</w:t>
            </w:r>
            <w:r w:rsidRPr="001C585E">
              <w:t>eroresponse</w:t>
            </w:r>
            <w:proofErr w:type="spellEnd"/>
            <w:r w:rsidRPr="001C585E">
              <w:t xml:space="preserve"> rate</w:t>
            </w:r>
          </w:p>
        </w:tc>
      </w:tr>
      <w:tr w:rsidR="00CB595E" w14:paraId="57F11317"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30CB0494" w14:textId="77777777" w:rsidR="00CB595E" w:rsidRDefault="00CB595E" w:rsidP="00963637">
            <w:pPr>
              <w:rPr>
                <w:color w:val="000000"/>
              </w:rPr>
            </w:pPr>
            <w:r>
              <w:rPr>
                <w:color w:val="000000"/>
              </w:rPr>
              <w:t>TEAE</w:t>
            </w:r>
          </w:p>
        </w:tc>
        <w:tc>
          <w:tcPr>
            <w:tcW w:w="3987" w:type="pct"/>
            <w:gridSpan w:val="2"/>
            <w:tcBorders>
              <w:top w:val="single" w:sz="8" w:space="0" w:color="002C47"/>
              <w:left w:val="single" w:sz="8" w:space="0" w:color="002C47"/>
              <w:bottom w:val="single" w:sz="8" w:space="0" w:color="002C47"/>
              <w:right w:val="single" w:sz="8" w:space="0" w:color="002C47"/>
            </w:tcBorders>
          </w:tcPr>
          <w:p w14:paraId="777B802C" w14:textId="77777777" w:rsidR="00CB595E" w:rsidRDefault="00CB595E" w:rsidP="00963637">
            <w:pPr>
              <w:rPr>
                <w:color w:val="000000"/>
              </w:rPr>
            </w:pPr>
            <w:r>
              <w:t>T</w:t>
            </w:r>
            <w:r w:rsidRPr="00E22B2C">
              <w:t>reatment</w:t>
            </w:r>
            <w:r>
              <w:t xml:space="preserve"> </w:t>
            </w:r>
            <w:r w:rsidRPr="00E22B2C">
              <w:t xml:space="preserve">emergent </w:t>
            </w:r>
            <w:r>
              <w:t>adverse event</w:t>
            </w:r>
          </w:p>
        </w:tc>
      </w:tr>
      <w:tr w:rsidR="00CB595E" w14:paraId="265950A4"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67643FA" w14:textId="77777777" w:rsidR="00CB595E" w:rsidRDefault="00CB595E" w:rsidP="00963637">
            <w:r>
              <w:t>TGA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21AB9DF" w14:textId="77777777" w:rsidR="00CB595E" w:rsidRDefault="00CB595E" w:rsidP="00963637">
            <w:r>
              <w:t>Therapeutic Goods Administration</w:t>
            </w:r>
          </w:p>
        </w:tc>
      </w:tr>
      <w:tr w:rsidR="00CB595E" w14:paraId="0DD89D57"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4B7778FF" w14:textId="77777777" w:rsidR="00CB595E" w:rsidRDefault="00CB595E" w:rsidP="00963637">
            <w:pPr>
              <w:rPr>
                <w:color w:val="000000"/>
              </w:rPr>
            </w:pPr>
            <w:r>
              <w:rPr>
                <w:color w:val="000000"/>
              </w:rPr>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4169AB2C" w14:textId="77777777" w:rsidR="00CB595E" w:rsidRDefault="00CB595E" w:rsidP="00963637">
            <w:pPr>
              <w:rPr>
                <w:color w:val="000000"/>
              </w:rPr>
            </w:pPr>
            <w:r w:rsidRPr="00E67060">
              <w:t xml:space="preserve">United States </w:t>
            </w:r>
            <w:r>
              <w:t>(</w:t>
            </w:r>
            <w:r w:rsidRPr="00E67060">
              <w:t>of America</w:t>
            </w:r>
            <w:r>
              <w:t>)</w:t>
            </w:r>
          </w:p>
        </w:tc>
      </w:tr>
      <w:tr w:rsidR="00CB595E" w14:paraId="353E3996" w14:textId="77777777" w:rsidTr="00963637">
        <w:trPr>
          <w:cantSplit/>
        </w:trPr>
        <w:tc>
          <w:tcPr>
            <w:tcW w:w="1013" w:type="pct"/>
            <w:tcBorders>
              <w:top w:val="single" w:sz="8" w:space="0" w:color="002C47"/>
              <w:left w:val="single" w:sz="8" w:space="0" w:color="002C47"/>
              <w:bottom w:val="single" w:sz="8" w:space="0" w:color="002C47"/>
              <w:right w:val="single" w:sz="8" w:space="0" w:color="002C47"/>
            </w:tcBorders>
          </w:tcPr>
          <w:p w14:paraId="4A18CABA" w14:textId="77777777" w:rsidR="00CB595E" w:rsidRDefault="00CB595E" w:rsidP="00963637">
            <w:pPr>
              <w:rPr>
                <w:color w:val="000000"/>
              </w:rPr>
            </w:pPr>
            <w:proofErr w:type="spellStart"/>
            <w:r>
              <w:rPr>
                <w:color w:val="000000"/>
              </w:rPr>
              <w:t>VoC</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34261D49" w14:textId="77777777" w:rsidR="00CB595E" w:rsidRDefault="00CB595E" w:rsidP="00963637">
            <w:pPr>
              <w:rPr>
                <w:color w:val="000000"/>
              </w:rPr>
            </w:pPr>
            <w:r>
              <w:t>V</w:t>
            </w:r>
            <w:r w:rsidRPr="009E18F1">
              <w:t>ariants</w:t>
            </w:r>
            <w:r>
              <w:t xml:space="preserve"> </w:t>
            </w:r>
            <w:r w:rsidRPr="009E18F1">
              <w:t>of</w:t>
            </w:r>
            <w:r>
              <w:t xml:space="preserve"> </w:t>
            </w:r>
            <w:r w:rsidRPr="009E18F1">
              <w:t>concern</w:t>
            </w:r>
          </w:p>
        </w:tc>
      </w:tr>
    </w:tbl>
    <w:p w14:paraId="60BE45D7" w14:textId="77777777" w:rsidR="00FD119B" w:rsidRPr="00FD119B" w:rsidRDefault="00FD119B" w:rsidP="00FD119B">
      <w:pPr>
        <w:spacing w:before="0" w:after="200" w:line="0" w:lineRule="auto"/>
        <w:rPr>
          <w:b/>
          <w:i/>
          <w:sz w:val="24"/>
          <w:szCs w:val="24"/>
        </w:rPr>
      </w:pPr>
      <w:r w:rsidRPr="00FD119B">
        <w:rPr>
          <w:b/>
          <w:i/>
          <w:sz w:val="24"/>
          <w:szCs w:val="24"/>
        </w:rPr>
        <w:br w:type="page"/>
      </w:r>
    </w:p>
    <w:p w14:paraId="1976408C" w14:textId="77777777" w:rsidR="008E7846" w:rsidRDefault="009F2673" w:rsidP="008E7846">
      <w:pPr>
        <w:pStyle w:val="Heading2"/>
      </w:pPr>
      <w:bookmarkStart w:id="5" w:name="_Toc128132170"/>
      <w:r>
        <w:lastRenderedPageBreak/>
        <w:t>Pr</w:t>
      </w:r>
      <w:r w:rsidR="008E7846">
        <w:t>oduct submission</w:t>
      </w:r>
      <w:bookmarkEnd w:id="0"/>
      <w:bookmarkEnd w:id="2"/>
      <w:bookmarkEnd w:id="5"/>
    </w:p>
    <w:p w14:paraId="041F29F1" w14:textId="77777777" w:rsidR="008E7846" w:rsidRDefault="008E7846" w:rsidP="009E5A87">
      <w:pPr>
        <w:pStyle w:val="Heading3"/>
        <w:rPr>
          <w:lang w:eastAsia="en-AU"/>
        </w:rPr>
      </w:pPr>
      <w:bookmarkStart w:id="6" w:name="_Toc247691502"/>
      <w:bookmarkStart w:id="7" w:name="_Toc314842483"/>
      <w:bookmarkStart w:id="8" w:name="_Toc128132171"/>
      <w:r>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9F2673" w:rsidRPr="003D1E62" w14:paraId="5D680400" w14:textId="77777777" w:rsidTr="00735039">
        <w:tc>
          <w:tcPr>
            <w:tcW w:w="1577" w:type="pct"/>
          </w:tcPr>
          <w:p w14:paraId="3A98A684" w14:textId="77777777" w:rsidR="009F2673" w:rsidRPr="003D1E62" w:rsidRDefault="009F2673" w:rsidP="009E5A87">
            <w:pPr>
              <w:rPr>
                <w:i/>
              </w:rPr>
            </w:pPr>
            <w:r>
              <w:rPr>
                <w:i/>
              </w:rPr>
              <w:t>Type of s</w:t>
            </w:r>
            <w:r w:rsidRPr="003D1E62">
              <w:rPr>
                <w:i/>
              </w:rPr>
              <w:t>ubmission</w:t>
            </w:r>
            <w:r>
              <w:rPr>
                <w:i/>
              </w:rPr>
              <w:t>:</w:t>
            </w:r>
          </w:p>
        </w:tc>
        <w:tc>
          <w:tcPr>
            <w:tcW w:w="3423" w:type="pct"/>
          </w:tcPr>
          <w:p w14:paraId="0D38F6FD" w14:textId="4EC5DDF0" w:rsidR="009F2673" w:rsidRPr="003D1E62" w:rsidRDefault="00A00D37" w:rsidP="009E5A87">
            <w:r>
              <w:t xml:space="preserve">New biological </w:t>
            </w:r>
            <w:r w:rsidR="009F2673">
              <w:t>e</w:t>
            </w:r>
            <w:r w:rsidR="009F2673" w:rsidRPr="003D1E62">
              <w:t>ntity</w:t>
            </w:r>
          </w:p>
        </w:tc>
      </w:tr>
      <w:tr w:rsidR="009F2673" w:rsidRPr="003D1E62" w14:paraId="377B83DA" w14:textId="77777777" w:rsidTr="00735039">
        <w:tc>
          <w:tcPr>
            <w:tcW w:w="1577" w:type="pct"/>
          </w:tcPr>
          <w:p w14:paraId="7A6E67C3" w14:textId="2436398B" w:rsidR="009F2673" w:rsidRPr="003D1E62" w:rsidRDefault="009F2673" w:rsidP="009E5A87">
            <w:pPr>
              <w:rPr>
                <w:i/>
              </w:rPr>
            </w:pPr>
            <w:r w:rsidRPr="00460036">
              <w:rPr>
                <w:i/>
              </w:rPr>
              <w:t>Product name:</w:t>
            </w:r>
          </w:p>
        </w:tc>
        <w:tc>
          <w:tcPr>
            <w:tcW w:w="3423" w:type="pct"/>
          </w:tcPr>
          <w:p w14:paraId="788F9607" w14:textId="17E01203" w:rsidR="009F2673" w:rsidRPr="003D1E62" w:rsidRDefault="00A00D37" w:rsidP="009E5A87">
            <w:proofErr w:type="spellStart"/>
            <w:r>
              <w:t>Spikevax</w:t>
            </w:r>
            <w:proofErr w:type="spellEnd"/>
            <w:r>
              <w:t xml:space="preserve"> bivalent Original/Omicron BA.4</w:t>
            </w:r>
            <w:r w:rsidR="002C0D51">
              <w:t>-</w:t>
            </w:r>
            <w:r>
              <w:t>5</w:t>
            </w:r>
          </w:p>
        </w:tc>
      </w:tr>
      <w:tr w:rsidR="009F2673" w:rsidRPr="003D1E62" w14:paraId="7E42C090" w14:textId="77777777" w:rsidTr="00735039">
        <w:tc>
          <w:tcPr>
            <w:tcW w:w="1577" w:type="pct"/>
          </w:tcPr>
          <w:p w14:paraId="187E1F09" w14:textId="088906DF" w:rsidR="009F2673" w:rsidRPr="003D1E62" w:rsidRDefault="009F2673" w:rsidP="009E5A87">
            <w:pPr>
              <w:rPr>
                <w:i/>
              </w:rPr>
            </w:pPr>
            <w:r w:rsidRPr="00460036">
              <w:rPr>
                <w:i/>
              </w:rPr>
              <w:t>Active ingredient</w:t>
            </w:r>
            <w:r w:rsidR="00C77326">
              <w:rPr>
                <w:i/>
              </w:rPr>
              <w:t>s</w:t>
            </w:r>
            <w:r w:rsidRPr="00460036">
              <w:rPr>
                <w:i/>
              </w:rPr>
              <w:t>:</w:t>
            </w:r>
          </w:p>
        </w:tc>
        <w:tc>
          <w:tcPr>
            <w:tcW w:w="3423" w:type="pct"/>
          </w:tcPr>
          <w:p w14:paraId="397951C5" w14:textId="08254EE7" w:rsidR="009F2673" w:rsidRPr="003D1E62" w:rsidRDefault="00A00D37" w:rsidP="009E5A87">
            <w:proofErr w:type="spellStart"/>
            <w:r>
              <w:t>E</w:t>
            </w:r>
            <w:r w:rsidRPr="00A00D37">
              <w:t>lasomeran</w:t>
            </w:r>
            <w:proofErr w:type="spellEnd"/>
            <w:r>
              <w:t xml:space="preserve"> and </w:t>
            </w:r>
            <w:proofErr w:type="spellStart"/>
            <w:r w:rsidRPr="00A00D37">
              <w:t>davesomeran</w:t>
            </w:r>
            <w:proofErr w:type="spellEnd"/>
          </w:p>
        </w:tc>
      </w:tr>
      <w:tr w:rsidR="009F2673" w:rsidRPr="003D1E62" w14:paraId="4DCAF998" w14:textId="77777777" w:rsidTr="00735039">
        <w:tc>
          <w:tcPr>
            <w:tcW w:w="1577" w:type="pct"/>
          </w:tcPr>
          <w:p w14:paraId="61E257E3" w14:textId="77777777" w:rsidR="009F2673" w:rsidRPr="009F2673" w:rsidRDefault="009F2673" w:rsidP="009E5A87">
            <w:pPr>
              <w:rPr>
                <w:i/>
              </w:rPr>
            </w:pPr>
            <w:r w:rsidRPr="003D1E62">
              <w:rPr>
                <w:i/>
              </w:rPr>
              <w:t>Decision</w:t>
            </w:r>
            <w:r w:rsidRPr="009F2673">
              <w:rPr>
                <w:i/>
              </w:rPr>
              <w:t>:</w:t>
            </w:r>
          </w:p>
        </w:tc>
        <w:tc>
          <w:tcPr>
            <w:tcW w:w="3423" w:type="pct"/>
          </w:tcPr>
          <w:p w14:paraId="435277CE" w14:textId="33EF548C" w:rsidR="009F2673" w:rsidRPr="00991E33" w:rsidRDefault="00991E33" w:rsidP="009E5A87">
            <w:r w:rsidRPr="00290553">
              <w:t>Approved for provisional registration</w:t>
            </w:r>
          </w:p>
        </w:tc>
      </w:tr>
      <w:tr w:rsidR="009F2673" w:rsidRPr="003D1E62" w14:paraId="61A6E5FF" w14:textId="77777777" w:rsidTr="00735039">
        <w:tc>
          <w:tcPr>
            <w:tcW w:w="1577" w:type="pct"/>
          </w:tcPr>
          <w:p w14:paraId="7ED61B4D" w14:textId="77777777" w:rsidR="009F2673" w:rsidRPr="003D1E62" w:rsidRDefault="009F2673" w:rsidP="009E5A87">
            <w:pPr>
              <w:rPr>
                <w:i/>
              </w:rPr>
            </w:pPr>
            <w:r w:rsidRPr="003D1E62">
              <w:rPr>
                <w:i/>
              </w:rPr>
              <w:t xml:space="preserve">Date of </w:t>
            </w:r>
            <w:r>
              <w:rPr>
                <w:i/>
              </w:rPr>
              <w:t>d</w:t>
            </w:r>
            <w:r w:rsidRPr="003D1E62">
              <w:rPr>
                <w:i/>
              </w:rPr>
              <w:t>ecision:</w:t>
            </w:r>
          </w:p>
        </w:tc>
        <w:tc>
          <w:tcPr>
            <w:tcW w:w="3423" w:type="pct"/>
          </w:tcPr>
          <w:p w14:paraId="76E24611" w14:textId="7496028D" w:rsidR="009F2673" w:rsidRPr="00991E33" w:rsidRDefault="00991E33" w:rsidP="009E5A87">
            <w:r>
              <w:t>17 February 2023</w:t>
            </w:r>
          </w:p>
        </w:tc>
      </w:tr>
      <w:tr w:rsidR="009F2673" w:rsidRPr="003D1E62" w14:paraId="09301A3D" w14:textId="77777777" w:rsidTr="00735039">
        <w:tc>
          <w:tcPr>
            <w:tcW w:w="1577" w:type="pct"/>
          </w:tcPr>
          <w:p w14:paraId="5AD25029" w14:textId="77777777" w:rsidR="009F2673" w:rsidRPr="00441C3F" w:rsidRDefault="009F2673" w:rsidP="009E5A87">
            <w:pPr>
              <w:rPr>
                <w:i/>
              </w:rPr>
            </w:pPr>
            <w:r w:rsidRPr="00441C3F">
              <w:rPr>
                <w:i/>
              </w:rPr>
              <w:t>Date of entry onto ARTG</w:t>
            </w:r>
            <w:r>
              <w:rPr>
                <w:i/>
              </w:rPr>
              <w:t>:</w:t>
            </w:r>
          </w:p>
        </w:tc>
        <w:tc>
          <w:tcPr>
            <w:tcW w:w="3423" w:type="pct"/>
          </w:tcPr>
          <w:p w14:paraId="515A1DA5" w14:textId="50A51C3E" w:rsidR="009F2673" w:rsidRPr="00991E33" w:rsidRDefault="00991E33" w:rsidP="009E5A87">
            <w:r>
              <w:t>20 February 2023</w:t>
            </w:r>
          </w:p>
        </w:tc>
      </w:tr>
      <w:tr w:rsidR="009F2673" w:rsidRPr="003D1E62" w14:paraId="434F649D" w14:textId="77777777" w:rsidTr="00735039">
        <w:tc>
          <w:tcPr>
            <w:tcW w:w="1577" w:type="pct"/>
          </w:tcPr>
          <w:p w14:paraId="156B3ABA" w14:textId="156F8B73" w:rsidR="009F2673" w:rsidRPr="00441C3F" w:rsidRDefault="009F2673" w:rsidP="009E5A87">
            <w:pPr>
              <w:rPr>
                <w:i/>
              </w:rPr>
            </w:pPr>
            <w:r>
              <w:rPr>
                <w:i/>
              </w:rPr>
              <w:t>ARTG number</w:t>
            </w:r>
            <w:r w:rsidR="00A00D37">
              <w:rPr>
                <w:i/>
              </w:rPr>
              <w:t>s</w:t>
            </w:r>
            <w:r>
              <w:rPr>
                <w:i/>
              </w:rPr>
              <w:t>:</w:t>
            </w:r>
          </w:p>
        </w:tc>
        <w:tc>
          <w:tcPr>
            <w:tcW w:w="3423" w:type="pct"/>
          </w:tcPr>
          <w:p w14:paraId="4DB8BD9F" w14:textId="150588A8" w:rsidR="009F2673" w:rsidRPr="00991E33" w:rsidRDefault="002D31C1" w:rsidP="009E5A87">
            <w:r w:rsidRPr="00991E33">
              <w:t>399552</w:t>
            </w:r>
            <w:r w:rsidR="00363D84" w:rsidRPr="00991E33">
              <w:t xml:space="preserve"> </w:t>
            </w:r>
            <w:r w:rsidR="00991E33" w:rsidRPr="00991E33">
              <w:t xml:space="preserve">and </w:t>
            </w:r>
            <w:r w:rsidR="00363D84" w:rsidRPr="00991E33">
              <w:t>399553</w:t>
            </w:r>
          </w:p>
        </w:tc>
      </w:tr>
      <w:tr w:rsidR="009F2673" w:rsidRPr="003D1E62" w14:paraId="4160640F" w14:textId="77777777" w:rsidTr="00735039">
        <w:tc>
          <w:tcPr>
            <w:tcW w:w="1577" w:type="pct"/>
          </w:tcPr>
          <w:p w14:paraId="57D3AB6F" w14:textId="129EDC64" w:rsidR="009F2673" w:rsidRDefault="001B1DA4" w:rsidP="009E5A87">
            <w:pPr>
              <w:rPr>
                <w:i/>
              </w:rPr>
            </w:pPr>
            <w:r>
              <w:rPr>
                <w:rFonts w:ascii="Wingdings 3" w:hAnsi="Wingdings 3"/>
                <w:sz w:val="34"/>
                <w:szCs w:val="34"/>
                <w:lang w:eastAsia="en-AU"/>
              </w:rPr>
              <w:t></w:t>
            </w:r>
            <w:hyperlink r:id="rId14" w:history="1">
              <w:r w:rsidR="009F2673" w:rsidRPr="009F2673">
                <w:rPr>
                  <w:rStyle w:val="Hyperlink"/>
                  <w:i/>
                </w:rPr>
                <w:t>Black Triangle Scheme</w:t>
              </w:r>
            </w:hyperlink>
            <w:r w:rsidR="009F2673">
              <w:rPr>
                <w:i/>
              </w:rPr>
              <w:t>:</w:t>
            </w:r>
          </w:p>
        </w:tc>
        <w:tc>
          <w:tcPr>
            <w:tcW w:w="3423" w:type="pct"/>
          </w:tcPr>
          <w:p w14:paraId="6E649757" w14:textId="113B67D2" w:rsidR="009F2673" w:rsidRDefault="009F2673" w:rsidP="009E5A87">
            <w:r>
              <w:t xml:space="preserve">Yes </w:t>
            </w:r>
          </w:p>
          <w:p w14:paraId="4AC9F8F3" w14:textId="2F0AA022" w:rsidR="009F2673" w:rsidRPr="00487162" w:rsidRDefault="009F2673" w:rsidP="009E5A87">
            <w:r>
              <w:t>As a provisionally registered product, this medicine will remain in the Black Triangle Scheme for the duration of its provisional registration</w:t>
            </w:r>
          </w:p>
        </w:tc>
      </w:tr>
      <w:tr w:rsidR="009F2673" w:rsidRPr="003D1E62" w14:paraId="1759ADAF" w14:textId="77777777" w:rsidTr="00735039">
        <w:tc>
          <w:tcPr>
            <w:tcW w:w="1577" w:type="pct"/>
          </w:tcPr>
          <w:p w14:paraId="29EB6EDD"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0CFDB71B" w14:textId="77777777" w:rsidR="00CA5713" w:rsidRDefault="00CA5713" w:rsidP="00CA5713">
            <w:r>
              <w:t>Moderna Australia Pty Ltd</w:t>
            </w:r>
          </w:p>
          <w:p w14:paraId="7C6634E3" w14:textId="77777777" w:rsidR="00CA5713" w:rsidRDefault="00CA5713" w:rsidP="00CA5713">
            <w:r>
              <w:t>Level 6, 60 Martin Place</w:t>
            </w:r>
          </w:p>
          <w:p w14:paraId="4808DED7" w14:textId="2ADBE037" w:rsidR="009F2673" w:rsidRDefault="00CA5713" w:rsidP="00CA5713">
            <w:r>
              <w:t>Sydney, NSW, 2000</w:t>
            </w:r>
          </w:p>
        </w:tc>
      </w:tr>
      <w:tr w:rsidR="009F2673" w:rsidRPr="003D1E62" w14:paraId="1341F78D" w14:textId="77777777" w:rsidTr="00735039">
        <w:tc>
          <w:tcPr>
            <w:tcW w:w="1577" w:type="pct"/>
          </w:tcPr>
          <w:p w14:paraId="6668C24D" w14:textId="193E6B14" w:rsidR="009F2673" w:rsidRPr="00487162" w:rsidRDefault="009F2673" w:rsidP="009E5A87">
            <w:pPr>
              <w:rPr>
                <w:i/>
              </w:rPr>
            </w:pPr>
            <w:r>
              <w:rPr>
                <w:i/>
              </w:rPr>
              <w:t>Dose form:</w:t>
            </w:r>
          </w:p>
        </w:tc>
        <w:tc>
          <w:tcPr>
            <w:tcW w:w="3423" w:type="pct"/>
          </w:tcPr>
          <w:p w14:paraId="5BF2F8DC" w14:textId="014BFA0D" w:rsidR="009F2673" w:rsidRDefault="00CA5713" w:rsidP="009E5A87">
            <w:r w:rsidRPr="00CA5713">
              <w:t>Suspension for injection</w:t>
            </w:r>
          </w:p>
        </w:tc>
      </w:tr>
      <w:tr w:rsidR="009F2673" w:rsidRPr="003D1E62" w14:paraId="63A9C9B7" w14:textId="77777777" w:rsidTr="00735039">
        <w:tc>
          <w:tcPr>
            <w:tcW w:w="1577" w:type="pct"/>
          </w:tcPr>
          <w:p w14:paraId="64C297B7" w14:textId="2C8B3C5D" w:rsidR="009F2673" w:rsidRPr="00487162" w:rsidRDefault="009F2673" w:rsidP="009E5A87">
            <w:pPr>
              <w:rPr>
                <w:i/>
              </w:rPr>
            </w:pPr>
            <w:r w:rsidRPr="00487162">
              <w:rPr>
                <w:i/>
              </w:rPr>
              <w:t>Strength:</w:t>
            </w:r>
          </w:p>
        </w:tc>
        <w:tc>
          <w:tcPr>
            <w:tcW w:w="3423" w:type="pct"/>
          </w:tcPr>
          <w:p w14:paraId="184329DD" w14:textId="3ED6D28B" w:rsidR="009F2673" w:rsidRDefault="00CA5713" w:rsidP="009E5A87">
            <w:r>
              <w:t>0.1 mg/mL</w:t>
            </w:r>
            <w:r w:rsidR="00080114">
              <w:t xml:space="preserve"> (50 µg/0.5 mL dose)</w:t>
            </w:r>
          </w:p>
        </w:tc>
      </w:tr>
      <w:tr w:rsidR="009F2673" w:rsidRPr="003D1E62" w14:paraId="686A68B5" w14:textId="77777777" w:rsidTr="00735039">
        <w:tc>
          <w:tcPr>
            <w:tcW w:w="1577" w:type="pct"/>
          </w:tcPr>
          <w:p w14:paraId="03AC67CC" w14:textId="1782046E" w:rsidR="009F2673" w:rsidRPr="00487162" w:rsidRDefault="009F2673" w:rsidP="009E5A87">
            <w:pPr>
              <w:rPr>
                <w:i/>
              </w:rPr>
            </w:pPr>
            <w:r w:rsidRPr="00487162">
              <w:rPr>
                <w:i/>
              </w:rPr>
              <w:t>Containers:</w:t>
            </w:r>
          </w:p>
        </w:tc>
        <w:tc>
          <w:tcPr>
            <w:tcW w:w="3423" w:type="pct"/>
          </w:tcPr>
          <w:p w14:paraId="0816A952" w14:textId="44A077CE" w:rsidR="009F2673" w:rsidRDefault="00CA5713" w:rsidP="009E5A87">
            <w:r>
              <w:t>Multidose vial and pre-filled syringe</w:t>
            </w:r>
          </w:p>
        </w:tc>
      </w:tr>
      <w:tr w:rsidR="009F2673" w:rsidRPr="003D1E62" w14:paraId="46B5385E" w14:textId="77777777" w:rsidTr="00735039">
        <w:tc>
          <w:tcPr>
            <w:tcW w:w="1577" w:type="pct"/>
          </w:tcPr>
          <w:p w14:paraId="553FD141" w14:textId="76BAAA74" w:rsidR="009F2673" w:rsidRPr="00487162" w:rsidRDefault="009F2673" w:rsidP="009E5A87">
            <w:pPr>
              <w:rPr>
                <w:i/>
              </w:rPr>
            </w:pPr>
            <w:r w:rsidRPr="00487162">
              <w:rPr>
                <w:i/>
              </w:rPr>
              <w:t>Pack size</w:t>
            </w:r>
            <w:r w:rsidR="00CA5713">
              <w:rPr>
                <w:i/>
              </w:rPr>
              <w:t>s</w:t>
            </w:r>
            <w:r w:rsidRPr="00487162">
              <w:rPr>
                <w:i/>
              </w:rPr>
              <w:t>:</w:t>
            </w:r>
          </w:p>
        </w:tc>
        <w:tc>
          <w:tcPr>
            <w:tcW w:w="3423" w:type="pct"/>
          </w:tcPr>
          <w:p w14:paraId="439D69B4" w14:textId="7C6C9F59" w:rsidR="009F2673" w:rsidRDefault="00CA5713" w:rsidP="009E5A87">
            <w:r>
              <w:t>10 multiple dose vials</w:t>
            </w:r>
            <w:r w:rsidR="00080114">
              <w:t xml:space="preserve"> (5 doses/vial)</w:t>
            </w:r>
          </w:p>
          <w:p w14:paraId="0C4B7ADD" w14:textId="40CB3818" w:rsidR="00CA5713" w:rsidRDefault="00CA5713" w:rsidP="009E5A87">
            <w:r>
              <w:t>10 pre-filled syringes</w:t>
            </w:r>
            <w:r w:rsidR="00080114">
              <w:t xml:space="preserve"> (single use)</w:t>
            </w:r>
          </w:p>
        </w:tc>
      </w:tr>
      <w:tr w:rsidR="009F2673" w:rsidRPr="003D1E62" w14:paraId="645A6E2B" w14:textId="77777777" w:rsidTr="00735039">
        <w:tc>
          <w:tcPr>
            <w:tcW w:w="1577" w:type="pct"/>
          </w:tcPr>
          <w:p w14:paraId="31403DF3"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23" w:type="pct"/>
          </w:tcPr>
          <w:p w14:paraId="5B83BBE9" w14:textId="77777777" w:rsidR="00991E33" w:rsidRPr="0037492B" w:rsidRDefault="00991E33" w:rsidP="00991E33">
            <w:pPr>
              <w:rPr>
                <w:i/>
                <w:iCs/>
              </w:rPr>
            </w:pPr>
            <w:proofErr w:type="spellStart"/>
            <w:r w:rsidRPr="0037492B">
              <w:rPr>
                <w:i/>
                <w:iCs/>
              </w:rPr>
              <w:t>Spikevax</w:t>
            </w:r>
            <w:proofErr w:type="spellEnd"/>
            <w:r w:rsidRPr="0037492B">
              <w:rPr>
                <w:i/>
                <w:iCs/>
              </w:rPr>
              <w:t xml:space="preserve"> bivalent Original/Omicron BA.4-5 (</w:t>
            </w:r>
            <w:proofErr w:type="spellStart"/>
            <w:r w:rsidRPr="0037492B">
              <w:rPr>
                <w:i/>
                <w:iCs/>
              </w:rPr>
              <w:t>elasomeran</w:t>
            </w:r>
            <w:proofErr w:type="spellEnd"/>
            <w:r w:rsidRPr="0037492B">
              <w:rPr>
                <w:i/>
                <w:iCs/>
              </w:rPr>
              <w:t xml:space="preserve"> and </w:t>
            </w:r>
            <w:proofErr w:type="spellStart"/>
            <w:r w:rsidRPr="0037492B">
              <w:rPr>
                <w:i/>
                <w:iCs/>
              </w:rPr>
              <w:t>davesomeran</w:t>
            </w:r>
            <w:proofErr w:type="spellEnd"/>
            <w:r w:rsidRPr="0037492B">
              <w:rPr>
                <w:i/>
                <w:iCs/>
              </w:rPr>
              <w:t xml:space="preserve">) COVID-19 vaccine has </w:t>
            </w:r>
            <w:r w:rsidRPr="0037492B">
              <w:rPr>
                <w:b/>
                <w:bCs/>
                <w:i/>
                <w:iCs/>
              </w:rPr>
              <w:t>provisional approval</w:t>
            </w:r>
            <w:r w:rsidRPr="0037492B">
              <w:rPr>
                <w:i/>
                <w:iCs/>
              </w:rPr>
              <w:t xml:space="preserve"> for the indication below:</w:t>
            </w:r>
          </w:p>
          <w:p w14:paraId="67CCB13C" w14:textId="77777777" w:rsidR="00991E33" w:rsidRPr="0037492B" w:rsidRDefault="00991E33" w:rsidP="00991E33">
            <w:pPr>
              <w:rPr>
                <w:i/>
                <w:iCs/>
              </w:rPr>
            </w:pPr>
            <w:r w:rsidRPr="0037492B">
              <w:rPr>
                <w:i/>
                <w:iCs/>
              </w:rPr>
              <w:t>As a booster dose for active immunisation to prevent coronavirus disease 2019 (COVID-19) caused by SARS-CoV-2 in individuals 12 years of age and older who have previously received at least a primary vaccination course against COVID-19.</w:t>
            </w:r>
          </w:p>
          <w:p w14:paraId="32B8319A" w14:textId="77777777" w:rsidR="00991E33" w:rsidRPr="0037492B" w:rsidRDefault="00991E33" w:rsidP="00991E33">
            <w:pPr>
              <w:rPr>
                <w:i/>
                <w:iCs/>
              </w:rPr>
            </w:pPr>
            <w:r w:rsidRPr="0037492B">
              <w:rPr>
                <w:i/>
                <w:iCs/>
              </w:rPr>
              <w:t>The use of this vaccine should be in accordance with official recommendations.</w:t>
            </w:r>
          </w:p>
          <w:p w14:paraId="089557EA" w14:textId="386C30C1" w:rsidR="009F2673" w:rsidRPr="00991E33" w:rsidRDefault="00991E33" w:rsidP="009E5A87">
            <w:pPr>
              <w:rPr>
                <w:i/>
                <w:iCs/>
              </w:rPr>
            </w:pPr>
            <w:r w:rsidRPr="0037492B">
              <w:rPr>
                <w:i/>
                <w:iCs/>
              </w:rPr>
              <w:t xml:space="preserve">The decision has been made </w:t>
            </w:r>
            <w:proofErr w:type="gramStart"/>
            <w:r w:rsidRPr="0037492B">
              <w:rPr>
                <w:i/>
                <w:iCs/>
              </w:rPr>
              <w:t>on the basis of</w:t>
            </w:r>
            <w:proofErr w:type="gramEnd"/>
            <w:r w:rsidRPr="0037492B">
              <w:rPr>
                <w:i/>
                <w:iCs/>
              </w:rPr>
              <w:t xml:space="preserve"> immunogenicity and short-term safety data. Continued approval depends on the evidence of </w:t>
            </w:r>
            <w:proofErr w:type="gramStart"/>
            <w:r w:rsidRPr="0037492B">
              <w:rPr>
                <w:i/>
                <w:iCs/>
              </w:rPr>
              <w:t>longer term</w:t>
            </w:r>
            <w:proofErr w:type="gramEnd"/>
            <w:r w:rsidRPr="0037492B">
              <w:rPr>
                <w:i/>
                <w:iCs/>
              </w:rPr>
              <w:t xml:space="preserve"> benefits and safety from ongoing clinical trials and post-market assessment.</w:t>
            </w:r>
          </w:p>
        </w:tc>
      </w:tr>
      <w:tr w:rsidR="009F2673" w:rsidRPr="003D1E62" w14:paraId="702B60D6" w14:textId="77777777" w:rsidTr="00735039">
        <w:tc>
          <w:tcPr>
            <w:tcW w:w="1577" w:type="pct"/>
          </w:tcPr>
          <w:p w14:paraId="7C41505E" w14:textId="6577BAD9" w:rsidR="009F2673" w:rsidRPr="00487162" w:rsidRDefault="009F2673" w:rsidP="009E5A87">
            <w:pPr>
              <w:rPr>
                <w:i/>
              </w:rPr>
            </w:pPr>
            <w:r w:rsidRPr="00487162">
              <w:rPr>
                <w:i/>
              </w:rPr>
              <w:lastRenderedPageBreak/>
              <w:t>Route of administration:</w:t>
            </w:r>
          </w:p>
        </w:tc>
        <w:tc>
          <w:tcPr>
            <w:tcW w:w="3423" w:type="pct"/>
          </w:tcPr>
          <w:p w14:paraId="70B523CD" w14:textId="485EF557" w:rsidR="009F2673" w:rsidRPr="00487162" w:rsidRDefault="00EF7B04" w:rsidP="009E5A87">
            <w:r>
              <w:t>Intramuscular</w:t>
            </w:r>
          </w:p>
        </w:tc>
      </w:tr>
      <w:tr w:rsidR="009F2673" w:rsidRPr="003D1E62" w14:paraId="03053CF9" w14:textId="77777777" w:rsidTr="00735039">
        <w:tc>
          <w:tcPr>
            <w:tcW w:w="1577" w:type="pct"/>
          </w:tcPr>
          <w:p w14:paraId="4B2EEB33" w14:textId="77777777" w:rsidR="009F2673" w:rsidRPr="00487162" w:rsidRDefault="009F2673" w:rsidP="009E5A87">
            <w:pPr>
              <w:rPr>
                <w:i/>
              </w:rPr>
            </w:pPr>
            <w:r w:rsidRPr="00487162">
              <w:rPr>
                <w:i/>
              </w:rPr>
              <w:t>Dosage:</w:t>
            </w:r>
          </w:p>
        </w:tc>
        <w:tc>
          <w:tcPr>
            <w:tcW w:w="3423" w:type="pct"/>
          </w:tcPr>
          <w:p w14:paraId="5E23055C" w14:textId="68859D6C" w:rsidR="00963637" w:rsidRPr="00963637" w:rsidRDefault="00963637" w:rsidP="00963637">
            <w:r>
              <w:t xml:space="preserve">One 0.5 mL dose contains 25 </w:t>
            </w:r>
            <w:r w:rsidRPr="00991E33">
              <w:t>µg</w:t>
            </w:r>
            <w:r>
              <w:t xml:space="preserve"> </w:t>
            </w:r>
            <w:proofErr w:type="spellStart"/>
            <w:r w:rsidR="00080114">
              <w:t>elasomeran</w:t>
            </w:r>
            <w:proofErr w:type="spellEnd"/>
            <w:r w:rsidR="00080114">
              <w:t xml:space="preserve"> and 25 </w:t>
            </w:r>
            <w:r w:rsidR="00080114" w:rsidRPr="00991E33">
              <w:t>µg</w:t>
            </w:r>
            <w:r w:rsidR="00080114">
              <w:t xml:space="preserve"> </w:t>
            </w:r>
            <w:proofErr w:type="spellStart"/>
            <w:r w:rsidR="00080114">
              <w:t>davesomeran</w:t>
            </w:r>
            <w:proofErr w:type="spellEnd"/>
            <w:r w:rsidR="00080114">
              <w:t>, a COVID-19 mRNA vaccine (embedded in lipid nanoparticles).</w:t>
            </w:r>
          </w:p>
          <w:p w14:paraId="5747E6E2" w14:textId="2F2CA0D6" w:rsidR="00991E33" w:rsidRPr="00991E33" w:rsidRDefault="00991E33" w:rsidP="00991E33">
            <w:pPr>
              <w:rPr>
                <w:i/>
                <w:iCs/>
              </w:rPr>
            </w:pPr>
            <w:r w:rsidRPr="00991E33">
              <w:rPr>
                <w:i/>
                <w:iCs/>
              </w:rPr>
              <w:t>Individuals 12 years of age and older</w:t>
            </w:r>
          </w:p>
          <w:p w14:paraId="7C715778" w14:textId="0A1FBE0E" w:rsidR="00991E33" w:rsidRPr="00991E33" w:rsidRDefault="00991E33" w:rsidP="00991E33">
            <w:r w:rsidRPr="00991E33">
              <w:t xml:space="preserve">One dose of </w:t>
            </w:r>
            <w:proofErr w:type="spellStart"/>
            <w:r w:rsidRPr="00991E33">
              <w:t>Spikevax</w:t>
            </w:r>
            <w:proofErr w:type="spellEnd"/>
            <w:r w:rsidRPr="00991E33">
              <w:t xml:space="preserve"> bivalent Original/Omicron BA.4-5 (50 µg/0.5 m</w:t>
            </w:r>
            <w:r w:rsidR="00963637">
              <w:t>L</w:t>
            </w:r>
            <w:r w:rsidRPr="00991E33">
              <w:t xml:space="preserve">) may be given at least 3 months following a primary series and/or previous booster dose with </w:t>
            </w:r>
            <w:proofErr w:type="spellStart"/>
            <w:r w:rsidRPr="00991E33">
              <w:t>Spikevax</w:t>
            </w:r>
            <w:proofErr w:type="spellEnd"/>
            <w:r w:rsidRPr="00991E33">
              <w:t xml:space="preserve"> (original), </w:t>
            </w:r>
            <w:proofErr w:type="spellStart"/>
            <w:r w:rsidRPr="00991E33">
              <w:t>Spikevax</w:t>
            </w:r>
            <w:proofErr w:type="spellEnd"/>
            <w:r w:rsidRPr="00991E33">
              <w:t xml:space="preserve"> bivalent Original/Omicron (BA.1) or another authorised/approved COVID-19 vaccine, in accordance with official recommendations.</w:t>
            </w:r>
          </w:p>
          <w:p w14:paraId="7F1FD397" w14:textId="77777777" w:rsidR="009F2673" w:rsidRPr="00991E33" w:rsidRDefault="009F2673" w:rsidP="009E5A87">
            <w:r w:rsidRPr="00991E33">
              <w:t>For further information regarding dosage, refer to the Product Information.</w:t>
            </w:r>
          </w:p>
        </w:tc>
      </w:tr>
      <w:tr w:rsidR="009F2673" w:rsidRPr="003D1E62" w14:paraId="38A39CD3" w14:textId="77777777" w:rsidTr="00735039">
        <w:tc>
          <w:tcPr>
            <w:tcW w:w="1577" w:type="pct"/>
          </w:tcPr>
          <w:p w14:paraId="7B00CC55" w14:textId="77777777" w:rsidR="009F2673" w:rsidRPr="00487162" w:rsidRDefault="009F2673" w:rsidP="009E5A87">
            <w:pPr>
              <w:rPr>
                <w:i/>
              </w:rPr>
            </w:pPr>
            <w:r w:rsidRPr="00460036">
              <w:rPr>
                <w:i/>
              </w:rPr>
              <w:t>Pregnancy category</w:t>
            </w:r>
            <w:r>
              <w:rPr>
                <w:i/>
              </w:rPr>
              <w:t>:</w:t>
            </w:r>
          </w:p>
        </w:tc>
        <w:tc>
          <w:tcPr>
            <w:tcW w:w="3423" w:type="pct"/>
          </w:tcPr>
          <w:p w14:paraId="204F7B06" w14:textId="77777777" w:rsidR="00EF7B04" w:rsidRDefault="00EF7B04" w:rsidP="00EF7B04">
            <w:r>
              <w:t>Category B1</w:t>
            </w:r>
          </w:p>
          <w:p w14:paraId="242F4A88" w14:textId="77777777" w:rsidR="00EF7B04" w:rsidRDefault="00EF7B04" w:rsidP="00EF7B04">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63C2E644" w14:textId="77777777" w:rsidR="00EF7B04" w:rsidRDefault="00EF7B04" w:rsidP="009E5A87">
            <w:r>
              <w:t xml:space="preserve">Studies in animals have not shown evidence of an increased occurrence of </w:t>
            </w:r>
            <w:proofErr w:type="spellStart"/>
            <w:r>
              <w:t>fetal</w:t>
            </w:r>
            <w:proofErr w:type="spellEnd"/>
            <w:r>
              <w:t xml:space="preserve"> damage.</w:t>
            </w:r>
          </w:p>
          <w:p w14:paraId="3DE5EC36" w14:textId="0F40D64D" w:rsidR="009F2673" w:rsidRPr="00487162" w:rsidRDefault="00EF7B04" w:rsidP="009E5A87">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77C40FE2" w14:textId="77777777" w:rsidR="008E7846" w:rsidRDefault="008E7846" w:rsidP="008E7846">
      <w:pPr>
        <w:pStyle w:val="Heading3"/>
      </w:pPr>
      <w:bookmarkStart w:id="9" w:name="_Toc247691503"/>
      <w:bookmarkStart w:id="10" w:name="_Toc314842484"/>
      <w:bookmarkStart w:id="11" w:name="_Toc128132172"/>
      <w:r>
        <w:t>Product background</w:t>
      </w:r>
      <w:bookmarkEnd w:id="9"/>
      <w:bookmarkEnd w:id="10"/>
      <w:bookmarkEnd w:id="11"/>
    </w:p>
    <w:p w14:paraId="37A24B03" w14:textId="7ECAE511" w:rsidR="009F2673" w:rsidRDefault="009F2673" w:rsidP="009F2673">
      <w:r w:rsidRPr="000A4A42">
        <w:t xml:space="preserve">This </w:t>
      </w:r>
      <w:proofErr w:type="spellStart"/>
      <w:r w:rsidRPr="000A4A42">
        <w:t>AusPAR</w:t>
      </w:r>
      <w:proofErr w:type="spellEnd"/>
      <w:r w:rsidRPr="000A4A42">
        <w:t xml:space="preserve"> describes the </w:t>
      </w:r>
      <w:r w:rsidR="001E359E">
        <w:t>submission</w:t>
      </w:r>
      <w:r w:rsidRPr="000A4A42">
        <w:t xml:space="preserve"> by </w:t>
      </w:r>
      <w:r w:rsidR="00080114">
        <w:t>M</w:t>
      </w:r>
      <w:r w:rsidR="00735039">
        <w:t>oderna Australia Pty Ltd</w:t>
      </w:r>
      <w:r w:rsidRPr="000A4A42">
        <w:t xml:space="preserve"> (the sponsor) to register </w:t>
      </w:r>
      <w:proofErr w:type="spellStart"/>
      <w:r w:rsidR="00735039">
        <w:t>Spikevax</w:t>
      </w:r>
      <w:proofErr w:type="spellEnd"/>
      <w:r w:rsidR="00735039">
        <w:t xml:space="preserve"> bivalent Original/Omicron </w:t>
      </w:r>
      <w:r w:rsidR="001405D9">
        <w:t>BA.4-5</w:t>
      </w:r>
      <w:r w:rsidR="00C77326">
        <w:t xml:space="preserve"> vaccine</w:t>
      </w:r>
      <w:r w:rsidR="00735039" w:rsidRPr="00460036">
        <w:t xml:space="preserve"> </w:t>
      </w:r>
      <w:r w:rsidR="00735039">
        <w:t>(</w:t>
      </w:r>
      <w:proofErr w:type="spellStart"/>
      <w:r w:rsidR="00735039">
        <w:t>e</w:t>
      </w:r>
      <w:r w:rsidR="00735039" w:rsidRPr="00A00D37">
        <w:t>lasomeran</w:t>
      </w:r>
      <w:proofErr w:type="spellEnd"/>
      <w:r w:rsidR="00735039">
        <w:t xml:space="preserve"> and </w:t>
      </w:r>
      <w:proofErr w:type="spellStart"/>
      <w:r w:rsidR="00735039" w:rsidRPr="00A00D37">
        <w:t>davesomeran</w:t>
      </w:r>
      <w:proofErr w:type="spellEnd"/>
      <w:r w:rsidRPr="000A4A42">
        <w:t xml:space="preserve">) </w:t>
      </w:r>
      <w:r w:rsidR="00735039">
        <w:t>0.1 mg/mL</w:t>
      </w:r>
      <w:r w:rsidRPr="000A4A42">
        <w:t xml:space="preserve">, </w:t>
      </w:r>
      <w:r w:rsidR="00735039">
        <w:t>suspension for injection</w:t>
      </w:r>
      <w:r w:rsidRPr="000A4A42">
        <w:t xml:space="preserve"> for the following proposed indication</w:t>
      </w:r>
      <w:r w:rsidR="00735039">
        <w:t>:</w:t>
      </w:r>
    </w:p>
    <w:p w14:paraId="57AD8350" w14:textId="57A9E678" w:rsidR="00735039" w:rsidRPr="007379E5" w:rsidRDefault="00735039" w:rsidP="007379E5">
      <w:pPr>
        <w:ind w:left="720"/>
        <w:rPr>
          <w:i/>
          <w:iCs/>
        </w:rPr>
      </w:pPr>
      <w:proofErr w:type="spellStart"/>
      <w:r w:rsidRPr="007379E5">
        <w:rPr>
          <w:i/>
          <w:iCs/>
        </w:rPr>
        <w:t>S</w:t>
      </w:r>
      <w:r w:rsidR="007379E5" w:rsidRPr="007379E5">
        <w:rPr>
          <w:i/>
          <w:iCs/>
        </w:rPr>
        <w:t>pikevax</w:t>
      </w:r>
      <w:proofErr w:type="spellEnd"/>
      <w:r w:rsidR="007379E5" w:rsidRPr="007379E5">
        <w:rPr>
          <w:i/>
          <w:iCs/>
        </w:rPr>
        <w:t xml:space="preserve"> bivalent Original/Omicron BA.4 – 5 </w:t>
      </w:r>
      <w:r w:rsidRPr="007379E5">
        <w:rPr>
          <w:i/>
          <w:iCs/>
        </w:rPr>
        <w:t>(</w:t>
      </w:r>
      <w:proofErr w:type="spellStart"/>
      <w:r w:rsidRPr="007379E5">
        <w:rPr>
          <w:i/>
          <w:iCs/>
        </w:rPr>
        <w:t>elasomeran</w:t>
      </w:r>
      <w:proofErr w:type="spellEnd"/>
      <w:r w:rsidRPr="007379E5">
        <w:rPr>
          <w:i/>
          <w:iCs/>
        </w:rPr>
        <w:t>/</w:t>
      </w:r>
      <w:proofErr w:type="spellStart"/>
      <w:r w:rsidRPr="007379E5">
        <w:rPr>
          <w:i/>
          <w:iCs/>
        </w:rPr>
        <w:t>davesomeran</w:t>
      </w:r>
      <w:proofErr w:type="spellEnd"/>
      <w:r w:rsidRPr="007379E5">
        <w:rPr>
          <w:i/>
          <w:iCs/>
        </w:rPr>
        <w:t xml:space="preserve">) COVID-19 </w:t>
      </w:r>
      <w:r w:rsidR="007379E5" w:rsidRPr="007379E5">
        <w:rPr>
          <w:i/>
          <w:iCs/>
        </w:rPr>
        <w:t>v</w:t>
      </w:r>
      <w:r w:rsidRPr="007379E5">
        <w:rPr>
          <w:i/>
          <w:iCs/>
        </w:rPr>
        <w:t>accine has provisional approval for the indication below:</w:t>
      </w:r>
    </w:p>
    <w:p w14:paraId="149A99F7" w14:textId="2AAEB2AA" w:rsidR="00735039" w:rsidRPr="007379E5" w:rsidRDefault="00735039" w:rsidP="007379E5">
      <w:pPr>
        <w:ind w:left="720"/>
        <w:rPr>
          <w:i/>
          <w:iCs/>
        </w:rPr>
      </w:pPr>
      <w:r w:rsidRPr="007379E5">
        <w:rPr>
          <w:i/>
          <w:iCs/>
        </w:rPr>
        <w:t>As a booster dose for active immunisation to prevent coronavirus disease 2019 (COVID-19) caused by SARS-CoV-2 in individuals 6 years of age and older who have previously received at least a primary vaccination course against COVID-19.</w:t>
      </w:r>
    </w:p>
    <w:p w14:paraId="1307EB23" w14:textId="70C52178" w:rsidR="00735039" w:rsidRPr="007379E5" w:rsidRDefault="00735039" w:rsidP="007379E5">
      <w:pPr>
        <w:ind w:left="720"/>
        <w:rPr>
          <w:i/>
          <w:iCs/>
        </w:rPr>
      </w:pPr>
      <w:r w:rsidRPr="007379E5">
        <w:rPr>
          <w:i/>
          <w:iCs/>
        </w:rPr>
        <w:t>The use of this vaccine should be in accordance with official recommendations.</w:t>
      </w:r>
    </w:p>
    <w:p w14:paraId="455DE7E6" w14:textId="4DBC1D3C" w:rsidR="00735039" w:rsidRPr="000A4A42" w:rsidRDefault="00735039" w:rsidP="007379E5">
      <w:pPr>
        <w:ind w:left="720"/>
      </w:pPr>
      <w:r w:rsidRPr="007379E5">
        <w:rPr>
          <w:i/>
          <w:iCs/>
        </w:rPr>
        <w:t xml:space="preserve">The decision has been made </w:t>
      </w:r>
      <w:proofErr w:type="gramStart"/>
      <w:r w:rsidRPr="007379E5">
        <w:rPr>
          <w:i/>
          <w:iCs/>
        </w:rPr>
        <w:t>on the basis of</w:t>
      </w:r>
      <w:proofErr w:type="gramEnd"/>
      <w:r w:rsidRPr="007379E5">
        <w:rPr>
          <w:i/>
          <w:iCs/>
        </w:rPr>
        <w:t xml:space="preserve"> immunogenicity and</w:t>
      </w:r>
      <w:r w:rsidR="007379E5" w:rsidRPr="007379E5">
        <w:rPr>
          <w:i/>
          <w:iCs/>
        </w:rPr>
        <w:t xml:space="preserve"> </w:t>
      </w:r>
      <w:r w:rsidRPr="007379E5">
        <w:rPr>
          <w:i/>
          <w:iCs/>
        </w:rPr>
        <w:t>short-term safety data. Continued approval depends on the</w:t>
      </w:r>
      <w:r w:rsidR="007379E5" w:rsidRPr="007379E5">
        <w:rPr>
          <w:i/>
          <w:iCs/>
        </w:rPr>
        <w:t xml:space="preserve"> </w:t>
      </w:r>
      <w:r w:rsidRPr="007379E5">
        <w:rPr>
          <w:i/>
          <w:iCs/>
        </w:rPr>
        <w:t xml:space="preserve">evidence of </w:t>
      </w:r>
      <w:proofErr w:type="gramStart"/>
      <w:r w:rsidRPr="007379E5">
        <w:rPr>
          <w:i/>
          <w:iCs/>
        </w:rPr>
        <w:t>longer term</w:t>
      </w:r>
      <w:proofErr w:type="gramEnd"/>
      <w:r w:rsidRPr="007379E5">
        <w:rPr>
          <w:i/>
          <w:iCs/>
        </w:rPr>
        <w:t xml:space="preserve"> benefits and safety from ongoing clinical</w:t>
      </w:r>
      <w:r w:rsidR="007379E5" w:rsidRPr="007379E5">
        <w:rPr>
          <w:i/>
          <w:iCs/>
        </w:rPr>
        <w:t xml:space="preserve"> </w:t>
      </w:r>
      <w:r w:rsidRPr="007379E5">
        <w:rPr>
          <w:i/>
          <w:iCs/>
        </w:rPr>
        <w:t>trials and post-market assessment.</w:t>
      </w:r>
    </w:p>
    <w:p w14:paraId="6320D788" w14:textId="77777777" w:rsidR="007379E5" w:rsidRPr="007379E5" w:rsidRDefault="007379E5" w:rsidP="007379E5">
      <w:pPr>
        <w:pStyle w:val="Heading4"/>
      </w:pPr>
      <w:bookmarkStart w:id="12" w:name="_Toc314842485"/>
      <w:bookmarkStart w:id="13" w:name="_Toc247691504"/>
      <w:r w:rsidRPr="007379E5">
        <w:lastRenderedPageBreak/>
        <w:t>Condition</w:t>
      </w:r>
    </w:p>
    <w:p w14:paraId="7DF96E85" w14:textId="48C2B00A" w:rsidR="007379E5" w:rsidRPr="007379E5" w:rsidRDefault="003624BA" w:rsidP="007379E5">
      <w:r>
        <w:rPr>
          <w:color w:val="000000"/>
        </w:rPr>
        <w:t>C</w:t>
      </w:r>
      <w:r w:rsidRPr="00CB60CC">
        <w:rPr>
          <w:color w:val="000000"/>
        </w:rPr>
        <w:t>oronavirus disease 2019</w:t>
      </w:r>
      <w:r>
        <w:rPr>
          <w:color w:val="000000"/>
        </w:rPr>
        <w:t xml:space="preserve"> (</w:t>
      </w:r>
      <w:r w:rsidR="007379E5" w:rsidRPr="007379E5">
        <w:t>COVID-19</w:t>
      </w:r>
      <w:r>
        <w:t>)</w:t>
      </w:r>
      <w:r w:rsidR="007379E5" w:rsidRPr="007379E5">
        <w:t xml:space="preserve"> is a disease caused by infection with the pandemic virus </w:t>
      </w:r>
      <w:r>
        <w:rPr>
          <w:color w:val="000000"/>
        </w:rPr>
        <w:t>s</w:t>
      </w:r>
      <w:r w:rsidRPr="00CB60CC">
        <w:rPr>
          <w:color w:val="000000"/>
        </w:rPr>
        <w:t>evere acute respiratory syndrome coronavirus 2</w:t>
      </w:r>
      <w:r>
        <w:rPr>
          <w:color w:val="000000"/>
        </w:rPr>
        <w:t xml:space="preserve"> (</w:t>
      </w:r>
      <w:r w:rsidR="007379E5" w:rsidRPr="007379E5">
        <w:t>SARS-CoV-2</w:t>
      </w:r>
      <w:r>
        <w:t>)</w:t>
      </w:r>
      <w:r w:rsidR="007379E5" w:rsidRPr="007379E5">
        <w:t xml:space="preserve">, which was first recognised </w:t>
      </w:r>
      <w:r w:rsidR="00080114">
        <w:t>overseas</w:t>
      </w:r>
      <w:r w:rsidR="00080114" w:rsidRPr="007379E5">
        <w:t xml:space="preserve"> </w:t>
      </w:r>
      <w:r w:rsidR="007379E5" w:rsidRPr="007379E5">
        <w:t xml:space="preserve">in late 2019 and in Australia by early 2020. It is manifested by respiratory, </w:t>
      </w:r>
      <w:proofErr w:type="gramStart"/>
      <w:r w:rsidR="007379E5" w:rsidRPr="007379E5">
        <w:t>systemic</w:t>
      </w:r>
      <w:proofErr w:type="gramEnd"/>
      <w:r w:rsidR="007379E5" w:rsidRPr="007379E5">
        <w:t xml:space="preserve"> and other organ-related symptomatology.</w:t>
      </w:r>
    </w:p>
    <w:p w14:paraId="6511D6A8" w14:textId="07D3F3B3" w:rsidR="007379E5" w:rsidRPr="007379E5" w:rsidRDefault="007379E5" w:rsidP="007379E5">
      <w:r w:rsidRPr="007379E5">
        <w:t>Disease severity is mainly related to respiratory presentations, and generally increases with age. Mortality in unvaccinated individuals with untreated disease is rare in childhood but increases steeply beyond 60 years of age.</w:t>
      </w:r>
    </w:p>
    <w:p w14:paraId="7864CC0F" w14:textId="6938C5DC" w:rsidR="007379E5" w:rsidRPr="007379E5" w:rsidRDefault="007379E5" w:rsidP="007379E5">
      <w:r w:rsidRPr="007379E5">
        <w:t>In the absence of highly effective prophylactic or therapeutic medicines, active immunisation through vaccination represents the best means of preventing hospitalisation and deaths at an individual level and controlling the pandemic at a societal level.</w:t>
      </w:r>
    </w:p>
    <w:p w14:paraId="4DF56445" w14:textId="4B56F350" w:rsidR="007379E5" w:rsidRPr="007379E5" w:rsidRDefault="007379E5" w:rsidP="007379E5">
      <w:r w:rsidRPr="007379E5">
        <w:t>Emerging mutated SARS-CoV-2 variants of concern pose challenges for current vaccination strategies, which until recently have been based on inducing immunity to the non-mutated spike protein that was sequenced in the original wild</w:t>
      </w:r>
      <w:r w:rsidR="00E67060">
        <w:t xml:space="preserve"> </w:t>
      </w:r>
      <w:proofErr w:type="gramStart"/>
      <w:r w:rsidRPr="007379E5">
        <w:t>type</w:t>
      </w:r>
      <w:proofErr w:type="gramEnd"/>
      <w:r w:rsidRPr="007379E5">
        <w:t xml:space="preserve"> virus.</w:t>
      </w:r>
    </w:p>
    <w:p w14:paraId="5A14789E" w14:textId="452CD5D4" w:rsidR="007379E5" w:rsidRPr="00E67060" w:rsidRDefault="007379E5" w:rsidP="00E67060">
      <w:r w:rsidRPr="00E67060">
        <w:t xml:space="preserve">In November 2021, the Omicron variant (B.1.1.529; BA.1) emerged as the most antigenically divergent variant at the time with </w:t>
      </w:r>
      <w:r w:rsidR="00E67060" w:rsidRPr="00E67060">
        <w:t>more than</w:t>
      </w:r>
      <w:r w:rsidRPr="00E67060">
        <w:t xml:space="preserve"> 30 mutations in the spike protein, granting it transmissibility advantages. Soon after its emergence, Omicron rapidly became </w:t>
      </w:r>
      <w:r w:rsidR="00080114">
        <w:t xml:space="preserve">the </w:t>
      </w:r>
      <w:r w:rsidRPr="00E67060">
        <w:t xml:space="preserve">dominant </w:t>
      </w:r>
      <w:r w:rsidR="00080114">
        <w:t xml:space="preserve">SARS-CoV-2 variant </w:t>
      </w:r>
      <w:r w:rsidRPr="00E67060">
        <w:t xml:space="preserve">worldwide. This was followed by emergence of various Omicron subvariants </w:t>
      </w:r>
      <w:r w:rsidR="001F2FCD">
        <w:t xml:space="preserve">including </w:t>
      </w:r>
      <w:r w:rsidRPr="00E67060">
        <w:t xml:space="preserve">BA.2, BA.2.75.2, BA.2.12.1, BA.4, BA.5, BQ.1.1, </w:t>
      </w:r>
      <w:r w:rsidR="001F2FCD">
        <w:t xml:space="preserve">and </w:t>
      </w:r>
      <w:r w:rsidRPr="00E67060">
        <w:t xml:space="preserve">XBB.1 </w:t>
      </w:r>
      <w:r w:rsidR="001F2FCD">
        <w:t>amongst</w:t>
      </w:r>
      <w:r w:rsidR="001F2FCD" w:rsidRPr="00E67060">
        <w:t xml:space="preserve"> </w:t>
      </w:r>
      <w:r w:rsidRPr="00E67060">
        <w:t xml:space="preserve">others. As of January 2023, </w:t>
      </w:r>
      <w:r w:rsidR="001F2FCD">
        <w:t xml:space="preserve">the Omicron </w:t>
      </w:r>
      <w:r w:rsidRPr="00E67060">
        <w:t xml:space="preserve">BA.5 subvariant remains one of the major lineages in the </w:t>
      </w:r>
      <w:r w:rsidR="00E67060" w:rsidRPr="00E67060">
        <w:t>United States of America (</w:t>
      </w:r>
      <w:r w:rsidRPr="00E67060">
        <w:t>US</w:t>
      </w:r>
      <w:r w:rsidR="00E67060" w:rsidRPr="00E67060">
        <w:t>A)</w:t>
      </w:r>
      <w:r w:rsidRPr="00E67060">
        <w:t xml:space="preserve"> but has been largely taken over by </w:t>
      </w:r>
      <w:r w:rsidR="001F2FCD">
        <w:t xml:space="preserve">the </w:t>
      </w:r>
      <w:r w:rsidRPr="00E67060">
        <w:t xml:space="preserve">BQ and XBB </w:t>
      </w:r>
      <w:r w:rsidR="001F2FCD">
        <w:t xml:space="preserve">Omicron </w:t>
      </w:r>
      <w:r w:rsidRPr="00E67060">
        <w:t>subvariants.</w:t>
      </w:r>
    </w:p>
    <w:p w14:paraId="5E641F29" w14:textId="6E092934" w:rsidR="007379E5" w:rsidRPr="00E67060" w:rsidRDefault="007379E5" w:rsidP="00E67060">
      <w:r w:rsidRPr="00E67060">
        <w:t xml:space="preserve">COVID-19 continues to be a significant public health issue to Australians. As of </w:t>
      </w:r>
      <w:r w:rsidR="001F2FCD">
        <w:t>1</w:t>
      </w:r>
      <w:r w:rsidRPr="00E67060">
        <w:t xml:space="preserve">4 </w:t>
      </w:r>
      <w:r w:rsidR="001F2FCD">
        <w:t>February</w:t>
      </w:r>
      <w:r w:rsidR="001F2FCD" w:rsidRPr="00E67060">
        <w:t xml:space="preserve"> </w:t>
      </w:r>
      <w:r w:rsidRPr="00E67060">
        <w:t xml:space="preserve">2023, the 7-day rolling averages </w:t>
      </w:r>
      <w:r w:rsidR="001F2FCD">
        <w:t xml:space="preserve">for COVID-19 </w:t>
      </w:r>
      <w:r w:rsidRPr="00E67060">
        <w:t>are as follows:</w:t>
      </w:r>
      <w:r w:rsidRPr="00E67060">
        <w:rPr>
          <w:vertAlign w:val="superscript"/>
        </w:rPr>
        <w:footnoteReference w:id="1"/>
      </w:r>
    </w:p>
    <w:p w14:paraId="420C58F6" w14:textId="707E9B56" w:rsidR="007379E5" w:rsidRPr="00E67060" w:rsidRDefault="007379E5" w:rsidP="00E67060">
      <w:pPr>
        <w:pStyle w:val="ListBullet"/>
      </w:pPr>
      <w:r w:rsidRPr="00E67060">
        <w:t xml:space="preserve">number of cases identified: </w:t>
      </w:r>
      <w:r w:rsidR="001F2FCD">
        <w:t>2,587</w:t>
      </w:r>
    </w:p>
    <w:p w14:paraId="6EBDB2E0" w14:textId="441A1E5D" w:rsidR="007379E5" w:rsidRPr="00E67060" w:rsidRDefault="007379E5" w:rsidP="00E67060">
      <w:pPr>
        <w:pStyle w:val="ListBullet"/>
      </w:pPr>
      <w:r w:rsidRPr="00E67060">
        <w:t xml:space="preserve">number of people hospitalised: </w:t>
      </w:r>
      <w:r w:rsidR="001F2FCD">
        <w:t>1,432</w:t>
      </w:r>
    </w:p>
    <w:p w14:paraId="7E842F96" w14:textId="390BB3D2" w:rsidR="007379E5" w:rsidRPr="00E67060" w:rsidRDefault="007379E5" w:rsidP="00E67060">
      <w:pPr>
        <w:pStyle w:val="ListBullet"/>
      </w:pPr>
      <w:r w:rsidRPr="00E67060">
        <w:t xml:space="preserve">number of people in </w:t>
      </w:r>
      <w:r w:rsidR="00F20FF1">
        <w:t>intensive care unit (</w:t>
      </w:r>
      <w:r w:rsidRPr="00E67060">
        <w:t>ICU</w:t>
      </w:r>
      <w:r w:rsidR="00F20FF1">
        <w:t>)</w:t>
      </w:r>
      <w:r w:rsidRPr="00E67060">
        <w:t xml:space="preserve">: </w:t>
      </w:r>
      <w:r w:rsidR="001F2FCD">
        <w:t>46</w:t>
      </w:r>
    </w:p>
    <w:p w14:paraId="30228335" w14:textId="10FE578F" w:rsidR="007379E5" w:rsidRPr="00E67060" w:rsidRDefault="007379E5" w:rsidP="00E67060">
      <w:pPr>
        <w:pStyle w:val="ListBullet"/>
      </w:pPr>
      <w:r w:rsidRPr="00E67060">
        <w:t xml:space="preserve">number of deaths: </w:t>
      </w:r>
      <w:r w:rsidR="001F2FCD">
        <w:t>3</w:t>
      </w:r>
    </w:p>
    <w:p w14:paraId="37104984" w14:textId="1DB72CFD" w:rsidR="007379E5" w:rsidRDefault="007379E5" w:rsidP="00E67060">
      <w:r w:rsidRPr="00E67060">
        <w:t xml:space="preserve">Cumulatively, there have been </w:t>
      </w:r>
      <w:r w:rsidR="006D6BD4">
        <w:t>over 11.3 million</w:t>
      </w:r>
      <w:r w:rsidR="006D6BD4" w:rsidRPr="006D6BD4">
        <w:t xml:space="preserve"> </w:t>
      </w:r>
      <w:r w:rsidRPr="00E67060">
        <w:t xml:space="preserve">confirmed cases and </w:t>
      </w:r>
      <w:r w:rsidR="006D6BD4" w:rsidRPr="006D6BD4">
        <w:t>19,168</w:t>
      </w:r>
      <w:r w:rsidR="006D6BD4" w:rsidRPr="006D6BD4" w:rsidDel="006D6BD4">
        <w:t xml:space="preserve"> </w:t>
      </w:r>
      <w:r w:rsidRPr="00E67060">
        <w:t xml:space="preserve">deaths in Australia due to COVID-19 as of </w:t>
      </w:r>
      <w:r w:rsidR="006D6BD4">
        <w:t>21</w:t>
      </w:r>
      <w:r w:rsidRPr="00E67060">
        <w:t xml:space="preserve"> February 2023.</w:t>
      </w:r>
      <w:r w:rsidRPr="00E67060">
        <w:rPr>
          <w:vertAlign w:val="superscript"/>
        </w:rPr>
        <w:footnoteReference w:id="2"/>
      </w:r>
    </w:p>
    <w:p w14:paraId="75B66250" w14:textId="1EB82888" w:rsidR="00E67060" w:rsidRDefault="00E67060" w:rsidP="00E67060">
      <w:pPr>
        <w:pStyle w:val="Heading4"/>
      </w:pPr>
      <w:r w:rsidRPr="00CC7009">
        <w:t xml:space="preserve">Current </w:t>
      </w:r>
      <w:r>
        <w:t>vaccine</w:t>
      </w:r>
      <w:r w:rsidRPr="00CC7009">
        <w:t xml:space="preserve"> options</w:t>
      </w:r>
    </w:p>
    <w:p w14:paraId="524F0C65" w14:textId="0BF9C3E6" w:rsidR="00E67060" w:rsidRPr="00CF18A4" w:rsidRDefault="00E67060" w:rsidP="00E67060">
      <w:r w:rsidRPr="00CF18A4">
        <w:fldChar w:fldCharType="begin"/>
      </w:r>
      <w:r w:rsidRPr="00CF18A4">
        <w:instrText xml:space="preserve"> REF _Ref118212276 \h  \* MERGEFORMAT </w:instrText>
      </w:r>
      <w:r w:rsidRPr="00CF18A4">
        <w:fldChar w:fldCharType="separate"/>
      </w:r>
      <w:r w:rsidR="00AA4DFB" w:rsidRPr="00AA4DFB">
        <w:rPr>
          <w:szCs w:val="20"/>
        </w:rPr>
        <w:t xml:space="preserve">Table </w:t>
      </w:r>
      <w:r w:rsidR="00AA4DFB" w:rsidRPr="00AA4DFB">
        <w:rPr>
          <w:noProof/>
          <w:szCs w:val="20"/>
        </w:rPr>
        <w:t>1</w:t>
      </w:r>
      <w:r w:rsidRPr="00CF18A4">
        <w:fldChar w:fldCharType="end"/>
      </w:r>
      <w:r w:rsidRPr="00CF18A4">
        <w:t xml:space="preserve"> and </w:t>
      </w:r>
      <w:r w:rsidRPr="00CF18A4">
        <w:fldChar w:fldCharType="begin"/>
      </w:r>
      <w:r w:rsidRPr="00CF18A4">
        <w:instrText xml:space="preserve"> REF _Ref118212285 \h  \* MERGEFORMAT </w:instrText>
      </w:r>
      <w:r w:rsidRPr="00CF18A4">
        <w:fldChar w:fldCharType="separate"/>
      </w:r>
      <w:r w:rsidR="00AA4DFB" w:rsidRPr="00AA4DFB">
        <w:rPr>
          <w:szCs w:val="20"/>
        </w:rPr>
        <w:t xml:space="preserve">Table </w:t>
      </w:r>
      <w:r w:rsidR="00AA4DFB" w:rsidRPr="00AA4DFB">
        <w:rPr>
          <w:noProof/>
          <w:szCs w:val="20"/>
        </w:rPr>
        <w:t>2</w:t>
      </w:r>
      <w:r w:rsidRPr="00CF18A4">
        <w:fldChar w:fldCharType="end"/>
      </w:r>
      <w:r>
        <w:t xml:space="preserve"> summarise the approval history of the COVID-19 vaccines provisionally registered on the ARTG for use in Australia. Further information on an approval is available from the associated </w:t>
      </w:r>
      <w:proofErr w:type="spellStart"/>
      <w:r>
        <w:t>AusPAR</w:t>
      </w:r>
      <w:proofErr w:type="spellEnd"/>
      <w:r>
        <w:t>.</w:t>
      </w:r>
    </w:p>
    <w:p w14:paraId="3D9B553C" w14:textId="0E741A42" w:rsidR="00E67060" w:rsidRPr="00CF18A4" w:rsidRDefault="00E67060" w:rsidP="00E67060">
      <w:r w:rsidRPr="00E86E89">
        <w:fldChar w:fldCharType="begin"/>
      </w:r>
      <w:r w:rsidRPr="00E86E89">
        <w:instrText xml:space="preserve"> REF _Ref118212276 \h  \* MERGEFORMAT </w:instrText>
      </w:r>
      <w:r w:rsidRPr="00E86E89">
        <w:fldChar w:fldCharType="separate"/>
      </w:r>
      <w:r w:rsidR="00AA4DFB" w:rsidRPr="00AA4DFB">
        <w:rPr>
          <w:szCs w:val="20"/>
        </w:rPr>
        <w:t xml:space="preserve">Table </w:t>
      </w:r>
      <w:r w:rsidR="00AA4DFB" w:rsidRPr="00AA4DFB">
        <w:rPr>
          <w:noProof/>
          <w:szCs w:val="20"/>
        </w:rPr>
        <w:t>1</w:t>
      </w:r>
      <w:r w:rsidRPr="00E86E89">
        <w:fldChar w:fldCharType="end"/>
      </w:r>
      <w:r>
        <w:t xml:space="preserve"> </w:t>
      </w:r>
      <w:r w:rsidRPr="00CF18A4">
        <w:t xml:space="preserve">lists the monovalent COVID-19 vaccines that </w:t>
      </w:r>
      <w:r>
        <w:t>were</w:t>
      </w:r>
      <w:r w:rsidRPr="00CF18A4">
        <w:t xml:space="preserve"> </w:t>
      </w:r>
      <w:r>
        <w:t xml:space="preserve">provisionally </w:t>
      </w:r>
      <w:r w:rsidRPr="00CF18A4">
        <w:t>approved for use in Australia at the time that this submission was considered.</w:t>
      </w:r>
      <w:r>
        <w:t xml:space="preserve"> A monovalent COVID-19 vaccine</w:t>
      </w:r>
      <w:r w:rsidRPr="00CF18A4">
        <w:t xml:space="preserve"> target</w:t>
      </w:r>
      <w:r>
        <w:t>s</w:t>
      </w:r>
      <w:r w:rsidRPr="00CF18A4">
        <w:t xml:space="preserve"> one </w:t>
      </w:r>
      <w:r>
        <w:t>strain of SARS-CoV-2.</w:t>
      </w:r>
    </w:p>
    <w:p w14:paraId="0B21B0C6" w14:textId="68A08B55" w:rsidR="00E67060" w:rsidRPr="00CF18A4" w:rsidRDefault="00E67060" w:rsidP="003D6221">
      <w:pPr>
        <w:pStyle w:val="TableTitle"/>
      </w:pPr>
      <w:bookmarkStart w:id="14" w:name="_Ref118212276"/>
      <w:r w:rsidRPr="00CF18A4">
        <w:lastRenderedPageBreak/>
        <w:t xml:space="preserve">Table </w:t>
      </w:r>
      <w:fldSimple w:instr=" SEQ Table \* ARABIC ">
        <w:r w:rsidR="00AA4DFB">
          <w:rPr>
            <w:noProof/>
          </w:rPr>
          <w:t>1</w:t>
        </w:r>
      </w:fldSimple>
      <w:bookmarkEnd w:id="14"/>
      <w:r w:rsidRPr="00CF18A4">
        <w:t>: Provisional approvals for monovalent COVID-19 vaccines in Australia</w:t>
      </w:r>
    </w:p>
    <w:tbl>
      <w:tblPr>
        <w:tblStyle w:val="TableTGAblue"/>
        <w:tblW w:w="0" w:type="auto"/>
        <w:tblLayout w:type="fixed"/>
        <w:tblLook w:val="04A0" w:firstRow="1" w:lastRow="0" w:firstColumn="1" w:lastColumn="0" w:noHBand="0" w:noVBand="1"/>
      </w:tblPr>
      <w:tblGrid>
        <w:gridCol w:w="2330"/>
        <w:gridCol w:w="6598"/>
      </w:tblGrid>
      <w:tr w:rsidR="00E67060" w:rsidRPr="00CF18A4" w14:paraId="2E5A6D56" w14:textId="77777777" w:rsidTr="00963637">
        <w:trPr>
          <w:cnfStyle w:val="100000000000" w:firstRow="1" w:lastRow="0" w:firstColumn="0" w:lastColumn="0" w:oddVBand="0" w:evenVBand="0" w:oddHBand="0" w:evenHBand="0" w:firstRowFirstColumn="0" w:firstRowLastColumn="0" w:lastRowFirstColumn="0" w:lastRowLastColumn="0"/>
        </w:trPr>
        <w:tc>
          <w:tcPr>
            <w:tcW w:w="8928" w:type="dxa"/>
            <w:gridSpan w:val="2"/>
          </w:tcPr>
          <w:p w14:paraId="26874478" w14:textId="77777777" w:rsidR="00E67060" w:rsidRPr="00CF18A4" w:rsidRDefault="00E67060" w:rsidP="00963637">
            <w:r w:rsidRPr="00CF18A4">
              <w:t xml:space="preserve">Monovalent COVID-19 vaccines </w:t>
            </w:r>
            <w:r>
              <w:t xml:space="preserve">provisionally </w:t>
            </w:r>
            <w:r w:rsidRPr="00CF18A4">
              <w:t>approved in Australia</w:t>
            </w:r>
          </w:p>
        </w:tc>
      </w:tr>
      <w:tr w:rsidR="00E67060" w:rsidRPr="00CF18A4" w14:paraId="7D4EAFF1" w14:textId="77777777" w:rsidTr="00963637">
        <w:tc>
          <w:tcPr>
            <w:tcW w:w="8928" w:type="dxa"/>
            <w:gridSpan w:val="2"/>
          </w:tcPr>
          <w:p w14:paraId="5E21497E" w14:textId="77777777" w:rsidR="00E67060" w:rsidRPr="00CF18A4" w:rsidRDefault="00E67060" w:rsidP="00963637">
            <w:pPr>
              <w:ind w:left="144"/>
              <w:rPr>
                <w:b/>
              </w:rPr>
            </w:pPr>
            <w:r w:rsidRPr="00CF18A4">
              <w:rPr>
                <w:b/>
              </w:rPr>
              <w:t>Comirnaty COVID-19 Vaccine</w:t>
            </w:r>
          </w:p>
          <w:p w14:paraId="3E0D4B07" w14:textId="77777777" w:rsidR="00E67060" w:rsidRPr="00CF18A4" w:rsidRDefault="00E67060" w:rsidP="00963637">
            <w:pPr>
              <w:ind w:left="144"/>
              <w:rPr>
                <w:b/>
              </w:rPr>
            </w:pPr>
            <w:r w:rsidRPr="00CF18A4">
              <w:t xml:space="preserve">Active ingredient: tozinameran (mRNA); formerly known as </w:t>
            </w:r>
            <w:r w:rsidRPr="00CF18A4">
              <w:rPr>
                <w:i/>
              </w:rPr>
              <w:t>BNT162b2</w:t>
            </w:r>
          </w:p>
          <w:p w14:paraId="1F0426BC" w14:textId="77777777" w:rsidR="00E67060" w:rsidRPr="00CF18A4" w:rsidRDefault="00E67060" w:rsidP="00963637">
            <w:pPr>
              <w:ind w:left="144"/>
            </w:pPr>
            <w:r w:rsidRPr="00CF18A4">
              <w:t>Sponsor: Pfizer Australia Pty Ltd</w:t>
            </w:r>
          </w:p>
        </w:tc>
      </w:tr>
      <w:tr w:rsidR="00E67060" w:rsidRPr="00CF18A4" w14:paraId="6FB9A6EF" w14:textId="77777777" w:rsidTr="00963637">
        <w:tc>
          <w:tcPr>
            <w:tcW w:w="2330" w:type="dxa"/>
            <w:vAlign w:val="center"/>
          </w:tcPr>
          <w:p w14:paraId="4EC0B2DA" w14:textId="77777777" w:rsidR="00E67060" w:rsidRPr="00CF18A4" w:rsidRDefault="00E67060" w:rsidP="00963637">
            <w:pPr>
              <w:ind w:right="0"/>
            </w:pPr>
            <w:r w:rsidRPr="00CF18A4">
              <w:t>25 February 2021 (initial registration)</w:t>
            </w:r>
          </w:p>
        </w:tc>
        <w:tc>
          <w:tcPr>
            <w:tcW w:w="6598" w:type="dxa"/>
          </w:tcPr>
          <w:p w14:paraId="519A2A3D" w14:textId="17200FC0" w:rsidR="00E67060" w:rsidRPr="00CF18A4" w:rsidRDefault="00E67060" w:rsidP="00963637">
            <w:pPr>
              <w:ind w:left="144" w:right="0"/>
            </w:pPr>
            <w:r w:rsidRPr="00CF18A4">
              <w:t>Primary series: for individuals aged 16 years and over (</w:t>
            </w:r>
            <w:proofErr w:type="spellStart"/>
            <w:r w:rsidR="00FE4B4B">
              <w:fldChar w:fldCharType="begin"/>
            </w:r>
            <w:r w:rsidR="00FE4B4B">
              <w:instrText xml:space="preserve"> HYPERLINK "https://www.tga.gov.au/resources/auspar/auspar-bnt162b2-mrna-comirnaty"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p w14:paraId="22534638" w14:textId="77777777" w:rsidR="00E67060" w:rsidRPr="00CF18A4" w:rsidRDefault="00E67060" w:rsidP="00963637">
            <w:pPr>
              <w:ind w:left="144" w:right="0"/>
            </w:pPr>
            <w:r w:rsidRPr="00CF18A4">
              <w:t>New product: 30 µg/0.3 mL concentrated suspension for injection. ARTG number: 346290</w:t>
            </w:r>
          </w:p>
        </w:tc>
      </w:tr>
      <w:tr w:rsidR="00E67060" w:rsidRPr="00CF18A4" w14:paraId="4B316253" w14:textId="77777777" w:rsidTr="00963637">
        <w:tc>
          <w:tcPr>
            <w:tcW w:w="2330" w:type="dxa"/>
            <w:vAlign w:val="center"/>
          </w:tcPr>
          <w:p w14:paraId="404621CD" w14:textId="77777777" w:rsidR="00E67060" w:rsidRPr="00CF18A4" w:rsidRDefault="00E67060" w:rsidP="00963637">
            <w:pPr>
              <w:ind w:right="0"/>
            </w:pPr>
            <w:r w:rsidRPr="00CF18A4">
              <w:t>22 July 2021</w:t>
            </w:r>
          </w:p>
        </w:tc>
        <w:tc>
          <w:tcPr>
            <w:tcW w:w="6598" w:type="dxa"/>
          </w:tcPr>
          <w:p w14:paraId="5D8B7C6E" w14:textId="4408EDF3" w:rsidR="00E67060" w:rsidRPr="00CF18A4" w:rsidRDefault="00E67060" w:rsidP="00963637">
            <w:pPr>
              <w:ind w:left="144" w:right="0"/>
            </w:pPr>
            <w:r w:rsidRPr="00CF18A4">
              <w:t>Primary series: for individuals aged 12 years and over (</w:t>
            </w:r>
            <w:proofErr w:type="spellStart"/>
            <w:r w:rsidR="00FE4B4B">
              <w:fldChar w:fldCharType="begin"/>
            </w:r>
            <w:r w:rsidR="00FE4B4B">
              <w:instrText xml:space="preserve"> HYPERLINK "https://www.tga.gov.au/resources/auspar/auspar-bnt162b2-mrna-comirnaty"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tc>
      </w:tr>
      <w:tr w:rsidR="00E67060" w:rsidRPr="00CF18A4" w14:paraId="31997E06" w14:textId="77777777" w:rsidTr="00963637">
        <w:tc>
          <w:tcPr>
            <w:tcW w:w="2330" w:type="dxa"/>
            <w:vAlign w:val="center"/>
          </w:tcPr>
          <w:p w14:paraId="4095E63D" w14:textId="77777777" w:rsidR="00E67060" w:rsidRPr="00CF18A4" w:rsidRDefault="00E67060" w:rsidP="00963637">
            <w:pPr>
              <w:ind w:right="0"/>
            </w:pPr>
            <w:r w:rsidRPr="00CF18A4">
              <w:t>26 October 2021</w:t>
            </w:r>
          </w:p>
        </w:tc>
        <w:tc>
          <w:tcPr>
            <w:tcW w:w="6598" w:type="dxa"/>
          </w:tcPr>
          <w:p w14:paraId="51AE9511" w14:textId="259D5BC5" w:rsidR="00E67060" w:rsidRPr="00CF18A4" w:rsidRDefault="00E67060" w:rsidP="00963637">
            <w:pPr>
              <w:ind w:left="144" w:right="0"/>
            </w:pPr>
            <w:r w:rsidRPr="00CF18A4">
              <w:t>Booster dose: for individuals aged 18 years and over (</w:t>
            </w:r>
            <w:proofErr w:type="spellStart"/>
            <w:r w:rsidR="00FE4B4B">
              <w:fldChar w:fldCharType="begin"/>
            </w:r>
            <w:r w:rsidR="00FE4B4B">
              <w:instrText xml:space="preserve"> HYPERLINK "https://www.tga.gov.au/resources/auspar/</w:instrText>
            </w:r>
            <w:r w:rsidR="00FE4B4B">
              <w:instrText xml:space="preserve">auspar-bnt162b2-mrna-0"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tc>
      </w:tr>
      <w:tr w:rsidR="00E67060" w:rsidRPr="00CF18A4" w14:paraId="0B1930B0" w14:textId="77777777" w:rsidTr="00963637">
        <w:tc>
          <w:tcPr>
            <w:tcW w:w="2330" w:type="dxa"/>
            <w:vAlign w:val="center"/>
          </w:tcPr>
          <w:p w14:paraId="688485A4" w14:textId="77777777" w:rsidR="00E67060" w:rsidRPr="00CF18A4" w:rsidRDefault="00E67060" w:rsidP="00963637">
            <w:pPr>
              <w:ind w:right="0"/>
            </w:pPr>
            <w:r w:rsidRPr="00CF18A4">
              <w:t>3 December 2021</w:t>
            </w:r>
          </w:p>
        </w:tc>
        <w:tc>
          <w:tcPr>
            <w:tcW w:w="6598" w:type="dxa"/>
          </w:tcPr>
          <w:p w14:paraId="3F07E023" w14:textId="20D65BE6" w:rsidR="00E67060" w:rsidRPr="00CF18A4" w:rsidRDefault="00E67060" w:rsidP="00963637">
            <w:pPr>
              <w:ind w:left="144" w:right="0"/>
            </w:pPr>
            <w:r w:rsidRPr="00CF18A4">
              <w:t>Primary series: for individuals aged 5 years and over (</w:t>
            </w:r>
            <w:proofErr w:type="spellStart"/>
            <w:r w:rsidR="00FE4B4B">
              <w:fldChar w:fldCharType="begin"/>
            </w:r>
            <w:r w:rsidR="00FE4B4B">
              <w:instrText xml:space="preserve"> HYPERLINK "https://www.tga.gov.au/resources/auspar/auspar-tozinameran-mrna-covid-19-vaccine"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p w14:paraId="2C2E6659" w14:textId="77777777" w:rsidR="00E67060" w:rsidRPr="00CF18A4" w:rsidRDefault="00E67060" w:rsidP="00963637">
            <w:pPr>
              <w:ind w:left="144" w:right="0"/>
            </w:pPr>
            <w:r w:rsidRPr="00CF18A4">
              <w:t>New strength/formulation: (Tris/sucrose buffer</w:t>
            </w:r>
            <w:r>
              <w:t xml:space="preserve"> formulation</w:t>
            </w:r>
            <w:r w:rsidRPr="00CF18A4">
              <w:t xml:space="preserve">), 10 µg/0.2 mL, 30 µg/0.3 </w:t>
            </w:r>
            <w:proofErr w:type="spellStart"/>
            <w:r w:rsidRPr="00CF18A4">
              <w:t>mL.</w:t>
            </w:r>
            <w:proofErr w:type="spellEnd"/>
            <w:r w:rsidRPr="00CF18A4">
              <w:t xml:space="preserve"> ARTG numbers: 377110, 377111</w:t>
            </w:r>
          </w:p>
        </w:tc>
      </w:tr>
      <w:tr w:rsidR="00E67060" w:rsidRPr="00CF18A4" w14:paraId="42D96DF6" w14:textId="77777777" w:rsidTr="00963637">
        <w:tc>
          <w:tcPr>
            <w:tcW w:w="2330" w:type="dxa"/>
            <w:vAlign w:val="center"/>
          </w:tcPr>
          <w:p w14:paraId="606D86EF" w14:textId="77777777" w:rsidR="00E67060" w:rsidRPr="00CF18A4" w:rsidRDefault="00E67060" w:rsidP="00963637">
            <w:pPr>
              <w:ind w:right="0"/>
            </w:pPr>
            <w:r w:rsidRPr="00CF18A4">
              <w:t>27 January 2022</w:t>
            </w:r>
          </w:p>
        </w:tc>
        <w:tc>
          <w:tcPr>
            <w:tcW w:w="6598" w:type="dxa"/>
          </w:tcPr>
          <w:p w14:paraId="64DE6519" w14:textId="5A905D65" w:rsidR="00E67060" w:rsidRPr="00CF18A4" w:rsidRDefault="00E67060" w:rsidP="00963637">
            <w:pPr>
              <w:ind w:left="144" w:right="0"/>
            </w:pPr>
            <w:r w:rsidRPr="00CF18A4">
              <w:t>Booster dose: for individuals aged 16 to 17 years old (</w:t>
            </w:r>
            <w:proofErr w:type="spellStart"/>
            <w:r w:rsidR="00FE4B4B">
              <w:fldChar w:fldCharType="begin"/>
            </w:r>
            <w:r w:rsidR="00FE4B4B">
              <w:instrText xml:space="preserve"> HYPERLINK "https://www.tga.gov.au/resources/auspar/auspar-tozinameran-mrna-covid-19-vaccine"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tc>
      </w:tr>
      <w:tr w:rsidR="00E67060" w:rsidRPr="00CF18A4" w14:paraId="1612BEBE" w14:textId="77777777" w:rsidTr="00963637">
        <w:tc>
          <w:tcPr>
            <w:tcW w:w="2330" w:type="dxa"/>
            <w:vAlign w:val="center"/>
          </w:tcPr>
          <w:p w14:paraId="2A5C5634" w14:textId="77777777" w:rsidR="00E67060" w:rsidRPr="00CF18A4" w:rsidRDefault="00E67060" w:rsidP="00963637">
            <w:pPr>
              <w:ind w:right="0"/>
            </w:pPr>
            <w:r w:rsidRPr="00CF18A4">
              <w:t>7 April 2022</w:t>
            </w:r>
          </w:p>
        </w:tc>
        <w:tc>
          <w:tcPr>
            <w:tcW w:w="6598" w:type="dxa"/>
          </w:tcPr>
          <w:p w14:paraId="3363C895" w14:textId="6F5BD989" w:rsidR="00E67060" w:rsidRPr="00CF18A4" w:rsidRDefault="00E67060" w:rsidP="00963637">
            <w:pPr>
              <w:ind w:left="144" w:right="0"/>
            </w:pPr>
            <w:r w:rsidRPr="00CF18A4">
              <w:t>Booster dose: for individuals aged 12 to 15 years old (</w:t>
            </w:r>
            <w:proofErr w:type="spellStart"/>
            <w:r w:rsidR="00FE4B4B">
              <w:fldChar w:fldCharType="begin"/>
            </w:r>
            <w:r w:rsidR="00FE4B4B">
              <w:instrText xml:space="preserve"> HYPERLINK "https://www.tga.gov.au/resources/auspar/auspar-tozinameran-0"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tc>
      </w:tr>
      <w:tr w:rsidR="00E67060" w:rsidRPr="00CF18A4" w14:paraId="78B40A95" w14:textId="77777777" w:rsidTr="00963637">
        <w:tc>
          <w:tcPr>
            <w:tcW w:w="2330" w:type="dxa"/>
            <w:vAlign w:val="center"/>
          </w:tcPr>
          <w:p w14:paraId="682C44DB" w14:textId="77777777" w:rsidR="00E67060" w:rsidRPr="00CF18A4" w:rsidRDefault="00E67060" w:rsidP="00963637">
            <w:pPr>
              <w:ind w:right="0"/>
            </w:pPr>
            <w:r w:rsidRPr="00CF18A4">
              <w:t>20 September 2022</w:t>
            </w:r>
          </w:p>
        </w:tc>
        <w:tc>
          <w:tcPr>
            <w:tcW w:w="6598" w:type="dxa"/>
          </w:tcPr>
          <w:p w14:paraId="055A6A7E" w14:textId="31B5418D" w:rsidR="00E67060" w:rsidRPr="00CF18A4" w:rsidRDefault="00E67060" w:rsidP="00963637">
            <w:pPr>
              <w:ind w:left="144" w:right="0"/>
            </w:pPr>
            <w:r w:rsidRPr="00CF18A4">
              <w:t>Booster dose: for individuals aged 5 to 11 years old (</w:t>
            </w:r>
            <w:proofErr w:type="spellStart"/>
            <w:r w:rsidR="00FE4B4B">
              <w:fldChar w:fldCharType="begin"/>
            </w:r>
            <w:r w:rsidR="00FE4B4B">
              <w:instrText xml:space="preserve"> HYPERLINK "https://www.tga.gov.au</w:instrText>
            </w:r>
            <w:r w:rsidR="00FE4B4B">
              <w:instrText xml:space="preserve">/resources/auspar/auspar-comirnaty"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tc>
      </w:tr>
      <w:tr w:rsidR="00E67060" w:rsidRPr="00CF18A4" w14:paraId="36CE467B" w14:textId="77777777" w:rsidTr="00963637">
        <w:tc>
          <w:tcPr>
            <w:tcW w:w="2330" w:type="dxa"/>
            <w:vAlign w:val="center"/>
          </w:tcPr>
          <w:p w14:paraId="2E06F9C8" w14:textId="77777777" w:rsidR="00E67060" w:rsidRPr="00CF18A4" w:rsidRDefault="00E67060" w:rsidP="00963637">
            <w:pPr>
              <w:ind w:right="0"/>
            </w:pPr>
            <w:r w:rsidRPr="00CF18A4">
              <w:t>29 September 2022</w:t>
            </w:r>
          </w:p>
        </w:tc>
        <w:tc>
          <w:tcPr>
            <w:tcW w:w="6598" w:type="dxa"/>
          </w:tcPr>
          <w:p w14:paraId="5CA926AD" w14:textId="11A07D8A" w:rsidR="00E67060" w:rsidRPr="00CF18A4" w:rsidRDefault="00E67060" w:rsidP="00963637">
            <w:pPr>
              <w:ind w:left="144" w:right="0"/>
            </w:pPr>
            <w:r w:rsidRPr="00CF18A4">
              <w:t>Primary series: individuals aged 6 months to ≤ 5 years old (</w:t>
            </w:r>
            <w:proofErr w:type="spellStart"/>
            <w:r w:rsidR="00FE4B4B">
              <w:fldChar w:fldCharType="begin"/>
            </w:r>
            <w:r w:rsidR="00FE4B4B">
              <w:instrText xml:space="preserve"> HYPERLINK "https://www.tga.gov.au/resources/auspar/auspar-tozinameran-1"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p w14:paraId="603D9D74" w14:textId="77777777" w:rsidR="00E67060" w:rsidRPr="00CF18A4" w:rsidRDefault="00E67060" w:rsidP="00963637">
            <w:pPr>
              <w:ind w:left="144" w:right="0"/>
            </w:pPr>
            <w:r w:rsidRPr="00CF18A4">
              <w:t xml:space="preserve">New strength: 3 µg/0.2 mL concentrated suspension for injection (Tris/sucrose formulation. ARTG number: 393433 </w:t>
            </w:r>
          </w:p>
        </w:tc>
      </w:tr>
      <w:tr w:rsidR="00E67060" w:rsidRPr="00CF18A4" w14:paraId="05EC7000" w14:textId="77777777" w:rsidTr="00963637">
        <w:tc>
          <w:tcPr>
            <w:tcW w:w="8928" w:type="dxa"/>
            <w:gridSpan w:val="2"/>
          </w:tcPr>
          <w:p w14:paraId="2272A045" w14:textId="77777777" w:rsidR="00E67060" w:rsidRPr="00CF18A4" w:rsidRDefault="00E67060" w:rsidP="00963637">
            <w:pPr>
              <w:ind w:left="144" w:right="0"/>
              <w:rPr>
                <w:b/>
              </w:rPr>
            </w:pPr>
            <w:proofErr w:type="spellStart"/>
            <w:r w:rsidRPr="00CF18A4">
              <w:rPr>
                <w:b/>
              </w:rPr>
              <w:t>Spikevax</w:t>
            </w:r>
            <w:proofErr w:type="spellEnd"/>
            <w:r w:rsidRPr="00CF18A4">
              <w:rPr>
                <w:b/>
              </w:rPr>
              <w:t xml:space="preserve"> COVID-19 vaccine</w:t>
            </w:r>
          </w:p>
          <w:p w14:paraId="227B4AC3" w14:textId="77777777" w:rsidR="00E67060" w:rsidRPr="00CF18A4" w:rsidRDefault="00E67060" w:rsidP="00963637">
            <w:pPr>
              <w:ind w:left="144" w:right="0"/>
            </w:pPr>
            <w:r w:rsidRPr="00CF18A4">
              <w:t xml:space="preserve">Active ingredient: </w:t>
            </w:r>
            <w:proofErr w:type="spellStart"/>
            <w:r w:rsidRPr="00CF18A4">
              <w:t>elasomeran</w:t>
            </w:r>
            <w:proofErr w:type="spellEnd"/>
            <w:r w:rsidRPr="00CF18A4">
              <w:t xml:space="preserve"> (mRNA)</w:t>
            </w:r>
          </w:p>
          <w:p w14:paraId="6EEFF08E" w14:textId="77777777" w:rsidR="00E67060" w:rsidRPr="00CF18A4" w:rsidRDefault="00E67060" w:rsidP="00963637">
            <w:pPr>
              <w:ind w:left="144" w:right="0"/>
            </w:pPr>
            <w:r w:rsidRPr="00CF18A4">
              <w:t>Sponsor: Moderna Australia Pty Ltd</w:t>
            </w:r>
          </w:p>
        </w:tc>
      </w:tr>
      <w:tr w:rsidR="00E67060" w:rsidRPr="00CF18A4" w14:paraId="3AC93271" w14:textId="77777777" w:rsidTr="00963637">
        <w:tc>
          <w:tcPr>
            <w:tcW w:w="2330" w:type="dxa"/>
            <w:vAlign w:val="center"/>
          </w:tcPr>
          <w:p w14:paraId="5A915F94" w14:textId="77777777" w:rsidR="00E67060" w:rsidRPr="00CF18A4" w:rsidRDefault="00E67060" w:rsidP="00963637">
            <w:pPr>
              <w:ind w:right="0"/>
            </w:pPr>
            <w:r w:rsidRPr="00CF18A4">
              <w:t>9 August 2021 (initial registration)</w:t>
            </w:r>
          </w:p>
        </w:tc>
        <w:tc>
          <w:tcPr>
            <w:tcW w:w="6598" w:type="dxa"/>
          </w:tcPr>
          <w:p w14:paraId="160C97B8" w14:textId="54FCDD44" w:rsidR="00E67060" w:rsidRPr="00CF18A4" w:rsidRDefault="00E67060" w:rsidP="00963637">
            <w:pPr>
              <w:ind w:left="144" w:right="0"/>
            </w:pPr>
            <w:r w:rsidRPr="00CF18A4">
              <w:t>Primary series: for individuals aged 18 years and over (</w:t>
            </w:r>
            <w:proofErr w:type="spellStart"/>
            <w:r w:rsidR="00FE4B4B">
              <w:fldChar w:fldCharType="begin"/>
            </w:r>
            <w:r w:rsidR="00FE4B4B">
              <w:instrText xml:space="preserve"> HYPERLINK "https://www.tga.gov.au/resources/auspar/auspar-elasomeran"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p w14:paraId="7C253758" w14:textId="77777777" w:rsidR="00E67060" w:rsidRPr="00CF18A4" w:rsidRDefault="00E67060" w:rsidP="00963637">
            <w:pPr>
              <w:ind w:left="144" w:right="0"/>
            </w:pPr>
            <w:r w:rsidRPr="00CF18A4">
              <w:t>New product: 0.2 mg/mL, suspension for injection.</w:t>
            </w:r>
            <w:r w:rsidRPr="00CF18A4">
              <w:br/>
              <w:t>ARTG number: 370599</w:t>
            </w:r>
          </w:p>
        </w:tc>
      </w:tr>
      <w:tr w:rsidR="00E67060" w:rsidRPr="00CF18A4" w14:paraId="0B03D722" w14:textId="77777777" w:rsidTr="00963637">
        <w:tc>
          <w:tcPr>
            <w:tcW w:w="2330" w:type="dxa"/>
            <w:vAlign w:val="center"/>
          </w:tcPr>
          <w:p w14:paraId="53A0DC1C" w14:textId="77777777" w:rsidR="00E67060" w:rsidRPr="00CF18A4" w:rsidRDefault="00E67060" w:rsidP="00963637">
            <w:pPr>
              <w:ind w:right="0"/>
            </w:pPr>
            <w:r w:rsidRPr="00CF18A4">
              <w:t>3 September 2021</w:t>
            </w:r>
          </w:p>
        </w:tc>
        <w:tc>
          <w:tcPr>
            <w:tcW w:w="6598" w:type="dxa"/>
          </w:tcPr>
          <w:p w14:paraId="5D290DD0" w14:textId="03C15425" w:rsidR="00E67060" w:rsidRPr="00CF18A4" w:rsidRDefault="00E67060" w:rsidP="00963637">
            <w:pPr>
              <w:ind w:left="144" w:right="0"/>
            </w:pPr>
            <w:r w:rsidRPr="00CF18A4">
              <w:t xml:space="preserve">Primary series: for individuals aged 12 </w:t>
            </w:r>
            <w:r>
              <w:t xml:space="preserve">to 18 </w:t>
            </w:r>
            <w:r w:rsidRPr="00CF18A4">
              <w:t xml:space="preserve">years </w:t>
            </w:r>
            <w:r>
              <w:t>(</w:t>
            </w:r>
            <w:r w:rsidRPr="00CF18A4">
              <w:t>and over</w:t>
            </w:r>
            <w:r>
              <w:t>)</w:t>
            </w:r>
            <w:r w:rsidRPr="00CF18A4">
              <w:t xml:space="preserve"> (</w:t>
            </w:r>
            <w:proofErr w:type="spellStart"/>
            <w:r w:rsidR="00FE4B4B">
              <w:fldChar w:fldCharType="begin"/>
            </w:r>
            <w:r w:rsidR="00FE4B4B">
              <w:instrText xml:space="preserve"> HYPERLINK "https://www.tga.gov.au/resources/auspar/auspar-elasomeran-0"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tc>
      </w:tr>
      <w:tr w:rsidR="00E67060" w:rsidRPr="00CF18A4" w14:paraId="7D44CE85" w14:textId="77777777" w:rsidTr="00963637">
        <w:tc>
          <w:tcPr>
            <w:tcW w:w="2330" w:type="dxa"/>
            <w:vAlign w:val="center"/>
          </w:tcPr>
          <w:p w14:paraId="2D60DC6A" w14:textId="77777777" w:rsidR="00E67060" w:rsidRPr="00CF18A4" w:rsidRDefault="00E67060" w:rsidP="00963637">
            <w:pPr>
              <w:ind w:right="0"/>
            </w:pPr>
            <w:r w:rsidRPr="00CF18A4">
              <w:t>7 December 2021</w:t>
            </w:r>
          </w:p>
        </w:tc>
        <w:tc>
          <w:tcPr>
            <w:tcW w:w="6598" w:type="dxa"/>
          </w:tcPr>
          <w:p w14:paraId="77F496A9" w14:textId="2AC5CC23" w:rsidR="00E67060" w:rsidRPr="00CF18A4" w:rsidRDefault="00E67060" w:rsidP="00963637">
            <w:pPr>
              <w:ind w:left="144" w:right="0"/>
            </w:pPr>
            <w:r w:rsidRPr="00CF18A4">
              <w:t>Booster dose: for individuals aged 18 years and over (</w:t>
            </w:r>
            <w:proofErr w:type="spellStart"/>
            <w:r w:rsidR="00FE4B4B">
              <w:fldChar w:fldCharType="begin"/>
            </w:r>
            <w:r w:rsidR="00FE4B4B">
              <w:instrText xml:space="preserve"> HYPERLINK "https://www.tga.gov.au/resources/auspar/auspar-elasomeran-mrna-1273"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tc>
      </w:tr>
      <w:tr w:rsidR="00E67060" w:rsidRPr="00CF18A4" w14:paraId="4EB6B6ED" w14:textId="77777777" w:rsidTr="00963637">
        <w:tc>
          <w:tcPr>
            <w:tcW w:w="2330" w:type="dxa"/>
            <w:vAlign w:val="center"/>
          </w:tcPr>
          <w:p w14:paraId="53B3D1B5" w14:textId="77777777" w:rsidR="00E67060" w:rsidRPr="00CF18A4" w:rsidRDefault="00E67060" w:rsidP="00963637">
            <w:pPr>
              <w:ind w:right="0"/>
            </w:pPr>
            <w:r w:rsidRPr="00CF18A4">
              <w:t>17 February 2022</w:t>
            </w:r>
          </w:p>
        </w:tc>
        <w:tc>
          <w:tcPr>
            <w:tcW w:w="6598" w:type="dxa"/>
          </w:tcPr>
          <w:p w14:paraId="3480DD4E" w14:textId="01351324" w:rsidR="00E67060" w:rsidRPr="00CF18A4" w:rsidRDefault="00E67060" w:rsidP="00963637">
            <w:pPr>
              <w:ind w:left="144" w:right="0"/>
            </w:pPr>
            <w:r w:rsidRPr="00CF18A4">
              <w:t xml:space="preserve">Primary series: for individuals aged 6 </w:t>
            </w:r>
            <w:r>
              <w:t xml:space="preserve">to 12 </w:t>
            </w:r>
            <w:r w:rsidRPr="00CF18A4">
              <w:t xml:space="preserve">years </w:t>
            </w:r>
            <w:r>
              <w:t>(</w:t>
            </w:r>
            <w:r w:rsidRPr="00CF18A4">
              <w:t>and over</w:t>
            </w:r>
            <w:r>
              <w:t>)</w:t>
            </w:r>
            <w:r w:rsidRPr="00CF18A4">
              <w:t xml:space="preserve"> (</w:t>
            </w:r>
            <w:proofErr w:type="spellStart"/>
            <w:r w:rsidR="00FE4B4B">
              <w:fldChar w:fldCharType="begin"/>
            </w:r>
            <w:r w:rsidR="00FE4B4B">
              <w:instrText xml:space="preserve"> HYPERLINK "https://www.tga.gov.au/resources/auspar/auspar-elasomeran-1"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tc>
      </w:tr>
      <w:tr w:rsidR="00E67060" w:rsidRPr="00CF18A4" w14:paraId="63D0A753" w14:textId="77777777" w:rsidTr="00963637">
        <w:tc>
          <w:tcPr>
            <w:tcW w:w="2330" w:type="dxa"/>
            <w:vAlign w:val="center"/>
          </w:tcPr>
          <w:p w14:paraId="529487C6" w14:textId="77777777" w:rsidR="00E67060" w:rsidRPr="00CF18A4" w:rsidRDefault="00E67060" w:rsidP="00963637">
            <w:pPr>
              <w:ind w:right="0"/>
            </w:pPr>
            <w:r w:rsidRPr="00CF18A4">
              <w:t>19 July 2022</w:t>
            </w:r>
          </w:p>
        </w:tc>
        <w:tc>
          <w:tcPr>
            <w:tcW w:w="6598" w:type="dxa"/>
          </w:tcPr>
          <w:p w14:paraId="2729A36D" w14:textId="6C2BF6EF" w:rsidR="00E67060" w:rsidRPr="00CF18A4" w:rsidRDefault="00E67060" w:rsidP="00963637">
            <w:pPr>
              <w:ind w:left="144" w:right="0"/>
            </w:pPr>
            <w:r w:rsidRPr="00CF18A4">
              <w:t xml:space="preserve">Primary series: for individuals aged 6 months </w:t>
            </w:r>
            <w:r>
              <w:t xml:space="preserve">to 6 years </w:t>
            </w:r>
            <w:r w:rsidRPr="00CF18A4">
              <w:t>(</w:t>
            </w:r>
            <w:proofErr w:type="spellStart"/>
            <w:r w:rsidR="00FE4B4B">
              <w:fldChar w:fldCharType="begin"/>
            </w:r>
            <w:r w:rsidR="00FE4B4B">
              <w:instrText xml:space="preserve"> HYPERLINK "https://www.tga.gov.au/resources/auspar/auspar-spikevax"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p w14:paraId="036F670A" w14:textId="77777777" w:rsidR="00E67060" w:rsidRPr="00CF18A4" w:rsidRDefault="00E67060" w:rsidP="00963637">
            <w:pPr>
              <w:ind w:left="144" w:right="0"/>
            </w:pPr>
            <w:r w:rsidRPr="00CF18A4">
              <w:lastRenderedPageBreak/>
              <w:t>New strength: 0.1 mg/mL suspension for injection</w:t>
            </w:r>
            <w:r w:rsidRPr="00CF18A4">
              <w:br/>
              <w:t>ARTG numbers: 388244, 388245</w:t>
            </w:r>
          </w:p>
        </w:tc>
      </w:tr>
      <w:tr w:rsidR="00E67060" w:rsidRPr="00CF18A4" w14:paraId="7B84BB15" w14:textId="77777777" w:rsidTr="00963637">
        <w:tc>
          <w:tcPr>
            <w:tcW w:w="2330" w:type="dxa"/>
          </w:tcPr>
          <w:p w14:paraId="56AFF9F0" w14:textId="77777777" w:rsidR="00E67060" w:rsidRPr="00CF18A4" w:rsidRDefault="00E67060" w:rsidP="00963637">
            <w:pPr>
              <w:ind w:right="0"/>
            </w:pPr>
            <w:r w:rsidRPr="00CF18A4">
              <w:lastRenderedPageBreak/>
              <w:t>19 October 2022</w:t>
            </w:r>
          </w:p>
        </w:tc>
        <w:tc>
          <w:tcPr>
            <w:tcW w:w="6598" w:type="dxa"/>
          </w:tcPr>
          <w:p w14:paraId="38143D69" w14:textId="6DAD2B21" w:rsidR="00E67060" w:rsidRPr="00CF18A4" w:rsidRDefault="00E67060" w:rsidP="00963637">
            <w:pPr>
              <w:ind w:left="144" w:right="0"/>
            </w:pPr>
            <w:r w:rsidRPr="00CF18A4">
              <w:t>Booster dose: for individuals aged 12 years and over (</w:t>
            </w:r>
            <w:proofErr w:type="spellStart"/>
            <w:r w:rsidR="00FE4B4B">
              <w:fldChar w:fldCharType="begin"/>
            </w:r>
            <w:r w:rsidR="00FE4B4B">
              <w:instrText xml:space="preserve"> HYPERLINK "https://www.tga</w:instrText>
            </w:r>
            <w:r w:rsidR="00FE4B4B">
              <w:instrText xml:space="preserve">.gov.au/resources/auspar/auspar-spikevax-0" </w:instrText>
            </w:r>
            <w:r w:rsidR="00FE4B4B">
              <w:fldChar w:fldCharType="separate"/>
            </w:r>
            <w:r w:rsidRPr="00E67060">
              <w:rPr>
                <w:rStyle w:val="Hyperlink"/>
              </w:rPr>
              <w:t>AusPAR</w:t>
            </w:r>
            <w:proofErr w:type="spellEnd"/>
            <w:r w:rsidR="00FE4B4B">
              <w:rPr>
                <w:rStyle w:val="Hyperlink"/>
              </w:rPr>
              <w:fldChar w:fldCharType="end"/>
            </w:r>
            <w:r w:rsidRPr="00CF18A4">
              <w:t>)</w:t>
            </w:r>
          </w:p>
        </w:tc>
      </w:tr>
      <w:tr w:rsidR="00E67060" w:rsidRPr="00CF18A4" w14:paraId="61ECB306" w14:textId="77777777" w:rsidTr="00963637">
        <w:tc>
          <w:tcPr>
            <w:tcW w:w="8928" w:type="dxa"/>
            <w:gridSpan w:val="2"/>
          </w:tcPr>
          <w:p w14:paraId="2E0A21F2" w14:textId="77777777" w:rsidR="00E67060" w:rsidRPr="00CF18A4" w:rsidRDefault="00E67060" w:rsidP="00963637">
            <w:pPr>
              <w:ind w:left="144" w:right="0"/>
              <w:rPr>
                <w:b/>
              </w:rPr>
            </w:pPr>
            <w:proofErr w:type="spellStart"/>
            <w:r w:rsidRPr="00CF18A4">
              <w:rPr>
                <w:b/>
              </w:rPr>
              <w:t>Nuvaxovid</w:t>
            </w:r>
            <w:proofErr w:type="spellEnd"/>
            <w:r w:rsidRPr="00CF18A4">
              <w:rPr>
                <w:b/>
              </w:rPr>
              <w:t xml:space="preserve"> COVID-19 vaccine</w:t>
            </w:r>
          </w:p>
          <w:p w14:paraId="55C50A91" w14:textId="77777777" w:rsidR="00E67060" w:rsidRPr="00CF18A4" w:rsidRDefault="00E67060" w:rsidP="00963637">
            <w:pPr>
              <w:ind w:left="144" w:right="0"/>
            </w:pPr>
            <w:r w:rsidRPr="00CF18A4">
              <w:t xml:space="preserve">Active ingredient: SARS-CoV-2 </w:t>
            </w:r>
            <w:proofErr w:type="spellStart"/>
            <w:r w:rsidRPr="00CF18A4">
              <w:t>rS</w:t>
            </w:r>
            <w:proofErr w:type="spellEnd"/>
            <w:r w:rsidRPr="00CF18A4">
              <w:t xml:space="preserve"> vaccine with Matrix-M1 adjuvant (protein vaccine)</w:t>
            </w:r>
          </w:p>
          <w:p w14:paraId="03334BB9" w14:textId="77777777" w:rsidR="00E67060" w:rsidRPr="00CF18A4" w:rsidRDefault="00E67060" w:rsidP="00963637">
            <w:pPr>
              <w:ind w:left="144" w:right="0"/>
            </w:pPr>
            <w:r w:rsidRPr="00CF18A4">
              <w:t xml:space="preserve">Sponsor: </w:t>
            </w:r>
            <w:proofErr w:type="spellStart"/>
            <w:r w:rsidRPr="00CF18A4">
              <w:t>Biocelect</w:t>
            </w:r>
            <w:proofErr w:type="spellEnd"/>
            <w:r w:rsidRPr="00CF18A4">
              <w:t xml:space="preserve"> Pty Ltd (on behalf of Novavax Inc)</w:t>
            </w:r>
          </w:p>
        </w:tc>
      </w:tr>
      <w:tr w:rsidR="00E67060" w:rsidRPr="00CF18A4" w14:paraId="4903502A" w14:textId="77777777" w:rsidTr="00963637">
        <w:tc>
          <w:tcPr>
            <w:tcW w:w="2330" w:type="dxa"/>
            <w:vAlign w:val="center"/>
          </w:tcPr>
          <w:p w14:paraId="509CDD93" w14:textId="77777777" w:rsidR="00E67060" w:rsidRPr="00CF18A4" w:rsidRDefault="00E67060" w:rsidP="00963637">
            <w:pPr>
              <w:ind w:right="0"/>
            </w:pPr>
            <w:r w:rsidRPr="00CF18A4">
              <w:t>19 January 2022 (initial registration)</w:t>
            </w:r>
          </w:p>
        </w:tc>
        <w:tc>
          <w:tcPr>
            <w:tcW w:w="6598" w:type="dxa"/>
          </w:tcPr>
          <w:p w14:paraId="2CED2C91" w14:textId="275C838E" w:rsidR="00E67060" w:rsidRPr="00CF18A4" w:rsidRDefault="00E67060" w:rsidP="00963637">
            <w:pPr>
              <w:ind w:left="144" w:right="0"/>
            </w:pPr>
            <w:r w:rsidRPr="00CF18A4">
              <w:t>Primary series: for individuals aged 18 years and over (</w:t>
            </w:r>
            <w:proofErr w:type="spellStart"/>
            <w:r w:rsidR="00FE4B4B">
              <w:fldChar w:fldCharType="begin"/>
            </w:r>
            <w:r w:rsidR="00FE4B4B">
              <w:instrText xml:space="preserve"> HYPERLINK "https://www.tga.gov.au/resources/auspar/auspar-sars-cov-2-rs-matrix-m-adjuvant"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p w14:paraId="21D37A30" w14:textId="77777777" w:rsidR="00E67060" w:rsidRPr="00CF18A4" w:rsidRDefault="00E67060" w:rsidP="00963637">
            <w:pPr>
              <w:ind w:left="144" w:right="0"/>
            </w:pPr>
            <w:r w:rsidRPr="00CF18A4">
              <w:t>New product: 5 µg/0.5mL, suspension for injection</w:t>
            </w:r>
            <w:r w:rsidRPr="00CF18A4">
              <w:br/>
              <w:t>ARTG number: 355139</w:t>
            </w:r>
          </w:p>
        </w:tc>
      </w:tr>
      <w:tr w:rsidR="00E67060" w:rsidRPr="00CF18A4" w14:paraId="5877B280" w14:textId="77777777" w:rsidTr="00963637">
        <w:tc>
          <w:tcPr>
            <w:tcW w:w="2330" w:type="dxa"/>
            <w:vAlign w:val="center"/>
          </w:tcPr>
          <w:p w14:paraId="1F273519" w14:textId="77777777" w:rsidR="00E67060" w:rsidRPr="00CF18A4" w:rsidRDefault="00E67060" w:rsidP="00963637">
            <w:pPr>
              <w:ind w:right="0"/>
            </w:pPr>
            <w:r w:rsidRPr="00CF18A4">
              <w:t>9 June 2022</w:t>
            </w:r>
          </w:p>
        </w:tc>
        <w:tc>
          <w:tcPr>
            <w:tcW w:w="6598" w:type="dxa"/>
          </w:tcPr>
          <w:p w14:paraId="3E2CD1C1" w14:textId="232FAE16" w:rsidR="00E67060" w:rsidRPr="00CF18A4" w:rsidRDefault="00E67060" w:rsidP="00963637">
            <w:pPr>
              <w:ind w:left="144" w:right="0"/>
            </w:pPr>
            <w:r w:rsidRPr="00CF18A4">
              <w:t>Booster dose: for individuals aged 18 years and over as homologous vaccination (</w:t>
            </w:r>
            <w:proofErr w:type="spellStart"/>
            <w:r w:rsidR="00FE4B4B">
              <w:fldChar w:fldCharType="begin"/>
            </w:r>
            <w:r w:rsidR="00FE4B4B">
              <w:instrText xml:space="preserve"> HYPERLINK "https://www.tga.gov.au/resources/auspar/auspar-nuvaxovid-homologous-booster"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tc>
      </w:tr>
      <w:tr w:rsidR="00E67060" w:rsidRPr="00CF18A4" w14:paraId="6FA47926" w14:textId="77777777" w:rsidTr="00963637">
        <w:tc>
          <w:tcPr>
            <w:tcW w:w="2330" w:type="dxa"/>
            <w:vAlign w:val="center"/>
          </w:tcPr>
          <w:p w14:paraId="0307CD18" w14:textId="77777777" w:rsidR="00E67060" w:rsidRPr="00CF18A4" w:rsidRDefault="00E67060" w:rsidP="00963637">
            <w:pPr>
              <w:ind w:right="0"/>
            </w:pPr>
            <w:r w:rsidRPr="00CF18A4">
              <w:t>9 June 2022</w:t>
            </w:r>
          </w:p>
        </w:tc>
        <w:tc>
          <w:tcPr>
            <w:tcW w:w="6598" w:type="dxa"/>
          </w:tcPr>
          <w:p w14:paraId="5D53B71B" w14:textId="7736511D" w:rsidR="00E67060" w:rsidRPr="00CF18A4" w:rsidRDefault="00E67060" w:rsidP="00963637">
            <w:pPr>
              <w:ind w:left="144" w:right="0"/>
            </w:pPr>
            <w:r w:rsidRPr="00CF18A4">
              <w:t xml:space="preserve">Booster dose: for </w:t>
            </w:r>
            <w:proofErr w:type="spellStart"/>
            <w:r w:rsidRPr="00CF18A4">
              <w:t>indivudals</w:t>
            </w:r>
            <w:proofErr w:type="spellEnd"/>
            <w:r w:rsidRPr="00CF18A4">
              <w:t xml:space="preserve"> aged 18 years and over, as heterologous vaccination (</w:t>
            </w:r>
            <w:proofErr w:type="spellStart"/>
            <w:r w:rsidR="00FE4B4B">
              <w:fldChar w:fldCharType="begin"/>
            </w:r>
            <w:r w:rsidR="00FE4B4B">
              <w:instrText xml:space="preserve"> HYPERLINK "https://www.tga.gov.au/resources/auspar/auspar-nuvaxovid-heterologous-booster"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tc>
      </w:tr>
      <w:tr w:rsidR="00E67060" w:rsidRPr="00CF18A4" w14:paraId="55A23D94" w14:textId="77777777" w:rsidTr="00963637">
        <w:tc>
          <w:tcPr>
            <w:tcW w:w="2330" w:type="dxa"/>
            <w:vAlign w:val="center"/>
          </w:tcPr>
          <w:p w14:paraId="13C89EB1" w14:textId="77777777" w:rsidR="00E67060" w:rsidRPr="00CF18A4" w:rsidRDefault="00E67060" w:rsidP="00963637">
            <w:pPr>
              <w:ind w:right="0"/>
            </w:pPr>
            <w:r w:rsidRPr="00CF18A4">
              <w:t>22 July 2022</w:t>
            </w:r>
          </w:p>
        </w:tc>
        <w:tc>
          <w:tcPr>
            <w:tcW w:w="6598" w:type="dxa"/>
          </w:tcPr>
          <w:p w14:paraId="127CB7C2" w14:textId="79D2BE8B" w:rsidR="00E67060" w:rsidRPr="00CF18A4" w:rsidRDefault="00E67060" w:rsidP="00963637">
            <w:pPr>
              <w:ind w:left="144" w:right="0"/>
            </w:pPr>
            <w:r w:rsidRPr="00CF18A4">
              <w:t>Primary series: for individuals aged 12 years and over (</w:t>
            </w:r>
            <w:proofErr w:type="spellStart"/>
            <w:r w:rsidR="00FE4B4B">
              <w:fldChar w:fldCharType="begin"/>
            </w:r>
            <w:r w:rsidR="00FE4B4B">
              <w:instrText xml:space="preserve"> HYPERLINK "https://www.tga.gov.au/resources/auspar/auspar-nuva</w:instrText>
            </w:r>
            <w:r w:rsidR="00FE4B4B">
              <w:instrText xml:space="preserve">xovid-heterologous-booster"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tc>
      </w:tr>
      <w:tr w:rsidR="00E67060" w:rsidRPr="00CF18A4" w14:paraId="2027A64C" w14:textId="77777777" w:rsidTr="00963637">
        <w:tc>
          <w:tcPr>
            <w:tcW w:w="8928" w:type="dxa"/>
            <w:gridSpan w:val="2"/>
          </w:tcPr>
          <w:p w14:paraId="4C214822" w14:textId="24E4C1D3" w:rsidR="00E67060" w:rsidRPr="00CF18A4" w:rsidRDefault="00E67060" w:rsidP="00963637">
            <w:pPr>
              <w:ind w:left="144" w:right="0"/>
            </w:pPr>
            <w:proofErr w:type="spellStart"/>
            <w:r w:rsidRPr="00CF18A4">
              <w:rPr>
                <w:b/>
              </w:rPr>
              <w:t>Vaxzevria</w:t>
            </w:r>
            <w:proofErr w:type="spellEnd"/>
            <w:r w:rsidRPr="00CF18A4">
              <w:rPr>
                <w:b/>
              </w:rPr>
              <w:t xml:space="preserve"> COVID-19 vaccine</w:t>
            </w:r>
            <w:r w:rsidRPr="00CF18A4">
              <w:t xml:space="preserve"> (</w:t>
            </w:r>
            <w:hyperlink r:id="rId15" w:history="1">
              <w:r w:rsidRPr="00CF18A4">
                <w:rPr>
                  <w:color w:val="0000FF"/>
                  <w:u w:val="single"/>
                </w:rPr>
                <w:t>formerly</w:t>
              </w:r>
            </w:hyperlink>
            <w:r w:rsidRPr="00CF18A4">
              <w:t xml:space="preserve"> AstraZeneca COVID-19 vaccine)</w:t>
            </w:r>
          </w:p>
          <w:p w14:paraId="33D91360" w14:textId="77777777" w:rsidR="00E67060" w:rsidRPr="00CF18A4" w:rsidRDefault="00E67060" w:rsidP="00963637">
            <w:pPr>
              <w:ind w:left="144" w:right="0"/>
            </w:pPr>
            <w:r w:rsidRPr="00CF18A4">
              <w:t>Active ingredient: ChAdOx1 (viral vector)</w:t>
            </w:r>
          </w:p>
          <w:p w14:paraId="29C9073E" w14:textId="77777777" w:rsidR="00E67060" w:rsidRPr="00CF18A4" w:rsidRDefault="00E67060" w:rsidP="00963637">
            <w:pPr>
              <w:ind w:left="144" w:right="0"/>
            </w:pPr>
            <w:r w:rsidRPr="00CF18A4">
              <w:t>Sponsor: AstraZeneca Pty Ltd</w:t>
            </w:r>
          </w:p>
        </w:tc>
      </w:tr>
      <w:tr w:rsidR="00E67060" w:rsidRPr="00CF18A4" w14:paraId="086318FB" w14:textId="77777777" w:rsidTr="00963637">
        <w:tc>
          <w:tcPr>
            <w:tcW w:w="2330" w:type="dxa"/>
            <w:vAlign w:val="center"/>
          </w:tcPr>
          <w:p w14:paraId="2C23841B" w14:textId="77777777" w:rsidR="00E67060" w:rsidRPr="00CF18A4" w:rsidRDefault="00E67060" w:rsidP="00963637">
            <w:pPr>
              <w:ind w:right="0"/>
            </w:pPr>
            <w:r w:rsidRPr="00CF18A4">
              <w:t>15 February 2021 (initial registration)</w:t>
            </w:r>
          </w:p>
        </w:tc>
        <w:tc>
          <w:tcPr>
            <w:tcW w:w="6598" w:type="dxa"/>
          </w:tcPr>
          <w:p w14:paraId="698FD91F" w14:textId="76EC81B5" w:rsidR="00E67060" w:rsidRPr="00CF18A4" w:rsidRDefault="00E67060" w:rsidP="00963637">
            <w:pPr>
              <w:ind w:left="144" w:right="0"/>
            </w:pPr>
            <w:r w:rsidRPr="00CF18A4">
              <w:t>Primary series: for individuals aged 18 years and over (</w:t>
            </w:r>
            <w:proofErr w:type="spellStart"/>
            <w:r w:rsidR="00FE4B4B">
              <w:fldChar w:fldCharType="begin"/>
            </w:r>
            <w:r w:rsidR="00FE4B4B">
              <w:instrText xml:space="preserve"> HYPERLINK "https://www.tga.gov.au/resources/auspar/auspar-chadox1-s"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p w14:paraId="4E8967E2" w14:textId="77777777" w:rsidR="00E67060" w:rsidRPr="00CF18A4" w:rsidRDefault="00E67060" w:rsidP="00963637">
            <w:pPr>
              <w:ind w:left="144" w:right="0"/>
            </w:pPr>
            <w:r w:rsidRPr="00CF18A4">
              <w:t>New product: 1 x 10</w:t>
            </w:r>
            <w:r w:rsidRPr="00CF18A4">
              <w:rPr>
                <w:vertAlign w:val="superscript"/>
              </w:rPr>
              <w:t>11</w:t>
            </w:r>
            <w:r w:rsidRPr="00CF18A4">
              <w:t xml:space="preserve"> viral particles (</w:t>
            </w:r>
            <w:proofErr w:type="spellStart"/>
            <w:r w:rsidRPr="00CF18A4">
              <w:t>vp</w:t>
            </w:r>
            <w:proofErr w:type="spellEnd"/>
            <w:r w:rsidRPr="00CF18A4">
              <w:t>)/mL, solution for injection. ARTG number: 349072</w:t>
            </w:r>
          </w:p>
        </w:tc>
      </w:tr>
      <w:tr w:rsidR="00E67060" w:rsidRPr="00CF18A4" w14:paraId="55668757" w14:textId="77777777" w:rsidTr="00963637">
        <w:tc>
          <w:tcPr>
            <w:tcW w:w="2330" w:type="dxa"/>
            <w:vAlign w:val="center"/>
          </w:tcPr>
          <w:p w14:paraId="5CC1FA6C" w14:textId="77777777" w:rsidR="00E67060" w:rsidRPr="00CF18A4" w:rsidRDefault="00E67060" w:rsidP="00963637">
            <w:pPr>
              <w:ind w:right="0"/>
            </w:pPr>
            <w:r w:rsidRPr="00CF18A4">
              <w:t>8 February 2022</w:t>
            </w:r>
          </w:p>
        </w:tc>
        <w:tc>
          <w:tcPr>
            <w:tcW w:w="6598" w:type="dxa"/>
          </w:tcPr>
          <w:p w14:paraId="18B0E5A4" w14:textId="6A38F696" w:rsidR="00E67060" w:rsidRPr="00CF18A4" w:rsidRDefault="00E67060" w:rsidP="00963637">
            <w:pPr>
              <w:ind w:left="144" w:right="0"/>
            </w:pPr>
            <w:r w:rsidRPr="00CF18A4">
              <w:t>Booster dose: for individuals aged 18 years and over (</w:t>
            </w:r>
            <w:proofErr w:type="spellStart"/>
            <w:r w:rsidR="00FE4B4B">
              <w:fldChar w:fldCharType="begin"/>
            </w:r>
            <w:r w:rsidR="00FE4B4B">
              <w:instrText xml:space="preserve"> HYPERLINK "h</w:instrText>
            </w:r>
            <w:r w:rsidR="00FE4B4B">
              <w:instrText xml:space="preserve">ttps://www.tga.gov.au/resources/auspar/auspar-chadox-1-s"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tc>
      </w:tr>
      <w:tr w:rsidR="00E67060" w:rsidRPr="00CF18A4" w14:paraId="34359367" w14:textId="77777777" w:rsidTr="00963637">
        <w:tc>
          <w:tcPr>
            <w:tcW w:w="8928" w:type="dxa"/>
            <w:gridSpan w:val="2"/>
          </w:tcPr>
          <w:p w14:paraId="5962E860" w14:textId="77777777" w:rsidR="00E67060" w:rsidRPr="00CF18A4" w:rsidRDefault="00E67060" w:rsidP="00963637">
            <w:pPr>
              <w:ind w:left="144" w:right="0"/>
              <w:rPr>
                <w:b/>
              </w:rPr>
            </w:pPr>
            <w:r w:rsidRPr="00CF18A4">
              <w:rPr>
                <w:b/>
              </w:rPr>
              <w:t>COVID-19 Vaccine Janssen</w:t>
            </w:r>
          </w:p>
          <w:p w14:paraId="42798790" w14:textId="77777777" w:rsidR="00E67060" w:rsidRPr="00CF18A4" w:rsidRDefault="00E67060" w:rsidP="00963637">
            <w:pPr>
              <w:ind w:left="144" w:right="0"/>
            </w:pPr>
            <w:r w:rsidRPr="00CF18A4">
              <w:t>Active ingredient: Ad26.COV</w:t>
            </w:r>
            <w:proofErr w:type="gramStart"/>
            <w:r w:rsidRPr="00CF18A4">
              <w:t>2.S</w:t>
            </w:r>
            <w:proofErr w:type="gramEnd"/>
            <w:r w:rsidRPr="00CF18A4">
              <w:t xml:space="preserve"> (viral vector)</w:t>
            </w:r>
          </w:p>
          <w:p w14:paraId="4B526D3D" w14:textId="77777777" w:rsidR="00E67060" w:rsidRPr="00CF18A4" w:rsidRDefault="00E67060" w:rsidP="00963637">
            <w:pPr>
              <w:ind w:left="144" w:right="0"/>
            </w:pPr>
            <w:r w:rsidRPr="00CF18A4">
              <w:t>Sponsor: Janssen-</w:t>
            </w:r>
            <w:proofErr w:type="spellStart"/>
            <w:r w:rsidRPr="00CF18A4">
              <w:t>Cilag</w:t>
            </w:r>
            <w:proofErr w:type="spellEnd"/>
            <w:r w:rsidRPr="00CF18A4">
              <w:t xml:space="preserve"> Pty Ltd</w:t>
            </w:r>
          </w:p>
        </w:tc>
      </w:tr>
      <w:tr w:rsidR="00E67060" w:rsidRPr="00CF18A4" w14:paraId="71AD33FC" w14:textId="77777777" w:rsidTr="00963637">
        <w:tc>
          <w:tcPr>
            <w:tcW w:w="2330" w:type="dxa"/>
            <w:vAlign w:val="center"/>
          </w:tcPr>
          <w:p w14:paraId="0664B2E2" w14:textId="77777777" w:rsidR="00E67060" w:rsidRPr="00CF18A4" w:rsidRDefault="00E67060" w:rsidP="00963637">
            <w:pPr>
              <w:ind w:right="0"/>
            </w:pPr>
            <w:r w:rsidRPr="00CF18A4">
              <w:t>25 June 2021 (initial registration)</w:t>
            </w:r>
          </w:p>
        </w:tc>
        <w:tc>
          <w:tcPr>
            <w:tcW w:w="6598" w:type="dxa"/>
          </w:tcPr>
          <w:p w14:paraId="602F411F" w14:textId="2658BFD2" w:rsidR="00E67060" w:rsidRPr="00CF18A4" w:rsidRDefault="00E67060" w:rsidP="00963637">
            <w:pPr>
              <w:ind w:left="144" w:right="0"/>
            </w:pPr>
            <w:r w:rsidRPr="00CF18A4">
              <w:t>Primary series: for individuals aged 18 years and over (</w:t>
            </w:r>
            <w:proofErr w:type="spellStart"/>
            <w:r w:rsidR="00FE4B4B">
              <w:fldChar w:fldCharType="begin"/>
            </w:r>
            <w:r w:rsidR="00FE4B4B">
              <w:instrText xml:space="preserve"> HYPERLINK "https://www.tga.gov.au/resources/auspar/auspar-ad26cov2s"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p w14:paraId="0FE224DF" w14:textId="77777777" w:rsidR="00E67060" w:rsidRPr="00CF18A4" w:rsidRDefault="00E67060" w:rsidP="00963637">
            <w:pPr>
              <w:ind w:left="144" w:right="0"/>
            </w:pPr>
            <w:r w:rsidRPr="00CF18A4">
              <w:t>New product: 5 x 10</w:t>
            </w:r>
            <w:r w:rsidRPr="00CF18A4">
              <w:rPr>
                <w:vertAlign w:val="superscript"/>
              </w:rPr>
              <w:t>10</w:t>
            </w:r>
            <w:r w:rsidRPr="00CF18A4">
              <w:t xml:space="preserve"> virus particles (VP)/ 0.5 mL, suspension for intramuscular injection. ARTG number: 350150</w:t>
            </w:r>
          </w:p>
        </w:tc>
      </w:tr>
    </w:tbl>
    <w:p w14:paraId="1CB0347F" w14:textId="77777777" w:rsidR="00E67060" w:rsidRPr="00CF18A4" w:rsidRDefault="00E67060" w:rsidP="003D6221">
      <w:pPr>
        <w:pStyle w:val="TableDescription"/>
      </w:pPr>
      <w:r w:rsidRPr="00CF18A4">
        <w:t xml:space="preserve">A </w:t>
      </w:r>
      <w:r w:rsidRPr="00CF18A4">
        <w:rPr>
          <w:b/>
        </w:rPr>
        <w:t>primary vaccine series</w:t>
      </w:r>
      <w:r w:rsidRPr="00CF18A4">
        <w:t xml:space="preserve"> involves the vaccine doses needed for initial protection against COVID-19 disease. Typically, a primary COVID-19 vaccine series of 2 doses of the vaccine given 8 to 12 weeks apart. In most situations, the primary course consists of two doses of the same vaccine. In certain age groups or situations, the number of vaccine doses in a primary series may vary. For people with severe immunocompromise, a primary course is defined as 3 doses of a COVID-19 vaccine.</w:t>
      </w:r>
      <w:r>
        <w:t xml:space="preserve"> ‘</w:t>
      </w:r>
      <w:r w:rsidRPr="00CF18A4">
        <w:t>Third</w:t>
      </w:r>
      <w:r>
        <w:t>’</w:t>
      </w:r>
      <w:r w:rsidRPr="00CF18A4">
        <w:t xml:space="preserve"> doses are not booster doses, but an additional dose given such as to those considered to be severely immunocompromised.</w:t>
      </w:r>
    </w:p>
    <w:p w14:paraId="2EDABFFC" w14:textId="5AB91EDD" w:rsidR="00E67060" w:rsidRPr="00CF18A4" w:rsidRDefault="00E67060" w:rsidP="003D6221">
      <w:pPr>
        <w:pStyle w:val="TableDescription"/>
      </w:pPr>
      <w:r w:rsidRPr="00CF18A4">
        <w:t xml:space="preserve">A </w:t>
      </w:r>
      <w:r w:rsidRPr="00CF18A4">
        <w:rPr>
          <w:b/>
        </w:rPr>
        <w:t>booster dose</w:t>
      </w:r>
      <w:r w:rsidRPr="00CF18A4">
        <w:t xml:space="preserve"> refers to an additional vaccine dose given after the primary vaccine course.</w:t>
      </w:r>
      <w:r w:rsidR="00795787">
        <w:t xml:space="preserve"> </w:t>
      </w:r>
      <w:r w:rsidRPr="00CF18A4">
        <w:t>The first booster will refer to the first additional vaccine dose given after completing a 2-dose (or sometimes 3</w:t>
      </w:r>
      <w:r w:rsidRPr="00CF18A4">
        <w:noBreakHyphen/>
        <w:t>dose) primary vaccine course.</w:t>
      </w:r>
    </w:p>
    <w:p w14:paraId="1903E3D7" w14:textId="77777777" w:rsidR="00E67060" w:rsidRPr="00CF18A4" w:rsidRDefault="00E67060" w:rsidP="003D6221">
      <w:pPr>
        <w:pStyle w:val="TableDescription"/>
      </w:pPr>
      <w:r w:rsidRPr="00CF18A4">
        <w:lastRenderedPageBreak/>
        <w:t xml:space="preserve">Note: The single dose COVID-19 Vaccine Janssen has been provisionally </w:t>
      </w:r>
      <w:proofErr w:type="gramStart"/>
      <w:r w:rsidRPr="00CF18A4">
        <w:t>approved, but</w:t>
      </w:r>
      <w:proofErr w:type="gramEnd"/>
      <w:r w:rsidRPr="00CF18A4">
        <w:t xml:space="preserve"> isn’t currently being used in Australia.</w:t>
      </w:r>
    </w:p>
    <w:p w14:paraId="454878E9" w14:textId="2AF283C3" w:rsidR="00E67060" w:rsidRPr="00CF18A4" w:rsidRDefault="00E67060" w:rsidP="003D6221">
      <w:pPr>
        <w:pStyle w:val="TableDescription"/>
      </w:pPr>
      <w:r w:rsidRPr="00CF18A4">
        <w:t xml:space="preserve">Further information on vaccines can be found on the TGA website at </w:t>
      </w:r>
      <w:hyperlink r:id="rId16" w:history="1">
        <w:r w:rsidRPr="00CF18A4">
          <w:rPr>
            <w:color w:val="0000FF"/>
            <w:u w:val="single"/>
          </w:rPr>
          <w:t>COVID-19 vaccines</w:t>
        </w:r>
      </w:hyperlink>
      <w:r w:rsidRPr="00CF18A4">
        <w:t xml:space="preserve">, </w:t>
      </w:r>
      <w:hyperlink r:id="rId17" w:history="1">
        <w:r w:rsidRPr="00CF18A4">
          <w:rPr>
            <w:color w:val="0000FF"/>
            <w:u w:val="single"/>
          </w:rPr>
          <w:t>The Australian Immunisation Handbook</w:t>
        </w:r>
      </w:hyperlink>
      <w:r w:rsidRPr="00CF18A4">
        <w:t xml:space="preserve"> or at the </w:t>
      </w:r>
      <w:hyperlink r:id="rId18" w:history="1">
        <w:r w:rsidRPr="00CF18A4">
          <w:rPr>
            <w:color w:val="0000FF"/>
            <w:u w:val="single"/>
          </w:rPr>
          <w:t>Australian Government Department of Health and Aged Care</w:t>
        </w:r>
      </w:hyperlink>
      <w:r w:rsidRPr="00CF18A4">
        <w:t xml:space="preserve"> website.</w:t>
      </w:r>
    </w:p>
    <w:p w14:paraId="08535944" w14:textId="1E42A5D5" w:rsidR="00E67060" w:rsidRPr="00CF18A4" w:rsidRDefault="00E67060" w:rsidP="00E67060">
      <w:r w:rsidRPr="00E86E89">
        <w:fldChar w:fldCharType="begin"/>
      </w:r>
      <w:r w:rsidRPr="00E86E89">
        <w:instrText xml:space="preserve"> REF _Ref118212285 \h  \* MERGEFORMAT </w:instrText>
      </w:r>
      <w:r w:rsidRPr="00E86E89">
        <w:fldChar w:fldCharType="separate"/>
      </w:r>
      <w:r w:rsidR="00AA4DFB" w:rsidRPr="00AA4DFB">
        <w:rPr>
          <w:szCs w:val="20"/>
        </w:rPr>
        <w:t xml:space="preserve">Table </w:t>
      </w:r>
      <w:r w:rsidR="00AA4DFB" w:rsidRPr="00AA4DFB">
        <w:rPr>
          <w:noProof/>
          <w:szCs w:val="20"/>
        </w:rPr>
        <w:t>2</w:t>
      </w:r>
      <w:r w:rsidRPr="00E86E89">
        <w:fldChar w:fldCharType="end"/>
      </w:r>
      <w:r>
        <w:t xml:space="preserve"> </w:t>
      </w:r>
      <w:r w:rsidRPr="00CF18A4">
        <w:t>lists the bivalent COVID-19 vaccines approved in Australia at the time that this submission was considered.</w:t>
      </w:r>
      <w:r>
        <w:t xml:space="preserve"> </w:t>
      </w:r>
      <w:r w:rsidRPr="00CF18A4">
        <w:t xml:space="preserve">A bivalent vaccine targets two coronavirus </w:t>
      </w:r>
      <w:r>
        <w:t>strains</w:t>
      </w:r>
      <w:r w:rsidRPr="00CF18A4">
        <w:t>, as opposed to a monovalent vaccine that targets only one variant.</w:t>
      </w:r>
    </w:p>
    <w:p w14:paraId="00943849" w14:textId="0266007A" w:rsidR="00E67060" w:rsidRPr="00CF18A4" w:rsidRDefault="00E67060" w:rsidP="003D6221">
      <w:pPr>
        <w:pStyle w:val="TableTitle"/>
      </w:pPr>
      <w:bookmarkStart w:id="15" w:name="_Ref118212285"/>
      <w:r w:rsidRPr="00CF18A4">
        <w:t xml:space="preserve">Table </w:t>
      </w:r>
      <w:fldSimple w:instr=" SEQ Table \* ARABIC ">
        <w:r w:rsidR="00AA4DFB">
          <w:rPr>
            <w:noProof/>
          </w:rPr>
          <w:t>2</w:t>
        </w:r>
      </w:fldSimple>
      <w:bookmarkEnd w:id="15"/>
      <w:r w:rsidRPr="00CF18A4">
        <w:t>: Provisional approvals for bivalent COVID-19 vaccines in Australia</w:t>
      </w:r>
    </w:p>
    <w:tbl>
      <w:tblPr>
        <w:tblStyle w:val="TableTGAblue"/>
        <w:tblW w:w="8720" w:type="dxa"/>
        <w:tblLayout w:type="fixed"/>
        <w:tblLook w:val="04A0" w:firstRow="1" w:lastRow="0" w:firstColumn="1" w:lastColumn="0" w:noHBand="0" w:noVBand="1"/>
      </w:tblPr>
      <w:tblGrid>
        <w:gridCol w:w="2330"/>
        <w:gridCol w:w="6390"/>
      </w:tblGrid>
      <w:tr w:rsidR="00E67060" w:rsidRPr="00CF18A4" w14:paraId="1C71714F" w14:textId="77777777" w:rsidTr="00737BD2">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513FECEF" w14:textId="77777777" w:rsidR="00E67060" w:rsidRPr="00CF18A4" w:rsidRDefault="00E67060" w:rsidP="00963637">
            <w:r w:rsidRPr="00CF18A4">
              <w:t xml:space="preserve">Bivalent COVID-19 vaccines </w:t>
            </w:r>
            <w:r>
              <w:t xml:space="preserve">provisionally </w:t>
            </w:r>
            <w:r w:rsidRPr="00CF18A4">
              <w:t>approved in Australia</w:t>
            </w:r>
          </w:p>
        </w:tc>
      </w:tr>
      <w:tr w:rsidR="00E67060" w:rsidRPr="00CF18A4" w14:paraId="394AEAFC" w14:textId="77777777" w:rsidTr="00737BD2">
        <w:tc>
          <w:tcPr>
            <w:tcW w:w="8720" w:type="dxa"/>
            <w:gridSpan w:val="2"/>
          </w:tcPr>
          <w:p w14:paraId="47149288" w14:textId="00BE38F5" w:rsidR="00E67060" w:rsidRPr="00CF18A4" w:rsidRDefault="00E67060" w:rsidP="00963637">
            <w:pPr>
              <w:ind w:left="173" w:right="0"/>
            </w:pPr>
            <w:proofErr w:type="spellStart"/>
            <w:r w:rsidRPr="00CF18A4">
              <w:rPr>
                <w:b/>
              </w:rPr>
              <w:t>Spikevax</w:t>
            </w:r>
            <w:proofErr w:type="spellEnd"/>
            <w:r w:rsidRPr="00CF18A4">
              <w:rPr>
                <w:b/>
              </w:rPr>
              <w:t xml:space="preserve"> Bivalent Original/Omicron</w:t>
            </w:r>
            <w:r>
              <w:rPr>
                <w:b/>
              </w:rPr>
              <w:t xml:space="preserve"> BA.1</w:t>
            </w:r>
            <w:r w:rsidRPr="00CF18A4">
              <w:rPr>
                <w:b/>
              </w:rPr>
              <w:t xml:space="preserve"> COVID-19 vaccine</w:t>
            </w:r>
          </w:p>
          <w:p w14:paraId="7B463309" w14:textId="77777777" w:rsidR="00E67060" w:rsidRPr="00CF18A4" w:rsidRDefault="00E67060" w:rsidP="00963637">
            <w:pPr>
              <w:ind w:left="173" w:right="0"/>
            </w:pPr>
            <w:r w:rsidRPr="00CF18A4">
              <w:t xml:space="preserve">Active ingredients: </w:t>
            </w:r>
            <w:proofErr w:type="spellStart"/>
            <w:r w:rsidRPr="00CF18A4">
              <w:t>elasomeran</w:t>
            </w:r>
            <w:proofErr w:type="spellEnd"/>
            <w:r w:rsidRPr="00CF18A4">
              <w:t xml:space="preserve"> and </w:t>
            </w:r>
            <w:proofErr w:type="spellStart"/>
            <w:r w:rsidRPr="00CF18A4">
              <w:t>imelasomeran</w:t>
            </w:r>
            <w:proofErr w:type="spellEnd"/>
            <w:r w:rsidRPr="00CF18A4">
              <w:t xml:space="preserve"> (mRNA)</w:t>
            </w:r>
          </w:p>
          <w:p w14:paraId="4F20D2FC" w14:textId="77777777" w:rsidR="00E67060" w:rsidRPr="00CF18A4" w:rsidRDefault="00E67060" w:rsidP="00963637">
            <w:pPr>
              <w:ind w:left="173" w:right="0"/>
            </w:pPr>
            <w:r w:rsidRPr="00CF18A4">
              <w:t>Sponsor: Moderna Australia Pty Ltd</w:t>
            </w:r>
          </w:p>
        </w:tc>
      </w:tr>
      <w:tr w:rsidR="00E67060" w:rsidRPr="00CF18A4" w14:paraId="2D9C6D3C" w14:textId="77777777" w:rsidTr="00737BD2">
        <w:tc>
          <w:tcPr>
            <w:tcW w:w="2330" w:type="dxa"/>
          </w:tcPr>
          <w:p w14:paraId="0A258C6F" w14:textId="77777777" w:rsidR="00E67060" w:rsidRPr="00CF18A4" w:rsidRDefault="00E67060" w:rsidP="00963637">
            <w:pPr>
              <w:ind w:left="173" w:right="0"/>
            </w:pPr>
            <w:r w:rsidRPr="00CF18A4">
              <w:t>29 August 2022</w:t>
            </w:r>
            <w:r>
              <w:t xml:space="preserve"> (initial </w:t>
            </w:r>
            <w:r w:rsidRPr="00CF18A4">
              <w:t>registration)</w:t>
            </w:r>
          </w:p>
        </w:tc>
        <w:tc>
          <w:tcPr>
            <w:tcW w:w="6390" w:type="dxa"/>
          </w:tcPr>
          <w:p w14:paraId="5D892B5B" w14:textId="7DE093AC" w:rsidR="00E67060" w:rsidRPr="00CF18A4" w:rsidRDefault="00E67060" w:rsidP="00963637">
            <w:pPr>
              <w:ind w:left="173" w:right="0"/>
            </w:pPr>
            <w:r w:rsidRPr="00CF18A4">
              <w:t>Booster dose: for individuals aged 18 years and over (</w:t>
            </w:r>
            <w:proofErr w:type="spellStart"/>
            <w:r w:rsidR="00FE4B4B">
              <w:fldChar w:fldCharType="begin"/>
            </w:r>
            <w:r w:rsidR="00FE4B4B">
              <w:instrText xml:space="preserve"> HYPERLINK "https://www.tga.gov.au/resources/auspar/auspar-spikevax-bivalent-originalomicron" </w:instrText>
            </w:r>
            <w:r w:rsidR="00FE4B4B">
              <w:fldChar w:fldCharType="separate"/>
            </w:r>
            <w:r w:rsidRPr="00CF18A4">
              <w:rPr>
                <w:color w:val="0000FF"/>
                <w:u w:val="single"/>
              </w:rPr>
              <w:t>AusPAR</w:t>
            </w:r>
            <w:proofErr w:type="spellEnd"/>
            <w:r w:rsidR="00FE4B4B">
              <w:rPr>
                <w:color w:val="0000FF"/>
                <w:u w:val="single"/>
              </w:rPr>
              <w:fldChar w:fldCharType="end"/>
            </w:r>
            <w:r w:rsidRPr="00CF18A4">
              <w:t>)</w:t>
            </w:r>
          </w:p>
          <w:p w14:paraId="72512244" w14:textId="77777777" w:rsidR="00E67060" w:rsidRPr="00CF18A4" w:rsidRDefault="00E67060" w:rsidP="00963637">
            <w:pPr>
              <w:ind w:left="173" w:right="0"/>
            </w:pPr>
            <w:r w:rsidRPr="00CF18A4">
              <w:t xml:space="preserve">New product: 0.1 mg/mL suspension for injection. Each 0.5 mL dose contains 25 µg of </w:t>
            </w:r>
            <w:proofErr w:type="spellStart"/>
            <w:r w:rsidRPr="00CF18A4">
              <w:t>elasomeran</w:t>
            </w:r>
            <w:proofErr w:type="spellEnd"/>
            <w:r w:rsidRPr="00CF18A4">
              <w:t xml:space="preserve"> and 25 µg of </w:t>
            </w:r>
            <w:proofErr w:type="spellStart"/>
            <w:r w:rsidRPr="00CF18A4">
              <w:t>imelasomeran</w:t>
            </w:r>
            <w:proofErr w:type="spellEnd"/>
            <w:r w:rsidRPr="00CF18A4">
              <w:t>. ARTG number: 389513</w:t>
            </w:r>
          </w:p>
        </w:tc>
      </w:tr>
      <w:tr w:rsidR="00425BFB" w:rsidRPr="00CF18A4" w14:paraId="42CD4179" w14:textId="77777777" w:rsidTr="00737BD2">
        <w:tc>
          <w:tcPr>
            <w:tcW w:w="2330" w:type="dxa"/>
          </w:tcPr>
          <w:p w14:paraId="4DA1D7B5" w14:textId="6BA46CE8" w:rsidR="00425BFB" w:rsidRPr="00CF18A4" w:rsidRDefault="00425BFB" w:rsidP="00963637">
            <w:pPr>
              <w:ind w:left="173"/>
            </w:pPr>
            <w:r>
              <w:t>18 November 2022</w:t>
            </w:r>
          </w:p>
        </w:tc>
        <w:tc>
          <w:tcPr>
            <w:tcW w:w="6390" w:type="dxa"/>
          </w:tcPr>
          <w:p w14:paraId="08966DD6" w14:textId="0CE25D94" w:rsidR="00425BFB" w:rsidRPr="00F649FF" w:rsidRDefault="00425BFB" w:rsidP="00425BFB">
            <w:pPr>
              <w:pStyle w:val="CommentText"/>
              <w:rPr>
                <w:sz w:val="22"/>
                <w:szCs w:val="22"/>
              </w:rPr>
            </w:pPr>
            <w:r w:rsidRPr="00F649FF">
              <w:rPr>
                <w:sz w:val="22"/>
                <w:szCs w:val="22"/>
              </w:rPr>
              <w:t>New product: pre-filled syringe. ARTG number: 396452.</w:t>
            </w:r>
          </w:p>
          <w:p w14:paraId="54DD247A" w14:textId="77777777" w:rsidR="00425BFB" w:rsidRPr="00CF18A4" w:rsidRDefault="00425BFB" w:rsidP="00963637">
            <w:pPr>
              <w:ind w:left="173"/>
            </w:pPr>
          </w:p>
        </w:tc>
      </w:tr>
      <w:tr w:rsidR="00E67060" w:rsidRPr="00CF18A4" w14:paraId="2C843830" w14:textId="77777777" w:rsidTr="00737BD2">
        <w:tc>
          <w:tcPr>
            <w:tcW w:w="8720" w:type="dxa"/>
            <w:gridSpan w:val="2"/>
          </w:tcPr>
          <w:p w14:paraId="65176B3D" w14:textId="77777777" w:rsidR="00E67060" w:rsidRPr="00CF18A4" w:rsidRDefault="00E67060" w:rsidP="00963637">
            <w:pPr>
              <w:ind w:left="173" w:right="0"/>
              <w:rPr>
                <w:shd w:val="clear" w:color="auto" w:fill="FFFFFF"/>
              </w:rPr>
            </w:pPr>
            <w:r w:rsidRPr="00CF18A4">
              <w:rPr>
                <w:b/>
                <w:shd w:val="clear" w:color="auto" w:fill="FFFFFF"/>
              </w:rPr>
              <w:t>Comirnaty Original/Omicron BA.1 COVID-19 vaccine</w:t>
            </w:r>
          </w:p>
          <w:p w14:paraId="4E79F833" w14:textId="77777777" w:rsidR="00E67060" w:rsidRPr="00CF18A4" w:rsidRDefault="00E67060" w:rsidP="00963637">
            <w:pPr>
              <w:ind w:left="173" w:right="0"/>
              <w:rPr>
                <w:shd w:val="clear" w:color="auto" w:fill="FFFFFF"/>
              </w:rPr>
            </w:pPr>
            <w:r w:rsidRPr="00CF18A4">
              <w:rPr>
                <w:shd w:val="clear" w:color="auto" w:fill="FFFFFF"/>
              </w:rPr>
              <w:t xml:space="preserve">Active ingredients: tozinameran and </w:t>
            </w:r>
            <w:proofErr w:type="spellStart"/>
            <w:r w:rsidRPr="00CF18A4">
              <w:rPr>
                <w:shd w:val="clear" w:color="auto" w:fill="FFFFFF"/>
              </w:rPr>
              <w:t>riltozinameran</w:t>
            </w:r>
            <w:proofErr w:type="spellEnd"/>
            <w:r w:rsidRPr="00CF18A4">
              <w:rPr>
                <w:shd w:val="clear" w:color="auto" w:fill="FFFFFF"/>
              </w:rPr>
              <w:t xml:space="preserve"> (mRNA)</w:t>
            </w:r>
          </w:p>
          <w:p w14:paraId="38338BBA" w14:textId="77777777" w:rsidR="00E67060" w:rsidRPr="00CF18A4" w:rsidRDefault="00E67060" w:rsidP="00963637">
            <w:pPr>
              <w:ind w:left="173" w:right="0"/>
            </w:pPr>
            <w:r w:rsidRPr="00CF18A4">
              <w:rPr>
                <w:shd w:val="clear" w:color="auto" w:fill="FFFFFF"/>
              </w:rPr>
              <w:t>Sponsor: Pfizer Australia Pty Ltd</w:t>
            </w:r>
          </w:p>
        </w:tc>
      </w:tr>
      <w:tr w:rsidR="00E67060" w:rsidRPr="00CF18A4" w14:paraId="30B61551" w14:textId="77777777" w:rsidTr="00737BD2">
        <w:tc>
          <w:tcPr>
            <w:tcW w:w="2330" w:type="dxa"/>
          </w:tcPr>
          <w:p w14:paraId="676C4634" w14:textId="77777777" w:rsidR="00E67060" w:rsidRPr="00CF18A4" w:rsidRDefault="00E67060" w:rsidP="00963637">
            <w:pPr>
              <w:ind w:left="173" w:right="0"/>
            </w:pPr>
            <w:r w:rsidRPr="00CF18A4">
              <w:t>28 October 2022</w:t>
            </w:r>
          </w:p>
        </w:tc>
        <w:tc>
          <w:tcPr>
            <w:tcW w:w="6390" w:type="dxa"/>
          </w:tcPr>
          <w:p w14:paraId="3FCE1EA5" w14:textId="3F66571A" w:rsidR="00E67060" w:rsidRPr="00CF18A4" w:rsidRDefault="00E67060" w:rsidP="00963637">
            <w:pPr>
              <w:ind w:left="173" w:right="0"/>
            </w:pPr>
            <w:r w:rsidRPr="00CF18A4">
              <w:t>Booster dose for individuals aged 18 years and over (</w:t>
            </w:r>
            <w:proofErr w:type="spellStart"/>
            <w:r w:rsidR="00FE4B4B">
              <w:fldChar w:fldCharType="begin"/>
            </w:r>
            <w:r w:rsidR="00FE4B4B">
              <w:instrText xml:space="preserve"> HYPERLINK "https://www.tga.gov.au/resources/auspar/auspar-comirnaty-original-omicron-ba1-covid-19-vaccine" </w:instrText>
            </w:r>
            <w:r w:rsidR="00FE4B4B">
              <w:fldChar w:fldCharType="separate"/>
            </w:r>
            <w:r w:rsidRPr="00200352">
              <w:rPr>
                <w:rStyle w:val="Hyperlink"/>
              </w:rPr>
              <w:t>AusPAR</w:t>
            </w:r>
            <w:proofErr w:type="spellEnd"/>
            <w:r w:rsidR="00FE4B4B">
              <w:rPr>
                <w:rStyle w:val="Hyperlink"/>
              </w:rPr>
              <w:fldChar w:fldCharType="end"/>
            </w:r>
            <w:r w:rsidRPr="00CF18A4">
              <w:t>)</w:t>
            </w:r>
          </w:p>
          <w:p w14:paraId="617A6D0A" w14:textId="77777777" w:rsidR="00E67060" w:rsidRPr="00CF18A4" w:rsidRDefault="00E67060" w:rsidP="00963637">
            <w:pPr>
              <w:ind w:left="173" w:right="0"/>
            </w:pPr>
            <w:r w:rsidRPr="00CF18A4">
              <w:t xml:space="preserve">New Product: 30 µg/0.3 mL suspension for injection. </w:t>
            </w:r>
            <w:r>
              <w:t>Each 0.3 </w:t>
            </w:r>
            <w:r w:rsidRPr="00CF18A4">
              <w:t xml:space="preserve">mL dose contains 15 µg of tozinameran and 15 µg of </w:t>
            </w:r>
            <w:proofErr w:type="spellStart"/>
            <w:r w:rsidRPr="00CF18A4">
              <w:t>riltozinameran</w:t>
            </w:r>
            <w:proofErr w:type="spellEnd"/>
            <w:r w:rsidRPr="00CF18A4">
              <w:t>. ARTG number: 394890</w:t>
            </w:r>
          </w:p>
        </w:tc>
      </w:tr>
      <w:tr w:rsidR="00737BD2" w:rsidRPr="00CF18A4" w14:paraId="496C7CE4" w14:textId="77777777" w:rsidTr="00737BD2">
        <w:tc>
          <w:tcPr>
            <w:tcW w:w="8720" w:type="dxa"/>
            <w:gridSpan w:val="2"/>
          </w:tcPr>
          <w:p w14:paraId="189686EE" w14:textId="72EB0B0A" w:rsidR="00737BD2" w:rsidRPr="00CF18A4" w:rsidRDefault="00737BD2" w:rsidP="00963637">
            <w:pPr>
              <w:ind w:left="173" w:right="0"/>
              <w:rPr>
                <w:shd w:val="clear" w:color="auto" w:fill="FFFFFF"/>
              </w:rPr>
            </w:pPr>
            <w:r w:rsidRPr="00CF18A4">
              <w:rPr>
                <w:b/>
                <w:shd w:val="clear" w:color="auto" w:fill="FFFFFF"/>
              </w:rPr>
              <w:t>Comirnaty Original/Omicron BA.</w:t>
            </w:r>
            <w:r>
              <w:rPr>
                <w:b/>
                <w:shd w:val="clear" w:color="auto" w:fill="FFFFFF"/>
              </w:rPr>
              <w:t>4-5</w:t>
            </w:r>
            <w:r w:rsidRPr="00CF18A4">
              <w:rPr>
                <w:b/>
                <w:shd w:val="clear" w:color="auto" w:fill="FFFFFF"/>
              </w:rPr>
              <w:t xml:space="preserve"> COVID-19 vaccine</w:t>
            </w:r>
          </w:p>
          <w:p w14:paraId="61C30CE9" w14:textId="2C8DFE9E" w:rsidR="00737BD2" w:rsidRPr="00CF18A4" w:rsidRDefault="00737BD2" w:rsidP="00963637">
            <w:pPr>
              <w:ind w:left="173" w:right="0"/>
              <w:rPr>
                <w:shd w:val="clear" w:color="auto" w:fill="FFFFFF"/>
              </w:rPr>
            </w:pPr>
            <w:r w:rsidRPr="00CF18A4">
              <w:rPr>
                <w:shd w:val="clear" w:color="auto" w:fill="FFFFFF"/>
              </w:rPr>
              <w:t xml:space="preserve">Active ingredients: </w:t>
            </w:r>
            <w:r>
              <w:rPr>
                <w:shd w:val="clear" w:color="auto" w:fill="FFFFFF"/>
              </w:rPr>
              <w:t>t</w:t>
            </w:r>
            <w:r w:rsidRPr="00737BD2">
              <w:rPr>
                <w:shd w:val="clear" w:color="auto" w:fill="FFFFFF"/>
              </w:rPr>
              <w:t xml:space="preserve">ozinameran and </w:t>
            </w:r>
            <w:proofErr w:type="spellStart"/>
            <w:r w:rsidRPr="00737BD2">
              <w:rPr>
                <w:shd w:val="clear" w:color="auto" w:fill="FFFFFF"/>
              </w:rPr>
              <w:t>famtozinameran</w:t>
            </w:r>
            <w:proofErr w:type="spellEnd"/>
            <w:r w:rsidRPr="00737BD2">
              <w:rPr>
                <w:shd w:val="clear" w:color="auto" w:fill="FFFFFF"/>
              </w:rPr>
              <w:t xml:space="preserve"> </w:t>
            </w:r>
            <w:r w:rsidRPr="00CF18A4">
              <w:rPr>
                <w:shd w:val="clear" w:color="auto" w:fill="FFFFFF"/>
              </w:rPr>
              <w:t>(mRNA)</w:t>
            </w:r>
          </w:p>
          <w:p w14:paraId="12D3262E" w14:textId="77777777" w:rsidR="00737BD2" w:rsidRPr="00CF18A4" w:rsidRDefault="00737BD2" w:rsidP="00963637">
            <w:pPr>
              <w:ind w:left="173" w:right="0"/>
            </w:pPr>
            <w:r w:rsidRPr="00CF18A4">
              <w:rPr>
                <w:shd w:val="clear" w:color="auto" w:fill="FFFFFF"/>
              </w:rPr>
              <w:t>Sponsor: Pfizer Australia Pty Ltd</w:t>
            </w:r>
          </w:p>
        </w:tc>
      </w:tr>
      <w:tr w:rsidR="00737BD2" w:rsidRPr="00CF18A4" w14:paraId="18B6C425" w14:textId="77777777" w:rsidTr="00963637">
        <w:tc>
          <w:tcPr>
            <w:tcW w:w="2330" w:type="dxa"/>
          </w:tcPr>
          <w:p w14:paraId="1BC96043" w14:textId="0A8147AF" w:rsidR="00737BD2" w:rsidRPr="00CF18A4" w:rsidRDefault="00737BD2" w:rsidP="00963637">
            <w:pPr>
              <w:ind w:left="173" w:right="0"/>
            </w:pPr>
            <w:r w:rsidRPr="00CF18A4">
              <w:t>2</w:t>
            </w:r>
            <w:r>
              <w:t>0</w:t>
            </w:r>
            <w:r w:rsidRPr="00CF18A4">
              <w:t xml:space="preserve"> </w:t>
            </w:r>
            <w:r>
              <w:t>January</w:t>
            </w:r>
            <w:r w:rsidRPr="00CF18A4">
              <w:t xml:space="preserve"> 202</w:t>
            </w:r>
            <w:r>
              <w:t>3</w:t>
            </w:r>
          </w:p>
        </w:tc>
        <w:tc>
          <w:tcPr>
            <w:tcW w:w="6390" w:type="dxa"/>
          </w:tcPr>
          <w:p w14:paraId="177E9BA5" w14:textId="2B8E2FA3" w:rsidR="00737BD2" w:rsidRPr="00CF18A4" w:rsidRDefault="00737BD2" w:rsidP="00963637">
            <w:pPr>
              <w:ind w:left="173" w:right="0"/>
            </w:pPr>
            <w:r w:rsidRPr="00CF18A4">
              <w:t>Booster dose for individuals aged 18 years and over (</w:t>
            </w:r>
            <w:proofErr w:type="spellStart"/>
            <w:r w:rsidR="00FE4B4B">
              <w:fldChar w:fldCharType="begin"/>
            </w:r>
            <w:r w:rsidR="00FE4B4B">
              <w:instrText xml:space="preserve"> HYPERLINK "https://www.tga.gov.au/resources/auspar/auspar-comirnaty-original-omicron-ba4-5-covid-19-vaccine" </w:instrText>
            </w:r>
            <w:r w:rsidR="00FE4B4B">
              <w:fldChar w:fldCharType="separate"/>
            </w:r>
            <w:r w:rsidRPr="00737BD2">
              <w:rPr>
                <w:rStyle w:val="Hyperlink"/>
              </w:rPr>
              <w:t>AusPAR</w:t>
            </w:r>
            <w:proofErr w:type="spellEnd"/>
            <w:r w:rsidR="00FE4B4B">
              <w:rPr>
                <w:rStyle w:val="Hyperlink"/>
              </w:rPr>
              <w:fldChar w:fldCharType="end"/>
            </w:r>
            <w:r w:rsidRPr="00CF18A4">
              <w:t>)</w:t>
            </w:r>
          </w:p>
          <w:p w14:paraId="6F25D058" w14:textId="6621E2B1" w:rsidR="00737BD2" w:rsidRPr="00CF18A4" w:rsidRDefault="00737BD2" w:rsidP="00963637">
            <w:pPr>
              <w:ind w:left="173" w:right="0"/>
            </w:pPr>
            <w:r w:rsidRPr="00CF18A4">
              <w:t xml:space="preserve">New Product: 30 µg/0.3 mL suspension for injection. </w:t>
            </w:r>
            <w:r>
              <w:t>Each 0.3 </w:t>
            </w:r>
            <w:r w:rsidRPr="00CF18A4">
              <w:t xml:space="preserve">mL dose contains 15 µg of tozinameran and 15 µg of </w:t>
            </w:r>
            <w:proofErr w:type="spellStart"/>
            <w:r w:rsidRPr="00737BD2">
              <w:rPr>
                <w:shd w:val="clear" w:color="auto" w:fill="FFFFFF"/>
              </w:rPr>
              <w:t>famtozinameran</w:t>
            </w:r>
            <w:proofErr w:type="spellEnd"/>
            <w:r w:rsidRPr="00CF18A4">
              <w:t xml:space="preserve">. ARTG number: </w:t>
            </w:r>
            <w:r w:rsidRPr="00737BD2">
              <w:t>400874</w:t>
            </w:r>
          </w:p>
        </w:tc>
      </w:tr>
    </w:tbl>
    <w:p w14:paraId="30B83FAE" w14:textId="61DA01BC" w:rsidR="008E7846" w:rsidRPr="003F31A2" w:rsidRDefault="00386150" w:rsidP="008E7846">
      <w:pPr>
        <w:pStyle w:val="Heading3"/>
      </w:pPr>
      <w:bookmarkStart w:id="16" w:name="_Toc128132173"/>
      <w:r>
        <w:t>Regulatory s</w:t>
      </w:r>
      <w:r w:rsidR="008E7846">
        <w:t>tatus</w:t>
      </w:r>
      <w:bookmarkEnd w:id="12"/>
      <w:bookmarkEnd w:id="13"/>
      <w:bookmarkEnd w:id="16"/>
    </w:p>
    <w:p w14:paraId="276FD3B9" w14:textId="48FCA080" w:rsidR="00332715" w:rsidRDefault="00332715" w:rsidP="00332715">
      <w:bookmarkStart w:id="17" w:name="_Toc247691505"/>
      <w:bookmarkStart w:id="18" w:name="_Toc314842486"/>
      <w:r>
        <w:t>This product is considered a new biological entity</w:t>
      </w:r>
      <w:r w:rsidR="006D6BD4">
        <w:t xml:space="preserve"> for Australian regulatory purposes.</w:t>
      </w:r>
    </w:p>
    <w:p w14:paraId="4EC91AF9" w14:textId="0F283A1B" w:rsidR="00332715" w:rsidRDefault="00332715" w:rsidP="00332715">
      <w:r>
        <w:t xml:space="preserve">At the time the TGA considered this </w:t>
      </w:r>
      <w:r w:rsidR="00BB0B78">
        <w:t>submission</w:t>
      </w:r>
      <w:r>
        <w:t xml:space="preserve">, a similar </w:t>
      </w:r>
      <w:r w:rsidR="00BB0B78">
        <w:t>submission</w:t>
      </w:r>
      <w:r>
        <w:t xml:space="preserve"> had been </w:t>
      </w:r>
      <w:r w:rsidR="00F20FF1">
        <w:t xml:space="preserve">granted </w:t>
      </w:r>
      <w:r w:rsidR="006D6BD4">
        <w:t xml:space="preserve">an </w:t>
      </w:r>
      <w:r w:rsidR="00F20FF1">
        <w:t>Emergency Use Authori</w:t>
      </w:r>
      <w:r w:rsidR="006D6BD4">
        <w:t>z</w:t>
      </w:r>
      <w:r w:rsidR="00F20FF1">
        <w:t>ation</w:t>
      </w:r>
      <w:r>
        <w:t xml:space="preserve"> </w:t>
      </w:r>
      <w:r w:rsidR="006D6BD4">
        <w:t xml:space="preserve">(EUA) </w:t>
      </w:r>
      <w:r>
        <w:t xml:space="preserve">in </w:t>
      </w:r>
      <w:r w:rsidR="006D6BD4">
        <w:t xml:space="preserve">the </w:t>
      </w:r>
      <w:r w:rsidR="00F20FF1">
        <w:t>USA</w:t>
      </w:r>
      <w:r>
        <w:t xml:space="preserve"> on </w:t>
      </w:r>
      <w:r w:rsidR="00F20FF1">
        <w:t xml:space="preserve">31 August 2022 for use in </w:t>
      </w:r>
      <w:r w:rsidR="006D6BD4">
        <w:t xml:space="preserve">adults aged </w:t>
      </w:r>
      <w:r w:rsidR="00F20FF1">
        <w:t xml:space="preserve">18 years old and above, </w:t>
      </w:r>
      <w:r w:rsidR="006D6BD4">
        <w:t xml:space="preserve">with a subsequent EUA </w:t>
      </w:r>
      <w:r w:rsidR="00F20FF1">
        <w:t xml:space="preserve">on 12 October 2022 for use in </w:t>
      </w:r>
      <w:r w:rsidR="006D6BD4">
        <w:t xml:space="preserve">children </w:t>
      </w:r>
      <w:r w:rsidR="006D6BD4" w:rsidRPr="000A7A4D">
        <w:lastRenderedPageBreak/>
        <w:t xml:space="preserve">aged </w:t>
      </w:r>
      <w:r w:rsidR="00F20FF1" w:rsidRPr="000A7A4D">
        <w:t>6 years and older</w:t>
      </w:r>
      <w:r w:rsidR="000A7A4D" w:rsidRPr="000A7A4D">
        <w:t>, and a third EUA on 8 December 2020 for use in children aged 6 months of age and older.</w:t>
      </w:r>
      <w:r w:rsidR="00F20FF1">
        <w:t xml:space="preserve"> It </w:t>
      </w:r>
      <w:r w:rsidR="006D6BD4">
        <w:t>was</w:t>
      </w:r>
      <w:r w:rsidR="00F20FF1">
        <w:t xml:space="preserve"> approved in Canada on 4 November 2022, in Japan on 1</w:t>
      </w:r>
      <w:r w:rsidR="006D6BD4">
        <w:t> </w:t>
      </w:r>
      <w:r w:rsidR="00F20FF1">
        <w:t xml:space="preserve">November 2022 and </w:t>
      </w:r>
      <w:r w:rsidR="006D6BD4">
        <w:t xml:space="preserve">a similar submission </w:t>
      </w:r>
      <w:r w:rsidR="00F20FF1">
        <w:t xml:space="preserve">also received </w:t>
      </w:r>
      <w:r w:rsidR="006724CD">
        <w:t xml:space="preserve">a </w:t>
      </w:r>
      <w:r w:rsidR="00F20FF1">
        <w:t>positive European Commission decision on 20 October 2022 in the European Union (EU).</w:t>
      </w:r>
    </w:p>
    <w:p w14:paraId="2AD56810" w14:textId="77777777" w:rsidR="00332715" w:rsidRDefault="0072292E" w:rsidP="00332715">
      <w:r>
        <w:t xml:space="preserve">The following table </w:t>
      </w:r>
      <w:r w:rsidR="00332715">
        <w:t xml:space="preserve">summarises these </w:t>
      </w:r>
      <w:r w:rsidR="00BB0B78">
        <w:t>submissions</w:t>
      </w:r>
      <w:r w:rsidR="00332715">
        <w:t xml:space="preserve"> and provides the indications where approved.</w:t>
      </w:r>
    </w:p>
    <w:p w14:paraId="58060939" w14:textId="216B9B2F" w:rsidR="00324E45" w:rsidRPr="00F0146F" w:rsidRDefault="00324E45" w:rsidP="00324E45">
      <w:pPr>
        <w:pStyle w:val="TableTitle"/>
      </w:pPr>
      <w:bookmarkStart w:id="19" w:name="_Ref99705479"/>
      <w:r>
        <w:t xml:space="preserve">Table </w:t>
      </w:r>
      <w:fldSimple w:instr=" SEQ Table \* ARABIC ">
        <w:r w:rsidR="00AA4DFB">
          <w:rPr>
            <w:noProof/>
          </w:rPr>
          <w:t>3</w:t>
        </w:r>
      </w:fldSimple>
      <w:bookmarkEnd w:id="19"/>
      <w:r>
        <w:t>: International regulatory status</w:t>
      </w:r>
    </w:p>
    <w:tbl>
      <w:tblPr>
        <w:tblStyle w:val="TableTGAblue"/>
        <w:tblW w:w="4921" w:type="pct"/>
        <w:tblLook w:val="04A0" w:firstRow="1" w:lastRow="0" w:firstColumn="1" w:lastColumn="0" w:noHBand="0" w:noVBand="1"/>
      </w:tblPr>
      <w:tblGrid>
        <w:gridCol w:w="2263"/>
        <w:gridCol w:w="3698"/>
        <w:gridCol w:w="2399"/>
      </w:tblGrid>
      <w:tr w:rsidR="0076511D" w14:paraId="3001FF6E" w14:textId="77777777" w:rsidTr="0076511D">
        <w:trPr>
          <w:cnfStyle w:val="100000000000" w:firstRow="1" w:lastRow="0" w:firstColumn="0" w:lastColumn="0" w:oddVBand="0" w:evenVBand="0" w:oddHBand="0" w:evenHBand="0" w:firstRowFirstColumn="0" w:firstRowLastColumn="0" w:lastRowFirstColumn="0" w:lastRowLastColumn="0"/>
        </w:trPr>
        <w:tc>
          <w:tcPr>
            <w:tcW w:w="1353" w:type="pct"/>
            <w:tcBorders>
              <w:top w:val="single" w:sz="4" w:space="0" w:color="auto"/>
              <w:left w:val="single" w:sz="4" w:space="0" w:color="auto"/>
              <w:bottom w:val="single" w:sz="4" w:space="0" w:color="auto"/>
              <w:right w:val="single" w:sz="4" w:space="0" w:color="auto"/>
            </w:tcBorders>
          </w:tcPr>
          <w:p w14:paraId="7A9CC09F" w14:textId="77777777" w:rsidR="0076511D" w:rsidRDefault="0076511D" w:rsidP="00006FAB">
            <w:pPr>
              <w:ind w:left="0" w:right="0"/>
            </w:pPr>
            <w:r>
              <w:t>Region</w:t>
            </w:r>
          </w:p>
        </w:tc>
        <w:tc>
          <w:tcPr>
            <w:tcW w:w="2212" w:type="pct"/>
            <w:tcBorders>
              <w:top w:val="single" w:sz="4" w:space="0" w:color="auto"/>
              <w:left w:val="single" w:sz="4" w:space="0" w:color="auto"/>
              <w:bottom w:val="single" w:sz="4" w:space="0" w:color="auto"/>
              <w:right w:val="single" w:sz="4" w:space="0" w:color="auto"/>
            </w:tcBorders>
          </w:tcPr>
          <w:p w14:paraId="2C2D6E45" w14:textId="77777777" w:rsidR="0076511D" w:rsidRDefault="0076511D" w:rsidP="00006FAB">
            <w:pPr>
              <w:ind w:left="0" w:right="0"/>
            </w:pPr>
            <w:r>
              <w:t>Status</w:t>
            </w:r>
          </w:p>
        </w:tc>
        <w:tc>
          <w:tcPr>
            <w:tcW w:w="1435" w:type="pct"/>
            <w:tcBorders>
              <w:top w:val="single" w:sz="4" w:space="0" w:color="auto"/>
              <w:left w:val="single" w:sz="4" w:space="0" w:color="auto"/>
              <w:bottom w:val="single" w:sz="4" w:space="0" w:color="auto"/>
              <w:right w:val="single" w:sz="4" w:space="0" w:color="auto"/>
            </w:tcBorders>
          </w:tcPr>
          <w:p w14:paraId="65EC2987" w14:textId="77777777" w:rsidR="0076511D" w:rsidRDefault="0076511D" w:rsidP="00006FAB">
            <w:pPr>
              <w:ind w:left="0" w:right="0"/>
            </w:pPr>
            <w:r>
              <w:t>Approved indications</w:t>
            </w:r>
          </w:p>
        </w:tc>
      </w:tr>
      <w:tr w:rsidR="0076511D" w14:paraId="69DD9A4E" w14:textId="77777777" w:rsidTr="0076511D">
        <w:tc>
          <w:tcPr>
            <w:tcW w:w="1353" w:type="pct"/>
            <w:vMerge w:val="restart"/>
            <w:tcBorders>
              <w:top w:val="single" w:sz="4" w:space="0" w:color="auto"/>
            </w:tcBorders>
          </w:tcPr>
          <w:p w14:paraId="57B0DB34" w14:textId="766E33B1" w:rsidR="0076511D" w:rsidRDefault="0076511D" w:rsidP="00006FAB">
            <w:pPr>
              <w:ind w:left="0" w:right="0"/>
            </w:pPr>
            <w:r>
              <w:t>United States of America</w:t>
            </w:r>
          </w:p>
        </w:tc>
        <w:tc>
          <w:tcPr>
            <w:tcW w:w="2212" w:type="pct"/>
            <w:tcBorders>
              <w:top w:val="single" w:sz="4" w:space="0" w:color="auto"/>
            </w:tcBorders>
          </w:tcPr>
          <w:p w14:paraId="52C4DC05" w14:textId="462AF496" w:rsidR="0076511D" w:rsidRDefault="0076511D" w:rsidP="00006FAB">
            <w:pPr>
              <w:ind w:left="0" w:right="0"/>
            </w:pPr>
            <w:r>
              <w:t xml:space="preserve">Emergency Use Authorization (EUA) </w:t>
            </w:r>
            <w:r w:rsidRPr="00006FAB">
              <w:t xml:space="preserve">on </w:t>
            </w:r>
            <w:r>
              <w:t>31 August 2022: for use in adults 18 years of age and older</w:t>
            </w:r>
          </w:p>
        </w:tc>
        <w:tc>
          <w:tcPr>
            <w:tcW w:w="1435" w:type="pct"/>
            <w:tcBorders>
              <w:top w:val="single" w:sz="4" w:space="0" w:color="auto"/>
            </w:tcBorders>
          </w:tcPr>
          <w:p w14:paraId="65397F82" w14:textId="06992E22" w:rsidR="0076511D" w:rsidRPr="00A035A1" w:rsidRDefault="0076511D" w:rsidP="00006FAB">
            <w:pPr>
              <w:ind w:left="0" w:right="0"/>
              <w:rPr>
                <w:i/>
                <w:iCs/>
              </w:rPr>
            </w:pPr>
            <w:r w:rsidRPr="00A035A1">
              <w:rPr>
                <w:i/>
                <w:iCs/>
              </w:rPr>
              <w:t>For active immunisation to prevent COVID-19</w:t>
            </w:r>
            <w:r>
              <w:rPr>
                <w:i/>
                <w:iCs/>
              </w:rPr>
              <w:t>.</w:t>
            </w:r>
          </w:p>
        </w:tc>
      </w:tr>
      <w:tr w:rsidR="0076511D" w14:paraId="0B38DCC5" w14:textId="77777777" w:rsidTr="0076511D">
        <w:tc>
          <w:tcPr>
            <w:tcW w:w="1353" w:type="pct"/>
            <w:vMerge/>
          </w:tcPr>
          <w:p w14:paraId="75759ABE" w14:textId="77777777" w:rsidR="0076511D" w:rsidRDefault="0076511D" w:rsidP="00006FAB">
            <w:pPr>
              <w:ind w:left="0" w:right="0"/>
            </w:pPr>
          </w:p>
        </w:tc>
        <w:tc>
          <w:tcPr>
            <w:tcW w:w="2212" w:type="pct"/>
          </w:tcPr>
          <w:p w14:paraId="128C08C0" w14:textId="30CA5C5C" w:rsidR="0076511D" w:rsidRDefault="0076511D" w:rsidP="00006FAB">
            <w:pPr>
              <w:ind w:left="0" w:right="0"/>
            </w:pPr>
            <w:r>
              <w:t xml:space="preserve">Emergency Use Authorization (EUA) </w:t>
            </w:r>
            <w:r w:rsidRPr="00006FAB">
              <w:t xml:space="preserve">on </w:t>
            </w:r>
            <w:r>
              <w:t>12 October 2022: for use in children from 6 years up to 18 years of age</w:t>
            </w:r>
          </w:p>
        </w:tc>
        <w:tc>
          <w:tcPr>
            <w:tcW w:w="1435" w:type="pct"/>
          </w:tcPr>
          <w:p w14:paraId="213862F4" w14:textId="3D8B8640" w:rsidR="0076511D" w:rsidRDefault="0076511D" w:rsidP="00006FAB">
            <w:pPr>
              <w:ind w:left="0" w:right="0"/>
            </w:pPr>
            <w:r w:rsidRPr="00A035A1">
              <w:rPr>
                <w:i/>
                <w:iCs/>
              </w:rPr>
              <w:t>For active immunisation to prevent COVID-19</w:t>
            </w:r>
            <w:r>
              <w:rPr>
                <w:i/>
                <w:iCs/>
              </w:rPr>
              <w:t>.</w:t>
            </w:r>
          </w:p>
        </w:tc>
      </w:tr>
      <w:tr w:rsidR="0076511D" w14:paraId="541D2E32" w14:textId="77777777" w:rsidTr="0076511D">
        <w:tc>
          <w:tcPr>
            <w:tcW w:w="1353" w:type="pct"/>
            <w:vMerge/>
          </w:tcPr>
          <w:p w14:paraId="7A76888A" w14:textId="77777777" w:rsidR="0076511D" w:rsidRDefault="0076511D" w:rsidP="00006FAB"/>
        </w:tc>
        <w:tc>
          <w:tcPr>
            <w:tcW w:w="2212" w:type="pct"/>
          </w:tcPr>
          <w:p w14:paraId="14EDF23C" w14:textId="0F8C4797" w:rsidR="0076511D" w:rsidRDefault="0076511D" w:rsidP="000D38E2">
            <w:pPr>
              <w:ind w:left="0"/>
            </w:pPr>
            <w:r>
              <w:t>Emergency Use Authorization (EUA) on 8 December 2022 for use in children from 6 months up</w:t>
            </w:r>
          </w:p>
        </w:tc>
        <w:tc>
          <w:tcPr>
            <w:tcW w:w="1435" w:type="pct"/>
          </w:tcPr>
          <w:p w14:paraId="0772A47E" w14:textId="0D610FDE" w:rsidR="0076511D" w:rsidRPr="00A035A1" w:rsidRDefault="0076511D" w:rsidP="000D38E2">
            <w:pPr>
              <w:ind w:left="0"/>
              <w:rPr>
                <w:i/>
                <w:iCs/>
              </w:rPr>
            </w:pPr>
            <w:r w:rsidRPr="00A035A1">
              <w:rPr>
                <w:i/>
                <w:iCs/>
              </w:rPr>
              <w:t>For active immunisation to prevent COVID-19</w:t>
            </w:r>
          </w:p>
        </w:tc>
      </w:tr>
      <w:tr w:rsidR="0076511D" w14:paraId="7F282FE9" w14:textId="77777777" w:rsidTr="0076511D">
        <w:tc>
          <w:tcPr>
            <w:tcW w:w="1353" w:type="pct"/>
          </w:tcPr>
          <w:p w14:paraId="17614030" w14:textId="6983699A" w:rsidR="0076511D" w:rsidRDefault="0076511D" w:rsidP="00B51402">
            <w:pPr>
              <w:ind w:left="0"/>
            </w:pPr>
            <w:r>
              <w:t>Canada</w:t>
            </w:r>
          </w:p>
        </w:tc>
        <w:tc>
          <w:tcPr>
            <w:tcW w:w="2212" w:type="pct"/>
          </w:tcPr>
          <w:p w14:paraId="4CA09965" w14:textId="7DBDC0EB" w:rsidR="0076511D" w:rsidRDefault="0076511D" w:rsidP="00B51402">
            <w:pPr>
              <w:ind w:left="0"/>
            </w:pPr>
            <w:r>
              <w:t>Approved on 4 November 2022</w:t>
            </w:r>
          </w:p>
        </w:tc>
        <w:tc>
          <w:tcPr>
            <w:tcW w:w="1435" w:type="pct"/>
          </w:tcPr>
          <w:p w14:paraId="48299AE5" w14:textId="0E89D445" w:rsidR="0076511D" w:rsidRPr="00B51402" w:rsidRDefault="0076511D" w:rsidP="00B51402">
            <w:pPr>
              <w:ind w:left="0"/>
              <w:rPr>
                <w:i/>
                <w:iCs/>
              </w:rPr>
            </w:pPr>
            <w:r w:rsidRPr="00B51402">
              <w:rPr>
                <w:i/>
                <w:iCs/>
              </w:rPr>
              <w:t>As booster dose for active immunization against COVID-19 caused by the SARS-CoV-2 virus in individuals 18 years of age and older.</w:t>
            </w:r>
          </w:p>
        </w:tc>
      </w:tr>
      <w:tr w:rsidR="0076511D" w14:paraId="7E231325" w14:textId="77777777" w:rsidTr="0076511D">
        <w:tc>
          <w:tcPr>
            <w:tcW w:w="1353" w:type="pct"/>
          </w:tcPr>
          <w:p w14:paraId="41B65692" w14:textId="3CB560CE" w:rsidR="0076511D" w:rsidRDefault="0076511D" w:rsidP="00B51402">
            <w:pPr>
              <w:ind w:left="0"/>
            </w:pPr>
            <w:r>
              <w:t>European Union</w:t>
            </w:r>
          </w:p>
        </w:tc>
        <w:tc>
          <w:tcPr>
            <w:tcW w:w="2212" w:type="pct"/>
          </w:tcPr>
          <w:p w14:paraId="7C7493E6" w14:textId="4402A6CE" w:rsidR="0076511D" w:rsidRDefault="0076511D" w:rsidP="00B51402">
            <w:pPr>
              <w:ind w:left="0"/>
            </w:pPr>
            <w:r>
              <w:t>Positive European Commission decision received on 20 October 2022</w:t>
            </w:r>
          </w:p>
        </w:tc>
        <w:tc>
          <w:tcPr>
            <w:tcW w:w="1435" w:type="pct"/>
          </w:tcPr>
          <w:p w14:paraId="1F5AEC2C" w14:textId="1D272FA9" w:rsidR="0076511D" w:rsidRPr="00A035A1" w:rsidRDefault="0076511D" w:rsidP="00B51402">
            <w:pPr>
              <w:ind w:left="0"/>
              <w:rPr>
                <w:i/>
                <w:iCs/>
              </w:rPr>
            </w:pPr>
            <w:r w:rsidRPr="00A035A1">
              <w:rPr>
                <w:i/>
                <w:iCs/>
              </w:rPr>
              <w:t>For active immunization to prevent COVID-19 caused by SARS-CoV-2 in individual 12 years of age and older, who have previously received at least a primary vaccination course against COVID-19.</w:t>
            </w:r>
          </w:p>
        </w:tc>
      </w:tr>
      <w:tr w:rsidR="0076511D" w14:paraId="59946C22" w14:textId="77777777" w:rsidTr="0076511D">
        <w:trPr>
          <w:cantSplit/>
        </w:trPr>
        <w:tc>
          <w:tcPr>
            <w:tcW w:w="1353" w:type="pct"/>
          </w:tcPr>
          <w:p w14:paraId="0B7194F8" w14:textId="382A7FC0" w:rsidR="0076511D" w:rsidRDefault="0076511D" w:rsidP="00B51402">
            <w:pPr>
              <w:ind w:left="0"/>
            </w:pPr>
            <w:r>
              <w:t>Japan</w:t>
            </w:r>
          </w:p>
        </w:tc>
        <w:tc>
          <w:tcPr>
            <w:tcW w:w="2212" w:type="pct"/>
          </w:tcPr>
          <w:p w14:paraId="24349E96" w14:textId="15B37952" w:rsidR="0076511D" w:rsidRDefault="0076511D" w:rsidP="00B51402">
            <w:pPr>
              <w:ind w:left="0"/>
            </w:pPr>
            <w:r>
              <w:t>Approved on 1 November 2022</w:t>
            </w:r>
          </w:p>
        </w:tc>
        <w:tc>
          <w:tcPr>
            <w:tcW w:w="1435" w:type="pct"/>
          </w:tcPr>
          <w:p w14:paraId="11B4A115" w14:textId="1DDFFB68" w:rsidR="0076511D" w:rsidRPr="00A035A1" w:rsidRDefault="0076511D" w:rsidP="00A035A1">
            <w:pPr>
              <w:ind w:left="0"/>
              <w:rPr>
                <w:i/>
                <w:iCs/>
              </w:rPr>
            </w:pPr>
            <w:r w:rsidRPr="00A035A1">
              <w:rPr>
                <w:i/>
                <w:iCs/>
              </w:rPr>
              <w:t>As a booster dose for active immunization to prevent COVID-19 caused by SARS-CoV-2 in individuals 18 years of age and older.</w:t>
            </w:r>
          </w:p>
        </w:tc>
      </w:tr>
    </w:tbl>
    <w:p w14:paraId="1F7A38E7" w14:textId="77777777" w:rsidR="008E7846" w:rsidRDefault="008E7846" w:rsidP="00940A89">
      <w:pPr>
        <w:pStyle w:val="Heading3"/>
      </w:pPr>
      <w:bookmarkStart w:id="20" w:name="_Toc128132174"/>
      <w:r>
        <w:lastRenderedPageBreak/>
        <w:t>Product Information</w:t>
      </w:r>
      <w:bookmarkEnd w:id="17"/>
      <w:bookmarkEnd w:id="18"/>
      <w:bookmarkEnd w:id="20"/>
    </w:p>
    <w:p w14:paraId="2EE5A666" w14:textId="382D2407" w:rsidR="00332715" w:rsidRDefault="00332715" w:rsidP="00332715">
      <w:bookmarkStart w:id="21" w:name="_Toc504480011"/>
      <w:bookmarkStart w:id="22" w:name="_Toc247691506"/>
      <w:bookmarkStart w:id="23" w:name="_Toc314842487"/>
      <w:r>
        <w:t xml:space="preserve">The Product Information (PI) approved with the submission which is described in this </w:t>
      </w:r>
      <w:proofErr w:type="spellStart"/>
      <w:r>
        <w:t>AusPAR</w:t>
      </w:r>
      <w:proofErr w:type="spellEnd"/>
      <w:r>
        <w:t xml:space="preserve"> can be found as Attachment 1. For the most recent PI, please refer to the TGA </w:t>
      </w:r>
      <w:hyperlink r:id="rId19" w:history="1">
        <w:r>
          <w:rPr>
            <w:rStyle w:val="Hyperlink"/>
          </w:rPr>
          <w:t>PI/CMI search facility</w:t>
        </w:r>
        <w:r w:rsidRPr="009556D7">
          <w:rPr>
            <w:rStyle w:val="Hyperlink"/>
            <w:color w:val="auto"/>
            <w:u w:val="none"/>
          </w:rPr>
          <w:t>.</w:t>
        </w:r>
      </w:hyperlink>
    </w:p>
    <w:p w14:paraId="5690928C" w14:textId="77777777" w:rsidR="00500337" w:rsidRDefault="00500337" w:rsidP="00500337">
      <w:pPr>
        <w:pStyle w:val="Heading2"/>
      </w:pPr>
      <w:bookmarkStart w:id="24" w:name="_Toc128132175"/>
      <w:r>
        <w:t>Registration timeline</w:t>
      </w:r>
      <w:bookmarkEnd w:id="21"/>
      <w:bookmarkEnd w:id="24"/>
    </w:p>
    <w:p w14:paraId="310363C9" w14:textId="77777777" w:rsidR="00A00D37" w:rsidRDefault="0074163C" w:rsidP="0074163C">
      <w:r w:rsidRPr="00C93EC1">
        <w:t xml:space="preserve">The following table captures the key steps and dates for this </w:t>
      </w:r>
      <w:r w:rsidR="00804D99">
        <w:t>submission</w:t>
      </w:r>
      <w:r w:rsidRPr="00C93EC1">
        <w:t>.</w:t>
      </w:r>
    </w:p>
    <w:p w14:paraId="0352EA77" w14:textId="350CACD3" w:rsidR="0074163C" w:rsidRPr="00C93EC1" w:rsidRDefault="00A00D37" w:rsidP="0074163C">
      <w:r w:rsidRPr="00C93EC1">
        <w:t>Data</w:t>
      </w:r>
      <w:r>
        <w:t xml:space="preserve"> were</w:t>
      </w:r>
      <w:r w:rsidRPr="00C93EC1">
        <w:t xml:space="preserve"> provided as a rolling submission. Under normal circumstances, </w:t>
      </w:r>
      <w:r w:rsidR="009D1FA4">
        <w:t xml:space="preserve">the </w:t>
      </w:r>
      <w:r w:rsidRPr="00C93EC1">
        <w:t xml:space="preserve">TGA's assessment (for both provisional and general registration) begins once all information to support registration is available. As part of the Department of Health's response to the pandemic, the TGA has agreed to accept rolling data for COVID-19 vaccines and treatments, to enable early evaluation of data as it </w:t>
      </w:r>
      <w:r>
        <w:t>be</w:t>
      </w:r>
      <w:r w:rsidRPr="00C93EC1">
        <w:t xml:space="preserve">comes </w:t>
      </w:r>
      <w:r>
        <w:t>available</w:t>
      </w:r>
      <w:r w:rsidRPr="00C93EC1">
        <w:t>.</w:t>
      </w:r>
    </w:p>
    <w:p w14:paraId="3A8CB111" w14:textId="122C7C83" w:rsidR="0074163C" w:rsidRPr="006A58A8" w:rsidRDefault="0074163C" w:rsidP="0074163C">
      <w:pPr>
        <w:pStyle w:val="TableTitle"/>
      </w:pPr>
      <w:r>
        <w:t xml:space="preserve">Table </w:t>
      </w:r>
      <w:fldSimple w:instr=" SEQ Table \* ARABIC ">
        <w:r w:rsidR="00AA4DFB">
          <w:rPr>
            <w:noProof/>
          </w:rPr>
          <w:t>4</w:t>
        </w:r>
      </w:fldSimple>
      <w:r>
        <w:t>:</w:t>
      </w:r>
      <w:r w:rsidRPr="006A58A8">
        <w:t xml:space="preserve"> Timeline for Submission PM-20</w:t>
      </w:r>
      <w:r>
        <w:t>2</w:t>
      </w:r>
      <w:r w:rsidR="00A00D37">
        <w:t>2</w:t>
      </w:r>
      <w:r w:rsidRPr="006A58A8">
        <w:t>-</w:t>
      </w:r>
      <w:r w:rsidR="00A00D37">
        <w:t>04824</w:t>
      </w:r>
      <w:r w:rsidRPr="006A58A8">
        <w:t>-1-</w:t>
      </w:r>
      <w:r w:rsidR="00A00D37">
        <w:t>2</w:t>
      </w:r>
    </w:p>
    <w:tbl>
      <w:tblPr>
        <w:tblStyle w:val="TableTGAblue"/>
        <w:tblW w:w="0" w:type="auto"/>
        <w:tblLook w:val="04A0" w:firstRow="1" w:lastRow="0" w:firstColumn="1" w:lastColumn="0" w:noHBand="0" w:noVBand="1"/>
      </w:tblPr>
      <w:tblGrid>
        <w:gridCol w:w="4265"/>
        <w:gridCol w:w="4229"/>
      </w:tblGrid>
      <w:tr w:rsidR="0074163C" w14:paraId="143FE575" w14:textId="77777777" w:rsidTr="00A00D37">
        <w:trPr>
          <w:cnfStyle w:val="100000000000" w:firstRow="1" w:lastRow="0" w:firstColumn="0" w:lastColumn="0" w:oddVBand="0" w:evenVBand="0" w:oddHBand="0" w:evenHBand="0" w:firstRowFirstColumn="0" w:firstRowLastColumn="0" w:lastRowFirstColumn="0" w:lastRowLastColumn="0"/>
        </w:trPr>
        <w:tc>
          <w:tcPr>
            <w:tcW w:w="4265" w:type="dxa"/>
            <w:tcBorders>
              <w:top w:val="single" w:sz="4" w:space="0" w:color="auto"/>
              <w:left w:val="single" w:sz="4" w:space="0" w:color="auto"/>
              <w:bottom w:val="single" w:sz="4" w:space="0" w:color="auto"/>
              <w:right w:val="single" w:sz="4" w:space="0" w:color="auto"/>
            </w:tcBorders>
          </w:tcPr>
          <w:p w14:paraId="056BCEBC" w14:textId="77777777" w:rsidR="0074163C" w:rsidRDefault="0074163C" w:rsidP="009E5A87">
            <w:r>
              <w:t>Description</w:t>
            </w:r>
          </w:p>
        </w:tc>
        <w:tc>
          <w:tcPr>
            <w:tcW w:w="4229" w:type="dxa"/>
            <w:tcBorders>
              <w:top w:val="single" w:sz="4" w:space="0" w:color="auto"/>
              <w:left w:val="single" w:sz="4" w:space="0" w:color="auto"/>
              <w:bottom w:val="single" w:sz="4" w:space="0" w:color="auto"/>
              <w:right w:val="single" w:sz="4" w:space="0" w:color="auto"/>
            </w:tcBorders>
          </w:tcPr>
          <w:p w14:paraId="13E6B1CE" w14:textId="77777777" w:rsidR="0074163C" w:rsidRDefault="0074163C" w:rsidP="009E5A87">
            <w:r>
              <w:t>Date</w:t>
            </w:r>
          </w:p>
        </w:tc>
      </w:tr>
      <w:tr w:rsidR="0074163C" w14:paraId="7F44C8DC" w14:textId="77777777" w:rsidTr="00A00D37">
        <w:tc>
          <w:tcPr>
            <w:tcW w:w="4265" w:type="dxa"/>
            <w:tcBorders>
              <w:top w:val="single" w:sz="4" w:space="0" w:color="auto"/>
            </w:tcBorders>
          </w:tcPr>
          <w:p w14:paraId="72528720" w14:textId="3B5DF723" w:rsidR="0074163C" w:rsidRPr="000351EB" w:rsidRDefault="0074163C" w:rsidP="009E5A87">
            <w:pPr>
              <w:pStyle w:val="Instructions"/>
              <w:rPr>
                <w:iCs/>
              </w:rPr>
            </w:pPr>
            <w:r w:rsidRPr="00A00D37">
              <w:rPr>
                <w:i w:val="0"/>
                <w:iCs/>
                <w:color w:val="auto"/>
              </w:rPr>
              <w:t>Determination (Provisional)</w:t>
            </w:r>
          </w:p>
        </w:tc>
        <w:tc>
          <w:tcPr>
            <w:tcW w:w="4229" w:type="dxa"/>
            <w:tcBorders>
              <w:top w:val="single" w:sz="4" w:space="0" w:color="auto"/>
            </w:tcBorders>
          </w:tcPr>
          <w:p w14:paraId="6316DDB8" w14:textId="55EBAC82" w:rsidR="0074163C" w:rsidRDefault="00425BFB" w:rsidP="009E5A87">
            <w:r>
              <w:t>28 September 202</w:t>
            </w:r>
            <w:r w:rsidR="00991E33">
              <w:t>2</w:t>
            </w:r>
          </w:p>
        </w:tc>
      </w:tr>
      <w:tr w:rsidR="0074163C" w14:paraId="400873AB" w14:textId="77777777" w:rsidTr="00A00D37">
        <w:tc>
          <w:tcPr>
            <w:tcW w:w="4265" w:type="dxa"/>
          </w:tcPr>
          <w:p w14:paraId="0CDAAB24" w14:textId="77777777" w:rsidR="0074163C" w:rsidRDefault="0074163C" w:rsidP="009E5A87">
            <w:r>
              <w:t>Submission dossier accepted and first round evaluation commenced</w:t>
            </w:r>
          </w:p>
        </w:tc>
        <w:tc>
          <w:tcPr>
            <w:tcW w:w="4229" w:type="dxa"/>
          </w:tcPr>
          <w:p w14:paraId="3BE44A70" w14:textId="395FE393" w:rsidR="0074163C" w:rsidRDefault="00991E33" w:rsidP="009E5A87">
            <w:r>
              <w:t>18 November 2022</w:t>
            </w:r>
          </w:p>
        </w:tc>
      </w:tr>
      <w:tr w:rsidR="0074163C" w14:paraId="6713CC9D" w14:textId="77777777" w:rsidTr="00A00D37">
        <w:tc>
          <w:tcPr>
            <w:tcW w:w="4265" w:type="dxa"/>
          </w:tcPr>
          <w:p w14:paraId="1F4A3DD1" w14:textId="77777777" w:rsidR="0074163C" w:rsidRDefault="0074163C" w:rsidP="009E5A87">
            <w:r>
              <w:t>Evaluation completed</w:t>
            </w:r>
          </w:p>
        </w:tc>
        <w:tc>
          <w:tcPr>
            <w:tcW w:w="4229" w:type="dxa"/>
          </w:tcPr>
          <w:p w14:paraId="7E323478" w14:textId="62500FCA" w:rsidR="0074163C" w:rsidRDefault="00991E33" w:rsidP="009E5A87">
            <w:r>
              <w:t>31 January 2023</w:t>
            </w:r>
          </w:p>
        </w:tc>
      </w:tr>
      <w:tr w:rsidR="0074163C" w14:paraId="078230B8" w14:textId="77777777" w:rsidTr="00A00D37">
        <w:tc>
          <w:tcPr>
            <w:tcW w:w="4265" w:type="dxa"/>
          </w:tcPr>
          <w:p w14:paraId="7D9D87F6" w14:textId="4172EB1D" w:rsidR="0074163C" w:rsidRDefault="0074163C" w:rsidP="009E5A87">
            <w:r>
              <w:t xml:space="preserve">Delegate’s Overall benefit-risk assessment </w:t>
            </w:r>
            <w:r w:rsidRPr="00A00D37">
              <w:rPr>
                <w:color w:val="auto"/>
              </w:rPr>
              <w:t>and request for Advisory Committee advice</w:t>
            </w:r>
          </w:p>
        </w:tc>
        <w:tc>
          <w:tcPr>
            <w:tcW w:w="4229" w:type="dxa"/>
          </w:tcPr>
          <w:p w14:paraId="1F75DBE9" w14:textId="1AD59C96" w:rsidR="0074163C" w:rsidRDefault="00A035A1" w:rsidP="009E5A87">
            <w:r>
              <w:t>2 February 2023</w:t>
            </w:r>
          </w:p>
        </w:tc>
      </w:tr>
      <w:tr w:rsidR="0074163C" w14:paraId="71D45EF0" w14:textId="77777777" w:rsidTr="00A00D37">
        <w:tc>
          <w:tcPr>
            <w:tcW w:w="4265" w:type="dxa"/>
          </w:tcPr>
          <w:p w14:paraId="2893C9BA" w14:textId="77777777" w:rsidR="0074163C" w:rsidRDefault="0074163C" w:rsidP="009E5A87">
            <w:r>
              <w:t>Sponsor’s pre-Advisory Committee response</w:t>
            </w:r>
          </w:p>
        </w:tc>
        <w:tc>
          <w:tcPr>
            <w:tcW w:w="4229" w:type="dxa"/>
          </w:tcPr>
          <w:p w14:paraId="48AEB7F7" w14:textId="09706E3A" w:rsidR="0074163C" w:rsidRDefault="00A035A1" w:rsidP="009E5A87">
            <w:r>
              <w:t>6 February 2023</w:t>
            </w:r>
          </w:p>
        </w:tc>
      </w:tr>
      <w:tr w:rsidR="0074163C" w14:paraId="653487A1" w14:textId="77777777" w:rsidTr="00A00D37">
        <w:tc>
          <w:tcPr>
            <w:tcW w:w="4265" w:type="dxa"/>
          </w:tcPr>
          <w:p w14:paraId="7B4AFFB7" w14:textId="77777777" w:rsidR="0074163C" w:rsidRDefault="0074163C" w:rsidP="009E5A87">
            <w:r>
              <w:t>Advisory Committee meeting</w:t>
            </w:r>
          </w:p>
        </w:tc>
        <w:tc>
          <w:tcPr>
            <w:tcW w:w="4229" w:type="dxa"/>
          </w:tcPr>
          <w:p w14:paraId="07410A4B" w14:textId="23240942" w:rsidR="0074163C" w:rsidRDefault="00A035A1" w:rsidP="009E5A87">
            <w:r>
              <w:t>9 February 2023</w:t>
            </w:r>
          </w:p>
        </w:tc>
      </w:tr>
      <w:tr w:rsidR="0074163C" w14:paraId="15314335" w14:textId="77777777" w:rsidTr="00A00D37">
        <w:tc>
          <w:tcPr>
            <w:tcW w:w="4265" w:type="dxa"/>
          </w:tcPr>
          <w:p w14:paraId="2B442805" w14:textId="77777777" w:rsidR="0074163C" w:rsidRDefault="0074163C" w:rsidP="009E5A87">
            <w:r>
              <w:t>Registration decision (Outcome)</w:t>
            </w:r>
          </w:p>
        </w:tc>
        <w:tc>
          <w:tcPr>
            <w:tcW w:w="4229" w:type="dxa"/>
          </w:tcPr>
          <w:p w14:paraId="70C01D4F" w14:textId="069FE78D" w:rsidR="0074163C" w:rsidRDefault="007B5184" w:rsidP="009E5A87">
            <w:r>
              <w:t>17 February 2023</w:t>
            </w:r>
          </w:p>
        </w:tc>
      </w:tr>
      <w:tr w:rsidR="0074163C" w14:paraId="43499574" w14:textId="77777777" w:rsidTr="00A00D37">
        <w:tc>
          <w:tcPr>
            <w:tcW w:w="4265" w:type="dxa"/>
          </w:tcPr>
          <w:p w14:paraId="1DEC0420" w14:textId="77777777" w:rsidR="0074163C" w:rsidRDefault="0074163C" w:rsidP="009E5A87">
            <w:r>
              <w:t>Completion of administrative activities and registration on the ARTG</w:t>
            </w:r>
          </w:p>
        </w:tc>
        <w:tc>
          <w:tcPr>
            <w:tcW w:w="4229" w:type="dxa"/>
          </w:tcPr>
          <w:p w14:paraId="0266F820" w14:textId="3A3CD9E9" w:rsidR="0074163C" w:rsidRDefault="007B5184" w:rsidP="009E5A87">
            <w:r>
              <w:t>20 February 2023</w:t>
            </w:r>
          </w:p>
        </w:tc>
      </w:tr>
      <w:tr w:rsidR="0074163C" w14:paraId="21FB1319" w14:textId="77777777" w:rsidTr="00A00D37">
        <w:tc>
          <w:tcPr>
            <w:tcW w:w="4265" w:type="dxa"/>
          </w:tcPr>
          <w:p w14:paraId="78F754F6" w14:textId="77777777" w:rsidR="0074163C" w:rsidRDefault="0074163C" w:rsidP="009E5A87">
            <w:r>
              <w:t>Number of working days from submission dossier acceptance to registration decision*</w:t>
            </w:r>
          </w:p>
        </w:tc>
        <w:tc>
          <w:tcPr>
            <w:tcW w:w="4229" w:type="dxa"/>
          </w:tcPr>
          <w:p w14:paraId="43835FB2" w14:textId="5E4DFA9C" w:rsidR="0074163C" w:rsidRDefault="00991E33" w:rsidP="009E5A87">
            <w:r>
              <w:t>59</w:t>
            </w:r>
          </w:p>
        </w:tc>
      </w:tr>
    </w:tbl>
    <w:p w14:paraId="38185AFB" w14:textId="77777777" w:rsidR="0074163C" w:rsidRDefault="0074163C" w:rsidP="0074163C">
      <w:pPr>
        <w:pStyle w:val="TableDescription"/>
      </w:pPr>
      <w:r>
        <w:t>*</w:t>
      </w:r>
      <w:r w:rsidRPr="00BF3774">
        <w:t xml:space="preserve">Statutory </w:t>
      </w:r>
      <w:r>
        <w:t xml:space="preserve">timeframe for standard </w:t>
      </w:r>
      <w:r w:rsidR="00BB0B78">
        <w:t>submission</w:t>
      </w:r>
      <w:r>
        <w:t>s is 255 working days</w:t>
      </w:r>
    </w:p>
    <w:p w14:paraId="1967322B" w14:textId="77777777" w:rsidR="008E7846" w:rsidRPr="00792A32" w:rsidRDefault="00006FAB" w:rsidP="008E7846">
      <w:pPr>
        <w:pStyle w:val="Heading2"/>
      </w:pPr>
      <w:bookmarkStart w:id="25" w:name="_Toc196046504"/>
      <w:bookmarkStart w:id="26" w:name="_Toc247691527"/>
      <w:bookmarkStart w:id="27" w:name="_Toc314842510"/>
      <w:bookmarkStart w:id="28" w:name="_Toc128132176"/>
      <w:bookmarkStart w:id="29" w:name="_Toc163441390"/>
      <w:bookmarkEnd w:id="1"/>
      <w:bookmarkEnd w:id="22"/>
      <w:bookmarkEnd w:id="23"/>
      <w:r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5"/>
      <w:bookmarkEnd w:id="26"/>
      <w:bookmarkEnd w:id="27"/>
      <w:bookmarkEnd w:id="28"/>
    </w:p>
    <w:p w14:paraId="26FC4D13" w14:textId="7192878D" w:rsidR="005A79F5" w:rsidRDefault="005A79F5" w:rsidP="0074163C">
      <w:pPr>
        <w:pStyle w:val="Instructions"/>
        <w:rPr>
          <w:i w:val="0"/>
          <w:color w:val="auto"/>
        </w:rPr>
      </w:pPr>
      <w:bookmarkStart w:id="30" w:name="_Toc247691528"/>
      <w:bookmarkStart w:id="31" w:name="_Toc314842511"/>
      <w:r w:rsidRPr="005A79F5">
        <w:rPr>
          <w:i w:val="0"/>
          <w:color w:val="auto"/>
        </w:rPr>
        <w:t>A summary of the TGA’s assessment for this submission is provided below</w:t>
      </w:r>
      <w:r>
        <w:rPr>
          <w:i w:val="0"/>
          <w:color w:val="auto"/>
        </w:rPr>
        <w:t>.</w:t>
      </w:r>
    </w:p>
    <w:p w14:paraId="7C1655D1" w14:textId="77777777" w:rsidR="007A4B8A" w:rsidRDefault="007A4B8A" w:rsidP="007A4B8A">
      <w:pPr>
        <w:pStyle w:val="ListBullet"/>
        <w:numPr>
          <w:ilvl w:val="0"/>
          <w:numId w:val="0"/>
        </w:numPr>
        <w:ind w:left="360" w:hanging="360"/>
      </w:pPr>
      <w:r>
        <w:t>The Delegate referred to the following TGA-adopted guidance:</w:t>
      </w:r>
    </w:p>
    <w:p w14:paraId="6CE98B74" w14:textId="4FB17479" w:rsidR="007A4B8A" w:rsidRDefault="007A4B8A" w:rsidP="007A4B8A">
      <w:pPr>
        <w:pStyle w:val="ListBullet"/>
      </w:pPr>
      <w:r>
        <w:t xml:space="preserve">ACCESS Consortium: </w:t>
      </w:r>
      <w:hyperlink r:id="rId20" w:history="1">
        <w:r w:rsidRPr="00470AF3">
          <w:rPr>
            <w:rStyle w:val="Hyperlink"/>
          </w:rPr>
          <w:t>Access consortium statement on COVID-19 vaccines evidence</w:t>
        </w:r>
      </w:hyperlink>
      <w:r>
        <w:t xml:space="preserve"> (4 December 2020).</w:t>
      </w:r>
    </w:p>
    <w:p w14:paraId="2D01504A" w14:textId="65CE195A" w:rsidR="006A2AAB" w:rsidRDefault="006A2AAB" w:rsidP="00D14168">
      <w:pPr>
        <w:pStyle w:val="ListBullet"/>
      </w:pPr>
      <w:r>
        <w:lastRenderedPageBreak/>
        <w:t xml:space="preserve">ACCESS Consortium: </w:t>
      </w:r>
      <w:hyperlink r:id="rId21" w:history="1">
        <w:r w:rsidR="007A4B8A" w:rsidRPr="00470AF3">
          <w:rPr>
            <w:rStyle w:val="Hyperlink"/>
          </w:rPr>
          <w:t xml:space="preserve">Alignment with ICMRA consensus on </w:t>
        </w:r>
        <w:proofErr w:type="spellStart"/>
        <w:r w:rsidR="007A4B8A" w:rsidRPr="00470AF3">
          <w:rPr>
            <w:rStyle w:val="Hyperlink"/>
          </w:rPr>
          <w:t>immunobridging</w:t>
        </w:r>
        <w:proofErr w:type="spellEnd"/>
        <w:r w:rsidR="007A4B8A" w:rsidRPr="00470AF3">
          <w:rPr>
            <w:rStyle w:val="Hyperlink"/>
          </w:rPr>
          <w:t xml:space="preserve"> for authorising new COVID-19 vaccines</w:t>
        </w:r>
      </w:hyperlink>
      <w:r w:rsidR="007A4B8A">
        <w:t xml:space="preserve"> (14 September 2021).</w:t>
      </w:r>
    </w:p>
    <w:p w14:paraId="2671E899" w14:textId="2EAF71E8" w:rsidR="006A2AAB" w:rsidRDefault="006A2AAB" w:rsidP="00D14168">
      <w:pPr>
        <w:pStyle w:val="ListBullet"/>
      </w:pPr>
      <w:r>
        <w:t xml:space="preserve">EMEA: </w:t>
      </w:r>
      <w:r w:rsidR="007A4B8A">
        <w:t>Guidelines on clinical evaluation of new vaccines (</w:t>
      </w:r>
      <w:hyperlink r:id="rId22" w:history="1">
        <w:r w:rsidR="007A4B8A" w:rsidRPr="00470AF3">
          <w:rPr>
            <w:rStyle w:val="Hyperlink"/>
          </w:rPr>
          <w:t>EMEA/CHMP/VWP/164653/2005</w:t>
        </w:r>
      </w:hyperlink>
      <w:r w:rsidR="007A4B8A">
        <w:t>) (6 January 2009)</w:t>
      </w:r>
    </w:p>
    <w:p w14:paraId="1B00199C" w14:textId="77777777" w:rsidR="00371A73" w:rsidRDefault="00371A73" w:rsidP="00371A73">
      <w:r>
        <w:t>The Delegate referred to the following additional guidance:</w:t>
      </w:r>
    </w:p>
    <w:p w14:paraId="6DE33A61" w14:textId="1BB18D74" w:rsidR="00371A73" w:rsidRDefault="00335600" w:rsidP="00371A73">
      <w:pPr>
        <w:pStyle w:val="ListBullet"/>
        <w:numPr>
          <w:ilvl w:val="0"/>
          <w:numId w:val="38"/>
        </w:numPr>
      </w:pPr>
      <w:r>
        <w:t>European Medicine Agency (</w:t>
      </w:r>
      <w:r w:rsidR="00371A73">
        <w:t>EMA</w:t>
      </w:r>
      <w:r>
        <w:t>)</w:t>
      </w:r>
      <w:r w:rsidR="00371A73">
        <w:t>: EMA considerations on COVID-19 vaccine approval (</w:t>
      </w:r>
      <w:hyperlink r:id="rId23" w:history="1">
        <w:r w:rsidR="00371A73" w:rsidRPr="00470AF3">
          <w:rPr>
            <w:rStyle w:val="Hyperlink"/>
          </w:rPr>
          <w:t>EMA/592928/2020</w:t>
        </w:r>
      </w:hyperlink>
      <w:r w:rsidR="00371A73">
        <w:t>) (19 November 2020)</w:t>
      </w:r>
    </w:p>
    <w:p w14:paraId="41438ABB" w14:textId="058C4927" w:rsidR="00371A73" w:rsidRDefault="00371A73" w:rsidP="00371A73">
      <w:pPr>
        <w:pStyle w:val="ListBullet"/>
        <w:numPr>
          <w:ilvl w:val="0"/>
          <w:numId w:val="38"/>
        </w:numPr>
      </w:pPr>
      <w:r w:rsidRPr="00862956">
        <w:t>Food and Drug Administration</w:t>
      </w:r>
      <w:r>
        <w:t xml:space="preserve"> (FDA), US: </w:t>
      </w:r>
      <w:hyperlink r:id="rId24" w:history="1">
        <w:r w:rsidRPr="001C0DC3">
          <w:rPr>
            <w:rStyle w:val="Hyperlink"/>
          </w:rPr>
          <w:t>Development and licensure of vaccines to prevent COVID-19: guidance for industry</w:t>
        </w:r>
      </w:hyperlink>
      <w:r>
        <w:t xml:space="preserve"> (June 2020)</w:t>
      </w:r>
    </w:p>
    <w:p w14:paraId="572E0C90" w14:textId="71DEFE82" w:rsidR="00371A73" w:rsidRDefault="00371A73" w:rsidP="00371A73">
      <w:pPr>
        <w:pStyle w:val="ListBullet"/>
        <w:numPr>
          <w:ilvl w:val="0"/>
          <w:numId w:val="38"/>
        </w:numPr>
      </w:pPr>
      <w:r w:rsidRPr="00862956">
        <w:t>Food and Drug Administration</w:t>
      </w:r>
      <w:r>
        <w:t xml:space="preserve">, US: </w:t>
      </w:r>
      <w:hyperlink r:id="rId25" w:history="1">
        <w:r w:rsidRPr="001C0DC3">
          <w:rPr>
            <w:rStyle w:val="Hyperlink"/>
          </w:rPr>
          <w:t>Emergency use authorization for vaccines to prevent COVID-19: guidance for industry</w:t>
        </w:r>
      </w:hyperlink>
      <w:r>
        <w:t xml:space="preserve"> (25 May 2021)</w:t>
      </w:r>
    </w:p>
    <w:p w14:paraId="1CA4C7FB" w14:textId="12D6BAEA" w:rsidR="00371A73" w:rsidRDefault="00371A73" w:rsidP="00371A73">
      <w:pPr>
        <w:pStyle w:val="ListBullet"/>
        <w:numPr>
          <w:ilvl w:val="0"/>
          <w:numId w:val="38"/>
        </w:numPr>
      </w:pPr>
      <w:r w:rsidRPr="00862956">
        <w:t>Food and Drug Administration</w:t>
      </w:r>
      <w:r>
        <w:t xml:space="preserve">, </w:t>
      </w:r>
      <w:r w:rsidRPr="00862956">
        <w:t>US:</w:t>
      </w:r>
      <w:r>
        <w:t xml:space="preserve"> </w:t>
      </w:r>
      <w:hyperlink r:id="rId26" w:history="1">
        <w:r w:rsidRPr="001C0DC3">
          <w:rPr>
            <w:rStyle w:val="Hyperlink"/>
          </w:rPr>
          <w:t>COVID-19: developing drugs and biological products for treatment or prevention: guidance for industry</w:t>
        </w:r>
      </w:hyperlink>
      <w:r>
        <w:t xml:space="preserve"> (February 2021)</w:t>
      </w:r>
    </w:p>
    <w:p w14:paraId="7898AF96" w14:textId="52CD55E2" w:rsidR="00371A73" w:rsidRPr="008E6C71" w:rsidRDefault="00371A73" w:rsidP="00371A73">
      <w:pPr>
        <w:pStyle w:val="ListBullet"/>
        <w:numPr>
          <w:ilvl w:val="0"/>
          <w:numId w:val="38"/>
        </w:numPr>
      </w:pPr>
      <w:r>
        <w:t xml:space="preserve">World Health Organization: </w:t>
      </w:r>
      <w:hyperlink r:id="rId27" w:history="1">
        <w:r w:rsidRPr="001C0DC3">
          <w:rPr>
            <w:rStyle w:val="Hyperlink"/>
          </w:rPr>
          <w:t>Design of vaccine efficacy trials to be used during public health emergencies – points of consideration and key principles</w:t>
        </w:r>
      </w:hyperlink>
      <w:r>
        <w:t xml:space="preserve"> (2019)</w:t>
      </w:r>
    </w:p>
    <w:p w14:paraId="0BE42489" w14:textId="77777777" w:rsidR="008E7846" w:rsidRDefault="008E7846" w:rsidP="008E7846">
      <w:pPr>
        <w:pStyle w:val="Heading3"/>
      </w:pPr>
      <w:bookmarkStart w:id="32" w:name="_Toc128132177"/>
      <w:r>
        <w:t>Quality</w:t>
      </w:r>
      <w:bookmarkEnd w:id="30"/>
      <w:bookmarkEnd w:id="31"/>
      <w:bookmarkEnd w:id="32"/>
    </w:p>
    <w:p w14:paraId="5B26922B" w14:textId="7FEE09D7" w:rsidR="009E18F1" w:rsidRPr="009E18F1" w:rsidRDefault="009E18F1" w:rsidP="009E18F1">
      <w:r>
        <w:t>The sponsor</w:t>
      </w:r>
      <w:r w:rsidRPr="009E18F1">
        <w:t xml:space="preserve"> has applied for the provisional registration of a bivalent COVID-19 vaccine, which was granted provisional determination on 28 September 2022, available in the following container presentations:</w:t>
      </w:r>
    </w:p>
    <w:p w14:paraId="71C26E42" w14:textId="25ECDEEC" w:rsidR="009E18F1" w:rsidRPr="009E18F1" w:rsidRDefault="009E18F1" w:rsidP="009E18F1">
      <w:pPr>
        <w:pStyle w:val="ListBullet"/>
      </w:pPr>
      <w:proofErr w:type="spellStart"/>
      <w:r w:rsidRPr="009E18F1">
        <w:t>S</w:t>
      </w:r>
      <w:r>
        <w:t>pikevax</w:t>
      </w:r>
      <w:proofErr w:type="spellEnd"/>
      <w:r>
        <w:t xml:space="preserve"> bivalent Original/Omicron BA.4-5 </w:t>
      </w:r>
      <w:r w:rsidRPr="009E18F1">
        <w:t>(</w:t>
      </w:r>
      <w:proofErr w:type="spellStart"/>
      <w:r w:rsidRPr="009E18F1">
        <w:t>elasomeran</w:t>
      </w:r>
      <w:proofErr w:type="spellEnd"/>
      <w:r w:rsidRPr="009E18F1">
        <w:t>/</w:t>
      </w:r>
      <w:proofErr w:type="spellStart"/>
      <w:r w:rsidRPr="009E18F1">
        <w:t>davesomeran</w:t>
      </w:r>
      <w:proofErr w:type="spellEnd"/>
      <w:r w:rsidRPr="009E18F1">
        <w:t xml:space="preserve">) COVID-19 </w:t>
      </w:r>
      <w:r>
        <w:t>vaccine</w:t>
      </w:r>
      <w:r w:rsidRPr="009E18F1">
        <w:t xml:space="preserve"> 0.1 mg/mL suspension for injection vial</w:t>
      </w:r>
    </w:p>
    <w:p w14:paraId="4B0CD6BB" w14:textId="762A6E75" w:rsidR="009E18F1" w:rsidRPr="009E18F1" w:rsidRDefault="009E18F1" w:rsidP="009E18F1">
      <w:pPr>
        <w:pStyle w:val="ListBullet"/>
      </w:pPr>
      <w:proofErr w:type="spellStart"/>
      <w:r w:rsidRPr="009E18F1">
        <w:t>S</w:t>
      </w:r>
      <w:r>
        <w:t>pikevax</w:t>
      </w:r>
      <w:proofErr w:type="spellEnd"/>
      <w:r>
        <w:t xml:space="preserve"> bivalent Original/Omicron BA.4-5 </w:t>
      </w:r>
      <w:r w:rsidRPr="009E18F1">
        <w:t>(</w:t>
      </w:r>
      <w:proofErr w:type="spellStart"/>
      <w:r w:rsidRPr="009E18F1">
        <w:t>elasomeran</w:t>
      </w:r>
      <w:proofErr w:type="spellEnd"/>
      <w:r w:rsidRPr="009E18F1">
        <w:t>/</w:t>
      </w:r>
      <w:proofErr w:type="spellStart"/>
      <w:r w:rsidRPr="009E18F1">
        <w:t>davesomeran</w:t>
      </w:r>
      <w:proofErr w:type="spellEnd"/>
      <w:r w:rsidRPr="009E18F1">
        <w:t xml:space="preserve">) COVID-19 </w:t>
      </w:r>
      <w:r>
        <w:t>vaccine</w:t>
      </w:r>
      <w:r w:rsidRPr="009E18F1">
        <w:t xml:space="preserve"> 0.1 mg/mL suspension for injection pre-filled syringe</w:t>
      </w:r>
    </w:p>
    <w:p w14:paraId="4696AE68" w14:textId="209FBCC8" w:rsidR="009E18F1" w:rsidRPr="009E18F1" w:rsidRDefault="009E18F1" w:rsidP="009E18F1">
      <w:r w:rsidRPr="009E18F1">
        <w:t xml:space="preserve">The proposed vaccine product is a bivalent version of the </w:t>
      </w:r>
      <w:proofErr w:type="spellStart"/>
      <w:r w:rsidRPr="009E18F1">
        <w:t>Spikevax</w:t>
      </w:r>
      <w:proofErr w:type="spellEnd"/>
      <w:r w:rsidRPr="009E18F1">
        <w:t xml:space="preserve"> vaccine, which integrates </w:t>
      </w:r>
      <w:r>
        <w:t>two</w:t>
      </w:r>
      <w:r w:rsidRPr="009E18F1">
        <w:t xml:space="preserve"> mRNA sequences encoding for the pre-fusion stabili</w:t>
      </w:r>
      <w:r>
        <w:t>s</w:t>
      </w:r>
      <w:r w:rsidRPr="009E18F1">
        <w:t xml:space="preserve">ed </w:t>
      </w:r>
      <w:r>
        <w:t>s</w:t>
      </w:r>
      <w:r w:rsidRPr="009E18F1">
        <w:t>pike protein of</w:t>
      </w:r>
    </w:p>
    <w:p w14:paraId="1DADA9E5" w14:textId="6DCA02DC" w:rsidR="009E18F1" w:rsidRPr="009E18F1" w:rsidRDefault="009E18F1" w:rsidP="009E18F1">
      <w:pPr>
        <w:pStyle w:val="ListBullet"/>
      </w:pPr>
      <w:r>
        <w:t xml:space="preserve">Ancestral strain of </w:t>
      </w:r>
      <w:r w:rsidRPr="009E18F1">
        <w:t>novel Coronavirus</w:t>
      </w:r>
      <w:r>
        <w:t xml:space="preserve"> 2019</w:t>
      </w:r>
      <w:r w:rsidRPr="009E18F1">
        <w:t xml:space="preserve"> (SARS</w:t>
      </w:r>
      <w:r w:rsidRPr="009E18F1">
        <w:noBreakHyphen/>
        <w:t xml:space="preserve">CoV-2), </w:t>
      </w:r>
      <w:proofErr w:type="spellStart"/>
      <w:r>
        <w:t>e</w:t>
      </w:r>
      <w:r w:rsidRPr="009E18F1">
        <w:t>lasomeran</w:t>
      </w:r>
      <w:proofErr w:type="spellEnd"/>
    </w:p>
    <w:p w14:paraId="2A5B6F10" w14:textId="6E9D2118" w:rsidR="009E18F1" w:rsidRPr="009E18F1" w:rsidRDefault="009E18F1" w:rsidP="009E18F1">
      <w:pPr>
        <w:pStyle w:val="ListBullet"/>
      </w:pPr>
      <w:r>
        <w:t xml:space="preserve">Omicron </w:t>
      </w:r>
      <w:r w:rsidR="001405D9">
        <w:t>BA.4-5</w:t>
      </w:r>
      <w:r w:rsidRPr="009E18F1">
        <w:t xml:space="preserve"> variants</w:t>
      </w:r>
      <w:r>
        <w:t xml:space="preserve"> </w:t>
      </w:r>
      <w:r w:rsidRPr="009E18F1">
        <w:t>of</w:t>
      </w:r>
      <w:r>
        <w:t xml:space="preserve"> </w:t>
      </w:r>
      <w:r w:rsidRPr="009E18F1">
        <w:t>concern (</w:t>
      </w:r>
      <w:proofErr w:type="spellStart"/>
      <w:r w:rsidRPr="009E18F1">
        <w:t>VoC</w:t>
      </w:r>
      <w:proofErr w:type="spellEnd"/>
      <w:r w:rsidRPr="009E18F1">
        <w:t>)</w:t>
      </w:r>
      <w:r>
        <w:t xml:space="preserve">, </w:t>
      </w:r>
      <w:proofErr w:type="spellStart"/>
      <w:r>
        <w:t>d</w:t>
      </w:r>
      <w:r w:rsidRPr="009E18F1">
        <w:t>avesomeran</w:t>
      </w:r>
      <w:proofErr w:type="spellEnd"/>
    </w:p>
    <w:p w14:paraId="10C08D7C" w14:textId="216F4F86" w:rsidR="009E18F1" w:rsidRPr="009E18F1" w:rsidRDefault="009E18F1" w:rsidP="009E18F1">
      <w:r w:rsidRPr="009E18F1">
        <w:t xml:space="preserve">The </w:t>
      </w:r>
      <w:proofErr w:type="spellStart"/>
      <w:r w:rsidRPr="009E18F1">
        <w:t>S</w:t>
      </w:r>
      <w:r>
        <w:t>pikevax</w:t>
      </w:r>
      <w:proofErr w:type="spellEnd"/>
      <w:r>
        <w:t xml:space="preserve"> bivalent vaccine</w:t>
      </w:r>
      <w:r w:rsidRPr="009E18F1">
        <w:t xml:space="preserve"> integrates the </w:t>
      </w:r>
      <w:r>
        <w:t>two</w:t>
      </w:r>
      <w:r w:rsidRPr="009E18F1">
        <w:t xml:space="preserve"> mRNA sequences in a ratio</w:t>
      </w:r>
      <w:r>
        <w:t xml:space="preserve"> of</w:t>
      </w:r>
      <w:r w:rsidRPr="009E18F1">
        <w:t xml:space="preserve"> 1</w:t>
      </w:r>
      <w:r>
        <w:t xml:space="preserve"> to </w:t>
      </w:r>
      <w:r w:rsidRPr="009E18F1">
        <w:t xml:space="preserve">1 </w:t>
      </w:r>
      <w:r w:rsidR="009D1FA4">
        <w:t xml:space="preserve">(25 µg </w:t>
      </w:r>
      <w:proofErr w:type="spellStart"/>
      <w:r w:rsidR="009D1FA4">
        <w:t>elasomeran</w:t>
      </w:r>
      <w:proofErr w:type="spellEnd"/>
      <w:r w:rsidR="009D1FA4">
        <w:t xml:space="preserve"> and 25 µg </w:t>
      </w:r>
      <w:proofErr w:type="spellStart"/>
      <w:r w:rsidR="009D1FA4">
        <w:t>davesomeran</w:t>
      </w:r>
      <w:proofErr w:type="spellEnd"/>
      <w:r w:rsidR="009D1FA4">
        <w:t>)</w:t>
      </w:r>
      <w:r w:rsidR="009D1FA4" w:rsidRPr="009E18F1">
        <w:t xml:space="preserve"> </w:t>
      </w:r>
      <w:r w:rsidRPr="009E18F1">
        <w:t>formulated together in a 0.1 mg/mL concentration.</w:t>
      </w:r>
    </w:p>
    <w:p w14:paraId="46008B43" w14:textId="3CD2F82E" w:rsidR="009E18F1" w:rsidRPr="009E18F1" w:rsidRDefault="009E18F1" w:rsidP="009E18F1">
      <w:r w:rsidRPr="009E18F1">
        <w:t xml:space="preserve">The </w:t>
      </w:r>
      <w:r>
        <w:t>s</w:t>
      </w:r>
      <w:r w:rsidRPr="009E18F1">
        <w:t xml:space="preserve">ponsor has indicated that the proposed </w:t>
      </w:r>
      <w:proofErr w:type="spellStart"/>
      <w:r w:rsidRPr="009E18F1">
        <w:t>S</w:t>
      </w:r>
      <w:r>
        <w:t>pikevax</w:t>
      </w:r>
      <w:proofErr w:type="spellEnd"/>
      <w:r>
        <w:t xml:space="preserve"> bivalent</w:t>
      </w:r>
      <w:r w:rsidRPr="009E18F1">
        <w:t xml:space="preserve"> vaccine is a new drug product (</w:t>
      </w:r>
      <w:proofErr w:type="spellStart"/>
      <w:r>
        <w:t>e</w:t>
      </w:r>
      <w:r w:rsidRPr="00A00D37">
        <w:t>lasomeran</w:t>
      </w:r>
      <w:proofErr w:type="spellEnd"/>
      <w:r>
        <w:t xml:space="preserve"> and </w:t>
      </w:r>
      <w:proofErr w:type="spellStart"/>
      <w:r w:rsidRPr="00A00D37">
        <w:t>davesomeran</w:t>
      </w:r>
      <w:proofErr w:type="spellEnd"/>
      <w:r w:rsidRPr="009E18F1">
        <w:t xml:space="preserve">) and is the latest generation of the </w:t>
      </w:r>
      <w:proofErr w:type="spellStart"/>
      <w:r w:rsidRPr="009E18F1">
        <w:t>Spikevax</w:t>
      </w:r>
      <w:proofErr w:type="spellEnd"/>
      <w:r w:rsidRPr="009E18F1">
        <w:t xml:space="preserve"> vaccine platform, which is supported by the </w:t>
      </w:r>
      <w:r>
        <w:t>drug product</w:t>
      </w:r>
      <w:r w:rsidRPr="009E18F1">
        <w:t xml:space="preserve"> development from the original mRNA-1273</w:t>
      </w:r>
      <w:r w:rsidR="00F4756E">
        <w:t>;</w:t>
      </w:r>
      <w:r w:rsidR="00F4756E">
        <w:rPr>
          <w:rStyle w:val="FootnoteReference"/>
        </w:rPr>
        <w:footnoteReference w:id="3"/>
      </w:r>
      <w:r w:rsidRPr="009E18F1">
        <w:t xml:space="preserve"> </w:t>
      </w:r>
      <w:r>
        <w:t>drug product</w:t>
      </w:r>
      <w:r w:rsidRPr="009E18F1">
        <w:t xml:space="preserve"> (</w:t>
      </w:r>
      <w:proofErr w:type="spellStart"/>
      <w:r>
        <w:t>elasomeran</w:t>
      </w:r>
      <w:proofErr w:type="spellEnd"/>
      <w:r>
        <w:t>)</w:t>
      </w:r>
      <w:r w:rsidRPr="009E18F1">
        <w:t xml:space="preserve"> and the </w:t>
      </w:r>
      <w:proofErr w:type="spellStart"/>
      <w:r w:rsidRPr="009E18F1">
        <w:t>S</w:t>
      </w:r>
      <w:r>
        <w:t>pikevax</w:t>
      </w:r>
      <w:proofErr w:type="spellEnd"/>
      <w:r>
        <w:t xml:space="preserve"> bivalent</w:t>
      </w:r>
      <w:r w:rsidRPr="009E18F1">
        <w:t xml:space="preserve"> </w:t>
      </w:r>
      <w:r>
        <w:t>Original</w:t>
      </w:r>
      <w:r w:rsidRPr="009E18F1">
        <w:t>/O</w:t>
      </w:r>
      <w:r>
        <w:t>micron</w:t>
      </w:r>
      <w:r w:rsidRPr="009E18F1">
        <w:t xml:space="preserve"> BA.1 (</w:t>
      </w:r>
      <w:proofErr w:type="spellStart"/>
      <w:r>
        <w:t>elasomeran</w:t>
      </w:r>
      <w:proofErr w:type="spellEnd"/>
      <w:r w:rsidRPr="009E18F1">
        <w:t xml:space="preserve"> and </w:t>
      </w:r>
      <w:proofErr w:type="spellStart"/>
      <w:r w:rsidRPr="009E18F1">
        <w:t>imelasomeran</w:t>
      </w:r>
      <w:proofErr w:type="spellEnd"/>
      <w:r>
        <w:t>)</w:t>
      </w:r>
      <w:r w:rsidRPr="009E18F1">
        <w:t xml:space="preserve">, which combined sequences for the </w:t>
      </w:r>
      <w:r>
        <w:t xml:space="preserve">ancestral </w:t>
      </w:r>
      <w:r w:rsidRPr="009E18F1">
        <w:t>and Omicron BA.1 strain</w:t>
      </w:r>
      <w:r>
        <w:t>s.</w:t>
      </w:r>
    </w:p>
    <w:p w14:paraId="1DEB728B" w14:textId="114D9C4E" w:rsidR="009E18F1" w:rsidRPr="009E18F1" w:rsidRDefault="009E18F1" w:rsidP="009E18F1">
      <w:proofErr w:type="spellStart"/>
      <w:r w:rsidRPr="009E18F1">
        <w:t>S</w:t>
      </w:r>
      <w:r>
        <w:t>pikevax</w:t>
      </w:r>
      <w:proofErr w:type="spellEnd"/>
      <w:r>
        <w:t xml:space="preserve"> bivalent vaccine</w:t>
      </w:r>
      <w:r w:rsidRPr="009E18F1">
        <w:t xml:space="preserve"> is preservative</w:t>
      </w:r>
      <w:r>
        <w:t xml:space="preserve"> </w:t>
      </w:r>
      <w:r w:rsidRPr="009E18F1">
        <w:t>free and supplied frozen at -50°C to -15°C as a ready to use solution and once thawed the vaccine should not be re-frozen, with the following pack presentations:</w:t>
      </w:r>
    </w:p>
    <w:p w14:paraId="6C95F2DE" w14:textId="74E26327" w:rsidR="009E18F1" w:rsidRPr="009E18F1" w:rsidRDefault="009E18F1" w:rsidP="009E18F1">
      <w:pPr>
        <w:pStyle w:val="ListBullet"/>
      </w:pPr>
      <w:r w:rsidRPr="009E18F1">
        <w:t xml:space="preserve">10 </w:t>
      </w:r>
      <w:r w:rsidR="009D1FA4">
        <w:t>x</w:t>
      </w:r>
      <w:r w:rsidRPr="009E18F1">
        <w:t xml:space="preserve"> 2.5 mL multidose vials (0.1 mg/mL strength</w:t>
      </w:r>
      <w:r w:rsidR="009D1FA4">
        <w:t>; each blue flip-off cap vial contains 5 doses)</w:t>
      </w:r>
    </w:p>
    <w:p w14:paraId="4F932D94" w14:textId="02CBE1FC" w:rsidR="009E18F1" w:rsidRPr="009E18F1" w:rsidRDefault="009E18F1" w:rsidP="009E18F1">
      <w:pPr>
        <w:pStyle w:val="ListBullet"/>
      </w:pPr>
      <w:r w:rsidRPr="009E18F1">
        <w:lastRenderedPageBreak/>
        <w:t xml:space="preserve">10 </w:t>
      </w:r>
      <w:r w:rsidR="009D1FA4">
        <w:t>x</w:t>
      </w:r>
      <w:r w:rsidRPr="009E18F1">
        <w:t xml:space="preserve"> 0.5 mL </w:t>
      </w:r>
      <w:r>
        <w:t xml:space="preserve">pre-filled syringe </w:t>
      </w:r>
      <w:r w:rsidRPr="009E18F1">
        <w:t>(0.1 mg/mL strength</w:t>
      </w:r>
      <w:r w:rsidR="009D1FA4">
        <w:t>; single use only).</w:t>
      </w:r>
    </w:p>
    <w:p w14:paraId="2AD1ED62" w14:textId="5C6CFF8E" w:rsidR="009E18F1" w:rsidRPr="009E18F1" w:rsidRDefault="009E18F1" w:rsidP="009E18F1">
      <w:r w:rsidRPr="009E18F1">
        <w:t xml:space="preserve">There are no significant issues identified from the </w:t>
      </w:r>
      <w:r>
        <w:t>q</w:t>
      </w:r>
      <w:r w:rsidRPr="009E18F1">
        <w:t xml:space="preserve">uality </w:t>
      </w:r>
      <w:r>
        <w:t>e</w:t>
      </w:r>
      <w:r w:rsidRPr="009E18F1">
        <w:t xml:space="preserve">valuation of the submitted data that would indicate the product should not be provisionally registered </w:t>
      </w:r>
      <w:proofErr w:type="gramStart"/>
      <w:r w:rsidRPr="009E18F1">
        <w:t>on the basis of</w:t>
      </w:r>
      <w:proofErr w:type="gramEnd"/>
      <w:r w:rsidRPr="009E18F1">
        <w:t xml:space="preserve"> quality, or safety</w:t>
      </w:r>
      <w:r>
        <w:t xml:space="preserve"> </w:t>
      </w:r>
      <w:r w:rsidRPr="009E18F1">
        <w:t xml:space="preserve">related issues arising from the quality of the product. The manufacturing quality information submitted by the </w:t>
      </w:r>
      <w:r>
        <w:t>s</w:t>
      </w:r>
      <w:r w:rsidRPr="009E18F1">
        <w:t xml:space="preserve">ponsor support the provisional registration of </w:t>
      </w:r>
      <w:proofErr w:type="spellStart"/>
      <w:r>
        <w:t>Spikevax</w:t>
      </w:r>
      <w:proofErr w:type="spellEnd"/>
      <w:r>
        <w:t xml:space="preserve"> bivalent Original/Omicron </w:t>
      </w:r>
      <w:r w:rsidR="001405D9">
        <w:t>BA.4-5</w:t>
      </w:r>
      <w:r>
        <w:t xml:space="preserve"> </w:t>
      </w:r>
      <w:r w:rsidRPr="009E18F1">
        <w:t>(</w:t>
      </w:r>
      <w:proofErr w:type="spellStart"/>
      <w:r w:rsidRPr="009E18F1">
        <w:t>elasomeran</w:t>
      </w:r>
      <w:proofErr w:type="spellEnd"/>
      <w:r w:rsidRPr="009E18F1">
        <w:t>/</w:t>
      </w:r>
      <w:proofErr w:type="spellStart"/>
      <w:r w:rsidRPr="009E18F1">
        <w:t>davesomeran</w:t>
      </w:r>
      <w:proofErr w:type="spellEnd"/>
      <w:r w:rsidRPr="009E18F1">
        <w:t xml:space="preserve">) COVID-19 </w:t>
      </w:r>
      <w:r w:rsidR="00F4756E">
        <w:t>v</w:t>
      </w:r>
      <w:r>
        <w:t>accine.</w:t>
      </w:r>
    </w:p>
    <w:p w14:paraId="40E33966" w14:textId="77777777" w:rsidR="008E7846" w:rsidRDefault="008E7846" w:rsidP="008E7846">
      <w:pPr>
        <w:pStyle w:val="Heading3"/>
      </w:pPr>
      <w:bookmarkStart w:id="33" w:name="_Toc314842512"/>
      <w:bookmarkStart w:id="34" w:name="_Toc128132178"/>
      <w:r>
        <w:t>Nonclinical</w:t>
      </w:r>
      <w:bookmarkEnd w:id="33"/>
      <w:bookmarkEnd w:id="34"/>
    </w:p>
    <w:p w14:paraId="7156E5C2" w14:textId="3BA2D124" w:rsidR="009E18F1" w:rsidRPr="009E18F1" w:rsidRDefault="009E18F1" w:rsidP="009E18F1">
      <w:r w:rsidRPr="009E18F1">
        <w:t xml:space="preserve">The vaccine dose in adults is 50 </w:t>
      </w:r>
      <w:r w:rsidR="00B55CF1">
        <w:t>µ</w:t>
      </w:r>
      <w:r w:rsidRPr="009E18F1">
        <w:t xml:space="preserve">g of mRNA/0.5 mL (25 </w:t>
      </w:r>
      <w:r w:rsidR="00B55CF1">
        <w:t>µ</w:t>
      </w:r>
      <w:r w:rsidRPr="009E18F1">
        <w:t xml:space="preserve">g of each mRNA: </w:t>
      </w:r>
      <w:proofErr w:type="spellStart"/>
      <w:r w:rsidRPr="009E18F1">
        <w:t>elasomeran</w:t>
      </w:r>
      <w:proofErr w:type="spellEnd"/>
      <w:r w:rsidR="00B55CF1">
        <w:t xml:space="preserve"> and </w:t>
      </w:r>
      <w:proofErr w:type="spellStart"/>
      <w:r w:rsidR="00B55CF1">
        <w:t>d</w:t>
      </w:r>
      <w:r w:rsidRPr="009E18F1">
        <w:t>avesomeran</w:t>
      </w:r>
      <w:proofErr w:type="spellEnd"/>
      <w:r w:rsidRPr="009E18F1">
        <w:t xml:space="preserve">), given intramuscularly at least </w:t>
      </w:r>
      <w:r w:rsidR="00B55CF1">
        <w:t>three</w:t>
      </w:r>
      <w:r w:rsidRPr="009E18F1">
        <w:t xml:space="preserve"> months following a primary series and/or previous booster dose with </w:t>
      </w:r>
      <w:proofErr w:type="spellStart"/>
      <w:r w:rsidRPr="009E18F1">
        <w:t>S</w:t>
      </w:r>
      <w:r w:rsidR="00B55CF1">
        <w:t>pikevax</w:t>
      </w:r>
      <w:proofErr w:type="spellEnd"/>
      <w:r w:rsidRPr="009E18F1">
        <w:t xml:space="preserve"> (original), </w:t>
      </w:r>
      <w:proofErr w:type="spellStart"/>
      <w:r w:rsidRPr="009E18F1">
        <w:t>S</w:t>
      </w:r>
      <w:r w:rsidR="00B55CF1">
        <w:t>pikevax</w:t>
      </w:r>
      <w:proofErr w:type="spellEnd"/>
      <w:r w:rsidR="00B55CF1">
        <w:t xml:space="preserve"> bivalent Original/Omicron BA.1</w:t>
      </w:r>
      <w:r w:rsidRPr="009E18F1">
        <w:t xml:space="preserve"> or another authorised/approved COVID-19 vaccine, in accordance with official recommendations.</w:t>
      </w:r>
    </w:p>
    <w:p w14:paraId="2DB9475A" w14:textId="53CFE94B" w:rsidR="009E18F1" w:rsidRPr="009E18F1" w:rsidRDefault="009E18F1" w:rsidP="009E18F1">
      <w:r w:rsidRPr="009E18F1">
        <w:t>The new bivalent vaccine (O</w:t>
      </w:r>
      <w:r w:rsidR="00B55CF1">
        <w:t>riginal</w:t>
      </w:r>
      <w:r w:rsidRPr="009E18F1">
        <w:t>/O</w:t>
      </w:r>
      <w:r w:rsidR="00B55CF1">
        <w:t xml:space="preserve">micron </w:t>
      </w:r>
      <w:r w:rsidR="001405D9">
        <w:t>BA.4-5</w:t>
      </w:r>
      <w:r w:rsidRPr="009E18F1">
        <w:t xml:space="preserve">) is manufactured using the same mRNA platform and manufacturing method as the provisionally approved </w:t>
      </w:r>
      <w:proofErr w:type="spellStart"/>
      <w:r w:rsidR="00F4756E">
        <w:t>Spikevax</w:t>
      </w:r>
      <w:proofErr w:type="spellEnd"/>
      <w:r w:rsidR="00F4756E">
        <w:t xml:space="preserve"> </w:t>
      </w:r>
      <w:r w:rsidRPr="009E18F1">
        <w:t>Original/Omicron BA.1 bivalent vaccine.</w:t>
      </w:r>
    </w:p>
    <w:p w14:paraId="37F3158C" w14:textId="4D3441BB" w:rsidR="009E18F1" w:rsidRPr="009E18F1" w:rsidRDefault="00B55CF1" w:rsidP="009E18F1">
      <w:r>
        <w:t>The nonclinical dossier</w:t>
      </w:r>
      <w:r w:rsidR="009E18F1" w:rsidRPr="009E18F1">
        <w:t xml:space="preserve"> comprised of </w:t>
      </w:r>
      <w:r w:rsidR="00945E04">
        <w:t>three</w:t>
      </w:r>
      <w:r w:rsidR="009E18F1" w:rsidRPr="009E18F1">
        <w:t xml:space="preserve"> pharmacology studies:</w:t>
      </w:r>
    </w:p>
    <w:p w14:paraId="038E6B23" w14:textId="4675660B" w:rsidR="009E18F1" w:rsidRPr="009E18F1" w:rsidRDefault="009E18F1" w:rsidP="00B55CF1">
      <w:pPr>
        <w:pStyle w:val="ListBullet"/>
      </w:pPr>
      <w:r w:rsidRPr="00B55CF1">
        <w:rPr>
          <w:i/>
          <w:iCs/>
        </w:rPr>
        <w:t>In vitro</w:t>
      </w:r>
      <w:r w:rsidRPr="009E18F1">
        <w:t xml:space="preserve"> expression of BA.4/BA.5 mRNA in the </w:t>
      </w:r>
      <w:proofErr w:type="spellStart"/>
      <w:r w:rsidR="004D2E66">
        <w:t>Spikevax</w:t>
      </w:r>
      <w:proofErr w:type="spellEnd"/>
      <w:r w:rsidR="004D2E66">
        <w:t xml:space="preserve"> </w:t>
      </w:r>
      <w:r w:rsidR="00945E04">
        <w:t>b</w:t>
      </w:r>
      <w:r w:rsidR="00B55CF1">
        <w:t xml:space="preserve">ivalent Original/Omicron </w:t>
      </w:r>
      <w:r w:rsidR="001405D9">
        <w:t>BA.4-5</w:t>
      </w:r>
      <w:r w:rsidR="00B55CF1">
        <w:t xml:space="preserve"> </w:t>
      </w:r>
      <w:r w:rsidRPr="009E18F1">
        <w:t>vaccine.</w:t>
      </w:r>
    </w:p>
    <w:p w14:paraId="09B0D7F0" w14:textId="04F269D7" w:rsidR="009E18F1" w:rsidRPr="009E18F1" w:rsidRDefault="009E18F1" w:rsidP="00B55CF1">
      <w:pPr>
        <w:pStyle w:val="ListBullet"/>
      </w:pPr>
      <w:r w:rsidRPr="009E18F1">
        <w:t xml:space="preserve">Evaluation of immunogenicity of the </w:t>
      </w:r>
      <w:proofErr w:type="spellStart"/>
      <w:r w:rsidR="004D2E66">
        <w:t>Spikevax</w:t>
      </w:r>
      <w:proofErr w:type="spellEnd"/>
      <w:r w:rsidR="004D2E66">
        <w:t xml:space="preserve"> </w:t>
      </w:r>
      <w:r w:rsidR="00945E04">
        <w:t>b</w:t>
      </w:r>
      <w:r w:rsidR="00B55CF1">
        <w:t xml:space="preserve">ivalent Original/Omicron </w:t>
      </w:r>
      <w:r w:rsidR="001405D9">
        <w:t>BA.4-5</w:t>
      </w:r>
      <w:r w:rsidRPr="009E18F1">
        <w:t xml:space="preserve"> vaccine as well as Omicron</w:t>
      </w:r>
      <w:r w:rsidR="00945E04">
        <w:t xml:space="preserve"> </w:t>
      </w:r>
      <w:r w:rsidRPr="009E18F1">
        <w:t>matched vaccines in mice (primary series).</w:t>
      </w:r>
    </w:p>
    <w:p w14:paraId="6058CAD5" w14:textId="5BD2EC98" w:rsidR="009E18F1" w:rsidRPr="009E18F1" w:rsidRDefault="009E18F1" w:rsidP="00B55CF1">
      <w:pPr>
        <w:pStyle w:val="ListBullet"/>
      </w:pPr>
      <w:r w:rsidRPr="009E18F1">
        <w:t xml:space="preserve">Evaluation of protection and immunogenicity from a booster dose of </w:t>
      </w:r>
      <w:proofErr w:type="spellStart"/>
      <w:r w:rsidR="004D2E66">
        <w:t>Spikevax</w:t>
      </w:r>
      <w:proofErr w:type="spellEnd"/>
      <w:r w:rsidR="004D2E66">
        <w:t xml:space="preserve"> </w:t>
      </w:r>
      <w:r w:rsidR="00945E04">
        <w:t>b</w:t>
      </w:r>
      <w:r w:rsidR="00B55CF1">
        <w:t xml:space="preserve">ivalent Original/Omicron </w:t>
      </w:r>
      <w:r w:rsidR="001405D9">
        <w:t>BA.4-5</w:t>
      </w:r>
      <w:r w:rsidR="00B55CF1">
        <w:t xml:space="preserve"> </w:t>
      </w:r>
      <w:r w:rsidRPr="009E18F1">
        <w:t>vaccine after primary series vaccination with the original monovalent vaccine in mice.</w:t>
      </w:r>
    </w:p>
    <w:p w14:paraId="496A3382" w14:textId="49DACBD7" w:rsidR="009E18F1" w:rsidRPr="009E18F1" w:rsidRDefault="009E18F1" w:rsidP="009E18F1">
      <w:r w:rsidRPr="009E18F1">
        <w:t xml:space="preserve">In the mouse studies, the bivalent Original/Omicron BA.1 and monovalent vaccines, </w:t>
      </w:r>
      <w:proofErr w:type="spellStart"/>
      <w:r w:rsidR="00B55CF1">
        <w:t>Spikevax</w:t>
      </w:r>
      <w:proofErr w:type="spellEnd"/>
      <w:r w:rsidR="00B55CF1">
        <w:t xml:space="preserve"> (original)</w:t>
      </w:r>
      <w:r w:rsidRPr="009E18F1">
        <w:t xml:space="preserve">, </w:t>
      </w:r>
      <w:r w:rsidR="001405D9">
        <w:t>BA.4-5</w:t>
      </w:r>
      <w:r w:rsidRPr="009E18F1">
        <w:t xml:space="preserve"> monovalent</w:t>
      </w:r>
      <w:r w:rsidR="00B55CF1">
        <w:t xml:space="preserve"> (</w:t>
      </w:r>
      <w:proofErr w:type="spellStart"/>
      <w:r w:rsidR="00B55CF1">
        <w:t>davesomeran</w:t>
      </w:r>
      <w:proofErr w:type="spellEnd"/>
      <w:r w:rsidRPr="009E18F1">
        <w:t>) and/or BA.1 monovalent</w:t>
      </w:r>
      <w:r w:rsidR="00B55CF1">
        <w:t xml:space="preserve"> (</w:t>
      </w:r>
      <w:proofErr w:type="spellStart"/>
      <w:r w:rsidR="00B55CF1" w:rsidRPr="009E18F1">
        <w:t>imelasomeran</w:t>
      </w:r>
      <w:proofErr w:type="spellEnd"/>
      <w:r w:rsidRPr="009E18F1">
        <w:t xml:space="preserve">) were included for comparison. The following summary and discussion focus on the </w:t>
      </w:r>
      <w:r w:rsidR="00B55CF1" w:rsidRPr="009E18F1">
        <w:t>new</w:t>
      </w:r>
      <w:r w:rsidR="00C5477C">
        <w:t xml:space="preserve"> </w:t>
      </w:r>
      <w:proofErr w:type="spellStart"/>
      <w:r w:rsidR="00C5477C">
        <w:t>Spikevax</w:t>
      </w:r>
      <w:proofErr w:type="spellEnd"/>
      <w:r w:rsidR="00B55CF1" w:rsidRPr="009E18F1">
        <w:t xml:space="preserve"> bivalent O</w:t>
      </w:r>
      <w:r w:rsidR="00B55CF1">
        <w:t>riginal</w:t>
      </w:r>
      <w:r w:rsidR="00B55CF1" w:rsidRPr="009E18F1">
        <w:t>/O</w:t>
      </w:r>
      <w:r w:rsidR="00B55CF1">
        <w:t xml:space="preserve">micron </w:t>
      </w:r>
      <w:r w:rsidR="00B55CF1" w:rsidRPr="009E18F1">
        <w:t>BA.4-5</w:t>
      </w:r>
      <w:r w:rsidR="00A2016B">
        <w:t xml:space="preserve"> vaccine (</w:t>
      </w:r>
      <w:r w:rsidR="00A2016B" w:rsidRPr="009E18F1">
        <w:t>mRNA-1273.222</w:t>
      </w:r>
      <w:r w:rsidR="00B55CF1" w:rsidRPr="009E18F1">
        <w:t>)</w:t>
      </w:r>
      <w:r w:rsidR="00B55CF1">
        <w:t>.</w:t>
      </w:r>
      <w:r w:rsidR="00F4756E">
        <w:rPr>
          <w:rStyle w:val="FootnoteReference"/>
        </w:rPr>
        <w:footnoteReference w:id="4"/>
      </w:r>
    </w:p>
    <w:p w14:paraId="0A46CBCF" w14:textId="2A9E86C6" w:rsidR="009E18F1" w:rsidRPr="009E18F1" w:rsidRDefault="009E18F1" w:rsidP="009E18F1">
      <w:r w:rsidRPr="009E18F1">
        <w:t xml:space="preserve">Expression of SARS-CoV-2 </w:t>
      </w:r>
      <w:r w:rsidR="00945E04">
        <w:t>spike proteins</w:t>
      </w:r>
      <w:r w:rsidRPr="009E18F1">
        <w:t xml:space="preserve"> </w:t>
      </w:r>
      <w:r w:rsidRPr="00B55CF1">
        <w:rPr>
          <w:i/>
          <w:iCs/>
        </w:rPr>
        <w:t>in vitro</w:t>
      </w:r>
      <w:r w:rsidRPr="009E18F1">
        <w:t xml:space="preserve"> was evident in Expi293 cells transfected with </w:t>
      </w:r>
      <w:proofErr w:type="spellStart"/>
      <w:r w:rsidR="00945E04">
        <w:t>e</w:t>
      </w:r>
      <w:r w:rsidR="00945E04" w:rsidRPr="00A00D37">
        <w:t>lasomeran</w:t>
      </w:r>
      <w:proofErr w:type="spellEnd"/>
      <w:r w:rsidR="00945E04">
        <w:t xml:space="preserve"> and </w:t>
      </w:r>
      <w:proofErr w:type="spellStart"/>
      <w:r w:rsidR="00945E04" w:rsidRPr="00A00D37">
        <w:t>davesomeran</w:t>
      </w:r>
      <w:proofErr w:type="spellEnd"/>
      <w:r w:rsidR="00945E04" w:rsidRPr="009E18F1">
        <w:t xml:space="preserve"> </w:t>
      </w:r>
      <w:r w:rsidRPr="009E18F1">
        <w:t xml:space="preserve">based on binding to the N-terminal domain of the spike protein (wild type and variants) and </w:t>
      </w:r>
      <w:r w:rsidR="00945E04">
        <w:t>human a</w:t>
      </w:r>
      <w:r w:rsidR="00945E04" w:rsidRPr="00945E04">
        <w:t>ngiotensin-converting enzyme 2</w:t>
      </w:r>
      <w:r w:rsidR="00562CE9">
        <w:t xml:space="preserve"> (ACE2)</w:t>
      </w:r>
      <w:r w:rsidRPr="009E18F1">
        <w:t>.</w:t>
      </w:r>
    </w:p>
    <w:p w14:paraId="590585E9" w14:textId="1AF415E2" w:rsidR="009E18F1" w:rsidRPr="009E18F1" w:rsidRDefault="009E18F1" w:rsidP="009E18F1">
      <w:r w:rsidRPr="009E18F1">
        <w:t xml:space="preserve">A </w:t>
      </w:r>
      <w:r w:rsidR="00B55CF1">
        <w:t xml:space="preserve">two </w:t>
      </w:r>
      <w:r w:rsidRPr="009E18F1">
        <w:t xml:space="preserve">dose primary series vaccination with the bivalent </w:t>
      </w:r>
      <w:r w:rsidR="00945E04">
        <w:t>Original/Omicron</w:t>
      </w:r>
      <w:r w:rsidRPr="009E18F1">
        <w:t xml:space="preserve"> vaccine in mice induced high </w:t>
      </w:r>
      <w:r w:rsidR="00945E04">
        <w:t>immunoglobin G</w:t>
      </w:r>
      <w:r w:rsidRPr="009E18F1">
        <w:t xml:space="preserve"> to the </w:t>
      </w:r>
      <w:r w:rsidR="00A2016B">
        <w:t>ancestral</w:t>
      </w:r>
      <w:r w:rsidRPr="009E18F1">
        <w:t xml:space="preserve">, BA.1 and </w:t>
      </w:r>
      <w:r w:rsidR="001405D9">
        <w:t>BA.4-5</w:t>
      </w:r>
      <w:r w:rsidRPr="009E18F1">
        <w:t xml:space="preserve"> spike proteins. As expected, the </w:t>
      </w:r>
      <w:r w:rsidR="00F4756E">
        <w:t>immunoglobin G</w:t>
      </w:r>
      <w:r w:rsidRPr="009E18F1">
        <w:t xml:space="preserve"> titres were markedly increased after the </w:t>
      </w:r>
      <w:r w:rsidR="00945E04">
        <w:t>second dose</w:t>
      </w:r>
      <w:r w:rsidRPr="009E18F1">
        <w:t xml:space="preserve"> </w:t>
      </w:r>
      <w:r w:rsidR="00945E04">
        <w:t>compare</w:t>
      </w:r>
      <w:r w:rsidR="00A02AB2">
        <w:t>d</w:t>
      </w:r>
      <w:r w:rsidR="00945E04">
        <w:t xml:space="preserve"> to</w:t>
      </w:r>
      <w:r w:rsidRPr="009E18F1">
        <w:t xml:space="preserve"> the titres after the </w:t>
      </w:r>
      <w:r w:rsidR="00F4756E">
        <w:t>first</w:t>
      </w:r>
      <w:r w:rsidRPr="009E18F1">
        <w:t xml:space="preserve"> dose. The bivalent </w:t>
      </w:r>
      <w:r w:rsidR="00F4756E">
        <w:t xml:space="preserve">Original/Omicron </w:t>
      </w:r>
      <w:r w:rsidR="001405D9">
        <w:t>BA.4-5</w:t>
      </w:r>
      <w:r w:rsidRPr="009E18F1">
        <w:t xml:space="preserve"> vaccine elicited high neutralising antibodies (</w:t>
      </w:r>
      <w:proofErr w:type="spellStart"/>
      <w:r w:rsidRPr="009E18F1">
        <w:t>nAb</w:t>
      </w:r>
      <w:proofErr w:type="spellEnd"/>
      <w:r w:rsidRPr="009E18F1">
        <w:t xml:space="preserve">) against </w:t>
      </w:r>
      <w:r w:rsidR="00945E04">
        <w:t xml:space="preserve">Omicron </w:t>
      </w:r>
      <w:r w:rsidRPr="009E18F1">
        <w:t xml:space="preserve">BA.4/BA.5 based on </w:t>
      </w:r>
      <w:proofErr w:type="spellStart"/>
      <w:r w:rsidRPr="009E18F1">
        <w:t>pseudovirus</w:t>
      </w:r>
      <w:proofErr w:type="spellEnd"/>
      <w:r w:rsidRPr="009E18F1">
        <w:t xml:space="preserve"> (vesicular stomatitis virus and lentivirus) assays. However, the bivalent vaccine induced lower </w:t>
      </w:r>
      <w:proofErr w:type="spellStart"/>
      <w:r w:rsidRPr="009E18F1">
        <w:t>nAb</w:t>
      </w:r>
      <w:proofErr w:type="spellEnd"/>
      <w:r w:rsidRPr="009E18F1">
        <w:t xml:space="preserve"> against the </w:t>
      </w:r>
      <w:r w:rsidR="00945E04">
        <w:t>ancestral</w:t>
      </w:r>
      <w:r w:rsidRPr="009E18F1">
        <w:t xml:space="preserve"> strain (WA1/D614G) than </w:t>
      </w:r>
      <w:proofErr w:type="spellStart"/>
      <w:r w:rsidR="00945E04">
        <w:t>elasomeran</w:t>
      </w:r>
      <w:proofErr w:type="spellEnd"/>
      <w:r w:rsidR="00945E04">
        <w:t>. This might be</w:t>
      </w:r>
      <w:r w:rsidRPr="009E18F1">
        <w:t xml:space="preserve"> related to the lower mRNA dose (0.5 </w:t>
      </w:r>
      <w:r w:rsidR="00945E04">
        <w:t>µ</w:t>
      </w:r>
      <w:r w:rsidRPr="009E18F1">
        <w:t xml:space="preserve">g </w:t>
      </w:r>
      <w:proofErr w:type="spellStart"/>
      <w:r w:rsidR="00945E04">
        <w:t>elasomeran</w:t>
      </w:r>
      <w:proofErr w:type="spellEnd"/>
      <w:r w:rsidRPr="009E18F1">
        <w:t xml:space="preserve"> in the bivalent vaccine </w:t>
      </w:r>
      <w:r w:rsidR="00945E04">
        <w:t>compare</w:t>
      </w:r>
      <w:r w:rsidR="00A02AB2">
        <w:t>d</w:t>
      </w:r>
      <w:r w:rsidR="00945E04">
        <w:t xml:space="preserve"> to</w:t>
      </w:r>
      <w:r w:rsidRPr="009E18F1">
        <w:t xml:space="preserve"> 1 </w:t>
      </w:r>
      <w:r w:rsidR="00945E04">
        <w:t>µ</w:t>
      </w:r>
      <w:r w:rsidRPr="009E18F1">
        <w:t xml:space="preserve">g </w:t>
      </w:r>
      <w:proofErr w:type="spellStart"/>
      <w:r w:rsidR="00945E04">
        <w:t>elasomeran</w:t>
      </w:r>
      <w:proofErr w:type="spellEnd"/>
      <w:r w:rsidRPr="009E18F1">
        <w:t xml:space="preserve"> in the </w:t>
      </w:r>
      <w:proofErr w:type="spellStart"/>
      <w:r w:rsidR="00945E04">
        <w:t>Spikevax</w:t>
      </w:r>
      <w:proofErr w:type="spellEnd"/>
      <w:r w:rsidRPr="009E18F1">
        <w:t xml:space="preserve"> monovalent vaccine). The </w:t>
      </w:r>
      <w:proofErr w:type="spellStart"/>
      <w:r w:rsidR="00945E04">
        <w:t>davesomeran</w:t>
      </w:r>
      <w:proofErr w:type="spellEnd"/>
      <w:r w:rsidRPr="009E18F1">
        <w:t xml:space="preserve"> monovalent vaccine induced </w:t>
      </w:r>
      <w:proofErr w:type="spellStart"/>
      <w:r w:rsidRPr="009E18F1">
        <w:t>nAb</w:t>
      </w:r>
      <w:proofErr w:type="spellEnd"/>
      <w:r w:rsidRPr="009E18F1">
        <w:t xml:space="preserve"> against </w:t>
      </w:r>
      <w:r w:rsidR="00945E04">
        <w:t xml:space="preserve">Omicron </w:t>
      </w:r>
      <w:r w:rsidR="001405D9">
        <w:t>BA.4-5</w:t>
      </w:r>
      <w:r w:rsidRPr="009E18F1">
        <w:t xml:space="preserve"> </w:t>
      </w:r>
      <w:proofErr w:type="gramStart"/>
      <w:r w:rsidRPr="009E18F1">
        <w:t>similar to</w:t>
      </w:r>
      <w:proofErr w:type="gramEnd"/>
      <w:r w:rsidRPr="009E18F1">
        <w:t xml:space="preserve"> that by </w:t>
      </w:r>
      <w:r w:rsidR="00945E04">
        <w:t>bivalent Original/Omicron BA.4</w:t>
      </w:r>
      <w:r w:rsidR="00F4756E">
        <w:t>–</w:t>
      </w:r>
      <w:r w:rsidR="00945E04">
        <w:t>5</w:t>
      </w:r>
      <w:r w:rsidR="00F4756E">
        <w:t xml:space="preserve"> vaccine</w:t>
      </w:r>
      <w:r w:rsidRPr="009E18F1">
        <w:t>.</w:t>
      </w:r>
    </w:p>
    <w:p w14:paraId="47CFD3EF" w14:textId="34738ADA" w:rsidR="009E18F1" w:rsidRPr="009E18F1" w:rsidRDefault="009E18F1" w:rsidP="009E18F1">
      <w:r w:rsidRPr="009E18F1">
        <w:lastRenderedPageBreak/>
        <w:t xml:space="preserve">A booster dose of </w:t>
      </w:r>
      <w:r w:rsidR="00945E04">
        <w:t xml:space="preserve">bivalent Original/Omicron </w:t>
      </w:r>
      <w:r w:rsidR="001405D9">
        <w:t>BA.4-5</w:t>
      </w:r>
      <w:r w:rsidRPr="009E18F1">
        <w:t xml:space="preserve"> after primary series vaccination with </w:t>
      </w:r>
      <w:r w:rsidR="00945E04">
        <w:t xml:space="preserve">monovalent </w:t>
      </w:r>
      <w:proofErr w:type="spellStart"/>
      <w:r w:rsidR="00945E04">
        <w:t>Spikevax</w:t>
      </w:r>
      <w:proofErr w:type="spellEnd"/>
      <w:r w:rsidRPr="009E18F1">
        <w:t xml:space="preserve"> in </w:t>
      </w:r>
      <w:r w:rsidRPr="00945E04">
        <w:rPr>
          <w:i/>
          <w:iCs/>
        </w:rPr>
        <w:t>K18-hACE2</w:t>
      </w:r>
      <w:r w:rsidR="00562CE9">
        <w:rPr>
          <w:i/>
          <w:iCs/>
        </w:rPr>
        <w:t>;</w:t>
      </w:r>
      <w:r w:rsidR="00562CE9">
        <w:rPr>
          <w:rStyle w:val="FootnoteReference"/>
          <w:i/>
          <w:iCs/>
        </w:rPr>
        <w:footnoteReference w:id="5"/>
      </w:r>
      <w:r w:rsidRPr="009E18F1">
        <w:t xml:space="preserve"> transgenic mice induced </w:t>
      </w:r>
      <w:proofErr w:type="spellStart"/>
      <w:r w:rsidRPr="009E18F1">
        <w:t>nAb</w:t>
      </w:r>
      <w:proofErr w:type="spellEnd"/>
      <w:r w:rsidRPr="009E18F1">
        <w:t xml:space="preserve"> against </w:t>
      </w:r>
      <w:r w:rsidR="00945E04">
        <w:t xml:space="preserve">Omicron </w:t>
      </w:r>
      <w:r w:rsidRPr="009E18F1">
        <w:t xml:space="preserve">BA.5, </w:t>
      </w:r>
      <w:r w:rsidR="00A02AB2">
        <w:t xml:space="preserve">Omicron </w:t>
      </w:r>
      <w:r w:rsidRPr="009E18F1">
        <w:t xml:space="preserve">BA.1, Delta and </w:t>
      </w:r>
      <w:r w:rsidR="00A02AB2">
        <w:t>ancestral</w:t>
      </w:r>
      <w:r w:rsidR="00A02AB2" w:rsidRPr="009E18F1">
        <w:t xml:space="preserve"> strain</w:t>
      </w:r>
      <w:r w:rsidR="00A02AB2">
        <w:t>s</w:t>
      </w:r>
      <w:r w:rsidRPr="009E18F1">
        <w:t xml:space="preserve"> by the focus reduction neutralisation test using authentic virus. The </w:t>
      </w:r>
      <w:proofErr w:type="spellStart"/>
      <w:r w:rsidRPr="009E18F1">
        <w:t>nAb</w:t>
      </w:r>
      <w:proofErr w:type="spellEnd"/>
      <w:r w:rsidRPr="009E18F1">
        <w:t xml:space="preserve"> against </w:t>
      </w:r>
      <w:r w:rsidR="00945E04">
        <w:t xml:space="preserve">Omicron </w:t>
      </w:r>
      <w:r w:rsidRPr="009E18F1">
        <w:t xml:space="preserve">BA.5 were lower than that against </w:t>
      </w:r>
      <w:r w:rsidR="00A02AB2">
        <w:t>ancestral</w:t>
      </w:r>
      <w:r w:rsidRPr="009E18F1">
        <w:t xml:space="preserve"> and Delta </w:t>
      </w:r>
      <w:r w:rsidR="00A02AB2">
        <w:t>strains</w:t>
      </w:r>
      <w:r w:rsidRPr="009E18F1">
        <w:t xml:space="preserve">. In comparison, the monovalent </w:t>
      </w:r>
      <w:proofErr w:type="spellStart"/>
      <w:r w:rsidR="00A02AB2">
        <w:t>Spikevax</w:t>
      </w:r>
      <w:proofErr w:type="spellEnd"/>
      <w:r w:rsidRPr="009E18F1">
        <w:t xml:space="preserve"> vaccine elicited no or very low </w:t>
      </w:r>
      <w:proofErr w:type="spellStart"/>
      <w:r w:rsidRPr="009E18F1">
        <w:t>nAb</w:t>
      </w:r>
      <w:proofErr w:type="spellEnd"/>
      <w:r w:rsidRPr="009E18F1">
        <w:t xml:space="preserve"> against </w:t>
      </w:r>
      <w:r w:rsidR="00A02AB2">
        <w:t xml:space="preserve">Omicron </w:t>
      </w:r>
      <w:r w:rsidRPr="009E18F1">
        <w:t>BA.5 or BA.1. Thus, the bivalent</w:t>
      </w:r>
      <w:r w:rsidR="00A02AB2">
        <w:t xml:space="preserve"> Original/Omicron</w:t>
      </w:r>
      <w:r w:rsidRPr="009E18F1">
        <w:t xml:space="preserve"> vaccine as a booster dose after two primary series of the original vaccine induced greater cross-variant neutralisation than the </w:t>
      </w:r>
      <w:proofErr w:type="spellStart"/>
      <w:r w:rsidR="00A070BB">
        <w:t>Spikevax</w:t>
      </w:r>
      <w:proofErr w:type="spellEnd"/>
      <w:r w:rsidRPr="009E18F1">
        <w:t xml:space="preserve"> monovalent vaccine. Interestingly, the </w:t>
      </w:r>
      <w:r w:rsidR="00A070BB">
        <w:t xml:space="preserve">Original/Omicron BA.1 bivalent </w:t>
      </w:r>
      <w:r w:rsidRPr="009E18F1">
        <w:t xml:space="preserve">vaccine induced </w:t>
      </w:r>
      <w:proofErr w:type="spellStart"/>
      <w:r w:rsidRPr="009E18F1">
        <w:t>nAb</w:t>
      </w:r>
      <w:proofErr w:type="spellEnd"/>
      <w:r w:rsidRPr="009E18F1">
        <w:t xml:space="preserve"> against </w:t>
      </w:r>
      <w:r w:rsidR="00A070BB">
        <w:t xml:space="preserve">Omicron </w:t>
      </w:r>
      <w:r w:rsidRPr="009E18F1">
        <w:t xml:space="preserve">BA.5 </w:t>
      </w:r>
      <w:proofErr w:type="gramStart"/>
      <w:r w:rsidRPr="009E18F1">
        <w:t>similar to</w:t>
      </w:r>
      <w:proofErr w:type="gramEnd"/>
      <w:r w:rsidRPr="009E18F1">
        <w:t xml:space="preserve"> that by </w:t>
      </w:r>
      <w:r w:rsidR="00A070BB">
        <w:t>Original/Omicron BA4.4–5 bivalent vaccine</w:t>
      </w:r>
      <w:r w:rsidRPr="009E18F1">
        <w:t xml:space="preserve">, </w:t>
      </w:r>
      <w:r w:rsidR="00A070BB">
        <w:t xml:space="preserve">and </w:t>
      </w:r>
      <w:r w:rsidRPr="009E18F1">
        <w:t xml:space="preserve">slightly higher </w:t>
      </w:r>
      <w:proofErr w:type="spellStart"/>
      <w:r w:rsidRPr="009E18F1">
        <w:t>nAb</w:t>
      </w:r>
      <w:proofErr w:type="spellEnd"/>
      <w:r w:rsidRPr="009E18F1">
        <w:t xml:space="preserve"> against </w:t>
      </w:r>
      <w:r w:rsidR="00A070BB">
        <w:t xml:space="preserve">Omicron </w:t>
      </w:r>
      <w:r w:rsidRPr="009E18F1">
        <w:t>BA.1</w:t>
      </w:r>
      <w:r w:rsidR="00A070BB">
        <w:t xml:space="preserve"> </w:t>
      </w:r>
      <w:r w:rsidRPr="009E18F1">
        <w:t xml:space="preserve">than by </w:t>
      </w:r>
      <w:r w:rsidR="00A070BB">
        <w:t>Original/Omicron BA4.4–5 bivalent vaccine</w:t>
      </w:r>
      <w:r w:rsidRPr="009E18F1">
        <w:t>.</w:t>
      </w:r>
    </w:p>
    <w:p w14:paraId="6C1F5518" w14:textId="7BF35222" w:rsidR="00525BB6" w:rsidRDefault="00525BB6" w:rsidP="009E18F1">
      <w:r>
        <w:t xml:space="preserve">The </w:t>
      </w:r>
      <w:proofErr w:type="spellStart"/>
      <w:r w:rsidR="00A070BB">
        <w:t>e</w:t>
      </w:r>
      <w:r w:rsidR="00A070BB" w:rsidRPr="00A00D37">
        <w:t>lasomeran</w:t>
      </w:r>
      <w:proofErr w:type="spellEnd"/>
      <w:r w:rsidR="00A070BB">
        <w:t>/</w:t>
      </w:r>
      <w:proofErr w:type="spellStart"/>
      <w:r w:rsidR="00A070BB" w:rsidRPr="00A00D37">
        <w:t>davesomeran</w:t>
      </w:r>
      <w:proofErr w:type="spellEnd"/>
      <w:r w:rsidR="009E18F1" w:rsidRPr="009E18F1">
        <w:t xml:space="preserve">, as well as </w:t>
      </w:r>
      <w:proofErr w:type="spellStart"/>
      <w:r w:rsidR="00A070BB" w:rsidRPr="00A070BB">
        <w:t>elasomeran</w:t>
      </w:r>
      <w:proofErr w:type="spellEnd"/>
      <w:r w:rsidR="00A070BB" w:rsidRPr="00A070BB">
        <w:t>/</w:t>
      </w:r>
      <w:proofErr w:type="spellStart"/>
      <w:r w:rsidR="00A070BB" w:rsidRPr="00A070BB">
        <w:t>imelasomeran</w:t>
      </w:r>
      <w:proofErr w:type="spellEnd"/>
      <w:r w:rsidR="00A070BB">
        <w:t xml:space="preserve">, and </w:t>
      </w:r>
      <w:proofErr w:type="spellStart"/>
      <w:r w:rsidR="00A070BB" w:rsidRPr="00A070BB">
        <w:t>elasomeran</w:t>
      </w:r>
      <w:proofErr w:type="spellEnd"/>
      <w:r w:rsidR="00A070BB" w:rsidRPr="009E18F1">
        <w:t xml:space="preserve"> </w:t>
      </w:r>
      <w:r w:rsidR="009E18F1" w:rsidRPr="009E18F1">
        <w:t xml:space="preserve">significantly reduced lung, nasal </w:t>
      </w:r>
      <w:proofErr w:type="gramStart"/>
      <w:r w:rsidR="009E18F1" w:rsidRPr="009E18F1">
        <w:t>wash</w:t>
      </w:r>
      <w:proofErr w:type="gramEnd"/>
      <w:r w:rsidR="009E18F1" w:rsidRPr="009E18F1">
        <w:t xml:space="preserve"> and nasal turbinate viral load (measured as RNA or infectious virus) in mice challenged with Omicron BA.5, and reduction in lung viral load was greater by </w:t>
      </w:r>
      <w:proofErr w:type="spellStart"/>
      <w:r w:rsidR="00A070BB">
        <w:t>e</w:t>
      </w:r>
      <w:r w:rsidR="00A070BB" w:rsidRPr="00A00D37">
        <w:t>lasomeran</w:t>
      </w:r>
      <w:proofErr w:type="spellEnd"/>
      <w:r w:rsidR="00A070BB">
        <w:t>/</w:t>
      </w:r>
      <w:proofErr w:type="spellStart"/>
      <w:r w:rsidR="00A070BB" w:rsidRPr="00A00D37">
        <w:t>davesomeran</w:t>
      </w:r>
      <w:proofErr w:type="spellEnd"/>
      <w:r w:rsidR="00A070BB" w:rsidRPr="009E18F1">
        <w:t xml:space="preserve"> </w:t>
      </w:r>
      <w:r w:rsidR="009E18F1" w:rsidRPr="009E18F1">
        <w:t xml:space="preserve">than by </w:t>
      </w:r>
      <w:proofErr w:type="spellStart"/>
      <w:r w:rsidR="00A070BB" w:rsidRPr="00A070BB">
        <w:t>elasomeran</w:t>
      </w:r>
      <w:proofErr w:type="spellEnd"/>
      <w:r w:rsidR="009E18F1" w:rsidRPr="009E18F1">
        <w:t xml:space="preserve">, but similar to that by </w:t>
      </w:r>
      <w:proofErr w:type="spellStart"/>
      <w:r w:rsidR="00A070BB" w:rsidRPr="00A070BB">
        <w:t>elasomeran</w:t>
      </w:r>
      <w:proofErr w:type="spellEnd"/>
      <w:r w:rsidR="00A070BB" w:rsidRPr="00A070BB">
        <w:t>/</w:t>
      </w:r>
      <w:proofErr w:type="spellStart"/>
      <w:r w:rsidR="00A070BB" w:rsidRPr="00A070BB">
        <w:t>imelasomeran</w:t>
      </w:r>
      <w:proofErr w:type="spellEnd"/>
      <w:r w:rsidR="009E18F1" w:rsidRPr="009E18F1">
        <w:t>.</w:t>
      </w:r>
    </w:p>
    <w:p w14:paraId="7071760B" w14:textId="7D35C67E" w:rsidR="009E18F1" w:rsidRPr="009E18F1" w:rsidRDefault="009E18F1" w:rsidP="009E18F1">
      <w:r w:rsidRPr="009E18F1">
        <w:t xml:space="preserve">Both bivalent vaccines, </w:t>
      </w:r>
      <w:r w:rsidR="00562CE9">
        <w:t xml:space="preserve">the </w:t>
      </w:r>
      <w:r w:rsidR="00A070BB">
        <w:t xml:space="preserve">Original/Omicron </w:t>
      </w:r>
      <w:r w:rsidR="001405D9">
        <w:t>BA.4-5</w:t>
      </w:r>
      <w:r w:rsidRPr="009E18F1">
        <w:t xml:space="preserve"> and </w:t>
      </w:r>
      <w:r w:rsidR="00A070BB">
        <w:t>Original/Omicron BA.1</w:t>
      </w:r>
      <w:r w:rsidR="00562CE9">
        <w:t xml:space="preserve"> vaccines</w:t>
      </w:r>
      <w:r w:rsidRPr="009E18F1">
        <w:t>, as a booster dose protected the mice from the development of lung pathology (</w:t>
      </w:r>
      <w:r w:rsidR="00A070BB">
        <w:t>compare to</w:t>
      </w:r>
      <w:r w:rsidRPr="009E18F1">
        <w:t xml:space="preserve"> focal pathology in mice boosted with </w:t>
      </w:r>
      <w:r w:rsidR="00A070BB">
        <w:t xml:space="preserve">monovalent </w:t>
      </w:r>
      <w:proofErr w:type="spellStart"/>
      <w:r w:rsidR="00A070BB">
        <w:t>Spikevax</w:t>
      </w:r>
      <w:proofErr w:type="spellEnd"/>
      <w:r w:rsidRPr="009E18F1">
        <w:t xml:space="preserve">), although control mice challenged with Omicron BA.5 developed milder lung pathology than that reported with other Omicron subvariants or other SARS-CoV-2 strains. The bivalent vaccines also reduced inflammatory cytokines and chemokines in the lung, compared with </w:t>
      </w:r>
      <w:r w:rsidR="00A070BB">
        <w:t xml:space="preserve">monovalent </w:t>
      </w:r>
      <w:proofErr w:type="spellStart"/>
      <w:r w:rsidR="00A070BB">
        <w:t>Spikevax</w:t>
      </w:r>
      <w:proofErr w:type="spellEnd"/>
      <w:r w:rsidRPr="009E18F1">
        <w:t>.</w:t>
      </w:r>
    </w:p>
    <w:p w14:paraId="4BCA7463" w14:textId="78A85444" w:rsidR="009E18F1" w:rsidRPr="009E18F1" w:rsidRDefault="009E18F1" w:rsidP="009E18F1">
      <w:r w:rsidRPr="009E18F1">
        <w:t xml:space="preserve">Overall, boosting with either </w:t>
      </w:r>
      <w:proofErr w:type="spellStart"/>
      <w:r w:rsidR="002A7A15">
        <w:t>Spikevax</w:t>
      </w:r>
      <w:proofErr w:type="spellEnd"/>
      <w:r w:rsidR="002A7A15">
        <w:t xml:space="preserve"> </w:t>
      </w:r>
      <w:r w:rsidR="000E1461">
        <w:t>b</w:t>
      </w:r>
      <w:r w:rsidR="002A7A15">
        <w:t xml:space="preserve">ivalent </w:t>
      </w:r>
      <w:r w:rsidR="00A070BB">
        <w:t xml:space="preserve">Original/Omicron </w:t>
      </w:r>
      <w:r w:rsidR="001405D9">
        <w:t>BA.4-5</w:t>
      </w:r>
      <w:r w:rsidR="00A070BB" w:rsidRPr="009E18F1">
        <w:t xml:space="preserve"> </w:t>
      </w:r>
      <w:r w:rsidR="00A070BB">
        <w:t>or</w:t>
      </w:r>
      <w:r w:rsidR="00A070BB" w:rsidRPr="009E18F1">
        <w:t xml:space="preserve"> </w:t>
      </w:r>
      <w:proofErr w:type="spellStart"/>
      <w:r w:rsidR="002A7A15">
        <w:t>Spikevax</w:t>
      </w:r>
      <w:proofErr w:type="spellEnd"/>
      <w:r w:rsidR="002A7A15">
        <w:t xml:space="preserve"> </w:t>
      </w:r>
      <w:r w:rsidR="000E1461">
        <w:t>b</w:t>
      </w:r>
      <w:r w:rsidR="002A7A15">
        <w:t xml:space="preserve">ivalent </w:t>
      </w:r>
      <w:r w:rsidR="00A070BB">
        <w:t xml:space="preserve">Original/Omicron BA.1 vaccine </w:t>
      </w:r>
      <w:r w:rsidRPr="009E18F1">
        <w:t xml:space="preserve">enhanced protection against </w:t>
      </w:r>
      <w:r w:rsidR="00A070BB">
        <w:t xml:space="preserve">Omicron </w:t>
      </w:r>
      <w:r w:rsidRPr="009E18F1">
        <w:t xml:space="preserve">BA.5 infection compared with protection by boosting with </w:t>
      </w:r>
      <w:r w:rsidR="00A070BB">
        <w:t xml:space="preserve">monovalent </w:t>
      </w:r>
      <w:proofErr w:type="spellStart"/>
      <w:r w:rsidR="00A070BB">
        <w:t>Spikevax</w:t>
      </w:r>
      <w:proofErr w:type="spellEnd"/>
      <w:r w:rsidRPr="009E18F1">
        <w:t>.</w:t>
      </w:r>
    </w:p>
    <w:p w14:paraId="30DFE57D" w14:textId="6BB73D30" w:rsidR="009E18F1" w:rsidRPr="009E18F1" w:rsidRDefault="009E18F1" w:rsidP="009E18F1">
      <w:r w:rsidRPr="009E18F1">
        <w:t>No toxicity studies on the bivalent vaccine were submitted. This is acceptable since the new mRNA (</w:t>
      </w:r>
      <w:proofErr w:type="spellStart"/>
      <w:r w:rsidRPr="009E18F1">
        <w:t>davesomeran</w:t>
      </w:r>
      <w:proofErr w:type="spellEnd"/>
      <w:r w:rsidRPr="009E18F1">
        <w:t xml:space="preserve">) uses the same backbone and manufacture platform as </w:t>
      </w:r>
      <w:proofErr w:type="spellStart"/>
      <w:r w:rsidRPr="009E18F1">
        <w:t>elasomeran</w:t>
      </w:r>
      <w:proofErr w:type="spellEnd"/>
      <w:r w:rsidRPr="009E18F1">
        <w:t xml:space="preserve"> and there are no changes to vaccine formulation except for the additional mRNA.</w:t>
      </w:r>
    </w:p>
    <w:p w14:paraId="68998E8E" w14:textId="50CF88AB" w:rsidR="009E18F1" w:rsidRPr="009E18F1" w:rsidRDefault="009E18F1" w:rsidP="009E18F1">
      <w:r w:rsidRPr="009E18F1">
        <w:t>There are no nonclinical objections to the provisional approval of the</w:t>
      </w:r>
      <w:r w:rsidR="00A070BB">
        <w:t xml:space="preserve"> </w:t>
      </w:r>
      <w:proofErr w:type="spellStart"/>
      <w:r w:rsidR="00A070BB">
        <w:t>Spikevax</w:t>
      </w:r>
      <w:proofErr w:type="spellEnd"/>
      <w:r w:rsidR="00A070BB">
        <w:t xml:space="preserve"> bivalent Original/Omicron </w:t>
      </w:r>
      <w:r w:rsidR="001405D9">
        <w:t>BA.4-5</w:t>
      </w:r>
      <w:r w:rsidRPr="009E18F1">
        <w:t xml:space="preserve"> vaccine.</w:t>
      </w:r>
    </w:p>
    <w:p w14:paraId="23DA97D0" w14:textId="4A6727D1" w:rsidR="008E7846" w:rsidRDefault="008E7846" w:rsidP="008E7846">
      <w:pPr>
        <w:pStyle w:val="Heading3"/>
      </w:pPr>
      <w:bookmarkStart w:id="35" w:name="_Toc247691530"/>
      <w:bookmarkStart w:id="36" w:name="_Toc314842513"/>
      <w:bookmarkStart w:id="37" w:name="_Toc128132179"/>
      <w:r>
        <w:t>Clinical</w:t>
      </w:r>
      <w:bookmarkEnd w:id="35"/>
      <w:bookmarkEnd w:id="36"/>
      <w:bookmarkEnd w:id="37"/>
    </w:p>
    <w:p w14:paraId="3998F039" w14:textId="6CB5BCFF" w:rsidR="00532491" w:rsidRPr="00532491" w:rsidRDefault="00532491" w:rsidP="009536FD">
      <w:pPr>
        <w:pStyle w:val="Heading4"/>
      </w:pPr>
      <w:r>
        <w:t>Clinical data</w:t>
      </w:r>
    </w:p>
    <w:p w14:paraId="0006E5E2" w14:textId="13206C10" w:rsidR="00371A73" w:rsidRPr="003949B7" w:rsidRDefault="00371A73" w:rsidP="00371A73">
      <w:r w:rsidRPr="003949B7">
        <w:t>The following clinical data are to be submitted in a rolling fashion to support the provisional registration of a new Omicron bivalent (</w:t>
      </w:r>
      <w:r w:rsidR="00F4756E">
        <w:t>O</w:t>
      </w:r>
      <w:r w:rsidRPr="003949B7">
        <w:t>riginal/</w:t>
      </w:r>
      <w:r w:rsidR="00F4756E">
        <w:t xml:space="preserve">Omicron </w:t>
      </w:r>
      <w:r w:rsidR="001405D9">
        <w:t>BA.4-5</w:t>
      </w:r>
      <w:r w:rsidRPr="003949B7">
        <w:t xml:space="preserve">) </w:t>
      </w:r>
      <w:proofErr w:type="gramStart"/>
      <w:r w:rsidRPr="003949B7">
        <w:t>vaccine,  containing</w:t>
      </w:r>
      <w:proofErr w:type="gramEnd"/>
      <w:r w:rsidRPr="003949B7">
        <w:t xml:space="preserve"> </w:t>
      </w:r>
      <w:proofErr w:type="spellStart"/>
      <w:r w:rsidRPr="003949B7">
        <w:t>elasomeran</w:t>
      </w:r>
      <w:proofErr w:type="spellEnd"/>
      <w:r w:rsidRPr="003949B7">
        <w:t xml:space="preserve"> and </w:t>
      </w:r>
      <w:proofErr w:type="spellStart"/>
      <w:r w:rsidRPr="003949B7">
        <w:t>davesomeran</w:t>
      </w:r>
      <w:proofErr w:type="spellEnd"/>
      <w:r w:rsidR="009536FD">
        <w:t xml:space="preserve"> (also known as </w:t>
      </w:r>
      <w:r w:rsidR="009536FD" w:rsidRPr="003949B7">
        <w:t>mRNA-1273.222</w:t>
      </w:r>
      <w:r w:rsidR="009536FD">
        <w:t>)</w:t>
      </w:r>
      <w:r w:rsidRPr="003949B7">
        <w:t>:</w:t>
      </w:r>
    </w:p>
    <w:p w14:paraId="56ACF2F6" w14:textId="503D12FB" w:rsidR="00371A73" w:rsidRDefault="00371A73" w:rsidP="00371A73">
      <w:pPr>
        <w:pStyle w:val="TableTitle"/>
      </w:pPr>
      <w:r w:rsidRPr="00371A73">
        <w:t xml:space="preserve">Table </w:t>
      </w:r>
      <w:fldSimple w:instr=" SEQ Table \* ARABIC ">
        <w:r w:rsidR="00AA4DFB">
          <w:rPr>
            <w:noProof/>
          </w:rPr>
          <w:t>5</w:t>
        </w:r>
      </w:fldSimple>
      <w:r>
        <w:t xml:space="preserve">: Clinical </w:t>
      </w:r>
      <w:r w:rsidR="00D86F31">
        <w:t>s</w:t>
      </w:r>
      <w:r>
        <w:t>tudies and rationales</w:t>
      </w:r>
    </w:p>
    <w:tbl>
      <w:tblPr>
        <w:tblStyle w:val="TableTGAblue"/>
        <w:tblW w:w="8720" w:type="dxa"/>
        <w:tblLook w:val="04A0" w:firstRow="1" w:lastRow="0" w:firstColumn="1" w:lastColumn="0" w:noHBand="0" w:noVBand="1"/>
      </w:tblPr>
      <w:tblGrid>
        <w:gridCol w:w="1070"/>
        <w:gridCol w:w="1710"/>
        <w:gridCol w:w="2520"/>
        <w:gridCol w:w="3420"/>
      </w:tblGrid>
      <w:tr w:rsidR="00D86F31" w:rsidRPr="00A11EDF" w14:paraId="445791B5" w14:textId="77777777" w:rsidTr="00A11EDF">
        <w:trPr>
          <w:cnfStyle w:val="100000000000" w:firstRow="1" w:lastRow="0" w:firstColumn="0" w:lastColumn="0" w:oddVBand="0" w:evenVBand="0" w:oddHBand="0" w:evenHBand="0" w:firstRowFirstColumn="0" w:firstRowLastColumn="0" w:lastRowFirstColumn="0" w:lastRowLastColumn="0"/>
        </w:trPr>
        <w:tc>
          <w:tcPr>
            <w:tcW w:w="1070" w:type="dxa"/>
          </w:tcPr>
          <w:p w14:paraId="2A1C5051" w14:textId="35383D0A" w:rsidR="00562CE9" w:rsidRPr="000E1461" w:rsidRDefault="00562CE9" w:rsidP="00371A73">
            <w:pPr>
              <w:pStyle w:val="TableTitle"/>
              <w:rPr>
                <w:b/>
                <w:sz w:val="19"/>
                <w:szCs w:val="19"/>
              </w:rPr>
            </w:pPr>
            <w:r w:rsidRPr="000E1461">
              <w:rPr>
                <w:sz w:val="19"/>
                <w:szCs w:val="19"/>
              </w:rPr>
              <w:t>Age group</w:t>
            </w:r>
          </w:p>
        </w:tc>
        <w:tc>
          <w:tcPr>
            <w:tcW w:w="1710" w:type="dxa"/>
          </w:tcPr>
          <w:p w14:paraId="1B41F703" w14:textId="091A192A" w:rsidR="00562CE9" w:rsidRPr="000E1461" w:rsidRDefault="00562CE9" w:rsidP="00371A73">
            <w:pPr>
              <w:pStyle w:val="TableTitle"/>
              <w:rPr>
                <w:b/>
                <w:sz w:val="19"/>
                <w:szCs w:val="19"/>
              </w:rPr>
            </w:pPr>
            <w:r w:rsidRPr="000E1461">
              <w:rPr>
                <w:sz w:val="19"/>
                <w:szCs w:val="19"/>
              </w:rPr>
              <w:t>Clinical data (booster)</w:t>
            </w:r>
          </w:p>
        </w:tc>
        <w:tc>
          <w:tcPr>
            <w:tcW w:w="2520" w:type="dxa"/>
          </w:tcPr>
          <w:p w14:paraId="4CAE01C9" w14:textId="78DE4558" w:rsidR="00562CE9" w:rsidRPr="000E1461" w:rsidRDefault="00562CE9" w:rsidP="00371A73">
            <w:pPr>
              <w:pStyle w:val="TableTitle"/>
              <w:rPr>
                <w:b/>
                <w:sz w:val="19"/>
                <w:szCs w:val="19"/>
              </w:rPr>
            </w:pPr>
            <w:r w:rsidRPr="000E1461">
              <w:rPr>
                <w:sz w:val="19"/>
                <w:szCs w:val="19"/>
              </w:rPr>
              <w:t>New/existing data</w:t>
            </w:r>
          </w:p>
        </w:tc>
        <w:tc>
          <w:tcPr>
            <w:tcW w:w="3420" w:type="dxa"/>
          </w:tcPr>
          <w:p w14:paraId="4A8751BD" w14:textId="70197272" w:rsidR="00562CE9" w:rsidRPr="000E1461" w:rsidRDefault="00562CE9" w:rsidP="00371A73">
            <w:pPr>
              <w:pStyle w:val="TableTitle"/>
              <w:rPr>
                <w:b/>
                <w:sz w:val="19"/>
                <w:szCs w:val="19"/>
              </w:rPr>
            </w:pPr>
            <w:r w:rsidRPr="000E1461">
              <w:rPr>
                <w:sz w:val="19"/>
                <w:szCs w:val="19"/>
              </w:rPr>
              <w:t>Rationale</w:t>
            </w:r>
          </w:p>
        </w:tc>
      </w:tr>
      <w:tr w:rsidR="00D86F31" w:rsidRPr="00A11EDF" w14:paraId="50EA4C20" w14:textId="77777777" w:rsidTr="00524DB2">
        <w:tc>
          <w:tcPr>
            <w:tcW w:w="1070" w:type="dxa"/>
            <w:vMerge w:val="restart"/>
          </w:tcPr>
          <w:p w14:paraId="6E7DA29F" w14:textId="365AF4D9" w:rsidR="00D86F31" w:rsidRPr="000E1461" w:rsidRDefault="00D86F31" w:rsidP="000E1461">
            <w:pPr>
              <w:rPr>
                <w:sz w:val="19"/>
                <w:szCs w:val="19"/>
              </w:rPr>
            </w:pPr>
            <w:r w:rsidRPr="000E1461">
              <w:rPr>
                <w:sz w:val="19"/>
                <w:szCs w:val="19"/>
              </w:rPr>
              <w:t>18+ years</w:t>
            </w:r>
          </w:p>
        </w:tc>
        <w:tc>
          <w:tcPr>
            <w:tcW w:w="1710" w:type="dxa"/>
          </w:tcPr>
          <w:p w14:paraId="274D11C7" w14:textId="034A316F" w:rsidR="00D86F31" w:rsidRPr="000E1461" w:rsidRDefault="00D86F31" w:rsidP="000E1461">
            <w:pPr>
              <w:rPr>
                <w:sz w:val="19"/>
                <w:szCs w:val="19"/>
              </w:rPr>
            </w:pPr>
            <w:r w:rsidRPr="000E1461">
              <w:rPr>
                <w:sz w:val="19"/>
                <w:szCs w:val="19"/>
              </w:rPr>
              <w:t xml:space="preserve">Study </w:t>
            </w:r>
            <w:r>
              <w:rPr>
                <w:sz w:val="19"/>
                <w:szCs w:val="19"/>
              </w:rPr>
              <w:t>P</w:t>
            </w:r>
            <w:r w:rsidRPr="000E1461">
              <w:rPr>
                <w:sz w:val="19"/>
                <w:szCs w:val="19"/>
              </w:rPr>
              <w:t>205 Part G</w:t>
            </w:r>
          </w:p>
          <w:p w14:paraId="64D48DBE" w14:textId="2CF9A280" w:rsidR="00D86F31" w:rsidRPr="000E1461" w:rsidRDefault="00D86F31" w:rsidP="000E1461">
            <w:pPr>
              <w:rPr>
                <w:sz w:val="19"/>
                <w:szCs w:val="19"/>
              </w:rPr>
            </w:pPr>
            <w:r w:rsidRPr="000E1461">
              <w:rPr>
                <w:sz w:val="19"/>
                <w:szCs w:val="19"/>
              </w:rPr>
              <w:lastRenderedPageBreak/>
              <w:t>mRNA-1273.214</w:t>
            </w:r>
          </w:p>
        </w:tc>
        <w:tc>
          <w:tcPr>
            <w:tcW w:w="2520" w:type="dxa"/>
          </w:tcPr>
          <w:p w14:paraId="494EA616" w14:textId="65D87BD3" w:rsidR="00D86F31" w:rsidRPr="000E1461" w:rsidRDefault="00D86F31" w:rsidP="000E1461">
            <w:pPr>
              <w:rPr>
                <w:sz w:val="19"/>
                <w:szCs w:val="19"/>
                <w:vertAlign w:val="superscript"/>
              </w:rPr>
            </w:pPr>
            <w:r w:rsidRPr="000E1461">
              <w:rPr>
                <w:sz w:val="19"/>
                <w:szCs w:val="19"/>
              </w:rPr>
              <w:lastRenderedPageBreak/>
              <w:t xml:space="preserve">Reprovision of existing adult data already evaluated by the TGA in </w:t>
            </w:r>
            <w:r w:rsidRPr="000E1461">
              <w:rPr>
                <w:sz w:val="19"/>
                <w:szCs w:val="19"/>
              </w:rPr>
              <w:lastRenderedPageBreak/>
              <w:t>submission PM</w:t>
            </w:r>
            <w:r>
              <w:rPr>
                <w:sz w:val="19"/>
                <w:szCs w:val="19"/>
              </w:rPr>
              <w:noBreakHyphen/>
              <w:t>2022-02203-1-2</w:t>
            </w:r>
            <w:r w:rsidR="001F1541">
              <w:rPr>
                <w:sz w:val="19"/>
                <w:szCs w:val="19"/>
              </w:rPr>
              <w:t>;</w:t>
            </w:r>
            <w:r w:rsidR="001F1541">
              <w:rPr>
                <w:sz w:val="19"/>
                <w:szCs w:val="19"/>
                <w:vertAlign w:val="superscript"/>
              </w:rPr>
              <w:t>1</w:t>
            </w:r>
          </w:p>
        </w:tc>
        <w:tc>
          <w:tcPr>
            <w:tcW w:w="3420" w:type="dxa"/>
          </w:tcPr>
          <w:p w14:paraId="694681B1" w14:textId="06F5642C" w:rsidR="00D86F31" w:rsidRPr="000E1461" w:rsidRDefault="00D86F31" w:rsidP="000E1461">
            <w:pPr>
              <w:rPr>
                <w:sz w:val="19"/>
                <w:szCs w:val="19"/>
              </w:rPr>
            </w:pPr>
            <w:r>
              <w:rPr>
                <w:sz w:val="19"/>
                <w:szCs w:val="19"/>
              </w:rPr>
              <w:lastRenderedPageBreak/>
              <w:t xml:space="preserve">The Omicron bivalent vaccine </w:t>
            </w:r>
            <w:r w:rsidRPr="003737E0">
              <w:rPr>
                <w:sz w:val="19"/>
                <w:szCs w:val="19"/>
              </w:rPr>
              <w:t>mRNA-1273.214</w:t>
            </w:r>
            <w:r>
              <w:rPr>
                <w:sz w:val="19"/>
                <w:szCs w:val="19"/>
              </w:rPr>
              <w:t xml:space="preserve"> (Original/BA.1) already has provisional approval </w:t>
            </w:r>
            <w:r>
              <w:rPr>
                <w:sz w:val="19"/>
                <w:szCs w:val="19"/>
              </w:rPr>
              <w:lastRenderedPageBreak/>
              <w:t>as booster dose in individuals 18 years and older based on adult data with mRNA-1273.214 from Study P205 Part G</w:t>
            </w:r>
          </w:p>
        </w:tc>
      </w:tr>
      <w:tr w:rsidR="00D86F31" w:rsidRPr="00A11EDF" w14:paraId="0D7944A0" w14:textId="77777777" w:rsidTr="00524DB2">
        <w:tc>
          <w:tcPr>
            <w:tcW w:w="1070" w:type="dxa"/>
            <w:vMerge/>
          </w:tcPr>
          <w:p w14:paraId="477745E2" w14:textId="77777777" w:rsidR="00D86F31" w:rsidRPr="000E1461" w:rsidRDefault="00D86F31" w:rsidP="000E1461">
            <w:pPr>
              <w:rPr>
                <w:sz w:val="19"/>
                <w:szCs w:val="19"/>
              </w:rPr>
            </w:pPr>
          </w:p>
        </w:tc>
        <w:tc>
          <w:tcPr>
            <w:tcW w:w="1710" w:type="dxa"/>
          </w:tcPr>
          <w:p w14:paraId="76EC9B9E" w14:textId="77777777" w:rsidR="00D86F31" w:rsidRDefault="00D86F31" w:rsidP="000E1461">
            <w:pPr>
              <w:rPr>
                <w:sz w:val="19"/>
                <w:szCs w:val="19"/>
              </w:rPr>
            </w:pPr>
            <w:r>
              <w:rPr>
                <w:sz w:val="19"/>
                <w:szCs w:val="19"/>
              </w:rPr>
              <w:t>Study P205 Part H</w:t>
            </w:r>
          </w:p>
          <w:p w14:paraId="45C0DC46" w14:textId="4ABAC499" w:rsidR="00D86F31" w:rsidRPr="000E1461" w:rsidRDefault="00D86F31" w:rsidP="000E1461">
            <w:pPr>
              <w:rPr>
                <w:sz w:val="19"/>
                <w:szCs w:val="19"/>
              </w:rPr>
            </w:pPr>
            <w:r>
              <w:rPr>
                <w:sz w:val="19"/>
                <w:szCs w:val="19"/>
              </w:rPr>
              <w:t>mRNA-1273.222</w:t>
            </w:r>
          </w:p>
        </w:tc>
        <w:tc>
          <w:tcPr>
            <w:tcW w:w="2520" w:type="dxa"/>
          </w:tcPr>
          <w:p w14:paraId="12CF35DC" w14:textId="23DAC01D" w:rsidR="00D86F31" w:rsidRPr="000E1461" w:rsidRDefault="00D86F31" w:rsidP="000E1461">
            <w:pPr>
              <w:rPr>
                <w:sz w:val="19"/>
                <w:szCs w:val="19"/>
              </w:rPr>
            </w:pPr>
            <w:r>
              <w:rPr>
                <w:sz w:val="19"/>
                <w:szCs w:val="19"/>
              </w:rPr>
              <w:t>New adult data</w:t>
            </w:r>
          </w:p>
        </w:tc>
        <w:tc>
          <w:tcPr>
            <w:tcW w:w="3420" w:type="dxa"/>
          </w:tcPr>
          <w:p w14:paraId="3251F6E4" w14:textId="5F47FC5E" w:rsidR="00D86F31" w:rsidRPr="000E1461" w:rsidRDefault="00D86F31" w:rsidP="000E1461">
            <w:pPr>
              <w:rPr>
                <w:sz w:val="19"/>
                <w:szCs w:val="19"/>
              </w:rPr>
            </w:pPr>
            <w:r>
              <w:rPr>
                <w:sz w:val="19"/>
                <w:szCs w:val="19"/>
              </w:rPr>
              <w:t xml:space="preserve">Clinical data (protocol, statistical analysis plan, tables, </w:t>
            </w:r>
            <w:proofErr w:type="gramStart"/>
            <w:r>
              <w:rPr>
                <w:sz w:val="19"/>
                <w:szCs w:val="19"/>
              </w:rPr>
              <w:t>figures</w:t>
            </w:r>
            <w:proofErr w:type="gramEnd"/>
            <w:r>
              <w:rPr>
                <w:sz w:val="19"/>
                <w:szCs w:val="19"/>
              </w:rPr>
              <w:t xml:space="preserve"> and listings) with mRNA-1273.222 from Study P205 Part H are used to support the bivalent vaccine mRNA-1273.222 in individuals 18 years and older</w:t>
            </w:r>
          </w:p>
        </w:tc>
      </w:tr>
      <w:tr w:rsidR="00A11EDF" w:rsidRPr="00A11EDF" w14:paraId="1064FB01" w14:textId="77777777" w:rsidTr="000E1461">
        <w:tc>
          <w:tcPr>
            <w:tcW w:w="1070" w:type="dxa"/>
          </w:tcPr>
          <w:p w14:paraId="004A5FA8" w14:textId="26FE52DF" w:rsidR="00562CE9" w:rsidRPr="000E1461" w:rsidRDefault="00D86F31" w:rsidP="000E1461">
            <w:pPr>
              <w:rPr>
                <w:sz w:val="19"/>
                <w:szCs w:val="19"/>
              </w:rPr>
            </w:pPr>
            <w:r>
              <w:rPr>
                <w:sz w:val="19"/>
                <w:szCs w:val="19"/>
              </w:rPr>
              <w:t>12 to 17 years</w:t>
            </w:r>
          </w:p>
        </w:tc>
        <w:tc>
          <w:tcPr>
            <w:tcW w:w="1710" w:type="dxa"/>
          </w:tcPr>
          <w:p w14:paraId="24A22576" w14:textId="77777777" w:rsidR="00562CE9" w:rsidRDefault="00D86F31" w:rsidP="000E1461">
            <w:pPr>
              <w:rPr>
                <w:sz w:val="19"/>
                <w:szCs w:val="19"/>
              </w:rPr>
            </w:pPr>
            <w:r>
              <w:rPr>
                <w:sz w:val="19"/>
                <w:szCs w:val="19"/>
              </w:rPr>
              <w:t>Study P203 Part C booster</w:t>
            </w:r>
          </w:p>
          <w:p w14:paraId="404465FB" w14:textId="7543A8DF" w:rsidR="00D86F31" w:rsidRPr="000E1461" w:rsidRDefault="00D86F31" w:rsidP="000E1461">
            <w:pPr>
              <w:rPr>
                <w:sz w:val="19"/>
                <w:szCs w:val="19"/>
              </w:rPr>
            </w:pPr>
            <w:r>
              <w:rPr>
                <w:sz w:val="19"/>
                <w:szCs w:val="19"/>
              </w:rPr>
              <w:t>mRNA-1273 prototype</w:t>
            </w:r>
          </w:p>
        </w:tc>
        <w:tc>
          <w:tcPr>
            <w:tcW w:w="2520" w:type="dxa"/>
          </w:tcPr>
          <w:p w14:paraId="1B091FA2" w14:textId="444A1C2F" w:rsidR="00562CE9" w:rsidRPr="000E1461" w:rsidRDefault="00D86F31" w:rsidP="000E1461">
            <w:pPr>
              <w:rPr>
                <w:sz w:val="19"/>
                <w:szCs w:val="19"/>
                <w:vertAlign w:val="superscript"/>
              </w:rPr>
            </w:pPr>
            <w:r>
              <w:rPr>
                <w:sz w:val="19"/>
                <w:szCs w:val="19"/>
              </w:rPr>
              <w:t>Re-provision of existing adolescent (</w:t>
            </w:r>
            <w:proofErr w:type="gramStart"/>
            <w:r>
              <w:rPr>
                <w:sz w:val="19"/>
                <w:szCs w:val="19"/>
              </w:rPr>
              <w:t xml:space="preserve">12 to 17 year </w:t>
            </w:r>
            <w:proofErr w:type="spellStart"/>
            <w:r>
              <w:rPr>
                <w:sz w:val="19"/>
                <w:szCs w:val="19"/>
              </w:rPr>
              <w:t>olds</w:t>
            </w:r>
            <w:proofErr w:type="spellEnd"/>
            <w:proofErr w:type="gramEnd"/>
            <w:r>
              <w:rPr>
                <w:sz w:val="19"/>
                <w:szCs w:val="19"/>
              </w:rPr>
              <w:t>) data already evaluated by the TGA in submission PM-2022-00685-1-2</w:t>
            </w:r>
            <w:r w:rsidR="00532491">
              <w:rPr>
                <w:sz w:val="19"/>
                <w:szCs w:val="19"/>
              </w:rPr>
              <w:t>;</w:t>
            </w:r>
            <w:r w:rsidR="00532491">
              <w:rPr>
                <w:sz w:val="19"/>
                <w:szCs w:val="19"/>
                <w:vertAlign w:val="superscript"/>
              </w:rPr>
              <w:t>2</w:t>
            </w:r>
          </w:p>
        </w:tc>
        <w:tc>
          <w:tcPr>
            <w:tcW w:w="3420" w:type="dxa"/>
          </w:tcPr>
          <w:p w14:paraId="480F5CB9" w14:textId="18451097" w:rsidR="00562CE9" w:rsidRPr="000E1461" w:rsidRDefault="00D86F31" w:rsidP="000E1461">
            <w:pPr>
              <w:rPr>
                <w:sz w:val="19"/>
                <w:szCs w:val="19"/>
              </w:rPr>
            </w:pPr>
            <w:r>
              <w:rPr>
                <w:sz w:val="19"/>
                <w:szCs w:val="19"/>
              </w:rPr>
              <w:t>Adolescent data with mRNA-1273 prototype booster from Study P203 along with adult bivalent booster data (extrapolation) are used to support the bivalent vaccine mR</w:t>
            </w:r>
            <w:r w:rsidR="001F1541">
              <w:rPr>
                <w:sz w:val="19"/>
                <w:szCs w:val="19"/>
              </w:rPr>
              <w:t>NA-</w:t>
            </w:r>
            <w:r>
              <w:rPr>
                <w:sz w:val="19"/>
                <w:szCs w:val="19"/>
              </w:rPr>
              <w:t xml:space="preserve">1273.222 in the </w:t>
            </w:r>
            <w:proofErr w:type="gramStart"/>
            <w:r>
              <w:rPr>
                <w:sz w:val="19"/>
                <w:szCs w:val="19"/>
              </w:rPr>
              <w:t>12 to 17 year</w:t>
            </w:r>
            <w:proofErr w:type="gramEnd"/>
            <w:r>
              <w:rPr>
                <w:sz w:val="19"/>
                <w:szCs w:val="19"/>
              </w:rPr>
              <w:t xml:space="preserve"> age group</w:t>
            </w:r>
          </w:p>
        </w:tc>
      </w:tr>
      <w:tr w:rsidR="00A11EDF" w:rsidRPr="00A11EDF" w14:paraId="56BEC62A" w14:textId="77777777" w:rsidTr="000E1461">
        <w:tc>
          <w:tcPr>
            <w:tcW w:w="1070" w:type="dxa"/>
          </w:tcPr>
          <w:p w14:paraId="0CFE0805" w14:textId="71B5FA47" w:rsidR="00562CE9" w:rsidRPr="000E1461" w:rsidRDefault="00D86F31" w:rsidP="000E1461">
            <w:pPr>
              <w:rPr>
                <w:sz w:val="19"/>
                <w:szCs w:val="19"/>
              </w:rPr>
            </w:pPr>
            <w:r>
              <w:rPr>
                <w:sz w:val="19"/>
                <w:szCs w:val="19"/>
              </w:rPr>
              <w:t>6 to 11 years</w:t>
            </w:r>
          </w:p>
        </w:tc>
        <w:tc>
          <w:tcPr>
            <w:tcW w:w="1710" w:type="dxa"/>
          </w:tcPr>
          <w:p w14:paraId="6914E787" w14:textId="77777777" w:rsidR="00562CE9" w:rsidRDefault="00D86F31" w:rsidP="000E1461">
            <w:pPr>
              <w:rPr>
                <w:sz w:val="19"/>
                <w:szCs w:val="19"/>
              </w:rPr>
            </w:pPr>
            <w:r>
              <w:rPr>
                <w:sz w:val="19"/>
                <w:szCs w:val="19"/>
              </w:rPr>
              <w:t>Study P204 booster</w:t>
            </w:r>
          </w:p>
          <w:p w14:paraId="08865334" w14:textId="541E20BC" w:rsidR="00D86F31" w:rsidRPr="000E1461" w:rsidRDefault="00D86F31" w:rsidP="000E1461">
            <w:pPr>
              <w:rPr>
                <w:sz w:val="19"/>
                <w:szCs w:val="19"/>
              </w:rPr>
            </w:pPr>
            <w:r>
              <w:rPr>
                <w:sz w:val="19"/>
                <w:szCs w:val="19"/>
              </w:rPr>
              <w:t>mRNA-1273 prototype</w:t>
            </w:r>
          </w:p>
        </w:tc>
        <w:tc>
          <w:tcPr>
            <w:tcW w:w="2520" w:type="dxa"/>
          </w:tcPr>
          <w:p w14:paraId="2432ABE3" w14:textId="60684633" w:rsidR="00562CE9" w:rsidRPr="000E1461" w:rsidRDefault="00D86F31" w:rsidP="000E1461">
            <w:pPr>
              <w:rPr>
                <w:sz w:val="19"/>
                <w:szCs w:val="19"/>
              </w:rPr>
            </w:pPr>
            <w:r>
              <w:rPr>
                <w:sz w:val="19"/>
                <w:szCs w:val="19"/>
              </w:rPr>
              <w:t>New paediatric (</w:t>
            </w:r>
            <w:proofErr w:type="gramStart"/>
            <w:r>
              <w:rPr>
                <w:sz w:val="19"/>
                <w:szCs w:val="19"/>
              </w:rPr>
              <w:t xml:space="preserve">6 to 11 year </w:t>
            </w:r>
            <w:proofErr w:type="spellStart"/>
            <w:r>
              <w:rPr>
                <w:sz w:val="19"/>
                <w:szCs w:val="19"/>
              </w:rPr>
              <w:t>olds</w:t>
            </w:r>
            <w:proofErr w:type="spellEnd"/>
            <w:proofErr w:type="gramEnd"/>
            <w:r>
              <w:rPr>
                <w:sz w:val="19"/>
                <w:szCs w:val="19"/>
              </w:rPr>
              <w:t>) data</w:t>
            </w:r>
          </w:p>
        </w:tc>
        <w:tc>
          <w:tcPr>
            <w:tcW w:w="3420" w:type="dxa"/>
          </w:tcPr>
          <w:p w14:paraId="46F8ED92" w14:textId="45B785C9" w:rsidR="00562CE9" w:rsidRPr="000E1461" w:rsidRDefault="00D86F31" w:rsidP="000E1461">
            <w:pPr>
              <w:rPr>
                <w:sz w:val="19"/>
                <w:szCs w:val="19"/>
              </w:rPr>
            </w:pPr>
            <w:r>
              <w:rPr>
                <w:sz w:val="19"/>
                <w:szCs w:val="19"/>
              </w:rPr>
              <w:t>Paediatric data with mRNA-1273 prototype booster from Study P204 along with adult bivalent booster data (extrapolation) are used to support the bivalent vaccine mR</w:t>
            </w:r>
            <w:r w:rsidR="001F1541">
              <w:rPr>
                <w:sz w:val="19"/>
                <w:szCs w:val="19"/>
              </w:rPr>
              <w:t>NA-</w:t>
            </w:r>
            <w:r>
              <w:rPr>
                <w:sz w:val="19"/>
                <w:szCs w:val="19"/>
              </w:rPr>
              <w:t xml:space="preserve">1273.222 in the </w:t>
            </w:r>
            <w:proofErr w:type="gramStart"/>
            <w:r>
              <w:rPr>
                <w:sz w:val="19"/>
                <w:szCs w:val="19"/>
              </w:rPr>
              <w:t>12 to 17 year</w:t>
            </w:r>
            <w:proofErr w:type="gramEnd"/>
            <w:r>
              <w:rPr>
                <w:sz w:val="19"/>
                <w:szCs w:val="19"/>
              </w:rPr>
              <w:t xml:space="preserve"> age group</w:t>
            </w:r>
          </w:p>
        </w:tc>
      </w:tr>
    </w:tbl>
    <w:p w14:paraId="24DC1B5E" w14:textId="0B09C6AB" w:rsidR="001F1541" w:rsidRDefault="001F1541" w:rsidP="001F1541">
      <w:pPr>
        <w:pStyle w:val="TableDescription"/>
      </w:pPr>
      <w:r>
        <w:t xml:space="preserve">Abbreviations: mRNA-1273 = </w:t>
      </w:r>
      <w:proofErr w:type="spellStart"/>
      <w:r w:rsidR="00532491">
        <w:t>Spikevax</w:t>
      </w:r>
      <w:proofErr w:type="spellEnd"/>
      <w:r w:rsidR="00532491">
        <w:t xml:space="preserve"> COVID-19 vaccine (monovalent </w:t>
      </w:r>
      <w:proofErr w:type="spellStart"/>
      <w:r w:rsidR="00532491">
        <w:t>elasomeran</w:t>
      </w:r>
      <w:proofErr w:type="spellEnd"/>
      <w:r w:rsidR="00532491">
        <w:t>);</w:t>
      </w:r>
      <w:r w:rsidR="00532491">
        <w:br/>
      </w:r>
      <w:r>
        <w:t xml:space="preserve">mRNA-1273.214 = </w:t>
      </w:r>
      <w:proofErr w:type="spellStart"/>
      <w:r>
        <w:t>Spikevax</w:t>
      </w:r>
      <w:proofErr w:type="spellEnd"/>
      <w:r>
        <w:t xml:space="preserve"> Bivalent Original/Omicron BA.1 COVID-19 vaccine (</w:t>
      </w:r>
      <w:proofErr w:type="spellStart"/>
      <w:r>
        <w:t>elasomeran</w:t>
      </w:r>
      <w:proofErr w:type="spellEnd"/>
      <w:r>
        <w:t xml:space="preserve"> and </w:t>
      </w:r>
      <w:proofErr w:type="spellStart"/>
      <w:r>
        <w:t>imelasomeran</w:t>
      </w:r>
      <w:proofErr w:type="spellEnd"/>
      <w:r>
        <w:t xml:space="preserve">); mRNA-1273.222 = </w:t>
      </w:r>
      <w:proofErr w:type="spellStart"/>
      <w:r>
        <w:t>Spikevax</w:t>
      </w:r>
      <w:proofErr w:type="spellEnd"/>
      <w:r>
        <w:t xml:space="preserve"> Bivalent Omicron O</w:t>
      </w:r>
      <w:r w:rsidRPr="003949B7">
        <w:t>riginal/</w:t>
      </w:r>
      <w:r>
        <w:t>Omicron BA.4-5 COVID-19</w:t>
      </w:r>
      <w:r w:rsidRPr="003949B7">
        <w:t xml:space="preserve"> vaccine</w:t>
      </w:r>
      <w:r>
        <w:t xml:space="preserve"> (</w:t>
      </w:r>
      <w:proofErr w:type="spellStart"/>
      <w:r>
        <w:t>elasomeran</w:t>
      </w:r>
      <w:proofErr w:type="spellEnd"/>
      <w:r>
        <w:t xml:space="preserve"> and </w:t>
      </w:r>
      <w:proofErr w:type="spellStart"/>
      <w:r>
        <w:t>davesomeran</w:t>
      </w:r>
      <w:proofErr w:type="spellEnd"/>
      <w:r>
        <w:t>)</w:t>
      </w:r>
    </w:p>
    <w:p w14:paraId="285F422D" w14:textId="520DFE8D" w:rsidR="001F1541" w:rsidRPr="001F1541" w:rsidRDefault="001F1541" w:rsidP="001F1541">
      <w:pPr>
        <w:pStyle w:val="TableDescription"/>
      </w:pPr>
      <w:r>
        <w:t xml:space="preserve">1; Submission PM-2022-02203-1-2; submission to approve </w:t>
      </w:r>
      <w:proofErr w:type="spellStart"/>
      <w:r>
        <w:t>Spikevax</w:t>
      </w:r>
      <w:proofErr w:type="spellEnd"/>
      <w:r>
        <w:t xml:space="preserve"> Bivalent Original/Omicron BA.1 COVID-19 vaccine (</w:t>
      </w:r>
      <w:proofErr w:type="spellStart"/>
      <w:r>
        <w:t>elasomeran</w:t>
      </w:r>
      <w:proofErr w:type="spellEnd"/>
      <w:r>
        <w:t xml:space="preserve"> and </w:t>
      </w:r>
      <w:proofErr w:type="spellStart"/>
      <w:r>
        <w:t>imelasomeran</w:t>
      </w:r>
      <w:proofErr w:type="spellEnd"/>
      <w:r>
        <w:t xml:space="preserve"> (mRNA)); </w:t>
      </w:r>
      <w:r w:rsidRPr="001F1541">
        <w:t>Booster dose: for individuals aged 18 years and over (</w:t>
      </w:r>
      <w:proofErr w:type="spellStart"/>
      <w:r w:rsidR="00FE4B4B">
        <w:fldChar w:fldCharType="begin"/>
      </w:r>
      <w:r w:rsidR="00FE4B4B">
        <w:instrText xml:space="preserve"> HYPERLINK "https://www.tga.gov.au/resources/auspar/auspar-spikevax-bivalent-originalomicron" </w:instrText>
      </w:r>
      <w:r w:rsidR="00FE4B4B">
        <w:fldChar w:fldCharType="separate"/>
      </w:r>
      <w:r w:rsidRPr="001F1541">
        <w:rPr>
          <w:rStyle w:val="Hyperlink"/>
        </w:rPr>
        <w:t>AusPAR</w:t>
      </w:r>
      <w:proofErr w:type="spellEnd"/>
      <w:r w:rsidR="00FE4B4B">
        <w:rPr>
          <w:rStyle w:val="Hyperlink"/>
        </w:rPr>
        <w:fldChar w:fldCharType="end"/>
      </w:r>
      <w:r w:rsidRPr="001F1541">
        <w:t>)</w:t>
      </w:r>
      <w:r>
        <w:t>.</w:t>
      </w:r>
    </w:p>
    <w:p w14:paraId="145957B2" w14:textId="7DEB391E" w:rsidR="00562CE9" w:rsidRDefault="00532491" w:rsidP="000E1461">
      <w:pPr>
        <w:pStyle w:val="TableDescription"/>
      </w:pPr>
      <w:r>
        <w:t xml:space="preserve">2; Submission PM-2022-00685-1-2; submission to approve (extension of indications) </w:t>
      </w:r>
      <w:proofErr w:type="spellStart"/>
      <w:r>
        <w:t>Spikevax</w:t>
      </w:r>
      <w:proofErr w:type="spellEnd"/>
      <w:r>
        <w:t xml:space="preserve"> COVID-19 vaccine (</w:t>
      </w:r>
      <w:proofErr w:type="spellStart"/>
      <w:r>
        <w:t>elasomeran</w:t>
      </w:r>
      <w:proofErr w:type="spellEnd"/>
      <w:r>
        <w:t xml:space="preserve"> (mRNA)); Booster dose: for individuals aged 12 years and over (</w:t>
      </w:r>
      <w:proofErr w:type="spellStart"/>
      <w:r w:rsidR="00FE4B4B">
        <w:fldChar w:fldCharType="begin"/>
      </w:r>
      <w:r w:rsidR="00FE4B4B">
        <w:instrText xml:space="preserve"> HYPERLINK "https://www.tga.gov.au/resources/auspar/auspar-spikevax-0" </w:instrText>
      </w:r>
      <w:r w:rsidR="00FE4B4B">
        <w:fldChar w:fldCharType="separate"/>
      </w:r>
      <w:r>
        <w:rPr>
          <w:rStyle w:val="Hyperlink"/>
        </w:rPr>
        <w:t>AusPAR</w:t>
      </w:r>
      <w:proofErr w:type="spellEnd"/>
      <w:r w:rsidR="00FE4B4B">
        <w:rPr>
          <w:rStyle w:val="Hyperlink"/>
        </w:rPr>
        <w:fldChar w:fldCharType="end"/>
      </w:r>
      <w:r>
        <w:t>)</w:t>
      </w:r>
    </w:p>
    <w:p w14:paraId="0141CB96" w14:textId="65303140" w:rsidR="00130A4A" w:rsidRDefault="00371A73" w:rsidP="00371A73">
      <w:r>
        <w:t xml:space="preserve">The Delegate noted that Study P205 Part H with </w:t>
      </w:r>
      <w:proofErr w:type="spellStart"/>
      <w:r w:rsidR="00960284">
        <w:t>Spikevax</w:t>
      </w:r>
      <w:proofErr w:type="spellEnd"/>
      <w:r w:rsidR="00960284">
        <w:t xml:space="preserve"> </w:t>
      </w:r>
      <w:r>
        <w:t xml:space="preserve">bivalent </w:t>
      </w:r>
      <w:r w:rsidR="00F4756E">
        <w:t>O</w:t>
      </w:r>
      <w:r>
        <w:t>riginal/</w:t>
      </w:r>
      <w:r w:rsidR="00F4756E">
        <w:t xml:space="preserve">Omicron </w:t>
      </w:r>
      <w:r w:rsidR="001405D9">
        <w:t>BA.4</w:t>
      </w:r>
      <w:r w:rsidR="00532491">
        <w:noBreakHyphen/>
      </w:r>
      <w:r w:rsidR="001405D9">
        <w:t>5</w:t>
      </w:r>
      <w:r>
        <w:t xml:space="preserve"> </w:t>
      </w:r>
      <w:r w:rsidR="00F4756E">
        <w:t xml:space="preserve">vaccine </w:t>
      </w:r>
      <w:r>
        <w:t>is the main/pivotal study for this submission</w:t>
      </w:r>
      <w:r w:rsidR="00130A4A">
        <w:t>, while Study P204 booster with original vaccine in 6 to 11 years of age are also new data</w:t>
      </w:r>
      <w:r w:rsidR="00F4756E">
        <w:t xml:space="preserve"> to support booster dose in </w:t>
      </w:r>
      <w:r w:rsidR="00532491">
        <w:t xml:space="preserve">individuals aged from </w:t>
      </w:r>
      <w:r w:rsidR="00F4756E">
        <w:t>6</w:t>
      </w:r>
      <w:r w:rsidR="00532491">
        <w:t> </w:t>
      </w:r>
      <w:r w:rsidR="00F4756E">
        <w:t>to 11 years old</w:t>
      </w:r>
      <w:r w:rsidR="00130A4A">
        <w:t>.</w:t>
      </w:r>
    </w:p>
    <w:p w14:paraId="2F4E43CC" w14:textId="67824B53" w:rsidR="00371A73" w:rsidRDefault="00130A4A" w:rsidP="00371A73">
      <w:r>
        <w:t xml:space="preserve">The Delegate noted that </w:t>
      </w:r>
      <w:r w:rsidR="00371A73">
        <w:t>Study P205 Part G (booster with Original/</w:t>
      </w:r>
      <w:r w:rsidR="00FC49C4">
        <w:t xml:space="preserve">Omicron </w:t>
      </w:r>
      <w:r w:rsidR="00371A73">
        <w:t>BA.1 bivalent vaccine) was evaluated previously by TGA.</w:t>
      </w:r>
      <w:bookmarkStart w:id="38" w:name="_Ref126851115"/>
      <w:r w:rsidR="00371A73">
        <w:rPr>
          <w:rStyle w:val="FootnoteReference"/>
        </w:rPr>
        <w:footnoteReference w:id="6"/>
      </w:r>
      <w:bookmarkEnd w:id="38"/>
      <w:r>
        <w:t xml:space="preserve"> </w:t>
      </w:r>
      <w:r w:rsidR="00371A73">
        <w:t>Study P203 Part C (booster with original vaccine in adolescents 12</w:t>
      </w:r>
      <w:r>
        <w:t xml:space="preserve"> to </w:t>
      </w:r>
      <w:r w:rsidR="00371A73">
        <w:t xml:space="preserve">17 </w:t>
      </w:r>
      <w:r>
        <w:t>years of age</w:t>
      </w:r>
      <w:r w:rsidR="00371A73">
        <w:t xml:space="preserve">) </w:t>
      </w:r>
      <w:r>
        <w:t xml:space="preserve">was </w:t>
      </w:r>
      <w:r w:rsidR="00371A73">
        <w:t xml:space="preserve">assessed </w:t>
      </w:r>
      <w:r>
        <w:t>previously by TGA.</w:t>
      </w:r>
      <w:bookmarkStart w:id="39" w:name="_Ref126851800"/>
      <w:r>
        <w:rPr>
          <w:rStyle w:val="FootnoteReference"/>
        </w:rPr>
        <w:footnoteReference w:id="7"/>
      </w:r>
      <w:bookmarkEnd w:id="39"/>
    </w:p>
    <w:p w14:paraId="0C909549" w14:textId="007A002D" w:rsidR="009536FD" w:rsidRDefault="009536FD" w:rsidP="000E1461">
      <w:pPr>
        <w:pStyle w:val="Heading4"/>
      </w:pPr>
      <w:r>
        <w:lastRenderedPageBreak/>
        <w:t>Immunogenicity</w:t>
      </w:r>
    </w:p>
    <w:p w14:paraId="796B146E" w14:textId="5E3A97E9" w:rsidR="00130A4A" w:rsidRPr="003949B7" w:rsidRDefault="00130A4A" w:rsidP="00130A4A">
      <w:pPr>
        <w:pStyle w:val="Heading5"/>
      </w:pPr>
      <w:r w:rsidRPr="0070238A">
        <w:t>Study P205 Part H</w:t>
      </w:r>
    </w:p>
    <w:p w14:paraId="21F6F4CD" w14:textId="08E29F30" w:rsidR="00130A4A" w:rsidRPr="003949B7" w:rsidRDefault="00130A4A" w:rsidP="00130A4A">
      <w:r w:rsidRPr="003949B7">
        <w:t>Study P205 is an ongoing open</w:t>
      </w:r>
      <w:r>
        <w:t xml:space="preserve"> </w:t>
      </w:r>
      <w:r w:rsidRPr="003949B7">
        <w:t xml:space="preserve">label Phase </w:t>
      </w:r>
      <w:r>
        <w:t>II</w:t>
      </w:r>
      <w:r w:rsidRPr="003949B7">
        <w:t>/</w:t>
      </w:r>
      <w:r>
        <w:t>III</w:t>
      </w:r>
      <w:r w:rsidRPr="003949B7">
        <w:t xml:space="preserve"> study with multiple, sequentially</w:t>
      </w:r>
      <w:r>
        <w:t xml:space="preserve"> </w:t>
      </w:r>
      <w:r w:rsidRPr="003949B7">
        <w:t>enrolled cohorts to evaluate the immunogenicity and safety of variant</w:t>
      </w:r>
      <w:r>
        <w:t xml:space="preserve"> </w:t>
      </w:r>
      <w:r w:rsidRPr="003949B7">
        <w:t>targeting booster</w:t>
      </w:r>
      <w:r>
        <w:t xml:space="preserve"> </w:t>
      </w:r>
      <w:r w:rsidRPr="003949B7">
        <w:t>candidate vaccines.</w:t>
      </w:r>
    </w:p>
    <w:p w14:paraId="7A439100" w14:textId="26F2A993" w:rsidR="00130A4A" w:rsidRPr="003949B7" w:rsidRDefault="00130A4A" w:rsidP="00130A4A">
      <w:r w:rsidRPr="003949B7">
        <w:t>Study P205 Part H, which evaluated the safety, reactogenicity,</w:t>
      </w:r>
      <w:r>
        <w:t xml:space="preserve"> </w:t>
      </w:r>
      <w:r w:rsidRPr="003949B7">
        <w:t>and immunogenicity of 50</w:t>
      </w:r>
      <w:r>
        <w:t> µ</w:t>
      </w:r>
      <w:r w:rsidRPr="003949B7">
        <w:t xml:space="preserve">g of </w:t>
      </w:r>
      <w:proofErr w:type="spellStart"/>
      <w:r w:rsidR="00FC49C4">
        <w:t>Spikevax</w:t>
      </w:r>
      <w:proofErr w:type="spellEnd"/>
      <w:r w:rsidR="00FC49C4">
        <w:t xml:space="preserve"> </w:t>
      </w:r>
      <w:r w:rsidR="00532491">
        <w:t xml:space="preserve">bivalent </w:t>
      </w:r>
      <w:r>
        <w:t>Original/Omicron BA.4–5 vaccine</w:t>
      </w:r>
      <w:r w:rsidRPr="003949B7">
        <w:t xml:space="preserve"> when administered as a second booster dose in adults who</w:t>
      </w:r>
      <w:r>
        <w:t xml:space="preserve"> </w:t>
      </w:r>
      <w:r w:rsidRPr="003949B7">
        <w:t xml:space="preserve">previously received </w:t>
      </w:r>
      <w:r>
        <w:t>two</w:t>
      </w:r>
      <w:r w:rsidRPr="003949B7">
        <w:t xml:space="preserve"> doses of 100 </w:t>
      </w:r>
      <w:r>
        <w:t>µ</w:t>
      </w:r>
      <w:r w:rsidRPr="003949B7">
        <w:t xml:space="preserve">g </w:t>
      </w:r>
      <w:r>
        <w:t xml:space="preserve">of monovalent </w:t>
      </w:r>
      <w:proofErr w:type="spellStart"/>
      <w:r>
        <w:t>Spikevax</w:t>
      </w:r>
      <w:proofErr w:type="spellEnd"/>
      <w:r w:rsidRPr="003949B7">
        <w:t xml:space="preserve"> </w:t>
      </w:r>
      <w:r w:rsidR="00532491">
        <w:t>(</w:t>
      </w:r>
      <w:proofErr w:type="spellStart"/>
      <w:r w:rsidR="00532491">
        <w:t>elasomeran</w:t>
      </w:r>
      <w:proofErr w:type="spellEnd"/>
      <w:r w:rsidR="00532491">
        <w:t xml:space="preserve">) </w:t>
      </w:r>
      <w:r w:rsidRPr="003949B7">
        <w:t xml:space="preserve">as a primary series and a first booster dose of 50 </w:t>
      </w:r>
      <w:r>
        <w:t>µ</w:t>
      </w:r>
      <w:r w:rsidRPr="003949B7">
        <w:t xml:space="preserve">g </w:t>
      </w:r>
      <w:r>
        <w:t xml:space="preserve">monovalent </w:t>
      </w:r>
      <w:proofErr w:type="spellStart"/>
      <w:r>
        <w:t>Spikevax</w:t>
      </w:r>
      <w:proofErr w:type="spellEnd"/>
      <w:r w:rsidRPr="003949B7">
        <w:t xml:space="preserve">. </w:t>
      </w:r>
      <w:r>
        <w:t>The</w:t>
      </w:r>
      <w:r w:rsidRPr="003949B7">
        <w:t xml:space="preserve"> </w:t>
      </w:r>
      <w:proofErr w:type="spellStart"/>
      <w:r w:rsidR="00532491">
        <w:t>Spikevax</w:t>
      </w:r>
      <w:proofErr w:type="spellEnd"/>
      <w:r w:rsidR="00532491">
        <w:t xml:space="preserve"> </w:t>
      </w:r>
      <w:r w:rsidR="00FC49C4">
        <w:t>bivalent Original/</w:t>
      </w:r>
      <w:r w:rsidRPr="003949B7">
        <w:t xml:space="preserve">Omicron </w:t>
      </w:r>
      <w:r w:rsidR="001405D9">
        <w:t>BA.4-5</w:t>
      </w:r>
      <w:r w:rsidRPr="003949B7">
        <w:t xml:space="preserve"> booster vaccine that contains 25 </w:t>
      </w:r>
      <w:r w:rsidR="005C1DE0">
        <w:t>µ</w:t>
      </w:r>
      <w:r w:rsidRPr="003949B7">
        <w:t>g ancestral SARS</w:t>
      </w:r>
      <w:r w:rsidR="00FC49C4">
        <w:t>-</w:t>
      </w:r>
      <w:r w:rsidRPr="003949B7">
        <w:t xml:space="preserve">CoV-2 </w:t>
      </w:r>
      <w:r w:rsidR="005C1DE0">
        <w:t>s</w:t>
      </w:r>
      <w:r w:rsidRPr="003949B7">
        <w:t xml:space="preserve">pike mRNA </w:t>
      </w:r>
      <w:r w:rsidR="00532491">
        <w:t xml:space="preserve">(as </w:t>
      </w:r>
      <w:proofErr w:type="spellStart"/>
      <w:r w:rsidR="00532491">
        <w:t>elasomeran</w:t>
      </w:r>
      <w:proofErr w:type="spellEnd"/>
      <w:r w:rsidR="00532491">
        <w:t xml:space="preserve">) </w:t>
      </w:r>
      <w:r w:rsidRPr="003949B7">
        <w:t xml:space="preserve">and 25 </w:t>
      </w:r>
      <w:r w:rsidR="005C1DE0">
        <w:t>µ</w:t>
      </w:r>
      <w:r w:rsidRPr="003949B7">
        <w:t xml:space="preserve">g Omicron BA.4/BA.5 </w:t>
      </w:r>
      <w:r w:rsidR="005C1DE0">
        <w:t>s</w:t>
      </w:r>
      <w:r w:rsidRPr="003949B7">
        <w:t>pike mRNA</w:t>
      </w:r>
      <w:r w:rsidR="00532491">
        <w:t xml:space="preserve"> (as </w:t>
      </w:r>
      <w:proofErr w:type="spellStart"/>
      <w:r w:rsidR="00532491">
        <w:t>davesomeran</w:t>
      </w:r>
      <w:proofErr w:type="spellEnd"/>
      <w:r w:rsidR="00532491">
        <w:t>)</w:t>
      </w:r>
      <w:r w:rsidRPr="003949B7">
        <w:t>.</w:t>
      </w:r>
    </w:p>
    <w:p w14:paraId="12D912D6" w14:textId="61D0856E" w:rsidR="00130A4A" w:rsidRDefault="005C1DE0" w:rsidP="00130A4A">
      <w:r>
        <w:t xml:space="preserve">Study </w:t>
      </w:r>
      <w:r w:rsidR="00130A4A" w:rsidRPr="003949B7">
        <w:t>P205 Part F (</w:t>
      </w:r>
      <w:r>
        <w:t>C</w:t>
      </w:r>
      <w:r w:rsidR="00130A4A" w:rsidRPr="003949B7">
        <w:t>ohort 2) serves as the within</w:t>
      </w:r>
      <w:r w:rsidR="00345A30">
        <w:t>-</w:t>
      </w:r>
      <w:r w:rsidR="00130A4A" w:rsidRPr="003949B7">
        <w:t>study, non-contemporaneous</w:t>
      </w:r>
      <w:r>
        <w:t xml:space="preserve"> </w:t>
      </w:r>
      <w:r w:rsidR="00130A4A" w:rsidRPr="003949B7">
        <w:t xml:space="preserve">comparator group for </w:t>
      </w:r>
      <w:r>
        <w:t xml:space="preserve">Study </w:t>
      </w:r>
      <w:r w:rsidR="00130A4A" w:rsidRPr="003949B7">
        <w:t xml:space="preserve">P205 Part H in the immunogenicity comparison between the two booster vaccines, </w:t>
      </w:r>
      <w:r>
        <w:t>bivalent Original/Omicron BA.4–5 at</w:t>
      </w:r>
      <w:r w:rsidR="00130A4A" w:rsidRPr="003949B7">
        <w:t xml:space="preserve"> 50 </w:t>
      </w:r>
      <w:r>
        <w:t>µ</w:t>
      </w:r>
      <w:r w:rsidR="00130A4A" w:rsidRPr="003949B7">
        <w:t xml:space="preserve">g and </w:t>
      </w:r>
      <w:r>
        <w:t xml:space="preserve">monovalent </w:t>
      </w:r>
      <w:proofErr w:type="spellStart"/>
      <w:r>
        <w:t>Spikevax</w:t>
      </w:r>
      <w:proofErr w:type="spellEnd"/>
      <w:r w:rsidR="00130A4A" w:rsidRPr="003949B7">
        <w:t xml:space="preserve"> </w:t>
      </w:r>
      <w:r w:rsidR="00345A30">
        <w:t>(</w:t>
      </w:r>
      <w:proofErr w:type="spellStart"/>
      <w:r w:rsidR="00345A30">
        <w:t>elasomeran</w:t>
      </w:r>
      <w:proofErr w:type="spellEnd"/>
      <w:r w:rsidR="00345A30">
        <w:t xml:space="preserve">) </w:t>
      </w:r>
      <w:r>
        <w:t xml:space="preserve">at </w:t>
      </w:r>
      <w:r w:rsidR="00130A4A" w:rsidRPr="003949B7">
        <w:t xml:space="preserve">50 </w:t>
      </w:r>
      <w:r>
        <w:t>µ</w:t>
      </w:r>
      <w:r w:rsidR="00130A4A" w:rsidRPr="003949B7">
        <w:t>g, when administered as second booster doses. Study P205 Part F (</w:t>
      </w:r>
      <w:r>
        <w:t>C</w:t>
      </w:r>
      <w:r w:rsidR="00130A4A" w:rsidRPr="003949B7">
        <w:t>ohort</w:t>
      </w:r>
      <w:r w:rsidR="00345A30">
        <w:t> </w:t>
      </w:r>
      <w:r w:rsidR="00130A4A" w:rsidRPr="003949B7">
        <w:t xml:space="preserve">2) evaluated the safety, reactogenicity, and immunogenicity of 50 </w:t>
      </w:r>
      <w:r>
        <w:t>µ</w:t>
      </w:r>
      <w:r w:rsidR="00130A4A" w:rsidRPr="003949B7">
        <w:t xml:space="preserve">g of </w:t>
      </w:r>
      <w:proofErr w:type="spellStart"/>
      <w:r>
        <w:t>Spikevax</w:t>
      </w:r>
      <w:proofErr w:type="spellEnd"/>
      <w:r w:rsidR="00130A4A" w:rsidRPr="003949B7">
        <w:t xml:space="preserve"> when administered as a second booster dose in adults who previously received</w:t>
      </w:r>
      <w:r>
        <w:t xml:space="preserve"> two</w:t>
      </w:r>
      <w:r w:rsidR="00130A4A" w:rsidRPr="003949B7">
        <w:t xml:space="preserve"> doses of 100</w:t>
      </w:r>
      <w:r>
        <w:t> µ</w:t>
      </w:r>
      <w:r w:rsidR="00130A4A" w:rsidRPr="003949B7">
        <w:t xml:space="preserve">g </w:t>
      </w:r>
      <w:r>
        <w:t xml:space="preserve">monovalent </w:t>
      </w:r>
      <w:proofErr w:type="spellStart"/>
      <w:r>
        <w:t>Spikevax</w:t>
      </w:r>
      <w:proofErr w:type="spellEnd"/>
      <w:r w:rsidR="00130A4A" w:rsidRPr="003949B7">
        <w:t xml:space="preserve"> </w:t>
      </w:r>
      <w:r w:rsidR="00345A30">
        <w:t>(</w:t>
      </w:r>
      <w:proofErr w:type="spellStart"/>
      <w:r w:rsidR="00345A30">
        <w:t>elasomeran</w:t>
      </w:r>
      <w:proofErr w:type="spellEnd"/>
      <w:r w:rsidR="00345A30">
        <w:t xml:space="preserve">) </w:t>
      </w:r>
      <w:r w:rsidR="00130A4A" w:rsidRPr="003949B7">
        <w:t xml:space="preserve">as a primary series and a first booster dose of 50 </w:t>
      </w:r>
      <w:r>
        <w:t>µ</w:t>
      </w:r>
      <w:r w:rsidR="00130A4A" w:rsidRPr="003949B7">
        <w:t xml:space="preserve">g </w:t>
      </w:r>
      <w:r>
        <w:t xml:space="preserve">monovalent </w:t>
      </w:r>
      <w:proofErr w:type="spellStart"/>
      <w:r>
        <w:t>Spikevax</w:t>
      </w:r>
      <w:proofErr w:type="spellEnd"/>
      <w:r w:rsidR="00345A30">
        <w:t xml:space="preserve"> (</w:t>
      </w:r>
      <w:proofErr w:type="spellStart"/>
      <w:r w:rsidR="00345A30">
        <w:t>elasomeran</w:t>
      </w:r>
      <w:proofErr w:type="spellEnd"/>
      <w:r w:rsidR="00345A30">
        <w:t>)</w:t>
      </w:r>
      <w:r w:rsidR="00130A4A" w:rsidRPr="003949B7">
        <w:t>.</w:t>
      </w:r>
    </w:p>
    <w:p w14:paraId="1E6690F7" w14:textId="46B45C45" w:rsidR="00130A4A" w:rsidRDefault="005C1DE0" w:rsidP="00130A4A">
      <w:proofErr w:type="spellStart"/>
      <w:r>
        <w:t>Spikevax</w:t>
      </w:r>
      <w:proofErr w:type="spellEnd"/>
      <w:r>
        <w:t xml:space="preserve"> bivalent Original/Omicron </w:t>
      </w:r>
      <w:r w:rsidR="001405D9">
        <w:t>BA.4-5</w:t>
      </w:r>
      <w:r>
        <w:t xml:space="preserve"> at</w:t>
      </w:r>
      <w:r w:rsidR="00130A4A" w:rsidRPr="0077350E">
        <w:t xml:space="preserve"> 50 </w:t>
      </w:r>
      <w:r>
        <w:t>µ</w:t>
      </w:r>
      <w:r w:rsidR="00130A4A" w:rsidRPr="0077350E">
        <w:t>g was administered as a single dose on Day 1. Additional safety and/or immunogenicity study visits were planned to occur on Days 8, 15, 29, 91, and 181 (end of study</w:t>
      </w:r>
      <w:r w:rsidR="00FC49C4">
        <w:t>)</w:t>
      </w:r>
      <w:r w:rsidR="00130A4A" w:rsidRPr="0077350E">
        <w:t xml:space="preserve">. Study visits were to include scheduled safety phone calls at Day 8, and every 2 weeks from Day 43 to Day 169 to collect </w:t>
      </w:r>
      <w:r>
        <w:t>adverse events (</w:t>
      </w:r>
      <w:r w:rsidR="00130A4A" w:rsidRPr="0077350E">
        <w:t>AE</w:t>
      </w:r>
      <w:r>
        <w:t>)</w:t>
      </w:r>
      <w:r w:rsidR="00130A4A" w:rsidRPr="0077350E">
        <w:t xml:space="preserve">, </w:t>
      </w:r>
      <w:r w:rsidR="001C585E" w:rsidRPr="001C585E">
        <w:t>medically attended adverse event</w:t>
      </w:r>
      <w:r w:rsidR="001C585E">
        <w:t>s (</w:t>
      </w:r>
      <w:r w:rsidR="00130A4A" w:rsidRPr="0077350E">
        <w:t>MAAE</w:t>
      </w:r>
      <w:r w:rsidR="001C585E">
        <w:t>)</w:t>
      </w:r>
      <w:r w:rsidR="00130A4A" w:rsidRPr="0077350E">
        <w:t xml:space="preserve">, </w:t>
      </w:r>
      <w:r w:rsidR="001C585E" w:rsidRPr="001C585E">
        <w:t>adverse event</w:t>
      </w:r>
      <w:r w:rsidR="00345A30">
        <w:t>s</w:t>
      </w:r>
      <w:r w:rsidR="001C585E" w:rsidRPr="001C585E">
        <w:t xml:space="preserve"> of special interest</w:t>
      </w:r>
      <w:r w:rsidR="001C585E">
        <w:t>s (</w:t>
      </w:r>
      <w:r w:rsidR="00130A4A" w:rsidRPr="0077350E">
        <w:t>AESI</w:t>
      </w:r>
      <w:r w:rsidR="001C585E">
        <w:t>)</w:t>
      </w:r>
      <w:r w:rsidR="00130A4A" w:rsidRPr="0077350E">
        <w:t xml:space="preserve">, </w:t>
      </w:r>
      <w:r w:rsidR="001C585E">
        <w:t>adverse events</w:t>
      </w:r>
      <w:r w:rsidR="00130A4A" w:rsidRPr="0077350E">
        <w:t xml:space="preserve"> leading to withdrawal, </w:t>
      </w:r>
      <w:r w:rsidR="001C585E">
        <w:t>serious adverse events (</w:t>
      </w:r>
      <w:r w:rsidR="00130A4A" w:rsidRPr="0077350E">
        <w:t>SAE</w:t>
      </w:r>
      <w:r w:rsidR="001C585E">
        <w:t>)</w:t>
      </w:r>
      <w:r w:rsidR="00130A4A" w:rsidRPr="0077350E">
        <w:t>, pregnancies, and information about concomitant medications and receipt of non-study vaccinations.</w:t>
      </w:r>
    </w:p>
    <w:p w14:paraId="5FD40781" w14:textId="41F99507" w:rsidR="00130A4A" w:rsidRPr="0077350E" w:rsidRDefault="001C585E" w:rsidP="00130A4A">
      <w:r>
        <w:t>T</w:t>
      </w:r>
      <w:r w:rsidR="00130A4A" w:rsidRPr="0077350E">
        <w:t>he dosing period for Study P205 Part H was 10 August to 23</w:t>
      </w:r>
      <w:r w:rsidR="00130A4A" w:rsidRPr="0077350E">
        <w:rPr>
          <w:vertAlign w:val="superscript"/>
        </w:rPr>
        <w:t xml:space="preserve"> </w:t>
      </w:r>
      <w:r w:rsidR="00130A4A" w:rsidRPr="0077350E">
        <w:t>August 2022</w:t>
      </w:r>
      <w:r>
        <w:t>, while t</w:t>
      </w:r>
      <w:r w:rsidR="00130A4A" w:rsidRPr="0077350E">
        <w:t>he dosing period for Study 205 Part F was 18 February 2022 to 8 March 2022.</w:t>
      </w:r>
    </w:p>
    <w:p w14:paraId="3F44FE0D" w14:textId="051EA67F" w:rsidR="00130A4A" w:rsidRPr="003949B7" w:rsidRDefault="00130A4A" w:rsidP="001C585E">
      <w:pPr>
        <w:tabs>
          <w:tab w:val="left" w:pos="2977"/>
        </w:tabs>
      </w:pPr>
      <w:r w:rsidRPr="0077350E">
        <w:t xml:space="preserve">The </w:t>
      </w:r>
      <w:r w:rsidR="001C585E" w:rsidRPr="001C585E">
        <w:t>clinical study protoco</w:t>
      </w:r>
      <w:r w:rsidR="001C585E">
        <w:t>l</w:t>
      </w:r>
      <w:r w:rsidRPr="0077350E">
        <w:t xml:space="preserve"> states that Study P205 (from Part A to Part H) is to be conducted in approximately 25 sites in the </w:t>
      </w:r>
      <w:r w:rsidR="00FC49C4">
        <w:t>USA</w:t>
      </w:r>
      <w:r w:rsidRPr="0077350E">
        <w:t xml:space="preserve"> and its territories.</w:t>
      </w:r>
    </w:p>
    <w:p w14:paraId="54D30872" w14:textId="528C6A46" w:rsidR="00130A4A" w:rsidRDefault="00130A4A" w:rsidP="00130A4A">
      <w:r w:rsidRPr="003949B7">
        <w:t xml:space="preserve">The primary immunogenicity objective assessed in the </w:t>
      </w:r>
      <w:r w:rsidR="001C585E">
        <w:t>p</w:t>
      </w:r>
      <w:r w:rsidRPr="003949B7">
        <w:t>er-</w:t>
      </w:r>
      <w:r w:rsidR="001C585E">
        <w:t>p</w:t>
      </w:r>
      <w:r w:rsidRPr="003949B7">
        <w:t xml:space="preserve">rotocol </w:t>
      </w:r>
      <w:r w:rsidR="001C585E">
        <w:t>s</w:t>
      </w:r>
      <w:r w:rsidRPr="003949B7">
        <w:t>et for</w:t>
      </w:r>
      <w:r>
        <w:t xml:space="preserve"> </w:t>
      </w:r>
      <w:r w:rsidR="001C585E">
        <w:t>i</w:t>
      </w:r>
      <w:r w:rsidRPr="003949B7">
        <w:t xml:space="preserve">mmunogenicity, SARS-CoV-2 negative, descriptive summaries of antibody </w:t>
      </w:r>
      <w:r w:rsidR="001C585E" w:rsidRPr="001C585E">
        <w:t>geometric mean tit</w:t>
      </w:r>
      <w:r w:rsidR="001C585E">
        <w:t>re</w:t>
      </w:r>
      <w:r w:rsidR="001C585E" w:rsidRPr="001C585E">
        <w:t xml:space="preserve"> </w:t>
      </w:r>
      <w:r w:rsidR="001C585E">
        <w:t>(</w:t>
      </w:r>
      <w:r w:rsidRPr="003949B7">
        <w:t>GMT</w:t>
      </w:r>
      <w:r w:rsidR="001C585E">
        <w:t>)</w:t>
      </w:r>
      <w:r w:rsidRPr="003949B7">
        <w:t xml:space="preserve">, </w:t>
      </w:r>
      <w:r w:rsidR="001C585E" w:rsidRPr="001C585E">
        <w:t xml:space="preserve">geometric mean fold rise </w:t>
      </w:r>
      <w:r w:rsidR="001C585E">
        <w:t>(</w:t>
      </w:r>
      <w:r w:rsidRPr="003949B7">
        <w:t>GMFR</w:t>
      </w:r>
      <w:r w:rsidR="001C585E">
        <w:t>)</w:t>
      </w:r>
      <w:r w:rsidRPr="003949B7">
        <w:t>, and</w:t>
      </w:r>
      <w:r>
        <w:t xml:space="preserve"> </w:t>
      </w:r>
      <w:proofErr w:type="spellStart"/>
      <w:r w:rsidR="001C585E" w:rsidRPr="001C585E">
        <w:t>seroresponse</w:t>
      </w:r>
      <w:proofErr w:type="spellEnd"/>
      <w:r w:rsidR="001C585E" w:rsidRPr="001C585E">
        <w:t xml:space="preserve"> rate </w:t>
      </w:r>
      <w:r w:rsidR="001C585E">
        <w:t>(</w:t>
      </w:r>
      <w:r w:rsidRPr="003949B7">
        <w:t>SRR</w:t>
      </w:r>
      <w:r w:rsidR="001C585E">
        <w:t>)</w:t>
      </w:r>
      <w:r w:rsidRPr="003949B7">
        <w:t xml:space="preserve"> w</w:t>
      </w:r>
      <w:r>
        <w:t xml:space="preserve">as </w:t>
      </w:r>
      <w:r w:rsidRPr="003949B7">
        <w:t>provided.</w:t>
      </w:r>
    </w:p>
    <w:p w14:paraId="469098B2" w14:textId="5BE2E7B6" w:rsidR="00130A4A" w:rsidRDefault="00130A4A" w:rsidP="00130A4A">
      <w:r w:rsidRPr="003949B7">
        <w:t xml:space="preserve">For the primary immunogenicity objective, </w:t>
      </w:r>
      <w:r>
        <w:t>five</w:t>
      </w:r>
      <w:r w:rsidRPr="003949B7">
        <w:t xml:space="preserve"> hypotheses </w:t>
      </w:r>
      <w:r>
        <w:t>were</w:t>
      </w:r>
      <w:r w:rsidRPr="003949B7">
        <w:t xml:space="preserve"> tested</w:t>
      </w:r>
      <w:r>
        <w:t>.</w:t>
      </w:r>
    </w:p>
    <w:p w14:paraId="343ECD0A" w14:textId="2AE00D6E" w:rsidR="00130A4A" w:rsidRPr="0077350E" w:rsidRDefault="00130A4A" w:rsidP="00130A4A">
      <w:pPr>
        <w:rPr>
          <w:lang w:eastAsia="ja-JP"/>
        </w:rPr>
      </w:pPr>
      <w:r w:rsidRPr="0077350E">
        <w:rPr>
          <w:lang w:eastAsia="ja-JP"/>
        </w:rPr>
        <w:t>Hypotheses for Part H</w:t>
      </w:r>
      <w:r>
        <w:rPr>
          <w:lang w:eastAsia="ja-JP"/>
        </w:rPr>
        <w:t>:</w:t>
      </w:r>
    </w:p>
    <w:p w14:paraId="684CD372" w14:textId="3124241D" w:rsidR="00130A4A" w:rsidRPr="0077350E" w:rsidRDefault="00130A4A" w:rsidP="00130A4A">
      <w:pPr>
        <w:pStyle w:val="ListBullet"/>
        <w:rPr>
          <w:lang w:eastAsia="ja-JP"/>
        </w:rPr>
      </w:pPr>
      <w:r w:rsidRPr="0077350E">
        <w:rPr>
          <w:lang w:eastAsia="ja-JP"/>
        </w:rPr>
        <w:t xml:space="preserve">50 </w:t>
      </w:r>
      <w:r w:rsidR="001C585E">
        <w:rPr>
          <w:lang w:eastAsia="ja-JP"/>
        </w:rPr>
        <w:t>µ</w:t>
      </w:r>
      <w:r w:rsidRPr="0077350E">
        <w:rPr>
          <w:lang w:eastAsia="ja-JP"/>
        </w:rPr>
        <w:t xml:space="preserve">g </w:t>
      </w:r>
      <w:r w:rsidR="001C585E">
        <w:rPr>
          <w:lang w:eastAsia="ja-JP"/>
        </w:rPr>
        <w:t>bivalent Original/Omicron BA.4</w:t>
      </w:r>
      <w:r w:rsidR="00871090">
        <w:rPr>
          <w:lang w:eastAsia="ja-JP"/>
        </w:rPr>
        <w:t>-</w:t>
      </w:r>
      <w:r w:rsidR="001C585E">
        <w:rPr>
          <w:lang w:eastAsia="ja-JP"/>
        </w:rPr>
        <w:t>5 vaccine</w:t>
      </w:r>
      <w:r w:rsidR="00345A30">
        <w:rPr>
          <w:lang w:eastAsia="ja-JP"/>
        </w:rPr>
        <w:t xml:space="preserve"> (</w:t>
      </w:r>
      <w:proofErr w:type="spellStart"/>
      <w:r w:rsidR="00345A30">
        <w:rPr>
          <w:lang w:eastAsia="ja-JP"/>
        </w:rPr>
        <w:t>elasomeran</w:t>
      </w:r>
      <w:proofErr w:type="spellEnd"/>
      <w:r w:rsidR="00345A30">
        <w:rPr>
          <w:lang w:eastAsia="ja-JP"/>
        </w:rPr>
        <w:t xml:space="preserve"> and </w:t>
      </w:r>
      <w:proofErr w:type="spellStart"/>
      <w:r w:rsidR="00345A30">
        <w:rPr>
          <w:lang w:eastAsia="ja-JP"/>
        </w:rPr>
        <w:t>davesomeran</w:t>
      </w:r>
      <w:proofErr w:type="spellEnd"/>
      <w:r w:rsidR="00345A30">
        <w:rPr>
          <w:lang w:eastAsia="ja-JP"/>
        </w:rPr>
        <w:t>)</w:t>
      </w:r>
      <w:r w:rsidRPr="0077350E">
        <w:rPr>
          <w:lang w:eastAsia="ja-JP"/>
        </w:rPr>
        <w:t xml:space="preserve">, as a second booster dose, against Omicron </w:t>
      </w:r>
      <w:r w:rsidR="00345A30">
        <w:rPr>
          <w:lang w:eastAsia="ja-JP"/>
        </w:rPr>
        <w:t xml:space="preserve">subvariant </w:t>
      </w:r>
      <w:r w:rsidRPr="0077350E">
        <w:rPr>
          <w:lang w:eastAsia="ja-JP"/>
        </w:rPr>
        <w:t xml:space="preserve">BA.4/5 is non-inferior to the second booster dose of 50 </w:t>
      </w:r>
      <w:r w:rsidR="001C585E">
        <w:rPr>
          <w:lang w:eastAsia="ja-JP"/>
        </w:rPr>
        <w:t>µ</w:t>
      </w:r>
      <w:r w:rsidRPr="0077350E">
        <w:rPr>
          <w:lang w:eastAsia="ja-JP"/>
        </w:rPr>
        <w:t xml:space="preserve">g </w:t>
      </w:r>
      <w:r w:rsidR="001C585E">
        <w:rPr>
          <w:lang w:eastAsia="ja-JP"/>
        </w:rPr>
        <w:t xml:space="preserve">monovalent </w:t>
      </w:r>
      <w:proofErr w:type="spellStart"/>
      <w:r w:rsidR="001C585E">
        <w:rPr>
          <w:lang w:eastAsia="ja-JP"/>
        </w:rPr>
        <w:t>Spikevax</w:t>
      </w:r>
      <w:proofErr w:type="spellEnd"/>
      <w:r w:rsidRPr="0077350E">
        <w:rPr>
          <w:lang w:eastAsia="ja-JP"/>
        </w:rPr>
        <w:t xml:space="preserve"> </w:t>
      </w:r>
      <w:r w:rsidR="00345A30">
        <w:rPr>
          <w:lang w:eastAsia="ja-JP"/>
        </w:rPr>
        <w:t>(</w:t>
      </w:r>
      <w:proofErr w:type="spellStart"/>
      <w:r w:rsidR="00345A30">
        <w:rPr>
          <w:lang w:eastAsia="ja-JP"/>
        </w:rPr>
        <w:t>elasomeran</w:t>
      </w:r>
      <w:proofErr w:type="spellEnd"/>
      <w:r w:rsidR="00345A30">
        <w:rPr>
          <w:lang w:eastAsia="ja-JP"/>
        </w:rPr>
        <w:t xml:space="preserve">) </w:t>
      </w:r>
      <w:r w:rsidRPr="0077350E">
        <w:rPr>
          <w:lang w:eastAsia="ja-JP"/>
        </w:rPr>
        <w:t xml:space="preserve">against Omicron </w:t>
      </w:r>
      <w:r w:rsidR="00345A30">
        <w:rPr>
          <w:lang w:eastAsia="ja-JP"/>
        </w:rPr>
        <w:t xml:space="preserve">subvariant </w:t>
      </w:r>
      <w:r w:rsidRPr="0077350E">
        <w:rPr>
          <w:lang w:eastAsia="ja-JP"/>
        </w:rPr>
        <w:t xml:space="preserve">BA.4/5 based on the GMT ratio </w:t>
      </w:r>
      <w:r w:rsidR="001C585E">
        <w:rPr>
          <w:lang w:eastAsia="ja-JP"/>
        </w:rPr>
        <w:t>of bivalent Original/Omicron BA.4–5 vaccine</w:t>
      </w:r>
      <w:r w:rsidRPr="0077350E">
        <w:rPr>
          <w:lang w:eastAsia="ja-JP"/>
        </w:rPr>
        <w:t xml:space="preserve"> against Omicron BA.4</w:t>
      </w:r>
      <w:r w:rsidR="00FC49C4">
        <w:rPr>
          <w:lang w:eastAsia="ja-JP"/>
        </w:rPr>
        <w:t>/</w:t>
      </w:r>
      <w:r w:rsidRPr="0077350E">
        <w:rPr>
          <w:lang w:eastAsia="ja-JP"/>
        </w:rPr>
        <w:t xml:space="preserve">5 at Day 29 compared to </w:t>
      </w:r>
      <w:r w:rsidR="001C585E">
        <w:rPr>
          <w:lang w:eastAsia="ja-JP"/>
        </w:rPr>
        <w:t xml:space="preserve">monovalent </w:t>
      </w:r>
      <w:proofErr w:type="spellStart"/>
      <w:r w:rsidR="001C585E">
        <w:rPr>
          <w:lang w:eastAsia="ja-JP"/>
        </w:rPr>
        <w:t>Spikevax</w:t>
      </w:r>
      <w:proofErr w:type="spellEnd"/>
      <w:r w:rsidRPr="0077350E">
        <w:rPr>
          <w:lang w:eastAsia="ja-JP"/>
        </w:rPr>
        <w:t xml:space="preserve"> against Omicron BA.4/5 at Day 29 with a non-inferiority margin of 1.5.</w:t>
      </w:r>
    </w:p>
    <w:p w14:paraId="66589BF2" w14:textId="528A4BD8" w:rsidR="00130A4A" w:rsidRPr="0077350E" w:rsidRDefault="005B30F5" w:rsidP="00130A4A">
      <w:pPr>
        <w:pStyle w:val="ListBullet"/>
        <w:rPr>
          <w:lang w:eastAsia="ja-JP"/>
        </w:rPr>
      </w:pPr>
      <w:r w:rsidRPr="0077350E">
        <w:rPr>
          <w:lang w:eastAsia="ja-JP"/>
        </w:rPr>
        <w:t xml:space="preserve">50 </w:t>
      </w:r>
      <w:r>
        <w:rPr>
          <w:lang w:eastAsia="ja-JP"/>
        </w:rPr>
        <w:t>µ</w:t>
      </w:r>
      <w:r w:rsidRPr="0077350E">
        <w:rPr>
          <w:lang w:eastAsia="ja-JP"/>
        </w:rPr>
        <w:t xml:space="preserve">g </w:t>
      </w:r>
      <w:r>
        <w:rPr>
          <w:lang w:eastAsia="ja-JP"/>
        </w:rPr>
        <w:t>bivalent Original/Omicron BA.4</w:t>
      </w:r>
      <w:r w:rsidR="00871090">
        <w:rPr>
          <w:lang w:eastAsia="ja-JP"/>
        </w:rPr>
        <w:t>-</w:t>
      </w:r>
      <w:r>
        <w:rPr>
          <w:lang w:eastAsia="ja-JP"/>
        </w:rPr>
        <w:t>5 vaccine</w:t>
      </w:r>
      <w:r w:rsidR="00345A30">
        <w:rPr>
          <w:lang w:eastAsia="ja-JP"/>
        </w:rPr>
        <w:t xml:space="preserve"> (</w:t>
      </w:r>
      <w:proofErr w:type="spellStart"/>
      <w:r w:rsidR="00345A30">
        <w:rPr>
          <w:lang w:eastAsia="ja-JP"/>
        </w:rPr>
        <w:t>elasomeran</w:t>
      </w:r>
      <w:proofErr w:type="spellEnd"/>
      <w:r w:rsidR="00345A30">
        <w:rPr>
          <w:lang w:eastAsia="ja-JP"/>
        </w:rPr>
        <w:t xml:space="preserve"> and </w:t>
      </w:r>
      <w:proofErr w:type="spellStart"/>
      <w:r w:rsidR="00345A30">
        <w:rPr>
          <w:lang w:eastAsia="ja-JP"/>
        </w:rPr>
        <w:t>davesomeran</w:t>
      </w:r>
      <w:proofErr w:type="spellEnd"/>
      <w:r w:rsidR="00345A30">
        <w:rPr>
          <w:lang w:eastAsia="ja-JP"/>
        </w:rPr>
        <w:t>)</w:t>
      </w:r>
      <w:r w:rsidR="00130A4A" w:rsidRPr="0077350E">
        <w:rPr>
          <w:lang w:eastAsia="ja-JP"/>
        </w:rPr>
        <w:t xml:space="preserve">, as a second booster dose, against Omicron </w:t>
      </w:r>
      <w:r w:rsidR="00345A30">
        <w:rPr>
          <w:lang w:eastAsia="ja-JP"/>
        </w:rPr>
        <w:t xml:space="preserve">subvariant </w:t>
      </w:r>
      <w:r w:rsidR="00130A4A" w:rsidRPr="0077350E">
        <w:rPr>
          <w:lang w:eastAsia="ja-JP"/>
        </w:rPr>
        <w:t xml:space="preserve">BA.4/5 is non-inferior to the second booster dose of </w:t>
      </w:r>
      <w:r w:rsidRPr="0077350E">
        <w:rPr>
          <w:lang w:eastAsia="ja-JP"/>
        </w:rPr>
        <w:t xml:space="preserve">50 </w:t>
      </w:r>
      <w:r>
        <w:rPr>
          <w:lang w:eastAsia="ja-JP"/>
        </w:rPr>
        <w:t>µ</w:t>
      </w:r>
      <w:r w:rsidRPr="0077350E">
        <w:rPr>
          <w:lang w:eastAsia="ja-JP"/>
        </w:rPr>
        <w:t xml:space="preserve">g </w:t>
      </w:r>
      <w:r>
        <w:rPr>
          <w:lang w:eastAsia="ja-JP"/>
        </w:rPr>
        <w:t xml:space="preserve">monovalent </w:t>
      </w:r>
      <w:proofErr w:type="spellStart"/>
      <w:r>
        <w:rPr>
          <w:lang w:eastAsia="ja-JP"/>
        </w:rPr>
        <w:t>Spikevax</w:t>
      </w:r>
      <w:proofErr w:type="spellEnd"/>
      <w:r w:rsidRPr="0077350E">
        <w:rPr>
          <w:lang w:eastAsia="ja-JP"/>
        </w:rPr>
        <w:t xml:space="preserve"> </w:t>
      </w:r>
      <w:r w:rsidR="00345A30">
        <w:rPr>
          <w:lang w:eastAsia="ja-JP"/>
        </w:rPr>
        <w:t>(</w:t>
      </w:r>
      <w:proofErr w:type="spellStart"/>
      <w:r w:rsidR="00345A30">
        <w:rPr>
          <w:lang w:eastAsia="ja-JP"/>
        </w:rPr>
        <w:t>elasomeran</w:t>
      </w:r>
      <w:proofErr w:type="spellEnd"/>
      <w:r w:rsidR="00345A30">
        <w:rPr>
          <w:lang w:eastAsia="ja-JP"/>
        </w:rPr>
        <w:t xml:space="preserve">) </w:t>
      </w:r>
      <w:r w:rsidR="00130A4A" w:rsidRPr="0077350E">
        <w:rPr>
          <w:lang w:eastAsia="ja-JP"/>
        </w:rPr>
        <w:t xml:space="preserve">against Omicron </w:t>
      </w:r>
      <w:r w:rsidR="00345A30">
        <w:rPr>
          <w:lang w:eastAsia="ja-JP"/>
        </w:rPr>
        <w:t xml:space="preserve">subvariant </w:t>
      </w:r>
      <w:r w:rsidR="00130A4A" w:rsidRPr="0077350E">
        <w:rPr>
          <w:lang w:eastAsia="ja-JP"/>
        </w:rPr>
        <w:t xml:space="preserve">BA.4/5 based on the difference in </w:t>
      </w:r>
      <w:proofErr w:type="spellStart"/>
      <w:r w:rsidR="00345A30">
        <w:rPr>
          <w:lang w:eastAsia="ja-JP"/>
        </w:rPr>
        <w:t>seroresponse</w:t>
      </w:r>
      <w:proofErr w:type="spellEnd"/>
      <w:r w:rsidR="00345A30">
        <w:rPr>
          <w:lang w:eastAsia="ja-JP"/>
        </w:rPr>
        <w:t xml:space="preserve"> rates</w:t>
      </w:r>
      <w:r w:rsidR="00345A30" w:rsidRPr="0077350E">
        <w:rPr>
          <w:lang w:eastAsia="ja-JP"/>
        </w:rPr>
        <w:t xml:space="preserve"> </w:t>
      </w:r>
      <w:r w:rsidR="00130A4A" w:rsidRPr="0077350E">
        <w:rPr>
          <w:lang w:eastAsia="ja-JP"/>
        </w:rPr>
        <w:t>at Day 29 with a non-inferiority margin of 5%.</w:t>
      </w:r>
    </w:p>
    <w:p w14:paraId="70638374" w14:textId="1E8C791C" w:rsidR="00130A4A" w:rsidRPr="0077350E" w:rsidRDefault="005B30F5" w:rsidP="00130A4A">
      <w:pPr>
        <w:pStyle w:val="ListBullet"/>
        <w:rPr>
          <w:lang w:eastAsia="ja-JP"/>
        </w:rPr>
      </w:pPr>
      <w:r w:rsidRPr="0077350E">
        <w:rPr>
          <w:lang w:eastAsia="ja-JP"/>
        </w:rPr>
        <w:lastRenderedPageBreak/>
        <w:t xml:space="preserve">50 </w:t>
      </w:r>
      <w:r>
        <w:rPr>
          <w:lang w:eastAsia="ja-JP"/>
        </w:rPr>
        <w:t>µ</w:t>
      </w:r>
      <w:r w:rsidRPr="0077350E">
        <w:rPr>
          <w:lang w:eastAsia="ja-JP"/>
        </w:rPr>
        <w:t xml:space="preserve">g </w:t>
      </w:r>
      <w:r>
        <w:rPr>
          <w:lang w:eastAsia="ja-JP"/>
        </w:rPr>
        <w:t>bivalent Original/Omicron BA.4</w:t>
      </w:r>
      <w:r w:rsidR="00871090">
        <w:rPr>
          <w:lang w:eastAsia="ja-JP"/>
        </w:rPr>
        <w:t>-</w:t>
      </w:r>
      <w:r>
        <w:rPr>
          <w:lang w:eastAsia="ja-JP"/>
        </w:rPr>
        <w:t>5 vaccine</w:t>
      </w:r>
      <w:r w:rsidR="00345A30">
        <w:rPr>
          <w:lang w:eastAsia="ja-JP"/>
        </w:rPr>
        <w:t xml:space="preserve"> (</w:t>
      </w:r>
      <w:proofErr w:type="spellStart"/>
      <w:r w:rsidR="00345A30">
        <w:rPr>
          <w:lang w:eastAsia="ja-JP"/>
        </w:rPr>
        <w:t>elasomeran</w:t>
      </w:r>
      <w:proofErr w:type="spellEnd"/>
      <w:r w:rsidR="00345A30">
        <w:rPr>
          <w:lang w:eastAsia="ja-JP"/>
        </w:rPr>
        <w:t xml:space="preserve"> and </w:t>
      </w:r>
      <w:proofErr w:type="spellStart"/>
      <w:r w:rsidR="00345A30">
        <w:rPr>
          <w:lang w:eastAsia="ja-JP"/>
        </w:rPr>
        <w:t>davesomeran</w:t>
      </w:r>
      <w:proofErr w:type="spellEnd"/>
      <w:r w:rsidR="00345A30">
        <w:rPr>
          <w:lang w:eastAsia="ja-JP"/>
        </w:rPr>
        <w:t>)</w:t>
      </w:r>
      <w:r w:rsidR="00130A4A" w:rsidRPr="0077350E">
        <w:rPr>
          <w:lang w:eastAsia="ja-JP"/>
        </w:rPr>
        <w:t xml:space="preserve">, as a second booster dose, against </w:t>
      </w:r>
      <w:r>
        <w:t xml:space="preserve">ancestral strain with </w:t>
      </w:r>
      <w:r w:rsidRPr="005B30F5">
        <w:rPr>
          <w:i/>
          <w:iCs/>
        </w:rPr>
        <w:t>D614G</w:t>
      </w:r>
      <w:r>
        <w:t xml:space="preserve"> mutation </w:t>
      </w:r>
      <w:r w:rsidR="00130A4A" w:rsidRPr="0077350E">
        <w:rPr>
          <w:lang w:eastAsia="ja-JP"/>
        </w:rPr>
        <w:t xml:space="preserve">is non-inferior to the second booster dose of </w:t>
      </w:r>
      <w:r w:rsidRPr="0077350E">
        <w:rPr>
          <w:lang w:eastAsia="ja-JP"/>
        </w:rPr>
        <w:t xml:space="preserve">50 </w:t>
      </w:r>
      <w:r>
        <w:rPr>
          <w:lang w:eastAsia="ja-JP"/>
        </w:rPr>
        <w:t>µ</w:t>
      </w:r>
      <w:r w:rsidRPr="0077350E">
        <w:rPr>
          <w:lang w:eastAsia="ja-JP"/>
        </w:rPr>
        <w:t xml:space="preserve">g </w:t>
      </w:r>
      <w:r>
        <w:rPr>
          <w:lang w:eastAsia="ja-JP"/>
        </w:rPr>
        <w:t xml:space="preserve">monovalent </w:t>
      </w:r>
      <w:proofErr w:type="spellStart"/>
      <w:r>
        <w:rPr>
          <w:lang w:eastAsia="ja-JP"/>
        </w:rPr>
        <w:t>Spikevax</w:t>
      </w:r>
      <w:proofErr w:type="spellEnd"/>
      <w:r w:rsidRPr="0077350E">
        <w:rPr>
          <w:lang w:eastAsia="ja-JP"/>
        </w:rPr>
        <w:t xml:space="preserve"> </w:t>
      </w:r>
      <w:r w:rsidR="00345A30">
        <w:rPr>
          <w:lang w:eastAsia="ja-JP"/>
        </w:rPr>
        <w:t>(</w:t>
      </w:r>
      <w:proofErr w:type="spellStart"/>
      <w:r w:rsidR="00345A30">
        <w:rPr>
          <w:lang w:eastAsia="ja-JP"/>
        </w:rPr>
        <w:t>elasomeran</w:t>
      </w:r>
      <w:proofErr w:type="spellEnd"/>
      <w:r w:rsidR="00345A30">
        <w:rPr>
          <w:lang w:eastAsia="ja-JP"/>
        </w:rPr>
        <w:t xml:space="preserve">) </w:t>
      </w:r>
      <w:r w:rsidR="00130A4A" w:rsidRPr="0077350E">
        <w:rPr>
          <w:lang w:eastAsia="ja-JP"/>
        </w:rPr>
        <w:t xml:space="preserve">against </w:t>
      </w:r>
      <w:r>
        <w:t xml:space="preserve">ancestral strain with </w:t>
      </w:r>
      <w:r w:rsidRPr="005B30F5">
        <w:rPr>
          <w:i/>
          <w:iCs/>
        </w:rPr>
        <w:t>D614G</w:t>
      </w:r>
      <w:r>
        <w:t xml:space="preserve"> mutation </w:t>
      </w:r>
      <w:r w:rsidR="00130A4A" w:rsidRPr="0077350E">
        <w:rPr>
          <w:lang w:eastAsia="ja-JP"/>
        </w:rPr>
        <w:t xml:space="preserve">based on the GMT ratio of </w:t>
      </w:r>
      <w:r>
        <w:rPr>
          <w:lang w:eastAsia="ja-JP"/>
        </w:rPr>
        <w:t>bivalent Original/Omicron BA.4</w:t>
      </w:r>
      <w:r w:rsidR="00871090">
        <w:rPr>
          <w:lang w:eastAsia="ja-JP"/>
        </w:rPr>
        <w:t>-</w:t>
      </w:r>
      <w:r>
        <w:rPr>
          <w:lang w:eastAsia="ja-JP"/>
        </w:rPr>
        <w:t xml:space="preserve"> 5 vaccine</w:t>
      </w:r>
      <w:r w:rsidR="00130A4A" w:rsidRPr="0077350E">
        <w:rPr>
          <w:lang w:eastAsia="ja-JP"/>
        </w:rPr>
        <w:t xml:space="preserve"> against ancestral </w:t>
      </w:r>
      <w:r>
        <w:rPr>
          <w:lang w:eastAsia="ja-JP"/>
        </w:rPr>
        <w:t>strain</w:t>
      </w:r>
      <w:r w:rsidR="00130A4A" w:rsidRPr="0077350E">
        <w:rPr>
          <w:lang w:eastAsia="ja-JP"/>
        </w:rPr>
        <w:t xml:space="preserve"> at Day 29 compared to </w:t>
      </w:r>
      <w:r>
        <w:rPr>
          <w:lang w:eastAsia="ja-JP"/>
        </w:rPr>
        <w:t xml:space="preserve">monovalent </w:t>
      </w:r>
      <w:proofErr w:type="spellStart"/>
      <w:r>
        <w:rPr>
          <w:lang w:eastAsia="ja-JP"/>
        </w:rPr>
        <w:t>Spikevax</w:t>
      </w:r>
      <w:proofErr w:type="spellEnd"/>
      <w:r w:rsidR="00130A4A" w:rsidRPr="0077350E">
        <w:rPr>
          <w:lang w:eastAsia="ja-JP"/>
        </w:rPr>
        <w:t xml:space="preserve"> against ancestral </w:t>
      </w:r>
      <w:r>
        <w:rPr>
          <w:lang w:eastAsia="ja-JP"/>
        </w:rPr>
        <w:t>strain</w:t>
      </w:r>
      <w:r w:rsidR="00130A4A" w:rsidRPr="0077350E">
        <w:rPr>
          <w:lang w:eastAsia="ja-JP"/>
        </w:rPr>
        <w:t xml:space="preserve"> at Day 29 with a non-inferiority margin of 1.5.</w:t>
      </w:r>
    </w:p>
    <w:p w14:paraId="34B6F29A" w14:textId="0E0EE045" w:rsidR="00130A4A" w:rsidRPr="0077350E" w:rsidRDefault="005B30F5" w:rsidP="00130A4A">
      <w:pPr>
        <w:pStyle w:val="ListBullet"/>
        <w:rPr>
          <w:lang w:eastAsia="ja-JP"/>
        </w:rPr>
      </w:pPr>
      <w:r w:rsidRPr="0077350E">
        <w:rPr>
          <w:lang w:eastAsia="ja-JP"/>
        </w:rPr>
        <w:t xml:space="preserve">50 </w:t>
      </w:r>
      <w:r>
        <w:rPr>
          <w:lang w:eastAsia="ja-JP"/>
        </w:rPr>
        <w:t>µ</w:t>
      </w:r>
      <w:r w:rsidRPr="0077350E">
        <w:rPr>
          <w:lang w:eastAsia="ja-JP"/>
        </w:rPr>
        <w:t xml:space="preserve">g </w:t>
      </w:r>
      <w:r>
        <w:rPr>
          <w:lang w:eastAsia="ja-JP"/>
        </w:rPr>
        <w:t>bivalent Original/Omicron BA.4</w:t>
      </w:r>
      <w:r w:rsidR="00871090">
        <w:rPr>
          <w:lang w:eastAsia="ja-JP"/>
        </w:rPr>
        <w:t>-</w:t>
      </w:r>
      <w:r>
        <w:rPr>
          <w:lang w:eastAsia="ja-JP"/>
        </w:rPr>
        <w:t>5 vaccine</w:t>
      </w:r>
      <w:r w:rsidR="00345A30">
        <w:rPr>
          <w:lang w:eastAsia="ja-JP"/>
        </w:rPr>
        <w:t xml:space="preserve"> (</w:t>
      </w:r>
      <w:proofErr w:type="spellStart"/>
      <w:r w:rsidR="00345A30">
        <w:rPr>
          <w:lang w:eastAsia="ja-JP"/>
        </w:rPr>
        <w:t>elasomeran</w:t>
      </w:r>
      <w:proofErr w:type="spellEnd"/>
      <w:r w:rsidR="00345A30">
        <w:rPr>
          <w:lang w:eastAsia="ja-JP"/>
        </w:rPr>
        <w:t xml:space="preserve"> and </w:t>
      </w:r>
      <w:proofErr w:type="spellStart"/>
      <w:r w:rsidR="00345A30">
        <w:rPr>
          <w:lang w:eastAsia="ja-JP"/>
        </w:rPr>
        <w:t>davesomeran</w:t>
      </w:r>
      <w:proofErr w:type="spellEnd"/>
      <w:r w:rsidR="00345A30">
        <w:rPr>
          <w:lang w:eastAsia="ja-JP"/>
        </w:rPr>
        <w:t>),</w:t>
      </w:r>
      <w:r w:rsidR="00130A4A" w:rsidRPr="0077350E">
        <w:rPr>
          <w:lang w:eastAsia="ja-JP"/>
        </w:rPr>
        <w:t xml:space="preserve"> as a second booster dose, against </w:t>
      </w:r>
      <w:r w:rsidR="001267EB">
        <w:t xml:space="preserve">ancestral strain with </w:t>
      </w:r>
      <w:r w:rsidR="001267EB" w:rsidRPr="005B30F5">
        <w:rPr>
          <w:i/>
          <w:iCs/>
        </w:rPr>
        <w:t>D614G</w:t>
      </w:r>
      <w:r w:rsidR="001267EB">
        <w:t xml:space="preserve"> mutation </w:t>
      </w:r>
      <w:r w:rsidR="00130A4A" w:rsidRPr="0077350E">
        <w:rPr>
          <w:lang w:eastAsia="ja-JP"/>
        </w:rPr>
        <w:t xml:space="preserve">is non-inferior to the second booster dose of </w:t>
      </w:r>
      <w:r w:rsidRPr="0077350E">
        <w:rPr>
          <w:lang w:eastAsia="ja-JP"/>
        </w:rPr>
        <w:t>50</w:t>
      </w:r>
      <w:r w:rsidR="00345A30">
        <w:rPr>
          <w:lang w:eastAsia="ja-JP"/>
        </w:rPr>
        <w:t> </w:t>
      </w:r>
      <w:r>
        <w:rPr>
          <w:lang w:eastAsia="ja-JP"/>
        </w:rPr>
        <w:t>µ</w:t>
      </w:r>
      <w:r w:rsidRPr="0077350E">
        <w:rPr>
          <w:lang w:eastAsia="ja-JP"/>
        </w:rPr>
        <w:t xml:space="preserve">g </w:t>
      </w:r>
      <w:r>
        <w:rPr>
          <w:lang w:eastAsia="ja-JP"/>
        </w:rPr>
        <w:t xml:space="preserve">monovalent </w:t>
      </w:r>
      <w:proofErr w:type="spellStart"/>
      <w:r>
        <w:rPr>
          <w:lang w:eastAsia="ja-JP"/>
        </w:rPr>
        <w:t>Spikevax</w:t>
      </w:r>
      <w:proofErr w:type="spellEnd"/>
      <w:r w:rsidRPr="0077350E">
        <w:rPr>
          <w:lang w:eastAsia="ja-JP"/>
        </w:rPr>
        <w:t xml:space="preserve"> </w:t>
      </w:r>
      <w:r w:rsidR="00345A30">
        <w:rPr>
          <w:lang w:eastAsia="ja-JP"/>
        </w:rPr>
        <w:t>vaccine (</w:t>
      </w:r>
      <w:proofErr w:type="spellStart"/>
      <w:r w:rsidR="00345A30">
        <w:rPr>
          <w:lang w:eastAsia="ja-JP"/>
        </w:rPr>
        <w:t>elasomeran</w:t>
      </w:r>
      <w:proofErr w:type="spellEnd"/>
      <w:r w:rsidR="00345A30">
        <w:rPr>
          <w:lang w:eastAsia="ja-JP"/>
        </w:rPr>
        <w:t xml:space="preserve">) </w:t>
      </w:r>
      <w:r w:rsidR="00130A4A" w:rsidRPr="0077350E">
        <w:rPr>
          <w:lang w:eastAsia="ja-JP"/>
        </w:rPr>
        <w:t xml:space="preserve">against </w:t>
      </w:r>
      <w:r w:rsidR="001267EB">
        <w:t xml:space="preserve">ancestral strain with </w:t>
      </w:r>
      <w:r w:rsidR="001267EB" w:rsidRPr="005B30F5">
        <w:rPr>
          <w:i/>
          <w:iCs/>
        </w:rPr>
        <w:t>D614G</w:t>
      </w:r>
      <w:r w:rsidR="001267EB">
        <w:t xml:space="preserve"> mutation </w:t>
      </w:r>
      <w:r w:rsidR="00130A4A" w:rsidRPr="0077350E">
        <w:rPr>
          <w:lang w:eastAsia="ja-JP"/>
        </w:rPr>
        <w:t xml:space="preserve">based on the difference in </w:t>
      </w:r>
      <w:proofErr w:type="spellStart"/>
      <w:r w:rsidR="00345A30">
        <w:rPr>
          <w:lang w:eastAsia="ja-JP"/>
        </w:rPr>
        <w:t>seroresponse</w:t>
      </w:r>
      <w:proofErr w:type="spellEnd"/>
      <w:r w:rsidR="00345A30">
        <w:rPr>
          <w:lang w:eastAsia="ja-JP"/>
        </w:rPr>
        <w:t xml:space="preserve"> rates</w:t>
      </w:r>
      <w:r w:rsidR="00345A30" w:rsidRPr="0077350E">
        <w:rPr>
          <w:lang w:eastAsia="ja-JP"/>
        </w:rPr>
        <w:t xml:space="preserve"> </w:t>
      </w:r>
      <w:r w:rsidR="00130A4A" w:rsidRPr="0077350E">
        <w:rPr>
          <w:lang w:eastAsia="ja-JP"/>
        </w:rPr>
        <w:t>at Day 29 with a non</w:t>
      </w:r>
      <w:r>
        <w:rPr>
          <w:lang w:eastAsia="ja-JP"/>
        </w:rPr>
        <w:noBreakHyphen/>
      </w:r>
      <w:r w:rsidR="00130A4A" w:rsidRPr="0077350E">
        <w:rPr>
          <w:lang w:eastAsia="ja-JP"/>
        </w:rPr>
        <w:t>inferiority margin of 10%.</w:t>
      </w:r>
    </w:p>
    <w:p w14:paraId="6985C25A" w14:textId="2D76B00D" w:rsidR="00130A4A" w:rsidRDefault="005B30F5" w:rsidP="00130A4A">
      <w:pPr>
        <w:pStyle w:val="ListBullet"/>
        <w:rPr>
          <w:lang w:eastAsia="ja-JP"/>
        </w:rPr>
      </w:pPr>
      <w:r w:rsidRPr="0077350E">
        <w:rPr>
          <w:lang w:eastAsia="ja-JP"/>
        </w:rPr>
        <w:t xml:space="preserve">50 </w:t>
      </w:r>
      <w:r>
        <w:rPr>
          <w:lang w:eastAsia="ja-JP"/>
        </w:rPr>
        <w:t>µ</w:t>
      </w:r>
      <w:r w:rsidRPr="0077350E">
        <w:rPr>
          <w:lang w:eastAsia="ja-JP"/>
        </w:rPr>
        <w:t xml:space="preserve">g </w:t>
      </w:r>
      <w:r>
        <w:rPr>
          <w:lang w:eastAsia="ja-JP"/>
        </w:rPr>
        <w:t>bivalent Original/Omicron BA.4</w:t>
      </w:r>
      <w:r w:rsidR="00871090">
        <w:rPr>
          <w:lang w:eastAsia="ja-JP"/>
        </w:rPr>
        <w:t>-</w:t>
      </w:r>
      <w:r>
        <w:rPr>
          <w:lang w:eastAsia="ja-JP"/>
        </w:rPr>
        <w:t>5 vaccine</w:t>
      </w:r>
      <w:r w:rsidR="00345A30">
        <w:rPr>
          <w:lang w:eastAsia="ja-JP"/>
        </w:rPr>
        <w:t xml:space="preserve"> (</w:t>
      </w:r>
      <w:proofErr w:type="spellStart"/>
      <w:r w:rsidR="00345A30">
        <w:rPr>
          <w:lang w:eastAsia="ja-JP"/>
        </w:rPr>
        <w:t>elasomeran</w:t>
      </w:r>
      <w:proofErr w:type="spellEnd"/>
      <w:r w:rsidR="00345A30">
        <w:rPr>
          <w:lang w:eastAsia="ja-JP"/>
        </w:rPr>
        <w:t xml:space="preserve"> and </w:t>
      </w:r>
      <w:proofErr w:type="spellStart"/>
      <w:r w:rsidR="00345A30">
        <w:rPr>
          <w:lang w:eastAsia="ja-JP"/>
        </w:rPr>
        <w:t>davesomeran</w:t>
      </w:r>
      <w:proofErr w:type="spellEnd"/>
      <w:r w:rsidR="00345A30">
        <w:rPr>
          <w:lang w:eastAsia="ja-JP"/>
        </w:rPr>
        <w:t>)</w:t>
      </w:r>
      <w:r w:rsidR="00345A30" w:rsidRPr="0077350E">
        <w:rPr>
          <w:lang w:eastAsia="ja-JP"/>
        </w:rPr>
        <w:t>,</w:t>
      </w:r>
      <w:r w:rsidR="00130A4A" w:rsidRPr="0077350E">
        <w:rPr>
          <w:lang w:eastAsia="ja-JP"/>
        </w:rPr>
        <w:t xml:space="preserve"> as a second booster dose, against Omicron</w:t>
      </w:r>
      <w:r w:rsidR="00345A30">
        <w:rPr>
          <w:lang w:eastAsia="ja-JP"/>
        </w:rPr>
        <w:t xml:space="preserve"> subvariant</w:t>
      </w:r>
      <w:r w:rsidR="00130A4A" w:rsidRPr="0077350E">
        <w:rPr>
          <w:lang w:eastAsia="ja-JP"/>
        </w:rPr>
        <w:t xml:space="preserve"> BA.4/5 is superior to the second booster dose of </w:t>
      </w:r>
      <w:r w:rsidRPr="0077350E">
        <w:rPr>
          <w:lang w:eastAsia="ja-JP"/>
        </w:rPr>
        <w:t xml:space="preserve">50 </w:t>
      </w:r>
      <w:r>
        <w:rPr>
          <w:lang w:eastAsia="ja-JP"/>
        </w:rPr>
        <w:t>µ</w:t>
      </w:r>
      <w:r w:rsidRPr="0077350E">
        <w:rPr>
          <w:lang w:eastAsia="ja-JP"/>
        </w:rPr>
        <w:t xml:space="preserve">g </w:t>
      </w:r>
      <w:r>
        <w:rPr>
          <w:lang w:eastAsia="ja-JP"/>
        </w:rPr>
        <w:t xml:space="preserve">monovalent </w:t>
      </w:r>
      <w:proofErr w:type="spellStart"/>
      <w:r>
        <w:rPr>
          <w:lang w:eastAsia="ja-JP"/>
        </w:rPr>
        <w:t>Spikevax</w:t>
      </w:r>
      <w:proofErr w:type="spellEnd"/>
      <w:r w:rsidRPr="0077350E">
        <w:rPr>
          <w:lang w:eastAsia="ja-JP"/>
        </w:rPr>
        <w:t xml:space="preserve"> </w:t>
      </w:r>
      <w:r w:rsidR="00345A30">
        <w:rPr>
          <w:lang w:eastAsia="ja-JP"/>
        </w:rPr>
        <w:t>vaccine (</w:t>
      </w:r>
      <w:proofErr w:type="spellStart"/>
      <w:r w:rsidR="00345A30">
        <w:rPr>
          <w:lang w:eastAsia="ja-JP"/>
        </w:rPr>
        <w:t>elasomeran</w:t>
      </w:r>
      <w:proofErr w:type="spellEnd"/>
      <w:r w:rsidR="00345A30">
        <w:rPr>
          <w:lang w:eastAsia="ja-JP"/>
        </w:rPr>
        <w:t xml:space="preserve">) </w:t>
      </w:r>
      <w:r w:rsidR="00130A4A" w:rsidRPr="0077350E">
        <w:rPr>
          <w:lang w:eastAsia="ja-JP"/>
        </w:rPr>
        <w:t xml:space="preserve">against Omicron </w:t>
      </w:r>
      <w:r w:rsidR="00345A30">
        <w:rPr>
          <w:lang w:eastAsia="ja-JP"/>
        </w:rPr>
        <w:t xml:space="preserve">subvariant </w:t>
      </w:r>
      <w:r w:rsidR="00130A4A" w:rsidRPr="0077350E">
        <w:rPr>
          <w:lang w:eastAsia="ja-JP"/>
        </w:rPr>
        <w:t xml:space="preserve">BA.4/5 based on the GMT ratio of </w:t>
      </w:r>
      <w:r>
        <w:rPr>
          <w:lang w:eastAsia="ja-JP"/>
        </w:rPr>
        <w:t>bivalent Original/Omicron BA.4</w:t>
      </w:r>
      <w:r w:rsidR="00541C6B">
        <w:rPr>
          <w:lang w:eastAsia="ja-JP"/>
        </w:rPr>
        <w:t>-</w:t>
      </w:r>
      <w:r>
        <w:rPr>
          <w:lang w:eastAsia="ja-JP"/>
        </w:rPr>
        <w:t>5 vaccine</w:t>
      </w:r>
      <w:r w:rsidRPr="0077350E">
        <w:rPr>
          <w:lang w:eastAsia="ja-JP"/>
        </w:rPr>
        <w:t xml:space="preserve"> </w:t>
      </w:r>
      <w:r w:rsidR="00130A4A" w:rsidRPr="0077350E">
        <w:rPr>
          <w:lang w:eastAsia="ja-JP"/>
        </w:rPr>
        <w:t xml:space="preserve">against Omicron BA.4/5 at Day 29 compared to </w:t>
      </w:r>
      <w:r>
        <w:rPr>
          <w:lang w:eastAsia="ja-JP"/>
        </w:rPr>
        <w:t xml:space="preserve">monovalent </w:t>
      </w:r>
      <w:proofErr w:type="spellStart"/>
      <w:r>
        <w:rPr>
          <w:lang w:eastAsia="ja-JP"/>
        </w:rPr>
        <w:t>Spikevax</w:t>
      </w:r>
      <w:proofErr w:type="spellEnd"/>
      <w:r w:rsidRPr="0077350E">
        <w:rPr>
          <w:lang w:eastAsia="ja-JP"/>
        </w:rPr>
        <w:t xml:space="preserve"> </w:t>
      </w:r>
      <w:r w:rsidR="00130A4A" w:rsidRPr="0077350E">
        <w:rPr>
          <w:lang w:eastAsia="ja-JP"/>
        </w:rPr>
        <w:t>against Omicron BA.4/5 at Day 29</w:t>
      </w:r>
      <w:r>
        <w:rPr>
          <w:lang w:eastAsia="ja-JP"/>
        </w:rPr>
        <w:t>.</w:t>
      </w:r>
    </w:p>
    <w:p w14:paraId="2311B575" w14:textId="7FF8AFA5" w:rsidR="00130A4A" w:rsidRDefault="005B30F5" w:rsidP="005B30F5">
      <w:pPr>
        <w:pStyle w:val="FigureTitle"/>
      </w:pPr>
      <w:r w:rsidRPr="005B30F5">
        <w:t xml:space="preserve">Figure </w:t>
      </w:r>
      <w:fldSimple w:instr=" SEQ Figure \* ARABIC ">
        <w:r w:rsidR="00AA4DFB">
          <w:rPr>
            <w:noProof/>
          </w:rPr>
          <w:t>1</w:t>
        </w:r>
      </w:fldSimple>
      <w:r>
        <w:t>:</w:t>
      </w:r>
      <w:r w:rsidRPr="005B30F5">
        <w:t xml:space="preserve"> </w:t>
      </w:r>
      <w:r w:rsidR="00345A30">
        <w:t xml:space="preserve">Study P205 (Part H) </w:t>
      </w:r>
      <w:r w:rsidRPr="005B30F5">
        <w:t xml:space="preserve">Statistical </w:t>
      </w:r>
      <w:r>
        <w:t>h</w:t>
      </w:r>
      <w:r w:rsidRPr="005B30F5">
        <w:t xml:space="preserve">ypotheses </w:t>
      </w:r>
      <w:r>
        <w:t>t</w:t>
      </w:r>
      <w:r w:rsidRPr="005B30F5">
        <w:t>esting</w:t>
      </w:r>
    </w:p>
    <w:p w14:paraId="5CF5CEB3" w14:textId="7180334B" w:rsidR="005B30F5" w:rsidRDefault="005B30F5" w:rsidP="005B30F5">
      <w:r w:rsidRPr="005C1BD5">
        <w:rPr>
          <w:iCs/>
          <w:noProof/>
          <w:color w:val="0070C0"/>
          <w:lang w:val="en-GB" w:eastAsia="en-GB"/>
        </w:rPr>
        <w:drawing>
          <wp:inline distT="0" distB="0" distL="0" distR="0" wp14:anchorId="063124E6" wp14:editId="48143D54">
            <wp:extent cx="5139690" cy="1977390"/>
            <wp:effectExtent l="0" t="0" r="3810" b="3810"/>
            <wp:docPr id="6" name="Picture 6" descr="Statistical hypotheses testing for Part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tistical hypotheses testing for Part 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9690" cy="1977390"/>
                    </a:xfrm>
                    <a:prstGeom prst="rect">
                      <a:avLst/>
                    </a:prstGeom>
                    <a:noFill/>
                    <a:ln>
                      <a:noFill/>
                    </a:ln>
                  </pic:spPr>
                </pic:pic>
              </a:graphicData>
            </a:graphic>
          </wp:inline>
        </w:drawing>
      </w:r>
    </w:p>
    <w:p w14:paraId="5E3CC9C4" w14:textId="4277E2AB" w:rsidR="005B30F5" w:rsidRDefault="005B30F5" w:rsidP="003D6221">
      <w:pPr>
        <w:pStyle w:val="FigureDescription"/>
      </w:pPr>
      <w:r>
        <w:t xml:space="preserve">Abbreviation: BA.4/5 = Omicron </w:t>
      </w:r>
      <w:r w:rsidR="00345A30">
        <w:t xml:space="preserve">subvariant </w:t>
      </w:r>
      <w:r w:rsidR="001405D9">
        <w:t>BA.4</w:t>
      </w:r>
      <w:r w:rsidR="00345A30">
        <w:t>/</w:t>
      </w:r>
      <w:r w:rsidR="001405D9">
        <w:t>5</w:t>
      </w:r>
      <w:r>
        <w:t xml:space="preserve">, GMR = </w:t>
      </w:r>
      <w:r w:rsidRPr="001C585E">
        <w:t>geometric mean tit</w:t>
      </w:r>
      <w:r>
        <w:t xml:space="preserve">re, SRR = </w:t>
      </w:r>
      <w:proofErr w:type="spellStart"/>
      <w:r>
        <w:t>seroresponse</w:t>
      </w:r>
      <w:proofErr w:type="spellEnd"/>
      <w:r>
        <w:t xml:space="preserve"> rate</w:t>
      </w:r>
    </w:p>
    <w:p w14:paraId="6EA3B411" w14:textId="0C3F8E0B" w:rsidR="005B30F5" w:rsidRDefault="005B30F5" w:rsidP="005B30F5">
      <w:r>
        <w:t xml:space="preserve">The primary immunogenicity objective is considered met if non-inferiority against Omicron </w:t>
      </w:r>
      <w:r w:rsidR="00345A30">
        <w:t xml:space="preserve">subvariant </w:t>
      </w:r>
      <w:r w:rsidR="001405D9">
        <w:t>BA.4-5</w:t>
      </w:r>
      <w:r>
        <w:t xml:space="preserve"> and ancestral strain based on GMR, </w:t>
      </w:r>
      <w:proofErr w:type="spellStart"/>
      <w:r w:rsidR="00345A30">
        <w:t>seroresponse</w:t>
      </w:r>
      <w:proofErr w:type="spellEnd"/>
      <w:r w:rsidR="00345A30">
        <w:t xml:space="preserve"> rate </w:t>
      </w:r>
      <w:r>
        <w:t>difference at Day 29 are demonstrated.</w:t>
      </w:r>
    </w:p>
    <w:p w14:paraId="193FD628" w14:textId="7D390041" w:rsidR="005B30F5" w:rsidRDefault="005B30F5" w:rsidP="005B30F5">
      <w:r>
        <w:t xml:space="preserve">Non-inferiority was considered met when the lower bound of the 95% confidence interval (CI) of GMR is greater than 0.667 (1 divided by 1.5) and of </w:t>
      </w:r>
      <w:proofErr w:type="spellStart"/>
      <w:r w:rsidR="00345A30">
        <w:t>seroresponse</w:t>
      </w:r>
      <w:proofErr w:type="spellEnd"/>
      <w:r w:rsidR="00345A30">
        <w:t xml:space="preserve"> rate </w:t>
      </w:r>
      <w:r>
        <w:t>difference is greater than -10%. Superiority was considered met when the lower bound of the 95% CI of GMR is greater than1 and for the difference in SRR greater than 0.</w:t>
      </w:r>
    </w:p>
    <w:p w14:paraId="569D002C" w14:textId="0ECBA9AA" w:rsidR="005B30F5" w:rsidRDefault="005B30F5" w:rsidP="005B30F5">
      <w:r>
        <w:t xml:space="preserve">If non-inferiority was demonstrated for both Omicron </w:t>
      </w:r>
      <w:r w:rsidR="001405D9">
        <w:t>BA.4-5</w:t>
      </w:r>
      <w:r>
        <w:t xml:space="preserve"> and ancestral strain with </w:t>
      </w:r>
      <w:r w:rsidRPr="005B30F5">
        <w:rPr>
          <w:i/>
          <w:iCs/>
        </w:rPr>
        <w:t>D614G</w:t>
      </w:r>
      <w:r>
        <w:t xml:space="preserve"> mutation (based on GMR and </w:t>
      </w:r>
      <w:proofErr w:type="spellStart"/>
      <w:r w:rsidR="00345A30">
        <w:t>seroresponse</w:t>
      </w:r>
      <w:proofErr w:type="spellEnd"/>
      <w:r w:rsidR="00345A30">
        <w:t xml:space="preserve"> rate</w:t>
      </w:r>
      <w:r>
        <w:t xml:space="preserve">), the lower bound of 95% CI of GMR was compared to 1, and if greater than 1, then superiority against Omicron </w:t>
      </w:r>
      <w:r w:rsidR="001405D9">
        <w:t>BA.4-5</w:t>
      </w:r>
      <w:r>
        <w:t xml:space="preserve"> was demonstrated. </w:t>
      </w:r>
    </w:p>
    <w:p w14:paraId="03E56A19" w14:textId="36388F89" w:rsidR="005B30F5" w:rsidRPr="00671B0B" w:rsidRDefault="00B43E80" w:rsidP="00671B0B">
      <w:pPr>
        <w:pStyle w:val="Heading6"/>
      </w:pPr>
      <w:r>
        <w:lastRenderedPageBreak/>
        <w:t>Participant</w:t>
      </w:r>
      <w:r w:rsidRPr="00671B0B">
        <w:t xml:space="preserve"> </w:t>
      </w:r>
      <w:r w:rsidR="001267EB" w:rsidRPr="00671B0B">
        <w:t>disposition</w:t>
      </w:r>
    </w:p>
    <w:p w14:paraId="1F061BBC" w14:textId="15FD1FEC" w:rsidR="001267EB" w:rsidRDefault="001267EB" w:rsidP="001267EB">
      <w:pPr>
        <w:pStyle w:val="TableTitle"/>
      </w:pPr>
      <w:r w:rsidRPr="001267EB">
        <w:t xml:space="preserve">Table </w:t>
      </w:r>
      <w:fldSimple w:instr=" SEQ Table \* ARABIC ">
        <w:r w:rsidR="00AA4DFB">
          <w:rPr>
            <w:noProof/>
          </w:rPr>
          <w:t>6</w:t>
        </w:r>
      </w:fldSimple>
      <w:r w:rsidRPr="001267EB">
        <w:t>:</w:t>
      </w:r>
      <w:r>
        <w:t xml:space="preserve"> Study 205 </w:t>
      </w:r>
      <w:r w:rsidR="00B43E80">
        <w:t>(</w:t>
      </w:r>
      <w:r>
        <w:t>Part</w:t>
      </w:r>
      <w:r w:rsidR="00B43E80">
        <w:t>s</w:t>
      </w:r>
      <w:r>
        <w:t xml:space="preserve"> H and F</w:t>
      </w:r>
      <w:r w:rsidR="00B43E80">
        <w:t>)</w:t>
      </w:r>
      <w:r>
        <w:t xml:space="preserve"> </w:t>
      </w:r>
      <w:r w:rsidR="00B43E80">
        <w:t>P</w:t>
      </w:r>
      <w:r w:rsidRPr="001267EB">
        <w:t xml:space="preserve">articipant </w:t>
      </w:r>
      <w:r>
        <w:t>d</w:t>
      </w:r>
      <w:r w:rsidRPr="001267EB">
        <w:t>isposition</w:t>
      </w:r>
      <w:r>
        <w:t>, second b</w:t>
      </w:r>
      <w:r w:rsidRPr="001267EB">
        <w:t xml:space="preserve">ooster </w:t>
      </w:r>
      <w:r>
        <w:t>d</w:t>
      </w:r>
      <w:r w:rsidRPr="001267EB">
        <w:t xml:space="preserve">ose: </w:t>
      </w:r>
      <w:r>
        <w:t xml:space="preserve">bivalent Original/Omicron </w:t>
      </w:r>
      <w:r w:rsidR="001405D9">
        <w:t>BA.4-5</w:t>
      </w:r>
      <w:r>
        <w:t xml:space="preserve"> and monovalent </w:t>
      </w:r>
      <w:proofErr w:type="spellStart"/>
      <w:r>
        <w:t>Spikevax</w:t>
      </w:r>
      <w:proofErr w:type="spellEnd"/>
      <w:r w:rsidR="00FC49C4">
        <w:t xml:space="preserve"> </w:t>
      </w:r>
      <w:r w:rsidRPr="001267EB">
        <w:t>(</w:t>
      </w:r>
      <w:r>
        <w:t>f</w:t>
      </w:r>
      <w:r w:rsidRPr="001267EB">
        <w:t xml:space="preserve">ull </w:t>
      </w:r>
      <w:r>
        <w:t>a</w:t>
      </w:r>
      <w:r w:rsidRPr="001267EB">
        <w:t xml:space="preserve">nalysis </w:t>
      </w:r>
      <w:r>
        <w:t>s</w:t>
      </w:r>
      <w:r w:rsidRPr="001267EB">
        <w:t>et)</w:t>
      </w:r>
    </w:p>
    <w:p w14:paraId="2F98158F" w14:textId="54D2342E" w:rsidR="001267EB" w:rsidRDefault="001267EB" w:rsidP="001267EB">
      <w:r>
        <w:rPr>
          <w:noProof/>
          <w:lang w:val="en-GB" w:eastAsia="en-GB"/>
        </w:rPr>
        <w:drawing>
          <wp:inline distT="0" distB="0" distL="0" distR="0" wp14:anchorId="595275C2" wp14:editId="70DACD22">
            <wp:extent cx="5358665" cy="2008509"/>
            <wp:effectExtent l="0" t="0" r="0" b="0"/>
            <wp:docPr id="10" name="Picture 10" descr="Study 205 Part H and F, participant disposition, second booster dose: bivalent Original/Omicron BA.4 - 5 and monovalent Spikevax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205 Part H and F, participant disposition, second booster dose: bivalent Original/Omicron BA.4 - 5 and monovalent Spikevax (full analysis set)"/>
                    <pic:cNvPicPr/>
                  </pic:nvPicPr>
                  <pic:blipFill rotWithShape="1">
                    <a:blip r:embed="rId29"/>
                    <a:srcRect b="21959"/>
                    <a:stretch/>
                  </pic:blipFill>
                  <pic:spPr bwMode="auto">
                    <a:xfrm>
                      <a:off x="0" y="0"/>
                      <a:ext cx="5361203" cy="2009460"/>
                    </a:xfrm>
                    <a:prstGeom prst="rect">
                      <a:avLst/>
                    </a:prstGeom>
                    <a:ln>
                      <a:noFill/>
                    </a:ln>
                    <a:extLst>
                      <a:ext uri="{53640926-AAD7-44D8-BBD7-CCE9431645EC}">
                        <a14:shadowObscured xmlns:a14="http://schemas.microsoft.com/office/drawing/2010/main"/>
                      </a:ext>
                    </a:extLst>
                  </pic:spPr>
                </pic:pic>
              </a:graphicData>
            </a:graphic>
          </wp:inline>
        </w:drawing>
      </w:r>
    </w:p>
    <w:p w14:paraId="76D5B163" w14:textId="68AC4954" w:rsidR="00B43E80" w:rsidRDefault="00B43E80" w:rsidP="001267EB">
      <w:pPr>
        <w:pStyle w:val="TableDescription"/>
      </w:pPr>
      <w:proofErr w:type="gramStart"/>
      <w:r>
        <w:t>Abbreviations</w:t>
      </w:r>
      <w:proofErr w:type="gramEnd"/>
      <w:r>
        <w:t xml:space="preserve"> mRNA-1273.222 = </w:t>
      </w:r>
      <w:proofErr w:type="spellStart"/>
      <w:r>
        <w:t>Spikevax</w:t>
      </w:r>
      <w:proofErr w:type="spellEnd"/>
      <w:r>
        <w:t xml:space="preserve"> bivalent Original/Omicron BA.4-5 vaccine (</w:t>
      </w:r>
      <w:proofErr w:type="spellStart"/>
      <w:r>
        <w:rPr>
          <w:lang w:eastAsia="ja-JP"/>
        </w:rPr>
        <w:t>elasomeran</w:t>
      </w:r>
      <w:proofErr w:type="spellEnd"/>
      <w:r>
        <w:rPr>
          <w:lang w:eastAsia="ja-JP"/>
        </w:rPr>
        <w:t xml:space="preserve"> and </w:t>
      </w:r>
      <w:proofErr w:type="spellStart"/>
      <w:r>
        <w:rPr>
          <w:lang w:eastAsia="ja-JP"/>
        </w:rPr>
        <w:t>davesomeran</w:t>
      </w:r>
      <w:proofErr w:type="spellEnd"/>
      <w:r>
        <w:rPr>
          <w:lang w:eastAsia="ja-JP"/>
        </w:rPr>
        <w:t xml:space="preserve">); MRNA-1273 = </w:t>
      </w:r>
      <w:proofErr w:type="spellStart"/>
      <w:r>
        <w:rPr>
          <w:lang w:eastAsia="ja-JP"/>
        </w:rPr>
        <w:t>Spikevax</w:t>
      </w:r>
      <w:proofErr w:type="spellEnd"/>
      <w:r>
        <w:rPr>
          <w:lang w:eastAsia="ja-JP"/>
        </w:rPr>
        <w:t xml:space="preserve"> (monovalent) vaccine (</w:t>
      </w:r>
      <w:proofErr w:type="spellStart"/>
      <w:r>
        <w:rPr>
          <w:lang w:eastAsia="ja-JP"/>
        </w:rPr>
        <w:t>elasomeran</w:t>
      </w:r>
      <w:proofErr w:type="spellEnd"/>
      <w:r>
        <w:rPr>
          <w:lang w:eastAsia="ja-JP"/>
        </w:rPr>
        <w:t>).</w:t>
      </w:r>
    </w:p>
    <w:p w14:paraId="1F28A6D3" w14:textId="744E31B4" w:rsidR="001267EB" w:rsidRDefault="001267EB" w:rsidP="001267EB">
      <w:pPr>
        <w:pStyle w:val="TableDescription"/>
      </w:pPr>
      <w:r>
        <w:t>Percentages are based on the number of participants in the full analysis set</w:t>
      </w:r>
    </w:p>
    <w:p w14:paraId="40228623" w14:textId="2954F624" w:rsidR="001267EB" w:rsidRDefault="001267EB" w:rsidP="001267EB">
      <w:pPr>
        <w:pStyle w:val="TableDescription"/>
      </w:pPr>
      <w:r>
        <w:t>a Study completion for Part H is defined as a participant who completed 6 months of follow up after the injection. Study completion for Part F is defined at a participant who completed 12 months of follow up after the injection.</w:t>
      </w:r>
    </w:p>
    <w:p w14:paraId="46C6BC61" w14:textId="5BC6C8FC" w:rsidR="001267EB" w:rsidRPr="00E20938" w:rsidRDefault="001267EB" w:rsidP="001267EB">
      <w:pPr>
        <w:rPr>
          <w:rFonts w:asciiTheme="minorHAnsi" w:eastAsiaTheme="minorHAnsi" w:hAnsiTheme="minorHAnsi" w:cs="TimesNewRoman"/>
        </w:rPr>
      </w:pPr>
      <w:r w:rsidRPr="00E20938">
        <w:rPr>
          <w:rFonts w:asciiTheme="minorHAnsi" w:eastAsiaTheme="minorHAnsi" w:hAnsiTheme="minorHAnsi" w:cs="TimesNewRoman"/>
        </w:rPr>
        <w:t xml:space="preserve">In the </w:t>
      </w:r>
      <w:proofErr w:type="gramStart"/>
      <w:r w:rsidRPr="00E20938">
        <w:rPr>
          <w:rFonts w:asciiTheme="minorHAnsi" w:eastAsiaTheme="minorHAnsi" w:hAnsiTheme="minorHAnsi" w:cs="TimesNewRoman"/>
        </w:rPr>
        <w:t>50</w:t>
      </w:r>
      <w:r>
        <w:rPr>
          <w:rFonts w:asciiTheme="minorHAnsi" w:eastAsiaTheme="minorHAnsi" w:hAnsiTheme="minorHAnsi" w:cs="TimesNewRoman"/>
        </w:rPr>
        <w:t xml:space="preserve"> µ</w:t>
      </w:r>
      <w:r w:rsidRPr="00E20938">
        <w:rPr>
          <w:rFonts w:asciiTheme="minorHAnsi" w:eastAsiaTheme="minorHAnsi" w:hAnsiTheme="minorHAnsi" w:cs="TimesNewRoman"/>
        </w:rPr>
        <w:t>g</w:t>
      </w:r>
      <w:proofErr w:type="gramEnd"/>
      <w:r w:rsidRPr="00E20938">
        <w:rPr>
          <w:rFonts w:asciiTheme="minorHAnsi" w:eastAsiaTheme="minorHAnsi" w:hAnsiTheme="minorHAnsi" w:cs="TimesNewRoman"/>
        </w:rPr>
        <w:t xml:space="preserve"> </w:t>
      </w:r>
      <w:r>
        <w:rPr>
          <w:rFonts w:asciiTheme="minorHAnsi" w:eastAsiaTheme="minorHAnsi" w:hAnsiTheme="minorHAnsi" w:cs="TimesNewRoman"/>
        </w:rPr>
        <w:t>bivalent Original/Omicron BA.4</w:t>
      </w:r>
      <w:r w:rsidR="005F1870">
        <w:rPr>
          <w:rFonts w:asciiTheme="minorHAnsi" w:eastAsiaTheme="minorHAnsi" w:hAnsiTheme="minorHAnsi" w:cs="TimesNewRoman"/>
        </w:rPr>
        <w:t>-</w:t>
      </w:r>
      <w:r>
        <w:rPr>
          <w:rFonts w:asciiTheme="minorHAnsi" w:eastAsiaTheme="minorHAnsi" w:hAnsiTheme="minorHAnsi" w:cs="TimesNewRoman"/>
        </w:rPr>
        <w:t>5</w:t>
      </w:r>
      <w:r w:rsidRPr="00E20938">
        <w:rPr>
          <w:rFonts w:asciiTheme="minorHAnsi" w:eastAsiaTheme="minorHAnsi" w:hAnsiTheme="minorHAnsi" w:cs="TimesNewRoman"/>
        </w:rPr>
        <w:t xml:space="preserve"> </w:t>
      </w:r>
      <w:r>
        <w:rPr>
          <w:rFonts w:asciiTheme="minorHAnsi" w:eastAsiaTheme="minorHAnsi" w:hAnsiTheme="minorHAnsi" w:cs="TimesNewRoman"/>
        </w:rPr>
        <w:t xml:space="preserve">booster dose </w:t>
      </w:r>
      <w:r w:rsidRPr="00E20938">
        <w:rPr>
          <w:rFonts w:asciiTheme="minorHAnsi" w:eastAsiaTheme="minorHAnsi" w:hAnsiTheme="minorHAnsi" w:cs="TimesNewRoman"/>
        </w:rPr>
        <w:t xml:space="preserve">group, 511 participants received the booster dose. Of these, 305 participants (59.7%) enrolled from </w:t>
      </w:r>
      <w:r>
        <w:rPr>
          <w:rFonts w:asciiTheme="minorHAnsi" w:eastAsiaTheme="minorHAnsi" w:hAnsiTheme="minorHAnsi" w:cs="TimesNewRoman"/>
        </w:rPr>
        <w:t>S</w:t>
      </w:r>
      <w:r w:rsidRPr="00E20938">
        <w:rPr>
          <w:rFonts w:asciiTheme="minorHAnsi" w:eastAsiaTheme="minorHAnsi" w:hAnsiTheme="minorHAnsi" w:cs="TimesNewRoman"/>
        </w:rPr>
        <w:t>tudy</w:t>
      </w:r>
      <w:r>
        <w:rPr>
          <w:rFonts w:asciiTheme="minorHAnsi" w:eastAsiaTheme="minorHAnsi" w:hAnsiTheme="minorHAnsi" w:cs="TimesNewRoman"/>
        </w:rPr>
        <w:t xml:space="preserve"> </w:t>
      </w:r>
      <w:r w:rsidRPr="00E20938">
        <w:rPr>
          <w:rFonts w:asciiTheme="minorHAnsi" w:eastAsiaTheme="minorHAnsi" w:hAnsiTheme="minorHAnsi" w:cs="TimesNewRoman"/>
        </w:rPr>
        <w:t>P301</w:t>
      </w:r>
      <w:r>
        <w:rPr>
          <w:rFonts w:asciiTheme="minorHAnsi" w:eastAsiaTheme="minorHAnsi" w:hAnsiTheme="minorHAnsi" w:cs="TimesNewRoman"/>
        </w:rPr>
        <w:t xml:space="preserve"> </w:t>
      </w:r>
      <w:r w:rsidRPr="00E20938">
        <w:rPr>
          <w:rFonts w:asciiTheme="minorHAnsi" w:eastAsiaTheme="minorHAnsi" w:hAnsiTheme="minorHAnsi" w:cs="TimesNewRoman"/>
        </w:rPr>
        <w:t xml:space="preserve">where they had received the primary series and the first booster dose of </w:t>
      </w:r>
      <w:r>
        <w:rPr>
          <w:rFonts w:asciiTheme="minorHAnsi" w:eastAsiaTheme="minorHAnsi" w:hAnsiTheme="minorHAnsi" w:cs="TimesNewRoman"/>
        </w:rPr>
        <w:t xml:space="preserve">monovalent </w:t>
      </w:r>
      <w:proofErr w:type="spellStart"/>
      <w:r>
        <w:rPr>
          <w:rFonts w:asciiTheme="minorHAnsi" w:eastAsiaTheme="minorHAnsi" w:hAnsiTheme="minorHAnsi" w:cs="TimesNewRoman"/>
        </w:rPr>
        <w:t>Spikevax</w:t>
      </w:r>
      <w:proofErr w:type="spellEnd"/>
      <w:r w:rsidRPr="00E20938">
        <w:rPr>
          <w:rFonts w:asciiTheme="minorHAnsi" w:eastAsiaTheme="minorHAnsi" w:hAnsiTheme="minorHAnsi" w:cs="TimesNewRoman"/>
        </w:rPr>
        <w:t xml:space="preserve"> and 206 of the 511 participants (40.3%) had received the primary series and the first booster dose of </w:t>
      </w:r>
      <w:r>
        <w:rPr>
          <w:rFonts w:asciiTheme="minorHAnsi" w:eastAsiaTheme="minorHAnsi" w:hAnsiTheme="minorHAnsi" w:cs="TimesNewRoman"/>
        </w:rPr>
        <w:t xml:space="preserve">monovalent </w:t>
      </w:r>
      <w:proofErr w:type="spellStart"/>
      <w:r>
        <w:rPr>
          <w:rFonts w:asciiTheme="minorHAnsi" w:eastAsiaTheme="minorHAnsi" w:hAnsiTheme="minorHAnsi" w:cs="TimesNewRoman"/>
        </w:rPr>
        <w:t>Spikevax</w:t>
      </w:r>
      <w:proofErr w:type="spellEnd"/>
      <w:r w:rsidRPr="00E20938">
        <w:rPr>
          <w:rFonts w:asciiTheme="minorHAnsi" w:eastAsiaTheme="minorHAnsi" w:hAnsiTheme="minorHAnsi" w:cs="TimesNewRoman"/>
        </w:rPr>
        <w:t xml:space="preserve"> under the </w:t>
      </w:r>
      <w:r w:rsidR="00FC49C4">
        <w:t>EUA</w:t>
      </w:r>
      <w:r w:rsidRPr="00E20938">
        <w:rPr>
          <w:rFonts w:asciiTheme="minorHAnsi" w:eastAsiaTheme="minorHAnsi" w:hAnsiTheme="minorHAnsi" w:cs="TimesNewRoman"/>
        </w:rPr>
        <w:t xml:space="preserve"> in the United States. The median follow-up time from the </w:t>
      </w:r>
      <w:proofErr w:type="gramStart"/>
      <w:r w:rsidRPr="00E20938">
        <w:rPr>
          <w:rFonts w:asciiTheme="minorHAnsi" w:eastAsiaTheme="minorHAnsi" w:hAnsiTheme="minorHAnsi" w:cs="TimesNewRoman"/>
        </w:rPr>
        <w:t>50</w:t>
      </w:r>
      <w:r>
        <w:rPr>
          <w:rFonts w:asciiTheme="minorHAnsi" w:eastAsiaTheme="minorHAnsi" w:hAnsiTheme="minorHAnsi" w:cs="TimesNewRoman"/>
        </w:rPr>
        <w:t xml:space="preserve"> µ</w:t>
      </w:r>
      <w:r w:rsidRPr="00E20938">
        <w:rPr>
          <w:rFonts w:asciiTheme="minorHAnsi" w:eastAsiaTheme="minorHAnsi" w:hAnsiTheme="minorHAnsi" w:cs="TimesNewRoman"/>
        </w:rPr>
        <w:t>g</w:t>
      </w:r>
      <w:proofErr w:type="gramEnd"/>
      <w:r w:rsidRPr="00E20938">
        <w:rPr>
          <w:rFonts w:asciiTheme="minorHAnsi" w:eastAsiaTheme="minorHAnsi" w:hAnsiTheme="minorHAnsi" w:cs="TimesNewRoman"/>
        </w:rPr>
        <w:t xml:space="preserve"> </w:t>
      </w:r>
      <w:r>
        <w:rPr>
          <w:rFonts w:asciiTheme="minorHAnsi" w:eastAsiaTheme="minorHAnsi" w:hAnsiTheme="minorHAnsi" w:cs="TimesNewRoman"/>
        </w:rPr>
        <w:t>bivalent Original/Omicron BA.4–5</w:t>
      </w:r>
      <w:r w:rsidRPr="00E20938">
        <w:rPr>
          <w:rFonts w:asciiTheme="minorHAnsi" w:eastAsiaTheme="minorHAnsi" w:hAnsiTheme="minorHAnsi" w:cs="TimesNewRoman"/>
        </w:rPr>
        <w:t xml:space="preserve"> </w:t>
      </w:r>
      <w:r>
        <w:rPr>
          <w:rFonts w:asciiTheme="minorHAnsi" w:eastAsiaTheme="minorHAnsi" w:hAnsiTheme="minorHAnsi" w:cs="TimesNewRoman"/>
        </w:rPr>
        <w:t>booster dose</w:t>
      </w:r>
      <w:r w:rsidRPr="00E20938">
        <w:rPr>
          <w:rFonts w:asciiTheme="minorHAnsi" w:eastAsiaTheme="minorHAnsi" w:hAnsiTheme="minorHAnsi" w:cs="TimesNewRoman"/>
        </w:rPr>
        <w:t xml:space="preserve"> booster dose injection was 37 days (range 5 to 45 days). Of the 511 participants who received the </w:t>
      </w:r>
      <w:r>
        <w:rPr>
          <w:rFonts w:asciiTheme="minorHAnsi" w:eastAsiaTheme="minorHAnsi" w:hAnsiTheme="minorHAnsi" w:cs="TimesNewRoman"/>
        </w:rPr>
        <w:t>bivalent Original/Omicron BA.4–5</w:t>
      </w:r>
      <w:r w:rsidRPr="00E20938">
        <w:rPr>
          <w:rFonts w:asciiTheme="minorHAnsi" w:eastAsiaTheme="minorHAnsi" w:hAnsiTheme="minorHAnsi" w:cs="TimesNewRoman"/>
        </w:rPr>
        <w:t xml:space="preserve"> </w:t>
      </w:r>
      <w:r>
        <w:rPr>
          <w:rFonts w:asciiTheme="minorHAnsi" w:eastAsiaTheme="minorHAnsi" w:hAnsiTheme="minorHAnsi" w:cs="TimesNewRoman"/>
        </w:rPr>
        <w:t xml:space="preserve">booster at </w:t>
      </w:r>
      <w:r w:rsidRPr="00E20938">
        <w:rPr>
          <w:rFonts w:asciiTheme="minorHAnsi" w:eastAsiaTheme="minorHAnsi" w:hAnsiTheme="minorHAnsi" w:cs="TimesNewRoman"/>
        </w:rPr>
        <w:t xml:space="preserve">50 </w:t>
      </w:r>
      <w:r>
        <w:rPr>
          <w:rFonts w:asciiTheme="minorHAnsi" w:eastAsiaTheme="minorHAnsi" w:hAnsiTheme="minorHAnsi" w:cs="TimesNewRoman"/>
        </w:rPr>
        <w:t>µ</w:t>
      </w:r>
      <w:r w:rsidRPr="00E20938">
        <w:rPr>
          <w:rFonts w:asciiTheme="minorHAnsi" w:eastAsiaTheme="minorHAnsi" w:hAnsiTheme="minorHAnsi" w:cs="TimesNewRoman"/>
        </w:rPr>
        <w:t xml:space="preserve">g booster dose, </w:t>
      </w:r>
      <w:r>
        <w:rPr>
          <w:rFonts w:asciiTheme="minorHAnsi" w:eastAsiaTheme="minorHAnsi" w:hAnsiTheme="minorHAnsi" w:cs="TimesNewRoman"/>
        </w:rPr>
        <w:t>four</w:t>
      </w:r>
      <w:r w:rsidRPr="00E20938">
        <w:rPr>
          <w:rFonts w:asciiTheme="minorHAnsi" w:eastAsiaTheme="minorHAnsi" w:hAnsiTheme="minorHAnsi" w:cs="TimesNewRoman"/>
        </w:rPr>
        <w:t xml:space="preserve"> participants discontinued from the study (</w:t>
      </w:r>
      <w:r>
        <w:rPr>
          <w:rFonts w:asciiTheme="minorHAnsi" w:eastAsiaTheme="minorHAnsi" w:hAnsiTheme="minorHAnsi" w:cs="TimesNewRoman"/>
        </w:rPr>
        <w:t>two</w:t>
      </w:r>
      <w:r w:rsidRPr="00E20938">
        <w:rPr>
          <w:rFonts w:asciiTheme="minorHAnsi" w:eastAsiaTheme="minorHAnsi" w:hAnsiTheme="minorHAnsi" w:cs="TimesNewRoman"/>
        </w:rPr>
        <w:t xml:space="preserve"> withdrawal of consent by participant, </w:t>
      </w:r>
      <w:r>
        <w:rPr>
          <w:rFonts w:asciiTheme="minorHAnsi" w:eastAsiaTheme="minorHAnsi" w:hAnsiTheme="minorHAnsi" w:cs="TimesNewRoman"/>
        </w:rPr>
        <w:t>one</w:t>
      </w:r>
      <w:r w:rsidRPr="00E20938">
        <w:rPr>
          <w:rFonts w:asciiTheme="minorHAnsi" w:eastAsiaTheme="minorHAnsi" w:hAnsiTheme="minorHAnsi" w:cs="TimesNewRoman"/>
        </w:rPr>
        <w:t xml:space="preserve"> death and </w:t>
      </w:r>
      <w:r>
        <w:rPr>
          <w:rFonts w:asciiTheme="minorHAnsi" w:eastAsiaTheme="minorHAnsi" w:hAnsiTheme="minorHAnsi" w:cs="TimesNewRoman"/>
        </w:rPr>
        <w:t>one</w:t>
      </w:r>
      <w:r w:rsidRPr="00E20938">
        <w:rPr>
          <w:rFonts w:asciiTheme="minorHAnsi" w:eastAsiaTheme="minorHAnsi" w:hAnsiTheme="minorHAnsi" w:cs="TimesNewRoman"/>
        </w:rPr>
        <w:t xml:space="preserve"> lost to follow</w:t>
      </w:r>
      <w:r>
        <w:rPr>
          <w:rFonts w:asciiTheme="minorHAnsi" w:eastAsiaTheme="minorHAnsi" w:hAnsiTheme="minorHAnsi" w:cs="TimesNewRoman"/>
        </w:rPr>
        <w:t xml:space="preserve"> </w:t>
      </w:r>
      <w:r w:rsidRPr="00E20938">
        <w:rPr>
          <w:rFonts w:asciiTheme="minorHAnsi" w:eastAsiaTheme="minorHAnsi" w:hAnsiTheme="minorHAnsi" w:cs="TimesNewRoman"/>
        </w:rPr>
        <w:t>up)</w:t>
      </w:r>
      <w:r>
        <w:rPr>
          <w:rFonts w:asciiTheme="minorHAnsi" w:eastAsiaTheme="minorHAnsi" w:hAnsiTheme="minorHAnsi" w:cs="TimesNewRoman"/>
        </w:rPr>
        <w:t>.</w:t>
      </w:r>
    </w:p>
    <w:p w14:paraId="5135AC28" w14:textId="74195BA3" w:rsidR="001267EB" w:rsidRPr="00E20938" w:rsidRDefault="001267EB" w:rsidP="001267EB">
      <w:pPr>
        <w:rPr>
          <w:rFonts w:asciiTheme="minorHAnsi" w:eastAsiaTheme="minorHAnsi" w:hAnsiTheme="minorHAnsi" w:cs="TimesNewRoman"/>
        </w:rPr>
      </w:pPr>
      <w:r w:rsidRPr="00E20938">
        <w:rPr>
          <w:rFonts w:asciiTheme="minorHAnsi" w:eastAsiaTheme="minorHAnsi" w:hAnsiTheme="minorHAnsi" w:cs="TimesNewRoman"/>
        </w:rPr>
        <w:t>In the</w:t>
      </w:r>
      <w:r>
        <w:rPr>
          <w:rFonts w:asciiTheme="minorHAnsi" w:eastAsiaTheme="minorHAnsi" w:hAnsiTheme="minorHAnsi" w:cs="TimesNewRoman"/>
        </w:rPr>
        <w:t xml:space="preserve"> </w:t>
      </w:r>
      <w:proofErr w:type="gramStart"/>
      <w:r>
        <w:rPr>
          <w:rFonts w:asciiTheme="minorHAnsi" w:eastAsiaTheme="minorHAnsi" w:hAnsiTheme="minorHAnsi" w:cs="TimesNewRoman"/>
        </w:rPr>
        <w:t>50 µg</w:t>
      </w:r>
      <w:proofErr w:type="gramEnd"/>
      <w:r w:rsidRPr="00E20938">
        <w:rPr>
          <w:rFonts w:asciiTheme="minorHAnsi" w:eastAsiaTheme="minorHAnsi" w:hAnsiTheme="minorHAnsi" w:cs="TimesNewRoman"/>
        </w:rPr>
        <w:t xml:space="preserve"> </w:t>
      </w:r>
      <w:r>
        <w:rPr>
          <w:rFonts w:asciiTheme="minorHAnsi" w:eastAsiaTheme="minorHAnsi" w:hAnsiTheme="minorHAnsi" w:cs="TimesNewRoman"/>
        </w:rPr>
        <w:t xml:space="preserve">monovalent </w:t>
      </w:r>
      <w:proofErr w:type="spellStart"/>
      <w:r>
        <w:rPr>
          <w:rFonts w:asciiTheme="minorHAnsi" w:eastAsiaTheme="minorHAnsi" w:hAnsiTheme="minorHAnsi" w:cs="TimesNewRoman"/>
        </w:rPr>
        <w:t>Spikevax</w:t>
      </w:r>
      <w:proofErr w:type="spellEnd"/>
      <w:r w:rsidRPr="00E20938">
        <w:rPr>
          <w:rFonts w:asciiTheme="minorHAnsi" w:eastAsiaTheme="minorHAnsi" w:hAnsiTheme="minorHAnsi" w:cs="TimesNewRoman"/>
        </w:rPr>
        <w:t xml:space="preserve"> booster dose group, 379 participants enrolled and 376 received the booster dose. Of the 376 participants, 263 participants (69.9%) enrolled from </w:t>
      </w:r>
      <w:r>
        <w:rPr>
          <w:rFonts w:asciiTheme="minorHAnsi" w:eastAsiaTheme="minorHAnsi" w:hAnsiTheme="minorHAnsi" w:cs="TimesNewRoman"/>
        </w:rPr>
        <w:t>S</w:t>
      </w:r>
      <w:r w:rsidRPr="00E20938">
        <w:rPr>
          <w:rFonts w:asciiTheme="minorHAnsi" w:eastAsiaTheme="minorHAnsi" w:hAnsiTheme="minorHAnsi" w:cs="TimesNewRoman"/>
        </w:rPr>
        <w:t xml:space="preserve">tudy P301 where they had received the primary series and the first booster dose of </w:t>
      </w:r>
      <w:r>
        <w:rPr>
          <w:rFonts w:asciiTheme="minorHAnsi" w:eastAsiaTheme="minorHAnsi" w:hAnsiTheme="minorHAnsi" w:cs="TimesNewRoman"/>
        </w:rPr>
        <w:t xml:space="preserve">monovalent </w:t>
      </w:r>
      <w:proofErr w:type="spellStart"/>
      <w:r>
        <w:rPr>
          <w:rFonts w:asciiTheme="minorHAnsi" w:eastAsiaTheme="minorHAnsi" w:hAnsiTheme="minorHAnsi" w:cs="TimesNewRoman"/>
        </w:rPr>
        <w:t>Spikevax</w:t>
      </w:r>
      <w:proofErr w:type="spellEnd"/>
      <w:r w:rsidRPr="00E20938">
        <w:rPr>
          <w:rFonts w:asciiTheme="minorHAnsi" w:eastAsiaTheme="minorHAnsi" w:hAnsiTheme="minorHAnsi" w:cs="TimesNewRoman"/>
        </w:rPr>
        <w:t xml:space="preserve"> and 113 of the 376 participants (30.1%) had received the primary series and the first booster dose of </w:t>
      </w:r>
      <w:r w:rsidR="00BF6529">
        <w:rPr>
          <w:rFonts w:asciiTheme="minorHAnsi" w:eastAsiaTheme="minorHAnsi" w:hAnsiTheme="minorHAnsi" w:cs="TimesNewRoman"/>
        </w:rPr>
        <w:t xml:space="preserve">monovalent </w:t>
      </w:r>
      <w:proofErr w:type="spellStart"/>
      <w:r w:rsidR="00BF6529">
        <w:rPr>
          <w:rFonts w:asciiTheme="minorHAnsi" w:eastAsiaTheme="minorHAnsi" w:hAnsiTheme="minorHAnsi" w:cs="TimesNewRoman"/>
        </w:rPr>
        <w:t>Spikevax</w:t>
      </w:r>
      <w:proofErr w:type="spellEnd"/>
      <w:r w:rsidRPr="00E20938">
        <w:rPr>
          <w:rFonts w:asciiTheme="minorHAnsi" w:eastAsiaTheme="minorHAnsi" w:hAnsiTheme="minorHAnsi" w:cs="TimesNewRoman"/>
        </w:rPr>
        <w:t xml:space="preserve"> under the </w:t>
      </w:r>
      <w:r w:rsidR="00FC49C4">
        <w:t>EUA</w:t>
      </w:r>
      <w:r w:rsidRPr="00E20938">
        <w:rPr>
          <w:rFonts w:asciiTheme="minorHAnsi" w:eastAsiaTheme="minorHAnsi" w:hAnsiTheme="minorHAnsi" w:cs="TimesNewRoman"/>
        </w:rPr>
        <w:t xml:space="preserve"> in the United States. The median </w:t>
      </w:r>
      <w:proofErr w:type="gramStart"/>
      <w:r w:rsidRPr="00E20938">
        <w:rPr>
          <w:rFonts w:asciiTheme="minorHAnsi" w:eastAsiaTheme="minorHAnsi" w:hAnsiTheme="minorHAnsi" w:cs="TimesNewRoman"/>
        </w:rPr>
        <w:t>follow</w:t>
      </w:r>
      <w:proofErr w:type="gramEnd"/>
      <w:r w:rsidR="00BF6529">
        <w:rPr>
          <w:rFonts w:asciiTheme="minorHAnsi" w:eastAsiaTheme="minorHAnsi" w:hAnsiTheme="minorHAnsi" w:cs="TimesNewRoman"/>
        </w:rPr>
        <w:t xml:space="preserve"> </w:t>
      </w:r>
      <w:r w:rsidRPr="00E20938">
        <w:rPr>
          <w:rFonts w:asciiTheme="minorHAnsi" w:eastAsiaTheme="minorHAnsi" w:hAnsiTheme="minorHAnsi" w:cs="TimesNewRoman"/>
        </w:rPr>
        <w:t xml:space="preserve">up time from </w:t>
      </w:r>
      <w:r w:rsidR="00BF6529">
        <w:rPr>
          <w:rFonts w:asciiTheme="minorHAnsi" w:eastAsiaTheme="minorHAnsi" w:hAnsiTheme="minorHAnsi" w:cs="TimesNewRoman"/>
        </w:rPr>
        <w:t>50 µg</w:t>
      </w:r>
      <w:r w:rsidR="00BF6529" w:rsidRPr="00E20938">
        <w:rPr>
          <w:rFonts w:asciiTheme="minorHAnsi" w:eastAsiaTheme="minorHAnsi" w:hAnsiTheme="minorHAnsi" w:cs="TimesNewRoman"/>
        </w:rPr>
        <w:t xml:space="preserve"> </w:t>
      </w:r>
      <w:r w:rsidR="00BF6529">
        <w:rPr>
          <w:rFonts w:asciiTheme="minorHAnsi" w:eastAsiaTheme="minorHAnsi" w:hAnsiTheme="minorHAnsi" w:cs="TimesNewRoman"/>
        </w:rPr>
        <w:t xml:space="preserve">monovalent </w:t>
      </w:r>
      <w:proofErr w:type="spellStart"/>
      <w:r w:rsidR="00BF6529">
        <w:rPr>
          <w:rFonts w:asciiTheme="minorHAnsi" w:eastAsiaTheme="minorHAnsi" w:hAnsiTheme="minorHAnsi" w:cs="TimesNewRoman"/>
        </w:rPr>
        <w:t>Spikevax</w:t>
      </w:r>
      <w:proofErr w:type="spellEnd"/>
      <w:r w:rsidR="00BF6529" w:rsidRPr="00E20938">
        <w:rPr>
          <w:rFonts w:asciiTheme="minorHAnsi" w:eastAsiaTheme="minorHAnsi" w:hAnsiTheme="minorHAnsi" w:cs="TimesNewRoman"/>
        </w:rPr>
        <w:t xml:space="preserve"> </w:t>
      </w:r>
      <w:r w:rsidRPr="00E20938">
        <w:rPr>
          <w:rFonts w:asciiTheme="minorHAnsi" w:eastAsiaTheme="minorHAnsi" w:hAnsiTheme="minorHAnsi" w:cs="TimesNewRoman"/>
        </w:rPr>
        <w:t>booster injection was 127 days (range 64 to 136 days).</w:t>
      </w:r>
      <w:r w:rsidRPr="00E20938">
        <w:rPr>
          <w:lang w:eastAsia="ja-JP"/>
        </w:rPr>
        <w:t xml:space="preserve"> </w:t>
      </w:r>
      <w:r w:rsidRPr="00E20938">
        <w:rPr>
          <w:rFonts w:asciiTheme="minorHAnsi" w:eastAsiaTheme="minorHAnsi" w:hAnsiTheme="minorHAnsi" w:cs="TimesNewRoman"/>
        </w:rPr>
        <w:t xml:space="preserve">Of the 376 participants who received the </w:t>
      </w:r>
      <w:proofErr w:type="gramStart"/>
      <w:r w:rsidR="00BF6529">
        <w:rPr>
          <w:rFonts w:asciiTheme="minorHAnsi" w:eastAsiaTheme="minorHAnsi" w:hAnsiTheme="minorHAnsi" w:cs="TimesNewRoman"/>
        </w:rPr>
        <w:t>50 µg</w:t>
      </w:r>
      <w:proofErr w:type="gramEnd"/>
      <w:r w:rsidR="00BF6529" w:rsidRPr="00E20938">
        <w:rPr>
          <w:rFonts w:asciiTheme="minorHAnsi" w:eastAsiaTheme="minorHAnsi" w:hAnsiTheme="minorHAnsi" w:cs="TimesNewRoman"/>
        </w:rPr>
        <w:t xml:space="preserve"> </w:t>
      </w:r>
      <w:r w:rsidR="00BF6529">
        <w:rPr>
          <w:rFonts w:asciiTheme="minorHAnsi" w:eastAsiaTheme="minorHAnsi" w:hAnsiTheme="minorHAnsi" w:cs="TimesNewRoman"/>
        </w:rPr>
        <w:t xml:space="preserve">monovalent </w:t>
      </w:r>
      <w:proofErr w:type="spellStart"/>
      <w:r w:rsidR="00BF6529">
        <w:rPr>
          <w:rFonts w:asciiTheme="minorHAnsi" w:eastAsiaTheme="minorHAnsi" w:hAnsiTheme="minorHAnsi" w:cs="TimesNewRoman"/>
        </w:rPr>
        <w:t>Spikevax</w:t>
      </w:r>
      <w:proofErr w:type="spellEnd"/>
      <w:r w:rsidR="00BF6529" w:rsidRPr="00E20938">
        <w:rPr>
          <w:rFonts w:asciiTheme="minorHAnsi" w:eastAsiaTheme="minorHAnsi" w:hAnsiTheme="minorHAnsi" w:cs="TimesNewRoman"/>
        </w:rPr>
        <w:t xml:space="preserve"> </w:t>
      </w:r>
      <w:r w:rsidRPr="00E20938">
        <w:rPr>
          <w:rFonts w:asciiTheme="minorHAnsi" w:eastAsiaTheme="minorHAnsi" w:hAnsiTheme="minorHAnsi" w:cs="TimesNewRoman"/>
        </w:rPr>
        <w:t xml:space="preserve">booster dose, 98.4% participants were still on study by the data </w:t>
      </w:r>
      <w:r w:rsidR="001405D9">
        <w:rPr>
          <w:rFonts w:asciiTheme="minorHAnsi" w:eastAsiaTheme="minorHAnsi" w:hAnsiTheme="minorHAnsi" w:cs="TimesNewRoman"/>
        </w:rPr>
        <w:t>cut</w:t>
      </w:r>
      <w:r w:rsidR="00B43E80">
        <w:rPr>
          <w:rFonts w:asciiTheme="minorHAnsi" w:eastAsiaTheme="minorHAnsi" w:hAnsiTheme="minorHAnsi" w:cs="TimesNewRoman"/>
        </w:rPr>
        <w:t>-</w:t>
      </w:r>
      <w:r w:rsidR="001405D9">
        <w:rPr>
          <w:rFonts w:asciiTheme="minorHAnsi" w:eastAsiaTheme="minorHAnsi" w:hAnsiTheme="minorHAnsi" w:cs="TimesNewRoman"/>
        </w:rPr>
        <w:t>off</w:t>
      </w:r>
      <w:r w:rsidRPr="00E20938">
        <w:rPr>
          <w:rFonts w:asciiTheme="minorHAnsi" w:eastAsiaTheme="minorHAnsi" w:hAnsiTheme="minorHAnsi" w:cs="TimesNewRoman"/>
        </w:rPr>
        <w:t xml:space="preserve"> date (6 Jul</w:t>
      </w:r>
      <w:r w:rsidR="00BF6529">
        <w:rPr>
          <w:rFonts w:asciiTheme="minorHAnsi" w:eastAsiaTheme="minorHAnsi" w:hAnsiTheme="minorHAnsi" w:cs="TimesNewRoman"/>
        </w:rPr>
        <w:t>y</w:t>
      </w:r>
      <w:r w:rsidRPr="00E20938">
        <w:rPr>
          <w:rFonts w:asciiTheme="minorHAnsi" w:eastAsiaTheme="minorHAnsi" w:hAnsiTheme="minorHAnsi" w:cs="TimesNewRoman"/>
        </w:rPr>
        <w:t xml:space="preserve"> 2022)</w:t>
      </w:r>
      <w:r w:rsidR="00BF6529">
        <w:rPr>
          <w:rFonts w:asciiTheme="minorHAnsi" w:eastAsiaTheme="minorHAnsi" w:hAnsiTheme="minorHAnsi" w:cs="TimesNewRoman"/>
        </w:rPr>
        <w:t>.</w:t>
      </w:r>
    </w:p>
    <w:p w14:paraId="131A48FC" w14:textId="65FA38D6" w:rsidR="001267EB" w:rsidRPr="00671B0B" w:rsidRDefault="001267EB" w:rsidP="00671B0B">
      <w:pPr>
        <w:pStyle w:val="Heading6"/>
        <w:rPr>
          <w:rFonts w:eastAsiaTheme="minorHAnsi"/>
        </w:rPr>
      </w:pPr>
      <w:r w:rsidRPr="00671B0B">
        <w:rPr>
          <w:rFonts w:eastAsiaTheme="minorHAnsi"/>
        </w:rPr>
        <w:t>Demographic and baseline characteristics</w:t>
      </w:r>
    </w:p>
    <w:p w14:paraId="726EA5D7" w14:textId="58A11001" w:rsidR="001267EB" w:rsidRPr="00DE5AAC" w:rsidRDefault="001267EB" w:rsidP="001267EB">
      <w:pPr>
        <w:rPr>
          <w:rFonts w:asciiTheme="minorHAnsi" w:eastAsiaTheme="minorHAnsi" w:hAnsiTheme="minorHAnsi" w:cs="TimesNewRoman"/>
        </w:rPr>
      </w:pPr>
      <w:r w:rsidRPr="00DE5AAC">
        <w:rPr>
          <w:rFonts w:asciiTheme="minorHAnsi" w:eastAsiaTheme="minorHAnsi" w:hAnsiTheme="minorHAnsi" w:cs="TimesNewRoman"/>
        </w:rPr>
        <w:t xml:space="preserve">In the </w:t>
      </w:r>
      <w:r w:rsidR="00986C48" w:rsidRPr="00E20938">
        <w:rPr>
          <w:rFonts w:asciiTheme="minorHAnsi" w:eastAsiaTheme="minorHAnsi" w:hAnsiTheme="minorHAnsi" w:cs="TimesNewRoman"/>
        </w:rPr>
        <w:t>50</w:t>
      </w:r>
      <w:r w:rsidR="00986C48">
        <w:rPr>
          <w:rFonts w:asciiTheme="minorHAnsi" w:eastAsiaTheme="minorHAnsi" w:hAnsiTheme="minorHAnsi" w:cs="TimesNewRoman"/>
        </w:rPr>
        <w:t xml:space="preserve"> µ</w:t>
      </w:r>
      <w:r w:rsidR="00986C48" w:rsidRPr="00E20938">
        <w:rPr>
          <w:rFonts w:asciiTheme="minorHAnsi" w:eastAsiaTheme="minorHAnsi" w:hAnsiTheme="minorHAnsi" w:cs="TimesNewRoman"/>
        </w:rPr>
        <w:t xml:space="preserve">g </w:t>
      </w:r>
      <w:proofErr w:type="spellStart"/>
      <w:r w:rsidR="00541C6B">
        <w:t>Spikevax</w:t>
      </w:r>
      <w:proofErr w:type="spellEnd"/>
      <w:r w:rsidR="00541C6B">
        <w:t xml:space="preserve"> </w:t>
      </w:r>
      <w:r w:rsidR="00986C48">
        <w:rPr>
          <w:rFonts w:asciiTheme="minorHAnsi" w:eastAsiaTheme="minorHAnsi" w:hAnsiTheme="minorHAnsi" w:cs="TimesNewRoman"/>
        </w:rPr>
        <w:t>bivalent Original/Omicron BA.4</w:t>
      </w:r>
      <w:r w:rsidR="00B43E80">
        <w:rPr>
          <w:rFonts w:asciiTheme="minorHAnsi" w:eastAsiaTheme="minorHAnsi" w:hAnsiTheme="minorHAnsi" w:cs="TimesNewRoman"/>
        </w:rPr>
        <w:t>-</w:t>
      </w:r>
      <w:r w:rsidR="00986C48">
        <w:rPr>
          <w:rFonts w:asciiTheme="minorHAnsi" w:eastAsiaTheme="minorHAnsi" w:hAnsiTheme="minorHAnsi" w:cs="TimesNewRoman"/>
        </w:rPr>
        <w:t>5</w:t>
      </w:r>
      <w:r w:rsidR="00986C48" w:rsidRPr="00E20938">
        <w:rPr>
          <w:rFonts w:asciiTheme="minorHAnsi" w:eastAsiaTheme="minorHAnsi" w:hAnsiTheme="minorHAnsi" w:cs="TimesNewRoman"/>
        </w:rPr>
        <w:t xml:space="preserve"> </w:t>
      </w:r>
      <w:r w:rsidR="00986C48">
        <w:rPr>
          <w:rFonts w:asciiTheme="minorHAnsi" w:eastAsiaTheme="minorHAnsi" w:hAnsiTheme="minorHAnsi" w:cs="TimesNewRoman"/>
        </w:rPr>
        <w:t xml:space="preserve">booster </w:t>
      </w:r>
      <w:r w:rsidRPr="00DE5AAC">
        <w:rPr>
          <w:rFonts w:asciiTheme="minorHAnsi" w:eastAsiaTheme="minorHAnsi" w:hAnsiTheme="minorHAnsi" w:cs="TimesNewRoman"/>
        </w:rPr>
        <w:t xml:space="preserve">dose group (dosed </w:t>
      </w:r>
      <w:r w:rsidR="00986C48">
        <w:rPr>
          <w:rFonts w:asciiTheme="minorHAnsi" w:eastAsiaTheme="minorHAnsi" w:hAnsiTheme="minorHAnsi" w:cs="TimesNewRoman"/>
        </w:rPr>
        <w:t xml:space="preserve">between </w:t>
      </w:r>
      <w:r w:rsidR="00795787">
        <w:rPr>
          <w:rFonts w:asciiTheme="minorHAnsi" w:eastAsiaTheme="minorHAnsi" w:hAnsiTheme="minorHAnsi" w:cs="TimesNewRoman"/>
        </w:rPr>
        <w:t>10</w:t>
      </w:r>
      <w:r w:rsidR="00FC49C4">
        <w:rPr>
          <w:rFonts w:asciiTheme="minorHAnsi" w:eastAsiaTheme="minorHAnsi" w:hAnsiTheme="minorHAnsi" w:cs="TimesNewRoman"/>
        </w:rPr>
        <w:t> </w:t>
      </w:r>
      <w:r w:rsidRPr="00DE5AAC">
        <w:rPr>
          <w:rFonts w:asciiTheme="minorHAnsi" w:eastAsiaTheme="minorHAnsi" w:hAnsiTheme="minorHAnsi" w:cs="TimesNewRoman"/>
        </w:rPr>
        <w:t xml:space="preserve">August to </w:t>
      </w:r>
      <w:r w:rsidR="00795787">
        <w:rPr>
          <w:rFonts w:asciiTheme="minorHAnsi" w:eastAsiaTheme="minorHAnsi" w:hAnsiTheme="minorHAnsi" w:cs="TimesNewRoman"/>
        </w:rPr>
        <w:t xml:space="preserve">23 </w:t>
      </w:r>
      <w:r w:rsidRPr="00DE5AAC">
        <w:rPr>
          <w:rFonts w:asciiTheme="minorHAnsi" w:eastAsiaTheme="minorHAnsi" w:hAnsiTheme="minorHAnsi" w:cs="TimesNewRoman"/>
        </w:rPr>
        <w:t>August 2022), 316</w:t>
      </w:r>
      <w:r w:rsidR="00986C48">
        <w:rPr>
          <w:rFonts w:asciiTheme="minorHAnsi" w:eastAsiaTheme="minorHAnsi" w:hAnsiTheme="minorHAnsi" w:cs="TimesNewRoman"/>
        </w:rPr>
        <w:t xml:space="preserve"> out of </w:t>
      </w:r>
      <w:r w:rsidRPr="00DE5AAC">
        <w:rPr>
          <w:rFonts w:asciiTheme="minorHAnsi" w:eastAsiaTheme="minorHAnsi" w:hAnsiTheme="minorHAnsi" w:cs="TimesNewRoman"/>
        </w:rPr>
        <w:t>511 participants (61.8%) were female, most were White (426</w:t>
      </w:r>
      <w:r w:rsidR="00986C48">
        <w:rPr>
          <w:rFonts w:asciiTheme="minorHAnsi" w:eastAsiaTheme="minorHAnsi" w:hAnsiTheme="minorHAnsi" w:cs="TimesNewRoman"/>
        </w:rPr>
        <w:t xml:space="preserve"> out of </w:t>
      </w:r>
      <w:r w:rsidRPr="00DE5AAC">
        <w:rPr>
          <w:rFonts w:asciiTheme="minorHAnsi" w:eastAsiaTheme="minorHAnsi" w:hAnsiTheme="minorHAnsi" w:cs="TimesNewRoman"/>
        </w:rPr>
        <w:t>511</w:t>
      </w:r>
      <w:r w:rsidR="00986C48">
        <w:rPr>
          <w:rFonts w:asciiTheme="minorHAnsi" w:eastAsiaTheme="minorHAnsi" w:hAnsiTheme="minorHAnsi" w:cs="TimesNewRoman"/>
        </w:rPr>
        <w:t xml:space="preserve">, </w:t>
      </w:r>
      <w:r w:rsidRPr="00DE5AAC">
        <w:rPr>
          <w:rFonts w:asciiTheme="minorHAnsi" w:eastAsiaTheme="minorHAnsi" w:hAnsiTheme="minorHAnsi" w:cs="TimesNewRoman"/>
        </w:rPr>
        <w:t>83.4%), and the median age was 50 years (range: 19 to 89 years). A total of 105</w:t>
      </w:r>
      <w:r w:rsidR="00986C48">
        <w:rPr>
          <w:rFonts w:asciiTheme="minorHAnsi" w:eastAsiaTheme="minorHAnsi" w:hAnsiTheme="minorHAnsi" w:cs="TimesNewRoman"/>
        </w:rPr>
        <w:t xml:space="preserve"> out of </w:t>
      </w:r>
      <w:r w:rsidRPr="00DE5AAC">
        <w:rPr>
          <w:rFonts w:asciiTheme="minorHAnsi" w:eastAsiaTheme="minorHAnsi" w:hAnsiTheme="minorHAnsi" w:cs="TimesNewRoman"/>
        </w:rPr>
        <w:t xml:space="preserve">511 participants (20.5 %) were </w:t>
      </w:r>
      <w:r w:rsidR="00986C48">
        <w:rPr>
          <w:rFonts w:asciiTheme="minorHAnsi" w:eastAsiaTheme="minorHAnsi" w:hAnsiTheme="minorHAnsi" w:cs="TimesNewRoman" w:hint="eastAsia"/>
        </w:rPr>
        <w:t>o</w:t>
      </w:r>
      <w:r w:rsidR="00986C48">
        <w:rPr>
          <w:rFonts w:asciiTheme="minorHAnsi" w:eastAsiaTheme="minorHAnsi" w:hAnsiTheme="minorHAnsi" w:cs="TimesNewRoman"/>
        </w:rPr>
        <w:t>lder or equal to</w:t>
      </w:r>
      <w:r w:rsidRPr="00DE5AAC">
        <w:rPr>
          <w:rFonts w:asciiTheme="minorHAnsi" w:eastAsiaTheme="minorHAnsi" w:hAnsiTheme="minorHAnsi" w:cs="TimesNewRoman"/>
        </w:rPr>
        <w:t xml:space="preserve"> 65 years of age. The median time between </w:t>
      </w:r>
      <w:r w:rsidR="00986C48">
        <w:rPr>
          <w:rFonts w:asciiTheme="minorHAnsi" w:eastAsiaTheme="minorHAnsi" w:hAnsiTheme="minorHAnsi" w:cs="TimesNewRoman"/>
        </w:rPr>
        <w:t>second dose</w:t>
      </w:r>
      <w:r w:rsidRPr="00DE5AAC">
        <w:rPr>
          <w:rFonts w:asciiTheme="minorHAnsi" w:eastAsiaTheme="minorHAnsi" w:hAnsiTheme="minorHAnsi" w:cs="TimesNewRoman"/>
        </w:rPr>
        <w:t xml:space="preserve"> of the primary series to the first booster dose was 251 days (range 67 to 533 days) and the median time between the first booster dose to the</w:t>
      </w:r>
      <w:r w:rsidR="00986C48">
        <w:rPr>
          <w:rFonts w:asciiTheme="minorHAnsi" w:eastAsiaTheme="minorHAnsi" w:hAnsiTheme="minorHAnsi" w:cs="TimesNewRoman"/>
        </w:rPr>
        <w:t xml:space="preserve"> </w:t>
      </w:r>
      <w:proofErr w:type="gramStart"/>
      <w:r w:rsidR="00986C48">
        <w:rPr>
          <w:rFonts w:asciiTheme="minorHAnsi" w:eastAsiaTheme="minorHAnsi" w:hAnsiTheme="minorHAnsi" w:cs="TimesNewRoman"/>
        </w:rPr>
        <w:t>50 µg</w:t>
      </w:r>
      <w:proofErr w:type="gramEnd"/>
      <w:r w:rsidR="00986C48">
        <w:rPr>
          <w:rFonts w:asciiTheme="minorHAnsi" w:eastAsiaTheme="minorHAnsi" w:hAnsiTheme="minorHAnsi" w:cs="TimesNewRoman"/>
        </w:rPr>
        <w:t xml:space="preserve"> bivalent Original/Omicron BA.4 – 5</w:t>
      </w:r>
      <w:r w:rsidRPr="00DE5AAC">
        <w:rPr>
          <w:rFonts w:asciiTheme="minorHAnsi" w:eastAsiaTheme="minorHAnsi" w:hAnsiTheme="minorHAnsi" w:cs="TimesNewRoman"/>
        </w:rPr>
        <w:t xml:space="preserve"> booster dose was 289 days (range 103 to 371 days). At </w:t>
      </w:r>
      <w:r w:rsidR="00986C48">
        <w:rPr>
          <w:rFonts w:asciiTheme="minorHAnsi" w:eastAsiaTheme="minorHAnsi" w:hAnsiTheme="minorHAnsi" w:cs="TimesNewRoman"/>
        </w:rPr>
        <w:t>B</w:t>
      </w:r>
      <w:r w:rsidRPr="00DE5AAC">
        <w:rPr>
          <w:rFonts w:asciiTheme="minorHAnsi" w:eastAsiaTheme="minorHAnsi" w:hAnsiTheme="minorHAnsi" w:cs="TimesNewRoman"/>
        </w:rPr>
        <w:t xml:space="preserve">aseline, 286 </w:t>
      </w:r>
      <w:r w:rsidR="00986C48">
        <w:rPr>
          <w:rFonts w:asciiTheme="minorHAnsi" w:eastAsiaTheme="minorHAnsi" w:hAnsiTheme="minorHAnsi" w:cs="TimesNewRoman"/>
        </w:rPr>
        <w:t xml:space="preserve">out </w:t>
      </w:r>
      <w:r w:rsidRPr="00DE5AAC">
        <w:rPr>
          <w:rFonts w:asciiTheme="minorHAnsi" w:eastAsiaTheme="minorHAnsi" w:hAnsiTheme="minorHAnsi" w:cs="TimesNewRoman"/>
        </w:rPr>
        <w:t xml:space="preserve">of 511 </w:t>
      </w:r>
      <w:proofErr w:type="spellStart"/>
      <w:r w:rsidR="005F03E4">
        <w:t>Spikevax</w:t>
      </w:r>
      <w:proofErr w:type="spellEnd"/>
      <w:r w:rsidR="005F03E4">
        <w:t xml:space="preserve"> </w:t>
      </w:r>
      <w:r w:rsidR="00986C48">
        <w:rPr>
          <w:rFonts w:asciiTheme="minorHAnsi" w:eastAsiaTheme="minorHAnsi" w:hAnsiTheme="minorHAnsi" w:cs="TimesNewRoman"/>
        </w:rPr>
        <w:t xml:space="preserve">bivalent Original/Omicron </w:t>
      </w:r>
      <w:r w:rsidR="001405D9">
        <w:rPr>
          <w:rFonts w:asciiTheme="minorHAnsi" w:eastAsiaTheme="minorHAnsi" w:hAnsiTheme="minorHAnsi" w:cs="TimesNewRoman"/>
        </w:rPr>
        <w:t>BA.4-5</w:t>
      </w:r>
      <w:r w:rsidR="00986C48">
        <w:rPr>
          <w:rFonts w:asciiTheme="minorHAnsi" w:eastAsiaTheme="minorHAnsi" w:hAnsiTheme="minorHAnsi" w:cs="TimesNewRoman"/>
        </w:rPr>
        <w:t xml:space="preserve"> vaccine</w:t>
      </w:r>
      <w:r w:rsidRPr="00DE5AAC">
        <w:rPr>
          <w:rFonts w:asciiTheme="minorHAnsi" w:eastAsiaTheme="minorHAnsi" w:hAnsiTheme="minorHAnsi" w:cs="TimesNewRoman"/>
        </w:rPr>
        <w:t xml:space="preserve"> participants (56 %) had evidence of prior SARS-CoV-2 infection.</w:t>
      </w:r>
    </w:p>
    <w:p w14:paraId="19DD0F16" w14:textId="258D362F" w:rsidR="001267EB" w:rsidRDefault="001267EB" w:rsidP="001267EB">
      <w:pPr>
        <w:rPr>
          <w:iCs/>
          <w:color w:val="0070C0"/>
        </w:rPr>
      </w:pPr>
      <w:r w:rsidRPr="00DE5AAC">
        <w:rPr>
          <w:rFonts w:asciiTheme="minorHAnsi" w:eastAsiaTheme="minorHAnsi" w:hAnsiTheme="minorHAnsi" w:cs="TimesNewRoman"/>
        </w:rPr>
        <w:lastRenderedPageBreak/>
        <w:t xml:space="preserve">In the </w:t>
      </w:r>
      <w:proofErr w:type="gramStart"/>
      <w:r w:rsidR="00986C48">
        <w:rPr>
          <w:rFonts w:asciiTheme="minorHAnsi" w:eastAsiaTheme="minorHAnsi" w:hAnsiTheme="minorHAnsi" w:cs="TimesNewRoman"/>
        </w:rPr>
        <w:t>50 µg</w:t>
      </w:r>
      <w:proofErr w:type="gramEnd"/>
      <w:r w:rsidR="00986C48" w:rsidRPr="00E20938">
        <w:rPr>
          <w:rFonts w:asciiTheme="minorHAnsi" w:eastAsiaTheme="minorHAnsi" w:hAnsiTheme="minorHAnsi" w:cs="TimesNewRoman"/>
        </w:rPr>
        <w:t xml:space="preserve"> </w:t>
      </w:r>
      <w:r w:rsidR="00986C48">
        <w:rPr>
          <w:rFonts w:asciiTheme="minorHAnsi" w:eastAsiaTheme="minorHAnsi" w:hAnsiTheme="minorHAnsi" w:cs="TimesNewRoman"/>
        </w:rPr>
        <w:t xml:space="preserve">monovalent </w:t>
      </w:r>
      <w:proofErr w:type="spellStart"/>
      <w:r w:rsidR="00986C48">
        <w:rPr>
          <w:rFonts w:asciiTheme="minorHAnsi" w:eastAsiaTheme="minorHAnsi" w:hAnsiTheme="minorHAnsi" w:cs="TimesNewRoman"/>
        </w:rPr>
        <w:t>Spikevax</w:t>
      </w:r>
      <w:proofErr w:type="spellEnd"/>
      <w:r w:rsidR="00986C48" w:rsidRPr="00E20938">
        <w:rPr>
          <w:rFonts w:asciiTheme="minorHAnsi" w:eastAsiaTheme="minorHAnsi" w:hAnsiTheme="minorHAnsi" w:cs="TimesNewRoman"/>
        </w:rPr>
        <w:t xml:space="preserve"> booster</w:t>
      </w:r>
      <w:r w:rsidRPr="00DE5AAC">
        <w:rPr>
          <w:rFonts w:asciiTheme="minorHAnsi" w:eastAsiaTheme="minorHAnsi" w:hAnsiTheme="minorHAnsi" w:cs="TimesNewRoman"/>
        </w:rPr>
        <w:t xml:space="preserve"> dose group (dosed</w:t>
      </w:r>
      <w:r w:rsidR="00986C48">
        <w:rPr>
          <w:rFonts w:asciiTheme="minorHAnsi" w:eastAsiaTheme="minorHAnsi" w:hAnsiTheme="minorHAnsi" w:cs="TimesNewRoman"/>
        </w:rPr>
        <w:t xml:space="preserve"> between</w:t>
      </w:r>
      <w:r w:rsidRPr="00DE5AAC">
        <w:rPr>
          <w:rFonts w:asciiTheme="minorHAnsi" w:eastAsiaTheme="minorHAnsi" w:hAnsiTheme="minorHAnsi" w:cs="TimesNewRoman"/>
        </w:rPr>
        <w:t xml:space="preserve"> 18 February 2022 to 8 March 2022), 190</w:t>
      </w:r>
      <w:r w:rsidR="00986C48">
        <w:rPr>
          <w:rFonts w:asciiTheme="minorHAnsi" w:eastAsiaTheme="minorHAnsi" w:hAnsiTheme="minorHAnsi" w:cs="TimesNewRoman"/>
        </w:rPr>
        <w:t xml:space="preserve"> out of </w:t>
      </w:r>
      <w:r w:rsidRPr="00DE5AAC">
        <w:rPr>
          <w:rFonts w:asciiTheme="minorHAnsi" w:eastAsiaTheme="minorHAnsi" w:hAnsiTheme="minorHAnsi" w:cs="TimesNewRoman"/>
        </w:rPr>
        <w:t>376 participants (50.5 %) were female, most were White (322</w:t>
      </w:r>
      <w:r w:rsidR="00986C48">
        <w:rPr>
          <w:rFonts w:asciiTheme="minorHAnsi" w:eastAsiaTheme="minorHAnsi" w:hAnsiTheme="minorHAnsi" w:cs="TimesNewRoman"/>
        </w:rPr>
        <w:t xml:space="preserve"> out of </w:t>
      </w:r>
      <w:r w:rsidRPr="00DE5AAC">
        <w:rPr>
          <w:rFonts w:asciiTheme="minorHAnsi" w:eastAsiaTheme="minorHAnsi" w:hAnsiTheme="minorHAnsi" w:cs="TimesNewRoman"/>
        </w:rPr>
        <w:t>376</w:t>
      </w:r>
      <w:r w:rsidR="00986C48">
        <w:rPr>
          <w:rFonts w:asciiTheme="minorHAnsi" w:eastAsiaTheme="minorHAnsi" w:hAnsiTheme="minorHAnsi" w:cs="TimesNewRoman"/>
        </w:rPr>
        <w:t xml:space="preserve">, </w:t>
      </w:r>
      <w:r w:rsidRPr="00DE5AAC">
        <w:rPr>
          <w:rFonts w:asciiTheme="minorHAnsi" w:eastAsiaTheme="minorHAnsi" w:hAnsiTheme="minorHAnsi" w:cs="TimesNewRoman"/>
        </w:rPr>
        <w:t>85.6%), and the median age was 60.5 years (range: 20 to 96 years). A total of 150</w:t>
      </w:r>
      <w:r w:rsidR="00986C48">
        <w:rPr>
          <w:rFonts w:asciiTheme="minorHAnsi" w:eastAsiaTheme="minorHAnsi" w:hAnsiTheme="minorHAnsi" w:cs="TimesNewRoman"/>
        </w:rPr>
        <w:t xml:space="preserve"> out of </w:t>
      </w:r>
      <w:r w:rsidRPr="00DE5AAC">
        <w:rPr>
          <w:rFonts w:asciiTheme="minorHAnsi" w:eastAsiaTheme="minorHAnsi" w:hAnsiTheme="minorHAnsi" w:cs="TimesNewRoman"/>
        </w:rPr>
        <w:t xml:space="preserve">376 participants (39.9%) were </w:t>
      </w:r>
      <w:r w:rsidR="00986C48">
        <w:rPr>
          <w:rFonts w:asciiTheme="minorHAnsi" w:eastAsiaTheme="minorHAnsi" w:hAnsiTheme="minorHAnsi" w:cs="TimesNewRoman" w:hint="eastAsia"/>
        </w:rPr>
        <w:t>o</w:t>
      </w:r>
      <w:r w:rsidR="00986C48">
        <w:rPr>
          <w:rFonts w:asciiTheme="minorHAnsi" w:eastAsiaTheme="minorHAnsi" w:hAnsiTheme="minorHAnsi" w:cs="TimesNewRoman"/>
        </w:rPr>
        <w:t>lder or equal to</w:t>
      </w:r>
      <w:r w:rsidRPr="00DE5AAC">
        <w:rPr>
          <w:rFonts w:asciiTheme="minorHAnsi" w:eastAsiaTheme="minorHAnsi" w:hAnsiTheme="minorHAnsi" w:cs="TimesNewRoman"/>
        </w:rPr>
        <w:t xml:space="preserve"> 65 years of age. The median time between </w:t>
      </w:r>
      <w:r w:rsidR="00986C48">
        <w:rPr>
          <w:rFonts w:asciiTheme="minorHAnsi" w:eastAsiaTheme="minorHAnsi" w:hAnsiTheme="minorHAnsi" w:cs="TimesNewRoman"/>
        </w:rPr>
        <w:t xml:space="preserve">second dose </w:t>
      </w:r>
      <w:r w:rsidRPr="00DE5AAC">
        <w:rPr>
          <w:rFonts w:asciiTheme="minorHAnsi" w:eastAsiaTheme="minorHAnsi" w:hAnsiTheme="minorHAnsi" w:cs="TimesNewRoman"/>
        </w:rPr>
        <w:t>of the primary series and the first booster dose was 242 days (range 170 to 438 days) and the median time between the first</w:t>
      </w:r>
      <w:r w:rsidRPr="00970C54">
        <w:rPr>
          <w:iCs/>
          <w:color w:val="0070C0"/>
        </w:rPr>
        <w:t xml:space="preserve"> </w:t>
      </w:r>
      <w:r w:rsidRPr="00DE5AAC">
        <w:rPr>
          <w:rFonts w:asciiTheme="minorHAnsi" w:eastAsiaTheme="minorHAnsi" w:hAnsiTheme="minorHAnsi" w:cs="TimesNewRoman"/>
        </w:rPr>
        <w:t xml:space="preserve">booster dose and the </w:t>
      </w:r>
      <w:r w:rsidR="00986C48">
        <w:rPr>
          <w:rFonts w:asciiTheme="minorHAnsi" w:eastAsiaTheme="minorHAnsi" w:hAnsiTheme="minorHAnsi" w:cs="TimesNewRoman"/>
        </w:rPr>
        <w:t xml:space="preserve">monovalent </w:t>
      </w:r>
      <w:proofErr w:type="spellStart"/>
      <w:r w:rsidR="00986C48">
        <w:rPr>
          <w:rFonts w:asciiTheme="minorHAnsi" w:eastAsiaTheme="minorHAnsi" w:hAnsiTheme="minorHAnsi" w:cs="TimesNewRoman"/>
        </w:rPr>
        <w:t>Spikevax</w:t>
      </w:r>
      <w:proofErr w:type="spellEnd"/>
      <w:r w:rsidRPr="00DE5AAC">
        <w:rPr>
          <w:rFonts w:asciiTheme="minorHAnsi" w:eastAsiaTheme="minorHAnsi" w:hAnsiTheme="minorHAnsi" w:cs="TimesNewRoman"/>
        </w:rPr>
        <w:t xml:space="preserve"> booster dose was 134 days (range 90 to 310 days). At </w:t>
      </w:r>
      <w:r w:rsidR="00986C48">
        <w:rPr>
          <w:rFonts w:asciiTheme="minorHAnsi" w:eastAsiaTheme="minorHAnsi" w:hAnsiTheme="minorHAnsi" w:cs="TimesNewRoman"/>
        </w:rPr>
        <w:t>B</w:t>
      </w:r>
      <w:r w:rsidRPr="00DE5AAC">
        <w:rPr>
          <w:rFonts w:asciiTheme="minorHAnsi" w:eastAsiaTheme="minorHAnsi" w:hAnsiTheme="minorHAnsi" w:cs="TimesNewRoman"/>
        </w:rPr>
        <w:t xml:space="preserve">aseline, 101 </w:t>
      </w:r>
      <w:r w:rsidR="00986C48">
        <w:rPr>
          <w:rFonts w:asciiTheme="minorHAnsi" w:eastAsiaTheme="minorHAnsi" w:hAnsiTheme="minorHAnsi" w:cs="TimesNewRoman"/>
        </w:rPr>
        <w:t xml:space="preserve">out </w:t>
      </w:r>
      <w:r w:rsidRPr="00DE5AAC">
        <w:rPr>
          <w:rFonts w:asciiTheme="minorHAnsi" w:eastAsiaTheme="minorHAnsi" w:hAnsiTheme="minorHAnsi" w:cs="TimesNewRoman"/>
        </w:rPr>
        <w:t xml:space="preserve">of 376 </w:t>
      </w:r>
      <w:r w:rsidR="00986C48">
        <w:rPr>
          <w:rFonts w:asciiTheme="minorHAnsi" w:eastAsiaTheme="minorHAnsi" w:hAnsiTheme="minorHAnsi" w:cs="TimesNewRoman"/>
        </w:rPr>
        <w:t xml:space="preserve">monovalent </w:t>
      </w:r>
      <w:proofErr w:type="spellStart"/>
      <w:r w:rsidR="00986C48">
        <w:rPr>
          <w:rFonts w:asciiTheme="minorHAnsi" w:eastAsiaTheme="minorHAnsi" w:hAnsiTheme="minorHAnsi" w:cs="TimesNewRoman"/>
        </w:rPr>
        <w:t>Spikevax</w:t>
      </w:r>
      <w:proofErr w:type="spellEnd"/>
      <w:r w:rsidRPr="00DE5AAC">
        <w:rPr>
          <w:rFonts w:asciiTheme="minorHAnsi" w:eastAsiaTheme="minorHAnsi" w:hAnsiTheme="minorHAnsi" w:cs="TimesNewRoman"/>
        </w:rPr>
        <w:t xml:space="preserve"> participants (26.9%) had evidence of prior SARS-CoV-2 infection</w:t>
      </w:r>
      <w:r>
        <w:rPr>
          <w:rFonts w:asciiTheme="minorHAnsi" w:eastAsiaTheme="minorHAnsi" w:hAnsiTheme="minorHAnsi" w:cs="TimesNewRoman"/>
        </w:rPr>
        <w:t>.</w:t>
      </w:r>
    </w:p>
    <w:p w14:paraId="50987AB6" w14:textId="35647A4C" w:rsidR="001267EB" w:rsidRPr="00986C48" w:rsidRDefault="001267EB" w:rsidP="00671B0B">
      <w:pPr>
        <w:pStyle w:val="Heading6"/>
      </w:pPr>
      <w:r w:rsidRPr="00986C48">
        <w:t>Results</w:t>
      </w:r>
    </w:p>
    <w:p w14:paraId="4BD28511" w14:textId="35EFD513" w:rsidR="001267EB" w:rsidRDefault="001267EB" w:rsidP="001267EB">
      <w:pPr>
        <w:rPr>
          <w:rFonts w:asciiTheme="minorHAnsi" w:eastAsiaTheme="minorHAnsi" w:hAnsiTheme="minorHAnsi" w:cs="TimesNewRoman"/>
        </w:rPr>
      </w:pPr>
      <w:r w:rsidRPr="00B070D1">
        <w:rPr>
          <w:rFonts w:asciiTheme="minorHAnsi" w:eastAsiaTheme="minorHAnsi" w:hAnsiTheme="minorHAnsi" w:cs="TimesNewRoman"/>
        </w:rPr>
        <w:t xml:space="preserve">The primary analysis population for </w:t>
      </w:r>
      <w:r w:rsidR="008C269E" w:rsidRPr="00B070D1">
        <w:rPr>
          <w:rFonts w:asciiTheme="minorHAnsi" w:eastAsiaTheme="minorHAnsi" w:hAnsiTheme="minorHAnsi" w:cs="TimesNewRoman"/>
        </w:rPr>
        <w:t xml:space="preserve">primary objective </w:t>
      </w:r>
      <w:r w:rsidR="008C269E">
        <w:rPr>
          <w:rFonts w:asciiTheme="minorHAnsi" w:eastAsiaTheme="minorHAnsi" w:hAnsiTheme="minorHAnsi" w:cs="TimesNewRoman"/>
        </w:rPr>
        <w:t>of the</w:t>
      </w:r>
      <w:r w:rsidRPr="00B070D1">
        <w:rPr>
          <w:rFonts w:asciiTheme="minorHAnsi" w:eastAsiaTheme="minorHAnsi" w:hAnsiTheme="minorHAnsi" w:cs="TimesNewRoman"/>
        </w:rPr>
        <w:t xml:space="preserve"> </w:t>
      </w:r>
      <w:r w:rsidR="008C269E">
        <w:rPr>
          <w:rFonts w:asciiTheme="minorHAnsi" w:eastAsiaTheme="minorHAnsi" w:hAnsiTheme="minorHAnsi" w:cs="TimesNewRoman"/>
        </w:rPr>
        <w:t xml:space="preserve">comparison of Study P205 </w:t>
      </w:r>
      <w:r w:rsidR="00B43E80">
        <w:rPr>
          <w:rFonts w:asciiTheme="minorHAnsi" w:eastAsiaTheme="minorHAnsi" w:hAnsiTheme="minorHAnsi" w:cs="TimesNewRoman"/>
        </w:rPr>
        <w:t>P</w:t>
      </w:r>
      <w:r w:rsidR="008C269E">
        <w:rPr>
          <w:rFonts w:asciiTheme="minorHAnsi" w:eastAsiaTheme="minorHAnsi" w:hAnsiTheme="minorHAnsi" w:cs="TimesNewRoman"/>
        </w:rPr>
        <w:t xml:space="preserve">art H versus Study P205 Part F </w:t>
      </w:r>
      <w:r w:rsidRPr="00B070D1">
        <w:rPr>
          <w:rFonts w:asciiTheme="minorHAnsi" w:eastAsiaTheme="minorHAnsi" w:hAnsiTheme="minorHAnsi" w:cs="TimesNewRoman"/>
        </w:rPr>
        <w:t xml:space="preserve">was the </w:t>
      </w:r>
      <w:r w:rsidR="008C269E">
        <w:rPr>
          <w:rFonts w:asciiTheme="minorHAnsi" w:eastAsiaTheme="minorHAnsi" w:hAnsiTheme="minorHAnsi" w:cs="TimesNewRoman"/>
        </w:rPr>
        <w:t>p</w:t>
      </w:r>
      <w:r w:rsidR="008C269E" w:rsidRPr="008C269E">
        <w:rPr>
          <w:rFonts w:asciiTheme="minorHAnsi" w:eastAsiaTheme="minorHAnsi" w:hAnsiTheme="minorHAnsi" w:cs="TimesNewRoman"/>
        </w:rPr>
        <w:t>er-</w:t>
      </w:r>
      <w:r w:rsidR="008C269E">
        <w:rPr>
          <w:rFonts w:asciiTheme="minorHAnsi" w:eastAsiaTheme="minorHAnsi" w:hAnsiTheme="minorHAnsi" w:cs="TimesNewRoman"/>
        </w:rPr>
        <w:t>p</w:t>
      </w:r>
      <w:r w:rsidR="008C269E" w:rsidRPr="008C269E">
        <w:rPr>
          <w:rFonts w:asciiTheme="minorHAnsi" w:eastAsiaTheme="minorHAnsi" w:hAnsiTheme="minorHAnsi" w:cs="TimesNewRoman"/>
        </w:rPr>
        <w:t>rotocol</w:t>
      </w:r>
      <w:r w:rsidR="008C269E">
        <w:rPr>
          <w:rFonts w:asciiTheme="minorHAnsi" w:eastAsiaTheme="minorHAnsi" w:hAnsiTheme="minorHAnsi" w:cs="TimesNewRoman"/>
        </w:rPr>
        <w:t xml:space="preserve"> i</w:t>
      </w:r>
      <w:r w:rsidR="008C269E" w:rsidRPr="008C269E">
        <w:rPr>
          <w:rFonts w:asciiTheme="minorHAnsi" w:eastAsiaTheme="minorHAnsi" w:hAnsiTheme="minorHAnsi" w:cs="TimesNewRoman"/>
        </w:rPr>
        <w:t>mmunogenicity</w:t>
      </w:r>
      <w:r w:rsidR="008C269E">
        <w:rPr>
          <w:rFonts w:asciiTheme="minorHAnsi" w:eastAsiaTheme="minorHAnsi" w:hAnsiTheme="minorHAnsi" w:cs="TimesNewRoman"/>
        </w:rPr>
        <w:t xml:space="preserve"> negative</w:t>
      </w:r>
      <w:r w:rsidRPr="00B070D1">
        <w:rPr>
          <w:rFonts w:asciiTheme="minorHAnsi" w:eastAsiaTheme="minorHAnsi" w:hAnsiTheme="minorHAnsi" w:cs="TimesNewRoman"/>
        </w:rPr>
        <w:t xml:space="preserve"> population (participants with no prior infection).</w:t>
      </w:r>
    </w:p>
    <w:p w14:paraId="6647AE3F" w14:textId="77777777" w:rsidR="001267EB" w:rsidRPr="008C269E" w:rsidRDefault="001267EB" w:rsidP="008C269E">
      <w:pPr>
        <w:pStyle w:val="Heading7"/>
        <w:rPr>
          <w:rFonts w:eastAsiaTheme="minorHAnsi"/>
          <w:sz w:val="22"/>
          <w:szCs w:val="28"/>
        </w:rPr>
      </w:pPr>
      <w:r w:rsidRPr="008C269E">
        <w:rPr>
          <w:rFonts w:eastAsiaTheme="minorHAnsi"/>
          <w:sz w:val="22"/>
          <w:szCs w:val="28"/>
        </w:rPr>
        <w:t>Non-inferiority testing</w:t>
      </w:r>
    </w:p>
    <w:p w14:paraId="500ECDCE" w14:textId="3E449D27" w:rsidR="001267EB" w:rsidRDefault="001267EB" w:rsidP="001267EB">
      <w:pPr>
        <w:rPr>
          <w:rFonts w:asciiTheme="minorHAnsi" w:eastAsiaTheme="minorHAnsi" w:hAnsiTheme="minorHAnsi" w:cs="TimesNewRoman"/>
        </w:rPr>
      </w:pPr>
      <w:r w:rsidRPr="00B070D1">
        <w:rPr>
          <w:rFonts w:asciiTheme="minorHAnsi" w:eastAsiaTheme="minorHAnsi" w:hAnsiTheme="minorHAnsi" w:cs="TimesNewRoman"/>
        </w:rPr>
        <w:t xml:space="preserve">In the </w:t>
      </w:r>
      <w:r w:rsidR="008C269E">
        <w:rPr>
          <w:rFonts w:asciiTheme="minorHAnsi" w:eastAsiaTheme="minorHAnsi" w:hAnsiTheme="minorHAnsi" w:cs="TimesNewRoman"/>
        </w:rPr>
        <w:t>p</w:t>
      </w:r>
      <w:r w:rsidR="008C269E" w:rsidRPr="008C269E">
        <w:rPr>
          <w:rFonts w:asciiTheme="minorHAnsi" w:eastAsiaTheme="minorHAnsi" w:hAnsiTheme="minorHAnsi" w:cs="TimesNewRoman"/>
        </w:rPr>
        <w:t>er-</w:t>
      </w:r>
      <w:r w:rsidR="008C269E">
        <w:rPr>
          <w:rFonts w:asciiTheme="minorHAnsi" w:eastAsiaTheme="minorHAnsi" w:hAnsiTheme="minorHAnsi" w:cs="TimesNewRoman"/>
        </w:rPr>
        <w:t>p</w:t>
      </w:r>
      <w:r w:rsidR="008C269E" w:rsidRPr="008C269E">
        <w:rPr>
          <w:rFonts w:asciiTheme="minorHAnsi" w:eastAsiaTheme="minorHAnsi" w:hAnsiTheme="minorHAnsi" w:cs="TimesNewRoman"/>
        </w:rPr>
        <w:t>rotocol</w:t>
      </w:r>
      <w:r w:rsidR="008C269E">
        <w:rPr>
          <w:rFonts w:asciiTheme="minorHAnsi" w:eastAsiaTheme="minorHAnsi" w:hAnsiTheme="minorHAnsi" w:cs="TimesNewRoman"/>
        </w:rPr>
        <w:t xml:space="preserve"> i</w:t>
      </w:r>
      <w:r w:rsidR="008C269E" w:rsidRPr="008C269E">
        <w:rPr>
          <w:rFonts w:asciiTheme="minorHAnsi" w:eastAsiaTheme="minorHAnsi" w:hAnsiTheme="minorHAnsi" w:cs="TimesNewRoman"/>
        </w:rPr>
        <w:t>mmunogenicity</w:t>
      </w:r>
      <w:r w:rsidR="008C269E">
        <w:rPr>
          <w:rFonts w:asciiTheme="minorHAnsi" w:eastAsiaTheme="minorHAnsi" w:hAnsiTheme="minorHAnsi" w:cs="TimesNewRoman"/>
        </w:rPr>
        <w:t xml:space="preserve"> negative</w:t>
      </w:r>
      <w:r w:rsidR="008C269E" w:rsidRPr="00B070D1">
        <w:rPr>
          <w:rFonts w:asciiTheme="minorHAnsi" w:eastAsiaTheme="minorHAnsi" w:hAnsiTheme="minorHAnsi" w:cs="TimesNewRoman"/>
        </w:rPr>
        <w:t xml:space="preserve"> </w:t>
      </w:r>
      <w:r w:rsidRPr="00B070D1">
        <w:rPr>
          <w:rFonts w:asciiTheme="minorHAnsi" w:eastAsiaTheme="minorHAnsi" w:hAnsiTheme="minorHAnsi" w:cs="TimesNewRoman"/>
        </w:rPr>
        <w:t xml:space="preserve">set population (participants with no prior infection), the observed GMT (95% CI) against Omicron </w:t>
      </w:r>
      <w:r w:rsidR="00B43E80">
        <w:rPr>
          <w:rFonts w:asciiTheme="minorHAnsi" w:eastAsiaTheme="minorHAnsi" w:hAnsiTheme="minorHAnsi" w:cs="TimesNewRoman"/>
        </w:rPr>
        <w:t xml:space="preserve">subvariant </w:t>
      </w:r>
      <w:r w:rsidR="001405D9">
        <w:rPr>
          <w:rFonts w:asciiTheme="minorHAnsi" w:eastAsiaTheme="minorHAnsi" w:hAnsiTheme="minorHAnsi" w:cs="TimesNewRoman"/>
        </w:rPr>
        <w:t>BA.4</w:t>
      </w:r>
      <w:r w:rsidR="00B43E80">
        <w:rPr>
          <w:rFonts w:asciiTheme="minorHAnsi" w:eastAsiaTheme="minorHAnsi" w:hAnsiTheme="minorHAnsi" w:cs="TimesNewRoman"/>
        </w:rPr>
        <w:t>/</w:t>
      </w:r>
      <w:r w:rsidR="001405D9">
        <w:rPr>
          <w:rFonts w:asciiTheme="minorHAnsi" w:eastAsiaTheme="minorHAnsi" w:hAnsiTheme="minorHAnsi" w:cs="TimesNewRoman"/>
        </w:rPr>
        <w:t>5</w:t>
      </w:r>
      <w:r w:rsidRPr="00B070D1">
        <w:rPr>
          <w:rFonts w:asciiTheme="minorHAnsi" w:eastAsiaTheme="minorHAnsi" w:hAnsiTheme="minorHAnsi" w:cs="TimesNewRoman"/>
        </w:rPr>
        <w:t xml:space="preserve"> at pre-booster was 87.9 (72.2,107.1) and increased to 2324.6 (1921.2, 2812.7) 28 days after the booster dose for </w:t>
      </w:r>
      <w:proofErr w:type="spellStart"/>
      <w:r w:rsidR="005F03E4">
        <w:t>Spikevax</w:t>
      </w:r>
      <w:proofErr w:type="spellEnd"/>
      <w:r w:rsidR="005F03E4">
        <w:t xml:space="preserve"> </w:t>
      </w:r>
      <w:r w:rsidR="008C269E">
        <w:rPr>
          <w:rFonts w:asciiTheme="minorHAnsi" w:eastAsiaTheme="minorHAnsi" w:hAnsiTheme="minorHAnsi" w:cs="TimesNewRoman"/>
        </w:rPr>
        <w:t xml:space="preserve">bivalent Original/Omicron </w:t>
      </w:r>
      <w:r w:rsidR="001405D9">
        <w:rPr>
          <w:rFonts w:asciiTheme="minorHAnsi" w:eastAsiaTheme="minorHAnsi" w:hAnsiTheme="minorHAnsi" w:cs="TimesNewRoman"/>
        </w:rPr>
        <w:t>BA.4-5</w:t>
      </w:r>
      <w:r w:rsidRPr="00B070D1">
        <w:rPr>
          <w:rFonts w:asciiTheme="minorHAnsi" w:eastAsiaTheme="minorHAnsi" w:hAnsiTheme="minorHAnsi" w:cs="TimesNewRoman"/>
        </w:rPr>
        <w:t xml:space="preserve"> and the GMFR (95% CI) for the GMTs 28 days after the booster compared to pre-booster was 26.4 (22, 31.9).In the </w:t>
      </w:r>
      <w:r w:rsidR="008C269E">
        <w:rPr>
          <w:rFonts w:asciiTheme="minorHAnsi" w:eastAsiaTheme="minorHAnsi" w:hAnsiTheme="minorHAnsi" w:cs="TimesNewRoman"/>
        </w:rPr>
        <w:t xml:space="preserve">monovalent </w:t>
      </w:r>
      <w:proofErr w:type="spellStart"/>
      <w:r w:rsidR="008C269E">
        <w:rPr>
          <w:rFonts w:asciiTheme="minorHAnsi" w:eastAsiaTheme="minorHAnsi" w:hAnsiTheme="minorHAnsi" w:cs="TimesNewRoman"/>
        </w:rPr>
        <w:t>Spikevax</w:t>
      </w:r>
      <w:proofErr w:type="spellEnd"/>
      <w:r w:rsidRPr="00B070D1">
        <w:rPr>
          <w:rFonts w:asciiTheme="minorHAnsi" w:eastAsiaTheme="minorHAnsi" w:hAnsiTheme="minorHAnsi" w:cs="TimesNewRoman"/>
        </w:rPr>
        <w:t xml:space="preserve"> group, the observed GMT (95% CIs) at pre-booster was 136.1 (116.3, 159.3) and increased to 488.5 (427.4, 558.4 28 days after the booster dose and GMFR (95% CI) was 3.6 (3.3, 4)</w:t>
      </w:r>
      <w:r w:rsidR="00584927">
        <w:rPr>
          <w:rFonts w:asciiTheme="minorHAnsi" w:eastAsiaTheme="minorHAnsi" w:hAnsiTheme="minorHAnsi" w:cs="TimesNewRoman"/>
        </w:rPr>
        <w:t xml:space="preserve"> (see </w:t>
      </w:r>
      <w:r w:rsidR="00584927">
        <w:rPr>
          <w:rFonts w:asciiTheme="minorHAnsi" w:eastAsiaTheme="minorHAnsi" w:hAnsiTheme="minorHAnsi" w:cs="TimesNewRoman"/>
        </w:rPr>
        <w:fldChar w:fldCharType="begin"/>
      </w:r>
      <w:r w:rsidR="00584927">
        <w:rPr>
          <w:rFonts w:asciiTheme="minorHAnsi" w:eastAsiaTheme="minorHAnsi" w:hAnsiTheme="minorHAnsi" w:cs="TimesNewRoman"/>
        </w:rPr>
        <w:instrText xml:space="preserve"> REF _Ref126847104 \h </w:instrText>
      </w:r>
      <w:r w:rsidR="00584927">
        <w:rPr>
          <w:rFonts w:asciiTheme="minorHAnsi" w:eastAsiaTheme="minorHAnsi" w:hAnsiTheme="minorHAnsi" w:cs="TimesNewRoman"/>
        </w:rPr>
      </w:r>
      <w:r w:rsidR="00584927">
        <w:rPr>
          <w:rFonts w:asciiTheme="minorHAnsi" w:eastAsiaTheme="minorHAnsi" w:hAnsiTheme="minorHAnsi" w:cs="TimesNewRoman"/>
        </w:rPr>
        <w:fldChar w:fldCharType="separate"/>
      </w:r>
      <w:r w:rsidR="00AA4DFB">
        <w:t xml:space="preserve">Table </w:t>
      </w:r>
      <w:r w:rsidR="00AA4DFB">
        <w:rPr>
          <w:noProof/>
        </w:rPr>
        <w:t>7</w:t>
      </w:r>
      <w:r w:rsidR="00584927">
        <w:rPr>
          <w:rFonts w:asciiTheme="minorHAnsi" w:eastAsiaTheme="minorHAnsi" w:hAnsiTheme="minorHAnsi" w:cs="TimesNewRoman"/>
        </w:rPr>
        <w:fldChar w:fldCharType="end"/>
      </w:r>
      <w:r w:rsidR="00584927">
        <w:rPr>
          <w:rFonts w:asciiTheme="minorHAnsi" w:eastAsiaTheme="minorHAnsi" w:hAnsiTheme="minorHAnsi" w:cs="TimesNewRoman"/>
        </w:rPr>
        <w:t>).</w:t>
      </w:r>
    </w:p>
    <w:p w14:paraId="011A0029" w14:textId="77777777" w:rsidR="00584927" w:rsidRPr="00671B0B" w:rsidRDefault="00584927" w:rsidP="00584927">
      <w:pPr>
        <w:pStyle w:val="Heading7"/>
        <w:rPr>
          <w:rFonts w:eastAsiaTheme="minorHAnsi"/>
          <w:sz w:val="22"/>
          <w:szCs w:val="28"/>
        </w:rPr>
      </w:pPr>
      <w:r w:rsidRPr="00671B0B">
        <w:rPr>
          <w:rFonts w:eastAsiaTheme="minorHAnsi"/>
          <w:sz w:val="22"/>
          <w:szCs w:val="28"/>
        </w:rPr>
        <w:t>Superiority testing</w:t>
      </w:r>
    </w:p>
    <w:p w14:paraId="5D84DDEA" w14:textId="07D69312" w:rsidR="00584927" w:rsidRPr="00671B0B" w:rsidRDefault="00584927" w:rsidP="00584927">
      <w:r w:rsidRPr="00671B0B">
        <w:t xml:space="preserve">Given that the </w:t>
      </w:r>
      <w:r>
        <w:t>four</w:t>
      </w:r>
      <w:r w:rsidRPr="00671B0B">
        <w:t xml:space="preserve"> conditions of non-inferiority were met (GMR and SRR difference for Omicron </w:t>
      </w:r>
      <w:r w:rsidR="00B43E80">
        <w:t xml:space="preserve">subvariant </w:t>
      </w:r>
      <w:r w:rsidRPr="00671B0B">
        <w:t xml:space="preserve">BA.4/BA.5 and GMR and SRR difference for ancestral </w:t>
      </w:r>
      <w:r>
        <w:t>strain</w:t>
      </w:r>
      <w:r w:rsidRPr="00671B0B">
        <w:t>), based on the pre</w:t>
      </w:r>
      <w:r>
        <w:noBreakHyphen/>
      </w:r>
      <w:r w:rsidRPr="00671B0B">
        <w:t xml:space="preserve">specified testing, the lower bound of the CI of the </w:t>
      </w:r>
      <w:r w:rsidR="00B43E80">
        <w:t xml:space="preserve">Omicron </w:t>
      </w:r>
      <w:r w:rsidR="001405D9">
        <w:t>BA.4</w:t>
      </w:r>
      <w:r w:rsidR="00B43E80">
        <w:t>/</w:t>
      </w:r>
      <w:r w:rsidR="001405D9">
        <w:t>5</w:t>
      </w:r>
      <w:r w:rsidRPr="00671B0B">
        <w:t xml:space="preserve"> GMR was also compared to 1 (pre-specified criterion for superiority) and the superiority criterion was also met (lower bound of CI </w:t>
      </w:r>
      <w:r>
        <w:t xml:space="preserve">greater than </w:t>
      </w:r>
      <w:r w:rsidRPr="00671B0B">
        <w:t>1).</w:t>
      </w:r>
    </w:p>
    <w:p w14:paraId="6034AE69" w14:textId="6E866A96" w:rsidR="00584927" w:rsidRPr="00584927" w:rsidRDefault="00584927" w:rsidP="001267EB">
      <w:r w:rsidRPr="00671B0B">
        <w:t>Therefore, all primary immunogenicity endpoints were met and 50</w:t>
      </w:r>
      <w:r>
        <w:t xml:space="preserve"> µ</w:t>
      </w:r>
      <w:r w:rsidRPr="00671B0B">
        <w:t xml:space="preserve">g </w:t>
      </w:r>
      <w:proofErr w:type="spellStart"/>
      <w:r w:rsidR="00B43E80">
        <w:t>Spikevax</w:t>
      </w:r>
      <w:proofErr w:type="spellEnd"/>
      <w:r w:rsidR="00B43E80">
        <w:t xml:space="preserve"> </w:t>
      </w:r>
      <w:r>
        <w:t xml:space="preserve">bivalent Original/Omicron </w:t>
      </w:r>
      <w:r w:rsidR="001405D9">
        <w:t>BA.4-5</w:t>
      </w:r>
      <w:r w:rsidRPr="00671B0B">
        <w:t xml:space="preserve"> </w:t>
      </w:r>
      <w:r w:rsidR="00B43E80">
        <w:t xml:space="preserve">vaccine </w:t>
      </w:r>
      <w:r w:rsidR="00B43E80">
        <w:rPr>
          <w:lang w:eastAsia="ja-JP"/>
        </w:rPr>
        <w:t>(</w:t>
      </w:r>
      <w:proofErr w:type="spellStart"/>
      <w:r w:rsidR="00B43E80">
        <w:rPr>
          <w:lang w:eastAsia="ja-JP"/>
        </w:rPr>
        <w:t>elasomeran</w:t>
      </w:r>
      <w:proofErr w:type="spellEnd"/>
      <w:r w:rsidR="00B43E80">
        <w:rPr>
          <w:lang w:eastAsia="ja-JP"/>
        </w:rPr>
        <w:t xml:space="preserve"> and </w:t>
      </w:r>
      <w:proofErr w:type="spellStart"/>
      <w:r w:rsidR="00B43E80">
        <w:rPr>
          <w:lang w:eastAsia="ja-JP"/>
        </w:rPr>
        <w:t>davesomeran</w:t>
      </w:r>
      <w:proofErr w:type="spellEnd"/>
      <w:r w:rsidR="00B43E80">
        <w:rPr>
          <w:lang w:eastAsia="ja-JP"/>
        </w:rPr>
        <w:t xml:space="preserve">) </w:t>
      </w:r>
      <w:r w:rsidRPr="00671B0B">
        <w:t>elicited superior neutrali</w:t>
      </w:r>
      <w:r>
        <w:t>s</w:t>
      </w:r>
      <w:r w:rsidRPr="00671B0B">
        <w:t xml:space="preserve">ing antibody responses compared to that of 50 </w:t>
      </w:r>
      <w:r>
        <w:t>µ</w:t>
      </w:r>
      <w:r>
        <w:rPr>
          <w:rFonts w:hint="eastAsia"/>
        </w:rPr>
        <w:t>g</w:t>
      </w:r>
      <w:r w:rsidRPr="00671B0B">
        <w:t xml:space="preserve"> </w:t>
      </w:r>
      <w:r>
        <w:t xml:space="preserve">monovalent </w:t>
      </w:r>
      <w:proofErr w:type="spellStart"/>
      <w:r>
        <w:t>Spikevax</w:t>
      </w:r>
      <w:proofErr w:type="spellEnd"/>
      <w:r w:rsidRPr="00671B0B">
        <w:t xml:space="preserve"> </w:t>
      </w:r>
      <w:r w:rsidR="00B43E80">
        <w:t>vaccine (</w:t>
      </w:r>
      <w:proofErr w:type="spellStart"/>
      <w:r w:rsidR="00B43E80">
        <w:t>elasomeran</w:t>
      </w:r>
      <w:proofErr w:type="spellEnd"/>
      <w:r w:rsidR="00B43E80">
        <w:t xml:space="preserve">) </w:t>
      </w:r>
      <w:r w:rsidRPr="00671B0B">
        <w:t xml:space="preserve">against Omicron </w:t>
      </w:r>
      <w:r w:rsidR="00B43E80">
        <w:t xml:space="preserve">subvariant </w:t>
      </w:r>
      <w:r w:rsidRPr="00671B0B">
        <w:t>BA.4/BA.5</w:t>
      </w:r>
      <w:r>
        <w:t xml:space="preserve"> (see</w:t>
      </w:r>
      <w:r w:rsidR="00FC49C4">
        <w:t xml:space="preserve"> </w:t>
      </w:r>
      <w:r>
        <w:fldChar w:fldCharType="begin"/>
      </w:r>
      <w:r>
        <w:instrText xml:space="preserve"> REF _Ref126847104 \h </w:instrText>
      </w:r>
      <w:r>
        <w:fldChar w:fldCharType="separate"/>
      </w:r>
      <w:r w:rsidR="00AA4DFB">
        <w:t xml:space="preserve">Table </w:t>
      </w:r>
      <w:r w:rsidR="00AA4DFB">
        <w:rPr>
          <w:noProof/>
        </w:rPr>
        <w:t>7</w:t>
      </w:r>
      <w:r>
        <w:fldChar w:fldCharType="end"/>
      </w:r>
      <w:r>
        <w:t>).</w:t>
      </w:r>
    </w:p>
    <w:p w14:paraId="5C18BCF0" w14:textId="1A814491" w:rsidR="008C269E" w:rsidRDefault="008C269E" w:rsidP="00671B0B">
      <w:pPr>
        <w:pStyle w:val="TableTitle"/>
        <w:keepLines/>
        <w:widowControl w:val="0"/>
      </w:pPr>
      <w:bookmarkStart w:id="40" w:name="_Ref126847104"/>
      <w:r>
        <w:lastRenderedPageBreak/>
        <w:t xml:space="preserve">Table </w:t>
      </w:r>
      <w:fldSimple w:instr=" SEQ Table \* ARABIC ">
        <w:r w:rsidR="00AA4DFB">
          <w:rPr>
            <w:noProof/>
          </w:rPr>
          <w:t>7</w:t>
        </w:r>
      </w:fldSimple>
      <w:bookmarkEnd w:id="40"/>
      <w:r>
        <w:t xml:space="preserve">: </w:t>
      </w:r>
      <w:r w:rsidR="00B43E80">
        <w:t xml:space="preserve">Study P205 Part H and F; </w:t>
      </w:r>
      <w:r w:rsidRPr="00656A0D">
        <w:t xml:space="preserve">Ancestral </w:t>
      </w:r>
      <w:r>
        <w:t xml:space="preserve">strain </w:t>
      </w:r>
      <w:r w:rsidRPr="00656A0D">
        <w:t xml:space="preserve">and Omicron </w:t>
      </w:r>
      <w:r w:rsidR="00B43E80">
        <w:t xml:space="preserve">subvariant </w:t>
      </w:r>
      <w:r w:rsidRPr="00656A0D">
        <w:t xml:space="preserve">BA.4/BA.5 </w:t>
      </w:r>
      <w:r>
        <w:t>n</w:t>
      </w:r>
      <w:r w:rsidRPr="00656A0D">
        <w:t>eutrali</w:t>
      </w:r>
      <w:r>
        <w:t>s</w:t>
      </w:r>
      <w:r w:rsidRPr="00656A0D">
        <w:t xml:space="preserve">ing </w:t>
      </w:r>
      <w:r>
        <w:t>a</w:t>
      </w:r>
      <w:r w:rsidRPr="00656A0D">
        <w:t xml:space="preserve">ntibody </w:t>
      </w:r>
      <w:r>
        <w:t>t</w:t>
      </w:r>
      <w:r w:rsidRPr="00656A0D">
        <w:t>it</w:t>
      </w:r>
      <w:r w:rsidR="00584927">
        <w:t>re</w:t>
      </w:r>
      <w:r w:rsidRPr="00656A0D">
        <w:t>s (ID</w:t>
      </w:r>
      <w:r w:rsidRPr="008C269E">
        <w:rPr>
          <w:vertAlign w:val="subscript"/>
        </w:rPr>
        <w:t>50</w:t>
      </w:r>
      <w:r w:rsidRPr="00656A0D">
        <w:t xml:space="preserve">) </w:t>
      </w:r>
      <w:r w:rsidR="00B43E80">
        <w:t xml:space="preserve">for 50 µg </w:t>
      </w:r>
      <w:r>
        <w:t xml:space="preserve">bivalent Original/Omicron </w:t>
      </w:r>
      <w:r w:rsidR="001405D9">
        <w:t>BA.4-5</w:t>
      </w:r>
      <w:r>
        <w:t xml:space="preserve"> </w:t>
      </w:r>
      <w:r w:rsidRPr="00656A0D">
        <w:t xml:space="preserve">and </w:t>
      </w:r>
      <w:r w:rsidR="00B43E80">
        <w:t xml:space="preserve">50 µg </w:t>
      </w:r>
      <w:r>
        <w:t xml:space="preserve">monovalent </w:t>
      </w:r>
      <w:proofErr w:type="spellStart"/>
      <w:r>
        <w:t>Spikevax</w:t>
      </w:r>
      <w:proofErr w:type="spellEnd"/>
      <w:r>
        <w:t xml:space="preserve"> </w:t>
      </w:r>
      <w:r w:rsidR="00B43E80">
        <w:t>vaccines</w:t>
      </w:r>
      <w:r w:rsidRPr="00656A0D">
        <w:t xml:space="preserve"> </w:t>
      </w:r>
      <w:r>
        <w:t>a</w:t>
      </w:r>
      <w:r w:rsidRPr="00656A0D">
        <w:t xml:space="preserve">dministered as </w:t>
      </w:r>
      <w:r>
        <w:t>s</w:t>
      </w:r>
      <w:r w:rsidRPr="00656A0D">
        <w:t xml:space="preserve">econd </w:t>
      </w:r>
      <w:r>
        <w:t>b</w:t>
      </w:r>
      <w:r w:rsidRPr="00656A0D">
        <w:t xml:space="preserve">ooster </w:t>
      </w:r>
      <w:r>
        <w:t>d</w:t>
      </w:r>
      <w:r w:rsidRPr="00656A0D">
        <w:t>oses</w:t>
      </w:r>
      <w:r>
        <w:t xml:space="preserve"> in p</w:t>
      </w:r>
      <w:r w:rsidRPr="00656A0D">
        <w:t xml:space="preserve">articipants without </w:t>
      </w:r>
      <w:r>
        <w:t>i</w:t>
      </w:r>
      <w:r w:rsidRPr="00656A0D">
        <w:t xml:space="preserve">nfection at pre-booster </w:t>
      </w:r>
      <w:r>
        <w:t>(p</w:t>
      </w:r>
      <w:r w:rsidRPr="00656A0D">
        <w:t>er</w:t>
      </w:r>
      <w:r w:rsidR="00FC49C4">
        <w:t>-</w:t>
      </w:r>
      <w:r>
        <w:t>p</w:t>
      </w:r>
      <w:r w:rsidRPr="00656A0D">
        <w:t xml:space="preserve">rotocol </w:t>
      </w:r>
      <w:r>
        <w:t>i</w:t>
      </w:r>
      <w:r w:rsidRPr="00656A0D">
        <w:t xml:space="preserve">mmunogenicity </w:t>
      </w:r>
      <w:r>
        <w:t>n</w:t>
      </w:r>
      <w:r w:rsidRPr="00656A0D">
        <w:t xml:space="preserve">egative </w:t>
      </w:r>
      <w:r>
        <w:t>set)</w:t>
      </w:r>
    </w:p>
    <w:p w14:paraId="3B7394AD" w14:textId="5040C978" w:rsidR="001267EB" w:rsidRDefault="008C269E" w:rsidP="008C269E">
      <w:pPr>
        <w:pStyle w:val="Caption"/>
      </w:pPr>
      <w:r>
        <w:rPr>
          <w:noProof/>
          <w:lang w:val="en-GB" w:eastAsia="en-GB"/>
        </w:rPr>
        <w:drawing>
          <wp:inline distT="0" distB="0" distL="0" distR="0" wp14:anchorId="3FDE430A" wp14:editId="2983AC08">
            <wp:extent cx="5136543" cy="4833374"/>
            <wp:effectExtent l="0" t="0" r="6985" b="5715"/>
            <wp:docPr id="1" name="Picture 1" descr="Ancestral strain and Omicron (BA.4/BA.5) neutralising antibody titres (ID50) bivalent Original/Omicron BA.4 -5 at 50 µg and monovalent Spikevax at 50 µg administered as second booster doses in participants without infection at pre-booster (per protocol immunogenicity negativ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cestral strain and Omicron (BA.4/BA.5) neutralising antibody titres (ID50) bivalent Original/Omicron BA.4 -5 at 50 µg and monovalent Spikevax at 50 µg administered as second booster doses in participants without infection at pre-booster (per protocol immunogenicity negative set)"/>
                    <pic:cNvPicPr/>
                  </pic:nvPicPr>
                  <pic:blipFill>
                    <a:blip r:embed="rId30"/>
                    <a:stretch>
                      <a:fillRect/>
                    </a:stretch>
                  </pic:blipFill>
                  <pic:spPr>
                    <a:xfrm>
                      <a:off x="0" y="0"/>
                      <a:ext cx="5148993" cy="4845089"/>
                    </a:xfrm>
                    <a:prstGeom prst="rect">
                      <a:avLst/>
                    </a:prstGeom>
                  </pic:spPr>
                </pic:pic>
              </a:graphicData>
            </a:graphic>
          </wp:inline>
        </w:drawing>
      </w:r>
    </w:p>
    <w:p w14:paraId="5E2116EC" w14:textId="77777777" w:rsidR="007E05A7" w:rsidRDefault="007E05A7" w:rsidP="007E05A7">
      <w:pPr>
        <w:pStyle w:val="TableDescription"/>
      </w:pPr>
      <w:r>
        <w:t xml:space="preserve">Abbreviations: CI = confidence interval; GLSM = geometric least square mean; GMT = geometric mean titre; GMFR = </w:t>
      </w:r>
      <w:r w:rsidRPr="001C585E">
        <w:t>geometric mean fold rise</w:t>
      </w:r>
      <w:r>
        <w:t>; ID</w:t>
      </w:r>
      <w:r w:rsidRPr="008965CC">
        <w:rPr>
          <w:vertAlign w:val="subscript"/>
        </w:rPr>
        <w:t>50</w:t>
      </w:r>
      <w:r>
        <w:t xml:space="preserve"> = 50% inhibitory dilution; LLOQ = lower limit of quantification; mRNA -1273.222 = bivalent Original/Omicron BA.4 – 5; mRNA-1273 = monovalent </w:t>
      </w:r>
      <w:proofErr w:type="spellStart"/>
      <w:r>
        <w:t>Spikevax</w:t>
      </w:r>
      <w:proofErr w:type="spellEnd"/>
      <w:r>
        <w:t xml:space="preserve">; </w:t>
      </w:r>
      <w:proofErr w:type="spellStart"/>
      <w:r>
        <w:t>nAb</w:t>
      </w:r>
      <w:proofErr w:type="spellEnd"/>
      <w:r>
        <w:t xml:space="preserve"> = neutralising antibody; </w:t>
      </w:r>
      <w:proofErr w:type="spellStart"/>
      <w:r>
        <w:t>PsVNA</w:t>
      </w:r>
      <w:proofErr w:type="spellEnd"/>
      <w:r>
        <w:t xml:space="preserve"> = </w:t>
      </w:r>
      <w:proofErr w:type="spellStart"/>
      <w:r>
        <w:t>pseudotyped</w:t>
      </w:r>
      <w:proofErr w:type="spellEnd"/>
      <w:r>
        <w:t xml:space="preserve"> virus neutralisation assay; SAR-COV-2 = severe acute respiratory syndrome 2.</w:t>
      </w:r>
    </w:p>
    <w:p w14:paraId="14533BD4" w14:textId="20FB931E" w:rsidR="008965CC" w:rsidRDefault="008965CC" w:rsidP="008965CC">
      <w:pPr>
        <w:pStyle w:val="TableDescription"/>
      </w:pPr>
      <w:r>
        <w:t>n = number of participants with non-missing data at the corresponding timepoint.</w:t>
      </w:r>
    </w:p>
    <w:p w14:paraId="6E479BC5" w14:textId="75F941D5" w:rsidR="008965CC" w:rsidRDefault="008965CC" w:rsidP="008965CC">
      <w:pPr>
        <w:pStyle w:val="TableDescription"/>
      </w:pPr>
      <w:r>
        <w:t>N1 = number of participants with non-missing data at pre-vaccination baseline and the corresponding timepoint.</w:t>
      </w:r>
    </w:p>
    <w:p w14:paraId="765F79E4" w14:textId="788CC416" w:rsidR="008965CC" w:rsidRDefault="008965CC" w:rsidP="008965CC">
      <w:pPr>
        <w:pStyle w:val="TableDescription"/>
      </w:pPr>
      <w:r>
        <w:t>N2 = number of participants with non-missing data at pre-booster baseline and the corresponding timepoint.</w:t>
      </w:r>
    </w:p>
    <w:p w14:paraId="4B4B8332" w14:textId="2F913FDE" w:rsidR="008965CC" w:rsidRDefault="008965CC" w:rsidP="008965CC">
      <w:pPr>
        <w:pStyle w:val="TableDescription"/>
      </w:pPr>
      <w:r>
        <w:t>a 95% CI is calculated based on the t-distribution of the log-transformed values or the difference in the log-transformed values for GM values and GM fold-rise, respectively, then back transformed to the original scale for presentation.</w:t>
      </w:r>
    </w:p>
    <w:p w14:paraId="724C005C" w14:textId="4E3FA886" w:rsidR="008965CC" w:rsidRDefault="008965CC" w:rsidP="008965CC">
      <w:pPr>
        <w:pStyle w:val="TableDescription"/>
      </w:pPr>
      <w:r>
        <w:t>b Based on ANCOVA modelling: the model includes adjustment for treatment group, pre-booster antibody titres, and age group.</w:t>
      </w:r>
    </w:p>
    <w:p w14:paraId="7B30F34B" w14:textId="05EDD613" w:rsidR="008965CC" w:rsidRDefault="008965CC" w:rsidP="008965CC">
      <w:pPr>
        <w:pStyle w:val="TableDescription"/>
      </w:pPr>
      <w:r>
        <w:t xml:space="preserve">c </w:t>
      </w:r>
      <w:proofErr w:type="spellStart"/>
      <w:r>
        <w:t>Seroresponse</w:t>
      </w:r>
      <w:proofErr w:type="spellEnd"/>
      <w:r>
        <w:t xml:space="preserve"> at a participant level is defined as a change from below the LLOQ to equal or above 4 x LLOQ if the participant</w:t>
      </w:r>
      <w:r w:rsidR="006F73A4">
        <w:t>’s baseline (pre-</w:t>
      </w:r>
      <w:r w:rsidR="00671B0B">
        <w:t>d</w:t>
      </w:r>
      <w:r w:rsidR="006F73A4">
        <w:t xml:space="preserve">ose 1/pre-booster) is below the LLOQ, or at least a </w:t>
      </w:r>
      <w:proofErr w:type="gramStart"/>
      <w:r w:rsidR="006F73A4">
        <w:t>4 fold</w:t>
      </w:r>
      <w:proofErr w:type="gramEnd"/>
      <w:r w:rsidR="006F73A4">
        <w:t xml:space="preserve"> rise if the baseline</w:t>
      </w:r>
      <w:r w:rsidR="00671B0B">
        <w:t xml:space="preserve"> (pre-dose/pre-booster) is equal to or above the LLOQ. For participants without pre-dose 1 antibody titre information, </w:t>
      </w:r>
      <w:proofErr w:type="spellStart"/>
      <w:r w:rsidR="00671B0B">
        <w:t>seroresponse</w:t>
      </w:r>
      <w:proofErr w:type="spellEnd"/>
      <w:r w:rsidR="00671B0B">
        <w:t xml:space="preserve"> (using pre-dose 1 baseline) is defined as ≥ 4 times LLOQ for </w:t>
      </w:r>
      <w:r w:rsidR="00671B0B">
        <w:lastRenderedPageBreak/>
        <w:t>participants with negative SARS-CoV-2 status at pre-dose 1 of the primary series, and these titres are imputed as &lt; LLOQ at pre-dose 1 of primary series. For participants without SARS-CoV-2 status information at pre-dose 1 of primary series. Their pre-booster SARS-CoV-2 status is used to impute their SARS-CoV-2 status at their pre-dose 1 of primary series.</w:t>
      </w:r>
    </w:p>
    <w:p w14:paraId="16BAA3D6" w14:textId="6D6E2ADF" w:rsidR="00671B0B" w:rsidRDefault="00671B0B" w:rsidP="008965CC">
      <w:pPr>
        <w:pStyle w:val="TableDescription"/>
      </w:pPr>
      <w:r>
        <w:t>d 95% CI is calculated using the Clopper-Pearson method</w:t>
      </w:r>
    </w:p>
    <w:p w14:paraId="366FADF7" w14:textId="0F5415C5" w:rsidR="00671B0B" w:rsidRDefault="00671B0B" w:rsidP="008965CC">
      <w:pPr>
        <w:pStyle w:val="TableDescription"/>
      </w:pPr>
      <w:r>
        <w:t>e 95% CI is calculated by stratified Miettinen-</w:t>
      </w:r>
      <w:proofErr w:type="spellStart"/>
      <w:r>
        <w:t>Nurminen</w:t>
      </w:r>
      <w:proofErr w:type="spellEnd"/>
      <w:r>
        <w:t xml:space="preserve"> method adjusted by age group. The SSR difference is a calculated common risk difference using inverse-variance stratum risk differences The stratified Miettinen-</w:t>
      </w:r>
      <w:proofErr w:type="spellStart"/>
      <w:r>
        <w:t>Nurminen</w:t>
      </w:r>
      <w:proofErr w:type="spellEnd"/>
      <w:r>
        <w:t xml:space="preserve"> estimate of the CI cannot be calculated when the </w:t>
      </w:r>
      <w:proofErr w:type="spellStart"/>
      <w:r>
        <w:t>seroresponse</w:t>
      </w:r>
      <w:proofErr w:type="spellEnd"/>
      <w:r>
        <w:t xml:space="preserve"> rate in both groups is 100% absolute difference is reported.</w:t>
      </w:r>
    </w:p>
    <w:p w14:paraId="02AC4849" w14:textId="786A0FB7" w:rsidR="00584927" w:rsidRDefault="00584927" w:rsidP="00584927">
      <w:pPr>
        <w:rPr>
          <w:rFonts w:asciiTheme="minorHAnsi" w:eastAsiaTheme="minorHAnsi" w:hAnsiTheme="minorHAnsi" w:cs="TimesNewRoman"/>
        </w:rPr>
      </w:pPr>
      <w:r w:rsidRPr="00D52DFA">
        <w:rPr>
          <w:rFonts w:asciiTheme="minorHAnsi" w:eastAsiaTheme="minorHAnsi" w:hAnsiTheme="minorHAnsi" w:cs="TimesNewRoman"/>
        </w:rPr>
        <w:t>An immunogenicity analysis was also performed to evaluate the neutrali</w:t>
      </w:r>
      <w:r>
        <w:rPr>
          <w:rFonts w:asciiTheme="minorHAnsi" w:eastAsiaTheme="minorHAnsi" w:hAnsiTheme="minorHAnsi" w:cs="TimesNewRoman"/>
        </w:rPr>
        <w:t>s</w:t>
      </w:r>
      <w:r w:rsidRPr="00D52DFA">
        <w:rPr>
          <w:rFonts w:asciiTheme="minorHAnsi" w:eastAsiaTheme="minorHAnsi" w:hAnsiTheme="minorHAnsi" w:cs="TimesNewRoman"/>
        </w:rPr>
        <w:t xml:space="preserve">ing antibody responses in participants with evidence of prior SARS-CoV-2 infection at pre-booster. The GMR and SRR results for the </w:t>
      </w:r>
      <w:r>
        <w:rPr>
          <w:rFonts w:asciiTheme="minorHAnsi" w:eastAsiaTheme="minorHAnsi" w:hAnsiTheme="minorHAnsi" w:cs="TimesNewRoman"/>
        </w:rPr>
        <w:t>per protocol immunogenicity p</w:t>
      </w:r>
      <w:r w:rsidRPr="00D52DFA">
        <w:rPr>
          <w:rFonts w:asciiTheme="minorHAnsi" w:eastAsiaTheme="minorHAnsi" w:hAnsiTheme="minorHAnsi" w:cs="TimesNewRoman"/>
        </w:rPr>
        <w:t>os</w:t>
      </w:r>
      <w:r>
        <w:rPr>
          <w:rFonts w:asciiTheme="minorHAnsi" w:eastAsiaTheme="minorHAnsi" w:hAnsiTheme="minorHAnsi" w:cs="TimesNewRoman"/>
        </w:rPr>
        <w:t>itive</w:t>
      </w:r>
      <w:r w:rsidRPr="00D52DFA">
        <w:rPr>
          <w:rFonts w:asciiTheme="minorHAnsi" w:eastAsiaTheme="minorHAnsi" w:hAnsiTheme="minorHAnsi" w:cs="TimesNewRoman"/>
        </w:rPr>
        <w:t xml:space="preserve"> population were consistent with the results of the </w:t>
      </w:r>
      <w:r>
        <w:rPr>
          <w:rFonts w:asciiTheme="minorHAnsi" w:eastAsiaTheme="minorHAnsi" w:hAnsiTheme="minorHAnsi" w:cs="TimesNewRoman"/>
        </w:rPr>
        <w:t>per protocol immunogenicity n</w:t>
      </w:r>
      <w:r w:rsidRPr="00D52DFA">
        <w:rPr>
          <w:rFonts w:asciiTheme="minorHAnsi" w:eastAsiaTheme="minorHAnsi" w:hAnsiTheme="minorHAnsi" w:cs="TimesNewRoman"/>
        </w:rPr>
        <w:t>eg</w:t>
      </w:r>
      <w:r>
        <w:rPr>
          <w:rFonts w:asciiTheme="minorHAnsi" w:eastAsiaTheme="minorHAnsi" w:hAnsiTheme="minorHAnsi" w:cs="TimesNewRoman"/>
        </w:rPr>
        <w:t>ative</w:t>
      </w:r>
      <w:r w:rsidRPr="00D52DFA">
        <w:rPr>
          <w:rFonts w:asciiTheme="minorHAnsi" w:eastAsiaTheme="minorHAnsi" w:hAnsiTheme="minorHAnsi" w:cs="TimesNewRoman"/>
        </w:rPr>
        <w:t xml:space="preserve"> population. Overall, the results were consistent in participants with prior infection in that the </w:t>
      </w:r>
      <w:proofErr w:type="spellStart"/>
      <w:r w:rsidR="00B2293F">
        <w:t>Spikevax</w:t>
      </w:r>
      <w:proofErr w:type="spellEnd"/>
      <w:r w:rsidR="00B2293F">
        <w:t xml:space="preserve"> </w:t>
      </w:r>
      <w:r>
        <w:t xml:space="preserve">bivalent Original/Omicron </w:t>
      </w:r>
      <w:r w:rsidR="001405D9">
        <w:t>BA.4-5</w:t>
      </w:r>
      <w:r>
        <w:t xml:space="preserve"> at 50 µ</w:t>
      </w:r>
      <w:r w:rsidRPr="00656A0D">
        <w:t xml:space="preserve">g </w:t>
      </w:r>
      <w:r w:rsidRPr="00D52DFA">
        <w:rPr>
          <w:rFonts w:asciiTheme="minorHAnsi" w:eastAsiaTheme="minorHAnsi" w:hAnsiTheme="minorHAnsi" w:cs="TimesNewRoman"/>
        </w:rPr>
        <w:t>booster elicited higher neutrali</w:t>
      </w:r>
      <w:r>
        <w:rPr>
          <w:rFonts w:asciiTheme="minorHAnsi" w:eastAsiaTheme="minorHAnsi" w:hAnsiTheme="minorHAnsi" w:cs="TimesNewRoman"/>
        </w:rPr>
        <w:t>s</w:t>
      </w:r>
      <w:r w:rsidRPr="00D52DFA">
        <w:rPr>
          <w:rFonts w:asciiTheme="minorHAnsi" w:eastAsiaTheme="minorHAnsi" w:hAnsiTheme="minorHAnsi" w:cs="TimesNewRoman"/>
        </w:rPr>
        <w:t>ing antibody responses than the</w:t>
      </w:r>
      <w:r>
        <w:rPr>
          <w:rFonts w:asciiTheme="minorHAnsi" w:eastAsiaTheme="minorHAnsi" w:hAnsiTheme="minorHAnsi" w:cs="TimesNewRoman"/>
        </w:rPr>
        <w:t xml:space="preserve"> </w:t>
      </w:r>
      <w:r>
        <w:t xml:space="preserve">monovalent </w:t>
      </w:r>
      <w:proofErr w:type="spellStart"/>
      <w:r>
        <w:t>Spikevax</w:t>
      </w:r>
      <w:proofErr w:type="spellEnd"/>
      <w:r>
        <w:t xml:space="preserve"> at</w:t>
      </w:r>
      <w:r w:rsidRPr="00656A0D">
        <w:t xml:space="preserve"> 50</w:t>
      </w:r>
      <w:r>
        <w:t xml:space="preserve"> µ</w:t>
      </w:r>
      <w:r w:rsidRPr="00656A0D">
        <w:t xml:space="preserve">g </w:t>
      </w:r>
      <w:r w:rsidRPr="00D52DFA">
        <w:rPr>
          <w:rFonts w:asciiTheme="minorHAnsi" w:eastAsiaTheme="minorHAnsi" w:hAnsiTheme="minorHAnsi" w:cs="TimesNewRoman"/>
        </w:rPr>
        <w:t>booster.</w:t>
      </w:r>
    </w:p>
    <w:p w14:paraId="7E2D9AC0" w14:textId="512F853F" w:rsidR="00B43E80" w:rsidRPr="00D52DFA" w:rsidRDefault="00B43E80" w:rsidP="000E1461">
      <w:pPr>
        <w:spacing w:before="0" w:after="200" w:line="0" w:lineRule="auto"/>
        <w:rPr>
          <w:rFonts w:asciiTheme="minorHAnsi" w:eastAsiaTheme="minorHAnsi" w:hAnsiTheme="minorHAnsi" w:cs="TimesNewRoman"/>
        </w:rPr>
      </w:pPr>
      <w:r>
        <w:rPr>
          <w:rFonts w:asciiTheme="minorHAnsi" w:eastAsiaTheme="minorHAnsi" w:hAnsiTheme="minorHAnsi" w:cs="TimesNewRoman"/>
        </w:rPr>
        <w:br w:type="page"/>
      </w:r>
    </w:p>
    <w:p w14:paraId="2D1D1F51" w14:textId="58AE7DC5" w:rsidR="00584927" w:rsidRDefault="00584927" w:rsidP="00584927">
      <w:pPr>
        <w:pStyle w:val="TableTitle"/>
      </w:pPr>
      <w:r>
        <w:lastRenderedPageBreak/>
        <w:t xml:space="preserve">Table </w:t>
      </w:r>
      <w:fldSimple w:instr=" SEQ Table \* ARABIC ">
        <w:r w:rsidR="00AA4DFB">
          <w:rPr>
            <w:noProof/>
          </w:rPr>
          <w:t>8</w:t>
        </w:r>
      </w:fldSimple>
      <w:r>
        <w:t xml:space="preserve">: </w:t>
      </w:r>
      <w:r w:rsidR="00B43E80">
        <w:t xml:space="preserve">Study P205 Parts H and F; </w:t>
      </w:r>
      <w:r w:rsidRPr="00656A0D">
        <w:t xml:space="preserve">Ancestral </w:t>
      </w:r>
      <w:r>
        <w:t xml:space="preserve">strain </w:t>
      </w:r>
      <w:r w:rsidRPr="00656A0D">
        <w:t xml:space="preserve">and Omicron </w:t>
      </w:r>
      <w:r w:rsidR="00B43E80">
        <w:t xml:space="preserve">subvariant </w:t>
      </w:r>
      <w:r w:rsidRPr="00656A0D">
        <w:t xml:space="preserve">BA.4/BA.5 </w:t>
      </w:r>
      <w:r>
        <w:t>n</w:t>
      </w:r>
      <w:r w:rsidRPr="00656A0D">
        <w:t>eutrali</w:t>
      </w:r>
      <w:r>
        <w:t>s</w:t>
      </w:r>
      <w:r w:rsidRPr="00656A0D">
        <w:t xml:space="preserve">ing </w:t>
      </w:r>
      <w:r>
        <w:t>a</w:t>
      </w:r>
      <w:r w:rsidRPr="00656A0D">
        <w:t xml:space="preserve">ntibody </w:t>
      </w:r>
      <w:r>
        <w:t>t</w:t>
      </w:r>
      <w:r w:rsidRPr="00656A0D">
        <w:t>it</w:t>
      </w:r>
      <w:r>
        <w:t>re</w:t>
      </w:r>
      <w:r w:rsidRPr="00656A0D">
        <w:t>s (ID</w:t>
      </w:r>
      <w:r w:rsidRPr="008C269E">
        <w:rPr>
          <w:vertAlign w:val="subscript"/>
        </w:rPr>
        <w:t>50</w:t>
      </w:r>
      <w:r w:rsidRPr="00656A0D">
        <w:t xml:space="preserve">) </w:t>
      </w:r>
      <w:r w:rsidR="00B43E80">
        <w:t xml:space="preserve">for 50 µg </w:t>
      </w:r>
      <w:r>
        <w:t xml:space="preserve">bivalent Original/Omicron </w:t>
      </w:r>
      <w:r w:rsidR="001405D9">
        <w:t>BA.4-5</w:t>
      </w:r>
      <w:r w:rsidRPr="00656A0D">
        <w:t xml:space="preserve"> and </w:t>
      </w:r>
      <w:r w:rsidR="00B43E80">
        <w:t xml:space="preserve">50 µg </w:t>
      </w:r>
      <w:r>
        <w:t xml:space="preserve">monovalent </w:t>
      </w:r>
      <w:proofErr w:type="spellStart"/>
      <w:r>
        <w:t>Spikevax</w:t>
      </w:r>
      <w:proofErr w:type="spellEnd"/>
      <w:r>
        <w:t xml:space="preserve"> </w:t>
      </w:r>
      <w:r w:rsidR="00B43E80">
        <w:t>vaccines</w:t>
      </w:r>
      <w:r w:rsidRPr="00656A0D">
        <w:t xml:space="preserve"> </w:t>
      </w:r>
      <w:r>
        <w:t>a</w:t>
      </w:r>
      <w:r w:rsidRPr="00656A0D">
        <w:t xml:space="preserve">dministered as </w:t>
      </w:r>
      <w:r>
        <w:t>s</w:t>
      </w:r>
      <w:r w:rsidRPr="00656A0D">
        <w:t xml:space="preserve">econd </w:t>
      </w:r>
      <w:r>
        <w:t>b</w:t>
      </w:r>
      <w:r w:rsidRPr="00656A0D">
        <w:t xml:space="preserve">ooster </w:t>
      </w:r>
      <w:r>
        <w:t>d</w:t>
      </w:r>
      <w:r w:rsidRPr="00656A0D">
        <w:t>oses</w:t>
      </w:r>
      <w:r>
        <w:t xml:space="preserve"> in p</w:t>
      </w:r>
      <w:r w:rsidRPr="00656A0D">
        <w:t xml:space="preserve">articipants with </w:t>
      </w:r>
      <w:r>
        <w:t>i</w:t>
      </w:r>
      <w:r w:rsidRPr="00656A0D">
        <w:t xml:space="preserve">nfection at pre-booster </w:t>
      </w:r>
      <w:r>
        <w:t>(p</w:t>
      </w:r>
      <w:r w:rsidRPr="00656A0D">
        <w:t>er</w:t>
      </w:r>
      <w:r w:rsidR="00FC49C4">
        <w:t>-</w:t>
      </w:r>
      <w:r>
        <w:t>p</w:t>
      </w:r>
      <w:r w:rsidRPr="00656A0D">
        <w:t xml:space="preserve">rotocol </w:t>
      </w:r>
      <w:r>
        <w:t>i</w:t>
      </w:r>
      <w:r w:rsidRPr="00656A0D">
        <w:t xml:space="preserve">mmunogenicity </w:t>
      </w:r>
      <w:r>
        <w:t>positive</w:t>
      </w:r>
      <w:r w:rsidRPr="00656A0D">
        <w:t xml:space="preserve"> </w:t>
      </w:r>
      <w:r>
        <w:t>set)</w:t>
      </w:r>
    </w:p>
    <w:p w14:paraId="27D3CF67" w14:textId="3827F0B0" w:rsidR="00584927" w:rsidRDefault="00124FE6" w:rsidP="00584927">
      <w:pPr>
        <w:pStyle w:val="Caption"/>
      </w:pPr>
      <w:r w:rsidRPr="00124FE6">
        <w:rPr>
          <w:noProof/>
          <w:lang w:val="en-GB" w:eastAsia="en-GB"/>
        </w:rPr>
        <w:drawing>
          <wp:inline distT="0" distB="0" distL="0" distR="0" wp14:anchorId="7D1BC042" wp14:editId="6D5ED456">
            <wp:extent cx="5296172" cy="4305521"/>
            <wp:effectExtent l="0" t="0" r="0" b="0"/>
            <wp:docPr id="2" name="Picture 2" descr="Ancestral strain and Omicron (BA.4/BA.5) neutralising antibody titres (ID50) bivalent Original/Omicron BA.4 -5 at 50 µg and monovalent Spikevax at 50 µg administered as second booster doses in participants with infection at pre-booster (per-protocol immunogenicity positiv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cestral strain and Omicron (BA.4/BA.5) neutralising antibody titres (ID50) bivalent Original/Omicron BA.4 -5 at 50 µg and monovalent Spikevax at 50 µg administered as second booster doses in participants with infection at pre-booster (per-protocol immunogenicity positive set)"/>
                    <pic:cNvPicPr/>
                  </pic:nvPicPr>
                  <pic:blipFill>
                    <a:blip r:embed="rId31"/>
                    <a:stretch>
                      <a:fillRect/>
                    </a:stretch>
                  </pic:blipFill>
                  <pic:spPr>
                    <a:xfrm>
                      <a:off x="0" y="0"/>
                      <a:ext cx="5296172" cy="4305521"/>
                    </a:xfrm>
                    <a:prstGeom prst="rect">
                      <a:avLst/>
                    </a:prstGeom>
                  </pic:spPr>
                </pic:pic>
              </a:graphicData>
            </a:graphic>
          </wp:inline>
        </w:drawing>
      </w:r>
    </w:p>
    <w:p w14:paraId="6C74BF98" w14:textId="183D647B" w:rsidR="007E05A7" w:rsidRDefault="007E05A7" w:rsidP="007E05A7">
      <w:pPr>
        <w:pStyle w:val="TableDescription"/>
      </w:pPr>
      <w:r>
        <w:t xml:space="preserve">Abbreviations: CI = confidence interval; GLSM = geometric least square mean; GMT = geometric mean titre; GMFR = </w:t>
      </w:r>
      <w:r w:rsidRPr="001C585E">
        <w:t>geometric mean fold rise</w:t>
      </w:r>
      <w:r>
        <w:t>; ID</w:t>
      </w:r>
      <w:r w:rsidRPr="008965CC">
        <w:rPr>
          <w:vertAlign w:val="subscript"/>
        </w:rPr>
        <w:t>50</w:t>
      </w:r>
      <w:r>
        <w:t xml:space="preserve"> = 50% inhibitory dilution; LLOQ = lower limit of quantification; mRNA -1273.222 = bivalent Original/Omicron BA.4 – 5; mRNA-1273 = monovalent </w:t>
      </w:r>
      <w:proofErr w:type="spellStart"/>
      <w:r>
        <w:t>Spikevax</w:t>
      </w:r>
      <w:proofErr w:type="spellEnd"/>
      <w:r>
        <w:t xml:space="preserve">; </w:t>
      </w:r>
      <w:proofErr w:type="spellStart"/>
      <w:r>
        <w:t>nAb</w:t>
      </w:r>
      <w:proofErr w:type="spellEnd"/>
      <w:r>
        <w:t xml:space="preserve"> = neutralising antibody; </w:t>
      </w:r>
      <w:proofErr w:type="spellStart"/>
      <w:r>
        <w:t>PsVNA</w:t>
      </w:r>
      <w:proofErr w:type="spellEnd"/>
      <w:r>
        <w:t xml:space="preserve"> = </w:t>
      </w:r>
      <w:proofErr w:type="spellStart"/>
      <w:r>
        <w:t>pseudotyped</w:t>
      </w:r>
      <w:proofErr w:type="spellEnd"/>
      <w:r>
        <w:t xml:space="preserve"> virus neutralisation assay; SAR-COV-2 = severe acute respiratory syndrome 2.</w:t>
      </w:r>
    </w:p>
    <w:p w14:paraId="55E72254" w14:textId="77777777" w:rsidR="007E05A7" w:rsidRDefault="007E05A7" w:rsidP="007E05A7">
      <w:pPr>
        <w:pStyle w:val="TableDescription"/>
      </w:pPr>
      <w:r>
        <w:t>n = number of participants with non-missing data at the corresponding timepoint.</w:t>
      </w:r>
    </w:p>
    <w:p w14:paraId="1F1CD0F3" w14:textId="77777777" w:rsidR="007E05A7" w:rsidRDefault="007E05A7" w:rsidP="007E05A7">
      <w:pPr>
        <w:pStyle w:val="TableDescription"/>
      </w:pPr>
      <w:r>
        <w:t>N1 = number of participants with non-missing data at pre-vaccination baseline and the corresponding timepoint.</w:t>
      </w:r>
    </w:p>
    <w:p w14:paraId="2F88CB5A" w14:textId="77777777" w:rsidR="007E05A7" w:rsidRDefault="007E05A7" w:rsidP="007E05A7">
      <w:pPr>
        <w:pStyle w:val="TableDescription"/>
      </w:pPr>
      <w:r>
        <w:t>N2 = number of participants with non-missing data at pre-booster baseline and the corresponding timepoint.</w:t>
      </w:r>
    </w:p>
    <w:p w14:paraId="2DEE03B4" w14:textId="77777777" w:rsidR="007E05A7" w:rsidRDefault="007E05A7" w:rsidP="007E05A7">
      <w:pPr>
        <w:pStyle w:val="TableDescription"/>
      </w:pPr>
      <w:r>
        <w:t>a 95% CI is calculated based on the t-distribution of the log-transformed values or the difference in the log-transformed values for GM values and GM fold-rise, respectively, then back transformed to the original scale for presentation.</w:t>
      </w:r>
    </w:p>
    <w:p w14:paraId="1F10D939" w14:textId="77777777" w:rsidR="007E05A7" w:rsidRDefault="007E05A7" w:rsidP="007E05A7">
      <w:pPr>
        <w:pStyle w:val="TableDescription"/>
      </w:pPr>
      <w:r>
        <w:t>b Based on ANCOVA modelling: the model includes adjustment for treatment group, pre-booster antibody titres, and age group.</w:t>
      </w:r>
    </w:p>
    <w:p w14:paraId="646A2876" w14:textId="77777777" w:rsidR="007E05A7" w:rsidRDefault="007E05A7" w:rsidP="007E05A7">
      <w:pPr>
        <w:pStyle w:val="TableDescription"/>
      </w:pPr>
      <w:r>
        <w:t xml:space="preserve">c </w:t>
      </w:r>
      <w:proofErr w:type="spellStart"/>
      <w:r>
        <w:t>Seroresponse</w:t>
      </w:r>
      <w:proofErr w:type="spellEnd"/>
      <w:r>
        <w:t xml:space="preserve"> at a participant level is defined as a change from below the LLOQ to equal or above 4 x LLOQ if the participant’s baseline (pre-dose 1/pre-booster) is below the LLOQ, or at least a </w:t>
      </w:r>
      <w:proofErr w:type="gramStart"/>
      <w:r>
        <w:t>4 fold</w:t>
      </w:r>
      <w:proofErr w:type="gramEnd"/>
      <w:r>
        <w:t xml:space="preserve"> rise if the baseline (pre-dose/pre-booster) is equal to or above the LLOQ. For participants without pre-dose 1 antibody titre information, </w:t>
      </w:r>
      <w:proofErr w:type="spellStart"/>
      <w:r>
        <w:t>seroresponse</w:t>
      </w:r>
      <w:proofErr w:type="spellEnd"/>
      <w:r>
        <w:t xml:space="preserve"> (using pre-dose 1 baseline) is defined as ≥ 4 times LLOQ for participants with negative SARS-CoV-2 status at pre-dose 1 of the primary series, and these titres are imputed as &lt; LLOQ at pre-dose 1 of primary series. For participants without SARS-CoV-2 status </w:t>
      </w:r>
      <w:r>
        <w:lastRenderedPageBreak/>
        <w:t>information at pre-dose 1 of primary series. Their pre-booster SARS-CoV-2 status is used to impute their SARS-CoV-2 status at their pre-dose 1 of primary series.</w:t>
      </w:r>
    </w:p>
    <w:p w14:paraId="579F1F04" w14:textId="77777777" w:rsidR="007E05A7" w:rsidRDefault="007E05A7" w:rsidP="007E05A7">
      <w:pPr>
        <w:pStyle w:val="TableDescription"/>
      </w:pPr>
      <w:r>
        <w:t>d 95% CI is calculated using the Clopper-Pearson method</w:t>
      </w:r>
    </w:p>
    <w:p w14:paraId="0E75C8BA" w14:textId="77777777" w:rsidR="007E05A7" w:rsidRDefault="007E05A7" w:rsidP="007E05A7">
      <w:pPr>
        <w:pStyle w:val="TableDescription"/>
      </w:pPr>
      <w:r>
        <w:t>e 95% CI is calculated by stratified Miettinen-</w:t>
      </w:r>
      <w:proofErr w:type="spellStart"/>
      <w:r>
        <w:t>Nurminen</w:t>
      </w:r>
      <w:proofErr w:type="spellEnd"/>
      <w:r>
        <w:t xml:space="preserve"> method adjusted by age group. The SSR difference is a calculated common risk difference using inverse-variance stratum risk differences The stratified Miettinen-</w:t>
      </w:r>
      <w:proofErr w:type="spellStart"/>
      <w:r>
        <w:t>Nurminen</w:t>
      </w:r>
      <w:proofErr w:type="spellEnd"/>
      <w:r>
        <w:t xml:space="preserve"> estimate of the CI cannot be calculated when the </w:t>
      </w:r>
      <w:proofErr w:type="spellStart"/>
      <w:r>
        <w:t>seroresponse</w:t>
      </w:r>
      <w:proofErr w:type="spellEnd"/>
      <w:r>
        <w:t xml:space="preserve"> rate in both groups is 100% absolute difference is reported.</w:t>
      </w:r>
    </w:p>
    <w:p w14:paraId="37AC1F82" w14:textId="6F60D3EF" w:rsidR="007E05A7" w:rsidRPr="007E05A7" w:rsidRDefault="007E05A7" w:rsidP="007E05A7">
      <w:r w:rsidRPr="007E05A7">
        <w:t>An additional immunogenicity analysis was performed considering all participants regardless of prior SARS-CoV-2 infection (</w:t>
      </w:r>
      <w:r>
        <w:t xml:space="preserve">per protocol immunogenicity </w:t>
      </w:r>
      <w:r w:rsidRPr="007E05A7">
        <w:t>population regardless of SARS-CoV-2 infection status at pre-booster baseline)</w:t>
      </w:r>
      <w:r>
        <w:t xml:space="preserve"> (see</w:t>
      </w:r>
      <w:r w:rsidR="00DF397A">
        <w:t xml:space="preserve"> </w:t>
      </w:r>
      <w:r w:rsidR="00DF397A">
        <w:fldChar w:fldCharType="begin"/>
      </w:r>
      <w:r w:rsidR="00DF397A">
        <w:instrText xml:space="preserve"> REF _Ref126848379 \h </w:instrText>
      </w:r>
      <w:r w:rsidR="00DF397A">
        <w:fldChar w:fldCharType="separate"/>
      </w:r>
      <w:r w:rsidR="00AA4DFB" w:rsidRPr="007E05A7">
        <w:t xml:space="preserve">Table </w:t>
      </w:r>
      <w:r w:rsidR="00AA4DFB">
        <w:rPr>
          <w:noProof/>
        </w:rPr>
        <w:t>9</w:t>
      </w:r>
      <w:r w:rsidR="00DF397A">
        <w:fldChar w:fldCharType="end"/>
      </w:r>
      <w:r w:rsidR="00DF397A">
        <w:t>)</w:t>
      </w:r>
    </w:p>
    <w:p w14:paraId="6141A1BB" w14:textId="1E575EA4" w:rsidR="007E05A7" w:rsidRDefault="007E05A7" w:rsidP="007E05A7">
      <w:r w:rsidRPr="007E05A7">
        <w:t xml:space="preserve">The GMR and SRR results for the </w:t>
      </w:r>
      <w:r>
        <w:t>per protocol immunogenicity</w:t>
      </w:r>
      <w:r w:rsidRPr="007E05A7">
        <w:t xml:space="preserve"> population (all participants) were consistent with the results of the </w:t>
      </w:r>
      <w:r>
        <w:t>per protocol immunogenicity</w:t>
      </w:r>
      <w:r w:rsidR="00795787">
        <w:t xml:space="preserve"> </w:t>
      </w:r>
      <w:r>
        <w:t xml:space="preserve">negative </w:t>
      </w:r>
      <w:r w:rsidRPr="007E05A7">
        <w:t xml:space="preserve">population. Overall, the results are consistent in all participants in that the </w:t>
      </w:r>
      <w:proofErr w:type="spellStart"/>
      <w:r w:rsidR="00B2293F">
        <w:t>Spikevax</w:t>
      </w:r>
      <w:proofErr w:type="spellEnd"/>
      <w:r w:rsidR="00B2293F">
        <w:t xml:space="preserve"> Bivalent </w:t>
      </w:r>
      <w:r>
        <w:t xml:space="preserve">Original/Omicron </w:t>
      </w:r>
      <w:r w:rsidR="001405D9">
        <w:t>BA.4-5</w:t>
      </w:r>
      <w:r>
        <w:t xml:space="preserve"> at 50 µ</w:t>
      </w:r>
      <w:r w:rsidRPr="00656A0D">
        <w:t xml:space="preserve">g </w:t>
      </w:r>
      <w:r w:rsidRPr="00D52DFA">
        <w:rPr>
          <w:rFonts w:asciiTheme="minorHAnsi" w:eastAsiaTheme="minorHAnsi" w:hAnsiTheme="minorHAnsi" w:cs="TimesNewRoman"/>
        </w:rPr>
        <w:t>booster</w:t>
      </w:r>
      <w:r w:rsidRPr="007E05A7">
        <w:t xml:space="preserve"> elicited higher neutrali</w:t>
      </w:r>
      <w:r>
        <w:t>s</w:t>
      </w:r>
      <w:r w:rsidRPr="007E05A7">
        <w:t xml:space="preserve">ing antibody responses than the </w:t>
      </w:r>
      <w:r>
        <w:t xml:space="preserve">monovalent </w:t>
      </w:r>
      <w:proofErr w:type="spellStart"/>
      <w:r>
        <w:t>Spikevax</w:t>
      </w:r>
      <w:proofErr w:type="spellEnd"/>
      <w:r>
        <w:t xml:space="preserve"> at 50 µg</w:t>
      </w:r>
      <w:r w:rsidRPr="007E05A7">
        <w:t xml:space="preserve"> booster.</w:t>
      </w:r>
    </w:p>
    <w:p w14:paraId="614B4BB9" w14:textId="7F308225" w:rsidR="007E05A7" w:rsidRPr="007E05A7" w:rsidRDefault="007E05A7" w:rsidP="00DF397A">
      <w:pPr>
        <w:pStyle w:val="TableTitle"/>
        <w:keepLines/>
      </w:pPr>
      <w:bookmarkStart w:id="41" w:name="_Ref126848379"/>
      <w:r w:rsidRPr="007E05A7">
        <w:t xml:space="preserve">Table </w:t>
      </w:r>
      <w:fldSimple w:instr=" SEQ Table \* ARABIC ">
        <w:r w:rsidR="00AA4DFB">
          <w:rPr>
            <w:noProof/>
          </w:rPr>
          <w:t>9</w:t>
        </w:r>
      </w:fldSimple>
      <w:bookmarkEnd w:id="41"/>
      <w:r>
        <w:t xml:space="preserve">: </w:t>
      </w:r>
      <w:r w:rsidR="00E70D5C">
        <w:t xml:space="preserve">Study P205 Parts H and F </w:t>
      </w:r>
      <w:r w:rsidRPr="007E05A7">
        <w:t xml:space="preserve">Ancestral </w:t>
      </w:r>
      <w:r>
        <w:t>strain</w:t>
      </w:r>
      <w:r w:rsidRPr="007E05A7">
        <w:t xml:space="preserve"> and Omicron </w:t>
      </w:r>
      <w:r w:rsidR="00E70D5C">
        <w:t xml:space="preserve">subvariant BA,4/5 </w:t>
      </w:r>
      <w:r>
        <w:t>n</w:t>
      </w:r>
      <w:r w:rsidRPr="007E05A7">
        <w:t>eutrali</w:t>
      </w:r>
      <w:r>
        <w:t>s</w:t>
      </w:r>
      <w:r w:rsidRPr="007E05A7">
        <w:t xml:space="preserve">ing </w:t>
      </w:r>
      <w:r>
        <w:t>a</w:t>
      </w:r>
      <w:r w:rsidRPr="007E05A7">
        <w:t xml:space="preserve">ntibody </w:t>
      </w:r>
      <w:r>
        <w:t>t</w:t>
      </w:r>
      <w:r w:rsidRPr="007E05A7">
        <w:t>itr</w:t>
      </w:r>
      <w:r w:rsidR="00E70D5C">
        <w:t>e</w:t>
      </w:r>
      <w:r w:rsidRPr="007E05A7">
        <w:t>s (ID</w:t>
      </w:r>
      <w:r w:rsidRPr="007E05A7">
        <w:rPr>
          <w:vertAlign w:val="subscript"/>
        </w:rPr>
        <w:t>50</w:t>
      </w:r>
      <w:r w:rsidRPr="007E05A7">
        <w:t xml:space="preserve">) </w:t>
      </w:r>
      <w:r w:rsidR="00E70D5C">
        <w:t xml:space="preserve">for 50 µg </w:t>
      </w:r>
      <w:r>
        <w:t xml:space="preserve">bivalent Original/Omicron </w:t>
      </w:r>
      <w:r w:rsidR="001405D9">
        <w:t>BA.4-5</w:t>
      </w:r>
      <w:r>
        <w:t xml:space="preserve"> </w:t>
      </w:r>
      <w:r w:rsidRPr="00656A0D">
        <w:t xml:space="preserve">and </w:t>
      </w:r>
      <w:r w:rsidR="00E70D5C">
        <w:t>50</w:t>
      </w:r>
      <w:r w:rsidR="00E70D5C" w:rsidRPr="00E70D5C">
        <w:t xml:space="preserve"> </w:t>
      </w:r>
      <w:r w:rsidR="00E70D5C">
        <w:t xml:space="preserve">µg </w:t>
      </w:r>
      <w:r>
        <w:t xml:space="preserve">monovalent </w:t>
      </w:r>
      <w:proofErr w:type="spellStart"/>
      <w:r>
        <w:t>Spikevax</w:t>
      </w:r>
      <w:proofErr w:type="spellEnd"/>
      <w:r>
        <w:t xml:space="preserve"> </w:t>
      </w:r>
      <w:r w:rsidR="00E70D5C">
        <w:t xml:space="preserve">vaccines </w:t>
      </w:r>
      <w:r>
        <w:t>a</w:t>
      </w:r>
      <w:r w:rsidRPr="007E05A7">
        <w:t xml:space="preserve">dministered as </w:t>
      </w:r>
      <w:r>
        <w:t>s</w:t>
      </w:r>
      <w:r w:rsidRPr="007E05A7">
        <w:t xml:space="preserve">econd </w:t>
      </w:r>
      <w:r>
        <w:t>b</w:t>
      </w:r>
      <w:r w:rsidRPr="007E05A7">
        <w:t xml:space="preserve">ooster </w:t>
      </w:r>
      <w:r>
        <w:t>d</w:t>
      </w:r>
      <w:r w:rsidRPr="007E05A7">
        <w:t xml:space="preserve">oses </w:t>
      </w:r>
      <w:r w:rsidR="00DF397A">
        <w:t>in p</w:t>
      </w:r>
      <w:r w:rsidR="00DF397A" w:rsidRPr="007E05A7">
        <w:t>articipants with and without prior SARS-CoV-2 infection</w:t>
      </w:r>
      <w:r w:rsidR="00DF397A">
        <w:t xml:space="preserve"> </w:t>
      </w:r>
      <w:r>
        <w:t>(p</w:t>
      </w:r>
      <w:r w:rsidRPr="007E05A7">
        <w:t>er</w:t>
      </w:r>
      <w:r w:rsidR="00FC49C4">
        <w:t>-</w:t>
      </w:r>
      <w:r>
        <w:t>p</w:t>
      </w:r>
      <w:r w:rsidRPr="007E05A7">
        <w:t xml:space="preserve">rotocol </w:t>
      </w:r>
      <w:r>
        <w:t>i</w:t>
      </w:r>
      <w:r w:rsidRPr="007E05A7">
        <w:t xml:space="preserve">mmunogenicity </w:t>
      </w:r>
      <w:r>
        <w:t>s</w:t>
      </w:r>
      <w:r w:rsidRPr="007E05A7">
        <w:t>et</w:t>
      </w:r>
      <w:r w:rsidR="00DF397A">
        <w:t>)</w:t>
      </w:r>
    </w:p>
    <w:p w14:paraId="6F495CA9" w14:textId="6554DA9B" w:rsidR="007E05A7" w:rsidRPr="007E05A7" w:rsidRDefault="00DF397A" w:rsidP="00DF397A">
      <w:r>
        <w:rPr>
          <w:noProof/>
          <w:lang w:val="en-GB" w:eastAsia="en-GB"/>
        </w:rPr>
        <w:drawing>
          <wp:inline distT="0" distB="0" distL="0" distR="0" wp14:anchorId="03535849" wp14:editId="0D7EF21B">
            <wp:extent cx="5335326" cy="5080488"/>
            <wp:effectExtent l="0" t="0" r="0" b="6350"/>
            <wp:docPr id="20" name="Picture 20" descr="Ancestral strain and Omicron neutralising antibody titers (ID50) bivalent Original/Omicron BA.4 -5 at 50 µg and monovalent Spikevax at 50 µg administered as second booster doses in participants with and without prior SARS-CoV-2 infection (per protocol immunogenici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cestral strain and Omicron neutralising antibody titers (ID50) bivalent Original/Omicron BA.4 -5 at 50 µg and monovalent Spikevax at 50 µg administered as second booster doses in participants with and without prior SARS-CoV-2 infection (per protocol immunogenicity set)"/>
                    <pic:cNvPicPr/>
                  </pic:nvPicPr>
                  <pic:blipFill rotWithShape="1">
                    <a:blip r:embed="rId32"/>
                    <a:srcRect r="1186" b="24387"/>
                    <a:stretch/>
                  </pic:blipFill>
                  <pic:spPr bwMode="auto">
                    <a:xfrm>
                      <a:off x="0" y="0"/>
                      <a:ext cx="5335953" cy="5081085"/>
                    </a:xfrm>
                    <a:prstGeom prst="rect">
                      <a:avLst/>
                    </a:prstGeom>
                    <a:ln>
                      <a:noFill/>
                    </a:ln>
                    <a:extLst>
                      <a:ext uri="{53640926-AAD7-44D8-BBD7-CCE9431645EC}">
                        <a14:shadowObscured xmlns:a14="http://schemas.microsoft.com/office/drawing/2010/main"/>
                      </a:ext>
                    </a:extLst>
                  </pic:spPr>
                </pic:pic>
              </a:graphicData>
            </a:graphic>
          </wp:inline>
        </w:drawing>
      </w:r>
    </w:p>
    <w:p w14:paraId="5371F3B8" w14:textId="77777777" w:rsidR="00DF397A" w:rsidRDefault="00DF397A" w:rsidP="00DF397A">
      <w:pPr>
        <w:pStyle w:val="TableDescription"/>
      </w:pPr>
      <w:r>
        <w:lastRenderedPageBreak/>
        <w:t xml:space="preserve">Abbreviations: CI = confidence interval; GLSM = geometric least square mean; GMT = geometric mean titre; GMFR = </w:t>
      </w:r>
      <w:r w:rsidRPr="001C585E">
        <w:t>geometric mean fold rise</w:t>
      </w:r>
      <w:r>
        <w:t>; ID</w:t>
      </w:r>
      <w:r w:rsidRPr="008965CC">
        <w:rPr>
          <w:vertAlign w:val="subscript"/>
        </w:rPr>
        <w:t>50</w:t>
      </w:r>
      <w:r>
        <w:t xml:space="preserve"> = 50% inhibitory dilution; LLOQ = lower limit of quantification; mRNA -1273.222 = bivalent Original/Omicron BA.4 – 5; mRNA-1273 = monovalent </w:t>
      </w:r>
      <w:proofErr w:type="spellStart"/>
      <w:r>
        <w:t>Spikevax</w:t>
      </w:r>
      <w:proofErr w:type="spellEnd"/>
      <w:r>
        <w:t xml:space="preserve">; </w:t>
      </w:r>
      <w:proofErr w:type="spellStart"/>
      <w:r>
        <w:t>nAb</w:t>
      </w:r>
      <w:proofErr w:type="spellEnd"/>
      <w:r>
        <w:t xml:space="preserve"> = neutralising antibody; </w:t>
      </w:r>
      <w:proofErr w:type="spellStart"/>
      <w:r>
        <w:t>PsVNA</w:t>
      </w:r>
      <w:proofErr w:type="spellEnd"/>
      <w:r>
        <w:t xml:space="preserve"> = </w:t>
      </w:r>
      <w:proofErr w:type="spellStart"/>
      <w:r>
        <w:t>pseudotyped</w:t>
      </w:r>
      <w:proofErr w:type="spellEnd"/>
      <w:r>
        <w:t xml:space="preserve"> virus neutralisation assay; SAR-COV-2 = severe acute respiratory syndrome 2.</w:t>
      </w:r>
    </w:p>
    <w:p w14:paraId="559FBF39" w14:textId="77777777" w:rsidR="00DF397A" w:rsidRDefault="00DF397A" w:rsidP="00DF397A">
      <w:pPr>
        <w:pStyle w:val="TableDescription"/>
      </w:pPr>
      <w:r>
        <w:t>n = number of participants with non-missing data at the corresponding timepoint.</w:t>
      </w:r>
    </w:p>
    <w:p w14:paraId="6C77BE54" w14:textId="77777777" w:rsidR="00DF397A" w:rsidRDefault="00DF397A" w:rsidP="00DF397A">
      <w:pPr>
        <w:pStyle w:val="TableDescription"/>
      </w:pPr>
      <w:r>
        <w:t>N1 = number of participants with non-missing data at pre-vaccination baseline and the corresponding timepoint.</w:t>
      </w:r>
    </w:p>
    <w:p w14:paraId="48CD8770" w14:textId="77777777" w:rsidR="00DF397A" w:rsidRDefault="00DF397A" w:rsidP="00DF397A">
      <w:pPr>
        <w:pStyle w:val="TableDescription"/>
      </w:pPr>
      <w:r>
        <w:t>N2 = number of participants with non-missing data at pre-booster baseline and the corresponding timepoint.</w:t>
      </w:r>
    </w:p>
    <w:p w14:paraId="0FD1B553" w14:textId="77777777" w:rsidR="00DF397A" w:rsidRDefault="00DF397A" w:rsidP="00DF397A">
      <w:pPr>
        <w:pStyle w:val="TableDescription"/>
      </w:pPr>
      <w:r>
        <w:t>a 95% CI is calculated based on the t-distribution of the log-transformed values or the difference in the log-transformed values for GM values and GM fold-rise, respectively, then back transformed to the original scale for presentation.</w:t>
      </w:r>
    </w:p>
    <w:p w14:paraId="31B10F51" w14:textId="4509E661" w:rsidR="007E05A7" w:rsidRDefault="00DF397A" w:rsidP="00DF397A">
      <w:pPr>
        <w:pStyle w:val="TableDescription"/>
      </w:pPr>
      <w:r>
        <w:t xml:space="preserve">b Based on ANCOVA modelling: the model includes adjustment for treatment </w:t>
      </w:r>
      <w:proofErr w:type="spellStart"/>
      <w:proofErr w:type="gramStart"/>
      <w:r>
        <w:t>group,baseline</w:t>
      </w:r>
      <w:proofErr w:type="spellEnd"/>
      <w:proofErr w:type="gramEnd"/>
      <w:r>
        <w:t xml:space="preserve"> SAR-CoV-2 infection status, pre-booster antibody titres, and age group.</w:t>
      </w:r>
    </w:p>
    <w:p w14:paraId="00FE2954" w14:textId="10F5DB3A" w:rsidR="00DF397A" w:rsidRDefault="00DF397A" w:rsidP="00DF397A">
      <w:pPr>
        <w:pStyle w:val="TableDescription"/>
      </w:pPr>
      <w:r>
        <w:t xml:space="preserve">c </w:t>
      </w:r>
      <w:proofErr w:type="spellStart"/>
      <w:r>
        <w:t>Seroresponse</w:t>
      </w:r>
      <w:proofErr w:type="spellEnd"/>
      <w:r>
        <w:t xml:space="preserve"> at a participant level is defined as a change from below the LLOQ to equal or above 4 x LLOQ if the participant’s baseline (pre-dose 1/pre-booster) is below the LLOQ, or at least a </w:t>
      </w:r>
      <w:proofErr w:type="gramStart"/>
      <w:r>
        <w:t>4 fold</w:t>
      </w:r>
      <w:proofErr w:type="gramEnd"/>
      <w:r>
        <w:t xml:space="preserve"> rise if the baseline (pre-dose/pre-booster) is equal to or above the LLOQ. For participants without pre-dose 1 antibody titre information, </w:t>
      </w:r>
      <w:proofErr w:type="spellStart"/>
      <w:r>
        <w:t>seroresponse</w:t>
      </w:r>
      <w:proofErr w:type="spellEnd"/>
      <w:r>
        <w:t xml:space="preserve"> (using pre-dose 1 baseline) is defined as ≥ 4 times LLOQ for participants with negative SARS-CoV-2 status at pre-dose 1 of the primary series, and these titres are imputed as &lt; LLOQ at pre-dose 1 of primary series. For participants without SARS-CoV-2 status information at pre-dose 1 of primary series, their pre-booster SARS-CoV-2 status is used to impute their SARS-CoV-2 status at their pre-dose 1 of primary series.</w:t>
      </w:r>
    </w:p>
    <w:p w14:paraId="3184204E" w14:textId="77777777" w:rsidR="00DF397A" w:rsidRDefault="00DF397A" w:rsidP="00DF397A">
      <w:pPr>
        <w:pStyle w:val="TableDescription"/>
      </w:pPr>
      <w:r>
        <w:t>d 95% CI is calculated using the Clopper-Pearson method</w:t>
      </w:r>
    </w:p>
    <w:p w14:paraId="34D8314C" w14:textId="4484748A" w:rsidR="00DF397A" w:rsidRDefault="00DF397A" w:rsidP="00DF397A">
      <w:pPr>
        <w:pStyle w:val="TableDescription"/>
      </w:pPr>
      <w:r>
        <w:t>e 95% CI is calculated by stratified Miettinen-</w:t>
      </w:r>
      <w:proofErr w:type="spellStart"/>
      <w:r>
        <w:t>Nurminen</w:t>
      </w:r>
      <w:proofErr w:type="spellEnd"/>
      <w:r>
        <w:t xml:space="preserve"> method adjusted by age group and baseline SARS-CoV-2 infection status. The SSR difference is a calculated common risk difference using inverse-variance stratum risk differences and middle point of Miettinen-</w:t>
      </w:r>
      <w:proofErr w:type="spellStart"/>
      <w:r>
        <w:t>Nurminen</w:t>
      </w:r>
      <w:proofErr w:type="spellEnd"/>
      <w:r>
        <w:t xml:space="preserve"> confidence limits of each one of the stratum </w:t>
      </w:r>
      <w:proofErr w:type="gramStart"/>
      <w:r>
        <w:t>risk</w:t>
      </w:r>
      <w:proofErr w:type="gramEnd"/>
      <w:r>
        <w:t xml:space="preserve"> differences The stratified Miettinen-</w:t>
      </w:r>
      <w:proofErr w:type="spellStart"/>
      <w:r>
        <w:t>Nurminen</w:t>
      </w:r>
      <w:proofErr w:type="spellEnd"/>
      <w:r>
        <w:t xml:space="preserve"> estimate of the CI cannot be calculated when the </w:t>
      </w:r>
      <w:proofErr w:type="spellStart"/>
      <w:r>
        <w:t>seroresponse</w:t>
      </w:r>
      <w:proofErr w:type="spellEnd"/>
      <w:r>
        <w:t xml:space="preserve"> rate in both groups is 100% absolute difference is reported.</w:t>
      </w:r>
    </w:p>
    <w:p w14:paraId="79B1912D" w14:textId="60163289" w:rsidR="00DF397A" w:rsidRDefault="00DF397A" w:rsidP="00DF397A">
      <w:r>
        <w:t>A sensitivity analysis which excluded participants who had SARS-CoV-2 infection after the booster dose and up to Day 29 was also performed in per protocol immunogenicity negative population and the results were consistent with the immunogenicity results in the per protocol immunogenicity negative population.</w:t>
      </w:r>
    </w:p>
    <w:p w14:paraId="27D7FA12" w14:textId="37F817E4" w:rsidR="00DF397A" w:rsidRDefault="00DF397A" w:rsidP="00DF397A">
      <w:r>
        <w:t>A subgroup analysis of the per protocol immunogenicity negative population by age group (</w:t>
      </w:r>
      <w:r w:rsidR="0042619D">
        <w:t>from</w:t>
      </w:r>
      <w:r>
        <w:t xml:space="preserve"> 18 to </w:t>
      </w:r>
      <w:r w:rsidR="00272257">
        <w:t>younger than</w:t>
      </w:r>
      <w:r>
        <w:t xml:space="preserve"> 65 years and </w:t>
      </w:r>
      <w:r w:rsidR="00272257">
        <w:t>from</w:t>
      </w:r>
      <w:r>
        <w:t xml:space="preserve"> 65 years of age) was performed and the results indicate that the immunogenicity responses were similar between the two age groups (see </w:t>
      </w:r>
      <w:r>
        <w:fldChar w:fldCharType="begin"/>
      </w:r>
      <w:r>
        <w:instrText xml:space="preserve"> REF _Ref126848771 \h </w:instrText>
      </w:r>
      <w:r>
        <w:fldChar w:fldCharType="separate"/>
      </w:r>
      <w:r w:rsidR="00AA4DFB">
        <w:t xml:space="preserve">Table </w:t>
      </w:r>
      <w:r w:rsidR="00AA4DFB">
        <w:rPr>
          <w:noProof/>
        </w:rPr>
        <w:t>10</w:t>
      </w:r>
      <w:r>
        <w:fldChar w:fldCharType="end"/>
      </w:r>
      <w:r>
        <w:t>)</w:t>
      </w:r>
    </w:p>
    <w:p w14:paraId="29BFAA00" w14:textId="770217EE" w:rsidR="00DF397A" w:rsidRPr="00F257ED" w:rsidRDefault="00DF397A" w:rsidP="00DF397A">
      <w:pPr>
        <w:pStyle w:val="TableTitle"/>
      </w:pPr>
      <w:bookmarkStart w:id="42" w:name="_Ref126848771"/>
      <w:r>
        <w:t xml:space="preserve">Table </w:t>
      </w:r>
      <w:fldSimple w:instr=" SEQ Table \* ARABIC ">
        <w:r w:rsidR="00AA4DFB">
          <w:rPr>
            <w:noProof/>
          </w:rPr>
          <w:t>10</w:t>
        </w:r>
      </w:fldSimple>
      <w:bookmarkEnd w:id="42"/>
      <w:r>
        <w:t xml:space="preserve">: </w:t>
      </w:r>
      <w:r w:rsidR="00A72DE9">
        <w:t xml:space="preserve">Study P205 Parts H and F </w:t>
      </w:r>
      <w:r w:rsidRPr="007E05A7">
        <w:t xml:space="preserve">Ancestral </w:t>
      </w:r>
      <w:r>
        <w:t>strain</w:t>
      </w:r>
      <w:r w:rsidRPr="007E05A7">
        <w:t xml:space="preserve"> and Omicron </w:t>
      </w:r>
      <w:r>
        <w:t>n</w:t>
      </w:r>
      <w:r w:rsidRPr="007E05A7">
        <w:t>eutrali</w:t>
      </w:r>
      <w:r>
        <w:t>s</w:t>
      </w:r>
      <w:r w:rsidRPr="007E05A7">
        <w:t xml:space="preserve">ing </w:t>
      </w:r>
      <w:r>
        <w:t>a</w:t>
      </w:r>
      <w:r w:rsidRPr="007E05A7">
        <w:t xml:space="preserve">ntibody </w:t>
      </w:r>
      <w:r>
        <w:t>t</w:t>
      </w:r>
      <w:r w:rsidRPr="007E05A7">
        <w:t>itr</w:t>
      </w:r>
      <w:r w:rsidR="00A72DE9">
        <w:t>e</w:t>
      </w:r>
      <w:r w:rsidRPr="007E05A7">
        <w:t>s (ID</w:t>
      </w:r>
      <w:r w:rsidRPr="007E05A7">
        <w:rPr>
          <w:vertAlign w:val="subscript"/>
        </w:rPr>
        <w:t>50</w:t>
      </w:r>
      <w:r w:rsidRPr="007E05A7">
        <w:t>)</w:t>
      </w:r>
      <w:r w:rsidR="00A72DE9">
        <w:t xml:space="preserve"> for</w:t>
      </w:r>
      <w:r w:rsidRPr="007E05A7">
        <w:t xml:space="preserve"> </w:t>
      </w:r>
      <w:r w:rsidR="00A72DE9">
        <w:t xml:space="preserve">50 µg </w:t>
      </w:r>
      <w:proofErr w:type="spellStart"/>
      <w:r w:rsidR="00A72DE9">
        <w:t>Spikevax</w:t>
      </w:r>
      <w:proofErr w:type="spellEnd"/>
      <w:r w:rsidR="00A72DE9">
        <w:t xml:space="preserve"> </w:t>
      </w:r>
      <w:r>
        <w:t xml:space="preserve">bivalent Original/Omicron </w:t>
      </w:r>
      <w:r w:rsidR="001405D9">
        <w:t>BA.4-5</w:t>
      </w:r>
      <w:r>
        <w:t xml:space="preserve"> </w:t>
      </w:r>
      <w:r w:rsidRPr="00656A0D">
        <w:t xml:space="preserve">and </w:t>
      </w:r>
      <w:r w:rsidR="00A72DE9">
        <w:t xml:space="preserve">50 µg </w:t>
      </w:r>
      <w:r>
        <w:t xml:space="preserve">monovalent </w:t>
      </w:r>
      <w:proofErr w:type="spellStart"/>
      <w:r>
        <w:t>Spikevax</w:t>
      </w:r>
      <w:proofErr w:type="spellEnd"/>
      <w:r>
        <w:t xml:space="preserve"> a</w:t>
      </w:r>
      <w:r w:rsidRPr="007E05A7">
        <w:t xml:space="preserve">dministered as </w:t>
      </w:r>
      <w:r>
        <w:t>s</w:t>
      </w:r>
      <w:r w:rsidRPr="007E05A7">
        <w:t xml:space="preserve">econd </w:t>
      </w:r>
      <w:r>
        <w:t>b</w:t>
      </w:r>
      <w:r w:rsidRPr="007E05A7">
        <w:t xml:space="preserve">ooster </w:t>
      </w:r>
      <w:r>
        <w:t>d</w:t>
      </w:r>
      <w:r w:rsidRPr="007E05A7">
        <w:t xml:space="preserve">oses </w:t>
      </w:r>
      <w:r>
        <w:t>in</w:t>
      </w:r>
      <w:r w:rsidRPr="00F257ED">
        <w:t xml:space="preserve"> </w:t>
      </w:r>
      <w:r>
        <w:t>p</w:t>
      </w:r>
      <w:r w:rsidRPr="00F257ED">
        <w:t xml:space="preserve">articipants without </w:t>
      </w:r>
      <w:r>
        <w:t>i</w:t>
      </w:r>
      <w:r w:rsidRPr="00F257ED">
        <w:t xml:space="preserve">nfection at </w:t>
      </w:r>
      <w:r>
        <w:t>p</w:t>
      </w:r>
      <w:r w:rsidRPr="00F257ED">
        <w:t xml:space="preserve">re-booster by </w:t>
      </w:r>
      <w:r>
        <w:t>a</w:t>
      </w:r>
      <w:r w:rsidRPr="00F257ED">
        <w:t xml:space="preserve">ge </w:t>
      </w:r>
      <w:r>
        <w:t>g</w:t>
      </w:r>
      <w:r w:rsidRPr="00F257ED">
        <w:t>roup</w:t>
      </w:r>
      <w:r>
        <w:t xml:space="preserve"> (p</w:t>
      </w:r>
      <w:r w:rsidRPr="00F257ED">
        <w:t>er-</w:t>
      </w:r>
      <w:r>
        <w:t>p</w:t>
      </w:r>
      <w:r w:rsidRPr="00F257ED">
        <w:t xml:space="preserve">rotocol </w:t>
      </w:r>
      <w:r>
        <w:t>i</w:t>
      </w:r>
      <w:r w:rsidRPr="00F257ED">
        <w:t>mmunogenicity</w:t>
      </w:r>
      <w:r>
        <w:t xml:space="preserve"> n</w:t>
      </w:r>
      <w:r w:rsidRPr="00F257ED">
        <w:t xml:space="preserve">egative </w:t>
      </w:r>
      <w:r>
        <w:t>s</w:t>
      </w:r>
      <w:r w:rsidRPr="00F257ED">
        <w:t>et</w:t>
      </w:r>
      <w:r>
        <w:t>)</w:t>
      </w:r>
      <w:r w:rsidRPr="00F257ED">
        <w:t xml:space="preserve"> </w:t>
      </w:r>
    </w:p>
    <w:p w14:paraId="26B31896" w14:textId="6162C51F" w:rsidR="00DF397A" w:rsidRDefault="00DF397A" w:rsidP="00DF397A">
      <w:pPr>
        <w:pStyle w:val="Caption"/>
      </w:pPr>
      <w:r>
        <w:rPr>
          <w:noProof/>
          <w:lang w:val="en-GB" w:eastAsia="en-GB"/>
        </w:rPr>
        <w:drawing>
          <wp:inline distT="0" distB="0" distL="0" distR="0" wp14:anchorId="61C68076" wp14:editId="697D244B">
            <wp:extent cx="5398850" cy="1685677"/>
            <wp:effectExtent l="0" t="0" r="0" b="0"/>
            <wp:docPr id="22" name="Picture 22" descr="Ancestral strain and Omicron neutralising antibody titers (ID50) bivalent Original/Omicron BA.4 -5 at 50 µg and monovalent Spikevax at 50 µg administered as second booster doses in participants without infection at pre-booster by age group (per-protocol immunogenicity negative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cestral strain and Omicron neutralising antibody titers (ID50) bivalent Original/Omicron BA.4 -5 at 50 µg and monovalent Spikevax at 50 µg administered as second booster doses in participants without infection at pre-booster by age group (per-protocol immunogenicity negative set) "/>
                    <pic:cNvPicPr/>
                  </pic:nvPicPr>
                  <pic:blipFill rotWithShape="1">
                    <a:blip r:embed="rId33"/>
                    <a:srcRect b="27011"/>
                    <a:stretch/>
                  </pic:blipFill>
                  <pic:spPr bwMode="auto">
                    <a:xfrm>
                      <a:off x="0" y="0"/>
                      <a:ext cx="5400040" cy="1686049"/>
                    </a:xfrm>
                    <a:prstGeom prst="rect">
                      <a:avLst/>
                    </a:prstGeom>
                    <a:ln>
                      <a:noFill/>
                    </a:ln>
                    <a:extLst>
                      <a:ext uri="{53640926-AAD7-44D8-BBD7-CCE9431645EC}">
                        <a14:shadowObscured xmlns:a14="http://schemas.microsoft.com/office/drawing/2010/main"/>
                      </a:ext>
                    </a:extLst>
                  </pic:spPr>
                </pic:pic>
              </a:graphicData>
            </a:graphic>
          </wp:inline>
        </w:drawing>
      </w:r>
    </w:p>
    <w:p w14:paraId="36B45A4C" w14:textId="12DB04E8" w:rsidR="00C87BFF" w:rsidRDefault="00C87BFF" w:rsidP="00C87BFF">
      <w:pPr>
        <w:pStyle w:val="TableDescription"/>
      </w:pPr>
      <w:r>
        <w:lastRenderedPageBreak/>
        <w:t xml:space="preserve">Abbreviations: CI = confidence interval; GMT = geometric mean titre; GMFR = </w:t>
      </w:r>
      <w:r w:rsidRPr="001C585E">
        <w:t>geometric mean fold rise</w:t>
      </w:r>
      <w:r>
        <w:t>; ID</w:t>
      </w:r>
      <w:r w:rsidRPr="008965CC">
        <w:rPr>
          <w:vertAlign w:val="subscript"/>
        </w:rPr>
        <w:t>50</w:t>
      </w:r>
      <w:r>
        <w:t xml:space="preserve"> = 50% inhibitory dilution; mRNA -1273.222 = bivalent Original/Omicron BA.4 – 5; mRNA-1273 = monovalent </w:t>
      </w:r>
      <w:proofErr w:type="spellStart"/>
      <w:r>
        <w:t>Spikevax</w:t>
      </w:r>
      <w:proofErr w:type="spellEnd"/>
      <w:r>
        <w:t xml:space="preserve">; </w:t>
      </w:r>
      <w:proofErr w:type="spellStart"/>
      <w:r>
        <w:t>nAb</w:t>
      </w:r>
      <w:proofErr w:type="spellEnd"/>
      <w:r>
        <w:t xml:space="preserve"> = neutralising antibody; </w:t>
      </w:r>
      <w:proofErr w:type="spellStart"/>
      <w:r>
        <w:t>PsVNA</w:t>
      </w:r>
      <w:proofErr w:type="spellEnd"/>
      <w:r>
        <w:t xml:space="preserve"> = </w:t>
      </w:r>
      <w:proofErr w:type="spellStart"/>
      <w:r>
        <w:t>pseudotyped</w:t>
      </w:r>
      <w:proofErr w:type="spellEnd"/>
      <w:r>
        <w:t xml:space="preserve"> virus neutralisation assay; SAR-COV-2 = severe acute respiratory syndrome 2.</w:t>
      </w:r>
    </w:p>
    <w:p w14:paraId="397F2875" w14:textId="1F308CE1" w:rsidR="006C5ADF" w:rsidRDefault="00C87BFF" w:rsidP="00C87BFF">
      <w:pPr>
        <w:pStyle w:val="TableDescription"/>
      </w:pPr>
      <w:r>
        <w:t>N = number of participants in each age group</w:t>
      </w:r>
    </w:p>
    <w:p w14:paraId="24994857" w14:textId="271E8E08" w:rsidR="00C87BFF" w:rsidRDefault="00C87BFF" w:rsidP="00C87BFF">
      <w:pPr>
        <w:pStyle w:val="TableDescription"/>
      </w:pPr>
      <w:r>
        <w:t>a 95% CI is calculated based on the t-distribution of the log-transformed values or the difference in the log-transformed values for GM values and GM fold-rise, respectively, then back transformed to the original scale for presentation.</w:t>
      </w:r>
    </w:p>
    <w:p w14:paraId="435CE150" w14:textId="648EB2D3" w:rsidR="00C87BFF" w:rsidRPr="00C87BFF" w:rsidRDefault="00C87BFF" w:rsidP="00C87BFF">
      <w:pPr>
        <w:pStyle w:val="Heading7"/>
        <w:rPr>
          <w:rFonts w:eastAsiaTheme="minorHAnsi"/>
          <w:sz w:val="22"/>
          <w:szCs w:val="28"/>
        </w:rPr>
      </w:pPr>
      <w:r w:rsidRPr="00C87BFF">
        <w:rPr>
          <w:rFonts w:eastAsiaTheme="minorHAnsi"/>
          <w:sz w:val="22"/>
          <w:szCs w:val="28"/>
        </w:rPr>
        <w:t xml:space="preserve">Cross-neutralisation ability of </w:t>
      </w:r>
      <w:r>
        <w:rPr>
          <w:rFonts w:eastAsiaTheme="minorHAnsi"/>
          <w:sz w:val="22"/>
          <w:szCs w:val="28"/>
        </w:rPr>
        <w:t>bivalent Original/Omicron BA.4 – 5 vaccine</w:t>
      </w:r>
      <w:r w:rsidRPr="00C87BFF">
        <w:rPr>
          <w:rFonts w:eastAsiaTheme="minorHAnsi"/>
          <w:sz w:val="22"/>
          <w:szCs w:val="28"/>
        </w:rPr>
        <w:t xml:space="preserve"> against the emerging Omicron variants BQ.1.1 and XBB.1.</w:t>
      </w:r>
    </w:p>
    <w:p w14:paraId="5D3C8F7B" w14:textId="1734652A" w:rsidR="00C87BFF" w:rsidRPr="00C87BFF" w:rsidRDefault="00C87BFF" w:rsidP="00C87BFF">
      <w:r w:rsidRPr="00C87BFF">
        <w:t>An exploratory analysis was performed to assess the cross-neutral</w:t>
      </w:r>
      <w:r w:rsidR="004B0233">
        <w:t>is</w:t>
      </w:r>
      <w:r w:rsidRPr="00C87BFF">
        <w:t xml:space="preserve">ation ability of </w:t>
      </w:r>
      <w:proofErr w:type="spellStart"/>
      <w:r w:rsidR="0085435A">
        <w:t>Spikevax</w:t>
      </w:r>
      <w:proofErr w:type="spellEnd"/>
      <w:r w:rsidR="0085435A">
        <w:t xml:space="preserve"> </w:t>
      </w:r>
      <w:r w:rsidR="00272257">
        <w:t xml:space="preserve">bivalent Original/Omicron </w:t>
      </w:r>
      <w:r w:rsidR="001405D9">
        <w:t>BA.4-5</w:t>
      </w:r>
      <w:r w:rsidR="00272257">
        <w:t xml:space="preserve"> vaccine </w:t>
      </w:r>
      <w:r w:rsidRPr="00C87BFF">
        <w:t xml:space="preserve">against the emerging Omicron variants BQ.1.1 and XBB.1. </w:t>
      </w:r>
      <w:r w:rsidR="00272257">
        <w:fldChar w:fldCharType="begin"/>
      </w:r>
      <w:r w:rsidR="00272257">
        <w:instrText xml:space="preserve"> REF _Ref126849528 \h </w:instrText>
      </w:r>
      <w:r w:rsidR="00272257">
        <w:fldChar w:fldCharType="separate"/>
      </w:r>
      <w:r w:rsidR="00AA4DFB">
        <w:t xml:space="preserve">Table </w:t>
      </w:r>
      <w:r w:rsidR="00AA4DFB">
        <w:rPr>
          <w:noProof/>
        </w:rPr>
        <w:t>11</w:t>
      </w:r>
      <w:r w:rsidR="00272257">
        <w:fldChar w:fldCharType="end"/>
      </w:r>
      <w:r w:rsidR="00272257">
        <w:t xml:space="preserve"> </w:t>
      </w:r>
      <w:r w:rsidRPr="00C87BFF">
        <w:t>shows the neutral</w:t>
      </w:r>
      <w:r w:rsidR="004B0233">
        <w:t>is</w:t>
      </w:r>
      <w:r w:rsidRPr="00C87BFF">
        <w:t xml:space="preserve">ing antibody response against the Omicron BQ.1.1 and XBB.1 variants in a random sample of 40 participants without SARS-CoV-2 infection at pre-booster. For the BQ.1.1, the pre-booster GMT (95% CI) was 31.7 (19.6, 51.3), the post-booster GMT (95% CI) was 621.9 (422.2, 916.2), and the GMFR (95% CI) was 19.6 (11.7, 32.8). For the Omicron XBB.1 variant, the pre-booster GMT (95% CI) was 18.1 (12.0, 27.1), the post-booster GMT (95% CI) was 222.3 (147.4, 335.2), and the GMFR (95% CI) was 12.3 (7.4, 20.5). The observed GMT was 5.4-fold and 15.1-fold lower for the Omicron BQ.1.1 and XBB.1 variants, respectively, </w:t>
      </w:r>
      <w:proofErr w:type="gramStart"/>
      <w:r w:rsidRPr="00C87BFF">
        <w:t>than</w:t>
      </w:r>
      <w:proofErr w:type="gramEnd"/>
      <w:r w:rsidRPr="00C87BFF">
        <w:t xml:space="preserve"> for the BA.4/BA.5 variant</w:t>
      </w:r>
      <w:r w:rsidR="00AC69DD">
        <w:t xml:space="preserve"> (see </w:t>
      </w:r>
      <w:r w:rsidR="00AC69DD">
        <w:fldChar w:fldCharType="begin"/>
      </w:r>
      <w:r w:rsidR="00AC69DD">
        <w:instrText xml:space="preserve"> REF _Ref126849528 \h </w:instrText>
      </w:r>
      <w:r w:rsidR="00AC69DD">
        <w:fldChar w:fldCharType="separate"/>
      </w:r>
      <w:r w:rsidR="00AA4DFB">
        <w:t xml:space="preserve">Table </w:t>
      </w:r>
      <w:r w:rsidR="00AA4DFB">
        <w:rPr>
          <w:noProof/>
        </w:rPr>
        <w:t>11</w:t>
      </w:r>
      <w:r w:rsidR="00AC69DD">
        <w:fldChar w:fldCharType="end"/>
      </w:r>
      <w:r w:rsidR="00AC69DD">
        <w:t>)</w:t>
      </w:r>
      <w:r w:rsidRPr="00C87BFF">
        <w:t>.</w:t>
      </w:r>
    </w:p>
    <w:p w14:paraId="5A3B9CD3" w14:textId="76144C9C" w:rsidR="00C87BFF" w:rsidRPr="00460DF5" w:rsidRDefault="00460DF5" w:rsidP="00460DF5">
      <w:pPr>
        <w:pStyle w:val="TableTitle"/>
      </w:pPr>
      <w:bookmarkStart w:id="43" w:name="_Ref126849528"/>
      <w:r>
        <w:t xml:space="preserve">Table </w:t>
      </w:r>
      <w:fldSimple w:instr=" SEQ Table \* ARABIC ">
        <w:r w:rsidR="00AA4DFB">
          <w:rPr>
            <w:noProof/>
          </w:rPr>
          <w:t>11</w:t>
        </w:r>
      </w:fldSimple>
      <w:bookmarkEnd w:id="43"/>
      <w:r>
        <w:t xml:space="preserve">: </w:t>
      </w:r>
      <w:r w:rsidR="009121B5">
        <w:t xml:space="preserve">Study P205 Part H </w:t>
      </w:r>
      <w:proofErr w:type="spellStart"/>
      <w:r w:rsidR="009121B5">
        <w:t>Spikevax</w:t>
      </w:r>
      <w:proofErr w:type="spellEnd"/>
      <w:r w:rsidR="009121B5">
        <w:t xml:space="preserve"> b</w:t>
      </w:r>
      <w:r w:rsidRPr="00D46B04">
        <w:t xml:space="preserve">ivalent </w:t>
      </w:r>
      <w:r>
        <w:t xml:space="preserve">Original/Omicron </w:t>
      </w:r>
      <w:r w:rsidR="00767F8E">
        <w:t xml:space="preserve">BA.4-5 </w:t>
      </w:r>
      <w:r>
        <w:t>v</w:t>
      </w:r>
      <w:r w:rsidRPr="00D46B04">
        <w:t xml:space="preserve">accine </w:t>
      </w:r>
      <w:r>
        <w:t>e</w:t>
      </w:r>
      <w:r w:rsidRPr="00D46B04">
        <w:t xml:space="preserve">xhibits </w:t>
      </w:r>
      <w:r>
        <w:t>c</w:t>
      </w:r>
      <w:r w:rsidRPr="00D46B04">
        <w:t>ross-neutrali</w:t>
      </w:r>
      <w:r>
        <w:t>s</w:t>
      </w:r>
      <w:r w:rsidRPr="00D46B04">
        <w:t xml:space="preserve">ation </w:t>
      </w:r>
      <w:r>
        <w:t>a</w:t>
      </w:r>
      <w:r w:rsidRPr="00D46B04">
        <w:t xml:space="preserve">gainst Omicron BQ.1.1 </w:t>
      </w:r>
      <w:r>
        <w:t>v</w:t>
      </w:r>
      <w:r w:rsidRPr="00D46B04">
        <w:t>ariant (</w:t>
      </w:r>
      <w:r>
        <w:t>n</w:t>
      </w:r>
      <w:r w:rsidRPr="00D46B04">
        <w:t>eutrali</w:t>
      </w:r>
      <w:r>
        <w:t>s</w:t>
      </w:r>
      <w:r w:rsidRPr="00D46B04">
        <w:t xml:space="preserve">ing </w:t>
      </w:r>
      <w:r>
        <w:t>a</w:t>
      </w:r>
      <w:r w:rsidRPr="00D46B04">
        <w:t xml:space="preserve">ntibody </w:t>
      </w:r>
      <w:r>
        <w:t>t</w:t>
      </w:r>
      <w:r w:rsidRPr="00D46B04">
        <w:t>itr</w:t>
      </w:r>
      <w:r w:rsidR="009121B5">
        <w:t>e</w:t>
      </w:r>
      <w:r w:rsidRPr="00D46B04">
        <w:t xml:space="preserve">s </w:t>
      </w:r>
      <w:r w:rsidR="009121B5">
        <w:t>(</w:t>
      </w:r>
      <w:r w:rsidRPr="00D46B04">
        <w:t>ID</w:t>
      </w:r>
      <w:r w:rsidRPr="00460DF5">
        <w:rPr>
          <w:vertAlign w:val="subscript"/>
        </w:rPr>
        <w:t>50</w:t>
      </w:r>
      <w:r w:rsidR="009121B5">
        <w:t>)</w:t>
      </w:r>
      <w:r w:rsidRPr="00D46B04">
        <w:t>) at Day 29</w:t>
      </w:r>
      <w:r w:rsidR="009121B5">
        <w:t xml:space="preserve">; </w:t>
      </w:r>
      <w:r w:rsidRPr="00D46B04">
        <w:t xml:space="preserve">SARS-CoV-2 </w:t>
      </w:r>
      <w:r>
        <w:t>n</w:t>
      </w:r>
      <w:r w:rsidRPr="00D46B04">
        <w:t>egative</w:t>
      </w:r>
      <w:r>
        <w:t>, r</w:t>
      </w:r>
      <w:r w:rsidRPr="00D46B04">
        <w:t xml:space="preserve">andom </w:t>
      </w:r>
      <w:r>
        <w:t>s</w:t>
      </w:r>
      <w:r w:rsidRPr="00D46B04">
        <w:t>ample)</w:t>
      </w:r>
    </w:p>
    <w:p w14:paraId="410E0361" w14:textId="6902DB53" w:rsidR="00460DF5" w:rsidRDefault="00460DF5" w:rsidP="00460DF5">
      <w:r>
        <w:rPr>
          <w:noProof/>
          <w:lang w:val="en-GB" w:eastAsia="en-GB"/>
        </w:rPr>
        <w:drawing>
          <wp:inline distT="0" distB="0" distL="0" distR="0" wp14:anchorId="2CF4EE10" wp14:editId="7B49C985">
            <wp:extent cx="5399655" cy="1932167"/>
            <wp:effectExtent l="0" t="0" r="0" b="0"/>
            <wp:docPr id="23" name="Picture 23" descr="Bivalent Original/Omicron vaccine exhibits cross-neutralisation against Omicron BQ.1.1 variant (neutralising antibody titers [ID50]) at Day 29 - SARS-CoV-2 negative, random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ivalent Original/Omicron vaccine exhibits cross-neutralisation against Omicron BQ.1.1 variant (neutralising antibody titers [ID50]) at Day 29 - SARS-CoV-2 negative, random sample)"/>
                    <pic:cNvPicPr/>
                  </pic:nvPicPr>
                  <pic:blipFill rotWithShape="1">
                    <a:blip r:embed="rId34"/>
                    <a:srcRect b="34153"/>
                    <a:stretch/>
                  </pic:blipFill>
                  <pic:spPr bwMode="auto">
                    <a:xfrm>
                      <a:off x="0" y="0"/>
                      <a:ext cx="5400040" cy="1932305"/>
                    </a:xfrm>
                    <a:prstGeom prst="rect">
                      <a:avLst/>
                    </a:prstGeom>
                    <a:ln>
                      <a:noFill/>
                    </a:ln>
                    <a:extLst>
                      <a:ext uri="{53640926-AAD7-44D8-BBD7-CCE9431645EC}">
                        <a14:shadowObscured xmlns:a14="http://schemas.microsoft.com/office/drawing/2010/main"/>
                      </a:ext>
                    </a:extLst>
                  </pic:spPr>
                </pic:pic>
              </a:graphicData>
            </a:graphic>
          </wp:inline>
        </w:drawing>
      </w:r>
    </w:p>
    <w:p w14:paraId="2A31F24F" w14:textId="0E4120E5" w:rsidR="00AC69DD" w:rsidRDefault="00AC69DD" w:rsidP="00AC69DD">
      <w:pPr>
        <w:pStyle w:val="TableDescription"/>
      </w:pPr>
      <w:r>
        <w:t xml:space="preserve">Abbreviations: CI = confidence interval; GMT = geometric mean titre; GMFR = </w:t>
      </w:r>
      <w:r w:rsidRPr="001C585E">
        <w:t>geometric mean fold rise</w:t>
      </w:r>
      <w:r>
        <w:t>; ID</w:t>
      </w:r>
      <w:r w:rsidRPr="008965CC">
        <w:rPr>
          <w:vertAlign w:val="subscript"/>
        </w:rPr>
        <w:t>50</w:t>
      </w:r>
      <w:r>
        <w:t xml:space="preserve"> = 50% inhibitory dilution; mRNA -1273.222 = bivalent Original/Omicron BA.4 – 5</w:t>
      </w:r>
      <w:r w:rsidR="0044796A">
        <w:t xml:space="preserve"> vaccine</w:t>
      </w:r>
      <w:r>
        <w:t xml:space="preserve">; </w:t>
      </w:r>
      <w:proofErr w:type="spellStart"/>
      <w:r>
        <w:t>nAb</w:t>
      </w:r>
      <w:proofErr w:type="spellEnd"/>
      <w:r>
        <w:t xml:space="preserve"> = neutralising antibody; </w:t>
      </w:r>
      <w:proofErr w:type="spellStart"/>
      <w:r>
        <w:t>PsVNA</w:t>
      </w:r>
      <w:proofErr w:type="spellEnd"/>
      <w:r>
        <w:t xml:space="preserve"> = </w:t>
      </w:r>
      <w:proofErr w:type="spellStart"/>
      <w:r>
        <w:t>pseudotyped</w:t>
      </w:r>
      <w:proofErr w:type="spellEnd"/>
      <w:r>
        <w:t xml:space="preserve"> virus neutralisation assay; SAR-COV-2 = severe acute respiratory syndrome 2.</w:t>
      </w:r>
    </w:p>
    <w:p w14:paraId="59297F6A" w14:textId="01960F68" w:rsidR="00AC69DD" w:rsidRDefault="00AC69DD" w:rsidP="00AC69DD">
      <w:pPr>
        <w:pStyle w:val="TableDescription"/>
      </w:pPr>
      <w:r>
        <w:t>N = number of participants with non-missing data who were randomly sampled from the pre protocol immunogenicity SARS-CoV-2 negative set.</w:t>
      </w:r>
    </w:p>
    <w:p w14:paraId="5D85BF44" w14:textId="7A5DC937" w:rsidR="00AC69DD" w:rsidRDefault="00AC69DD" w:rsidP="00AC69DD">
      <w:pPr>
        <w:pStyle w:val="TableDescription"/>
      </w:pPr>
      <w:r>
        <w:t>a Participants did not have pre-booster SARS-CoV-2 infection.</w:t>
      </w:r>
    </w:p>
    <w:p w14:paraId="2809E09F" w14:textId="09974119" w:rsidR="00AC69DD" w:rsidRDefault="00AC69DD" w:rsidP="00AC69DD">
      <w:pPr>
        <w:pStyle w:val="TableDescription"/>
      </w:pPr>
      <w:r>
        <w:t>b 95% CI is calculated based on the t-distribution of the log-transformed values or the difference in the log-transformed values for GM values and GM fold-rise, respectively, then back transformed to the original scale for presentation.</w:t>
      </w:r>
    </w:p>
    <w:p w14:paraId="580D52E4" w14:textId="642A519C" w:rsidR="00AC69DD" w:rsidRDefault="00AC69DD" w:rsidP="00AC69DD">
      <w:r>
        <w:fldChar w:fldCharType="begin"/>
      </w:r>
      <w:r>
        <w:instrText xml:space="preserve"> REF _Ref126849540 \h </w:instrText>
      </w:r>
      <w:r>
        <w:fldChar w:fldCharType="separate"/>
      </w:r>
      <w:r w:rsidR="00AA4DFB">
        <w:t xml:space="preserve">Table </w:t>
      </w:r>
      <w:r w:rsidR="00AA4DFB">
        <w:rPr>
          <w:noProof/>
        </w:rPr>
        <w:t>12</w:t>
      </w:r>
      <w:r>
        <w:fldChar w:fldCharType="end"/>
      </w:r>
      <w:r>
        <w:t xml:space="preserve"> </w:t>
      </w:r>
      <w:r w:rsidR="007003F0">
        <w:t>(</w:t>
      </w:r>
      <w:r>
        <w:t>below</w:t>
      </w:r>
      <w:r w:rsidR="007003F0">
        <w:t>)</w:t>
      </w:r>
      <w:r>
        <w:t xml:space="preserve"> shows the neutralising antibody response against the Omicron BQ.1.1 and XBB.1 variants in a random sample of 20 participants with SARS-CoV-2 infection at pre-booster. For the Omicron BQ.1.1 </w:t>
      </w:r>
      <w:r w:rsidR="007003F0">
        <w:t>sub</w:t>
      </w:r>
      <w:r>
        <w:t xml:space="preserve">variant, the pre-booster GMT (95% CI) was 124.7 (61.4, 253.2), the post-booster GMT (95% CI) was 1093.5 (536.8, 2227.9), and the GMFR (95% CI) was 8.8 (5.0, 15.5). For the Omicron XBB.1 </w:t>
      </w:r>
      <w:r w:rsidR="007003F0">
        <w:t>sub</w:t>
      </w:r>
      <w:r>
        <w:t xml:space="preserve">variant, the pre-booster GMT (95% CI) was 55.4 (28.4, 108.0), the post-booster GMT (95% CI) was 381.4 (198.1, 734.4), </w:t>
      </w:r>
      <w:r>
        <w:lastRenderedPageBreak/>
        <w:t xml:space="preserve">and the GMFR (95% CI) was 6.9 (4, 11.7). The observed GMT was 8.1-fold and 23.3-fold lower for the Omicron BQ.1.1 and XBB.1 </w:t>
      </w:r>
      <w:r w:rsidR="007003F0">
        <w:t>sub</w:t>
      </w:r>
      <w:r>
        <w:t xml:space="preserve">variants, respectively, </w:t>
      </w:r>
      <w:proofErr w:type="gramStart"/>
      <w:r>
        <w:t>than</w:t>
      </w:r>
      <w:proofErr w:type="gramEnd"/>
      <w:r>
        <w:t xml:space="preserve"> for the </w:t>
      </w:r>
      <w:r w:rsidR="007003F0">
        <w:t xml:space="preserve">Omicron </w:t>
      </w:r>
      <w:r>
        <w:t xml:space="preserve">BA.4/BA.5 </w:t>
      </w:r>
      <w:r w:rsidR="007003F0">
        <w:t>sub</w:t>
      </w:r>
      <w:r>
        <w:t>variant.</w:t>
      </w:r>
    </w:p>
    <w:p w14:paraId="2DA4E6AB" w14:textId="22A69B65" w:rsidR="00AC69DD" w:rsidRDefault="00AC69DD" w:rsidP="00AC69DD">
      <w:r>
        <w:t xml:space="preserve">These results indicate that </w:t>
      </w:r>
      <w:proofErr w:type="spellStart"/>
      <w:r w:rsidR="00272257">
        <w:t>Spikevax</w:t>
      </w:r>
      <w:proofErr w:type="spellEnd"/>
      <w:r w:rsidR="00272257">
        <w:t xml:space="preserve"> bivalent Original/Omicron BA.4–5 vaccine</w:t>
      </w:r>
      <w:r>
        <w:t xml:space="preserve"> exhibited cross-neutral</w:t>
      </w:r>
      <w:r w:rsidR="004B0233">
        <w:t>is</w:t>
      </w:r>
      <w:r>
        <w:t xml:space="preserve">ation against </w:t>
      </w:r>
      <w:r w:rsidR="007003F0">
        <w:t xml:space="preserve">the Omicron </w:t>
      </w:r>
      <w:r>
        <w:t>BQ.1.1 and XBB.1</w:t>
      </w:r>
      <w:r w:rsidR="007003F0">
        <w:t xml:space="preserve"> subvariants</w:t>
      </w:r>
      <w:r>
        <w:t>.</w:t>
      </w:r>
    </w:p>
    <w:p w14:paraId="64759A3F" w14:textId="49D5F3AC" w:rsidR="00AC69DD" w:rsidRPr="00E31E63" w:rsidRDefault="00AC69DD" w:rsidP="0044796A">
      <w:pPr>
        <w:pStyle w:val="TableTitle"/>
      </w:pPr>
      <w:bookmarkStart w:id="44" w:name="_Ref126849540"/>
      <w:r>
        <w:t xml:space="preserve">Table </w:t>
      </w:r>
      <w:fldSimple w:instr=" SEQ Table \* ARABIC ">
        <w:r w:rsidR="00AA4DFB">
          <w:rPr>
            <w:noProof/>
          </w:rPr>
          <w:t>12</w:t>
        </w:r>
      </w:fldSimple>
      <w:bookmarkEnd w:id="44"/>
      <w:r>
        <w:t xml:space="preserve">: </w:t>
      </w:r>
      <w:r w:rsidR="007003F0">
        <w:t xml:space="preserve">Study P205 Part H </w:t>
      </w:r>
      <w:proofErr w:type="spellStart"/>
      <w:r w:rsidR="0085435A">
        <w:t>Spikevax</w:t>
      </w:r>
      <w:proofErr w:type="spellEnd"/>
      <w:r w:rsidR="0085435A">
        <w:t xml:space="preserve"> </w:t>
      </w:r>
      <w:r w:rsidRPr="00E31E63">
        <w:t xml:space="preserve">Bivalent </w:t>
      </w:r>
      <w:r w:rsidR="0044796A">
        <w:t xml:space="preserve">Original/Omicron </w:t>
      </w:r>
      <w:r w:rsidR="001405D9">
        <w:t>BA.4-5</w:t>
      </w:r>
      <w:r w:rsidR="0044796A">
        <w:t xml:space="preserve"> v</w:t>
      </w:r>
      <w:r w:rsidRPr="00E31E63">
        <w:t xml:space="preserve">accine </w:t>
      </w:r>
      <w:r w:rsidR="0044796A">
        <w:t>e</w:t>
      </w:r>
      <w:r w:rsidRPr="00E31E63">
        <w:t xml:space="preserve">xhibits </w:t>
      </w:r>
      <w:r w:rsidR="0044796A">
        <w:t>c</w:t>
      </w:r>
      <w:r w:rsidRPr="00E31E63">
        <w:t>ross-neutrali</w:t>
      </w:r>
      <w:r w:rsidR="0044796A">
        <w:t>s</w:t>
      </w:r>
      <w:r w:rsidRPr="00E31E63">
        <w:t xml:space="preserve">ation </w:t>
      </w:r>
      <w:r w:rsidR="0044796A">
        <w:t>a</w:t>
      </w:r>
      <w:r w:rsidRPr="00E31E63">
        <w:t xml:space="preserve">gainst Omicron BQ.1.1 and XBB.1 </w:t>
      </w:r>
      <w:r w:rsidR="0044796A">
        <w:t>v</w:t>
      </w:r>
      <w:r w:rsidRPr="00E31E63">
        <w:t xml:space="preserve">ariants </w:t>
      </w:r>
      <w:r w:rsidR="0044796A">
        <w:t xml:space="preserve">in </w:t>
      </w:r>
      <w:r w:rsidR="0044796A" w:rsidRPr="00E31E63">
        <w:t>SARS</w:t>
      </w:r>
      <w:r w:rsidR="007003F0">
        <w:noBreakHyphen/>
      </w:r>
      <w:r w:rsidR="0044796A" w:rsidRPr="00E31E63">
        <w:t xml:space="preserve">CoV-2 </w:t>
      </w:r>
      <w:r w:rsidR="0044796A">
        <w:t>p</w:t>
      </w:r>
      <w:r w:rsidR="0044796A" w:rsidRPr="00E31E63">
        <w:t xml:space="preserve">ositive </w:t>
      </w:r>
      <w:r w:rsidR="0044796A">
        <w:t xml:space="preserve">participants at Day 29 </w:t>
      </w:r>
      <w:r w:rsidRPr="00E31E63">
        <w:t>(</w:t>
      </w:r>
      <w:r w:rsidR="0044796A">
        <w:t>n</w:t>
      </w:r>
      <w:r w:rsidRPr="00E31E63">
        <w:t>eutrali</w:t>
      </w:r>
      <w:r w:rsidR="0044796A">
        <w:t>s</w:t>
      </w:r>
      <w:r w:rsidRPr="00E31E63">
        <w:t xml:space="preserve">ing </w:t>
      </w:r>
      <w:r w:rsidR="0044796A">
        <w:t>a</w:t>
      </w:r>
      <w:r w:rsidRPr="00E31E63">
        <w:t xml:space="preserve">ntibody </w:t>
      </w:r>
      <w:r w:rsidR="0044796A">
        <w:t>t</w:t>
      </w:r>
      <w:r w:rsidRPr="00E31E63">
        <w:t>it</w:t>
      </w:r>
      <w:r w:rsidR="0044796A">
        <w:t>re</w:t>
      </w:r>
      <w:r w:rsidRPr="00E31E63">
        <w:t>s</w:t>
      </w:r>
      <w:r w:rsidR="0044796A">
        <w:t xml:space="preserve">, </w:t>
      </w:r>
      <w:r w:rsidRPr="00E31E63">
        <w:t>ID</w:t>
      </w:r>
      <w:r w:rsidRPr="0044796A">
        <w:rPr>
          <w:vertAlign w:val="subscript"/>
        </w:rPr>
        <w:t>50</w:t>
      </w:r>
      <w:r w:rsidRPr="00E31E63">
        <w:t>)</w:t>
      </w:r>
      <w:r w:rsidR="0044796A">
        <w:t xml:space="preserve"> </w:t>
      </w:r>
      <w:r w:rsidRPr="00E31E63">
        <w:t>(N</w:t>
      </w:r>
      <w:r w:rsidR="00272257">
        <w:t xml:space="preserve"> </w:t>
      </w:r>
      <w:r w:rsidRPr="00E31E63">
        <w:t>=</w:t>
      </w:r>
      <w:r w:rsidR="00272257">
        <w:t xml:space="preserve"> </w:t>
      </w:r>
      <w:r w:rsidRPr="00E31E63">
        <w:t>20)</w:t>
      </w:r>
    </w:p>
    <w:p w14:paraId="3FBFACA2" w14:textId="2E2E8687" w:rsidR="00AC69DD" w:rsidRDefault="00AC69DD" w:rsidP="00AC69DD">
      <w:pPr>
        <w:pStyle w:val="Caption"/>
      </w:pPr>
      <w:r>
        <w:rPr>
          <w:noProof/>
          <w:lang w:val="en-GB" w:eastAsia="en-GB"/>
        </w:rPr>
        <w:drawing>
          <wp:inline distT="0" distB="0" distL="0" distR="0" wp14:anchorId="69B992D4" wp14:editId="30692229">
            <wp:extent cx="5399783" cy="1677725"/>
            <wp:effectExtent l="0" t="0" r="0" b="0"/>
            <wp:docPr id="24" name="Picture 24" descr="Bivalent Original/Omicron BA.4 -5 vaccine exhibits cross-neutralisation against Omicron BQ.1.1 and XBB.1 variants in SARS-CoV-2 positive participants at Day 29 (neutralising antibody titres, ID50) (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ivalent Original/Omicron BA.4 -5 vaccine exhibits cross-neutralisation against Omicron BQ.1.1 and XBB.1 variants in SARS-CoV-2 positive participants at Day 29 (neutralising antibody titres, ID50) (N=20)"/>
                    <pic:cNvPicPr/>
                  </pic:nvPicPr>
                  <pic:blipFill rotWithShape="1">
                    <a:blip r:embed="rId35"/>
                    <a:srcRect b="39884"/>
                    <a:stretch/>
                  </pic:blipFill>
                  <pic:spPr bwMode="auto">
                    <a:xfrm>
                      <a:off x="0" y="0"/>
                      <a:ext cx="5400040" cy="1677805"/>
                    </a:xfrm>
                    <a:prstGeom prst="rect">
                      <a:avLst/>
                    </a:prstGeom>
                    <a:ln>
                      <a:noFill/>
                    </a:ln>
                    <a:extLst>
                      <a:ext uri="{53640926-AAD7-44D8-BBD7-CCE9431645EC}">
                        <a14:shadowObscured xmlns:a14="http://schemas.microsoft.com/office/drawing/2010/main"/>
                      </a:ext>
                    </a:extLst>
                  </pic:spPr>
                </pic:pic>
              </a:graphicData>
            </a:graphic>
          </wp:inline>
        </w:drawing>
      </w:r>
    </w:p>
    <w:p w14:paraId="751EA415" w14:textId="1DDEFCF6" w:rsidR="0044796A" w:rsidRDefault="0044796A" w:rsidP="0044796A">
      <w:pPr>
        <w:pStyle w:val="TableDescription"/>
      </w:pPr>
      <w:r>
        <w:t xml:space="preserve">Abbreviations: CI = confidence interval; GMT = geometric mean titre; GMFR = </w:t>
      </w:r>
      <w:r w:rsidRPr="001C585E">
        <w:t>geometric mean fold rise</w:t>
      </w:r>
      <w:r>
        <w:t>; ID</w:t>
      </w:r>
      <w:r w:rsidRPr="008965CC">
        <w:rPr>
          <w:vertAlign w:val="subscript"/>
        </w:rPr>
        <w:t>50</w:t>
      </w:r>
      <w:r>
        <w:t xml:space="preserve"> = 50% inhibitory dilution; mRNA -1273.222 = bivalent Original/Omicron BA.4 – 5 vaccine; </w:t>
      </w:r>
      <w:proofErr w:type="spellStart"/>
      <w:r>
        <w:t>nAb</w:t>
      </w:r>
      <w:proofErr w:type="spellEnd"/>
      <w:r>
        <w:t xml:space="preserve"> = neutralising antibody; </w:t>
      </w:r>
      <w:proofErr w:type="spellStart"/>
      <w:r>
        <w:t>PsVNA</w:t>
      </w:r>
      <w:proofErr w:type="spellEnd"/>
      <w:r>
        <w:t xml:space="preserve"> = </w:t>
      </w:r>
      <w:proofErr w:type="spellStart"/>
      <w:r>
        <w:t>pseudotyped</w:t>
      </w:r>
      <w:proofErr w:type="spellEnd"/>
      <w:r>
        <w:t xml:space="preserve"> virus neutralisation assay; SAR-COV-2 = severe acute respiratory syndrome 2.</w:t>
      </w:r>
    </w:p>
    <w:p w14:paraId="33899D82" w14:textId="1EF35EFF" w:rsidR="0044796A" w:rsidRDefault="0044796A" w:rsidP="0044796A">
      <w:pPr>
        <w:pStyle w:val="TableDescription"/>
      </w:pPr>
      <w:r>
        <w:t>n = number of participants with non-missing data who were randomly sampled from the pre protocol immunogenicity SARS-CoV-2 negative set.</w:t>
      </w:r>
    </w:p>
    <w:p w14:paraId="416C6303" w14:textId="735BC364" w:rsidR="0044796A" w:rsidRDefault="0044796A" w:rsidP="0044796A">
      <w:pPr>
        <w:pStyle w:val="TableDescription"/>
      </w:pPr>
      <w:r>
        <w:t>a Participants had pre-booster SARS-CoV-2 infection.</w:t>
      </w:r>
    </w:p>
    <w:p w14:paraId="761F3B4F" w14:textId="23863EB3" w:rsidR="0044796A" w:rsidRDefault="0044796A" w:rsidP="0044796A">
      <w:pPr>
        <w:pStyle w:val="TableDescription"/>
      </w:pPr>
      <w:r>
        <w:t>b 95% CI is calculated based on the t-distribution of the log-transformed values or the difference in the log-transformed values for GM values and GM fold-rise, respectively, then back transformed to the original scale for presentation.</w:t>
      </w:r>
    </w:p>
    <w:p w14:paraId="698EEBC2" w14:textId="1371A078" w:rsidR="0044796A" w:rsidRPr="0044796A" w:rsidRDefault="0044796A" w:rsidP="0044796A">
      <w:pPr>
        <w:pStyle w:val="Heading5"/>
        <w:rPr>
          <w:rFonts w:eastAsiaTheme="minorHAnsi"/>
        </w:rPr>
      </w:pPr>
      <w:r w:rsidRPr="0044796A">
        <w:rPr>
          <w:rFonts w:eastAsiaTheme="minorHAnsi"/>
        </w:rPr>
        <w:t xml:space="preserve">SARS-CoV-2 </w:t>
      </w:r>
      <w:r w:rsidR="007003F0">
        <w:rPr>
          <w:rFonts w:eastAsiaTheme="minorHAnsi"/>
        </w:rPr>
        <w:t>i</w:t>
      </w:r>
      <w:r w:rsidRPr="0044796A">
        <w:rPr>
          <w:rFonts w:eastAsiaTheme="minorHAnsi"/>
        </w:rPr>
        <w:t xml:space="preserve">nfection and </w:t>
      </w:r>
      <w:r w:rsidR="007003F0">
        <w:rPr>
          <w:rFonts w:eastAsiaTheme="minorHAnsi"/>
        </w:rPr>
        <w:t>s</w:t>
      </w:r>
      <w:r w:rsidRPr="0044796A">
        <w:rPr>
          <w:rFonts w:eastAsiaTheme="minorHAnsi"/>
        </w:rPr>
        <w:t xml:space="preserve">ymptomatic </w:t>
      </w:r>
      <w:r w:rsidR="007003F0">
        <w:rPr>
          <w:rFonts w:eastAsiaTheme="minorHAnsi"/>
        </w:rPr>
        <w:t>i</w:t>
      </w:r>
      <w:r w:rsidRPr="0044796A">
        <w:rPr>
          <w:rFonts w:eastAsiaTheme="minorHAnsi"/>
        </w:rPr>
        <w:t>nfection</w:t>
      </w:r>
    </w:p>
    <w:p w14:paraId="2AF751C3" w14:textId="01055463" w:rsidR="0044796A" w:rsidRPr="0044796A" w:rsidRDefault="0044796A" w:rsidP="0044796A">
      <w:pPr>
        <w:pStyle w:val="Heading6"/>
        <w:rPr>
          <w:rFonts w:eastAsiaTheme="minorHAnsi"/>
        </w:rPr>
      </w:pPr>
      <w:r w:rsidRPr="0044796A">
        <w:rPr>
          <w:rFonts w:eastAsiaTheme="minorHAnsi"/>
        </w:rPr>
        <w:t xml:space="preserve">SARS-CoV-2 </w:t>
      </w:r>
      <w:r>
        <w:rPr>
          <w:rFonts w:eastAsiaTheme="minorHAnsi"/>
        </w:rPr>
        <w:t>i</w:t>
      </w:r>
      <w:r w:rsidRPr="0044796A">
        <w:rPr>
          <w:rFonts w:eastAsiaTheme="minorHAnsi"/>
        </w:rPr>
        <w:t xml:space="preserve">ncidence </w:t>
      </w:r>
      <w:r>
        <w:rPr>
          <w:rFonts w:eastAsiaTheme="minorHAnsi"/>
        </w:rPr>
        <w:t>r</w:t>
      </w:r>
      <w:r w:rsidRPr="0044796A">
        <w:rPr>
          <w:rFonts w:eastAsiaTheme="minorHAnsi"/>
        </w:rPr>
        <w:t xml:space="preserve">ates </w:t>
      </w:r>
      <w:r>
        <w:rPr>
          <w:rFonts w:eastAsiaTheme="minorHAnsi"/>
        </w:rPr>
        <w:t>a</w:t>
      </w:r>
      <w:r w:rsidRPr="0044796A">
        <w:rPr>
          <w:rFonts w:eastAsiaTheme="minorHAnsi"/>
        </w:rPr>
        <w:t xml:space="preserve">fter the </w:t>
      </w:r>
      <w:r>
        <w:rPr>
          <w:rFonts w:eastAsiaTheme="minorHAnsi"/>
        </w:rPr>
        <w:t xml:space="preserve">bivalent Original/Omicron </w:t>
      </w:r>
      <w:r w:rsidR="001405D9">
        <w:rPr>
          <w:rFonts w:eastAsiaTheme="minorHAnsi"/>
        </w:rPr>
        <w:t>BA.4-5</w:t>
      </w:r>
      <w:r>
        <w:rPr>
          <w:rFonts w:eastAsiaTheme="minorHAnsi"/>
        </w:rPr>
        <w:t xml:space="preserve"> and monovalent </w:t>
      </w:r>
      <w:proofErr w:type="spellStart"/>
      <w:r>
        <w:rPr>
          <w:rFonts w:eastAsiaTheme="minorHAnsi"/>
        </w:rPr>
        <w:t>Spikevax</w:t>
      </w:r>
      <w:proofErr w:type="spellEnd"/>
      <w:r>
        <w:rPr>
          <w:rFonts w:eastAsiaTheme="minorHAnsi"/>
        </w:rPr>
        <w:t xml:space="preserve"> b</w:t>
      </w:r>
      <w:r w:rsidRPr="0044796A">
        <w:rPr>
          <w:rFonts w:eastAsiaTheme="minorHAnsi"/>
        </w:rPr>
        <w:t xml:space="preserve">ooster </w:t>
      </w:r>
      <w:r>
        <w:rPr>
          <w:rFonts w:eastAsiaTheme="minorHAnsi"/>
        </w:rPr>
        <w:t>v</w:t>
      </w:r>
      <w:r w:rsidRPr="0044796A">
        <w:rPr>
          <w:rFonts w:eastAsiaTheme="minorHAnsi"/>
        </w:rPr>
        <w:t>accines</w:t>
      </w:r>
    </w:p>
    <w:p w14:paraId="6D0868F9" w14:textId="0925C868" w:rsidR="0044796A" w:rsidRPr="0044796A" w:rsidRDefault="0044796A" w:rsidP="0044796A">
      <w:r>
        <w:t xml:space="preserve">Study </w:t>
      </w:r>
      <w:r w:rsidRPr="0044796A">
        <w:t>P205 was not designed to evaluate booster vaccine effectiveness and occurrence of infections after the booster doses reflects the epidemiological environment in the US (August through October 2022) for this interim analysis. Infections were counted starting 14 days after the booster dose (</w:t>
      </w:r>
      <w:proofErr w:type="spellStart"/>
      <w:r w:rsidR="00332D22">
        <w:t>Spikevax</w:t>
      </w:r>
      <w:proofErr w:type="spellEnd"/>
      <w:r w:rsidR="00332D22">
        <w:t xml:space="preserve"> </w:t>
      </w:r>
      <w:r>
        <w:rPr>
          <w:rFonts w:eastAsiaTheme="minorHAnsi"/>
        </w:rPr>
        <w:t xml:space="preserve">bivalent Original/Omicron </w:t>
      </w:r>
      <w:r w:rsidR="001405D9">
        <w:rPr>
          <w:rFonts w:eastAsiaTheme="minorHAnsi"/>
        </w:rPr>
        <w:t>BA.4-5</w:t>
      </w:r>
      <w:r>
        <w:rPr>
          <w:rFonts w:eastAsiaTheme="minorHAnsi"/>
        </w:rPr>
        <w:t xml:space="preserve"> vaccine at </w:t>
      </w:r>
      <w:r w:rsidRPr="0044796A">
        <w:t>50</w:t>
      </w:r>
      <w:r w:rsidR="00BF2613">
        <w:t> </w:t>
      </w:r>
      <w:r>
        <w:t>µ</w:t>
      </w:r>
      <w:r w:rsidRPr="0044796A">
        <w:t>g) through the follow</w:t>
      </w:r>
      <w:r>
        <w:t xml:space="preserve"> </w:t>
      </w:r>
      <w:r w:rsidRPr="0044796A">
        <w:t>up time of this interim analysis.</w:t>
      </w:r>
    </w:p>
    <w:p w14:paraId="76B00F11" w14:textId="70579BBC" w:rsidR="0044796A" w:rsidRPr="0044796A" w:rsidRDefault="0044796A" w:rsidP="0044796A">
      <w:r w:rsidRPr="0044796A">
        <w:t xml:space="preserve">In the </w:t>
      </w:r>
      <w:r w:rsidRPr="00E20938">
        <w:rPr>
          <w:rFonts w:asciiTheme="minorHAnsi" w:eastAsiaTheme="minorHAnsi" w:hAnsiTheme="minorHAnsi" w:cs="TimesNewRoman"/>
        </w:rPr>
        <w:t>50</w:t>
      </w:r>
      <w:r>
        <w:rPr>
          <w:rFonts w:asciiTheme="minorHAnsi" w:eastAsiaTheme="minorHAnsi" w:hAnsiTheme="minorHAnsi" w:cs="TimesNewRoman"/>
        </w:rPr>
        <w:t xml:space="preserve"> µ</w:t>
      </w:r>
      <w:r w:rsidRPr="00E20938">
        <w:rPr>
          <w:rFonts w:asciiTheme="minorHAnsi" w:eastAsiaTheme="minorHAnsi" w:hAnsiTheme="minorHAnsi" w:cs="TimesNewRoman"/>
        </w:rPr>
        <w:t xml:space="preserve">g </w:t>
      </w:r>
      <w:proofErr w:type="spellStart"/>
      <w:r w:rsidR="00BF2613">
        <w:rPr>
          <w:rFonts w:asciiTheme="minorHAnsi" w:eastAsiaTheme="minorHAnsi" w:hAnsiTheme="minorHAnsi" w:cs="TimesNewRoman"/>
        </w:rPr>
        <w:t>Spikevax</w:t>
      </w:r>
      <w:proofErr w:type="spellEnd"/>
      <w:r w:rsidR="00BF2613">
        <w:rPr>
          <w:rFonts w:asciiTheme="minorHAnsi" w:eastAsiaTheme="minorHAnsi" w:hAnsiTheme="minorHAnsi" w:cs="TimesNewRoman"/>
        </w:rPr>
        <w:t xml:space="preserve"> </w:t>
      </w:r>
      <w:r>
        <w:rPr>
          <w:rFonts w:asciiTheme="minorHAnsi" w:eastAsiaTheme="minorHAnsi" w:hAnsiTheme="minorHAnsi" w:cs="TimesNewRoman"/>
        </w:rPr>
        <w:t>bivalent Original/Omicron BA.4</w:t>
      </w:r>
      <w:r w:rsidR="00767F8E">
        <w:rPr>
          <w:rFonts w:asciiTheme="minorHAnsi" w:eastAsiaTheme="minorHAnsi" w:hAnsiTheme="minorHAnsi" w:cs="TimesNewRoman"/>
        </w:rPr>
        <w:t>-</w:t>
      </w:r>
      <w:r>
        <w:rPr>
          <w:rFonts w:asciiTheme="minorHAnsi" w:eastAsiaTheme="minorHAnsi" w:hAnsiTheme="minorHAnsi" w:cs="TimesNewRoman"/>
        </w:rPr>
        <w:t>5</w:t>
      </w:r>
      <w:r w:rsidRPr="00E20938">
        <w:rPr>
          <w:rFonts w:asciiTheme="minorHAnsi" w:eastAsiaTheme="minorHAnsi" w:hAnsiTheme="minorHAnsi" w:cs="TimesNewRoman"/>
        </w:rPr>
        <w:t xml:space="preserve"> </w:t>
      </w:r>
      <w:r>
        <w:rPr>
          <w:rFonts w:asciiTheme="minorHAnsi" w:eastAsiaTheme="minorHAnsi" w:hAnsiTheme="minorHAnsi" w:cs="TimesNewRoman"/>
        </w:rPr>
        <w:t xml:space="preserve">booster </w:t>
      </w:r>
      <w:r w:rsidRPr="0044796A">
        <w:t>dose group of participants without prior infection (</w:t>
      </w:r>
      <w:r>
        <w:t>p</w:t>
      </w:r>
      <w:r w:rsidRPr="0044796A">
        <w:t xml:space="preserve">er </w:t>
      </w:r>
      <w:r>
        <w:t>p</w:t>
      </w:r>
      <w:r w:rsidRPr="0044796A">
        <w:t xml:space="preserve">rotocol </w:t>
      </w:r>
      <w:r>
        <w:t>e</w:t>
      </w:r>
      <w:r w:rsidRPr="0044796A">
        <w:t xml:space="preserve">fficacy </w:t>
      </w:r>
      <w:r>
        <w:t>s</w:t>
      </w:r>
      <w:r w:rsidRPr="0044796A">
        <w:t>et) with a median of 37 days of follow</w:t>
      </w:r>
      <w:r>
        <w:t xml:space="preserve"> </w:t>
      </w:r>
      <w:r w:rsidRPr="0044796A">
        <w:t xml:space="preserve">up, 12 participants (5.6%) had SARS-CoV-2 infection starting at least 14 days after the </w:t>
      </w:r>
      <w:proofErr w:type="gramStart"/>
      <w:r w:rsidRPr="0044796A">
        <w:t>50</w:t>
      </w:r>
      <w:r w:rsidR="00272257">
        <w:t> </w:t>
      </w:r>
      <w:r>
        <w:t>µ</w:t>
      </w:r>
      <w:r w:rsidRPr="0044796A">
        <w:t>g</w:t>
      </w:r>
      <w:proofErr w:type="gramEnd"/>
      <w:r w:rsidRPr="0044796A">
        <w:t xml:space="preserve"> booster dose. Among the 12 participants with SARS-CoV-2 infection, </w:t>
      </w:r>
      <w:r>
        <w:t>five</w:t>
      </w:r>
      <w:r w:rsidRPr="0044796A">
        <w:t xml:space="preserve"> participants (2.3%) met the primary case definition of COVID-</w:t>
      </w:r>
      <w:proofErr w:type="gramStart"/>
      <w:r w:rsidRPr="0044796A">
        <w:t>19</w:t>
      </w:r>
      <w:proofErr w:type="gramEnd"/>
      <w:r w:rsidRPr="0044796A">
        <w:t xml:space="preserve"> and </w:t>
      </w:r>
      <w:r>
        <w:t>seven</w:t>
      </w:r>
      <w:r w:rsidRPr="0044796A">
        <w:t xml:space="preserve"> participants (3.2%) met the secondary case definition of COVID-19. The remaining </w:t>
      </w:r>
      <w:r>
        <w:t>five</w:t>
      </w:r>
      <w:r w:rsidRPr="0044796A">
        <w:t xml:space="preserve"> participants (2.3%) had an asymptomatic infection. No participants with COVID-19 had an emergency room visit or hospitali</w:t>
      </w:r>
      <w:r>
        <w:t>s</w:t>
      </w:r>
      <w:r w:rsidRPr="0044796A">
        <w:t xml:space="preserve">ation due to the COVID-19 event. Similar results were observed for the </w:t>
      </w:r>
      <w:r>
        <w:t>full analysis set</w:t>
      </w:r>
      <w:r w:rsidRPr="0044796A">
        <w:t xml:space="preserve"> population.</w:t>
      </w:r>
    </w:p>
    <w:p w14:paraId="5B3EEDB2" w14:textId="0C917B3D" w:rsidR="0044796A" w:rsidRPr="0044796A" w:rsidRDefault="0044796A" w:rsidP="0044796A">
      <w:r w:rsidRPr="0044796A">
        <w:lastRenderedPageBreak/>
        <w:t xml:space="preserve">The Day 29 interim analysis infection rates for </w:t>
      </w:r>
      <w:r w:rsidR="002B01E0">
        <w:t xml:space="preserve">monovalent </w:t>
      </w:r>
      <w:proofErr w:type="spellStart"/>
      <w:r w:rsidR="002B01E0">
        <w:t>Spikevax</w:t>
      </w:r>
      <w:proofErr w:type="spellEnd"/>
      <w:r w:rsidRPr="0044796A">
        <w:t xml:space="preserve"> (enrolled in February</w:t>
      </w:r>
      <w:r w:rsidR="002B01E0">
        <w:t xml:space="preserve"> to </w:t>
      </w:r>
      <w:r w:rsidRPr="0044796A">
        <w:t>March 2022) have been previously published.</w:t>
      </w:r>
      <w:bookmarkStart w:id="45" w:name="_Ref127435650"/>
      <w:r w:rsidR="00272257">
        <w:rPr>
          <w:rStyle w:val="FootnoteReference"/>
        </w:rPr>
        <w:footnoteReference w:id="8"/>
      </w:r>
      <w:bookmarkEnd w:id="45"/>
      <w:r w:rsidRPr="0044796A">
        <w:t xml:space="preserve"> For reference, in the </w:t>
      </w:r>
      <w:r w:rsidR="002B01E0">
        <w:t xml:space="preserve">monovalent </w:t>
      </w:r>
      <w:proofErr w:type="spellStart"/>
      <w:r w:rsidR="002B01E0">
        <w:t>Spikevax</w:t>
      </w:r>
      <w:proofErr w:type="spellEnd"/>
      <w:r w:rsidR="002B01E0">
        <w:t xml:space="preserve"> at</w:t>
      </w:r>
      <w:r w:rsidRPr="0044796A">
        <w:t xml:space="preserve"> 50 </w:t>
      </w:r>
      <w:r w:rsidR="002B01E0">
        <w:t>µ</w:t>
      </w:r>
      <w:r w:rsidRPr="0044796A">
        <w:t>g</w:t>
      </w:r>
      <w:r w:rsidR="00BF2613">
        <w:t xml:space="preserve"> </w:t>
      </w:r>
      <w:proofErr w:type="spellStart"/>
      <w:r w:rsidR="00BF2613">
        <w:t>elasomeran</w:t>
      </w:r>
      <w:proofErr w:type="spellEnd"/>
      <w:r w:rsidRPr="0044796A">
        <w:t xml:space="preserve"> booster dose group, with a median of 57 days of follow</w:t>
      </w:r>
      <w:r w:rsidR="002B01E0">
        <w:t xml:space="preserve"> </w:t>
      </w:r>
      <w:r w:rsidRPr="0044796A">
        <w:t xml:space="preserve">up duration, </w:t>
      </w:r>
      <w:r w:rsidR="002B01E0">
        <w:t>nine</w:t>
      </w:r>
      <w:r w:rsidRPr="0044796A">
        <w:t xml:space="preserve"> participants (2.4%) from </w:t>
      </w:r>
      <w:r w:rsidR="002B01E0">
        <w:t>p</w:t>
      </w:r>
      <w:r w:rsidRPr="0044796A">
        <w:t xml:space="preserve">er </w:t>
      </w:r>
      <w:r w:rsidR="002B01E0">
        <w:t>p</w:t>
      </w:r>
      <w:r w:rsidRPr="0044796A">
        <w:t xml:space="preserve">rotocol </w:t>
      </w:r>
      <w:r w:rsidR="002B01E0">
        <w:t>e</w:t>
      </w:r>
      <w:r w:rsidRPr="0044796A">
        <w:t xml:space="preserve">fficacy </w:t>
      </w:r>
      <w:r w:rsidR="002B01E0">
        <w:t>s</w:t>
      </w:r>
      <w:r w:rsidRPr="0044796A">
        <w:t xml:space="preserve">et had SARS-CoV-2 infection starting at least 14 days after the </w:t>
      </w:r>
      <w:proofErr w:type="gramStart"/>
      <w:r w:rsidRPr="0044796A">
        <w:t xml:space="preserve">50 </w:t>
      </w:r>
      <w:r w:rsidR="002B01E0">
        <w:t>µ</w:t>
      </w:r>
      <w:r w:rsidRPr="0044796A">
        <w:t>g</w:t>
      </w:r>
      <w:proofErr w:type="gramEnd"/>
      <w:r w:rsidRPr="0044796A">
        <w:t xml:space="preserve"> booster dose. Among the </w:t>
      </w:r>
      <w:r w:rsidR="002B01E0">
        <w:t>nine</w:t>
      </w:r>
      <w:r w:rsidRPr="0044796A">
        <w:t xml:space="preserve"> participants with SARS-CoV-2 infection, </w:t>
      </w:r>
      <w:r w:rsidR="002B01E0">
        <w:t>two</w:t>
      </w:r>
      <w:r w:rsidRPr="0044796A">
        <w:t xml:space="preserve"> participants (0.5%) met both the primary case definition of COVID-19 and the secondary case definition of COVID-19. The remaining </w:t>
      </w:r>
      <w:r w:rsidR="002B01E0">
        <w:t>seven</w:t>
      </w:r>
      <w:r w:rsidRPr="0044796A">
        <w:t xml:space="preserve"> participants had an asymptomatic infection.</w:t>
      </w:r>
    </w:p>
    <w:p w14:paraId="7020126B" w14:textId="059B8909" w:rsidR="0044796A" w:rsidRDefault="002B01E0" w:rsidP="002B01E0">
      <w:pPr>
        <w:pStyle w:val="TableTitle"/>
      </w:pPr>
      <w:r w:rsidRPr="002B01E0">
        <w:t xml:space="preserve">Table </w:t>
      </w:r>
      <w:fldSimple w:instr=" SEQ Table \* ARABIC ">
        <w:r w:rsidR="00AA4DFB">
          <w:rPr>
            <w:noProof/>
          </w:rPr>
          <w:t>13</w:t>
        </w:r>
      </w:fldSimple>
      <w:r>
        <w:t xml:space="preserve">: </w:t>
      </w:r>
      <w:r w:rsidRPr="002B01E0">
        <w:t xml:space="preserve">Summary of COVID-19 </w:t>
      </w:r>
      <w:r>
        <w:t>i</w:t>
      </w:r>
      <w:r w:rsidRPr="002B01E0">
        <w:t>nfections (</w:t>
      </w:r>
      <w:r>
        <w:t>s</w:t>
      </w:r>
      <w:r w:rsidRPr="002B01E0">
        <w:t xml:space="preserve">econd </w:t>
      </w:r>
      <w:r>
        <w:t>b</w:t>
      </w:r>
      <w:r w:rsidRPr="002B01E0">
        <w:t xml:space="preserve">ooster </w:t>
      </w:r>
      <w:r>
        <w:t>d</w:t>
      </w:r>
      <w:r w:rsidRPr="002B01E0">
        <w:t>ose</w:t>
      </w:r>
      <w:r>
        <w:t xml:space="preserve"> with </w:t>
      </w:r>
      <w:proofErr w:type="spellStart"/>
      <w:r w:rsidR="00BF2613">
        <w:t>Spikevax</w:t>
      </w:r>
      <w:proofErr w:type="spellEnd"/>
      <w:r w:rsidR="00BF2613">
        <w:t xml:space="preserve"> </w:t>
      </w:r>
      <w:r>
        <w:t>bivalent Original/Omicron BA.4</w:t>
      </w:r>
      <w:r w:rsidR="00767F8E">
        <w:t>-</w:t>
      </w:r>
      <w:r>
        <w:t xml:space="preserve">5 </w:t>
      </w:r>
      <w:r w:rsidRPr="002B01E0">
        <w:t>50</w:t>
      </w:r>
      <w:r>
        <w:t xml:space="preserve"> µ</w:t>
      </w:r>
      <w:r w:rsidRPr="002B01E0">
        <w:t>g)</w:t>
      </w:r>
    </w:p>
    <w:p w14:paraId="39085B0E" w14:textId="64B98A55" w:rsidR="002B01E0" w:rsidRDefault="002B01E0" w:rsidP="002B01E0">
      <w:r>
        <w:rPr>
          <w:noProof/>
          <w:lang w:val="en-GB" w:eastAsia="en-GB"/>
        </w:rPr>
        <w:drawing>
          <wp:inline distT="0" distB="0" distL="0" distR="0" wp14:anchorId="5CA37C8E" wp14:editId="7ABBDC06">
            <wp:extent cx="5398827" cy="1623974"/>
            <wp:effectExtent l="0" t="0" r="0" b="0"/>
            <wp:docPr id="25" name="Picture 25" descr="Summary of COVID-19 infections (second booster dose with bivalent Original/Omicron BA.4 – 5 at 50 µ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mmary of COVID-19 infections (second booster dose with bivalent Original/Omicron BA.4 – 5 at 50 µg)"/>
                    <pic:cNvPicPr/>
                  </pic:nvPicPr>
                  <pic:blipFill rotWithShape="1">
                    <a:blip r:embed="rId36"/>
                    <a:srcRect b="50546"/>
                    <a:stretch/>
                  </pic:blipFill>
                  <pic:spPr bwMode="auto">
                    <a:xfrm>
                      <a:off x="0" y="0"/>
                      <a:ext cx="5400040" cy="1624339"/>
                    </a:xfrm>
                    <a:prstGeom prst="rect">
                      <a:avLst/>
                    </a:prstGeom>
                    <a:ln>
                      <a:noFill/>
                    </a:ln>
                    <a:extLst>
                      <a:ext uri="{53640926-AAD7-44D8-BBD7-CCE9431645EC}">
                        <a14:shadowObscured xmlns:a14="http://schemas.microsoft.com/office/drawing/2010/main"/>
                      </a:ext>
                    </a:extLst>
                  </pic:spPr>
                </pic:pic>
              </a:graphicData>
            </a:graphic>
          </wp:inline>
        </w:drawing>
      </w:r>
    </w:p>
    <w:p w14:paraId="3CFCB951" w14:textId="3237175E" w:rsidR="002B01E0" w:rsidRDefault="002B01E0" w:rsidP="002B01E0">
      <w:pPr>
        <w:pStyle w:val="TableDescription"/>
      </w:pPr>
      <w:r>
        <w:t xml:space="preserve">Abbreviations: CDC = </w:t>
      </w:r>
      <w:proofErr w:type="spellStart"/>
      <w:r>
        <w:t>Centers</w:t>
      </w:r>
      <w:proofErr w:type="spellEnd"/>
      <w:r>
        <w:t xml:space="preserve"> for Disease Control and Prevention; COVID-19 = coronavirus disease 2019; </w:t>
      </w:r>
      <w:r w:rsidR="00BF2613">
        <w:t xml:space="preserve">mRNA-1273.222 = </w:t>
      </w:r>
      <w:proofErr w:type="spellStart"/>
      <w:r w:rsidR="00BF2613">
        <w:t>Spikevax</w:t>
      </w:r>
      <w:proofErr w:type="spellEnd"/>
      <w:r w:rsidR="00BF2613">
        <w:t xml:space="preserve"> bivalent Original/Omicron BA.4-5 (</w:t>
      </w:r>
      <w:proofErr w:type="spellStart"/>
      <w:r w:rsidR="00BF2613">
        <w:t>elasomeran</w:t>
      </w:r>
      <w:proofErr w:type="spellEnd"/>
      <w:r w:rsidR="00BF2613">
        <w:t xml:space="preserve"> and </w:t>
      </w:r>
      <w:proofErr w:type="spellStart"/>
      <w:r w:rsidR="00BF2613">
        <w:t>davesomeran</w:t>
      </w:r>
      <w:proofErr w:type="spellEnd"/>
      <w:r w:rsidR="00BF2613">
        <w:t>);</w:t>
      </w:r>
      <w:r w:rsidR="00BF2613">
        <w:br/>
      </w:r>
      <w:r>
        <w:t>RT-PCR = reverse transcriptase polymerase chain reaction; SARS-CoV-2 = severe acute respiratory syndrome coronavirus 2.</w:t>
      </w:r>
    </w:p>
    <w:p w14:paraId="4F71A09C" w14:textId="459484C7" w:rsidR="002B01E0" w:rsidRDefault="002B01E0" w:rsidP="002B01E0">
      <w:pPr>
        <w:pStyle w:val="TableDescription"/>
      </w:pPr>
      <w:r>
        <w:t>a Primary case definition per Study P301 is positive post-baseline RT-PCR results and at least 2 of the following systemic symptoms: fever ≥ 38</w:t>
      </w:r>
      <w:r w:rsidRPr="002B01E0">
        <w:rPr>
          <w:vertAlign w:val="superscript"/>
        </w:rPr>
        <w:t>o</w:t>
      </w:r>
      <w:r>
        <w:t>C, chills, muscle and/or body aches (not related to exercise), headache, sore throat, new loss of taste/smell; OR at least 1 of the following respiratory signs/symptoms: cough, shortness of breath and/or difficulty breathing, OR clinical or radiographical evidence of pneumonia</w:t>
      </w:r>
    </w:p>
    <w:p w14:paraId="7950F9B2" w14:textId="592F5D04" w:rsidR="002B01E0" w:rsidRDefault="002B01E0" w:rsidP="002B01E0">
      <w:pPr>
        <w:pStyle w:val="TableDescription"/>
      </w:pPr>
      <w:r>
        <w:t>b Secondary case definition of COVID-19 is positive post-baseline, RT-PCR result and at least 1 of the following systemic or respiratory symptoms: fever ≥ 38</w:t>
      </w:r>
      <w:r w:rsidRPr="002B01E0">
        <w:rPr>
          <w:vertAlign w:val="superscript"/>
        </w:rPr>
        <w:t>o</w:t>
      </w:r>
      <w:r>
        <w:t>C, chills, cough,</w:t>
      </w:r>
      <w:r w:rsidR="009E0B92">
        <w:t xml:space="preserve"> </w:t>
      </w:r>
      <w:r>
        <w:t>shortness of breath and/or difficulty breathing,</w:t>
      </w:r>
      <w:r w:rsidR="009E0B92">
        <w:t xml:space="preserve"> fatigue, muscle and/or body aches (not related to exercise), headaches, new loss of taste/smell, sore throat, congestion, runny nose, nausea, vomiting, or </w:t>
      </w:r>
      <w:r w:rsidR="00BF2613">
        <w:t>diarrhoea</w:t>
      </w:r>
      <w:r w:rsidR="009E0B92">
        <w:t>.</w:t>
      </w:r>
    </w:p>
    <w:p w14:paraId="10D3E99B" w14:textId="48039E11" w:rsidR="009E0B92" w:rsidRPr="00F33CB1" w:rsidRDefault="009E0B92" w:rsidP="000E1461">
      <w:pPr>
        <w:pStyle w:val="Heading5"/>
        <w:rPr>
          <w:rFonts w:eastAsiaTheme="minorHAnsi"/>
        </w:rPr>
      </w:pPr>
      <w:bookmarkStart w:id="46" w:name="_Hlk125466602"/>
      <w:r w:rsidRPr="00F33CB1">
        <w:rPr>
          <w:rFonts w:eastAsiaTheme="minorHAnsi"/>
        </w:rPr>
        <w:t>Study P205 Part G</w:t>
      </w:r>
    </w:p>
    <w:bookmarkEnd w:id="46"/>
    <w:p w14:paraId="2CB58DD7" w14:textId="002879AD" w:rsidR="009E0B92" w:rsidRPr="009E0B92" w:rsidRDefault="009E0B92" w:rsidP="009E0B92">
      <w:r w:rsidRPr="009E0B92">
        <w:t xml:space="preserve">Study P205 is an ongoing open label Phase </w:t>
      </w:r>
      <w:r>
        <w:t>II</w:t>
      </w:r>
      <w:r w:rsidRPr="009E0B92">
        <w:t>/</w:t>
      </w:r>
      <w:r>
        <w:t>III</w:t>
      </w:r>
      <w:r w:rsidRPr="009E0B92">
        <w:t xml:space="preserve"> study with multiple, sequentially enrolled cohorts to evaluate the immunogenicity and safety of variant-modified booster candidate vaccines.</w:t>
      </w:r>
    </w:p>
    <w:p w14:paraId="4C0F433A" w14:textId="75AE90CF" w:rsidR="009E0B92" w:rsidRPr="009E0B92" w:rsidRDefault="009E0B92" w:rsidP="009E0B92">
      <w:r w:rsidRPr="009E0B92">
        <w:t>Study P205 Part G was previously evaluated by TGA,</w:t>
      </w:r>
      <w:r>
        <w:fldChar w:fldCharType="begin"/>
      </w:r>
      <w:r>
        <w:instrText xml:space="preserve"> NOTEREF _Ref126851115 \f \h </w:instrText>
      </w:r>
      <w:r>
        <w:fldChar w:fldCharType="separate"/>
      </w:r>
      <w:r w:rsidR="00AA4DFB" w:rsidRPr="00AA4DFB">
        <w:rPr>
          <w:rStyle w:val="FootnoteReference"/>
        </w:rPr>
        <w:t>6</w:t>
      </w:r>
      <w:r>
        <w:fldChar w:fldCharType="end"/>
      </w:r>
      <w:r w:rsidRPr="009E0B92">
        <w:t xml:space="preserve"> and therefore </w:t>
      </w:r>
      <w:r w:rsidR="00BF2613">
        <w:t xml:space="preserve">is </w:t>
      </w:r>
      <w:r w:rsidRPr="009E0B92">
        <w:t>not fully discussed here.</w:t>
      </w:r>
    </w:p>
    <w:p w14:paraId="0092E4E9" w14:textId="26FD9027" w:rsidR="009E0B92" w:rsidRPr="009E0B92" w:rsidRDefault="009E0B92" w:rsidP="009E0B92">
      <w:r w:rsidRPr="009E0B92">
        <w:t xml:space="preserve">Study P205 Part G evaluated the safety, reactogenicity, and immunogenicity of 50 </w:t>
      </w:r>
      <w:r>
        <w:t>µ</w:t>
      </w:r>
      <w:r w:rsidRPr="009E0B92">
        <w:t xml:space="preserve">g of </w:t>
      </w:r>
      <w:proofErr w:type="spellStart"/>
      <w:r>
        <w:t>Spikevax</w:t>
      </w:r>
      <w:proofErr w:type="spellEnd"/>
      <w:r>
        <w:t xml:space="preserve"> Original/Omicron BA.1</w:t>
      </w:r>
      <w:r w:rsidRPr="009E0B92">
        <w:t xml:space="preserve"> </w:t>
      </w:r>
      <w:r w:rsidR="00BF2613">
        <w:t>(</w:t>
      </w:r>
      <w:proofErr w:type="spellStart"/>
      <w:r w:rsidR="00BF2613">
        <w:t>elasomeran</w:t>
      </w:r>
      <w:proofErr w:type="spellEnd"/>
      <w:r w:rsidR="00BF2613">
        <w:t xml:space="preserve"> and </w:t>
      </w:r>
      <w:proofErr w:type="spellStart"/>
      <w:r w:rsidR="00BF2613">
        <w:t>imelasomeran</w:t>
      </w:r>
      <w:proofErr w:type="spellEnd"/>
      <w:r w:rsidR="00BF2613">
        <w:t xml:space="preserve">) </w:t>
      </w:r>
      <w:r w:rsidRPr="009E0B92">
        <w:t xml:space="preserve">when administered as a second booster dose in adults who previously received </w:t>
      </w:r>
      <w:r>
        <w:t>two</w:t>
      </w:r>
      <w:r w:rsidRPr="009E0B92">
        <w:t xml:space="preserve"> doses of 100 </w:t>
      </w:r>
      <w:r>
        <w:t>µ</w:t>
      </w:r>
      <w:r w:rsidRPr="009E0B92">
        <w:t xml:space="preserve">g </w:t>
      </w:r>
      <w:r>
        <w:t xml:space="preserve">monovalent </w:t>
      </w:r>
      <w:proofErr w:type="spellStart"/>
      <w:r>
        <w:t>Spikevax</w:t>
      </w:r>
      <w:proofErr w:type="spellEnd"/>
      <w:r w:rsidRPr="009E0B92">
        <w:t xml:space="preserve"> </w:t>
      </w:r>
      <w:r w:rsidR="00BF2613">
        <w:t>(</w:t>
      </w:r>
      <w:proofErr w:type="spellStart"/>
      <w:r w:rsidR="00BF2613">
        <w:t>elasomeran</w:t>
      </w:r>
      <w:proofErr w:type="spellEnd"/>
      <w:r w:rsidR="00BF2613">
        <w:t xml:space="preserve">) </w:t>
      </w:r>
      <w:r w:rsidRPr="009E0B92">
        <w:t xml:space="preserve">as a primary series and a single booster dose of 50 </w:t>
      </w:r>
      <w:r>
        <w:t>µ</w:t>
      </w:r>
      <w:r w:rsidRPr="009E0B92">
        <w:t xml:space="preserve">g </w:t>
      </w:r>
      <w:r>
        <w:t xml:space="preserve">monovalent </w:t>
      </w:r>
      <w:proofErr w:type="spellStart"/>
      <w:r>
        <w:t>Spikevax</w:t>
      </w:r>
      <w:proofErr w:type="spellEnd"/>
      <w:r w:rsidRPr="009E0B92">
        <w:t xml:space="preserve">. As is the case with Study P205 Part H, the sponsor provided </w:t>
      </w:r>
      <w:r>
        <w:t xml:space="preserve">Study </w:t>
      </w:r>
      <w:r w:rsidRPr="009E0B92">
        <w:t>P205 Part F as the within-study, non</w:t>
      </w:r>
      <w:r w:rsidR="004B0233">
        <w:noBreakHyphen/>
      </w:r>
      <w:r w:rsidRPr="009E0B92">
        <w:t xml:space="preserve">contemporaneous comparator group for </w:t>
      </w:r>
      <w:r>
        <w:t xml:space="preserve">Study </w:t>
      </w:r>
      <w:r w:rsidRPr="009E0B92">
        <w:t>P205 Part G.</w:t>
      </w:r>
    </w:p>
    <w:p w14:paraId="1E647425" w14:textId="526C724F" w:rsidR="009E0B92" w:rsidRPr="009E0B92" w:rsidRDefault="009E0B92" w:rsidP="009E0B92">
      <w:r w:rsidRPr="009E0B92">
        <w:t xml:space="preserve">In </w:t>
      </w:r>
      <w:r w:rsidR="00C87FAA">
        <w:t xml:space="preserve">an analysis of </w:t>
      </w:r>
      <w:r>
        <w:t xml:space="preserve">Study </w:t>
      </w:r>
      <w:r w:rsidRPr="009E0B92">
        <w:t>P205 Part G v</w:t>
      </w:r>
      <w:r>
        <w:t>ersus</w:t>
      </w:r>
      <w:r w:rsidRPr="009E0B92">
        <w:t xml:space="preserve"> Part F, the primary immunogenicity objective (pre</w:t>
      </w:r>
      <w:r>
        <w:noBreakHyphen/>
      </w:r>
      <w:r w:rsidRPr="009E0B92">
        <w:t xml:space="preserve">specified) was to compare the immunogenicity of </w:t>
      </w:r>
      <w:proofErr w:type="spellStart"/>
      <w:r w:rsidR="00332D22">
        <w:t>Spikevax</w:t>
      </w:r>
      <w:proofErr w:type="spellEnd"/>
      <w:r w:rsidR="00332D22">
        <w:t xml:space="preserve"> </w:t>
      </w:r>
      <w:r>
        <w:t xml:space="preserve">bivalent Original/Omicron BA.1 vaccine at </w:t>
      </w:r>
      <w:r w:rsidRPr="009E0B92">
        <w:t xml:space="preserve">50 </w:t>
      </w:r>
      <w:r>
        <w:t>µ</w:t>
      </w:r>
      <w:r w:rsidRPr="009E0B92">
        <w:t xml:space="preserve">g and </w:t>
      </w:r>
      <w:r>
        <w:t xml:space="preserve">monovalent </w:t>
      </w:r>
      <w:proofErr w:type="spellStart"/>
      <w:r>
        <w:t>Spikevax</w:t>
      </w:r>
      <w:proofErr w:type="spellEnd"/>
      <w:r>
        <w:t xml:space="preserve"> at</w:t>
      </w:r>
      <w:r w:rsidRPr="009E0B92">
        <w:t xml:space="preserve"> 50 </w:t>
      </w:r>
      <w:r>
        <w:t>µ</w:t>
      </w:r>
      <w:r w:rsidRPr="009E0B92">
        <w:t xml:space="preserve">g as a second </w:t>
      </w:r>
      <w:r w:rsidRPr="009E0B92">
        <w:lastRenderedPageBreak/>
        <w:t xml:space="preserve">booster. The co-primary endpoints were GMT and SRR for serum </w:t>
      </w:r>
      <w:proofErr w:type="spellStart"/>
      <w:r>
        <w:t>nAb</w:t>
      </w:r>
      <w:proofErr w:type="spellEnd"/>
      <w:r w:rsidRPr="009E0B92">
        <w:t xml:space="preserve"> titres against the SARS-CoV-2 ancestral and </w:t>
      </w:r>
      <w:r w:rsidR="00272257">
        <w:t>O</w:t>
      </w:r>
      <w:r w:rsidRPr="009E0B92">
        <w:t>micron (BA.1) strains. The primary efficacy analysis set was the per</w:t>
      </w:r>
      <w:r w:rsidR="00272257">
        <w:t>-</w:t>
      </w:r>
      <w:r w:rsidRPr="009E0B92">
        <w:t>protocol immunogenicity set with negative baseline SARS-CoV-2 status</w:t>
      </w:r>
      <w:r>
        <w:t>.</w:t>
      </w:r>
    </w:p>
    <w:p w14:paraId="0EC87D72" w14:textId="72B4A86D" w:rsidR="009E0B92" w:rsidRPr="009E0B92" w:rsidRDefault="009E0B92" w:rsidP="009E0B92">
      <w:r w:rsidRPr="009E0B92">
        <w:t xml:space="preserve">Overall, demographic and baseline characteristics were similar between the </w:t>
      </w:r>
      <w:r>
        <w:t xml:space="preserve">bivalent Original/Omicron BA.1 vaccine </w:t>
      </w:r>
      <w:r w:rsidR="00524DB2">
        <w:t>(</w:t>
      </w:r>
      <w:proofErr w:type="spellStart"/>
      <w:r w:rsidR="00524DB2">
        <w:t>elasomeran</w:t>
      </w:r>
      <w:proofErr w:type="spellEnd"/>
      <w:r w:rsidR="00524DB2">
        <w:t xml:space="preserve"> and </w:t>
      </w:r>
      <w:proofErr w:type="spellStart"/>
      <w:r w:rsidR="00524DB2">
        <w:t>imelasomeran</w:t>
      </w:r>
      <w:proofErr w:type="spellEnd"/>
      <w:r w:rsidR="00524DB2">
        <w:t xml:space="preserve">) </w:t>
      </w:r>
      <w:r>
        <w:t>at</w:t>
      </w:r>
      <w:r w:rsidRPr="009E0B92">
        <w:t xml:space="preserve"> 50 </w:t>
      </w:r>
      <w:r>
        <w:t>µ</w:t>
      </w:r>
      <w:r w:rsidRPr="009E0B92">
        <w:t xml:space="preserve">g and </w:t>
      </w:r>
      <w:r>
        <w:t xml:space="preserve">monovalent </w:t>
      </w:r>
      <w:proofErr w:type="spellStart"/>
      <w:r>
        <w:t>Spikevax</w:t>
      </w:r>
      <w:proofErr w:type="spellEnd"/>
      <w:r>
        <w:t xml:space="preserve"> </w:t>
      </w:r>
      <w:r w:rsidR="00524DB2">
        <w:t>(</w:t>
      </w:r>
      <w:proofErr w:type="spellStart"/>
      <w:r w:rsidR="00524DB2">
        <w:t>elasomeran</w:t>
      </w:r>
      <w:proofErr w:type="spellEnd"/>
      <w:r w:rsidR="00524DB2">
        <w:t xml:space="preserve">) </w:t>
      </w:r>
      <w:r>
        <w:t>at</w:t>
      </w:r>
      <w:r w:rsidRPr="009E0B92">
        <w:t xml:space="preserve"> 50 </w:t>
      </w:r>
      <w:r>
        <w:t>µ</w:t>
      </w:r>
      <w:r w:rsidRPr="009E0B92">
        <w:t>g groups.</w:t>
      </w:r>
    </w:p>
    <w:p w14:paraId="3C8140C3" w14:textId="3EF9CD40" w:rsidR="009E0B92" w:rsidRPr="009E0B92" w:rsidRDefault="009E0B92" w:rsidP="009E0B92">
      <w:r w:rsidRPr="009E0B92">
        <w:t xml:space="preserve">In </w:t>
      </w:r>
      <w:r>
        <w:t xml:space="preserve">Study </w:t>
      </w:r>
      <w:r w:rsidRPr="009E0B92">
        <w:t xml:space="preserve">P205 Part G, all primary and key secondary immunogenicity objectives were met. </w:t>
      </w:r>
      <w:proofErr w:type="spellStart"/>
      <w:r w:rsidR="00D71435">
        <w:t>Spikevax</w:t>
      </w:r>
      <w:proofErr w:type="spellEnd"/>
      <w:r w:rsidR="00D71435">
        <w:t xml:space="preserve"> </w:t>
      </w:r>
      <w:r w:rsidR="00272257">
        <w:t>b</w:t>
      </w:r>
      <w:r>
        <w:t>ivalent Original/Omicron BA.1 at</w:t>
      </w:r>
      <w:r w:rsidRPr="009E0B92">
        <w:t xml:space="preserve"> 50 </w:t>
      </w:r>
      <w:r>
        <w:t>µ</w:t>
      </w:r>
      <w:r w:rsidRPr="009E0B92">
        <w:t>g elicited a superior neutrali</w:t>
      </w:r>
      <w:r>
        <w:t>s</w:t>
      </w:r>
      <w:r w:rsidRPr="009E0B92">
        <w:t xml:space="preserve">ing antibody response against Omicron BA.1 strain, and a non-inferior antibody response against the ancestral </w:t>
      </w:r>
      <w:r>
        <w:t>strain</w:t>
      </w:r>
      <w:r w:rsidRPr="009E0B92">
        <w:t xml:space="preserve"> 28 days after booster dose administration as compared to a </w:t>
      </w:r>
      <w:proofErr w:type="gramStart"/>
      <w:r w:rsidRPr="009E0B92">
        <w:t xml:space="preserve">50 </w:t>
      </w:r>
      <w:r>
        <w:t>µ</w:t>
      </w:r>
      <w:r w:rsidRPr="009E0B92">
        <w:t>g</w:t>
      </w:r>
      <w:proofErr w:type="gramEnd"/>
      <w:r w:rsidRPr="009E0B92">
        <w:t xml:space="preserve"> booster dose of </w:t>
      </w:r>
      <w:r>
        <w:t xml:space="preserve">monovalent </w:t>
      </w:r>
      <w:proofErr w:type="spellStart"/>
      <w:r>
        <w:t>Spikevax</w:t>
      </w:r>
      <w:proofErr w:type="spellEnd"/>
      <w:r w:rsidRPr="009E0B92">
        <w:t>. The GMR (97.5% CI) for primary analysis population (participants with no prior infection) against the Omicron variant was 1.75 (1.49, 2.04), meeting the prespecified superiority criterion (lower bound of CI &gt;</w:t>
      </w:r>
      <w:r w:rsidR="00F22B32">
        <w:t xml:space="preserve"> </w:t>
      </w:r>
      <w:r w:rsidRPr="009E0B92">
        <w:t xml:space="preserve">1). The GMR (97.5% CI) against the ancestral </w:t>
      </w:r>
      <w:r w:rsidR="00F22B32">
        <w:t>strain</w:t>
      </w:r>
      <w:r w:rsidRPr="009E0B92">
        <w:t xml:space="preserve"> was 1.22 (1.08, 1.37), meeting the prespecified criterion for non-inferiority (lower bound of CI ≥</w:t>
      </w:r>
      <w:r w:rsidR="00F22B32">
        <w:t xml:space="preserve"> </w:t>
      </w:r>
      <w:r w:rsidRPr="009E0B92">
        <w:t>0.67). Omicron neutrali</w:t>
      </w:r>
      <w:r w:rsidR="00F22B32">
        <w:t>s</w:t>
      </w:r>
      <w:r w:rsidRPr="009E0B92">
        <w:t xml:space="preserve">ing antibody responses were higher in participants both with and without prior evidence of SARS-CoV-2 infection in the entire study population </w:t>
      </w:r>
      <w:r w:rsidR="00C87FAA">
        <w:t>(</w:t>
      </w:r>
      <w:r w:rsidRPr="009E0B92">
        <w:t>GMR (97.5% CI) 1.79 (1.56, 2.04)</w:t>
      </w:r>
      <w:r w:rsidR="00C87FAA">
        <w:t>)</w:t>
      </w:r>
      <w:r w:rsidRPr="009E0B92">
        <w:t>.</w:t>
      </w:r>
    </w:p>
    <w:p w14:paraId="459E5FD4" w14:textId="025AD9D6" w:rsidR="009E0B92" w:rsidRPr="009E0B92" w:rsidRDefault="009E0B92" w:rsidP="009E0B92">
      <w:r w:rsidRPr="009E0B92">
        <w:t xml:space="preserve">The </w:t>
      </w:r>
      <w:proofErr w:type="spellStart"/>
      <w:r w:rsidRPr="009E0B92">
        <w:t>seroresponse</w:t>
      </w:r>
      <w:proofErr w:type="spellEnd"/>
      <w:r w:rsidRPr="009E0B92">
        <w:t xml:space="preserve"> was calculated relative to baseline titres pre-Dose 1 of the primary series. With an alternative definition of </w:t>
      </w:r>
      <w:proofErr w:type="spellStart"/>
      <w:r w:rsidRPr="009E0B92">
        <w:t>seroresponse</w:t>
      </w:r>
      <w:proofErr w:type="spellEnd"/>
      <w:r w:rsidRPr="009E0B92">
        <w:t xml:space="preserve"> which is being ≥ 4-fold increase relative to baseline titres pre-</w:t>
      </w:r>
      <w:r w:rsidR="00F22B32">
        <w:t>second</w:t>
      </w:r>
      <w:r w:rsidRPr="009E0B92">
        <w:t xml:space="preserve"> booster, SRRs were consistent with the GMT results.</w:t>
      </w:r>
    </w:p>
    <w:p w14:paraId="67CF2839" w14:textId="679836F7" w:rsidR="009E0B92" w:rsidRPr="009E0B92" w:rsidRDefault="009E0B92" w:rsidP="009E0B92">
      <w:r w:rsidRPr="009E0B92">
        <w:t xml:space="preserve">In addition, a subgroup analysis in participants with evidence of SARS-CoV-2 infection at </w:t>
      </w:r>
      <w:r w:rsidR="00795787">
        <w:t>B</w:t>
      </w:r>
      <w:r w:rsidRPr="009E0B92">
        <w:t xml:space="preserve">aseline showed that </w:t>
      </w:r>
      <w:proofErr w:type="spellStart"/>
      <w:r w:rsidR="00632D23">
        <w:t>Spikevax</w:t>
      </w:r>
      <w:proofErr w:type="spellEnd"/>
      <w:r w:rsidR="00632D23">
        <w:t xml:space="preserve"> </w:t>
      </w:r>
      <w:r w:rsidR="00F22B32">
        <w:t>bivalent Original/Omicron BA.1 vaccine</w:t>
      </w:r>
      <w:r w:rsidRPr="009E0B92">
        <w:t xml:space="preserve"> demonstrated higher immunogenicity against Omicron (B.1.1.529) and ancestral </w:t>
      </w:r>
      <w:r w:rsidR="00F22B32">
        <w:t>strain</w:t>
      </w:r>
      <w:r w:rsidRPr="009E0B92">
        <w:t xml:space="preserve"> with the Day 29 GMR of 1.898 (97.5% CI: 1.499, 2.403) and 1.272 (97.5% CI: 1.070, 1.512), respectively.</w:t>
      </w:r>
    </w:p>
    <w:p w14:paraId="6A3AF987" w14:textId="6EE4EA49" w:rsidR="009E0B92" w:rsidRPr="009E0B92" w:rsidRDefault="009E0B92" w:rsidP="009E0B92">
      <w:bookmarkStart w:id="47" w:name="_Hlk111018866"/>
      <w:r w:rsidRPr="009E0B92">
        <w:t xml:space="preserve">Additionally, in the exploratory immunogenicity analysis, 50 </w:t>
      </w:r>
      <w:r w:rsidR="00F22B32">
        <w:t>µ</w:t>
      </w:r>
      <w:r w:rsidRPr="009E0B92">
        <w:t xml:space="preserve">g </w:t>
      </w:r>
      <w:r w:rsidR="00F22B32">
        <w:t xml:space="preserve">of </w:t>
      </w:r>
      <w:proofErr w:type="spellStart"/>
      <w:r w:rsidR="00310400">
        <w:t>Spikevax</w:t>
      </w:r>
      <w:proofErr w:type="spellEnd"/>
      <w:r w:rsidR="00310400">
        <w:t xml:space="preserve"> </w:t>
      </w:r>
      <w:r w:rsidR="00F22B32">
        <w:t>bivalent Original/Omicron BA.1 vaccine</w:t>
      </w:r>
      <w:r w:rsidRPr="009E0B92">
        <w:t xml:space="preserve"> elicited higher neutrali</w:t>
      </w:r>
      <w:r w:rsidR="00F22B32">
        <w:t>s</w:t>
      </w:r>
      <w:r w:rsidRPr="009E0B92">
        <w:t xml:space="preserve">ing antibody response against the Omicron BA.4 and BA.5 subvariants; </w:t>
      </w:r>
      <w:proofErr w:type="spellStart"/>
      <w:r w:rsidR="00310400">
        <w:t>Spikevax</w:t>
      </w:r>
      <w:proofErr w:type="spellEnd"/>
      <w:r w:rsidR="00310400">
        <w:t xml:space="preserve"> </w:t>
      </w:r>
      <w:r w:rsidR="00F22B32">
        <w:t>bivalent Original/Omicron BA.1</w:t>
      </w:r>
      <w:r w:rsidR="00F22B32" w:rsidRPr="009E0B92">
        <w:t xml:space="preserve"> </w:t>
      </w:r>
      <w:r w:rsidR="00F22B32">
        <w:t>vaccine</w:t>
      </w:r>
      <w:r w:rsidRPr="009E0B92">
        <w:t xml:space="preserve"> also elicited higher binding antibody responses against multiple variants not contained in the vaccine, including Alpha, Beta, Gamma, and Delta. The </w:t>
      </w:r>
      <w:r w:rsidR="00F22B32">
        <w:t>sponsor</w:t>
      </w:r>
      <w:r w:rsidRPr="009E0B92">
        <w:t xml:space="preserve"> had provided supportive </w:t>
      </w:r>
      <w:r w:rsidR="00F22B32">
        <w:t>D</w:t>
      </w:r>
      <w:r w:rsidRPr="009E0B92">
        <w:t xml:space="preserve">ay 181 data for a bivalent vaccine containing equal amounts of the ancestral </w:t>
      </w:r>
      <w:r w:rsidR="00F22B32">
        <w:t>strain</w:t>
      </w:r>
      <w:r w:rsidRPr="009E0B92">
        <w:t xml:space="preserve"> and Beta variant spike protein sequences, from Part A1 of </w:t>
      </w:r>
      <w:r w:rsidR="00F22B32">
        <w:t>S</w:t>
      </w:r>
      <w:r w:rsidRPr="009E0B92">
        <w:t xml:space="preserve">tudy P205. These data suggest some persistence of the neutralising antibodies induced by a bivalent mRNA vaccine against ancestral and variant strains. These data also provide some supportive evidence to extrapolate </w:t>
      </w:r>
      <w:r w:rsidR="00F22B32">
        <w:t>bivalent Original/Omicron BA.1 vaccine</w:t>
      </w:r>
      <w:r w:rsidRPr="009E0B92">
        <w:t xml:space="preserve"> to the first booster setting.</w:t>
      </w:r>
      <w:bookmarkEnd w:id="47"/>
    </w:p>
    <w:p w14:paraId="73839E1C" w14:textId="753B187B" w:rsidR="009E0B92" w:rsidRPr="003B3F22" w:rsidRDefault="009E0B92" w:rsidP="000E1461">
      <w:pPr>
        <w:pStyle w:val="Heading5"/>
        <w:rPr>
          <w:rFonts w:eastAsia="Cambria"/>
        </w:rPr>
      </w:pPr>
      <w:r w:rsidRPr="00C33A45">
        <w:rPr>
          <w:rFonts w:eastAsia="Cambria"/>
        </w:rPr>
        <w:t xml:space="preserve">Study </w:t>
      </w:r>
      <w:r w:rsidR="00524DB2">
        <w:rPr>
          <w:rFonts w:eastAsia="Cambria"/>
        </w:rPr>
        <w:t>P</w:t>
      </w:r>
      <w:r w:rsidRPr="00C33A45">
        <w:rPr>
          <w:rFonts w:eastAsia="Cambria"/>
        </w:rPr>
        <w:t xml:space="preserve">203 Part C </w:t>
      </w:r>
      <w:r w:rsidR="00524DB2">
        <w:rPr>
          <w:rFonts w:eastAsia="Cambria"/>
        </w:rPr>
        <w:t>(</w:t>
      </w:r>
      <w:r w:rsidR="00F22B32">
        <w:rPr>
          <w:rFonts w:eastAsia="Cambria"/>
        </w:rPr>
        <w:t>b</w:t>
      </w:r>
      <w:r w:rsidRPr="00C33A45">
        <w:rPr>
          <w:rFonts w:eastAsia="Cambria"/>
        </w:rPr>
        <w:t xml:space="preserve">ooster </w:t>
      </w:r>
      <w:r w:rsidR="00F22B32">
        <w:rPr>
          <w:rFonts w:eastAsia="Cambria"/>
        </w:rPr>
        <w:t>p</w:t>
      </w:r>
      <w:r w:rsidRPr="00C33A45">
        <w:rPr>
          <w:rFonts w:eastAsia="Cambria"/>
        </w:rPr>
        <w:t>hase</w:t>
      </w:r>
      <w:r w:rsidR="00524DB2">
        <w:rPr>
          <w:rFonts w:eastAsia="Cambria"/>
        </w:rPr>
        <w:t>)</w:t>
      </w:r>
    </w:p>
    <w:p w14:paraId="1B5591DC" w14:textId="36B61EEE" w:rsidR="009E0B92" w:rsidRPr="009E0B92" w:rsidRDefault="009E0B92" w:rsidP="009E0B92">
      <w:r w:rsidRPr="009E0B92">
        <w:t xml:space="preserve">Study P203 Part C is an extension of Study P203. Study P203 is a Phase </w:t>
      </w:r>
      <w:r w:rsidR="00F22B32">
        <w:t>II</w:t>
      </w:r>
      <w:r w:rsidRPr="009E0B92">
        <w:t>/</w:t>
      </w:r>
      <w:r w:rsidR="00F22B32">
        <w:t>III</w:t>
      </w:r>
      <w:r w:rsidRPr="009E0B92">
        <w:t xml:space="preserve"> study originally designed as a randomised, observer-blind, </w:t>
      </w:r>
      <w:proofErr w:type="gramStart"/>
      <w:r w:rsidRPr="009E0B92">
        <w:t>placebo</w:t>
      </w:r>
      <w:r w:rsidR="00F22B32">
        <w:t xml:space="preserve"> </w:t>
      </w:r>
      <w:r w:rsidRPr="009E0B92">
        <w:t>controlled</w:t>
      </w:r>
      <w:proofErr w:type="gramEnd"/>
      <w:r w:rsidRPr="009E0B92">
        <w:t xml:space="preserve"> study evaluating the safety, reactogenicity, and effectiveness of a two</w:t>
      </w:r>
      <w:r w:rsidR="00F22B32">
        <w:t xml:space="preserve"> </w:t>
      </w:r>
      <w:r w:rsidRPr="009E0B92">
        <w:t xml:space="preserve">dose </w:t>
      </w:r>
      <w:r w:rsidR="00F22B32">
        <w:t xml:space="preserve">monovalent </w:t>
      </w:r>
      <w:proofErr w:type="spellStart"/>
      <w:r w:rsidR="00F22B32">
        <w:t>Spikevax</w:t>
      </w:r>
      <w:proofErr w:type="spellEnd"/>
      <w:r w:rsidRPr="009E0B92">
        <w:t xml:space="preserve"> vaccine (100</w:t>
      </w:r>
      <w:r w:rsidR="00F22B32">
        <w:t xml:space="preserve"> µ</w:t>
      </w:r>
      <w:r w:rsidRPr="009E0B92">
        <w:t>g</w:t>
      </w:r>
      <w:r w:rsidR="00C87FAA">
        <w:t xml:space="preserve"> </w:t>
      </w:r>
      <w:proofErr w:type="spellStart"/>
      <w:r w:rsidR="00C87FAA">
        <w:t>elasomeran</w:t>
      </w:r>
      <w:proofErr w:type="spellEnd"/>
      <w:r w:rsidRPr="009E0B92">
        <w:t xml:space="preserve">) primary series in healthy adolescents 12 to 17 </w:t>
      </w:r>
      <w:r w:rsidR="00F22B32">
        <w:t>years of age</w:t>
      </w:r>
      <w:r w:rsidRPr="009E0B92">
        <w:t>. The study later transitioned to an open</w:t>
      </w:r>
      <w:r w:rsidR="00F22B32">
        <w:t xml:space="preserve"> </w:t>
      </w:r>
      <w:r w:rsidRPr="009E0B92">
        <w:t xml:space="preserve">label phase. This allowed unblinding of study participants and crossover of those participants randomised to placebo to receive the </w:t>
      </w:r>
      <w:r w:rsidR="00F22B32">
        <w:t xml:space="preserve">monovalent </w:t>
      </w:r>
      <w:proofErr w:type="spellStart"/>
      <w:r w:rsidR="00F22B32">
        <w:t>Spikevax</w:t>
      </w:r>
      <w:proofErr w:type="spellEnd"/>
      <w:r w:rsidRPr="009E0B92">
        <w:t xml:space="preserve"> primary series. A protocol amendment (Part 1C-1) was later implemented to evaluate administration of a </w:t>
      </w:r>
      <w:proofErr w:type="gramStart"/>
      <w:r w:rsidRPr="009E0B92">
        <w:t xml:space="preserve">50 </w:t>
      </w:r>
      <w:r w:rsidR="00F22B32">
        <w:t>µ</w:t>
      </w:r>
      <w:r w:rsidRPr="009E0B92">
        <w:t>g</w:t>
      </w:r>
      <w:proofErr w:type="gramEnd"/>
      <w:r w:rsidRPr="009E0B92">
        <w:t xml:space="preserve"> </w:t>
      </w:r>
      <w:r w:rsidR="00F22B32">
        <w:t xml:space="preserve">monovalent </w:t>
      </w:r>
      <w:proofErr w:type="spellStart"/>
      <w:r w:rsidR="00F22B32">
        <w:t>Spikevax</w:t>
      </w:r>
      <w:proofErr w:type="spellEnd"/>
      <w:r w:rsidRPr="009E0B92">
        <w:t xml:space="preserve"> booster dose to ongoing study participants from Study P203. A booster dose was administered at least 5 months after completion of the </w:t>
      </w:r>
      <w:r w:rsidR="00F22B32">
        <w:t xml:space="preserve">monovalent </w:t>
      </w:r>
      <w:proofErr w:type="spellStart"/>
      <w:r w:rsidR="00F22B32">
        <w:t>Spikevax</w:t>
      </w:r>
      <w:proofErr w:type="spellEnd"/>
      <w:r w:rsidRPr="009E0B92">
        <w:t xml:space="preserve"> primary series. This data has been previously assessed by TGA.</w:t>
      </w:r>
      <w:r w:rsidR="00F22B32">
        <w:fldChar w:fldCharType="begin"/>
      </w:r>
      <w:r w:rsidR="00F22B32">
        <w:instrText xml:space="preserve"> NOTEREF _Ref126851800 \f \h </w:instrText>
      </w:r>
      <w:r w:rsidR="00F22B32">
        <w:fldChar w:fldCharType="separate"/>
      </w:r>
      <w:r w:rsidR="00AA4DFB" w:rsidRPr="00AA4DFB">
        <w:rPr>
          <w:rStyle w:val="FootnoteReference"/>
        </w:rPr>
        <w:t>7</w:t>
      </w:r>
      <w:r w:rsidR="00F22B32">
        <w:fldChar w:fldCharType="end"/>
      </w:r>
      <w:r w:rsidRPr="009E0B92">
        <w:t xml:space="preserve"> The sponsor has re-submitted this data to support the </w:t>
      </w:r>
      <w:proofErr w:type="spellStart"/>
      <w:r w:rsidR="00524DB2">
        <w:t>Spikevax</w:t>
      </w:r>
      <w:proofErr w:type="spellEnd"/>
      <w:r w:rsidR="00524DB2">
        <w:t xml:space="preserve"> </w:t>
      </w:r>
      <w:r w:rsidRPr="009E0B92">
        <w:t>bivalent</w:t>
      </w:r>
      <w:r w:rsidR="00F22B32">
        <w:t xml:space="preserve"> Original/Omicron BA.4–5 vaccine </w:t>
      </w:r>
      <w:r w:rsidRPr="009E0B92">
        <w:t>in the 12 to 17 years age group.</w:t>
      </w:r>
    </w:p>
    <w:p w14:paraId="3CC957CC" w14:textId="3005962F" w:rsidR="009E0B92" w:rsidRPr="009E0B92" w:rsidRDefault="009E0B92" w:rsidP="009E0B92">
      <w:r w:rsidRPr="009E0B92">
        <w:t xml:space="preserve">The primary immunogenicity objective of the booster phase of Study P203 was to infer effectiveness of the </w:t>
      </w:r>
      <w:proofErr w:type="gramStart"/>
      <w:r w:rsidRPr="009E0B92">
        <w:t xml:space="preserve">50 </w:t>
      </w:r>
      <w:r w:rsidR="00F22B32">
        <w:t>µ</w:t>
      </w:r>
      <w:r w:rsidRPr="009E0B92">
        <w:t>g</w:t>
      </w:r>
      <w:proofErr w:type="gramEnd"/>
      <w:r w:rsidRPr="009E0B92">
        <w:t xml:space="preserve"> booster of </w:t>
      </w:r>
      <w:r w:rsidR="00F22B32">
        <w:t xml:space="preserve">monovalent </w:t>
      </w:r>
      <w:proofErr w:type="spellStart"/>
      <w:r w:rsidR="00F22B32">
        <w:t>Spikevax</w:t>
      </w:r>
      <w:proofErr w:type="spellEnd"/>
      <w:r w:rsidR="00F22B32">
        <w:t xml:space="preserve"> </w:t>
      </w:r>
      <w:r w:rsidR="00524DB2">
        <w:t>(</w:t>
      </w:r>
      <w:proofErr w:type="spellStart"/>
      <w:r w:rsidR="00524DB2">
        <w:t>elasomeran</w:t>
      </w:r>
      <w:proofErr w:type="spellEnd"/>
      <w:r w:rsidR="00524DB2">
        <w:t xml:space="preserve">) </w:t>
      </w:r>
      <w:r w:rsidRPr="009E0B92">
        <w:t xml:space="preserve">by comparing </w:t>
      </w:r>
      <w:r w:rsidRPr="009E0B92">
        <w:lastRenderedPageBreak/>
        <w:t>post-booster immune responses (Day 29) in adolescents to those obtained post-Dose 2 of the primary series (Day 57) in young adults (18 to 25 years of age) in Study P301.</w:t>
      </w:r>
    </w:p>
    <w:p w14:paraId="133A13C4" w14:textId="080132BE" w:rsidR="009E0B92" w:rsidRPr="009E0B92" w:rsidRDefault="009E0B92" w:rsidP="009E0B92">
      <w:r w:rsidRPr="009E0B92">
        <w:t xml:space="preserve">The result of the </w:t>
      </w:r>
      <w:r w:rsidR="00F22B32">
        <w:t xml:space="preserve">Study </w:t>
      </w:r>
      <w:r w:rsidRPr="009E0B92">
        <w:t>P203 v</w:t>
      </w:r>
      <w:r w:rsidR="00F22B32">
        <w:t>ersu</w:t>
      </w:r>
      <w:r w:rsidRPr="009E0B92">
        <w:t>s P301 comparison are summarised as follows.</w:t>
      </w:r>
    </w:p>
    <w:p w14:paraId="3614F3D6" w14:textId="397DEFD8" w:rsidR="009E0B92" w:rsidRPr="009E0B92" w:rsidRDefault="009E0B92" w:rsidP="009E0B92">
      <w:r w:rsidRPr="009B6D83">
        <w:t xml:space="preserve">A total of 1346 participants </w:t>
      </w:r>
      <w:r w:rsidR="00C87FAA">
        <w:t xml:space="preserve">from </w:t>
      </w:r>
      <w:r w:rsidRPr="009B6D83">
        <w:t xml:space="preserve">12 to 17 years of age who completed the </w:t>
      </w:r>
      <w:proofErr w:type="gramStart"/>
      <w:r w:rsidRPr="009B6D83">
        <w:t xml:space="preserve">100 </w:t>
      </w:r>
      <w:r w:rsidR="009B6D83" w:rsidRPr="009B6D83">
        <w:t>µ</w:t>
      </w:r>
      <w:r w:rsidRPr="009B6D83">
        <w:t>g</w:t>
      </w:r>
      <w:proofErr w:type="gramEnd"/>
      <w:r w:rsidRPr="009B6D83">
        <w:t xml:space="preserve"> </w:t>
      </w:r>
      <w:r w:rsidR="009B6D83">
        <w:t xml:space="preserve">monovalent </w:t>
      </w:r>
      <w:proofErr w:type="spellStart"/>
      <w:r w:rsidR="009B6D83">
        <w:t>Spikevax</w:t>
      </w:r>
      <w:proofErr w:type="spellEnd"/>
      <w:r w:rsidRPr="009B6D83">
        <w:t xml:space="preserve"> </w:t>
      </w:r>
      <w:r w:rsidR="00C87FAA">
        <w:t>(</w:t>
      </w:r>
      <w:proofErr w:type="spellStart"/>
      <w:r w:rsidR="00C87FAA">
        <w:t>elasomeran</w:t>
      </w:r>
      <w:proofErr w:type="spellEnd"/>
      <w:r w:rsidR="00C87FAA">
        <w:t xml:space="preserve">) </w:t>
      </w:r>
      <w:r w:rsidRPr="009B6D83">
        <w:t xml:space="preserve">primary series in Study P203 Part 1A, received a 50 </w:t>
      </w:r>
      <w:r w:rsidR="009B6D83">
        <w:t>µ</w:t>
      </w:r>
      <w:r w:rsidRPr="009B6D83">
        <w:t xml:space="preserve">g </w:t>
      </w:r>
      <w:r w:rsidR="009B6D83">
        <w:t xml:space="preserve">monovalent </w:t>
      </w:r>
      <w:proofErr w:type="spellStart"/>
      <w:r w:rsidR="009B6D83">
        <w:t>Spikevax</w:t>
      </w:r>
      <w:proofErr w:type="spellEnd"/>
      <w:r w:rsidRPr="009B6D83">
        <w:t xml:space="preserve"> </w:t>
      </w:r>
      <w:r w:rsidR="009B6D83">
        <w:t>booster dose</w:t>
      </w:r>
      <w:r w:rsidRPr="009B6D83">
        <w:t xml:space="preserve">. A total of 11 participants (0.8%) in the </w:t>
      </w:r>
      <w:r w:rsidR="009B6D83">
        <w:t xml:space="preserve">monovalent </w:t>
      </w:r>
      <w:proofErr w:type="spellStart"/>
      <w:r w:rsidR="009B6D83">
        <w:t>Spikevax</w:t>
      </w:r>
      <w:proofErr w:type="spellEnd"/>
      <w:r w:rsidRPr="009B6D83">
        <w:t xml:space="preserve"> booster group discontinued the study due to withdrawal of consent by participant (</w:t>
      </w:r>
      <w:r w:rsidR="009B6D83">
        <w:t>six</w:t>
      </w:r>
      <w:r w:rsidRPr="009B6D83">
        <w:t xml:space="preserve"> participants), lost to follow up (</w:t>
      </w:r>
      <w:r w:rsidR="009B6D83">
        <w:t>four</w:t>
      </w:r>
      <w:r w:rsidRPr="009B6D83">
        <w:t xml:space="preserve"> participants), and </w:t>
      </w:r>
      <w:r w:rsidR="009B6D83">
        <w:t>‘</w:t>
      </w:r>
      <w:r w:rsidRPr="009B6D83">
        <w:t>other</w:t>
      </w:r>
      <w:r w:rsidR="009B6D83">
        <w:t>’</w:t>
      </w:r>
      <w:r w:rsidRPr="009B6D83">
        <w:t xml:space="preserve"> reasons (</w:t>
      </w:r>
      <w:r w:rsidR="009B6D83">
        <w:t>one</w:t>
      </w:r>
      <w:r w:rsidRPr="009B6D83">
        <w:t xml:space="preserve"> participant). </w:t>
      </w:r>
      <w:r w:rsidR="009B6D83">
        <w:t>‘</w:t>
      </w:r>
      <w:r w:rsidRPr="009B6D83">
        <w:t>Other</w:t>
      </w:r>
      <w:r w:rsidR="009B6D83">
        <w:t>’</w:t>
      </w:r>
      <w:r w:rsidRPr="009B6D83">
        <w:t xml:space="preserve"> reasons from withdrawal or discontinuation from study were due to logistical issues with compliance with protocol procedures. No participants discontinued the study due to </w:t>
      </w:r>
      <w:r w:rsidR="00524DB2">
        <w:t>adverse events</w:t>
      </w:r>
      <w:r w:rsidRPr="009B6D83">
        <w:t>.</w:t>
      </w:r>
    </w:p>
    <w:p w14:paraId="5CDB23F8" w14:textId="0605E7D2" w:rsidR="009E0B92" w:rsidRPr="009E0B92" w:rsidRDefault="009E0B92" w:rsidP="009E0B92">
      <w:r w:rsidRPr="009E0B92">
        <w:t>A total of 327 boosted adolescents were included in the</w:t>
      </w:r>
      <w:r w:rsidR="009B6D83">
        <w:t xml:space="preserve"> Study</w:t>
      </w:r>
      <w:r w:rsidRPr="009E0B92">
        <w:t xml:space="preserve"> P203 </w:t>
      </w:r>
      <w:r w:rsidR="009B6D83">
        <w:t>per protocol</w:t>
      </w:r>
      <w:r w:rsidRPr="009E0B92">
        <w:t xml:space="preserve"> </w:t>
      </w:r>
      <w:r w:rsidR="009B6D83">
        <w:t>i</w:t>
      </w:r>
      <w:r w:rsidRPr="009E0B92">
        <w:t xml:space="preserve">mmunogenicity </w:t>
      </w:r>
      <w:r w:rsidR="009B6D83">
        <w:t>s</w:t>
      </w:r>
      <w:r w:rsidRPr="009E0B92">
        <w:t xml:space="preserve">ubset, and 295 young adults were included in the Study P301 </w:t>
      </w:r>
      <w:r w:rsidR="009B6D83">
        <w:t>per protocol i</w:t>
      </w:r>
      <w:r w:rsidRPr="009E0B92">
        <w:t xml:space="preserve">mmunogenicity </w:t>
      </w:r>
      <w:r w:rsidR="009B6D83">
        <w:t>s</w:t>
      </w:r>
      <w:r w:rsidRPr="009E0B92">
        <w:t>ubset</w:t>
      </w:r>
    </w:p>
    <w:p w14:paraId="5DFFC905" w14:textId="7BD58BF0" w:rsidR="009E0B92" w:rsidRPr="00C87FAA" w:rsidRDefault="009E0B92" w:rsidP="000E1461">
      <w:pPr>
        <w:pStyle w:val="Heading6"/>
        <w:rPr>
          <w:rFonts w:eastAsiaTheme="minorHAnsi"/>
          <w:sz w:val="24"/>
          <w:szCs w:val="32"/>
        </w:rPr>
      </w:pPr>
      <w:r w:rsidRPr="00C87FAA">
        <w:rPr>
          <w:rFonts w:eastAsiaTheme="minorHAnsi"/>
        </w:rPr>
        <w:t>Immunogenicity</w:t>
      </w:r>
    </w:p>
    <w:p w14:paraId="38CF9C2F" w14:textId="2F66F50E" w:rsidR="009E0B92" w:rsidRPr="00740934" w:rsidRDefault="009E0B92" w:rsidP="009E0B92">
      <w:pPr>
        <w:rPr>
          <w:rFonts w:asciiTheme="minorHAnsi" w:eastAsiaTheme="minorHAnsi" w:hAnsiTheme="minorHAnsi" w:cs="TimesNewRoman"/>
        </w:rPr>
      </w:pPr>
      <w:r w:rsidRPr="005F2461">
        <w:rPr>
          <w:rFonts w:asciiTheme="minorHAnsi" w:eastAsiaTheme="minorHAnsi" w:hAnsiTheme="minorHAnsi" w:cs="TimesNewRoman"/>
        </w:rPr>
        <w:t xml:space="preserve">Serum </w:t>
      </w:r>
      <w:r w:rsidR="00524DB2">
        <w:rPr>
          <w:rFonts w:asciiTheme="minorHAnsi" w:eastAsiaTheme="minorHAnsi" w:hAnsiTheme="minorHAnsi" w:cs="TimesNewRoman"/>
        </w:rPr>
        <w:t>neutralising antibody</w:t>
      </w:r>
      <w:r w:rsidR="00524DB2" w:rsidRPr="005F2461">
        <w:rPr>
          <w:rFonts w:asciiTheme="minorHAnsi" w:eastAsiaTheme="minorHAnsi" w:hAnsiTheme="minorHAnsi" w:cs="TimesNewRoman"/>
        </w:rPr>
        <w:t xml:space="preserve"> </w:t>
      </w:r>
      <w:r w:rsidRPr="005F2461">
        <w:rPr>
          <w:rFonts w:asciiTheme="minorHAnsi" w:eastAsiaTheme="minorHAnsi" w:hAnsiTheme="minorHAnsi" w:cs="TimesNewRoman"/>
        </w:rPr>
        <w:t>level was assessed</w:t>
      </w:r>
      <w:r w:rsidRPr="00740934">
        <w:rPr>
          <w:rFonts w:asciiTheme="minorHAnsi" w:eastAsiaTheme="minorHAnsi" w:hAnsiTheme="minorHAnsi" w:cs="TimesNewRoman"/>
        </w:rPr>
        <w:t xml:space="preserve"> at Day 29 for</w:t>
      </w:r>
      <w:r w:rsidR="009B6D83">
        <w:rPr>
          <w:rFonts w:asciiTheme="minorHAnsi" w:eastAsiaTheme="minorHAnsi" w:hAnsiTheme="minorHAnsi" w:cs="TimesNewRoman"/>
        </w:rPr>
        <w:t xml:space="preserve"> Study</w:t>
      </w:r>
      <w:r w:rsidRPr="00740934">
        <w:rPr>
          <w:rFonts w:asciiTheme="minorHAnsi" w:eastAsiaTheme="minorHAnsi" w:hAnsiTheme="minorHAnsi" w:cs="TimesNewRoman"/>
        </w:rPr>
        <w:t xml:space="preserve"> P203 adolescents (</w:t>
      </w:r>
      <w:r w:rsidR="009B6D83">
        <w:rPr>
          <w:rFonts w:asciiTheme="minorHAnsi" w:eastAsiaTheme="minorHAnsi" w:hAnsiTheme="minorHAnsi" w:cs="TimesNewRoman"/>
        </w:rPr>
        <w:t>per protocol</w:t>
      </w:r>
      <w:r w:rsidRPr="00740934">
        <w:rPr>
          <w:rFonts w:asciiTheme="minorHAnsi" w:eastAsiaTheme="minorHAnsi" w:hAnsiTheme="minorHAnsi" w:cs="TimesNewRoman"/>
        </w:rPr>
        <w:t xml:space="preserve"> </w:t>
      </w:r>
      <w:r w:rsidR="009B6D83">
        <w:rPr>
          <w:rFonts w:asciiTheme="minorHAnsi" w:eastAsiaTheme="minorHAnsi" w:hAnsiTheme="minorHAnsi" w:cs="TimesNewRoman"/>
        </w:rPr>
        <w:t>i</w:t>
      </w:r>
      <w:r w:rsidRPr="00740934">
        <w:rPr>
          <w:rFonts w:asciiTheme="minorHAnsi" w:eastAsiaTheme="minorHAnsi" w:hAnsiTheme="minorHAnsi" w:cs="TimesNewRoman"/>
        </w:rPr>
        <w:t xml:space="preserve">mmunogenicity </w:t>
      </w:r>
      <w:r w:rsidR="009B6D83">
        <w:rPr>
          <w:rFonts w:asciiTheme="minorHAnsi" w:eastAsiaTheme="minorHAnsi" w:hAnsiTheme="minorHAnsi" w:cs="TimesNewRoman"/>
        </w:rPr>
        <w:t>s</w:t>
      </w:r>
      <w:r w:rsidRPr="00740934">
        <w:rPr>
          <w:rFonts w:asciiTheme="minorHAnsi" w:eastAsiaTheme="minorHAnsi" w:hAnsiTheme="minorHAnsi" w:cs="TimesNewRoman"/>
        </w:rPr>
        <w:t xml:space="preserve">ubset pre-booster SARS-CoV-2 </w:t>
      </w:r>
      <w:r w:rsidR="009B6D83">
        <w:rPr>
          <w:rFonts w:asciiTheme="minorHAnsi" w:eastAsiaTheme="minorHAnsi" w:hAnsiTheme="minorHAnsi" w:cs="TimesNewRoman"/>
        </w:rPr>
        <w:t xml:space="preserve">status </w:t>
      </w:r>
      <w:r w:rsidRPr="00740934">
        <w:rPr>
          <w:rFonts w:asciiTheme="minorHAnsi" w:eastAsiaTheme="minorHAnsi" w:hAnsiTheme="minorHAnsi" w:cs="TimesNewRoman"/>
        </w:rPr>
        <w:t xml:space="preserve">negative) and compared to those following primary series in young adults (Study Day 57; 18 to 25 </w:t>
      </w:r>
      <w:r w:rsidR="009B6D83">
        <w:rPr>
          <w:rFonts w:asciiTheme="minorHAnsi" w:eastAsiaTheme="minorHAnsi" w:hAnsiTheme="minorHAnsi" w:cs="TimesNewRoman"/>
        </w:rPr>
        <w:t>years of age</w:t>
      </w:r>
      <w:r w:rsidRPr="00740934">
        <w:rPr>
          <w:rFonts w:asciiTheme="minorHAnsi" w:eastAsiaTheme="minorHAnsi" w:hAnsiTheme="minorHAnsi" w:cs="TimesNewRoman"/>
        </w:rPr>
        <w:t>) in Study</w:t>
      </w:r>
      <w:r w:rsidR="009B6D83">
        <w:rPr>
          <w:rFonts w:asciiTheme="minorHAnsi" w:eastAsiaTheme="minorHAnsi" w:hAnsiTheme="minorHAnsi" w:cs="TimesNewRoman"/>
        </w:rPr>
        <w:t> </w:t>
      </w:r>
      <w:r w:rsidRPr="00740934">
        <w:rPr>
          <w:rFonts w:asciiTheme="minorHAnsi" w:eastAsiaTheme="minorHAnsi" w:hAnsiTheme="minorHAnsi" w:cs="TimesNewRoman"/>
        </w:rPr>
        <w:t xml:space="preserve">P301. The GMR of </w:t>
      </w:r>
      <w:r w:rsidR="009B6D83">
        <w:rPr>
          <w:rFonts w:asciiTheme="minorHAnsi" w:eastAsiaTheme="minorHAnsi" w:hAnsiTheme="minorHAnsi" w:cs="TimesNewRoman"/>
        </w:rPr>
        <w:t xml:space="preserve">Study </w:t>
      </w:r>
      <w:r w:rsidRPr="00740934">
        <w:rPr>
          <w:rFonts w:asciiTheme="minorHAnsi" w:eastAsiaTheme="minorHAnsi" w:hAnsiTheme="minorHAnsi" w:cs="TimesNewRoman"/>
        </w:rPr>
        <w:t xml:space="preserve">P203 </w:t>
      </w:r>
      <w:r w:rsidR="009B6D83">
        <w:rPr>
          <w:rFonts w:asciiTheme="minorHAnsi" w:eastAsiaTheme="minorHAnsi" w:hAnsiTheme="minorHAnsi" w:cs="TimesNewRoman"/>
        </w:rPr>
        <w:t xml:space="preserve">booster dose on </w:t>
      </w:r>
      <w:r w:rsidRPr="00740934">
        <w:rPr>
          <w:rFonts w:asciiTheme="minorHAnsi" w:eastAsiaTheme="minorHAnsi" w:hAnsiTheme="minorHAnsi" w:cs="TimesNewRoman"/>
        </w:rPr>
        <w:t xml:space="preserve">Day 29 </w:t>
      </w:r>
      <w:r w:rsidR="009B6D83" w:rsidRPr="009B6D83">
        <w:rPr>
          <w:rFonts w:asciiTheme="minorHAnsi" w:eastAsiaTheme="minorHAnsi" w:hAnsiTheme="minorHAnsi" w:cs="TimesNewRoman"/>
        </w:rPr>
        <w:t xml:space="preserve">geometric mean concentration </w:t>
      </w:r>
      <w:r w:rsidR="009B6D83">
        <w:rPr>
          <w:rFonts w:asciiTheme="minorHAnsi" w:eastAsiaTheme="minorHAnsi" w:hAnsiTheme="minorHAnsi" w:cs="TimesNewRoman"/>
        </w:rPr>
        <w:t>(</w:t>
      </w:r>
      <w:r w:rsidRPr="00740934">
        <w:rPr>
          <w:rFonts w:asciiTheme="minorHAnsi" w:eastAsiaTheme="minorHAnsi" w:hAnsiTheme="minorHAnsi" w:cs="TimesNewRoman"/>
        </w:rPr>
        <w:t>GMC</w:t>
      </w:r>
      <w:r w:rsidR="009B6D83">
        <w:rPr>
          <w:rFonts w:asciiTheme="minorHAnsi" w:eastAsiaTheme="minorHAnsi" w:hAnsiTheme="minorHAnsi" w:cs="TimesNewRoman"/>
        </w:rPr>
        <w:t>)</w:t>
      </w:r>
      <w:r w:rsidRPr="00740934">
        <w:rPr>
          <w:rFonts w:asciiTheme="minorHAnsi" w:eastAsiaTheme="minorHAnsi" w:hAnsiTheme="minorHAnsi" w:cs="TimesNewRoman"/>
        </w:rPr>
        <w:t xml:space="preserve"> compared with young adults in Study P301, Day 57. GMR was 5.1 (95% CI: 4.5, 5.8), meeting the </w:t>
      </w:r>
      <w:r w:rsidR="009B6D83">
        <w:rPr>
          <w:rFonts w:asciiTheme="minorHAnsi" w:eastAsiaTheme="minorHAnsi" w:hAnsiTheme="minorHAnsi" w:cs="TimesNewRoman"/>
        </w:rPr>
        <w:t>n</w:t>
      </w:r>
      <w:r w:rsidR="009B6D83" w:rsidRPr="008C269E">
        <w:rPr>
          <w:rFonts w:eastAsiaTheme="minorHAnsi"/>
          <w:szCs w:val="28"/>
        </w:rPr>
        <w:t>on-inferiority</w:t>
      </w:r>
      <w:r w:rsidRPr="00740934">
        <w:rPr>
          <w:rFonts w:asciiTheme="minorHAnsi" w:eastAsiaTheme="minorHAnsi" w:hAnsiTheme="minorHAnsi" w:cs="TimesNewRoman"/>
        </w:rPr>
        <w:t xml:space="preserve"> criteria (</w:t>
      </w:r>
      <w:r w:rsidR="009B6D83">
        <w:rPr>
          <w:rFonts w:asciiTheme="minorHAnsi" w:eastAsiaTheme="minorHAnsi" w:hAnsiTheme="minorHAnsi" w:cs="TimesNewRoman"/>
        </w:rPr>
        <w:t>that is</w:t>
      </w:r>
      <w:r w:rsidRPr="00740934">
        <w:rPr>
          <w:rFonts w:asciiTheme="minorHAnsi" w:eastAsiaTheme="minorHAnsi" w:hAnsiTheme="minorHAnsi" w:cs="TimesNewRoman"/>
        </w:rPr>
        <w:t xml:space="preserve"> lower bound of the 95% CI &gt;</w:t>
      </w:r>
      <w:r w:rsidR="009B6D83">
        <w:rPr>
          <w:rFonts w:asciiTheme="minorHAnsi" w:eastAsiaTheme="minorHAnsi" w:hAnsiTheme="minorHAnsi" w:cs="TimesNewRoman"/>
        </w:rPr>
        <w:t xml:space="preserve"> </w:t>
      </w:r>
      <w:r w:rsidRPr="00740934">
        <w:rPr>
          <w:rFonts w:asciiTheme="minorHAnsi" w:eastAsiaTheme="minorHAnsi" w:hAnsiTheme="minorHAnsi" w:cs="TimesNewRoman"/>
        </w:rPr>
        <w:t>0.667); point estimate ≥</w:t>
      </w:r>
      <w:r w:rsidR="009B6D83">
        <w:rPr>
          <w:rFonts w:asciiTheme="minorHAnsi" w:eastAsiaTheme="minorHAnsi" w:hAnsiTheme="minorHAnsi" w:cs="TimesNewRoman"/>
        </w:rPr>
        <w:t xml:space="preserve"> </w:t>
      </w:r>
      <w:r w:rsidRPr="00740934">
        <w:rPr>
          <w:rFonts w:asciiTheme="minorHAnsi" w:eastAsiaTheme="minorHAnsi" w:hAnsiTheme="minorHAnsi" w:cs="TimesNewRoman"/>
        </w:rPr>
        <w:t xml:space="preserve">0.8); the SRR difference was 0.7% (95% CI: -0.8, 2.4), meeting the </w:t>
      </w:r>
      <w:r w:rsidR="009B6D83">
        <w:rPr>
          <w:rFonts w:asciiTheme="minorHAnsi" w:eastAsiaTheme="minorHAnsi" w:hAnsiTheme="minorHAnsi" w:cs="TimesNewRoman"/>
        </w:rPr>
        <w:t>n</w:t>
      </w:r>
      <w:r w:rsidR="009B6D83" w:rsidRPr="008C269E">
        <w:rPr>
          <w:rFonts w:eastAsiaTheme="minorHAnsi"/>
          <w:szCs w:val="28"/>
        </w:rPr>
        <w:t>on</w:t>
      </w:r>
      <w:r w:rsidR="009B6D83">
        <w:rPr>
          <w:rFonts w:eastAsiaTheme="minorHAnsi"/>
          <w:szCs w:val="28"/>
        </w:rPr>
        <w:noBreakHyphen/>
      </w:r>
      <w:r w:rsidR="009B6D83" w:rsidRPr="008C269E">
        <w:rPr>
          <w:rFonts w:eastAsiaTheme="minorHAnsi"/>
          <w:szCs w:val="28"/>
        </w:rPr>
        <w:t>inferiority</w:t>
      </w:r>
      <w:r w:rsidRPr="00740934">
        <w:rPr>
          <w:rFonts w:asciiTheme="minorHAnsi" w:eastAsiaTheme="minorHAnsi" w:hAnsiTheme="minorHAnsi" w:cs="TimesNewRoman"/>
        </w:rPr>
        <w:t xml:space="preserve"> criteria (lower bound of the 95% of the SRR difference &gt;</w:t>
      </w:r>
      <w:r w:rsidR="009B6D83">
        <w:rPr>
          <w:rFonts w:asciiTheme="minorHAnsi" w:eastAsiaTheme="minorHAnsi" w:hAnsiTheme="minorHAnsi" w:cs="TimesNewRoman"/>
        </w:rPr>
        <w:t xml:space="preserve"> </w:t>
      </w:r>
      <w:r w:rsidRPr="00740934">
        <w:rPr>
          <w:rFonts w:asciiTheme="minorHAnsi" w:eastAsiaTheme="minorHAnsi" w:hAnsiTheme="minorHAnsi" w:cs="TimesNewRoman"/>
        </w:rPr>
        <w:t xml:space="preserve">-10%). </w:t>
      </w:r>
      <w:r w:rsidRPr="005F2461">
        <w:rPr>
          <w:rFonts w:asciiTheme="minorHAnsi" w:eastAsiaTheme="minorHAnsi" w:hAnsiTheme="minorHAnsi" w:cs="TimesNewRoman"/>
        </w:rPr>
        <w:t>The sponsor stated that</w:t>
      </w:r>
      <w:r w:rsidRPr="00740934">
        <w:rPr>
          <w:rFonts w:asciiTheme="minorHAnsi" w:eastAsiaTheme="minorHAnsi" w:hAnsiTheme="minorHAnsi" w:cs="TimesNewRoman"/>
        </w:rPr>
        <w:t xml:space="preserve"> as the pre</w:t>
      </w:r>
      <w:r w:rsidR="009B6D83">
        <w:rPr>
          <w:rFonts w:asciiTheme="minorHAnsi" w:eastAsiaTheme="minorHAnsi" w:hAnsiTheme="minorHAnsi" w:cs="TimesNewRoman"/>
        </w:rPr>
        <w:t>-</w:t>
      </w:r>
      <w:r w:rsidRPr="00740934">
        <w:rPr>
          <w:rFonts w:asciiTheme="minorHAnsi" w:eastAsiaTheme="minorHAnsi" w:hAnsiTheme="minorHAnsi" w:cs="TimesNewRoman"/>
        </w:rPr>
        <w:t>specified success criteria for the primary immunogenicity objective were met, thus enabling the inference of vaccine effectiveness from Study</w:t>
      </w:r>
      <w:r w:rsidR="009B6D83">
        <w:rPr>
          <w:rFonts w:asciiTheme="minorHAnsi" w:eastAsiaTheme="minorHAnsi" w:hAnsiTheme="minorHAnsi" w:cs="TimesNewRoman"/>
        </w:rPr>
        <w:t> </w:t>
      </w:r>
      <w:r w:rsidRPr="00740934">
        <w:rPr>
          <w:rFonts w:asciiTheme="minorHAnsi" w:eastAsiaTheme="minorHAnsi" w:hAnsiTheme="minorHAnsi" w:cs="TimesNewRoman"/>
        </w:rPr>
        <w:t xml:space="preserve">P301.This </w:t>
      </w:r>
      <w:r>
        <w:rPr>
          <w:rFonts w:asciiTheme="minorHAnsi" w:eastAsiaTheme="minorHAnsi" w:hAnsiTheme="minorHAnsi" w:cs="TimesNewRoman"/>
        </w:rPr>
        <w:t xml:space="preserve">was considered </w:t>
      </w:r>
      <w:r w:rsidRPr="00740934">
        <w:rPr>
          <w:rFonts w:asciiTheme="minorHAnsi" w:eastAsiaTheme="minorHAnsi" w:hAnsiTheme="minorHAnsi" w:cs="TimesNewRoman"/>
        </w:rPr>
        <w:t>acceptable.</w:t>
      </w:r>
    </w:p>
    <w:p w14:paraId="0FA788F9" w14:textId="77777777" w:rsidR="009E0B92" w:rsidRPr="00C87FAA" w:rsidRDefault="009E0B92" w:rsidP="000E1461">
      <w:pPr>
        <w:pStyle w:val="Heading6"/>
        <w:rPr>
          <w:rFonts w:eastAsiaTheme="minorHAnsi"/>
        </w:rPr>
      </w:pPr>
      <w:r w:rsidRPr="00C87FAA">
        <w:rPr>
          <w:rFonts w:eastAsiaTheme="minorHAnsi"/>
        </w:rPr>
        <w:t>Conclusion</w:t>
      </w:r>
    </w:p>
    <w:p w14:paraId="6DB6AB72" w14:textId="2D079D29" w:rsidR="002B01E0" w:rsidRDefault="009E0B92" w:rsidP="009E0B92">
      <w:pPr>
        <w:autoSpaceDE w:val="0"/>
        <w:autoSpaceDN w:val="0"/>
        <w:adjustRightInd w:val="0"/>
        <w:spacing w:before="0" w:after="0" w:line="240" w:lineRule="auto"/>
        <w:rPr>
          <w:rFonts w:asciiTheme="minorHAnsi" w:eastAsiaTheme="minorHAnsi" w:hAnsiTheme="minorHAnsi" w:cs="TimesNewRoman"/>
        </w:rPr>
      </w:pPr>
      <w:bookmarkStart w:id="48" w:name="_Hlk119571300"/>
      <w:r w:rsidRPr="00740934">
        <w:rPr>
          <w:rFonts w:asciiTheme="minorHAnsi" w:eastAsiaTheme="minorHAnsi" w:hAnsiTheme="minorHAnsi" w:cs="TimesNewRoman"/>
        </w:rPr>
        <w:t xml:space="preserve">In the </w:t>
      </w:r>
      <w:r w:rsidR="009B6D83">
        <w:rPr>
          <w:rFonts w:asciiTheme="minorHAnsi" w:eastAsiaTheme="minorHAnsi" w:hAnsiTheme="minorHAnsi" w:cs="TimesNewRoman"/>
        </w:rPr>
        <w:t>b</w:t>
      </w:r>
      <w:r w:rsidRPr="00740934">
        <w:rPr>
          <w:rFonts w:asciiTheme="minorHAnsi" w:eastAsiaTheme="minorHAnsi" w:hAnsiTheme="minorHAnsi" w:cs="TimesNewRoman"/>
        </w:rPr>
        <w:t xml:space="preserve">ooster </w:t>
      </w:r>
      <w:r w:rsidR="009B6D83">
        <w:rPr>
          <w:rFonts w:asciiTheme="minorHAnsi" w:eastAsiaTheme="minorHAnsi" w:hAnsiTheme="minorHAnsi" w:cs="TimesNewRoman"/>
        </w:rPr>
        <w:t>p</w:t>
      </w:r>
      <w:r w:rsidRPr="00740934">
        <w:rPr>
          <w:rFonts w:asciiTheme="minorHAnsi" w:eastAsiaTheme="minorHAnsi" w:hAnsiTheme="minorHAnsi" w:cs="TimesNewRoman"/>
        </w:rPr>
        <w:t xml:space="preserve">hase (Part 1C-1) of Study P203 it was demonstrated that administration of a </w:t>
      </w:r>
      <w:proofErr w:type="gramStart"/>
      <w:r w:rsidRPr="00740934">
        <w:rPr>
          <w:rFonts w:asciiTheme="minorHAnsi" w:eastAsiaTheme="minorHAnsi" w:hAnsiTheme="minorHAnsi" w:cs="TimesNewRoman"/>
        </w:rPr>
        <w:t xml:space="preserve">50 </w:t>
      </w:r>
      <w:r w:rsidR="009B6D83">
        <w:rPr>
          <w:rFonts w:asciiTheme="minorHAnsi" w:eastAsiaTheme="minorHAnsi" w:hAnsiTheme="minorHAnsi" w:cs="TimesNewRoman"/>
        </w:rPr>
        <w:t>µ</w:t>
      </w:r>
      <w:r w:rsidRPr="00740934">
        <w:rPr>
          <w:rFonts w:asciiTheme="minorHAnsi" w:eastAsiaTheme="minorHAnsi" w:hAnsiTheme="minorHAnsi" w:cs="TimesNewRoman"/>
        </w:rPr>
        <w:t>g</w:t>
      </w:r>
      <w:proofErr w:type="gramEnd"/>
      <w:r w:rsidRPr="00740934">
        <w:rPr>
          <w:rFonts w:asciiTheme="minorHAnsi" w:eastAsiaTheme="minorHAnsi" w:hAnsiTheme="minorHAnsi" w:cs="TimesNewRoman"/>
        </w:rPr>
        <w:t xml:space="preserve"> </w:t>
      </w:r>
      <w:r w:rsidR="009B6D83">
        <w:rPr>
          <w:rFonts w:asciiTheme="minorHAnsi" w:eastAsiaTheme="minorHAnsi" w:hAnsiTheme="minorHAnsi" w:cs="TimesNewRoman"/>
        </w:rPr>
        <w:t>b</w:t>
      </w:r>
      <w:r w:rsidRPr="00740934">
        <w:rPr>
          <w:rFonts w:asciiTheme="minorHAnsi" w:eastAsiaTheme="minorHAnsi" w:hAnsiTheme="minorHAnsi" w:cs="TimesNewRoman"/>
        </w:rPr>
        <w:t xml:space="preserve">ooster </w:t>
      </w:r>
      <w:r w:rsidR="009B6D83">
        <w:rPr>
          <w:rFonts w:asciiTheme="minorHAnsi" w:eastAsiaTheme="minorHAnsi" w:hAnsiTheme="minorHAnsi" w:cs="TimesNewRoman"/>
        </w:rPr>
        <w:t>d</w:t>
      </w:r>
      <w:r w:rsidRPr="00740934">
        <w:rPr>
          <w:rFonts w:asciiTheme="minorHAnsi" w:eastAsiaTheme="minorHAnsi" w:hAnsiTheme="minorHAnsi" w:cs="TimesNewRoman"/>
        </w:rPr>
        <w:t xml:space="preserve">ose of </w:t>
      </w:r>
      <w:r w:rsidR="009B6D83">
        <w:rPr>
          <w:rFonts w:asciiTheme="minorHAnsi" w:eastAsiaTheme="minorHAnsi" w:hAnsiTheme="minorHAnsi" w:cs="TimesNewRoman"/>
        </w:rPr>
        <w:t xml:space="preserve">monovalent </w:t>
      </w:r>
      <w:proofErr w:type="spellStart"/>
      <w:r w:rsidRPr="00740934">
        <w:rPr>
          <w:rFonts w:asciiTheme="minorHAnsi" w:eastAsiaTheme="minorHAnsi" w:hAnsiTheme="minorHAnsi" w:cs="TimesNewRoman"/>
        </w:rPr>
        <w:t>Spikevax</w:t>
      </w:r>
      <w:proofErr w:type="spellEnd"/>
      <w:r w:rsidRPr="00740934">
        <w:rPr>
          <w:rFonts w:asciiTheme="minorHAnsi" w:eastAsiaTheme="minorHAnsi" w:hAnsiTheme="minorHAnsi" w:cs="TimesNewRoman"/>
        </w:rPr>
        <w:t xml:space="preserve">, in adolescents from 12 to 17 years, effectively boosts serum </w:t>
      </w:r>
      <w:proofErr w:type="spellStart"/>
      <w:r w:rsidRPr="00740934">
        <w:rPr>
          <w:rFonts w:asciiTheme="minorHAnsi" w:eastAsiaTheme="minorHAnsi" w:hAnsiTheme="minorHAnsi" w:cs="TimesNewRoman"/>
        </w:rPr>
        <w:t>nAb</w:t>
      </w:r>
      <w:proofErr w:type="spellEnd"/>
      <w:r w:rsidRPr="00740934">
        <w:rPr>
          <w:rFonts w:asciiTheme="minorHAnsi" w:eastAsiaTheme="minorHAnsi" w:hAnsiTheme="minorHAnsi" w:cs="TimesNewRoman"/>
        </w:rPr>
        <w:t xml:space="preserve"> levels, as compared with the pre-booster baseline meeting. The GMR of </w:t>
      </w:r>
      <w:r w:rsidR="009B6D83">
        <w:rPr>
          <w:rFonts w:asciiTheme="minorHAnsi" w:eastAsiaTheme="minorHAnsi" w:hAnsiTheme="minorHAnsi" w:cs="TimesNewRoman"/>
        </w:rPr>
        <w:t xml:space="preserve">Study </w:t>
      </w:r>
      <w:r w:rsidRPr="00740934">
        <w:rPr>
          <w:rFonts w:asciiTheme="minorHAnsi" w:eastAsiaTheme="minorHAnsi" w:hAnsiTheme="minorHAnsi" w:cs="TimesNewRoman"/>
        </w:rPr>
        <w:t xml:space="preserve">P203 </w:t>
      </w:r>
      <w:r w:rsidR="009B6D83">
        <w:rPr>
          <w:rFonts w:asciiTheme="minorHAnsi" w:eastAsiaTheme="minorHAnsi" w:hAnsiTheme="minorHAnsi" w:cs="TimesNewRoman"/>
        </w:rPr>
        <w:t xml:space="preserve">booster dose on </w:t>
      </w:r>
      <w:r w:rsidRPr="00740934">
        <w:rPr>
          <w:rFonts w:asciiTheme="minorHAnsi" w:eastAsiaTheme="minorHAnsi" w:hAnsiTheme="minorHAnsi" w:cs="TimesNewRoman"/>
        </w:rPr>
        <w:t>Day 29 GMC in adolescents compared with young adults in Study P301, Day 57 GMC was 5.1 (95% CI: 4.5, 5.8), meeting the prespecified non-inferiority criteria.</w:t>
      </w:r>
      <w:bookmarkEnd w:id="48"/>
    </w:p>
    <w:p w14:paraId="5C65C687" w14:textId="31665B3D" w:rsidR="00F22B32" w:rsidRPr="00F22B32" w:rsidRDefault="00F22B32" w:rsidP="000E1461">
      <w:pPr>
        <w:pStyle w:val="Heading5"/>
        <w:rPr>
          <w:rFonts w:eastAsiaTheme="minorHAnsi"/>
        </w:rPr>
      </w:pPr>
      <w:r w:rsidRPr="00F22B32">
        <w:rPr>
          <w:rFonts w:eastAsiaTheme="minorHAnsi"/>
        </w:rPr>
        <w:t xml:space="preserve">Study P204 booster </w:t>
      </w:r>
      <w:r w:rsidR="009B6D83">
        <w:rPr>
          <w:rFonts w:eastAsiaTheme="minorHAnsi"/>
        </w:rPr>
        <w:t>study</w:t>
      </w:r>
    </w:p>
    <w:p w14:paraId="477E2307" w14:textId="1BD3EDC9" w:rsidR="00F22B32" w:rsidRPr="00F22B32" w:rsidRDefault="00F22B32" w:rsidP="00F22B32">
      <w:r w:rsidRPr="00F22B32">
        <w:t xml:space="preserve">Study P204 is an ongoing Phase </w:t>
      </w:r>
      <w:r w:rsidR="009B6D83">
        <w:t>II</w:t>
      </w:r>
      <w:r w:rsidRPr="00F22B32">
        <w:t>/</w:t>
      </w:r>
      <w:r w:rsidR="009B6D83">
        <w:t>III</w:t>
      </w:r>
      <w:r w:rsidRPr="00F22B32">
        <w:t xml:space="preserve">, </w:t>
      </w:r>
      <w:r w:rsidR="009B6D83">
        <w:t xml:space="preserve">three </w:t>
      </w:r>
      <w:r w:rsidRPr="00F22B32">
        <w:t>part</w:t>
      </w:r>
      <w:r w:rsidR="009B6D83">
        <w:t>s</w:t>
      </w:r>
      <w:r w:rsidRPr="00F22B32">
        <w:t>, dose</w:t>
      </w:r>
      <w:r w:rsidR="009B6D83">
        <w:t xml:space="preserve"> </w:t>
      </w:r>
      <w:r w:rsidRPr="00F22B32">
        <w:t>escalation (open</w:t>
      </w:r>
      <w:r w:rsidR="009B6D83">
        <w:t xml:space="preserve"> </w:t>
      </w:r>
      <w:r w:rsidRPr="00F22B32">
        <w:t>label), age de</w:t>
      </w:r>
      <w:r w:rsidR="009B6D83">
        <w:noBreakHyphen/>
      </w:r>
      <w:r w:rsidRPr="00F22B32">
        <w:t>escalation and randomi</w:t>
      </w:r>
      <w:r w:rsidR="009B6D83">
        <w:t>s</w:t>
      </w:r>
      <w:r w:rsidRPr="00F22B32">
        <w:t>ed, observer</w:t>
      </w:r>
      <w:r w:rsidR="009B6D83">
        <w:t xml:space="preserve"> </w:t>
      </w:r>
      <w:r w:rsidRPr="00F22B32">
        <w:t xml:space="preserve">blind, </w:t>
      </w:r>
      <w:proofErr w:type="gramStart"/>
      <w:r w:rsidRPr="00F22B32">
        <w:t>placebo</w:t>
      </w:r>
      <w:r w:rsidR="009B6D83">
        <w:t xml:space="preserve"> </w:t>
      </w:r>
      <w:r w:rsidRPr="00F22B32">
        <w:t>controlled</w:t>
      </w:r>
      <w:proofErr w:type="gramEnd"/>
      <w:r w:rsidRPr="00F22B32">
        <w:t xml:space="preserve"> expansion study to evaluate the safety, reactogenicity, and effectiveness of </w:t>
      </w:r>
      <w:r w:rsidR="008624F4">
        <w:t xml:space="preserve">monovalent </w:t>
      </w:r>
      <w:proofErr w:type="spellStart"/>
      <w:r w:rsidR="008624F4">
        <w:t>Spikevax</w:t>
      </w:r>
      <w:proofErr w:type="spellEnd"/>
      <w:r w:rsidRPr="00F22B32">
        <w:t xml:space="preserve"> in children </w:t>
      </w:r>
      <w:r w:rsidR="00524DB2">
        <w:t xml:space="preserve">from </w:t>
      </w:r>
      <w:r w:rsidRPr="00F22B32">
        <w:t>6</w:t>
      </w:r>
      <w:r w:rsidR="00524DB2">
        <w:t> </w:t>
      </w:r>
      <w:r w:rsidR="001C0689">
        <w:t>months</w:t>
      </w:r>
      <w:r w:rsidRPr="00F22B32">
        <w:t xml:space="preserve"> to 11 years</w:t>
      </w:r>
      <w:r w:rsidR="008624F4">
        <w:t xml:space="preserve"> of age.</w:t>
      </w:r>
    </w:p>
    <w:p w14:paraId="5C831D6A" w14:textId="2C55E760" w:rsidR="00F22B32" w:rsidRPr="00F22B32" w:rsidRDefault="00F22B32" w:rsidP="00F22B32">
      <w:r w:rsidRPr="00F22B32">
        <w:t xml:space="preserve">The study population was evaluated in </w:t>
      </w:r>
      <w:r w:rsidR="008624F4">
        <w:t>three</w:t>
      </w:r>
      <w:r w:rsidRPr="00F22B32">
        <w:t xml:space="preserve"> discrete age groups (6 years through 11</w:t>
      </w:r>
      <w:r w:rsidR="00524DB2">
        <w:t> </w:t>
      </w:r>
      <w:r w:rsidRPr="00F22B32">
        <w:t xml:space="preserve">years, 2 years to </w:t>
      </w:r>
      <w:r w:rsidR="008624F4">
        <w:t xml:space="preserve">less than </w:t>
      </w:r>
      <w:r w:rsidRPr="00F22B32">
        <w:t xml:space="preserve">6 years, and 6 months to </w:t>
      </w:r>
      <w:r w:rsidR="008624F4">
        <w:t xml:space="preserve">less than </w:t>
      </w:r>
      <w:r w:rsidRPr="00F22B32">
        <w:t xml:space="preserve">2 years), assessing up to </w:t>
      </w:r>
      <w:r w:rsidR="008624F4">
        <w:t>three</w:t>
      </w:r>
      <w:r w:rsidRPr="00F22B32">
        <w:t xml:space="preserve"> dosage levels (25, 50, and 100 </w:t>
      </w:r>
      <w:r w:rsidR="008624F4">
        <w:t>µ</w:t>
      </w:r>
      <w:r w:rsidRPr="00F22B32">
        <w:t xml:space="preserve">g) of </w:t>
      </w:r>
      <w:r w:rsidR="008624F4">
        <w:t xml:space="preserve">monovalent </w:t>
      </w:r>
      <w:proofErr w:type="spellStart"/>
      <w:r w:rsidR="008624F4">
        <w:t>Spikevax</w:t>
      </w:r>
      <w:proofErr w:type="spellEnd"/>
      <w:r w:rsidRPr="00F22B32">
        <w:t xml:space="preserve"> in the primary series. For each of the three age groups, an open</w:t>
      </w:r>
      <w:r w:rsidR="008624F4">
        <w:t xml:space="preserve"> </w:t>
      </w:r>
      <w:r w:rsidRPr="00F22B32">
        <w:t>label dose</w:t>
      </w:r>
      <w:r w:rsidR="008624F4">
        <w:t xml:space="preserve"> </w:t>
      </w:r>
      <w:r w:rsidRPr="00F22B32">
        <w:t>finding (Part 1) phase preceded a blinded, placebo</w:t>
      </w:r>
      <w:r w:rsidR="008624F4">
        <w:t xml:space="preserve"> </w:t>
      </w:r>
      <w:r w:rsidRPr="00F22B32">
        <w:t xml:space="preserve">controlled (Part 2) phase which evaluated the selected dose of </w:t>
      </w:r>
      <w:r w:rsidR="008624F4">
        <w:t xml:space="preserve">monovalent </w:t>
      </w:r>
      <w:proofErr w:type="spellStart"/>
      <w:r w:rsidR="008624F4">
        <w:t>Spikevax</w:t>
      </w:r>
      <w:proofErr w:type="spellEnd"/>
      <w:r w:rsidRPr="00F22B32">
        <w:t xml:space="preserve"> </w:t>
      </w:r>
      <w:r w:rsidR="00524DB2">
        <w:t>(</w:t>
      </w:r>
      <w:proofErr w:type="spellStart"/>
      <w:r w:rsidR="00524DB2">
        <w:t>elasomeran</w:t>
      </w:r>
      <w:proofErr w:type="spellEnd"/>
      <w:r w:rsidR="00524DB2">
        <w:t xml:space="preserve">) </w:t>
      </w:r>
      <w:r w:rsidRPr="00F22B32">
        <w:t xml:space="preserve">in a </w:t>
      </w:r>
      <w:proofErr w:type="gramStart"/>
      <w:r w:rsidRPr="00F22B32">
        <w:t>placebo</w:t>
      </w:r>
      <w:r w:rsidR="008624F4">
        <w:t xml:space="preserve"> </w:t>
      </w:r>
      <w:r w:rsidRPr="00F22B32">
        <w:t>controlled</w:t>
      </w:r>
      <w:proofErr w:type="gramEnd"/>
      <w:r w:rsidRPr="00F22B32">
        <w:t xml:space="preserve"> fashion.</w:t>
      </w:r>
    </w:p>
    <w:p w14:paraId="4A268081" w14:textId="5B207BB2" w:rsidR="00F22B32" w:rsidRPr="00F22B32" w:rsidRDefault="00F22B32" w:rsidP="00F22B32">
      <w:r w:rsidRPr="00F22B32">
        <w:t xml:space="preserve">Following evidence of enhanced effectiveness of the adult booster dose, </w:t>
      </w:r>
      <w:r w:rsidR="008624F4">
        <w:t>S</w:t>
      </w:r>
      <w:r w:rsidRPr="00F22B32">
        <w:t>tudy P204 was amended to offer a booster (</w:t>
      </w:r>
      <w:r w:rsidR="008624F4">
        <w:t xml:space="preserve">monovalent </w:t>
      </w:r>
      <w:proofErr w:type="spellStart"/>
      <w:r w:rsidR="008624F4">
        <w:t>Spikevax</w:t>
      </w:r>
      <w:proofErr w:type="spellEnd"/>
      <w:r w:rsidRPr="00F22B32">
        <w:t xml:space="preserve">, 25 </w:t>
      </w:r>
      <w:r w:rsidR="008624F4">
        <w:t>µ</w:t>
      </w:r>
      <w:r w:rsidRPr="00F22B32">
        <w:t>g) to all children enrolled in the 6 through 11 years age group, which could be administered from 6 months post</w:t>
      </w:r>
      <w:r w:rsidR="008624F4">
        <w:noBreakHyphen/>
        <w:t>D</w:t>
      </w:r>
      <w:r w:rsidRPr="00F22B32">
        <w:t>ose 2 of the primary series (</w:t>
      </w:r>
      <w:r w:rsidR="008624F4">
        <w:t xml:space="preserve">monovalent </w:t>
      </w:r>
      <w:proofErr w:type="spellStart"/>
      <w:r w:rsidR="008624F4">
        <w:t>Spikevax</w:t>
      </w:r>
      <w:proofErr w:type="spellEnd"/>
      <w:r w:rsidRPr="00F22B32">
        <w:t xml:space="preserve">, 50 </w:t>
      </w:r>
      <w:r w:rsidR="008624F4">
        <w:t>µ</w:t>
      </w:r>
      <w:r w:rsidRPr="00F22B32">
        <w:t>g). Participants receiving a booster were followed for safety and immunogenicity.</w:t>
      </w:r>
    </w:p>
    <w:p w14:paraId="421CB718" w14:textId="38D809EA" w:rsidR="00F22B32" w:rsidRPr="00F22B32" w:rsidRDefault="00F22B32" w:rsidP="00F22B32">
      <w:r w:rsidRPr="00F22B32">
        <w:lastRenderedPageBreak/>
        <w:t xml:space="preserve">The sponsor claims that the clinical data from the prototype </w:t>
      </w:r>
      <w:r w:rsidR="008624F4">
        <w:t xml:space="preserve">monovalent </w:t>
      </w:r>
      <w:proofErr w:type="spellStart"/>
      <w:r w:rsidR="008624F4">
        <w:t>Spikevax</w:t>
      </w:r>
      <w:proofErr w:type="spellEnd"/>
      <w:r w:rsidRPr="00F22B32">
        <w:t xml:space="preserve"> booster dose in children 6</w:t>
      </w:r>
      <w:r w:rsidR="008624F4">
        <w:t xml:space="preserve"> to </w:t>
      </w:r>
      <w:r w:rsidRPr="00F22B32">
        <w:t>11 years old is intended to support the registration of the booster formulation containing Omicron variants.</w:t>
      </w:r>
    </w:p>
    <w:p w14:paraId="066EEFF6" w14:textId="48B26050" w:rsidR="00F22B32" w:rsidRPr="00F22B32" w:rsidRDefault="00F22B32" w:rsidP="00F22B32">
      <w:r w:rsidRPr="00F22B32">
        <w:t xml:space="preserve">For immunogenicity, the primary objective of the </w:t>
      </w:r>
      <w:r w:rsidR="008624F4">
        <w:t>b</w:t>
      </w:r>
      <w:r w:rsidRPr="00F22B32">
        <w:t xml:space="preserve">ooster </w:t>
      </w:r>
      <w:r w:rsidR="008624F4">
        <w:t>p</w:t>
      </w:r>
      <w:r w:rsidRPr="00F22B32">
        <w:t xml:space="preserve">hase of Study P204 is to infer effectiveness of the </w:t>
      </w:r>
      <w:r w:rsidR="008624F4">
        <w:t>booster dose</w:t>
      </w:r>
      <w:r w:rsidRPr="00F22B32">
        <w:t xml:space="preserve"> by comparing post-</w:t>
      </w:r>
      <w:r w:rsidR="008624F4">
        <w:t>booster dose</w:t>
      </w:r>
      <w:r w:rsidRPr="00F22B32">
        <w:t xml:space="preserve"> immune responses (</w:t>
      </w:r>
      <w:r w:rsidR="008624F4">
        <w:t xml:space="preserve">booster dose </w:t>
      </w:r>
      <w:r w:rsidRPr="00F22B32">
        <w:t>-</w:t>
      </w:r>
      <w:r w:rsidR="008624F4">
        <w:t xml:space="preserve"> </w:t>
      </w:r>
      <w:r w:rsidRPr="00F22B32">
        <w:t>Day 29) to those obtained post</w:t>
      </w:r>
      <w:r w:rsidR="008624F4">
        <w:t xml:space="preserve">-Dose 2 </w:t>
      </w:r>
      <w:r w:rsidRPr="00F22B32">
        <w:t xml:space="preserve">of the primary series (Day 57) in young adults (18 to 25 years of age) in Study P301, where 93% efficacy was demonstrated. Effectiveness of the </w:t>
      </w:r>
      <w:proofErr w:type="gramStart"/>
      <w:r w:rsidRPr="00F22B32">
        <w:t xml:space="preserve">25 </w:t>
      </w:r>
      <w:r w:rsidR="008624F4">
        <w:t>µ</w:t>
      </w:r>
      <w:r w:rsidRPr="00F22B32">
        <w:t>g</w:t>
      </w:r>
      <w:proofErr w:type="gramEnd"/>
      <w:r w:rsidRPr="00F22B32">
        <w:t xml:space="preserve"> </w:t>
      </w:r>
      <w:r w:rsidR="008624F4">
        <w:t xml:space="preserve">monovalent </w:t>
      </w:r>
      <w:proofErr w:type="spellStart"/>
      <w:r w:rsidR="008624F4">
        <w:t>Spikevax</w:t>
      </w:r>
      <w:proofErr w:type="spellEnd"/>
      <w:r w:rsidRPr="00F22B32">
        <w:t xml:space="preserve"> </w:t>
      </w:r>
      <w:r w:rsidR="008624F4">
        <w:t>booster dose</w:t>
      </w:r>
      <w:r w:rsidRPr="00F22B32">
        <w:t xml:space="preserve"> is inferred if post-</w:t>
      </w:r>
      <w:r w:rsidR="008624F4">
        <w:t>booster dose</w:t>
      </w:r>
      <w:r w:rsidRPr="00F22B32">
        <w:t xml:space="preserve"> immune responses (</w:t>
      </w:r>
      <w:proofErr w:type="spellStart"/>
      <w:r w:rsidRPr="00F22B32">
        <w:t>nAb</w:t>
      </w:r>
      <w:proofErr w:type="spellEnd"/>
      <w:r w:rsidRPr="00F22B32">
        <w:t xml:space="preserve"> GMC and SRR) meet prespecified non</w:t>
      </w:r>
      <w:r w:rsidR="008624F4">
        <w:t>-</w:t>
      </w:r>
      <w:r w:rsidRPr="00F22B32">
        <w:t xml:space="preserve">inferiority criteria (for both GMC and SRR) compared to those measured following completion of the 100 </w:t>
      </w:r>
      <w:r w:rsidR="008624F4">
        <w:t>µ</w:t>
      </w:r>
      <w:r w:rsidRPr="00F22B32">
        <w:t xml:space="preserve">g </w:t>
      </w:r>
      <w:r w:rsidR="008624F4">
        <w:t xml:space="preserve">monovalent </w:t>
      </w:r>
      <w:proofErr w:type="spellStart"/>
      <w:r w:rsidR="008624F4">
        <w:t>Spikevax</w:t>
      </w:r>
      <w:proofErr w:type="spellEnd"/>
      <w:r w:rsidRPr="00F22B32">
        <w:t xml:space="preserve"> primary series among a subset of young adults (18 to 25 years) in the pivotal </w:t>
      </w:r>
      <w:r w:rsidR="008624F4">
        <w:t xml:space="preserve">monovalent </w:t>
      </w:r>
      <w:proofErr w:type="spellStart"/>
      <w:r w:rsidR="008624F4">
        <w:t>Spikevax</w:t>
      </w:r>
      <w:proofErr w:type="spellEnd"/>
      <w:r w:rsidRPr="00F22B32">
        <w:t xml:space="preserve"> efficacy trial (</w:t>
      </w:r>
      <w:r w:rsidR="008624F4">
        <w:t xml:space="preserve">Study </w:t>
      </w:r>
      <w:r w:rsidRPr="00F22B32">
        <w:t>P301). Demonstration of non</w:t>
      </w:r>
      <w:r w:rsidR="008624F4">
        <w:t>-</w:t>
      </w:r>
      <w:r w:rsidRPr="00F22B32">
        <w:t>inferiority requires meeting the pre-defined success criteria:</w:t>
      </w:r>
    </w:p>
    <w:p w14:paraId="68F85BD3" w14:textId="2FB70017" w:rsidR="00F22B32" w:rsidRPr="00F22B32" w:rsidRDefault="008624F4" w:rsidP="008624F4">
      <w:pPr>
        <w:pStyle w:val="ListBullet"/>
      </w:pPr>
      <w:r>
        <w:t>Geometric mean ratio</w:t>
      </w:r>
      <w:r w:rsidR="00F22B32" w:rsidRPr="00F22B32">
        <w:t xml:space="preserve"> between the children and the young adults: the lower bound of the 95% CI of the GMR (GMC </w:t>
      </w:r>
      <w:r>
        <w:t xml:space="preserve">of Study </w:t>
      </w:r>
      <w:r w:rsidR="00F22B32" w:rsidRPr="00F22B32">
        <w:t xml:space="preserve">P204 </w:t>
      </w:r>
      <w:r>
        <w:t>booster dose</w:t>
      </w:r>
      <w:r w:rsidR="00F22B32" w:rsidRPr="00F22B32">
        <w:t xml:space="preserve">-Day 29/GMC </w:t>
      </w:r>
      <w:r>
        <w:t xml:space="preserve">Study </w:t>
      </w:r>
      <w:r w:rsidR="00F22B32" w:rsidRPr="00F22B32">
        <w:t>P301 young adult Day 57) &gt;</w:t>
      </w:r>
      <w:r>
        <w:t xml:space="preserve"> </w:t>
      </w:r>
      <w:r w:rsidR="00F22B32" w:rsidRPr="00F22B32">
        <w:t>0.667</w:t>
      </w:r>
    </w:p>
    <w:p w14:paraId="1AE794FB" w14:textId="1A8B411C" w:rsidR="00F22B32" w:rsidRPr="00F22B32" w:rsidRDefault="00F22B32" w:rsidP="008624F4">
      <w:pPr>
        <w:pStyle w:val="ListBullet"/>
      </w:pPr>
      <w:r w:rsidRPr="00F22B32">
        <w:t>difference in SRR between these same groups: the lower bound of the 95% of the SRR difference &gt;</w:t>
      </w:r>
      <w:r w:rsidR="008624F4">
        <w:t xml:space="preserve"> </w:t>
      </w:r>
      <w:r w:rsidRPr="00F22B32">
        <w:t>-10%</w:t>
      </w:r>
    </w:p>
    <w:p w14:paraId="7B2A691F" w14:textId="530128BA" w:rsidR="00F22B32" w:rsidRPr="00F22B32" w:rsidRDefault="00F22B32" w:rsidP="00F22B32">
      <w:r w:rsidRPr="00F22B32">
        <w:t>A total of 1294 participants 6</w:t>
      </w:r>
      <w:r w:rsidR="008624F4">
        <w:t xml:space="preserve"> </w:t>
      </w:r>
      <w:r w:rsidRPr="00F22B32">
        <w:t xml:space="preserve">through 11 years of age received the </w:t>
      </w:r>
      <w:r w:rsidR="008624F4">
        <w:t xml:space="preserve">monovalent </w:t>
      </w:r>
      <w:proofErr w:type="spellStart"/>
      <w:r w:rsidR="008624F4">
        <w:t>Spikevax</w:t>
      </w:r>
      <w:proofErr w:type="spellEnd"/>
      <w:r w:rsidRPr="00F22B32">
        <w:t xml:space="preserve"> 25 </w:t>
      </w:r>
      <w:r w:rsidR="008624F4">
        <w:t>µ</w:t>
      </w:r>
      <w:r w:rsidRPr="00F22B32">
        <w:t xml:space="preserve">g </w:t>
      </w:r>
      <w:r w:rsidR="008624F4">
        <w:t>b</w:t>
      </w:r>
      <w:r w:rsidRPr="00F22B32">
        <w:t xml:space="preserve">ooster </w:t>
      </w:r>
      <w:r w:rsidR="008624F4">
        <w:t>d</w:t>
      </w:r>
      <w:r w:rsidRPr="00F22B32">
        <w:t>ose. One participant discontinued the study due to withdrawal of consent. Withdrawal</w:t>
      </w:r>
      <w:r w:rsidR="008624F4">
        <w:t xml:space="preserve"> </w:t>
      </w:r>
      <w:r w:rsidRPr="00F22B32">
        <w:t xml:space="preserve">for this participant was not related to AEs. The mean age was 8.5 years, with 51.9% being male, and 65.7% being White in ethnicity. The race and ethnicity demographics of the boosted participants were </w:t>
      </w:r>
      <w:proofErr w:type="gramStart"/>
      <w:r w:rsidRPr="00F22B32">
        <w:t>similar to</w:t>
      </w:r>
      <w:proofErr w:type="gramEnd"/>
      <w:r w:rsidRPr="00F22B32">
        <w:t xml:space="preserve"> that in the original </w:t>
      </w:r>
      <w:r w:rsidR="008624F4">
        <w:t xml:space="preserve">Study </w:t>
      </w:r>
      <w:r w:rsidRPr="00F22B32">
        <w:t>P204</w:t>
      </w:r>
      <w:r w:rsidR="008624F4">
        <w:t xml:space="preserve"> </w:t>
      </w:r>
      <w:r w:rsidRPr="00F22B32">
        <w:t>and Study P301. Approximately 33% of participants had evidence of prior SARS-CoV-2 infection at the time of boosting.</w:t>
      </w:r>
    </w:p>
    <w:p w14:paraId="66B50CFB" w14:textId="29A9863D" w:rsidR="00F22B32" w:rsidRPr="00F22B32" w:rsidRDefault="00F22B32" w:rsidP="00F22B32">
      <w:r w:rsidRPr="00F22B32">
        <w:t>In the</w:t>
      </w:r>
      <w:r w:rsidR="008624F4">
        <w:t xml:space="preserve"> Study</w:t>
      </w:r>
      <w:r w:rsidRPr="00F22B32">
        <w:t xml:space="preserve"> P204 </w:t>
      </w:r>
      <w:r w:rsidR="008624F4">
        <w:t>p</w:t>
      </w:r>
      <w:r w:rsidRPr="00F22B32">
        <w:t>er-</w:t>
      </w:r>
      <w:r w:rsidR="008624F4">
        <w:t>p</w:t>
      </w:r>
      <w:r w:rsidRPr="00F22B32">
        <w:t xml:space="preserve">rotocol </w:t>
      </w:r>
      <w:r w:rsidR="008624F4">
        <w:t>i</w:t>
      </w:r>
      <w:r w:rsidRPr="00F22B32">
        <w:t xml:space="preserve">mmunogenicity </w:t>
      </w:r>
      <w:r w:rsidR="008624F4">
        <w:t>s</w:t>
      </w:r>
      <w:r w:rsidRPr="00F22B32">
        <w:t>ubset with pre-booster SARS-CoV-2 negative status group (N</w:t>
      </w:r>
      <w:r w:rsidR="00466888">
        <w:t xml:space="preserve"> </w:t>
      </w:r>
      <w:r w:rsidRPr="00F22B32">
        <w:t>=</w:t>
      </w:r>
      <w:r w:rsidR="00466888">
        <w:t xml:space="preserve"> </w:t>
      </w:r>
      <w:r w:rsidRPr="00F22B32">
        <w:t>95), pre-booster (</w:t>
      </w:r>
      <w:r w:rsidR="00466888">
        <w:t>booster dose</w:t>
      </w:r>
      <w:r w:rsidRPr="00F22B32">
        <w:t xml:space="preserve">-Day 1) </w:t>
      </w:r>
      <w:proofErr w:type="spellStart"/>
      <w:r w:rsidRPr="00F22B32">
        <w:t>nAb</w:t>
      </w:r>
      <w:proofErr w:type="spellEnd"/>
      <w:r w:rsidRPr="00F22B32">
        <w:t xml:space="preserve"> GMC was 485.6 (95% CI: 423.1, 557.3;); on </w:t>
      </w:r>
      <w:r w:rsidR="00466888">
        <w:t>booster dose</w:t>
      </w:r>
      <w:r w:rsidRPr="00F22B32">
        <w:t xml:space="preserve">-Day 29 the GMC was 5847.5 (95% CI: 5212.3, 6560.1). Post-boost GMC increased approximately 12- fold from pre-booster GMC, demonstrating the ability of the </w:t>
      </w:r>
      <w:r w:rsidR="00466888">
        <w:t>booster dose</w:t>
      </w:r>
      <w:r w:rsidRPr="00F22B32">
        <w:t xml:space="preserve"> to recall memory responses in children 6</w:t>
      </w:r>
      <w:r w:rsidR="00466888">
        <w:t xml:space="preserve"> </w:t>
      </w:r>
      <w:r w:rsidRPr="00F22B32">
        <w:t>through 11 years when administered 6 months or more post-completion of the primary series.</w:t>
      </w:r>
    </w:p>
    <w:p w14:paraId="40210C9F" w14:textId="71AC8F8E" w:rsidR="00F22B32" w:rsidRPr="00F22B32" w:rsidRDefault="00F22B32" w:rsidP="00F22B32">
      <w:r w:rsidRPr="00F22B32">
        <w:t>Antibody responses (</w:t>
      </w:r>
      <w:proofErr w:type="spellStart"/>
      <w:r w:rsidRPr="00F22B32">
        <w:t>nAb</w:t>
      </w:r>
      <w:proofErr w:type="spellEnd"/>
      <w:r w:rsidRPr="00F22B32">
        <w:t>, GMC) were also assessed among the subgroup of participants with</w:t>
      </w:r>
      <w:r w:rsidR="00466888">
        <w:t xml:space="preserve"> </w:t>
      </w:r>
      <w:r w:rsidRPr="00F22B32">
        <w:t>evidence of prior SARS-CoV-2 infection at the pre-booster visit (N</w:t>
      </w:r>
      <w:r w:rsidR="00466888">
        <w:t xml:space="preserve"> </w:t>
      </w:r>
      <w:r w:rsidRPr="00F22B32">
        <w:t>=</w:t>
      </w:r>
      <w:r w:rsidR="00466888">
        <w:t xml:space="preserve"> </w:t>
      </w:r>
      <w:r w:rsidRPr="00F22B32">
        <w:t xml:space="preserve">27). Previously infected participants, as expected, had higher </w:t>
      </w:r>
      <w:proofErr w:type="spellStart"/>
      <w:r w:rsidRPr="00F22B32">
        <w:t>nAb</w:t>
      </w:r>
      <w:proofErr w:type="spellEnd"/>
      <w:r w:rsidRPr="00F22B32">
        <w:t xml:space="preserve"> titres measured at the pre-booster visit (GMC</w:t>
      </w:r>
      <w:r w:rsidR="00466888">
        <w:t xml:space="preserve"> </w:t>
      </w:r>
      <w:r w:rsidRPr="00F22B32">
        <w:t xml:space="preserve">4513.3, 95% CI </w:t>
      </w:r>
      <w:r w:rsidR="00524DB2">
        <w:t>(</w:t>
      </w:r>
      <w:r w:rsidRPr="00F22B32">
        <w:t>2979.3, 6837.1</w:t>
      </w:r>
      <w:r w:rsidR="00524DB2">
        <w:t>)</w:t>
      </w:r>
      <w:r w:rsidRPr="00F22B32">
        <w:t>) compared to participants without prior evidence of infection</w:t>
      </w:r>
      <w:r w:rsidR="00466888">
        <w:t xml:space="preserve"> </w:t>
      </w:r>
      <w:r w:rsidRPr="00F22B32">
        <w:t xml:space="preserve">(GMC 485.6, 95% CI </w:t>
      </w:r>
      <w:r w:rsidR="00524DB2">
        <w:t>(</w:t>
      </w:r>
      <w:r w:rsidRPr="00F22B32">
        <w:t>423.1, 557.3</w:t>
      </w:r>
      <w:r w:rsidR="00524DB2">
        <w:t>)</w:t>
      </w:r>
      <w:r w:rsidRPr="00F22B32">
        <w:t xml:space="preserve">). Administration of the </w:t>
      </w:r>
      <w:r w:rsidR="00466888">
        <w:t>booster dose</w:t>
      </w:r>
      <w:r w:rsidRPr="00F22B32">
        <w:t xml:space="preserve"> nonetheless enhanced serum</w:t>
      </w:r>
      <w:r w:rsidR="00466888">
        <w:t xml:space="preserve"> </w:t>
      </w:r>
      <w:proofErr w:type="spellStart"/>
      <w:r w:rsidRPr="00F22B32">
        <w:t>nAb</w:t>
      </w:r>
      <w:proofErr w:type="spellEnd"/>
      <w:r w:rsidRPr="00F22B32">
        <w:t xml:space="preserve"> levels (</w:t>
      </w:r>
      <w:r w:rsidR="00466888">
        <w:t>booster dose</w:t>
      </w:r>
      <w:r w:rsidRPr="00F22B32">
        <w:t xml:space="preserve">-Day 29 GMC = 8903.7, 95% CI </w:t>
      </w:r>
      <w:r w:rsidR="00524DB2">
        <w:t>(</w:t>
      </w:r>
      <w:r w:rsidRPr="00F22B32">
        <w:t>6736.9, 11767.6</w:t>
      </w:r>
      <w:r w:rsidR="00524DB2">
        <w:t>)</w:t>
      </w:r>
      <w:r w:rsidRPr="00F22B32">
        <w:t>).</w:t>
      </w:r>
    </w:p>
    <w:p w14:paraId="42D3D06A" w14:textId="60B1CA7C" w:rsidR="00F22B32" w:rsidRDefault="00F22B32" w:rsidP="00F22B32">
      <w:r w:rsidRPr="00F22B32">
        <w:t xml:space="preserve">Results supporting the </w:t>
      </w:r>
      <w:r w:rsidR="00466888">
        <w:t>non-</w:t>
      </w:r>
      <w:proofErr w:type="spellStart"/>
      <w:r w:rsidR="00466888">
        <w:t>inferority</w:t>
      </w:r>
      <w:proofErr w:type="spellEnd"/>
      <w:r w:rsidRPr="00F22B32">
        <w:t xml:space="preserve"> analysis are summari</w:t>
      </w:r>
      <w:r w:rsidR="00466888">
        <w:t>s</w:t>
      </w:r>
      <w:r w:rsidRPr="00F22B32">
        <w:t xml:space="preserve">ed the </w:t>
      </w:r>
      <w:r w:rsidR="00466888">
        <w:fldChar w:fldCharType="begin"/>
      </w:r>
      <w:r w:rsidR="00466888">
        <w:instrText xml:space="preserve"> REF _Ref126918553 \h </w:instrText>
      </w:r>
      <w:r w:rsidR="00466888">
        <w:fldChar w:fldCharType="separate"/>
      </w:r>
      <w:r w:rsidR="00AA4DFB" w:rsidRPr="00466888">
        <w:t xml:space="preserve">Table </w:t>
      </w:r>
      <w:r w:rsidR="00AA4DFB">
        <w:rPr>
          <w:noProof/>
        </w:rPr>
        <w:t>14</w:t>
      </w:r>
      <w:r w:rsidR="00466888">
        <w:fldChar w:fldCharType="end"/>
      </w:r>
      <w:r w:rsidRPr="00F22B32">
        <w:t xml:space="preserve">. Serum </w:t>
      </w:r>
      <w:proofErr w:type="spellStart"/>
      <w:proofErr w:type="gramStart"/>
      <w:r w:rsidRPr="00F22B32">
        <w:t>nAb</w:t>
      </w:r>
      <w:proofErr w:type="spellEnd"/>
      <w:proofErr w:type="gramEnd"/>
      <w:r w:rsidRPr="00F22B32">
        <w:t xml:space="preserve"> levels (measured by </w:t>
      </w:r>
      <w:proofErr w:type="spellStart"/>
      <w:r w:rsidR="00466888">
        <w:t>pseudotyped</w:t>
      </w:r>
      <w:proofErr w:type="spellEnd"/>
      <w:r w:rsidR="00466888">
        <w:t xml:space="preserve"> virus neutralisation assay</w:t>
      </w:r>
      <w:r w:rsidRPr="00F22B32">
        <w:t xml:space="preserve">) for children 6 through 11 years in the </w:t>
      </w:r>
      <w:r w:rsidR="00466888">
        <w:t>per-protocol immunogenicity subset with SARS-CoV-2 negative</w:t>
      </w:r>
      <w:r w:rsidRPr="00F22B32">
        <w:t xml:space="preserve"> </w:t>
      </w:r>
      <w:r w:rsidR="00466888">
        <w:t xml:space="preserve">status </w:t>
      </w:r>
      <w:r w:rsidRPr="00F22B32">
        <w:t>and the comparison with those from young adults (18 to 25 years of age) in Study</w:t>
      </w:r>
      <w:r w:rsidR="00466888">
        <w:t> </w:t>
      </w:r>
      <w:r w:rsidRPr="00F22B32">
        <w:t xml:space="preserve">P301 are displayed. The GMR of </w:t>
      </w:r>
      <w:r w:rsidR="00466888">
        <w:t xml:space="preserve">Study </w:t>
      </w:r>
      <w:r w:rsidRPr="00F22B32">
        <w:t xml:space="preserve">P204 </w:t>
      </w:r>
      <w:r w:rsidR="00466888">
        <w:t xml:space="preserve">booster dose </w:t>
      </w:r>
      <w:r w:rsidRPr="00F22B32">
        <w:t>-</w:t>
      </w:r>
      <w:r w:rsidR="00466888">
        <w:t xml:space="preserve"> </w:t>
      </w:r>
      <w:r w:rsidRPr="00F22B32">
        <w:t xml:space="preserve">Day 29 GMC compared to </w:t>
      </w:r>
      <w:r w:rsidR="00466888">
        <w:t xml:space="preserve">Study </w:t>
      </w:r>
      <w:r w:rsidRPr="00F22B32">
        <w:t xml:space="preserve">P301 young adults Day 57 GMC was 4.2 (95% CI 3.5, 5), meeting the </w:t>
      </w:r>
      <w:r w:rsidR="00466888">
        <w:t>non</w:t>
      </w:r>
      <w:r w:rsidR="00466888">
        <w:noBreakHyphen/>
        <w:t>inferiority</w:t>
      </w:r>
      <w:r w:rsidRPr="00F22B32">
        <w:t xml:space="preserve"> criteria (</w:t>
      </w:r>
      <w:r w:rsidR="00466888">
        <w:t>that is</w:t>
      </w:r>
      <w:r w:rsidRPr="00F22B32">
        <w:t xml:space="preserve"> lower bound of the 95% CI &gt; 0.667); the SRR difference was 0.7% (95% CI: -3.5, 2.4), meeting the </w:t>
      </w:r>
      <w:r w:rsidR="00466888">
        <w:t>non-inferiority</w:t>
      </w:r>
      <w:r w:rsidRPr="00F22B32">
        <w:t xml:space="preserve"> criteria (lower bound of the 95% of the SRR difference &gt;</w:t>
      </w:r>
      <w:r w:rsidR="00524DB2">
        <w:t> </w:t>
      </w:r>
      <w:r w:rsidR="00524DB2">
        <w:noBreakHyphen/>
      </w:r>
      <w:r w:rsidRPr="00F22B32">
        <w:t>10%).</w:t>
      </w:r>
    </w:p>
    <w:p w14:paraId="4731F07A" w14:textId="7D5CFB2C" w:rsidR="009919B3" w:rsidRDefault="009919B3" w:rsidP="000E1461">
      <w:pPr>
        <w:spacing w:before="0" w:after="200" w:line="0" w:lineRule="auto"/>
      </w:pPr>
      <w:r>
        <w:br w:type="page"/>
      </w:r>
    </w:p>
    <w:p w14:paraId="1DE11B51" w14:textId="3E0E6139" w:rsidR="00466888" w:rsidRDefault="00466888" w:rsidP="00466888">
      <w:pPr>
        <w:pStyle w:val="TableTitle"/>
      </w:pPr>
      <w:bookmarkStart w:id="49" w:name="_Ref126918553"/>
      <w:r w:rsidRPr="00466888">
        <w:lastRenderedPageBreak/>
        <w:t xml:space="preserve">Table </w:t>
      </w:r>
      <w:fldSimple w:instr=" SEQ Table \* ARABIC ">
        <w:r w:rsidR="00AA4DFB">
          <w:rPr>
            <w:noProof/>
          </w:rPr>
          <w:t>14</w:t>
        </w:r>
      </w:fldSimple>
      <w:bookmarkEnd w:id="49"/>
      <w:r w:rsidRPr="00466888">
        <w:t>:</w:t>
      </w:r>
      <w:r>
        <w:t xml:space="preserve"> </w:t>
      </w:r>
      <w:r w:rsidR="009919B3">
        <w:t xml:space="preserve">Study P204 </w:t>
      </w:r>
      <w:r w:rsidRPr="00466888">
        <w:t>Serum n</w:t>
      </w:r>
      <w:r>
        <w:t xml:space="preserve">eutralising antibody </w:t>
      </w:r>
      <w:r w:rsidRPr="00466888">
        <w:t xml:space="preserve">against </w:t>
      </w:r>
      <w:r>
        <w:t>a</w:t>
      </w:r>
      <w:r w:rsidRPr="00466888">
        <w:t xml:space="preserve">ncestral </w:t>
      </w:r>
      <w:r>
        <w:t>s</w:t>
      </w:r>
      <w:r w:rsidRPr="00466888">
        <w:t xml:space="preserve">train </w:t>
      </w:r>
      <w:r>
        <w:t>geometric mean concentration</w:t>
      </w:r>
      <w:r w:rsidRPr="00466888">
        <w:t xml:space="preserve"> and </w:t>
      </w:r>
      <w:proofErr w:type="spellStart"/>
      <w:r>
        <w:t>seroresponse</w:t>
      </w:r>
      <w:proofErr w:type="spellEnd"/>
      <w:r>
        <w:t xml:space="preserve"> rate</w:t>
      </w:r>
      <w:r w:rsidRPr="00466888">
        <w:t xml:space="preserve"> among </w:t>
      </w:r>
      <w:r>
        <w:t xml:space="preserve">Study </w:t>
      </w:r>
      <w:r w:rsidRPr="00466888">
        <w:t xml:space="preserve">P204 </w:t>
      </w:r>
      <w:r>
        <w:t>b</w:t>
      </w:r>
      <w:r w:rsidRPr="00466888">
        <w:t xml:space="preserve">ooster </w:t>
      </w:r>
      <w:proofErr w:type="gramStart"/>
      <w:r>
        <w:t>r</w:t>
      </w:r>
      <w:r w:rsidRPr="00466888">
        <w:t>ecipients</w:t>
      </w:r>
      <w:proofErr w:type="gramEnd"/>
      <w:r w:rsidRPr="00466888">
        <w:t xml:space="preserve"> </w:t>
      </w:r>
      <w:r>
        <w:t>p</w:t>
      </w:r>
      <w:r w:rsidRPr="00466888">
        <w:t>ost-</w:t>
      </w:r>
      <w:r>
        <w:t>booster dose</w:t>
      </w:r>
      <w:r w:rsidRPr="00466888">
        <w:t xml:space="preserve"> </w:t>
      </w:r>
      <w:r>
        <w:t>c</w:t>
      </w:r>
      <w:r w:rsidRPr="00466888">
        <w:t xml:space="preserve">ompared to </w:t>
      </w:r>
      <w:r>
        <w:t xml:space="preserve">Study </w:t>
      </w:r>
      <w:r w:rsidRPr="00466888">
        <w:t xml:space="preserve">P301 </w:t>
      </w:r>
      <w:r>
        <w:t>y</w:t>
      </w:r>
      <w:r w:rsidRPr="00466888">
        <w:t xml:space="preserve">oung </w:t>
      </w:r>
      <w:r>
        <w:t>a</w:t>
      </w:r>
      <w:r w:rsidRPr="00466888">
        <w:t xml:space="preserve">dults </w:t>
      </w:r>
      <w:r>
        <w:t>p</w:t>
      </w:r>
      <w:r w:rsidRPr="00466888">
        <w:t>ost</w:t>
      </w:r>
      <w:r>
        <w:t>-</w:t>
      </w:r>
      <w:r w:rsidRPr="00466888">
        <w:t xml:space="preserve">primary </w:t>
      </w:r>
      <w:r>
        <w:t>s</w:t>
      </w:r>
      <w:r w:rsidRPr="00466888">
        <w:t>eries</w:t>
      </w:r>
    </w:p>
    <w:p w14:paraId="359728F5" w14:textId="6ADDD9A1" w:rsidR="00466888" w:rsidRDefault="00466888" w:rsidP="00466888">
      <w:r>
        <w:rPr>
          <w:noProof/>
          <w:lang w:val="en-GB" w:eastAsia="en-GB"/>
        </w:rPr>
        <w:drawing>
          <wp:inline distT="0" distB="0" distL="0" distR="0" wp14:anchorId="72AC14CC" wp14:editId="48E55AEF">
            <wp:extent cx="5062118" cy="2258695"/>
            <wp:effectExtent l="0" t="0" r="5715" b="8255"/>
            <wp:docPr id="32" name="Picture 32" descr="Serum neutralising antibody against ancestral strain geometric mean concentration and seroresponse rate among Study P204 booster recipients post-booster dose compared to Study P301 young adults post-primary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erum neutralising antibody against ancestral strain geometric mean concentration and seroresponse rate among Study P204 booster recipients post-booster dose compared to Study P301 young adults post-primary seri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42920"/>
                    <a:stretch/>
                  </pic:blipFill>
                  <pic:spPr bwMode="auto">
                    <a:xfrm>
                      <a:off x="0" y="0"/>
                      <a:ext cx="5067018" cy="2260881"/>
                    </a:xfrm>
                    <a:prstGeom prst="rect">
                      <a:avLst/>
                    </a:prstGeom>
                    <a:noFill/>
                    <a:ln>
                      <a:noFill/>
                    </a:ln>
                    <a:extLst>
                      <a:ext uri="{53640926-AAD7-44D8-BBD7-CCE9431645EC}">
                        <a14:shadowObscured xmlns:a14="http://schemas.microsoft.com/office/drawing/2010/main"/>
                      </a:ext>
                    </a:extLst>
                  </pic:spPr>
                </pic:pic>
              </a:graphicData>
            </a:graphic>
          </wp:inline>
        </w:drawing>
      </w:r>
    </w:p>
    <w:p w14:paraId="5BF2EE6C" w14:textId="1F04D5B5" w:rsidR="00466888" w:rsidRDefault="00466888" w:rsidP="00466888">
      <w:pPr>
        <w:pStyle w:val="TableDescription"/>
      </w:pPr>
      <w:r>
        <w:t xml:space="preserve">Abbreviations: ANCOVA = analysis of covariance; AU = arbitrary units; BD = booster dose; CI = confidence interval; GMC = geometric mean concentration; GMR = geometric mean ratio; LLOQ = lower limits of quantification; LS = least squares; </w:t>
      </w:r>
      <w:proofErr w:type="spellStart"/>
      <w:r>
        <w:t>nAB</w:t>
      </w:r>
      <w:proofErr w:type="spellEnd"/>
      <w:r>
        <w:t xml:space="preserve"> = neutralising antibody; PPIS-neg = per-protocol immunogenicity subset with pre-booster SARS-CoV-2 negative status.</w:t>
      </w:r>
    </w:p>
    <w:p w14:paraId="17875427" w14:textId="4CF30B6D" w:rsidR="00466888" w:rsidRDefault="00466888" w:rsidP="00466888">
      <w:pPr>
        <w:pStyle w:val="TableDescription"/>
      </w:pPr>
      <w:proofErr w:type="spellStart"/>
      <w:r>
        <w:t>a</w:t>
      </w:r>
      <w:proofErr w:type="spellEnd"/>
      <w:r>
        <w:t xml:space="preserve"> </w:t>
      </w:r>
      <w:proofErr w:type="gramStart"/>
      <w:r>
        <w:t>The</w:t>
      </w:r>
      <w:proofErr w:type="gramEnd"/>
      <w:r>
        <w:t xml:space="preserve"> lower bound of GMR 95% confidence interval is ˃ 0.667.</w:t>
      </w:r>
    </w:p>
    <w:p w14:paraId="230A448B" w14:textId="2BFED7EF" w:rsidR="00466888" w:rsidRDefault="00466888" w:rsidP="00466888">
      <w:pPr>
        <w:pStyle w:val="TableDescription"/>
      </w:pPr>
      <w:r>
        <w:t xml:space="preserve">b </w:t>
      </w:r>
      <w:proofErr w:type="gramStart"/>
      <w:r>
        <w:t>The</w:t>
      </w:r>
      <w:proofErr w:type="gramEnd"/>
      <w:r>
        <w:t xml:space="preserve"> lower bound of SRR difference 95% confidence interval is ˃ -10%.</w:t>
      </w:r>
    </w:p>
    <w:p w14:paraId="6AAEA717" w14:textId="6C892E46" w:rsidR="00466888" w:rsidRDefault="00466888" w:rsidP="00466888">
      <w:pPr>
        <w:pStyle w:val="TableDescription"/>
      </w:pPr>
      <w:r>
        <w:t>N = the number of participants in PPIS-neg in Study P204, or per-protocol immunogenicity subset for primary series in Study P301.</w:t>
      </w:r>
    </w:p>
    <w:p w14:paraId="65C137C0" w14:textId="0B2E5188" w:rsidR="00466888" w:rsidRDefault="00466888" w:rsidP="00466888">
      <w:pPr>
        <w:pStyle w:val="TableDescription"/>
      </w:pPr>
      <w:r>
        <w:t xml:space="preserve">N1 = the number of participants who have </w:t>
      </w:r>
      <w:proofErr w:type="spellStart"/>
      <w:r>
        <w:t>nAb</w:t>
      </w:r>
      <w:proofErr w:type="spellEnd"/>
      <w:r>
        <w:t xml:space="preserve"> data available at the time point(s) for specific analysis</w:t>
      </w:r>
      <w:r w:rsidR="007104F7">
        <w:t>. The log transformed antibody levels are analysed using an ANCOVA model with the group variable (children in Study P204 and young adults in Study P301) as fixed effect. The resulting LS mean, difference of LS means, and 95% CI are back transformed to the original scale for presentation of GMC and GMR with 95% CIs.</w:t>
      </w:r>
    </w:p>
    <w:p w14:paraId="0AFA8914" w14:textId="22872CD9" w:rsidR="007104F7" w:rsidRDefault="007104F7" w:rsidP="00466888">
      <w:pPr>
        <w:pStyle w:val="TableDescription"/>
      </w:pPr>
      <w:r>
        <w:t xml:space="preserve">SRR = </w:t>
      </w:r>
      <w:proofErr w:type="spellStart"/>
      <w:r>
        <w:t>seroresponse</w:t>
      </w:r>
      <w:proofErr w:type="spellEnd"/>
      <w:r>
        <w:t xml:space="preserve"> rate at booster dose-Day 29 from Baseline (pre-Dose 1 of the primary series) is defined as the % of participants with a change from below LLOQ to equal or above 4 times LLOQ, or at least a </w:t>
      </w:r>
      <w:proofErr w:type="gramStart"/>
      <w:r>
        <w:t>4 fold</w:t>
      </w:r>
      <w:proofErr w:type="gramEnd"/>
      <w:r>
        <w:t xml:space="preserve"> rise if baseline is equal to or above LLOQ. </w:t>
      </w:r>
      <w:proofErr w:type="spellStart"/>
      <w:r>
        <w:t>Seroresponse</w:t>
      </w:r>
      <w:proofErr w:type="spellEnd"/>
      <w:r>
        <w:t xml:space="preserve"> rate 95% CI is calculated using the Clopper-Pearson method. </w:t>
      </w:r>
      <w:proofErr w:type="spellStart"/>
      <w:r>
        <w:t>Seroresponse</w:t>
      </w:r>
      <w:proofErr w:type="spellEnd"/>
      <w:r>
        <w:t xml:space="preserve"> rate difference 95% CI is calculated using the Miettinen-</w:t>
      </w:r>
      <w:proofErr w:type="spellStart"/>
      <w:r>
        <w:t>Nurminen</w:t>
      </w:r>
      <w:proofErr w:type="spellEnd"/>
      <w:r>
        <w:t xml:space="preserve"> (score) confidence limits.</w:t>
      </w:r>
    </w:p>
    <w:p w14:paraId="36D03D73" w14:textId="395F3E4A" w:rsidR="007104F7" w:rsidRDefault="007104F7" w:rsidP="007104F7">
      <w:r w:rsidRPr="007104F7">
        <w:t xml:space="preserve">Neutralising antibody levels against an Omicron </w:t>
      </w:r>
      <w:r w:rsidR="009919B3">
        <w:t>sub</w:t>
      </w:r>
      <w:r w:rsidRPr="007104F7">
        <w:t>variant of SARS-CoV-2 (</w:t>
      </w:r>
      <w:r w:rsidR="00763F89">
        <w:t xml:space="preserve">Omicron </w:t>
      </w:r>
      <w:r w:rsidRPr="007104F7">
        <w:t xml:space="preserve">BA.1, </w:t>
      </w:r>
      <w:r w:rsidR="00763F89">
        <w:t xml:space="preserve">using </w:t>
      </w:r>
      <w:r w:rsidRPr="007104F7">
        <w:t xml:space="preserve">VAC122 assay) were assessed among booster recipients as well. In the </w:t>
      </w:r>
      <w:r>
        <w:t xml:space="preserve">Study </w:t>
      </w:r>
      <w:r w:rsidRPr="007104F7">
        <w:t xml:space="preserve">P204 </w:t>
      </w:r>
      <w:r>
        <w:t>per-protocol immunogenicity subset with SARS-CoV-2 negative</w:t>
      </w:r>
      <w:r w:rsidRPr="00F22B32">
        <w:t xml:space="preserve"> </w:t>
      </w:r>
      <w:r>
        <w:t>status</w:t>
      </w:r>
      <w:r w:rsidRPr="007104F7">
        <w:t xml:space="preserve"> participants, booster administration resulted in a rise of GMC from 53 (95% CI: 45.3, 61.9) at Day 1 to 632.6 (95% CI: 546.7, 731.9) at Day 29, a </w:t>
      </w:r>
      <w:r w:rsidR="00763F89">
        <w:t>GMFR</w:t>
      </w:r>
      <w:r w:rsidRPr="007104F7">
        <w:t xml:space="preserve"> of 12.1, (95% CI: 9.7, 15.0). Among the pre-booster SARS-CoV-2 positive group, higher </w:t>
      </w:r>
      <w:proofErr w:type="spellStart"/>
      <w:r w:rsidRPr="007104F7">
        <w:t>nAb</w:t>
      </w:r>
      <w:proofErr w:type="spellEnd"/>
      <w:r w:rsidRPr="007104F7">
        <w:t xml:space="preserve"> titres measured at the Day 1 visit (1360.6, 95% CI: 939.5, 1970.4) were observed. In children with immunity both from </w:t>
      </w:r>
      <w:r>
        <w:t xml:space="preserve">monovalent </w:t>
      </w:r>
      <w:proofErr w:type="spellStart"/>
      <w:r>
        <w:t>Spikevax</w:t>
      </w:r>
      <w:proofErr w:type="spellEnd"/>
      <w:r w:rsidRPr="007104F7">
        <w:t xml:space="preserve"> priming as well as SARS-CoV-2 infection (hybrid immunity), Omicron </w:t>
      </w:r>
      <w:proofErr w:type="spellStart"/>
      <w:r w:rsidRPr="007104F7">
        <w:t>nAb</w:t>
      </w:r>
      <w:proofErr w:type="spellEnd"/>
      <w:r w:rsidRPr="007104F7">
        <w:t xml:space="preserve"> responses were higher at Day 29 (GMC 2362.9, 95% CI: 1778.0, 3140.4), with geometric mean fold rise 1.7 (95% CI, (1.3, 2.3)</w:t>
      </w:r>
      <w:r>
        <w:t>)</w:t>
      </w:r>
      <w:r w:rsidRPr="007104F7">
        <w:t xml:space="preserve"> from administration of the booster dose.</w:t>
      </w:r>
    </w:p>
    <w:p w14:paraId="3CDC3B1B" w14:textId="77777777" w:rsidR="007104F7" w:rsidRPr="007104F7" w:rsidRDefault="007104F7" w:rsidP="009138C5">
      <w:pPr>
        <w:pStyle w:val="Heading4"/>
      </w:pPr>
      <w:r w:rsidRPr="007104F7">
        <w:t>Safety</w:t>
      </w:r>
    </w:p>
    <w:p w14:paraId="67D45AF1" w14:textId="6993F8D8" w:rsidR="007104F7" w:rsidRDefault="007104F7" w:rsidP="009138C5">
      <w:pPr>
        <w:pStyle w:val="Heading5"/>
      </w:pPr>
      <w:r>
        <w:t>Study P205 Part H</w:t>
      </w:r>
    </w:p>
    <w:p w14:paraId="58B1AB1D" w14:textId="3B4FCB26" w:rsidR="007104F7" w:rsidRDefault="007104F7" w:rsidP="007104F7">
      <w:r>
        <w:t xml:space="preserve">The median interval between the first booster dose of 50 </w:t>
      </w:r>
      <w:r w:rsidR="00512359">
        <w:t>µ</w:t>
      </w:r>
      <w:r>
        <w:t xml:space="preserve">g </w:t>
      </w:r>
      <w:r w:rsidR="00512359">
        <w:t xml:space="preserve">monovalent </w:t>
      </w:r>
      <w:proofErr w:type="spellStart"/>
      <w:r w:rsidR="00512359">
        <w:t>Spikevax</w:t>
      </w:r>
      <w:proofErr w:type="spellEnd"/>
      <w:r>
        <w:t xml:space="preserve"> </w:t>
      </w:r>
      <w:r w:rsidR="009919B3">
        <w:t>vaccine (</w:t>
      </w:r>
      <w:proofErr w:type="spellStart"/>
      <w:r w:rsidR="009919B3">
        <w:t>elasomeran</w:t>
      </w:r>
      <w:proofErr w:type="spellEnd"/>
      <w:r w:rsidR="009919B3">
        <w:t xml:space="preserve">) </w:t>
      </w:r>
      <w:r>
        <w:t xml:space="preserve">and the </w:t>
      </w:r>
      <w:proofErr w:type="gramStart"/>
      <w:r>
        <w:t xml:space="preserve">50 </w:t>
      </w:r>
      <w:r w:rsidR="00512359">
        <w:t>µ</w:t>
      </w:r>
      <w:r>
        <w:t>g</w:t>
      </w:r>
      <w:proofErr w:type="gramEnd"/>
      <w:r>
        <w:t xml:space="preserve"> </w:t>
      </w:r>
      <w:r w:rsidR="00512359">
        <w:t xml:space="preserve">bivalent Original/Omicron </w:t>
      </w:r>
      <w:r w:rsidR="001405D9">
        <w:t>BA.4-5</w:t>
      </w:r>
      <w:r w:rsidR="00512359">
        <w:t xml:space="preserve"> vaccine</w:t>
      </w:r>
      <w:r>
        <w:t xml:space="preserve"> </w:t>
      </w:r>
      <w:r w:rsidR="009919B3">
        <w:t>(</w:t>
      </w:r>
      <w:proofErr w:type="spellStart"/>
      <w:r w:rsidR="009919B3">
        <w:t>elasomeran</w:t>
      </w:r>
      <w:proofErr w:type="spellEnd"/>
      <w:r w:rsidR="009919B3">
        <w:t xml:space="preserve"> and </w:t>
      </w:r>
      <w:proofErr w:type="spellStart"/>
      <w:r w:rsidR="009919B3">
        <w:lastRenderedPageBreak/>
        <w:t>davesomeran</w:t>
      </w:r>
      <w:proofErr w:type="spellEnd"/>
      <w:r w:rsidR="009919B3">
        <w:t xml:space="preserve">) </w:t>
      </w:r>
      <w:r>
        <w:t>dose was 289 days; the median follow</w:t>
      </w:r>
      <w:r w:rsidR="00512359">
        <w:t xml:space="preserve"> </w:t>
      </w:r>
      <w:r>
        <w:t xml:space="preserve">up duration after the </w:t>
      </w:r>
      <w:r w:rsidR="00512359">
        <w:t xml:space="preserve">bivalent Original/Omicron </w:t>
      </w:r>
      <w:r w:rsidR="001405D9">
        <w:t>BA.4-5</w:t>
      </w:r>
      <w:r w:rsidR="00512359">
        <w:t xml:space="preserve"> vaccine </w:t>
      </w:r>
      <w:r>
        <w:t>booster dose was 37 days (range 5 to 45 days).</w:t>
      </w:r>
    </w:p>
    <w:p w14:paraId="32FE5007" w14:textId="73E8EA80" w:rsidR="007104F7" w:rsidRDefault="007104F7" w:rsidP="007104F7">
      <w:r>
        <w:t xml:space="preserve">The safety assessments for </w:t>
      </w:r>
      <w:r w:rsidR="00512359">
        <w:t>S</w:t>
      </w:r>
      <w:r>
        <w:t>tudy P205, Part H were as follows:</w:t>
      </w:r>
    </w:p>
    <w:p w14:paraId="6150E3DF" w14:textId="1AE30E52" w:rsidR="007104F7" w:rsidRDefault="007104F7" w:rsidP="00512359">
      <w:pPr>
        <w:pStyle w:val="ListBullet"/>
      </w:pPr>
      <w:r>
        <w:t xml:space="preserve">Solicited local and systemic </w:t>
      </w:r>
      <w:r w:rsidR="00512359">
        <w:t>adverse reactions</w:t>
      </w:r>
      <w:r>
        <w:t xml:space="preserve"> during the 7</w:t>
      </w:r>
      <w:r w:rsidR="00512359">
        <w:t xml:space="preserve"> </w:t>
      </w:r>
      <w:r>
        <w:t>day follow</w:t>
      </w:r>
      <w:r w:rsidR="00512359">
        <w:t xml:space="preserve"> </w:t>
      </w:r>
      <w:r>
        <w:t xml:space="preserve">up period after vaccination. </w:t>
      </w:r>
      <w:r w:rsidR="00763F89">
        <w:t>Serious adverse reactions</w:t>
      </w:r>
      <w:r>
        <w:t xml:space="preserve"> that persisted beyond 7 days were also tabulated.</w:t>
      </w:r>
    </w:p>
    <w:p w14:paraId="7742DF37" w14:textId="00926FD2" w:rsidR="007104F7" w:rsidRDefault="007104F7" w:rsidP="00512359">
      <w:pPr>
        <w:pStyle w:val="ListBullet"/>
      </w:pPr>
      <w:r>
        <w:t xml:space="preserve">Unsolicited </w:t>
      </w:r>
      <w:r w:rsidR="009919B3">
        <w:t>adverse events (</w:t>
      </w:r>
      <w:r>
        <w:t>AEs</w:t>
      </w:r>
      <w:r w:rsidR="009919B3">
        <w:t>)</w:t>
      </w:r>
      <w:r>
        <w:t xml:space="preserve"> during the 28</w:t>
      </w:r>
      <w:r w:rsidR="00512359">
        <w:t xml:space="preserve"> </w:t>
      </w:r>
      <w:r>
        <w:t>day follow</w:t>
      </w:r>
      <w:r w:rsidR="00512359">
        <w:t xml:space="preserve"> </w:t>
      </w:r>
      <w:r>
        <w:t xml:space="preserve">up period after vaccination. This includes any AE reported by the participant that is not specified as a solicited </w:t>
      </w:r>
      <w:r w:rsidR="00512359">
        <w:t>adverse reaction</w:t>
      </w:r>
      <w:r>
        <w:t xml:space="preserve"> in the protocol or is specified as a solicited </w:t>
      </w:r>
      <w:r w:rsidR="00512359">
        <w:t>adverse reaction</w:t>
      </w:r>
      <w:r>
        <w:t xml:space="preserve"> but starts outside the protocol</w:t>
      </w:r>
      <w:r w:rsidR="00512359">
        <w:t xml:space="preserve"> </w:t>
      </w:r>
      <w:r>
        <w:t xml:space="preserve">defined period for reporting solicited </w:t>
      </w:r>
      <w:r w:rsidR="00512359">
        <w:t>adverse reactions</w:t>
      </w:r>
      <w:r>
        <w:t xml:space="preserve"> (</w:t>
      </w:r>
      <w:r w:rsidR="00512359">
        <w:t>that is</w:t>
      </w:r>
      <w:r>
        <w:t xml:space="preserve"> 7 days after vaccination).</w:t>
      </w:r>
    </w:p>
    <w:p w14:paraId="5B7A2ED3" w14:textId="02623D0F" w:rsidR="007104F7" w:rsidRDefault="00512359" w:rsidP="00512359">
      <w:pPr>
        <w:pStyle w:val="ListBullet"/>
      </w:pPr>
      <w:r>
        <w:t>Serious adverse events</w:t>
      </w:r>
      <w:r w:rsidR="009919B3">
        <w:t xml:space="preserve"> (SAEs)</w:t>
      </w:r>
      <w:r w:rsidR="007104F7">
        <w:t xml:space="preserve">, </w:t>
      </w:r>
      <w:proofErr w:type="gramStart"/>
      <w:r w:rsidR="009919B3">
        <w:t>medically-attended</w:t>
      </w:r>
      <w:proofErr w:type="gramEnd"/>
      <w:r w:rsidR="009919B3">
        <w:t xml:space="preserve"> adverse events (</w:t>
      </w:r>
      <w:r w:rsidR="007104F7">
        <w:t>MAAEs</w:t>
      </w:r>
      <w:r w:rsidR="009919B3">
        <w:t>)</w:t>
      </w:r>
      <w:r w:rsidR="007104F7">
        <w:t xml:space="preserve">, AEs leading to withdrawal and </w:t>
      </w:r>
      <w:r w:rsidR="009919B3">
        <w:t>adverse events of special interest (</w:t>
      </w:r>
      <w:r w:rsidR="007104F7">
        <w:t>AESI</w:t>
      </w:r>
      <w:r w:rsidR="009919B3">
        <w:t>)</w:t>
      </w:r>
      <w:r w:rsidR="007104F7">
        <w:t xml:space="preserve"> were collected throughout the study.</w:t>
      </w:r>
    </w:p>
    <w:p w14:paraId="6EA4D64D" w14:textId="48C13AE5" w:rsidR="007104F7" w:rsidRDefault="007104F7" w:rsidP="009138C5">
      <w:pPr>
        <w:pStyle w:val="Heading6"/>
      </w:pPr>
      <w:r>
        <w:t>Solicited</w:t>
      </w:r>
      <w:r w:rsidR="00512359">
        <w:t xml:space="preserve"> </w:t>
      </w:r>
      <w:r w:rsidR="00512359" w:rsidRPr="009138C5">
        <w:rPr>
          <w:szCs w:val="28"/>
        </w:rPr>
        <w:t>a</w:t>
      </w:r>
      <w:r w:rsidRPr="009138C5">
        <w:rPr>
          <w:szCs w:val="28"/>
        </w:rPr>
        <w:t>dverse</w:t>
      </w:r>
      <w:r>
        <w:t xml:space="preserve"> </w:t>
      </w:r>
      <w:r w:rsidR="00512359">
        <w:t>r</w:t>
      </w:r>
      <w:r>
        <w:t>eactions</w:t>
      </w:r>
    </w:p>
    <w:p w14:paraId="44BE4BC6" w14:textId="08B1C814" w:rsidR="007104F7" w:rsidRDefault="007104F7" w:rsidP="007104F7">
      <w:r>
        <w:t xml:space="preserve">For reactogenicity assessments, participants recorded solicited local and systemic </w:t>
      </w:r>
      <w:r w:rsidR="00512359">
        <w:t>adverse reactions</w:t>
      </w:r>
      <w:r>
        <w:t xml:space="preserve"> in the </w:t>
      </w:r>
      <w:proofErr w:type="spellStart"/>
      <w:r>
        <w:t>eDiary</w:t>
      </w:r>
      <w:proofErr w:type="spellEnd"/>
      <w:r>
        <w:t xml:space="preserve"> on the day of vaccination and during the 7 days after vaccination (</w:t>
      </w:r>
      <w:r w:rsidR="00512359">
        <w:t>that is,</w:t>
      </w:r>
      <w:r>
        <w:t xml:space="preserve"> the day of injection and </w:t>
      </w:r>
      <w:r w:rsidR="00512359">
        <w:t>six</w:t>
      </w:r>
      <w:r>
        <w:t xml:space="preserve"> subsequent days). Solicited local </w:t>
      </w:r>
      <w:r w:rsidR="00512359">
        <w:t>adverse reactions</w:t>
      </w:r>
      <w:r>
        <w:t xml:space="preserve"> assessed were injection site pain, injection site erythema (redness), injection site swelling/induration (hardness), and axillary (underarm) swelling or tenderness ipsilateral to the side of the injection. Solicited systemic </w:t>
      </w:r>
      <w:r w:rsidR="00512359">
        <w:t>adverse reactions</w:t>
      </w:r>
      <w:r>
        <w:t xml:space="preserve"> assessed were headache, fatigue, myalgia (muscle aches all over the body), arthralgia (joint aches in several joints), nausea/vomiting, chills, and fever (oral temperature). Any solicited </w:t>
      </w:r>
      <w:r w:rsidR="00512359">
        <w:t>adverse reaction</w:t>
      </w:r>
      <w:r>
        <w:t xml:space="preserve"> that was ongoing beyond Day 7 was to be reported in the </w:t>
      </w:r>
      <w:proofErr w:type="spellStart"/>
      <w:r>
        <w:t>eDiary</w:t>
      </w:r>
      <w:proofErr w:type="spellEnd"/>
      <w:r>
        <w:t xml:space="preserve"> until it resolved.</w:t>
      </w:r>
    </w:p>
    <w:p w14:paraId="536DB1E3" w14:textId="4A21B301" w:rsidR="007104F7" w:rsidRDefault="007104F7" w:rsidP="009138C5">
      <w:pPr>
        <w:pStyle w:val="Heading6"/>
      </w:pPr>
      <w:r>
        <w:t xml:space="preserve">Solicited </w:t>
      </w:r>
      <w:r w:rsidR="00512359">
        <w:t>l</w:t>
      </w:r>
      <w:r>
        <w:t xml:space="preserve">ocal </w:t>
      </w:r>
      <w:r w:rsidR="00512359" w:rsidRPr="009138C5">
        <w:rPr>
          <w:szCs w:val="28"/>
        </w:rPr>
        <w:t>a</w:t>
      </w:r>
      <w:r w:rsidRPr="009138C5">
        <w:rPr>
          <w:szCs w:val="28"/>
        </w:rPr>
        <w:t>dverse</w:t>
      </w:r>
      <w:r>
        <w:t xml:space="preserve"> </w:t>
      </w:r>
      <w:r w:rsidR="00512359">
        <w:t>r</w:t>
      </w:r>
      <w:r>
        <w:t>eactions</w:t>
      </w:r>
    </w:p>
    <w:p w14:paraId="324E2BD4" w14:textId="7368D73B" w:rsidR="007104F7" w:rsidRDefault="007104F7" w:rsidP="007104F7">
      <w:r>
        <w:t xml:space="preserve">In the </w:t>
      </w:r>
      <w:proofErr w:type="spellStart"/>
      <w:r w:rsidR="009919B3">
        <w:t>Spikevax</w:t>
      </w:r>
      <w:proofErr w:type="spellEnd"/>
      <w:r w:rsidR="009919B3">
        <w:t xml:space="preserve"> </w:t>
      </w:r>
      <w:r w:rsidR="00512359">
        <w:t xml:space="preserve">bivalent Original/Omicron </w:t>
      </w:r>
      <w:r w:rsidR="001405D9">
        <w:t>BA.4-5</w:t>
      </w:r>
      <w:r w:rsidR="00512359">
        <w:t xml:space="preserve"> vaccine</w:t>
      </w:r>
      <w:r>
        <w:t xml:space="preserve"> </w:t>
      </w:r>
      <w:r w:rsidR="009919B3">
        <w:t>(</w:t>
      </w:r>
      <w:proofErr w:type="spellStart"/>
      <w:r w:rsidR="009919B3">
        <w:t>elasomeran</w:t>
      </w:r>
      <w:proofErr w:type="spellEnd"/>
      <w:r w:rsidR="009919B3">
        <w:t xml:space="preserve"> and </w:t>
      </w:r>
      <w:proofErr w:type="spellStart"/>
      <w:r w:rsidR="009919B3">
        <w:t>davesomeran</w:t>
      </w:r>
      <w:proofErr w:type="spellEnd"/>
      <w:r w:rsidR="009919B3">
        <w:t xml:space="preserve">) </w:t>
      </w:r>
      <w:r w:rsidR="00512359">
        <w:t xml:space="preserve">at </w:t>
      </w:r>
      <w:r>
        <w:t xml:space="preserve">50 </w:t>
      </w:r>
      <w:r w:rsidR="00512359">
        <w:t>µ</w:t>
      </w:r>
      <w:r>
        <w:t xml:space="preserve">g booster dose group, most participants had at least one solicited local </w:t>
      </w:r>
      <w:r w:rsidR="00512359">
        <w:t>adverse reaction</w:t>
      </w:r>
      <w:r>
        <w:t xml:space="preserve"> (420</w:t>
      </w:r>
      <w:r w:rsidR="00512359">
        <w:t xml:space="preserve"> out of </w:t>
      </w:r>
      <w:r>
        <w:t xml:space="preserve">507 </w:t>
      </w:r>
      <w:r w:rsidR="009919B3">
        <w:t>(</w:t>
      </w:r>
      <w:r>
        <w:t>82.8%</w:t>
      </w:r>
      <w:r w:rsidR="009919B3">
        <w:t>)</w:t>
      </w:r>
      <w:r>
        <w:t xml:space="preserve">). The most common solicited local </w:t>
      </w:r>
      <w:r w:rsidR="00512359">
        <w:t>adverse reaction</w:t>
      </w:r>
      <w:r>
        <w:t xml:space="preserve"> after the </w:t>
      </w:r>
      <w:r w:rsidR="00512359">
        <w:t xml:space="preserve">bivalent Original/Omicron </w:t>
      </w:r>
      <w:r w:rsidR="001405D9">
        <w:t>BA.4-5</w:t>
      </w:r>
      <w:r w:rsidR="00512359">
        <w:t xml:space="preserve"> vaccine at </w:t>
      </w:r>
      <w:r>
        <w:t xml:space="preserve">50 </w:t>
      </w:r>
      <w:r w:rsidR="00512359">
        <w:t>µg</w:t>
      </w:r>
      <w:r>
        <w:t xml:space="preserve"> booster dose was injection site pain (418</w:t>
      </w:r>
      <w:r w:rsidR="00512359">
        <w:t xml:space="preserve"> out of </w:t>
      </w:r>
      <w:r>
        <w:t xml:space="preserve">507 participants </w:t>
      </w:r>
      <w:r w:rsidR="009919B3">
        <w:t>(</w:t>
      </w:r>
      <w:r>
        <w:t>82.4%</w:t>
      </w:r>
      <w:r w:rsidR="009919B3">
        <w:t>)</w:t>
      </w:r>
      <w:r>
        <w:t>), followed by axillary swelling or tenderness (106</w:t>
      </w:r>
      <w:r w:rsidR="00512359">
        <w:t xml:space="preserve"> out of </w:t>
      </w:r>
      <w:r>
        <w:t xml:space="preserve">507 participants </w:t>
      </w:r>
      <w:r w:rsidR="009919B3">
        <w:t>(</w:t>
      </w:r>
      <w:r>
        <w:t>20.9%</w:t>
      </w:r>
      <w:r w:rsidR="009919B3">
        <w:t>)</w:t>
      </w:r>
      <w:r>
        <w:t xml:space="preserve">). The majority of solicited local </w:t>
      </w:r>
      <w:r w:rsidR="00512359">
        <w:t>adverse reactions</w:t>
      </w:r>
      <w:r>
        <w:t xml:space="preserve"> were Grade 1 (329</w:t>
      </w:r>
      <w:r w:rsidR="00512359">
        <w:t xml:space="preserve"> out of </w:t>
      </w:r>
      <w:r>
        <w:t xml:space="preserve">507 participants </w:t>
      </w:r>
      <w:r w:rsidR="009919B3">
        <w:t>(</w:t>
      </w:r>
      <w:r>
        <w:t>64.9%</w:t>
      </w:r>
      <w:r w:rsidR="009919B3">
        <w:t>)</w:t>
      </w:r>
      <w:r>
        <w:t>) followed by Grade 2 (63</w:t>
      </w:r>
      <w:r w:rsidR="00512359">
        <w:t xml:space="preserve"> out of </w:t>
      </w:r>
      <w:r>
        <w:t xml:space="preserve">507 participants </w:t>
      </w:r>
      <w:r w:rsidR="009919B3">
        <w:t>(</w:t>
      </w:r>
      <w:r>
        <w:t>12.4%</w:t>
      </w:r>
      <w:r w:rsidR="009919B3">
        <w:t>)</w:t>
      </w:r>
      <w:r>
        <w:t xml:space="preserve">). </w:t>
      </w:r>
      <w:proofErr w:type="gramStart"/>
      <w:r>
        <w:t>Twenty</w:t>
      </w:r>
      <w:r w:rsidR="00512359">
        <w:t xml:space="preserve"> </w:t>
      </w:r>
      <w:r>
        <w:t>eight</w:t>
      </w:r>
      <w:proofErr w:type="gramEnd"/>
      <w:r>
        <w:t xml:space="preserve"> participants (28</w:t>
      </w:r>
      <w:r w:rsidR="00512359">
        <w:t xml:space="preserve"> out of </w:t>
      </w:r>
      <w:r>
        <w:t xml:space="preserve">507 </w:t>
      </w:r>
      <w:r w:rsidR="009919B3">
        <w:t>(</w:t>
      </w:r>
      <w:r>
        <w:t>5.5%</w:t>
      </w:r>
      <w:r w:rsidR="009919B3">
        <w:t>)</w:t>
      </w:r>
      <w:r>
        <w:t xml:space="preserve">) had a Grade 3 local </w:t>
      </w:r>
      <w:r w:rsidR="00512359">
        <w:t>adverse reaction</w:t>
      </w:r>
      <w:r>
        <w:t xml:space="preserve"> and the most commonly reported term was injection site pain (20</w:t>
      </w:r>
      <w:r w:rsidR="00512359">
        <w:t xml:space="preserve"> out of </w:t>
      </w:r>
      <w:r>
        <w:t xml:space="preserve">507 participants </w:t>
      </w:r>
      <w:r w:rsidR="009919B3">
        <w:t>(</w:t>
      </w:r>
      <w:r>
        <w:t>3.9%</w:t>
      </w:r>
      <w:r w:rsidR="009919B3">
        <w:t>)</w:t>
      </w:r>
      <w:r>
        <w:t xml:space="preserve">). There were no Grade 4 local </w:t>
      </w:r>
      <w:r w:rsidR="00512359">
        <w:t>adverse reaction</w:t>
      </w:r>
      <w:r>
        <w:t xml:space="preserve">. Local </w:t>
      </w:r>
      <w:r w:rsidR="00512359">
        <w:t>adverse reactions</w:t>
      </w:r>
      <w:r>
        <w:t xml:space="preserve"> were transient; the median duration was 3 days (range</w:t>
      </w:r>
      <w:r w:rsidR="009919B3">
        <w:t>:</w:t>
      </w:r>
      <w:r>
        <w:t xml:space="preserve"> 1 to 22</w:t>
      </w:r>
      <w:r w:rsidR="009919B3">
        <w:t> </w:t>
      </w:r>
      <w:r>
        <w:t>days).</w:t>
      </w:r>
    </w:p>
    <w:p w14:paraId="7BF44019" w14:textId="66C0CD6E" w:rsidR="007104F7" w:rsidRDefault="007104F7" w:rsidP="009138C5">
      <w:pPr>
        <w:pStyle w:val="Heading6"/>
      </w:pPr>
      <w:r>
        <w:t xml:space="preserve">Solicited </w:t>
      </w:r>
      <w:r w:rsidR="00512359">
        <w:t>s</w:t>
      </w:r>
      <w:r>
        <w:t xml:space="preserve">ystemic </w:t>
      </w:r>
      <w:r w:rsidR="00512359">
        <w:t>r</w:t>
      </w:r>
      <w:r>
        <w:t>eactions</w:t>
      </w:r>
    </w:p>
    <w:p w14:paraId="644C0859" w14:textId="19ABD992" w:rsidR="007104F7" w:rsidRDefault="007104F7" w:rsidP="007104F7">
      <w:r>
        <w:t xml:space="preserve">Most participants had at least one solicited systemic </w:t>
      </w:r>
      <w:r w:rsidR="00512359">
        <w:t>adverse reaction</w:t>
      </w:r>
      <w:r>
        <w:t xml:space="preserve"> (372</w:t>
      </w:r>
      <w:r w:rsidR="00512359">
        <w:t xml:space="preserve"> out of </w:t>
      </w:r>
      <w:r>
        <w:t xml:space="preserve">508 </w:t>
      </w:r>
      <w:r w:rsidR="009919B3">
        <w:t>(</w:t>
      </w:r>
      <w:r>
        <w:t>73.2%</w:t>
      </w:r>
      <w:r w:rsidR="009919B3">
        <w:t>)</w:t>
      </w:r>
      <w:r>
        <w:t xml:space="preserve">). The most common systemic </w:t>
      </w:r>
      <w:r w:rsidR="00512359">
        <w:t>adverse reaction</w:t>
      </w:r>
      <w:r>
        <w:t xml:space="preserve"> after the </w:t>
      </w:r>
      <w:r w:rsidR="00512359">
        <w:t xml:space="preserve">bivalent Original/Omicron </w:t>
      </w:r>
      <w:r w:rsidR="001405D9">
        <w:t>BA.4-5</w:t>
      </w:r>
      <w:r w:rsidR="00512359">
        <w:t xml:space="preserve"> vaccine at </w:t>
      </w:r>
      <w:r>
        <w:t xml:space="preserve">50 </w:t>
      </w:r>
      <w:r w:rsidR="00512359">
        <w:t>µ</w:t>
      </w:r>
      <w:r>
        <w:t>g booster dose was fatigue (304</w:t>
      </w:r>
      <w:r w:rsidR="00512359">
        <w:t xml:space="preserve"> out of </w:t>
      </w:r>
      <w:r>
        <w:t xml:space="preserve">508 participants </w:t>
      </w:r>
      <w:r w:rsidR="009919B3">
        <w:t>(</w:t>
      </w:r>
      <w:r>
        <w:t>59.8%</w:t>
      </w:r>
      <w:r w:rsidR="009919B3">
        <w:t>)</w:t>
      </w:r>
      <w:r>
        <w:t>), followed by headache (249</w:t>
      </w:r>
      <w:r w:rsidR="00512359">
        <w:t xml:space="preserve"> out of </w:t>
      </w:r>
      <w:r>
        <w:t xml:space="preserve">507 participants </w:t>
      </w:r>
      <w:r w:rsidR="009919B3">
        <w:t>(</w:t>
      </w:r>
      <w:r>
        <w:t>49.1%</w:t>
      </w:r>
      <w:r w:rsidR="009919B3">
        <w:t>)</w:t>
      </w:r>
      <w:r>
        <w:t>), myalgia (235</w:t>
      </w:r>
      <w:r w:rsidR="00512359">
        <w:t xml:space="preserve"> out of </w:t>
      </w:r>
      <w:r>
        <w:t xml:space="preserve">507 participants </w:t>
      </w:r>
      <w:r w:rsidR="009919B3">
        <w:t>(</w:t>
      </w:r>
      <w:r>
        <w:t>46.4%</w:t>
      </w:r>
      <w:r w:rsidR="009919B3">
        <w:t>)</w:t>
      </w:r>
      <w:r>
        <w:t>), and arthralgia (177</w:t>
      </w:r>
      <w:r w:rsidR="00512359">
        <w:t xml:space="preserve"> out of </w:t>
      </w:r>
      <w:r>
        <w:t xml:space="preserve">507 participants </w:t>
      </w:r>
      <w:r w:rsidR="009919B3">
        <w:t>(</w:t>
      </w:r>
      <w:r>
        <w:t>34.9%</w:t>
      </w:r>
      <w:r w:rsidR="009919B3">
        <w:t>)</w:t>
      </w:r>
      <w:r>
        <w:t xml:space="preserve">). Most solicited systemic </w:t>
      </w:r>
      <w:r w:rsidR="00E237B8">
        <w:t>adverse reactions</w:t>
      </w:r>
      <w:r>
        <w:t xml:space="preserve"> were Grade 1 (172</w:t>
      </w:r>
      <w:r w:rsidR="00E237B8">
        <w:t xml:space="preserve"> out of </w:t>
      </w:r>
      <w:r>
        <w:t xml:space="preserve">508 </w:t>
      </w:r>
      <w:r w:rsidR="009919B3">
        <w:t>(</w:t>
      </w:r>
      <w:r>
        <w:t>33.9%</w:t>
      </w:r>
      <w:r w:rsidR="009919B3">
        <w:t>)</w:t>
      </w:r>
      <w:r>
        <w:t>) or Grade 2 (165</w:t>
      </w:r>
      <w:r w:rsidR="00E237B8">
        <w:t xml:space="preserve"> out of </w:t>
      </w:r>
      <w:r>
        <w:t xml:space="preserve">508 [32.5%]). </w:t>
      </w:r>
      <w:proofErr w:type="gramStart"/>
      <w:r>
        <w:t>Thirty</w:t>
      </w:r>
      <w:r w:rsidR="00E237B8">
        <w:t xml:space="preserve"> </w:t>
      </w:r>
      <w:r>
        <w:t>five</w:t>
      </w:r>
      <w:proofErr w:type="gramEnd"/>
      <w:r>
        <w:t xml:space="preserve"> participants (35</w:t>
      </w:r>
      <w:r w:rsidR="00E237B8">
        <w:t xml:space="preserve"> out of </w:t>
      </w:r>
      <w:r>
        <w:t xml:space="preserve">508 participants </w:t>
      </w:r>
      <w:r w:rsidR="009919B3">
        <w:t>(</w:t>
      </w:r>
      <w:r>
        <w:t>6.9%</w:t>
      </w:r>
      <w:r w:rsidR="009919B3">
        <w:t>)</w:t>
      </w:r>
      <w:r>
        <w:t xml:space="preserve">) had a Grade 3 systemic </w:t>
      </w:r>
      <w:r w:rsidR="00E237B8">
        <w:t>adverse reaction</w:t>
      </w:r>
      <w:r>
        <w:t>, the most common were myalgia (20</w:t>
      </w:r>
      <w:r w:rsidR="00E237B8">
        <w:t xml:space="preserve"> out of </w:t>
      </w:r>
      <w:r>
        <w:t xml:space="preserve">507 participants </w:t>
      </w:r>
      <w:r w:rsidR="009919B3">
        <w:t>(</w:t>
      </w:r>
      <w:r>
        <w:t>3.9%</w:t>
      </w:r>
      <w:r w:rsidR="009919B3">
        <w:t>)</w:t>
      </w:r>
      <w:r>
        <w:t>) and fatigue (17</w:t>
      </w:r>
      <w:r w:rsidR="00E237B8">
        <w:t xml:space="preserve"> out of </w:t>
      </w:r>
      <w:r>
        <w:t xml:space="preserve">508 participants </w:t>
      </w:r>
      <w:r w:rsidR="009919B3">
        <w:t>(</w:t>
      </w:r>
      <w:r>
        <w:t>3.3%</w:t>
      </w:r>
      <w:r w:rsidR="009919B3">
        <w:t>)</w:t>
      </w:r>
      <w:r>
        <w:t xml:space="preserve">). No Grade 4 solicited systemic </w:t>
      </w:r>
      <w:r w:rsidR="00E237B8">
        <w:t>adverse reaction</w:t>
      </w:r>
      <w:r>
        <w:t xml:space="preserve"> were reported. The median duration of systemic </w:t>
      </w:r>
      <w:r w:rsidR="00E237B8">
        <w:t>adverse reaction</w:t>
      </w:r>
      <w:r>
        <w:t xml:space="preserve"> was 3 days (range 1 to 38 days).</w:t>
      </w:r>
    </w:p>
    <w:p w14:paraId="53E9358B" w14:textId="30B18A2E" w:rsidR="007104F7" w:rsidRDefault="007104F7" w:rsidP="009138C5">
      <w:pPr>
        <w:pStyle w:val="Heading6"/>
      </w:pPr>
      <w:r>
        <w:lastRenderedPageBreak/>
        <w:t xml:space="preserve">Solicited </w:t>
      </w:r>
      <w:r w:rsidR="00E237B8">
        <w:t>a</w:t>
      </w:r>
      <w:r>
        <w:t xml:space="preserve">dverse </w:t>
      </w:r>
      <w:r w:rsidR="00E237B8" w:rsidRPr="009138C5">
        <w:rPr>
          <w:szCs w:val="28"/>
        </w:rPr>
        <w:t>r</w:t>
      </w:r>
      <w:r w:rsidRPr="009138C5">
        <w:rPr>
          <w:szCs w:val="28"/>
        </w:rPr>
        <w:t>eactions</w:t>
      </w:r>
      <w:r>
        <w:t xml:space="preserve"> by </w:t>
      </w:r>
      <w:r w:rsidR="00E237B8">
        <w:t>a</w:t>
      </w:r>
      <w:r>
        <w:t xml:space="preserve">ge </w:t>
      </w:r>
      <w:r w:rsidR="00E237B8">
        <w:t>c</w:t>
      </w:r>
      <w:r>
        <w:t>ategory</w:t>
      </w:r>
    </w:p>
    <w:p w14:paraId="30DCAA85" w14:textId="5864FB28" w:rsidR="007104F7" w:rsidRDefault="007104F7" w:rsidP="007104F7">
      <w:r>
        <w:t xml:space="preserve">Solicited </w:t>
      </w:r>
      <w:r w:rsidR="00E237B8">
        <w:t>adverse reaction</w:t>
      </w:r>
      <w:r>
        <w:t xml:space="preserve"> were analysed by age category (</w:t>
      </w:r>
      <w:r w:rsidR="00763F89">
        <w:t>from</w:t>
      </w:r>
      <w:r w:rsidR="00E237B8">
        <w:t xml:space="preserve"> </w:t>
      </w:r>
      <w:r>
        <w:t xml:space="preserve">18 to </w:t>
      </w:r>
      <w:r w:rsidR="00763F89">
        <w:t>younger than</w:t>
      </w:r>
      <w:r w:rsidR="00E237B8">
        <w:t xml:space="preserve"> </w:t>
      </w:r>
      <w:r>
        <w:t>65</w:t>
      </w:r>
      <w:r w:rsidR="009919B3">
        <w:t> </w:t>
      </w:r>
      <w:r w:rsidR="00763F89">
        <w:t>years of age</w:t>
      </w:r>
      <w:r>
        <w:t xml:space="preserve"> and </w:t>
      </w:r>
      <w:r w:rsidR="00763F89">
        <w:t>from</w:t>
      </w:r>
      <w:r w:rsidR="00E237B8">
        <w:t xml:space="preserve"> </w:t>
      </w:r>
      <w:r>
        <w:t xml:space="preserve">65 years of age) and the results are presented </w:t>
      </w:r>
      <w:r w:rsidR="00362289">
        <w:t xml:space="preserve">in </w:t>
      </w:r>
      <w:r w:rsidR="00362289">
        <w:fldChar w:fldCharType="begin"/>
      </w:r>
      <w:r w:rsidR="00362289">
        <w:instrText xml:space="preserve"> REF _Ref126922523 \h </w:instrText>
      </w:r>
      <w:r w:rsidR="00362289">
        <w:fldChar w:fldCharType="separate"/>
      </w:r>
      <w:r w:rsidR="00AA4DFB" w:rsidRPr="00E237B8">
        <w:t xml:space="preserve">Table </w:t>
      </w:r>
      <w:r w:rsidR="00AA4DFB">
        <w:rPr>
          <w:noProof/>
        </w:rPr>
        <w:t>15</w:t>
      </w:r>
      <w:r w:rsidR="00362289">
        <w:fldChar w:fldCharType="end"/>
      </w:r>
      <w:r>
        <w:t xml:space="preserve"> for solicited local and systemic </w:t>
      </w:r>
      <w:r w:rsidR="00E237B8">
        <w:t>adverse reaction</w:t>
      </w:r>
      <w:r>
        <w:t>s.</w:t>
      </w:r>
    </w:p>
    <w:p w14:paraId="7A2A8D14" w14:textId="5AE5F1D2" w:rsidR="00E237B8" w:rsidRDefault="00E237B8" w:rsidP="00E237B8">
      <w:pPr>
        <w:pStyle w:val="TableTitle"/>
      </w:pPr>
      <w:bookmarkStart w:id="50" w:name="_Ref126922523"/>
      <w:r w:rsidRPr="00E237B8">
        <w:lastRenderedPageBreak/>
        <w:t xml:space="preserve">Table </w:t>
      </w:r>
      <w:fldSimple w:instr=" SEQ Table \* ARABIC ">
        <w:r w:rsidR="00AA4DFB">
          <w:rPr>
            <w:noProof/>
          </w:rPr>
          <w:t>15</w:t>
        </w:r>
      </w:fldSimple>
      <w:bookmarkEnd w:id="50"/>
      <w:r w:rsidRPr="00E237B8">
        <w:t>:</w:t>
      </w:r>
      <w:r>
        <w:t xml:space="preserve"> </w:t>
      </w:r>
      <w:r w:rsidR="009919B3">
        <w:t xml:space="preserve">Study P205 Part H </w:t>
      </w:r>
      <w:r w:rsidRPr="00E237B8">
        <w:t>Solicited adverse reactions by age category</w:t>
      </w:r>
    </w:p>
    <w:p w14:paraId="0100BF20" w14:textId="6AB64D85" w:rsidR="00E237B8" w:rsidRDefault="00E237B8" w:rsidP="00E237B8">
      <w:r>
        <w:rPr>
          <w:noProof/>
          <w:lang w:val="en-GB" w:eastAsia="en-GB"/>
        </w:rPr>
        <w:drawing>
          <wp:inline distT="0" distB="0" distL="0" distR="0" wp14:anchorId="7ADB9E88" wp14:editId="405C4E80">
            <wp:extent cx="4271749" cy="8267620"/>
            <wp:effectExtent l="0" t="0" r="0" b="635"/>
            <wp:docPr id="4" name="Picture 4" descr="Solicited adverse reactions by ag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olicited adverse reactions by age category"/>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9989" b="8631"/>
                    <a:stretch/>
                  </pic:blipFill>
                  <pic:spPr bwMode="auto">
                    <a:xfrm>
                      <a:off x="0" y="0"/>
                      <a:ext cx="4282515" cy="8288456"/>
                    </a:xfrm>
                    <a:prstGeom prst="rect">
                      <a:avLst/>
                    </a:prstGeom>
                    <a:noFill/>
                    <a:ln>
                      <a:noFill/>
                    </a:ln>
                    <a:extLst>
                      <a:ext uri="{53640926-AAD7-44D8-BBD7-CCE9431645EC}">
                        <a14:shadowObscured xmlns:a14="http://schemas.microsoft.com/office/drawing/2010/main"/>
                      </a:ext>
                    </a:extLst>
                  </pic:spPr>
                </pic:pic>
              </a:graphicData>
            </a:graphic>
          </wp:inline>
        </w:drawing>
      </w:r>
    </w:p>
    <w:p w14:paraId="6EC8E126" w14:textId="0C5B51A0" w:rsidR="00E237B8" w:rsidRDefault="00E237B8" w:rsidP="00E237B8">
      <w:pPr>
        <w:pStyle w:val="TableDescription"/>
      </w:pPr>
      <w:r>
        <w:t>Abbreviations: CI = confidence interval</w:t>
      </w:r>
      <w:r w:rsidR="009919B3">
        <w:t xml:space="preserve">; mRNA-1273.222 = </w:t>
      </w:r>
      <w:proofErr w:type="spellStart"/>
      <w:r w:rsidR="009919B3">
        <w:t>Spikevax</w:t>
      </w:r>
      <w:proofErr w:type="spellEnd"/>
      <w:r w:rsidR="009919B3">
        <w:t xml:space="preserve"> Bivalent Original/Omicron BA.4-5 COVID-19 vaccine (</w:t>
      </w:r>
      <w:proofErr w:type="spellStart"/>
      <w:r w:rsidR="009919B3">
        <w:t>elasomeran</w:t>
      </w:r>
      <w:proofErr w:type="spellEnd"/>
      <w:r w:rsidR="009919B3">
        <w:t xml:space="preserve"> and </w:t>
      </w:r>
      <w:proofErr w:type="spellStart"/>
      <w:r w:rsidR="009919B3">
        <w:t>davesomeran</w:t>
      </w:r>
      <w:proofErr w:type="spellEnd"/>
      <w:r w:rsidR="009919B3">
        <w:t>).</w:t>
      </w:r>
    </w:p>
    <w:p w14:paraId="7C0D8F89" w14:textId="62742667" w:rsidR="00E237B8" w:rsidRDefault="00E237B8" w:rsidP="00E237B8">
      <w:pPr>
        <w:pStyle w:val="TableDescription"/>
      </w:pPr>
      <w:r>
        <w:lastRenderedPageBreak/>
        <w:t>N1 = number of exposed participants who submitted any data for the event. Any = Grade 1 or higher. Percentages are based on the number of exposed participants who submitted any data for the event (N1). The 95% CI is calculated using the Clopper-Pearson method.</w:t>
      </w:r>
    </w:p>
    <w:p w14:paraId="1CF2338B" w14:textId="1A2F1302" w:rsidR="00E237B8" w:rsidRDefault="00E237B8" w:rsidP="00E237B8">
      <w:pPr>
        <w:pStyle w:val="TableDescription"/>
      </w:pPr>
      <w:r>
        <w:t>a Toxicity grade for erythema (redness) is defined as: Grade 1 = 25 – 50 mm; Grade 2 = 51 – 100 mm; Grade 3 = greater than 100 mm.</w:t>
      </w:r>
    </w:p>
    <w:p w14:paraId="1AF90600" w14:textId="7CA9AD49" w:rsidR="00E237B8" w:rsidRDefault="00E237B8" w:rsidP="00E237B8">
      <w:pPr>
        <w:pStyle w:val="TableDescription"/>
      </w:pPr>
      <w:r>
        <w:t>b Toxicity grade for fever is defined as: Grade 1 = 38 – 38.4</w:t>
      </w:r>
      <w:r w:rsidRPr="00E237B8">
        <w:rPr>
          <w:vertAlign w:val="superscript"/>
        </w:rPr>
        <w:t>o</w:t>
      </w:r>
      <w:r>
        <w:t>C; Grade 2 = 38.5 – 38.9</w:t>
      </w:r>
      <w:r w:rsidRPr="00E237B8">
        <w:rPr>
          <w:vertAlign w:val="superscript"/>
        </w:rPr>
        <w:t>o</w:t>
      </w:r>
      <w:r>
        <w:t>C; Grade 3 = 39 – 40</w:t>
      </w:r>
      <w:r w:rsidRPr="00E237B8">
        <w:rPr>
          <w:vertAlign w:val="superscript"/>
        </w:rPr>
        <w:t>o</w:t>
      </w:r>
      <w:r>
        <w:t>C; Grade 4 = greater than 40</w:t>
      </w:r>
      <w:r w:rsidRPr="00E237B8">
        <w:rPr>
          <w:vertAlign w:val="superscript"/>
        </w:rPr>
        <w:t>o</w:t>
      </w:r>
      <w:r>
        <w:t>C.</w:t>
      </w:r>
    </w:p>
    <w:p w14:paraId="7B8F95EA" w14:textId="10C7B67C" w:rsidR="00E237B8" w:rsidRPr="00AB1D87" w:rsidRDefault="00E237B8" w:rsidP="009138C5">
      <w:pPr>
        <w:pStyle w:val="Heading6"/>
        <w:rPr>
          <w:rFonts w:eastAsia="TimesNewRomanPSMT"/>
        </w:rPr>
      </w:pPr>
      <w:bookmarkStart w:id="51" w:name="_Hlk126921336"/>
      <w:r w:rsidRPr="00AB1D87">
        <w:rPr>
          <w:rFonts w:eastAsia="TimesNewRomanPSMT"/>
        </w:rPr>
        <w:t xml:space="preserve">Solicited </w:t>
      </w:r>
      <w:r w:rsidR="00834D40">
        <w:rPr>
          <w:rFonts w:eastAsia="TimesNewRomanPSMT"/>
        </w:rPr>
        <w:t>a</w:t>
      </w:r>
      <w:r w:rsidRPr="00AB1D87">
        <w:rPr>
          <w:rFonts w:eastAsia="TimesNewRomanPSMT"/>
        </w:rPr>
        <w:t xml:space="preserve">dverse </w:t>
      </w:r>
      <w:r w:rsidR="00834D40">
        <w:rPr>
          <w:rFonts w:eastAsia="TimesNewRomanPSMT"/>
        </w:rPr>
        <w:t>r</w:t>
      </w:r>
      <w:r w:rsidRPr="00AB1D87">
        <w:rPr>
          <w:rFonts w:eastAsia="TimesNewRomanPSMT"/>
        </w:rPr>
        <w:t xml:space="preserve">eactions </w:t>
      </w:r>
      <w:bookmarkEnd w:id="51"/>
      <w:r w:rsidRPr="00AB1D87">
        <w:rPr>
          <w:rFonts w:eastAsia="TimesNewRomanPSMT"/>
        </w:rPr>
        <w:t xml:space="preserve">by </w:t>
      </w:r>
      <w:r w:rsidR="00834D40">
        <w:rPr>
          <w:rFonts w:eastAsia="TimesNewRomanPSMT"/>
        </w:rPr>
        <w:t>p</w:t>
      </w:r>
      <w:r w:rsidRPr="00AB1D87">
        <w:rPr>
          <w:rFonts w:eastAsia="TimesNewRomanPSMT"/>
        </w:rPr>
        <w:t xml:space="preserve">re-booster SARS-CoV-2 </w:t>
      </w:r>
      <w:r w:rsidR="00834D40">
        <w:rPr>
          <w:rFonts w:eastAsia="TimesNewRomanPSMT"/>
        </w:rPr>
        <w:t>s</w:t>
      </w:r>
      <w:r w:rsidRPr="00AB1D87">
        <w:rPr>
          <w:rFonts w:eastAsia="TimesNewRomanPSMT"/>
        </w:rPr>
        <w:t>tatus</w:t>
      </w:r>
    </w:p>
    <w:p w14:paraId="4E771B82" w14:textId="07712EAB" w:rsidR="00E237B8" w:rsidRPr="00AB1D87" w:rsidRDefault="00E237B8" w:rsidP="00E237B8">
      <w:r w:rsidRPr="00AB1D87">
        <w:t xml:space="preserve">Overall, there were no safety concerns or differences identified in solicited </w:t>
      </w:r>
      <w:r w:rsidR="00834D40">
        <w:t>adverse reactions</w:t>
      </w:r>
      <w:r w:rsidRPr="00AB1D87">
        <w:t xml:space="preserve"> based on pre-booster SARS-CoV-2 status.</w:t>
      </w:r>
    </w:p>
    <w:p w14:paraId="4A671A79" w14:textId="6F449F3E" w:rsidR="00E237B8" w:rsidRPr="00AB1D87" w:rsidRDefault="00E237B8" w:rsidP="00E237B8">
      <w:r w:rsidRPr="00AB1D87">
        <w:t xml:space="preserve">In the </w:t>
      </w:r>
      <w:proofErr w:type="spellStart"/>
      <w:r w:rsidR="009919B3">
        <w:t>Spikevax</w:t>
      </w:r>
      <w:proofErr w:type="spellEnd"/>
      <w:r w:rsidR="009919B3">
        <w:t xml:space="preserve"> bivalent </w:t>
      </w:r>
      <w:r w:rsidR="00834D40">
        <w:t xml:space="preserve">Original/Omicron </w:t>
      </w:r>
      <w:r w:rsidR="001405D9">
        <w:t>BA.4-5</w:t>
      </w:r>
      <w:r w:rsidR="00834D40">
        <w:t xml:space="preserve"> vaccine</w:t>
      </w:r>
      <w:r w:rsidR="009919B3">
        <w:t xml:space="preserve"> (</w:t>
      </w:r>
      <w:proofErr w:type="spellStart"/>
      <w:r w:rsidR="009919B3">
        <w:t>elasomeran</w:t>
      </w:r>
      <w:proofErr w:type="spellEnd"/>
      <w:r w:rsidR="009919B3">
        <w:t xml:space="preserve"> and </w:t>
      </w:r>
      <w:proofErr w:type="spellStart"/>
      <w:r w:rsidR="009919B3">
        <w:t>davesomeran</w:t>
      </w:r>
      <w:proofErr w:type="spellEnd"/>
      <w:r w:rsidR="009919B3">
        <w:t>)</w:t>
      </w:r>
      <w:r w:rsidR="00834D40">
        <w:t xml:space="preserve"> at 50 µg </w:t>
      </w:r>
      <w:r w:rsidRPr="00AB1D87">
        <w:t xml:space="preserve">booster dose group (Part H) </w:t>
      </w:r>
      <w:r w:rsidR="00834D40">
        <w:t>s</w:t>
      </w:r>
      <w:r w:rsidRPr="00AB1D87">
        <w:t xml:space="preserve">olicited </w:t>
      </w:r>
      <w:r w:rsidR="00834D40">
        <w:t>s</w:t>
      </w:r>
      <w:r w:rsidRPr="00AB1D87">
        <w:t xml:space="preserve">afety </w:t>
      </w:r>
      <w:r w:rsidR="00834D40">
        <w:t>s</w:t>
      </w:r>
      <w:r w:rsidRPr="00AB1D87">
        <w:t>et, over half the participants had evidence of prior SARS-CoV-2 antibodies: 283</w:t>
      </w:r>
      <w:r w:rsidR="00834D40">
        <w:t xml:space="preserve"> out of </w:t>
      </w:r>
      <w:r w:rsidRPr="00AB1D87">
        <w:t>508 participants (55.7%) had a positive pre-booster SARS-CoV-2 status, and 216</w:t>
      </w:r>
      <w:r w:rsidR="00834D40">
        <w:t xml:space="preserve"> out of </w:t>
      </w:r>
      <w:r w:rsidRPr="00AB1D87">
        <w:t>508 participants (42.5%) had a negative pre-booster SARS-CoV-2 status (</w:t>
      </w:r>
      <w:r w:rsidR="00834D40">
        <w:t>nine</w:t>
      </w:r>
      <w:r w:rsidRPr="00AB1D87">
        <w:t xml:space="preserve"> participants had missing status). No increased reporting of </w:t>
      </w:r>
      <w:r w:rsidR="00834D40">
        <w:t>s</w:t>
      </w:r>
      <w:r w:rsidR="00834D40" w:rsidRPr="00834D40">
        <w:t xml:space="preserve">olicited </w:t>
      </w:r>
      <w:r w:rsidR="00834D40">
        <w:t>a</w:t>
      </w:r>
      <w:r w:rsidR="00834D40" w:rsidRPr="00834D40">
        <w:t xml:space="preserve">dverse </w:t>
      </w:r>
      <w:r w:rsidR="00834D40">
        <w:t>r</w:t>
      </w:r>
      <w:r w:rsidR="00834D40" w:rsidRPr="00834D40">
        <w:t>eactions</w:t>
      </w:r>
      <w:r w:rsidRPr="00AB1D87">
        <w:t xml:space="preserve"> in participants with positive SARS</w:t>
      </w:r>
      <w:r w:rsidR="009919B3">
        <w:noBreakHyphen/>
      </w:r>
      <w:r w:rsidRPr="00AB1D87">
        <w:t>CoV2 status was observed.</w:t>
      </w:r>
    </w:p>
    <w:p w14:paraId="706F8266" w14:textId="099F3F81" w:rsidR="00E237B8" w:rsidRPr="00AB1D87" w:rsidRDefault="00E237B8" w:rsidP="00E237B8">
      <w:r w:rsidRPr="00AB1D87">
        <w:t xml:space="preserve">The frequency of solicited local </w:t>
      </w:r>
      <w:r w:rsidR="00834D40">
        <w:rPr>
          <w:rFonts w:eastAsia="TimesNewRomanPSMT"/>
        </w:rPr>
        <w:t>a</w:t>
      </w:r>
      <w:r w:rsidR="00834D40" w:rsidRPr="00AB1D87">
        <w:t xml:space="preserve">dverse </w:t>
      </w:r>
      <w:r w:rsidR="00834D40">
        <w:rPr>
          <w:rFonts w:eastAsia="TimesNewRomanPSMT"/>
        </w:rPr>
        <w:t>r</w:t>
      </w:r>
      <w:r w:rsidR="00834D40" w:rsidRPr="00AB1D87">
        <w:t>eaction</w:t>
      </w:r>
      <w:r w:rsidRPr="00AB1D87">
        <w:t xml:space="preserve"> was similar among participants wit</w:t>
      </w:r>
      <w:r w:rsidR="009919B3">
        <w:noBreakHyphen/>
      </w:r>
      <w:r w:rsidRPr="00AB1D87">
        <w:t>h a positive pre-booster SARS-CoV-2 status (229</w:t>
      </w:r>
      <w:r w:rsidR="00834D40">
        <w:t xml:space="preserve"> out of </w:t>
      </w:r>
      <w:r w:rsidRPr="00AB1D87">
        <w:t xml:space="preserve">282 </w:t>
      </w:r>
      <w:r w:rsidR="009919B3">
        <w:t>(</w:t>
      </w:r>
      <w:r w:rsidRPr="00AB1D87">
        <w:t>81.2%</w:t>
      </w:r>
      <w:r w:rsidR="009919B3">
        <w:t>)</w:t>
      </w:r>
      <w:r w:rsidRPr="00AB1D87">
        <w:t>) and participants with a negative pre-booster SARS-CoV-2 status (183</w:t>
      </w:r>
      <w:r w:rsidR="00834D40">
        <w:t xml:space="preserve"> out of </w:t>
      </w:r>
      <w:r w:rsidRPr="00AB1D87">
        <w:t xml:space="preserve">216 </w:t>
      </w:r>
      <w:r w:rsidR="009919B3">
        <w:t>(</w:t>
      </w:r>
      <w:r w:rsidRPr="00AB1D87">
        <w:t>84.7%</w:t>
      </w:r>
      <w:r w:rsidR="009919B3">
        <w:t>)</w:t>
      </w:r>
      <w:r w:rsidRPr="00AB1D87">
        <w:t xml:space="preserve">). The frequency of solicited systemic </w:t>
      </w:r>
      <w:r w:rsidR="00834D40">
        <w:t>adverse reactions</w:t>
      </w:r>
      <w:r w:rsidRPr="00AB1D87">
        <w:t xml:space="preserve"> was similar among participants with positive pre</w:t>
      </w:r>
      <w:r w:rsidR="00834D40">
        <w:noBreakHyphen/>
      </w:r>
      <w:r w:rsidRPr="00AB1D87">
        <w:t>booster SARS-CoV-2 status (197</w:t>
      </w:r>
      <w:r w:rsidR="00834D40">
        <w:t xml:space="preserve"> out of </w:t>
      </w:r>
      <w:r w:rsidRPr="00AB1D87">
        <w:t xml:space="preserve">283 </w:t>
      </w:r>
      <w:r w:rsidR="009919B3">
        <w:t>(</w:t>
      </w:r>
      <w:r w:rsidRPr="00AB1D87">
        <w:t>69.6%</w:t>
      </w:r>
      <w:r w:rsidR="009919B3">
        <w:t>)</w:t>
      </w:r>
      <w:r w:rsidRPr="00AB1D87">
        <w:t>) and participants with negative pre-booster SARS-CoV-2 status (167</w:t>
      </w:r>
      <w:r w:rsidR="00834D40">
        <w:t xml:space="preserve">out of </w:t>
      </w:r>
      <w:r w:rsidRPr="00AB1D87">
        <w:t xml:space="preserve">216 [77.3%]). Grade 3 solicited local </w:t>
      </w:r>
      <w:r w:rsidR="00834D40">
        <w:t>adverse reactions</w:t>
      </w:r>
      <w:r w:rsidRPr="00AB1D87">
        <w:t xml:space="preserve"> in participants with positive pre-booster SARS-CoV-2 status was 10</w:t>
      </w:r>
      <w:r w:rsidR="00834D40">
        <w:t xml:space="preserve"> out of </w:t>
      </w:r>
      <w:r w:rsidRPr="00AB1D87">
        <w:t xml:space="preserve">282 </w:t>
      </w:r>
      <w:r w:rsidR="009919B3">
        <w:t>(</w:t>
      </w:r>
      <w:r w:rsidRPr="00AB1D87">
        <w:t>3.5%</w:t>
      </w:r>
      <w:r w:rsidR="009919B3">
        <w:t>)</w:t>
      </w:r>
      <w:r w:rsidRPr="00AB1D87">
        <w:t xml:space="preserve"> and in participants with negative pre-booster SARS-CoV-2 status was 16</w:t>
      </w:r>
      <w:r w:rsidR="00834D40">
        <w:t xml:space="preserve"> out of </w:t>
      </w:r>
      <w:r w:rsidRPr="00AB1D87">
        <w:t xml:space="preserve">216 </w:t>
      </w:r>
      <w:r w:rsidR="009919B3">
        <w:t>(</w:t>
      </w:r>
      <w:r w:rsidRPr="00AB1D87">
        <w:t>7.4%</w:t>
      </w:r>
      <w:r w:rsidR="009919B3">
        <w:t>)</w:t>
      </w:r>
      <w:r w:rsidRPr="00AB1D87">
        <w:t xml:space="preserve">. Grade 3 systemic </w:t>
      </w:r>
      <w:r w:rsidR="00834D40">
        <w:t xml:space="preserve">adverse reactions </w:t>
      </w:r>
      <w:r w:rsidRPr="00AB1D87">
        <w:t>were similar in participants with positive pre</w:t>
      </w:r>
      <w:r w:rsidR="00834D40">
        <w:noBreakHyphen/>
      </w:r>
      <w:r w:rsidRPr="00AB1D87">
        <w:t>booster</w:t>
      </w:r>
      <w:r w:rsidR="00834D40">
        <w:t xml:space="preserve"> </w:t>
      </w:r>
      <w:r w:rsidRPr="00AB1D87">
        <w:t>SARS-CoV-2 status (19</w:t>
      </w:r>
      <w:r w:rsidR="00834D40">
        <w:t xml:space="preserve"> out of </w:t>
      </w:r>
      <w:r w:rsidRPr="00AB1D87">
        <w:t xml:space="preserve">283 </w:t>
      </w:r>
      <w:r w:rsidR="009919B3">
        <w:t>(</w:t>
      </w:r>
      <w:r w:rsidRPr="00AB1D87">
        <w:t>6.7%</w:t>
      </w:r>
      <w:r w:rsidR="009919B3">
        <w:t>)</w:t>
      </w:r>
      <w:r w:rsidRPr="00AB1D87">
        <w:t>) and participants with negative pre</w:t>
      </w:r>
      <w:r w:rsidR="00834D40">
        <w:noBreakHyphen/>
      </w:r>
      <w:r w:rsidRPr="00AB1D87">
        <w:t>booster SARS-CoV-2 status (16</w:t>
      </w:r>
      <w:r w:rsidR="00834D40">
        <w:t xml:space="preserve"> out of </w:t>
      </w:r>
      <w:r w:rsidRPr="00AB1D87">
        <w:t xml:space="preserve">216 </w:t>
      </w:r>
      <w:r w:rsidR="009919B3">
        <w:t>(</w:t>
      </w:r>
      <w:r w:rsidRPr="00AB1D87">
        <w:t>7.4%</w:t>
      </w:r>
      <w:r w:rsidR="009919B3">
        <w:t>)</w:t>
      </w:r>
      <w:r w:rsidRPr="00AB1D87">
        <w:t>).</w:t>
      </w:r>
    </w:p>
    <w:p w14:paraId="00EA7939" w14:textId="596983E7" w:rsidR="00E237B8" w:rsidRPr="00AB1D87" w:rsidRDefault="00E237B8" w:rsidP="009138C5">
      <w:pPr>
        <w:pStyle w:val="Heading6"/>
        <w:rPr>
          <w:rFonts w:eastAsia="TimesNewRomanPSMT"/>
        </w:rPr>
      </w:pPr>
      <w:r w:rsidRPr="00AB1D87">
        <w:rPr>
          <w:rFonts w:eastAsia="TimesNewRomanPSMT"/>
        </w:rPr>
        <w:t xml:space="preserve">Unsolicited </w:t>
      </w:r>
      <w:r w:rsidR="00F00888">
        <w:rPr>
          <w:rFonts w:eastAsia="TimesNewRomanPSMT"/>
          <w:szCs w:val="28"/>
        </w:rPr>
        <w:t>a</w:t>
      </w:r>
      <w:r w:rsidRPr="009138C5">
        <w:rPr>
          <w:rFonts w:eastAsia="TimesNewRomanPSMT"/>
          <w:szCs w:val="28"/>
        </w:rPr>
        <w:t>dverse</w:t>
      </w:r>
      <w:r w:rsidRPr="00AB1D87">
        <w:rPr>
          <w:rFonts w:eastAsia="TimesNewRomanPSMT"/>
        </w:rPr>
        <w:t xml:space="preserve"> </w:t>
      </w:r>
      <w:r w:rsidR="00F00888">
        <w:rPr>
          <w:rFonts w:eastAsia="TimesNewRomanPSMT"/>
        </w:rPr>
        <w:t>e</w:t>
      </w:r>
      <w:r w:rsidRPr="00AB1D87">
        <w:rPr>
          <w:rFonts w:eastAsia="TimesNewRomanPSMT"/>
        </w:rPr>
        <w:t>vents</w:t>
      </w:r>
    </w:p>
    <w:p w14:paraId="3E391E0E" w14:textId="4E4FD421" w:rsidR="00E237B8" w:rsidRPr="00AB1D87" w:rsidRDefault="00E237B8" w:rsidP="00E237B8">
      <w:r w:rsidRPr="00AB1D87">
        <w:t xml:space="preserve">In the </w:t>
      </w:r>
      <w:proofErr w:type="spellStart"/>
      <w:r w:rsidR="00F00888">
        <w:t>Spikevax</w:t>
      </w:r>
      <w:proofErr w:type="spellEnd"/>
      <w:r w:rsidR="00F00888">
        <w:t xml:space="preserve"> bivalent </w:t>
      </w:r>
      <w:r w:rsidR="00834D40">
        <w:t xml:space="preserve">Original/Omicron </w:t>
      </w:r>
      <w:r w:rsidR="001405D9">
        <w:t>BA.4-5</w:t>
      </w:r>
      <w:r w:rsidR="00834D40">
        <w:t xml:space="preserve"> vaccine </w:t>
      </w:r>
      <w:r w:rsidR="00F00888">
        <w:t>(</w:t>
      </w:r>
      <w:proofErr w:type="spellStart"/>
      <w:r w:rsidR="00F00888">
        <w:t>elasomeran</w:t>
      </w:r>
      <w:proofErr w:type="spellEnd"/>
      <w:r w:rsidR="00F00888">
        <w:t xml:space="preserve"> and </w:t>
      </w:r>
      <w:proofErr w:type="spellStart"/>
      <w:r w:rsidR="00F00888">
        <w:t>davesomeran</w:t>
      </w:r>
      <w:proofErr w:type="spellEnd"/>
      <w:r w:rsidR="00F00888">
        <w:t xml:space="preserve">) </w:t>
      </w:r>
      <w:r w:rsidR="00834D40">
        <w:t xml:space="preserve">at 50 µg </w:t>
      </w:r>
      <w:r w:rsidRPr="00AB1D87">
        <w:t xml:space="preserve">booster dose group (Part H) within 28 days after vaccination </w:t>
      </w:r>
      <w:r w:rsidR="00834D40">
        <w:t>three</w:t>
      </w:r>
      <w:r w:rsidRPr="00AB1D87">
        <w:t xml:space="preserve"> participants (0.6%) had </w:t>
      </w:r>
      <w:r w:rsidR="00834D40">
        <w:t>four</w:t>
      </w:r>
      <w:r w:rsidRPr="00AB1D87">
        <w:t xml:space="preserve"> SAEs, and all were assessed by the </w:t>
      </w:r>
      <w:r w:rsidR="00834D40">
        <w:t>i</w:t>
      </w:r>
      <w:r w:rsidRPr="00AB1D87">
        <w:t xml:space="preserve">nvestigator as not related to study vaccination. One SAE (0.2%) had a fatal outcome (subarachnoid haemorrhage), and the remaining </w:t>
      </w:r>
      <w:r w:rsidR="00834D40">
        <w:t>three</w:t>
      </w:r>
      <w:r w:rsidRPr="00AB1D87">
        <w:t xml:space="preserve"> SAEs were reported in </w:t>
      </w:r>
      <w:r w:rsidR="00834D40">
        <w:t>two</w:t>
      </w:r>
      <w:r w:rsidRPr="00AB1D87">
        <w:t xml:space="preserve"> participants (one participant had SAEs of anginal equivalent and syncope, and one participant had an SAE of anaemia). After the data </w:t>
      </w:r>
      <w:proofErr w:type="spellStart"/>
      <w:r w:rsidR="001405D9">
        <w:t>cut off</w:t>
      </w:r>
      <w:proofErr w:type="spellEnd"/>
      <w:r w:rsidRPr="00AB1D87">
        <w:t xml:space="preserve"> date (23 September 2022), there was an additional fatal event (death of unknown cause) which occurred on Study Day 40. MAAEs were reported for 70</w:t>
      </w:r>
      <w:r w:rsidR="00E22B2C">
        <w:t xml:space="preserve"> out of </w:t>
      </w:r>
      <w:r w:rsidRPr="00AB1D87">
        <w:t xml:space="preserve">511 participants (13.7%), and all were assessed by the </w:t>
      </w:r>
      <w:r w:rsidR="00E22B2C">
        <w:t>i</w:t>
      </w:r>
      <w:r w:rsidRPr="00AB1D87">
        <w:t xml:space="preserve">nvestigator as not related to study vaccination. No participants had </w:t>
      </w:r>
      <w:r w:rsidR="00E22B2C" w:rsidRPr="00E22B2C">
        <w:t>treatment</w:t>
      </w:r>
      <w:r w:rsidR="00E22B2C">
        <w:t xml:space="preserve"> </w:t>
      </w:r>
      <w:r w:rsidR="00E22B2C" w:rsidRPr="00E22B2C">
        <w:t xml:space="preserve">emergent </w:t>
      </w:r>
      <w:r w:rsidR="00E22B2C">
        <w:t>adverse events (</w:t>
      </w:r>
      <w:r w:rsidRPr="00AB1D87">
        <w:t>TEAE</w:t>
      </w:r>
      <w:r w:rsidR="00E22B2C">
        <w:t>s)</w:t>
      </w:r>
      <w:r w:rsidRPr="00AB1D87">
        <w:t xml:space="preserve"> leading to study or vaccine discontinuation.</w:t>
      </w:r>
    </w:p>
    <w:p w14:paraId="3042C838" w14:textId="6873900C" w:rsidR="00E237B8" w:rsidRPr="00AB1D87" w:rsidRDefault="00E237B8" w:rsidP="00E237B8">
      <w:r w:rsidRPr="00AB1D87">
        <w:t xml:space="preserve">Unsolicited TEAEs within 28 days after the </w:t>
      </w:r>
      <w:r w:rsidR="00E22B2C">
        <w:t xml:space="preserve">Original/Omicron </w:t>
      </w:r>
      <w:r w:rsidR="001405D9">
        <w:t>BA.4-5</w:t>
      </w:r>
      <w:r w:rsidR="00E22B2C">
        <w:t xml:space="preserve"> vaccine at 50 µg </w:t>
      </w:r>
      <w:r w:rsidRPr="00AB1D87">
        <w:t>booster dose (Part H), regardless of relationship to study vaccination as assessed by investigators, were reported for 116</w:t>
      </w:r>
      <w:r w:rsidR="00E22B2C">
        <w:t xml:space="preserve"> out of </w:t>
      </w:r>
      <w:r w:rsidRPr="00AB1D87">
        <w:t>511 participants (22.7%)</w:t>
      </w:r>
      <w:r w:rsidR="00362289">
        <w:t xml:space="preserve"> (see </w:t>
      </w:r>
      <w:r w:rsidR="00362289">
        <w:fldChar w:fldCharType="begin"/>
      </w:r>
      <w:r w:rsidR="00362289">
        <w:instrText xml:space="preserve"> REF _Ref126922489 \h </w:instrText>
      </w:r>
      <w:r w:rsidR="00362289">
        <w:fldChar w:fldCharType="separate"/>
      </w:r>
      <w:r w:rsidR="00AA4DFB" w:rsidRPr="00E22B2C">
        <w:t xml:space="preserve">Table </w:t>
      </w:r>
      <w:r w:rsidR="00AA4DFB">
        <w:rPr>
          <w:noProof/>
        </w:rPr>
        <w:t>16</w:t>
      </w:r>
      <w:r w:rsidR="00362289">
        <w:fldChar w:fldCharType="end"/>
      </w:r>
      <w:r w:rsidR="00362289">
        <w:t>)</w:t>
      </w:r>
      <w:r w:rsidRPr="00AB1D87">
        <w:t>.</w:t>
      </w:r>
    </w:p>
    <w:p w14:paraId="0D07D614" w14:textId="297998E5" w:rsidR="00E237B8" w:rsidRPr="00AB1D87" w:rsidRDefault="00E237B8" w:rsidP="00E237B8">
      <w:r w:rsidRPr="00AB1D87">
        <w:t xml:space="preserve">The most commonly reported unsolicited TEAEs, regardless of relatedness, within 28 days after the </w:t>
      </w:r>
      <w:r w:rsidR="00E22B2C">
        <w:t xml:space="preserve">Original/Omicron </w:t>
      </w:r>
      <w:r w:rsidR="001405D9">
        <w:t>BA.4-5</w:t>
      </w:r>
      <w:r w:rsidR="00E22B2C">
        <w:t xml:space="preserve"> vaccine at 50 µg </w:t>
      </w:r>
      <w:r w:rsidRPr="00AB1D87">
        <w:t>booster dose (Part H) were fatigue (22</w:t>
      </w:r>
      <w:r w:rsidR="00E22B2C">
        <w:t xml:space="preserve"> out of </w:t>
      </w:r>
      <w:r w:rsidRPr="00AB1D87">
        <w:t xml:space="preserve">511 </w:t>
      </w:r>
      <w:r w:rsidR="00F00888">
        <w:t>(</w:t>
      </w:r>
      <w:r w:rsidRPr="00AB1D87">
        <w:t>4.3%</w:t>
      </w:r>
      <w:r w:rsidR="00F00888">
        <w:t>)</w:t>
      </w:r>
      <w:r w:rsidRPr="00AB1D87">
        <w:t>); headache (15</w:t>
      </w:r>
      <w:r w:rsidR="00E22B2C">
        <w:t xml:space="preserve"> out of </w:t>
      </w:r>
      <w:r w:rsidRPr="00AB1D87">
        <w:t xml:space="preserve">511 </w:t>
      </w:r>
      <w:r w:rsidR="00F00888">
        <w:t>(</w:t>
      </w:r>
      <w:r w:rsidRPr="00AB1D87">
        <w:t>2.9%</w:t>
      </w:r>
      <w:r w:rsidR="00F00888">
        <w:t>)</w:t>
      </w:r>
      <w:r w:rsidRPr="00AB1D87">
        <w:t>); COVID-19 (11</w:t>
      </w:r>
      <w:r w:rsidR="00E22B2C">
        <w:t xml:space="preserve"> out of </w:t>
      </w:r>
      <w:r w:rsidRPr="00AB1D87">
        <w:t xml:space="preserve">511 </w:t>
      </w:r>
      <w:r w:rsidR="00F00888">
        <w:t>(</w:t>
      </w:r>
      <w:r w:rsidRPr="00AB1D87">
        <w:t>2.2%</w:t>
      </w:r>
      <w:r w:rsidR="00F00888">
        <w:t>)</w:t>
      </w:r>
      <w:r w:rsidRPr="00AB1D87">
        <w:t>); rhinovirus infection, upper respiratory tract infection (7</w:t>
      </w:r>
      <w:r w:rsidR="00E22B2C">
        <w:t xml:space="preserve"> out of </w:t>
      </w:r>
      <w:r w:rsidRPr="00AB1D87">
        <w:t xml:space="preserve">511 </w:t>
      </w:r>
      <w:r w:rsidR="00F00888">
        <w:t>(</w:t>
      </w:r>
      <w:r w:rsidRPr="00AB1D87">
        <w:t>1.4%</w:t>
      </w:r>
      <w:r w:rsidR="00F00888">
        <w:t>)</w:t>
      </w:r>
      <w:r w:rsidRPr="00AB1D87">
        <w:t xml:space="preserve"> each); arthralgia, myalgia, and urinary tract infection (5</w:t>
      </w:r>
      <w:r w:rsidR="00E22B2C">
        <w:t xml:space="preserve"> out of </w:t>
      </w:r>
      <w:r w:rsidRPr="00AB1D87">
        <w:t xml:space="preserve">511 </w:t>
      </w:r>
      <w:r w:rsidR="00F00888">
        <w:t>(</w:t>
      </w:r>
      <w:r w:rsidRPr="00AB1D87">
        <w:t>1.0%</w:t>
      </w:r>
      <w:r w:rsidR="00F00888">
        <w:t>)</w:t>
      </w:r>
      <w:r w:rsidRPr="00AB1D87">
        <w:t xml:space="preserve"> each). All other unsolicited TEAEs in the </w:t>
      </w:r>
      <w:proofErr w:type="spellStart"/>
      <w:r w:rsidR="00F00888">
        <w:t>Spikevax</w:t>
      </w:r>
      <w:proofErr w:type="spellEnd"/>
      <w:r w:rsidR="00F00888">
        <w:t xml:space="preserve"> </w:t>
      </w:r>
      <w:r w:rsidR="00E22B2C">
        <w:t xml:space="preserve">Original/Omicron </w:t>
      </w:r>
      <w:r w:rsidR="001405D9">
        <w:t>BA.4-5</w:t>
      </w:r>
      <w:r w:rsidR="00E22B2C">
        <w:t xml:space="preserve"> vaccine at 50 µg </w:t>
      </w:r>
      <w:r w:rsidRPr="00AB1D87">
        <w:t xml:space="preserve">booster dose group were reported in </w:t>
      </w:r>
      <w:r w:rsidR="00E22B2C">
        <w:t>greater than</w:t>
      </w:r>
      <w:r w:rsidRPr="00AB1D87">
        <w:t xml:space="preserve"> 1% of participants</w:t>
      </w:r>
      <w:r w:rsidR="00362289">
        <w:t xml:space="preserve"> (see </w:t>
      </w:r>
      <w:r w:rsidR="00362289">
        <w:fldChar w:fldCharType="begin"/>
      </w:r>
      <w:r w:rsidR="00362289">
        <w:instrText xml:space="preserve"> REF _Ref126922489 \h </w:instrText>
      </w:r>
      <w:r w:rsidR="00362289">
        <w:fldChar w:fldCharType="separate"/>
      </w:r>
      <w:r w:rsidR="00AA4DFB" w:rsidRPr="00E22B2C">
        <w:t xml:space="preserve">Table </w:t>
      </w:r>
      <w:r w:rsidR="00AA4DFB">
        <w:rPr>
          <w:noProof/>
        </w:rPr>
        <w:t>16</w:t>
      </w:r>
      <w:r w:rsidR="00362289">
        <w:fldChar w:fldCharType="end"/>
      </w:r>
      <w:r w:rsidR="00362289">
        <w:t>)</w:t>
      </w:r>
      <w:r w:rsidRPr="00AB1D87">
        <w:t>.</w:t>
      </w:r>
    </w:p>
    <w:p w14:paraId="1469BB30" w14:textId="54DD47A1" w:rsidR="00E237B8" w:rsidRDefault="00E22B2C" w:rsidP="00E22B2C">
      <w:pPr>
        <w:pStyle w:val="TableTitle"/>
      </w:pPr>
      <w:bookmarkStart w:id="52" w:name="_Ref126922489"/>
      <w:r w:rsidRPr="00E22B2C">
        <w:lastRenderedPageBreak/>
        <w:t xml:space="preserve">Table </w:t>
      </w:r>
      <w:fldSimple w:instr=" SEQ Table \* ARABIC ">
        <w:r w:rsidR="00AA4DFB">
          <w:rPr>
            <w:noProof/>
          </w:rPr>
          <w:t>16</w:t>
        </w:r>
      </w:fldSimple>
      <w:bookmarkEnd w:id="52"/>
      <w:r>
        <w:t xml:space="preserve">: </w:t>
      </w:r>
      <w:r w:rsidR="00F00888">
        <w:t xml:space="preserve">Study P205 Part H </w:t>
      </w:r>
      <w:r w:rsidRPr="00E22B2C">
        <w:t xml:space="preserve">Summary of </w:t>
      </w:r>
      <w:r>
        <w:t>u</w:t>
      </w:r>
      <w:r w:rsidRPr="00E22B2C">
        <w:t>nsolicited treatment</w:t>
      </w:r>
      <w:r>
        <w:t xml:space="preserve"> </w:t>
      </w:r>
      <w:r w:rsidRPr="00E22B2C">
        <w:t xml:space="preserve">emergent </w:t>
      </w:r>
      <w:r>
        <w:t>adverse events</w:t>
      </w:r>
      <w:r w:rsidRPr="00E22B2C">
        <w:t xml:space="preserve"> up to 28 Days </w:t>
      </w:r>
      <w:r>
        <w:t>a</w:t>
      </w:r>
      <w:r w:rsidRPr="00E22B2C">
        <w:t xml:space="preserve">fter the </w:t>
      </w:r>
      <w:r>
        <w:t>i</w:t>
      </w:r>
      <w:r w:rsidRPr="00E22B2C">
        <w:t>njection</w:t>
      </w:r>
      <w:r>
        <w:t xml:space="preserve"> of second</w:t>
      </w:r>
      <w:r w:rsidRPr="00E22B2C">
        <w:t xml:space="preserve"> </w:t>
      </w:r>
      <w:r>
        <w:t>b</w:t>
      </w:r>
      <w:r w:rsidRPr="00E22B2C">
        <w:t xml:space="preserve">ooster </w:t>
      </w:r>
      <w:r>
        <w:t>d</w:t>
      </w:r>
      <w:r w:rsidRPr="00E22B2C">
        <w:t>ose</w:t>
      </w:r>
      <w:r>
        <w:t xml:space="preserve"> of</w:t>
      </w:r>
      <w:r w:rsidRPr="00E22B2C">
        <w:t xml:space="preserve"> </w:t>
      </w:r>
      <w:proofErr w:type="spellStart"/>
      <w:r w:rsidR="00F00888">
        <w:t>Spikevax</w:t>
      </w:r>
      <w:proofErr w:type="spellEnd"/>
      <w:r w:rsidR="00F00888">
        <w:t xml:space="preserve"> bivalent </w:t>
      </w:r>
      <w:r>
        <w:t xml:space="preserve">Original/Omicron </w:t>
      </w:r>
      <w:r w:rsidR="001405D9">
        <w:t>BA.4-5</w:t>
      </w:r>
      <w:r>
        <w:t xml:space="preserve"> vaccine</w:t>
      </w:r>
      <w:r w:rsidRPr="00E22B2C">
        <w:t xml:space="preserve"> (</w:t>
      </w:r>
      <w:r>
        <w:t>s</w:t>
      </w:r>
      <w:r w:rsidRPr="00E22B2C">
        <w:t xml:space="preserve">afety </w:t>
      </w:r>
      <w:r>
        <w:t>s</w:t>
      </w:r>
      <w:r w:rsidRPr="00E22B2C">
        <w:t>et)</w:t>
      </w:r>
    </w:p>
    <w:p w14:paraId="166E6053" w14:textId="03725A08" w:rsidR="00E22B2C" w:rsidRDefault="00E22B2C" w:rsidP="00E22B2C">
      <w:r>
        <w:rPr>
          <w:noProof/>
          <w:lang w:val="en-GB" w:eastAsia="en-GB"/>
        </w:rPr>
        <w:drawing>
          <wp:inline distT="0" distB="0" distL="0" distR="0" wp14:anchorId="3FCE6AA9" wp14:editId="66D0C533">
            <wp:extent cx="4415051" cy="3396900"/>
            <wp:effectExtent l="0" t="0" r="5080" b="0"/>
            <wp:docPr id="9" name="Picture 9" descr="Summary of unsolicited treatment emergent adverse events up to 28 Days after the injection of second booster dose of Original/Omicron BA.4 - 5 vaccin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ummary of unsolicited treatment emergent adverse events up to 28 Days after the injection of second booster dose of Original/Omicron BA.4 - 5 vaccine (safety set)"/>
                    <pic:cNvPicPr/>
                  </pic:nvPicPr>
                  <pic:blipFill rotWithShape="1">
                    <a:blip r:embed="rId39"/>
                    <a:srcRect l="11362" r="9098" b="17853"/>
                    <a:stretch/>
                  </pic:blipFill>
                  <pic:spPr bwMode="auto">
                    <a:xfrm>
                      <a:off x="0" y="0"/>
                      <a:ext cx="4435346" cy="3412515"/>
                    </a:xfrm>
                    <a:prstGeom prst="rect">
                      <a:avLst/>
                    </a:prstGeom>
                    <a:ln>
                      <a:noFill/>
                    </a:ln>
                    <a:extLst>
                      <a:ext uri="{53640926-AAD7-44D8-BBD7-CCE9431645EC}">
                        <a14:shadowObscured xmlns:a14="http://schemas.microsoft.com/office/drawing/2010/main"/>
                      </a:ext>
                    </a:extLst>
                  </pic:spPr>
                </pic:pic>
              </a:graphicData>
            </a:graphic>
          </wp:inline>
        </w:drawing>
      </w:r>
    </w:p>
    <w:p w14:paraId="54F485B9" w14:textId="0FB56A0C" w:rsidR="00E22B2C" w:rsidRDefault="00E22B2C" w:rsidP="00E22B2C">
      <w:pPr>
        <w:pStyle w:val="TableDescription"/>
      </w:pPr>
      <w:r>
        <w:t xml:space="preserve">Abbreviation: SAE = serious adverse event; </w:t>
      </w:r>
      <w:r w:rsidR="00F00888">
        <w:t xml:space="preserve">mRNA-1273.222 = </w:t>
      </w:r>
      <w:proofErr w:type="spellStart"/>
      <w:r w:rsidR="00F00888">
        <w:t>Spikevax</w:t>
      </w:r>
      <w:proofErr w:type="spellEnd"/>
      <w:r w:rsidR="00F00888">
        <w:t xml:space="preserve"> Bivalent Original/Omicron BA.4-5 COVID-19 vaccine (</w:t>
      </w:r>
      <w:proofErr w:type="spellStart"/>
      <w:r w:rsidR="00F00888">
        <w:t>elasomeran</w:t>
      </w:r>
      <w:proofErr w:type="spellEnd"/>
      <w:r w:rsidR="00F00888">
        <w:t xml:space="preserve"> and </w:t>
      </w:r>
      <w:proofErr w:type="spellStart"/>
      <w:r w:rsidR="00F00888">
        <w:t>davesomeran</w:t>
      </w:r>
      <w:proofErr w:type="spellEnd"/>
      <w:r w:rsidR="00F00888">
        <w:t xml:space="preserve">); </w:t>
      </w:r>
      <w:r>
        <w:t>TEAE = treatment emergent adverse event.</w:t>
      </w:r>
    </w:p>
    <w:p w14:paraId="44FBC72B" w14:textId="5C6B1A70" w:rsidR="00E22B2C" w:rsidRDefault="00E22B2C" w:rsidP="00E22B2C">
      <w:pPr>
        <w:pStyle w:val="TableDescription"/>
      </w:pPr>
      <w:r>
        <w:t xml:space="preserve">A TEAE is defined as any event </w:t>
      </w:r>
      <w:proofErr w:type="gramStart"/>
      <w:r w:rsidR="00362289">
        <w:t>not present</w:t>
      </w:r>
      <w:proofErr w:type="gramEnd"/>
      <w:r>
        <w:t xml:space="preserve"> before exposure to study vaccination or any event already present that worsens in intensity or frequency after exposure. Percentages are based on the number of participants in the safety set.</w:t>
      </w:r>
    </w:p>
    <w:p w14:paraId="5A198287" w14:textId="13E22C0F" w:rsidR="00E22B2C" w:rsidRDefault="00E22B2C" w:rsidP="00E22B2C">
      <w:pPr>
        <w:pStyle w:val="TableDescription"/>
      </w:pPr>
      <w:r>
        <w:t>a Participants with at least one non-serious TEAE regardless of reporting any SAE or not.</w:t>
      </w:r>
    </w:p>
    <w:p w14:paraId="4AEAD3E1" w14:textId="4615BF9B" w:rsidR="00362289" w:rsidRDefault="00362289" w:rsidP="00362289">
      <w:r>
        <w:t xml:space="preserve">Unsolicited TEAEs considered related to vaccination by the investigator were reported in 40 out of 511 participants (7.8%), and most were consistent with symptoms or signs of reactogenicity: fatigue (22 out of 511 </w:t>
      </w:r>
      <w:r w:rsidR="00F00888">
        <w:t>(</w:t>
      </w:r>
      <w:r>
        <w:t>4.3%</w:t>
      </w:r>
      <w:r w:rsidR="00F00888">
        <w:t>)</w:t>
      </w:r>
      <w:r>
        <w:t xml:space="preserve">), headache (15 out of 511 </w:t>
      </w:r>
      <w:r w:rsidR="00F00888">
        <w:t>(</w:t>
      </w:r>
      <w:r>
        <w:t>2.9%</w:t>
      </w:r>
      <w:r w:rsidR="00F00888">
        <w:t>)</w:t>
      </w:r>
      <w:r>
        <w:t xml:space="preserve">), arthralgia and myalgia (5 out of 511 </w:t>
      </w:r>
      <w:r w:rsidR="00F00888">
        <w:t>(</w:t>
      </w:r>
      <w:r>
        <w:t>1.0%</w:t>
      </w:r>
      <w:r w:rsidR="00F00888">
        <w:t>)</w:t>
      </w:r>
      <w:r>
        <w:t xml:space="preserve"> each) were the most frequently reported. All other treatment related TEAEs were reported in greater than 1% of participants; these included injection site erythema (two </w:t>
      </w:r>
      <w:r w:rsidR="009233F7">
        <w:t>(</w:t>
      </w:r>
      <w:r>
        <w:t>0.6%</w:t>
      </w:r>
      <w:r w:rsidR="009233F7">
        <w:t>)</w:t>
      </w:r>
      <w:r>
        <w:t xml:space="preserve"> participants), injection site lymphadenopathy (three </w:t>
      </w:r>
      <w:r w:rsidR="009233F7">
        <w:t>(</w:t>
      </w:r>
      <w:r>
        <w:t>0.6%</w:t>
      </w:r>
      <w:r w:rsidR="009233F7">
        <w:t>)</w:t>
      </w:r>
      <w:r>
        <w:t xml:space="preserve"> participants), injection site pain and chills (two </w:t>
      </w:r>
      <w:r w:rsidR="009233F7">
        <w:t>(</w:t>
      </w:r>
      <w:r>
        <w:t>0.4%</w:t>
      </w:r>
      <w:r w:rsidR="009233F7">
        <w:t>)</w:t>
      </w:r>
      <w:r>
        <w:t xml:space="preserve"> participants), and injection site induration, injection site pruritus, dizziness, and vomiting, each reported in one participant. Time to onset for all vaccine related TEAEs was within nine days of the booster dose; in 36 of the 40 participants, onset was within seven days of the booster dose, and in four participants, onset was on Study Day 8. In one of those four participants headache was reported on Study Day 8 and axillary swelling was reported on Study Day 9, which was mild and resolved the same day. Two participants experienced severe TEAEs that were considered related to vaccination, and both were fatigue and were non-serious: a 48-year-old Hispanic female with baseline body mass index of 47 had severe fatigue that began on Study Day 2 and resolved on Study Day 28, and a 57-year-old White female had severe fatigue from Study Day 2 to Study Day 8. Neither event was medically attended</w:t>
      </w:r>
      <w:r w:rsidR="009233F7">
        <w:t>.</w:t>
      </w:r>
    </w:p>
    <w:p w14:paraId="2DCF47B7" w14:textId="5FE35147" w:rsidR="00362289" w:rsidRPr="00362289" w:rsidRDefault="00362289" w:rsidP="009138C5">
      <w:pPr>
        <w:pStyle w:val="Heading6"/>
        <w:rPr>
          <w:sz w:val="24"/>
          <w:szCs w:val="32"/>
        </w:rPr>
      </w:pPr>
      <w:r w:rsidRPr="00362289">
        <w:t>Deaths, other serious adverse events, and other unsolicited adverse events</w:t>
      </w:r>
    </w:p>
    <w:p w14:paraId="03FEFD51" w14:textId="53EFA290" w:rsidR="00362289" w:rsidRDefault="00362289" w:rsidP="00362289">
      <w:r>
        <w:t xml:space="preserve">At the time of the data cut off, one SAE with a fatal outcome was reported, </w:t>
      </w:r>
      <w:r w:rsidR="00071EA7">
        <w:t>s</w:t>
      </w:r>
      <w:r>
        <w:t xml:space="preserve">ubarachnoid haemorrhage. This report concerns a 70-year-old </w:t>
      </w:r>
      <w:r w:rsidR="00071EA7">
        <w:t>B</w:t>
      </w:r>
      <w:r>
        <w:t>lack male with a reported medical history of transient ischemic attack, long</w:t>
      </w:r>
      <w:r w:rsidR="00071EA7">
        <w:t xml:space="preserve"> </w:t>
      </w:r>
      <w:r>
        <w:t xml:space="preserve">standing </w:t>
      </w:r>
      <w:r w:rsidR="00763F89">
        <w:t>T</w:t>
      </w:r>
      <w:r>
        <w:t xml:space="preserve">ype 2 diabetes mellitus, atrial fibrillation, hypertension, hyperlipidaemia, and the concomitant use of clopidogrel </w:t>
      </w:r>
      <w:r>
        <w:lastRenderedPageBreak/>
        <w:t>(labelled for an increase in risk of bleeding and</w:t>
      </w:r>
      <w:r w:rsidR="009138C5" w:rsidRPr="009138C5">
        <w:t xml:space="preserve"> </w:t>
      </w:r>
      <w:r w:rsidR="009138C5">
        <w:t>t</w:t>
      </w:r>
      <w:r w:rsidR="009138C5" w:rsidRPr="009138C5">
        <w:t xml:space="preserve">hrombotic </w:t>
      </w:r>
      <w:r w:rsidR="009138C5">
        <w:t>t</w:t>
      </w:r>
      <w:r w:rsidR="009138C5" w:rsidRPr="009138C5">
        <w:t xml:space="preserve">hrombocytopenic </w:t>
      </w:r>
      <w:r w:rsidR="009138C5">
        <w:t>p</w:t>
      </w:r>
      <w:r w:rsidR="009138C5" w:rsidRPr="009138C5">
        <w:t>urpura</w:t>
      </w:r>
      <w:r>
        <w:t xml:space="preserve">); atorvastatin (labelled for </w:t>
      </w:r>
      <w:r w:rsidR="009138C5">
        <w:t xml:space="preserve">central nervous system </w:t>
      </w:r>
      <w:r>
        <w:t xml:space="preserve">toxicity including haemorrhagic stroke), among other medications, who developed subarachnoid haemorrhage </w:t>
      </w:r>
      <w:r w:rsidR="009138C5">
        <w:t>three</w:t>
      </w:r>
      <w:r>
        <w:t xml:space="preserve"> days after receipt of a booster vaccination. The </w:t>
      </w:r>
      <w:r w:rsidR="009138C5">
        <w:t>i</w:t>
      </w:r>
      <w:r>
        <w:t>nvestigator assessed the fatal event of subarachnoid haemorrhage as not related to vaccination and more likely due to underlying disease.</w:t>
      </w:r>
    </w:p>
    <w:p w14:paraId="6848CAFD" w14:textId="517198A0" w:rsidR="00362289" w:rsidRDefault="00362289" w:rsidP="00362289">
      <w:r>
        <w:t xml:space="preserve">After the data </w:t>
      </w:r>
      <w:r w:rsidR="00767F8E">
        <w:t>cut-off</w:t>
      </w:r>
      <w:r>
        <w:t xml:space="preserve"> date, one SAE with a fatal outcome was reported, </w:t>
      </w:r>
      <w:r w:rsidR="009138C5">
        <w:t>d</w:t>
      </w:r>
      <w:r>
        <w:t xml:space="preserve">eath (unknown cause). A 68-year-old White female with a medical history including depression, anxiety, </w:t>
      </w:r>
      <w:r w:rsidR="009138C5">
        <w:t>b</w:t>
      </w:r>
      <w:r>
        <w:t xml:space="preserve">ipolar II disorder, drug and alcohol addiction, hypercholesterolemia, obesity, rheumatoid arthritis, </w:t>
      </w:r>
      <w:proofErr w:type="gramStart"/>
      <w:r>
        <w:t>neuralgia</w:t>
      </w:r>
      <w:proofErr w:type="gramEnd"/>
      <w:r>
        <w:t xml:space="preserve"> and insomnia, received </w:t>
      </w:r>
      <w:r w:rsidR="009138C5">
        <w:t xml:space="preserve">50 µg </w:t>
      </w:r>
      <w:proofErr w:type="spellStart"/>
      <w:r w:rsidR="009233F7">
        <w:t>Spikevax</w:t>
      </w:r>
      <w:proofErr w:type="spellEnd"/>
      <w:r w:rsidR="009233F7">
        <w:t xml:space="preserve"> bivalent </w:t>
      </w:r>
      <w:r w:rsidR="009138C5">
        <w:t xml:space="preserve">Original/Omicron </w:t>
      </w:r>
      <w:r w:rsidR="001405D9">
        <w:t>BA.4-5</w:t>
      </w:r>
      <w:r w:rsidR="009138C5">
        <w:t xml:space="preserve"> vaccine </w:t>
      </w:r>
      <w:r w:rsidR="009233F7">
        <w:t>(</w:t>
      </w:r>
      <w:proofErr w:type="spellStart"/>
      <w:r w:rsidR="009233F7">
        <w:t>elasomeran</w:t>
      </w:r>
      <w:proofErr w:type="spellEnd"/>
      <w:r w:rsidR="009233F7">
        <w:t xml:space="preserve"> and </w:t>
      </w:r>
      <w:proofErr w:type="spellStart"/>
      <w:r w:rsidR="009233F7">
        <w:t>davesomeran</w:t>
      </w:r>
      <w:proofErr w:type="spellEnd"/>
      <w:r w:rsidR="009233F7">
        <w:t xml:space="preserve">) </w:t>
      </w:r>
      <w:r>
        <w:t xml:space="preserve">on Study Day 1 and on Study Day 40 the participant died due to an unknown cause. The </w:t>
      </w:r>
      <w:r w:rsidR="009138C5">
        <w:t>i</w:t>
      </w:r>
      <w:r>
        <w:t xml:space="preserve">nvestigator assessed the death as not related to vaccination (and the </w:t>
      </w:r>
      <w:r w:rsidR="009138C5">
        <w:t>s</w:t>
      </w:r>
      <w:r>
        <w:t>ponsor agreed with this assessment) based on available information and considering the time to onset and underlying illnesses.</w:t>
      </w:r>
    </w:p>
    <w:p w14:paraId="4BA03F73" w14:textId="04A5F681" w:rsidR="00362289" w:rsidRDefault="00362289" w:rsidP="009138C5">
      <w:pPr>
        <w:pStyle w:val="Heading6"/>
      </w:pPr>
      <w:r>
        <w:t xml:space="preserve">Other </w:t>
      </w:r>
      <w:r w:rsidR="009138C5">
        <w:t>s</w:t>
      </w:r>
      <w:r>
        <w:t xml:space="preserve">erious </w:t>
      </w:r>
      <w:r w:rsidR="009138C5">
        <w:t>a</w:t>
      </w:r>
      <w:r>
        <w:t xml:space="preserve">dverse </w:t>
      </w:r>
      <w:r w:rsidR="009138C5">
        <w:t>e</w:t>
      </w:r>
      <w:r>
        <w:t>vents</w:t>
      </w:r>
    </w:p>
    <w:p w14:paraId="5DAEFC10" w14:textId="77777777" w:rsidR="00362289" w:rsidRDefault="00362289" w:rsidP="00362289">
      <w:r>
        <w:t>In Study P205 Part H, SAEs were infrequent, and all were assessed by the investigator as unrelated to the booster dose. No new safety concerns were identified based on analysis of these SAEs.</w:t>
      </w:r>
    </w:p>
    <w:p w14:paraId="66C0E81B" w14:textId="242ED2EF" w:rsidR="00362289" w:rsidRDefault="00362289" w:rsidP="00362289">
      <w:r>
        <w:t>As of the data cut off, four SAEs in three participants were reported. One SAE was associated with a fatal outcome and described above. None of the SAEs were considered related to the vaccine booster.</w:t>
      </w:r>
    </w:p>
    <w:p w14:paraId="4FF647FE" w14:textId="7B55E652" w:rsidR="009138C5" w:rsidRPr="0093476F" w:rsidRDefault="009138C5" w:rsidP="009138C5">
      <w:pPr>
        <w:pStyle w:val="TableTitle"/>
      </w:pPr>
      <w:bookmarkStart w:id="53" w:name="_Ref126927130"/>
      <w:r>
        <w:t xml:space="preserve">Table </w:t>
      </w:r>
      <w:fldSimple w:instr=" SEQ Table \* ARABIC ">
        <w:r w:rsidR="00AA4DFB">
          <w:rPr>
            <w:noProof/>
          </w:rPr>
          <w:t>17</w:t>
        </w:r>
      </w:fldSimple>
      <w:bookmarkEnd w:id="53"/>
      <w:r>
        <w:t xml:space="preserve">: </w:t>
      </w:r>
      <w:r w:rsidR="009233F7">
        <w:t xml:space="preserve">Study P205 Part H </w:t>
      </w:r>
      <w:r w:rsidRPr="0093476F">
        <w:t xml:space="preserve">Participant </w:t>
      </w:r>
      <w:r>
        <w:t>i</w:t>
      </w:r>
      <w:r w:rsidRPr="0093476F">
        <w:t xml:space="preserve">ncidence of </w:t>
      </w:r>
      <w:r>
        <w:t>s</w:t>
      </w:r>
      <w:r w:rsidRPr="0093476F">
        <w:t xml:space="preserve">erious </w:t>
      </w:r>
      <w:r>
        <w:t>treatment emergent adverse events</w:t>
      </w:r>
      <w:r w:rsidRPr="0093476F">
        <w:t xml:space="preserve"> by System Organ Class and Preferred Term up to the </w:t>
      </w:r>
      <w:r>
        <w:t>d</w:t>
      </w:r>
      <w:r w:rsidRPr="0093476F">
        <w:t xml:space="preserve">ata </w:t>
      </w:r>
      <w:proofErr w:type="spellStart"/>
      <w:r>
        <w:t>c</w:t>
      </w:r>
      <w:r w:rsidRPr="0093476F">
        <w:t>ut</w:t>
      </w:r>
      <w:r>
        <w:t xml:space="preserve"> </w:t>
      </w:r>
      <w:r w:rsidRPr="0093476F">
        <w:t>off</w:t>
      </w:r>
      <w:proofErr w:type="spellEnd"/>
      <w:r w:rsidRPr="0093476F">
        <w:t xml:space="preserve"> </w:t>
      </w:r>
      <w:r>
        <w:t>d</w:t>
      </w:r>
      <w:r w:rsidRPr="0093476F">
        <w:t>ate</w:t>
      </w:r>
      <w:r>
        <w:t>, second b</w:t>
      </w:r>
      <w:r w:rsidRPr="0093476F">
        <w:t xml:space="preserve">ooster </w:t>
      </w:r>
      <w:r>
        <w:t>d</w:t>
      </w:r>
      <w:r w:rsidRPr="0093476F">
        <w:t>ose</w:t>
      </w:r>
      <w:r>
        <w:t xml:space="preserve"> with </w:t>
      </w:r>
      <w:proofErr w:type="spellStart"/>
      <w:r w:rsidR="009233F7">
        <w:t>Spikevax</w:t>
      </w:r>
      <w:proofErr w:type="spellEnd"/>
      <w:r w:rsidR="009233F7">
        <w:t xml:space="preserve"> </w:t>
      </w:r>
      <w:r>
        <w:t xml:space="preserve">bivalent Original/Omicron </w:t>
      </w:r>
      <w:r w:rsidR="001405D9">
        <w:t>BA.4-5</w:t>
      </w:r>
      <w:r>
        <w:t xml:space="preserve"> vaccine</w:t>
      </w:r>
    </w:p>
    <w:p w14:paraId="335EE2D5" w14:textId="748349FA" w:rsidR="009138C5" w:rsidRDefault="009138C5" w:rsidP="009138C5">
      <w:pPr>
        <w:pStyle w:val="Caption"/>
      </w:pPr>
      <w:r>
        <w:rPr>
          <w:noProof/>
          <w:lang w:val="en-GB" w:eastAsia="en-GB"/>
        </w:rPr>
        <w:drawing>
          <wp:inline distT="0" distB="0" distL="0" distR="0" wp14:anchorId="1C02D155" wp14:editId="16CAA47A">
            <wp:extent cx="4743376" cy="2265045"/>
            <wp:effectExtent l="0" t="0" r="635" b="1905"/>
            <wp:docPr id="8" name="Picture 8" descr="Participant incidence of serious treatment emergent adverse events by System Organ Class and Preferred Term up to the data cut off date, second booster dose with bivalent Original/Omicron BA.4 - 5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rticipant incidence of serious treatment emergent adverse events by System Organ Class and Preferred Term up to the data cut off date, second booster dose with bivalent Original/Omicron BA.4 - 5 vaccine"/>
                    <pic:cNvPicPr/>
                  </pic:nvPicPr>
                  <pic:blipFill rotWithShape="1">
                    <a:blip r:embed="rId40"/>
                    <a:srcRect l="12135" b="19080"/>
                    <a:stretch/>
                  </pic:blipFill>
                  <pic:spPr bwMode="auto">
                    <a:xfrm>
                      <a:off x="0" y="0"/>
                      <a:ext cx="4744756" cy="2265704"/>
                    </a:xfrm>
                    <a:prstGeom prst="rect">
                      <a:avLst/>
                    </a:prstGeom>
                    <a:ln>
                      <a:noFill/>
                    </a:ln>
                    <a:extLst>
                      <a:ext uri="{53640926-AAD7-44D8-BBD7-CCE9431645EC}">
                        <a14:shadowObscured xmlns:a14="http://schemas.microsoft.com/office/drawing/2010/main"/>
                      </a:ext>
                    </a:extLst>
                  </pic:spPr>
                </pic:pic>
              </a:graphicData>
            </a:graphic>
          </wp:inline>
        </w:drawing>
      </w:r>
    </w:p>
    <w:p w14:paraId="6BB9F307" w14:textId="5CD9337E" w:rsidR="009138C5" w:rsidRDefault="009138C5" w:rsidP="009138C5">
      <w:pPr>
        <w:pStyle w:val="TableDescription"/>
      </w:pPr>
      <w:r>
        <w:t xml:space="preserve">Abbreviations: MedDRA = Medical Dictionary for Regulatory </w:t>
      </w:r>
      <w:r w:rsidR="00763F89">
        <w:t>Activities</w:t>
      </w:r>
      <w:r>
        <w:t xml:space="preserve">; </w:t>
      </w:r>
      <w:r w:rsidR="009233F7">
        <w:t xml:space="preserve">mRNA-1273.222 = </w:t>
      </w:r>
      <w:proofErr w:type="spellStart"/>
      <w:r w:rsidR="009233F7">
        <w:t>Spikevax</w:t>
      </w:r>
      <w:proofErr w:type="spellEnd"/>
      <w:r w:rsidR="009233F7">
        <w:t xml:space="preserve"> Bivalent Original/Omicron BA.4-5 COVID-19 vaccine (</w:t>
      </w:r>
      <w:proofErr w:type="spellStart"/>
      <w:r w:rsidR="009233F7">
        <w:t>elasomeran</w:t>
      </w:r>
      <w:proofErr w:type="spellEnd"/>
      <w:r w:rsidR="009233F7">
        <w:t xml:space="preserve"> and </w:t>
      </w:r>
      <w:proofErr w:type="spellStart"/>
      <w:r w:rsidR="009233F7">
        <w:t>davesomeran</w:t>
      </w:r>
      <w:proofErr w:type="spellEnd"/>
      <w:r w:rsidR="009233F7">
        <w:t xml:space="preserve">); </w:t>
      </w:r>
      <w:r>
        <w:t>TEAE = treatment emergent adverse event.</w:t>
      </w:r>
    </w:p>
    <w:p w14:paraId="4A734D71" w14:textId="02B22EB5" w:rsidR="009138C5" w:rsidRDefault="009138C5" w:rsidP="00733BE3">
      <w:pPr>
        <w:pStyle w:val="TableDescription"/>
      </w:pPr>
      <w:r>
        <w:t>A TEAE is defined as any event</w:t>
      </w:r>
      <w:r w:rsidR="00733BE3">
        <w:t xml:space="preserve"> </w:t>
      </w:r>
      <w:proofErr w:type="gramStart"/>
      <w:r w:rsidR="00733BE3">
        <w:t>not present</w:t>
      </w:r>
      <w:proofErr w:type="gramEnd"/>
      <w:r w:rsidR="00733BE3">
        <w:t xml:space="preserve"> before exposure to study vaccination or any event already present worsens in intensity or frequency after exposure. Percentages are based on the number of participants in the safety set.</w:t>
      </w:r>
    </w:p>
    <w:p w14:paraId="676EFA37" w14:textId="091ABCD0" w:rsidR="00733BE3" w:rsidRDefault="00733BE3" w:rsidP="00733BE3">
      <w:pPr>
        <w:pStyle w:val="Heading6"/>
      </w:pPr>
      <w:r>
        <w:t>Medically attended adverse events</w:t>
      </w:r>
    </w:p>
    <w:p w14:paraId="27820C97" w14:textId="353230D9" w:rsidR="00733BE3" w:rsidRDefault="00733BE3" w:rsidP="00733BE3">
      <w:r>
        <w:t>A m</w:t>
      </w:r>
      <w:r w:rsidRPr="00733BE3">
        <w:t>edically attended adverse event</w:t>
      </w:r>
      <w:r w:rsidR="00DE59D4">
        <w:t xml:space="preserve"> (MAAE)</w:t>
      </w:r>
      <w:r w:rsidR="00200352">
        <w:t xml:space="preserve"> </w:t>
      </w:r>
      <w:r>
        <w:t xml:space="preserve">is an AE that leads to an unscheduled visit to a health care professional. Per protocol, this included visits to a study site for unscheduled assessments (for example, abnormal laboratory </w:t>
      </w:r>
      <w:proofErr w:type="gramStart"/>
      <w:r>
        <w:t>follow</w:t>
      </w:r>
      <w:proofErr w:type="gramEnd"/>
      <w:r>
        <w:t xml:space="preserve"> up, and visits for COVID-19 surveillance) and/or visits to health care professionals external to the study site (for example, urgent care, primary care physician). All confirmed COVID-19 cases were to be recorded as MAAEs.</w:t>
      </w:r>
    </w:p>
    <w:p w14:paraId="4329B2F4" w14:textId="074F5C50" w:rsidR="00733BE3" w:rsidRDefault="00733BE3" w:rsidP="00733BE3">
      <w:r>
        <w:lastRenderedPageBreak/>
        <w:t>In the</w:t>
      </w:r>
      <w:r w:rsidR="00E74A73">
        <w:t xml:space="preserve"> </w:t>
      </w:r>
      <w:proofErr w:type="spellStart"/>
      <w:r w:rsidR="00E74A73">
        <w:t>Spikevax</w:t>
      </w:r>
      <w:proofErr w:type="spellEnd"/>
      <w:r>
        <w:t xml:space="preserve"> </w:t>
      </w:r>
      <w:r w:rsidR="00FD0DDD">
        <w:t>bivalent Original/Omicron BA.4</w:t>
      </w:r>
      <w:r w:rsidR="00767F8E">
        <w:t>-</w:t>
      </w:r>
      <w:r w:rsidR="00FD0DDD">
        <w:t xml:space="preserve">5 vaccine at </w:t>
      </w:r>
      <w:r>
        <w:t xml:space="preserve">50 </w:t>
      </w:r>
      <w:r w:rsidR="00FD0DDD">
        <w:t>µ</w:t>
      </w:r>
      <w:r>
        <w:t>g booster dose group (Part H) within 28 days after the booster dose, 70</w:t>
      </w:r>
      <w:r w:rsidR="00FD0DDD">
        <w:t xml:space="preserve"> out of </w:t>
      </w:r>
      <w:r>
        <w:t>511 participants (13.7%) had MAAEs (</w:t>
      </w:r>
      <w:r w:rsidR="00FD0DDD">
        <w:fldChar w:fldCharType="begin"/>
      </w:r>
      <w:r w:rsidR="00FD0DDD">
        <w:instrText xml:space="preserve"> REF _Ref126927130 \h </w:instrText>
      </w:r>
      <w:r w:rsidR="00FD0DDD">
        <w:fldChar w:fldCharType="separate"/>
      </w:r>
      <w:r w:rsidR="00AA4DFB">
        <w:t xml:space="preserve">Table </w:t>
      </w:r>
      <w:r w:rsidR="00AA4DFB">
        <w:rPr>
          <w:noProof/>
        </w:rPr>
        <w:t>17</w:t>
      </w:r>
      <w:r w:rsidR="00FD0DDD">
        <w:fldChar w:fldCharType="end"/>
      </w:r>
      <w:r>
        <w:t xml:space="preserve">). None of the MAAEs were considered related to vaccination by the </w:t>
      </w:r>
      <w:r w:rsidR="00FD0DDD">
        <w:t>i</w:t>
      </w:r>
      <w:r>
        <w:t xml:space="preserve">nvestigator. No safety concerns were identified for </w:t>
      </w:r>
      <w:r w:rsidR="00FD0DDD">
        <w:t xml:space="preserve">bivalent Original/Omicron BA.4 – 5 vaccine </w:t>
      </w:r>
      <w:r>
        <w:t>based on MAAEs.</w:t>
      </w:r>
    </w:p>
    <w:p w14:paraId="31C31A07" w14:textId="2738D818" w:rsidR="00733BE3" w:rsidRDefault="00733BE3" w:rsidP="00733BE3">
      <w:r>
        <w:t xml:space="preserve">No participants in the </w:t>
      </w:r>
      <w:r w:rsidR="00FD0DDD">
        <w:t>bivalent Original/Omicron BA.4</w:t>
      </w:r>
      <w:r w:rsidR="00767F8E">
        <w:t>-</w:t>
      </w:r>
      <w:r w:rsidR="00FD0DDD">
        <w:t>5 vaccine</w:t>
      </w:r>
      <w:r>
        <w:t xml:space="preserve"> group discontinued due to a TEAE (</w:t>
      </w:r>
      <w:r w:rsidR="00FD0DDD">
        <w:fldChar w:fldCharType="begin"/>
      </w:r>
      <w:r w:rsidR="00FD0DDD">
        <w:instrText xml:space="preserve"> REF _Ref126927130 \h </w:instrText>
      </w:r>
      <w:r w:rsidR="00FD0DDD">
        <w:fldChar w:fldCharType="separate"/>
      </w:r>
      <w:r w:rsidR="00AA4DFB">
        <w:t xml:space="preserve">Table </w:t>
      </w:r>
      <w:r w:rsidR="00AA4DFB">
        <w:rPr>
          <w:noProof/>
        </w:rPr>
        <w:t>17</w:t>
      </w:r>
      <w:r w:rsidR="00FD0DDD">
        <w:fldChar w:fldCharType="end"/>
      </w:r>
      <w:r>
        <w:t>).</w:t>
      </w:r>
    </w:p>
    <w:p w14:paraId="24CA3ACA" w14:textId="2B29B03D" w:rsidR="00733BE3" w:rsidRDefault="00733BE3" w:rsidP="00733BE3">
      <w:r>
        <w:t xml:space="preserve">In the </w:t>
      </w:r>
      <w:proofErr w:type="spellStart"/>
      <w:r w:rsidR="00DE59D4">
        <w:t>Spikevax</w:t>
      </w:r>
      <w:proofErr w:type="spellEnd"/>
      <w:r w:rsidR="00DE59D4">
        <w:t xml:space="preserve"> </w:t>
      </w:r>
      <w:r w:rsidR="00FD0DDD">
        <w:t>bivalent Original/Omicron BA.4</w:t>
      </w:r>
      <w:r w:rsidR="00767F8E">
        <w:t>-</w:t>
      </w:r>
      <w:r w:rsidR="00FD0DDD">
        <w:t xml:space="preserve">5 vaccine at </w:t>
      </w:r>
      <w:r>
        <w:t xml:space="preserve">50 </w:t>
      </w:r>
      <w:r w:rsidR="00FD0DDD">
        <w:t>µ</w:t>
      </w:r>
      <w:r>
        <w:t xml:space="preserve">g booster dose group (Part H) within 28 days after vaccination, no events were captured in the </w:t>
      </w:r>
      <w:r w:rsidR="00FD0DDD">
        <w:t>s</w:t>
      </w:r>
      <w:r w:rsidR="00FD0DDD" w:rsidRPr="00FD0DDD">
        <w:t xml:space="preserve">tandardised </w:t>
      </w:r>
      <w:r w:rsidR="00763F89">
        <w:t>Medical Dictionary for Regulatory Activities</w:t>
      </w:r>
      <w:r w:rsidR="00763F89" w:rsidRPr="00FD0DDD">
        <w:t xml:space="preserve"> </w:t>
      </w:r>
      <w:r w:rsidR="00763F89">
        <w:t>(</w:t>
      </w:r>
      <w:r w:rsidR="00FD0DDD" w:rsidRPr="00FD0DDD">
        <w:t>MedDRA</w:t>
      </w:r>
      <w:r w:rsidR="00763F89">
        <w:t>)</w:t>
      </w:r>
      <w:r w:rsidR="00FD0DDD" w:rsidRPr="00FD0DDD">
        <w:t xml:space="preserve"> </w:t>
      </w:r>
      <w:r w:rsidR="00FD0DDD">
        <w:t>q</w:t>
      </w:r>
      <w:r w:rsidR="00FD0DDD" w:rsidRPr="00FD0DDD">
        <w:t>ueries</w:t>
      </w:r>
      <w:r>
        <w:t xml:space="preserve"> (narrow and broad scope) for cardiac failure, embolic and thrombotic events, convulsions, demyelinating disease of central nervous system, thrombophlebitis, or vasculitis. No cases of myocarditis or pericarditis were reported.</w:t>
      </w:r>
    </w:p>
    <w:p w14:paraId="7D3E0C5B" w14:textId="795AD1D3" w:rsidR="00733BE3" w:rsidRDefault="00733BE3" w:rsidP="00733BE3">
      <w:r>
        <w:t xml:space="preserve">No pregnancies were reported in the </w:t>
      </w:r>
      <w:r w:rsidR="00FD0DDD">
        <w:t>bivalent Original/Omicron BA.4</w:t>
      </w:r>
      <w:r w:rsidR="00767F8E">
        <w:t>-</w:t>
      </w:r>
      <w:r w:rsidR="00FD0DDD">
        <w:t>5 vaccine at 50 µg</w:t>
      </w:r>
      <w:r>
        <w:t xml:space="preserve"> booster dose group as of the data </w:t>
      </w:r>
      <w:proofErr w:type="spellStart"/>
      <w:r>
        <w:t>cut</w:t>
      </w:r>
      <w:r w:rsidR="00FD0DDD">
        <w:t xml:space="preserve"> </w:t>
      </w:r>
      <w:r>
        <w:t>off</w:t>
      </w:r>
      <w:proofErr w:type="spellEnd"/>
      <w:r>
        <w:t xml:space="preserve"> date</w:t>
      </w:r>
    </w:p>
    <w:p w14:paraId="7D33C591" w14:textId="16BF4B24" w:rsidR="00733BE3" w:rsidRDefault="00733BE3" w:rsidP="00733BE3">
      <w:r>
        <w:t xml:space="preserve">No new safety concerns were identified in </w:t>
      </w:r>
      <w:r w:rsidR="00FD0DDD">
        <w:t xml:space="preserve">Study </w:t>
      </w:r>
      <w:r>
        <w:t>P205</w:t>
      </w:r>
      <w:r w:rsidR="00FD0DDD">
        <w:t xml:space="preserve"> </w:t>
      </w:r>
      <w:r>
        <w:t xml:space="preserve">Part H, based on the analysis of the </w:t>
      </w:r>
      <w:r w:rsidR="00FD0DDD">
        <w:t>d</w:t>
      </w:r>
      <w:r>
        <w:t xml:space="preserve">eaths, SAEs, and other unsolicited </w:t>
      </w:r>
      <w:r w:rsidR="00FD0DDD">
        <w:t>adverse reactions.</w:t>
      </w:r>
    </w:p>
    <w:p w14:paraId="20F7579F" w14:textId="09471A0C" w:rsidR="00733BE3" w:rsidRPr="00FD0DDD" w:rsidRDefault="00733BE3" w:rsidP="00FD0DDD">
      <w:pPr>
        <w:pStyle w:val="Heading5"/>
      </w:pPr>
      <w:r w:rsidRPr="00FD0DDD">
        <w:t>Study P205 Part G</w:t>
      </w:r>
      <w:r w:rsidR="00DE59D4">
        <w:t xml:space="preserve"> and Part F</w:t>
      </w:r>
    </w:p>
    <w:p w14:paraId="4BE92CF4" w14:textId="154FD2CB" w:rsidR="00733BE3" w:rsidRDefault="00733BE3" w:rsidP="00733BE3">
      <w:r>
        <w:t xml:space="preserve">Safety data was obtained from </w:t>
      </w:r>
      <w:r w:rsidR="00FD0DDD">
        <w:t xml:space="preserve">Study </w:t>
      </w:r>
      <w:r>
        <w:t xml:space="preserve">P205 Part G and </w:t>
      </w:r>
      <w:r w:rsidR="00FD0DDD">
        <w:t xml:space="preserve">Study </w:t>
      </w:r>
      <w:r>
        <w:t>P205 Part F, with a median follow</w:t>
      </w:r>
      <w:r w:rsidR="00FD0DDD">
        <w:t xml:space="preserve"> </w:t>
      </w:r>
      <w:r>
        <w:t xml:space="preserve">up duration of 43 days (range 22 to 51 days) for Part G and 57 days (range 51 to 66 days) for Part F. This involved collection of solicited local and systemic AEs during </w:t>
      </w:r>
      <w:r w:rsidR="00FD0DDD">
        <w:t xml:space="preserve">seven </w:t>
      </w:r>
      <w:r>
        <w:t>day follow</w:t>
      </w:r>
      <w:r w:rsidR="00FD0DDD">
        <w:t xml:space="preserve"> </w:t>
      </w:r>
      <w:r>
        <w:t xml:space="preserve">up period after vaccination, as well as unsolicited AEs </w:t>
      </w:r>
      <w:proofErr w:type="gramStart"/>
      <w:r>
        <w:t>during</w:t>
      </w:r>
      <w:proofErr w:type="gramEnd"/>
      <w:r>
        <w:t xml:space="preserve"> 28</w:t>
      </w:r>
      <w:r w:rsidR="00FD0DDD">
        <w:t xml:space="preserve"> </w:t>
      </w:r>
      <w:r>
        <w:t>day follow</w:t>
      </w:r>
      <w:r w:rsidR="00FD0DDD">
        <w:t xml:space="preserve"> </w:t>
      </w:r>
      <w:r>
        <w:t>up period after vaccination. SAEs, MAAEs, and AESIs were also collected until the data cut</w:t>
      </w:r>
      <w:r w:rsidR="00FD0DDD">
        <w:t xml:space="preserve"> </w:t>
      </w:r>
      <w:r>
        <w:t>off.</w:t>
      </w:r>
    </w:p>
    <w:p w14:paraId="4B6E5D57" w14:textId="2C30784D" w:rsidR="00733BE3" w:rsidRDefault="00733BE3" w:rsidP="00733BE3">
      <w:r>
        <w:t xml:space="preserve">The reactogenicity profile of </w:t>
      </w:r>
      <w:proofErr w:type="spellStart"/>
      <w:r w:rsidR="00DE59D4">
        <w:t>Spikevax</w:t>
      </w:r>
      <w:proofErr w:type="spellEnd"/>
      <w:r w:rsidR="00DE59D4">
        <w:t xml:space="preserve"> </w:t>
      </w:r>
      <w:r w:rsidR="00FD0DDD">
        <w:t xml:space="preserve">bivalent Original/Omicron BA.1 vaccine </w:t>
      </w:r>
      <w:r w:rsidR="00DE59D4">
        <w:t>(</w:t>
      </w:r>
      <w:proofErr w:type="spellStart"/>
      <w:r w:rsidR="00DE59D4">
        <w:t>elasomeran</w:t>
      </w:r>
      <w:proofErr w:type="spellEnd"/>
      <w:r w:rsidR="00DE59D4">
        <w:t xml:space="preserve"> and </w:t>
      </w:r>
      <w:proofErr w:type="spellStart"/>
      <w:r w:rsidR="00DE59D4">
        <w:t>imelasomeran</w:t>
      </w:r>
      <w:proofErr w:type="spellEnd"/>
      <w:r w:rsidR="00DE59D4">
        <w:t xml:space="preserve">) </w:t>
      </w:r>
      <w:r w:rsidR="00FD0DDD">
        <w:t xml:space="preserve">at 50 µg dose </w:t>
      </w:r>
      <w:r>
        <w:t xml:space="preserve">appeared </w:t>
      </w:r>
      <w:proofErr w:type="gramStart"/>
      <w:r>
        <w:t>similar to</w:t>
      </w:r>
      <w:proofErr w:type="gramEnd"/>
      <w:r>
        <w:t xml:space="preserve"> that of </w:t>
      </w:r>
      <w:r w:rsidR="00FD0DDD">
        <w:t xml:space="preserve">monovalent </w:t>
      </w:r>
      <w:proofErr w:type="spellStart"/>
      <w:r w:rsidR="00FD0DDD">
        <w:t>Spikevax</w:t>
      </w:r>
      <w:proofErr w:type="spellEnd"/>
      <w:r w:rsidR="00FD0DDD">
        <w:t xml:space="preserve"> at 50 µg dose</w:t>
      </w:r>
      <w:r>
        <w:t xml:space="preserve"> when administered as a second </w:t>
      </w:r>
      <w:r w:rsidR="00FD0DDD">
        <w:t>b</w:t>
      </w:r>
      <w:r>
        <w:t xml:space="preserve">ooster dose (median of 133 days after a first booster dose of 50 </w:t>
      </w:r>
      <w:r w:rsidR="00FD0DDD">
        <w:t>µ</w:t>
      </w:r>
      <w:r>
        <w:t xml:space="preserve">g </w:t>
      </w:r>
      <w:r w:rsidR="00FD0DDD">
        <w:t xml:space="preserve">of monovalent </w:t>
      </w:r>
      <w:proofErr w:type="spellStart"/>
      <w:r w:rsidR="00FD0DDD">
        <w:t>Spikevax</w:t>
      </w:r>
      <w:proofErr w:type="spellEnd"/>
      <w:r>
        <w:t xml:space="preserve">). The reactogenicity profile of </w:t>
      </w:r>
      <w:r w:rsidR="00FD0DDD">
        <w:t xml:space="preserve">bivalent Original/Omicron BA.1 vaccine at 50 µg </w:t>
      </w:r>
      <w:r>
        <w:t xml:space="preserve">was similar for participants with and without prior SARS-CoV-2 infection who received </w:t>
      </w:r>
      <w:r w:rsidR="00FD0DDD">
        <w:t xml:space="preserve">bivalent </w:t>
      </w:r>
      <w:proofErr w:type="spellStart"/>
      <w:r w:rsidR="00366A91">
        <w:t>Spikevax</w:t>
      </w:r>
      <w:proofErr w:type="spellEnd"/>
      <w:r w:rsidR="00366A91">
        <w:t xml:space="preserve"> </w:t>
      </w:r>
      <w:r w:rsidR="00DE59D4">
        <w:t>b</w:t>
      </w:r>
      <w:r w:rsidR="00366A91">
        <w:t xml:space="preserve">ivalent </w:t>
      </w:r>
      <w:r w:rsidR="00FD0DDD">
        <w:t>Original/Omicron BA.1 vaccine</w:t>
      </w:r>
      <w:r>
        <w:t>.</w:t>
      </w:r>
    </w:p>
    <w:p w14:paraId="63FF9E22" w14:textId="2B94D29F" w:rsidR="00733BE3" w:rsidRDefault="00733BE3" w:rsidP="00733BE3">
      <w:r>
        <w:t xml:space="preserve">Reactogenicity outcomes for </w:t>
      </w:r>
      <w:proofErr w:type="spellStart"/>
      <w:r w:rsidR="000971A6">
        <w:t>Spikevax</w:t>
      </w:r>
      <w:proofErr w:type="spellEnd"/>
      <w:r w:rsidR="000971A6">
        <w:t xml:space="preserve"> </w:t>
      </w:r>
      <w:r w:rsidR="00FD0DDD">
        <w:t xml:space="preserve">bivalent Original/Omicron BA.1 vaccine </w:t>
      </w:r>
      <w:r>
        <w:t xml:space="preserve">were comparable to those for the solicited safety set of </w:t>
      </w:r>
      <w:r w:rsidR="00FD0DDD">
        <w:t>S</w:t>
      </w:r>
      <w:r>
        <w:t xml:space="preserve">tudy P201 </w:t>
      </w:r>
      <w:r w:rsidR="00FD0DDD">
        <w:t>P</w:t>
      </w:r>
      <w:r>
        <w:t xml:space="preserve">art B which included 330 participants who received a 50 </w:t>
      </w:r>
      <w:r w:rsidR="00FD0DDD">
        <w:t>µ</w:t>
      </w:r>
      <w:r>
        <w:t xml:space="preserve">g first booster of </w:t>
      </w:r>
      <w:r w:rsidR="00FD0DDD">
        <w:t xml:space="preserve">monovalent </w:t>
      </w:r>
      <w:proofErr w:type="spellStart"/>
      <w:r w:rsidR="00FD0DDD">
        <w:t>Spikevax</w:t>
      </w:r>
      <w:proofErr w:type="spellEnd"/>
      <w:r>
        <w:t xml:space="preserve"> after </w:t>
      </w:r>
      <w:r w:rsidR="00FD0DDD">
        <w:t xml:space="preserve">the </w:t>
      </w:r>
      <w:r>
        <w:t xml:space="preserve">primary series. The sponsor claims that this would suggest that at the </w:t>
      </w:r>
      <w:proofErr w:type="gramStart"/>
      <w:r>
        <w:t xml:space="preserve">50 </w:t>
      </w:r>
      <w:r w:rsidR="00FD0DDD">
        <w:t>µ</w:t>
      </w:r>
      <w:r>
        <w:t>g</w:t>
      </w:r>
      <w:proofErr w:type="gramEnd"/>
      <w:r>
        <w:t xml:space="preserve"> dose, the reactogenicity profile of </w:t>
      </w:r>
      <w:proofErr w:type="spellStart"/>
      <w:r w:rsidR="00E74A73">
        <w:t>Spikevax</w:t>
      </w:r>
      <w:proofErr w:type="spellEnd"/>
      <w:r w:rsidR="00E74A73">
        <w:t xml:space="preserve"> </w:t>
      </w:r>
      <w:r w:rsidR="00FD0DDD">
        <w:t xml:space="preserve">bivalent Original/Omicron BA.1 vaccine </w:t>
      </w:r>
      <w:r>
        <w:t xml:space="preserve">when used as a second booster should be similar to the reactogenicity profile of </w:t>
      </w:r>
      <w:r w:rsidR="00FD0DDD">
        <w:t xml:space="preserve">monovalent </w:t>
      </w:r>
      <w:proofErr w:type="spellStart"/>
      <w:r w:rsidR="00FD0DDD">
        <w:t>Spikevax</w:t>
      </w:r>
      <w:proofErr w:type="spellEnd"/>
      <w:r>
        <w:t xml:space="preserve"> when used as a first or second booster, in individuals who received </w:t>
      </w:r>
      <w:r w:rsidR="00FD0DDD">
        <w:t xml:space="preserve">monovalent </w:t>
      </w:r>
      <w:proofErr w:type="spellStart"/>
      <w:r w:rsidR="00FD0DDD">
        <w:t>Spikevax</w:t>
      </w:r>
      <w:proofErr w:type="spellEnd"/>
      <w:r>
        <w:t xml:space="preserve"> as the primary series.</w:t>
      </w:r>
    </w:p>
    <w:p w14:paraId="60625BC9" w14:textId="1AC163D5" w:rsidR="00733BE3" w:rsidRDefault="00733BE3" w:rsidP="00733BE3">
      <w:r>
        <w:t>The solicited local and systemic AE</w:t>
      </w:r>
      <w:r w:rsidR="00DE59D4">
        <w:t>s</w:t>
      </w:r>
      <w:r>
        <w:t xml:space="preserve"> were similar between Part G and Part F. The most common solicited local AE was pain (77% in Part G), followed by axillary swelling or tenderness (17% in Part G). The most common systemic AE was fatigue (55% in Part G), followed by headache, myalgia, and arthralgia. The majority of solicited local and systemic AEs were Grade 1 followed by Grade 2. The median duration of local and systemic AEs was </w:t>
      </w:r>
      <w:r w:rsidR="00763F89">
        <w:t>two</w:t>
      </w:r>
      <w:r>
        <w:t xml:space="preserve"> days, and no Grade 4 local AE was reported in both Part</w:t>
      </w:r>
      <w:r w:rsidR="00FD0DDD">
        <w:t xml:space="preserve"> G and F</w:t>
      </w:r>
      <w:r>
        <w:t>.</w:t>
      </w:r>
    </w:p>
    <w:p w14:paraId="38681B44" w14:textId="77777777" w:rsidR="00733BE3" w:rsidRDefault="00733BE3" w:rsidP="00733BE3">
      <w:r>
        <w:t>Approximately 20% of participants experienced at least one TEAE. Those that were considered by the investigator to be related to vaccination (Part G, 5.7%) were generally consistent with reactogenicity (lymphadenopathy, arthralgia, myalgia, fatigue, and injection site reactions). The incidence of SAEs and severe TEAEs was low, and no SAEs were considered by the investigator to be related to vaccination.</w:t>
      </w:r>
    </w:p>
    <w:p w14:paraId="0CEAD31A" w14:textId="2D24B874" w:rsidR="00733BE3" w:rsidRDefault="00733BE3" w:rsidP="00733BE3">
      <w:r>
        <w:lastRenderedPageBreak/>
        <w:t xml:space="preserve">The sponsor had confirmed that review of potential </w:t>
      </w:r>
      <w:r w:rsidR="00555E75">
        <w:t>AESI</w:t>
      </w:r>
      <w:r>
        <w:t xml:space="preserve"> using </w:t>
      </w:r>
      <w:r w:rsidR="00555E75">
        <w:t>s</w:t>
      </w:r>
      <w:r>
        <w:t>tandard</w:t>
      </w:r>
      <w:r w:rsidR="004B0233">
        <w:t>is</w:t>
      </w:r>
      <w:r>
        <w:t xml:space="preserve">ed MedDRA </w:t>
      </w:r>
      <w:r w:rsidR="00555E75">
        <w:t>q</w:t>
      </w:r>
      <w:r>
        <w:t>uery (including cardiomyopathy, cardiac arrhythmia, and hypersensitivity) did not identify any new safety concerns. One event of tachycardia (in a 53</w:t>
      </w:r>
      <w:r w:rsidR="00555E75">
        <w:t xml:space="preserve"> </w:t>
      </w:r>
      <w:proofErr w:type="gramStart"/>
      <w:r w:rsidR="00555E75">
        <w:t>years</w:t>
      </w:r>
      <w:proofErr w:type="gramEnd"/>
      <w:r>
        <w:t xml:space="preserve"> old female) and one event of irregular heart rate (in a 71</w:t>
      </w:r>
      <w:r w:rsidR="00555E75">
        <w:t xml:space="preserve"> </w:t>
      </w:r>
      <w:r>
        <w:t>y</w:t>
      </w:r>
      <w:r w:rsidR="00555E75">
        <w:t>ea</w:t>
      </w:r>
      <w:r>
        <w:t>r</w:t>
      </w:r>
      <w:r w:rsidR="00555E75">
        <w:t>s</w:t>
      </w:r>
      <w:r>
        <w:t xml:space="preserve"> old male) ware not considered by the investigator to be related to vaccination.</w:t>
      </w:r>
    </w:p>
    <w:p w14:paraId="27B1464B" w14:textId="123E4D64" w:rsidR="00733BE3" w:rsidRDefault="00733BE3" w:rsidP="00733BE3">
      <w:r>
        <w:t>No cases of myocarditis or pericarditis were reported in</w:t>
      </w:r>
      <w:r w:rsidR="00E74A73" w:rsidRPr="00E74A73">
        <w:t xml:space="preserve"> </w:t>
      </w:r>
      <w:proofErr w:type="spellStart"/>
      <w:r w:rsidR="00E74A73">
        <w:t>Spikevax</w:t>
      </w:r>
      <w:proofErr w:type="spellEnd"/>
      <w:r>
        <w:t xml:space="preserve"> </w:t>
      </w:r>
      <w:r w:rsidR="00555E75">
        <w:t xml:space="preserve">bivalent Original/Omicron BA.1 vaccine </w:t>
      </w:r>
      <w:r w:rsidR="00E01B70">
        <w:t>(</w:t>
      </w:r>
      <w:proofErr w:type="spellStart"/>
      <w:r w:rsidR="00E01B70">
        <w:t>elasomeran</w:t>
      </w:r>
      <w:proofErr w:type="spellEnd"/>
      <w:r w:rsidR="00E01B70">
        <w:t xml:space="preserve"> and </w:t>
      </w:r>
      <w:proofErr w:type="spellStart"/>
      <w:r w:rsidR="00E01B70">
        <w:t>imelasomeran</w:t>
      </w:r>
      <w:proofErr w:type="spellEnd"/>
      <w:r w:rsidR="00E01B70">
        <w:t xml:space="preserve">) </w:t>
      </w:r>
      <w:r>
        <w:t xml:space="preserve">and </w:t>
      </w:r>
      <w:proofErr w:type="spellStart"/>
      <w:r w:rsidR="00E74A73">
        <w:t>Spikevax</w:t>
      </w:r>
      <w:proofErr w:type="spellEnd"/>
      <w:r w:rsidR="00E74A73">
        <w:t xml:space="preserve"> </w:t>
      </w:r>
      <w:r w:rsidR="00555E75">
        <w:t>bivalent Original/Beta vaccine</w:t>
      </w:r>
      <w:r w:rsidR="00E01B70">
        <w:t xml:space="preserve"> (</w:t>
      </w:r>
      <w:proofErr w:type="spellStart"/>
      <w:r w:rsidR="00E01B70">
        <w:t>elasomeran</w:t>
      </w:r>
      <w:proofErr w:type="spellEnd"/>
      <w:r w:rsidR="00E01B70">
        <w:t xml:space="preserve"> and a Beta-variant-targeted mRNA)</w:t>
      </w:r>
      <w:r>
        <w:t xml:space="preserve"> participants enrolled in </w:t>
      </w:r>
      <w:r w:rsidR="00555E75">
        <w:t>S</w:t>
      </w:r>
      <w:r>
        <w:t>tudy P205. The sponsor confirmed that an enhanced safety analysis has been performed to capture any unrecogni</w:t>
      </w:r>
      <w:r w:rsidR="00555E75">
        <w:t>s</w:t>
      </w:r>
      <w:r>
        <w:t xml:space="preserve">ed myocarditis or pericarditis events by searching the safety dataset for adverse events compatible with signs, symptoms, laboratory investigations, and procedural findings that might indicate potential events. The myocarditis and pericarditis risk appeared to be consistent with the known safety profile of </w:t>
      </w:r>
      <w:proofErr w:type="spellStart"/>
      <w:r w:rsidR="00555E75">
        <w:t>Spikevax</w:t>
      </w:r>
      <w:proofErr w:type="spellEnd"/>
      <w:r>
        <w:t xml:space="preserve"> vaccines and the sponsor has confirmed that the monitoring will continue in clinical studies, pharmacovigilance, and </w:t>
      </w:r>
      <w:r w:rsidR="00555E75" w:rsidRPr="00555E75">
        <w:t>post authori</w:t>
      </w:r>
      <w:r w:rsidR="00555E75">
        <w:t>s</w:t>
      </w:r>
      <w:r w:rsidR="00555E75" w:rsidRPr="00555E75">
        <w:t>ation safety study</w:t>
      </w:r>
      <w:r>
        <w:t>.</w:t>
      </w:r>
    </w:p>
    <w:p w14:paraId="56E2676A" w14:textId="10D3D51B" w:rsidR="00733BE3" w:rsidRDefault="00733BE3" w:rsidP="00733BE3">
      <w:r>
        <w:t xml:space="preserve">No new safety concerns have been identified in studies of </w:t>
      </w:r>
      <w:proofErr w:type="spellStart"/>
      <w:r w:rsidR="00E74A73">
        <w:t>Spikevax</w:t>
      </w:r>
      <w:proofErr w:type="spellEnd"/>
      <w:r w:rsidR="00E74A73">
        <w:t xml:space="preserve"> </w:t>
      </w:r>
      <w:r w:rsidR="00C95625">
        <w:t>bivalent Original/Omicron BA.4</w:t>
      </w:r>
      <w:r w:rsidR="00C86E14">
        <w:t>-</w:t>
      </w:r>
      <w:r w:rsidR="00C95625">
        <w:t xml:space="preserve"> 5 vaccine at 50µg dose </w:t>
      </w:r>
      <w:r>
        <w:t>given as a second booster dose (N</w:t>
      </w:r>
      <w:r w:rsidR="00C95625">
        <w:t xml:space="preserve"> </w:t>
      </w:r>
      <w:r>
        <w:t>=</w:t>
      </w:r>
      <w:r w:rsidR="00C95625">
        <w:t xml:space="preserve"> </w:t>
      </w:r>
      <w:r>
        <w:t xml:space="preserve">437, median of 136 days after a first booster dose of 50 </w:t>
      </w:r>
      <w:r w:rsidR="00C95625">
        <w:t>µ</w:t>
      </w:r>
      <w:r>
        <w:t xml:space="preserve">g </w:t>
      </w:r>
      <w:r w:rsidR="00C95625">
        <w:t xml:space="preserve">of monovalent </w:t>
      </w:r>
      <w:proofErr w:type="spellStart"/>
      <w:r w:rsidR="00C95625">
        <w:t>Spikevax</w:t>
      </w:r>
      <w:proofErr w:type="spellEnd"/>
      <w:r w:rsidR="00BB18E7">
        <w:t xml:space="preserve"> (</w:t>
      </w:r>
      <w:proofErr w:type="spellStart"/>
      <w:r w:rsidR="00BB18E7">
        <w:t>elasomeran</w:t>
      </w:r>
      <w:proofErr w:type="spellEnd"/>
      <w:r w:rsidR="00BB18E7">
        <w:t>)</w:t>
      </w:r>
      <w:r>
        <w:t>, median follow</w:t>
      </w:r>
      <w:r w:rsidR="00C95625">
        <w:t xml:space="preserve"> </w:t>
      </w:r>
      <w:r>
        <w:t>up of 43 days).</w:t>
      </w:r>
    </w:p>
    <w:p w14:paraId="46A621E1" w14:textId="304E53C0" w:rsidR="00733BE3" w:rsidRDefault="00C95625" w:rsidP="00733BE3">
      <w:r>
        <w:t>The s</w:t>
      </w:r>
      <w:r w:rsidR="00733BE3">
        <w:t xml:space="preserve">ponsor believed that, in principle, the use of </w:t>
      </w:r>
      <w:proofErr w:type="spellStart"/>
      <w:r w:rsidR="00733BE3">
        <w:t>Spikevax</w:t>
      </w:r>
      <w:proofErr w:type="spellEnd"/>
      <w:r w:rsidR="00733BE3">
        <w:t xml:space="preserve"> </w:t>
      </w:r>
      <w:r>
        <w:t>b</w:t>
      </w:r>
      <w:r w:rsidR="00733BE3">
        <w:t>ivalent</w:t>
      </w:r>
      <w:r>
        <w:t xml:space="preserve"> vaccine</w:t>
      </w:r>
      <w:r w:rsidR="00733BE3">
        <w:t xml:space="preserve"> as a booster regardless of the dose number, is supported by the data generated as a second booster and can be safely used as a first booster as there is no scientific reason, based on either safety or efficacy to believe that the immunogenicity and safety results would be qualitatively different in other booster settings. </w:t>
      </w:r>
      <w:r>
        <w:t>The s</w:t>
      </w:r>
      <w:r w:rsidR="00733BE3">
        <w:t xml:space="preserve">ponsor states that safety and the reactogenicity profile for </w:t>
      </w:r>
      <w:proofErr w:type="spellStart"/>
      <w:r w:rsidR="00733BE3">
        <w:t>Spikevax</w:t>
      </w:r>
      <w:proofErr w:type="spellEnd"/>
      <w:r w:rsidR="00733BE3">
        <w:t xml:space="preserve"> </w:t>
      </w:r>
      <w:r>
        <w:t>b</w:t>
      </w:r>
      <w:r w:rsidR="00733BE3">
        <w:t xml:space="preserve">ivalent </w:t>
      </w:r>
      <w:r>
        <w:t xml:space="preserve">vaccine </w:t>
      </w:r>
      <w:r w:rsidR="00733BE3">
        <w:t xml:space="preserve">is similar with that of </w:t>
      </w:r>
      <w:proofErr w:type="spellStart"/>
      <w:r w:rsidR="00733BE3">
        <w:t>Spikevax</w:t>
      </w:r>
      <w:proofErr w:type="spellEnd"/>
      <w:r w:rsidR="00733BE3">
        <w:t xml:space="preserve"> booster in the clinical study, </w:t>
      </w:r>
      <w:r>
        <w:t xml:space="preserve">Study </w:t>
      </w:r>
      <w:r w:rsidR="00733BE3">
        <w:t>P205. Additionally, the safety of a bivalent v</w:t>
      </w:r>
      <w:r>
        <w:t xml:space="preserve">accine, </w:t>
      </w:r>
      <w:proofErr w:type="spellStart"/>
      <w:r w:rsidR="00E01B70">
        <w:t>Spikevax</w:t>
      </w:r>
      <w:proofErr w:type="spellEnd"/>
      <w:r w:rsidR="00E01B70">
        <w:t xml:space="preserve"> </w:t>
      </w:r>
      <w:r>
        <w:t>Original/Omicron BA.1 vaccine</w:t>
      </w:r>
      <w:r w:rsidR="00E01B70">
        <w:t xml:space="preserve"> (</w:t>
      </w:r>
      <w:proofErr w:type="spellStart"/>
      <w:r w:rsidR="00E01B70">
        <w:t>elasomeran</w:t>
      </w:r>
      <w:proofErr w:type="spellEnd"/>
      <w:r w:rsidR="00E01B70">
        <w:t xml:space="preserve"> and </w:t>
      </w:r>
      <w:proofErr w:type="spellStart"/>
      <w:r w:rsidR="00E01B70">
        <w:t>imelasomeran</w:t>
      </w:r>
      <w:proofErr w:type="spellEnd"/>
      <w:r w:rsidR="00E01B70">
        <w:t>)</w:t>
      </w:r>
      <w:r w:rsidR="00733BE3">
        <w:t xml:space="preserve">, was evaluated as a </w:t>
      </w:r>
      <w:r>
        <w:t>third</w:t>
      </w:r>
      <w:r w:rsidR="00733BE3">
        <w:t xml:space="preserve"> dose (</w:t>
      </w:r>
      <w:r>
        <w:t>first</w:t>
      </w:r>
      <w:r w:rsidR="00733BE3">
        <w:t xml:space="preserve"> booster dose) in the</w:t>
      </w:r>
      <w:r>
        <w:t xml:space="preserve"> Study</w:t>
      </w:r>
      <w:r w:rsidR="00733BE3">
        <w:t xml:space="preserve"> P205 as well. The safety data from </w:t>
      </w:r>
      <w:r>
        <w:t xml:space="preserve">bivalent Original/Beta vaccine at </w:t>
      </w:r>
      <w:r w:rsidR="00733BE3">
        <w:t xml:space="preserve">50 </w:t>
      </w:r>
      <w:r>
        <w:t>µ</w:t>
      </w:r>
      <w:r w:rsidR="00733BE3">
        <w:t xml:space="preserve">g </w:t>
      </w:r>
      <w:r>
        <w:t xml:space="preserve">dose </w:t>
      </w:r>
      <w:r w:rsidR="00733BE3">
        <w:t xml:space="preserve">also are </w:t>
      </w:r>
      <w:proofErr w:type="gramStart"/>
      <w:r w:rsidR="00733BE3">
        <w:t>similar to</w:t>
      </w:r>
      <w:proofErr w:type="gramEnd"/>
      <w:r w:rsidR="00733BE3">
        <w:t xml:space="preserve"> that of </w:t>
      </w:r>
      <w:proofErr w:type="spellStart"/>
      <w:r w:rsidR="00733BE3">
        <w:t>Spikevax</w:t>
      </w:r>
      <w:proofErr w:type="spellEnd"/>
      <w:r w:rsidR="00733BE3">
        <w:t xml:space="preserve"> booster </w:t>
      </w:r>
      <w:r>
        <w:t xml:space="preserve">at </w:t>
      </w:r>
      <w:r w:rsidR="00733BE3">
        <w:t xml:space="preserve">50 </w:t>
      </w:r>
      <w:r>
        <w:t>µ</w:t>
      </w:r>
      <w:r w:rsidR="00733BE3">
        <w:t xml:space="preserve">g. The proposed dose recommendations for </w:t>
      </w:r>
      <w:proofErr w:type="spellStart"/>
      <w:r w:rsidR="00733BE3">
        <w:t>S</w:t>
      </w:r>
      <w:r>
        <w:t>pikevax</w:t>
      </w:r>
      <w:proofErr w:type="spellEnd"/>
      <w:r>
        <w:t xml:space="preserve"> bivalent Original/Omicron COVID-19 vaccine </w:t>
      </w:r>
      <w:r w:rsidR="00733BE3">
        <w:t xml:space="preserve">allows for its use as a booster (at least </w:t>
      </w:r>
      <w:r>
        <w:t>three</w:t>
      </w:r>
      <w:r w:rsidR="00733BE3">
        <w:t xml:space="preserve"> months) after completion of a primary series and any number of boosters, and for heterologous boosting. This is also in line with </w:t>
      </w:r>
      <w:r>
        <w:t xml:space="preserve">monovalent </w:t>
      </w:r>
      <w:proofErr w:type="spellStart"/>
      <w:r w:rsidR="00733BE3">
        <w:t>Spikevax</w:t>
      </w:r>
      <w:proofErr w:type="spellEnd"/>
      <w:r w:rsidR="00733BE3">
        <w:t xml:space="preserve"> (original</w:t>
      </w:r>
      <w:r w:rsidR="00BB18E7">
        <w:t xml:space="preserve"> (</w:t>
      </w:r>
      <w:proofErr w:type="spellStart"/>
      <w:r w:rsidR="00BB18E7">
        <w:t>elasomeran</w:t>
      </w:r>
      <w:proofErr w:type="spellEnd"/>
      <w:r w:rsidR="00BB18E7">
        <w:t>)</w:t>
      </w:r>
      <w:r w:rsidR="00733BE3">
        <w:t>). This was considered acceptable.</w:t>
      </w:r>
    </w:p>
    <w:p w14:paraId="1FA8F4BD" w14:textId="79A564CC" w:rsidR="00733BE3" w:rsidRDefault="00733BE3" w:rsidP="00733BE3">
      <w:r>
        <w:t>Based on a clinical safety database of 437 participants with median follow</w:t>
      </w:r>
      <w:r w:rsidR="00C95625">
        <w:t xml:space="preserve"> </w:t>
      </w:r>
      <w:r>
        <w:t xml:space="preserve">up of 6 weeks, the safety and reactogenicity profiles of </w:t>
      </w:r>
      <w:proofErr w:type="spellStart"/>
      <w:r w:rsidR="00C86E14">
        <w:t>Spikevax</w:t>
      </w:r>
      <w:proofErr w:type="spellEnd"/>
      <w:r w:rsidR="00C86E14">
        <w:t xml:space="preserve"> </w:t>
      </w:r>
      <w:r w:rsidR="00C95625">
        <w:t xml:space="preserve">bivalent Original/Omicron BA.1 vaccine </w:t>
      </w:r>
      <w:r>
        <w:t xml:space="preserve">as a 50 </w:t>
      </w:r>
      <w:r w:rsidR="00C95625">
        <w:t>µ</w:t>
      </w:r>
      <w:r>
        <w:t xml:space="preserve">g second booster appears </w:t>
      </w:r>
      <w:proofErr w:type="gramStart"/>
      <w:r>
        <w:t>similar to</w:t>
      </w:r>
      <w:proofErr w:type="gramEnd"/>
      <w:r>
        <w:t xml:space="preserve"> that of </w:t>
      </w:r>
      <w:r w:rsidR="00C95625">
        <w:t xml:space="preserve">monovalent </w:t>
      </w:r>
      <w:proofErr w:type="spellStart"/>
      <w:r w:rsidR="00C95625">
        <w:t>Spikevax</w:t>
      </w:r>
      <w:proofErr w:type="spellEnd"/>
      <w:r>
        <w:t xml:space="preserve"> as a 50 </w:t>
      </w:r>
      <w:r w:rsidR="00C95625">
        <w:t>µ</w:t>
      </w:r>
      <w:r>
        <w:t>g second booster. No new safety concerns are raised.</w:t>
      </w:r>
    </w:p>
    <w:p w14:paraId="2FC1A98A" w14:textId="7958AD1A" w:rsidR="00733BE3" w:rsidRDefault="00733BE3" w:rsidP="00C95625">
      <w:pPr>
        <w:pStyle w:val="Heading5"/>
      </w:pPr>
      <w:r>
        <w:t xml:space="preserve">Study P203 Part C </w:t>
      </w:r>
      <w:r w:rsidR="00BB18E7">
        <w:t>(</w:t>
      </w:r>
      <w:r>
        <w:t>booster</w:t>
      </w:r>
      <w:r w:rsidR="00BB18E7">
        <w:t xml:space="preserve"> phase)</w:t>
      </w:r>
    </w:p>
    <w:p w14:paraId="3391D36C" w14:textId="49780045" w:rsidR="00733BE3" w:rsidRDefault="00733BE3" w:rsidP="00733BE3">
      <w:r>
        <w:t xml:space="preserve">Study P203 Part C booster investigated administration of </w:t>
      </w:r>
      <w:r w:rsidR="00C95625">
        <w:t xml:space="preserve">monovalent </w:t>
      </w:r>
      <w:proofErr w:type="spellStart"/>
      <w:r w:rsidR="00C95625">
        <w:t>Spikevax</w:t>
      </w:r>
      <w:proofErr w:type="spellEnd"/>
      <w:r>
        <w:t xml:space="preserve"> </w:t>
      </w:r>
      <w:r w:rsidR="00C95625">
        <w:t xml:space="preserve">vaccine </w:t>
      </w:r>
      <w:r w:rsidR="00BB18E7">
        <w:t>(</w:t>
      </w:r>
      <w:proofErr w:type="spellStart"/>
      <w:r w:rsidR="00BB18E7">
        <w:t>elasomeran</w:t>
      </w:r>
      <w:proofErr w:type="spellEnd"/>
      <w:r w:rsidR="00BB18E7">
        <w:t xml:space="preserve">) </w:t>
      </w:r>
      <w:r w:rsidR="00C95625">
        <w:t xml:space="preserve">at 50 µg as </w:t>
      </w:r>
      <w:r>
        <w:t>booster dose to ongoing study participants from Study P203, which included healthy 12 to 17 years age group who received a two</w:t>
      </w:r>
      <w:r w:rsidR="00C95625">
        <w:t xml:space="preserve"> </w:t>
      </w:r>
      <w:r>
        <w:t xml:space="preserve">dose primary series with </w:t>
      </w:r>
      <w:r w:rsidR="00C95625">
        <w:t xml:space="preserve">monovalent </w:t>
      </w:r>
      <w:proofErr w:type="spellStart"/>
      <w:r w:rsidR="00C95625">
        <w:t>Spikevax</w:t>
      </w:r>
      <w:proofErr w:type="spellEnd"/>
      <w:r>
        <w:t xml:space="preserve"> vaccine. This study has been previously assessed by TGA</w:t>
      </w:r>
      <w:r w:rsidR="00335600">
        <w:t>.</w:t>
      </w:r>
      <w:r w:rsidR="00335600">
        <w:fldChar w:fldCharType="begin"/>
      </w:r>
      <w:r w:rsidR="00335600">
        <w:instrText xml:space="preserve"> NOTEREF _Ref126851800 \f \h </w:instrText>
      </w:r>
      <w:r w:rsidR="00335600">
        <w:fldChar w:fldCharType="separate"/>
      </w:r>
      <w:r w:rsidR="00AA4DFB" w:rsidRPr="00AA4DFB">
        <w:rPr>
          <w:rStyle w:val="FootnoteReference"/>
        </w:rPr>
        <w:t>7</w:t>
      </w:r>
      <w:r w:rsidR="00335600">
        <w:fldChar w:fldCharType="end"/>
      </w:r>
    </w:p>
    <w:p w14:paraId="7C68AA3A" w14:textId="2F887C52" w:rsidR="00733BE3" w:rsidRDefault="00733BE3" w:rsidP="00733BE3">
      <w:r>
        <w:t xml:space="preserve">The safety data in adolescents from </w:t>
      </w:r>
      <w:r w:rsidR="00335600">
        <w:t>b</w:t>
      </w:r>
      <w:r>
        <w:t xml:space="preserve">ooster </w:t>
      </w:r>
      <w:r w:rsidR="00335600">
        <w:t>p</w:t>
      </w:r>
      <w:r>
        <w:t xml:space="preserve">hase (Part 1C-1) of Study P203 was consistent with the known safety profile of </w:t>
      </w:r>
      <w:r w:rsidR="00335600">
        <w:t xml:space="preserve">monovalent </w:t>
      </w:r>
      <w:proofErr w:type="spellStart"/>
      <w:r>
        <w:t>Spikevax</w:t>
      </w:r>
      <w:proofErr w:type="spellEnd"/>
      <w:r>
        <w:t xml:space="preserve"> and suggests reduced reactogenicity of the </w:t>
      </w:r>
      <w:proofErr w:type="gramStart"/>
      <w:r>
        <w:t xml:space="preserve">50 </w:t>
      </w:r>
      <w:r w:rsidR="00335600">
        <w:t>µ</w:t>
      </w:r>
      <w:r>
        <w:t>g</w:t>
      </w:r>
      <w:proofErr w:type="gramEnd"/>
      <w:r>
        <w:t xml:space="preserve"> </w:t>
      </w:r>
      <w:r w:rsidR="00335600">
        <w:t>b</w:t>
      </w:r>
      <w:r>
        <w:t xml:space="preserve">ooster </w:t>
      </w:r>
      <w:r w:rsidR="00335600">
        <w:t>d</w:t>
      </w:r>
      <w:r>
        <w:t>ose in adolescents as compared with the reactogenicity profile post-Dose 2 in the same population. Injection</w:t>
      </w:r>
      <w:r w:rsidR="00335600">
        <w:t xml:space="preserve"> </w:t>
      </w:r>
      <w:r>
        <w:t>related reactions and infection</w:t>
      </w:r>
      <w:r w:rsidR="00335600">
        <w:t xml:space="preserve"> </w:t>
      </w:r>
      <w:r>
        <w:t xml:space="preserve">related events were the </w:t>
      </w:r>
      <w:proofErr w:type="gramStart"/>
      <w:r>
        <w:t>most commonly reported</w:t>
      </w:r>
      <w:proofErr w:type="gramEnd"/>
      <w:r>
        <w:t xml:space="preserve"> AEs, and rates of infection reflected an increase in cases of COVID-19. There were no SAEs, AESIs (including cases of myocarditis/pericarditis), or withdrawal from study participation reported after the </w:t>
      </w:r>
      <w:r w:rsidR="00335600">
        <w:t>b</w:t>
      </w:r>
      <w:r>
        <w:t xml:space="preserve">ooster </w:t>
      </w:r>
      <w:r w:rsidR="00335600">
        <w:t>d</w:t>
      </w:r>
      <w:r>
        <w:t xml:space="preserve">ose. The sponsor had confirmed that the analyses from recent post-marketing reports also suggest no increased risk (relative to primary series) of </w:t>
      </w:r>
      <w:r>
        <w:lastRenderedPageBreak/>
        <w:t>myocarditis/pericarditis after booster dosing compared with doses in the primary series. The sponsor confirms that monitoring will continue in clinical studies, pharmacovigilance, and post-authori</w:t>
      </w:r>
      <w:r w:rsidR="00335600">
        <w:t>s</w:t>
      </w:r>
      <w:r>
        <w:t>ation safety studies.</w:t>
      </w:r>
    </w:p>
    <w:p w14:paraId="71BD8F51" w14:textId="29A31DBD" w:rsidR="00733BE3" w:rsidRDefault="00733BE3" w:rsidP="00733BE3">
      <w:r>
        <w:t xml:space="preserve">The sponsor had reiterated that the </w:t>
      </w:r>
      <w:r w:rsidR="00BB18E7">
        <w:t>European Medicines Agency (</w:t>
      </w:r>
      <w:r>
        <w:t>EMA Marketing Authori</w:t>
      </w:r>
      <w:r w:rsidR="00BB18E7">
        <w:t>s</w:t>
      </w:r>
      <w:r>
        <w:t xml:space="preserve">ation Application filings and approval of </w:t>
      </w:r>
      <w:proofErr w:type="spellStart"/>
      <w:r>
        <w:t>Spikevax</w:t>
      </w:r>
      <w:proofErr w:type="spellEnd"/>
      <w:r>
        <w:t xml:space="preserve"> for use as booster dose in adolescents were based on extrapolation of safety data from adult </w:t>
      </w:r>
      <w:r w:rsidR="00335600">
        <w:t>b</w:t>
      </w:r>
      <w:r>
        <w:t xml:space="preserve">ooster </w:t>
      </w:r>
      <w:r w:rsidR="00335600">
        <w:t>d</w:t>
      </w:r>
      <w:r>
        <w:t xml:space="preserve">ose studies, with no significant difference expected between the two populations. Successful </w:t>
      </w:r>
      <w:r w:rsidR="00335600">
        <w:t>i</w:t>
      </w:r>
      <w:r>
        <w:t xml:space="preserve">mmuno-bridging for primary vaccination responses in adolescents and young adults based on immunogenicity data from </w:t>
      </w:r>
      <w:r w:rsidR="00335600">
        <w:t>S</w:t>
      </w:r>
      <w:r>
        <w:t>tud</w:t>
      </w:r>
      <w:r w:rsidR="00EB0D5F">
        <w:t>y </w:t>
      </w:r>
      <w:r>
        <w:t xml:space="preserve">P203 (12 to </w:t>
      </w:r>
      <w:r w:rsidR="00335600">
        <w:t xml:space="preserve">younger than </w:t>
      </w:r>
      <w:r>
        <w:t>18 y</w:t>
      </w:r>
      <w:r w:rsidR="00335600">
        <w:t>ears of age</w:t>
      </w:r>
      <w:r>
        <w:t xml:space="preserve">) and </w:t>
      </w:r>
      <w:r w:rsidR="00335600">
        <w:t>S</w:t>
      </w:r>
      <w:r>
        <w:t xml:space="preserve">tudy P301 </w:t>
      </w:r>
      <w:r w:rsidRPr="000D54F3">
        <w:t>(</w:t>
      </w:r>
      <w:r w:rsidR="000D54F3" w:rsidRPr="000D54F3">
        <w:t xml:space="preserve">from </w:t>
      </w:r>
      <w:r w:rsidRPr="000D54F3">
        <w:t xml:space="preserve">18 to 25 </w:t>
      </w:r>
      <w:r w:rsidR="00335600" w:rsidRPr="000D54F3">
        <w:t>years of age</w:t>
      </w:r>
      <w:r w:rsidRPr="000D54F3">
        <w:t>). Vaccine effectiveness in adolescents aged</w:t>
      </w:r>
      <w:r w:rsidR="00335600" w:rsidRPr="000D54F3">
        <w:t xml:space="preserve"> </w:t>
      </w:r>
      <w:r w:rsidRPr="000D54F3">
        <w:t xml:space="preserve">12 to </w:t>
      </w:r>
      <w:r w:rsidR="00335600" w:rsidRPr="000D54F3">
        <w:t>younger</w:t>
      </w:r>
      <w:r w:rsidRPr="000D54F3">
        <w:t xml:space="preserve"> 18 years was inferred by demonstrating non-inferiority of both </w:t>
      </w:r>
      <w:proofErr w:type="gramStart"/>
      <w:r w:rsidRPr="000D54F3">
        <w:t>serum</w:t>
      </w:r>
      <w:proofErr w:type="gramEnd"/>
      <w:r w:rsidRPr="000D54F3">
        <w:t xml:space="preserve"> </w:t>
      </w:r>
      <w:proofErr w:type="spellStart"/>
      <w:r w:rsidRPr="000D54F3">
        <w:t>nAb</w:t>
      </w:r>
      <w:proofErr w:type="spellEnd"/>
      <w:r w:rsidRPr="000D54F3">
        <w:t xml:space="preserve"> GMTs and SRR from adolescents compared with those from young adults enrolled in Study P301 (</w:t>
      </w:r>
      <w:r w:rsidR="000D54F3" w:rsidRPr="000D54F3">
        <w:t xml:space="preserve">from </w:t>
      </w:r>
      <w:r w:rsidRPr="000D54F3">
        <w:t>aged</w:t>
      </w:r>
      <w:r w:rsidR="00335600" w:rsidRPr="000D54F3">
        <w:t xml:space="preserve"> </w:t>
      </w:r>
      <w:r w:rsidRPr="000D54F3">
        <w:t>18 to 25 years</w:t>
      </w:r>
      <w:r w:rsidR="00335600" w:rsidRPr="000D54F3">
        <w:t xml:space="preserve"> of age</w:t>
      </w:r>
      <w:r w:rsidRPr="000D54F3">
        <w:t>). This concept/rationale was used to support the basis for the</w:t>
      </w:r>
      <w:r>
        <w:t xml:space="preserve"> extrapolation of the immune response after applying a booster dose from young adults to adolescents.</w:t>
      </w:r>
    </w:p>
    <w:p w14:paraId="10301429" w14:textId="45EB8859" w:rsidR="00733BE3" w:rsidRDefault="00733BE3" w:rsidP="00335600">
      <w:pPr>
        <w:pStyle w:val="Heading5"/>
      </w:pPr>
      <w:r>
        <w:t xml:space="preserve">Study P204 </w:t>
      </w:r>
      <w:r w:rsidR="00BB18E7">
        <w:t>(</w:t>
      </w:r>
      <w:r>
        <w:t>booster</w:t>
      </w:r>
      <w:r w:rsidR="00BB18E7">
        <w:t xml:space="preserve"> study)</w:t>
      </w:r>
    </w:p>
    <w:p w14:paraId="1F821494" w14:textId="5E32C2C5" w:rsidR="00733BE3" w:rsidRDefault="00733BE3" w:rsidP="00733BE3">
      <w:r>
        <w:t xml:space="preserve">Study P204 assessed the safety of </w:t>
      </w:r>
      <w:r w:rsidR="00335600">
        <w:t xml:space="preserve">monovalent </w:t>
      </w:r>
      <w:proofErr w:type="spellStart"/>
      <w:r w:rsidR="00335600">
        <w:t>Spikevax</w:t>
      </w:r>
      <w:proofErr w:type="spellEnd"/>
      <w:r w:rsidR="00335600">
        <w:t xml:space="preserve"> </w:t>
      </w:r>
      <w:r w:rsidR="00BB18E7">
        <w:t>vaccine (</w:t>
      </w:r>
      <w:proofErr w:type="spellStart"/>
      <w:r w:rsidR="00BB18E7">
        <w:t>elasomeran</w:t>
      </w:r>
      <w:proofErr w:type="spellEnd"/>
      <w:r w:rsidR="00BB18E7">
        <w:t xml:space="preserve">) </w:t>
      </w:r>
      <w:r w:rsidR="00335600">
        <w:t xml:space="preserve">at </w:t>
      </w:r>
      <w:r>
        <w:t xml:space="preserve">25 </w:t>
      </w:r>
      <w:r w:rsidR="00335600">
        <w:t>µ</w:t>
      </w:r>
      <w:r>
        <w:t>g when given as a booster in children 6</w:t>
      </w:r>
      <w:r w:rsidR="00335600">
        <w:t xml:space="preserve"> </w:t>
      </w:r>
      <w:r>
        <w:t xml:space="preserve">through 11 </w:t>
      </w:r>
      <w:r w:rsidR="00335600">
        <w:t>years of age</w:t>
      </w:r>
      <w:r>
        <w:t>, administered from 6 months post-Dose 2 of the primary series.</w:t>
      </w:r>
    </w:p>
    <w:p w14:paraId="5C5C47A2" w14:textId="65FA3542" w:rsidR="00733BE3" w:rsidRDefault="00733BE3" w:rsidP="001C0689">
      <w:pPr>
        <w:pStyle w:val="Heading6"/>
      </w:pPr>
      <w:r>
        <w:t xml:space="preserve">Solicited </w:t>
      </w:r>
      <w:r w:rsidR="001C0689">
        <w:t>adverse events</w:t>
      </w:r>
    </w:p>
    <w:p w14:paraId="5B34F1D5" w14:textId="6F60CF09" w:rsidR="00733BE3" w:rsidRDefault="00733BE3" w:rsidP="00733BE3">
      <w:r>
        <w:t xml:space="preserve">Local and systemic AEs were solicited in the </w:t>
      </w:r>
      <w:r w:rsidR="001C0689">
        <w:t>seven</w:t>
      </w:r>
      <w:r>
        <w:t xml:space="preserve"> days after the booster vaccination. Assessed local AEs included pain, erythema, swelling, and axillary swelling or tenderness.</w:t>
      </w:r>
      <w:r w:rsidR="00795787">
        <w:t xml:space="preserve"> </w:t>
      </w:r>
      <w:r>
        <w:t>Systemic AEs included fever, headache, fatigue, myalgia, arthralgia, nausea/vomiting, and chills.</w:t>
      </w:r>
    </w:p>
    <w:p w14:paraId="192E6C5F" w14:textId="02179917" w:rsidR="00733BE3" w:rsidRDefault="00733BE3" w:rsidP="00733BE3">
      <w:r>
        <w:t xml:space="preserve">Solicited AEs were mostly Grade 1 (45.9%) or Grade 2 (39.4%) and had an overall median onset within </w:t>
      </w:r>
      <w:r w:rsidR="001C0689">
        <w:t>one</w:t>
      </w:r>
      <w:r>
        <w:t xml:space="preserve"> day after vaccination and median duration of </w:t>
      </w:r>
      <w:r w:rsidR="001C0689">
        <w:t>three</w:t>
      </w:r>
      <w:r>
        <w:t xml:space="preserve"> days. A total of 7.9% of participants reported a Grade 3 solicited </w:t>
      </w:r>
      <w:r w:rsidR="001C0689">
        <w:t>adverse reaction</w:t>
      </w:r>
      <w:r>
        <w:t>. Fatigue was the most common Grade 3 solicited AE (3.7% of participants), followed by pain (1.9%), and headache (1.7%). One Grade 4 systemic AE of fever (</w:t>
      </w:r>
      <w:r w:rsidR="001C0689">
        <w:t xml:space="preserve">greater than </w:t>
      </w:r>
      <w:r>
        <w:t xml:space="preserve">40°C) was reported </w:t>
      </w:r>
      <w:proofErr w:type="spellStart"/>
      <w:r w:rsidR="001C0689">
        <w:t>foru</w:t>
      </w:r>
      <w:proofErr w:type="spellEnd"/>
      <w:r w:rsidR="001C0689">
        <w:t xml:space="preserve"> </w:t>
      </w:r>
      <w:r>
        <w:t>days post-booster in a participant who had COVID-19 concurrently.</w:t>
      </w:r>
    </w:p>
    <w:p w14:paraId="250032E2" w14:textId="5E58A8B2" w:rsidR="00733BE3" w:rsidRDefault="00733BE3" w:rsidP="00733BE3">
      <w:r>
        <w:t>Pain was the most reported solicited local AE (90.1% of participants), and fatigue was the most reported solicited systemic AE (48.9%) following the booster administration. Fever was reported in 9.5% of participants following the booster.</w:t>
      </w:r>
    </w:p>
    <w:p w14:paraId="13ACCEB0" w14:textId="294E2C21" w:rsidR="00733BE3" w:rsidRDefault="00733BE3" w:rsidP="00733BE3">
      <w:r>
        <w:t>The incidence and severity of solicited AEs reported after the booster are displayed side-by-side with solicited AEs from the primary series reported after receipt of any primary dose. Lower incidences of solicited AEs were reported after the booster for all categories except for axillary (or groin) swelling or tenderness compared to that reported after primary vaccination. Axillary (or groin) swelling, or tenderness was similar after the booster and after primary dose. The differential between the booster and primary series was particularly evident for Grade 2 and Grade 3 AEs.</w:t>
      </w:r>
    </w:p>
    <w:p w14:paraId="6781ED75" w14:textId="699DDAF3" w:rsidR="00733BE3" w:rsidRDefault="00733BE3" w:rsidP="00733BE3">
      <w:r>
        <w:t xml:space="preserve">Few solicited AEs persisted beyond </w:t>
      </w:r>
      <w:r w:rsidR="001C0689">
        <w:t>seven</w:t>
      </w:r>
      <w:r>
        <w:t xml:space="preserve"> days.</w:t>
      </w:r>
      <w:r w:rsidR="00795787">
        <w:t xml:space="preserve"> </w:t>
      </w:r>
      <w:r>
        <w:t xml:space="preserve">Solicited local AEs persisting beyond </w:t>
      </w:r>
      <w:r w:rsidR="001C0689">
        <w:t>seven</w:t>
      </w:r>
      <w:r>
        <w:t xml:space="preserve"> days after the booster administration were reported in 1.3% of participants and most common events were axillary (or groin) swelling or tenderness (0.7%) and pain (0.5%). Solicited systemic AEs persisting beyond </w:t>
      </w:r>
      <w:r w:rsidR="001C0689">
        <w:t>seven</w:t>
      </w:r>
      <w:r>
        <w:t xml:space="preserve"> days after the booster administration were reported in 2% of participants and most common events were fatigue (1.3%) and headache (1.0%).</w:t>
      </w:r>
    </w:p>
    <w:p w14:paraId="7E7F9231" w14:textId="2048A671" w:rsidR="00733BE3" w:rsidRDefault="00733BE3" w:rsidP="00733BE3">
      <w:r>
        <w:t xml:space="preserve">The incidence of any solicited AEs was higher among participants who were SARS-CoV-2 negative at </w:t>
      </w:r>
      <w:r w:rsidR="001C0689">
        <w:t>B</w:t>
      </w:r>
      <w:r>
        <w:t xml:space="preserve">aseline prior to the booster (95.8% of 757 participants) compared with participants who were SARS-CoV-2 positive at </w:t>
      </w:r>
      <w:r w:rsidR="001C0689">
        <w:t>B</w:t>
      </w:r>
      <w:r>
        <w:t>aseline prior to the booster (89.5% of 428 participants).</w:t>
      </w:r>
    </w:p>
    <w:p w14:paraId="7F186931" w14:textId="46AB7ED7" w:rsidR="00733BE3" w:rsidRDefault="00733BE3" w:rsidP="001C0689">
      <w:pPr>
        <w:pStyle w:val="Heading6"/>
      </w:pPr>
      <w:r>
        <w:lastRenderedPageBreak/>
        <w:t xml:space="preserve">Unsolicited </w:t>
      </w:r>
      <w:r w:rsidR="001C0689">
        <w:t>adverse events</w:t>
      </w:r>
    </w:p>
    <w:p w14:paraId="668885B1" w14:textId="6E3FF1E0" w:rsidR="00733BE3" w:rsidRDefault="00733BE3" w:rsidP="00733BE3">
      <w:r>
        <w:t>The reported incidence of any unsolicited AE after the booster was 13.1%. The incidence of unsolicited AEs after the booster assessed by the investigator as related to study treatment was 4</w:t>
      </w:r>
      <w:r w:rsidR="001C0689">
        <w:t xml:space="preserve"> </w:t>
      </w:r>
      <w:r>
        <w:t>%. These event rates were lower than those in the primary series (after any injection) where unsolicited AEs occurred in 891 of 3007 participants (29.6%) of which 319 (10.6%) were considered treatment related.</w:t>
      </w:r>
    </w:p>
    <w:p w14:paraId="1E7DD21C" w14:textId="71B8A696" w:rsidR="00733BE3" w:rsidRDefault="00733BE3" w:rsidP="00733BE3">
      <w:r>
        <w:t xml:space="preserve">The </w:t>
      </w:r>
      <w:proofErr w:type="gramStart"/>
      <w:r>
        <w:t>most commonly reported</w:t>
      </w:r>
      <w:proofErr w:type="gramEnd"/>
      <w:r>
        <w:t xml:space="preserve"> unsolicited AEs were injection site reactions, fatigue and headache, which are consistent with the known reactogenicity profile of the vaccine. Most other AEs were reported in few participants and no specific safety trends were identified. A total of 96 participants (7.4%) experienced a MAAE within 28 days after the </w:t>
      </w:r>
      <w:r w:rsidR="001C0689">
        <w:t xml:space="preserve">monovalent </w:t>
      </w:r>
      <w:proofErr w:type="spellStart"/>
      <w:r w:rsidR="001C0689">
        <w:t>Spikevax</w:t>
      </w:r>
      <w:proofErr w:type="spellEnd"/>
      <w:r w:rsidR="001C0689">
        <w:t xml:space="preserve"> booster dose. </w:t>
      </w:r>
      <w:r>
        <w:t>Ten (</w:t>
      </w:r>
      <w:r w:rsidR="001C0689">
        <w:t xml:space="preserve">less than </w:t>
      </w:r>
      <w:r>
        <w:t>1%) participants experienced an MAAE assessed by the investigator as related to study treatment.</w:t>
      </w:r>
    </w:p>
    <w:p w14:paraId="5BF24AD8" w14:textId="2983A325" w:rsidR="00733BE3" w:rsidRDefault="00733BE3" w:rsidP="00733BE3">
      <w:r>
        <w:t>One SAE was reported. Seven (0.5%) participants reported severe (Grade 3 or higher) events; the majority of these represented reactogenicity</w:t>
      </w:r>
      <w:r w:rsidR="00EB0D5F">
        <w:t xml:space="preserve"> </w:t>
      </w:r>
      <w:r>
        <w:t xml:space="preserve">related events, </w:t>
      </w:r>
      <w:r w:rsidR="001C0689">
        <w:t xml:space="preserve">for example, </w:t>
      </w:r>
      <w:r>
        <w:t xml:space="preserve">headache, myalgia, injection site pain, and chills. Six of these events were considered by the investigator to be vaccine related. Similarly, 12 of 3007 participants (0.4%) reported severe events in the primary series, </w:t>
      </w:r>
      <w:r w:rsidR="001C0689">
        <w:t>nine</w:t>
      </w:r>
      <w:r>
        <w:t xml:space="preserve"> (0.3%) of which were considered related by the investigator and were also primarily representative of reactogenicity.</w:t>
      </w:r>
    </w:p>
    <w:p w14:paraId="792E3607" w14:textId="230CA966" w:rsidR="00733BE3" w:rsidRDefault="00733BE3" w:rsidP="00733BE3">
      <w:r>
        <w:t>No unsolicited AEs caused discontinuation from study participation. One AESI was reported</w:t>
      </w:r>
      <w:r w:rsidR="001C0689">
        <w:t>, i</w:t>
      </w:r>
      <w:r>
        <w:t>t was determined by the investigator to be potentially related to vaccination.</w:t>
      </w:r>
    </w:p>
    <w:p w14:paraId="7CDBAA84" w14:textId="4E1A8175" w:rsidR="00733BE3" w:rsidRDefault="00733BE3" w:rsidP="00733BE3">
      <w:r>
        <w:t xml:space="preserve">The most common </w:t>
      </w:r>
      <w:r w:rsidR="001C0689">
        <w:t>System Organ Class (</w:t>
      </w:r>
      <w:r>
        <w:t>SOC</w:t>
      </w:r>
      <w:r w:rsidR="001C0689">
        <w:t>)</w:t>
      </w:r>
      <w:r>
        <w:t xml:space="preserve"> represented by unsolicited AEs were of Infections and infestations (n</w:t>
      </w:r>
      <w:r w:rsidR="00EB0D5F">
        <w:t xml:space="preserve"> </w:t>
      </w:r>
      <w:r>
        <w:t>=</w:t>
      </w:r>
      <w:r w:rsidR="00EB0D5F">
        <w:t xml:space="preserve"> </w:t>
      </w:r>
      <w:r>
        <w:t>80, 6.2%), General disorders and administration site conditions (n</w:t>
      </w:r>
      <w:r w:rsidR="001C0689">
        <w:t xml:space="preserve"> </w:t>
      </w:r>
      <w:r>
        <w:t>=</w:t>
      </w:r>
      <w:r w:rsidR="001C0689">
        <w:t xml:space="preserve"> </w:t>
      </w:r>
      <w:r>
        <w:t xml:space="preserve">34, 2.6%), and Respiratory, </w:t>
      </w:r>
      <w:proofErr w:type="gramStart"/>
      <w:r>
        <w:t>thoracic</w:t>
      </w:r>
      <w:proofErr w:type="gramEnd"/>
      <w:r>
        <w:t xml:space="preserve"> and mediastinal disorders (n</w:t>
      </w:r>
      <w:r w:rsidR="001C0689">
        <w:t xml:space="preserve"> </w:t>
      </w:r>
      <w:r>
        <w:t>=</w:t>
      </w:r>
      <w:r w:rsidR="001C0689">
        <w:t xml:space="preserve"> </w:t>
      </w:r>
      <w:r>
        <w:t xml:space="preserve">23, 1.8%). The </w:t>
      </w:r>
      <w:proofErr w:type="gramStart"/>
      <w:r>
        <w:t>most commonly reported</w:t>
      </w:r>
      <w:proofErr w:type="gramEnd"/>
      <w:r>
        <w:t xml:space="preserve"> unsolicited AE </w:t>
      </w:r>
      <w:r w:rsidR="001C0689">
        <w:t>Preferred Term (</w:t>
      </w:r>
      <w:r>
        <w:t>PT</w:t>
      </w:r>
      <w:r w:rsidR="001C0689">
        <w:t>)</w:t>
      </w:r>
      <w:r>
        <w:t xml:space="preserve"> was COVID-19 (25 participants, 1.9%). Other unsolicited AE PTs were expected for this age group or known aspects of the reactogenicity profile of the vaccine.</w:t>
      </w:r>
      <w:r w:rsidR="00795787">
        <w:t xml:space="preserve"> </w:t>
      </w:r>
      <w:r>
        <w:t>No new safety concerns were identified.</w:t>
      </w:r>
    </w:p>
    <w:p w14:paraId="12299373" w14:textId="3FB965D2" w:rsidR="00733BE3" w:rsidRDefault="00733BE3" w:rsidP="00733BE3">
      <w:r>
        <w:t xml:space="preserve">There were no new trends or patterns observed for MAAEs following the booster administration as compared with the primary series. A total of 116 (9%) participants experienced at least one MAAE after the booster. Two participants (0.2%) reported </w:t>
      </w:r>
      <w:r w:rsidR="001C0689">
        <w:t>four</w:t>
      </w:r>
      <w:r>
        <w:t xml:space="preserve"> MAAEs that were considered severe: abdominal pain (n</w:t>
      </w:r>
      <w:r w:rsidR="00EB0D5F">
        <w:t xml:space="preserve"> </w:t>
      </w:r>
      <w:r>
        <w:t>=</w:t>
      </w:r>
      <w:r w:rsidR="001C0689">
        <w:t xml:space="preserve"> </w:t>
      </w:r>
      <w:r>
        <w:t>1, &lt;</w:t>
      </w:r>
      <w:r w:rsidR="00EB0D5F">
        <w:t xml:space="preserve"> </w:t>
      </w:r>
      <w:r>
        <w:t>.1%), myalgia (n</w:t>
      </w:r>
      <w:r w:rsidR="001C0689">
        <w:t xml:space="preserve"> </w:t>
      </w:r>
      <w:r>
        <w:t>=</w:t>
      </w:r>
      <w:r w:rsidR="001C0689">
        <w:t xml:space="preserve"> </w:t>
      </w:r>
      <w:r>
        <w:t>1, &lt;</w:t>
      </w:r>
      <w:r w:rsidR="00EB0D5F">
        <w:t> </w:t>
      </w:r>
      <w:r>
        <w:t>0.1%), chills (n</w:t>
      </w:r>
      <w:r w:rsidR="001C0689">
        <w:t xml:space="preserve"> </w:t>
      </w:r>
      <w:r>
        <w:t>=</w:t>
      </w:r>
      <w:r w:rsidR="001C0689">
        <w:t xml:space="preserve"> </w:t>
      </w:r>
      <w:r>
        <w:t>1, &lt;</w:t>
      </w:r>
      <w:r w:rsidR="00EB0D5F">
        <w:t xml:space="preserve"> </w:t>
      </w:r>
      <w:r>
        <w:t>0.1%), and fatigue (n</w:t>
      </w:r>
      <w:r w:rsidR="001C0689">
        <w:t xml:space="preserve"> </w:t>
      </w:r>
      <w:r>
        <w:t>=</w:t>
      </w:r>
      <w:r w:rsidR="001C0689">
        <w:t xml:space="preserve"> </w:t>
      </w:r>
      <w:r>
        <w:t>1, &lt;</w:t>
      </w:r>
      <w:r w:rsidR="00EB0D5F">
        <w:t xml:space="preserve"> </w:t>
      </w:r>
      <w:r>
        <w:t xml:space="preserve">0.1%). Ten (0.8%) participants had MAAEs considered by the investigator to be related to </w:t>
      </w:r>
      <w:r w:rsidR="001C0689">
        <w:t xml:space="preserve">monovalent </w:t>
      </w:r>
      <w:proofErr w:type="spellStart"/>
      <w:r w:rsidR="001C0689">
        <w:t>Spikevax</w:t>
      </w:r>
      <w:proofErr w:type="spellEnd"/>
      <w:r>
        <w:t>.</w:t>
      </w:r>
    </w:p>
    <w:p w14:paraId="0967B899" w14:textId="5AD6D18D" w:rsidR="00733BE3" w:rsidRDefault="00733BE3" w:rsidP="00733BE3">
      <w:r>
        <w:t>In summary, review of the safety data after booster dose in children between 6 through 11 years of age in th</w:t>
      </w:r>
      <w:r w:rsidR="001663F9">
        <w:t xml:space="preserve">e </w:t>
      </w:r>
      <w:r>
        <w:t>study did not show any new safety concerns. The reactogenicity profile compared favourably to the primary series particularly with Grade 3 and higher events (7.9% in booster group v</w:t>
      </w:r>
      <w:r w:rsidR="001663F9">
        <w:t xml:space="preserve">ersus </w:t>
      </w:r>
      <w:r>
        <w:t xml:space="preserve">16.8% after any injection in primary series). Similarly, unsolicited AEs were reported less frequently after </w:t>
      </w:r>
      <w:r w:rsidR="001663F9">
        <w:t>booster dose</w:t>
      </w:r>
      <w:r>
        <w:t xml:space="preserve"> than after dosing in the primary series and demonstrated a similar safety profile. Injection</w:t>
      </w:r>
      <w:r w:rsidR="001663F9">
        <w:t xml:space="preserve"> </w:t>
      </w:r>
      <w:r>
        <w:t>related reactions and infection</w:t>
      </w:r>
      <w:r w:rsidR="001663F9">
        <w:t xml:space="preserve"> </w:t>
      </w:r>
      <w:r>
        <w:t xml:space="preserve">related events were the </w:t>
      </w:r>
      <w:proofErr w:type="gramStart"/>
      <w:r>
        <w:t>most commonly reported</w:t>
      </w:r>
      <w:proofErr w:type="gramEnd"/>
      <w:r>
        <w:t xml:space="preserve"> AEs and similar in profile to unsolicited AEs in the primary series. There was one SAE of abdominal pain occurring 16 days after </w:t>
      </w:r>
      <w:r w:rsidR="001663F9">
        <w:t>booster dose</w:t>
      </w:r>
      <w:r>
        <w:t xml:space="preserve"> of unclear aetiology that resolved in 24 hours and was considered not treatment</w:t>
      </w:r>
      <w:r w:rsidR="001663F9">
        <w:t xml:space="preserve"> </w:t>
      </w:r>
      <w:r>
        <w:t xml:space="preserve">related by the </w:t>
      </w:r>
      <w:r w:rsidR="001663F9">
        <w:t>i</w:t>
      </w:r>
      <w:r>
        <w:t xml:space="preserve">nvestigator. There were no cases of </w:t>
      </w:r>
      <w:r w:rsidR="001663F9">
        <w:t>m</w:t>
      </w:r>
      <w:r w:rsidR="001663F9" w:rsidRPr="001663F9">
        <w:t xml:space="preserve">ultisystem </w:t>
      </w:r>
      <w:r w:rsidR="001663F9">
        <w:t>i</w:t>
      </w:r>
      <w:r w:rsidR="001663F9" w:rsidRPr="001663F9">
        <w:t xml:space="preserve">nflammatory </w:t>
      </w:r>
      <w:r w:rsidR="001663F9">
        <w:t>s</w:t>
      </w:r>
      <w:r w:rsidR="001663F9" w:rsidRPr="001663F9">
        <w:t>yndrome</w:t>
      </w:r>
      <w:r w:rsidR="001663F9">
        <w:t xml:space="preserve"> in children</w:t>
      </w:r>
      <w:r w:rsidR="001663F9" w:rsidRPr="001663F9">
        <w:t xml:space="preserve"> </w:t>
      </w:r>
      <w:r>
        <w:t xml:space="preserve">or withdrawal from study participation reported after receipt of </w:t>
      </w:r>
      <w:r w:rsidR="001663F9">
        <w:t>booster dose</w:t>
      </w:r>
      <w:r>
        <w:t>. One AESI of chest pain was reported (not meeting protocol</w:t>
      </w:r>
      <w:r w:rsidR="001663F9">
        <w:t xml:space="preserve"> </w:t>
      </w:r>
      <w:r>
        <w:t xml:space="preserve">specified criteria) and of which cardiac origin was ruled out. No cases suggestive of myocarditis/pericarditis were identified using the cardiomyopathy </w:t>
      </w:r>
      <w:r w:rsidR="001663F9">
        <w:t>s</w:t>
      </w:r>
      <w:r w:rsidR="001663F9" w:rsidRPr="001663F9">
        <w:t xml:space="preserve">tandardised MedDRA </w:t>
      </w:r>
      <w:r w:rsidR="001663F9">
        <w:t>q</w:t>
      </w:r>
      <w:r w:rsidR="001663F9" w:rsidRPr="001663F9">
        <w:t>ueries</w:t>
      </w:r>
      <w:r>
        <w:t xml:space="preserve"> and a pre-specified search algorithm to identify potentially missed cases. Overall, the findings were consistent with the known safety profile of </w:t>
      </w:r>
      <w:proofErr w:type="spellStart"/>
      <w:proofErr w:type="gramStart"/>
      <w:r w:rsidR="001663F9">
        <w:t>Spikevax</w:t>
      </w:r>
      <w:proofErr w:type="spellEnd"/>
      <w:proofErr w:type="gramEnd"/>
      <w:r>
        <w:t xml:space="preserve"> and events typically observed in a 6 through 11 years old paediatric population during the COVID-19 pandemic.</w:t>
      </w:r>
    </w:p>
    <w:p w14:paraId="6B21716A" w14:textId="53DBBAE8" w:rsidR="00733BE3" w:rsidRDefault="00733BE3" w:rsidP="001663F9">
      <w:pPr>
        <w:pStyle w:val="Heading5"/>
      </w:pPr>
      <w:r>
        <w:lastRenderedPageBreak/>
        <w:t>Post-</w:t>
      </w:r>
      <w:r w:rsidR="001663F9">
        <w:t>m</w:t>
      </w:r>
      <w:r>
        <w:t xml:space="preserve">arketing </w:t>
      </w:r>
      <w:r w:rsidR="001663F9">
        <w:t>s</w:t>
      </w:r>
      <w:r>
        <w:t xml:space="preserve">afety </w:t>
      </w:r>
      <w:r w:rsidR="001663F9">
        <w:t>d</w:t>
      </w:r>
      <w:r>
        <w:t>ata</w:t>
      </w:r>
      <w:r w:rsidR="001663F9">
        <w:t xml:space="preserve"> of </w:t>
      </w:r>
      <w:proofErr w:type="spellStart"/>
      <w:r w:rsidR="001663F9">
        <w:t>Spikevax</w:t>
      </w:r>
      <w:proofErr w:type="spellEnd"/>
      <w:r w:rsidR="001663F9">
        <w:t xml:space="preserve"> b</w:t>
      </w:r>
      <w:r>
        <w:t>ivalent</w:t>
      </w:r>
      <w:r w:rsidR="001663F9">
        <w:t xml:space="preserve"> </w:t>
      </w:r>
      <w:r>
        <w:t>Original/</w:t>
      </w:r>
      <w:r w:rsidR="001663F9">
        <w:t xml:space="preserve">Omicron </w:t>
      </w:r>
      <w:r>
        <w:t>BA.4</w:t>
      </w:r>
      <w:r w:rsidR="00B05940">
        <w:t>-</w:t>
      </w:r>
      <w:r>
        <w:t>5</w:t>
      </w:r>
      <w:r w:rsidR="001663F9">
        <w:t xml:space="preserve"> vaccine</w:t>
      </w:r>
    </w:p>
    <w:p w14:paraId="7D08D34F" w14:textId="64C54E9E" w:rsidR="00733BE3" w:rsidRDefault="00733BE3" w:rsidP="00733BE3">
      <w:proofErr w:type="spellStart"/>
      <w:r>
        <w:t>S</w:t>
      </w:r>
      <w:r w:rsidR="001663F9">
        <w:t>pikevax</w:t>
      </w:r>
      <w:proofErr w:type="spellEnd"/>
      <w:r w:rsidR="001663F9">
        <w:t xml:space="preserve"> b</w:t>
      </w:r>
      <w:r>
        <w:t>ivalent</w:t>
      </w:r>
      <w:r w:rsidR="001663F9">
        <w:t xml:space="preserve"> Original/Omicron BA.4</w:t>
      </w:r>
      <w:r w:rsidR="00B05940">
        <w:t>-</w:t>
      </w:r>
      <w:r w:rsidR="001663F9">
        <w:t>5 vaccine</w:t>
      </w:r>
      <w:r>
        <w:t xml:space="preserve"> </w:t>
      </w:r>
      <w:r w:rsidR="00BB18E7">
        <w:t>(</w:t>
      </w:r>
      <w:proofErr w:type="spellStart"/>
      <w:r w:rsidR="00BB18E7">
        <w:t>elasomeran</w:t>
      </w:r>
      <w:proofErr w:type="spellEnd"/>
      <w:r w:rsidR="00BB18E7">
        <w:t xml:space="preserve"> and </w:t>
      </w:r>
      <w:proofErr w:type="spellStart"/>
      <w:r w:rsidR="00BB18E7">
        <w:t>davesomeran</w:t>
      </w:r>
      <w:proofErr w:type="spellEnd"/>
      <w:r w:rsidR="00BB18E7">
        <w:t xml:space="preserve">) </w:t>
      </w:r>
      <w:r>
        <w:t xml:space="preserve">received </w:t>
      </w:r>
      <w:r w:rsidR="001663F9">
        <w:t>E</w:t>
      </w:r>
      <w:r w:rsidR="00EB0D5F">
        <w:t>UA</w:t>
      </w:r>
      <w:r>
        <w:t xml:space="preserve"> in the US</w:t>
      </w:r>
      <w:r w:rsidR="00BB18E7">
        <w:t>A</w:t>
      </w:r>
      <w:r>
        <w:t xml:space="preserve"> for use as a booster dose in individuals 18 years of age and older on </w:t>
      </w:r>
      <w:r w:rsidR="001663F9">
        <w:t xml:space="preserve">31 </w:t>
      </w:r>
      <w:r>
        <w:t xml:space="preserve">August 2022. Cumulatively as of 18 October 2022; a total of 36,729,950 doses of </w:t>
      </w:r>
      <w:proofErr w:type="spellStart"/>
      <w:r w:rsidR="000D54F3">
        <w:t>Spikevax</w:t>
      </w:r>
      <w:proofErr w:type="spellEnd"/>
      <w:r w:rsidR="000D54F3">
        <w:t xml:space="preserve"> bivalent Original/Omicron BA.4</w:t>
      </w:r>
      <w:r w:rsidR="00B05940">
        <w:t>-</w:t>
      </w:r>
      <w:r w:rsidR="000D54F3">
        <w:t xml:space="preserve">5 vaccine </w:t>
      </w:r>
      <w:r>
        <w:t>had been delivered to the US</w:t>
      </w:r>
      <w:r w:rsidR="00BB18E7">
        <w:t>A</w:t>
      </w:r>
      <w:r>
        <w:t xml:space="preserve">. A limited number of cases have been reported to the </w:t>
      </w:r>
      <w:r w:rsidR="000D54F3" w:rsidRPr="000D54F3">
        <w:t>marketing authorisation holder (</w:t>
      </w:r>
      <w:r w:rsidRPr="000D54F3">
        <w:t>MAH</w:t>
      </w:r>
      <w:r w:rsidR="000D54F3">
        <w:t>)</w:t>
      </w:r>
      <w:r>
        <w:t xml:space="preserve"> and are summari</w:t>
      </w:r>
      <w:r w:rsidR="000D54F3">
        <w:t>s</w:t>
      </w:r>
      <w:r>
        <w:t xml:space="preserve">ed in a consolidated manner. Monthly </w:t>
      </w:r>
      <w:r w:rsidR="000D54F3">
        <w:t>s</w:t>
      </w:r>
      <w:r>
        <w:t xml:space="preserve">ummary </w:t>
      </w:r>
      <w:r w:rsidR="000D54F3">
        <w:t>s</w:t>
      </w:r>
      <w:r>
        <w:t xml:space="preserve">afety reports are submitted to relevant regulatory agencies by the </w:t>
      </w:r>
      <w:r w:rsidR="000D54F3">
        <w:t>s</w:t>
      </w:r>
      <w:r>
        <w:t>ponsor.</w:t>
      </w:r>
    </w:p>
    <w:p w14:paraId="569F7BCD" w14:textId="63744A53" w:rsidR="00733BE3" w:rsidRPr="000D54F3" w:rsidRDefault="00733BE3" w:rsidP="00733BE3">
      <w:r>
        <w:t xml:space="preserve">Cumulatively, as of 18 October 2022, 677 cases (1,922 events) involving </w:t>
      </w:r>
      <w:proofErr w:type="spellStart"/>
      <w:r w:rsidR="000D54F3">
        <w:t>Spikevax</w:t>
      </w:r>
      <w:proofErr w:type="spellEnd"/>
      <w:r w:rsidR="000D54F3">
        <w:t xml:space="preserve"> bivalent Original/Omicron BA.4</w:t>
      </w:r>
      <w:r w:rsidR="00B05940">
        <w:t>-</w:t>
      </w:r>
      <w:r w:rsidR="000D54F3">
        <w:t xml:space="preserve">5 vaccine </w:t>
      </w:r>
      <w:r>
        <w:t xml:space="preserve">booster </w:t>
      </w:r>
      <w:r w:rsidR="00BB18E7">
        <w:t>(</w:t>
      </w:r>
      <w:proofErr w:type="spellStart"/>
      <w:r w:rsidR="00BB18E7">
        <w:t>elasomeran</w:t>
      </w:r>
      <w:proofErr w:type="spellEnd"/>
      <w:r w:rsidR="00BB18E7">
        <w:t xml:space="preserve"> and </w:t>
      </w:r>
      <w:proofErr w:type="spellStart"/>
      <w:r w:rsidR="00BB18E7">
        <w:t>davesomeran</w:t>
      </w:r>
      <w:proofErr w:type="spellEnd"/>
      <w:r w:rsidR="00BB18E7">
        <w:t xml:space="preserve">) </w:t>
      </w:r>
      <w:r>
        <w:t xml:space="preserve">were reported to </w:t>
      </w:r>
      <w:r w:rsidRPr="000D54F3">
        <w:t xml:space="preserve">the MAH. Of the 677 cases (1,922 events) reported, 376 cases were medically confirmed, 37 cases (69 events) were serious, and </w:t>
      </w:r>
      <w:r w:rsidR="000D54F3" w:rsidRPr="000D54F3">
        <w:t>two</w:t>
      </w:r>
      <w:r w:rsidRPr="000D54F3">
        <w:t xml:space="preserve"> cases were reported with a fatal outcome. The mean age was 60.3 years (</w:t>
      </w:r>
      <w:r w:rsidR="000D54F3" w:rsidRPr="000D54F3">
        <w:t>standard deviation,</w:t>
      </w:r>
      <w:r w:rsidRPr="000D54F3">
        <w:t xml:space="preserve"> 20.1 years) with a median age of 67 years. Most of the cases were reported in females (295 cases, 43.6%) compared to males (183 cases, 27%), and 199 (29.4%) cases had missing sex information. </w:t>
      </w:r>
      <w:proofErr w:type="gramStart"/>
      <w:r w:rsidRPr="000D54F3">
        <w:t>The majority of</w:t>
      </w:r>
      <w:proofErr w:type="gramEnd"/>
      <w:r w:rsidRPr="000D54F3">
        <w:t xml:space="preserve"> cases were non-serious (640 non</w:t>
      </w:r>
      <w:r w:rsidR="000D54F3" w:rsidRPr="000D54F3">
        <w:t>-</w:t>
      </w:r>
      <w:r w:rsidRPr="000D54F3">
        <w:t xml:space="preserve">serious cases, 94.5%). Cumulatively, the most frequently reported clinical events associated with </w:t>
      </w:r>
      <w:proofErr w:type="spellStart"/>
      <w:r w:rsidR="000D54F3" w:rsidRPr="000D54F3">
        <w:t>Spikevax</w:t>
      </w:r>
      <w:proofErr w:type="spellEnd"/>
      <w:r w:rsidR="000D54F3" w:rsidRPr="000D54F3">
        <w:t xml:space="preserve"> bivalent Original/Omicron BA.4</w:t>
      </w:r>
      <w:r w:rsidR="00B05940">
        <w:t>-</w:t>
      </w:r>
      <w:r w:rsidR="000D54F3" w:rsidRPr="000D54F3">
        <w:t>5 vaccine</w:t>
      </w:r>
      <w:r w:rsidRPr="000D54F3">
        <w:t xml:space="preserve"> booster included pyrexia (2.7%), fatigue (2.3%), vaccination site pain (2.3%), chills (2.2%), and pain in extremity (2.2%). Events coded as </w:t>
      </w:r>
      <w:r w:rsidR="000D54F3" w:rsidRPr="000D54F3">
        <w:t>‘</w:t>
      </w:r>
      <w:r w:rsidRPr="000D54F3">
        <w:t>No adverse event</w:t>
      </w:r>
      <w:r w:rsidR="000D54F3" w:rsidRPr="000D54F3">
        <w:t xml:space="preserve">’ </w:t>
      </w:r>
      <w:r w:rsidRPr="000D54F3">
        <w:t>(18% of all events) were often associated with events involving product administration errors (</w:t>
      </w:r>
      <w:r w:rsidR="000D54F3" w:rsidRPr="000D54F3">
        <w:t>for example</w:t>
      </w:r>
      <w:r w:rsidRPr="000D54F3">
        <w:t>, accidental underdose (9.4%), wrong product administered (2.2%)</w:t>
      </w:r>
      <w:r w:rsidR="000D54F3" w:rsidRPr="000D54F3">
        <w:t xml:space="preserve"> and others</w:t>
      </w:r>
      <w:r w:rsidRPr="000D54F3">
        <w:t>).</w:t>
      </w:r>
    </w:p>
    <w:p w14:paraId="3F5D5C49" w14:textId="7F543A60" w:rsidR="00733BE3" w:rsidRPr="000D54F3" w:rsidRDefault="00733BE3" w:rsidP="00733BE3">
      <w:r w:rsidRPr="000D54F3">
        <w:t xml:space="preserve">The </w:t>
      </w:r>
      <w:r w:rsidR="000D54F3" w:rsidRPr="000D54F3">
        <w:t>two</w:t>
      </w:r>
      <w:r w:rsidRPr="000D54F3">
        <w:t xml:space="preserve"> events (0.1%) with a reported fatal outcome, were both consumer reports and included a female of an unknown age with no medical history reported, and no other information provided by the reported, including vaccine dose, time to onset, clinical course, and cause of death. The second fatal case was reported by a consumer that only mentioned she talked to a gentleman that ended dying and who seems to have blood clot problems. No other information was provided. Upon further review of the report, it was determined the death occurred before </w:t>
      </w:r>
      <w:r w:rsidR="00FC49C4">
        <w:t>EUA</w:t>
      </w:r>
      <w:r w:rsidRPr="000D54F3">
        <w:t xml:space="preserve"> of </w:t>
      </w:r>
      <w:proofErr w:type="spellStart"/>
      <w:r w:rsidR="000D54F3" w:rsidRPr="000D54F3">
        <w:t>Spikevax</w:t>
      </w:r>
      <w:proofErr w:type="spellEnd"/>
      <w:r w:rsidR="000D54F3" w:rsidRPr="000D54F3">
        <w:t xml:space="preserve"> bivalent Original/Omicron BA.4</w:t>
      </w:r>
      <w:r w:rsidR="00B05940">
        <w:t>-</w:t>
      </w:r>
      <w:r w:rsidR="000D54F3" w:rsidRPr="000D54F3">
        <w:t>5 vaccine</w:t>
      </w:r>
      <w:r w:rsidRPr="000D54F3">
        <w:t xml:space="preserve">; the case will be corrected and coded to the original </w:t>
      </w:r>
      <w:r w:rsidR="000D54F3" w:rsidRPr="000D54F3">
        <w:t xml:space="preserve">monovalent </w:t>
      </w:r>
      <w:proofErr w:type="spellStart"/>
      <w:r w:rsidR="000D54F3" w:rsidRPr="000D54F3">
        <w:t>Spikevax</w:t>
      </w:r>
      <w:proofErr w:type="spellEnd"/>
      <w:r w:rsidR="000D54F3" w:rsidRPr="000D54F3">
        <w:t xml:space="preserve"> </w:t>
      </w:r>
      <w:r w:rsidRPr="000D54F3">
        <w:t>vaccine.</w:t>
      </w:r>
    </w:p>
    <w:p w14:paraId="7BAA3D2C" w14:textId="72DEEFA1" w:rsidR="00733BE3" w:rsidRPr="000D54F3" w:rsidRDefault="00733BE3" w:rsidP="00733BE3">
      <w:r w:rsidRPr="000D54F3">
        <w:t>Cumulatively, as per the sponsor, based on the review of information received until 18</w:t>
      </w:r>
      <w:r w:rsidR="00BB18E7">
        <w:t> </w:t>
      </w:r>
      <w:r w:rsidRPr="000D54F3">
        <w:t xml:space="preserve">October 2022, there was no change in the favourable benefit-risk assessment in relation to global safety data referring to </w:t>
      </w:r>
      <w:proofErr w:type="spellStart"/>
      <w:r w:rsidR="000D54F3" w:rsidRPr="000D54F3">
        <w:t>Spikevax</w:t>
      </w:r>
      <w:proofErr w:type="spellEnd"/>
      <w:r w:rsidR="000D54F3" w:rsidRPr="000D54F3">
        <w:t xml:space="preserve"> bivalent Original/Omicron BA.4</w:t>
      </w:r>
      <w:r w:rsidR="00B05940">
        <w:t>-</w:t>
      </w:r>
      <w:r w:rsidR="000D54F3" w:rsidRPr="000D54F3">
        <w:t>5 vaccine booster</w:t>
      </w:r>
      <w:r w:rsidRPr="000D54F3">
        <w:t>. Routine pharmacovigilance monitoring will continue.</w:t>
      </w:r>
    </w:p>
    <w:p w14:paraId="4CF9CD53" w14:textId="6D9BD93D" w:rsidR="00733BE3" w:rsidRPr="000D54F3" w:rsidRDefault="00733BE3" w:rsidP="000D54F3">
      <w:pPr>
        <w:pStyle w:val="Heading5"/>
      </w:pPr>
      <w:r w:rsidRPr="000D54F3">
        <w:t xml:space="preserve">Myocarditis and </w:t>
      </w:r>
      <w:r w:rsidR="00BB18E7">
        <w:t>p</w:t>
      </w:r>
      <w:r w:rsidRPr="000D54F3">
        <w:t>ericarditis</w:t>
      </w:r>
      <w:r w:rsidR="00BB18E7">
        <w:t xml:space="preserve"> adverse events</w:t>
      </w:r>
    </w:p>
    <w:p w14:paraId="08B67D2B" w14:textId="0EE9ECC7" w:rsidR="00733BE3" w:rsidRPr="009138C5" w:rsidRDefault="00733BE3" w:rsidP="00733BE3">
      <w:r w:rsidRPr="000D54F3">
        <w:t xml:space="preserve">As of 18 October 2022, for </w:t>
      </w:r>
      <w:proofErr w:type="spellStart"/>
      <w:r w:rsidR="000D54F3" w:rsidRPr="000D54F3">
        <w:t>Spikevax</w:t>
      </w:r>
      <w:proofErr w:type="spellEnd"/>
      <w:r w:rsidR="000D54F3" w:rsidRPr="000D54F3">
        <w:t xml:space="preserve"> bivalent Original/Omicron BA.4</w:t>
      </w:r>
      <w:r w:rsidR="00B05940">
        <w:t>-</w:t>
      </w:r>
      <w:r w:rsidR="000D54F3" w:rsidRPr="000D54F3">
        <w:t>5 vaccine</w:t>
      </w:r>
      <w:r w:rsidR="00BB18E7">
        <w:t xml:space="preserve"> (</w:t>
      </w:r>
      <w:proofErr w:type="spellStart"/>
      <w:r w:rsidR="00BB18E7">
        <w:t>elasomeran</w:t>
      </w:r>
      <w:proofErr w:type="spellEnd"/>
      <w:r w:rsidR="00BB18E7">
        <w:t xml:space="preserve"> and </w:t>
      </w:r>
      <w:proofErr w:type="spellStart"/>
      <w:r w:rsidR="00BB18E7">
        <w:t>davesomeran</w:t>
      </w:r>
      <w:proofErr w:type="spellEnd"/>
      <w:r w:rsidR="00BB18E7">
        <w:t>)</w:t>
      </w:r>
      <w:r w:rsidR="000D54F3" w:rsidRPr="000D54F3">
        <w:t xml:space="preserve">, </w:t>
      </w:r>
      <w:r w:rsidRPr="000D54F3">
        <w:t>there was one reported case of pericarditis concerning a male of unknown age who</w:t>
      </w:r>
      <w:r>
        <w:t xml:space="preserve"> had a family history of atrial fibrillation and heart rate increased. According to the </w:t>
      </w:r>
      <w:r w:rsidRPr="003E5E7C">
        <w:t>WHO</w:t>
      </w:r>
      <w:r w:rsidR="003E5E7C">
        <w:t>-</w:t>
      </w:r>
      <w:r w:rsidR="003E5E7C" w:rsidRPr="003E5E7C">
        <w:t xml:space="preserve">Uppsala </w:t>
      </w:r>
      <w:r w:rsidR="003E5E7C">
        <w:t>M</w:t>
      </w:r>
      <w:r w:rsidR="003E5E7C" w:rsidRPr="003E5E7C">
        <w:t xml:space="preserve">onitoring </w:t>
      </w:r>
      <w:r w:rsidR="003E5E7C">
        <w:t>C</w:t>
      </w:r>
      <w:r w:rsidR="003E5E7C" w:rsidRPr="003E5E7C">
        <w:t>entre</w:t>
      </w:r>
      <w:r w:rsidRPr="003E5E7C">
        <w:t xml:space="preserve"> standard</w:t>
      </w:r>
      <w:r w:rsidR="004B0233" w:rsidRPr="003E5E7C">
        <w:t>is</w:t>
      </w:r>
      <w:r w:rsidRPr="003E5E7C">
        <w:t>ed case causality assessment,</w:t>
      </w:r>
      <w:r w:rsidR="003E5E7C">
        <w:rPr>
          <w:rStyle w:val="FootnoteReference"/>
        </w:rPr>
        <w:footnoteReference w:id="9"/>
      </w:r>
      <w:r w:rsidRPr="003E5E7C">
        <w:t xml:space="preserve"> this case was assessed as </w:t>
      </w:r>
      <w:r w:rsidR="000D54F3" w:rsidRPr="003E5E7C">
        <w:t>‘</w:t>
      </w:r>
      <w:proofErr w:type="spellStart"/>
      <w:r w:rsidRPr="003E5E7C">
        <w:t>unassessable</w:t>
      </w:r>
      <w:proofErr w:type="spellEnd"/>
      <w:r w:rsidR="000D54F3" w:rsidRPr="003E5E7C">
        <w:t>’</w:t>
      </w:r>
      <w:r w:rsidRPr="003E5E7C">
        <w:t xml:space="preserve"> due to important missing information including exposure information,</w:t>
      </w:r>
      <w:r>
        <w:t xml:space="preserve"> time to onset, laboratory values, medical history, and clinical course. The </w:t>
      </w:r>
      <w:r w:rsidRPr="000D54F3">
        <w:t>MAH will</w:t>
      </w:r>
      <w:r>
        <w:t xml:space="preserve"> continue to monitor for reported cases of myocarditis and pericarditis through routine and enhanced surveillance activities.</w:t>
      </w:r>
    </w:p>
    <w:p w14:paraId="0B5EAE20" w14:textId="77777777" w:rsidR="008E7846" w:rsidRDefault="00386150" w:rsidP="007B6132">
      <w:pPr>
        <w:pStyle w:val="Heading3"/>
        <w:rPr>
          <w:lang w:eastAsia="en-AU"/>
        </w:rPr>
      </w:pPr>
      <w:bookmarkStart w:id="54" w:name="_Toc314842514"/>
      <w:bookmarkStart w:id="55" w:name="_Toc128132180"/>
      <w:r>
        <w:rPr>
          <w:lang w:eastAsia="en-AU"/>
        </w:rPr>
        <w:lastRenderedPageBreak/>
        <w:t>Risk m</w:t>
      </w:r>
      <w:r w:rsidR="008E7846">
        <w:rPr>
          <w:lang w:eastAsia="en-AU"/>
        </w:rPr>
        <w:t xml:space="preserve">anagement </w:t>
      </w:r>
      <w:r>
        <w:rPr>
          <w:lang w:eastAsia="en-AU"/>
        </w:rPr>
        <w:t>p</w:t>
      </w:r>
      <w:r w:rsidR="008E7846">
        <w:rPr>
          <w:lang w:eastAsia="en-AU"/>
        </w:rPr>
        <w:t>lan</w:t>
      </w:r>
      <w:bookmarkEnd w:id="54"/>
      <w:bookmarkEnd w:id="55"/>
    </w:p>
    <w:p w14:paraId="1729BB64" w14:textId="3F2D4C42" w:rsidR="009B217A" w:rsidRPr="009B217A" w:rsidRDefault="009B217A" w:rsidP="009B217A">
      <w:bookmarkStart w:id="56" w:name="_Toc247691531"/>
      <w:bookmarkStart w:id="57" w:name="_Toc314842515"/>
      <w:bookmarkStart w:id="58" w:name="_Toc196046505"/>
      <w:bookmarkStart w:id="59" w:name="_Toc196046949"/>
      <w:r>
        <w:t>The sponsor</w:t>
      </w:r>
      <w:r w:rsidRPr="009B217A">
        <w:t xml:space="preserve"> has submitted EU-</w:t>
      </w:r>
      <w:r>
        <w:t>risk management plan (</w:t>
      </w:r>
      <w:r w:rsidRPr="009B217A">
        <w:t>RMP</w:t>
      </w:r>
      <w:r>
        <w:t>)</w:t>
      </w:r>
      <w:r w:rsidRPr="009B217A">
        <w:t xml:space="preserve"> version 6.1 (dated 30</w:t>
      </w:r>
      <w:r w:rsidR="00BB18E7">
        <w:t> </w:t>
      </w:r>
      <w:r w:rsidRPr="009B217A">
        <w:t xml:space="preserve">October 2022; </w:t>
      </w:r>
      <w:r>
        <w:t>data lock point (</w:t>
      </w:r>
      <w:r w:rsidRPr="009B217A">
        <w:t>DLP</w:t>
      </w:r>
      <w:r>
        <w:t>)</w:t>
      </w:r>
      <w:r w:rsidRPr="009B217A">
        <w:t xml:space="preserve"> 12 September 2022) and </w:t>
      </w:r>
      <w:r>
        <w:t>Australia specific annex (</w:t>
      </w:r>
      <w:r w:rsidRPr="009B217A">
        <w:t>ASA</w:t>
      </w:r>
      <w:r>
        <w:t>)</w:t>
      </w:r>
      <w:r w:rsidRPr="009B217A">
        <w:t xml:space="preserve"> version 1.0 (dated 22 November 2022) in support of this application.</w:t>
      </w:r>
    </w:p>
    <w:p w14:paraId="323D51F8" w14:textId="47D36222" w:rsidR="009B217A" w:rsidRPr="009B217A" w:rsidRDefault="009B217A" w:rsidP="009B217A">
      <w:r>
        <w:t>At second of RMP evaluation</w:t>
      </w:r>
      <w:r w:rsidRPr="009B217A">
        <w:t>, sponsor has provided EU-RMP version 6.3 (dated 6</w:t>
      </w:r>
      <w:r w:rsidR="00BB18E7">
        <w:t> </w:t>
      </w:r>
      <w:r w:rsidRPr="009B217A">
        <w:t>December 2022; DLP 17 September 2022) and ASA version 1.1 (dated 7 December 2022) and version 1.2 (dated 20 December 2022).</w:t>
      </w:r>
    </w:p>
    <w:p w14:paraId="2DF3050D" w14:textId="47922734" w:rsidR="0074163C" w:rsidRDefault="0074163C" w:rsidP="009B217A">
      <w:r>
        <w:t>The summary of safety concerns and their associated risk monitoring and mitigation strategies are summarised in</w:t>
      </w:r>
      <w:r w:rsidR="009B217A">
        <w:t xml:space="preserve"> </w:t>
      </w:r>
      <w:r w:rsidR="009B217A">
        <w:fldChar w:fldCharType="begin"/>
      </w:r>
      <w:r w:rsidR="009B217A">
        <w:instrText xml:space="preserve"> REF _Ref97629131 \h </w:instrText>
      </w:r>
      <w:r w:rsidR="009B217A">
        <w:fldChar w:fldCharType="separate"/>
      </w:r>
      <w:r w:rsidR="00AA4DFB">
        <w:t xml:space="preserve">Table </w:t>
      </w:r>
      <w:r w:rsidR="00AA4DFB">
        <w:rPr>
          <w:noProof/>
        </w:rPr>
        <w:t>18</w:t>
      </w:r>
      <w:r w:rsidR="009B217A">
        <w:fldChar w:fldCharType="end"/>
      </w:r>
      <w:r>
        <w:t xml:space="preserve">. Further information regarding </w:t>
      </w:r>
      <w:r w:rsidR="00CC5044">
        <w:t>the TGA</w:t>
      </w:r>
      <w:r w:rsidR="00BF7063">
        <w:t>’</w:t>
      </w:r>
      <w:r w:rsidR="00CC5044">
        <w:t>s r</w:t>
      </w:r>
      <w:r>
        <w:t xml:space="preserve">isk management approach can be found in </w:t>
      </w:r>
      <w:hyperlink r:id="rId41" w:history="1">
        <w:r w:rsidRPr="0023444E">
          <w:rPr>
            <w:rStyle w:val="Hyperlink"/>
          </w:rPr>
          <w:t>risk management plans for medicines and biologicals</w:t>
        </w:r>
      </w:hyperlink>
      <w:r>
        <w:t xml:space="preserve"> and </w:t>
      </w:r>
      <w:hyperlink r:id="rId42" w:history="1">
        <w:r w:rsidRPr="0023444E">
          <w:rPr>
            <w:rStyle w:val="Hyperlink"/>
          </w:rPr>
          <w:t>the TGA's risk management approach</w:t>
        </w:r>
      </w:hyperlink>
      <w:r>
        <w:t>.</w:t>
      </w:r>
    </w:p>
    <w:p w14:paraId="5F159338" w14:textId="614A2E90" w:rsidR="0074163C" w:rsidRDefault="0074163C" w:rsidP="0074163C">
      <w:pPr>
        <w:pStyle w:val="TableTitle"/>
      </w:pPr>
      <w:bookmarkStart w:id="60" w:name="_Ref97629131"/>
      <w:r>
        <w:t xml:space="preserve">Table </w:t>
      </w:r>
      <w:fldSimple w:instr=" SEQ Table \* ARABIC ">
        <w:r w:rsidR="00AA4DFB">
          <w:rPr>
            <w:noProof/>
          </w:rPr>
          <w:t>18</w:t>
        </w:r>
      </w:fldSimple>
      <w:bookmarkEnd w:id="60"/>
      <w:r>
        <w:t>: Summary of safety concerns</w:t>
      </w:r>
    </w:p>
    <w:tbl>
      <w:tblPr>
        <w:tblStyle w:val="TableTGAblue"/>
        <w:tblW w:w="5000" w:type="pct"/>
        <w:tblLook w:val="04A0" w:firstRow="1" w:lastRow="0" w:firstColumn="1" w:lastColumn="0" w:noHBand="0" w:noVBand="1"/>
      </w:tblPr>
      <w:tblGrid>
        <w:gridCol w:w="1612"/>
        <w:gridCol w:w="2513"/>
        <w:gridCol w:w="992"/>
        <w:gridCol w:w="1193"/>
        <w:gridCol w:w="992"/>
        <w:gridCol w:w="1192"/>
      </w:tblGrid>
      <w:tr w:rsidR="009B217A" w:rsidRPr="009544A3" w14:paraId="435BE1E4" w14:textId="77777777" w:rsidTr="009B217A">
        <w:trPr>
          <w:cnfStyle w:val="100000000000" w:firstRow="1" w:lastRow="0" w:firstColumn="0" w:lastColumn="0" w:oddVBand="0" w:evenVBand="0" w:oddHBand="0" w:evenHBand="0" w:firstRowFirstColumn="0" w:firstRowLastColumn="0" w:lastRowFirstColumn="0" w:lastRowLastColumn="0"/>
          <w:trHeight w:val="131"/>
        </w:trPr>
        <w:tc>
          <w:tcPr>
            <w:tcW w:w="2429" w:type="pct"/>
            <w:gridSpan w:val="2"/>
            <w:vMerge w:val="restart"/>
            <w:tcBorders>
              <w:top w:val="single" w:sz="4" w:space="0" w:color="auto"/>
              <w:left w:val="single" w:sz="4" w:space="0" w:color="auto"/>
              <w:bottom w:val="single" w:sz="4" w:space="0" w:color="auto"/>
              <w:right w:val="single" w:sz="4" w:space="0" w:color="auto"/>
            </w:tcBorders>
          </w:tcPr>
          <w:p w14:paraId="514DC947" w14:textId="77777777" w:rsidR="009B217A" w:rsidRPr="009544A3" w:rsidRDefault="009B217A" w:rsidP="00963637">
            <w:pPr>
              <w:pStyle w:val="Tabletext"/>
              <w:rPr>
                <w:b w:val="0"/>
              </w:rPr>
            </w:pPr>
            <w:r w:rsidRPr="009544A3">
              <w:t>Summary of safety concerns</w:t>
            </w:r>
          </w:p>
        </w:tc>
        <w:tc>
          <w:tcPr>
            <w:tcW w:w="1286" w:type="pct"/>
            <w:gridSpan w:val="2"/>
            <w:tcBorders>
              <w:top w:val="single" w:sz="4" w:space="0" w:color="auto"/>
              <w:left w:val="single" w:sz="4" w:space="0" w:color="auto"/>
              <w:bottom w:val="single" w:sz="4" w:space="0" w:color="auto"/>
              <w:right w:val="single" w:sz="4" w:space="0" w:color="auto"/>
            </w:tcBorders>
          </w:tcPr>
          <w:p w14:paraId="302F9750" w14:textId="77777777" w:rsidR="009B217A" w:rsidRPr="009544A3" w:rsidRDefault="009B217A" w:rsidP="00963637">
            <w:pPr>
              <w:pStyle w:val="Tabletext"/>
              <w:rPr>
                <w:b w:val="0"/>
                <w:sz w:val="18"/>
              </w:rPr>
            </w:pPr>
            <w:r w:rsidRPr="009544A3">
              <w:rPr>
                <w:sz w:val="18"/>
              </w:rPr>
              <w:t>Pharmacovigilance</w:t>
            </w:r>
          </w:p>
        </w:tc>
        <w:tc>
          <w:tcPr>
            <w:tcW w:w="1286" w:type="pct"/>
            <w:gridSpan w:val="2"/>
            <w:tcBorders>
              <w:top w:val="single" w:sz="4" w:space="0" w:color="auto"/>
              <w:left w:val="single" w:sz="4" w:space="0" w:color="auto"/>
              <w:bottom w:val="single" w:sz="4" w:space="0" w:color="auto"/>
              <w:right w:val="single" w:sz="4" w:space="0" w:color="auto"/>
            </w:tcBorders>
          </w:tcPr>
          <w:p w14:paraId="2CCCAED5" w14:textId="77777777" w:rsidR="009B217A" w:rsidRPr="009544A3" w:rsidRDefault="009B217A" w:rsidP="00963637">
            <w:pPr>
              <w:pStyle w:val="Tabletext"/>
              <w:rPr>
                <w:b w:val="0"/>
                <w:sz w:val="18"/>
              </w:rPr>
            </w:pPr>
            <w:r w:rsidRPr="009544A3">
              <w:rPr>
                <w:sz w:val="18"/>
              </w:rPr>
              <w:t>Risk Minimisation</w:t>
            </w:r>
          </w:p>
        </w:tc>
      </w:tr>
      <w:tr w:rsidR="009B217A" w:rsidRPr="009544A3" w14:paraId="1E9E5C83" w14:textId="77777777" w:rsidTr="009B217A">
        <w:trPr>
          <w:trHeight w:val="150"/>
        </w:trPr>
        <w:tc>
          <w:tcPr>
            <w:tcW w:w="2429" w:type="pct"/>
            <w:gridSpan w:val="2"/>
            <w:vMerge/>
            <w:tcBorders>
              <w:top w:val="single" w:sz="4" w:space="0" w:color="auto"/>
              <w:left w:val="single" w:sz="4" w:space="0" w:color="auto"/>
              <w:bottom w:val="single" w:sz="4" w:space="0" w:color="auto"/>
              <w:right w:val="single" w:sz="4" w:space="0" w:color="auto"/>
            </w:tcBorders>
          </w:tcPr>
          <w:p w14:paraId="36F5D0BB" w14:textId="77777777" w:rsidR="009B217A" w:rsidRPr="009544A3" w:rsidRDefault="009B217A" w:rsidP="00963637">
            <w:pPr>
              <w:pStyle w:val="Tabletext"/>
              <w:rPr>
                <w:b/>
              </w:rPr>
            </w:pPr>
          </w:p>
        </w:tc>
        <w:tc>
          <w:tcPr>
            <w:tcW w:w="584" w:type="pct"/>
            <w:tcBorders>
              <w:top w:val="single" w:sz="4" w:space="0" w:color="auto"/>
              <w:left w:val="single" w:sz="4" w:space="0" w:color="auto"/>
              <w:bottom w:val="single" w:sz="4" w:space="0" w:color="auto"/>
              <w:right w:val="single" w:sz="4" w:space="0" w:color="auto"/>
            </w:tcBorders>
            <w:shd w:val="clear" w:color="auto" w:fill="006DA7"/>
          </w:tcPr>
          <w:p w14:paraId="0F5554CD" w14:textId="77777777" w:rsidR="009B217A" w:rsidRPr="009B217A" w:rsidRDefault="009B217A" w:rsidP="009B217A">
            <w:pPr>
              <w:pStyle w:val="Tabletext"/>
              <w:ind w:left="0"/>
              <w:rPr>
                <w:color w:val="FFFFFF" w:themeColor="background1"/>
                <w:sz w:val="18"/>
              </w:rPr>
            </w:pPr>
            <w:r w:rsidRPr="009B217A">
              <w:rPr>
                <w:color w:val="FFFFFF" w:themeColor="background1"/>
                <w:sz w:val="18"/>
              </w:rPr>
              <w:t>Routine</w:t>
            </w:r>
          </w:p>
        </w:tc>
        <w:tc>
          <w:tcPr>
            <w:tcW w:w="702" w:type="pct"/>
            <w:tcBorders>
              <w:top w:val="single" w:sz="4" w:space="0" w:color="auto"/>
              <w:left w:val="single" w:sz="4" w:space="0" w:color="auto"/>
              <w:bottom w:val="single" w:sz="4" w:space="0" w:color="auto"/>
              <w:right w:val="single" w:sz="4" w:space="0" w:color="auto"/>
            </w:tcBorders>
            <w:shd w:val="clear" w:color="auto" w:fill="006DA7"/>
          </w:tcPr>
          <w:p w14:paraId="57A2FF28" w14:textId="77777777" w:rsidR="009B217A" w:rsidRPr="009B217A" w:rsidRDefault="009B217A" w:rsidP="009B217A">
            <w:pPr>
              <w:pStyle w:val="Tabletext"/>
              <w:ind w:left="0"/>
              <w:rPr>
                <w:color w:val="FFFFFF" w:themeColor="background1"/>
                <w:sz w:val="18"/>
              </w:rPr>
            </w:pPr>
            <w:r w:rsidRPr="009B217A">
              <w:rPr>
                <w:color w:val="FFFFFF" w:themeColor="background1"/>
                <w:sz w:val="18"/>
              </w:rPr>
              <w:t>Additional</w:t>
            </w:r>
          </w:p>
        </w:tc>
        <w:tc>
          <w:tcPr>
            <w:tcW w:w="584" w:type="pct"/>
            <w:tcBorders>
              <w:top w:val="single" w:sz="4" w:space="0" w:color="auto"/>
              <w:left w:val="single" w:sz="4" w:space="0" w:color="auto"/>
              <w:bottom w:val="single" w:sz="4" w:space="0" w:color="auto"/>
              <w:right w:val="single" w:sz="4" w:space="0" w:color="auto"/>
            </w:tcBorders>
            <w:shd w:val="clear" w:color="auto" w:fill="006DA7"/>
          </w:tcPr>
          <w:p w14:paraId="232394B3" w14:textId="77777777" w:rsidR="009B217A" w:rsidRPr="009B217A" w:rsidRDefault="009B217A" w:rsidP="009B217A">
            <w:pPr>
              <w:pStyle w:val="Tabletext"/>
              <w:ind w:left="0"/>
              <w:rPr>
                <w:color w:val="FFFFFF" w:themeColor="background1"/>
                <w:sz w:val="18"/>
              </w:rPr>
            </w:pPr>
            <w:r w:rsidRPr="009B217A">
              <w:rPr>
                <w:color w:val="FFFFFF" w:themeColor="background1"/>
                <w:sz w:val="18"/>
              </w:rPr>
              <w:t>Routine</w:t>
            </w:r>
          </w:p>
        </w:tc>
        <w:tc>
          <w:tcPr>
            <w:tcW w:w="702" w:type="pct"/>
            <w:tcBorders>
              <w:top w:val="single" w:sz="4" w:space="0" w:color="auto"/>
              <w:left w:val="single" w:sz="4" w:space="0" w:color="auto"/>
              <w:bottom w:val="single" w:sz="4" w:space="0" w:color="auto"/>
              <w:right w:val="single" w:sz="4" w:space="0" w:color="auto"/>
            </w:tcBorders>
            <w:shd w:val="clear" w:color="auto" w:fill="006DA7"/>
          </w:tcPr>
          <w:p w14:paraId="270C5179" w14:textId="77777777" w:rsidR="009B217A" w:rsidRPr="009B217A" w:rsidRDefault="009B217A" w:rsidP="009B217A">
            <w:pPr>
              <w:pStyle w:val="Tabletext"/>
              <w:ind w:left="0"/>
              <w:rPr>
                <w:color w:val="FFFFFF" w:themeColor="background1"/>
                <w:sz w:val="18"/>
              </w:rPr>
            </w:pPr>
            <w:r w:rsidRPr="009B217A">
              <w:rPr>
                <w:color w:val="FFFFFF" w:themeColor="background1"/>
                <w:sz w:val="18"/>
              </w:rPr>
              <w:t>Additional</w:t>
            </w:r>
          </w:p>
        </w:tc>
      </w:tr>
      <w:tr w:rsidR="009B217A" w:rsidRPr="009544A3" w14:paraId="3B3AF2C0" w14:textId="77777777" w:rsidTr="009B217A">
        <w:trPr>
          <w:trHeight w:val="137"/>
        </w:trPr>
        <w:tc>
          <w:tcPr>
            <w:tcW w:w="949" w:type="pct"/>
            <w:vMerge w:val="restart"/>
            <w:tcBorders>
              <w:top w:val="single" w:sz="4" w:space="0" w:color="auto"/>
            </w:tcBorders>
          </w:tcPr>
          <w:p w14:paraId="3C4FC0FE" w14:textId="77777777" w:rsidR="009B217A" w:rsidRPr="009544A3" w:rsidRDefault="009B217A" w:rsidP="00963637">
            <w:pPr>
              <w:pStyle w:val="Tabletext"/>
              <w:rPr>
                <w:b/>
              </w:rPr>
            </w:pPr>
            <w:r w:rsidRPr="009544A3">
              <w:rPr>
                <w:b/>
              </w:rPr>
              <w:t>Important identified risks</w:t>
            </w:r>
          </w:p>
        </w:tc>
        <w:tc>
          <w:tcPr>
            <w:tcW w:w="1480" w:type="pct"/>
            <w:tcBorders>
              <w:top w:val="single" w:sz="4" w:space="0" w:color="auto"/>
            </w:tcBorders>
          </w:tcPr>
          <w:p w14:paraId="5AAB9AFA" w14:textId="77777777" w:rsidR="009B217A" w:rsidRPr="009544A3" w:rsidRDefault="009B217A" w:rsidP="00963637">
            <w:pPr>
              <w:pStyle w:val="Tabletext"/>
            </w:pPr>
            <w:r w:rsidRPr="009544A3">
              <w:t>Myocarditis</w:t>
            </w:r>
          </w:p>
        </w:tc>
        <w:tc>
          <w:tcPr>
            <w:tcW w:w="584" w:type="pct"/>
            <w:tcBorders>
              <w:top w:val="single" w:sz="4" w:space="0" w:color="auto"/>
            </w:tcBorders>
          </w:tcPr>
          <w:p w14:paraId="04654656" w14:textId="77777777" w:rsidR="009B217A" w:rsidRPr="009544A3" w:rsidRDefault="009B217A" w:rsidP="00963637">
            <w:pPr>
              <w:pStyle w:val="Tabletext"/>
              <w:jc w:val="center"/>
              <w:rPr>
                <w:vertAlign w:val="superscript"/>
              </w:rPr>
            </w:pPr>
            <w:r w:rsidRPr="009544A3">
              <w:sym w:font="Wingdings" w:char="F0FC"/>
            </w:r>
            <w:r w:rsidRPr="009544A3">
              <w:rPr>
                <w:vertAlign w:val="superscript"/>
              </w:rPr>
              <w:t>1</w:t>
            </w:r>
          </w:p>
        </w:tc>
        <w:tc>
          <w:tcPr>
            <w:tcW w:w="702" w:type="pct"/>
            <w:tcBorders>
              <w:top w:val="single" w:sz="4" w:space="0" w:color="auto"/>
            </w:tcBorders>
          </w:tcPr>
          <w:p w14:paraId="3C47F8BB" w14:textId="77777777" w:rsidR="009B217A" w:rsidRPr="00220CEA" w:rsidRDefault="009B217A" w:rsidP="00963637">
            <w:pPr>
              <w:pStyle w:val="Tabletext"/>
              <w:jc w:val="center"/>
              <w:rPr>
                <w:vertAlign w:val="superscript"/>
              </w:rPr>
            </w:pPr>
            <w:r w:rsidRPr="009544A3">
              <w:sym w:font="Wingdings" w:char="F0FC"/>
            </w:r>
            <w:r>
              <w:rPr>
                <w:vertAlign w:val="superscript"/>
              </w:rPr>
              <w:t>2</w:t>
            </w:r>
          </w:p>
        </w:tc>
        <w:tc>
          <w:tcPr>
            <w:tcW w:w="584" w:type="pct"/>
            <w:tcBorders>
              <w:top w:val="single" w:sz="4" w:space="0" w:color="auto"/>
            </w:tcBorders>
          </w:tcPr>
          <w:p w14:paraId="301DED36" w14:textId="77777777" w:rsidR="009B217A" w:rsidRPr="009544A3" w:rsidRDefault="009B217A" w:rsidP="00963637">
            <w:pPr>
              <w:pStyle w:val="Tabletext"/>
              <w:jc w:val="center"/>
            </w:pPr>
            <w:r w:rsidRPr="009544A3">
              <w:sym w:font="Wingdings" w:char="F0FC"/>
            </w:r>
          </w:p>
        </w:tc>
        <w:tc>
          <w:tcPr>
            <w:tcW w:w="702" w:type="pct"/>
            <w:tcBorders>
              <w:top w:val="single" w:sz="4" w:space="0" w:color="auto"/>
            </w:tcBorders>
          </w:tcPr>
          <w:p w14:paraId="0721EAD7" w14:textId="77777777" w:rsidR="009B217A" w:rsidRPr="009544A3" w:rsidRDefault="009B217A" w:rsidP="00963637">
            <w:pPr>
              <w:pStyle w:val="Tabletext"/>
              <w:jc w:val="center"/>
            </w:pPr>
            <w:r w:rsidRPr="009544A3">
              <w:t>–</w:t>
            </w:r>
          </w:p>
        </w:tc>
      </w:tr>
      <w:tr w:rsidR="009B217A" w:rsidRPr="009544A3" w14:paraId="47D32131" w14:textId="77777777" w:rsidTr="009B217A">
        <w:trPr>
          <w:trHeight w:val="187"/>
        </w:trPr>
        <w:tc>
          <w:tcPr>
            <w:tcW w:w="949" w:type="pct"/>
            <w:vMerge/>
          </w:tcPr>
          <w:p w14:paraId="5F7F95E0" w14:textId="77777777" w:rsidR="009B217A" w:rsidRPr="009544A3" w:rsidRDefault="009B217A" w:rsidP="00963637">
            <w:pPr>
              <w:pStyle w:val="Tabletext"/>
              <w:rPr>
                <w:b/>
              </w:rPr>
            </w:pPr>
          </w:p>
        </w:tc>
        <w:tc>
          <w:tcPr>
            <w:tcW w:w="1480" w:type="pct"/>
          </w:tcPr>
          <w:p w14:paraId="3CA5A252" w14:textId="77777777" w:rsidR="009B217A" w:rsidRPr="009544A3" w:rsidRDefault="009B217A" w:rsidP="00963637">
            <w:pPr>
              <w:pStyle w:val="Tabletext"/>
            </w:pPr>
            <w:r w:rsidRPr="009544A3">
              <w:t>Pericarditis</w:t>
            </w:r>
          </w:p>
        </w:tc>
        <w:tc>
          <w:tcPr>
            <w:tcW w:w="584" w:type="pct"/>
          </w:tcPr>
          <w:p w14:paraId="3950E580" w14:textId="77777777" w:rsidR="009B217A" w:rsidRPr="009544A3" w:rsidRDefault="009B217A" w:rsidP="00963637">
            <w:pPr>
              <w:pStyle w:val="Tabletext"/>
              <w:jc w:val="center"/>
              <w:rPr>
                <w:vertAlign w:val="superscript"/>
              </w:rPr>
            </w:pPr>
            <w:r w:rsidRPr="009544A3">
              <w:sym w:font="Wingdings" w:char="F0FC"/>
            </w:r>
            <w:r w:rsidRPr="009544A3">
              <w:rPr>
                <w:vertAlign w:val="superscript"/>
              </w:rPr>
              <w:t>1</w:t>
            </w:r>
          </w:p>
        </w:tc>
        <w:tc>
          <w:tcPr>
            <w:tcW w:w="702" w:type="pct"/>
          </w:tcPr>
          <w:p w14:paraId="6F8144CD" w14:textId="77777777" w:rsidR="009B217A" w:rsidRPr="00220CEA" w:rsidRDefault="009B217A" w:rsidP="00963637">
            <w:pPr>
              <w:pStyle w:val="Tabletext"/>
              <w:jc w:val="center"/>
              <w:rPr>
                <w:vertAlign w:val="superscript"/>
              </w:rPr>
            </w:pPr>
            <w:r w:rsidRPr="009544A3">
              <w:sym w:font="Wingdings" w:char="F0FC"/>
            </w:r>
            <w:r>
              <w:rPr>
                <w:vertAlign w:val="superscript"/>
              </w:rPr>
              <w:t>2</w:t>
            </w:r>
          </w:p>
        </w:tc>
        <w:tc>
          <w:tcPr>
            <w:tcW w:w="584" w:type="pct"/>
          </w:tcPr>
          <w:p w14:paraId="4D395C7D" w14:textId="77777777" w:rsidR="009B217A" w:rsidRPr="009544A3" w:rsidRDefault="009B217A" w:rsidP="00963637">
            <w:pPr>
              <w:pStyle w:val="Tabletext"/>
              <w:jc w:val="center"/>
            </w:pPr>
            <w:r w:rsidRPr="009544A3">
              <w:sym w:font="Wingdings" w:char="F0FC"/>
            </w:r>
          </w:p>
        </w:tc>
        <w:tc>
          <w:tcPr>
            <w:tcW w:w="702" w:type="pct"/>
          </w:tcPr>
          <w:p w14:paraId="2C9E1688" w14:textId="77777777" w:rsidR="009B217A" w:rsidRPr="009544A3" w:rsidRDefault="009B217A" w:rsidP="00963637">
            <w:pPr>
              <w:pStyle w:val="Tabletext"/>
              <w:jc w:val="center"/>
            </w:pPr>
            <w:r w:rsidRPr="009544A3">
              <w:t>–</w:t>
            </w:r>
          </w:p>
        </w:tc>
      </w:tr>
      <w:tr w:rsidR="009B217A" w:rsidRPr="009544A3" w14:paraId="5002BED5" w14:textId="77777777" w:rsidTr="009B217A">
        <w:trPr>
          <w:trHeight w:val="721"/>
        </w:trPr>
        <w:tc>
          <w:tcPr>
            <w:tcW w:w="949" w:type="pct"/>
          </w:tcPr>
          <w:p w14:paraId="09AD4113" w14:textId="77777777" w:rsidR="009B217A" w:rsidRPr="009544A3" w:rsidRDefault="009B217A" w:rsidP="00963637">
            <w:pPr>
              <w:pStyle w:val="Tabletext"/>
              <w:rPr>
                <w:b/>
              </w:rPr>
            </w:pPr>
            <w:r w:rsidRPr="009544A3">
              <w:rPr>
                <w:b/>
              </w:rPr>
              <w:t>Important potential risks</w:t>
            </w:r>
          </w:p>
        </w:tc>
        <w:tc>
          <w:tcPr>
            <w:tcW w:w="1480" w:type="pct"/>
          </w:tcPr>
          <w:p w14:paraId="56A63B6F" w14:textId="77777777" w:rsidR="009B217A" w:rsidRPr="009544A3" w:rsidRDefault="009B217A" w:rsidP="00963637">
            <w:pPr>
              <w:autoSpaceDE w:val="0"/>
              <w:autoSpaceDN w:val="0"/>
              <w:adjustRightInd w:val="0"/>
              <w:rPr>
                <w:rFonts w:eastAsia="Times New Roman"/>
                <w:snapToGrid w:val="0"/>
                <w:sz w:val="20"/>
                <w:szCs w:val="24"/>
              </w:rPr>
            </w:pPr>
            <w:r w:rsidRPr="009544A3">
              <w:rPr>
                <w:rFonts w:eastAsia="Times New Roman"/>
                <w:snapToGrid w:val="0"/>
                <w:sz w:val="20"/>
                <w:szCs w:val="24"/>
              </w:rPr>
              <w:t>Vaccine-associated enhanced</w:t>
            </w:r>
          </w:p>
          <w:p w14:paraId="424300BE" w14:textId="77777777" w:rsidR="009B217A" w:rsidRPr="009544A3" w:rsidRDefault="009B217A" w:rsidP="00963637">
            <w:pPr>
              <w:autoSpaceDE w:val="0"/>
              <w:autoSpaceDN w:val="0"/>
              <w:adjustRightInd w:val="0"/>
              <w:rPr>
                <w:rFonts w:eastAsia="Times New Roman"/>
                <w:snapToGrid w:val="0"/>
                <w:sz w:val="20"/>
                <w:szCs w:val="24"/>
              </w:rPr>
            </w:pPr>
            <w:r w:rsidRPr="009544A3">
              <w:rPr>
                <w:rFonts w:eastAsia="Times New Roman"/>
                <w:snapToGrid w:val="0"/>
                <w:sz w:val="20"/>
                <w:szCs w:val="24"/>
              </w:rPr>
              <w:t>disease (VAED) including vaccine associated</w:t>
            </w:r>
          </w:p>
          <w:p w14:paraId="1F8056B0" w14:textId="77777777" w:rsidR="009B217A" w:rsidRPr="009544A3" w:rsidRDefault="009B217A" w:rsidP="00963637">
            <w:pPr>
              <w:autoSpaceDE w:val="0"/>
              <w:autoSpaceDN w:val="0"/>
              <w:adjustRightInd w:val="0"/>
              <w:rPr>
                <w:rFonts w:eastAsia="Times New Roman"/>
                <w:snapToGrid w:val="0"/>
                <w:sz w:val="20"/>
                <w:szCs w:val="24"/>
              </w:rPr>
            </w:pPr>
            <w:r w:rsidRPr="009544A3">
              <w:rPr>
                <w:rFonts w:eastAsia="Times New Roman"/>
                <w:snapToGrid w:val="0"/>
                <w:sz w:val="20"/>
                <w:szCs w:val="24"/>
              </w:rPr>
              <w:t>enhanced respiratory disease (VAERD)</w:t>
            </w:r>
          </w:p>
        </w:tc>
        <w:tc>
          <w:tcPr>
            <w:tcW w:w="584" w:type="pct"/>
          </w:tcPr>
          <w:p w14:paraId="198A535D" w14:textId="77777777" w:rsidR="009B217A" w:rsidRPr="009544A3" w:rsidRDefault="009B217A" w:rsidP="00963637">
            <w:pPr>
              <w:pStyle w:val="Tabletext"/>
              <w:jc w:val="center"/>
            </w:pPr>
          </w:p>
          <w:p w14:paraId="6AACDDD1" w14:textId="77777777" w:rsidR="009B217A" w:rsidRPr="00B63669" w:rsidRDefault="009B217A" w:rsidP="00963637">
            <w:pPr>
              <w:pStyle w:val="Tabletext"/>
              <w:jc w:val="center"/>
              <w:rPr>
                <w:vertAlign w:val="superscript"/>
              </w:rPr>
            </w:pPr>
            <w:r w:rsidRPr="009544A3">
              <w:sym w:font="Wingdings" w:char="F0FC"/>
            </w:r>
            <w:r>
              <w:rPr>
                <w:vertAlign w:val="superscript"/>
              </w:rPr>
              <w:t>1</w:t>
            </w:r>
          </w:p>
        </w:tc>
        <w:tc>
          <w:tcPr>
            <w:tcW w:w="702" w:type="pct"/>
          </w:tcPr>
          <w:p w14:paraId="04C67C43" w14:textId="77777777" w:rsidR="009B217A" w:rsidRPr="009544A3" w:rsidRDefault="009B217A" w:rsidP="00963637">
            <w:pPr>
              <w:pStyle w:val="Tabletext"/>
              <w:jc w:val="center"/>
            </w:pPr>
          </w:p>
          <w:p w14:paraId="4D99C7F1" w14:textId="77777777" w:rsidR="009B217A" w:rsidRPr="00220CEA" w:rsidRDefault="009B217A" w:rsidP="00963637">
            <w:pPr>
              <w:pStyle w:val="Tabletext"/>
              <w:jc w:val="center"/>
              <w:rPr>
                <w:vertAlign w:val="superscript"/>
              </w:rPr>
            </w:pPr>
            <w:r w:rsidRPr="009544A3">
              <w:sym w:font="Wingdings" w:char="F0FC"/>
            </w:r>
            <w:r>
              <w:rPr>
                <w:vertAlign w:val="superscript"/>
              </w:rPr>
              <w:t>2</w:t>
            </w:r>
          </w:p>
        </w:tc>
        <w:tc>
          <w:tcPr>
            <w:tcW w:w="584" w:type="pct"/>
          </w:tcPr>
          <w:p w14:paraId="1F984BD5" w14:textId="77777777" w:rsidR="009B217A" w:rsidRPr="009544A3" w:rsidRDefault="009B217A" w:rsidP="00963637">
            <w:pPr>
              <w:pStyle w:val="Tabletext"/>
              <w:jc w:val="center"/>
            </w:pPr>
          </w:p>
          <w:p w14:paraId="30A1F7B5" w14:textId="77777777" w:rsidR="009B217A" w:rsidRPr="009544A3" w:rsidRDefault="009B217A" w:rsidP="00963637">
            <w:pPr>
              <w:pStyle w:val="Tabletext"/>
              <w:jc w:val="center"/>
            </w:pPr>
            <w:r w:rsidRPr="009544A3">
              <w:t>–</w:t>
            </w:r>
          </w:p>
        </w:tc>
        <w:tc>
          <w:tcPr>
            <w:tcW w:w="702" w:type="pct"/>
          </w:tcPr>
          <w:p w14:paraId="50A89F9D" w14:textId="77777777" w:rsidR="009B217A" w:rsidRDefault="009B217A" w:rsidP="00963637">
            <w:pPr>
              <w:pStyle w:val="Tabletext"/>
              <w:jc w:val="center"/>
            </w:pPr>
          </w:p>
          <w:p w14:paraId="70002119" w14:textId="77777777" w:rsidR="009B217A" w:rsidRPr="009544A3" w:rsidRDefault="009B217A" w:rsidP="00963637">
            <w:pPr>
              <w:pStyle w:val="Tabletext"/>
              <w:jc w:val="center"/>
            </w:pPr>
            <w:r w:rsidRPr="009544A3">
              <w:t>–</w:t>
            </w:r>
          </w:p>
        </w:tc>
      </w:tr>
      <w:tr w:rsidR="009B217A" w:rsidRPr="009544A3" w14:paraId="50AE6246" w14:textId="77777777" w:rsidTr="009B217A">
        <w:trPr>
          <w:trHeight w:val="178"/>
        </w:trPr>
        <w:tc>
          <w:tcPr>
            <w:tcW w:w="949" w:type="pct"/>
            <w:vMerge w:val="restart"/>
          </w:tcPr>
          <w:p w14:paraId="145FC9DF" w14:textId="77777777" w:rsidR="009B217A" w:rsidRPr="009544A3" w:rsidRDefault="009B217A" w:rsidP="00963637">
            <w:pPr>
              <w:pStyle w:val="Tabletext"/>
              <w:rPr>
                <w:b/>
              </w:rPr>
            </w:pPr>
            <w:r w:rsidRPr="009544A3">
              <w:rPr>
                <w:b/>
              </w:rPr>
              <w:t>Missing information</w:t>
            </w:r>
          </w:p>
        </w:tc>
        <w:tc>
          <w:tcPr>
            <w:tcW w:w="1480" w:type="pct"/>
          </w:tcPr>
          <w:p w14:paraId="39D03758" w14:textId="77777777" w:rsidR="009B217A" w:rsidRPr="009544A3" w:rsidRDefault="009B217A" w:rsidP="00963637">
            <w:pPr>
              <w:autoSpaceDE w:val="0"/>
              <w:autoSpaceDN w:val="0"/>
              <w:adjustRightInd w:val="0"/>
              <w:rPr>
                <w:rFonts w:eastAsia="Times New Roman"/>
                <w:snapToGrid w:val="0"/>
                <w:sz w:val="20"/>
                <w:szCs w:val="24"/>
              </w:rPr>
            </w:pPr>
            <w:r w:rsidRPr="009544A3">
              <w:rPr>
                <w:rFonts w:eastAsia="Times New Roman"/>
                <w:snapToGrid w:val="0"/>
                <w:sz w:val="20"/>
                <w:szCs w:val="24"/>
              </w:rPr>
              <w:t>Use in pregnancy and while</w:t>
            </w:r>
          </w:p>
          <w:p w14:paraId="03E801D1" w14:textId="77777777" w:rsidR="009B217A" w:rsidRPr="009544A3" w:rsidRDefault="009B217A" w:rsidP="00963637">
            <w:pPr>
              <w:pStyle w:val="Tabletext"/>
            </w:pPr>
            <w:r w:rsidRPr="009544A3">
              <w:t>breastfeeding</w:t>
            </w:r>
          </w:p>
        </w:tc>
        <w:tc>
          <w:tcPr>
            <w:tcW w:w="584" w:type="pct"/>
          </w:tcPr>
          <w:p w14:paraId="769A500B" w14:textId="77777777" w:rsidR="009B217A" w:rsidRPr="005454A8" w:rsidRDefault="009B217A" w:rsidP="00963637">
            <w:pPr>
              <w:pStyle w:val="Tabletext"/>
              <w:jc w:val="center"/>
              <w:rPr>
                <w:vertAlign w:val="superscript"/>
              </w:rPr>
            </w:pPr>
            <w:r w:rsidRPr="005454A8">
              <w:sym w:font="Wingdings" w:char="F0FC"/>
            </w:r>
          </w:p>
        </w:tc>
        <w:tc>
          <w:tcPr>
            <w:tcW w:w="702" w:type="pct"/>
          </w:tcPr>
          <w:p w14:paraId="18FD9AC7" w14:textId="77777777" w:rsidR="009B217A" w:rsidRPr="00220CEA" w:rsidRDefault="009B217A" w:rsidP="00963637">
            <w:pPr>
              <w:pStyle w:val="Tabletext"/>
              <w:jc w:val="center"/>
              <w:rPr>
                <w:vertAlign w:val="superscript"/>
              </w:rPr>
            </w:pPr>
            <w:r w:rsidRPr="009544A3">
              <w:sym w:font="Wingdings" w:char="F0FC"/>
            </w:r>
            <w:r>
              <w:rPr>
                <w:vertAlign w:val="superscript"/>
              </w:rPr>
              <w:t>3</w:t>
            </w:r>
          </w:p>
        </w:tc>
        <w:tc>
          <w:tcPr>
            <w:tcW w:w="584" w:type="pct"/>
          </w:tcPr>
          <w:p w14:paraId="5427839B" w14:textId="77777777" w:rsidR="009B217A" w:rsidRPr="009544A3" w:rsidRDefault="009B217A" w:rsidP="00963637">
            <w:pPr>
              <w:pStyle w:val="Tabletext"/>
              <w:jc w:val="center"/>
            </w:pPr>
            <w:r w:rsidRPr="009544A3">
              <w:sym w:font="Wingdings" w:char="F0FC"/>
            </w:r>
          </w:p>
        </w:tc>
        <w:tc>
          <w:tcPr>
            <w:tcW w:w="702" w:type="pct"/>
          </w:tcPr>
          <w:p w14:paraId="0AF0BDCF" w14:textId="77777777" w:rsidR="009B217A" w:rsidRPr="009544A3" w:rsidRDefault="009B217A" w:rsidP="00963637">
            <w:pPr>
              <w:pStyle w:val="Tabletext"/>
              <w:jc w:val="center"/>
            </w:pPr>
            <w:r w:rsidRPr="009544A3">
              <w:t>–</w:t>
            </w:r>
          </w:p>
        </w:tc>
      </w:tr>
      <w:tr w:rsidR="009B217A" w:rsidRPr="009544A3" w14:paraId="2C5FFAFC" w14:textId="77777777" w:rsidTr="009B217A">
        <w:trPr>
          <w:trHeight w:val="103"/>
        </w:trPr>
        <w:tc>
          <w:tcPr>
            <w:tcW w:w="949" w:type="pct"/>
            <w:vMerge/>
          </w:tcPr>
          <w:p w14:paraId="4CFCFA7C" w14:textId="77777777" w:rsidR="009B217A" w:rsidRPr="009544A3" w:rsidRDefault="009B217A" w:rsidP="00963637">
            <w:pPr>
              <w:pStyle w:val="Tabletext"/>
            </w:pPr>
          </w:p>
        </w:tc>
        <w:tc>
          <w:tcPr>
            <w:tcW w:w="1480" w:type="pct"/>
          </w:tcPr>
          <w:p w14:paraId="202245D5" w14:textId="77777777" w:rsidR="009B217A" w:rsidRPr="009544A3" w:rsidRDefault="009B217A" w:rsidP="00963637">
            <w:pPr>
              <w:pStyle w:val="Tabletext"/>
            </w:pPr>
            <w:r w:rsidRPr="009544A3">
              <w:t>Long-term safety</w:t>
            </w:r>
          </w:p>
        </w:tc>
        <w:tc>
          <w:tcPr>
            <w:tcW w:w="584" w:type="pct"/>
          </w:tcPr>
          <w:p w14:paraId="5DDDCD9A" w14:textId="77777777" w:rsidR="009B217A" w:rsidRPr="009544A3" w:rsidRDefault="009B217A" w:rsidP="00963637">
            <w:pPr>
              <w:pStyle w:val="Tabletext"/>
              <w:jc w:val="center"/>
            </w:pPr>
            <w:r w:rsidRPr="009544A3">
              <w:sym w:font="Wingdings" w:char="F0FC"/>
            </w:r>
          </w:p>
        </w:tc>
        <w:tc>
          <w:tcPr>
            <w:tcW w:w="702" w:type="pct"/>
          </w:tcPr>
          <w:p w14:paraId="212562E4" w14:textId="77777777" w:rsidR="009B217A" w:rsidRPr="009544A3" w:rsidRDefault="009B217A" w:rsidP="00963637">
            <w:pPr>
              <w:pStyle w:val="Tabletext"/>
              <w:jc w:val="center"/>
            </w:pPr>
            <w:r w:rsidRPr="009544A3">
              <w:sym w:font="Wingdings" w:char="F0FC"/>
            </w:r>
            <w:r>
              <w:rPr>
                <w:vertAlign w:val="superscript"/>
              </w:rPr>
              <w:t>2</w:t>
            </w:r>
          </w:p>
        </w:tc>
        <w:tc>
          <w:tcPr>
            <w:tcW w:w="584" w:type="pct"/>
          </w:tcPr>
          <w:p w14:paraId="324F856B" w14:textId="77777777" w:rsidR="009B217A" w:rsidRPr="009544A3" w:rsidRDefault="009B217A" w:rsidP="00963637">
            <w:pPr>
              <w:pStyle w:val="Tabletext"/>
              <w:jc w:val="center"/>
            </w:pPr>
            <w:r w:rsidRPr="009544A3">
              <w:t>–</w:t>
            </w:r>
          </w:p>
        </w:tc>
        <w:tc>
          <w:tcPr>
            <w:tcW w:w="702" w:type="pct"/>
          </w:tcPr>
          <w:p w14:paraId="2FBE2361" w14:textId="77777777" w:rsidR="009B217A" w:rsidRPr="009544A3" w:rsidRDefault="009B217A" w:rsidP="00963637">
            <w:pPr>
              <w:pStyle w:val="Tabletext"/>
              <w:jc w:val="center"/>
            </w:pPr>
            <w:r w:rsidRPr="009544A3">
              <w:t>–</w:t>
            </w:r>
          </w:p>
        </w:tc>
      </w:tr>
      <w:tr w:rsidR="009B217A" w:rsidRPr="009544A3" w14:paraId="42B9B891" w14:textId="77777777" w:rsidTr="009B217A">
        <w:trPr>
          <w:trHeight w:val="103"/>
        </w:trPr>
        <w:tc>
          <w:tcPr>
            <w:tcW w:w="949" w:type="pct"/>
            <w:vMerge/>
          </w:tcPr>
          <w:p w14:paraId="792C589B" w14:textId="77777777" w:rsidR="009B217A" w:rsidRPr="009544A3" w:rsidRDefault="009B217A" w:rsidP="00963637">
            <w:pPr>
              <w:pStyle w:val="Tabletext"/>
            </w:pPr>
          </w:p>
        </w:tc>
        <w:tc>
          <w:tcPr>
            <w:tcW w:w="1480" w:type="pct"/>
          </w:tcPr>
          <w:p w14:paraId="355021F4" w14:textId="77777777" w:rsidR="009B217A" w:rsidRPr="009544A3" w:rsidRDefault="009B217A" w:rsidP="00963637">
            <w:pPr>
              <w:pStyle w:val="Tabletext"/>
            </w:pPr>
            <w:r w:rsidRPr="009544A3">
              <w:t>Use in immunocompromised subjects</w:t>
            </w:r>
          </w:p>
        </w:tc>
        <w:tc>
          <w:tcPr>
            <w:tcW w:w="584" w:type="pct"/>
          </w:tcPr>
          <w:p w14:paraId="5E3359FE" w14:textId="77777777" w:rsidR="009B217A" w:rsidRPr="009544A3" w:rsidRDefault="009B217A" w:rsidP="00963637">
            <w:pPr>
              <w:pStyle w:val="Tabletext"/>
              <w:jc w:val="center"/>
            </w:pPr>
            <w:r w:rsidRPr="009544A3">
              <w:sym w:font="Wingdings" w:char="F0FC"/>
            </w:r>
          </w:p>
        </w:tc>
        <w:tc>
          <w:tcPr>
            <w:tcW w:w="702" w:type="pct"/>
          </w:tcPr>
          <w:p w14:paraId="731042A2" w14:textId="77777777" w:rsidR="009B217A" w:rsidRPr="009544A3" w:rsidRDefault="009B217A" w:rsidP="00963637">
            <w:pPr>
              <w:pStyle w:val="Tabletext"/>
              <w:jc w:val="center"/>
            </w:pPr>
            <w:r w:rsidRPr="009544A3">
              <w:t>–</w:t>
            </w:r>
          </w:p>
        </w:tc>
        <w:tc>
          <w:tcPr>
            <w:tcW w:w="584" w:type="pct"/>
          </w:tcPr>
          <w:p w14:paraId="51D92721" w14:textId="77777777" w:rsidR="009B217A" w:rsidRPr="009544A3" w:rsidRDefault="009B217A" w:rsidP="00963637">
            <w:pPr>
              <w:pStyle w:val="Tabletext"/>
              <w:jc w:val="center"/>
            </w:pPr>
            <w:r w:rsidRPr="009544A3">
              <w:sym w:font="Wingdings" w:char="F0FC"/>
            </w:r>
          </w:p>
        </w:tc>
        <w:tc>
          <w:tcPr>
            <w:tcW w:w="702" w:type="pct"/>
          </w:tcPr>
          <w:p w14:paraId="12BEF495" w14:textId="77777777" w:rsidR="009B217A" w:rsidRPr="009544A3" w:rsidRDefault="009B217A" w:rsidP="00963637">
            <w:pPr>
              <w:pStyle w:val="Tabletext"/>
              <w:jc w:val="center"/>
            </w:pPr>
            <w:r w:rsidRPr="009544A3">
              <w:t>–</w:t>
            </w:r>
          </w:p>
        </w:tc>
      </w:tr>
      <w:tr w:rsidR="009B217A" w:rsidRPr="009544A3" w14:paraId="7937F1D0" w14:textId="77777777" w:rsidTr="009B217A">
        <w:trPr>
          <w:trHeight w:val="103"/>
        </w:trPr>
        <w:tc>
          <w:tcPr>
            <w:tcW w:w="949" w:type="pct"/>
            <w:vMerge/>
          </w:tcPr>
          <w:p w14:paraId="69EA749B" w14:textId="77777777" w:rsidR="009B217A" w:rsidRPr="009544A3" w:rsidRDefault="009B217A" w:rsidP="00963637">
            <w:pPr>
              <w:pStyle w:val="Tabletext"/>
            </w:pPr>
          </w:p>
        </w:tc>
        <w:tc>
          <w:tcPr>
            <w:tcW w:w="1480" w:type="pct"/>
          </w:tcPr>
          <w:p w14:paraId="628847A8" w14:textId="77777777" w:rsidR="009B217A" w:rsidRPr="009544A3" w:rsidRDefault="009B217A" w:rsidP="00963637">
            <w:pPr>
              <w:pStyle w:val="Tabletext"/>
            </w:pPr>
            <w:r w:rsidRPr="009544A3">
              <w:t>Interaction with other vaccines</w:t>
            </w:r>
          </w:p>
        </w:tc>
        <w:tc>
          <w:tcPr>
            <w:tcW w:w="584" w:type="pct"/>
          </w:tcPr>
          <w:p w14:paraId="2131E0B5" w14:textId="77777777" w:rsidR="009B217A" w:rsidRPr="009544A3" w:rsidRDefault="009B217A" w:rsidP="00963637">
            <w:pPr>
              <w:pStyle w:val="Tabletext"/>
              <w:jc w:val="center"/>
            </w:pPr>
            <w:r w:rsidRPr="009544A3">
              <w:sym w:font="Wingdings" w:char="F0FC"/>
            </w:r>
          </w:p>
        </w:tc>
        <w:tc>
          <w:tcPr>
            <w:tcW w:w="702" w:type="pct"/>
          </w:tcPr>
          <w:p w14:paraId="11865015" w14:textId="77777777" w:rsidR="009B217A" w:rsidRPr="009544A3" w:rsidRDefault="009B217A" w:rsidP="00963637">
            <w:pPr>
              <w:pStyle w:val="Tabletext"/>
              <w:jc w:val="center"/>
            </w:pPr>
            <w:r w:rsidRPr="009544A3">
              <w:t>–</w:t>
            </w:r>
          </w:p>
        </w:tc>
        <w:tc>
          <w:tcPr>
            <w:tcW w:w="584" w:type="pct"/>
          </w:tcPr>
          <w:p w14:paraId="68BADE50" w14:textId="77777777" w:rsidR="009B217A" w:rsidRPr="009544A3" w:rsidRDefault="009B217A" w:rsidP="00963637">
            <w:pPr>
              <w:pStyle w:val="Tabletext"/>
              <w:jc w:val="center"/>
            </w:pPr>
            <w:r w:rsidRPr="009544A3">
              <w:sym w:font="Wingdings" w:char="F0FC"/>
            </w:r>
          </w:p>
        </w:tc>
        <w:tc>
          <w:tcPr>
            <w:tcW w:w="702" w:type="pct"/>
          </w:tcPr>
          <w:p w14:paraId="63EF951A" w14:textId="77777777" w:rsidR="009B217A" w:rsidRPr="009544A3" w:rsidRDefault="009B217A" w:rsidP="00963637">
            <w:pPr>
              <w:pStyle w:val="Tabletext"/>
              <w:jc w:val="center"/>
            </w:pPr>
            <w:r w:rsidRPr="009544A3">
              <w:t>–</w:t>
            </w:r>
          </w:p>
        </w:tc>
      </w:tr>
      <w:tr w:rsidR="009B217A" w:rsidRPr="009544A3" w14:paraId="33474B3D" w14:textId="77777777" w:rsidTr="009B217A">
        <w:trPr>
          <w:trHeight w:val="103"/>
        </w:trPr>
        <w:tc>
          <w:tcPr>
            <w:tcW w:w="949" w:type="pct"/>
            <w:vMerge/>
          </w:tcPr>
          <w:p w14:paraId="7244C3ED" w14:textId="77777777" w:rsidR="009B217A" w:rsidRPr="009544A3" w:rsidRDefault="009B217A" w:rsidP="00963637">
            <w:pPr>
              <w:pStyle w:val="Tabletext"/>
            </w:pPr>
          </w:p>
        </w:tc>
        <w:tc>
          <w:tcPr>
            <w:tcW w:w="1480" w:type="pct"/>
          </w:tcPr>
          <w:p w14:paraId="1EB433B9" w14:textId="13904EEE" w:rsidR="009B217A" w:rsidRPr="00BB18E7" w:rsidRDefault="009B217A" w:rsidP="00BB18E7">
            <w:pPr>
              <w:autoSpaceDE w:val="0"/>
              <w:autoSpaceDN w:val="0"/>
              <w:adjustRightInd w:val="0"/>
              <w:rPr>
                <w:rFonts w:eastAsia="Times New Roman"/>
                <w:snapToGrid w:val="0"/>
                <w:sz w:val="20"/>
                <w:szCs w:val="24"/>
              </w:rPr>
            </w:pPr>
            <w:r w:rsidRPr="009544A3">
              <w:rPr>
                <w:rFonts w:eastAsia="Times New Roman"/>
                <w:snapToGrid w:val="0"/>
                <w:sz w:val="20"/>
                <w:szCs w:val="24"/>
              </w:rPr>
              <w:t>Use in frail subjects with unstable</w:t>
            </w:r>
            <w:r w:rsidR="00BB18E7">
              <w:rPr>
                <w:rFonts w:eastAsia="Times New Roman"/>
                <w:snapToGrid w:val="0"/>
                <w:sz w:val="20"/>
                <w:szCs w:val="24"/>
              </w:rPr>
              <w:t xml:space="preserve"> </w:t>
            </w:r>
            <w:r w:rsidRPr="009544A3">
              <w:rPr>
                <w:rFonts w:eastAsia="Times New Roman"/>
                <w:snapToGrid w:val="0"/>
                <w:sz w:val="20"/>
                <w:szCs w:val="24"/>
              </w:rPr>
              <w:t>healt</w:t>
            </w:r>
            <w:r w:rsidR="00BB18E7">
              <w:rPr>
                <w:rFonts w:eastAsia="Times New Roman"/>
                <w:snapToGrid w:val="0"/>
                <w:sz w:val="20"/>
                <w:szCs w:val="24"/>
              </w:rPr>
              <w:t>h conditions and co-morbidities (</w:t>
            </w:r>
            <w:proofErr w:type="gramStart"/>
            <w:r w:rsidR="00BB18E7">
              <w:rPr>
                <w:rFonts w:eastAsia="Times New Roman"/>
                <w:snapToGrid w:val="0"/>
                <w:sz w:val="20"/>
                <w:szCs w:val="24"/>
              </w:rPr>
              <w:t>e.g.</w:t>
            </w:r>
            <w:proofErr w:type="gramEnd"/>
            <w:r w:rsidR="00BB18E7">
              <w:rPr>
                <w:rFonts w:eastAsia="Times New Roman"/>
                <w:snapToGrid w:val="0"/>
                <w:sz w:val="20"/>
                <w:szCs w:val="24"/>
              </w:rPr>
              <w:t xml:space="preserve"> COPD, diabetes, chronic neurological disease, cardiovascular </w:t>
            </w:r>
            <w:r w:rsidRPr="00BB18E7">
              <w:rPr>
                <w:sz w:val="19"/>
                <w:szCs w:val="19"/>
              </w:rPr>
              <w:t>disorders)</w:t>
            </w:r>
          </w:p>
        </w:tc>
        <w:tc>
          <w:tcPr>
            <w:tcW w:w="584" w:type="pct"/>
          </w:tcPr>
          <w:p w14:paraId="023101C6" w14:textId="77777777" w:rsidR="009B217A" w:rsidRPr="009544A3" w:rsidRDefault="009B217A" w:rsidP="00963637">
            <w:pPr>
              <w:pStyle w:val="Tabletext"/>
              <w:jc w:val="center"/>
            </w:pPr>
            <w:r w:rsidRPr="009544A3">
              <w:sym w:font="Wingdings" w:char="F0FC"/>
            </w:r>
          </w:p>
        </w:tc>
        <w:tc>
          <w:tcPr>
            <w:tcW w:w="702" w:type="pct"/>
          </w:tcPr>
          <w:p w14:paraId="2D1DB9EF" w14:textId="77777777" w:rsidR="009B217A" w:rsidRPr="009544A3" w:rsidRDefault="009B217A" w:rsidP="00963637">
            <w:pPr>
              <w:pStyle w:val="Tabletext"/>
              <w:jc w:val="center"/>
            </w:pPr>
            <w:r w:rsidRPr="009544A3">
              <w:sym w:font="Wingdings" w:char="F0FC"/>
            </w:r>
            <w:r>
              <w:rPr>
                <w:vertAlign w:val="superscript"/>
              </w:rPr>
              <w:t>2</w:t>
            </w:r>
          </w:p>
        </w:tc>
        <w:tc>
          <w:tcPr>
            <w:tcW w:w="584" w:type="pct"/>
          </w:tcPr>
          <w:p w14:paraId="6872D7B9" w14:textId="77777777" w:rsidR="009B217A" w:rsidRPr="009544A3" w:rsidRDefault="009B217A" w:rsidP="00963637">
            <w:pPr>
              <w:pStyle w:val="Tabletext"/>
              <w:jc w:val="center"/>
            </w:pPr>
            <w:r w:rsidRPr="000359BB">
              <w:rPr>
                <w:color w:val="7030A0"/>
              </w:rPr>
              <w:sym w:font="Wingdings" w:char="F0FC"/>
            </w:r>
          </w:p>
        </w:tc>
        <w:tc>
          <w:tcPr>
            <w:tcW w:w="702" w:type="pct"/>
          </w:tcPr>
          <w:p w14:paraId="18CAB325" w14:textId="77777777" w:rsidR="009B217A" w:rsidRPr="009544A3" w:rsidRDefault="009B217A" w:rsidP="00963637">
            <w:pPr>
              <w:pStyle w:val="Tabletext"/>
              <w:jc w:val="center"/>
            </w:pPr>
            <w:r w:rsidRPr="009544A3">
              <w:t>–</w:t>
            </w:r>
          </w:p>
        </w:tc>
      </w:tr>
      <w:tr w:rsidR="009B217A" w:rsidRPr="009544A3" w14:paraId="5652C0DD" w14:textId="77777777" w:rsidTr="009B217A">
        <w:trPr>
          <w:trHeight w:val="140"/>
        </w:trPr>
        <w:tc>
          <w:tcPr>
            <w:tcW w:w="949" w:type="pct"/>
            <w:vMerge/>
          </w:tcPr>
          <w:p w14:paraId="511E30DC" w14:textId="77777777" w:rsidR="009B217A" w:rsidRPr="009544A3" w:rsidRDefault="009B217A" w:rsidP="00963637">
            <w:pPr>
              <w:pStyle w:val="Tabletext"/>
            </w:pPr>
          </w:p>
        </w:tc>
        <w:tc>
          <w:tcPr>
            <w:tcW w:w="1480" w:type="pct"/>
          </w:tcPr>
          <w:p w14:paraId="140C6F97" w14:textId="4F563B6C" w:rsidR="009B217A" w:rsidRPr="00BB18E7" w:rsidRDefault="009B217A" w:rsidP="00BB18E7">
            <w:pPr>
              <w:autoSpaceDE w:val="0"/>
              <w:autoSpaceDN w:val="0"/>
              <w:adjustRightInd w:val="0"/>
              <w:rPr>
                <w:rFonts w:eastAsia="Times New Roman"/>
                <w:snapToGrid w:val="0"/>
                <w:sz w:val="20"/>
                <w:szCs w:val="24"/>
              </w:rPr>
            </w:pPr>
            <w:r w:rsidRPr="009544A3">
              <w:rPr>
                <w:rFonts w:eastAsia="Times New Roman"/>
                <w:snapToGrid w:val="0"/>
                <w:sz w:val="20"/>
                <w:szCs w:val="24"/>
              </w:rPr>
              <w:t>Use</w:t>
            </w:r>
            <w:r w:rsidR="00BB18E7">
              <w:rPr>
                <w:rFonts w:eastAsia="Times New Roman"/>
                <w:snapToGrid w:val="0"/>
                <w:sz w:val="20"/>
                <w:szCs w:val="24"/>
              </w:rPr>
              <w:t xml:space="preserve"> in subjects with autoimmune or </w:t>
            </w:r>
            <w:r w:rsidRPr="00BB18E7">
              <w:rPr>
                <w:sz w:val="19"/>
                <w:szCs w:val="19"/>
              </w:rPr>
              <w:t>inflammatory disorders</w:t>
            </w:r>
          </w:p>
        </w:tc>
        <w:tc>
          <w:tcPr>
            <w:tcW w:w="584" w:type="pct"/>
          </w:tcPr>
          <w:p w14:paraId="3C21ABC1" w14:textId="77777777" w:rsidR="009B217A" w:rsidRPr="009544A3" w:rsidRDefault="009B217A" w:rsidP="00963637">
            <w:pPr>
              <w:pStyle w:val="Tabletext"/>
              <w:jc w:val="center"/>
            </w:pPr>
            <w:r w:rsidRPr="009544A3">
              <w:sym w:font="Wingdings" w:char="F0FC"/>
            </w:r>
          </w:p>
        </w:tc>
        <w:tc>
          <w:tcPr>
            <w:tcW w:w="702" w:type="pct"/>
          </w:tcPr>
          <w:p w14:paraId="72C6D1EB" w14:textId="77777777" w:rsidR="009B217A" w:rsidRPr="009544A3" w:rsidRDefault="009B217A" w:rsidP="00963637">
            <w:pPr>
              <w:pStyle w:val="Tabletext"/>
              <w:jc w:val="center"/>
            </w:pPr>
            <w:r w:rsidRPr="009544A3">
              <w:sym w:font="Wingdings" w:char="F0FC"/>
            </w:r>
            <w:r>
              <w:rPr>
                <w:vertAlign w:val="superscript"/>
              </w:rPr>
              <w:t>2</w:t>
            </w:r>
          </w:p>
        </w:tc>
        <w:tc>
          <w:tcPr>
            <w:tcW w:w="584" w:type="pct"/>
          </w:tcPr>
          <w:p w14:paraId="50701729" w14:textId="77777777" w:rsidR="009B217A" w:rsidRPr="009544A3" w:rsidRDefault="009B217A" w:rsidP="00963637">
            <w:pPr>
              <w:pStyle w:val="Tabletext"/>
              <w:jc w:val="center"/>
            </w:pPr>
            <w:r w:rsidRPr="009544A3">
              <w:sym w:font="Wingdings" w:char="F0FC"/>
            </w:r>
          </w:p>
        </w:tc>
        <w:tc>
          <w:tcPr>
            <w:tcW w:w="702" w:type="pct"/>
          </w:tcPr>
          <w:p w14:paraId="77356438" w14:textId="77777777" w:rsidR="009B217A" w:rsidRPr="009544A3" w:rsidRDefault="009B217A" w:rsidP="00963637">
            <w:pPr>
              <w:pStyle w:val="Tabletext"/>
              <w:jc w:val="center"/>
            </w:pPr>
            <w:r w:rsidRPr="009544A3">
              <w:t>–</w:t>
            </w:r>
          </w:p>
        </w:tc>
      </w:tr>
    </w:tbl>
    <w:p w14:paraId="6C5D2250" w14:textId="31F50981" w:rsidR="009B217A" w:rsidRDefault="009B217A" w:rsidP="009B217A">
      <w:pPr>
        <w:pStyle w:val="TableDescription"/>
      </w:pPr>
      <w:r>
        <w:t>1</w:t>
      </w:r>
      <w:r w:rsidR="00BB18E7">
        <w:t>. </w:t>
      </w:r>
      <w:r>
        <w:t>Specific adverse reaction follow-up questionnaires</w:t>
      </w:r>
    </w:p>
    <w:p w14:paraId="4BFA41E9" w14:textId="27E818BB" w:rsidR="009B217A" w:rsidRDefault="009B217A" w:rsidP="009B217A">
      <w:pPr>
        <w:pStyle w:val="TableDescription"/>
      </w:pPr>
      <w:r>
        <w:t>2</w:t>
      </w:r>
      <w:r w:rsidR="00BB18E7">
        <w:t>. </w:t>
      </w:r>
      <w:r>
        <w:t>Clinical trials</w:t>
      </w:r>
    </w:p>
    <w:p w14:paraId="7C8EECC3" w14:textId="2EA14DD2" w:rsidR="009B217A" w:rsidRDefault="009B217A" w:rsidP="009B217A">
      <w:pPr>
        <w:pStyle w:val="TableDescription"/>
      </w:pPr>
      <w:r>
        <w:t>3</w:t>
      </w:r>
      <w:r w:rsidR="00BB18E7">
        <w:t>. </w:t>
      </w:r>
      <w:r>
        <w:t>Observational Studies – mRNA-1273-P905 and mRNA-1273-P919</w:t>
      </w:r>
    </w:p>
    <w:p w14:paraId="247DA8F0" w14:textId="3512F905" w:rsidR="009B217A" w:rsidRDefault="009B217A" w:rsidP="009B217A">
      <w:r>
        <w:t xml:space="preserve">The summary of safety concerns is the same as that most recently evaluated and deemed acceptable for </w:t>
      </w:r>
      <w:proofErr w:type="spellStart"/>
      <w:r>
        <w:t>Spikevax</w:t>
      </w:r>
      <w:proofErr w:type="spellEnd"/>
      <w:r>
        <w:t xml:space="preserve"> bivalent Original/Omicron BA.1</w:t>
      </w:r>
      <w:r w:rsidR="00BB18E7">
        <w:t xml:space="preserve"> (</w:t>
      </w:r>
      <w:proofErr w:type="spellStart"/>
      <w:r w:rsidR="00BB18E7">
        <w:t>elasomeran</w:t>
      </w:r>
      <w:proofErr w:type="spellEnd"/>
      <w:r w:rsidR="00BB18E7">
        <w:t xml:space="preserve"> and </w:t>
      </w:r>
      <w:proofErr w:type="spellStart"/>
      <w:r w:rsidR="00BB18E7">
        <w:t>imelasomeran</w:t>
      </w:r>
      <w:proofErr w:type="spellEnd"/>
      <w:r w:rsidR="00BB18E7">
        <w:t>)</w:t>
      </w:r>
      <w:r>
        <w:t>.</w:t>
      </w:r>
      <w:r>
        <w:fldChar w:fldCharType="begin"/>
      </w:r>
      <w:r>
        <w:instrText xml:space="preserve"> NOTEREF _Ref126851115 \f \h </w:instrText>
      </w:r>
      <w:r>
        <w:fldChar w:fldCharType="separate"/>
      </w:r>
      <w:r w:rsidR="00AA4DFB" w:rsidRPr="00AA4DFB">
        <w:rPr>
          <w:rStyle w:val="FootnoteReference"/>
        </w:rPr>
        <w:t>6</w:t>
      </w:r>
      <w:r>
        <w:fldChar w:fldCharType="end"/>
      </w:r>
      <w:r>
        <w:t xml:space="preserve"> This summary of safety concerns is acceptable from an RMP perspective.</w:t>
      </w:r>
    </w:p>
    <w:p w14:paraId="03C6D609" w14:textId="445710D5" w:rsidR="009B217A" w:rsidRDefault="009B217A" w:rsidP="009B217A">
      <w:r>
        <w:t>The sponsor has proposed routine pharmacovigilance for all safety concerns which includes specific adverse reaction follow up questionnaires for the important identified and potential risks. The sponsor was requested to clarify the updates to the additional pharmacovigilance activities in the ASA in the form of clinical trials and in the response to TGA questions, has provided adequate justification for the changes. The pharmacovigilance plan is acceptable at second round of RMP evaluation. A clinical study plan has been provided and the acceptability of this plan is for the Delegate to consider.</w:t>
      </w:r>
    </w:p>
    <w:p w14:paraId="0ED39776" w14:textId="3BB2BC40" w:rsidR="009B217A" w:rsidRDefault="009B217A" w:rsidP="009B217A">
      <w:r>
        <w:t>Only routine risk minimisation measures are proposed by the sponsor. This approach was deemed acceptable during the previous evaluations as there are risk minimisation measures implemented by the Australian Government Department of Health. The changes proposed by the current submission are not expected to require additional risk minimisation measures as part of the RMP.</w:t>
      </w:r>
    </w:p>
    <w:p w14:paraId="0C3BB0D6" w14:textId="77777777" w:rsidR="00520187" w:rsidRDefault="00520187" w:rsidP="00520187">
      <w:r>
        <w:t>The RMP has raised a discrepancy to the attention of the Delegate for consideration.</w:t>
      </w:r>
    </w:p>
    <w:p w14:paraId="68FBAC26" w14:textId="242A95B6" w:rsidR="00520187" w:rsidRPr="00520187" w:rsidRDefault="00520187" w:rsidP="00520187">
      <w:pPr>
        <w:ind w:left="720"/>
      </w:pPr>
      <w:r w:rsidRPr="00520187">
        <w:t>‘Diarrhoea and erythema multiforme have been removed as adverse reactions from the proposed Australian PI but remain in the SmPC.’</w:t>
      </w:r>
    </w:p>
    <w:p w14:paraId="45C02113" w14:textId="54CA1972" w:rsidR="00520187" w:rsidRDefault="00520187" w:rsidP="00520187">
      <w:pPr>
        <w:pStyle w:val="Heading4"/>
      </w:pPr>
      <w:r>
        <w:t>Proposed risk management plan wording for conditions of registration</w:t>
      </w:r>
    </w:p>
    <w:p w14:paraId="76C19D28" w14:textId="77777777" w:rsidR="00520187" w:rsidRDefault="00520187" w:rsidP="00520187">
      <w:r>
        <w:t xml:space="preserve">Any changes to which the sponsor has agreed should be included in a revised RMP and ASA. However, irrespective of </w:t>
      </w:r>
      <w:proofErr w:type="gramStart"/>
      <w:r>
        <w:t>whether or not</w:t>
      </w:r>
      <w:proofErr w:type="gramEnd"/>
      <w:r>
        <w:t xml:space="preserve"> they are included in the currently available version of the RMP document, the agreed changes become part of the risk management system. </w:t>
      </w:r>
    </w:p>
    <w:p w14:paraId="7CB6FDC4" w14:textId="683F1350" w:rsidR="00520187" w:rsidRDefault="00520187" w:rsidP="00520187">
      <w:r>
        <w:t>The suggested wording is:</w:t>
      </w:r>
    </w:p>
    <w:p w14:paraId="13323A52" w14:textId="66D56F69" w:rsidR="00520187" w:rsidRDefault="00520187" w:rsidP="00520187">
      <w:pPr>
        <w:ind w:left="720"/>
      </w:pPr>
      <w:r>
        <w:t xml:space="preserve">‘The </w:t>
      </w:r>
      <w:proofErr w:type="spellStart"/>
      <w:r>
        <w:t>Spikevax</w:t>
      </w:r>
      <w:proofErr w:type="spellEnd"/>
      <w:r>
        <w:t xml:space="preserve"> bivalent Original/Omicron </w:t>
      </w:r>
      <w:r w:rsidR="001405D9">
        <w:t>BA.4-5</w:t>
      </w:r>
      <w:r>
        <w:t xml:space="preserve"> RMP (version 6.3, dated 6 December 2022, data lock point 17 September 2022), with Australian Specific Annex (version 1.2, dated 20 December 2022), included with submission PM-2022-04824-1-2, and any subsequent revisions, as agreed with the TGA will be implemented in Australia.’</w:t>
      </w:r>
    </w:p>
    <w:p w14:paraId="08F427D8" w14:textId="77777777" w:rsidR="00520187" w:rsidRDefault="00520187" w:rsidP="00520187">
      <w:r>
        <w:t>The following wording is recommended for the PSUR requirement:</w:t>
      </w:r>
    </w:p>
    <w:p w14:paraId="19A94AF5" w14:textId="3BEA240F" w:rsidR="00520187" w:rsidRDefault="00520187" w:rsidP="00520187">
      <w:pPr>
        <w:ind w:left="720"/>
      </w:pPr>
      <w:r>
        <w:t xml:space="preserve">‘An obligatory component of risk management plans is routine pharmacovigilance. Routine pharmacovigilance includes the submission of periodic safety update reports (PSURs). </w:t>
      </w:r>
    </w:p>
    <w:p w14:paraId="0EAD6968" w14:textId="32396E95" w:rsidR="00520187" w:rsidRDefault="00520187" w:rsidP="00520187">
      <w:pPr>
        <w:ind w:left="720"/>
      </w:pPr>
      <w:r>
        <w:t xml:space="preserve">Unless agreed separately between the supplier who is the recipient of the approval and the TGA, the first report must be submitted to TGA no later than 15 calendar months after the date of the approval letter. The subsequent reports must be </w:t>
      </w:r>
      <w:r>
        <w:lastRenderedPageBreak/>
        <w:t>submitted no less frequently than annually from the date of the first submitted report until the period covered by such reports is not less than three years from the date of the approval letter, or the entire period of provisional registration, whichever is longer.</w:t>
      </w:r>
    </w:p>
    <w:p w14:paraId="2DB16A70" w14:textId="77777777" w:rsidR="00520187" w:rsidRDefault="00520187" w:rsidP="00520187">
      <w:pPr>
        <w:ind w:left="72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A4D123F" w14:textId="1CC5A6AC" w:rsidR="00520187" w:rsidRDefault="00520187" w:rsidP="00520187">
      <w:pPr>
        <w:ind w:left="720"/>
      </w:pPr>
      <w:r>
        <w:t>Additional to the routine submission of the routine PSURs, expedited monthly safety summary reports (including safety data for patients in Australia) are to be provided for the 6 months from the date of first supply in Australia, and thereafter at intervals specified by the TGA.’</w:t>
      </w:r>
    </w:p>
    <w:p w14:paraId="28F9F88D" w14:textId="54B577A8" w:rsidR="00520187" w:rsidRDefault="00520187" w:rsidP="00520187">
      <w:r>
        <w:t xml:space="preserve">As </w:t>
      </w:r>
      <w:bookmarkStart w:id="61" w:name="OLE_LINK3"/>
      <w:proofErr w:type="spellStart"/>
      <w:r>
        <w:t>Spikevax</w:t>
      </w:r>
      <w:proofErr w:type="spellEnd"/>
      <w:r>
        <w:t xml:space="preserve"> bivalent Original/</w:t>
      </w:r>
      <w:bookmarkEnd w:id="61"/>
      <w:r>
        <w:t xml:space="preserve">Omicron </w:t>
      </w:r>
      <w:r w:rsidR="001405D9">
        <w:t>BA.4-5</w:t>
      </w:r>
      <w:r>
        <w:t xml:space="preserve"> vaccine is being considered for a provisional registration it should be included in the Black Triangle Scheme as a condition of registration. The following wording is recommended for the condition of registration:</w:t>
      </w:r>
    </w:p>
    <w:p w14:paraId="52ECC7E1" w14:textId="60D22434" w:rsidR="00520187" w:rsidRDefault="00520187" w:rsidP="00520187">
      <w:pPr>
        <w:ind w:left="720"/>
      </w:pPr>
      <w:r>
        <w:t>‘</w:t>
      </w:r>
      <w:proofErr w:type="spellStart"/>
      <w:r>
        <w:t>Spikevax</w:t>
      </w:r>
      <w:proofErr w:type="spellEnd"/>
      <w:r>
        <w:t xml:space="preserve"> bivalent Original/Omicron </w:t>
      </w:r>
      <w:r w:rsidR="001405D9">
        <w:t>BA.4-5</w:t>
      </w:r>
      <w:r>
        <w:t xml:space="preserve"> (</w:t>
      </w:r>
      <w:proofErr w:type="spellStart"/>
      <w:r>
        <w:t>elasomeran</w:t>
      </w:r>
      <w:proofErr w:type="spellEnd"/>
      <w:r>
        <w:t>/</w:t>
      </w:r>
      <w:proofErr w:type="spellStart"/>
      <w:r>
        <w:t>davesomeran</w:t>
      </w:r>
      <w:proofErr w:type="spellEnd"/>
      <w:r>
        <w:t xml:space="preserve"> to be included in the Black Triangle Scheme. The PI and Consumer Medicines Information (CMI) for </w:t>
      </w:r>
      <w:proofErr w:type="spellStart"/>
      <w:r>
        <w:t>Spikevax</w:t>
      </w:r>
      <w:proofErr w:type="spellEnd"/>
      <w:r>
        <w:t xml:space="preserve"> bivalent Original/Omicron </w:t>
      </w:r>
      <w:r w:rsidR="001405D9">
        <w:t>BA.4-5</w:t>
      </w:r>
      <w:r>
        <w:t xml:space="preserve"> must include the black triangle symbol and mandatory accompanying text for five years, or the product’s entire period of provisional registration, whichever is longer.’</w:t>
      </w:r>
    </w:p>
    <w:p w14:paraId="5AAAC856" w14:textId="274AD30A" w:rsidR="008E7846" w:rsidRDefault="00AA0ED0" w:rsidP="008E7846">
      <w:pPr>
        <w:pStyle w:val="Heading3"/>
      </w:pPr>
      <w:bookmarkStart w:id="62" w:name="_Toc128132181"/>
      <w:r>
        <w:t>Risk-benefit a</w:t>
      </w:r>
      <w:r w:rsidR="008E7846">
        <w:t>nalysis</w:t>
      </w:r>
      <w:bookmarkEnd w:id="56"/>
      <w:bookmarkEnd w:id="57"/>
      <w:bookmarkEnd w:id="62"/>
    </w:p>
    <w:p w14:paraId="64D4824D" w14:textId="77777777" w:rsidR="0074163C" w:rsidRDefault="0074163C" w:rsidP="0074163C">
      <w:pPr>
        <w:pStyle w:val="Heading4"/>
      </w:pPr>
      <w:bookmarkStart w:id="63" w:name="_Toc98931932"/>
      <w:r>
        <w:t>Delegate’s considerations</w:t>
      </w:r>
      <w:bookmarkEnd w:id="63"/>
    </w:p>
    <w:p w14:paraId="6287C1CC" w14:textId="13609A1C" w:rsidR="00520187" w:rsidRPr="00520187" w:rsidRDefault="00520187" w:rsidP="00520187">
      <w:bookmarkStart w:id="64" w:name="_Toc98931933"/>
      <w:r w:rsidRPr="00520187">
        <w:t xml:space="preserve">The evidence to support this provisional registration of </w:t>
      </w:r>
      <w:proofErr w:type="spellStart"/>
      <w:r>
        <w:t>Spikevax</w:t>
      </w:r>
      <w:proofErr w:type="spellEnd"/>
      <w:r>
        <w:t xml:space="preserve"> bivalent Original/Omicron </w:t>
      </w:r>
      <w:r w:rsidR="001405D9">
        <w:t>BA.4-5</w:t>
      </w:r>
      <w:r>
        <w:t xml:space="preserve"> vaccine</w:t>
      </w:r>
      <w:r w:rsidRPr="00520187">
        <w:t xml:space="preserve"> </w:t>
      </w:r>
      <w:r w:rsidR="00BB18E7">
        <w:t>(</w:t>
      </w:r>
      <w:proofErr w:type="spellStart"/>
      <w:r w:rsidR="00BB18E7">
        <w:t>elasomeran</w:t>
      </w:r>
      <w:proofErr w:type="spellEnd"/>
      <w:r w:rsidR="00BB18E7">
        <w:t xml:space="preserve"> and </w:t>
      </w:r>
      <w:proofErr w:type="spellStart"/>
      <w:r w:rsidR="00BB18E7">
        <w:t>davesomeran</w:t>
      </w:r>
      <w:proofErr w:type="spellEnd"/>
      <w:r w:rsidR="00BB18E7">
        <w:t xml:space="preserve">) </w:t>
      </w:r>
      <w:r w:rsidRPr="00520187">
        <w:t>include the following:</w:t>
      </w:r>
    </w:p>
    <w:p w14:paraId="0D2288F4" w14:textId="2B74F348" w:rsidR="00520187" w:rsidRPr="00520187" w:rsidRDefault="00520187" w:rsidP="00520187">
      <w:pPr>
        <w:pStyle w:val="ListBullet"/>
      </w:pPr>
      <w:r w:rsidRPr="00520187">
        <w:t xml:space="preserve">Study </w:t>
      </w:r>
      <w:r w:rsidR="0032595E">
        <w:t>P</w:t>
      </w:r>
      <w:r w:rsidRPr="00520187">
        <w:t xml:space="preserve">205 Part H: </w:t>
      </w:r>
      <w:proofErr w:type="spellStart"/>
      <w:r w:rsidR="00F143B6">
        <w:t>Spikevax</w:t>
      </w:r>
      <w:proofErr w:type="spellEnd"/>
      <w:r w:rsidR="00F143B6">
        <w:t xml:space="preserve"> bivalent Original/Omicron </w:t>
      </w:r>
      <w:r w:rsidR="001405D9">
        <w:t>BA.4-5</w:t>
      </w:r>
      <w:r w:rsidR="00F143B6">
        <w:t xml:space="preserve"> </w:t>
      </w:r>
      <w:r w:rsidRPr="00520187">
        <w:t>booster dose</w:t>
      </w:r>
    </w:p>
    <w:p w14:paraId="00ECA3F4" w14:textId="51293025" w:rsidR="00520187" w:rsidRPr="00520187" w:rsidRDefault="00520187" w:rsidP="00520187">
      <w:pPr>
        <w:pStyle w:val="ListBullet"/>
      </w:pPr>
      <w:r w:rsidRPr="00520187">
        <w:t xml:space="preserve">Study </w:t>
      </w:r>
      <w:r w:rsidR="0032595E">
        <w:t>P</w:t>
      </w:r>
      <w:r w:rsidRPr="00520187">
        <w:t>204</w:t>
      </w:r>
      <w:r w:rsidR="00F143B6">
        <w:t xml:space="preserve"> p</w:t>
      </w:r>
      <w:r w:rsidRPr="00520187">
        <w:t xml:space="preserve">rototype </w:t>
      </w:r>
      <w:r w:rsidR="00F143B6">
        <w:t xml:space="preserve">monovalent </w:t>
      </w:r>
      <w:proofErr w:type="spellStart"/>
      <w:r w:rsidR="00F143B6">
        <w:t>Spikevax</w:t>
      </w:r>
      <w:proofErr w:type="spellEnd"/>
      <w:r w:rsidR="00BB18E7">
        <w:t xml:space="preserve"> (</w:t>
      </w:r>
      <w:proofErr w:type="spellStart"/>
      <w:r w:rsidR="00BB18E7">
        <w:t>elasomeran</w:t>
      </w:r>
      <w:proofErr w:type="spellEnd"/>
      <w:r w:rsidR="00BB18E7">
        <w:t>)</w:t>
      </w:r>
      <w:r w:rsidRPr="00520187">
        <w:t xml:space="preserve"> </w:t>
      </w:r>
      <w:r w:rsidR="0032595E">
        <w:t>b</w:t>
      </w:r>
      <w:r w:rsidRPr="00520187">
        <w:t>ooster dose in children 6</w:t>
      </w:r>
      <w:r w:rsidR="00F143B6">
        <w:t xml:space="preserve"> to </w:t>
      </w:r>
      <w:r w:rsidRPr="00520187">
        <w:t>11 years old.</w:t>
      </w:r>
    </w:p>
    <w:p w14:paraId="115A7AAC" w14:textId="4F661A7F" w:rsidR="00520187" w:rsidRPr="00520187" w:rsidRDefault="00520187" w:rsidP="00520187">
      <w:pPr>
        <w:pStyle w:val="ListBullet"/>
      </w:pPr>
      <w:r w:rsidRPr="00520187">
        <w:t xml:space="preserve">Study </w:t>
      </w:r>
      <w:r w:rsidR="0032595E">
        <w:t>P</w:t>
      </w:r>
      <w:r w:rsidRPr="00520187">
        <w:t xml:space="preserve">205 Part G and F: Clinical safety and immunogenicity data from a study which evaluated a second booster dose with the </w:t>
      </w:r>
      <w:proofErr w:type="spellStart"/>
      <w:r w:rsidR="0032595E">
        <w:t>Spikevax</w:t>
      </w:r>
      <w:proofErr w:type="spellEnd"/>
      <w:r w:rsidR="0032595E">
        <w:t xml:space="preserve"> b</w:t>
      </w:r>
      <w:r w:rsidRPr="00520187">
        <w:t>ivalent Original</w:t>
      </w:r>
      <w:r w:rsidR="00F143B6">
        <w:t>/</w:t>
      </w:r>
      <w:r w:rsidRPr="00520187">
        <w:t>Omicron BA.1 vaccine</w:t>
      </w:r>
      <w:r w:rsidR="00BB18E7">
        <w:t xml:space="preserve"> (</w:t>
      </w:r>
      <w:proofErr w:type="spellStart"/>
      <w:r w:rsidR="00BB18E7">
        <w:t>elasomeran</w:t>
      </w:r>
      <w:proofErr w:type="spellEnd"/>
      <w:r w:rsidR="00BB18E7">
        <w:t xml:space="preserve"> and </w:t>
      </w:r>
      <w:proofErr w:type="spellStart"/>
      <w:r w:rsidR="00BB18E7">
        <w:t>imelasomeran</w:t>
      </w:r>
      <w:proofErr w:type="spellEnd"/>
      <w:r w:rsidR="00BB18E7">
        <w:t>)</w:t>
      </w:r>
      <w:r w:rsidRPr="00520187">
        <w:t xml:space="preserve"> following a primary series and first booster with the </w:t>
      </w:r>
      <w:r w:rsidR="00F143B6">
        <w:t xml:space="preserve">monovalent </w:t>
      </w:r>
      <w:proofErr w:type="spellStart"/>
      <w:r w:rsidR="00F143B6">
        <w:t>Spikevax</w:t>
      </w:r>
      <w:proofErr w:type="spellEnd"/>
      <w:r w:rsidRPr="00520187">
        <w:t xml:space="preserve"> </w:t>
      </w:r>
      <w:r w:rsidR="00F143B6">
        <w:t>v</w:t>
      </w:r>
      <w:r w:rsidRPr="00520187">
        <w:t>accine</w:t>
      </w:r>
      <w:r w:rsidR="00BB18E7">
        <w:t xml:space="preserve"> (</w:t>
      </w:r>
      <w:proofErr w:type="spellStart"/>
      <w:r w:rsidR="00BB18E7">
        <w:t>elasomeran</w:t>
      </w:r>
      <w:proofErr w:type="spellEnd"/>
      <w:r w:rsidR="00BB18E7">
        <w:t>)</w:t>
      </w:r>
      <w:r w:rsidR="00F143B6">
        <w:t>.</w:t>
      </w:r>
    </w:p>
    <w:p w14:paraId="5720C059" w14:textId="2052CCC5" w:rsidR="00520187" w:rsidRPr="00520187" w:rsidRDefault="00520187" w:rsidP="00520187">
      <w:pPr>
        <w:pStyle w:val="ListBullet"/>
      </w:pPr>
      <w:r w:rsidRPr="00520187">
        <w:t xml:space="preserve">Clinical safety, immunogenicity, efficacy from studies which evaluated primary and booster vaccination with the </w:t>
      </w:r>
      <w:r w:rsidR="00F143B6">
        <w:t xml:space="preserve">monovalent </w:t>
      </w:r>
      <w:proofErr w:type="spellStart"/>
      <w:r w:rsidR="00F143B6">
        <w:t>Spikevax</w:t>
      </w:r>
      <w:proofErr w:type="spellEnd"/>
      <w:r w:rsidRPr="00520187">
        <w:t xml:space="preserve"> in different age groups.</w:t>
      </w:r>
    </w:p>
    <w:p w14:paraId="1E7FED97" w14:textId="026D4480" w:rsidR="00520187" w:rsidRPr="00520187" w:rsidRDefault="00520187" w:rsidP="00520187">
      <w:pPr>
        <w:pStyle w:val="ListBullet"/>
      </w:pPr>
      <w:r w:rsidRPr="00520187">
        <w:t xml:space="preserve">Post-marketing safety surveillance data with primary series and booster doses of the </w:t>
      </w:r>
      <w:r w:rsidR="00F143B6">
        <w:t xml:space="preserve">monovalent </w:t>
      </w:r>
      <w:proofErr w:type="spellStart"/>
      <w:r w:rsidR="00F143B6">
        <w:t>Spikevax</w:t>
      </w:r>
      <w:proofErr w:type="spellEnd"/>
      <w:r w:rsidR="00F143B6">
        <w:t xml:space="preserve"> vaccine.</w:t>
      </w:r>
    </w:p>
    <w:p w14:paraId="2CCA6E28" w14:textId="5034142B" w:rsidR="00520187" w:rsidRPr="00520187" w:rsidRDefault="00520187" w:rsidP="00520187">
      <w:r w:rsidRPr="00520187">
        <w:t>Prior to the approval of Omicron</w:t>
      </w:r>
      <w:r w:rsidR="00F143B6">
        <w:t xml:space="preserve"> </w:t>
      </w:r>
      <w:r w:rsidRPr="00520187">
        <w:t xml:space="preserve">targeting bivalent booster vaccines, a decrease in booster vaccine effectiveness had been observed in association with the emergence of </w:t>
      </w:r>
      <w:r w:rsidR="00BB18E7">
        <w:t xml:space="preserve">the </w:t>
      </w:r>
      <w:r w:rsidRPr="00520187">
        <w:t>Omicron</w:t>
      </w:r>
      <w:r w:rsidR="00BB18E7">
        <w:t xml:space="preserve"> </w:t>
      </w:r>
      <w:r w:rsidR="00BB18E7">
        <w:lastRenderedPageBreak/>
        <w:t>SARS-CoV-2 variant</w:t>
      </w:r>
      <w:r w:rsidRPr="00520187">
        <w:t>.</w:t>
      </w:r>
      <w:r w:rsidR="00116E64">
        <w:rPr>
          <w:rStyle w:val="FootnoteReference"/>
        </w:rPr>
        <w:footnoteReference w:id="10"/>
      </w:r>
      <w:r w:rsidR="00116E64" w:rsidRPr="00116E64">
        <w:rPr>
          <w:vertAlign w:val="superscript"/>
        </w:rPr>
        <w:t>,</w:t>
      </w:r>
      <w:r w:rsidR="00116E64">
        <w:rPr>
          <w:rStyle w:val="FootnoteReference"/>
        </w:rPr>
        <w:footnoteReference w:id="11"/>
      </w:r>
      <w:r w:rsidR="00116E64" w:rsidRPr="00116E64">
        <w:rPr>
          <w:vertAlign w:val="superscript"/>
        </w:rPr>
        <w:t>,</w:t>
      </w:r>
      <w:r w:rsidR="00116E64">
        <w:rPr>
          <w:rStyle w:val="FootnoteReference"/>
        </w:rPr>
        <w:footnoteReference w:id="12"/>
      </w:r>
      <w:r w:rsidR="00BB18E7">
        <w:rPr>
          <w:vertAlign w:val="superscript"/>
        </w:rPr>
        <w:t xml:space="preserve"> </w:t>
      </w:r>
      <w:r w:rsidRPr="00520187">
        <w:t xml:space="preserve">The sponsor claims that both </w:t>
      </w:r>
      <w:proofErr w:type="spellStart"/>
      <w:r w:rsidR="00B05940">
        <w:t>Spikevax</w:t>
      </w:r>
      <w:proofErr w:type="spellEnd"/>
      <w:r w:rsidR="00B05940">
        <w:t xml:space="preserve"> bivalent Original/</w:t>
      </w:r>
      <w:r w:rsidR="00116E64">
        <w:t xml:space="preserve">Omicron </w:t>
      </w:r>
      <w:r w:rsidRPr="00520187">
        <w:t xml:space="preserve">BA.1 </w:t>
      </w:r>
      <w:r w:rsidR="00205782">
        <w:t>(</w:t>
      </w:r>
      <w:proofErr w:type="spellStart"/>
      <w:r w:rsidR="00205782">
        <w:t>elasomeran</w:t>
      </w:r>
      <w:proofErr w:type="spellEnd"/>
      <w:r w:rsidR="00205782">
        <w:t xml:space="preserve"> and </w:t>
      </w:r>
      <w:proofErr w:type="spellStart"/>
      <w:r w:rsidR="00205782">
        <w:t>imelasomeran</w:t>
      </w:r>
      <w:proofErr w:type="spellEnd"/>
      <w:r w:rsidR="00205782">
        <w:t xml:space="preserve">) </w:t>
      </w:r>
      <w:r w:rsidRPr="00520187">
        <w:t xml:space="preserve">and the </w:t>
      </w:r>
      <w:proofErr w:type="spellStart"/>
      <w:r w:rsidR="00B05940">
        <w:t>Spikevax</w:t>
      </w:r>
      <w:proofErr w:type="spellEnd"/>
      <w:r w:rsidR="00B05940">
        <w:t xml:space="preserve"> bivalent Original/</w:t>
      </w:r>
      <w:r w:rsidR="0032595E">
        <w:t xml:space="preserve">Omicron </w:t>
      </w:r>
      <w:r w:rsidRPr="00520187">
        <w:t>BA.4</w:t>
      </w:r>
      <w:r w:rsidR="00B05940">
        <w:t>-</w:t>
      </w:r>
      <w:r w:rsidRPr="00520187">
        <w:t>BA.5</w:t>
      </w:r>
      <w:r w:rsidR="00116E64">
        <w:t xml:space="preserve"> </w:t>
      </w:r>
      <w:r w:rsidR="00205782">
        <w:t>(</w:t>
      </w:r>
      <w:proofErr w:type="spellStart"/>
      <w:r w:rsidR="00205782">
        <w:t>elasomeran</w:t>
      </w:r>
      <w:proofErr w:type="spellEnd"/>
      <w:r w:rsidR="00205782">
        <w:t xml:space="preserve"> and </w:t>
      </w:r>
      <w:proofErr w:type="spellStart"/>
      <w:r w:rsidR="00205782">
        <w:t>davesomeran</w:t>
      </w:r>
      <w:proofErr w:type="spellEnd"/>
      <w:r w:rsidR="00205782">
        <w:t xml:space="preserve">) </w:t>
      </w:r>
      <w:r w:rsidRPr="00520187">
        <w:t xml:space="preserve">vaccines address the Omicron pandemic wave and more recently, the sponsor has transitioned vaccine manufacturing to the </w:t>
      </w:r>
      <w:proofErr w:type="spellStart"/>
      <w:r w:rsidR="00B05940">
        <w:t>Spikevax</w:t>
      </w:r>
      <w:proofErr w:type="spellEnd"/>
      <w:r w:rsidR="00B05940">
        <w:t xml:space="preserve"> bivalent Original/</w:t>
      </w:r>
      <w:r w:rsidR="00116E64">
        <w:t xml:space="preserve">Omicron </w:t>
      </w:r>
      <w:r w:rsidRPr="00520187">
        <w:t>BA.4</w:t>
      </w:r>
      <w:r w:rsidR="00B05940">
        <w:t>-</w:t>
      </w:r>
      <w:r w:rsidRPr="00520187">
        <w:t>BA.5 containing vaccine to harmon</w:t>
      </w:r>
      <w:r w:rsidR="004B0233">
        <w:t>is</w:t>
      </w:r>
      <w:r w:rsidRPr="00520187">
        <w:t>e use of Omicron-containing vaccines globally. The new bivalent vaccine (</w:t>
      </w:r>
      <w:r w:rsidR="00116E64">
        <w:t xml:space="preserve">Original/Omicron </w:t>
      </w:r>
      <w:r w:rsidR="001405D9">
        <w:t>BA.4-5</w:t>
      </w:r>
      <w:r w:rsidRPr="00520187">
        <w:t xml:space="preserve">) is manufactured using the same mRNA platform and manufacturing method as the provisionally approved </w:t>
      </w:r>
      <w:proofErr w:type="spellStart"/>
      <w:r w:rsidR="0032595E">
        <w:t>Spikevax</w:t>
      </w:r>
      <w:proofErr w:type="spellEnd"/>
      <w:r w:rsidR="0032595E">
        <w:t xml:space="preserve"> </w:t>
      </w:r>
      <w:r w:rsidR="00205782">
        <w:t xml:space="preserve">bivalent </w:t>
      </w:r>
      <w:r w:rsidRPr="00520187">
        <w:t>Original/Omicron BA.1 vaccine.</w:t>
      </w:r>
    </w:p>
    <w:p w14:paraId="6CF0C620" w14:textId="7139A49E" w:rsidR="00520187" w:rsidRPr="00520187" w:rsidRDefault="00520187" w:rsidP="00520187">
      <w:proofErr w:type="gramStart"/>
      <w:r w:rsidRPr="00520187">
        <w:t>Study P205 Part H,</w:t>
      </w:r>
      <w:proofErr w:type="gramEnd"/>
      <w:r w:rsidRPr="00520187">
        <w:t xml:space="preserve"> evaluated the safety, reactogenicity, and immunogenicity of 50 </w:t>
      </w:r>
      <w:r w:rsidR="00116E64">
        <w:t>µ</w:t>
      </w:r>
      <w:r w:rsidRPr="00520187">
        <w:t xml:space="preserve">g of </w:t>
      </w:r>
      <w:proofErr w:type="spellStart"/>
      <w:r w:rsidR="00205782">
        <w:t>Spikevax</w:t>
      </w:r>
      <w:proofErr w:type="spellEnd"/>
      <w:r w:rsidR="00205782">
        <w:t xml:space="preserve"> </w:t>
      </w:r>
      <w:r w:rsidR="00116E64">
        <w:t>bivalent Original/Omicron BA.4–5 vaccine</w:t>
      </w:r>
      <w:r w:rsidRPr="00520187">
        <w:t xml:space="preserve"> when administered as a second booster dose in </w:t>
      </w:r>
      <w:bookmarkStart w:id="65" w:name="_Hlk125896743"/>
      <w:r w:rsidRPr="00520187">
        <w:t xml:space="preserve">adults (individuals </w:t>
      </w:r>
      <w:r w:rsidR="00116E64">
        <w:t xml:space="preserve">older than </w:t>
      </w:r>
      <w:r w:rsidRPr="00520187">
        <w:t xml:space="preserve">18 years of age) </w:t>
      </w:r>
      <w:bookmarkEnd w:id="65"/>
      <w:r w:rsidRPr="00520187">
        <w:t xml:space="preserve">who previously received </w:t>
      </w:r>
      <w:r w:rsidR="00116E64">
        <w:t>two</w:t>
      </w:r>
      <w:r w:rsidRPr="00520187">
        <w:t xml:space="preserve"> doses of 100 </w:t>
      </w:r>
      <w:r w:rsidR="00116E64">
        <w:t>µ</w:t>
      </w:r>
      <w:r w:rsidRPr="00520187">
        <w:t xml:space="preserve">g </w:t>
      </w:r>
      <w:r w:rsidR="00116E64">
        <w:t xml:space="preserve">of monovalent </w:t>
      </w:r>
      <w:proofErr w:type="spellStart"/>
      <w:r w:rsidR="00116E64">
        <w:t>Spikevax</w:t>
      </w:r>
      <w:proofErr w:type="spellEnd"/>
      <w:r w:rsidRPr="00520187">
        <w:t xml:space="preserve"> as a primary series and a first booster dose of 50 </w:t>
      </w:r>
      <w:r w:rsidR="00116E64">
        <w:t>µ</w:t>
      </w:r>
      <w:r w:rsidRPr="00520187">
        <w:t xml:space="preserve">g </w:t>
      </w:r>
      <w:r w:rsidR="00116E64">
        <w:t xml:space="preserve">monovalent </w:t>
      </w:r>
      <w:proofErr w:type="spellStart"/>
      <w:r w:rsidR="00116E64">
        <w:t>Spikevax</w:t>
      </w:r>
      <w:proofErr w:type="spellEnd"/>
      <w:r w:rsidRPr="00520187">
        <w:t xml:space="preserve">. mRNA-1273.222 </w:t>
      </w:r>
      <w:r w:rsidR="00205782">
        <w:t>(</w:t>
      </w:r>
      <w:proofErr w:type="spellStart"/>
      <w:r w:rsidR="00205782">
        <w:t>elasomeran</w:t>
      </w:r>
      <w:proofErr w:type="spellEnd"/>
      <w:r w:rsidR="00205782">
        <w:t xml:space="preserve"> and </w:t>
      </w:r>
      <w:proofErr w:type="spellStart"/>
      <w:r w:rsidR="00205782">
        <w:t>davesomeran</w:t>
      </w:r>
      <w:proofErr w:type="spellEnd"/>
      <w:r w:rsidR="00205782">
        <w:t xml:space="preserve">) </w:t>
      </w:r>
      <w:r w:rsidRPr="00520187">
        <w:t xml:space="preserve">is the </w:t>
      </w:r>
      <w:proofErr w:type="spellStart"/>
      <w:r w:rsidR="00205782">
        <w:t>Spikevax</w:t>
      </w:r>
      <w:proofErr w:type="spellEnd"/>
      <w:r w:rsidR="00205782">
        <w:t xml:space="preserve"> </w:t>
      </w:r>
      <w:r w:rsidRPr="00520187">
        <w:t xml:space="preserve">Omicron BA.4/BA.5 bivalent booster vaccine that contains 25 </w:t>
      </w:r>
      <w:r w:rsidR="00116E64">
        <w:t>µ</w:t>
      </w:r>
      <w:r w:rsidRPr="00520187">
        <w:t>g ancestral SARS</w:t>
      </w:r>
      <w:r w:rsidR="00205782">
        <w:noBreakHyphen/>
      </w:r>
      <w:r w:rsidRPr="00520187">
        <w:t xml:space="preserve">CoV-2 </w:t>
      </w:r>
      <w:r w:rsidR="00116E64">
        <w:t>s</w:t>
      </w:r>
      <w:r w:rsidRPr="00520187">
        <w:t xml:space="preserve">pike mRNA </w:t>
      </w:r>
      <w:r w:rsidR="00205782">
        <w:t>(</w:t>
      </w:r>
      <w:proofErr w:type="spellStart"/>
      <w:r w:rsidR="00205782">
        <w:t>elasomeran</w:t>
      </w:r>
      <w:proofErr w:type="spellEnd"/>
      <w:r w:rsidR="00205782">
        <w:t xml:space="preserve">) </w:t>
      </w:r>
      <w:r w:rsidRPr="00520187">
        <w:t xml:space="preserve">and 25 </w:t>
      </w:r>
      <w:r w:rsidR="00116E64">
        <w:t>µg</w:t>
      </w:r>
      <w:r w:rsidRPr="00520187">
        <w:t xml:space="preserve"> Omicron BA.4/BA.5 </w:t>
      </w:r>
      <w:r w:rsidR="00116E64">
        <w:t>s</w:t>
      </w:r>
      <w:r w:rsidRPr="00520187">
        <w:t>pike mRNA</w:t>
      </w:r>
      <w:r w:rsidR="00205782">
        <w:t xml:space="preserve"> (</w:t>
      </w:r>
      <w:proofErr w:type="spellStart"/>
      <w:r w:rsidR="00205782">
        <w:t>davesomeran</w:t>
      </w:r>
      <w:proofErr w:type="spellEnd"/>
      <w:r w:rsidR="00205782">
        <w:t>)</w:t>
      </w:r>
      <w:r w:rsidRPr="00520187">
        <w:t>.</w:t>
      </w:r>
    </w:p>
    <w:p w14:paraId="6BEDB268" w14:textId="334ED3BD" w:rsidR="00520187" w:rsidRPr="00520187" w:rsidRDefault="00520187" w:rsidP="00520187">
      <w:r w:rsidRPr="00520187">
        <w:t xml:space="preserve">The </w:t>
      </w:r>
      <w:bookmarkStart w:id="66" w:name="_Hlk126185711"/>
      <w:r w:rsidR="00116E64">
        <w:t xml:space="preserve">Study </w:t>
      </w:r>
      <w:r w:rsidRPr="00520187">
        <w:t>P205 Part F (</w:t>
      </w:r>
      <w:r w:rsidR="00116E64">
        <w:t>C</w:t>
      </w:r>
      <w:r w:rsidRPr="00520187">
        <w:t xml:space="preserve">ohort 2) </w:t>
      </w:r>
      <w:bookmarkEnd w:id="66"/>
      <w:r w:rsidRPr="00520187">
        <w:t>serves as the within</w:t>
      </w:r>
      <w:r w:rsidR="00116E64">
        <w:t xml:space="preserve"> </w:t>
      </w:r>
      <w:r w:rsidRPr="00520187">
        <w:t xml:space="preserve">study, non-contemporaneous comparator group for the </w:t>
      </w:r>
      <w:r w:rsidR="00116E64">
        <w:t xml:space="preserve">Study </w:t>
      </w:r>
      <w:r w:rsidRPr="00520187">
        <w:t xml:space="preserve">P205 Part H in the immunogenicity comparison between the two booster vaccines, </w:t>
      </w:r>
      <w:proofErr w:type="spellStart"/>
      <w:r w:rsidR="006D6E90">
        <w:t>Spikevax</w:t>
      </w:r>
      <w:proofErr w:type="spellEnd"/>
      <w:r w:rsidR="006D6E90">
        <w:t xml:space="preserve"> </w:t>
      </w:r>
      <w:r w:rsidR="00116E64">
        <w:t xml:space="preserve">bivalent Original/Omicron </w:t>
      </w:r>
      <w:r w:rsidR="001405D9">
        <w:t>BA.4-5</w:t>
      </w:r>
      <w:r w:rsidR="00116E64">
        <w:t xml:space="preserve"> at</w:t>
      </w:r>
      <w:r w:rsidRPr="00520187">
        <w:t xml:space="preserve"> 50 </w:t>
      </w:r>
      <w:r w:rsidR="00116E64">
        <w:t>µ</w:t>
      </w:r>
      <w:r w:rsidRPr="00520187">
        <w:t xml:space="preserve">g and </w:t>
      </w:r>
      <w:r w:rsidR="00116E64">
        <w:t xml:space="preserve">monovalent </w:t>
      </w:r>
      <w:proofErr w:type="spellStart"/>
      <w:r w:rsidR="00116E64">
        <w:t>Spikevax</w:t>
      </w:r>
      <w:proofErr w:type="spellEnd"/>
      <w:r w:rsidR="00116E64">
        <w:t xml:space="preserve"> at </w:t>
      </w:r>
      <w:r w:rsidRPr="00520187">
        <w:t xml:space="preserve">50 </w:t>
      </w:r>
      <w:r w:rsidR="00116E64">
        <w:t>µ</w:t>
      </w:r>
      <w:r w:rsidRPr="00520187">
        <w:t>g, when administered as second booster doses. Study P205 Part F (</w:t>
      </w:r>
      <w:r w:rsidR="00116E64">
        <w:t>C</w:t>
      </w:r>
      <w:r w:rsidRPr="00520187">
        <w:t>ohort</w:t>
      </w:r>
      <w:r w:rsidR="00116E64">
        <w:t> </w:t>
      </w:r>
      <w:r w:rsidRPr="00520187">
        <w:t xml:space="preserve">2) evaluated the safety, reactogenicity, and immunogenicity of 50 </w:t>
      </w:r>
      <w:r w:rsidR="00116E64">
        <w:t>µ</w:t>
      </w:r>
      <w:r w:rsidRPr="00520187">
        <w:t xml:space="preserve">g of </w:t>
      </w:r>
      <w:r w:rsidR="00116E64">
        <w:t xml:space="preserve">monovalent </w:t>
      </w:r>
      <w:proofErr w:type="spellStart"/>
      <w:r w:rsidR="00116E64">
        <w:t>Spikevax</w:t>
      </w:r>
      <w:proofErr w:type="spellEnd"/>
      <w:r w:rsidRPr="00520187">
        <w:t xml:space="preserve"> when administered as a second booster dose in adults who previously received </w:t>
      </w:r>
      <w:r w:rsidR="00116E64">
        <w:t>two</w:t>
      </w:r>
      <w:r w:rsidRPr="00520187">
        <w:t xml:space="preserve"> doses of 100 </w:t>
      </w:r>
      <w:r w:rsidR="00116E64">
        <w:t>µ</w:t>
      </w:r>
      <w:r w:rsidRPr="00520187">
        <w:t xml:space="preserve">g </w:t>
      </w:r>
      <w:r w:rsidR="00116E64">
        <w:t xml:space="preserve">monovalent </w:t>
      </w:r>
      <w:proofErr w:type="spellStart"/>
      <w:r w:rsidR="00116E64">
        <w:t>Spikevax</w:t>
      </w:r>
      <w:proofErr w:type="spellEnd"/>
      <w:r w:rsidRPr="00520187">
        <w:t xml:space="preserve"> </w:t>
      </w:r>
      <w:r w:rsidR="00205782">
        <w:t>(</w:t>
      </w:r>
      <w:proofErr w:type="spellStart"/>
      <w:r w:rsidR="00205782">
        <w:t>elasomeran</w:t>
      </w:r>
      <w:proofErr w:type="spellEnd"/>
      <w:r w:rsidR="00205782">
        <w:t xml:space="preserve">) </w:t>
      </w:r>
      <w:r w:rsidRPr="00520187">
        <w:t xml:space="preserve">as a primary series and a first booster dose of 50 </w:t>
      </w:r>
      <w:r w:rsidR="00116E64">
        <w:t>µ</w:t>
      </w:r>
      <w:r w:rsidRPr="00520187">
        <w:t xml:space="preserve">g </w:t>
      </w:r>
      <w:r w:rsidR="00116E64">
        <w:t xml:space="preserve">monovalent </w:t>
      </w:r>
      <w:proofErr w:type="spellStart"/>
      <w:r w:rsidR="00116E64">
        <w:t>Spikevax</w:t>
      </w:r>
      <w:proofErr w:type="spellEnd"/>
      <w:r w:rsidRPr="00520187">
        <w:t>.</w:t>
      </w:r>
    </w:p>
    <w:p w14:paraId="18E2387E" w14:textId="4B6D23DB" w:rsidR="00520187" w:rsidRPr="00520187" w:rsidRDefault="00520187" w:rsidP="00520187">
      <w:r w:rsidRPr="00520187">
        <w:t>Although not randomised this comparison of the two cohorts is considered acceptable considering similar inclusion criterion, overall demographic and baseline characteristics was similar, with specific primary endpoint. Although there is no immune correlate of protection, the difference in neutralising antibodies against Omicron would be expected to translate into a clinical benefit of the bivalent vaccine compared to the original vaccine. Study P205 was not designed to evaluate booster vaccine effectiveness and the sponsor has stated that they will actively monitor real</w:t>
      </w:r>
      <w:r w:rsidR="0032595E">
        <w:t xml:space="preserve"> </w:t>
      </w:r>
      <w:r w:rsidRPr="00520187">
        <w:t xml:space="preserve">world effectiveness data including future variants with additional antibody escape mutations, following the use of </w:t>
      </w:r>
      <w:proofErr w:type="spellStart"/>
      <w:r w:rsidR="00205782">
        <w:t>Spikevax</w:t>
      </w:r>
      <w:proofErr w:type="spellEnd"/>
      <w:r w:rsidR="00205782">
        <w:t xml:space="preserve"> </w:t>
      </w:r>
      <w:r w:rsidR="00116E64">
        <w:t>bivalent Original/Omicron BA.4</w:t>
      </w:r>
      <w:r w:rsidR="00B05940">
        <w:t>-</w:t>
      </w:r>
      <w:r w:rsidR="00116E64">
        <w:t xml:space="preserve"> 5 vaccine,</w:t>
      </w:r>
      <w:r w:rsidRPr="00520187">
        <w:t xml:space="preserve"> if approved.</w:t>
      </w:r>
    </w:p>
    <w:p w14:paraId="399E053A" w14:textId="28C549F0" w:rsidR="00520187" w:rsidRPr="00520187" w:rsidRDefault="00520187" w:rsidP="00520187">
      <w:r w:rsidRPr="00520187">
        <w:t xml:space="preserve">In the </w:t>
      </w:r>
      <w:bookmarkStart w:id="67" w:name="_Hlk126185743"/>
      <w:r w:rsidR="00116E64">
        <w:t xml:space="preserve">Study </w:t>
      </w:r>
      <w:r w:rsidRPr="00520187">
        <w:t xml:space="preserve">P205 Part H </w:t>
      </w:r>
      <w:bookmarkEnd w:id="67"/>
      <w:r w:rsidRPr="00520187">
        <w:t xml:space="preserve">Day 29 interim analysis, in adults (individuals </w:t>
      </w:r>
      <w:r w:rsidR="00116E64">
        <w:t xml:space="preserve">older than </w:t>
      </w:r>
      <w:r w:rsidRPr="00520187">
        <w:t xml:space="preserve">18 years of age), all primary objectives were met in participants without prior SARS-CoV-2 infection, the population pre-specified for the primary analysis. A </w:t>
      </w:r>
      <w:proofErr w:type="gramStart"/>
      <w:r w:rsidRPr="00520187">
        <w:t xml:space="preserve">50 </w:t>
      </w:r>
      <w:r w:rsidR="00116E64">
        <w:t>µ</w:t>
      </w:r>
      <w:r w:rsidRPr="00520187">
        <w:t>g</w:t>
      </w:r>
      <w:proofErr w:type="gramEnd"/>
      <w:r w:rsidRPr="00520187">
        <w:t xml:space="preserve"> booster dose of </w:t>
      </w:r>
      <w:proofErr w:type="spellStart"/>
      <w:r w:rsidR="006D6E90">
        <w:t>Spikevax</w:t>
      </w:r>
      <w:proofErr w:type="spellEnd"/>
      <w:r w:rsidR="006D6E90">
        <w:t xml:space="preserve"> </w:t>
      </w:r>
      <w:r w:rsidR="00116E64">
        <w:t>bivalent Original/Omicron BA.4</w:t>
      </w:r>
      <w:r w:rsidR="00B05940">
        <w:t>-</w:t>
      </w:r>
      <w:r w:rsidR="00116E64">
        <w:t xml:space="preserve"> 5 vaccine</w:t>
      </w:r>
      <w:r w:rsidRPr="00520187">
        <w:t xml:space="preserve"> elicited a superior neutrali</w:t>
      </w:r>
      <w:r w:rsidR="00116E64">
        <w:t>s</w:t>
      </w:r>
      <w:r w:rsidRPr="00520187">
        <w:t xml:space="preserve">ing antibody response to the Omicron BA.4 and BA.5 variants compared to </w:t>
      </w:r>
      <w:r w:rsidR="00116E64">
        <w:t xml:space="preserve">monovalent </w:t>
      </w:r>
      <w:proofErr w:type="spellStart"/>
      <w:r w:rsidR="00116E64">
        <w:t>Spikevax</w:t>
      </w:r>
      <w:proofErr w:type="spellEnd"/>
      <w:r w:rsidR="00116E64">
        <w:t xml:space="preserve"> at </w:t>
      </w:r>
      <w:r w:rsidRPr="00520187">
        <w:t>50</w:t>
      </w:r>
      <w:r w:rsidR="00116E64">
        <w:t> µ</w:t>
      </w:r>
      <w:r w:rsidRPr="00520187">
        <w:t>g, 28 days after the booster dose regardless of SARS-CoV-2 infection prior to immuni</w:t>
      </w:r>
      <w:r w:rsidR="004705FF">
        <w:t>s</w:t>
      </w:r>
      <w:r w:rsidRPr="00520187">
        <w:t xml:space="preserve">ation. </w:t>
      </w:r>
      <w:r w:rsidR="004705FF">
        <w:t xml:space="preserve">The </w:t>
      </w:r>
      <w:proofErr w:type="spellStart"/>
      <w:r w:rsidR="00205782">
        <w:t>Spikevax</w:t>
      </w:r>
      <w:proofErr w:type="spellEnd"/>
      <w:r w:rsidR="00205782">
        <w:t xml:space="preserve"> </w:t>
      </w:r>
      <w:r w:rsidR="004705FF">
        <w:t xml:space="preserve">bivalent Original/Omicron </w:t>
      </w:r>
      <w:r w:rsidR="001405D9">
        <w:t>BA.4-5</w:t>
      </w:r>
      <w:r w:rsidR="004705FF">
        <w:t xml:space="preserve"> vaccine</w:t>
      </w:r>
      <w:r w:rsidRPr="00520187">
        <w:t xml:space="preserve"> elicited a non-inferior neutrali</w:t>
      </w:r>
      <w:r w:rsidR="004705FF">
        <w:t>s</w:t>
      </w:r>
      <w:r w:rsidRPr="00520187">
        <w:t>ing antibody response against the ancestral</w:t>
      </w:r>
      <w:r w:rsidR="004705FF">
        <w:t xml:space="preserve"> strain</w:t>
      </w:r>
      <w:r w:rsidRPr="00520187">
        <w:t xml:space="preserve">, compared to </w:t>
      </w:r>
      <w:r w:rsidR="004705FF">
        <w:t xml:space="preserve">monovalent </w:t>
      </w:r>
      <w:proofErr w:type="spellStart"/>
      <w:r w:rsidR="004705FF">
        <w:t>Spikevax</w:t>
      </w:r>
      <w:proofErr w:type="spellEnd"/>
      <w:r w:rsidRPr="00520187">
        <w:t xml:space="preserve">. A subgroup analysis of the </w:t>
      </w:r>
      <w:r w:rsidR="004705FF">
        <w:t xml:space="preserve">per-protocol immunogenicity subset with SARS-CoV-2 negative status </w:t>
      </w:r>
      <w:r w:rsidRPr="00520187">
        <w:t>population by age group (</w:t>
      </w:r>
      <w:r w:rsidR="0032595E">
        <w:t>from</w:t>
      </w:r>
      <w:r w:rsidRPr="00520187">
        <w:t xml:space="preserve"> 18 to </w:t>
      </w:r>
      <w:r w:rsidR="0032595E">
        <w:t>younger than</w:t>
      </w:r>
      <w:r w:rsidRPr="00520187">
        <w:t xml:space="preserve"> </w:t>
      </w:r>
      <w:r w:rsidRPr="00520187">
        <w:lastRenderedPageBreak/>
        <w:t>65</w:t>
      </w:r>
      <w:r w:rsidR="00205782">
        <w:t> </w:t>
      </w:r>
      <w:r w:rsidRPr="00520187">
        <w:t xml:space="preserve">years and </w:t>
      </w:r>
      <w:r w:rsidR="0032595E">
        <w:t>from</w:t>
      </w:r>
      <w:r w:rsidR="004705FF">
        <w:t xml:space="preserve"> </w:t>
      </w:r>
      <w:r w:rsidRPr="00520187">
        <w:t>65 years of age) was performed and the results indicate that the immunogenicity responses were similar between the two age groups.</w:t>
      </w:r>
    </w:p>
    <w:p w14:paraId="7E3B5889" w14:textId="7C5E659A" w:rsidR="00520187" w:rsidRPr="00520187" w:rsidRDefault="00520187" w:rsidP="00520187">
      <w:r w:rsidRPr="00520187">
        <w:t>An exploratory analysis was performed to assess the cross-neutrali</w:t>
      </w:r>
      <w:r w:rsidR="004705FF">
        <w:t>s</w:t>
      </w:r>
      <w:r w:rsidRPr="00520187">
        <w:t xml:space="preserve">ation ability of </w:t>
      </w:r>
      <w:proofErr w:type="spellStart"/>
      <w:r w:rsidR="00F65E1C">
        <w:t>Spikevax</w:t>
      </w:r>
      <w:proofErr w:type="spellEnd"/>
      <w:r w:rsidR="00F65E1C">
        <w:t xml:space="preserve"> </w:t>
      </w:r>
      <w:r w:rsidR="004705FF">
        <w:t xml:space="preserve">bivalent Original/Omicron </w:t>
      </w:r>
      <w:r w:rsidR="001405D9">
        <w:t>BA.4-5</w:t>
      </w:r>
      <w:r w:rsidR="004705FF">
        <w:t xml:space="preserve"> vaccine</w:t>
      </w:r>
      <w:r w:rsidRPr="00520187">
        <w:t xml:space="preserve"> against emerging Omicron variants (BQ.1.1 and XBB.1) in a random sample of 40 participants without SARS-CoV-2 infection at pre</w:t>
      </w:r>
      <w:r w:rsidR="009F64B6">
        <w:noBreakHyphen/>
      </w:r>
      <w:r w:rsidRPr="00520187">
        <w:t>booster and a random sample of 20 participants with infection at pre-booster</w:t>
      </w:r>
      <w:r w:rsidR="0032595E">
        <w:t>.</w:t>
      </w:r>
      <w:r w:rsidRPr="00520187">
        <w:t xml:space="preserve"> For participants without evidence of previous infection, the GMFR (95% CI) was 19.6 (11.7, 32.8) against the BQ.1.1 </w:t>
      </w:r>
      <w:r w:rsidR="00205782">
        <w:t>Omicron sub</w:t>
      </w:r>
      <w:r w:rsidRPr="00520187">
        <w:t xml:space="preserve">variant and 12.3 (7.4, 20.5) against the XBB.1 </w:t>
      </w:r>
      <w:r w:rsidR="00205782">
        <w:t>Omicron sub</w:t>
      </w:r>
      <w:r w:rsidRPr="00520187">
        <w:t xml:space="preserve">variant from pre-booster antibody titres, and for participants with evidence of pre-booster infection, the GFMR (95% CI) was 8.8 (5, 15.5) against the BQ.1.1 </w:t>
      </w:r>
      <w:r w:rsidR="00205782">
        <w:t>sub</w:t>
      </w:r>
      <w:r w:rsidRPr="00520187">
        <w:t xml:space="preserve">variant and 6.9 (4, 11.7) against the XBB.1 </w:t>
      </w:r>
      <w:r w:rsidR="00205782">
        <w:t>sub</w:t>
      </w:r>
      <w:r w:rsidRPr="00520187">
        <w:t xml:space="preserve">variant. These results indicate that that </w:t>
      </w:r>
      <w:proofErr w:type="spellStart"/>
      <w:r w:rsidR="0032595E">
        <w:t>Spikevax</w:t>
      </w:r>
      <w:proofErr w:type="spellEnd"/>
      <w:r w:rsidR="0032595E">
        <w:t xml:space="preserve"> </w:t>
      </w:r>
      <w:r w:rsidR="004705FF">
        <w:t xml:space="preserve">bivalent Original/Omicron </w:t>
      </w:r>
      <w:r w:rsidR="001405D9">
        <w:t>BA.4-5</w:t>
      </w:r>
      <w:r w:rsidR="004705FF">
        <w:t xml:space="preserve"> vaccine</w:t>
      </w:r>
      <w:r w:rsidR="004705FF" w:rsidRPr="00520187">
        <w:t xml:space="preserve"> </w:t>
      </w:r>
      <w:r w:rsidRPr="00520187">
        <w:t>exhibited cross-neutrali</w:t>
      </w:r>
      <w:r w:rsidR="004705FF">
        <w:t>s</w:t>
      </w:r>
      <w:r w:rsidRPr="00520187">
        <w:t xml:space="preserve">ation against BQ.1.1 and XBB.1, and that antibody titres substantially increased 28 days after administration of the </w:t>
      </w:r>
      <w:proofErr w:type="spellStart"/>
      <w:r w:rsidR="00F65E1C">
        <w:t>Spikevax</w:t>
      </w:r>
      <w:proofErr w:type="spellEnd"/>
      <w:r w:rsidR="00F65E1C">
        <w:t xml:space="preserve"> </w:t>
      </w:r>
      <w:r w:rsidR="004705FF">
        <w:t>bivalent Original/Omicron </w:t>
      </w:r>
      <w:r w:rsidR="001405D9">
        <w:t>BA.4-5</w:t>
      </w:r>
      <w:r w:rsidR="004705FF">
        <w:t xml:space="preserve"> vaccine</w:t>
      </w:r>
      <w:r w:rsidR="004705FF" w:rsidRPr="00520187">
        <w:t xml:space="preserve"> </w:t>
      </w:r>
      <w:r w:rsidRPr="00520187">
        <w:t>booster dose.</w:t>
      </w:r>
    </w:p>
    <w:p w14:paraId="45C07123" w14:textId="6F47B6BF" w:rsidR="00520187" w:rsidRPr="00520187" w:rsidRDefault="00520187" w:rsidP="00520187">
      <w:r w:rsidRPr="00520187">
        <w:t xml:space="preserve">Considering the proposed target population of </w:t>
      </w:r>
      <w:r w:rsidR="009F64B6">
        <w:t>from</w:t>
      </w:r>
      <w:r w:rsidR="004705FF">
        <w:t xml:space="preserve"> </w:t>
      </w:r>
      <w:r w:rsidRPr="00520187">
        <w:t xml:space="preserve">6 </w:t>
      </w:r>
      <w:r w:rsidR="004705FF">
        <w:t>years of age</w:t>
      </w:r>
      <w:r w:rsidR="009F64B6">
        <w:t xml:space="preserve"> and older</w:t>
      </w:r>
      <w:r w:rsidRPr="00520187">
        <w:t>, while the sponsor has provided Study P203 Part C booster (12</w:t>
      </w:r>
      <w:r w:rsidR="009F64B6">
        <w:t xml:space="preserve"> to </w:t>
      </w:r>
      <w:r w:rsidRPr="00520187">
        <w:t xml:space="preserve">17 </w:t>
      </w:r>
      <w:r w:rsidR="009F64B6">
        <w:t>years of age</w:t>
      </w:r>
      <w:r w:rsidRPr="00520187">
        <w:t>) and Study P204 booster (6</w:t>
      </w:r>
      <w:r w:rsidR="0032595E">
        <w:t xml:space="preserve"> </w:t>
      </w:r>
      <w:r w:rsidR="009F64B6">
        <w:t xml:space="preserve">to </w:t>
      </w:r>
      <w:r w:rsidRPr="00520187">
        <w:t xml:space="preserve">11 </w:t>
      </w:r>
      <w:r w:rsidR="009F64B6">
        <w:t>years of age</w:t>
      </w:r>
      <w:r w:rsidRPr="00520187">
        <w:t xml:space="preserve">) to support the use of </w:t>
      </w:r>
      <w:r w:rsidR="009F64B6">
        <w:t xml:space="preserve">bivalent Original/Omicron </w:t>
      </w:r>
      <w:r w:rsidR="001405D9">
        <w:t>BA.4-5</w:t>
      </w:r>
      <w:r w:rsidR="009F64B6">
        <w:t xml:space="preserve"> vaccine</w:t>
      </w:r>
      <w:r w:rsidRPr="00520187">
        <w:t xml:space="preserve"> in children, these studies are without </w:t>
      </w:r>
      <w:proofErr w:type="spellStart"/>
      <w:r w:rsidRPr="00520187">
        <w:t>davesomeran</w:t>
      </w:r>
      <w:proofErr w:type="spellEnd"/>
      <w:r w:rsidRPr="00520187">
        <w:t xml:space="preserve"> and therefore do not provide any direct clinical data to support the proposed indication in children.</w:t>
      </w:r>
    </w:p>
    <w:p w14:paraId="02C11ED0" w14:textId="1AF3D765" w:rsidR="00520187" w:rsidRPr="00520187" w:rsidRDefault="00520187" w:rsidP="00520187">
      <w:r w:rsidRPr="00520187">
        <w:t xml:space="preserve">Upon seeking justification for sponsor’s proposal to lowering the age limit to 6 years of age the sponsor provided the following rationale. The </w:t>
      </w:r>
      <w:r w:rsidR="009F64B6">
        <w:t>s</w:t>
      </w:r>
      <w:r w:rsidRPr="00520187">
        <w:t>ponsor believed that the appropriateness of extrapolation from adults to</w:t>
      </w:r>
      <w:r w:rsidR="009F64B6">
        <w:t xml:space="preserve"> younger than </w:t>
      </w:r>
      <w:r w:rsidRPr="00520187">
        <w:t xml:space="preserve">18 years of age is reinforced and that </w:t>
      </w:r>
      <w:r w:rsidR="009F64B6">
        <w:t xml:space="preserve">the </w:t>
      </w:r>
      <w:proofErr w:type="spellStart"/>
      <w:r w:rsidR="00F65E1C">
        <w:t>Spikevax</w:t>
      </w:r>
      <w:proofErr w:type="spellEnd"/>
      <w:r w:rsidR="00F65E1C">
        <w:t xml:space="preserve"> </w:t>
      </w:r>
      <w:r w:rsidR="009F64B6">
        <w:t xml:space="preserve">bivalent Original/Omicron </w:t>
      </w:r>
      <w:r w:rsidR="001405D9">
        <w:t>BA.4-5</w:t>
      </w:r>
      <w:r w:rsidR="009F64B6">
        <w:t xml:space="preserve"> vaccine</w:t>
      </w:r>
      <w:r w:rsidR="009F64B6" w:rsidRPr="00520187">
        <w:t xml:space="preserve"> </w:t>
      </w:r>
      <w:r w:rsidRPr="00520187">
        <w:t xml:space="preserve">can be used by persons </w:t>
      </w:r>
      <w:r w:rsidR="009F64B6">
        <w:t>older than</w:t>
      </w:r>
      <w:r w:rsidRPr="00520187">
        <w:t xml:space="preserve"> 6 years of age for the prevention of COVID-19</w:t>
      </w:r>
      <w:r w:rsidR="008D04EA">
        <w:t>:</w:t>
      </w:r>
    </w:p>
    <w:p w14:paraId="45C7D5E6" w14:textId="0F196330" w:rsidR="00520187" w:rsidRPr="00520187" w:rsidRDefault="00520187" w:rsidP="008D04EA">
      <w:pPr>
        <w:pStyle w:val="ListBullet"/>
      </w:pPr>
      <w:r w:rsidRPr="00520187">
        <w:t xml:space="preserve">Clinical data from the </w:t>
      </w:r>
      <w:r w:rsidR="008D04EA">
        <w:t xml:space="preserve">Study </w:t>
      </w:r>
      <w:r w:rsidRPr="00520187">
        <w:t xml:space="preserve">P203 in adolescents indicated non-inferior antibody responses of </w:t>
      </w:r>
      <w:r w:rsidR="008D04EA">
        <w:t xml:space="preserve">monovalent </w:t>
      </w:r>
      <w:proofErr w:type="spellStart"/>
      <w:r w:rsidR="008D04EA">
        <w:t>Spikevax</w:t>
      </w:r>
      <w:proofErr w:type="spellEnd"/>
      <w:r w:rsidRPr="00520187">
        <w:t xml:space="preserve"> in adolescents compared to adults and previously supported the authorisation of </w:t>
      </w:r>
      <w:r w:rsidR="008D04EA">
        <w:t xml:space="preserve">monovalent </w:t>
      </w:r>
      <w:proofErr w:type="spellStart"/>
      <w:r w:rsidR="008D04EA">
        <w:t>Spikevax</w:t>
      </w:r>
      <w:proofErr w:type="spellEnd"/>
      <w:r w:rsidRPr="00520187">
        <w:t xml:space="preserve"> in individuals </w:t>
      </w:r>
      <w:r w:rsidR="008D04EA">
        <w:t xml:space="preserve">younger than </w:t>
      </w:r>
      <w:r w:rsidRPr="00520187">
        <w:t>18 years</w:t>
      </w:r>
      <w:r w:rsidR="008D04EA">
        <w:t xml:space="preserve"> </w:t>
      </w:r>
      <w:r w:rsidRPr="00520187">
        <w:t>old, and</w:t>
      </w:r>
    </w:p>
    <w:p w14:paraId="1E65A536" w14:textId="48B65E74" w:rsidR="00520187" w:rsidRPr="00520187" w:rsidRDefault="00520187" w:rsidP="008D04EA">
      <w:pPr>
        <w:pStyle w:val="ListBullet"/>
      </w:pPr>
      <w:r w:rsidRPr="00520187">
        <w:t xml:space="preserve">Immunogenicity and safety data from the booster phase of </w:t>
      </w:r>
      <w:r w:rsidR="008D04EA">
        <w:t xml:space="preserve">Study </w:t>
      </w:r>
      <w:r w:rsidRPr="00520187">
        <w:t xml:space="preserve">P204 support the administration of </w:t>
      </w:r>
      <w:r w:rsidR="008D04EA">
        <w:t xml:space="preserve">monovalent </w:t>
      </w:r>
      <w:proofErr w:type="spellStart"/>
      <w:r w:rsidR="008D04EA">
        <w:t>Spikevax</w:t>
      </w:r>
      <w:proofErr w:type="spellEnd"/>
      <w:r w:rsidR="008D04EA">
        <w:t xml:space="preserve"> </w:t>
      </w:r>
      <w:r w:rsidRPr="00520187">
        <w:t>booster to children 6 through 11 years, and</w:t>
      </w:r>
    </w:p>
    <w:p w14:paraId="3C7FCC21" w14:textId="51FAD445" w:rsidR="00520187" w:rsidRPr="00520187" w:rsidRDefault="00520187" w:rsidP="008D04EA">
      <w:pPr>
        <w:pStyle w:val="ListBullet"/>
      </w:pPr>
      <w:r w:rsidRPr="00520187">
        <w:t xml:space="preserve">Data from </w:t>
      </w:r>
      <w:r w:rsidR="008D04EA">
        <w:t xml:space="preserve">Study </w:t>
      </w:r>
      <w:r w:rsidRPr="00520187">
        <w:t xml:space="preserve">P205 </w:t>
      </w:r>
      <w:r w:rsidR="008D04EA">
        <w:t>P</w:t>
      </w:r>
      <w:r w:rsidRPr="00520187">
        <w:t xml:space="preserve">art H indicated superior antibody responses against Omicron BA.4/BA.5 with </w:t>
      </w:r>
      <w:proofErr w:type="spellStart"/>
      <w:r w:rsidR="00F65E1C">
        <w:t>Spikevax</w:t>
      </w:r>
      <w:proofErr w:type="spellEnd"/>
      <w:r w:rsidR="00F65E1C">
        <w:t xml:space="preserve"> </w:t>
      </w:r>
      <w:r w:rsidR="008D04EA">
        <w:t xml:space="preserve">bivalent Original/Omicron </w:t>
      </w:r>
      <w:r w:rsidR="001405D9">
        <w:t>BA.4-5</w:t>
      </w:r>
      <w:r w:rsidR="008D04EA">
        <w:t xml:space="preserve"> vaccine</w:t>
      </w:r>
      <w:r w:rsidRPr="00520187">
        <w:t xml:space="preserve"> as a booster compared to </w:t>
      </w:r>
      <w:r w:rsidR="008D04EA">
        <w:t xml:space="preserve">monovalent </w:t>
      </w:r>
      <w:proofErr w:type="spellStart"/>
      <w:r w:rsidR="008D04EA">
        <w:t>Spikevax</w:t>
      </w:r>
      <w:proofErr w:type="spellEnd"/>
      <w:r w:rsidRPr="00520187">
        <w:t>.</w:t>
      </w:r>
    </w:p>
    <w:p w14:paraId="0DC6DAB8" w14:textId="5569A03C" w:rsidR="00520187" w:rsidRPr="00520187" w:rsidRDefault="00520187" w:rsidP="008D04EA">
      <w:pPr>
        <w:pStyle w:val="ListBullet"/>
      </w:pPr>
      <w:r w:rsidRPr="00520187">
        <w:t xml:space="preserve">Additionally, clinical data from the </w:t>
      </w:r>
      <w:r w:rsidR="008D04EA">
        <w:t xml:space="preserve">monovalent </w:t>
      </w:r>
      <w:proofErr w:type="spellStart"/>
      <w:r w:rsidR="008D04EA">
        <w:t>Spikevax</w:t>
      </w:r>
      <w:proofErr w:type="spellEnd"/>
      <w:r w:rsidRPr="00520187">
        <w:t xml:space="preserve"> booster dose is intended to support authori</w:t>
      </w:r>
      <w:r w:rsidR="008D04EA">
        <w:t>s</w:t>
      </w:r>
      <w:r w:rsidRPr="00520187">
        <w:t xml:space="preserve">ation of </w:t>
      </w:r>
      <w:r w:rsidR="008D04EA">
        <w:t xml:space="preserve">monovalent </w:t>
      </w:r>
      <w:proofErr w:type="spellStart"/>
      <w:r w:rsidR="008D04EA">
        <w:t>Spikevax</w:t>
      </w:r>
      <w:proofErr w:type="spellEnd"/>
      <w:r w:rsidRPr="00520187">
        <w:t xml:space="preserve"> booster formulations most relevant to prevailing public health needs, including Omicron</w:t>
      </w:r>
      <w:r w:rsidR="008D04EA">
        <w:t xml:space="preserve"> </w:t>
      </w:r>
      <w:r w:rsidRPr="00520187">
        <w:t>containing formulations.</w:t>
      </w:r>
    </w:p>
    <w:p w14:paraId="20C17852" w14:textId="45667FBB" w:rsidR="00520187" w:rsidRPr="00520187" w:rsidRDefault="00520187" w:rsidP="00520187">
      <w:bookmarkStart w:id="68" w:name="_Hlk126175422"/>
      <w:r w:rsidRPr="000A7A4D">
        <w:t xml:space="preserve">The </w:t>
      </w:r>
      <w:proofErr w:type="spellStart"/>
      <w:r w:rsidR="00205782" w:rsidRPr="000A7A4D">
        <w:t>Spikevax</w:t>
      </w:r>
      <w:proofErr w:type="spellEnd"/>
      <w:r w:rsidR="00205782" w:rsidRPr="000A7A4D">
        <w:t xml:space="preserve"> </w:t>
      </w:r>
      <w:r w:rsidR="008D04EA" w:rsidRPr="000A7A4D">
        <w:t xml:space="preserve">bivalent Original/Omicron </w:t>
      </w:r>
      <w:r w:rsidR="001405D9" w:rsidRPr="000A7A4D">
        <w:t>BA.4-5</w:t>
      </w:r>
      <w:r w:rsidR="008D04EA" w:rsidRPr="000A7A4D">
        <w:t xml:space="preserve"> vaccine </w:t>
      </w:r>
      <w:r w:rsidRPr="000A7A4D">
        <w:t>has received</w:t>
      </w:r>
      <w:r w:rsidR="00A3315E" w:rsidRPr="000A7A4D">
        <w:t xml:space="preserve"> an Emergency Use Authorization</w:t>
      </w:r>
      <w:r w:rsidRPr="000A7A4D">
        <w:t xml:space="preserve"> </w:t>
      </w:r>
      <w:r w:rsidR="00A3315E" w:rsidRPr="000A7A4D">
        <w:t>(</w:t>
      </w:r>
      <w:r w:rsidRPr="000A7A4D">
        <w:t>EUA</w:t>
      </w:r>
      <w:r w:rsidR="00A3315E" w:rsidRPr="000A7A4D">
        <w:t>)</w:t>
      </w:r>
      <w:r w:rsidRPr="000A7A4D">
        <w:t xml:space="preserve"> in the </w:t>
      </w:r>
      <w:r w:rsidR="00A3315E" w:rsidRPr="000A7A4D">
        <w:t>USA</w:t>
      </w:r>
      <w:r w:rsidRPr="000A7A4D">
        <w:t xml:space="preserve"> as a booster dose for individuals 18 years and above on 31 August 2022 and </w:t>
      </w:r>
      <w:r w:rsidR="00A3315E" w:rsidRPr="000A7A4D">
        <w:t xml:space="preserve">from </w:t>
      </w:r>
      <w:r w:rsidRPr="000A7A4D">
        <w:t xml:space="preserve">6 years of age and above on 12 October 2022 and finally in individuals </w:t>
      </w:r>
      <w:r w:rsidR="00A3315E" w:rsidRPr="000A7A4D">
        <w:t xml:space="preserve">from </w:t>
      </w:r>
      <w:r w:rsidRPr="000A7A4D">
        <w:t>6 months of age and older on 8 December 2022. A</w:t>
      </w:r>
      <w:r w:rsidRPr="00520187">
        <w:t xml:space="preserve"> positive </w:t>
      </w:r>
      <w:r w:rsidR="0032595E">
        <w:t>European Commission</w:t>
      </w:r>
      <w:r w:rsidRPr="00520187">
        <w:t xml:space="preserve"> decision and approval was received on 20 October 2022 for </w:t>
      </w:r>
      <w:bookmarkStart w:id="69" w:name="OLE_LINK4"/>
      <w:proofErr w:type="spellStart"/>
      <w:r w:rsidRPr="00520187">
        <w:t>Spikevax</w:t>
      </w:r>
      <w:bookmarkEnd w:id="69"/>
      <w:proofErr w:type="spellEnd"/>
      <w:r w:rsidRPr="00520187">
        <w:t xml:space="preserve"> bivalent Original/Omicron </w:t>
      </w:r>
      <w:r w:rsidR="001405D9">
        <w:t>BA.4-5</w:t>
      </w:r>
      <w:r w:rsidRPr="00520187">
        <w:t xml:space="preserve"> </w:t>
      </w:r>
      <w:r w:rsidR="0032595E">
        <w:t xml:space="preserve">vaccine </w:t>
      </w:r>
      <w:r w:rsidRPr="00520187">
        <w:t>(50</w:t>
      </w:r>
      <w:r w:rsidR="0032595E">
        <w:t> </w:t>
      </w:r>
      <w:r w:rsidR="008D04EA">
        <w:t>µ</w:t>
      </w:r>
      <w:r w:rsidRPr="00520187">
        <w:t>g</w:t>
      </w:r>
      <w:r w:rsidR="00A3315E">
        <w:t xml:space="preserve"> </w:t>
      </w:r>
      <w:proofErr w:type="spellStart"/>
      <w:r w:rsidR="00A3315E">
        <w:t>elasomeran</w:t>
      </w:r>
      <w:proofErr w:type="spellEnd"/>
      <w:r w:rsidRPr="00520187">
        <w:t>/50</w:t>
      </w:r>
      <w:r w:rsidR="0032595E">
        <w:t> </w:t>
      </w:r>
      <w:r w:rsidR="008D04EA">
        <w:t>µ</w:t>
      </w:r>
      <w:r w:rsidRPr="00520187">
        <w:t>g</w:t>
      </w:r>
      <w:r w:rsidR="00A3315E">
        <w:t xml:space="preserve"> </w:t>
      </w:r>
      <w:proofErr w:type="spellStart"/>
      <w:r w:rsidR="00A3315E">
        <w:t>davesomeran</w:t>
      </w:r>
      <w:proofErr w:type="spellEnd"/>
      <w:r w:rsidR="00A3315E">
        <w:t xml:space="preserve"> per </w:t>
      </w:r>
      <w:r w:rsidRPr="00520187">
        <w:t>mL, dispersion for injection as a booster dose in individuals 12 years of age and above</w:t>
      </w:r>
      <w:r w:rsidR="00A3315E">
        <w:t xml:space="preserve"> (equivalent to 25 µ</w:t>
      </w:r>
      <w:r w:rsidR="00A3315E" w:rsidRPr="00520187">
        <w:t>g</w:t>
      </w:r>
      <w:r w:rsidR="00A3315E">
        <w:t xml:space="preserve"> </w:t>
      </w:r>
      <w:proofErr w:type="spellStart"/>
      <w:r w:rsidR="00A3315E">
        <w:t>elasomeran</w:t>
      </w:r>
      <w:proofErr w:type="spellEnd"/>
      <w:r w:rsidR="00A3315E">
        <w:t>/25 µ</w:t>
      </w:r>
      <w:r w:rsidR="00A3315E" w:rsidRPr="00520187">
        <w:t>g</w:t>
      </w:r>
      <w:r w:rsidR="00A3315E">
        <w:t xml:space="preserve"> </w:t>
      </w:r>
      <w:proofErr w:type="spellStart"/>
      <w:r w:rsidR="00A3315E">
        <w:t>davesomeran</w:t>
      </w:r>
      <w:proofErr w:type="spellEnd"/>
      <w:r w:rsidR="00A3315E">
        <w:t xml:space="preserve"> per 0.5 mL dose, as proposed in this submission)</w:t>
      </w:r>
      <w:r w:rsidRPr="00520187">
        <w:t>.</w:t>
      </w:r>
    </w:p>
    <w:p w14:paraId="3931B376" w14:textId="10880BCF" w:rsidR="00520187" w:rsidRPr="00520187" w:rsidRDefault="00520187" w:rsidP="00520187">
      <w:bookmarkStart w:id="70" w:name="_Hlk126177777"/>
      <w:r w:rsidRPr="00520187">
        <w:t xml:space="preserve">Although there is no direct clinical data available to support the use of </w:t>
      </w:r>
      <w:proofErr w:type="spellStart"/>
      <w:r w:rsidR="00F452F4">
        <w:t>Spikevax</w:t>
      </w:r>
      <w:proofErr w:type="spellEnd"/>
      <w:r w:rsidR="00F452F4">
        <w:t xml:space="preserve"> </w:t>
      </w:r>
      <w:r w:rsidR="008D04EA">
        <w:t xml:space="preserve">bivalent Original/Omicron </w:t>
      </w:r>
      <w:r w:rsidR="001405D9">
        <w:t>BA.4-5</w:t>
      </w:r>
      <w:r w:rsidR="008D04EA">
        <w:t xml:space="preserve"> vaccine</w:t>
      </w:r>
      <w:r w:rsidR="008D04EA" w:rsidRPr="00520187">
        <w:t xml:space="preserve"> </w:t>
      </w:r>
      <w:r w:rsidRPr="00520187">
        <w:t xml:space="preserve">in individuals 6 to </w:t>
      </w:r>
      <w:r w:rsidR="008D04EA">
        <w:t xml:space="preserve">younger than </w:t>
      </w:r>
      <w:r w:rsidRPr="00520187">
        <w:t xml:space="preserve">18 </w:t>
      </w:r>
      <w:r w:rsidR="008D04EA">
        <w:t>years of age</w:t>
      </w:r>
      <w:r w:rsidRPr="00520187">
        <w:t xml:space="preserve">, there appears to be no strong reason to reject the sponsor’s justification of extrapolation of </w:t>
      </w:r>
      <w:proofErr w:type="spellStart"/>
      <w:r w:rsidR="0032595E">
        <w:t>Spikevax</w:t>
      </w:r>
      <w:proofErr w:type="spellEnd"/>
      <w:r w:rsidR="0032595E">
        <w:t xml:space="preserve"> bivalent Original/Omicron BA.4</w:t>
      </w:r>
      <w:r w:rsidR="00F452F4">
        <w:t>-</w:t>
      </w:r>
      <w:r w:rsidR="0032595E">
        <w:t xml:space="preserve"> 5 vaccine</w:t>
      </w:r>
      <w:r w:rsidRPr="00520187">
        <w:t xml:space="preserve"> results from adults (</w:t>
      </w:r>
      <w:r w:rsidR="008D04EA">
        <w:t xml:space="preserve">from </w:t>
      </w:r>
      <w:r w:rsidRPr="00520187">
        <w:t xml:space="preserve">18 </w:t>
      </w:r>
      <w:r w:rsidR="008D04EA">
        <w:t xml:space="preserve">years of age and older </w:t>
      </w:r>
      <w:r w:rsidRPr="00520187">
        <w:t xml:space="preserve">) to </w:t>
      </w:r>
      <w:r w:rsidR="008D04EA">
        <w:t xml:space="preserve">younger than </w:t>
      </w:r>
      <w:r w:rsidRPr="00520187">
        <w:t xml:space="preserve">18 years of age and from the original vaccine </w:t>
      </w:r>
      <w:r w:rsidR="008D04EA">
        <w:t xml:space="preserve">monovalent </w:t>
      </w:r>
      <w:proofErr w:type="spellStart"/>
      <w:r w:rsidR="008D04EA">
        <w:lastRenderedPageBreak/>
        <w:t>Spikevax</w:t>
      </w:r>
      <w:proofErr w:type="spellEnd"/>
      <w:r w:rsidR="00A3315E">
        <w:t xml:space="preserve"> (</w:t>
      </w:r>
      <w:proofErr w:type="spellStart"/>
      <w:r w:rsidR="00A3315E">
        <w:t>elasomeran</w:t>
      </w:r>
      <w:proofErr w:type="spellEnd"/>
      <w:r w:rsidR="00A3315E">
        <w:t>)</w:t>
      </w:r>
      <w:r w:rsidRPr="00520187">
        <w:t xml:space="preserve"> booster dose in individuals 6 to</w:t>
      </w:r>
      <w:r w:rsidR="008D04EA">
        <w:t xml:space="preserve"> younger than </w:t>
      </w:r>
      <w:r w:rsidRPr="00520187">
        <w:t xml:space="preserve">18 </w:t>
      </w:r>
      <w:r w:rsidR="008D04EA">
        <w:t>years of age</w:t>
      </w:r>
      <w:r w:rsidRPr="00520187">
        <w:t xml:space="preserve">. The sponsor has been requested to </w:t>
      </w:r>
      <w:bookmarkStart w:id="71" w:name="_Hlk126183740"/>
      <w:r w:rsidRPr="00520187">
        <w:t xml:space="preserve">provide any available </w:t>
      </w:r>
      <w:proofErr w:type="gramStart"/>
      <w:r w:rsidRPr="00520187">
        <w:t>real</w:t>
      </w:r>
      <w:r w:rsidR="008D04EA">
        <w:t xml:space="preserve"> </w:t>
      </w:r>
      <w:r w:rsidRPr="00520187">
        <w:t>world</w:t>
      </w:r>
      <w:proofErr w:type="gramEnd"/>
      <w:r w:rsidRPr="00520187">
        <w:t xml:space="preserve"> data since approval of </w:t>
      </w:r>
      <w:proofErr w:type="spellStart"/>
      <w:r w:rsidR="0032595E">
        <w:t>Spikevax</w:t>
      </w:r>
      <w:proofErr w:type="spellEnd"/>
      <w:r w:rsidR="0032595E">
        <w:t xml:space="preserve"> </w:t>
      </w:r>
      <w:r w:rsidR="008D04EA">
        <w:t>bivalent Original/Omicron BA.4</w:t>
      </w:r>
      <w:r w:rsidR="00F452F4">
        <w:t>-</w:t>
      </w:r>
      <w:r w:rsidR="008D04EA">
        <w:t xml:space="preserve"> 5 vaccine</w:t>
      </w:r>
      <w:r w:rsidRPr="00520187">
        <w:t xml:space="preserve"> in individuals 6 to </w:t>
      </w:r>
      <w:r w:rsidR="008D04EA">
        <w:t>younger than</w:t>
      </w:r>
      <w:r w:rsidR="00A3315E">
        <w:t xml:space="preserve"> </w:t>
      </w:r>
      <w:r w:rsidRPr="00520187">
        <w:t xml:space="preserve">18 </w:t>
      </w:r>
      <w:r w:rsidR="008D04EA">
        <w:t>years of age</w:t>
      </w:r>
      <w:r w:rsidRPr="00520187">
        <w:t xml:space="preserve"> in </w:t>
      </w:r>
      <w:r w:rsidR="00A3315E">
        <w:t xml:space="preserve">the </w:t>
      </w:r>
      <w:r w:rsidRPr="00520187">
        <w:t>US</w:t>
      </w:r>
      <w:r w:rsidR="00A3315E">
        <w:t>A</w:t>
      </w:r>
      <w:r w:rsidRPr="00520187">
        <w:t xml:space="preserve"> and Europe or any other real</w:t>
      </w:r>
      <w:r w:rsidR="008D04EA">
        <w:t xml:space="preserve"> </w:t>
      </w:r>
      <w:r w:rsidRPr="00520187">
        <w:t xml:space="preserve">world data relevant to this application in individuals </w:t>
      </w:r>
      <w:r w:rsidR="00A3315E">
        <w:t xml:space="preserve">from </w:t>
      </w:r>
      <w:r w:rsidRPr="00520187">
        <w:t xml:space="preserve">6 </w:t>
      </w:r>
      <w:r w:rsidR="00A3315E">
        <w:t xml:space="preserve">years </w:t>
      </w:r>
      <w:r w:rsidRPr="00520187">
        <w:t xml:space="preserve">to </w:t>
      </w:r>
      <w:r w:rsidR="008D04EA">
        <w:t xml:space="preserve">younger than </w:t>
      </w:r>
      <w:r w:rsidRPr="00520187">
        <w:t xml:space="preserve">18 </w:t>
      </w:r>
      <w:r w:rsidR="008D04EA">
        <w:t>years of age.</w:t>
      </w:r>
    </w:p>
    <w:bookmarkEnd w:id="68"/>
    <w:bookmarkEnd w:id="70"/>
    <w:bookmarkEnd w:id="71"/>
    <w:p w14:paraId="42BE8F42" w14:textId="77777777" w:rsidR="00520187" w:rsidRPr="00DE0833" w:rsidRDefault="00520187" w:rsidP="00DE0833">
      <w:pPr>
        <w:pStyle w:val="Heading4"/>
      </w:pPr>
      <w:r w:rsidRPr="00DE0833">
        <w:t>Safety</w:t>
      </w:r>
    </w:p>
    <w:p w14:paraId="238AA534" w14:textId="750B7B86" w:rsidR="00520187" w:rsidRDefault="009F17D3" w:rsidP="00520187">
      <w:r w:rsidRPr="009F17D3">
        <w:t xml:space="preserve">In </w:t>
      </w:r>
      <w:r w:rsidR="00520187" w:rsidRPr="009F17D3">
        <w:t xml:space="preserve">Study P 205 </w:t>
      </w:r>
      <w:r>
        <w:t xml:space="preserve">Part H, </w:t>
      </w:r>
      <w:proofErr w:type="spellStart"/>
      <w:r w:rsidR="00F452F4">
        <w:t>Spikevax</w:t>
      </w:r>
      <w:proofErr w:type="spellEnd"/>
      <w:r w:rsidR="00F452F4">
        <w:t xml:space="preserve"> </w:t>
      </w:r>
      <w:r>
        <w:t xml:space="preserve">bivalent Original/Omicron </w:t>
      </w:r>
      <w:r w:rsidR="001405D9">
        <w:t>BA.4-5</w:t>
      </w:r>
      <w:r>
        <w:t xml:space="preserve"> vaccine </w:t>
      </w:r>
      <w:r w:rsidR="00520187" w:rsidRPr="00D40728">
        <w:t>was administered a median of 289 days after a first booster dose of</w:t>
      </w:r>
      <w:r w:rsidR="00520187">
        <w:t xml:space="preserve"> </w:t>
      </w:r>
      <w:r>
        <w:t xml:space="preserve">50 µg monovalent </w:t>
      </w:r>
      <w:proofErr w:type="spellStart"/>
      <w:r>
        <w:t>Spikevax</w:t>
      </w:r>
      <w:proofErr w:type="spellEnd"/>
      <w:r>
        <w:t xml:space="preserve"> </w:t>
      </w:r>
      <w:r w:rsidR="00520187" w:rsidRPr="00D40728">
        <w:t>and the median follow up duration was 37 days (range 5 to 45 days) in this</w:t>
      </w:r>
      <w:r w:rsidR="00520187">
        <w:t xml:space="preserve"> </w:t>
      </w:r>
      <w:r w:rsidR="00520187" w:rsidRPr="00D40728">
        <w:t>interim analysis. The occurrence of solicited local adverse reactions within seven days</w:t>
      </w:r>
      <w:r w:rsidR="00520187">
        <w:t xml:space="preserve"> </w:t>
      </w:r>
      <w:r w:rsidR="00520187" w:rsidRPr="00D40728">
        <w:t xml:space="preserve">following the </w:t>
      </w:r>
      <w:proofErr w:type="spellStart"/>
      <w:r w:rsidR="00F452F4">
        <w:t>Spikevax</w:t>
      </w:r>
      <w:proofErr w:type="spellEnd"/>
      <w:r w:rsidR="00F452F4">
        <w:t xml:space="preserve"> </w:t>
      </w:r>
      <w:r>
        <w:t xml:space="preserve">bivalent Original/Omicron </w:t>
      </w:r>
      <w:r w:rsidR="001405D9">
        <w:t>BA.4-5</w:t>
      </w:r>
      <w:r>
        <w:t xml:space="preserve"> vaccine</w:t>
      </w:r>
      <w:r w:rsidR="00520187" w:rsidRPr="00D40728">
        <w:t xml:space="preserve"> booster dose was 420</w:t>
      </w:r>
      <w:r>
        <w:t xml:space="preserve"> out of </w:t>
      </w:r>
      <w:r w:rsidR="00520187" w:rsidRPr="00D40728">
        <w:t xml:space="preserve">507 (82.8%). The </w:t>
      </w:r>
      <w:proofErr w:type="gramStart"/>
      <w:r w:rsidR="00520187" w:rsidRPr="00D40728">
        <w:t>most commonly</w:t>
      </w:r>
      <w:r w:rsidR="00520187">
        <w:t xml:space="preserve"> </w:t>
      </w:r>
      <w:r w:rsidR="00520187" w:rsidRPr="00D40728">
        <w:t>reported</w:t>
      </w:r>
      <w:proofErr w:type="gramEnd"/>
      <w:r w:rsidR="00520187">
        <w:t xml:space="preserve"> </w:t>
      </w:r>
      <w:r w:rsidR="00520187" w:rsidRPr="00D40728">
        <w:t>solicited local adverse reaction was injection site pain (418</w:t>
      </w:r>
      <w:r>
        <w:t xml:space="preserve"> out of </w:t>
      </w:r>
      <w:r w:rsidR="00520187" w:rsidRPr="00D40728">
        <w:t xml:space="preserve">507 participants </w:t>
      </w:r>
      <w:r w:rsidR="00A3315E">
        <w:t>(</w:t>
      </w:r>
      <w:r w:rsidR="00520187" w:rsidRPr="00D40728">
        <w:t>82.4%</w:t>
      </w:r>
      <w:r w:rsidR="00A3315E">
        <w:t>)</w:t>
      </w:r>
      <w:r w:rsidR="00520187" w:rsidRPr="00D40728">
        <w:t>).</w:t>
      </w:r>
      <w:r w:rsidR="00520187">
        <w:t xml:space="preserve"> </w:t>
      </w:r>
      <w:r w:rsidR="00520187" w:rsidRPr="00D40728">
        <w:t xml:space="preserve">The majority of solicited local </w:t>
      </w:r>
      <w:r>
        <w:t>adverse reactions</w:t>
      </w:r>
      <w:r w:rsidR="00520187" w:rsidRPr="00D40728">
        <w:t xml:space="preserve"> were mild</w:t>
      </w:r>
      <w:r>
        <w:t xml:space="preserve"> </w:t>
      </w:r>
      <w:r w:rsidR="00520187" w:rsidRPr="00D40728">
        <w:t>to</w:t>
      </w:r>
      <w:r>
        <w:t xml:space="preserve"> </w:t>
      </w:r>
      <w:r w:rsidR="00520187" w:rsidRPr="00D40728">
        <w:t>moderate (Grades 1</w:t>
      </w:r>
      <w:r>
        <w:t xml:space="preserve"> to </w:t>
      </w:r>
      <w:r w:rsidR="00520187" w:rsidRPr="00D40728">
        <w:t>2) in severity. The</w:t>
      </w:r>
      <w:r w:rsidR="00520187">
        <w:t xml:space="preserve"> </w:t>
      </w:r>
      <w:r w:rsidR="00520187" w:rsidRPr="00D40728">
        <w:t xml:space="preserve">frequency of Grade 3 local </w:t>
      </w:r>
      <w:r>
        <w:t>adverse reaction</w:t>
      </w:r>
      <w:r w:rsidR="00520187" w:rsidRPr="00D40728">
        <w:t xml:space="preserve"> events was 28</w:t>
      </w:r>
      <w:r>
        <w:t xml:space="preserve"> out of </w:t>
      </w:r>
      <w:r w:rsidR="00520187" w:rsidRPr="00D40728">
        <w:t xml:space="preserve">507 participants (5.5%) and </w:t>
      </w:r>
      <w:r>
        <w:t>adverse reaction</w:t>
      </w:r>
      <w:r w:rsidR="00520187" w:rsidRPr="00D40728">
        <w:t xml:space="preserve"> that were report</w:t>
      </w:r>
      <w:r w:rsidR="00520187" w:rsidRPr="00D40728">
        <w:rPr>
          <w:rFonts w:ascii="Times New Roman" w:eastAsiaTheme="minorHAnsi" w:hAnsi="Times New Roman"/>
          <w:sz w:val="24"/>
          <w:szCs w:val="24"/>
        </w:rPr>
        <w:t xml:space="preserve"> </w:t>
      </w:r>
      <w:r w:rsidR="00520187" w:rsidRPr="00D40728">
        <w:t xml:space="preserve">for </w:t>
      </w:r>
      <w:r>
        <w:t xml:space="preserve">greater or equal to </w:t>
      </w:r>
      <w:r w:rsidR="00520187" w:rsidRPr="00D40728">
        <w:t>1% of participants were injection site pain (20</w:t>
      </w:r>
      <w:r>
        <w:t xml:space="preserve"> out of </w:t>
      </w:r>
      <w:r w:rsidR="00520187" w:rsidRPr="00D40728">
        <w:t>507 [3.9%]) and erythema and swelling</w:t>
      </w:r>
      <w:r w:rsidR="00520187">
        <w:t xml:space="preserve"> </w:t>
      </w:r>
      <w:r w:rsidR="00520187" w:rsidRPr="00D40728">
        <w:t>(5</w:t>
      </w:r>
      <w:r>
        <w:t xml:space="preserve"> out of </w:t>
      </w:r>
      <w:r w:rsidR="00520187" w:rsidRPr="00D40728">
        <w:t xml:space="preserve">507 </w:t>
      </w:r>
      <w:r w:rsidR="00A3315E">
        <w:t>(</w:t>
      </w:r>
      <w:r w:rsidR="00520187" w:rsidRPr="00D40728">
        <w:t>1%</w:t>
      </w:r>
      <w:r w:rsidR="00A3315E">
        <w:t>)</w:t>
      </w:r>
      <w:r w:rsidR="00520187" w:rsidRPr="00D40728">
        <w:t xml:space="preserve"> each). There were no Grade</w:t>
      </w:r>
      <w:r w:rsidR="00A3315E">
        <w:t> </w:t>
      </w:r>
      <w:r w:rsidR="00520187" w:rsidRPr="00D40728">
        <w:t xml:space="preserve">4 local </w:t>
      </w:r>
      <w:r>
        <w:t xml:space="preserve">adverse reaction </w:t>
      </w:r>
      <w:r w:rsidR="00520187" w:rsidRPr="00D40728">
        <w:t>reported.</w:t>
      </w:r>
      <w:r w:rsidR="00520187" w:rsidRPr="00D40728">
        <w:rPr>
          <w:rFonts w:ascii="Times New Roman" w:eastAsiaTheme="minorHAnsi" w:hAnsi="Times New Roman"/>
          <w:sz w:val="24"/>
          <w:szCs w:val="24"/>
        </w:rPr>
        <w:t xml:space="preserve"> </w:t>
      </w:r>
      <w:r w:rsidR="00520187" w:rsidRPr="00D40728">
        <w:t xml:space="preserve">The reported incidence of systemic </w:t>
      </w:r>
      <w:r>
        <w:t>adverse reaction</w:t>
      </w:r>
      <w:r w:rsidR="00520187" w:rsidRPr="00D40728">
        <w:t xml:space="preserve"> was 372</w:t>
      </w:r>
      <w:r>
        <w:t xml:space="preserve"> out of </w:t>
      </w:r>
      <w:r w:rsidR="00520187" w:rsidRPr="00D40728">
        <w:t xml:space="preserve">508 (73.2%) and the most frequent </w:t>
      </w:r>
      <w:r>
        <w:t>adverse reactions</w:t>
      </w:r>
      <w:r w:rsidR="00520187" w:rsidRPr="00D40728">
        <w:t xml:space="preserve"> were</w:t>
      </w:r>
      <w:r w:rsidR="00520187">
        <w:t xml:space="preserve"> </w:t>
      </w:r>
      <w:r w:rsidR="00520187" w:rsidRPr="00D40728">
        <w:t>fatigue (304</w:t>
      </w:r>
      <w:r>
        <w:t xml:space="preserve"> out of </w:t>
      </w:r>
      <w:r w:rsidR="00520187" w:rsidRPr="00D40728">
        <w:t xml:space="preserve">508 </w:t>
      </w:r>
      <w:r w:rsidR="00A3315E">
        <w:t>(</w:t>
      </w:r>
      <w:r w:rsidR="00520187" w:rsidRPr="00D40728">
        <w:t>59.8%</w:t>
      </w:r>
      <w:r w:rsidR="00A3315E">
        <w:t>)</w:t>
      </w:r>
      <w:r w:rsidR="00520187" w:rsidRPr="00D40728">
        <w:t>), headache (249</w:t>
      </w:r>
      <w:r>
        <w:t xml:space="preserve"> out of </w:t>
      </w:r>
      <w:r w:rsidR="00520187" w:rsidRPr="00D40728">
        <w:t xml:space="preserve">507 </w:t>
      </w:r>
      <w:r w:rsidR="00A3315E">
        <w:t>(</w:t>
      </w:r>
      <w:r w:rsidR="00520187" w:rsidRPr="00D40728">
        <w:t>49.1%</w:t>
      </w:r>
      <w:r w:rsidR="00A3315E">
        <w:t>)</w:t>
      </w:r>
      <w:r w:rsidR="00520187" w:rsidRPr="00D40728">
        <w:t>), myalgia (235</w:t>
      </w:r>
      <w:r>
        <w:t xml:space="preserve"> out of </w:t>
      </w:r>
      <w:r w:rsidR="00520187" w:rsidRPr="00D40728">
        <w:t xml:space="preserve">507 </w:t>
      </w:r>
      <w:r w:rsidR="00A3315E">
        <w:t>(</w:t>
      </w:r>
      <w:r w:rsidR="00520187" w:rsidRPr="00D40728">
        <w:t>46.4%</w:t>
      </w:r>
      <w:r w:rsidR="00A3315E">
        <w:t>)</w:t>
      </w:r>
      <w:r w:rsidR="00520187" w:rsidRPr="00D40728">
        <w:t>), and</w:t>
      </w:r>
      <w:r w:rsidR="00520187">
        <w:t xml:space="preserve"> </w:t>
      </w:r>
      <w:r w:rsidR="00520187" w:rsidRPr="00D40728">
        <w:t>arthralgia (177</w:t>
      </w:r>
      <w:r>
        <w:t xml:space="preserve"> out of </w:t>
      </w:r>
      <w:r w:rsidR="00520187" w:rsidRPr="00D40728">
        <w:t xml:space="preserve">507 </w:t>
      </w:r>
      <w:r w:rsidR="00A3315E">
        <w:t>(</w:t>
      </w:r>
      <w:r w:rsidR="00520187" w:rsidRPr="00D40728">
        <w:t>34.9%</w:t>
      </w:r>
      <w:r w:rsidR="00A3315E">
        <w:t>)</w:t>
      </w:r>
      <w:r w:rsidR="00520187" w:rsidRPr="00D40728">
        <w:t xml:space="preserve">) in the </w:t>
      </w:r>
      <w:r>
        <w:t xml:space="preserve">bivalent Original/Omicron </w:t>
      </w:r>
      <w:r w:rsidR="001405D9">
        <w:t>BA.4-5</w:t>
      </w:r>
      <w:r>
        <w:t xml:space="preserve"> vaccine </w:t>
      </w:r>
      <w:r w:rsidR="00520187" w:rsidRPr="00D40728">
        <w:t>group. The majority of solicited systemic</w:t>
      </w:r>
      <w:r w:rsidR="00520187">
        <w:t xml:space="preserve"> </w:t>
      </w:r>
      <w:r>
        <w:t xml:space="preserve">adverse reaction </w:t>
      </w:r>
      <w:r w:rsidR="00520187" w:rsidRPr="00D40728">
        <w:t>were mild</w:t>
      </w:r>
      <w:r>
        <w:t xml:space="preserve"> </w:t>
      </w:r>
      <w:r w:rsidR="00520187" w:rsidRPr="00D40728">
        <w:t>to</w:t>
      </w:r>
      <w:r>
        <w:t xml:space="preserve"> </w:t>
      </w:r>
      <w:r w:rsidR="00520187" w:rsidRPr="00D40728">
        <w:t>moderate (Grades 1</w:t>
      </w:r>
      <w:r>
        <w:t xml:space="preserve"> to </w:t>
      </w:r>
      <w:r w:rsidR="00520187" w:rsidRPr="00D40728">
        <w:t>2) in severity.</w:t>
      </w:r>
      <w:r w:rsidR="00520187" w:rsidRPr="00D40728">
        <w:rPr>
          <w:rFonts w:ascii="Times New Roman" w:eastAsiaTheme="minorHAnsi" w:hAnsi="Times New Roman"/>
          <w:sz w:val="24"/>
          <w:szCs w:val="24"/>
        </w:rPr>
        <w:t xml:space="preserve"> </w:t>
      </w:r>
      <w:r w:rsidR="00520187" w:rsidRPr="00D40728">
        <w:t xml:space="preserve">No Grade 4 systemic </w:t>
      </w:r>
      <w:r>
        <w:t>adverse reaction</w:t>
      </w:r>
      <w:r w:rsidR="00520187" w:rsidRPr="00D40728">
        <w:t xml:space="preserve"> events occurred after administration of the </w:t>
      </w:r>
      <w:proofErr w:type="spellStart"/>
      <w:r w:rsidR="00A3315E">
        <w:t>Spikevax</w:t>
      </w:r>
      <w:proofErr w:type="spellEnd"/>
      <w:r w:rsidR="00A3315E">
        <w:t xml:space="preserve"> </w:t>
      </w:r>
      <w:r>
        <w:t xml:space="preserve">bivalent Original/Omicron </w:t>
      </w:r>
      <w:r w:rsidR="001405D9">
        <w:t>BA.4-5</w:t>
      </w:r>
      <w:r>
        <w:t xml:space="preserve"> vaccine. </w:t>
      </w:r>
      <w:r w:rsidR="00520187" w:rsidRPr="00D40728">
        <w:t xml:space="preserve">Overall, the incidence of </w:t>
      </w:r>
      <w:r>
        <w:t>adverse reaction</w:t>
      </w:r>
      <w:r w:rsidR="00520187" w:rsidRPr="00D40728">
        <w:t xml:space="preserve"> did not appear to be increased in participants with prior SARS</w:t>
      </w:r>
      <w:r w:rsidR="00A3315E">
        <w:noBreakHyphen/>
      </w:r>
      <w:proofErr w:type="spellStart"/>
      <w:r w:rsidR="00520187" w:rsidRPr="00D40728">
        <w:t>CoV</w:t>
      </w:r>
      <w:proofErr w:type="spellEnd"/>
      <w:r w:rsidR="00520187" w:rsidRPr="00D40728">
        <w:t>-</w:t>
      </w:r>
      <w:r w:rsidR="00520187">
        <w:t xml:space="preserve"> </w:t>
      </w:r>
      <w:r w:rsidR="00520187" w:rsidRPr="00D40728">
        <w:t>2 infection compared to participants with infection at pre-booster.</w:t>
      </w:r>
    </w:p>
    <w:p w14:paraId="18F087A5" w14:textId="64F4FDD4" w:rsidR="00520187" w:rsidRDefault="009F17D3" w:rsidP="00520187">
      <w:r>
        <w:t>The s</w:t>
      </w:r>
      <w:r w:rsidR="00520187">
        <w:t xml:space="preserve">ponsor has also highlighted the publications about </w:t>
      </w:r>
      <w:r>
        <w:t>50 µg</w:t>
      </w:r>
      <w:r w:rsidR="00A3315E">
        <w:t xml:space="preserve"> </w:t>
      </w:r>
      <w:proofErr w:type="spellStart"/>
      <w:r w:rsidR="00A3315E">
        <w:t>Spikevax</w:t>
      </w:r>
      <w:proofErr w:type="spellEnd"/>
      <w:r>
        <w:t xml:space="preserve"> bivalent Original/Omicron </w:t>
      </w:r>
      <w:r w:rsidR="001405D9">
        <w:t>BA.4-5</w:t>
      </w:r>
      <w:r>
        <w:t xml:space="preserve"> vaccine</w:t>
      </w:r>
      <w:r w:rsidR="00520187" w:rsidRPr="00D233DD">
        <w:t xml:space="preserve">; the incidence of adverse reactions was similar to that of a first booster dose of 50 </w:t>
      </w:r>
      <w:r>
        <w:t>µ</w:t>
      </w:r>
      <w:r w:rsidR="00520187" w:rsidRPr="00D233DD">
        <w:t xml:space="preserve">g </w:t>
      </w:r>
      <w:r>
        <w:t xml:space="preserve">monovalent </w:t>
      </w:r>
      <w:proofErr w:type="spellStart"/>
      <w:r>
        <w:t>Spikevax</w:t>
      </w:r>
      <w:proofErr w:type="spellEnd"/>
      <w:r w:rsidR="00520187" w:rsidRPr="00D233DD">
        <w:t xml:space="preserve"> </w:t>
      </w:r>
      <w:r w:rsidR="00A3315E">
        <w:t>(</w:t>
      </w:r>
      <w:proofErr w:type="spellStart"/>
      <w:r w:rsidR="00A3315E">
        <w:t>elasomeran</w:t>
      </w:r>
      <w:proofErr w:type="spellEnd"/>
      <w:r w:rsidR="00A3315E">
        <w:t xml:space="preserve">) </w:t>
      </w:r>
      <w:r w:rsidR="00520187" w:rsidRPr="00D233DD">
        <w:t xml:space="preserve">and relative to the second dose of the 100 </w:t>
      </w:r>
      <w:r>
        <w:t>µ</w:t>
      </w:r>
      <w:r w:rsidR="00520187" w:rsidRPr="00D233DD">
        <w:t xml:space="preserve">g </w:t>
      </w:r>
      <w:r>
        <w:t xml:space="preserve">monovalent </w:t>
      </w:r>
      <w:proofErr w:type="spellStart"/>
      <w:r>
        <w:t>Spikevax</w:t>
      </w:r>
      <w:proofErr w:type="spellEnd"/>
      <w:r w:rsidR="00520187" w:rsidRPr="00D233DD">
        <w:t xml:space="preserve"> primary series,</w:t>
      </w:r>
      <w:r>
        <w:rPr>
          <w:rStyle w:val="FootnoteReference"/>
        </w:rPr>
        <w:footnoteReference w:id="13"/>
      </w:r>
      <w:r w:rsidRPr="009F17D3">
        <w:rPr>
          <w:vertAlign w:val="superscript"/>
        </w:rPr>
        <w:t>,</w:t>
      </w:r>
      <w:r>
        <w:rPr>
          <w:rStyle w:val="FootnoteReference"/>
        </w:rPr>
        <w:footnoteReference w:id="14"/>
      </w:r>
      <w:r w:rsidR="00520187" w:rsidRPr="00D233DD">
        <w:t xml:space="preserve"> as well as similar to </w:t>
      </w:r>
      <w:r>
        <w:t xml:space="preserve">monovalent </w:t>
      </w:r>
      <w:proofErr w:type="spellStart"/>
      <w:r>
        <w:t>Spikevax</w:t>
      </w:r>
      <w:proofErr w:type="spellEnd"/>
      <w:r>
        <w:t xml:space="preserve"> at</w:t>
      </w:r>
      <w:r w:rsidR="00520187" w:rsidRPr="00D233DD">
        <w:t xml:space="preserve"> 50 </w:t>
      </w:r>
      <w:r>
        <w:t>µ</w:t>
      </w:r>
      <w:r w:rsidR="00520187" w:rsidRPr="00D233DD">
        <w:t xml:space="preserve">g </w:t>
      </w:r>
      <w:r>
        <w:t xml:space="preserve">dose </w:t>
      </w:r>
      <w:r w:rsidR="00520187" w:rsidRPr="00D233DD">
        <w:t>when given as a second booster dose.</w:t>
      </w:r>
      <w:r w:rsidR="00272257">
        <w:fldChar w:fldCharType="begin"/>
      </w:r>
      <w:r w:rsidR="00272257">
        <w:instrText xml:space="preserve"> NOTEREF _Ref127435650 \f \h </w:instrText>
      </w:r>
      <w:r w:rsidR="00272257">
        <w:fldChar w:fldCharType="separate"/>
      </w:r>
      <w:r w:rsidR="00AA4DFB" w:rsidRPr="00AA4DFB">
        <w:rPr>
          <w:rStyle w:val="FootnoteReference"/>
        </w:rPr>
        <w:t>8</w:t>
      </w:r>
      <w:r w:rsidR="00272257">
        <w:fldChar w:fldCharType="end"/>
      </w:r>
    </w:p>
    <w:p w14:paraId="5E9090EB" w14:textId="548EA815" w:rsidR="00520187" w:rsidRPr="00211B6E" w:rsidRDefault="00520187" w:rsidP="00520187">
      <w:r w:rsidRPr="00D233DD">
        <w:t xml:space="preserve">No new safety signals were identified in the </w:t>
      </w:r>
      <w:r w:rsidR="00C54D84">
        <w:t>bivalent Original/Omicron BA.4</w:t>
      </w:r>
      <w:r w:rsidR="00F452F4">
        <w:t>-</w:t>
      </w:r>
      <w:r w:rsidR="00C54D84">
        <w:t xml:space="preserve"> 5 vaccine</w:t>
      </w:r>
      <w:r w:rsidRPr="00D233DD">
        <w:t xml:space="preserve"> interim analysis. The incidence of solicited adverse reactions did not appear to be increased in participants with prior SARS-CoV-2 infection when compared to participants without infection before receipt of the booster dose.</w:t>
      </w:r>
    </w:p>
    <w:p w14:paraId="6B146840" w14:textId="49AD63F0" w:rsidR="00520187" w:rsidRDefault="00520187" w:rsidP="00520187">
      <w:r w:rsidRPr="000736A6">
        <w:t>Overall, the incidence of unsolicited</w:t>
      </w:r>
      <w:r w:rsidRPr="00496558">
        <w:t xml:space="preserve"> TEAEs reported up to 28 days following the 50 </w:t>
      </w:r>
      <w:r w:rsidR="00C54D84">
        <w:t>µ</w:t>
      </w:r>
      <w:r w:rsidRPr="00496558">
        <w:t>g</w:t>
      </w:r>
      <w:r>
        <w:t xml:space="preserve"> </w:t>
      </w:r>
      <w:r w:rsidR="00C54D84">
        <w:t xml:space="preserve">of </w:t>
      </w:r>
      <w:proofErr w:type="spellStart"/>
      <w:r w:rsidR="00A3315E">
        <w:t>Spikevax</w:t>
      </w:r>
      <w:proofErr w:type="spellEnd"/>
      <w:r w:rsidR="00A3315E">
        <w:t xml:space="preserve"> </w:t>
      </w:r>
      <w:r w:rsidR="00C54D84">
        <w:t>bivalent Original/Omicron BA.4</w:t>
      </w:r>
      <w:r w:rsidR="00F452F4">
        <w:t>-</w:t>
      </w:r>
      <w:r w:rsidR="00C54D84">
        <w:t xml:space="preserve"> 5 vaccine</w:t>
      </w:r>
      <w:r w:rsidR="00C54D84" w:rsidRPr="00D233DD">
        <w:t xml:space="preserve"> </w:t>
      </w:r>
      <w:r w:rsidRPr="00496558">
        <w:t>booster dose (</w:t>
      </w:r>
      <w:r w:rsidR="00C54D84">
        <w:t xml:space="preserve">Study </w:t>
      </w:r>
      <w:r w:rsidRPr="00496558">
        <w:t xml:space="preserve">P205 Part H) was similar to that for the </w:t>
      </w:r>
      <w:proofErr w:type="gramStart"/>
      <w:r w:rsidRPr="00496558">
        <w:t xml:space="preserve">50 </w:t>
      </w:r>
      <w:r w:rsidR="00C54D84">
        <w:t>µ</w:t>
      </w:r>
      <w:r w:rsidRPr="00496558">
        <w:t>g</w:t>
      </w:r>
      <w:proofErr w:type="gramEnd"/>
      <w:r w:rsidRPr="00496558">
        <w:t xml:space="preserve"> </w:t>
      </w:r>
      <w:r w:rsidR="00C54D84">
        <w:t xml:space="preserve">monovalent </w:t>
      </w:r>
      <w:proofErr w:type="spellStart"/>
      <w:r w:rsidR="00C54D84">
        <w:t>Spikevax</w:t>
      </w:r>
      <w:proofErr w:type="spellEnd"/>
      <w:r>
        <w:t xml:space="preserve"> </w:t>
      </w:r>
      <w:r w:rsidRPr="00496558">
        <w:t xml:space="preserve">vaccine given as a second </w:t>
      </w:r>
      <w:r w:rsidRPr="000736A6">
        <w:t>booster. Approximately</w:t>
      </w:r>
      <w:r w:rsidRPr="00496558">
        <w:t xml:space="preserve"> 23% of participants</w:t>
      </w:r>
      <w:r>
        <w:t xml:space="preserve"> </w:t>
      </w:r>
      <w:r w:rsidRPr="00496558">
        <w:t>experienced at least one unsolicited TEAE. Most events that were considered vaccine</w:t>
      </w:r>
      <w:r w:rsidR="00C54D84">
        <w:t xml:space="preserve"> </w:t>
      </w:r>
      <w:r w:rsidRPr="00496558">
        <w:t>related</w:t>
      </w:r>
      <w:r>
        <w:t xml:space="preserve"> </w:t>
      </w:r>
      <w:r w:rsidRPr="00496558">
        <w:t xml:space="preserve">were consistent with signs or symptoms of reactogenicity, which was </w:t>
      </w:r>
      <w:proofErr w:type="gramStart"/>
      <w:r w:rsidRPr="00496558">
        <w:t>similar to</w:t>
      </w:r>
      <w:proofErr w:type="gramEnd"/>
      <w:r w:rsidRPr="00496558">
        <w:t xml:space="preserve"> the established</w:t>
      </w:r>
      <w:r>
        <w:t xml:space="preserve"> </w:t>
      </w:r>
      <w:r w:rsidRPr="00496558">
        <w:t xml:space="preserve">safety profile of </w:t>
      </w:r>
      <w:r w:rsidR="00C54D84">
        <w:t xml:space="preserve">monovalent </w:t>
      </w:r>
      <w:proofErr w:type="spellStart"/>
      <w:r w:rsidR="00C54D84">
        <w:t>Spikevax</w:t>
      </w:r>
      <w:proofErr w:type="spellEnd"/>
      <w:r w:rsidRPr="00496558">
        <w:t xml:space="preserve">. Four SAEs were reported in </w:t>
      </w:r>
      <w:r w:rsidR="00C54D84">
        <w:t>three</w:t>
      </w:r>
      <w:r w:rsidRPr="00496558">
        <w:t xml:space="preserve"> participants; none were considered</w:t>
      </w:r>
      <w:r>
        <w:t xml:space="preserve"> </w:t>
      </w:r>
      <w:r w:rsidRPr="00496558">
        <w:t xml:space="preserve">related to the booster by </w:t>
      </w:r>
      <w:r w:rsidR="00C54D84">
        <w:t>i</w:t>
      </w:r>
      <w:r w:rsidRPr="00496558">
        <w:t xml:space="preserve">nvestigator or </w:t>
      </w:r>
      <w:r w:rsidR="00C54D84">
        <w:t>s</w:t>
      </w:r>
      <w:r w:rsidRPr="00496558">
        <w:t xml:space="preserve">ponsor. Two severe TEAEs, both </w:t>
      </w:r>
      <w:proofErr w:type="gramStart"/>
      <w:r w:rsidRPr="00496558">
        <w:t>fatigue</w:t>
      </w:r>
      <w:proofErr w:type="gramEnd"/>
      <w:r w:rsidRPr="00496558">
        <w:t>, a known</w:t>
      </w:r>
      <w:r>
        <w:t xml:space="preserve"> </w:t>
      </w:r>
      <w:r w:rsidRPr="00496558">
        <w:t>symptom of reactogenicity, were considered related to vaccination. No</w:t>
      </w:r>
      <w:r>
        <w:t xml:space="preserve"> </w:t>
      </w:r>
      <w:r w:rsidRPr="00496558">
        <w:t xml:space="preserve">new safety concerns were identified for the </w:t>
      </w:r>
      <w:proofErr w:type="spellStart"/>
      <w:r w:rsidR="00F65E1C">
        <w:t>Spikevax</w:t>
      </w:r>
      <w:proofErr w:type="spellEnd"/>
      <w:r w:rsidR="00F65E1C">
        <w:t xml:space="preserve"> </w:t>
      </w:r>
      <w:r w:rsidR="00C54D84">
        <w:t>bivalent Original/Omicron BA.4–5 vaccine</w:t>
      </w:r>
      <w:r w:rsidR="00C54D84" w:rsidRPr="00D233DD">
        <w:t xml:space="preserve"> </w:t>
      </w:r>
      <w:r w:rsidRPr="00496558">
        <w:t>booster dose.</w:t>
      </w:r>
    </w:p>
    <w:p w14:paraId="08F05A23" w14:textId="2255D5FD" w:rsidR="00520187" w:rsidRDefault="00520187" w:rsidP="00520187">
      <w:r w:rsidRPr="003C6136">
        <w:lastRenderedPageBreak/>
        <w:t xml:space="preserve">In Study P205 Part H, </w:t>
      </w:r>
      <w:r w:rsidR="00C54D84">
        <w:t xml:space="preserve">three </w:t>
      </w:r>
      <w:r w:rsidRPr="003C6136">
        <w:t xml:space="preserve">participants (0.6%) had </w:t>
      </w:r>
      <w:r w:rsidR="00C54D84">
        <w:t>four</w:t>
      </w:r>
      <w:r w:rsidRPr="003C6136">
        <w:t xml:space="preserve"> SAEs, and all were assessed by the investigator as not related to study vaccination. One of these was a fatal outcome with subarachnoid haemorrhage in a 70</w:t>
      </w:r>
      <w:r w:rsidR="00C54D84">
        <w:t xml:space="preserve"> </w:t>
      </w:r>
      <w:proofErr w:type="gramStart"/>
      <w:r w:rsidRPr="003C6136">
        <w:t>year</w:t>
      </w:r>
      <w:r w:rsidR="00C54D84">
        <w:t>s</w:t>
      </w:r>
      <w:proofErr w:type="gramEnd"/>
      <w:r w:rsidR="00C54D84">
        <w:t xml:space="preserve"> </w:t>
      </w:r>
      <w:r w:rsidRPr="003C6136">
        <w:t xml:space="preserve">old male. The other three SAEs included angina with syncope, and anaemia. There was one further case of death outside the data </w:t>
      </w:r>
      <w:proofErr w:type="spellStart"/>
      <w:r w:rsidRPr="003C6136">
        <w:t>cut</w:t>
      </w:r>
      <w:r w:rsidR="0019170B">
        <w:t xml:space="preserve"> </w:t>
      </w:r>
      <w:r w:rsidRPr="003C6136">
        <w:t>off</w:t>
      </w:r>
      <w:proofErr w:type="spellEnd"/>
      <w:r w:rsidRPr="003C6136">
        <w:t xml:space="preserve"> date in a 68</w:t>
      </w:r>
      <w:r w:rsidR="00C54D84">
        <w:t xml:space="preserve"> </w:t>
      </w:r>
      <w:proofErr w:type="gramStart"/>
      <w:r w:rsidRPr="003C6136">
        <w:t>year</w:t>
      </w:r>
      <w:r w:rsidR="00C54D84">
        <w:t>s</w:t>
      </w:r>
      <w:proofErr w:type="gramEnd"/>
      <w:r w:rsidR="00C54D84">
        <w:t xml:space="preserve"> </w:t>
      </w:r>
      <w:r w:rsidRPr="003C6136">
        <w:t xml:space="preserve">old female on Day 40, which was due to an unknown cause but considered to be unrelated to the study vaccine. 13.7% of the participants had MAAEs, none of which </w:t>
      </w:r>
      <w:proofErr w:type="gramStart"/>
      <w:r w:rsidRPr="003C6136">
        <w:t>was considered to be</w:t>
      </w:r>
      <w:proofErr w:type="gramEnd"/>
      <w:r>
        <w:t xml:space="preserve"> </w:t>
      </w:r>
      <w:r w:rsidRPr="003C6136">
        <w:t>related to the study vaccine. AESIs were largely sporadic and did not establish a concerning pattern in terms of safety. No case of myocarditis or pericarditis was identified.</w:t>
      </w:r>
    </w:p>
    <w:p w14:paraId="07BEA000" w14:textId="58B54AEC" w:rsidR="00520187" w:rsidRDefault="00520187" w:rsidP="00520187">
      <w:r w:rsidRPr="005C3F8B">
        <w:t>Overall, the safety profile of</w:t>
      </w:r>
      <w:r w:rsidR="00200352">
        <w:t xml:space="preserve"> </w:t>
      </w:r>
      <w:proofErr w:type="spellStart"/>
      <w:r w:rsidR="00F452F4">
        <w:t>Spikevax</w:t>
      </w:r>
      <w:proofErr w:type="spellEnd"/>
      <w:r w:rsidRPr="005C3F8B">
        <w:t xml:space="preserve"> </w:t>
      </w:r>
      <w:r w:rsidR="00C54D84">
        <w:t>bivalent Original/Omicron BA.4</w:t>
      </w:r>
      <w:r w:rsidR="00F452F4">
        <w:t>-</w:t>
      </w:r>
      <w:r w:rsidR="00C54D84">
        <w:t>5 vaccine</w:t>
      </w:r>
      <w:r w:rsidR="00C54D84" w:rsidRPr="00D233DD">
        <w:t xml:space="preserve"> </w:t>
      </w:r>
      <w:r>
        <w:t>appear</w:t>
      </w:r>
      <w:r w:rsidRPr="005C3F8B">
        <w:t xml:space="preserve"> consistent with the known reactogenicity of </w:t>
      </w:r>
      <w:r w:rsidR="00C54D84">
        <w:t xml:space="preserve">monovalent </w:t>
      </w:r>
      <w:proofErr w:type="spellStart"/>
      <w:r w:rsidR="00C54D84">
        <w:t>Spikevax</w:t>
      </w:r>
      <w:proofErr w:type="spellEnd"/>
      <w:r w:rsidRPr="005C3F8B">
        <w:t xml:space="preserve"> </w:t>
      </w:r>
      <w:r w:rsidR="00A3315E">
        <w:t>(</w:t>
      </w:r>
      <w:proofErr w:type="spellStart"/>
      <w:r w:rsidR="00A3315E">
        <w:t>elasomeran</w:t>
      </w:r>
      <w:proofErr w:type="spellEnd"/>
      <w:r w:rsidR="00A3315E">
        <w:t xml:space="preserve">) </w:t>
      </w:r>
      <w:r w:rsidRPr="005C3F8B">
        <w:t xml:space="preserve">and </w:t>
      </w:r>
      <w:r w:rsidR="00C54D84">
        <w:t>bivalent Original/Omicron BA.1 vaccine</w:t>
      </w:r>
      <w:r w:rsidR="00F452F4">
        <w:t>s</w:t>
      </w:r>
      <w:r w:rsidR="00A3315E">
        <w:t xml:space="preserve"> (</w:t>
      </w:r>
      <w:proofErr w:type="spellStart"/>
      <w:r w:rsidR="00A3315E">
        <w:t>elasomeran</w:t>
      </w:r>
      <w:proofErr w:type="spellEnd"/>
      <w:r w:rsidR="00A3315E">
        <w:t xml:space="preserve"> and </w:t>
      </w:r>
      <w:proofErr w:type="spellStart"/>
      <w:r w:rsidR="00A3315E">
        <w:t>imelasomeran</w:t>
      </w:r>
      <w:proofErr w:type="spellEnd"/>
      <w:r w:rsidR="00A3315E">
        <w:t>)</w:t>
      </w:r>
      <w:r w:rsidRPr="005C3F8B">
        <w:t xml:space="preserve">, and no </w:t>
      </w:r>
      <w:proofErr w:type="gramStart"/>
      <w:r w:rsidRPr="005C3F8B">
        <w:t>particular safety</w:t>
      </w:r>
      <w:proofErr w:type="gramEnd"/>
      <w:r w:rsidRPr="005C3F8B">
        <w:t xml:space="preserve"> concern is raised.</w:t>
      </w:r>
    </w:p>
    <w:p w14:paraId="370CC4B7" w14:textId="787990C4" w:rsidR="00520187" w:rsidRDefault="00520187" w:rsidP="00520187">
      <w:r w:rsidRPr="008B6014">
        <w:t xml:space="preserve">The </w:t>
      </w:r>
      <w:r w:rsidR="00C54D84">
        <w:t>s</w:t>
      </w:r>
      <w:r w:rsidRPr="008B6014">
        <w:t xml:space="preserve">ponsor </w:t>
      </w:r>
      <w:r>
        <w:t xml:space="preserve">confirms that they </w:t>
      </w:r>
      <w:r w:rsidRPr="008B6014">
        <w:t>will continue to closely monitor and characteri</w:t>
      </w:r>
      <w:r w:rsidR="00C54D84">
        <w:t>s</w:t>
      </w:r>
      <w:r w:rsidRPr="008B6014">
        <w:t>e the</w:t>
      </w:r>
      <w:r>
        <w:t xml:space="preserve"> </w:t>
      </w:r>
      <w:r w:rsidRPr="008B6014">
        <w:t>safety profile of bivalent vaccines in clinical studies and post-author</w:t>
      </w:r>
      <w:r w:rsidR="004B0233">
        <w:t>is</w:t>
      </w:r>
      <w:r w:rsidRPr="008B6014">
        <w:t>ation pharmacovigilance</w:t>
      </w:r>
      <w:r>
        <w:t xml:space="preserve"> </w:t>
      </w:r>
      <w:r w:rsidRPr="008B6014">
        <w:t>activities.</w:t>
      </w:r>
    </w:p>
    <w:p w14:paraId="7FE37A77" w14:textId="40A31136" w:rsidR="00520187" w:rsidRPr="00C54D84" w:rsidRDefault="00520187" w:rsidP="00C54D84">
      <w:pPr>
        <w:pStyle w:val="Heading5"/>
      </w:pPr>
      <w:r w:rsidRPr="00C54D84">
        <w:t xml:space="preserve">Post-market review of </w:t>
      </w:r>
      <w:r w:rsidR="00A3315E">
        <w:t>b</w:t>
      </w:r>
      <w:r w:rsidRPr="00C54D84">
        <w:t xml:space="preserve">ivalent COVID-19 mRNA </w:t>
      </w:r>
      <w:r w:rsidR="00A3315E">
        <w:t>v</w:t>
      </w:r>
      <w:r w:rsidRPr="00C54D84">
        <w:t xml:space="preserve">accine </w:t>
      </w:r>
      <w:r w:rsidR="00A3315E">
        <w:t>b</w:t>
      </w:r>
      <w:r w:rsidRPr="00C54D84">
        <w:t xml:space="preserve">ooster doses from </w:t>
      </w:r>
      <w:r w:rsidR="00A3315E">
        <w:t>the US </w:t>
      </w:r>
      <w:r w:rsidRPr="00C54D84">
        <w:t xml:space="preserve">FDA report </w:t>
      </w:r>
    </w:p>
    <w:p w14:paraId="51971C2B" w14:textId="4AD82473" w:rsidR="00C54D84" w:rsidRDefault="00C54D84" w:rsidP="00520187">
      <w:r>
        <w:t xml:space="preserve">Below is an excerpt from safety monitoring report of bivalent COVID-19 mRNA vaccine booster in person above 12 years of age from the </w:t>
      </w:r>
      <w:r w:rsidR="00A3315E">
        <w:t xml:space="preserve">US </w:t>
      </w:r>
      <w:proofErr w:type="spellStart"/>
      <w:r w:rsidR="00A3315E">
        <w:t>Centers</w:t>
      </w:r>
      <w:proofErr w:type="spellEnd"/>
      <w:r w:rsidR="00A3315E">
        <w:t xml:space="preserve"> of Disease Control (</w:t>
      </w:r>
      <w:r>
        <w:t>CDC</w:t>
      </w:r>
      <w:r w:rsidR="00A3315E">
        <w:t>)</w:t>
      </w:r>
      <w:r>
        <w:t>.</w:t>
      </w:r>
      <w:r>
        <w:rPr>
          <w:rStyle w:val="FootnoteReference"/>
        </w:rPr>
        <w:footnoteReference w:id="15"/>
      </w:r>
    </w:p>
    <w:p w14:paraId="6A78F509" w14:textId="333E26A5" w:rsidR="00520187" w:rsidRPr="00C54D84" w:rsidRDefault="00520187" w:rsidP="00520187">
      <w:r w:rsidRPr="00C54D84">
        <w:t>Summary:</w:t>
      </w:r>
    </w:p>
    <w:p w14:paraId="3D5D4F9C" w14:textId="204CEEFE" w:rsidR="00520187" w:rsidRPr="00C54D84" w:rsidRDefault="00C54D84" w:rsidP="00C54D84">
      <w:pPr>
        <w:ind w:left="720"/>
      </w:pPr>
      <w:r>
        <w:t>‘</w:t>
      </w:r>
      <w:r w:rsidR="00A3315E">
        <w:t xml:space="preserve">[The] </w:t>
      </w:r>
      <w:r w:rsidR="00520187" w:rsidRPr="00C54D84">
        <w:t>CDC recommended bivalent COVID-19 booster vaccination for persons aged ≥</w:t>
      </w:r>
      <w:r>
        <w:t xml:space="preserve"> </w:t>
      </w:r>
      <w:r w:rsidR="00520187" w:rsidRPr="00C54D84">
        <w:t xml:space="preserve">12 years in August 2022; approximately 22.6 million bivalent booster doses </w:t>
      </w:r>
      <w:bookmarkStart w:id="72" w:name="_Hlk126223949"/>
      <w:r w:rsidR="00520187" w:rsidRPr="00C54D84">
        <w:t xml:space="preserve">(Pfizer and Moderna) </w:t>
      </w:r>
      <w:bookmarkEnd w:id="72"/>
      <w:r w:rsidR="00520187" w:rsidRPr="00C54D84">
        <w:t xml:space="preserve">were administered during August </w:t>
      </w:r>
      <w:r w:rsidR="00903472">
        <w:t xml:space="preserve">31 </w:t>
      </w:r>
      <w:r>
        <w:t xml:space="preserve">to </w:t>
      </w:r>
      <w:r w:rsidR="00520187" w:rsidRPr="00C54D84">
        <w:t>October</w:t>
      </w:r>
      <w:r w:rsidR="00903472">
        <w:t xml:space="preserve"> 23</w:t>
      </w:r>
      <w:proofErr w:type="gramStart"/>
      <w:r w:rsidR="00520187" w:rsidRPr="00C54D84">
        <w:t xml:space="preserve"> 2022</w:t>
      </w:r>
      <w:proofErr w:type="gramEnd"/>
      <w:r w:rsidR="00520187" w:rsidRPr="00C54D84">
        <w:t>.</w:t>
      </w:r>
    </w:p>
    <w:p w14:paraId="3FC3D862" w14:textId="2200F087" w:rsidR="00520187" w:rsidRPr="00C54D84" w:rsidRDefault="00520187" w:rsidP="00C54D84">
      <w:pPr>
        <w:ind w:left="720"/>
      </w:pPr>
      <w:r w:rsidRPr="00C54D84">
        <w:t>Among the 211,959 registrants aged ≥</w:t>
      </w:r>
      <w:r w:rsidR="00C54D84">
        <w:t xml:space="preserve"> </w:t>
      </w:r>
      <w:r w:rsidRPr="00C54D84">
        <w:t xml:space="preserve">12 years who reported receiving a bivalent booster dose to v-safe, injection site and systemic reactions were frequently reported in the week after vaccination (60.8% and 54.8%, respectively); fewer than 1% of v-safe registrants reported receiving medical care. </w:t>
      </w:r>
      <w:r w:rsidR="00C54D84" w:rsidRPr="00C54D84">
        <w:t xml:space="preserve">Vaccine </w:t>
      </w:r>
      <w:r w:rsidR="00C54D84">
        <w:t>a</w:t>
      </w:r>
      <w:r w:rsidR="00C54D84" w:rsidRPr="00C54D84">
        <w:t xml:space="preserve">dverse </w:t>
      </w:r>
      <w:r w:rsidR="00C54D84">
        <w:t>e</w:t>
      </w:r>
      <w:r w:rsidR="00C54D84" w:rsidRPr="00C54D84">
        <w:t xml:space="preserve">vent </w:t>
      </w:r>
      <w:r w:rsidR="00C54D84">
        <w:t>r</w:t>
      </w:r>
      <w:r w:rsidR="00C54D84" w:rsidRPr="00C54D84">
        <w:t xml:space="preserve">eporting </w:t>
      </w:r>
      <w:r w:rsidR="00C54D84">
        <w:t>s</w:t>
      </w:r>
      <w:r w:rsidR="00C54D84" w:rsidRPr="00C54D84">
        <w:t xml:space="preserve">ystem </w:t>
      </w:r>
      <w:r w:rsidR="00C54D84">
        <w:t>(</w:t>
      </w:r>
      <w:r w:rsidRPr="00C54D84">
        <w:t>VAERS</w:t>
      </w:r>
      <w:r w:rsidR="00C54D84">
        <w:t>)</w:t>
      </w:r>
      <w:r w:rsidRPr="00C54D84">
        <w:t xml:space="preserve"> received 5,542 reports of adverse events after bivalent booster vaccination among persons aged ≥</w:t>
      </w:r>
      <w:r w:rsidR="00C54D84">
        <w:t xml:space="preserve"> </w:t>
      </w:r>
      <w:r w:rsidRPr="00C54D84">
        <w:t>12 years; 95.5% of reports were nonserious and 4.5% were serious events.</w:t>
      </w:r>
    </w:p>
    <w:p w14:paraId="5750F0BB" w14:textId="5AE69D38" w:rsidR="00520187" w:rsidRPr="00C54D84" w:rsidRDefault="00520187" w:rsidP="00C54D84">
      <w:pPr>
        <w:ind w:left="720"/>
      </w:pPr>
      <w:bookmarkStart w:id="73" w:name="_Hlk126224335"/>
      <w:r w:rsidRPr="00C54D84">
        <w:t>Early safety findings from v-safe and the VAERS for bivalent booster doses administered to persons aged ≥</w:t>
      </w:r>
      <w:r w:rsidR="00C54D84">
        <w:t xml:space="preserve"> </w:t>
      </w:r>
      <w:r w:rsidRPr="00C54D84">
        <w:t xml:space="preserve">12 years during the first 7 weeks of vaccine availability are </w:t>
      </w:r>
      <w:proofErr w:type="gramStart"/>
      <w:r w:rsidRPr="00C54D84">
        <w:t>similar to</w:t>
      </w:r>
      <w:proofErr w:type="gramEnd"/>
      <w:r w:rsidRPr="00C54D84">
        <w:t xml:space="preserve"> those previously described for monovalent vaccine booster vaccines</w:t>
      </w:r>
      <w:bookmarkEnd w:id="73"/>
      <w:r w:rsidRPr="00C54D84">
        <w:t>.</w:t>
      </w:r>
      <w:r w:rsidR="00C54D84">
        <w:t>’</w:t>
      </w:r>
    </w:p>
    <w:p w14:paraId="621A506E" w14:textId="42698CBD" w:rsidR="00C54D84" w:rsidRDefault="00C54D84" w:rsidP="00C54D84">
      <w:r>
        <w:t>Below is an excerpt from s</w:t>
      </w:r>
      <w:r w:rsidRPr="00C54D84">
        <w:t xml:space="preserve">afety </w:t>
      </w:r>
      <w:r>
        <w:t>m</w:t>
      </w:r>
      <w:r w:rsidRPr="00C54D84">
        <w:t xml:space="preserve">onitoring of </w:t>
      </w:r>
      <w:r>
        <w:t>b</w:t>
      </w:r>
      <w:r w:rsidRPr="00C54D84">
        <w:t xml:space="preserve">ivalent COVID-19 mRNA </w:t>
      </w:r>
      <w:r>
        <w:t>v</w:t>
      </w:r>
      <w:r w:rsidRPr="00C54D84">
        <w:t xml:space="preserve">accine </w:t>
      </w:r>
      <w:r>
        <w:t>b</w:t>
      </w:r>
      <w:r w:rsidRPr="00C54D84">
        <w:t xml:space="preserve">ooster </w:t>
      </w:r>
      <w:r>
        <w:t>d</w:t>
      </w:r>
      <w:r w:rsidRPr="00C54D84">
        <w:t xml:space="preserve">oses </w:t>
      </w:r>
      <w:r>
        <w:t>a</w:t>
      </w:r>
      <w:r w:rsidRPr="00C54D84">
        <w:t xml:space="preserve">mong </w:t>
      </w:r>
      <w:r>
        <w:t>c</w:t>
      </w:r>
      <w:r w:rsidRPr="00C54D84">
        <w:t xml:space="preserve">hildren </w:t>
      </w:r>
      <w:r>
        <w:t>a</w:t>
      </w:r>
      <w:r w:rsidRPr="00C54D84">
        <w:t>ged 5</w:t>
      </w:r>
      <w:r>
        <w:t xml:space="preserve"> to </w:t>
      </w:r>
      <w:r w:rsidRPr="00C54D84">
        <w:t xml:space="preserve">11 </w:t>
      </w:r>
      <w:r>
        <w:t>y</w:t>
      </w:r>
      <w:r w:rsidRPr="00C54D84">
        <w:t>ears</w:t>
      </w:r>
      <w:r>
        <w:t xml:space="preserve"> old from the </w:t>
      </w:r>
      <w:r w:rsidR="00903472">
        <w:t>US CDC</w:t>
      </w:r>
      <w:r>
        <w:t>.</w:t>
      </w:r>
      <w:r>
        <w:rPr>
          <w:rStyle w:val="FootnoteReference"/>
        </w:rPr>
        <w:footnoteReference w:id="16"/>
      </w:r>
    </w:p>
    <w:p w14:paraId="4BCF130A" w14:textId="2AF59AAC" w:rsidR="00C54D84" w:rsidRDefault="00C54D84" w:rsidP="00520187">
      <w:r w:rsidRPr="00C54D84">
        <w:t>Summary:</w:t>
      </w:r>
    </w:p>
    <w:p w14:paraId="708BAD96" w14:textId="1B76D1DB" w:rsidR="00520187" w:rsidRPr="00C54D84" w:rsidRDefault="00C54D84" w:rsidP="00C54D84">
      <w:pPr>
        <w:ind w:left="720"/>
      </w:pPr>
      <w:r>
        <w:t>‘</w:t>
      </w:r>
      <w:r w:rsidR="00520187" w:rsidRPr="00C54D84">
        <w:t xml:space="preserve">After </w:t>
      </w:r>
      <w:r w:rsidR="00903472">
        <w:t>[</w:t>
      </w:r>
      <w:proofErr w:type="gramStart"/>
      <w:r w:rsidR="00903472">
        <w:t>the[</w:t>
      </w:r>
      <w:proofErr w:type="gramEnd"/>
      <w:r w:rsidR="00903472">
        <w:t xml:space="preserve"> </w:t>
      </w:r>
      <w:r w:rsidR="00520187" w:rsidRPr="00C54D84">
        <w:t>CDC’s October 2022 recommendation for bivalent COVID-19 booster vaccination for children aged 5</w:t>
      </w:r>
      <w:r w:rsidR="00BE178B">
        <w:t xml:space="preserve"> to </w:t>
      </w:r>
      <w:r w:rsidR="00520187" w:rsidRPr="00C54D84">
        <w:t xml:space="preserve">11 years, children in this age group received </w:t>
      </w:r>
      <w:r w:rsidR="00520187" w:rsidRPr="00C54D84">
        <w:lastRenderedPageBreak/>
        <w:t>approximately 953,359 bivalent booster doses (Pfizer and Moderna) during October</w:t>
      </w:r>
      <w:r w:rsidR="00BE178B">
        <w:t xml:space="preserve"> </w:t>
      </w:r>
      <w:r w:rsidR="00903472">
        <w:t xml:space="preserve">12 </w:t>
      </w:r>
      <w:r w:rsidR="00BE178B">
        <w:t>2022 to January</w:t>
      </w:r>
      <w:r w:rsidR="00903472">
        <w:t xml:space="preserve"> 1</w:t>
      </w:r>
      <w:r w:rsidR="00BE178B">
        <w:t xml:space="preserve"> </w:t>
      </w:r>
      <w:r w:rsidR="00520187" w:rsidRPr="00C54D84">
        <w:t>2023.</w:t>
      </w:r>
    </w:p>
    <w:p w14:paraId="398F57BE" w14:textId="7C52B9DE" w:rsidR="00520187" w:rsidRPr="00C54D84" w:rsidRDefault="00520187" w:rsidP="00C54D84">
      <w:pPr>
        <w:ind w:left="720"/>
      </w:pPr>
      <w:r w:rsidRPr="00C54D84">
        <w:t>Among 3,259 children aged 5</w:t>
      </w:r>
      <w:r w:rsidR="00BE178B">
        <w:t xml:space="preserve"> to </w:t>
      </w:r>
      <w:r w:rsidRPr="00C54D84">
        <w:t>11 years registered in v-safe who received a bivalent booster dose, local (68.7%) and systemic reactions (49.5%) were commonly reported in the week after vaccination. Approximately 99.8% of reports to VAERS for children aged 5</w:t>
      </w:r>
      <w:r w:rsidR="00BE178B">
        <w:t xml:space="preserve"> to </w:t>
      </w:r>
      <w:r w:rsidRPr="00C54D84">
        <w:t>11 years after bivalent booster vaccination were nonserious. There were no reports of myocarditis or death after bivalent booster vaccination.</w:t>
      </w:r>
    </w:p>
    <w:p w14:paraId="4B25DE6D" w14:textId="3890E442" w:rsidR="00520187" w:rsidRPr="00C54D84" w:rsidRDefault="00520187" w:rsidP="00C54D84">
      <w:pPr>
        <w:ind w:left="720"/>
      </w:pPr>
      <w:r w:rsidRPr="00C54D84">
        <w:t>Early safety findings from v-safe and the VAERS for bivalent booster vaccination in children aged 5</w:t>
      </w:r>
      <w:r w:rsidR="00BE178B">
        <w:t xml:space="preserve"> to </w:t>
      </w:r>
      <w:r w:rsidRPr="00C54D84">
        <w:t xml:space="preserve">11 years collected during the first 11 weeks of booster dose administration are </w:t>
      </w:r>
      <w:proofErr w:type="gramStart"/>
      <w:r w:rsidRPr="00C54D84">
        <w:t>similar to</w:t>
      </w:r>
      <w:proofErr w:type="gramEnd"/>
      <w:r w:rsidRPr="00C54D84">
        <w:t xml:space="preserve"> those described for monovalent booster vaccination.</w:t>
      </w:r>
      <w:r w:rsidR="00C54D84">
        <w:t>’</w:t>
      </w:r>
    </w:p>
    <w:p w14:paraId="2228BCB9" w14:textId="77777777" w:rsidR="0074163C" w:rsidRDefault="0074163C" w:rsidP="0074163C">
      <w:pPr>
        <w:pStyle w:val="Heading4"/>
      </w:pPr>
      <w:r w:rsidRPr="00D23139">
        <w:t>Proposed action</w:t>
      </w:r>
      <w:bookmarkEnd w:id="64"/>
    </w:p>
    <w:p w14:paraId="601C8E4E" w14:textId="35825C0B" w:rsidR="00BE178B" w:rsidRDefault="00BE178B" w:rsidP="00BE178B">
      <w:r>
        <w:t xml:space="preserve">Overall, based on review of the immunogenicity and safety data of the </w:t>
      </w:r>
      <w:proofErr w:type="spellStart"/>
      <w:r>
        <w:t>Spikevax</w:t>
      </w:r>
      <w:proofErr w:type="spellEnd"/>
      <w:r>
        <w:t xml:space="preserve"> bivalent Original/Omicron BA.4</w:t>
      </w:r>
      <w:r w:rsidR="00F452F4">
        <w:t>-</w:t>
      </w:r>
      <w:r>
        <w:t xml:space="preserve"> 5 vaccine</w:t>
      </w:r>
      <w:r w:rsidR="00903472">
        <w:t xml:space="preserve"> (</w:t>
      </w:r>
      <w:proofErr w:type="spellStart"/>
      <w:r w:rsidR="00903472">
        <w:t>elasomeran</w:t>
      </w:r>
      <w:proofErr w:type="spellEnd"/>
      <w:r w:rsidR="00903472">
        <w:t xml:space="preserve"> and </w:t>
      </w:r>
      <w:proofErr w:type="spellStart"/>
      <w:r w:rsidR="00903472">
        <w:t>davesomeran</w:t>
      </w:r>
      <w:proofErr w:type="spellEnd"/>
      <w:r w:rsidR="00903472">
        <w:t>)</w:t>
      </w:r>
      <w:r>
        <w:t xml:space="preserve">, the benefit-risk profile of </w:t>
      </w:r>
      <w:proofErr w:type="spellStart"/>
      <w:r>
        <w:t>Spikevax</w:t>
      </w:r>
      <w:proofErr w:type="spellEnd"/>
      <w:r>
        <w:t xml:space="preserve"> bivalent Original/Omicron BA.4</w:t>
      </w:r>
      <w:r w:rsidR="00F452F4">
        <w:t>-</w:t>
      </w:r>
      <w:r>
        <w:t xml:space="preserve"> 5 vaccine in individuals from 18</w:t>
      </w:r>
      <w:r w:rsidR="00903472">
        <w:t> </w:t>
      </w:r>
      <w:r>
        <w:t>years appears favourable to support its intended use as a booster dose against COVID</w:t>
      </w:r>
      <w:r w:rsidR="00903472">
        <w:noBreakHyphen/>
      </w:r>
      <w:r>
        <w:t xml:space="preserve">19, at least three months after completion of a primary series and/or previous booster dose with monovalent </w:t>
      </w:r>
      <w:proofErr w:type="spellStart"/>
      <w:r>
        <w:t>Spikevax</w:t>
      </w:r>
      <w:proofErr w:type="spellEnd"/>
      <w:r>
        <w:t xml:space="preserve"> or another authorised or approved/registered COVID-19 vaccine.</w:t>
      </w:r>
    </w:p>
    <w:p w14:paraId="428C275F" w14:textId="6511E4CA" w:rsidR="00BE178B" w:rsidRDefault="00BE178B" w:rsidP="00BE178B">
      <w:r>
        <w:t xml:space="preserve">Although there is no direct clinical data available to support the use of </w:t>
      </w:r>
      <w:proofErr w:type="spellStart"/>
      <w:r w:rsidR="00F452F4">
        <w:t>Spikevax</w:t>
      </w:r>
      <w:proofErr w:type="spellEnd"/>
      <w:r w:rsidR="00F452F4">
        <w:t xml:space="preserve"> </w:t>
      </w:r>
      <w:r>
        <w:t>bivalent Original/Omicron BA.4</w:t>
      </w:r>
      <w:r w:rsidR="00F452F4">
        <w:t>-</w:t>
      </w:r>
      <w:r>
        <w:t xml:space="preserve"> 5 vaccine in individuals 6 to younger than 18 years of age, there appears to be no strong reason to reject the sponsor’s justification of extrapolation as discussed above.</w:t>
      </w:r>
    </w:p>
    <w:p w14:paraId="15CF2F12" w14:textId="1C13765A" w:rsidR="00BE178B" w:rsidRDefault="00BE178B" w:rsidP="00BE178B">
      <w:r>
        <w:t xml:space="preserve">Early safety findings from v-safe and the Vaccine Adverse Event Reporting System (VAERS) in United States has reported that for bivalent booster vaccine doses administered to persons aged from 12 years and older during the first 7 weeks of vaccine availability and in children aged 5 to 11 years collected during the first 11 weeks of vaccine availability are </w:t>
      </w:r>
      <w:proofErr w:type="gramStart"/>
      <w:r>
        <w:t>similar to</w:t>
      </w:r>
      <w:proofErr w:type="gramEnd"/>
      <w:r>
        <w:t xml:space="preserve"> those previously described for monovalent vaccine booster vaccines.</w:t>
      </w:r>
    </w:p>
    <w:p w14:paraId="484D8AEC" w14:textId="583595DC" w:rsidR="00BE178B" w:rsidRDefault="00BE178B" w:rsidP="00BE178B">
      <w:r>
        <w:t xml:space="preserve">The sponsor has been requested to provide any available </w:t>
      </w:r>
      <w:proofErr w:type="gramStart"/>
      <w:r>
        <w:t>real world</w:t>
      </w:r>
      <w:proofErr w:type="gramEnd"/>
      <w:r>
        <w:t xml:space="preserve"> data since approval of </w:t>
      </w:r>
      <w:proofErr w:type="spellStart"/>
      <w:r w:rsidR="0019170B">
        <w:t>Spikevax</w:t>
      </w:r>
      <w:proofErr w:type="spellEnd"/>
      <w:r w:rsidR="0019170B">
        <w:t xml:space="preserve"> </w:t>
      </w:r>
      <w:r>
        <w:t xml:space="preserve">bivalent Original/Omicron </w:t>
      </w:r>
      <w:r w:rsidR="001405D9">
        <w:t>BA.4-5</w:t>
      </w:r>
      <w:r>
        <w:t xml:space="preserve"> vaccine in individuals 6 to younger than 18 years of age in </w:t>
      </w:r>
      <w:r w:rsidR="00903472">
        <w:t xml:space="preserve">the </w:t>
      </w:r>
      <w:r>
        <w:t>US</w:t>
      </w:r>
      <w:r w:rsidR="00903472">
        <w:t>A</w:t>
      </w:r>
      <w:r>
        <w:t xml:space="preserve"> and Europe or any other real world data relevant to this application in individuals 6 to younger than 18 years of age.</w:t>
      </w:r>
    </w:p>
    <w:p w14:paraId="7033C46D" w14:textId="7A830E91" w:rsidR="00BE178B" w:rsidRPr="00BE178B" w:rsidRDefault="00BE178B" w:rsidP="00BE178B">
      <w:r>
        <w:t xml:space="preserve">The final decision on the benefit-risk profile of </w:t>
      </w:r>
      <w:proofErr w:type="spellStart"/>
      <w:r w:rsidR="0019170B">
        <w:t>Spikevax</w:t>
      </w:r>
      <w:proofErr w:type="spellEnd"/>
      <w:r w:rsidR="0019170B">
        <w:t xml:space="preserve"> bivalent Original/Omicron </w:t>
      </w:r>
      <w:r w:rsidR="001405D9">
        <w:t>BA.4-5</w:t>
      </w:r>
      <w:r w:rsidR="0019170B">
        <w:t xml:space="preserve"> vaccine </w:t>
      </w:r>
      <w:r>
        <w:t>in individuals 6 to younger than 18 years of age and overall will be made after review of any further supporting real world data provided by the sponsor (in their pre</w:t>
      </w:r>
      <w:r w:rsidR="00903472">
        <w:noBreakHyphen/>
      </w:r>
      <w:r>
        <w:t xml:space="preserve">ACV response) and the </w:t>
      </w:r>
      <w:r w:rsidR="00903472">
        <w:t>Advisory Committee on Vaccines (</w:t>
      </w:r>
      <w:r>
        <w:t>ACV</w:t>
      </w:r>
      <w:r w:rsidR="00903472">
        <w:t>)</w:t>
      </w:r>
      <w:r>
        <w:t xml:space="preserve"> discussion/advice.</w:t>
      </w:r>
    </w:p>
    <w:p w14:paraId="248E61C1" w14:textId="77777777" w:rsidR="0074163C" w:rsidRDefault="0074163C" w:rsidP="0074163C">
      <w:pPr>
        <w:pStyle w:val="Heading4"/>
      </w:pPr>
      <w:bookmarkStart w:id="74" w:name="_Toc98931934"/>
      <w:r>
        <w:t>Questions for the sponsor</w:t>
      </w:r>
      <w:bookmarkEnd w:id="74"/>
    </w:p>
    <w:p w14:paraId="0548E2F6" w14:textId="77777777" w:rsidR="0074163C" w:rsidRPr="00955A16" w:rsidRDefault="0074163C" w:rsidP="0074163C">
      <w:r>
        <w:t>The sponsor provided the following response to questions from the Delegate.</w:t>
      </w:r>
    </w:p>
    <w:p w14:paraId="7CDD7B82" w14:textId="4DA6F8C2" w:rsidR="00BE178B" w:rsidRDefault="00BE178B" w:rsidP="00BE178B">
      <w:pPr>
        <w:pStyle w:val="Numberbullet0"/>
        <w:rPr>
          <w:b/>
          <w:bCs/>
          <w:i/>
          <w:iCs/>
        </w:rPr>
      </w:pPr>
      <w:r w:rsidRPr="00BE178B">
        <w:rPr>
          <w:b/>
          <w:bCs/>
          <w:i/>
          <w:iCs/>
        </w:rPr>
        <w:t xml:space="preserve">Please provide any available </w:t>
      </w:r>
      <w:proofErr w:type="gramStart"/>
      <w:r w:rsidRPr="00BE178B">
        <w:rPr>
          <w:b/>
          <w:bCs/>
          <w:i/>
          <w:iCs/>
        </w:rPr>
        <w:t>real</w:t>
      </w:r>
      <w:r>
        <w:rPr>
          <w:b/>
          <w:bCs/>
          <w:i/>
          <w:iCs/>
        </w:rPr>
        <w:t xml:space="preserve"> </w:t>
      </w:r>
      <w:r w:rsidRPr="00BE178B">
        <w:rPr>
          <w:b/>
          <w:bCs/>
          <w:i/>
          <w:iCs/>
        </w:rPr>
        <w:t>world</w:t>
      </w:r>
      <w:proofErr w:type="gramEnd"/>
      <w:r w:rsidRPr="00BE178B">
        <w:rPr>
          <w:b/>
          <w:bCs/>
          <w:i/>
          <w:iCs/>
        </w:rPr>
        <w:t xml:space="preserve"> data since approval of </w:t>
      </w:r>
      <w:proofErr w:type="spellStart"/>
      <w:r w:rsidR="00903472">
        <w:rPr>
          <w:b/>
          <w:bCs/>
          <w:i/>
          <w:iCs/>
        </w:rPr>
        <w:t>Spikevax</w:t>
      </w:r>
      <w:proofErr w:type="spellEnd"/>
      <w:r w:rsidR="00903472">
        <w:rPr>
          <w:b/>
          <w:bCs/>
          <w:i/>
          <w:iCs/>
        </w:rPr>
        <w:t xml:space="preserve"> </w:t>
      </w:r>
      <w:r>
        <w:rPr>
          <w:b/>
          <w:bCs/>
          <w:i/>
          <w:iCs/>
        </w:rPr>
        <w:t xml:space="preserve">bivalent Original/Omicron </w:t>
      </w:r>
      <w:r w:rsidR="001405D9">
        <w:rPr>
          <w:b/>
          <w:bCs/>
          <w:i/>
          <w:iCs/>
        </w:rPr>
        <w:t>BA.4-5</w:t>
      </w:r>
      <w:r>
        <w:rPr>
          <w:b/>
          <w:bCs/>
          <w:i/>
          <w:iCs/>
        </w:rPr>
        <w:t xml:space="preserve"> vaccine</w:t>
      </w:r>
      <w:r w:rsidRPr="00BE178B">
        <w:rPr>
          <w:b/>
          <w:bCs/>
          <w:i/>
          <w:iCs/>
        </w:rPr>
        <w:t xml:space="preserve"> in individuals 6 to </w:t>
      </w:r>
      <w:r>
        <w:rPr>
          <w:b/>
          <w:bCs/>
          <w:i/>
          <w:iCs/>
        </w:rPr>
        <w:t xml:space="preserve">younger than </w:t>
      </w:r>
      <w:r w:rsidRPr="00BE178B">
        <w:rPr>
          <w:b/>
          <w:bCs/>
          <w:i/>
          <w:iCs/>
        </w:rPr>
        <w:t xml:space="preserve">18 </w:t>
      </w:r>
      <w:r>
        <w:rPr>
          <w:b/>
          <w:bCs/>
          <w:i/>
          <w:iCs/>
        </w:rPr>
        <w:t>years of age</w:t>
      </w:r>
      <w:r w:rsidRPr="00BE178B">
        <w:rPr>
          <w:b/>
          <w:bCs/>
          <w:i/>
          <w:iCs/>
        </w:rPr>
        <w:t xml:space="preserve"> in </w:t>
      </w:r>
      <w:r w:rsidR="00903472">
        <w:rPr>
          <w:b/>
          <w:bCs/>
          <w:i/>
          <w:iCs/>
        </w:rPr>
        <w:t xml:space="preserve">the </w:t>
      </w:r>
      <w:r w:rsidRPr="00BE178B">
        <w:rPr>
          <w:b/>
          <w:bCs/>
          <w:i/>
          <w:iCs/>
        </w:rPr>
        <w:t>US</w:t>
      </w:r>
      <w:r w:rsidR="00903472">
        <w:rPr>
          <w:b/>
          <w:bCs/>
          <w:i/>
          <w:iCs/>
        </w:rPr>
        <w:t>A</w:t>
      </w:r>
      <w:r w:rsidRPr="00BE178B">
        <w:rPr>
          <w:b/>
          <w:bCs/>
          <w:i/>
          <w:iCs/>
        </w:rPr>
        <w:t xml:space="preserve"> and Europe or any other real-world data relevant to this application in individuals 6 to </w:t>
      </w:r>
      <w:r>
        <w:rPr>
          <w:b/>
          <w:bCs/>
          <w:i/>
          <w:iCs/>
        </w:rPr>
        <w:t xml:space="preserve">younger than </w:t>
      </w:r>
      <w:r w:rsidRPr="00BE178B">
        <w:rPr>
          <w:b/>
          <w:bCs/>
          <w:i/>
          <w:iCs/>
        </w:rPr>
        <w:t xml:space="preserve">18 </w:t>
      </w:r>
      <w:r>
        <w:rPr>
          <w:b/>
          <w:bCs/>
          <w:i/>
          <w:iCs/>
        </w:rPr>
        <w:t>years of age.</w:t>
      </w:r>
    </w:p>
    <w:p w14:paraId="3D27C61D" w14:textId="77777777" w:rsidR="001C15D8" w:rsidRPr="00D26760" w:rsidRDefault="001C15D8" w:rsidP="001C15D8">
      <w:pPr>
        <w:rPr>
          <w:i/>
        </w:rPr>
      </w:pPr>
      <w:r w:rsidRPr="00D26760">
        <w:rPr>
          <w:i/>
        </w:rPr>
        <w:t>Global Safety Database:</w:t>
      </w:r>
    </w:p>
    <w:p w14:paraId="39E80FBE" w14:textId="4C40C4D9" w:rsidR="001C15D8" w:rsidRDefault="001C15D8" w:rsidP="001C15D8">
      <w:r>
        <w:t>Post-authori</w:t>
      </w:r>
      <w:r w:rsidR="00B774F7">
        <w:t>s</w:t>
      </w:r>
      <w:r>
        <w:t xml:space="preserve">ation safety data for </w:t>
      </w:r>
      <w:r w:rsidR="00B774F7">
        <w:t xml:space="preserve">monovalent </w:t>
      </w:r>
      <w:proofErr w:type="spellStart"/>
      <w:r w:rsidR="00B774F7">
        <w:t>Spikevax</w:t>
      </w:r>
      <w:proofErr w:type="spellEnd"/>
      <w:r>
        <w:t xml:space="preserve">, </w:t>
      </w:r>
      <w:r w:rsidR="00B774F7">
        <w:t>bivalent Original/Omicron BA.1 vaccine bo</w:t>
      </w:r>
      <w:r>
        <w:t>oster, and</w:t>
      </w:r>
      <w:r w:rsidR="00130134" w:rsidRPr="00130134">
        <w:t xml:space="preserve"> </w:t>
      </w:r>
      <w:proofErr w:type="spellStart"/>
      <w:r w:rsidR="00130134">
        <w:t>Spikevax</w:t>
      </w:r>
      <w:proofErr w:type="spellEnd"/>
      <w:r>
        <w:t xml:space="preserve"> </w:t>
      </w:r>
      <w:r w:rsidR="00B774F7">
        <w:t xml:space="preserve">bivalent Original/Omicron </w:t>
      </w:r>
      <w:r w:rsidR="001405D9">
        <w:t>BA.4-5</w:t>
      </w:r>
      <w:r w:rsidR="00B774F7">
        <w:t xml:space="preserve"> vaccine </w:t>
      </w:r>
      <w:r>
        <w:t xml:space="preserve">booster include cumulative information received worldwide by the </w:t>
      </w:r>
      <w:r w:rsidR="00B774F7">
        <w:t>s</w:t>
      </w:r>
      <w:r>
        <w:t>ponsor from the IBD</w:t>
      </w:r>
      <w:r w:rsidR="00903472">
        <w:t xml:space="preserve"> [International </w:t>
      </w:r>
      <w:r w:rsidR="00903472">
        <w:lastRenderedPageBreak/>
        <w:t>birthdate]</w:t>
      </w:r>
      <w:r>
        <w:t xml:space="preserve"> (18 </w:t>
      </w:r>
      <w:r w:rsidR="008F36C5">
        <w:t>December</w:t>
      </w:r>
      <w:r>
        <w:t xml:space="preserve"> 2020 to 17 </w:t>
      </w:r>
      <w:r w:rsidR="008F36C5">
        <w:t>December</w:t>
      </w:r>
      <w:r>
        <w:t xml:space="preserve"> 2022). In contrast to data obtained in clinical studies, the post-authori</w:t>
      </w:r>
      <w:r w:rsidR="008F36C5">
        <w:t>s</w:t>
      </w:r>
      <w:r>
        <w:t xml:space="preserve">ation safety data that have been collected for the </w:t>
      </w:r>
      <w:r w:rsidR="008F36C5">
        <w:t xml:space="preserve">monovalent </w:t>
      </w:r>
      <w:proofErr w:type="spellStart"/>
      <w:r w:rsidR="008F36C5">
        <w:t>Spikevax</w:t>
      </w:r>
      <w:proofErr w:type="spellEnd"/>
      <w:r>
        <w:t xml:space="preserve"> vaccines rely on information received from regulatory authorities (76%), and from spontaneous reports from health care providers, consumers, and literature reports (24%).</w:t>
      </w:r>
    </w:p>
    <w:p w14:paraId="16B0B143" w14:textId="25715CC8" w:rsidR="001C15D8" w:rsidRDefault="001C15D8" w:rsidP="001C15D8">
      <w:r>
        <w:t xml:space="preserve">Cumulatively, as of 17 </w:t>
      </w:r>
      <w:r w:rsidR="008F36C5">
        <w:t>December</w:t>
      </w:r>
      <w:r>
        <w:t xml:space="preserve"> 2022, a total of 1,315,589,716 doses of </w:t>
      </w:r>
      <w:r w:rsidR="008F36C5">
        <w:t xml:space="preserve">monovalent </w:t>
      </w:r>
      <w:proofErr w:type="spellStart"/>
      <w:r w:rsidR="008F36C5">
        <w:t>Spikevax</w:t>
      </w:r>
      <w:proofErr w:type="spellEnd"/>
      <w:r>
        <w:t xml:space="preserve"> had been delivered to 91 countries and an estimated total of 772,908,958 doses administered (</w:t>
      </w:r>
      <w:r w:rsidR="00903472">
        <w:t xml:space="preserve">see </w:t>
      </w:r>
      <w:r>
        <w:fldChar w:fldCharType="begin"/>
      </w:r>
      <w:r>
        <w:instrText xml:space="preserve"> REF _Ref127274541 \h </w:instrText>
      </w:r>
      <w:r>
        <w:fldChar w:fldCharType="separate"/>
      </w:r>
      <w:r w:rsidR="00AA4DFB" w:rsidRPr="001C15D8">
        <w:t xml:space="preserve">Table </w:t>
      </w:r>
      <w:r w:rsidR="00AA4DFB">
        <w:rPr>
          <w:noProof/>
        </w:rPr>
        <w:t>19</w:t>
      </w:r>
      <w:r>
        <w:fldChar w:fldCharType="end"/>
      </w:r>
      <w:r>
        <w:t xml:space="preserve">). North America, Europe, and Asia accounted for approximately 89% of </w:t>
      </w:r>
      <w:proofErr w:type="spellStart"/>
      <w:r w:rsidR="0019170B">
        <w:t>Spikevax</w:t>
      </w:r>
      <w:proofErr w:type="spellEnd"/>
      <w:r>
        <w:t xml:space="preserve"> doses distributed and approximately 84% of </w:t>
      </w:r>
      <w:r w:rsidR="008F36C5">
        <w:t xml:space="preserve">monovalent </w:t>
      </w:r>
      <w:proofErr w:type="spellStart"/>
      <w:r w:rsidR="008F36C5">
        <w:t>Spikevax</w:t>
      </w:r>
      <w:proofErr w:type="spellEnd"/>
      <w:r>
        <w:t xml:space="preserve"> doses administered. Low- and middle-income countries (The World Bank 2022) are estimated to account for approximately 13% of the doses distributed globally and approximately 13% of doses administered.</w:t>
      </w:r>
    </w:p>
    <w:p w14:paraId="3DE941F5" w14:textId="2551F926" w:rsidR="00792C49" w:rsidRDefault="001C15D8" w:rsidP="001C15D8">
      <w:pPr>
        <w:rPr>
          <w:sz w:val="23"/>
          <w:szCs w:val="23"/>
        </w:rPr>
      </w:pPr>
      <w:r>
        <w:t xml:space="preserve">Cumulatively, a total of 127,413,973 booster doses of </w:t>
      </w:r>
      <w:proofErr w:type="spellStart"/>
      <w:r w:rsidR="00130134">
        <w:t>Spikevax</w:t>
      </w:r>
      <w:proofErr w:type="spellEnd"/>
      <w:r w:rsidR="00130134">
        <w:t xml:space="preserve"> </w:t>
      </w:r>
      <w:r w:rsidR="008F36C5">
        <w:t>bivalent Original/Omicron BA.1</w:t>
      </w:r>
      <w:r>
        <w:t xml:space="preserve"> </w:t>
      </w:r>
      <w:r w:rsidR="008F36C5">
        <w:t>vaccine</w:t>
      </w:r>
      <w:r w:rsidR="00903472">
        <w:t xml:space="preserve"> [</w:t>
      </w:r>
      <w:proofErr w:type="spellStart"/>
      <w:r w:rsidR="00903472">
        <w:t>elasomeran</w:t>
      </w:r>
      <w:proofErr w:type="spellEnd"/>
      <w:r w:rsidR="00903472">
        <w:t xml:space="preserve"> and </w:t>
      </w:r>
      <w:proofErr w:type="spellStart"/>
      <w:r w:rsidR="00903472">
        <w:t>imelasomeran</w:t>
      </w:r>
      <w:proofErr w:type="spellEnd"/>
      <w:r w:rsidR="00903472">
        <w:t>]</w:t>
      </w:r>
      <w:r w:rsidR="008F36C5">
        <w:t xml:space="preserve"> </w:t>
      </w:r>
      <w:r>
        <w:t>had been delivered to 41 countries and an estimated total of 70,077,685 doses had been administered (</w:t>
      </w:r>
      <w:r w:rsidR="00903472">
        <w:t xml:space="preserve">see </w:t>
      </w:r>
      <w:r>
        <w:fldChar w:fldCharType="begin"/>
      </w:r>
      <w:r>
        <w:instrText xml:space="preserve"> REF _Ref127274551 \h </w:instrText>
      </w:r>
      <w:r>
        <w:fldChar w:fldCharType="separate"/>
      </w:r>
      <w:r w:rsidR="00AA4DFB" w:rsidRPr="001C15D8">
        <w:t xml:space="preserve">Table </w:t>
      </w:r>
      <w:r w:rsidR="00AA4DFB">
        <w:rPr>
          <w:noProof/>
        </w:rPr>
        <w:t>20</w:t>
      </w:r>
      <w:r>
        <w:fldChar w:fldCharType="end"/>
      </w:r>
      <w:r>
        <w:t>). Europe</w:t>
      </w:r>
      <w:r w:rsidR="00903472">
        <w:t xml:space="preserve"> [European Union]</w:t>
      </w:r>
      <w:r>
        <w:t>, the United Kingdom, Asia, Canada, and notably Australia accounted for approximately 96% of doses distributed and approximately 96% of doses administered. A</w:t>
      </w:r>
      <w:r w:rsidR="00903472">
        <w:t> </w:t>
      </w:r>
      <w:r>
        <w:t xml:space="preserve">total of 110,745,780 booster doses of </w:t>
      </w:r>
      <w:proofErr w:type="spellStart"/>
      <w:r w:rsidR="00130134">
        <w:t>Spikevax</w:t>
      </w:r>
      <w:proofErr w:type="spellEnd"/>
      <w:r w:rsidR="00130134">
        <w:t xml:space="preserve"> </w:t>
      </w:r>
      <w:r w:rsidR="008F36C5">
        <w:t>bivalent Original/Omicron BA.4–5 vaccine</w:t>
      </w:r>
      <w:r>
        <w:t xml:space="preserve"> had been delivered to 25 countries and an estimated total of 60,910,179 doses had been administered (</w:t>
      </w:r>
      <w:r>
        <w:fldChar w:fldCharType="begin"/>
      </w:r>
      <w:r>
        <w:instrText xml:space="preserve"> REF _Ref127274560 \h </w:instrText>
      </w:r>
      <w:r>
        <w:fldChar w:fldCharType="separate"/>
      </w:r>
      <w:r w:rsidR="00AA4DFB" w:rsidRPr="001C15D8">
        <w:t xml:space="preserve">Table </w:t>
      </w:r>
      <w:r w:rsidR="00AA4DFB">
        <w:rPr>
          <w:noProof/>
        </w:rPr>
        <w:t>21</w:t>
      </w:r>
      <w:r>
        <w:fldChar w:fldCharType="end"/>
      </w:r>
      <w:r>
        <w:t xml:space="preserve">). </w:t>
      </w:r>
      <w:r>
        <w:rPr>
          <w:sz w:val="23"/>
          <w:szCs w:val="23"/>
        </w:rPr>
        <w:t>The United States</w:t>
      </w:r>
      <w:r w:rsidR="00903472">
        <w:rPr>
          <w:sz w:val="23"/>
          <w:szCs w:val="23"/>
        </w:rPr>
        <w:t xml:space="preserve"> [of America]</w:t>
      </w:r>
      <w:r>
        <w:rPr>
          <w:sz w:val="23"/>
          <w:szCs w:val="23"/>
        </w:rPr>
        <w:t>, Canada, Europe, and Asia accounted for &gt;</w:t>
      </w:r>
      <w:r w:rsidR="008F36C5">
        <w:rPr>
          <w:sz w:val="23"/>
          <w:szCs w:val="23"/>
        </w:rPr>
        <w:t xml:space="preserve"> </w:t>
      </w:r>
      <w:r>
        <w:rPr>
          <w:sz w:val="23"/>
          <w:szCs w:val="23"/>
        </w:rPr>
        <w:t xml:space="preserve">99% of all doses delivered and administered. </w:t>
      </w:r>
      <w:proofErr w:type="gramStart"/>
      <w:r>
        <w:rPr>
          <w:sz w:val="23"/>
          <w:szCs w:val="23"/>
        </w:rPr>
        <w:t>Extrapolating from the proportion of US vaccine recipients to estimate global use, it</w:t>
      </w:r>
      <w:proofErr w:type="gramEnd"/>
      <w:r>
        <w:rPr>
          <w:sz w:val="23"/>
          <w:szCs w:val="23"/>
        </w:rPr>
        <w:t xml:space="preserve"> is estimated that 408,226,293 individuals received a first dose, 275,197,667 received a second dose, 166,419,347 received a third dose, and 62,984,506 received a fourth dose, with third and fourth doses including both original </w:t>
      </w:r>
      <w:r w:rsidR="008F36C5">
        <w:rPr>
          <w:sz w:val="23"/>
          <w:szCs w:val="23"/>
        </w:rPr>
        <w:t xml:space="preserve">monovalent </w:t>
      </w:r>
      <w:proofErr w:type="spellStart"/>
      <w:r w:rsidR="008F36C5">
        <w:rPr>
          <w:sz w:val="23"/>
          <w:szCs w:val="23"/>
        </w:rPr>
        <w:t>Spikevax</w:t>
      </w:r>
      <w:proofErr w:type="spellEnd"/>
      <w:r>
        <w:rPr>
          <w:sz w:val="23"/>
          <w:szCs w:val="23"/>
        </w:rPr>
        <w:t xml:space="preserve"> and </w:t>
      </w:r>
      <w:proofErr w:type="spellStart"/>
      <w:r w:rsidR="008F36C5">
        <w:rPr>
          <w:sz w:val="23"/>
          <w:szCs w:val="23"/>
        </w:rPr>
        <w:t>S</w:t>
      </w:r>
      <w:r w:rsidR="0019170B">
        <w:rPr>
          <w:sz w:val="23"/>
          <w:szCs w:val="23"/>
        </w:rPr>
        <w:t>p</w:t>
      </w:r>
      <w:r w:rsidR="008F36C5">
        <w:rPr>
          <w:sz w:val="23"/>
          <w:szCs w:val="23"/>
        </w:rPr>
        <w:t>i</w:t>
      </w:r>
      <w:r w:rsidR="0019170B">
        <w:rPr>
          <w:sz w:val="23"/>
          <w:szCs w:val="23"/>
        </w:rPr>
        <w:t>k</w:t>
      </w:r>
      <w:r w:rsidR="008F36C5">
        <w:rPr>
          <w:sz w:val="23"/>
          <w:szCs w:val="23"/>
        </w:rPr>
        <w:t>evax</w:t>
      </w:r>
      <w:proofErr w:type="spellEnd"/>
      <w:r>
        <w:rPr>
          <w:sz w:val="23"/>
          <w:szCs w:val="23"/>
        </w:rPr>
        <w:t xml:space="preserve"> bivalent booster dose formulations.</w:t>
      </w:r>
    </w:p>
    <w:p w14:paraId="4E0C82D9" w14:textId="051DCA4B" w:rsidR="001C15D8" w:rsidRDefault="001C15D8" w:rsidP="001C15D8">
      <w:pPr>
        <w:pStyle w:val="TableTitle"/>
      </w:pPr>
      <w:bookmarkStart w:id="75" w:name="_Ref127274541"/>
      <w:r w:rsidRPr="001C15D8">
        <w:t xml:space="preserve">Table </w:t>
      </w:r>
      <w:fldSimple w:instr=" SEQ Table \* ARABIC ">
        <w:r w:rsidR="00AA4DFB">
          <w:rPr>
            <w:noProof/>
          </w:rPr>
          <w:t>19</w:t>
        </w:r>
      </w:fldSimple>
      <w:bookmarkEnd w:id="75"/>
      <w:r>
        <w:t xml:space="preserve">: </w:t>
      </w:r>
      <w:r w:rsidR="00795787">
        <w:t xml:space="preserve">Monovalent </w:t>
      </w:r>
      <w:proofErr w:type="spellStart"/>
      <w:r w:rsidR="00795787">
        <w:t>Spikevax</w:t>
      </w:r>
      <w:proofErr w:type="spellEnd"/>
      <w:r w:rsidRPr="001C15D8">
        <w:t xml:space="preserve"> </w:t>
      </w:r>
      <w:r w:rsidR="004B0233">
        <w:t>vaccine</w:t>
      </w:r>
      <w:r w:rsidR="004B0233" w:rsidRPr="001C15D8">
        <w:t xml:space="preserve"> </w:t>
      </w:r>
      <w:r w:rsidR="00903472">
        <w:t>(</w:t>
      </w:r>
      <w:proofErr w:type="spellStart"/>
      <w:r w:rsidR="00903472">
        <w:t>elasomeran</w:t>
      </w:r>
      <w:proofErr w:type="spellEnd"/>
      <w:r w:rsidR="00903472">
        <w:t xml:space="preserve">) </w:t>
      </w:r>
      <w:r w:rsidR="004B0233">
        <w:t>d</w:t>
      </w:r>
      <w:r w:rsidR="004B0233" w:rsidRPr="001C15D8">
        <w:t xml:space="preserve">oses </w:t>
      </w:r>
      <w:r w:rsidR="004B0233">
        <w:t>d</w:t>
      </w:r>
      <w:r w:rsidR="004B0233" w:rsidRPr="001C15D8">
        <w:t xml:space="preserve">istributed and </w:t>
      </w:r>
      <w:r w:rsidR="004B0233">
        <w:t>a</w:t>
      </w:r>
      <w:r w:rsidR="004B0233" w:rsidRPr="001C15D8">
        <w:t xml:space="preserve">dministered </w:t>
      </w:r>
      <w:r w:rsidRPr="001C15D8">
        <w:t xml:space="preserve">(Cumulative as of 17 </w:t>
      </w:r>
      <w:r w:rsidR="00795787">
        <w:t xml:space="preserve">December </w:t>
      </w:r>
      <w:r w:rsidRPr="001C15D8">
        <w:t>2022)</w:t>
      </w:r>
    </w:p>
    <w:p w14:paraId="631DD400" w14:textId="41AF6CFC" w:rsidR="001C15D8" w:rsidRDefault="001C15D8" w:rsidP="001C15D8">
      <w:r w:rsidRPr="001C15D8">
        <w:rPr>
          <w:noProof/>
          <w:lang w:val="en-GB" w:eastAsia="en-GB"/>
        </w:rPr>
        <w:drawing>
          <wp:inline distT="0" distB="0" distL="0" distR="0" wp14:anchorId="747F5489" wp14:editId="75A58802">
            <wp:extent cx="5238477" cy="1781175"/>
            <wp:effectExtent l="0" t="0" r="635" b="0"/>
            <wp:docPr id="3" name="Picture 3" descr="Monovalent Spikevax vaccine doses distributed and administered (Cumulative as of 17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onovalent Spikevax vaccine doses distributed and administered (Cumulative as of 17 December 2022)"/>
                    <pic:cNvPicPr/>
                  </pic:nvPicPr>
                  <pic:blipFill rotWithShape="1">
                    <a:blip r:embed="rId43"/>
                    <a:srcRect b="12617"/>
                    <a:stretch/>
                  </pic:blipFill>
                  <pic:spPr bwMode="auto">
                    <a:xfrm>
                      <a:off x="0" y="0"/>
                      <a:ext cx="5245293" cy="1783492"/>
                    </a:xfrm>
                    <a:prstGeom prst="rect">
                      <a:avLst/>
                    </a:prstGeom>
                    <a:ln>
                      <a:noFill/>
                    </a:ln>
                    <a:extLst>
                      <a:ext uri="{53640926-AAD7-44D8-BBD7-CCE9431645EC}">
                        <a14:shadowObscured xmlns:a14="http://schemas.microsoft.com/office/drawing/2010/main"/>
                      </a:ext>
                    </a:extLst>
                  </pic:spPr>
                </pic:pic>
              </a:graphicData>
            </a:graphic>
          </wp:inline>
        </w:drawing>
      </w:r>
    </w:p>
    <w:p w14:paraId="01F4E3E1" w14:textId="076B3389" w:rsidR="008F36C5" w:rsidRDefault="008F36C5" w:rsidP="008F36C5">
      <w:pPr>
        <w:pStyle w:val="TableDescription"/>
      </w:pPr>
      <w:r>
        <w:t>* Doses administered were calculated using 0.55 imputation.</w:t>
      </w:r>
    </w:p>
    <w:p w14:paraId="36A4D534" w14:textId="4078389C" w:rsidR="008F36C5" w:rsidRDefault="00930431" w:rsidP="008F36C5">
      <w:pPr>
        <w:pStyle w:val="TableDescription"/>
      </w:pPr>
      <w:r>
        <w:t xml:space="preserve">** International donations were estimated for overall and </w:t>
      </w:r>
      <w:proofErr w:type="spellStart"/>
      <w:r>
        <w:t>Spikevax</w:t>
      </w:r>
      <w:proofErr w:type="spellEnd"/>
      <w:r>
        <w:t xml:space="preserve"> original only.</w:t>
      </w:r>
    </w:p>
    <w:p w14:paraId="0A4C291C" w14:textId="370C41DA" w:rsidR="001C15D8" w:rsidRDefault="001C15D8" w:rsidP="001C15D8">
      <w:pPr>
        <w:pStyle w:val="TableTitle"/>
      </w:pPr>
      <w:bookmarkStart w:id="76" w:name="_Ref127274551"/>
      <w:r w:rsidRPr="001C15D8">
        <w:lastRenderedPageBreak/>
        <w:t xml:space="preserve">Table </w:t>
      </w:r>
      <w:fldSimple w:instr=" SEQ Table \* ARABIC ">
        <w:r w:rsidR="00AA4DFB">
          <w:rPr>
            <w:noProof/>
          </w:rPr>
          <w:t>20</w:t>
        </w:r>
      </w:fldSimple>
      <w:bookmarkEnd w:id="76"/>
      <w:r>
        <w:t xml:space="preserve">: </w:t>
      </w:r>
      <w:proofErr w:type="spellStart"/>
      <w:r w:rsidR="00795787">
        <w:t>Spikevax</w:t>
      </w:r>
      <w:proofErr w:type="spellEnd"/>
      <w:r w:rsidR="00795787">
        <w:t xml:space="preserve"> bivalent Original/Omicron BA.1</w:t>
      </w:r>
      <w:r w:rsidRPr="001C15D8">
        <w:t xml:space="preserve"> </w:t>
      </w:r>
      <w:r w:rsidR="00903472">
        <w:t>(</w:t>
      </w:r>
      <w:proofErr w:type="spellStart"/>
      <w:r w:rsidR="00903472">
        <w:t>elasomeran</w:t>
      </w:r>
      <w:proofErr w:type="spellEnd"/>
      <w:r w:rsidR="00903472">
        <w:t xml:space="preserve"> and </w:t>
      </w:r>
      <w:proofErr w:type="spellStart"/>
      <w:r w:rsidR="00903472">
        <w:t>imelasomeran</w:t>
      </w:r>
      <w:proofErr w:type="spellEnd"/>
      <w:r w:rsidR="00903472">
        <w:t xml:space="preserve">) </w:t>
      </w:r>
      <w:r w:rsidR="004B0233">
        <w:t>vaccine</w:t>
      </w:r>
      <w:r w:rsidR="004B0233" w:rsidRPr="001C15D8">
        <w:t xml:space="preserve"> </w:t>
      </w:r>
      <w:r w:rsidR="004B0233">
        <w:t>d</w:t>
      </w:r>
      <w:r w:rsidR="004B0233" w:rsidRPr="001C15D8">
        <w:t xml:space="preserve">oses </w:t>
      </w:r>
      <w:r w:rsidR="004B0233">
        <w:t>d</w:t>
      </w:r>
      <w:r w:rsidR="004B0233" w:rsidRPr="001C15D8">
        <w:t xml:space="preserve">istributed and </w:t>
      </w:r>
      <w:r w:rsidR="004B0233">
        <w:t>a</w:t>
      </w:r>
      <w:r w:rsidR="004B0233" w:rsidRPr="001C15D8">
        <w:t xml:space="preserve">dministered </w:t>
      </w:r>
      <w:r w:rsidRPr="001C15D8">
        <w:t>(</w:t>
      </w:r>
      <w:r w:rsidR="00903472">
        <w:t>c</w:t>
      </w:r>
      <w:r w:rsidRPr="001C15D8">
        <w:t>umulative as of 17</w:t>
      </w:r>
      <w:r w:rsidR="00903472">
        <w:t> </w:t>
      </w:r>
      <w:r w:rsidR="00795787">
        <w:t>December</w:t>
      </w:r>
      <w:r w:rsidR="00903472">
        <w:t xml:space="preserve"> </w:t>
      </w:r>
      <w:r w:rsidRPr="001C15D8">
        <w:t>2022)</w:t>
      </w:r>
    </w:p>
    <w:p w14:paraId="5B4DCF28" w14:textId="3AB98E54" w:rsidR="001C15D8" w:rsidRDefault="001C15D8" w:rsidP="001C15D8">
      <w:r w:rsidRPr="001C15D8">
        <w:rPr>
          <w:noProof/>
          <w:lang w:val="en-GB" w:eastAsia="en-GB"/>
        </w:rPr>
        <w:drawing>
          <wp:inline distT="0" distB="0" distL="0" distR="0" wp14:anchorId="2607E9D7" wp14:editId="780772CB">
            <wp:extent cx="5239253" cy="1704975"/>
            <wp:effectExtent l="0" t="0" r="0" b="0"/>
            <wp:docPr id="5" name="Picture 5" descr="Spikevax bivalent Original/Omicron BA.1 vaccine doses distributed and administered (Cumulative as of 17 December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pikevax bivalent Original/Omicron BA.1 vaccine doses distributed and administered (Cumulative as of 17 December2022)"/>
                    <pic:cNvPicPr/>
                  </pic:nvPicPr>
                  <pic:blipFill rotWithShape="1">
                    <a:blip r:embed="rId44"/>
                    <a:srcRect b="12341"/>
                    <a:stretch/>
                  </pic:blipFill>
                  <pic:spPr bwMode="auto">
                    <a:xfrm>
                      <a:off x="0" y="0"/>
                      <a:ext cx="5241494" cy="1705704"/>
                    </a:xfrm>
                    <a:prstGeom prst="rect">
                      <a:avLst/>
                    </a:prstGeom>
                    <a:ln>
                      <a:noFill/>
                    </a:ln>
                    <a:extLst>
                      <a:ext uri="{53640926-AAD7-44D8-BBD7-CCE9431645EC}">
                        <a14:shadowObscured xmlns:a14="http://schemas.microsoft.com/office/drawing/2010/main"/>
                      </a:ext>
                    </a:extLst>
                  </pic:spPr>
                </pic:pic>
              </a:graphicData>
            </a:graphic>
          </wp:inline>
        </w:drawing>
      </w:r>
    </w:p>
    <w:p w14:paraId="4464EF68" w14:textId="77777777" w:rsidR="00563A4C" w:rsidRDefault="00563A4C" w:rsidP="00563A4C">
      <w:pPr>
        <w:pStyle w:val="TableDescription"/>
      </w:pPr>
      <w:r>
        <w:t>* Doses administered were calculated using 0.55 imputation.</w:t>
      </w:r>
    </w:p>
    <w:p w14:paraId="6F413009" w14:textId="77777777" w:rsidR="00563A4C" w:rsidRDefault="00563A4C" w:rsidP="00563A4C">
      <w:pPr>
        <w:pStyle w:val="TableDescription"/>
      </w:pPr>
      <w:r>
        <w:t xml:space="preserve">** International donations were estimated for overall and </w:t>
      </w:r>
      <w:proofErr w:type="spellStart"/>
      <w:r>
        <w:t>Spikevax</w:t>
      </w:r>
      <w:proofErr w:type="spellEnd"/>
      <w:r>
        <w:t xml:space="preserve"> original only.</w:t>
      </w:r>
    </w:p>
    <w:p w14:paraId="2CDA7276" w14:textId="6ED00E29" w:rsidR="001C15D8" w:rsidRDefault="001C15D8" w:rsidP="001C15D8">
      <w:pPr>
        <w:pStyle w:val="TableTitle"/>
      </w:pPr>
      <w:bookmarkStart w:id="77" w:name="_Ref127274560"/>
      <w:r w:rsidRPr="001C15D8">
        <w:t xml:space="preserve">Table </w:t>
      </w:r>
      <w:fldSimple w:instr=" SEQ Table \* ARABIC ">
        <w:r w:rsidR="00AA4DFB">
          <w:rPr>
            <w:noProof/>
          </w:rPr>
          <w:t>21</w:t>
        </w:r>
      </w:fldSimple>
      <w:bookmarkEnd w:id="77"/>
      <w:r>
        <w:t xml:space="preserve">: </w:t>
      </w:r>
      <w:proofErr w:type="spellStart"/>
      <w:r w:rsidR="00795787">
        <w:t>S</w:t>
      </w:r>
      <w:r w:rsidR="0019170B">
        <w:t>p</w:t>
      </w:r>
      <w:r w:rsidR="00795787">
        <w:t>ikevax</w:t>
      </w:r>
      <w:proofErr w:type="spellEnd"/>
      <w:r w:rsidR="00795787">
        <w:t xml:space="preserve"> </w:t>
      </w:r>
      <w:r w:rsidR="00903472">
        <w:t xml:space="preserve">bivalent </w:t>
      </w:r>
      <w:r w:rsidR="00795787">
        <w:t>Original/Omicron BA.4–5</w:t>
      </w:r>
      <w:r w:rsidR="00903472">
        <w:t xml:space="preserve"> (</w:t>
      </w:r>
      <w:proofErr w:type="spellStart"/>
      <w:r w:rsidR="00903472">
        <w:t>elasomeran</w:t>
      </w:r>
      <w:proofErr w:type="spellEnd"/>
      <w:r w:rsidR="00903472">
        <w:t xml:space="preserve"> and </w:t>
      </w:r>
      <w:proofErr w:type="spellStart"/>
      <w:r w:rsidR="00903472">
        <w:t>davesomeran</w:t>
      </w:r>
      <w:proofErr w:type="spellEnd"/>
      <w:r w:rsidR="00903472">
        <w:t>)</w:t>
      </w:r>
      <w:r w:rsidR="00795787">
        <w:t xml:space="preserve"> vaccine</w:t>
      </w:r>
      <w:r w:rsidRPr="001C15D8">
        <w:t xml:space="preserve"> </w:t>
      </w:r>
      <w:r w:rsidR="00795787">
        <w:t>d</w:t>
      </w:r>
      <w:r w:rsidRPr="001C15D8">
        <w:t xml:space="preserve">oses </w:t>
      </w:r>
      <w:r w:rsidR="00795787">
        <w:t>d</w:t>
      </w:r>
      <w:r w:rsidRPr="001C15D8">
        <w:t xml:space="preserve">istributed and </w:t>
      </w:r>
      <w:r w:rsidR="00795787">
        <w:t>a</w:t>
      </w:r>
      <w:r w:rsidRPr="001C15D8">
        <w:t>dministered (</w:t>
      </w:r>
      <w:r w:rsidR="00903472">
        <w:t>c</w:t>
      </w:r>
      <w:r w:rsidRPr="001C15D8">
        <w:t>umulative as of 17</w:t>
      </w:r>
      <w:r w:rsidR="00903472">
        <w:t> </w:t>
      </w:r>
      <w:r w:rsidR="00795787">
        <w:t>December</w:t>
      </w:r>
      <w:r w:rsidR="00903472">
        <w:t> </w:t>
      </w:r>
      <w:r w:rsidRPr="001C15D8">
        <w:t>2022)</w:t>
      </w:r>
    </w:p>
    <w:p w14:paraId="4FD14E7A" w14:textId="3285DBC7" w:rsidR="001C15D8" w:rsidRDefault="001C15D8" w:rsidP="001C15D8">
      <w:r w:rsidRPr="001C15D8">
        <w:rPr>
          <w:noProof/>
          <w:lang w:val="en-GB" w:eastAsia="en-GB"/>
        </w:rPr>
        <w:drawing>
          <wp:inline distT="0" distB="0" distL="0" distR="0" wp14:anchorId="2186B676" wp14:editId="1C1D787C">
            <wp:extent cx="5238567" cy="1695450"/>
            <wp:effectExtent l="0" t="0" r="635" b="0"/>
            <wp:docPr id="11" name="Picture 11" descr="Spikevax Original/Omicron BA.4 – 5 vaccine doses distributed and administered (Cumulative as of 17 December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pikevax Original/Omicron BA.4 – 5 vaccine doses distributed and administered (Cumulative as of 17 December2022)"/>
                    <pic:cNvPicPr/>
                  </pic:nvPicPr>
                  <pic:blipFill rotWithShape="1">
                    <a:blip r:embed="rId45"/>
                    <a:srcRect b="13368"/>
                    <a:stretch/>
                  </pic:blipFill>
                  <pic:spPr bwMode="auto">
                    <a:xfrm>
                      <a:off x="0" y="0"/>
                      <a:ext cx="5243476" cy="1697039"/>
                    </a:xfrm>
                    <a:prstGeom prst="rect">
                      <a:avLst/>
                    </a:prstGeom>
                    <a:ln>
                      <a:noFill/>
                    </a:ln>
                    <a:extLst>
                      <a:ext uri="{53640926-AAD7-44D8-BBD7-CCE9431645EC}">
                        <a14:shadowObscured xmlns:a14="http://schemas.microsoft.com/office/drawing/2010/main"/>
                      </a:ext>
                    </a:extLst>
                  </pic:spPr>
                </pic:pic>
              </a:graphicData>
            </a:graphic>
          </wp:inline>
        </w:drawing>
      </w:r>
    </w:p>
    <w:p w14:paraId="3CBDB4DE" w14:textId="77777777" w:rsidR="00563A4C" w:rsidRDefault="00563A4C" w:rsidP="00563A4C">
      <w:pPr>
        <w:pStyle w:val="TableDescription"/>
      </w:pPr>
      <w:r>
        <w:t>* Doses administered were calculated using 0.55 imputation.</w:t>
      </w:r>
    </w:p>
    <w:p w14:paraId="54D08842" w14:textId="77777777" w:rsidR="00563A4C" w:rsidRDefault="00563A4C" w:rsidP="00563A4C">
      <w:pPr>
        <w:pStyle w:val="TableDescription"/>
      </w:pPr>
      <w:r>
        <w:t xml:space="preserve">** International donations were estimated for overall and </w:t>
      </w:r>
      <w:proofErr w:type="spellStart"/>
      <w:r>
        <w:t>Spikevax</w:t>
      </w:r>
      <w:proofErr w:type="spellEnd"/>
      <w:r>
        <w:t xml:space="preserve"> original only.</w:t>
      </w:r>
    </w:p>
    <w:p w14:paraId="7D0607B1" w14:textId="7E9C6D8D" w:rsidR="001C15D8" w:rsidRDefault="001C15D8" w:rsidP="001C15D8">
      <w:r w:rsidRPr="001C15D8">
        <w:t xml:space="preserve">Regarding availability of demographic distribution of doses administered, the </w:t>
      </w:r>
      <w:r w:rsidR="00563A4C">
        <w:t>s</w:t>
      </w:r>
      <w:r w:rsidRPr="001C15D8">
        <w:t xml:space="preserve">ponsor relies completely from information posted on the different health authorities’ websites, worldwide where the </w:t>
      </w:r>
      <w:proofErr w:type="spellStart"/>
      <w:r w:rsidR="00F04A63">
        <w:t>Sp</w:t>
      </w:r>
      <w:r w:rsidR="0019170B">
        <w:t>ik</w:t>
      </w:r>
      <w:r w:rsidR="00F04A63">
        <w:t>evax</w:t>
      </w:r>
      <w:proofErr w:type="spellEnd"/>
      <w:r w:rsidRPr="001C15D8">
        <w:t xml:space="preserve"> vaccines (Original and bivalents) have been authori</w:t>
      </w:r>
      <w:r w:rsidR="00F04A63">
        <w:t>s</w:t>
      </w:r>
      <w:r w:rsidRPr="001C15D8">
        <w:t xml:space="preserve">ed. The amount of information provided on those websites varies considerable from one country to the next. Given that </w:t>
      </w:r>
      <w:proofErr w:type="spellStart"/>
      <w:r w:rsidR="00130134">
        <w:t>Spikevax</w:t>
      </w:r>
      <w:proofErr w:type="spellEnd"/>
      <w:r w:rsidR="00130134">
        <w:t xml:space="preserve"> </w:t>
      </w:r>
      <w:r w:rsidR="00F04A63">
        <w:t xml:space="preserve">bivalent Original/Omicron </w:t>
      </w:r>
      <w:r w:rsidR="001405D9">
        <w:t>BA.4-5</w:t>
      </w:r>
      <w:r w:rsidRPr="001C15D8">
        <w:t xml:space="preserve"> was first authori</w:t>
      </w:r>
      <w:r w:rsidR="00F04A63">
        <w:t>s</w:t>
      </w:r>
      <w:r w:rsidRPr="001C15D8">
        <w:t xml:space="preserve">ed in the USA, and that </w:t>
      </w:r>
      <w:proofErr w:type="gramStart"/>
      <w:r w:rsidRPr="001C15D8">
        <w:t>the majority of</w:t>
      </w:r>
      <w:proofErr w:type="gramEnd"/>
      <w:r w:rsidRPr="001C15D8">
        <w:t xml:space="preserve"> the doses that have been administered are in the USA, the </w:t>
      </w:r>
      <w:r w:rsidR="00F04A63">
        <w:t>s</w:t>
      </w:r>
      <w:r w:rsidRPr="001C15D8">
        <w:t>ponsor is presenting information available from the US CDC as of 14</w:t>
      </w:r>
      <w:r w:rsidR="00903472">
        <w:t> </w:t>
      </w:r>
      <w:r w:rsidR="00F04A63">
        <w:t>December</w:t>
      </w:r>
      <w:r w:rsidRPr="001C15D8">
        <w:t xml:space="preserve"> 2022. Of relevance for this application the total number of Moderna </w:t>
      </w:r>
      <w:proofErr w:type="spellStart"/>
      <w:r w:rsidR="00F04A63">
        <w:t>Spikevax</w:t>
      </w:r>
      <w:proofErr w:type="spellEnd"/>
      <w:r w:rsidR="00F04A63">
        <w:t xml:space="preserve"> Original/Omicron </w:t>
      </w:r>
      <w:r w:rsidR="001405D9">
        <w:t>BA.4-5</w:t>
      </w:r>
      <w:r w:rsidRPr="001C15D8">
        <w:t xml:space="preserve"> booster doses for individuals from 5 to 17 years is presented in </w:t>
      </w:r>
      <w:r>
        <w:fldChar w:fldCharType="begin"/>
      </w:r>
      <w:r>
        <w:instrText xml:space="preserve"> REF _Ref127274876 \h </w:instrText>
      </w:r>
      <w:r>
        <w:fldChar w:fldCharType="separate"/>
      </w:r>
      <w:r w:rsidR="00AA4DFB" w:rsidRPr="001C15D8">
        <w:t xml:space="preserve">Table </w:t>
      </w:r>
      <w:r w:rsidR="00AA4DFB">
        <w:rPr>
          <w:noProof/>
        </w:rPr>
        <w:t>22</w:t>
      </w:r>
      <w:r>
        <w:fldChar w:fldCharType="end"/>
      </w:r>
      <w:r w:rsidRPr="001C15D8">
        <w:t xml:space="preserve"> below.</w:t>
      </w:r>
    </w:p>
    <w:p w14:paraId="6E0DE52C" w14:textId="6AF20717" w:rsidR="001C15D8" w:rsidRDefault="001C15D8" w:rsidP="001C15D8">
      <w:pPr>
        <w:pStyle w:val="TableTitle"/>
      </w:pPr>
      <w:bookmarkStart w:id="78" w:name="_Ref127274876"/>
      <w:r w:rsidRPr="001C15D8">
        <w:lastRenderedPageBreak/>
        <w:t xml:space="preserve">Table </w:t>
      </w:r>
      <w:fldSimple w:instr=" SEQ Table \* ARABIC ">
        <w:r w:rsidR="00AA4DFB">
          <w:rPr>
            <w:noProof/>
          </w:rPr>
          <w:t>22</w:t>
        </w:r>
      </w:fldSimple>
      <w:bookmarkEnd w:id="78"/>
      <w:r w:rsidRPr="001C15D8">
        <w:t>:</w:t>
      </w:r>
      <w:r>
        <w:t xml:space="preserve"> </w:t>
      </w:r>
      <w:r w:rsidRPr="001C15D8">
        <w:t xml:space="preserve">Demographic information for population with Moderna COVID-19 vaccine doses administered in the </w:t>
      </w:r>
      <w:r w:rsidR="00903472">
        <w:t>USA</w:t>
      </w:r>
      <w:r w:rsidRPr="001C15D8">
        <w:t xml:space="preserve"> </w:t>
      </w:r>
      <w:r w:rsidR="0019170B">
        <w:t>t</w:t>
      </w:r>
      <w:r w:rsidRPr="001C15D8">
        <w:t xml:space="preserve">hrough 14 </w:t>
      </w:r>
      <w:r w:rsidR="004B0233">
        <w:t>December</w:t>
      </w:r>
      <w:r w:rsidRPr="001C15D8">
        <w:t xml:space="preserve"> 2022</w:t>
      </w:r>
    </w:p>
    <w:p w14:paraId="0EEF115F" w14:textId="2556E3F0" w:rsidR="001C15D8" w:rsidRDefault="001C15D8" w:rsidP="00F04A63">
      <w:pPr>
        <w:pStyle w:val="TableDescription"/>
      </w:pPr>
      <w:r w:rsidRPr="001C15D8">
        <w:rPr>
          <w:noProof/>
          <w:lang w:val="en-GB" w:eastAsia="en-GB"/>
        </w:rPr>
        <w:drawing>
          <wp:inline distT="0" distB="0" distL="0" distR="0" wp14:anchorId="4E2C6E93" wp14:editId="4F9E7EAC">
            <wp:extent cx="5281574" cy="2406625"/>
            <wp:effectExtent l="0" t="0" r="0" b="0"/>
            <wp:docPr id="12" name="Picture 12" descr="Demographic information for population with Moderna COVID-19 vaccine doses administered in the United States through 14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mographic information for population with Moderna COVID-19 vaccine doses administered in the United States through 14 December 2022"/>
                    <pic:cNvPicPr/>
                  </pic:nvPicPr>
                  <pic:blipFill rotWithShape="1">
                    <a:blip r:embed="rId46"/>
                    <a:srcRect r="1135" b="13031"/>
                    <a:stretch/>
                  </pic:blipFill>
                  <pic:spPr bwMode="auto">
                    <a:xfrm>
                      <a:off x="0" y="0"/>
                      <a:ext cx="5285269" cy="2408308"/>
                    </a:xfrm>
                    <a:prstGeom prst="rect">
                      <a:avLst/>
                    </a:prstGeom>
                    <a:ln>
                      <a:noFill/>
                    </a:ln>
                    <a:extLst>
                      <a:ext uri="{53640926-AAD7-44D8-BBD7-CCE9431645EC}">
                        <a14:shadowObscured xmlns:a14="http://schemas.microsoft.com/office/drawing/2010/main"/>
                      </a:ext>
                    </a:extLst>
                  </pic:spPr>
                </pic:pic>
              </a:graphicData>
            </a:graphic>
          </wp:inline>
        </w:drawing>
      </w:r>
    </w:p>
    <w:p w14:paraId="117325DD" w14:textId="24CB74BF" w:rsidR="00F04A63" w:rsidRDefault="00F04A63" w:rsidP="00F04A63">
      <w:pPr>
        <w:pStyle w:val="TableDescription"/>
      </w:pPr>
      <w:r>
        <w:t xml:space="preserve">a </w:t>
      </w:r>
      <w:proofErr w:type="gramStart"/>
      <w:r>
        <w:t>Based on</w:t>
      </w:r>
      <w:proofErr w:type="gramEnd"/>
      <w:r>
        <w:t xml:space="preserve"> communication with CDC on 10 January 223, additional doses refer to the first booster doses. Both additional/first and second booster doses could include bivalent doses.</w:t>
      </w:r>
    </w:p>
    <w:p w14:paraId="2C4A8BFE" w14:textId="5223C18B" w:rsidR="00F04A63" w:rsidRDefault="00F04A63" w:rsidP="00F04A63">
      <w:pPr>
        <w:pStyle w:val="TableDescription"/>
      </w:pPr>
      <w:r>
        <w:t xml:space="preserve">Available from </w:t>
      </w:r>
      <w:hyperlink r:id="rId47" w:anchor="vaccine-delivery-coverage" w:history="1">
        <w:r w:rsidRPr="00A1337C">
          <w:rPr>
            <w:rStyle w:val="Hyperlink"/>
          </w:rPr>
          <w:t>https://covid.cdc.gov/covid-data-tracker/#vaccine-delivery-coverage</w:t>
        </w:r>
      </w:hyperlink>
      <w:r>
        <w:t>. Access on 21 December 2022</w:t>
      </w:r>
    </w:p>
    <w:p w14:paraId="44645B8C" w14:textId="023E1B49" w:rsidR="001C15D8" w:rsidRDefault="001C15D8" w:rsidP="001C15D8">
      <w:r w:rsidRPr="001C15D8">
        <w:t xml:space="preserve">Total number of people who have received COVID-19 vaccine doses manufactured by Moderna and total Moderna </w:t>
      </w:r>
      <w:r w:rsidR="001405D9">
        <w:t>BA.4-5</w:t>
      </w:r>
      <w:r w:rsidRPr="001C15D8">
        <w:t xml:space="preserve"> doses were reported by the US CDC. Doses were allocated to demographic categories based on percent of people with the selected exposure category across COVID-19 vaccine brands for the selected demographic category, assuming no brand preference within the demographic category. The exposure categories were defined by US CDC.</w:t>
      </w:r>
    </w:p>
    <w:p w14:paraId="016D9CAE" w14:textId="72A11F81" w:rsidR="0032763C" w:rsidRPr="00D26760" w:rsidRDefault="0032763C" w:rsidP="0032763C">
      <w:pPr>
        <w:rPr>
          <w:i/>
        </w:rPr>
      </w:pPr>
      <w:r w:rsidRPr="00D26760">
        <w:rPr>
          <w:i/>
        </w:rPr>
        <w:t>Use in Children (6 to 18 years old)</w:t>
      </w:r>
    </w:p>
    <w:p w14:paraId="65206798" w14:textId="275E88AD" w:rsidR="0032763C" w:rsidRDefault="00F04A63" w:rsidP="0032763C">
      <w:r>
        <w:t xml:space="preserve">Monovalent </w:t>
      </w:r>
      <w:proofErr w:type="spellStart"/>
      <w:r>
        <w:t>Spikevax</w:t>
      </w:r>
      <w:proofErr w:type="spellEnd"/>
      <w:r>
        <w:t xml:space="preserve"> vaccine</w:t>
      </w:r>
      <w:r w:rsidR="00903472">
        <w:t xml:space="preserve"> (</w:t>
      </w:r>
      <w:proofErr w:type="spellStart"/>
      <w:r w:rsidR="00903472">
        <w:t>elasomeran</w:t>
      </w:r>
      <w:proofErr w:type="spellEnd"/>
      <w:r w:rsidR="00903472">
        <w:t>)</w:t>
      </w:r>
      <w:r w:rsidR="0032763C">
        <w:t xml:space="preserve">: Cumulatively as of 17 </w:t>
      </w:r>
      <w:r>
        <w:t>December</w:t>
      </w:r>
      <w:r w:rsidR="0032763C">
        <w:t xml:space="preserve"> 2022, the MAH has received 10,055 cases (21,541 events) with 1,221 serious cases (2,901 serious events) with 39 of these cases reporting a fatal outcome in patients 17 years of age or younger after </w:t>
      </w:r>
      <w:r>
        <w:t xml:space="preserve">monovalent </w:t>
      </w:r>
      <w:proofErr w:type="spellStart"/>
      <w:r>
        <w:t>Spikevax</w:t>
      </w:r>
      <w:proofErr w:type="spellEnd"/>
      <w:r w:rsidR="0032763C">
        <w:t xml:space="preserve"> vaccination.</w:t>
      </w:r>
    </w:p>
    <w:p w14:paraId="27332EC1" w14:textId="77777777" w:rsidR="0032763C" w:rsidRDefault="0032763C" w:rsidP="0032763C">
      <w:r>
        <w:t>Out of those 10,055 cases:</w:t>
      </w:r>
    </w:p>
    <w:p w14:paraId="71955CB4" w14:textId="38FC1104" w:rsidR="0032763C" w:rsidRDefault="0032763C" w:rsidP="0032763C">
      <w:pPr>
        <w:pStyle w:val="ListBullet"/>
      </w:pPr>
      <w:r>
        <w:t xml:space="preserve">301 cases (804 events) with 33 serious cases (91 serious events) were in children </w:t>
      </w:r>
      <w:r w:rsidR="00903472">
        <w:t xml:space="preserve">aged </w:t>
      </w:r>
      <w:r>
        <w:t xml:space="preserve">6 months to </w:t>
      </w:r>
      <w:r w:rsidR="000A1407">
        <w:t xml:space="preserve">younger </w:t>
      </w:r>
      <w:r w:rsidR="00F04A63">
        <w:t>than</w:t>
      </w:r>
      <w:r>
        <w:t xml:space="preserve"> 2 years of age; one case had a fatal outcome</w:t>
      </w:r>
    </w:p>
    <w:p w14:paraId="0A12673F" w14:textId="21517700" w:rsidR="0032763C" w:rsidRDefault="0032763C" w:rsidP="0032763C">
      <w:pPr>
        <w:pStyle w:val="ListBullet"/>
      </w:pPr>
      <w:r>
        <w:t xml:space="preserve">506 cases (1,353 events) with 37 serious cases (83 serious events) were in children </w:t>
      </w:r>
      <w:r w:rsidR="00903472">
        <w:t>aged 2</w:t>
      </w:r>
      <w:r w:rsidR="00F04A63">
        <w:t xml:space="preserve">to </w:t>
      </w:r>
      <w:proofErr w:type="gramStart"/>
      <w:r>
        <w:t>5</w:t>
      </w:r>
      <w:r w:rsidR="00F04A63">
        <w:t xml:space="preserve"> </w:t>
      </w:r>
      <w:r>
        <w:t>year</w:t>
      </w:r>
      <w:r w:rsidR="00F04A63">
        <w:t xml:space="preserve"> </w:t>
      </w:r>
      <w:r>
        <w:t>old</w:t>
      </w:r>
      <w:proofErr w:type="gramEnd"/>
      <w:r>
        <w:t>; one case had fatal outcome</w:t>
      </w:r>
    </w:p>
    <w:p w14:paraId="7F0F871E" w14:textId="3F88FB09" w:rsidR="0032763C" w:rsidRDefault="0032763C" w:rsidP="0032763C">
      <w:pPr>
        <w:pStyle w:val="ListBullet"/>
      </w:pPr>
      <w:r>
        <w:t>475 cases (1,014 events) with 104 serious cases (187 serious events) were reported for 6 to11</w:t>
      </w:r>
      <w:r w:rsidR="00F04A63">
        <w:t xml:space="preserve"> </w:t>
      </w:r>
      <w:r>
        <w:t>year</w:t>
      </w:r>
      <w:r w:rsidR="00F04A63">
        <w:t xml:space="preserve"> </w:t>
      </w:r>
      <w:r>
        <w:t>old children; two cases had a fatal outcome.</w:t>
      </w:r>
    </w:p>
    <w:p w14:paraId="3C0ED213" w14:textId="24B5ABCE" w:rsidR="001C15D8" w:rsidRDefault="0032763C" w:rsidP="0032763C">
      <w:pPr>
        <w:pStyle w:val="ListBullet"/>
      </w:pPr>
      <w:r>
        <w:t>8,545 cases (17,792 events) with 982 serious cases (2,399 serious events) for adolescents (12</w:t>
      </w:r>
      <w:r w:rsidR="00F04A63">
        <w:t xml:space="preserve"> to </w:t>
      </w:r>
      <w:r>
        <w:t>17 years of age); there were 28 cases reporting a fatal outcome</w:t>
      </w:r>
    </w:p>
    <w:p w14:paraId="3029AE34" w14:textId="50B9542C" w:rsidR="0032763C" w:rsidRDefault="0019170B" w:rsidP="0032763C">
      <w:proofErr w:type="spellStart"/>
      <w:r>
        <w:t>Spikevax</w:t>
      </w:r>
      <w:proofErr w:type="spellEnd"/>
      <w:r>
        <w:t xml:space="preserve"> b</w:t>
      </w:r>
      <w:r w:rsidR="00F04A63">
        <w:t>ivalent Original/Omicron BA.1 vaccine</w:t>
      </w:r>
      <w:r w:rsidR="0032763C">
        <w:t xml:space="preserve">: Cumulatively as of 17 </w:t>
      </w:r>
      <w:r w:rsidR="00F04A63">
        <w:t>December</w:t>
      </w:r>
      <w:r w:rsidR="0032763C">
        <w:t xml:space="preserve"> 2022, the MAH has received 26 cases (62 events) with </w:t>
      </w:r>
      <w:r w:rsidR="00350CEF">
        <w:t>one</w:t>
      </w:r>
      <w:r w:rsidR="0032763C">
        <w:t xml:space="preserve"> serious </w:t>
      </w:r>
      <w:proofErr w:type="gramStart"/>
      <w:r w:rsidR="0032763C">
        <w:t>cases</w:t>
      </w:r>
      <w:proofErr w:type="gramEnd"/>
      <w:r w:rsidR="0032763C">
        <w:t xml:space="preserve"> (</w:t>
      </w:r>
      <w:r w:rsidR="00350CEF">
        <w:t>three</w:t>
      </w:r>
      <w:r w:rsidR="0032763C">
        <w:t xml:space="preserve"> serious events); there were no cases reporting a fatal outcome in patients 17 years of age or younger after </w:t>
      </w:r>
      <w:proofErr w:type="spellStart"/>
      <w:r w:rsidR="00934CEF">
        <w:t>Spikevax</w:t>
      </w:r>
      <w:proofErr w:type="spellEnd"/>
      <w:r w:rsidR="00934CEF">
        <w:t xml:space="preserve"> </w:t>
      </w:r>
      <w:r w:rsidR="000A1407">
        <w:t xml:space="preserve">bivalent Original/Omicron BA.1 </w:t>
      </w:r>
      <w:r w:rsidR="0032763C">
        <w:t>vaccination.</w:t>
      </w:r>
    </w:p>
    <w:p w14:paraId="4A0CDC14" w14:textId="77777777" w:rsidR="0032763C" w:rsidRDefault="0032763C" w:rsidP="0032763C">
      <w:r>
        <w:t>Out of those 27 cases:</w:t>
      </w:r>
    </w:p>
    <w:p w14:paraId="6A63C746" w14:textId="7736B55F" w:rsidR="0032763C" w:rsidRDefault="000A1407" w:rsidP="0032763C">
      <w:pPr>
        <w:pStyle w:val="ListBullet"/>
      </w:pPr>
      <w:r>
        <w:t>one</w:t>
      </w:r>
      <w:r w:rsidR="0032763C">
        <w:t xml:space="preserve"> case (</w:t>
      </w:r>
      <w:r>
        <w:t>three</w:t>
      </w:r>
      <w:r w:rsidR="0032763C">
        <w:t xml:space="preserve"> events) with no reported serious cases in children 6 months to </w:t>
      </w:r>
      <w:r>
        <w:t xml:space="preserve">younger than </w:t>
      </w:r>
      <w:r w:rsidR="0032763C">
        <w:t>2 years of age</w:t>
      </w:r>
    </w:p>
    <w:p w14:paraId="10E0CABC" w14:textId="547B6196" w:rsidR="0032763C" w:rsidRDefault="000A1407" w:rsidP="0032763C">
      <w:pPr>
        <w:pStyle w:val="ListBullet"/>
      </w:pPr>
      <w:r>
        <w:lastRenderedPageBreak/>
        <w:t>two</w:t>
      </w:r>
      <w:r w:rsidR="0032763C">
        <w:t xml:space="preserve"> cases (</w:t>
      </w:r>
      <w:r>
        <w:t>five</w:t>
      </w:r>
      <w:r w:rsidR="0032763C">
        <w:t xml:space="preserve"> events) with no reported serious cases in children 2 to 5 years old</w:t>
      </w:r>
    </w:p>
    <w:p w14:paraId="1ACE3CE8" w14:textId="3F769A5A" w:rsidR="0032763C" w:rsidRDefault="00E84C52" w:rsidP="0032763C">
      <w:pPr>
        <w:pStyle w:val="ListBullet"/>
      </w:pPr>
      <w:r>
        <w:t>one</w:t>
      </w:r>
      <w:r w:rsidR="0032763C">
        <w:t xml:space="preserve"> case (</w:t>
      </w:r>
      <w:r>
        <w:t>two</w:t>
      </w:r>
      <w:r w:rsidR="0032763C">
        <w:t xml:space="preserve"> events) with no reported serious cases in children 6 to11</w:t>
      </w:r>
      <w:r>
        <w:t xml:space="preserve"> </w:t>
      </w:r>
      <w:r w:rsidR="0032763C">
        <w:t>year</w:t>
      </w:r>
      <w:r>
        <w:t xml:space="preserve"> </w:t>
      </w:r>
      <w:r w:rsidR="0032763C">
        <w:t>old</w:t>
      </w:r>
    </w:p>
    <w:p w14:paraId="75034301" w14:textId="1C274D21" w:rsidR="0032763C" w:rsidRDefault="0032763C" w:rsidP="0032763C">
      <w:pPr>
        <w:pStyle w:val="ListBullet"/>
      </w:pPr>
      <w:r>
        <w:t xml:space="preserve">21 cases (51 events) with </w:t>
      </w:r>
      <w:r w:rsidR="00E84C52">
        <w:t>one</w:t>
      </w:r>
      <w:r>
        <w:t xml:space="preserve"> serious case (</w:t>
      </w:r>
      <w:r w:rsidR="00E84C52">
        <w:t>three</w:t>
      </w:r>
      <w:r>
        <w:t xml:space="preserve"> serious events) for adolescents (12 to17 years of age). </w:t>
      </w:r>
      <w:proofErr w:type="gramStart"/>
      <w:r>
        <w:t>The majority of</w:t>
      </w:r>
      <w:proofErr w:type="gramEnd"/>
      <w:r>
        <w:t xml:space="preserve"> the cases (17 cases, 41 events) were related to product administration issues, with most (15 cases, 36 events) of those not reporting an associated adverse event.</w:t>
      </w:r>
    </w:p>
    <w:p w14:paraId="192E7C72" w14:textId="2CDEC96D" w:rsidR="0032763C" w:rsidRDefault="0019170B" w:rsidP="0032763C">
      <w:proofErr w:type="spellStart"/>
      <w:r>
        <w:t>Spikevax</w:t>
      </w:r>
      <w:proofErr w:type="spellEnd"/>
      <w:r>
        <w:t xml:space="preserve"> b</w:t>
      </w:r>
      <w:r w:rsidR="00E84C52">
        <w:t>ivalent Original/Omicron BA.4–5 vaccine</w:t>
      </w:r>
      <w:r w:rsidR="00903472">
        <w:t xml:space="preserve"> (</w:t>
      </w:r>
      <w:proofErr w:type="spellStart"/>
      <w:r w:rsidR="00903472">
        <w:t>elasomeran</w:t>
      </w:r>
      <w:proofErr w:type="spellEnd"/>
      <w:r w:rsidR="00903472">
        <w:t xml:space="preserve"> and </w:t>
      </w:r>
      <w:proofErr w:type="spellStart"/>
      <w:r w:rsidR="00903472">
        <w:t>davesomeran</w:t>
      </w:r>
      <w:proofErr w:type="spellEnd"/>
      <w:r w:rsidR="00903472">
        <w:t>)</w:t>
      </w:r>
      <w:r w:rsidR="0032763C">
        <w:t xml:space="preserve">: Cumulatively as of 17 </w:t>
      </w:r>
      <w:r w:rsidR="00E84C52">
        <w:t>December</w:t>
      </w:r>
      <w:r w:rsidR="0032763C">
        <w:t xml:space="preserve"> 2022, the MAH has received 63 cases (155 events) with </w:t>
      </w:r>
      <w:r w:rsidR="00E84C52">
        <w:t>three</w:t>
      </w:r>
      <w:r w:rsidR="0032763C">
        <w:t xml:space="preserve"> serious cases (</w:t>
      </w:r>
      <w:r w:rsidR="00E84C52">
        <w:t>five</w:t>
      </w:r>
      <w:r w:rsidR="0032763C">
        <w:t xml:space="preserve"> serious events) with no fatal outcome reported in patients 17</w:t>
      </w:r>
      <w:r w:rsidR="00903472">
        <w:t> </w:t>
      </w:r>
      <w:r w:rsidR="0032763C">
        <w:t xml:space="preserve">years of age or younger after </w:t>
      </w:r>
      <w:proofErr w:type="spellStart"/>
      <w:r w:rsidR="00934CEF">
        <w:t>Spikevax</w:t>
      </w:r>
      <w:proofErr w:type="spellEnd"/>
      <w:r w:rsidR="00934CEF">
        <w:t xml:space="preserve"> </w:t>
      </w:r>
      <w:r w:rsidR="00E84C52">
        <w:t>bivalent Original/Omicron BA.4–5 vaccine</w:t>
      </w:r>
      <w:r w:rsidR="0032763C">
        <w:t xml:space="preserve"> vaccination.</w:t>
      </w:r>
    </w:p>
    <w:p w14:paraId="2768D74A" w14:textId="77777777" w:rsidR="0032763C" w:rsidRDefault="0032763C" w:rsidP="0032763C">
      <w:r>
        <w:t>Out of those 65 cases:</w:t>
      </w:r>
    </w:p>
    <w:p w14:paraId="7C17FC5C" w14:textId="076BE803" w:rsidR="0032763C" w:rsidRDefault="00E84C52" w:rsidP="0032763C">
      <w:pPr>
        <w:pStyle w:val="ListBullet"/>
      </w:pPr>
      <w:r>
        <w:t>three</w:t>
      </w:r>
      <w:r w:rsidR="0032763C">
        <w:t xml:space="preserve"> cases (9 events) with no reported serious cases in children </w:t>
      </w:r>
      <w:r w:rsidR="009536FD">
        <w:t xml:space="preserve">aged </w:t>
      </w:r>
      <w:r w:rsidR="0032763C">
        <w:t xml:space="preserve">6 months to </w:t>
      </w:r>
      <w:r>
        <w:t xml:space="preserve">younger than </w:t>
      </w:r>
      <w:r w:rsidR="0032763C">
        <w:t>2 years of age</w:t>
      </w:r>
    </w:p>
    <w:p w14:paraId="3F394464" w14:textId="6B0CBDE5" w:rsidR="0032763C" w:rsidRDefault="0032763C" w:rsidP="0032763C">
      <w:pPr>
        <w:pStyle w:val="ListBullet"/>
      </w:pPr>
      <w:r>
        <w:t xml:space="preserve">12 cases (33 events) with no reported serious cases in children </w:t>
      </w:r>
      <w:r w:rsidR="009536FD">
        <w:t xml:space="preserve">aged </w:t>
      </w:r>
      <w:r>
        <w:t>2 to 5 years old</w:t>
      </w:r>
    </w:p>
    <w:p w14:paraId="13018A9F" w14:textId="5E1BBA0F" w:rsidR="0032763C" w:rsidRDefault="0032763C" w:rsidP="0032763C">
      <w:pPr>
        <w:pStyle w:val="ListBullet"/>
      </w:pPr>
      <w:r>
        <w:t xml:space="preserve">18 cases (44 events) with no reported serious cases in children </w:t>
      </w:r>
      <w:r w:rsidR="009536FD">
        <w:t xml:space="preserve">aged </w:t>
      </w:r>
      <w:r>
        <w:t>6 to11</w:t>
      </w:r>
      <w:r w:rsidR="00E84C52">
        <w:t xml:space="preserve"> </w:t>
      </w:r>
      <w:r>
        <w:t>year</w:t>
      </w:r>
      <w:r w:rsidR="00E84C52">
        <w:t xml:space="preserve"> </w:t>
      </w:r>
      <w:r>
        <w:t>old</w:t>
      </w:r>
    </w:p>
    <w:p w14:paraId="32C6F0E8" w14:textId="79E21962" w:rsidR="0032763C" w:rsidRDefault="0032763C" w:rsidP="0032763C">
      <w:pPr>
        <w:pStyle w:val="ListBullet"/>
      </w:pPr>
      <w:r>
        <w:t xml:space="preserve">29 cases (68 events) with </w:t>
      </w:r>
      <w:r w:rsidR="00E84C52">
        <w:t>three</w:t>
      </w:r>
      <w:r>
        <w:t xml:space="preserve"> serious cases (</w:t>
      </w:r>
      <w:r w:rsidR="00E84C52">
        <w:t>five</w:t>
      </w:r>
      <w:r>
        <w:t xml:space="preserve"> serious events) for adolescents (12</w:t>
      </w:r>
      <w:r w:rsidR="009536FD">
        <w:t> </w:t>
      </w:r>
      <w:r>
        <w:t>to</w:t>
      </w:r>
      <w:r w:rsidR="009536FD">
        <w:t xml:space="preserve"> </w:t>
      </w:r>
      <w:r>
        <w:t xml:space="preserve">17 years of age). </w:t>
      </w:r>
      <w:proofErr w:type="gramStart"/>
      <w:r>
        <w:t>The majority of</w:t>
      </w:r>
      <w:proofErr w:type="gramEnd"/>
      <w:r>
        <w:t xml:space="preserve"> the reported events were related to product administration issues (54; 75%), with most of those not reporting an associated adverse event.</w:t>
      </w:r>
    </w:p>
    <w:p w14:paraId="71FF9E04" w14:textId="2619D8BA" w:rsidR="0032763C" w:rsidRPr="00D26760" w:rsidRDefault="0032763C" w:rsidP="0032763C">
      <w:pPr>
        <w:rPr>
          <w:i/>
        </w:rPr>
      </w:pPr>
      <w:r w:rsidRPr="00D26760">
        <w:rPr>
          <w:i/>
        </w:rPr>
        <w:t>Real world evidence studies:</w:t>
      </w:r>
    </w:p>
    <w:p w14:paraId="765DE3C8" w14:textId="717C0988" w:rsidR="0032763C" w:rsidRDefault="0032763C" w:rsidP="0032763C">
      <w:r>
        <w:t xml:space="preserve">A preliminary assessment of the </w:t>
      </w:r>
      <w:r w:rsidR="00E84C52">
        <w:t xml:space="preserve">vaccine efficacy </w:t>
      </w:r>
      <w:r>
        <w:t xml:space="preserve">of </w:t>
      </w:r>
      <w:proofErr w:type="spellStart"/>
      <w:r w:rsidR="0019170B">
        <w:t>Spikevax</w:t>
      </w:r>
      <w:proofErr w:type="spellEnd"/>
      <w:r w:rsidR="0019170B">
        <w:t xml:space="preserve"> </w:t>
      </w:r>
      <w:r w:rsidR="00E84C52">
        <w:t>bivalent Original/Omicron</w:t>
      </w:r>
      <w:r w:rsidR="0019170B">
        <w:t> </w:t>
      </w:r>
      <w:r w:rsidR="00E84C52">
        <w:t xml:space="preserve">BA.4 – 5 vaccine </w:t>
      </w:r>
      <w:r>
        <w:t>in preventing COVID-19 hospitali</w:t>
      </w:r>
      <w:r w:rsidR="00E84C52">
        <w:t>s</w:t>
      </w:r>
      <w:r>
        <w:t>ation and medically attended SARS-CoV-2 infection in the ongoing real</w:t>
      </w:r>
      <w:r w:rsidR="00E84C52">
        <w:t xml:space="preserve"> </w:t>
      </w:r>
      <w:r>
        <w:t>world effectiveness study (</w:t>
      </w:r>
      <w:r w:rsidR="0019170B">
        <w:t xml:space="preserve">Study </w:t>
      </w:r>
      <w:r>
        <w:t xml:space="preserve">P901) was performed in support of the US </w:t>
      </w:r>
      <w:r w:rsidR="00E84C52" w:rsidRPr="00E84C52">
        <w:t>Vaccines and Related Biological Products Advisory Committee</w:t>
      </w:r>
      <w:r>
        <w:t xml:space="preserve"> meeting on 26 </w:t>
      </w:r>
      <w:r w:rsidR="00E84C52">
        <w:t>January</w:t>
      </w:r>
      <w:r>
        <w:t xml:space="preserve"> 2023.</w:t>
      </w:r>
    </w:p>
    <w:p w14:paraId="0AF85F87" w14:textId="3CA6AB9A" w:rsidR="0032763C" w:rsidRDefault="0032763C" w:rsidP="0032763C">
      <w:r>
        <w:t xml:space="preserve">A matched cohort study among immunocompetent Kaiser Permanente Southern California members was conducted. The exposed cohort included individuals aged </w:t>
      </w:r>
      <w:r w:rsidR="00E84C52">
        <w:t>from</w:t>
      </w:r>
      <w:r>
        <w:t>18 years</w:t>
      </w:r>
      <w:r w:rsidR="00E84C52">
        <w:t xml:space="preserve"> and older</w:t>
      </w:r>
      <w:r>
        <w:t xml:space="preserve"> who received</w:t>
      </w:r>
      <w:r w:rsidR="00934CEF">
        <w:t xml:space="preserve"> </w:t>
      </w:r>
      <w:proofErr w:type="spellStart"/>
      <w:r w:rsidR="00934CEF">
        <w:t>Spikevax</w:t>
      </w:r>
      <w:proofErr w:type="spellEnd"/>
      <w:r>
        <w:t xml:space="preserve"> </w:t>
      </w:r>
      <w:r w:rsidR="00E84C52">
        <w:t xml:space="preserve">bivalent Original/Omicron </w:t>
      </w:r>
      <w:r w:rsidR="001405D9">
        <w:t>BA.4-5</w:t>
      </w:r>
      <w:r w:rsidR="00E84C52">
        <w:t xml:space="preserve"> vaccine</w:t>
      </w:r>
      <w:r>
        <w:t xml:space="preserve"> during 31 Aug</w:t>
      </w:r>
      <w:r w:rsidR="00E84C52">
        <w:t>ust</w:t>
      </w:r>
      <w:r>
        <w:t xml:space="preserve"> 2022 through 10 November 2022, and individuals aged 6 to </w:t>
      </w:r>
      <w:r w:rsidR="00E84C52">
        <w:t xml:space="preserve">younger than </w:t>
      </w:r>
      <w:r>
        <w:t xml:space="preserve">18 years who received </w:t>
      </w:r>
      <w:proofErr w:type="spellStart"/>
      <w:r w:rsidR="00934CEF">
        <w:t>Spikevax</w:t>
      </w:r>
      <w:proofErr w:type="spellEnd"/>
      <w:r w:rsidR="00934CEF">
        <w:t xml:space="preserve"> </w:t>
      </w:r>
      <w:r w:rsidR="00E84C52">
        <w:t xml:space="preserve">bivalent Original/Omicron </w:t>
      </w:r>
      <w:r w:rsidR="001405D9">
        <w:t>BA.4-5</w:t>
      </w:r>
      <w:r w:rsidR="00E84C52">
        <w:t xml:space="preserve"> vaccine </w:t>
      </w:r>
      <w:r>
        <w:t xml:space="preserve">during 12 October 2022 through 10 November 2022. The unexposed cohort included individuals 6 years and older who did not receive any </w:t>
      </w:r>
      <w:proofErr w:type="spellStart"/>
      <w:r w:rsidR="00934CEF">
        <w:t>Spikevax</w:t>
      </w:r>
      <w:proofErr w:type="spellEnd"/>
      <w:r w:rsidR="00934CEF">
        <w:t xml:space="preserve"> </w:t>
      </w:r>
      <w:r w:rsidR="00E84C52">
        <w:t xml:space="preserve">bivalent Original/Omicron </w:t>
      </w:r>
      <w:r w:rsidR="001405D9">
        <w:t>BA.4-5</w:t>
      </w:r>
      <w:r w:rsidR="00E84C52">
        <w:t xml:space="preserve"> vaccine </w:t>
      </w:r>
      <w:r>
        <w:t xml:space="preserve">as of 31 </w:t>
      </w:r>
      <w:r w:rsidR="00E84C52">
        <w:t xml:space="preserve">December </w:t>
      </w:r>
      <w:r>
        <w:t>2022. The outcomes included hospital</w:t>
      </w:r>
      <w:r w:rsidR="004B0233">
        <w:t>is</w:t>
      </w:r>
      <w:r>
        <w:t>ation for severe COVID-19 (identified by a pre-determined algorithm and confirmed by manual chart review) and medically attended SARS-CoV-2 infection (positive SARS-CoV-2 molecular or antigen test, and a COVID-19-related encounter). Cox proportional hazards regression was used to estimate adjusted hazard ratios (</w:t>
      </w:r>
      <w:proofErr w:type="spellStart"/>
      <w:r>
        <w:t>aHR</w:t>
      </w:r>
      <w:proofErr w:type="spellEnd"/>
      <w:r>
        <w:t>) comparing incidence of outcomes between the exposed and the unexposed cohorts. Relative vaccine effectiveness (</w:t>
      </w:r>
      <w:proofErr w:type="spellStart"/>
      <w:r>
        <w:t>rVE</w:t>
      </w:r>
      <w:proofErr w:type="spellEnd"/>
      <w:r>
        <w:t>) (%) was estimated as (1</w:t>
      </w:r>
      <w:r w:rsidR="00CB595E">
        <w:t xml:space="preserve"> </w:t>
      </w:r>
      <w:r>
        <w:t>-</w:t>
      </w:r>
      <w:r w:rsidR="00CB595E">
        <w:t xml:space="preserve"> </w:t>
      </w:r>
      <w:proofErr w:type="spellStart"/>
      <w:r>
        <w:t>aHR</w:t>
      </w:r>
      <w:proofErr w:type="spellEnd"/>
      <w:r>
        <w:t>) x 100.</w:t>
      </w:r>
    </w:p>
    <w:p w14:paraId="757578DC" w14:textId="397B201F" w:rsidR="0032763C" w:rsidRDefault="0032763C" w:rsidP="0032763C">
      <w:r>
        <w:t xml:space="preserve">The study included 157,435 exposed individuals (mean age 59.3 years; standard deviation 17.4) and 314,870 unexposed individuals (mean age 58.3 years; </w:t>
      </w:r>
      <w:r w:rsidR="00CB595E">
        <w:t>standard deviation</w:t>
      </w:r>
      <w:r>
        <w:t xml:space="preserve"> 18.5). A large majority of the study population (99.5%; 156,603 exposed and 313,206 unexposed) were </w:t>
      </w:r>
      <w:r w:rsidR="00E84C52">
        <w:t xml:space="preserve">from </w:t>
      </w:r>
      <w:r>
        <w:t>18 years of age</w:t>
      </w:r>
      <w:r w:rsidR="00E84C52">
        <w:t xml:space="preserve"> and older</w:t>
      </w:r>
      <w:r>
        <w:t xml:space="preserve">, and the remaining 0.5% (832 exposed and 1,664 unexposed) were 6 to </w:t>
      </w:r>
      <w:r w:rsidR="00E84C52">
        <w:t xml:space="preserve">younger than </w:t>
      </w:r>
      <w:r>
        <w:t>18 years of age.</w:t>
      </w:r>
    </w:p>
    <w:p w14:paraId="647A9D80" w14:textId="3F904718" w:rsidR="0032763C" w:rsidRDefault="0032763C" w:rsidP="0032763C">
      <w:r>
        <w:t>Compared to recipients of</w:t>
      </w:r>
      <w:r w:rsidR="00E84C52">
        <w:t xml:space="preserve"> two or more</w:t>
      </w:r>
      <w:r>
        <w:t xml:space="preserve"> original mRNA vaccine doses, the </w:t>
      </w:r>
      <w:proofErr w:type="spellStart"/>
      <w:r>
        <w:t>rVE</w:t>
      </w:r>
      <w:proofErr w:type="spellEnd"/>
      <w:r>
        <w:t xml:space="preserve"> of</w:t>
      </w:r>
      <w:r w:rsidR="009D2854" w:rsidRPr="009D2854">
        <w:t xml:space="preserve"> </w:t>
      </w:r>
      <w:proofErr w:type="spellStart"/>
      <w:r w:rsidR="009D2854">
        <w:t>Spikevax</w:t>
      </w:r>
      <w:proofErr w:type="spellEnd"/>
      <w:r>
        <w:t xml:space="preserve"> </w:t>
      </w:r>
      <w:r w:rsidR="00E84C52">
        <w:t xml:space="preserve">bivalent Original/Omicron </w:t>
      </w:r>
      <w:r w:rsidR="001405D9">
        <w:t>BA.4-5</w:t>
      </w:r>
      <w:r w:rsidR="00E84C52">
        <w:t xml:space="preserve"> vaccine</w:t>
      </w:r>
      <w:r>
        <w:t xml:space="preserve"> against COVID-19 hospitali</w:t>
      </w:r>
      <w:r w:rsidR="00E84C52">
        <w:t>s</w:t>
      </w:r>
      <w:r>
        <w:t>ation was 73.1% (95% CI: 63.8</w:t>
      </w:r>
      <w:r w:rsidR="00E84C52">
        <w:t xml:space="preserve"> to </w:t>
      </w:r>
      <w:r>
        <w:t xml:space="preserve">80%). The </w:t>
      </w:r>
      <w:proofErr w:type="spellStart"/>
      <w:r>
        <w:t>rVE</w:t>
      </w:r>
      <w:proofErr w:type="spellEnd"/>
      <w:r>
        <w:t xml:space="preserve"> against medically attended SARS-CoV-2 infection was </w:t>
      </w:r>
      <w:r>
        <w:lastRenderedPageBreak/>
        <w:t>34.7% (30</w:t>
      </w:r>
      <w:r w:rsidR="00E84C52">
        <w:t xml:space="preserve"> to </w:t>
      </w:r>
      <w:r>
        <w:t>39.1%) overall, and 56.4% (50.1</w:t>
      </w:r>
      <w:r w:rsidR="00E84C52">
        <w:t xml:space="preserve"> to </w:t>
      </w:r>
      <w:r>
        <w:t xml:space="preserve">61.9%) against infection requiring emergency department/urgent care visits. Compared to unvaccinated individuals, the VE of </w:t>
      </w:r>
      <w:proofErr w:type="spellStart"/>
      <w:r w:rsidR="009D2854">
        <w:t>Spikevax</w:t>
      </w:r>
      <w:proofErr w:type="spellEnd"/>
      <w:r w:rsidR="009D2854">
        <w:t xml:space="preserve"> </w:t>
      </w:r>
      <w:r w:rsidR="00E84C52">
        <w:t xml:space="preserve">bivalent Original/Omicron </w:t>
      </w:r>
      <w:r w:rsidR="001405D9">
        <w:t>BA.4-5</w:t>
      </w:r>
      <w:r w:rsidR="00E84C52">
        <w:t xml:space="preserve"> vaccine </w:t>
      </w:r>
      <w:r>
        <w:t>against COVID-19 hospitali</w:t>
      </w:r>
      <w:r w:rsidR="00E84C52">
        <w:t>s</w:t>
      </w:r>
      <w:r>
        <w:t>ation was 82.9% (75</w:t>
      </w:r>
      <w:r w:rsidR="00E84C52">
        <w:t xml:space="preserve"> to </w:t>
      </w:r>
      <w:r>
        <w:t>88.3%). The VE against medically attended SARS-CoV-2 infection was 13% (1.9</w:t>
      </w:r>
      <w:r w:rsidR="00E84C52">
        <w:t xml:space="preserve"> to </w:t>
      </w:r>
      <w:r>
        <w:t>22.8%) overall, and 56.5% (46.5</w:t>
      </w:r>
      <w:r w:rsidR="00E84C52">
        <w:t xml:space="preserve"> to </w:t>
      </w:r>
      <w:r>
        <w:t>64.6%) against infection requiring emergency department/urgent care visits.</w:t>
      </w:r>
    </w:p>
    <w:p w14:paraId="4EF9287E" w14:textId="7D1C3F51" w:rsidR="0032763C" w:rsidRDefault="0032763C" w:rsidP="0032763C">
      <w:r>
        <w:t xml:space="preserve">For this preliminary assessment of </w:t>
      </w:r>
      <w:r w:rsidR="00E84C52">
        <w:t xml:space="preserve">Study </w:t>
      </w:r>
      <w:r>
        <w:t xml:space="preserve">P901 prepared in advance of the main planned analysis of VE for </w:t>
      </w:r>
      <w:proofErr w:type="spellStart"/>
      <w:r w:rsidR="00C40D10">
        <w:t>Spikevax</w:t>
      </w:r>
      <w:proofErr w:type="spellEnd"/>
      <w:r w:rsidR="00C40D10">
        <w:t xml:space="preserve"> </w:t>
      </w:r>
      <w:r w:rsidR="002368A0">
        <w:t xml:space="preserve">bivalent Original/Omicron </w:t>
      </w:r>
      <w:r w:rsidR="001405D9">
        <w:t>BA.4-5</w:t>
      </w:r>
      <w:r w:rsidR="002368A0">
        <w:t xml:space="preserve"> vaccine </w:t>
      </w:r>
      <w:r>
        <w:t xml:space="preserve">for the </w:t>
      </w:r>
      <w:r w:rsidR="00CB595E" w:rsidRPr="00E84C52">
        <w:t>Vaccines and Related Biological Products Advisory Committee</w:t>
      </w:r>
      <w:r w:rsidR="00CB595E">
        <w:t xml:space="preserve"> </w:t>
      </w:r>
      <w:r>
        <w:t xml:space="preserve">presentation, age stratification was neither planned nor feasible given the small number of </w:t>
      </w:r>
      <w:proofErr w:type="spellStart"/>
      <w:r w:rsidR="00C40D10">
        <w:t>Spikevax</w:t>
      </w:r>
      <w:proofErr w:type="spellEnd"/>
      <w:r w:rsidR="00C40D10">
        <w:t xml:space="preserve"> </w:t>
      </w:r>
      <w:r w:rsidR="002368A0">
        <w:t xml:space="preserve">bivalent Original/Omicron </w:t>
      </w:r>
      <w:r w:rsidR="001405D9">
        <w:t>BA.4-5</w:t>
      </w:r>
      <w:r w:rsidR="002368A0">
        <w:t xml:space="preserve"> vaccine </w:t>
      </w:r>
      <w:r>
        <w:t xml:space="preserve">recipients observed in the </w:t>
      </w:r>
      <w:r w:rsidR="002368A0">
        <w:t>paediatric</w:t>
      </w:r>
      <w:r>
        <w:t xml:space="preserve"> population. Monitoring will continue to determine whether these analyses can be performed at a future time.</w:t>
      </w:r>
    </w:p>
    <w:p w14:paraId="47934051" w14:textId="5AB3E66B" w:rsidR="0032763C" w:rsidRDefault="0032763C" w:rsidP="0032763C">
      <w:r>
        <w:t>Concerning real</w:t>
      </w:r>
      <w:r w:rsidR="002368A0">
        <w:t xml:space="preserve"> </w:t>
      </w:r>
      <w:r>
        <w:t>world safety, no new safety concerns related to use of</w:t>
      </w:r>
      <w:r w:rsidR="00C40D10" w:rsidRPr="00C40D10">
        <w:t xml:space="preserve"> </w:t>
      </w:r>
      <w:proofErr w:type="spellStart"/>
      <w:r w:rsidR="00C40D10">
        <w:t>Spikevax</w:t>
      </w:r>
      <w:proofErr w:type="spellEnd"/>
      <w:r>
        <w:t xml:space="preserve"> </w:t>
      </w:r>
      <w:r w:rsidR="002368A0">
        <w:t xml:space="preserve">bivalent Original/Omicron </w:t>
      </w:r>
      <w:r w:rsidR="001405D9">
        <w:t>BA.4-5</w:t>
      </w:r>
      <w:r w:rsidR="002368A0">
        <w:t xml:space="preserve"> vaccine </w:t>
      </w:r>
      <w:r>
        <w:t xml:space="preserve">in individuals 6 to 18 years of age have arisen from monitoring of the Moderna Global Safety Database as of 17 </w:t>
      </w:r>
      <w:r w:rsidR="002368A0">
        <w:t xml:space="preserve">December </w:t>
      </w:r>
      <w:r>
        <w:t>2022.</w:t>
      </w:r>
    </w:p>
    <w:p w14:paraId="77173565" w14:textId="1AC29C32" w:rsidR="0032763C" w:rsidRDefault="0032763C" w:rsidP="0032763C">
      <w:r>
        <w:t>Population</w:t>
      </w:r>
      <w:r w:rsidR="002368A0">
        <w:t xml:space="preserve"> </w:t>
      </w:r>
      <w:r>
        <w:t>based studies characteri</w:t>
      </w:r>
      <w:r w:rsidR="002368A0">
        <w:t>s</w:t>
      </w:r>
      <w:r>
        <w:t xml:space="preserve">ing the safety of </w:t>
      </w:r>
      <w:proofErr w:type="spellStart"/>
      <w:r w:rsidR="00C40D10">
        <w:t>Spikevax</w:t>
      </w:r>
      <w:proofErr w:type="spellEnd"/>
      <w:r w:rsidR="00C40D10">
        <w:t xml:space="preserve"> </w:t>
      </w:r>
      <w:r w:rsidR="002368A0">
        <w:t xml:space="preserve">bivalent Original/Omicron </w:t>
      </w:r>
      <w:r w:rsidR="001405D9">
        <w:t>BA.4-5</w:t>
      </w:r>
      <w:r w:rsidR="002368A0">
        <w:t xml:space="preserve"> vaccine </w:t>
      </w:r>
      <w:r>
        <w:t xml:space="preserve">are ongoing and in development, however data are not yet available given the lag of the large databases required for their implementation. Studies P903 and P920 are evaluating the safety of Moderna COVID-19 vaccines including </w:t>
      </w:r>
      <w:proofErr w:type="spellStart"/>
      <w:r w:rsidR="00C40D10">
        <w:t>Spikevax</w:t>
      </w:r>
      <w:proofErr w:type="spellEnd"/>
      <w:r w:rsidR="00C40D10">
        <w:t xml:space="preserve"> </w:t>
      </w:r>
      <w:r w:rsidR="002368A0">
        <w:t xml:space="preserve">bivalent Original/Omicron </w:t>
      </w:r>
      <w:r w:rsidR="001405D9">
        <w:t>BA.4-5</w:t>
      </w:r>
      <w:r w:rsidR="002368A0">
        <w:t xml:space="preserve"> vaccine</w:t>
      </w:r>
      <w:r>
        <w:t xml:space="preserve"> in all ages, with subgroup analysis stratified by age, gender, and immunocompromise. Study P903 is an ongoing study to assess the risk of myocarditis, pericarditis, and AESI in a large US administrative healthcare database (</w:t>
      </w:r>
      <w:proofErr w:type="spellStart"/>
      <w:r>
        <w:t>HealthVerity</w:t>
      </w:r>
      <w:proofErr w:type="spellEnd"/>
      <w:r>
        <w:t xml:space="preserve">). The final report of this study is planned for </w:t>
      </w:r>
      <w:r w:rsidR="002368A0">
        <w:t xml:space="preserve">second quarter </w:t>
      </w:r>
      <w:r w:rsidR="00B336AD">
        <w:t>of</w:t>
      </w:r>
      <w:r>
        <w:t xml:space="preserve"> 2023 and will include subgroup analyses as feasible for </w:t>
      </w:r>
      <w:proofErr w:type="spellStart"/>
      <w:r w:rsidR="00C40D10">
        <w:t>Spikevax</w:t>
      </w:r>
      <w:proofErr w:type="spellEnd"/>
      <w:r w:rsidR="00C40D10">
        <w:t xml:space="preserve"> </w:t>
      </w:r>
      <w:r w:rsidR="002368A0">
        <w:t xml:space="preserve">bivalent Original/Omicron </w:t>
      </w:r>
      <w:r w:rsidR="001405D9">
        <w:t>BA.4-5</w:t>
      </w:r>
      <w:r w:rsidR="002368A0">
        <w:t xml:space="preserve"> vaccine</w:t>
      </w:r>
      <w:r>
        <w:t>.</w:t>
      </w:r>
    </w:p>
    <w:p w14:paraId="506858F4" w14:textId="60066F4D" w:rsidR="0032763C" w:rsidRDefault="0032763C" w:rsidP="0032763C">
      <w:r>
        <w:t xml:space="preserve">Study P920 will consider the same outcomes and data source as </w:t>
      </w:r>
      <w:r w:rsidR="002368A0">
        <w:t xml:space="preserve">Study </w:t>
      </w:r>
      <w:r>
        <w:t>P903, however analyses will allow additional follow</w:t>
      </w:r>
      <w:r w:rsidR="002368A0">
        <w:t xml:space="preserve"> </w:t>
      </w:r>
      <w:r>
        <w:t>up time after bivalent vaccine authori</w:t>
      </w:r>
      <w:r w:rsidR="002368A0">
        <w:t>s</w:t>
      </w:r>
      <w:r>
        <w:t xml:space="preserve">ation and quantify any differences in the observed safety of bivalent and original vaccines. Interim analyses are planned for </w:t>
      </w:r>
      <w:r w:rsidR="00B336AD">
        <w:t>third quarter of</w:t>
      </w:r>
      <w:r>
        <w:t xml:space="preserve"> 2023 with final analyses planned for </w:t>
      </w:r>
      <w:r w:rsidR="00B336AD">
        <w:t>third quarter of</w:t>
      </w:r>
      <w:r>
        <w:t xml:space="preserve"> 2024.</w:t>
      </w:r>
    </w:p>
    <w:p w14:paraId="67D33A11" w14:textId="42DBACD0" w:rsidR="0032763C" w:rsidRPr="001C15D8" w:rsidRDefault="0032763C" w:rsidP="0032763C">
      <w:r>
        <w:t xml:space="preserve">Concerning the important identified risk of myocarditis, a </w:t>
      </w:r>
      <w:proofErr w:type="gramStart"/>
      <w:r>
        <w:t>long</w:t>
      </w:r>
      <w:r w:rsidR="00B336AD">
        <w:t xml:space="preserve"> </w:t>
      </w:r>
      <w:r>
        <w:t>term</w:t>
      </w:r>
      <w:proofErr w:type="gramEnd"/>
      <w:r>
        <w:t xml:space="preserve"> safety study with up to 5 years of follow-up (</w:t>
      </w:r>
      <w:r w:rsidR="00B336AD">
        <w:t xml:space="preserve">Study </w:t>
      </w:r>
      <w:r>
        <w:t>P911) will characteri</w:t>
      </w:r>
      <w:r w:rsidR="00B336AD">
        <w:t>s</w:t>
      </w:r>
      <w:r>
        <w:t xml:space="preserve">e any observed cases of myocarditis in this age group using a hybrid data environment linking the </w:t>
      </w:r>
      <w:proofErr w:type="spellStart"/>
      <w:r>
        <w:t>Veradigm</w:t>
      </w:r>
      <w:proofErr w:type="spellEnd"/>
      <w:r>
        <w:t xml:space="preserve"> Cardiology Registry (developed by the American College of Cardiology) to the </w:t>
      </w:r>
      <w:proofErr w:type="spellStart"/>
      <w:r>
        <w:t>Veradigm</w:t>
      </w:r>
      <w:proofErr w:type="spellEnd"/>
      <w:r>
        <w:t xml:space="preserve"> Network EHR and claims data sourced from </w:t>
      </w:r>
      <w:proofErr w:type="spellStart"/>
      <w:r>
        <w:t>HealthVerity</w:t>
      </w:r>
      <w:proofErr w:type="spellEnd"/>
      <w:r>
        <w:t xml:space="preserve">. Annual reporting is planned each October with final analyses </w:t>
      </w:r>
      <w:r w:rsidR="00B336AD">
        <w:t>fourth quarter of</w:t>
      </w:r>
      <w:r>
        <w:t xml:space="preserve"> 2028. Risk factors and clinical course will additionally be monitored in four European countries via a collaboration with VAC4EU (</w:t>
      </w:r>
      <w:r w:rsidR="00B336AD">
        <w:t>S</w:t>
      </w:r>
      <w:r>
        <w:t>tudy P910), with a final report anticipated in</w:t>
      </w:r>
      <w:r w:rsidR="00B336AD">
        <w:t xml:space="preserve"> second quarter of</w:t>
      </w:r>
      <w:r>
        <w:t xml:space="preserve"> 2025.</w:t>
      </w:r>
    </w:p>
    <w:p w14:paraId="1870CBD9" w14:textId="77777777" w:rsidR="00BE178B" w:rsidRPr="00BE178B" w:rsidRDefault="00BE178B" w:rsidP="00BE178B">
      <w:pPr>
        <w:pStyle w:val="Numberbullet0"/>
        <w:rPr>
          <w:b/>
          <w:bCs/>
          <w:i/>
          <w:iCs/>
        </w:rPr>
      </w:pPr>
      <w:r w:rsidRPr="00BE178B">
        <w:rPr>
          <w:b/>
          <w:bCs/>
          <w:i/>
          <w:iCs/>
        </w:rPr>
        <w:t>Could you please clarify the discrepancy raised by the RMP evaluator to the attention of the Delegate for consideration?</w:t>
      </w:r>
    </w:p>
    <w:p w14:paraId="3A4910B6" w14:textId="0AE78F87" w:rsidR="00BE178B" w:rsidRPr="00D26760" w:rsidRDefault="00BE178B" w:rsidP="00D26760">
      <w:pPr>
        <w:pStyle w:val="Numberbullet0"/>
        <w:numPr>
          <w:ilvl w:val="0"/>
          <w:numId w:val="0"/>
        </w:numPr>
        <w:ind w:left="720"/>
        <w:rPr>
          <w:bCs/>
          <w:i/>
          <w:iCs/>
        </w:rPr>
      </w:pPr>
      <w:r w:rsidRPr="00D26760">
        <w:rPr>
          <w:bCs/>
          <w:i/>
          <w:iCs/>
        </w:rPr>
        <w:t>‘Diarrhoea and erythema multiforme have been removed as adverse reactions from the proposed Australian PI but remain in the SmPC</w:t>
      </w:r>
      <w:r w:rsidR="009536FD">
        <w:rPr>
          <w:bCs/>
          <w:i/>
          <w:iCs/>
        </w:rPr>
        <w:t xml:space="preserve"> [Summary of Product Characteristics (European Union)]</w:t>
      </w:r>
      <w:r w:rsidRPr="00D26760">
        <w:rPr>
          <w:bCs/>
          <w:i/>
          <w:iCs/>
        </w:rPr>
        <w:t>.’</w:t>
      </w:r>
    </w:p>
    <w:p w14:paraId="0B524DA0" w14:textId="0CADBAA3" w:rsidR="00706313" w:rsidRDefault="00706313" w:rsidP="00706313">
      <w:r>
        <w:t xml:space="preserve">Diarrhoea is not listed in the Moderna company core data sheet or the current provisionally approved Australian PI for </w:t>
      </w:r>
      <w:proofErr w:type="spellStart"/>
      <w:r>
        <w:t>S</w:t>
      </w:r>
      <w:r w:rsidR="00B336AD">
        <w:t>pikevax</w:t>
      </w:r>
      <w:proofErr w:type="spellEnd"/>
      <w:r w:rsidR="00B336AD">
        <w:t xml:space="preserve"> Original</w:t>
      </w:r>
      <w:r w:rsidR="009536FD">
        <w:t xml:space="preserve"> (</w:t>
      </w:r>
      <w:proofErr w:type="spellStart"/>
      <w:r w:rsidR="009536FD">
        <w:t>elasomeran</w:t>
      </w:r>
      <w:proofErr w:type="spellEnd"/>
      <w:r w:rsidR="009536FD">
        <w:t>)</w:t>
      </w:r>
      <w:r w:rsidR="00B336AD">
        <w:t xml:space="preserve">, </w:t>
      </w:r>
      <w:proofErr w:type="spellStart"/>
      <w:r w:rsidR="00B336AD">
        <w:t>Spikevax</w:t>
      </w:r>
      <w:proofErr w:type="spellEnd"/>
      <w:r w:rsidR="00B336AD">
        <w:t xml:space="preserve"> bivalent Original/Omicron BA.1</w:t>
      </w:r>
      <w:r>
        <w:t xml:space="preserve"> (</w:t>
      </w:r>
      <w:proofErr w:type="spellStart"/>
      <w:r w:rsidR="00B336AD">
        <w:t>elasomeran</w:t>
      </w:r>
      <w:proofErr w:type="spellEnd"/>
      <w:r w:rsidR="00B336AD">
        <w:t>/</w:t>
      </w:r>
      <w:proofErr w:type="spellStart"/>
      <w:r w:rsidR="00B336AD">
        <w:t>imelasomeran</w:t>
      </w:r>
      <w:proofErr w:type="spellEnd"/>
      <w:r>
        <w:t xml:space="preserve">), or the proposed </w:t>
      </w:r>
      <w:proofErr w:type="spellStart"/>
      <w:r>
        <w:t>S</w:t>
      </w:r>
      <w:r w:rsidR="00B336AD">
        <w:t>pikevax</w:t>
      </w:r>
      <w:proofErr w:type="spellEnd"/>
      <w:r w:rsidR="00B336AD">
        <w:t xml:space="preserve"> bivalent Original/Omicron </w:t>
      </w:r>
      <w:r w:rsidR="001405D9">
        <w:t>BA.4-5</w:t>
      </w:r>
      <w:r w:rsidR="00B336AD">
        <w:t xml:space="preserve"> </w:t>
      </w:r>
      <w:r w:rsidR="009536FD">
        <w:t>(</w:t>
      </w:r>
      <w:proofErr w:type="spellStart"/>
      <w:r w:rsidR="009536FD">
        <w:t>elasomeran</w:t>
      </w:r>
      <w:proofErr w:type="spellEnd"/>
      <w:r w:rsidR="009536FD">
        <w:t>/</w:t>
      </w:r>
      <w:proofErr w:type="spellStart"/>
      <w:r w:rsidR="009536FD">
        <w:t>davesomeran</w:t>
      </w:r>
      <w:proofErr w:type="spellEnd"/>
      <w:r w:rsidR="009536FD">
        <w:t xml:space="preserve">) </w:t>
      </w:r>
      <w:r w:rsidR="00B336AD">
        <w:t>PI</w:t>
      </w:r>
      <w:r>
        <w:t>.</w:t>
      </w:r>
    </w:p>
    <w:p w14:paraId="6F78B3C9" w14:textId="71F4CD0B" w:rsidR="00706313" w:rsidRDefault="00706313" w:rsidP="00706313">
      <w:r>
        <w:t xml:space="preserve">Erythema multiform is not listed in the Moderna company core data sheet but is listed in the Australian PI for </w:t>
      </w:r>
      <w:proofErr w:type="spellStart"/>
      <w:r w:rsidR="00B336AD">
        <w:t>Sp</w:t>
      </w:r>
      <w:r w:rsidR="00586A85">
        <w:t>ik</w:t>
      </w:r>
      <w:r w:rsidR="00B336AD">
        <w:t>evax</w:t>
      </w:r>
      <w:proofErr w:type="spellEnd"/>
      <w:r w:rsidR="00B336AD">
        <w:t xml:space="preserve"> Original</w:t>
      </w:r>
      <w:r>
        <w:t xml:space="preserve"> as this is approved for </w:t>
      </w:r>
      <w:r w:rsidR="00B336AD">
        <w:t>six</w:t>
      </w:r>
      <w:r>
        <w:t xml:space="preserve"> months and above. </w:t>
      </w:r>
      <w:r>
        <w:lastRenderedPageBreak/>
        <w:t>Erythema multiform is not listed in the</w:t>
      </w:r>
      <w:r w:rsidR="00B336AD">
        <w:t xml:space="preserve"> </w:t>
      </w:r>
      <w:proofErr w:type="spellStart"/>
      <w:r w:rsidR="00B336AD">
        <w:t>Spikevax</w:t>
      </w:r>
      <w:proofErr w:type="spellEnd"/>
      <w:r w:rsidR="00B336AD">
        <w:t xml:space="preserve"> bivalent Original/Omicron BA.1 (</w:t>
      </w:r>
      <w:proofErr w:type="spellStart"/>
      <w:r w:rsidR="00B336AD">
        <w:t>elasomeran</w:t>
      </w:r>
      <w:proofErr w:type="spellEnd"/>
      <w:r w:rsidR="00B336AD">
        <w:t>/</w:t>
      </w:r>
      <w:proofErr w:type="spellStart"/>
      <w:r w:rsidR="00B336AD">
        <w:t>imelasomeran</w:t>
      </w:r>
      <w:proofErr w:type="spellEnd"/>
      <w:r w:rsidR="00B336AD">
        <w:t>)</w:t>
      </w:r>
      <w:r>
        <w:t xml:space="preserve"> PI (approved for 18 years of age and above) or the proposed </w:t>
      </w:r>
      <w:proofErr w:type="spellStart"/>
      <w:r w:rsidR="00B336AD">
        <w:t>Spikevax</w:t>
      </w:r>
      <w:proofErr w:type="spellEnd"/>
      <w:r w:rsidR="00B336AD">
        <w:t xml:space="preserve"> bivalent Original/Omicron BA.4</w:t>
      </w:r>
      <w:r w:rsidR="00F452F4">
        <w:t>-</w:t>
      </w:r>
      <w:r w:rsidR="00B336AD">
        <w:t xml:space="preserve"> 5 vaccine </w:t>
      </w:r>
      <w:r>
        <w:t>(proposed indication for 6 years of age and above).</w:t>
      </w:r>
    </w:p>
    <w:p w14:paraId="3EB690CA" w14:textId="44575F3D" w:rsidR="00BE178B" w:rsidRPr="00BE178B" w:rsidRDefault="00706313" w:rsidP="00706313">
      <w:r>
        <w:t xml:space="preserve">In the EU, the </w:t>
      </w:r>
      <w:r w:rsidR="00B336AD">
        <w:t>S</w:t>
      </w:r>
      <w:r w:rsidR="00B336AD" w:rsidRPr="00B336AD">
        <w:t xml:space="preserve">ummary of </w:t>
      </w:r>
      <w:r w:rsidR="00B336AD">
        <w:t>P</w:t>
      </w:r>
      <w:r w:rsidR="00B336AD" w:rsidRPr="00B336AD">
        <w:t xml:space="preserve">roduct </w:t>
      </w:r>
      <w:r w:rsidR="00B336AD">
        <w:t>C</w:t>
      </w:r>
      <w:r w:rsidR="00B336AD" w:rsidRPr="00B336AD">
        <w:t>haracteristics</w:t>
      </w:r>
      <w:r w:rsidR="00B336AD">
        <w:t xml:space="preserve"> (</w:t>
      </w:r>
      <w:r>
        <w:t>SmPC</w:t>
      </w:r>
      <w:r w:rsidR="00B336AD">
        <w:t>)</w:t>
      </w:r>
      <w:r>
        <w:t xml:space="preserve"> is presented as one document that consists of three </w:t>
      </w:r>
      <w:proofErr w:type="spellStart"/>
      <w:r>
        <w:t>SmPCs</w:t>
      </w:r>
      <w:proofErr w:type="spellEnd"/>
      <w:r>
        <w:t xml:space="preserve"> and </w:t>
      </w:r>
      <w:r w:rsidR="00B336AD" w:rsidRPr="00B336AD">
        <w:t>patient information leaflets</w:t>
      </w:r>
      <w:r>
        <w:t xml:space="preserve"> with one common </w:t>
      </w:r>
      <w:r w:rsidR="00B336AD">
        <w:t xml:space="preserve">adverse drug reaction </w:t>
      </w:r>
      <w:r>
        <w:t xml:space="preserve">table for all terms for 6 months of age and above. Whereas in Australia the PIs are presented in separate documents and the </w:t>
      </w:r>
      <w:r w:rsidR="00B336AD">
        <w:t xml:space="preserve">adverse drug reaction tables </w:t>
      </w:r>
      <w:r>
        <w:t>have been specific per indication.</w:t>
      </w:r>
    </w:p>
    <w:p w14:paraId="1DC87A03" w14:textId="77777777" w:rsidR="0074163C" w:rsidRPr="00F73346" w:rsidRDefault="0074163C" w:rsidP="0074163C">
      <w:pPr>
        <w:pStyle w:val="Heading4"/>
      </w:pPr>
      <w:bookmarkStart w:id="79" w:name="_Toc98931936"/>
      <w:bookmarkStart w:id="80" w:name="_Toc247691532"/>
      <w:bookmarkStart w:id="81" w:name="_Toc314842516"/>
      <w:bookmarkEnd w:id="29"/>
      <w:bookmarkEnd w:id="58"/>
      <w:bookmarkEnd w:id="59"/>
      <w:r w:rsidRPr="00F73346">
        <w:t>Advisory Committee considerations</w:t>
      </w:r>
      <w:bookmarkEnd w:id="79"/>
    </w:p>
    <w:p w14:paraId="2EFD9976" w14:textId="40C4CD22" w:rsidR="0074163C" w:rsidRDefault="0074163C" w:rsidP="0074163C">
      <w:pPr>
        <w:rPr>
          <w:bCs/>
        </w:rPr>
      </w:pPr>
      <w:r w:rsidRPr="00456765">
        <w:rPr>
          <w:bCs/>
        </w:rPr>
        <w:t xml:space="preserve">The </w:t>
      </w:r>
      <w:hyperlink r:id="rId48" w:history="1">
        <w:r w:rsidRPr="00C65E63">
          <w:rPr>
            <w:rStyle w:val="Hyperlink"/>
            <w:szCs w:val="21"/>
          </w:rPr>
          <w:t>Advisory Committee on Vaccines (ACV)</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51F50B93" w14:textId="77777777" w:rsidR="0074163C" w:rsidRPr="00F73346" w:rsidRDefault="0074163C" w:rsidP="0074163C">
      <w:pPr>
        <w:pStyle w:val="Heading5"/>
      </w:pPr>
      <w:r w:rsidRPr="00F73346">
        <w:t>Specific advice to the Delegate</w:t>
      </w:r>
    </w:p>
    <w:p w14:paraId="13EE596C" w14:textId="34DF0C8D" w:rsidR="00D97BDB" w:rsidRPr="00D97BDB" w:rsidRDefault="00D97BDB" w:rsidP="00D97BDB">
      <w:pPr>
        <w:pStyle w:val="Numberbullet0"/>
        <w:numPr>
          <w:ilvl w:val="0"/>
          <w:numId w:val="45"/>
        </w:numPr>
        <w:rPr>
          <w:b/>
          <w:bCs/>
          <w:i/>
          <w:iCs/>
        </w:rPr>
      </w:pPr>
      <w:r w:rsidRPr="00D97BDB">
        <w:rPr>
          <w:b/>
          <w:bCs/>
          <w:i/>
          <w:iCs/>
        </w:rPr>
        <w:t>Please advise on the proposed indication including age.</w:t>
      </w:r>
    </w:p>
    <w:p w14:paraId="39E94ECA" w14:textId="7FC7CDD9" w:rsidR="00D97BDB" w:rsidRPr="00D97BDB" w:rsidRDefault="00D97BDB" w:rsidP="00D97BDB">
      <w:r w:rsidRPr="00D97BDB">
        <w:t xml:space="preserve">The ACV advised that on balance the </w:t>
      </w:r>
      <w:proofErr w:type="spellStart"/>
      <w:r w:rsidRPr="00D97BDB">
        <w:t>Spikevax</w:t>
      </w:r>
      <w:proofErr w:type="spellEnd"/>
      <w:r w:rsidRPr="00D97BDB">
        <w:t xml:space="preserve"> </w:t>
      </w:r>
      <w:r>
        <w:t>b</w:t>
      </w:r>
      <w:r w:rsidRPr="00D97BDB">
        <w:t xml:space="preserve">ivalent Original/Omicron </w:t>
      </w:r>
      <w:r w:rsidR="001405D9">
        <w:t>BA.4-5</w:t>
      </w:r>
      <w:r w:rsidRPr="00D97BDB">
        <w:t xml:space="preserve"> vaccine </w:t>
      </w:r>
      <w:r w:rsidR="009536FD">
        <w:t>(</w:t>
      </w:r>
      <w:proofErr w:type="spellStart"/>
      <w:r w:rsidR="009536FD">
        <w:t>elasomeran</w:t>
      </w:r>
      <w:proofErr w:type="spellEnd"/>
      <w:r w:rsidR="009536FD">
        <w:t xml:space="preserve"> and </w:t>
      </w:r>
      <w:proofErr w:type="spellStart"/>
      <w:r w:rsidR="009536FD">
        <w:t>davesomeran</w:t>
      </w:r>
      <w:proofErr w:type="spellEnd"/>
      <w:r w:rsidR="009536FD">
        <w:t xml:space="preserve">) </w:t>
      </w:r>
      <w:r w:rsidRPr="00D97BDB">
        <w:t>was immunogenic and safe for use as a booster dose in individuals 12 years and over. This was based on immunogenicity data in adults and the absence of a safety signal from post</w:t>
      </w:r>
      <w:r>
        <w:noBreakHyphen/>
      </w:r>
      <w:r w:rsidRPr="00D97BDB">
        <w:t xml:space="preserve">marketing data that would indicate a difference between </w:t>
      </w:r>
      <w:proofErr w:type="spellStart"/>
      <w:r w:rsidRPr="00D97BDB">
        <w:t>elasomeran</w:t>
      </w:r>
      <w:proofErr w:type="spellEnd"/>
      <w:r w:rsidR="009536FD">
        <w:t xml:space="preserve"> and </w:t>
      </w:r>
      <w:proofErr w:type="spellStart"/>
      <w:r w:rsidRPr="00D97BDB">
        <w:t>davesomeran</w:t>
      </w:r>
      <w:proofErr w:type="spellEnd"/>
      <w:r w:rsidRPr="00D97BDB">
        <w:t xml:space="preserve"> as a booster and </w:t>
      </w:r>
      <w:proofErr w:type="spellStart"/>
      <w:r w:rsidRPr="00D97BDB">
        <w:t>elasomeran</w:t>
      </w:r>
      <w:proofErr w:type="spellEnd"/>
      <w:r w:rsidRPr="00D97BDB">
        <w:t xml:space="preserve"> as a booster in individuals 12 years and over. The immunogenicity data indicate cross variant coverage to some of the SARS-CoV-2 strains now circulating (</w:t>
      </w:r>
      <w:r>
        <w:t>for example,</w:t>
      </w:r>
      <w:r w:rsidRPr="00D97BDB">
        <w:t xml:space="preserve"> </w:t>
      </w:r>
      <w:r w:rsidR="009536FD">
        <w:t xml:space="preserve">Omicron subvariant </w:t>
      </w:r>
      <w:r w:rsidRPr="00D97BDB">
        <w:t>XBB.1)</w:t>
      </w:r>
      <w:r>
        <w:t>.</w:t>
      </w:r>
    </w:p>
    <w:p w14:paraId="46806AF5" w14:textId="259FD0B0" w:rsidR="00D97BDB" w:rsidRPr="00D97BDB" w:rsidRDefault="00D97BDB" w:rsidP="00D97BDB">
      <w:r w:rsidRPr="00D97BDB">
        <w:t xml:space="preserve">The ACV advised that extension of the indication to individuals 6 years and older was not supported while acknowledging there is a limited but unmet need for a booster dose in the </w:t>
      </w:r>
      <w:proofErr w:type="gramStart"/>
      <w:r w:rsidRPr="00D97BDB">
        <w:t>6</w:t>
      </w:r>
      <w:r>
        <w:t xml:space="preserve"> to </w:t>
      </w:r>
      <w:r w:rsidRPr="00D97BDB">
        <w:t>12 year</w:t>
      </w:r>
      <w:proofErr w:type="gramEnd"/>
      <w:r w:rsidRPr="00D97BDB">
        <w:t xml:space="preserve"> group. The ACV advised that there were insufficient data, including no immunogenicity data, presented by the sponsor to support use in the 6</w:t>
      </w:r>
      <w:r>
        <w:t xml:space="preserve"> to </w:t>
      </w:r>
      <w:r w:rsidRPr="00D97BDB">
        <w:t>12 years age group. The sponsor has no ongoing or planned clinical trial with the bivalent vaccine in the 6</w:t>
      </w:r>
      <w:r>
        <w:t xml:space="preserve"> to </w:t>
      </w:r>
      <w:r w:rsidRPr="00D97BDB">
        <w:t xml:space="preserve">12 age group. While the US post-market data do not raise concerns on safety (noting the usual issues with voluntary reporting of known adverse events such as myocarditis), there are insufficient data provided to ACV to extrapolate benefit. The ACV would encourage the presentation of </w:t>
      </w:r>
      <w:proofErr w:type="gramStart"/>
      <w:r w:rsidRPr="00D97BDB">
        <w:t>real</w:t>
      </w:r>
      <w:r>
        <w:t xml:space="preserve"> </w:t>
      </w:r>
      <w:r w:rsidRPr="00D97BDB">
        <w:t>world</w:t>
      </w:r>
      <w:proofErr w:type="gramEnd"/>
      <w:r w:rsidRPr="00D97BDB">
        <w:t xml:space="preserve"> data in formats that assist analysis and decision making, </w:t>
      </w:r>
      <w:r>
        <w:t>for example,</w:t>
      </w:r>
      <w:r w:rsidRPr="00D97BDB">
        <w:t xml:space="preserve"> by age group, especially when different doses are proposed for use in different age groups, and including more recent data from USA and other post-market contexts.</w:t>
      </w:r>
    </w:p>
    <w:p w14:paraId="47940F19" w14:textId="14F18BA5" w:rsidR="00D97BDB" w:rsidRPr="00D97BDB" w:rsidRDefault="00D97BDB" w:rsidP="00D97BDB">
      <w:r w:rsidRPr="00D97BDB">
        <w:t>The ACV has previously highlighted the following points from real</w:t>
      </w:r>
      <w:r>
        <w:t xml:space="preserve"> </w:t>
      </w:r>
      <w:r w:rsidRPr="00D97BDB">
        <w:t>world evidence:</w:t>
      </w:r>
    </w:p>
    <w:p w14:paraId="1614009C" w14:textId="007912ED" w:rsidR="00D97BDB" w:rsidRPr="00D97BDB" w:rsidRDefault="00D97BDB" w:rsidP="00D97BDB">
      <w:pPr>
        <w:pStyle w:val="ListBullet"/>
      </w:pPr>
      <w:r w:rsidRPr="00D97BDB">
        <w:t xml:space="preserve">clear benefits with reductions in hospitalisation and death that favour vaccination over natural immunity without vaccination </w:t>
      </w:r>
    </w:p>
    <w:p w14:paraId="186821F0" w14:textId="530D375E" w:rsidR="00D97BDB" w:rsidRPr="00D97BDB" w:rsidRDefault="00D97BDB" w:rsidP="00D97BDB">
      <w:pPr>
        <w:pStyle w:val="ListBullet"/>
      </w:pPr>
      <w:r w:rsidRPr="00D97BDB">
        <w:t xml:space="preserve">emerging evidence on immune imprinting by previous antigenic exposure, which may influence development of robust immunity against future SARS-CoV-2 variants, depending on vaccine composition </w:t>
      </w:r>
    </w:p>
    <w:p w14:paraId="6DEAAFAE" w14:textId="78085C4A" w:rsidR="00D97BDB" w:rsidRPr="00D97BDB" w:rsidRDefault="00D97BDB" w:rsidP="00D97BDB">
      <w:pPr>
        <w:pStyle w:val="ListBullet"/>
      </w:pPr>
      <w:r w:rsidRPr="00D97BDB">
        <w:t>evidence of safety from post-marketing surveillance.</w:t>
      </w:r>
    </w:p>
    <w:p w14:paraId="621EF5B9" w14:textId="2F310A53" w:rsidR="00D97BDB" w:rsidRPr="00D97BDB" w:rsidRDefault="00D97BDB" w:rsidP="00D97BDB">
      <w:pPr>
        <w:pStyle w:val="Numberbullet0"/>
        <w:rPr>
          <w:b/>
          <w:bCs/>
          <w:i/>
          <w:iCs/>
        </w:rPr>
      </w:pPr>
      <w:r w:rsidRPr="00D97BDB">
        <w:rPr>
          <w:b/>
          <w:bCs/>
          <w:i/>
          <w:iCs/>
        </w:rPr>
        <w:t xml:space="preserve">Please comment on the proposed ‘Dose </w:t>
      </w:r>
      <w:proofErr w:type="gramStart"/>
      <w:r w:rsidR="009536FD">
        <w:rPr>
          <w:b/>
          <w:bCs/>
          <w:i/>
          <w:iCs/>
        </w:rPr>
        <w:t>r</w:t>
      </w:r>
      <w:r w:rsidRPr="00D97BDB">
        <w:rPr>
          <w:b/>
          <w:bCs/>
          <w:i/>
          <w:iCs/>
        </w:rPr>
        <w:t>ecommendations’</w:t>
      </w:r>
      <w:proofErr w:type="gramEnd"/>
      <w:r w:rsidRPr="00D97BDB">
        <w:rPr>
          <w:b/>
          <w:bCs/>
          <w:i/>
          <w:iCs/>
        </w:rPr>
        <w:t>.</w:t>
      </w:r>
    </w:p>
    <w:p w14:paraId="58C5B77C" w14:textId="69AE5CE1" w:rsidR="00D97BDB" w:rsidRPr="00D97BDB" w:rsidRDefault="00D97BDB" w:rsidP="00D97BDB">
      <w:r w:rsidRPr="00D97BDB">
        <w:t xml:space="preserve">The ACV advised that the proposed dosage was appropriate (25 </w:t>
      </w:r>
      <w:r w:rsidR="009536FD">
        <w:t xml:space="preserve">µg </w:t>
      </w:r>
      <w:proofErr w:type="spellStart"/>
      <w:r w:rsidRPr="00D97BDB">
        <w:t>elasomeran</w:t>
      </w:r>
      <w:proofErr w:type="spellEnd"/>
      <w:r w:rsidRPr="00D97BDB">
        <w:t xml:space="preserve">/25 </w:t>
      </w:r>
      <w:r w:rsidR="009536FD">
        <w:t xml:space="preserve">µg </w:t>
      </w:r>
      <w:proofErr w:type="spellStart"/>
      <w:r w:rsidRPr="00D97BDB">
        <w:t>davesomeran</w:t>
      </w:r>
      <w:proofErr w:type="spellEnd"/>
      <w:r w:rsidRPr="00D97BDB">
        <w:t xml:space="preserve"> </w:t>
      </w:r>
      <w:r w:rsidR="009536FD">
        <w:t xml:space="preserve">per 0.5 mL </w:t>
      </w:r>
      <w:r w:rsidRPr="00D97BDB">
        <w:t>dose for individuals 12 years of age and older, at least 3 months following a primary series and/or previous booster dose).</w:t>
      </w:r>
    </w:p>
    <w:p w14:paraId="211C370F" w14:textId="3D7F9BC4" w:rsidR="00D97BDB" w:rsidRPr="00D97BDB" w:rsidRDefault="00D97BDB" w:rsidP="00D97BDB">
      <w:r w:rsidRPr="00D97BDB">
        <w:lastRenderedPageBreak/>
        <w:t>As the ACV did not support use in children 6</w:t>
      </w:r>
      <w:r>
        <w:t xml:space="preserve"> to </w:t>
      </w:r>
      <w:r w:rsidRPr="00D97BDB">
        <w:t xml:space="preserve">12 years at this stage, the ACV did not provide advice on the suitable dose for this age group, however the ACV did note the dose in the USA and other countries is a 12.5 </w:t>
      </w:r>
      <w:r w:rsidR="009536FD">
        <w:t xml:space="preserve">µg </w:t>
      </w:r>
      <w:proofErr w:type="spellStart"/>
      <w:r w:rsidRPr="00D97BDB">
        <w:t>elasomeran</w:t>
      </w:r>
      <w:proofErr w:type="spellEnd"/>
      <w:r w:rsidRPr="00D97BDB">
        <w:t xml:space="preserve">/12.5 </w:t>
      </w:r>
      <w:r w:rsidR="009536FD">
        <w:t xml:space="preserve">µg </w:t>
      </w:r>
      <w:proofErr w:type="spellStart"/>
      <w:r w:rsidRPr="00D97BDB">
        <w:t>davesomeran</w:t>
      </w:r>
      <w:proofErr w:type="spellEnd"/>
      <w:r w:rsidRPr="00D97BDB">
        <w:t>.</w:t>
      </w:r>
    </w:p>
    <w:p w14:paraId="1AB26773" w14:textId="77777777" w:rsidR="0074163C" w:rsidRPr="00F73346" w:rsidRDefault="0074163C" w:rsidP="0074163C">
      <w:pPr>
        <w:pStyle w:val="Heading5"/>
      </w:pPr>
      <w:r w:rsidRPr="00F73346">
        <w:t>Conclusion</w:t>
      </w:r>
    </w:p>
    <w:p w14:paraId="0C9BAE90" w14:textId="77777777" w:rsidR="00D97BDB" w:rsidRPr="00D97BDB" w:rsidRDefault="00D97BDB" w:rsidP="00D97BDB">
      <w:r w:rsidRPr="00D97BDB">
        <w:t xml:space="preserve">The ACV considered this product to have an overall positive benefit-risk profile for the indication: </w:t>
      </w:r>
    </w:p>
    <w:p w14:paraId="4B848F9F" w14:textId="2A91890B" w:rsidR="00D97BDB" w:rsidRPr="00D740B2" w:rsidRDefault="00D97BDB" w:rsidP="00D740B2">
      <w:pPr>
        <w:ind w:left="720"/>
        <w:rPr>
          <w:i/>
          <w:iCs/>
        </w:rPr>
      </w:pPr>
      <w:proofErr w:type="spellStart"/>
      <w:r w:rsidRPr="00D740B2">
        <w:rPr>
          <w:i/>
          <w:iCs/>
        </w:rPr>
        <w:t>S</w:t>
      </w:r>
      <w:r w:rsidR="00D740B2" w:rsidRPr="00D740B2">
        <w:rPr>
          <w:i/>
          <w:iCs/>
        </w:rPr>
        <w:t>pikevax</w:t>
      </w:r>
      <w:proofErr w:type="spellEnd"/>
      <w:r w:rsidR="00D740B2" w:rsidRPr="00D740B2">
        <w:rPr>
          <w:i/>
          <w:iCs/>
        </w:rPr>
        <w:t xml:space="preserve"> bivalent Original/Omicron </w:t>
      </w:r>
      <w:r w:rsidR="001405D9">
        <w:rPr>
          <w:i/>
          <w:iCs/>
        </w:rPr>
        <w:t>BA.4-5</w:t>
      </w:r>
      <w:r w:rsidR="00D740B2" w:rsidRPr="00D740B2">
        <w:rPr>
          <w:i/>
          <w:iCs/>
        </w:rPr>
        <w:t xml:space="preserve"> </w:t>
      </w:r>
      <w:r w:rsidRPr="00D740B2">
        <w:rPr>
          <w:i/>
          <w:iCs/>
        </w:rPr>
        <w:t>(</w:t>
      </w:r>
      <w:proofErr w:type="spellStart"/>
      <w:r w:rsidRPr="00D740B2">
        <w:rPr>
          <w:i/>
          <w:iCs/>
        </w:rPr>
        <w:t>elasomeran</w:t>
      </w:r>
      <w:proofErr w:type="spellEnd"/>
      <w:r w:rsidRPr="00D740B2">
        <w:rPr>
          <w:i/>
          <w:iCs/>
        </w:rPr>
        <w:t>/</w:t>
      </w:r>
      <w:proofErr w:type="spellStart"/>
      <w:r w:rsidRPr="00D740B2">
        <w:rPr>
          <w:i/>
          <w:iCs/>
        </w:rPr>
        <w:t>davesomeran</w:t>
      </w:r>
      <w:proofErr w:type="spellEnd"/>
      <w:r w:rsidRPr="00D740B2">
        <w:rPr>
          <w:i/>
          <w:iCs/>
        </w:rPr>
        <w:t>) COVID</w:t>
      </w:r>
      <w:r w:rsidR="00D740B2" w:rsidRPr="00D740B2">
        <w:rPr>
          <w:i/>
          <w:iCs/>
        </w:rPr>
        <w:noBreakHyphen/>
      </w:r>
      <w:r w:rsidRPr="00D740B2">
        <w:rPr>
          <w:i/>
          <w:iCs/>
        </w:rPr>
        <w:t xml:space="preserve">19 Vaccine has provisional approval for the indication below: </w:t>
      </w:r>
    </w:p>
    <w:p w14:paraId="3786A147" w14:textId="77777777" w:rsidR="00D97BDB" w:rsidRPr="00D740B2" w:rsidRDefault="00D97BDB" w:rsidP="00D740B2">
      <w:pPr>
        <w:ind w:left="720"/>
        <w:rPr>
          <w:i/>
          <w:iCs/>
        </w:rPr>
      </w:pPr>
      <w:r w:rsidRPr="00D740B2">
        <w:rPr>
          <w:i/>
          <w:iCs/>
        </w:rPr>
        <w:t xml:space="preserve">As a booster dose for active immunisation to prevent coronavirus disease 2019 (COVID-19) caused by SARS-CoV-2 in </w:t>
      </w:r>
      <w:r w:rsidRPr="00D740B2">
        <w:rPr>
          <w:b/>
          <w:bCs/>
          <w:i/>
          <w:iCs/>
        </w:rPr>
        <w:t>individuals 12 years of age and older</w:t>
      </w:r>
      <w:r w:rsidRPr="00D740B2">
        <w:rPr>
          <w:i/>
          <w:iCs/>
        </w:rPr>
        <w:t xml:space="preserve"> who have previously received at least a primary vaccination course against COVID-19. </w:t>
      </w:r>
    </w:p>
    <w:p w14:paraId="42E5E474" w14:textId="77777777" w:rsidR="00D97BDB" w:rsidRPr="00D740B2" w:rsidRDefault="00D97BDB" w:rsidP="00D740B2">
      <w:pPr>
        <w:ind w:left="720"/>
        <w:rPr>
          <w:i/>
          <w:iCs/>
        </w:rPr>
      </w:pPr>
      <w:r w:rsidRPr="00D740B2">
        <w:rPr>
          <w:i/>
          <w:iCs/>
        </w:rPr>
        <w:t xml:space="preserve">The use of this vaccine should be in accordance with official recommendations. </w:t>
      </w:r>
    </w:p>
    <w:p w14:paraId="2BEBFB44" w14:textId="35F5BB84" w:rsidR="00D97BDB" w:rsidRPr="00D740B2" w:rsidRDefault="00D97BDB" w:rsidP="00D740B2">
      <w:pPr>
        <w:ind w:left="720"/>
        <w:rPr>
          <w:i/>
          <w:iCs/>
        </w:rPr>
      </w:pPr>
      <w:r w:rsidRPr="00D740B2">
        <w:rPr>
          <w:i/>
          <w:iCs/>
        </w:rPr>
        <w:t xml:space="preserve">The decision has been made </w:t>
      </w:r>
      <w:proofErr w:type="gramStart"/>
      <w:r w:rsidRPr="00D740B2">
        <w:rPr>
          <w:i/>
          <w:iCs/>
        </w:rPr>
        <w:t>on the basis of</w:t>
      </w:r>
      <w:proofErr w:type="gramEnd"/>
      <w:r w:rsidRPr="00D740B2">
        <w:rPr>
          <w:i/>
          <w:iCs/>
        </w:rPr>
        <w:t xml:space="preserve"> immunogenicity and short-term safety data. Continued approval depends on the evidence of longer-term benefits and safety from ongoing clinical trials and post-market assessment.</w:t>
      </w:r>
    </w:p>
    <w:p w14:paraId="2651598B" w14:textId="05E7F51E" w:rsidR="008E7846" w:rsidRDefault="008E7846" w:rsidP="00D97BDB">
      <w:pPr>
        <w:pStyle w:val="Heading2"/>
      </w:pPr>
      <w:bookmarkStart w:id="82" w:name="_Toc128132182"/>
      <w:r>
        <w:t>Outcome</w:t>
      </w:r>
      <w:bookmarkEnd w:id="80"/>
      <w:bookmarkEnd w:id="81"/>
      <w:bookmarkEnd w:id="82"/>
    </w:p>
    <w:p w14:paraId="2EB32E81" w14:textId="7FBCEEB4" w:rsidR="00991E33" w:rsidRDefault="00AD7385" w:rsidP="00991E33">
      <w:r w:rsidRPr="00AD7385">
        <w:t xml:space="preserve">Based on a review of quality, safety, and efficacy, the TGA approved the registration of </w:t>
      </w:r>
      <w:proofErr w:type="spellStart"/>
      <w:r>
        <w:t>Spikevax</w:t>
      </w:r>
      <w:proofErr w:type="spellEnd"/>
      <w:r>
        <w:t xml:space="preserve"> bivalent Original/Omicron BA.4-5 vaccine</w:t>
      </w:r>
      <w:r w:rsidRPr="00460036">
        <w:t xml:space="preserve"> </w:t>
      </w:r>
      <w:r>
        <w:t>(</w:t>
      </w:r>
      <w:proofErr w:type="spellStart"/>
      <w:r>
        <w:t>e</w:t>
      </w:r>
      <w:r w:rsidRPr="00A00D37">
        <w:t>lasomeran</w:t>
      </w:r>
      <w:proofErr w:type="spellEnd"/>
      <w:r>
        <w:t xml:space="preserve"> and </w:t>
      </w:r>
      <w:proofErr w:type="spellStart"/>
      <w:r w:rsidRPr="00A00D37">
        <w:t>davesomeran</w:t>
      </w:r>
      <w:proofErr w:type="spellEnd"/>
      <w:r w:rsidRPr="000A4A42">
        <w:t xml:space="preserve">) </w:t>
      </w:r>
      <w:r>
        <w:t>0.1 mg/mL</w:t>
      </w:r>
      <w:r w:rsidRPr="000A4A42">
        <w:t xml:space="preserve">, </w:t>
      </w:r>
      <w:r>
        <w:t>suspension for injection</w:t>
      </w:r>
      <w:r w:rsidRPr="00AD7385">
        <w:t>, indicated fo</w:t>
      </w:r>
      <w:r>
        <w:t>r</w:t>
      </w:r>
      <w:r w:rsidRPr="00AD7385">
        <w:t>:</w:t>
      </w:r>
    </w:p>
    <w:p w14:paraId="728DF638" w14:textId="77777777" w:rsidR="00AD7385" w:rsidRPr="0037492B" w:rsidRDefault="00AD7385" w:rsidP="00AD7385">
      <w:pPr>
        <w:ind w:left="720"/>
        <w:rPr>
          <w:i/>
          <w:iCs/>
        </w:rPr>
      </w:pPr>
      <w:proofErr w:type="spellStart"/>
      <w:r w:rsidRPr="0037492B">
        <w:rPr>
          <w:i/>
          <w:iCs/>
        </w:rPr>
        <w:t>Spikevax</w:t>
      </w:r>
      <w:proofErr w:type="spellEnd"/>
      <w:r w:rsidRPr="0037492B">
        <w:rPr>
          <w:i/>
          <w:iCs/>
        </w:rPr>
        <w:t xml:space="preserve"> bivalent Original/Omicron BA.4-5 (</w:t>
      </w:r>
      <w:proofErr w:type="spellStart"/>
      <w:r w:rsidRPr="0037492B">
        <w:rPr>
          <w:i/>
          <w:iCs/>
        </w:rPr>
        <w:t>elasomeran</w:t>
      </w:r>
      <w:proofErr w:type="spellEnd"/>
      <w:r w:rsidRPr="0037492B">
        <w:rPr>
          <w:i/>
          <w:iCs/>
        </w:rPr>
        <w:t xml:space="preserve"> and </w:t>
      </w:r>
      <w:proofErr w:type="spellStart"/>
      <w:r w:rsidRPr="0037492B">
        <w:rPr>
          <w:i/>
          <w:iCs/>
        </w:rPr>
        <w:t>davesomeran</w:t>
      </w:r>
      <w:proofErr w:type="spellEnd"/>
      <w:r w:rsidRPr="0037492B">
        <w:rPr>
          <w:i/>
          <w:iCs/>
        </w:rPr>
        <w:t xml:space="preserve">) COVID-19 vaccine has </w:t>
      </w:r>
      <w:r w:rsidRPr="0037492B">
        <w:rPr>
          <w:b/>
          <w:bCs/>
          <w:i/>
          <w:iCs/>
        </w:rPr>
        <w:t>provisional approval</w:t>
      </w:r>
      <w:r w:rsidRPr="0037492B">
        <w:rPr>
          <w:i/>
          <w:iCs/>
        </w:rPr>
        <w:t xml:space="preserve"> for the indication below:</w:t>
      </w:r>
    </w:p>
    <w:p w14:paraId="4B2BB6B5" w14:textId="77777777" w:rsidR="00AD7385" w:rsidRPr="0037492B" w:rsidRDefault="00AD7385" w:rsidP="00AD7385">
      <w:pPr>
        <w:ind w:left="720"/>
        <w:rPr>
          <w:i/>
          <w:iCs/>
        </w:rPr>
      </w:pPr>
      <w:r w:rsidRPr="0037492B">
        <w:rPr>
          <w:i/>
          <w:iCs/>
        </w:rPr>
        <w:t>As a booster dose for active immunisation to prevent coronavirus disease 2019 (COVID-19) caused by SARS-CoV-2 in individuals 12 years of age and older who have previously received at least a primary vaccination course against COVID-19.</w:t>
      </w:r>
    </w:p>
    <w:p w14:paraId="670D1B0A" w14:textId="77777777" w:rsidR="00AD7385" w:rsidRPr="0037492B" w:rsidRDefault="00AD7385" w:rsidP="00AD7385">
      <w:pPr>
        <w:ind w:left="720"/>
        <w:rPr>
          <w:i/>
          <w:iCs/>
        </w:rPr>
      </w:pPr>
      <w:r w:rsidRPr="0037492B">
        <w:rPr>
          <w:i/>
          <w:iCs/>
        </w:rPr>
        <w:t>The use of this vaccine should be in accordance with official recommendations.</w:t>
      </w:r>
    </w:p>
    <w:p w14:paraId="01CAD7C9" w14:textId="4C965230" w:rsidR="00AD7385" w:rsidRPr="00991E33" w:rsidRDefault="00AD7385" w:rsidP="00AD7385">
      <w:pPr>
        <w:ind w:left="720"/>
      </w:pPr>
      <w:r w:rsidRPr="0037492B">
        <w:rPr>
          <w:i/>
          <w:iCs/>
        </w:rPr>
        <w:t xml:space="preserve">The decision has been made </w:t>
      </w:r>
      <w:proofErr w:type="gramStart"/>
      <w:r w:rsidRPr="0037492B">
        <w:rPr>
          <w:i/>
          <w:iCs/>
        </w:rPr>
        <w:t>on the basis of</w:t>
      </w:r>
      <w:proofErr w:type="gramEnd"/>
      <w:r w:rsidRPr="0037492B">
        <w:rPr>
          <w:i/>
          <w:iCs/>
        </w:rPr>
        <w:t xml:space="preserve"> immunogenicity and short-term safety data. Continued approval depends on the evidence of </w:t>
      </w:r>
      <w:proofErr w:type="gramStart"/>
      <w:r w:rsidRPr="0037492B">
        <w:rPr>
          <w:i/>
          <w:iCs/>
        </w:rPr>
        <w:t>longer term</w:t>
      </w:r>
      <w:proofErr w:type="gramEnd"/>
      <w:r w:rsidRPr="0037492B">
        <w:rPr>
          <w:i/>
          <w:iCs/>
        </w:rPr>
        <w:t xml:space="preserve"> benefits and safety from ongoing clinical trials and post-market assessment.</w:t>
      </w:r>
    </w:p>
    <w:p w14:paraId="6F0C071C" w14:textId="51A8AC4B" w:rsidR="00D23139" w:rsidRDefault="00D23139" w:rsidP="00D212F3">
      <w:pPr>
        <w:pStyle w:val="Heading3"/>
      </w:pPr>
      <w:bookmarkStart w:id="83" w:name="_Toc128132183"/>
      <w:bookmarkStart w:id="84" w:name="_Toc247691533"/>
      <w:bookmarkStart w:id="85" w:name="_Toc314842517"/>
      <w:r w:rsidRPr="00D23139">
        <w:t>Specific conditions of registration applying to these goods</w:t>
      </w:r>
      <w:bookmarkEnd w:id="83"/>
    </w:p>
    <w:p w14:paraId="27E7650E" w14:textId="515CFB9A" w:rsidR="00991E33" w:rsidRDefault="00991E33" w:rsidP="00991E33">
      <w:pPr>
        <w:pStyle w:val="ListBullet"/>
      </w:pPr>
      <w:proofErr w:type="spellStart"/>
      <w:r>
        <w:t>S</w:t>
      </w:r>
      <w:r w:rsidRPr="00C46F47">
        <w:t>pikevax</w:t>
      </w:r>
      <w:proofErr w:type="spellEnd"/>
      <w:r w:rsidRPr="00C46F47">
        <w:t xml:space="preserve"> bivalent </w:t>
      </w:r>
      <w:r>
        <w:t>O</w:t>
      </w:r>
      <w:r w:rsidRPr="00C46F47">
        <w:t xml:space="preserve">riginal/ </w:t>
      </w:r>
      <w:r>
        <w:t>O</w:t>
      </w:r>
      <w:r w:rsidRPr="00C46F47">
        <w:t>micron BA.4-5 (</w:t>
      </w:r>
      <w:proofErr w:type="spellStart"/>
      <w:r w:rsidRPr="00C46F47">
        <w:t>elasomeran</w:t>
      </w:r>
      <w:proofErr w:type="spellEnd"/>
      <w:r w:rsidRPr="00C46F47">
        <w:t>/</w:t>
      </w:r>
      <w:proofErr w:type="spellStart"/>
      <w:r w:rsidRPr="00C46F47">
        <w:t>davesomeran</w:t>
      </w:r>
      <w:proofErr w:type="spellEnd"/>
      <w:r w:rsidRPr="00C46F47">
        <w:t>) is to be included in the Black Triangle Scheme. The PI</w:t>
      </w:r>
      <w:r>
        <w:t xml:space="preserve"> </w:t>
      </w:r>
      <w:r w:rsidRPr="00C46F47">
        <w:t xml:space="preserve">and CMI for </w:t>
      </w:r>
      <w:proofErr w:type="spellStart"/>
      <w:r>
        <w:t>S</w:t>
      </w:r>
      <w:r w:rsidRPr="00C46F47">
        <w:t>pikevax</w:t>
      </w:r>
      <w:proofErr w:type="spellEnd"/>
      <w:r w:rsidRPr="00C46F47">
        <w:t xml:space="preserve"> bivalent </w:t>
      </w:r>
      <w:r>
        <w:t>O</w:t>
      </w:r>
      <w:r w:rsidRPr="00C46F47">
        <w:t xml:space="preserve">riginal/ </w:t>
      </w:r>
      <w:r>
        <w:t>O</w:t>
      </w:r>
      <w:r w:rsidRPr="00C46F47">
        <w:t>micron BA.4-5 must include the black triangle symbol and mandatory accompanying text for five years, or the product’s entire period of provisional registration, whichever is longer</w:t>
      </w:r>
      <w:r>
        <w:t>.</w:t>
      </w:r>
    </w:p>
    <w:p w14:paraId="731CA220" w14:textId="033DF4E2" w:rsidR="00991E33" w:rsidRDefault="00991E33" w:rsidP="00991E33">
      <w:pPr>
        <w:pStyle w:val="ListBullet"/>
      </w:pPr>
      <w:r>
        <w:t xml:space="preserve">Any changes to which the sponsor has agreed should be included in a revised RMP and ASA. However, irrespective of </w:t>
      </w:r>
      <w:proofErr w:type="gramStart"/>
      <w:r>
        <w:t>whether or not</w:t>
      </w:r>
      <w:proofErr w:type="gramEnd"/>
      <w:r>
        <w:t xml:space="preserve"> they are included in the currently available version of the RMP document, the agreed changes become part of the risk management system.</w:t>
      </w:r>
    </w:p>
    <w:p w14:paraId="2C848FE0" w14:textId="6C9FEABE" w:rsidR="00991E33" w:rsidRDefault="00991E33" w:rsidP="00991E33">
      <w:pPr>
        <w:pStyle w:val="ListBullet"/>
        <w:numPr>
          <w:ilvl w:val="0"/>
          <w:numId w:val="0"/>
        </w:numPr>
        <w:ind w:left="360"/>
      </w:pPr>
      <w:r>
        <w:t xml:space="preserve">The </w:t>
      </w:r>
      <w:proofErr w:type="spellStart"/>
      <w:r>
        <w:t>Spikevax</w:t>
      </w:r>
      <w:proofErr w:type="spellEnd"/>
      <w:r>
        <w:t xml:space="preserve"> bivalent Original/ Omicron BA.4-5 EU</w:t>
      </w:r>
      <w:r w:rsidR="00AD7385">
        <w:t>-</w:t>
      </w:r>
      <w:r>
        <w:t>RMP (version 6.3, dated 6 December 2022, data lock point 17 September 2022), with Australia specific annex (version 1.2, dated 20 December 2022), included with Submission PM-2022-04824-1-2, and any subsequent revisions, as agreed with the TGA will be implemented in Australia.</w:t>
      </w:r>
    </w:p>
    <w:p w14:paraId="74904DBA" w14:textId="77777777" w:rsidR="00991E33" w:rsidRDefault="00991E33" w:rsidP="00991E33">
      <w:pPr>
        <w:pStyle w:val="ListBullet"/>
        <w:numPr>
          <w:ilvl w:val="0"/>
          <w:numId w:val="0"/>
        </w:numPr>
        <w:ind w:left="360"/>
      </w:pPr>
      <w:r>
        <w:lastRenderedPageBreak/>
        <w:t>An obligatory component of risk management plans is routine pharmacovigilance. Routine pharmacovigilance includes the submission of periodic safety update reports (PSURs).</w:t>
      </w:r>
    </w:p>
    <w:p w14:paraId="5F02D21A" w14:textId="77777777" w:rsidR="00991E33" w:rsidRDefault="00991E33" w:rsidP="00991E33">
      <w:pPr>
        <w:pStyle w:val="ListBullet"/>
        <w:numPr>
          <w:ilvl w:val="0"/>
          <w:numId w:val="0"/>
        </w:numPr>
        <w:ind w:left="360"/>
      </w:pPr>
      <w:r>
        <w:t>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or the entire period of provisional registration, whichever is longer.</w:t>
      </w:r>
    </w:p>
    <w:p w14:paraId="0A432144" w14:textId="77777777" w:rsidR="00991E33" w:rsidRDefault="00991E33" w:rsidP="00991E33">
      <w:pPr>
        <w:pStyle w:val="ListBullet"/>
        <w:numPr>
          <w:ilvl w:val="0"/>
          <w:numId w:val="0"/>
        </w:numPr>
        <w:ind w:left="360"/>
      </w:pPr>
      <w:r>
        <w:t>The reports are to at least meet the requirements for PSURs as described in the European Medicines Agency’s Guideline on Good Pharmacovigilance Practices (GVP) Module VII-periodic safety update report (revision 1), Part VII.B Structures and processes. Note that submission of a PSUR does not constitute an application to vary the registration. Each report must have been prepared within ninety calendar days of the data lock point for that report</w:t>
      </w:r>
    </w:p>
    <w:p w14:paraId="4C5FDDCF" w14:textId="77777777" w:rsidR="00991E33" w:rsidRDefault="00991E33" w:rsidP="00991E33">
      <w:pPr>
        <w:pStyle w:val="ListBullet"/>
        <w:numPr>
          <w:ilvl w:val="0"/>
          <w:numId w:val="0"/>
        </w:numPr>
        <w:ind w:left="360"/>
      </w:pPr>
      <w:r>
        <w:t>Additional to the routine submission of the routine PSURs, expedited monthly safety summary reports (including safety data for patients in Australia) are to be provided for the 6 months from the date of first supply in Australia, and thereafter at intervals specified by the TGA.</w:t>
      </w:r>
    </w:p>
    <w:p w14:paraId="14CD1935" w14:textId="77777777" w:rsidR="00991E33" w:rsidRPr="00273202" w:rsidRDefault="00991E33" w:rsidP="00991E33">
      <w:pPr>
        <w:pStyle w:val="ListBullet"/>
        <w:numPr>
          <w:ilvl w:val="0"/>
          <w:numId w:val="0"/>
        </w:numPr>
        <w:ind w:left="360"/>
        <w:rPr>
          <w:b/>
          <w:bCs/>
        </w:rPr>
      </w:pPr>
      <w:r w:rsidRPr="00273202">
        <w:rPr>
          <w:b/>
          <w:bCs/>
        </w:rPr>
        <w:t>Clinical Conditions</w:t>
      </w:r>
    </w:p>
    <w:p w14:paraId="1B4CB2EA" w14:textId="77777777" w:rsidR="00991E33" w:rsidRDefault="00991E33" w:rsidP="00991E33">
      <w:pPr>
        <w:pStyle w:val="ListBullet"/>
      </w:pPr>
      <w:r>
        <w:t>Submit the interim and final analysis of the pivotal studies mRNA-1273-P205 Part H and mRNA-1273-P205 Part F (cohort 2) and their CSR (Clinical Study Report) when available.</w:t>
      </w:r>
    </w:p>
    <w:p w14:paraId="6878785F" w14:textId="77777777" w:rsidR="00991E33" w:rsidRDefault="00991E33" w:rsidP="00991E33">
      <w:pPr>
        <w:pStyle w:val="ListBullet"/>
      </w:pPr>
      <w:r w:rsidRPr="00933133">
        <w:t>Data on booster vaccine effectiveness of mRNA-1273.222 when available</w:t>
      </w:r>
      <w:r>
        <w:t>.</w:t>
      </w:r>
    </w:p>
    <w:p w14:paraId="70AECBA5" w14:textId="77777777" w:rsidR="00991E33" w:rsidRDefault="00991E33" w:rsidP="00991E33">
      <w:pPr>
        <w:pStyle w:val="ListBullet"/>
      </w:pPr>
      <w:r>
        <w:t xml:space="preserve">Existing Conditions for </w:t>
      </w:r>
      <w:proofErr w:type="spellStart"/>
      <w:r>
        <w:t>Spikevax</w:t>
      </w:r>
      <w:proofErr w:type="spellEnd"/>
      <w:r>
        <w:t xml:space="preserve"> remain.</w:t>
      </w:r>
    </w:p>
    <w:p w14:paraId="7CC771CC" w14:textId="77777777" w:rsidR="00991E33" w:rsidRDefault="00991E33" w:rsidP="00991E33">
      <w:pPr>
        <w:pStyle w:val="ListBullet"/>
        <w:numPr>
          <w:ilvl w:val="0"/>
          <w:numId w:val="0"/>
        </w:numPr>
        <w:ind w:left="360"/>
      </w:pPr>
      <w:r>
        <w:t>Confirmatory trial data (as identified in the sponsor’s plan to submit comprehensive clinical data on the safety and efficacy of the medicine before the end of the 6 years that would start on the day that registration would commence) must be provided.</w:t>
      </w:r>
    </w:p>
    <w:p w14:paraId="0A659EDE" w14:textId="77777777" w:rsidR="00991E33" w:rsidRPr="00273202" w:rsidRDefault="00991E33" w:rsidP="00991E33">
      <w:pPr>
        <w:pStyle w:val="ListBullet"/>
        <w:numPr>
          <w:ilvl w:val="0"/>
          <w:numId w:val="0"/>
        </w:numPr>
        <w:ind w:left="360"/>
        <w:rPr>
          <w:b/>
          <w:bCs/>
        </w:rPr>
      </w:pPr>
      <w:r w:rsidRPr="00273202">
        <w:rPr>
          <w:b/>
          <w:bCs/>
        </w:rPr>
        <w:t>Toxicology Conditions</w:t>
      </w:r>
    </w:p>
    <w:p w14:paraId="778C5295" w14:textId="77777777" w:rsidR="00991E33" w:rsidRDefault="00991E33" w:rsidP="00991E33">
      <w:pPr>
        <w:pStyle w:val="ListBullet"/>
      </w:pPr>
      <w:r w:rsidRPr="00933133">
        <w:t>Updated reports of study MOD-045EXP and WASHU-K18-89 are to be provided by the end of April 2023.</w:t>
      </w:r>
    </w:p>
    <w:p w14:paraId="5D491736" w14:textId="77777777" w:rsidR="00991E33" w:rsidRPr="00273202" w:rsidRDefault="00991E33" w:rsidP="00991E33">
      <w:pPr>
        <w:pStyle w:val="ListBullet"/>
        <w:numPr>
          <w:ilvl w:val="0"/>
          <w:numId w:val="0"/>
        </w:numPr>
        <w:ind w:left="360"/>
        <w:rPr>
          <w:b/>
          <w:bCs/>
        </w:rPr>
      </w:pPr>
      <w:r w:rsidRPr="00273202">
        <w:rPr>
          <w:b/>
          <w:bCs/>
        </w:rPr>
        <w:t>Quality Conditions</w:t>
      </w:r>
    </w:p>
    <w:p w14:paraId="580C60D6" w14:textId="77777777" w:rsidR="00991E33" w:rsidRPr="00991E33" w:rsidRDefault="00991E33" w:rsidP="00991E33">
      <w:pPr>
        <w:pStyle w:val="ListBullet"/>
      </w:pPr>
      <w:r w:rsidRPr="00991E33">
        <w:t>GMP clearance for listed manufacturers: All relevant manufacturing sites require approved and current GMP [Good Manufacturing Practice] Clearances prior to Australian supply. A commitment is required from the sponsor that they maintain the validity of all manufacturer GMP Clearances for the duration of product supply to Australia. Additionally, that adherence to the conditions of GMP Clearance approval is upheld.</w:t>
      </w:r>
    </w:p>
    <w:p w14:paraId="6DEBD2FF" w14:textId="77777777" w:rsidR="00991E33" w:rsidRPr="00991E33" w:rsidRDefault="00991E33" w:rsidP="00991E33">
      <w:pPr>
        <w:pStyle w:val="ListBullet"/>
      </w:pPr>
      <w:r w:rsidRPr="00991E33">
        <w:t>Post-approval stability protocol and stability commitment: The manufacturer has provided commitment to continue the ongoing stability studies presented in the stability studies protocol. Additionally, 1 batch of DP [drug product] per year for all relevant products will be placed on long-term stability program and on accelerated stability testing where significant changes are made to the manufacturing process. The manufacturer has committed to communicate any out of specifications stability test results to the TGA.</w:t>
      </w:r>
    </w:p>
    <w:p w14:paraId="0B0A7800" w14:textId="77777777" w:rsidR="00991E33" w:rsidRPr="008D0F4E" w:rsidRDefault="00991E33" w:rsidP="00991E33">
      <w:pPr>
        <w:pStyle w:val="ListBullet"/>
      </w:pPr>
      <w:r w:rsidRPr="008D0F4E">
        <w:rPr>
          <w:b/>
          <w:bCs/>
        </w:rPr>
        <w:t>Batch Release Testing and Compliance</w:t>
      </w:r>
    </w:p>
    <w:p w14:paraId="2BAA591D" w14:textId="77777777" w:rsidR="00991E33" w:rsidRDefault="00991E33" w:rsidP="00991E33">
      <w:pPr>
        <w:pStyle w:val="ListBullet"/>
        <w:numPr>
          <w:ilvl w:val="0"/>
          <w:numId w:val="0"/>
        </w:numPr>
        <w:ind w:left="360"/>
      </w:pPr>
      <w:r>
        <w:lastRenderedPageBreak/>
        <w:t xml:space="preserve">It is a condition of registration that all independent batches of </w:t>
      </w:r>
      <w:proofErr w:type="spellStart"/>
      <w:r>
        <w:t>Spikevax</w:t>
      </w:r>
      <w:proofErr w:type="spellEnd"/>
      <w:r>
        <w:t xml:space="preserve"> bivalent (</w:t>
      </w:r>
      <w:proofErr w:type="spellStart"/>
      <w:r>
        <w:t>elasomeran</w:t>
      </w:r>
      <w:proofErr w:type="spellEnd"/>
      <w:r>
        <w:t xml:space="preserve"> and </w:t>
      </w:r>
      <w:proofErr w:type="spellStart"/>
      <w:r>
        <w:t>davesomeran</w:t>
      </w:r>
      <w:proofErr w:type="spellEnd"/>
      <w:r>
        <w:t xml:space="preserve">) 0.1 mg/mL suspension for injection vial and pre-filled syringe imported into Australia are not released for sale until samples and the manufacturer’s release data have been assessed </w:t>
      </w:r>
      <w:r w:rsidRPr="00915321">
        <w:t>and the sponsor has</w:t>
      </w:r>
      <w:r>
        <w:t xml:space="preserve"> received notification acknowledging release from the Laboratories Branch, TGA.</w:t>
      </w:r>
    </w:p>
    <w:p w14:paraId="41298175" w14:textId="77777777" w:rsidR="00991E33" w:rsidRDefault="00991E33" w:rsidP="00991E33">
      <w:pPr>
        <w:pStyle w:val="ListBullet"/>
        <w:numPr>
          <w:ilvl w:val="0"/>
          <w:numId w:val="0"/>
        </w:numPr>
        <w:ind w:left="360"/>
      </w:pPr>
      <w:r>
        <w:t>For each independent batch of the product imported into Australia, the sponsor must supply the following:</w:t>
      </w:r>
    </w:p>
    <w:p w14:paraId="705829C3" w14:textId="58FE70CF" w:rsidR="00991E33" w:rsidRDefault="00991E33" w:rsidP="00991E33">
      <w:pPr>
        <w:pStyle w:val="ListBullet2"/>
      </w:pPr>
      <w:r>
        <w:t xml:space="preserve">A completed Request for Release Form, available from </w:t>
      </w:r>
      <w:hyperlink r:id="rId49" w:history="1">
        <w:r w:rsidRPr="006B7355">
          <w:rPr>
            <w:rStyle w:val="Hyperlink"/>
          </w:rPr>
          <w:t>vaccines@health.gov.au</w:t>
        </w:r>
      </w:hyperlink>
      <w:r>
        <w:t>.</w:t>
      </w:r>
    </w:p>
    <w:p w14:paraId="014709E4" w14:textId="77777777" w:rsidR="00991E33" w:rsidRDefault="00991E33" w:rsidP="00991E33">
      <w:pPr>
        <w:pStyle w:val="ListBullet2"/>
      </w:pPr>
      <w:r>
        <w:t>Complete summary protocols for manufacture and QC [quality control], including all steps in production in the agreed format.</w:t>
      </w:r>
    </w:p>
    <w:p w14:paraId="1D53209C" w14:textId="77777777" w:rsidR="00991E33" w:rsidRDefault="00991E33" w:rsidP="00991E33">
      <w:pPr>
        <w:pStyle w:val="ListBullet2"/>
      </w:pPr>
      <w:r>
        <w:t xml:space="preserve">At least 10 (ten) vials (Samples) of each manufacturing batch of </w:t>
      </w:r>
      <w:proofErr w:type="spellStart"/>
      <w:r>
        <w:t>Spikevax</w:t>
      </w:r>
      <w:proofErr w:type="spellEnd"/>
      <w:r>
        <w:t xml:space="preserve"> bivalent (</w:t>
      </w:r>
      <w:proofErr w:type="spellStart"/>
      <w:r>
        <w:t>elasomeran</w:t>
      </w:r>
      <w:proofErr w:type="spellEnd"/>
      <w:r>
        <w:t xml:space="preserve"> and </w:t>
      </w:r>
      <w:proofErr w:type="spellStart"/>
      <w:r>
        <w:t>davesomeran</w:t>
      </w:r>
      <w:proofErr w:type="spellEnd"/>
      <w:r>
        <w:t xml:space="preserve">) 0.1 mg/mL suspension for injection vial and pre-filled syringe with the Australian approved labels, </w:t>
      </w:r>
      <w:proofErr w:type="gramStart"/>
      <w:r>
        <w:t>PI</w:t>
      </w:r>
      <w:proofErr w:type="gramEnd"/>
      <w:r>
        <w:t xml:space="preserve"> and packaging (unless an exemption to supply these has been granted) representative of all batches of product seeking distribution in Australia.</w:t>
      </w:r>
    </w:p>
    <w:p w14:paraId="1916BDAB" w14:textId="77777777" w:rsidR="00991E33" w:rsidRDefault="00991E33" w:rsidP="00991E33">
      <w:pPr>
        <w:pStyle w:val="ListBullet2"/>
      </w:pPr>
      <w:r>
        <w:t xml:space="preserve">At least 5 (five) vials (Samples) of any further consignments of a manufacturing batch of </w:t>
      </w:r>
      <w:proofErr w:type="spellStart"/>
      <w:r>
        <w:t>Spikevax</w:t>
      </w:r>
      <w:proofErr w:type="spellEnd"/>
      <w:r>
        <w:t xml:space="preserve"> bivalent (</w:t>
      </w:r>
      <w:proofErr w:type="spellStart"/>
      <w:r>
        <w:t>elasomeran</w:t>
      </w:r>
      <w:proofErr w:type="spellEnd"/>
      <w:r>
        <w:t xml:space="preserve"> and </w:t>
      </w:r>
      <w:proofErr w:type="spellStart"/>
      <w:r>
        <w:t>davesomeran</w:t>
      </w:r>
      <w:proofErr w:type="spellEnd"/>
      <w:r>
        <w:t xml:space="preserve">) 0.1 mg/mL suspension for injection vial and pre-filled syringe with the Australian approved labels, </w:t>
      </w:r>
      <w:proofErr w:type="gramStart"/>
      <w:r>
        <w:t>PI</w:t>
      </w:r>
      <w:proofErr w:type="gramEnd"/>
      <w:r>
        <w:t xml:space="preserve"> and packaging (unless an exemption to supply these has been granted). Further consignments cover batches previously supplied to TGA for the purposes of batch release testing but are seeking to be supplied again.</w:t>
      </w:r>
    </w:p>
    <w:p w14:paraId="1877028E" w14:textId="77777777" w:rsidR="00991E33" w:rsidRDefault="00991E33" w:rsidP="00991E33">
      <w:pPr>
        <w:pStyle w:val="ListBullet2"/>
      </w:pPr>
      <w:r>
        <w:t>If the manufacturing batch has been released in Europe or United Kingdom a copy of the EU Official Control Authority Batch Release (OCABR) certificate (or equivalent from the UK) must be provided.</w:t>
      </w:r>
    </w:p>
    <w:p w14:paraId="28A9D0F9" w14:textId="77777777" w:rsidR="00991E33" w:rsidRDefault="00991E33" w:rsidP="00991E33">
      <w:pPr>
        <w:pStyle w:val="ListBullet2"/>
      </w:pPr>
      <w:r>
        <w:t>Any reagents, reference material and standards required to undertake testing, as requested by Laboratories Branch, TGA.</w:t>
      </w:r>
    </w:p>
    <w:p w14:paraId="15C2B850" w14:textId="77777777" w:rsidR="00991E33" w:rsidRDefault="00991E33" w:rsidP="00991E33">
      <w:pPr>
        <w:pStyle w:val="ListBullet2"/>
        <w:numPr>
          <w:ilvl w:val="0"/>
          <w:numId w:val="0"/>
        </w:numPr>
        <w:ind w:left="850"/>
      </w:pPr>
      <w:r>
        <w:t>Sponsors must provide all requested Samples and data in sufficient time (at least 5 business days) prior to any distribution date to allow the TGA to perform testing and review. Distribution of each batch of vaccine is conditional upon fulfilment of these conditions and receipt of a letter from the Laboratories Branch acknowledging release.</w:t>
      </w:r>
    </w:p>
    <w:p w14:paraId="6A259AB5" w14:textId="77777777" w:rsidR="00991E33" w:rsidRDefault="00991E33" w:rsidP="00991E33">
      <w:pPr>
        <w:pStyle w:val="ListBullet2"/>
        <w:numPr>
          <w:ilvl w:val="0"/>
          <w:numId w:val="0"/>
        </w:numPr>
        <w:ind w:left="850"/>
      </w:pPr>
      <w:r>
        <w:t xml:space="preserve">Samples and data should be forwarded to the Biotherapeutics Section, Laboratories Branch before release of each batch and with sufficient lead time to allow for Laboratories Branch testing. </w:t>
      </w:r>
    </w:p>
    <w:p w14:paraId="3FACF872" w14:textId="77777777" w:rsidR="00991E33" w:rsidRDefault="00991E33" w:rsidP="00991E33">
      <w:pPr>
        <w:pStyle w:val="ListBullet2"/>
        <w:numPr>
          <w:ilvl w:val="0"/>
          <w:numId w:val="0"/>
        </w:numPr>
        <w:ind w:left="850"/>
      </w:pPr>
      <w:r>
        <w:t>The shipments (including reagents) to TGA are the responsibility of the Australian Sponsor/Agent who will be required to facilitate the import and customs clearance process.</w:t>
      </w:r>
    </w:p>
    <w:p w14:paraId="69C3F1BF" w14:textId="77777777" w:rsidR="00991E33" w:rsidRPr="007A162E" w:rsidRDefault="00991E33" w:rsidP="00991E33">
      <w:pPr>
        <w:pStyle w:val="ListBullet"/>
        <w:rPr>
          <w:b/>
          <w:bCs/>
        </w:rPr>
      </w:pPr>
      <w:r w:rsidRPr="007A162E">
        <w:rPr>
          <w:b/>
          <w:bCs/>
        </w:rPr>
        <w:t>Certified Product Details</w:t>
      </w:r>
    </w:p>
    <w:p w14:paraId="1D1E1F67" w14:textId="73A21AC3" w:rsidR="00991E33" w:rsidRDefault="00991E33" w:rsidP="00991E33">
      <w:pPr>
        <w:pStyle w:val="ListBullet"/>
        <w:numPr>
          <w:ilvl w:val="0"/>
          <w:numId w:val="0"/>
        </w:numPr>
        <w:ind w:left="360"/>
      </w:pPr>
      <w:r>
        <w:t xml:space="preserve">An electronic copy of the Certified Product Details (CPD) as described in Guidance 7: Certified Product Details of the Australian Regulatory Guidelines for Prescription Medicines (ARGPM) </w:t>
      </w:r>
      <w:hyperlink r:id="rId50" w:history="1">
        <w:r w:rsidRPr="008C3B74">
          <w:rPr>
            <w:rStyle w:val="Hyperlink"/>
          </w:rPr>
          <w:t>https://www.tga.gov.au/guidance-7-certified-product-details</w:t>
        </w:r>
      </w:hyperlink>
      <w:r>
        <w:t xml:space="preserve"> should be provided upon registration of the therapeutic good. In addition, an updated CPD, for the above products incorporating the approved changes is to be provided within one (1) month of the date of approval letter. A template for preparation of CPD for biological prescription medicines and Vaccines can be obtained from the TGA website </w:t>
      </w:r>
      <w:hyperlink r:id="rId51" w:history="1">
        <w:r w:rsidRPr="00C93FF6">
          <w:rPr>
            <w:rStyle w:val="Hyperlink"/>
          </w:rPr>
          <w:t>https://www.tga.gov.au/form/certified-product-details-cpd-biological-prescription-medicines</w:t>
        </w:r>
      </w:hyperlink>
      <w:r>
        <w:t xml:space="preserve">]. The CPD should be sent as a single bookmarked PDF document to </w:t>
      </w:r>
      <w:hyperlink r:id="rId52" w:history="1">
        <w:r w:rsidRPr="006B7355">
          <w:rPr>
            <w:rStyle w:val="Hyperlink"/>
          </w:rPr>
          <w:t>Vaccines@health.gov.au</w:t>
        </w:r>
      </w:hyperlink>
      <w:r>
        <w:t xml:space="preserve"> as soon as possible after registration/approval of the product or any subsequent changes as indicated above.</w:t>
      </w:r>
    </w:p>
    <w:p w14:paraId="0A97EEDE" w14:textId="1FF7F112" w:rsidR="00991E33" w:rsidRDefault="00991E33" w:rsidP="00991E33">
      <w:pPr>
        <w:pStyle w:val="ListBullet"/>
      </w:pPr>
      <w:r>
        <w:lastRenderedPageBreak/>
        <w:t>For all injectable products the Product Information must be included with the product as a package insert.</w:t>
      </w:r>
    </w:p>
    <w:p w14:paraId="42EB34B1" w14:textId="77777777" w:rsidR="008E7846" w:rsidRDefault="00A80B5B" w:rsidP="00D23139">
      <w:pPr>
        <w:pStyle w:val="Heading2"/>
      </w:pPr>
      <w:bookmarkStart w:id="86" w:name="_Toc128132184"/>
      <w:r>
        <w:t xml:space="preserve">Attachment 1. </w:t>
      </w:r>
      <w:r w:rsidR="008E7846">
        <w:t xml:space="preserve">Product </w:t>
      </w:r>
      <w:r w:rsidR="00AA0ED0">
        <w:t>I</w:t>
      </w:r>
      <w:r w:rsidR="008E7846">
        <w:t>nformation</w:t>
      </w:r>
      <w:bookmarkEnd w:id="84"/>
      <w:bookmarkEnd w:id="85"/>
      <w:bookmarkEnd w:id="86"/>
    </w:p>
    <w:p w14:paraId="54514ACF" w14:textId="393713F5" w:rsidR="00523A21" w:rsidRDefault="006136D7" w:rsidP="00C80137">
      <w:r w:rsidRPr="002B3624">
        <w:t xml:space="preserve">The </w:t>
      </w:r>
      <w:r>
        <w:t>PI</w:t>
      </w:r>
      <w:r w:rsidRPr="002B3624">
        <w:t xml:space="preserve"> for </w:t>
      </w:r>
      <w:proofErr w:type="spellStart"/>
      <w:r w:rsidR="00A00D37">
        <w:t>Spikevax</w:t>
      </w:r>
      <w:proofErr w:type="spellEnd"/>
      <w:r w:rsidR="00A00D37">
        <w:t xml:space="preserve"> bivalent Original/Omicron </w:t>
      </w:r>
      <w:r w:rsidR="001405D9">
        <w:t>BA.4-5</w:t>
      </w:r>
      <w:r w:rsidR="00A00D37">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53" w:history="1">
        <w:r w:rsidR="0074163C" w:rsidRPr="008A698E">
          <w:rPr>
            <w:rStyle w:val="Hyperlink"/>
          </w:rPr>
          <w:t>PI/CMI search facility</w:t>
        </w:r>
        <w:r w:rsidR="0074163C" w:rsidRPr="00EB36D6">
          <w:rPr>
            <w:rStyle w:val="Hyperlink"/>
            <w:color w:val="auto"/>
            <w:u w:val="none"/>
          </w:rPr>
          <w:t>.</w:t>
        </w:r>
      </w:hyperlink>
    </w:p>
    <w:p w14:paraId="6D824BED" w14:textId="77777777" w:rsidR="008E7846" w:rsidRPr="00EB36D6" w:rsidRDefault="008E7846" w:rsidP="00EB36D6">
      <w:r w:rsidRPr="00C80137">
        <w:br w:type="page"/>
      </w:r>
    </w:p>
    <w:p w14:paraId="7E20C2D1" w14:textId="77777777" w:rsidR="00C80137" w:rsidRPr="001D043B" w:rsidRDefault="00C80137" w:rsidP="003A7F6C">
      <w:pPr>
        <w:pStyle w:val="TableTitle"/>
        <w:sectPr w:rsidR="00C80137" w:rsidRPr="001D043B" w:rsidSect="00B452CE">
          <w:headerReference w:type="even" r:id="rId54"/>
          <w:headerReference w:type="default" r:id="rId55"/>
          <w:headerReference w:type="first" r:id="rId56"/>
          <w:footerReference w:type="first" r:id="rId5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1DFB009" w14:textId="77777777" w:rsidTr="00A05FA4">
        <w:trPr>
          <w:trHeight w:hRule="exact" w:val="704"/>
        </w:trPr>
        <w:tc>
          <w:tcPr>
            <w:tcW w:w="9175" w:type="dxa"/>
          </w:tcPr>
          <w:p w14:paraId="49DEC2B0" w14:textId="77777777" w:rsidR="001C32CD" w:rsidRPr="00487162" w:rsidRDefault="001C32CD" w:rsidP="00A05FA4">
            <w:pPr>
              <w:pStyle w:val="TGASignoff"/>
            </w:pPr>
            <w:r w:rsidRPr="00487162">
              <w:lastRenderedPageBreak/>
              <w:t>Therapeutic Goods Administration</w:t>
            </w:r>
          </w:p>
        </w:tc>
      </w:tr>
      <w:tr w:rsidR="001C32CD" w:rsidRPr="004C239D" w14:paraId="65B38D15" w14:textId="77777777" w:rsidTr="00A05FA4">
        <w:trPr>
          <w:trHeight w:val="1221"/>
        </w:trPr>
        <w:tc>
          <w:tcPr>
            <w:tcW w:w="9175" w:type="dxa"/>
            <w:tcMar>
              <w:top w:w="28" w:type="dxa"/>
            </w:tcMar>
          </w:tcPr>
          <w:p w14:paraId="7D70F16D" w14:textId="77777777" w:rsidR="001C32CD" w:rsidRPr="00487162" w:rsidRDefault="001C32CD" w:rsidP="00A05FA4">
            <w:pPr>
              <w:pStyle w:val="Address"/>
            </w:pPr>
            <w:r w:rsidRPr="00487162">
              <w:t>PO Box 100 Woden ACT 2606 Australia</w:t>
            </w:r>
          </w:p>
          <w:p w14:paraId="70EAF096" w14:textId="11057274" w:rsidR="001C32CD" w:rsidRPr="00487162" w:rsidRDefault="001C32CD" w:rsidP="00A05FA4">
            <w:pPr>
              <w:pStyle w:val="Address"/>
            </w:pPr>
            <w:r w:rsidRPr="00487162">
              <w:t xml:space="preserve">Email: </w:t>
            </w:r>
            <w:hyperlink r:id="rId58"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001CA35B" w14:textId="19047474" w:rsidR="001C32CD" w:rsidRPr="004C239D" w:rsidRDefault="00FE4B4B" w:rsidP="00A05FA4">
            <w:pPr>
              <w:pStyle w:val="Address"/>
              <w:spacing w:line="260" w:lineRule="atLeast"/>
              <w:rPr>
                <w:b/>
                <w:color w:val="0000FF"/>
                <w:u w:val="single"/>
              </w:rPr>
            </w:pPr>
            <w:hyperlink r:id="rId59" w:history="1">
              <w:r w:rsidR="007C6B9B" w:rsidRPr="007C6B9B">
                <w:rPr>
                  <w:rStyle w:val="Hyperlink"/>
                  <w:b/>
                </w:rPr>
                <w:t>https://www.tga.gov.au</w:t>
              </w:r>
            </w:hyperlink>
          </w:p>
        </w:tc>
      </w:tr>
    </w:tbl>
    <w:p w14:paraId="34385338" w14:textId="77777777" w:rsidR="00774E1D" w:rsidRPr="008A5E0B" w:rsidRDefault="00774E1D" w:rsidP="004C239D"/>
    <w:sectPr w:rsidR="00774E1D" w:rsidRPr="008A5E0B" w:rsidSect="001C32CD">
      <w:headerReference w:type="even" r:id="rId60"/>
      <w:headerReference w:type="default" r:id="rId61"/>
      <w:footerReference w:type="default" r:id="rId62"/>
      <w:headerReference w:type="first" r:id="rId63"/>
      <w:footerReference w:type="first" r:id="rId6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5A873" w14:textId="77777777" w:rsidR="00524DB2" w:rsidRDefault="00524DB2" w:rsidP="00C40A36">
      <w:pPr>
        <w:spacing w:after="0"/>
      </w:pPr>
      <w:r>
        <w:separator/>
      </w:r>
    </w:p>
  </w:endnote>
  <w:endnote w:type="continuationSeparator" w:id="0">
    <w:p w14:paraId="13137E3F" w14:textId="77777777" w:rsidR="00524DB2" w:rsidRDefault="00524DB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MS Gothic"/>
    <w:panose1 w:val="00000000000000000000"/>
    <w:charset w:val="A1"/>
    <w:family w:val="auto"/>
    <w:notTrueType/>
    <w:pitch w:val="default"/>
    <w:sig w:usb0="00000083" w:usb1="08070000" w:usb2="00000010" w:usb3="00000000" w:csb0="00020009" w:csb1="00000000"/>
  </w:font>
  <w:font w:name="TimesNewRomanPSMT">
    <w:altName w:val="Yu Gothic"/>
    <w:panose1 w:val="00000000000000000000"/>
    <w:charset w:val="80"/>
    <w:family w:val="auto"/>
    <w:notTrueType/>
    <w:pitch w:val="default"/>
    <w:sig w:usb0="00000003" w:usb1="08070000" w:usb2="00000010" w:usb3="00000000" w:csb0="0002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24DB2" w:rsidRPr="00487162" w14:paraId="775F4200" w14:textId="77777777" w:rsidTr="00DB750B">
      <w:trPr>
        <w:trHeight w:val="269"/>
      </w:trPr>
      <w:tc>
        <w:tcPr>
          <w:tcW w:w="7371" w:type="dxa"/>
          <w:tcMar>
            <w:top w:w="142" w:type="dxa"/>
            <w:bottom w:w="0" w:type="dxa"/>
          </w:tcMar>
        </w:tcPr>
        <w:p w14:paraId="7AA8E216" w14:textId="38BFCCE4" w:rsidR="00524DB2" w:rsidRPr="00487162" w:rsidRDefault="00524DB2" w:rsidP="00460036">
          <w:pPr>
            <w:pStyle w:val="Footer"/>
          </w:pPr>
          <w:proofErr w:type="spellStart"/>
          <w:r w:rsidRPr="00487162">
            <w:t>AusPA</w:t>
          </w:r>
          <w:r>
            <w:t>R</w:t>
          </w:r>
          <w:proofErr w:type="spellEnd"/>
          <w:r>
            <w:t xml:space="preserve"> - </w:t>
          </w:r>
          <w:proofErr w:type="spellStart"/>
          <w:r>
            <w:t>Spikevax</w:t>
          </w:r>
          <w:proofErr w:type="spellEnd"/>
          <w:r>
            <w:t xml:space="preserve"> bivalent Original/Omicron BA.4–5 COVID-19 vaccine </w:t>
          </w:r>
          <w:r w:rsidRPr="00460036">
            <w:t xml:space="preserve">– </w:t>
          </w:r>
          <w:proofErr w:type="spellStart"/>
          <w:r>
            <w:t>e</w:t>
          </w:r>
          <w:r w:rsidRPr="00A00D37">
            <w:t>lasomeran</w:t>
          </w:r>
          <w:proofErr w:type="spellEnd"/>
          <w:r>
            <w:t xml:space="preserve"> and </w:t>
          </w:r>
          <w:proofErr w:type="spellStart"/>
          <w:r w:rsidRPr="00A00D37">
            <w:t>davesomeran</w:t>
          </w:r>
          <w:proofErr w:type="spellEnd"/>
          <w:r>
            <w:t xml:space="preserve"> - </w:t>
          </w:r>
          <w:r w:rsidRPr="00EF7B04">
            <w:t>Moderna Australia Pty Ltd</w:t>
          </w:r>
          <w:r>
            <w:t xml:space="preserve"> - PM-2022</w:t>
          </w:r>
          <w:r w:rsidRPr="00487162">
            <w:t>-</w:t>
          </w:r>
          <w:r>
            <w:t>04824-1-2</w:t>
          </w:r>
          <w:r>
            <w:br/>
          </w:r>
          <w:r w:rsidR="00F649FF">
            <w:t xml:space="preserve">FINAL 24 </w:t>
          </w:r>
          <w:r>
            <w:t>February 2023</w:t>
          </w:r>
        </w:p>
      </w:tc>
      <w:tc>
        <w:tcPr>
          <w:tcW w:w="1490" w:type="dxa"/>
          <w:tcMar>
            <w:top w:w="142" w:type="dxa"/>
            <w:bottom w:w="0" w:type="dxa"/>
          </w:tcMar>
        </w:tcPr>
        <w:p w14:paraId="3BF66A78" w14:textId="580CE854" w:rsidR="00524DB2" w:rsidRPr="00487162" w:rsidRDefault="00524DB2" w:rsidP="00DB750B">
          <w:pPr>
            <w:pStyle w:val="Footer"/>
            <w:jc w:val="right"/>
          </w:pPr>
          <w:r w:rsidRPr="00487162">
            <w:t xml:space="preserve">Page </w:t>
          </w:r>
          <w:r>
            <w:fldChar w:fldCharType="begin"/>
          </w:r>
          <w:r>
            <w:instrText xml:space="preserve"> PAGE  \* Arabic </w:instrText>
          </w:r>
          <w:r>
            <w:fldChar w:fldCharType="separate"/>
          </w:r>
          <w:r w:rsidR="006724CD">
            <w:rPr>
              <w:noProof/>
            </w:rPr>
            <w:t>12</w:t>
          </w:r>
          <w:r>
            <w:fldChar w:fldCharType="end"/>
          </w:r>
          <w:r w:rsidRPr="00487162">
            <w:t xml:space="preserve"> of </w:t>
          </w:r>
          <w:fldSimple w:instr=" NUMPAGES  \* Arabic ">
            <w:r w:rsidR="006724CD">
              <w:rPr>
                <w:noProof/>
              </w:rPr>
              <w:t>63</w:t>
            </w:r>
          </w:fldSimple>
        </w:p>
      </w:tc>
    </w:tr>
  </w:tbl>
  <w:p w14:paraId="1C73F3FC" w14:textId="77777777" w:rsidR="00524DB2" w:rsidRDefault="00524DB2"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24DB2" w:rsidRPr="00487162" w14:paraId="1440E5F3" w14:textId="77777777" w:rsidTr="00E45619">
      <w:trPr>
        <w:trHeight w:val="269"/>
      </w:trPr>
      <w:tc>
        <w:tcPr>
          <w:tcW w:w="4519" w:type="dxa"/>
          <w:tcBorders>
            <w:top w:val="single" w:sz="4" w:space="0" w:color="auto"/>
          </w:tcBorders>
          <w:tcMar>
            <w:top w:w="142" w:type="dxa"/>
            <w:bottom w:w="0" w:type="dxa"/>
          </w:tcMar>
        </w:tcPr>
        <w:p w14:paraId="6B55FBB4" w14:textId="77777777" w:rsidR="00524DB2" w:rsidRPr="00487162" w:rsidRDefault="00524DB2" w:rsidP="00FE1DEE">
          <w:pPr>
            <w:pStyle w:val="Footer"/>
          </w:pPr>
          <w:r w:rsidRPr="00487162">
            <w:t>Document title, Part #, Section # - Section title</w:t>
          </w:r>
        </w:p>
        <w:p w14:paraId="5CA6066D" w14:textId="77777777" w:rsidR="00524DB2" w:rsidRPr="00487162" w:rsidRDefault="00524DB2" w:rsidP="00FE1DEE">
          <w:pPr>
            <w:pStyle w:val="Footer"/>
          </w:pPr>
          <w:r w:rsidRPr="00487162">
            <w:t>V1.0 October 2010</w:t>
          </w:r>
        </w:p>
      </w:tc>
      <w:tc>
        <w:tcPr>
          <w:tcW w:w="4342" w:type="dxa"/>
          <w:tcBorders>
            <w:top w:val="single" w:sz="4" w:space="0" w:color="auto"/>
          </w:tcBorders>
          <w:tcMar>
            <w:top w:w="142" w:type="dxa"/>
            <w:bottom w:w="0" w:type="dxa"/>
          </w:tcMar>
        </w:tcPr>
        <w:p w14:paraId="68515BF0" w14:textId="77777777" w:rsidR="00524DB2" w:rsidRPr="00487162" w:rsidRDefault="00524DB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18C25400" w14:textId="77777777" w:rsidR="00524DB2" w:rsidRDefault="00524D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23D9" w14:textId="77777777" w:rsidR="00524DB2" w:rsidRPr="001C32CD" w:rsidRDefault="00524DB2"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24DB2" w14:paraId="7A399190" w14:textId="77777777" w:rsidTr="0010601F">
      <w:trPr>
        <w:trHeight w:val="108"/>
      </w:trPr>
      <w:tc>
        <w:tcPr>
          <w:tcW w:w="8875" w:type="dxa"/>
          <w:gridSpan w:val="2"/>
          <w:tcBorders>
            <w:bottom w:val="single" w:sz="4" w:space="0" w:color="auto"/>
          </w:tcBorders>
          <w:tcMar>
            <w:right w:w="284" w:type="dxa"/>
          </w:tcMar>
        </w:tcPr>
        <w:p w14:paraId="75CA9A8F" w14:textId="77777777" w:rsidR="00524DB2" w:rsidRDefault="00524DB2" w:rsidP="006E08B3">
          <w:pPr>
            <w:pStyle w:val="Heading3"/>
          </w:pPr>
          <w:r>
            <w:t>Copyright</w:t>
          </w:r>
        </w:p>
        <w:p w14:paraId="78984ED7" w14:textId="77777777" w:rsidR="00524DB2" w:rsidRDefault="00524DB2" w:rsidP="006E08B3">
          <w:r>
            <w:rPr>
              <w:rFonts w:cs="Arial"/>
            </w:rPr>
            <w:t>©</w:t>
          </w:r>
          <w:r>
            <w:t xml:space="preserve"> Commonwealth of Australia [add year]</w:t>
          </w:r>
        </w:p>
        <w:p w14:paraId="061587B8" w14:textId="77777777" w:rsidR="00524DB2" w:rsidRDefault="00524DB2" w:rsidP="006E08B3"/>
        <w:p w14:paraId="030449D5" w14:textId="77777777" w:rsidR="00524DB2" w:rsidRDefault="00524DB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56911564" w14:textId="77777777" w:rsidR="00524DB2" w:rsidRDefault="00524DB2" w:rsidP="006E08B3"/>
        <w:p w14:paraId="16EE9332" w14:textId="77777777" w:rsidR="00524DB2" w:rsidRDefault="00524DB2" w:rsidP="006E08B3">
          <w:pPr>
            <w:pStyle w:val="Heading3"/>
          </w:pPr>
          <w:r>
            <w:t>Confidentiality</w:t>
          </w:r>
        </w:p>
        <w:p w14:paraId="5991A4ED" w14:textId="77777777" w:rsidR="00524DB2" w:rsidRDefault="00524DB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371080A" w14:textId="77777777" w:rsidR="00524DB2" w:rsidRDefault="00524DB2" w:rsidP="006E08B3"/>
        <w:p w14:paraId="624E4FB5" w14:textId="77777777" w:rsidR="00524DB2" w:rsidRDefault="00524DB2" w:rsidP="006E08B3">
          <w:r>
            <w:t>For submission made by individuals, all personal details, other than your name, will be removed from your submission before it is published on the TGA’s Internet site.</w:t>
          </w:r>
        </w:p>
        <w:p w14:paraId="7154B80E" w14:textId="77777777" w:rsidR="00524DB2" w:rsidRDefault="00524DB2" w:rsidP="006E08B3"/>
        <w:p w14:paraId="5A25E11A" w14:textId="77777777" w:rsidR="00524DB2" w:rsidRDefault="00524DB2" w:rsidP="006E08B3">
          <w:r>
            <w:t>In addition, a list of parties making submissions will be published. If you do not wish to be identified with your submission you must specifically request this in the space provided in the submission coversheet.</w:t>
          </w:r>
        </w:p>
      </w:tc>
    </w:tr>
    <w:tr w:rsidR="00524DB2" w14:paraId="46DFE5DF" w14:textId="77777777" w:rsidTr="0010601F">
      <w:trPr>
        <w:trHeight w:val="417"/>
      </w:trPr>
      <w:tc>
        <w:tcPr>
          <w:tcW w:w="4519" w:type="dxa"/>
          <w:tcBorders>
            <w:top w:val="single" w:sz="4" w:space="0" w:color="auto"/>
          </w:tcBorders>
          <w:tcMar>
            <w:top w:w="142" w:type="dxa"/>
            <w:bottom w:w="0" w:type="dxa"/>
          </w:tcMar>
        </w:tcPr>
        <w:p w14:paraId="0D922977" w14:textId="77777777" w:rsidR="00524DB2" w:rsidRDefault="00524DB2" w:rsidP="006E08B3">
          <w:r>
            <w:t>Document title, Part #, Section # - Section title</w:t>
          </w:r>
        </w:p>
        <w:p w14:paraId="3B4D804A" w14:textId="77777777" w:rsidR="00524DB2" w:rsidRDefault="00524DB2" w:rsidP="006E08B3">
          <w:r>
            <w:t>V1.0 October 2010</w:t>
          </w:r>
        </w:p>
      </w:tc>
      <w:tc>
        <w:tcPr>
          <w:tcW w:w="4356" w:type="dxa"/>
          <w:tcBorders>
            <w:top w:val="single" w:sz="4" w:space="0" w:color="auto"/>
          </w:tcBorders>
          <w:tcMar>
            <w:top w:w="142" w:type="dxa"/>
            <w:bottom w:w="0" w:type="dxa"/>
          </w:tcMar>
        </w:tcPr>
        <w:p w14:paraId="273F6A5B" w14:textId="77777777" w:rsidR="00524DB2" w:rsidRDefault="00524DB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16827A6D" w14:textId="77777777" w:rsidR="00524DB2" w:rsidRDefault="00524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A2D7A" w14:textId="77777777" w:rsidR="00524DB2" w:rsidRDefault="00524DB2" w:rsidP="00C40A36">
      <w:pPr>
        <w:spacing w:after="0"/>
      </w:pPr>
      <w:r>
        <w:separator/>
      </w:r>
    </w:p>
  </w:footnote>
  <w:footnote w:type="continuationSeparator" w:id="0">
    <w:p w14:paraId="0E44B620" w14:textId="77777777" w:rsidR="00524DB2" w:rsidRDefault="00524DB2" w:rsidP="00C40A36">
      <w:pPr>
        <w:spacing w:after="0"/>
      </w:pPr>
      <w:r>
        <w:continuationSeparator/>
      </w:r>
    </w:p>
  </w:footnote>
  <w:footnote w:id="1">
    <w:p w14:paraId="06E12ED0" w14:textId="007AE8DF" w:rsidR="00524DB2" w:rsidRDefault="00524DB2" w:rsidP="007379E5">
      <w:pPr>
        <w:pStyle w:val="FootnoteText"/>
      </w:pPr>
      <w:r>
        <w:rPr>
          <w:rStyle w:val="FootnoteReference"/>
        </w:rPr>
        <w:footnoteRef/>
      </w:r>
      <w:r>
        <w:t xml:space="preserve"> </w:t>
      </w:r>
      <w:hyperlink r:id="rId1" w:history="1">
        <w:r>
          <w:rPr>
            <w:rStyle w:val="Hyperlink"/>
          </w:rPr>
          <w:t>Coronavirus (COVID-19) case numbers and statistics | Australian Government Department of Health and Aged Care</w:t>
        </w:r>
      </w:hyperlink>
      <w:r>
        <w:t xml:space="preserve"> (as of 14 February 2023).</w:t>
      </w:r>
    </w:p>
  </w:footnote>
  <w:footnote w:id="2">
    <w:p w14:paraId="07CD9D95" w14:textId="0902BC40" w:rsidR="00524DB2" w:rsidRDefault="00524DB2" w:rsidP="007379E5">
      <w:pPr>
        <w:pStyle w:val="FootnoteText"/>
      </w:pPr>
      <w:r>
        <w:rPr>
          <w:rStyle w:val="FootnoteReference"/>
        </w:rPr>
        <w:footnoteRef/>
      </w:r>
      <w:r>
        <w:t xml:space="preserve"> </w:t>
      </w:r>
      <w:hyperlink r:id="rId2" w:history="1">
        <w:r>
          <w:rPr>
            <w:rStyle w:val="Hyperlink"/>
          </w:rPr>
          <w:t xml:space="preserve">Australia: WHO Coronavirus Disease (COVID-19) Dashboard </w:t>
        </w:r>
        <w:proofErr w:type="gramStart"/>
        <w:r>
          <w:rPr>
            <w:rStyle w:val="Hyperlink"/>
          </w:rPr>
          <w:t>With</w:t>
        </w:r>
        <w:proofErr w:type="gramEnd"/>
        <w:r>
          <w:rPr>
            <w:rStyle w:val="Hyperlink"/>
          </w:rPr>
          <w:t xml:space="preserve"> Vaccination Data | WHO Coronavirus (COVID-19) Dashboard With Vaccination Data</w:t>
        </w:r>
      </w:hyperlink>
      <w:r>
        <w:t xml:space="preserve"> (as of 21 February 2023).</w:t>
      </w:r>
    </w:p>
  </w:footnote>
  <w:footnote w:id="3">
    <w:p w14:paraId="0487DFD8" w14:textId="7B4A2EF8" w:rsidR="00524DB2" w:rsidRDefault="00524DB2">
      <w:pPr>
        <w:pStyle w:val="FootnoteText"/>
      </w:pPr>
      <w:r>
        <w:rPr>
          <w:rStyle w:val="FootnoteReference"/>
        </w:rPr>
        <w:footnoteRef/>
      </w:r>
      <w:r>
        <w:t xml:space="preserve"> mRNA1273 is the drug development code for monovalent </w:t>
      </w:r>
      <w:proofErr w:type="spellStart"/>
      <w:r>
        <w:t>Spikevax</w:t>
      </w:r>
      <w:proofErr w:type="spellEnd"/>
      <w:r>
        <w:t xml:space="preserve"> vaccine (</w:t>
      </w:r>
      <w:proofErr w:type="spellStart"/>
      <w:r>
        <w:t>elasomeran</w:t>
      </w:r>
      <w:proofErr w:type="spellEnd"/>
      <w:r>
        <w:t>).</w:t>
      </w:r>
    </w:p>
  </w:footnote>
  <w:footnote w:id="4">
    <w:p w14:paraId="10EA6F8B" w14:textId="39332E6B" w:rsidR="00524DB2" w:rsidRDefault="00524DB2">
      <w:pPr>
        <w:pStyle w:val="FootnoteText"/>
      </w:pPr>
      <w:r>
        <w:rPr>
          <w:rStyle w:val="FootnoteReference"/>
        </w:rPr>
        <w:footnoteRef/>
      </w:r>
      <w:r>
        <w:t xml:space="preserve"> mRNA-1273.222 is the drug development code for bivalent Original/Omicron BA.4 -5 vaccine (</w:t>
      </w:r>
      <w:proofErr w:type="spellStart"/>
      <w:r>
        <w:t>elasomeran</w:t>
      </w:r>
      <w:proofErr w:type="spellEnd"/>
      <w:r>
        <w:t xml:space="preserve"> and </w:t>
      </w:r>
      <w:proofErr w:type="spellStart"/>
      <w:r>
        <w:t>davesomeran</w:t>
      </w:r>
      <w:proofErr w:type="spellEnd"/>
      <w:r>
        <w:t>).</w:t>
      </w:r>
    </w:p>
  </w:footnote>
  <w:footnote w:id="5">
    <w:p w14:paraId="52F26991" w14:textId="3F1CDD53" w:rsidR="00524DB2" w:rsidRPr="00D26760" w:rsidRDefault="00524DB2">
      <w:pPr>
        <w:pStyle w:val="FootnoteText"/>
        <w:rPr>
          <w:lang w:val="en-GB"/>
        </w:rPr>
      </w:pPr>
      <w:r>
        <w:rPr>
          <w:rStyle w:val="FootnoteReference"/>
        </w:rPr>
        <w:footnoteRef/>
      </w:r>
      <w:r>
        <w:t xml:space="preserve"> </w:t>
      </w:r>
      <w:r w:rsidRPr="00D26760">
        <w:rPr>
          <w:i/>
        </w:rPr>
        <w:t xml:space="preserve">K18-hACE2 </w:t>
      </w:r>
      <w:r w:rsidRPr="00562CE9">
        <w:t xml:space="preserve">transgenic mice express human </w:t>
      </w:r>
      <w:r>
        <w:t>angiotensin-converting enzyme 2 (ACE2) receptors</w:t>
      </w:r>
      <w:r w:rsidRPr="00562CE9">
        <w:t>, the receptor used by severe acute respiratory syndrome coronavirus (SA</w:t>
      </w:r>
      <w:r>
        <w:t>RS-</w:t>
      </w:r>
      <w:proofErr w:type="spellStart"/>
      <w:r>
        <w:t>CoV</w:t>
      </w:r>
      <w:proofErr w:type="spellEnd"/>
      <w:r>
        <w:t>) to gain cellular entry.</w:t>
      </w:r>
    </w:p>
  </w:footnote>
  <w:footnote w:id="6">
    <w:p w14:paraId="54FEAA61" w14:textId="73730026" w:rsidR="00524DB2" w:rsidRDefault="00524DB2">
      <w:pPr>
        <w:pStyle w:val="FootnoteText"/>
      </w:pPr>
      <w:r>
        <w:rPr>
          <w:rStyle w:val="FootnoteReference"/>
        </w:rPr>
        <w:footnoteRef/>
      </w:r>
      <w:r>
        <w:t xml:space="preserve"> </w:t>
      </w:r>
      <w:proofErr w:type="spellStart"/>
      <w:r>
        <w:t>AusPAR</w:t>
      </w:r>
      <w:proofErr w:type="spellEnd"/>
      <w:r>
        <w:t xml:space="preserve"> for </w:t>
      </w:r>
      <w:proofErr w:type="spellStart"/>
      <w:r>
        <w:t>Spikevax</w:t>
      </w:r>
      <w:proofErr w:type="spellEnd"/>
      <w:r>
        <w:t xml:space="preserve"> Original/Omicron BA.1 COVID-19 vaccine, available at </w:t>
      </w:r>
      <w:hyperlink r:id="rId3" w:history="1">
        <w:r w:rsidRPr="008058FD">
          <w:rPr>
            <w:rStyle w:val="Hyperlink"/>
          </w:rPr>
          <w:t>https://www.tga.gov.au/resources/auspar/auspar-spikevax-bivalent-originalomicron</w:t>
        </w:r>
      </w:hyperlink>
      <w:r>
        <w:t xml:space="preserve"> </w:t>
      </w:r>
    </w:p>
  </w:footnote>
  <w:footnote w:id="7">
    <w:p w14:paraId="7E5F1A20" w14:textId="2939427F" w:rsidR="00524DB2" w:rsidRDefault="00524DB2">
      <w:pPr>
        <w:pStyle w:val="FootnoteText"/>
      </w:pPr>
      <w:r>
        <w:rPr>
          <w:rStyle w:val="FootnoteReference"/>
        </w:rPr>
        <w:footnoteRef/>
      </w:r>
      <w:r>
        <w:t xml:space="preserve"> </w:t>
      </w:r>
      <w:proofErr w:type="spellStart"/>
      <w:r>
        <w:t>AusPAR</w:t>
      </w:r>
      <w:proofErr w:type="spellEnd"/>
      <w:r>
        <w:t xml:space="preserve"> for </w:t>
      </w:r>
      <w:proofErr w:type="spellStart"/>
      <w:r>
        <w:t>Spikevax</w:t>
      </w:r>
      <w:proofErr w:type="spellEnd"/>
      <w:r>
        <w:t xml:space="preserve"> booster for 12 to 17 years of age, available at </w:t>
      </w:r>
      <w:hyperlink r:id="rId4" w:history="1">
        <w:r w:rsidRPr="008058FD">
          <w:rPr>
            <w:rStyle w:val="Hyperlink"/>
          </w:rPr>
          <w:t>https://www.tga.gov.au/resources/auspar/auspar-spikevax-0</w:t>
        </w:r>
      </w:hyperlink>
      <w:r>
        <w:t xml:space="preserve"> </w:t>
      </w:r>
    </w:p>
  </w:footnote>
  <w:footnote w:id="8">
    <w:p w14:paraId="0D8F23BD" w14:textId="1F82A6A1" w:rsidR="00524DB2" w:rsidRDefault="00524DB2">
      <w:pPr>
        <w:pStyle w:val="FootnoteText"/>
      </w:pPr>
      <w:r>
        <w:rPr>
          <w:rStyle w:val="FootnoteReference"/>
        </w:rPr>
        <w:footnoteRef/>
      </w:r>
      <w:r>
        <w:t xml:space="preserve"> </w:t>
      </w:r>
      <w:proofErr w:type="spellStart"/>
      <w:r>
        <w:t>Chalkias</w:t>
      </w:r>
      <w:proofErr w:type="spellEnd"/>
      <w:r>
        <w:t xml:space="preserve">, S., et al. </w:t>
      </w:r>
      <w:r w:rsidRPr="009F17D3">
        <w:t>A Bivalent Omicron-Containing Booster Vaccine against Covid-19</w:t>
      </w:r>
      <w:r>
        <w:t xml:space="preserve">. </w:t>
      </w:r>
      <w:r w:rsidRPr="00C54D84">
        <w:rPr>
          <w:i/>
          <w:iCs/>
        </w:rPr>
        <w:t xml:space="preserve">N </w:t>
      </w:r>
      <w:proofErr w:type="spellStart"/>
      <w:r w:rsidRPr="00C54D84">
        <w:rPr>
          <w:i/>
          <w:iCs/>
        </w:rPr>
        <w:t>Engl</w:t>
      </w:r>
      <w:proofErr w:type="spellEnd"/>
      <w:r w:rsidRPr="00C54D84">
        <w:rPr>
          <w:i/>
          <w:iCs/>
        </w:rPr>
        <w:t xml:space="preserve"> Med,</w:t>
      </w:r>
      <w:r>
        <w:t xml:space="preserve"> 2022: 387:1279-1291.</w:t>
      </w:r>
    </w:p>
  </w:footnote>
  <w:footnote w:id="9">
    <w:p w14:paraId="24ADB49C" w14:textId="77777777" w:rsidR="00524DB2" w:rsidRDefault="00524DB2" w:rsidP="003E5E7C">
      <w:pPr>
        <w:pStyle w:val="FootnoteText"/>
      </w:pPr>
      <w:r>
        <w:rPr>
          <w:rStyle w:val="FootnoteReference"/>
        </w:rPr>
        <w:footnoteRef/>
      </w:r>
      <w:r>
        <w:t xml:space="preserve"> WHO-UMC standardised case causality assessment is developed in consultation with the National Centres</w:t>
      </w:r>
    </w:p>
    <w:p w14:paraId="36F6943F" w14:textId="77777777" w:rsidR="00524DB2" w:rsidRDefault="00524DB2" w:rsidP="003E5E7C">
      <w:pPr>
        <w:pStyle w:val="FootnoteText"/>
      </w:pPr>
      <w:r>
        <w:t>participating in the Programme for International Drug Monitoring and is meant as a practical tool</w:t>
      </w:r>
    </w:p>
    <w:p w14:paraId="7F3B78D1" w14:textId="71EAC422" w:rsidR="00524DB2" w:rsidRDefault="00524DB2" w:rsidP="003E5E7C">
      <w:pPr>
        <w:pStyle w:val="FootnoteText"/>
        <w:tabs>
          <w:tab w:val="left" w:pos="7938"/>
        </w:tabs>
      </w:pPr>
      <w:r>
        <w:t xml:space="preserve">for the assessment of case reports. Available at </w:t>
      </w:r>
      <w:r w:rsidRPr="003E5E7C">
        <w:t>www.who.int</w:t>
      </w:r>
    </w:p>
  </w:footnote>
  <w:footnote w:id="10">
    <w:p w14:paraId="6C393DC5" w14:textId="011A6CE1" w:rsidR="00524DB2" w:rsidRDefault="00524DB2">
      <w:pPr>
        <w:pStyle w:val="FootnoteText"/>
      </w:pPr>
      <w:r>
        <w:rPr>
          <w:rStyle w:val="FootnoteReference"/>
        </w:rPr>
        <w:footnoteRef/>
      </w:r>
      <w:r>
        <w:t xml:space="preserve"> </w:t>
      </w:r>
      <w:r w:rsidRPr="00116E64">
        <w:t>Tseng, H.F</w:t>
      </w:r>
      <w:r>
        <w:t xml:space="preserve">, </w:t>
      </w:r>
      <w:r w:rsidRPr="00116E64">
        <w:t xml:space="preserve">et al. Effectiveness of mRNA-1273 against SARS-CoV-2 Omicron and Delta variants. </w:t>
      </w:r>
      <w:r w:rsidRPr="00116E64">
        <w:rPr>
          <w:i/>
          <w:iCs/>
        </w:rPr>
        <w:t xml:space="preserve">Nat </w:t>
      </w:r>
      <w:proofErr w:type="gramStart"/>
      <w:r w:rsidRPr="00116E64">
        <w:rPr>
          <w:i/>
          <w:iCs/>
        </w:rPr>
        <w:t>Med</w:t>
      </w:r>
      <w:r w:rsidRPr="00116E64">
        <w:t xml:space="preserve"> </w:t>
      </w:r>
      <w:r>
        <w:t>.</w:t>
      </w:r>
      <w:proofErr w:type="gramEnd"/>
      <w:r>
        <w:t xml:space="preserve"> 2022: </w:t>
      </w:r>
      <w:r w:rsidRPr="00116E64">
        <w:t>28, 1063–1071.</w:t>
      </w:r>
    </w:p>
  </w:footnote>
  <w:footnote w:id="11">
    <w:p w14:paraId="1603F16D" w14:textId="16526118" w:rsidR="00524DB2" w:rsidRDefault="00524DB2">
      <w:pPr>
        <w:pStyle w:val="FootnoteText"/>
      </w:pPr>
      <w:r>
        <w:rPr>
          <w:rStyle w:val="FootnoteReference"/>
        </w:rPr>
        <w:footnoteRef/>
      </w:r>
      <w:r>
        <w:t xml:space="preserve"> </w:t>
      </w:r>
      <w:r w:rsidRPr="00116E64">
        <w:t>Butt</w:t>
      </w:r>
      <w:r>
        <w:t>,</w:t>
      </w:r>
      <w:r w:rsidRPr="00116E64">
        <w:t xml:space="preserve"> A</w:t>
      </w:r>
      <w:r>
        <w:t>.</w:t>
      </w:r>
      <w:r w:rsidRPr="00116E64">
        <w:t xml:space="preserve">A, </w:t>
      </w:r>
      <w:r>
        <w:t>et al</w:t>
      </w:r>
      <w:r w:rsidRPr="00116E64">
        <w:t xml:space="preserve">. Relative Vaccine Effectiveness of a Severe Acute Respiratory Syndrome Coronavirus 2 Messenger RNA Vaccine Booster Dose Against the Omicron Variant. </w:t>
      </w:r>
      <w:r w:rsidRPr="00116E64">
        <w:rPr>
          <w:i/>
          <w:iCs/>
        </w:rPr>
        <w:t>Clin Infect Dis</w:t>
      </w:r>
      <w:r w:rsidRPr="00116E64">
        <w:t>. 2022;75(12):2161-2168</w:t>
      </w:r>
    </w:p>
  </w:footnote>
  <w:footnote w:id="12">
    <w:p w14:paraId="27CC1DA1" w14:textId="446EC15A" w:rsidR="00524DB2" w:rsidRDefault="00524DB2">
      <w:pPr>
        <w:pStyle w:val="FootnoteText"/>
      </w:pPr>
      <w:r>
        <w:rPr>
          <w:rStyle w:val="FootnoteReference"/>
        </w:rPr>
        <w:footnoteRef/>
      </w:r>
      <w:r>
        <w:t xml:space="preserve"> </w:t>
      </w:r>
      <w:r w:rsidRPr="00116E64">
        <w:t xml:space="preserve">Monge, S., </w:t>
      </w:r>
      <w:r>
        <w:t>et al</w:t>
      </w:r>
      <w:r w:rsidRPr="00116E64">
        <w:t xml:space="preserve">. Effectiveness of mRNA vaccine boosters against infection with the SARS-CoV-2 omicron (B.1.1.529) variant in Spain: a nationwide cohort study. </w:t>
      </w:r>
      <w:r w:rsidRPr="00116E64">
        <w:rPr>
          <w:i/>
          <w:iCs/>
        </w:rPr>
        <w:t>The Lancet. Infectious diseases</w:t>
      </w:r>
      <w:r w:rsidRPr="00116E64">
        <w:t xml:space="preserve">, </w:t>
      </w:r>
      <w:r>
        <w:t xml:space="preserve">2022: </w:t>
      </w:r>
      <w:r w:rsidRPr="00116E64">
        <w:t>22(9), 1313–1320.</w:t>
      </w:r>
    </w:p>
  </w:footnote>
  <w:footnote w:id="13">
    <w:p w14:paraId="150A4329" w14:textId="5852FF4C" w:rsidR="00524DB2" w:rsidRDefault="00524DB2">
      <w:pPr>
        <w:pStyle w:val="FootnoteText"/>
      </w:pPr>
      <w:r>
        <w:rPr>
          <w:rStyle w:val="FootnoteReference"/>
        </w:rPr>
        <w:footnoteRef/>
      </w:r>
      <w:r>
        <w:t xml:space="preserve"> </w:t>
      </w:r>
      <w:r w:rsidRPr="009F17D3">
        <w:t xml:space="preserve">Chu L, et al. Immune response to SARS-CoV-2 after a booster of mRNA-1273: an open-label phase 2 trial. </w:t>
      </w:r>
      <w:r w:rsidRPr="009F17D3">
        <w:rPr>
          <w:i/>
          <w:iCs/>
        </w:rPr>
        <w:t>Nat Med</w:t>
      </w:r>
      <w:r w:rsidRPr="009F17D3">
        <w:t>. 2022;28(5):1042-1049.</w:t>
      </w:r>
    </w:p>
  </w:footnote>
  <w:footnote w:id="14">
    <w:p w14:paraId="45F00297" w14:textId="68497D21" w:rsidR="00524DB2" w:rsidRDefault="00524DB2" w:rsidP="009F17D3">
      <w:pPr>
        <w:pStyle w:val="FootnoteText"/>
      </w:pPr>
      <w:r>
        <w:rPr>
          <w:rStyle w:val="FootnoteReference"/>
        </w:rPr>
        <w:footnoteRef/>
      </w:r>
      <w:r>
        <w:t xml:space="preserve"> Baden LR, et al. Efficacy and safety of the mRNA-1273 SARS-CoV-2 vaccine. </w:t>
      </w:r>
      <w:r w:rsidRPr="009F17D3">
        <w:rPr>
          <w:i/>
          <w:iCs/>
        </w:rPr>
        <w:t xml:space="preserve">N </w:t>
      </w:r>
      <w:proofErr w:type="spellStart"/>
      <w:r w:rsidRPr="009F17D3">
        <w:rPr>
          <w:i/>
          <w:iCs/>
        </w:rPr>
        <w:t>Engl</w:t>
      </w:r>
      <w:proofErr w:type="spellEnd"/>
      <w:r w:rsidRPr="009F17D3">
        <w:rPr>
          <w:i/>
          <w:iCs/>
        </w:rPr>
        <w:t xml:space="preserve"> J Med</w:t>
      </w:r>
      <w:r>
        <w:t>. 2021a;384(5):403-16</w:t>
      </w:r>
    </w:p>
  </w:footnote>
  <w:footnote w:id="15">
    <w:p w14:paraId="21B727B9" w14:textId="58CDE0EE" w:rsidR="00524DB2" w:rsidRDefault="00524DB2">
      <w:pPr>
        <w:pStyle w:val="FootnoteText"/>
      </w:pPr>
      <w:r>
        <w:rPr>
          <w:rStyle w:val="FootnoteReference"/>
        </w:rPr>
        <w:footnoteRef/>
      </w:r>
      <w:r>
        <w:t xml:space="preserve"> </w:t>
      </w:r>
      <w:r w:rsidRPr="00C54D84">
        <w:t>Safety Monitoring of Bivalent COVID-19 mRNA Vaccine Booster Doses Among Persons Aged ≥12 Years United States, August 31–October 23, 2022</w:t>
      </w:r>
      <w:r>
        <w:t xml:space="preserve">. Available at </w:t>
      </w:r>
      <w:r w:rsidRPr="00C54D84">
        <w:t>https://www.cdc.gov/mmwr/volumes/71/wr/mm7144a3.htm#:~:text=VAERS%20received%205%2C542%20reports%20of,and%204.5%25%20were%20serious%20events.</w:t>
      </w:r>
    </w:p>
  </w:footnote>
  <w:footnote w:id="16">
    <w:p w14:paraId="75E79B96" w14:textId="77777777" w:rsidR="00524DB2" w:rsidRDefault="00524DB2" w:rsidP="00C54D84">
      <w:pPr>
        <w:pStyle w:val="FootnoteText"/>
      </w:pPr>
      <w:r>
        <w:rPr>
          <w:rStyle w:val="FootnoteReference"/>
        </w:rPr>
        <w:footnoteRef/>
      </w:r>
      <w:r>
        <w:t xml:space="preserve"> </w:t>
      </w:r>
      <w:r w:rsidRPr="00C54D84">
        <w:t>Safety Monitoring of Bivalent COVID-19 mRNA Vaccine Booster Doses Among Persons Aged ≥12 Years United States, August 31–October 23, 2022</w:t>
      </w:r>
      <w:r>
        <w:t xml:space="preserve">. Available at </w:t>
      </w:r>
      <w:r w:rsidRPr="00C54D84">
        <w:t>https://www.cdc.gov/mmwr/volumes/71/wr/mm7144a3.htm#:~:text=VAERS%20received%205%2C542%20reports%20of,and%204.5%25%20were%20serious%20events.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96B84" w14:textId="77777777" w:rsidR="00524DB2" w:rsidRDefault="00524DB2"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40EC7" w14:textId="77777777" w:rsidR="00524DB2" w:rsidRDefault="00524DB2">
    <w:pPr>
      <w:rPr>
        <w:noProof/>
        <w:lang w:eastAsia="en-AU"/>
      </w:rPr>
    </w:pPr>
    <w:r w:rsidRPr="00347824">
      <w:rPr>
        <w:noProof/>
        <w:lang w:val="en-GB" w:eastAsia="en-GB"/>
      </w:rPr>
      <w:drawing>
        <wp:anchor distT="0" distB="0" distL="114300" distR="114300" simplePos="0" relativeHeight="251659264" behindDoc="1" locked="0" layoutInCell="1" allowOverlap="1" wp14:anchorId="56A8F53A" wp14:editId="2AD48D2F">
          <wp:simplePos x="0" y="0"/>
          <wp:positionH relativeFrom="column">
            <wp:posOffset>-1089660</wp:posOffset>
          </wp:positionH>
          <wp:positionV relativeFrom="paragraph">
            <wp:posOffset>-585470</wp:posOffset>
          </wp:positionV>
          <wp:extent cx="7572375" cy="10706100"/>
          <wp:effectExtent l="19050" t="0" r="0" b="0"/>
          <wp:wrapNone/>
          <wp:docPr id="1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6A81" w14:textId="77777777" w:rsidR="00524DB2" w:rsidRDefault="00524D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7DE9" w14:textId="77777777" w:rsidR="00524DB2" w:rsidRDefault="00524DB2">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E6AA8" w14:textId="77777777" w:rsidR="00524DB2" w:rsidRDefault="00524DB2">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D3C1" w14:textId="77777777" w:rsidR="00524DB2" w:rsidRDefault="00524D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04F7" w14:textId="77777777" w:rsidR="00524DB2" w:rsidRDefault="00524DB2"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FDCF7" w14:textId="77777777" w:rsidR="00524DB2" w:rsidRDefault="00524DB2" w:rsidP="006E08B3">
    <w:r>
      <w:t>Therapeutic Goods Administration</w:t>
    </w:r>
  </w:p>
  <w:p w14:paraId="663CB915" w14:textId="77777777" w:rsidR="00524DB2" w:rsidRDefault="00524DB2"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1417"/>
        </w:tabs>
        <w:ind w:left="1417"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731673"/>
    <w:multiLevelType w:val="hybridMultilevel"/>
    <w:tmpl w:val="CDB05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0BF71A1"/>
    <w:multiLevelType w:val="hybridMultilevel"/>
    <w:tmpl w:val="0CBCC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2441AD"/>
    <w:multiLevelType w:val="hybridMultilevel"/>
    <w:tmpl w:val="D374AD78"/>
    <w:lvl w:ilvl="0" w:tplc="76A62D4A">
      <w:start w:val="1"/>
      <w:numFmt w:val="lowerRoman"/>
      <w:lvlText w:val="%1)"/>
      <w:lvlJc w:val="left"/>
      <w:pPr>
        <w:ind w:left="720" w:hanging="360"/>
      </w:pPr>
      <w:rPr>
        <w:rFonts w:ascii="Cambria" w:eastAsia="Cambria" w:hAnsi="Cambria"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E05E84"/>
    <w:multiLevelType w:val="hybridMultilevel"/>
    <w:tmpl w:val="715A2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E564850"/>
    <w:multiLevelType w:val="hybridMultilevel"/>
    <w:tmpl w:val="BC326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2A2824"/>
    <w:multiLevelType w:val="hybridMultilevel"/>
    <w:tmpl w:val="5DCA7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F90CA8"/>
    <w:multiLevelType w:val="hybridMultilevel"/>
    <w:tmpl w:val="91FC0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6F3CDF"/>
    <w:multiLevelType w:val="hybridMultilevel"/>
    <w:tmpl w:val="CB82E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BE4A3B"/>
    <w:multiLevelType w:val="hybridMultilevel"/>
    <w:tmpl w:val="12B865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5E93AC9"/>
    <w:multiLevelType w:val="hybridMultilevel"/>
    <w:tmpl w:val="EBB29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8EF3DBD"/>
    <w:multiLevelType w:val="hybridMultilevel"/>
    <w:tmpl w:val="80E2C9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5"/>
  </w:num>
  <w:num w:numId="17">
    <w:abstractNumId w:val="5"/>
  </w:num>
  <w:num w:numId="18">
    <w:abstractNumId w:val="5"/>
  </w:num>
  <w:num w:numId="19">
    <w:abstractNumId w:val="8"/>
  </w:num>
  <w:num w:numId="20">
    <w:abstractNumId w:val="8"/>
  </w:num>
  <w:num w:numId="21">
    <w:abstractNumId w:val="8"/>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21"/>
  </w:num>
  <w:num w:numId="29">
    <w:abstractNumId w:val="7"/>
  </w:num>
  <w:num w:numId="30">
    <w:abstractNumId w:val="11"/>
  </w:num>
  <w:num w:numId="31">
    <w:abstractNumId w:val="4"/>
  </w:num>
  <w:num w:numId="32">
    <w:abstractNumId w:val="14"/>
  </w:num>
  <w:num w:numId="33">
    <w:abstractNumId w:val="22"/>
  </w:num>
  <w:num w:numId="34">
    <w:abstractNumId w:val="20"/>
  </w:num>
  <w:num w:numId="35">
    <w:abstractNumId w:val="16"/>
  </w:num>
  <w:num w:numId="36">
    <w:abstractNumId w:val="6"/>
  </w:num>
  <w:num w:numId="37">
    <w:abstractNumId w:val="18"/>
  </w:num>
  <w:num w:numId="38">
    <w:abstractNumId w:val="8"/>
    <w:lvlOverride w:ilvl="0">
      <w:lvl w:ilvl="0">
        <w:start w:val="1"/>
        <w:numFmt w:val="bullet"/>
        <w:pStyle w:val="ListBullet"/>
        <w:lvlText w:val=""/>
        <w:lvlJc w:val="left"/>
        <w:pPr>
          <w:ind w:left="360" w:hanging="360"/>
        </w:pPr>
        <w:rPr>
          <w:rFonts w:ascii="Symbol" w:hAnsi="Symbol" w:hint="default"/>
        </w:rPr>
      </w:lvl>
    </w:lvlOverride>
  </w:num>
  <w:num w:numId="39">
    <w:abstractNumId w:val="10"/>
  </w:num>
  <w:num w:numId="40">
    <w:abstractNumId w:val="12"/>
  </w:num>
  <w:num w:numId="41">
    <w:abstractNumId w:val="17"/>
  </w:num>
  <w:num w:numId="42">
    <w:abstractNumId w:val="9"/>
  </w:num>
  <w:num w:numId="43">
    <w:abstractNumId w:val="15"/>
  </w:num>
  <w:num w:numId="44">
    <w:abstractNumId w:val="19"/>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D37"/>
    <w:rsid w:val="00002031"/>
    <w:rsid w:val="00004734"/>
    <w:rsid w:val="00006B22"/>
    <w:rsid w:val="00006FAB"/>
    <w:rsid w:val="0001108F"/>
    <w:rsid w:val="0001276A"/>
    <w:rsid w:val="000246AE"/>
    <w:rsid w:val="00025C67"/>
    <w:rsid w:val="00044772"/>
    <w:rsid w:val="0004541C"/>
    <w:rsid w:val="0005559E"/>
    <w:rsid w:val="000604D6"/>
    <w:rsid w:val="00071EA7"/>
    <w:rsid w:val="000734D8"/>
    <w:rsid w:val="00077775"/>
    <w:rsid w:val="00080114"/>
    <w:rsid w:val="00090471"/>
    <w:rsid w:val="00096AA7"/>
    <w:rsid w:val="000971A6"/>
    <w:rsid w:val="000A1407"/>
    <w:rsid w:val="000A3AED"/>
    <w:rsid w:val="000A7A4D"/>
    <w:rsid w:val="000B3532"/>
    <w:rsid w:val="000B3A75"/>
    <w:rsid w:val="000C00C2"/>
    <w:rsid w:val="000C690F"/>
    <w:rsid w:val="000C6DB8"/>
    <w:rsid w:val="000D1295"/>
    <w:rsid w:val="000D38E2"/>
    <w:rsid w:val="000D391B"/>
    <w:rsid w:val="000D3D6D"/>
    <w:rsid w:val="000D4FC7"/>
    <w:rsid w:val="000D54F3"/>
    <w:rsid w:val="000E1461"/>
    <w:rsid w:val="000E6196"/>
    <w:rsid w:val="000F4869"/>
    <w:rsid w:val="000F5B42"/>
    <w:rsid w:val="000F6E6F"/>
    <w:rsid w:val="0010601F"/>
    <w:rsid w:val="0010788A"/>
    <w:rsid w:val="001078A2"/>
    <w:rsid w:val="00107A31"/>
    <w:rsid w:val="00110EA5"/>
    <w:rsid w:val="00112F56"/>
    <w:rsid w:val="00116E64"/>
    <w:rsid w:val="00117C1F"/>
    <w:rsid w:val="00122C2E"/>
    <w:rsid w:val="001230B3"/>
    <w:rsid w:val="00124ACD"/>
    <w:rsid w:val="00124FE6"/>
    <w:rsid w:val="00125318"/>
    <w:rsid w:val="001267EB"/>
    <w:rsid w:val="00130134"/>
    <w:rsid w:val="001305A2"/>
    <w:rsid w:val="00130A4A"/>
    <w:rsid w:val="00133238"/>
    <w:rsid w:val="00133A1B"/>
    <w:rsid w:val="001405D9"/>
    <w:rsid w:val="0014197B"/>
    <w:rsid w:val="001447CD"/>
    <w:rsid w:val="001516B1"/>
    <w:rsid w:val="00154EBB"/>
    <w:rsid w:val="00156316"/>
    <w:rsid w:val="00161181"/>
    <w:rsid w:val="00161D56"/>
    <w:rsid w:val="00162D14"/>
    <w:rsid w:val="00163780"/>
    <w:rsid w:val="00165389"/>
    <w:rsid w:val="001663F9"/>
    <w:rsid w:val="0017693F"/>
    <w:rsid w:val="0018110E"/>
    <w:rsid w:val="00181684"/>
    <w:rsid w:val="001843C6"/>
    <w:rsid w:val="001850E0"/>
    <w:rsid w:val="00185407"/>
    <w:rsid w:val="0019170B"/>
    <w:rsid w:val="001A03AF"/>
    <w:rsid w:val="001A2158"/>
    <w:rsid w:val="001A525F"/>
    <w:rsid w:val="001A5A00"/>
    <w:rsid w:val="001A66B8"/>
    <w:rsid w:val="001B00C6"/>
    <w:rsid w:val="001B09F9"/>
    <w:rsid w:val="001B1DA4"/>
    <w:rsid w:val="001B5C90"/>
    <w:rsid w:val="001B6448"/>
    <w:rsid w:val="001C0689"/>
    <w:rsid w:val="001C15D8"/>
    <w:rsid w:val="001C32CD"/>
    <w:rsid w:val="001C585E"/>
    <w:rsid w:val="001D2984"/>
    <w:rsid w:val="001D34FC"/>
    <w:rsid w:val="001E07CF"/>
    <w:rsid w:val="001E359E"/>
    <w:rsid w:val="001E59F1"/>
    <w:rsid w:val="001F1541"/>
    <w:rsid w:val="001F2CEE"/>
    <w:rsid w:val="001F2FCD"/>
    <w:rsid w:val="001F49EB"/>
    <w:rsid w:val="001F6CBA"/>
    <w:rsid w:val="00200352"/>
    <w:rsid w:val="00201D4E"/>
    <w:rsid w:val="00204CF9"/>
    <w:rsid w:val="00205782"/>
    <w:rsid w:val="002076C9"/>
    <w:rsid w:val="00220B8A"/>
    <w:rsid w:val="002257F3"/>
    <w:rsid w:val="002314EA"/>
    <w:rsid w:val="00233456"/>
    <w:rsid w:val="002339A5"/>
    <w:rsid w:val="002368A0"/>
    <w:rsid w:val="00250271"/>
    <w:rsid w:val="00250F35"/>
    <w:rsid w:val="00257848"/>
    <w:rsid w:val="002578E8"/>
    <w:rsid w:val="0027084A"/>
    <w:rsid w:val="00271E85"/>
    <w:rsid w:val="00272257"/>
    <w:rsid w:val="00280265"/>
    <w:rsid w:val="00286434"/>
    <w:rsid w:val="00286C59"/>
    <w:rsid w:val="00291957"/>
    <w:rsid w:val="002942D1"/>
    <w:rsid w:val="0029501A"/>
    <w:rsid w:val="00296FC1"/>
    <w:rsid w:val="002A3721"/>
    <w:rsid w:val="002A7A15"/>
    <w:rsid w:val="002B01E0"/>
    <w:rsid w:val="002B1638"/>
    <w:rsid w:val="002B3624"/>
    <w:rsid w:val="002C0D51"/>
    <w:rsid w:val="002D0952"/>
    <w:rsid w:val="002D31C1"/>
    <w:rsid w:val="002E40B3"/>
    <w:rsid w:val="002E4C9A"/>
    <w:rsid w:val="002F11F8"/>
    <w:rsid w:val="002F3F56"/>
    <w:rsid w:val="002F44B5"/>
    <w:rsid w:val="002F5122"/>
    <w:rsid w:val="00310400"/>
    <w:rsid w:val="00311AC0"/>
    <w:rsid w:val="003176FC"/>
    <w:rsid w:val="00321004"/>
    <w:rsid w:val="00324E45"/>
    <w:rsid w:val="0032583B"/>
    <w:rsid w:val="0032595E"/>
    <w:rsid w:val="0032763C"/>
    <w:rsid w:val="00327883"/>
    <w:rsid w:val="00332715"/>
    <w:rsid w:val="00332D22"/>
    <w:rsid w:val="00335504"/>
    <w:rsid w:val="00335600"/>
    <w:rsid w:val="00340C18"/>
    <w:rsid w:val="003442FD"/>
    <w:rsid w:val="00345A30"/>
    <w:rsid w:val="00347824"/>
    <w:rsid w:val="00350567"/>
    <w:rsid w:val="00350CEF"/>
    <w:rsid w:val="003521E8"/>
    <w:rsid w:val="0035647E"/>
    <w:rsid w:val="00362289"/>
    <w:rsid w:val="003624BA"/>
    <w:rsid w:val="00363D84"/>
    <w:rsid w:val="00366306"/>
    <w:rsid w:val="00366A91"/>
    <w:rsid w:val="00370CE3"/>
    <w:rsid w:val="00371A73"/>
    <w:rsid w:val="003728F3"/>
    <w:rsid w:val="003735BC"/>
    <w:rsid w:val="0037496E"/>
    <w:rsid w:val="00383221"/>
    <w:rsid w:val="00386150"/>
    <w:rsid w:val="003874CE"/>
    <w:rsid w:val="00390900"/>
    <w:rsid w:val="003A7F6C"/>
    <w:rsid w:val="003B4D60"/>
    <w:rsid w:val="003B7E39"/>
    <w:rsid w:val="003C58DC"/>
    <w:rsid w:val="003D1E62"/>
    <w:rsid w:val="003D6221"/>
    <w:rsid w:val="003E0B99"/>
    <w:rsid w:val="003E2486"/>
    <w:rsid w:val="003E3208"/>
    <w:rsid w:val="003E5E7C"/>
    <w:rsid w:val="003F0B04"/>
    <w:rsid w:val="0040134E"/>
    <w:rsid w:val="00425BFB"/>
    <w:rsid w:val="0042619D"/>
    <w:rsid w:val="004334C7"/>
    <w:rsid w:val="00440A2D"/>
    <w:rsid w:val="00441C3F"/>
    <w:rsid w:val="00444D1A"/>
    <w:rsid w:val="0044796A"/>
    <w:rsid w:val="0045186A"/>
    <w:rsid w:val="00454BDC"/>
    <w:rsid w:val="004564A7"/>
    <w:rsid w:val="00456765"/>
    <w:rsid w:val="00460036"/>
    <w:rsid w:val="00460DF5"/>
    <w:rsid w:val="004617BF"/>
    <w:rsid w:val="00463658"/>
    <w:rsid w:val="004637A0"/>
    <w:rsid w:val="00466888"/>
    <w:rsid w:val="004705FF"/>
    <w:rsid w:val="004722CC"/>
    <w:rsid w:val="00490483"/>
    <w:rsid w:val="00491315"/>
    <w:rsid w:val="004936E4"/>
    <w:rsid w:val="00494E60"/>
    <w:rsid w:val="00497487"/>
    <w:rsid w:val="004A2771"/>
    <w:rsid w:val="004A6189"/>
    <w:rsid w:val="004A7390"/>
    <w:rsid w:val="004B0233"/>
    <w:rsid w:val="004B7B76"/>
    <w:rsid w:val="004C239D"/>
    <w:rsid w:val="004C2B1B"/>
    <w:rsid w:val="004C2DCA"/>
    <w:rsid w:val="004C4FBE"/>
    <w:rsid w:val="004C61D2"/>
    <w:rsid w:val="004D2E66"/>
    <w:rsid w:val="004E7C39"/>
    <w:rsid w:val="004E7EF4"/>
    <w:rsid w:val="004F0C4A"/>
    <w:rsid w:val="004F0F38"/>
    <w:rsid w:val="004F47D6"/>
    <w:rsid w:val="00500337"/>
    <w:rsid w:val="00501921"/>
    <w:rsid w:val="00505417"/>
    <w:rsid w:val="00511ED2"/>
    <w:rsid w:val="00512359"/>
    <w:rsid w:val="00520187"/>
    <w:rsid w:val="0052149B"/>
    <w:rsid w:val="00523A21"/>
    <w:rsid w:val="00524DB2"/>
    <w:rsid w:val="00525BB6"/>
    <w:rsid w:val="00530354"/>
    <w:rsid w:val="00532491"/>
    <w:rsid w:val="0053625B"/>
    <w:rsid w:val="00541C6B"/>
    <w:rsid w:val="005434C6"/>
    <w:rsid w:val="00543B39"/>
    <w:rsid w:val="00545CDB"/>
    <w:rsid w:val="00546154"/>
    <w:rsid w:val="00550096"/>
    <w:rsid w:val="00555280"/>
    <w:rsid w:val="00555E75"/>
    <w:rsid w:val="00557FF9"/>
    <w:rsid w:val="00562327"/>
    <w:rsid w:val="00562CE9"/>
    <w:rsid w:val="00563A4C"/>
    <w:rsid w:val="005711D5"/>
    <w:rsid w:val="005747EF"/>
    <w:rsid w:val="00576378"/>
    <w:rsid w:val="00577130"/>
    <w:rsid w:val="00577945"/>
    <w:rsid w:val="00577E38"/>
    <w:rsid w:val="00584927"/>
    <w:rsid w:val="00585322"/>
    <w:rsid w:val="005855D4"/>
    <w:rsid w:val="005857C6"/>
    <w:rsid w:val="00586A85"/>
    <w:rsid w:val="00592F6E"/>
    <w:rsid w:val="00593AD1"/>
    <w:rsid w:val="005A68B6"/>
    <w:rsid w:val="005A79F5"/>
    <w:rsid w:val="005B30F5"/>
    <w:rsid w:val="005C1DE0"/>
    <w:rsid w:val="005C494B"/>
    <w:rsid w:val="005C5570"/>
    <w:rsid w:val="005C5B66"/>
    <w:rsid w:val="005C79A4"/>
    <w:rsid w:val="005D5442"/>
    <w:rsid w:val="005F03E4"/>
    <w:rsid w:val="005F1870"/>
    <w:rsid w:val="00603F32"/>
    <w:rsid w:val="00605AD4"/>
    <w:rsid w:val="006136D7"/>
    <w:rsid w:val="00616409"/>
    <w:rsid w:val="00625A6E"/>
    <w:rsid w:val="00632398"/>
    <w:rsid w:val="00632D23"/>
    <w:rsid w:val="00636BF1"/>
    <w:rsid w:val="00640FC3"/>
    <w:rsid w:val="00642020"/>
    <w:rsid w:val="006430EE"/>
    <w:rsid w:val="00643CE5"/>
    <w:rsid w:val="0065337B"/>
    <w:rsid w:val="0065419D"/>
    <w:rsid w:val="006603BC"/>
    <w:rsid w:val="006604D8"/>
    <w:rsid w:val="00664A5B"/>
    <w:rsid w:val="0066735C"/>
    <w:rsid w:val="00671B0B"/>
    <w:rsid w:val="006724CD"/>
    <w:rsid w:val="006763D2"/>
    <w:rsid w:val="00680C08"/>
    <w:rsid w:val="006901BA"/>
    <w:rsid w:val="006916A0"/>
    <w:rsid w:val="006931B1"/>
    <w:rsid w:val="006A15C0"/>
    <w:rsid w:val="006A2AAB"/>
    <w:rsid w:val="006A58A8"/>
    <w:rsid w:val="006C3E2A"/>
    <w:rsid w:val="006C5ADF"/>
    <w:rsid w:val="006C642F"/>
    <w:rsid w:val="006D03E5"/>
    <w:rsid w:val="006D272A"/>
    <w:rsid w:val="006D5D3E"/>
    <w:rsid w:val="006D6BD4"/>
    <w:rsid w:val="006D6E90"/>
    <w:rsid w:val="006E08B3"/>
    <w:rsid w:val="006E7D4A"/>
    <w:rsid w:val="006F17AC"/>
    <w:rsid w:val="006F25B8"/>
    <w:rsid w:val="006F3E50"/>
    <w:rsid w:val="006F572E"/>
    <w:rsid w:val="006F73A4"/>
    <w:rsid w:val="007003F0"/>
    <w:rsid w:val="007046D6"/>
    <w:rsid w:val="00705DB0"/>
    <w:rsid w:val="00706313"/>
    <w:rsid w:val="007104F7"/>
    <w:rsid w:val="0072292E"/>
    <w:rsid w:val="00722B57"/>
    <w:rsid w:val="007267B4"/>
    <w:rsid w:val="00730F8A"/>
    <w:rsid w:val="00733BE3"/>
    <w:rsid w:val="00735039"/>
    <w:rsid w:val="00735A8C"/>
    <w:rsid w:val="007379E5"/>
    <w:rsid w:val="00737BD2"/>
    <w:rsid w:val="0074163C"/>
    <w:rsid w:val="0074253D"/>
    <w:rsid w:val="00744121"/>
    <w:rsid w:val="0074429B"/>
    <w:rsid w:val="007615BC"/>
    <w:rsid w:val="00762F05"/>
    <w:rsid w:val="00763F89"/>
    <w:rsid w:val="0076511D"/>
    <w:rsid w:val="007652FF"/>
    <w:rsid w:val="00767F8E"/>
    <w:rsid w:val="007703EF"/>
    <w:rsid w:val="00770CAC"/>
    <w:rsid w:val="00770EF1"/>
    <w:rsid w:val="0077131A"/>
    <w:rsid w:val="00773EF7"/>
    <w:rsid w:val="00774E1D"/>
    <w:rsid w:val="007765D8"/>
    <w:rsid w:val="0077675A"/>
    <w:rsid w:val="00780355"/>
    <w:rsid w:val="007819FD"/>
    <w:rsid w:val="00785717"/>
    <w:rsid w:val="00785721"/>
    <w:rsid w:val="00792C49"/>
    <w:rsid w:val="00793A59"/>
    <w:rsid w:val="00795787"/>
    <w:rsid w:val="007A46F5"/>
    <w:rsid w:val="007A4B8A"/>
    <w:rsid w:val="007A6505"/>
    <w:rsid w:val="007B5184"/>
    <w:rsid w:val="007B6132"/>
    <w:rsid w:val="007B6E9F"/>
    <w:rsid w:val="007C1216"/>
    <w:rsid w:val="007C1AF7"/>
    <w:rsid w:val="007C6B9B"/>
    <w:rsid w:val="007D53B6"/>
    <w:rsid w:val="007D715D"/>
    <w:rsid w:val="007E05A7"/>
    <w:rsid w:val="007E11FC"/>
    <w:rsid w:val="007F5B5B"/>
    <w:rsid w:val="00804D99"/>
    <w:rsid w:val="00805D27"/>
    <w:rsid w:val="00806DCB"/>
    <w:rsid w:val="008110BC"/>
    <w:rsid w:val="00821776"/>
    <w:rsid w:val="008321F5"/>
    <w:rsid w:val="00832369"/>
    <w:rsid w:val="008332F2"/>
    <w:rsid w:val="00833ED8"/>
    <w:rsid w:val="00834660"/>
    <w:rsid w:val="00834D40"/>
    <w:rsid w:val="00836BC2"/>
    <w:rsid w:val="0085156D"/>
    <w:rsid w:val="00852B28"/>
    <w:rsid w:val="0085435A"/>
    <w:rsid w:val="0085641B"/>
    <w:rsid w:val="00857136"/>
    <w:rsid w:val="008624F4"/>
    <w:rsid w:val="00865B03"/>
    <w:rsid w:val="00871090"/>
    <w:rsid w:val="00875A6B"/>
    <w:rsid w:val="00885B11"/>
    <w:rsid w:val="00886D15"/>
    <w:rsid w:val="00887DD8"/>
    <w:rsid w:val="00891BA9"/>
    <w:rsid w:val="00896018"/>
    <w:rsid w:val="008960DD"/>
    <w:rsid w:val="0089635C"/>
    <w:rsid w:val="008965CC"/>
    <w:rsid w:val="008A2B9D"/>
    <w:rsid w:val="008A3D9F"/>
    <w:rsid w:val="008A5E0B"/>
    <w:rsid w:val="008A6D59"/>
    <w:rsid w:val="008B4B03"/>
    <w:rsid w:val="008B596F"/>
    <w:rsid w:val="008C159F"/>
    <w:rsid w:val="008C1623"/>
    <w:rsid w:val="008C1850"/>
    <w:rsid w:val="008C269E"/>
    <w:rsid w:val="008C51A9"/>
    <w:rsid w:val="008D04EA"/>
    <w:rsid w:val="008E7846"/>
    <w:rsid w:val="008F02E5"/>
    <w:rsid w:val="008F1CCC"/>
    <w:rsid w:val="008F2967"/>
    <w:rsid w:val="008F36C5"/>
    <w:rsid w:val="008F6943"/>
    <w:rsid w:val="00902A21"/>
    <w:rsid w:val="00903472"/>
    <w:rsid w:val="009121B5"/>
    <w:rsid w:val="009138C5"/>
    <w:rsid w:val="0091523F"/>
    <w:rsid w:val="00920330"/>
    <w:rsid w:val="009219D7"/>
    <w:rsid w:val="00922D53"/>
    <w:rsid w:val="009233F7"/>
    <w:rsid w:val="00923B70"/>
    <w:rsid w:val="00924482"/>
    <w:rsid w:val="00930237"/>
    <w:rsid w:val="00930431"/>
    <w:rsid w:val="00930EA9"/>
    <w:rsid w:val="00934CEF"/>
    <w:rsid w:val="00937C17"/>
    <w:rsid w:val="00940A89"/>
    <w:rsid w:val="00941F77"/>
    <w:rsid w:val="00945E04"/>
    <w:rsid w:val="00946EA5"/>
    <w:rsid w:val="009536FD"/>
    <w:rsid w:val="009556D7"/>
    <w:rsid w:val="00960284"/>
    <w:rsid w:val="00960520"/>
    <w:rsid w:val="00963637"/>
    <w:rsid w:val="00963C08"/>
    <w:rsid w:val="009752A5"/>
    <w:rsid w:val="0098585A"/>
    <w:rsid w:val="00986C48"/>
    <w:rsid w:val="009919B3"/>
    <w:rsid w:val="00991E33"/>
    <w:rsid w:val="009969A4"/>
    <w:rsid w:val="009A4CED"/>
    <w:rsid w:val="009A5C9A"/>
    <w:rsid w:val="009A690D"/>
    <w:rsid w:val="009B1D12"/>
    <w:rsid w:val="009B217A"/>
    <w:rsid w:val="009B416B"/>
    <w:rsid w:val="009B6D83"/>
    <w:rsid w:val="009C4BD5"/>
    <w:rsid w:val="009D1FA4"/>
    <w:rsid w:val="009D2854"/>
    <w:rsid w:val="009D7B77"/>
    <w:rsid w:val="009E0B92"/>
    <w:rsid w:val="009E0BB0"/>
    <w:rsid w:val="009E18F1"/>
    <w:rsid w:val="009E3FBB"/>
    <w:rsid w:val="009E5A87"/>
    <w:rsid w:val="009F17D3"/>
    <w:rsid w:val="009F2673"/>
    <w:rsid w:val="009F64B6"/>
    <w:rsid w:val="009F7353"/>
    <w:rsid w:val="00A00D37"/>
    <w:rsid w:val="00A02AB2"/>
    <w:rsid w:val="00A035A1"/>
    <w:rsid w:val="00A04F85"/>
    <w:rsid w:val="00A05FA4"/>
    <w:rsid w:val="00A070BB"/>
    <w:rsid w:val="00A102E4"/>
    <w:rsid w:val="00A11EDF"/>
    <w:rsid w:val="00A1219C"/>
    <w:rsid w:val="00A12C42"/>
    <w:rsid w:val="00A14DF7"/>
    <w:rsid w:val="00A2016B"/>
    <w:rsid w:val="00A22D57"/>
    <w:rsid w:val="00A3246D"/>
    <w:rsid w:val="00A3315E"/>
    <w:rsid w:val="00A36FA7"/>
    <w:rsid w:val="00A44DDB"/>
    <w:rsid w:val="00A475B7"/>
    <w:rsid w:val="00A47AF7"/>
    <w:rsid w:val="00A47C3E"/>
    <w:rsid w:val="00A50226"/>
    <w:rsid w:val="00A60BAD"/>
    <w:rsid w:val="00A72DE9"/>
    <w:rsid w:val="00A75139"/>
    <w:rsid w:val="00A77F87"/>
    <w:rsid w:val="00A80B5B"/>
    <w:rsid w:val="00A84E36"/>
    <w:rsid w:val="00A964D1"/>
    <w:rsid w:val="00AA0ED0"/>
    <w:rsid w:val="00AA4DFB"/>
    <w:rsid w:val="00AC2B40"/>
    <w:rsid w:val="00AC2BB2"/>
    <w:rsid w:val="00AC2C3C"/>
    <w:rsid w:val="00AC512D"/>
    <w:rsid w:val="00AC69DD"/>
    <w:rsid w:val="00AD0083"/>
    <w:rsid w:val="00AD3935"/>
    <w:rsid w:val="00AD7385"/>
    <w:rsid w:val="00AE65EB"/>
    <w:rsid w:val="00AE67A7"/>
    <w:rsid w:val="00AF1D94"/>
    <w:rsid w:val="00AF2313"/>
    <w:rsid w:val="00AF60C5"/>
    <w:rsid w:val="00B009C6"/>
    <w:rsid w:val="00B01548"/>
    <w:rsid w:val="00B05940"/>
    <w:rsid w:val="00B130C5"/>
    <w:rsid w:val="00B13EBD"/>
    <w:rsid w:val="00B1406F"/>
    <w:rsid w:val="00B21D29"/>
    <w:rsid w:val="00B2293F"/>
    <w:rsid w:val="00B25034"/>
    <w:rsid w:val="00B33588"/>
    <w:rsid w:val="00B336AD"/>
    <w:rsid w:val="00B33863"/>
    <w:rsid w:val="00B37D17"/>
    <w:rsid w:val="00B4175E"/>
    <w:rsid w:val="00B41C85"/>
    <w:rsid w:val="00B43E80"/>
    <w:rsid w:val="00B452CE"/>
    <w:rsid w:val="00B51402"/>
    <w:rsid w:val="00B53A38"/>
    <w:rsid w:val="00B54C25"/>
    <w:rsid w:val="00B55CF1"/>
    <w:rsid w:val="00B76B91"/>
    <w:rsid w:val="00B774F7"/>
    <w:rsid w:val="00B77EB1"/>
    <w:rsid w:val="00B811C6"/>
    <w:rsid w:val="00B855B0"/>
    <w:rsid w:val="00B92E08"/>
    <w:rsid w:val="00BB0B78"/>
    <w:rsid w:val="00BB18E7"/>
    <w:rsid w:val="00BB75D6"/>
    <w:rsid w:val="00BC622A"/>
    <w:rsid w:val="00BE0A78"/>
    <w:rsid w:val="00BE178B"/>
    <w:rsid w:val="00BE6542"/>
    <w:rsid w:val="00BE79F0"/>
    <w:rsid w:val="00BF046D"/>
    <w:rsid w:val="00BF1190"/>
    <w:rsid w:val="00BF2613"/>
    <w:rsid w:val="00BF3774"/>
    <w:rsid w:val="00BF5D04"/>
    <w:rsid w:val="00BF6529"/>
    <w:rsid w:val="00BF7063"/>
    <w:rsid w:val="00C009AA"/>
    <w:rsid w:val="00C1164D"/>
    <w:rsid w:val="00C16861"/>
    <w:rsid w:val="00C200A0"/>
    <w:rsid w:val="00C34133"/>
    <w:rsid w:val="00C346AB"/>
    <w:rsid w:val="00C404A6"/>
    <w:rsid w:val="00C40A36"/>
    <w:rsid w:val="00C40D10"/>
    <w:rsid w:val="00C44419"/>
    <w:rsid w:val="00C45E7B"/>
    <w:rsid w:val="00C471B1"/>
    <w:rsid w:val="00C525A2"/>
    <w:rsid w:val="00C52E24"/>
    <w:rsid w:val="00C5477C"/>
    <w:rsid w:val="00C54D84"/>
    <w:rsid w:val="00C6316B"/>
    <w:rsid w:val="00C634A9"/>
    <w:rsid w:val="00C64586"/>
    <w:rsid w:val="00C70A36"/>
    <w:rsid w:val="00C70D53"/>
    <w:rsid w:val="00C73D0B"/>
    <w:rsid w:val="00C74F5C"/>
    <w:rsid w:val="00C772FF"/>
    <w:rsid w:val="00C77326"/>
    <w:rsid w:val="00C80137"/>
    <w:rsid w:val="00C801AF"/>
    <w:rsid w:val="00C80256"/>
    <w:rsid w:val="00C86E14"/>
    <w:rsid w:val="00C87BFF"/>
    <w:rsid w:val="00C87FAA"/>
    <w:rsid w:val="00C94CD4"/>
    <w:rsid w:val="00C95625"/>
    <w:rsid w:val="00C9747E"/>
    <w:rsid w:val="00CA5713"/>
    <w:rsid w:val="00CB595E"/>
    <w:rsid w:val="00CB6BC0"/>
    <w:rsid w:val="00CC1B7C"/>
    <w:rsid w:val="00CC5044"/>
    <w:rsid w:val="00CC727F"/>
    <w:rsid w:val="00CF15C3"/>
    <w:rsid w:val="00CF2B6F"/>
    <w:rsid w:val="00CF2F3E"/>
    <w:rsid w:val="00CF58B6"/>
    <w:rsid w:val="00CF5DAD"/>
    <w:rsid w:val="00D0062D"/>
    <w:rsid w:val="00D017ED"/>
    <w:rsid w:val="00D040D3"/>
    <w:rsid w:val="00D04C65"/>
    <w:rsid w:val="00D14168"/>
    <w:rsid w:val="00D153D8"/>
    <w:rsid w:val="00D15D77"/>
    <w:rsid w:val="00D201D2"/>
    <w:rsid w:val="00D212F3"/>
    <w:rsid w:val="00D224FE"/>
    <w:rsid w:val="00D23139"/>
    <w:rsid w:val="00D26760"/>
    <w:rsid w:val="00D342A4"/>
    <w:rsid w:val="00D425BB"/>
    <w:rsid w:val="00D453FA"/>
    <w:rsid w:val="00D56348"/>
    <w:rsid w:val="00D6493E"/>
    <w:rsid w:val="00D71435"/>
    <w:rsid w:val="00D7195D"/>
    <w:rsid w:val="00D72CBA"/>
    <w:rsid w:val="00D7301E"/>
    <w:rsid w:val="00D740B2"/>
    <w:rsid w:val="00D83AE1"/>
    <w:rsid w:val="00D854AC"/>
    <w:rsid w:val="00D855D4"/>
    <w:rsid w:val="00D86F31"/>
    <w:rsid w:val="00D902C9"/>
    <w:rsid w:val="00D93466"/>
    <w:rsid w:val="00D97BDB"/>
    <w:rsid w:val="00DA1124"/>
    <w:rsid w:val="00DA64CB"/>
    <w:rsid w:val="00DB06B8"/>
    <w:rsid w:val="00DB6124"/>
    <w:rsid w:val="00DB750B"/>
    <w:rsid w:val="00DB75B7"/>
    <w:rsid w:val="00DC0A2F"/>
    <w:rsid w:val="00DC1948"/>
    <w:rsid w:val="00DC6E02"/>
    <w:rsid w:val="00DD0A8A"/>
    <w:rsid w:val="00DD28CD"/>
    <w:rsid w:val="00DE02AE"/>
    <w:rsid w:val="00DE0833"/>
    <w:rsid w:val="00DE39D1"/>
    <w:rsid w:val="00DE59D4"/>
    <w:rsid w:val="00DF1D7F"/>
    <w:rsid w:val="00DF397A"/>
    <w:rsid w:val="00DF4BE4"/>
    <w:rsid w:val="00DF7C6F"/>
    <w:rsid w:val="00E01B70"/>
    <w:rsid w:val="00E02382"/>
    <w:rsid w:val="00E02FB4"/>
    <w:rsid w:val="00E071C4"/>
    <w:rsid w:val="00E13FC7"/>
    <w:rsid w:val="00E20571"/>
    <w:rsid w:val="00E22B2C"/>
    <w:rsid w:val="00E235F7"/>
    <w:rsid w:val="00E23659"/>
    <w:rsid w:val="00E237B8"/>
    <w:rsid w:val="00E239D4"/>
    <w:rsid w:val="00E26130"/>
    <w:rsid w:val="00E33D42"/>
    <w:rsid w:val="00E37AB8"/>
    <w:rsid w:val="00E40B22"/>
    <w:rsid w:val="00E44ED1"/>
    <w:rsid w:val="00E45619"/>
    <w:rsid w:val="00E4588F"/>
    <w:rsid w:val="00E46DA3"/>
    <w:rsid w:val="00E51BB1"/>
    <w:rsid w:val="00E55CB0"/>
    <w:rsid w:val="00E624A5"/>
    <w:rsid w:val="00E64BA4"/>
    <w:rsid w:val="00E67060"/>
    <w:rsid w:val="00E70D5C"/>
    <w:rsid w:val="00E7344E"/>
    <w:rsid w:val="00E74A73"/>
    <w:rsid w:val="00E82665"/>
    <w:rsid w:val="00E84C52"/>
    <w:rsid w:val="00EB0798"/>
    <w:rsid w:val="00EB0D5F"/>
    <w:rsid w:val="00EB36D6"/>
    <w:rsid w:val="00EB40AD"/>
    <w:rsid w:val="00EB586E"/>
    <w:rsid w:val="00EB5FC8"/>
    <w:rsid w:val="00EC463D"/>
    <w:rsid w:val="00EC7A85"/>
    <w:rsid w:val="00ED2922"/>
    <w:rsid w:val="00ED3CAD"/>
    <w:rsid w:val="00ED5A41"/>
    <w:rsid w:val="00EE1DE8"/>
    <w:rsid w:val="00EE27C2"/>
    <w:rsid w:val="00EF4BAD"/>
    <w:rsid w:val="00EF59DC"/>
    <w:rsid w:val="00EF7B04"/>
    <w:rsid w:val="00F00888"/>
    <w:rsid w:val="00F033EC"/>
    <w:rsid w:val="00F04A63"/>
    <w:rsid w:val="00F04F68"/>
    <w:rsid w:val="00F12670"/>
    <w:rsid w:val="00F143B6"/>
    <w:rsid w:val="00F14B27"/>
    <w:rsid w:val="00F20FF1"/>
    <w:rsid w:val="00F22B32"/>
    <w:rsid w:val="00F3148D"/>
    <w:rsid w:val="00F325C5"/>
    <w:rsid w:val="00F32FE0"/>
    <w:rsid w:val="00F35298"/>
    <w:rsid w:val="00F452F4"/>
    <w:rsid w:val="00F47333"/>
    <w:rsid w:val="00F4756E"/>
    <w:rsid w:val="00F47E37"/>
    <w:rsid w:val="00F53C07"/>
    <w:rsid w:val="00F54B65"/>
    <w:rsid w:val="00F63DBF"/>
    <w:rsid w:val="00F640B6"/>
    <w:rsid w:val="00F649FF"/>
    <w:rsid w:val="00F65E1C"/>
    <w:rsid w:val="00F66DF2"/>
    <w:rsid w:val="00F80E40"/>
    <w:rsid w:val="00F82DCD"/>
    <w:rsid w:val="00F848D9"/>
    <w:rsid w:val="00F931CE"/>
    <w:rsid w:val="00FA4BBA"/>
    <w:rsid w:val="00FA5069"/>
    <w:rsid w:val="00FA5B82"/>
    <w:rsid w:val="00FA639E"/>
    <w:rsid w:val="00FC1FCA"/>
    <w:rsid w:val="00FC25E4"/>
    <w:rsid w:val="00FC49C4"/>
    <w:rsid w:val="00FC4EF7"/>
    <w:rsid w:val="00FD0824"/>
    <w:rsid w:val="00FD0DDD"/>
    <w:rsid w:val="00FD119B"/>
    <w:rsid w:val="00FD1EDC"/>
    <w:rsid w:val="00FE1DEE"/>
    <w:rsid w:val="00FE4B4B"/>
    <w:rsid w:val="00FF2126"/>
    <w:rsid w:val="00FF5755"/>
    <w:rsid w:val="00FF69BE"/>
    <w:rsid w:val="00FF700D"/>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573F5"/>
  <w15:docId w15:val="{1E39A2F3-925F-4192-8746-B77EC1F30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9E0B9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customStyle="1" w:styleId="Standard">
    <w:name w:val="Standard"/>
    <w:basedOn w:val="Normal"/>
    <w:link w:val="StandardChar"/>
    <w:qFormat/>
    <w:rsid w:val="009E18F1"/>
    <w:pPr>
      <w:spacing w:before="0" w:after="180" w:line="276" w:lineRule="auto"/>
    </w:pPr>
    <w:rPr>
      <w:rFonts w:eastAsia="Times New Roman"/>
      <w:snapToGrid w:val="0"/>
      <w:kern w:val="16"/>
      <w:szCs w:val="24"/>
    </w:rPr>
  </w:style>
  <w:style w:type="character" w:customStyle="1" w:styleId="StandardChar">
    <w:name w:val="Standard Char"/>
    <w:basedOn w:val="DefaultParagraphFont"/>
    <w:link w:val="Standard"/>
    <w:rsid w:val="009E18F1"/>
    <w:rPr>
      <w:rFonts w:ascii="Cambria" w:eastAsia="Times New Roman" w:hAnsi="Cambria" w:cs="Times New Roman"/>
      <w:snapToGrid w:val="0"/>
      <w:kern w:val="16"/>
      <w:szCs w:val="24"/>
    </w:rPr>
  </w:style>
  <w:style w:type="character" w:customStyle="1" w:styleId="TabletextChar">
    <w:name w:val="Table text Char"/>
    <w:basedOn w:val="StandardChar"/>
    <w:link w:val="Tabletext"/>
    <w:rsid w:val="009B217A"/>
    <w:rPr>
      <w:rFonts w:ascii="Cambria" w:eastAsia="Cambria" w:hAnsi="Cambria" w:cs="Times New Roman"/>
      <w:snapToGrid/>
      <w:kern w:val="16"/>
      <w:sz w:val="19"/>
      <w:szCs w:val="24"/>
    </w:rPr>
  </w:style>
  <w:style w:type="paragraph" w:styleId="ListParagraph">
    <w:name w:val="List Paragraph"/>
    <w:basedOn w:val="Normal"/>
    <w:uiPriority w:val="34"/>
    <w:qFormat/>
    <w:rsid w:val="00520187"/>
    <w:pPr>
      <w:adjustRightInd w:val="0"/>
      <w:snapToGrid w:val="0"/>
      <w:spacing w:before="180" w:after="180"/>
      <w:ind w:left="720"/>
      <w:contextualSpacing/>
    </w:pPr>
    <w:rPr>
      <w:rFonts w:eastAsia="MS Mincho"/>
      <w:szCs w:val="20"/>
      <w:lang w:eastAsia="ja-JP"/>
    </w:rPr>
  </w:style>
  <w:style w:type="character" w:styleId="UnresolvedMention">
    <w:name w:val="Unresolved Mention"/>
    <w:basedOn w:val="DefaultParagraphFont"/>
    <w:uiPriority w:val="99"/>
    <w:semiHidden/>
    <w:unhideWhenUsed/>
    <w:rsid w:val="00200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472262444">
      <w:bodyDiv w:val="1"/>
      <w:marLeft w:val="0"/>
      <w:marRight w:val="0"/>
      <w:marTop w:val="0"/>
      <w:marBottom w:val="0"/>
      <w:divBdr>
        <w:top w:val="none" w:sz="0" w:space="0" w:color="auto"/>
        <w:left w:val="none" w:sz="0" w:space="0" w:color="auto"/>
        <w:bottom w:val="none" w:sz="0" w:space="0" w:color="auto"/>
        <w:right w:val="none" w:sz="0" w:space="0" w:color="auto"/>
      </w:divBdr>
    </w:div>
    <w:div w:id="622031280">
      <w:bodyDiv w:val="1"/>
      <w:marLeft w:val="0"/>
      <w:marRight w:val="0"/>
      <w:marTop w:val="0"/>
      <w:marBottom w:val="0"/>
      <w:divBdr>
        <w:top w:val="none" w:sz="0" w:space="0" w:color="auto"/>
        <w:left w:val="none" w:sz="0" w:space="0" w:color="auto"/>
        <w:bottom w:val="none" w:sz="0" w:space="0" w:color="auto"/>
        <w:right w:val="none" w:sz="0" w:space="0" w:color="auto"/>
      </w:divBdr>
    </w:div>
    <w:div w:id="634024593">
      <w:bodyDiv w:val="1"/>
      <w:marLeft w:val="0"/>
      <w:marRight w:val="0"/>
      <w:marTop w:val="0"/>
      <w:marBottom w:val="0"/>
      <w:divBdr>
        <w:top w:val="none" w:sz="0" w:space="0" w:color="auto"/>
        <w:left w:val="none" w:sz="0" w:space="0" w:color="auto"/>
        <w:bottom w:val="none" w:sz="0" w:space="0" w:color="auto"/>
        <w:right w:val="none" w:sz="0" w:space="0" w:color="auto"/>
      </w:divBdr>
    </w:div>
    <w:div w:id="680276805">
      <w:bodyDiv w:val="1"/>
      <w:marLeft w:val="0"/>
      <w:marRight w:val="0"/>
      <w:marTop w:val="0"/>
      <w:marBottom w:val="0"/>
      <w:divBdr>
        <w:top w:val="none" w:sz="0" w:space="0" w:color="auto"/>
        <w:left w:val="none" w:sz="0" w:space="0" w:color="auto"/>
        <w:bottom w:val="none" w:sz="0" w:space="0" w:color="auto"/>
        <w:right w:val="none" w:sz="0" w:space="0" w:color="auto"/>
      </w:divBdr>
    </w:div>
    <w:div w:id="971978123">
      <w:bodyDiv w:val="1"/>
      <w:marLeft w:val="0"/>
      <w:marRight w:val="0"/>
      <w:marTop w:val="0"/>
      <w:marBottom w:val="0"/>
      <w:divBdr>
        <w:top w:val="none" w:sz="0" w:space="0" w:color="auto"/>
        <w:left w:val="none" w:sz="0" w:space="0" w:color="auto"/>
        <w:bottom w:val="none" w:sz="0" w:space="0" w:color="auto"/>
        <w:right w:val="none" w:sz="0" w:space="0" w:color="auto"/>
      </w:divBdr>
    </w:div>
    <w:div w:id="989752356">
      <w:bodyDiv w:val="1"/>
      <w:marLeft w:val="0"/>
      <w:marRight w:val="0"/>
      <w:marTop w:val="0"/>
      <w:marBottom w:val="0"/>
      <w:divBdr>
        <w:top w:val="none" w:sz="0" w:space="0" w:color="auto"/>
        <w:left w:val="none" w:sz="0" w:space="0" w:color="auto"/>
        <w:bottom w:val="none" w:sz="0" w:space="0" w:color="auto"/>
        <w:right w:val="none" w:sz="0" w:space="0" w:color="auto"/>
      </w:divBdr>
    </w:div>
    <w:div w:id="1408067808">
      <w:bodyDiv w:val="1"/>
      <w:marLeft w:val="0"/>
      <w:marRight w:val="0"/>
      <w:marTop w:val="0"/>
      <w:marBottom w:val="0"/>
      <w:divBdr>
        <w:top w:val="none" w:sz="0" w:space="0" w:color="auto"/>
        <w:left w:val="none" w:sz="0" w:space="0" w:color="auto"/>
        <w:bottom w:val="none" w:sz="0" w:space="0" w:color="auto"/>
        <w:right w:val="none" w:sz="0" w:space="0" w:color="auto"/>
      </w:divBdr>
    </w:div>
    <w:div w:id="1412891166">
      <w:bodyDiv w:val="1"/>
      <w:marLeft w:val="0"/>
      <w:marRight w:val="0"/>
      <w:marTop w:val="0"/>
      <w:marBottom w:val="0"/>
      <w:divBdr>
        <w:top w:val="none" w:sz="0" w:space="0" w:color="auto"/>
        <w:left w:val="none" w:sz="0" w:space="0" w:color="auto"/>
        <w:bottom w:val="none" w:sz="0" w:space="0" w:color="auto"/>
        <w:right w:val="none" w:sz="0" w:space="0" w:color="auto"/>
      </w:divBdr>
    </w:div>
    <w:div w:id="1520926227">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40467370">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06459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ealth.gov.au/initiatives-and-progr%C3%A4ms/covid-19-vaccines" TargetMode="External"/><Relationship Id="rId26" Type="http://schemas.openxmlformats.org/officeDocument/2006/relationships/hyperlink" Target="https://www.fda.gov/regulatory-information/search-fda-guidance-documents/covid-19-developing-drugs-and-biological-products-treatment-or-prevention" TargetMode="External"/><Relationship Id="rId39" Type="http://schemas.openxmlformats.org/officeDocument/2006/relationships/image" Target="media/image13.png"/><Relationship Id="rId21" Type="http://schemas.openxmlformats.org/officeDocument/2006/relationships/hyperlink" Target="https://www.tga.gov.au/access-consortium-alignment-icmra-consensus-immunobridging-authorising-new-covid-19-vaccines" TargetMode="External"/><Relationship Id="rId34" Type="http://schemas.openxmlformats.org/officeDocument/2006/relationships/image" Target="media/image8.png"/><Relationship Id="rId42" Type="http://schemas.openxmlformats.org/officeDocument/2006/relationships/hyperlink" Target="https://www.tga.gov.au/tgas-risk-management-approach" TargetMode="External"/><Relationship Id="rId47" Type="http://schemas.openxmlformats.org/officeDocument/2006/relationships/hyperlink" Target="https://covid.cdc.gov/covid-data-tracker/" TargetMode="External"/><Relationship Id="rId50" Type="http://schemas.openxmlformats.org/officeDocument/2006/relationships/hyperlink" Target="https://www.tga.gov.au/guidance-7-certified-product-details%20" TargetMode="External"/><Relationship Id="rId55" Type="http://schemas.openxmlformats.org/officeDocument/2006/relationships/header" Target="header4.xml"/><Relationship Id="rId63"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ga.gov.au/products/covid-19/covid-19-vaccines" TargetMode="External"/><Relationship Id="rId20" Type="http://schemas.openxmlformats.org/officeDocument/2006/relationships/hyperlink" Target="https://www.tga.gov.au/access-consortium-statement-covid-19-vaccines-evidence" TargetMode="External"/><Relationship Id="rId29" Type="http://schemas.openxmlformats.org/officeDocument/2006/relationships/image" Target="media/image3.png"/><Relationship Id="rId41" Type="http://schemas.openxmlformats.org/officeDocument/2006/relationships/hyperlink" Target="https://www.tga.gov.au/publication/risk-management-plans-medicines-and-biologicals" TargetMode="External"/><Relationship Id="rId54" Type="http://schemas.openxmlformats.org/officeDocument/2006/relationships/header" Target="header3.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fda.gov/regulatory-information/search-fda-guidance-documents/development-and-licensure-vaccines-prevent-covid-19"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hyperlink" Target="https://www.tga.gov.au/picmi-search-facility" TargetMode="External"/><Relationship Id="rId58" Type="http://schemas.openxmlformats.org/officeDocument/2006/relationships/hyperlink" Target="mailto:info@tga.gov.au"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ga.gov.au/news/media-releases/tga-approves-name-change-covid-19-vaccine-astrazeneca-vaxzevria" TargetMode="External"/><Relationship Id="rId23" Type="http://schemas.openxmlformats.org/officeDocument/2006/relationships/hyperlink" Target="https://www.ema.europa.eu/en/ema-considerations-covid-19-vaccine-approval-scientific-guideline" TargetMode="External"/><Relationship Id="rId28" Type="http://schemas.openxmlformats.org/officeDocument/2006/relationships/image" Target="media/image2.emf"/><Relationship Id="rId36" Type="http://schemas.openxmlformats.org/officeDocument/2006/relationships/image" Target="media/image10.png"/><Relationship Id="rId49" Type="http://schemas.openxmlformats.org/officeDocument/2006/relationships/hyperlink" Target="mailto:vaccines@health.gov.au" TargetMode="External"/><Relationship Id="rId57" Type="http://schemas.openxmlformats.org/officeDocument/2006/relationships/footer" Target="footer2.xml"/><Relationship Id="rId61"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hyperlink" Target="https://www.tga.gov.au/picmi-search-facility" TargetMode="External"/><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hyperlink" Target="mailto:Vaccines@health.gov.au" TargetMode="External"/><Relationship Id="rId60" Type="http://schemas.openxmlformats.org/officeDocument/2006/relationships/header" Target="header6.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hyperlink" Target="https://www.tga.gov.au/resources/resource/international-scientific-guidelines/international-scientific-guideline-guideline-clinical-evaluation-new-vaccines" TargetMode="External"/><Relationship Id="rId27" Type="http://schemas.openxmlformats.org/officeDocument/2006/relationships/hyperlink" Target="https://www.who.int/docs/default-source/blue-print/working-group-for-vaccine-evaluation-(4th-consultation)/ap1-guidelines-online-consultation.pdf"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hyperlink" Target="https://www.tga.gov.au/committee/advisory-committee-vaccines-acv" TargetMode="External"/><Relationship Id="rId56" Type="http://schemas.openxmlformats.org/officeDocument/2006/relationships/header" Target="header5.xml"/><Relationship Id="rId64" Type="http://schemas.openxmlformats.org/officeDocument/2006/relationships/footer" Target="footer4.xml"/><Relationship Id="rId8" Type="http://schemas.openxmlformats.org/officeDocument/2006/relationships/hyperlink" Target="https://www.tga.gov.au" TargetMode="External"/><Relationship Id="rId51" Type="http://schemas.openxmlformats.org/officeDocument/2006/relationships/hyperlink" Target="https://www.tga.gov.au/form/certified-product-details-cpd-biological-prescription-medicine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immunisationhandbook.health.gov.au/" TargetMode="External"/><Relationship Id="rId25" Type="http://schemas.openxmlformats.org/officeDocument/2006/relationships/hyperlink" Target="https://www.fda.gov/regulatory-information/search-fda-guidance-documents/emergency-use-authorization-vaccines-prevent-covid-19"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resources/auspar/auspar-spikevax-bivalent-originalomicron" TargetMode="External"/><Relationship Id="rId2" Type="http://schemas.openxmlformats.org/officeDocument/2006/relationships/hyperlink" Target="https://covid19.who.int/region/wpro/country/au" TargetMode="External"/><Relationship Id="rId1" Type="http://schemas.openxmlformats.org/officeDocument/2006/relationships/hyperlink" Target="https://www.health.gov.au/health-alerts/covid-19/case-numbers-and-statistics" TargetMode="External"/><Relationship Id="rId4" Type="http://schemas.openxmlformats.org/officeDocument/2006/relationships/hyperlink" Target="https://www.tga.gov.au/resources/auspar/auspar-spikevax-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8928\D22-5542303%20%20AusPAR%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67561-D336-4614-A77E-B53A3249B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template(2).DOTX</Template>
  <TotalTime>84</TotalTime>
  <Pages>63</Pages>
  <Words>26454</Words>
  <Characters>140207</Characters>
  <Application>Microsoft Office Word</Application>
  <DocSecurity>0</DocSecurity>
  <Lines>4381</Lines>
  <Paragraphs>1772</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164889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Spikevax bivalent Original/Omicron BA.4-5</dc:title>
  <dc:subject>prescription medicine regulation</dc:subject>
  <dc:creator>Therapeutic Goods Administration</dc:creator>
  <cp:keywords/>
  <cp:lastModifiedBy>PITKIN, Brendan</cp:lastModifiedBy>
  <cp:revision>11</cp:revision>
  <cp:lastPrinted>2019-08-14T04:30:00Z</cp:lastPrinted>
  <dcterms:created xsi:type="dcterms:W3CDTF">2023-02-23T23:51:00Z</dcterms:created>
  <dcterms:modified xsi:type="dcterms:W3CDTF">2023-02-28T04:49:00Z</dcterms:modified>
  <cp:category/>
</cp:coreProperties>
</file>