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3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E04ABD">
        <w:tc>
          <w:tcPr>
            <w:tcW w:w="8720" w:type="dxa"/>
          </w:tcPr>
          <w:p w14:paraId="158C7559" w14:textId="068133DF" w:rsidR="0025660C" w:rsidRPr="00077548" w:rsidRDefault="00597B50" w:rsidP="00E04ABD">
            <w:pPr>
              <w:pStyle w:val="Title"/>
            </w:pPr>
            <w:r w:rsidRPr="00597B50">
              <w:t>Notice of final decisions to amend (or not amend) the current Poisons Standard</w:t>
            </w:r>
          </w:p>
        </w:tc>
      </w:tr>
      <w:tr w:rsidR="0025660C" w14:paraId="3393FE2A" w14:textId="77777777" w:rsidTr="00E04ABD">
        <w:trPr>
          <w:trHeight w:val="810"/>
        </w:trPr>
        <w:tc>
          <w:tcPr>
            <w:tcW w:w="8720" w:type="dxa"/>
          </w:tcPr>
          <w:p w14:paraId="38D3E20E" w14:textId="48D85473" w:rsidR="0025660C" w:rsidRPr="00077548" w:rsidRDefault="00BC3923" w:rsidP="00E04ABD">
            <w:pPr>
              <w:pStyle w:val="Subtitle"/>
              <w:tabs>
                <w:tab w:val="left" w:pos="5310"/>
              </w:tabs>
              <w:ind w:left="0"/>
            </w:pPr>
            <w:r>
              <w:t>20</w:t>
            </w:r>
            <w:r w:rsidR="002339DF">
              <w:t xml:space="preserve"> January 2023</w:t>
            </w:r>
            <w:r w:rsidR="00AA34FC">
              <w:t xml:space="preserve"> </w:t>
            </w:r>
          </w:p>
        </w:tc>
      </w:tr>
      <w:tr w:rsidR="0025660C" w14:paraId="0C412F80" w14:textId="77777777" w:rsidTr="00E04ABD">
        <w:trPr>
          <w:trHeight w:val="884"/>
        </w:trPr>
        <w:tc>
          <w:tcPr>
            <w:tcW w:w="8720" w:type="dxa"/>
          </w:tcPr>
          <w:p w14:paraId="4F8A6B3F" w14:textId="222527CF" w:rsidR="005A5916" w:rsidRPr="00EB4571" w:rsidRDefault="005A5916" w:rsidP="00E04ABD">
            <w:pPr>
              <w:pStyle w:val="NonTOCheading2"/>
              <w:spacing w:before="240"/>
              <w:rPr>
                <w:rFonts w:asciiTheme="majorHAnsi" w:hAnsiTheme="majorHAnsi" w:cstheme="majorHAnsi"/>
                <w:b w:val="0"/>
                <w:szCs w:val="22"/>
              </w:rPr>
            </w:pPr>
          </w:p>
        </w:tc>
      </w:tr>
      <w:tr w:rsidR="0025660C" w14:paraId="7FC07B7E" w14:textId="77777777" w:rsidTr="00E04ABD">
        <w:trPr>
          <w:trHeight w:val="601"/>
        </w:trPr>
        <w:tc>
          <w:tcPr>
            <w:tcW w:w="8720" w:type="dxa"/>
          </w:tcPr>
          <w:p w14:paraId="3BC7EC49" w14:textId="762FD230" w:rsidR="0025660C" w:rsidRDefault="0025660C" w:rsidP="00E04ABD">
            <w:pPr>
              <w:pStyle w:val="Date"/>
            </w:pP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0B36DC0D" w:rsidR="007907BF" w:rsidRDefault="007907BF" w:rsidP="007907BF">
      <w:pPr>
        <w:pStyle w:val="LegalCopy"/>
      </w:pPr>
      <w:r w:rsidRPr="009401F6">
        <w:t>© Commonwealth of Australia 20</w:t>
      </w:r>
      <w:r>
        <w:t>2</w:t>
      </w:r>
      <w:r w:rsidR="00D77C24">
        <w:t>3</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tab/>
      </w:r>
    </w:p>
    <w:bookmarkStart w:id="0" w:name="_Toc323740418" w:displacedByCustomXml="next"/>
    <w:bookmarkStart w:id="1" w:name="_Toc328388475" w:displacedByCustomXml="next"/>
    <w:bookmarkStart w:id="2" w:name="_Toc323740419"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12C26C3E" w14:textId="77777777" w:rsidR="00BC3923" w:rsidRDefault="0025660C">
          <w:pPr>
            <w:pStyle w:val="TOC2"/>
            <w:tabs>
              <w:tab w:val="left" w:pos="851"/>
            </w:tabs>
            <w:rPr>
              <w:noProof/>
            </w:rPr>
          </w:pPr>
          <w:r w:rsidRPr="005D16DC">
            <w:rPr>
              <w:rFonts w:asciiTheme="majorHAnsi" w:hAnsiTheme="majorHAnsi" w:cstheme="majorHAnsi"/>
              <w:sz w:val="28"/>
              <w:szCs w:val="28"/>
            </w:rPr>
            <w:t>Contents</w:t>
          </w:r>
          <w:r w:rsidR="008D3724">
            <w:rPr>
              <w:sz w:val="32"/>
            </w:rPr>
            <w:fldChar w:fldCharType="begin"/>
          </w:r>
          <w:r w:rsidR="008D3724">
            <w:rPr>
              <w:sz w:val="32"/>
            </w:rPr>
            <w:instrText xml:space="preserve"> TOC \o "1-3" \h \z \u </w:instrText>
          </w:r>
          <w:r w:rsidR="008D3724">
            <w:rPr>
              <w:sz w:val="32"/>
            </w:rPr>
            <w:fldChar w:fldCharType="separate"/>
          </w:r>
        </w:p>
        <w:p w14:paraId="47BF3A99" w14:textId="0BAD4B26" w:rsidR="00BC3923" w:rsidRDefault="00463AFF">
          <w:pPr>
            <w:pStyle w:val="TOC2"/>
            <w:tabs>
              <w:tab w:val="left" w:pos="851"/>
            </w:tabs>
            <w:rPr>
              <w:rFonts w:asciiTheme="minorHAnsi" w:eastAsiaTheme="minorEastAsia" w:hAnsiTheme="minorHAnsi" w:cstheme="minorBidi"/>
              <w:noProof/>
              <w:szCs w:val="22"/>
              <w:lang w:eastAsia="en-AU"/>
            </w:rPr>
          </w:pPr>
          <w:hyperlink w:anchor="_Toc125014767" w:history="1">
            <w:r w:rsidR="00BC3923" w:rsidRPr="006F1BB8">
              <w:rPr>
                <w:rStyle w:val="Hyperlink"/>
                <w:noProof/>
              </w:rPr>
              <w:t>1</w:t>
            </w:r>
            <w:r w:rsidR="00BC3923">
              <w:rPr>
                <w:rFonts w:asciiTheme="minorHAnsi" w:eastAsiaTheme="minorEastAsia" w:hAnsiTheme="minorHAnsi" w:cstheme="minorBidi"/>
                <w:noProof/>
                <w:szCs w:val="22"/>
                <w:lang w:eastAsia="en-AU"/>
              </w:rPr>
              <w:tab/>
            </w:r>
            <w:r w:rsidR="00BC3923" w:rsidRPr="006F1BB8">
              <w:rPr>
                <w:rStyle w:val="Hyperlink"/>
                <w:noProof/>
              </w:rPr>
              <w:t>Notice of final decisions to amend (or not amend) the current Poisons Standard</w:t>
            </w:r>
            <w:r w:rsidR="00BC3923">
              <w:rPr>
                <w:noProof/>
                <w:webHidden/>
              </w:rPr>
              <w:tab/>
            </w:r>
            <w:r w:rsidR="00BC3923">
              <w:rPr>
                <w:noProof/>
                <w:webHidden/>
              </w:rPr>
              <w:fldChar w:fldCharType="begin"/>
            </w:r>
            <w:r w:rsidR="00BC3923">
              <w:rPr>
                <w:noProof/>
                <w:webHidden/>
              </w:rPr>
              <w:instrText xml:space="preserve"> PAGEREF _Toc125014767 \h </w:instrText>
            </w:r>
            <w:r w:rsidR="00BC3923">
              <w:rPr>
                <w:noProof/>
                <w:webHidden/>
              </w:rPr>
            </w:r>
            <w:r w:rsidR="00BC3923">
              <w:rPr>
                <w:noProof/>
                <w:webHidden/>
              </w:rPr>
              <w:fldChar w:fldCharType="separate"/>
            </w:r>
            <w:r w:rsidR="00BC3923">
              <w:rPr>
                <w:noProof/>
                <w:webHidden/>
              </w:rPr>
              <w:t>4</w:t>
            </w:r>
            <w:r w:rsidR="00BC3923">
              <w:rPr>
                <w:noProof/>
                <w:webHidden/>
              </w:rPr>
              <w:fldChar w:fldCharType="end"/>
            </w:r>
          </w:hyperlink>
        </w:p>
        <w:p w14:paraId="0E37E2A4" w14:textId="2088D368" w:rsidR="00BC3923" w:rsidRDefault="00463AFF">
          <w:pPr>
            <w:pStyle w:val="TOC2"/>
            <w:tabs>
              <w:tab w:val="left" w:pos="851"/>
            </w:tabs>
            <w:rPr>
              <w:rFonts w:asciiTheme="minorHAnsi" w:eastAsiaTheme="minorEastAsia" w:hAnsiTheme="minorHAnsi" w:cstheme="minorBidi"/>
              <w:noProof/>
              <w:szCs w:val="22"/>
              <w:lang w:eastAsia="en-AU"/>
            </w:rPr>
          </w:pPr>
          <w:hyperlink w:anchor="_Toc125014768" w:history="1">
            <w:r w:rsidR="00BC3923" w:rsidRPr="006F1BB8">
              <w:rPr>
                <w:rStyle w:val="Hyperlink"/>
                <w:noProof/>
              </w:rPr>
              <w:t>2</w:t>
            </w:r>
            <w:r w:rsidR="00BC3923">
              <w:rPr>
                <w:rFonts w:asciiTheme="minorHAnsi" w:eastAsiaTheme="minorEastAsia" w:hAnsiTheme="minorHAnsi" w:cstheme="minorBidi"/>
                <w:noProof/>
                <w:szCs w:val="22"/>
                <w:lang w:eastAsia="en-AU"/>
              </w:rPr>
              <w:tab/>
            </w:r>
            <w:r w:rsidR="00BC3923" w:rsidRPr="006F1BB8">
              <w:rPr>
                <w:rStyle w:val="Hyperlink"/>
                <w:noProof/>
              </w:rPr>
              <w:t>Final decision in relation to psilocybine and MDMA</w:t>
            </w:r>
            <w:r w:rsidR="00BC3923">
              <w:rPr>
                <w:noProof/>
                <w:webHidden/>
              </w:rPr>
              <w:tab/>
            </w:r>
            <w:r w:rsidR="00BC3923">
              <w:rPr>
                <w:noProof/>
                <w:webHidden/>
              </w:rPr>
              <w:fldChar w:fldCharType="begin"/>
            </w:r>
            <w:r w:rsidR="00BC3923">
              <w:rPr>
                <w:noProof/>
                <w:webHidden/>
              </w:rPr>
              <w:instrText xml:space="preserve"> PAGEREF _Toc125014768 \h </w:instrText>
            </w:r>
            <w:r w:rsidR="00BC3923">
              <w:rPr>
                <w:noProof/>
                <w:webHidden/>
              </w:rPr>
            </w:r>
            <w:r w:rsidR="00BC3923">
              <w:rPr>
                <w:noProof/>
                <w:webHidden/>
              </w:rPr>
              <w:fldChar w:fldCharType="separate"/>
            </w:r>
            <w:r w:rsidR="00BC3923">
              <w:rPr>
                <w:noProof/>
                <w:webHidden/>
              </w:rPr>
              <w:t>4</w:t>
            </w:r>
            <w:r w:rsidR="00BC3923">
              <w:rPr>
                <w:noProof/>
                <w:webHidden/>
              </w:rPr>
              <w:fldChar w:fldCharType="end"/>
            </w:r>
          </w:hyperlink>
        </w:p>
        <w:p w14:paraId="10FE6601" w14:textId="0AF66D82" w:rsidR="00BC3923" w:rsidRDefault="00463AFF">
          <w:pPr>
            <w:pStyle w:val="TOC2"/>
            <w:tabs>
              <w:tab w:val="left" w:pos="851"/>
            </w:tabs>
            <w:rPr>
              <w:rFonts w:asciiTheme="minorHAnsi" w:eastAsiaTheme="minorEastAsia" w:hAnsiTheme="minorHAnsi" w:cstheme="minorBidi"/>
              <w:noProof/>
              <w:szCs w:val="22"/>
              <w:lang w:eastAsia="en-AU"/>
            </w:rPr>
          </w:pPr>
          <w:hyperlink w:anchor="_Toc125014769" w:history="1">
            <w:r w:rsidR="00BC3923" w:rsidRPr="006F1BB8">
              <w:rPr>
                <w:rStyle w:val="Hyperlink"/>
                <w:noProof/>
              </w:rPr>
              <w:t>3</w:t>
            </w:r>
            <w:r w:rsidR="00BC3923">
              <w:rPr>
                <w:rFonts w:asciiTheme="minorHAnsi" w:eastAsiaTheme="minorEastAsia" w:hAnsiTheme="minorHAnsi" w:cstheme="minorBidi"/>
                <w:noProof/>
                <w:szCs w:val="22"/>
                <w:lang w:eastAsia="en-AU"/>
              </w:rPr>
              <w:tab/>
            </w:r>
            <w:r w:rsidR="00BC3923" w:rsidRPr="006F1BB8">
              <w:rPr>
                <w:rStyle w:val="Hyperlink"/>
                <w:noProof/>
              </w:rPr>
              <w:t>Final decisions on proposed amendments referred to the Advisory Committee on Medicines Scheduling (ACMS #38, June 2022)</w:t>
            </w:r>
            <w:r w:rsidR="00BC3923">
              <w:rPr>
                <w:noProof/>
                <w:webHidden/>
              </w:rPr>
              <w:tab/>
            </w:r>
            <w:r w:rsidR="00BC3923">
              <w:rPr>
                <w:noProof/>
                <w:webHidden/>
              </w:rPr>
              <w:fldChar w:fldCharType="begin"/>
            </w:r>
            <w:r w:rsidR="00BC3923">
              <w:rPr>
                <w:noProof/>
                <w:webHidden/>
              </w:rPr>
              <w:instrText xml:space="preserve"> PAGEREF _Toc125014769 \h </w:instrText>
            </w:r>
            <w:r w:rsidR="00BC3923">
              <w:rPr>
                <w:noProof/>
                <w:webHidden/>
              </w:rPr>
            </w:r>
            <w:r w:rsidR="00BC3923">
              <w:rPr>
                <w:noProof/>
                <w:webHidden/>
              </w:rPr>
              <w:fldChar w:fldCharType="separate"/>
            </w:r>
            <w:r w:rsidR="00BC3923">
              <w:rPr>
                <w:noProof/>
                <w:webHidden/>
              </w:rPr>
              <w:t>4</w:t>
            </w:r>
            <w:r w:rsidR="00BC3923">
              <w:rPr>
                <w:noProof/>
                <w:webHidden/>
              </w:rPr>
              <w:fldChar w:fldCharType="end"/>
            </w:r>
          </w:hyperlink>
        </w:p>
        <w:p w14:paraId="0A9BDF3A" w14:textId="06356B6A"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70" w:history="1">
            <w:r w:rsidR="00BC3923" w:rsidRPr="006F1BB8">
              <w:rPr>
                <w:rStyle w:val="Hyperlink"/>
                <w:noProof/>
              </w:rPr>
              <w:t>3.1</w:t>
            </w:r>
            <w:r w:rsidR="00BC3923">
              <w:rPr>
                <w:rFonts w:asciiTheme="minorHAnsi" w:eastAsiaTheme="minorEastAsia" w:hAnsiTheme="minorHAnsi" w:cstheme="minorBidi"/>
                <w:noProof/>
                <w:sz w:val="22"/>
                <w:szCs w:val="22"/>
                <w:lang w:eastAsia="en-AU"/>
              </w:rPr>
              <w:tab/>
            </w:r>
            <w:r w:rsidR="00BC3923" w:rsidRPr="006F1BB8">
              <w:rPr>
                <w:rStyle w:val="Hyperlink"/>
                <w:noProof/>
              </w:rPr>
              <w:t xml:space="preserve">Final decision in relation to </w:t>
            </w:r>
            <w:r w:rsidR="00BC3923" w:rsidRPr="006F1BB8">
              <w:rPr>
                <w:rStyle w:val="Hyperlink"/>
                <w:rFonts w:cs="Arial"/>
                <w:noProof/>
              </w:rPr>
              <w:t>cetirizine</w:t>
            </w:r>
            <w:r w:rsidR="00BC3923">
              <w:rPr>
                <w:noProof/>
                <w:webHidden/>
              </w:rPr>
              <w:tab/>
            </w:r>
            <w:r w:rsidR="00BC3923">
              <w:rPr>
                <w:noProof/>
                <w:webHidden/>
              </w:rPr>
              <w:fldChar w:fldCharType="begin"/>
            </w:r>
            <w:r w:rsidR="00BC3923">
              <w:rPr>
                <w:noProof/>
                <w:webHidden/>
              </w:rPr>
              <w:instrText xml:space="preserve"> PAGEREF _Toc125014770 \h </w:instrText>
            </w:r>
            <w:r w:rsidR="00BC3923">
              <w:rPr>
                <w:noProof/>
                <w:webHidden/>
              </w:rPr>
            </w:r>
            <w:r w:rsidR="00BC3923">
              <w:rPr>
                <w:noProof/>
                <w:webHidden/>
              </w:rPr>
              <w:fldChar w:fldCharType="separate"/>
            </w:r>
            <w:r w:rsidR="00BC3923">
              <w:rPr>
                <w:noProof/>
                <w:webHidden/>
              </w:rPr>
              <w:t>4</w:t>
            </w:r>
            <w:r w:rsidR="00BC3923">
              <w:rPr>
                <w:noProof/>
                <w:webHidden/>
              </w:rPr>
              <w:fldChar w:fldCharType="end"/>
            </w:r>
          </w:hyperlink>
        </w:p>
        <w:p w14:paraId="18CF63A7" w14:textId="602DAA95"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71" w:history="1">
            <w:r w:rsidR="00BC3923" w:rsidRPr="006F1BB8">
              <w:rPr>
                <w:rStyle w:val="Hyperlink"/>
                <w:noProof/>
              </w:rPr>
              <w:t>3.2</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budesonide</w:t>
            </w:r>
            <w:r w:rsidR="00BC3923">
              <w:rPr>
                <w:noProof/>
                <w:webHidden/>
              </w:rPr>
              <w:tab/>
            </w:r>
            <w:r w:rsidR="00BC3923">
              <w:rPr>
                <w:noProof/>
                <w:webHidden/>
              </w:rPr>
              <w:fldChar w:fldCharType="begin"/>
            </w:r>
            <w:r w:rsidR="00BC3923">
              <w:rPr>
                <w:noProof/>
                <w:webHidden/>
              </w:rPr>
              <w:instrText xml:space="preserve"> PAGEREF _Toc125014771 \h </w:instrText>
            </w:r>
            <w:r w:rsidR="00BC3923">
              <w:rPr>
                <w:noProof/>
                <w:webHidden/>
              </w:rPr>
            </w:r>
            <w:r w:rsidR="00BC3923">
              <w:rPr>
                <w:noProof/>
                <w:webHidden/>
              </w:rPr>
              <w:fldChar w:fldCharType="separate"/>
            </w:r>
            <w:r w:rsidR="00BC3923">
              <w:rPr>
                <w:noProof/>
                <w:webHidden/>
              </w:rPr>
              <w:t>5</w:t>
            </w:r>
            <w:r w:rsidR="00BC3923">
              <w:rPr>
                <w:noProof/>
                <w:webHidden/>
              </w:rPr>
              <w:fldChar w:fldCharType="end"/>
            </w:r>
          </w:hyperlink>
        </w:p>
        <w:p w14:paraId="672EBE41" w14:textId="48432D48"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72" w:history="1">
            <w:r w:rsidR="00BC3923" w:rsidRPr="006F1BB8">
              <w:rPr>
                <w:rStyle w:val="Hyperlink"/>
                <w:noProof/>
              </w:rPr>
              <w:t>3.3</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apronal (allylisopropylacetylurea)</w:t>
            </w:r>
            <w:r w:rsidR="00BC3923">
              <w:rPr>
                <w:noProof/>
                <w:webHidden/>
              </w:rPr>
              <w:tab/>
            </w:r>
            <w:r w:rsidR="00BC3923">
              <w:rPr>
                <w:noProof/>
                <w:webHidden/>
              </w:rPr>
              <w:fldChar w:fldCharType="begin"/>
            </w:r>
            <w:r w:rsidR="00BC3923">
              <w:rPr>
                <w:noProof/>
                <w:webHidden/>
              </w:rPr>
              <w:instrText xml:space="preserve"> PAGEREF _Toc125014772 \h </w:instrText>
            </w:r>
            <w:r w:rsidR="00BC3923">
              <w:rPr>
                <w:noProof/>
                <w:webHidden/>
              </w:rPr>
            </w:r>
            <w:r w:rsidR="00BC3923">
              <w:rPr>
                <w:noProof/>
                <w:webHidden/>
              </w:rPr>
              <w:fldChar w:fldCharType="separate"/>
            </w:r>
            <w:r w:rsidR="00BC3923">
              <w:rPr>
                <w:noProof/>
                <w:webHidden/>
              </w:rPr>
              <w:t>7</w:t>
            </w:r>
            <w:r w:rsidR="00BC3923">
              <w:rPr>
                <w:noProof/>
                <w:webHidden/>
              </w:rPr>
              <w:fldChar w:fldCharType="end"/>
            </w:r>
          </w:hyperlink>
        </w:p>
        <w:p w14:paraId="0745B37C" w14:textId="115A6B2B" w:rsidR="00BC3923" w:rsidRDefault="00463AFF">
          <w:pPr>
            <w:pStyle w:val="TOC2"/>
            <w:tabs>
              <w:tab w:val="left" w:pos="851"/>
            </w:tabs>
            <w:rPr>
              <w:rFonts w:asciiTheme="minorHAnsi" w:eastAsiaTheme="minorEastAsia" w:hAnsiTheme="minorHAnsi" w:cstheme="minorBidi"/>
              <w:noProof/>
              <w:szCs w:val="22"/>
              <w:lang w:eastAsia="en-AU"/>
            </w:rPr>
          </w:pPr>
          <w:hyperlink w:anchor="_Toc125014773" w:history="1">
            <w:r w:rsidR="00BC3923" w:rsidRPr="006F1BB8">
              <w:rPr>
                <w:rStyle w:val="Hyperlink"/>
                <w:noProof/>
              </w:rPr>
              <w:t>4</w:t>
            </w:r>
            <w:r w:rsidR="00BC3923">
              <w:rPr>
                <w:rFonts w:asciiTheme="minorHAnsi" w:eastAsiaTheme="minorEastAsia" w:hAnsiTheme="minorHAnsi" w:cstheme="minorBidi"/>
                <w:noProof/>
                <w:szCs w:val="22"/>
                <w:lang w:eastAsia="en-AU"/>
              </w:rPr>
              <w:tab/>
            </w:r>
            <w:r w:rsidR="00BC3923" w:rsidRPr="006F1BB8">
              <w:rPr>
                <w:rStyle w:val="Hyperlink"/>
                <w:noProof/>
              </w:rPr>
              <w:t>Final decisions on proposed amendments referred to the Advisory Committee on Medicines and Chemicals Scheduling in joint session (Joint ACMS-ACCS #31, June 2022)</w:t>
            </w:r>
            <w:r w:rsidR="00BC3923">
              <w:rPr>
                <w:noProof/>
                <w:webHidden/>
              </w:rPr>
              <w:tab/>
            </w:r>
            <w:r w:rsidR="00BC3923">
              <w:rPr>
                <w:noProof/>
                <w:webHidden/>
              </w:rPr>
              <w:fldChar w:fldCharType="begin"/>
            </w:r>
            <w:r w:rsidR="00BC3923">
              <w:rPr>
                <w:noProof/>
                <w:webHidden/>
              </w:rPr>
              <w:instrText xml:space="preserve"> PAGEREF _Toc125014773 \h </w:instrText>
            </w:r>
            <w:r w:rsidR="00BC3923">
              <w:rPr>
                <w:noProof/>
                <w:webHidden/>
              </w:rPr>
            </w:r>
            <w:r w:rsidR="00BC3923">
              <w:rPr>
                <w:noProof/>
                <w:webHidden/>
              </w:rPr>
              <w:fldChar w:fldCharType="separate"/>
            </w:r>
            <w:r w:rsidR="00BC3923">
              <w:rPr>
                <w:noProof/>
                <w:webHidden/>
              </w:rPr>
              <w:t>8</w:t>
            </w:r>
            <w:r w:rsidR="00BC3923">
              <w:rPr>
                <w:noProof/>
                <w:webHidden/>
              </w:rPr>
              <w:fldChar w:fldCharType="end"/>
            </w:r>
          </w:hyperlink>
        </w:p>
        <w:p w14:paraId="180356CB" w14:textId="3CDF8946"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74" w:history="1">
            <w:r w:rsidR="00BC3923" w:rsidRPr="006F1BB8">
              <w:rPr>
                <w:rStyle w:val="Hyperlink"/>
                <w:noProof/>
              </w:rPr>
              <w:t>4.1</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helional</w:t>
            </w:r>
            <w:r w:rsidR="00BC3923">
              <w:rPr>
                <w:noProof/>
                <w:webHidden/>
              </w:rPr>
              <w:tab/>
            </w:r>
            <w:r w:rsidR="00BC3923">
              <w:rPr>
                <w:noProof/>
                <w:webHidden/>
              </w:rPr>
              <w:fldChar w:fldCharType="begin"/>
            </w:r>
            <w:r w:rsidR="00BC3923">
              <w:rPr>
                <w:noProof/>
                <w:webHidden/>
              </w:rPr>
              <w:instrText xml:space="preserve"> PAGEREF _Toc125014774 \h </w:instrText>
            </w:r>
            <w:r w:rsidR="00BC3923">
              <w:rPr>
                <w:noProof/>
                <w:webHidden/>
              </w:rPr>
            </w:r>
            <w:r w:rsidR="00BC3923">
              <w:rPr>
                <w:noProof/>
                <w:webHidden/>
              </w:rPr>
              <w:fldChar w:fldCharType="separate"/>
            </w:r>
            <w:r w:rsidR="00BC3923">
              <w:rPr>
                <w:noProof/>
                <w:webHidden/>
              </w:rPr>
              <w:t>8</w:t>
            </w:r>
            <w:r w:rsidR="00BC3923">
              <w:rPr>
                <w:noProof/>
                <w:webHidden/>
              </w:rPr>
              <w:fldChar w:fldCharType="end"/>
            </w:r>
          </w:hyperlink>
        </w:p>
        <w:p w14:paraId="53256CCE" w14:textId="37BA5E28"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75" w:history="1">
            <w:r w:rsidR="00BC3923" w:rsidRPr="006F1BB8">
              <w:rPr>
                <w:rStyle w:val="Hyperlink"/>
                <w:noProof/>
              </w:rPr>
              <w:t>4.2</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hydroxypinacolone retinoate (HPR)</w:t>
            </w:r>
            <w:r w:rsidR="00BC3923">
              <w:rPr>
                <w:noProof/>
                <w:webHidden/>
              </w:rPr>
              <w:tab/>
            </w:r>
            <w:r w:rsidR="00BC3923">
              <w:rPr>
                <w:noProof/>
                <w:webHidden/>
              </w:rPr>
              <w:fldChar w:fldCharType="begin"/>
            </w:r>
            <w:r w:rsidR="00BC3923">
              <w:rPr>
                <w:noProof/>
                <w:webHidden/>
              </w:rPr>
              <w:instrText xml:space="preserve"> PAGEREF _Toc125014775 \h </w:instrText>
            </w:r>
            <w:r w:rsidR="00BC3923">
              <w:rPr>
                <w:noProof/>
                <w:webHidden/>
              </w:rPr>
            </w:r>
            <w:r w:rsidR="00BC3923">
              <w:rPr>
                <w:noProof/>
                <w:webHidden/>
              </w:rPr>
              <w:fldChar w:fldCharType="separate"/>
            </w:r>
            <w:r w:rsidR="00BC3923">
              <w:rPr>
                <w:noProof/>
                <w:webHidden/>
              </w:rPr>
              <w:t>9</w:t>
            </w:r>
            <w:r w:rsidR="00BC3923">
              <w:rPr>
                <w:noProof/>
                <w:webHidden/>
              </w:rPr>
              <w:fldChar w:fldCharType="end"/>
            </w:r>
          </w:hyperlink>
        </w:p>
        <w:p w14:paraId="5DCC0A7A" w14:textId="68259FB3"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76" w:history="1">
            <w:r w:rsidR="00BC3923" w:rsidRPr="006F1BB8">
              <w:rPr>
                <w:rStyle w:val="Hyperlink"/>
                <w:noProof/>
              </w:rPr>
              <w:t>4.3</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MDMA and MDA nomenclature</w:t>
            </w:r>
            <w:r w:rsidR="00BC3923">
              <w:rPr>
                <w:noProof/>
                <w:webHidden/>
              </w:rPr>
              <w:tab/>
            </w:r>
            <w:r w:rsidR="00BC3923">
              <w:rPr>
                <w:noProof/>
                <w:webHidden/>
              </w:rPr>
              <w:fldChar w:fldCharType="begin"/>
            </w:r>
            <w:r w:rsidR="00BC3923">
              <w:rPr>
                <w:noProof/>
                <w:webHidden/>
              </w:rPr>
              <w:instrText xml:space="preserve"> PAGEREF _Toc125014776 \h </w:instrText>
            </w:r>
            <w:r w:rsidR="00BC3923">
              <w:rPr>
                <w:noProof/>
                <w:webHidden/>
              </w:rPr>
            </w:r>
            <w:r w:rsidR="00BC3923">
              <w:rPr>
                <w:noProof/>
                <w:webHidden/>
              </w:rPr>
              <w:fldChar w:fldCharType="separate"/>
            </w:r>
            <w:r w:rsidR="00BC3923">
              <w:rPr>
                <w:noProof/>
                <w:webHidden/>
              </w:rPr>
              <w:t>10</w:t>
            </w:r>
            <w:r w:rsidR="00BC3923">
              <w:rPr>
                <w:noProof/>
                <w:webHidden/>
              </w:rPr>
              <w:fldChar w:fldCharType="end"/>
            </w:r>
          </w:hyperlink>
        </w:p>
        <w:p w14:paraId="77BADCE2" w14:textId="083BFE67" w:rsidR="00BC3923" w:rsidRDefault="00463AFF">
          <w:pPr>
            <w:pStyle w:val="TOC2"/>
            <w:tabs>
              <w:tab w:val="left" w:pos="851"/>
            </w:tabs>
            <w:rPr>
              <w:rFonts w:asciiTheme="minorHAnsi" w:eastAsiaTheme="minorEastAsia" w:hAnsiTheme="minorHAnsi" w:cstheme="minorBidi"/>
              <w:noProof/>
              <w:szCs w:val="22"/>
              <w:lang w:eastAsia="en-AU"/>
            </w:rPr>
          </w:pPr>
          <w:hyperlink w:anchor="_Toc125014777" w:history="1">
            <w:r w:rsidR="00BC3923" w:rsidRPr="006F1BB8">
              <w:rPr>
                <w:rStyle w:val="Hyperlink"/>
                <w:noProof/>
              </w:rPr>
              <w:t>5</w:t>
            </w:r>
            <w:r w:rsidR="00BC3923">
              <w:rPr>
                <w:rFonts w:asciiTheme="minorHAnsi" w:eastAsiaTheme="minorEastAsia" w:hAnsiTheme="minorHAnsi" w:cstheme="minorBidi"/>
                <w:noProof/>
                <w:szCs w:val="22"/>
                <w:lang w:eastAsia="en-AU"/>
              </w:rPr>
              <w:tab/>
            </w:r>
            <w:r w:rsidR="00BC3923" w:rsidRPr="006F1BB8">
              <w:rPr>
                <w:rStyle w:val="Hyperlink"/>
                <w:noProof/>
              </w:rPr>
              <w:t>Final decisions on proposed amendments referred to the Advisory Committee on Chemicals Scheduling (ACCS #34, June 2022)</w:t>
            </w:r>
            <w:r w:rsidR="00BC3923">
              <w:rPr>
                <w:noProof/>
                <w:webHidden/>
              </w:rPr>
              <w:tab/>
            </w:r>
            <w:r w:rsidR="00BC3923">
              <w:rPr>
                <w:noProof/>
                <w:webHidden/>
              </w:rPr>
              <w:fldChar w:fldCharType="begin"/>
            </w:r>
            <w:r w:rsidR="00BC3923">
              <w:rPr>
                <w:noProof/>
                <w:webHidden/>
              </w:rPr>
              <w:instrText xml:space="preserve"> PAGEREF _Toc125014777 \h </w:instrText>
            </w:r>
            <w:r w:rsidR="00BC3923">
              <w:rPr>
                <w:noProof/>
                <w:webHidden/>
              </w:rPr>
            </w:r>
            <w:r w:rsidR="00BC3923">
              <w:rPr>
                <w:noProof/>
                <w:webHidden/>
              </w:rPr>
              <w:fldChar w:fldCharType="separate"/>
            </w:r>
            <w:r w:rsidR="00BC3923">
              <w:rPr>
                <w:noProof/>
                <w:webHidden/>
              </w:rPr>
              <w:t>12</w:t>
            </w:r>
            <w:r w:rsidR="00BC3923">
              <w:rPr>
                <w:noProof/>
                <w:webHidden/>
              </w:rPr>
              <w:fldChar w:fldCharType="end"/>
            </w:r>
          </w:hyperlink>
        </w:p>
        <w:p w14:paraId="56B8BFE3" w14:textId="782A21ED"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78" w:history="1">
            <w:r w:rsidR="00BC3923" w:rsidRPr="006F1BB8">
              <w:rPr>
                <w:rStyle w:val="Hyperlink"/>
                <w:noProof/>
              </w:rPr>
              <w:t>5.1</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dichloromethane</w:t>
            </w:r>
            <w:r w:rsidR="00BC3923">
              <w:rPr>
                <w:noProof/>
                <w:webHidden/>
              </w:rPr>
              <w:tab/>
            </w:r>
            <w:r w:rsidR="00BC3923">
              <w:rPr>
                <w:noProof/>
                <w:webHidden/>
              </w:rPr>
              <w:fldChar w:fldCharType="begin"/>
            </w:r>
            <w:r w:rsidR="00BC3923">
              <w:rPr>
                <w:noProof/>
                <w:webHidden/>
              </w:rPr>
              <w:instrText xml:space="preserve"> PAGEREF _Toc125014778 \h </w:instrText>
            </w:r>
            <w:r w:rsidR="00BC3923">
              <w:rPr>
                <w:noProof/>
                <w:webHidden/>
              </w:rPr>
            </w:r>
            <w:r w:rsidR="00BC3923">
              <w:rPr>
                <w:noProof/>
                <w:webHidden/>
              </w:rPr>
              <w:fldChar w:fldCharType="separate"/>
            </w:r>
            <w:r w:rsidR="00BC3923">
              <w:rPr>
                <w:noProof/>
                <w:webHidden/>
              </w:rPr>
              <w:t>12</w:t>
            </w:r>
            <w:r w:rsidR="00BC3923">
              <w:rPr>
                <w:noProof/>
                <w:webHidden/>
              </w:rPr>
              <w:fldChar w:fldCharType="end"/>
            </w:r>
          </w:hyperlink>
        </w:p>
        <w:p w14:paraId="08A655FD" w14:textId="0B50C5C3"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79" w:history="1">
            <w:r w:rsidR="00BC3923" w:rsidRPr="006F1BB8">
              <w:rPr>
                <w:rStyle w:val="Hyperlink"/>
                <w:noProof/>
              </w:rPr>
              <w:t>5.2</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ipflufenoquin</w:t>
            </w:r>
            <w:r w:rsidR="00BC3923">
              <w:rPr>
                <w:noProof/>
                <w:webHidden/>
              </w:rPr>
              <w:tab/>
            </w:r>
            <w:r w:rsidR="00BC3923">
              <w:rPr>
                <w:noProof/>
                <w:webHidden/>
              </w:rPr>
              <w:fldChar w:fldCharType="begin"/>
            </w:r>
            <w:r w:rsidR="00BC3923">
              <w:rPr>
                <w:noProof/>
                <w:webHidden/>
              </w:rPr>
              <w:instrText xml:space="preserve"> PAGEREF _Toc125014779 \h </w:instrText>
            </w:r>
            <w:r w:rsidR="00BC3923">
              <w:rPr>
                <w:noProof/>
                <w:webHidden/>
              </w:rPr>
            </w:r>
            <w:r w:rsidR="00BC3923">
              <w:rPr>
                <w:noProof/>
                <w:webHidden/>
              </w:rPr>
              <w:fldChar w:fldCharType="separate"/>
            </w:r>
            <w:r w:rsidR="00BC3923">
              <w:rPr>
                <w:noProof/>
                <w:webHidden/>
              </w:rPr>
              <w:t>13</w:t>
            </w:r>
            <w:r w:rsidR="00BC3923">
              <w:rPr>
                <w:noProof/>
                <w:webHidden/>
              </w:rPr>
              <w:fldChar w:fldCharType="end"/>
            </w:r>
          </w:hyperlink>
        </w:p>
        <w:p w14:paraId="703D7B50" w14:textId="4FCCA33F" w:rsidR="00BC3923" w:rsidRDefault="00463AFF">
          <w:pPr>
            <w:pStyle w:val="TOC2"/>
            <w:tabs>
              <w:tab w:val="left" w:pos="851"/>
            </w:tabs>
            <w:rPr>
              <w:rFonts w:asciiTheme="minorHAnsi" w:eastAsiaTheme="minorEastAsia" w:hAnsiTheme="minorHAnsi" w:cstheme="minorBidi"/>
              <w:noProof/>
              <w:szCs w:val="22"/>
              <w:lang w:eastAsia="en-AU"/>
            </w:rPr>
          </w:pPr>
          <w:hyperlink w:anchor="_Toc125014780" w:history="1">
            <w:r w:rsidR="00BC3923" w:rsidRPr="006F1BB8">
              <w:rPr>
                <w:rStyle w:val="Hyperlink"/>
                <w:noProof/>
              </w:rPr>
              <w:t>6</w:t>
            </w:r>
            <w:r w:rsidR="00BC3923">
              <w:rPr>
                <w:rFonts w:asciiTheme="minorHAnsi" w:eastAsiaTheme="minorEastAsia" w:hAnsiTheme="minorHAnsi" w:cstheme="minorBidi"/>
                <w:noProof/>
                <w:szCs w:val="22"/>
                <w:lang w:eastAsia="en-AU"/>
              </w:rPr>
              <w:tab/>
            </w:r>
            <w:r w:rsidR="00BC3923" w:rsidRPr="006F1BB8">
              <w:rPr>
                <w:rStyle w:val="Hyperlink"/>
                <w:noProof/>
              </w:rPr>
              <w:t>Amendments to the Poison Standard in relation to New Chemical Entities (NCEs)</w:t>
            </w:r>
            <w:r w:rsidR="00BC3923">
              <w:rPr>
                <w:noProof/>
                <w:webHidden/>
              </w:rPr>
              <w:tab/>
            </w:r>
            <w:r w:rsidR="00BC3923">
              <w:rPr>
                <w:noProof/>
                <w:webHidden/>
              </w:rPr>
              <w:fldChar w:fldCharType="begin"/>
            </w:r>
            <w:r w:rsidR="00BC3923">
              <w:rPr>
                <w:noProof/>
                <w:webHidden/>
              </w:rPr>
              <w:instrText xml:space="preserve"> PAGEREF _Toc125014780 \h </w:instrText>
            </w:r>
            <w:r w:rsidR="00BC3923">
              <w:rPr>
                <w:noProof/>
                <w:webHidden/>
              </w:rPr>
            </w:r>
            <w:r w:rsidR="00BC3923">
              <w:rPr>
                <w:noProof/>
                <w:webHidden/>
              </w:rPr>
              <w:fldChar w:fldCharType="separate"/>
            </w:r>
            <w:r w:rsidR="00BC3923">
              <w:rPr>
                <w:noProof/>
                <w:webHidden/>
              </w:rPr>
              <w:t>16</w:t>
            </w:r>
            <w:r w:rsidR="00BC3923">
              <w:rPr>
                <w:noProof/>
                <w:webHidden/>
              </w:rPr>
              <w:fldChar w:fldCharType="end"/>
            </w:r>
          </w:hyperlink>
        </w:p>
        <w:p w14:paraId="01B092F1" w14:textId="2F13CCB1"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81" w:history="1">
            <w:r w:rsidR="00BC3923" w:rsidRPr="006F1BB8">
              <w:rPr>
                <w:rStyle w:val="Hyperlink"/>
                <w:noProof/>
              </w:rPr>
              <w:t>6.1</w:t>
            </w:r>
            <w:r w:rsidR="00BC3923">
              <w:rPr>
                <w:rFonts w:asciiTheme="minorHAnsi" w:eastAsiaTheme="minorEastAsia" w:hAnsiTheme="minorHAnsi" w:cstheme="minorBidi"/>
                <w:noProof/>
                <w:sz w:val="22"/>
                <w:szCs w:val="22"/>
                <w:lang w:eastAsia="en-AU"/>
              </w:rPr>
              <w:tab/>
            </w:r>
            <w:r w:rsidR="00BC3923" w:rsidRPr="006F1BB8">
              <w:rPr>
                <w:rStyle w:val="Hyperlink"/>
                <w:noProof/>
              </w:rPr>
              <w:t>Avacopan</w:t>
            </w:r>
            <w:r w:rsidR="00BC3923">
              <w:rPr>
                <w:noProof/>
                <w:webHidden/>
              </w:rPr>
              <w:tab/>
            </w:r>
            <w:r w:rsidR="00BC3923">
              <w:rPr>
                <w:noProof/>
                <w:webHidden/>
              </w:rPr>
              <w:fldChar w:fldCharType="begin"/>
            </w:r>
            <w:r w:rsidR="00BC3923">
              <w:rPr>
                <w:noProof/>
                <w:webHidden/>
              </w:rPr>
              <w:instrText xml:space="preserve"> PAGEREF _Toc125014781 \h </w:instrText>
            </w:r>
            <w:r w:rsidR="00BC3923">
              <w:rPr>
                <w:noProof/>
                <w:webHidden/>
              </w:rPr>
            </w:r>
            <w:r w:rsidR="00BC3923">
              <w:rPr>
                <w:noProof/>
                <w:webHidden/>
              </w:rPr>
              <w:fldChar w:fldCharType="separate"/>
            </w:r>
            <w:r w:rsidR="00BC3923">
              <w:rPr>
                <w:noProof/>
                <w:webHidden/>
              </w:rPr>
              <w:t>16</w:t>
            </w:r>
            <w:r w:rsidR="00BC3923">
              <w:rPr>
                <w:noProof/>
                <w:webHidden/>
              </w:rPr>
              <w:fldChar w:fldCharType="end"/>
            </w:r>
          </w:hyperlink>
        </w:p>
        <w:p w14:paraId="6E01EA29" w14:textId="6B8D036F"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82" w:history="1">
            <w:r w:rsidR="00BC3923" w:rsidRPr="006F1BB8">
              <w:rPr>
                <w:rStyle w:val="Hyperlink"/>
                <w:noProof/>
              </w:rPr>
              <w:t>6.2</w:t>
            </w:r>
            <w:r w:rsidR="00BC3923">
              <w:rPr>
                <w:rFonts w:asciiTheme="minorHAnsi" w:eastAsiaTheme="minorEastAsia" w:hAnsiTheme="minorHAnsi" w:cstheme="minorBidi"/>
                <w:noProof/>
                <w:sz w:val="22"/>
                <w:szCs w:val="22"/>
                <w:lang w:eastAsia="en-AU"/>
              </w:rPr>
              <w:tab/>
            </w:r>
            <w:r w:rsidR="00BC3923" w:rsidRPr="006F1BB8">
              <w:rPr>
                <w:rStyle w:val="Hyperlink"/>
                <w:noProof/>
              </w:rPr>
              <w:t>Deucravacitinib</w:t>
            </w:r>
            <w:r w:rsidR="00BC3923">
              <w:rPr>
                <w:noProof/>
                <w:webHidden/>
              </w:rPr>
              <w:tab/>
            </w:r>
            <w:r w:rsidR="00BC3923">
              <w:rPr>
                <w:noProof/>
                <w:webHidden/>
              </w:rPr>
              <w:fldChar w:fldCharType="begin"/>
            </w:r>
            <w:r w:rsidR="00BC3923">
              <w:rPr>
                <w:noProof/>
                <w:webHidden/>
              </w:rPr>
              <w:instrText xml:space="preserve"> PAGEREF _Toc125014782 \h </w:instrText>
            </w:r>
            <w:r w:rsidR="00BC3923">
              <w:rPr>
                <w:noProof/>
                <w:webHidden/>
              </w:rPr>
            </w:r>
            <w:r w:rsidR="00BC3923">
              <w:rPr>
                <w:noProof/>
                <w:webHidden/>
              </w:rPr>
              <w:fldChar w:fldCharType="separate"/>
            </w:r>
            <w:r w:rsidR="00BC3923">
              <w:rPr>
                <w:noProof/>
                <w:webHidden/>
              </w:rPr>
              <w:t>16</w:t>
            </w:r>
            <w:r w:rsidR="00BC3923">
              <w:rPr>
                <w:noProof/>
                <w:webHidden/>
              </w:rPr>
              <w:fldChar w:fldCharType="end"/>
            </w:r>
          </w:hyperlink>
        </w:p>
        <w:p w14:paraId="5A811318" w14:textId="2D85C39B"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83" w:history="1">
            <w:r w:rsidR="00BC3923" w:rsidRPr="006F1BB8">
              <w:rPr>
                <w:rStyle w:val="Hyperlink"/>
                <w:noProof/>
              </w:rPr>
              <w:t>6.3</w:t>
            </w:r>
            <w:r w:rsidR="00BC3923">
              <w:rPr>
                <w:rFonts w:asciiTheme="minorHAnsi" w:eastAsiaTheme="minorEastAsia" w:hAnsiTheme="minorHAnsi" w:cstheme="minorBidi"/>
                <w:noProof/>
                <w:sz w:val="22"/>
                <w:szCs w:val="22"/>
                <w:lang w:eastAsia="en-AU"/>
              </w:rPr>
              <w:tab/>
            </w:r>
            <w:r w:rsidR="00BC3923" w:rsidRPr="006F1BB8">
              <w:rPr>
                <w:rStyle w:val="Hyperlink"/>
                <w:noProof/>
              </w:rPr>
              <w:t>Edaravone</w:t>
            </w:r>
            <w:r w:rsidR="00BC3923">
              <w:rPr>
                <w:noProof/>
                <w:webHidden/>
              </w:rPr>
              <w:tab/>
            </w:r>
            <w:r w:rsidR="00BC3923">
              <w:rPr>
                <w:noProof/>
                <w:webHidden/>
              </w:rPr>
              <w:fldChar w:fldCharType="begin"/>
            </w:r>
            <w:r w:rsidR="00BC3923">
              <w:rPr>
                <w:noProof/>
                <w:webHidden/>
              </w:rPr>
              <w:instrText xml:space="preserve"> PAGEREF _Toc125014783 \h </w:instrText>
            </w:r>
            <w:r w:rsidR="00BC3923">
              <w:rPr>
                <w:noProof/>
                <w:webHidden/>
              </w:rPr>
            </w:r>
            <w:r w:rsidR="00BC3923">
              <w:rPr>
                <w:noProof/>
                <w:webHidden/>
              </w:rPr>
              <w:fldChar w:fldCharType="separate"/>
            </w:r>
            <w:r w:rsidR="00BC3923">
              <w:rPr>
                <w:noProof/>
                <w:webHidden/>
              </w:rPr>
              <w:t>16</w:t>
            </w:r>
            <w:r w:rsidR="00BC3923">
              <w:rPr>
                <w:noProof/>
                <w:webHidden/>
              </w:rPr>
              <w:fldChar w:fldCharType="end"/>
            </w:r>
          </w:hyperlink>
        </w:p>
        <w:p w14:paraId="24C6555D" w14:textId="6ACEB745"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84" w:history="1">
            <w:r w:rsidR="00BC3923" w:rsidRPr="006F1BB8">
              <w:rPr>
                <w:rStyle w:val="Hyperlink"/>
                <w:noProof/>
              </w:rPr>
              <w:t>6.4</w:t>
            </w:r>
            <w:r w:rsidR="00BC3923">
              <w:rPr>
                <w:rFonts w:asciiTheme="minorHAnsi" w:eastAsiaTheme="minorEastAsia" w:hAnsiTheme="minorHAnsi" w:cstheme="minorBidi"/>
                <w:noProof/>
                <w:sz w:val="22"/>
                <w:szCs w:val="22"/>
                <w:lang w:eastAsia="en-AU"/>
              </w:rPr>
              <w:tab/>
            </w:r>
            <w:r w:rsidR="00BC3923" w:rsidRPr="006F1BB8">
              <w:rPr>
                <w:rStyle w:val="Hyperlink"/>
                <w:noProof/>
              </w:rPr>
              <w:t>Lenacapavir</w:t>
            </w:r>
            <w:r w:rsidR="00BC3923">
              <w:rPr>
                <w:noProof/>
                <w:webHidden/>
              </w:rPr>
              <w:tab/>
            </w:r>
            <w:r w:rsidR="00BC3923">
              <w:rPr>
                <w:noProof/>
                <w:webHidden/>
              </w:rPr>
              <w:fldChar w:fldCharType="begin"/>
            </w:r>
            <w:r w:rsidR="00BC3923">
              <w:rPr>
                <w:noProof/>
                <w:webHidden/>
              </w:rPr>
              <w:instrText xml:space="preserve"> PAGEREF _Toc125014784 \h </w:instrText>
            </w:r>
            <w:r w:rsidR="00BC3923">
              <w:rPr>
                <w:noProof/>
                <w:webHidden/>
              </w:rPr>
            </w:r>
            <w:r w:rsidR="00BC3923">
              <w:rPr>
                <w:noProof/>
                <w:webHidden/>
              </w:rPr>
              <w:fldChar w:fldCharType="separate"/>
            </w:r>
            <w:r w:rsidR="00BC3923">
              <w:rPr>
                <w:noProof/>
                <w:webHidden/>
              </w:rPr>
              <w:t>16</w:t>
            </w:r>
            <w:r w:rsidR="00BC3923">
              <w:rPr>
                <w:noProof/>
                <w:webHidden/>
              </w:rPr>
              <w:fldChar w:fldCharType="end"/>
            </w:r>
          </w:hyperlink>
        </w:p>
        <w:p w14:paraId="67C59BDC" w14:textId="5F03D339"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85" w:history="1">
            <w:r w:rsidR="00BC3923" w:rsidRPr="006F1BB8">
              <w:rPr>
                <w:rStyle w:val="Hyperlink"/>
                <w:noProof/>
              </w:rPr>
              <w:t>6.5</w:t>
            </w:r>
            <w:r w:rsidR="00BC3923">
              <w:rPr>
                <w:rFonts w:asciiTheme="minorHAnsi" w:eastAsiaTheme="minorEastAsia" w:hAnsiTheme="minorHAnsi" w:cstheme="minorBidi"/>
                <w:noProof/>
                <w:sz w:val="22"/>
                <w:szCs w:val="22"/>
                <w:lang w:eastAsia="en-AU"/>
              </w:rPr>
              <w:tab/>
            </w:r>
            <w:r w:rsidR="00BC3923" w:rsidRPr="006F1BB8">
              <w:rPr>
                <w:rStyle w:val="Hyperlink"/>
                <w:noProof/>
              </w:rPr>
              <w:t>Patisiran</w:t>
            </w:r>
            <w:r w:rsidR="00BC3923">
              <w:rPr>
                <w:noProof/>
                <w:webHidden/>
              </w:rPr>
              <w:tab/>
            </w:r>
            <w:r w:rsidR="00BC3923">
              <w:rPr>
                <w:noProof/>
                <w:webHidden/>
              </w:rPr>
              <w:fldChar w:fldCharType="begin"/>
            </w:r>
            <w:r w:rsidR="00BC3923">
              <w:rPr>
                <w:noProof/>
                <w:webHidden/>
              </w:rPr>
              <w:instrText xml:space="preserve"> PAGEREF _Toc125014785 \h </w:instrText>
            </w:r>
            <w:r w:rsidR="00BC3923">
              <w:rPr>
                <w:noProof/>
                <w:webHidden/>
              </w:rPr>
            </w:r>
            <w:r w:rsidR="00BC3923">
              <w:rPr>
                <w:noProof/>
                <w:webHidden/>
              </w:rPr>
              <w:fldChar w:fldCharType="separate"/>
            </w:r>
            <w:r w:rsidR="00BC3923">
              <w:rPr>
                <w:noProof/>
                <w:webHidden/>
              </w:rPr>
              <w:t>17</w:t>
            </w:r>
            <w:r w:rsidR="00BC3923">
              <w:rPr>
                <w:noProof/>
                <w:webHidden/>
              </w:rPr>
              <w:fldChar w:fldCharType="end"/>
            </w:r>
          </w:hyperlink>
        </w:p>
        <w:p w14:paraId="22F94747" w14:textId="1265D431"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86" w:history="1">
            <w:r w:rsidR="00BC3923" w:rsidRPr="006F1BB8">
              <w:rPr>
                <w:rStyle w:val="Hyperlink"/>
                <w:noProof/>
              </w:rPr>
              <w:t>6.6</w:t>
            </w:r>
            <w:r w:rsidR="00BC3923">
              <w:rPr>
                <w:rFonts w:asciiTheme="minorHAnsi" w:eastAsiaTheme="minorEastAsia" w:hAnsiTheme="minorHAnsi" w:cstheme="minorBidi"/>
                <w:noProof/>
                <w:sz w:val="22"/>
                <w:szCs w:val="22"/>
                <w:lang w:eastAsia="en-AU"/>
              </w:rPr>
              <w:tab/>
            </w:r>
            <w:r w:rsidR="00BC3923" w:rsidRPr="006F1BB8">
              <w:rPr>
                <w:rStyle w:val="Hyperlink"/>
                <w:noProof/>
              </w:rPr>
              <w:t>Tirzepatide</w:t>
            </w:r>
            <w:r w:rsidR="00BC3923">
              <w:rPr>
                <w:noProof/>
                <w:webHidden/>
              </w:rPr>
              <w:tab/>
            </w:r>
            <w:r w:rsidR="00BC3923">
              <w:rPr>
                <w:noProof/>
                <w:webHidden/>
              </w:rPr>
              <w:fldChar w:fldCharType="begin"/>
            </w:r>
            <w:r w:rsidR="00BC3923">
              <w:rPr>
                <w:noProof/>
                <w:webHidden/>
              </w:rPr>
              <w:instrText xml:space="preserve"> PAGEREF _Toc125014786 \h </w:instrText>
            </w:r>
            <w:r w:rsidR="00BC3923">
              <w:rPr>
                <w:noProof/>
                <w:webHidden/>
              </w:rPr>
            </w:r>
            <w:r w:rsidR="00BC3923">
              <w:rPr>
                <w:noProof/>
                <w:webHidden/>
              </w:rPr>
              <w:fldChar w:fldCharType="separate"/>
            </w:r>
            <w:r w:rsidR="00BC3923">
              <w:rPr>
                <w:noProof/>
                <w:webHidden/>
              </w:rPr>
              <w:t>17</w:t>
            </w:r>
            <w:r w:rsidR="00BC3923">
              <w:rPr>
                <w:noProof/>
                <w:webHidden/>
              </w:rPr>
              <w:fldChar w:fldCharType="end"/>
            </w:r>
          </w:hyperlink>
        </w:p>
        <w:p w14:paraId="5030280A" w14:textId="537F655F" w:rsidR="00BC3923" w:rsidRDefault="00463AFF">
          <w:pPr>
            <w:pStyle w:val="TOC2"/>
            <w:tabs>
              <w:tab w:val="left" w:pos="851"/>
            </w:tabs>
            <w:rPr>
              <w:rFonts w:asciiTheme="minorHAnsi" w:eastAsiaTheme="minorEastAsia" w:hAnsiTheme="minorHAnsi" w:cstheme="minorBidi"/>
              <w:noProof/>
              <w:szCs w:val="22"/>
              <w:lang w:eastAsia="en-AU"/>
            </w:rPr>
          </w:pPr>
          <w:hyperlink w:anchor="_Toc125014787" w:history="1">
            <w:r w:rsidR="00BC3923" w:rsidRPr="006F1BB8">
              <w:rPr>
                <w:rStyle w:val="Hyperlink"/>
                <w:noProof/>
              </w:rPr>
              <w:t>7</w:t>
            </w:r>
            <w:r w:rsidR="00BC3923">
              <w:rPr>
                <w:rFonts w:asciiTheme="minorHAnsi" w:eastAsiaTheme="minorEastAsia" w:hAnsiTheme="minorHAnsi" w:cstheme="minorBidi"/>
                <w:noProof/>
                <w:szCs w:val="22"/>
                <w:lang w:eastAsia="en-AU"/>
              </w:rPr>
              <w:tab/>
            </w:r>
            <w:r w:rsidR="00BC3923" w:rsidRPr="006F1BB8">
              <w:rPr>
                <w:rStyle w:val="Hyperlink"/>
                <w:noProof/>
              </w:rPr>
              <w:t>Amendments to the Poisons Standard made as delegate-only decisions</w:t>
            </w:r>
            <w:r w:rsidR="00BC3923">
              <w:rPr>
                <w:noProof/>
                <w:webHidden/>
              </w:rPr>
              <w:tab/>
            </w:r>
            <w:r w:rsidR="00BC3923">
              <w:rPr>
                <w:noProof/>
                <w:webHidden/>
              </w:rPr>
              <w:fldChar w:fldCharType="begin"/>
            </w:r>
            <w:r w:rsidR="00BC3923">
              <w:rPr>
                <w:noProof/>
                <w:webHidden/>
              </w:rPr>
              <w:instrText xml:space="preserve"> PAGEREF _Toc125014787 \h </w:instrText>
            </w:r>
            <w:r w:rsidR="00BC3923">
              <w:rPr>
                <w:noProof/>
                <w:webHidden/>
              </w:rPr>
            </w:r>
            <w:r w:rsidR="00BC3923">
              <w:rPr>
                <w:noProof/>
                <w:webHidden/>
              </w:rPr>
              <w:fldChar w:fldCharType="separate"/>
            </w:r>
            <w:r w:rsidR="00BC3923">
              <w:rPr>
                <w:noProof/>
                <w:webHidden/>
              </w:rPr>
              <w:t>18</w:t>
            </w:r>
            <w:r w:rsidR="00BC3923">
              <w:rPr>
                <w:noProof/>
                <w:webHidden/>
              </w:rPr>
              <w:fldChar w:fldCharType="end"/>
            </w:r>
          </w:hyperlink>
        </w:p>
        <w:p w14:paraId="627CD8C7" w14:textId="1F3C611A"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88" w:history="1">
            <w:r w:rsidR="00BC3923" w:rsidRPr="006F1BB8">
              <w:rPr>
                <w:rStyle w:val="Hyperlink"/>
                <w:noProof/>
              </w:rPr>
              <w:t>7.1</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fenpropidin</w:t>
            </w:r>
            <w:r w:rsidR="00BC3923">
              <w:rPr>
                <w:noProof/>
                <w:webHidden/>
              </w:rPr>
              <w:tab/>
            </w:r>
            <w:r w:rsidR="00BC3923">
              <w:rPr>
                <w:noProof/>
                <w:webHidden/>
              </w:rPr>
              <w:fldChar w:fldCharType="begin"/>
            </w:r>
            <w:r w:rsidR="00BC3923">
              <w:rPr>
                <w:noProof/>
                <w:webHidden/>
              </w:rPr>
              <w:instrText xml:space="preserve"> PAGEREF _Toc125014788 \h </w:instrText>
            </w:r>
            <w:r w:rsidR="00BC3923">
              <w:rPr>
                <w:noProof/>
                <w:webHidden/>
              </w:rPr>
            </w:r>
            <w:r w:rsidR="00BC3923">
              <w:rPr>
                <w:noProof/>
                <w:webHidden/>
              </w:rPr>
              <w:fldChar w:fldCharType="separate"/>
            </w:r>
            <w:r w:rsidR="00BC3923">
              <w:rPr>
                <w:noProof/>
                <w:webHidden/>
              </w:rPr>
              <w:t>18</w:t>
            </w:r>
            <w:r w:rsidR="00BC3923">
              <w:rPr>
                <w:noProof/>
                <w:webHidden/>
              </w:rPr>
              <w:fldChar w:fldCharType="end"/>
            </w:r>
          </w:hyperlink>
        </w:p>
        <w:p w14:paraId="6A953FA1" w14:textId="4908C292" w:rsidR="00BC3923" w:rsidRDefault="00463AFF">
          <w:pPr>
            <w:pStyle w:val="TOC3"/>
            <w:tabs>
              <w:tab w:val="left" w:pos="1701"/>
            </w:tabs>
            <w:rPr>
              <w:rFonts w:asciiTheme="minorHAnsi" w:eastAsiaTheme="minorEastAsia" w:hAnsiTheme="minorHAnsi" w:cstheme="minorBidi"/>
              <w:noProof/>
              <w:sz w:val="22"/>
              <w:szCs w:val="22"/>
              <w:lang w:eastAsia="en-AU"/>
            </w:rPr>
          </w:pPr>
          <w:hyperlink w:anchor="_Toc125014789" w:history="1">
            <w:r w:rsidR="00BC3923" w:rsidRPr="006F1BB8">
              <w:rPr>
                <w:rStyle w:val="Hyperlink"/>
                <w:noProof/>
              </w:rPr>
              <w:t>7.2</w:t>
            </w:r>
            <w:r w:rsidR="00BC3923">
              <w:rPr>
                <w:rFonts w:asciiTheme="minorHAnsi" w:eastAsiaTheme="minorEastAsia" w:hAnsiTheme="minorHAnsi" w:cstheme="minorBidi"/>
                <w:noProof/>
                <w:sz w:val="22"/>
                <w:szCs w:val="22"/>
                <w:lang w:eastAsia="en-AU"/>
              </w:rPr>
              <w:tab/>
            </w:r>
            <w:r w:rsidR="00BC3923" w:rsidRPr="006F1BB8">
              <w:rPr>
                <w:rStyle w:val="Hyperlink"/>
                <w:noProof/>
              </w:rPr>
              <w:t>Final decision in relation to fluralaner</w:t>
            </w:r>
            <w:r w:rsidR="00BC3923">
              <w:rPr>
                <w:noProof/>
                <w:webHidden/>
              </w:rPr>
              <w:tab/>
            </w:r>
            <w:r w:rsidR="00BC3923">
              <w:rPr>
                <w:noProof/>
                <w:webHidden/>
              </w:rPr>
              <w:fldChar w:fldCharType="begin"/>
            </w:r>
            <w:r w:rsidR="00BC3923">
              <w:rPr>
                <w:noProof/>
                <w:webHidden/>
              </w:rPr>
              <w:instrText xml:space="preserve"> PAGEREF _Toc125014789 \h </w:instrText>
            </w:r>
            <w:r w:rsidR="00BC3923">
              <w:rPr>
                <w:noProof/>
                <w:webHidden/>
              </w:rPr>
            </w:r>
            <w:r w:rsidR="00BC3923">
              <w:rPr>
                <w:noProof/>
                <w:webHidden/>
              </w:rPr>
              <w:fldChar w:fldCharType="separate"/>
            </w:r>
            <w:r w:rsidR="00BC3923">
              <w:rPr>
                <w:noProof/>
                <w:webHidden/>
              </w:rPr>
              <w:t>20</w:t>
            </w:r>
            <w:r w:rsidR="00BC3923">
              <w:rPr>
                <w:noProof/>
                <w:webHidden/>
              </w:rPr>
              <w:fldChar w:fldCharType="end"/>
            </w:r>
          </w:hyperlink>
        </w:p>
        <w:p w14:paraId="7DF331EE" w14:textId="544D9F81" w:rsidR="0025660C" w:rsidRDefault="008D3724" w:rsidP="00F2731A">
          <w:pPr>
            <w:pStyle w:val="TOC3"/>
            <w:tabs>
              <w:tab w:val="left" w:pos="1701"/>
            </w:tabs>
          </w:pPr>
          <w:r>
            <w:rPr>
              <w:sz w:val="32"/>
            </w:rPr>
            <w:fldChar w:fldCharType="end"/>
          </w:r>
        </w:p>
      </w:sdtContent>
    </w:sdt>
    <w:p w14:paraId="3445656D" w14:textId="540444A0" w:rsidR="0025660C" w:rsidRPr="00BC2009" w:rsidRDefault="00597B50" w:rsidP="00BC2009">
      <w:pPr>
        <w:pStyle w:val="Heading2"/>
        <w:pageBreakBefore/>
        <w:ind w:left="431" w:hanging="431"/>
      </w:pPr>
      <w:bookmarkStart w:id="3" w:name="_Toc125014767"/>
      <w:bookmarkEnd w:id="2"/>
      <w:bookmarkEnd w:id="1"/>
      <w:bookmarkEnd w:id="0"/>
      <w:r w:rsidRPr="00597B50">
        <w:lastRenderedPageBreak/>
        <w:t>Notice of final decisions to amend (or not amend) the current Poisons Standard</w:t>
      </w:r>
      <w:bookmarkEnd w:id="3"/>
      <w:r w:rsidRPr="00597B50">
        <w:t xml:space="preserve"> </w:t>
      </w:r>
    </w:p>
    <w:p w14:paraId="6885013C" w14:textId="10B6BAA3" w:rsidR="00597B50" w:rsidRPr="00544DDF" w:rsidRDefault="00597B50">
      <w:r w:rsidRPr="00544DDF">
        <w:t xml:space="preserve">This web publication constitutes a notice for the purposes of regulation 42ZCZS and regulation 42ZCZX of the </w:t>
      </w:r>
      <w:r w:rsidRPr="00855EE9">
        <w:rPr>
          <w:iCs/>
        </w:rPr>
        <w:t>Therapeutic Goods Regulations 1990</w:t>
      </w:r>
      <w:r w:rsidRPr="00544DDF">
        <w:rPr>
          <w:i/>
        </w:rPr>
        <w:t xml:space="preserve"> </w:t>
      </w:r>
      <w:r w:rsidRPr="00544DDF">
        <w:t xml:space="preserve">(the </w:t>
      </w:r>
      <w:r w:rsidRPr="00544DDF">
        <w:rPr>
          <w:b/>
        </w:rPr>
        <w:t>Regulations</w:t>
      </w:r>
      <w:r w:rsidRPr="00544DDF">
        <w:t>). In accordance with regulations 42ZCZS and 42</w:t>
      </w:r>
      <w:r w:rsidR="00862A10">
        <w:t>Z</w:t>
      </w:r>
      <w:r w:rsidRPr="00544DDF">
        <w:t>CZX, this notice publishes:</w:t>
      </w:r>
    </w:p>
    <w:p w14:paraId="518D5BAC" w14:textId="182AA4AF" w:rsidR="00597B50" w:rsidRPr="00544DDF" w:rsidRDefault="00597B50">
      <w:pPr>
        <w:pStyle w:val="ListBullet"/>
      </w:pPr>
      <w:r w:rsidRPr="00544DDF">
        <w:t>the decisions made by a delegate</w:t>
      </w:r>
      <w:r w:rsidR="00A53DC8" w:rsidRPr="00544DDF">
        <w:rPr>
          <w:rStyle w:val="FootnoteReference"/>
        </w:rPr>
        <w:footnoteReference w:id="1"/>
      </w:r>
      <w:r w:rsidR="00C05254" w:rsidRPr="00544DDF">
        <w:t xml:space="preserve"> </w:t>
      </w:r>
      <w:r w:rsidRPr="00544DDF">
        <w:t xml:space="preserve">of the Secretary </w:t>
      </w:r>
      <w:r w:rsidR="00B23D7A" w:rsidRPr="00544DDF">
        <w:t xml:space="preserve">of the Department of Health and Aged Care </w:t>
      </w:r>
      <w:r w:rsidR="00C05254" w:rsidRPr="00544DDF">
        <w:t xml:space="preserve">(the </w:t>
      </w:r>
      <w:r w:rsidR="00C05254" w:rsidRPr="00544DDF">
        <w:rPr>
          <w:b/>
          <w:bCs/>
        </w:rPr>
        <w:t>Delegate</w:t>
      </w:r>
      <w:r w:rsidR="00C05254" w:rsidRPr="00544DDF">
        <w:t xml:space="preserve">) </w:t>
      </w:r>
      <w:r w:rsidRPr="00544DDF">
        <w:t>pursuant to regulations 42ZCZR</w:t>
      </w:r>
      <w:r w:rsidR="00544DDF" w:rsidRPr="00544DDF">
        <w:t xml:space="preserve"> and</w:t>
      </w:r>
      <w:r w:rsidRPr="00544DDF">
        <w:t xml:space="preserve"> </w:t>
      </w:r>
      <w:proofErr w:type="gramStart"/>
      <w:r w:rsidRPr="00544DDF">
        <w:t>42ZCZ</w:t>
      </w:r>
      <w:r w:rsidR="00DC694C">
        <w:t>U</w:t>
      </w:r>
      <w:r w:rsidRPr="00544DDF">
        <w:t>;</w:t>
      </w:r>
      <w:proofErr w:type="gramEnd"/>
    </w:p>
    <w:p w14:paraId="3702BF82" w14:textId="6B71466E" w:rsidR="00597B50" w:rsidRPr="00544DDF" w:rsidRDefault="00597B50">
      <w:pPr>
        <w:pStyle w:val="ListBullet"/>
      </w:pPr>
      <w:r w:rsidRPr="00544DDF">
        <w:t xml:space="preserve">the reasons for those final decisions; and </w:t>
      </w:r>
    </w:p>
    <w:p w14:paraId="7555EE59" w14:textId="3BD2DCBD" w:rsidR="006558C7" w:rsidRDefault="00597B50" w:rsidP="006558C7">
      <w:pPr>
        <w:pStyle w:val="ListBullet"/>
      </w:pPr>
      <w:r w:rsidRPr="00544DDF">
        <w:t>the date of effect of those decisions.</w:t>
      </w:r>
    </w:p>
    <w:p w14:paraId="258B5723" w14:textId="77777777" w:rsidR="006558C7" w:rsidRDefault="006558C7" w:rsidP="00086408">
      <w:pPr>
        <w:pStyle w:val="Heading2"/>
      </w:pPr>
      <w:bookmarkStart w:id="4" w:name="_Toc125014768"/>
      <w:r>
        <w:t>Final decision in relation to psilocybine and MDMA</w:t>
      </w:r>
      <w:bookmarkEnd w:id="4"/>
    </w:p>
    <w:p w14:paraId="236AFF8D" w14:textId="2D072EBA" w:rsidR="006558C7" w:rsidRPr="00544DDF" w:rsidRDefault="00667179" w:rsidP="00086408">
      <w:r>
        <w:rPr>
          <w:shd w:val="clear" w:color="auto" w:fill="FFFFFF"/>
        </w:rPr>
        <w:t>T</w:t>
      </w:r>
      <w:r w:rsidR="006558C7">
        <w:rPr>
          <w:shd w:val="clear" w:color="auto" w:fill="FFFFFF"/>
        </w:rPr>
        <w:t xml:space="preserve">he final decisions in relation to </w:t>
      </w:r>
      <w:r w:rsidR="00784CA8">
        <w:rPr>
          <w:shd w:val="clear" w:color="auto" w:fill="FFFFFF"/>
        </w:rPr>
        <w:t xml:space="preserve">proposals to amend the scheduling of </w:t>
      </w:r>
      <w:r w:rsidR="006558C7">
        <w:rPr>
          <w:shd w:val="clear" w:color="auto" w:fill="FFFFFF"/>
        </w:rPr>
        <w:t xml:space="preserve">psilocybine and MDMA </w:t>
      </w:r>
      <w:r w:rsidR="00784CA8">
        <w:rPr>
          <w:shd w:val="clear" w:color="auto" w:fill="FFFFFF"/>
        </w:rPr>
        <w:t xml:space="preserve">that were considered at the June 2022 meeting of the Advisory Committee on Medicines Scheduling </w:t>
      </w:r>
      <w:r w:rsidR="006558C7">
        <w:rPr>
          <w:shd w:val="clear" w:color="auto" w:fill="FFFFFF"/>
        </w:rPr>
        <w:t xml:space="preserve">are not published in this notice. </w:t>
      </w:r>
      <w:r w:rsidR="00784CA8">
        <w:t>The decision has been deferred</w:t>
      </w:r>
      <w:r w:rsidR="006558C7" w:rsidRPr="00DA44D5">
        <w:t xml:space="preserve"> </w:t>
      </w:r>
      <w:r w:rsidR="00DA44D5">
        <w:t>pending</w:t>
      </w:r>
      <w:r w:rsidR="006558C7" w:rsidRPr="00DA44D5">
        <w:t xml:space="preserve"> </w:t>
      </w:r>
      <w:r w:rsidR="006558C7" w:rsidRPr="00086408">
        <w:t xml:space="preserve">further consultation </w:t>
      </w:r>
      <w:r w:rsidR="00784CA8">
        <w:t>and consideration by the Delegate</w:t>
      </w:r>
      <w:r w:rsidR="006558C7" w:rsidRPr="00086408">
        <w:t>.</w:t>
      </w:r>
    </w:p>
    <w:p w14:paraId="4214D372" w14:textId="34EC2D5E" w:rsidR="00FA029A" w:rsidRPr="00FA029A" w:rsidRDefault="00F41DCE" w:rsidP="00E951D8">
      <w:pPr>
        <w:pStyle w:val="Heading2"/>
      </w:pPr>
      <w:bookmarkStart w:id="5" w:name="_Toc125014769"/>
      <w:r>
        <w:t>Final</w:t>
      </w:r>
      <w:r w:rsidR="00FA029A" w:rsidRPr="00FA029A">
        <w:t xml:space="preserve"> decisions on proposed amendments referred to the Advisory Committee o</w:t>
      </w:r>
      <w:r w:rsidR="00FA029A">
        <w:t>n Medicines Scheduling (ACMS #</w:t>
      </w:r>
      <w:r w:rsidR="00904486">
        <w:t>38</w:t>
      </w:r>
      <w:r w:rsidR="00FA029A">
        <w:t xml:space="preserve">, </w:t>
      </w:r>
      <w:r w:rsidR="00904486">
        <w:t>June</w:t>
      </w:r>
      <w:r w:rsidR="00FA029A">
        <w:t xml:space="preserve"> 2</w:t>
      </w:r>
      <w:r w:rsidR="00904486">
        <w:t>022</w:t>
      </w:r>
      <w:r w:rsidR="00FA029A" w:rsidRPr="00FA029A">
        <w:t>)</w:t>
      </w:r>
      <w:bookmarkStart w:id="6" w:name="_Toc46325255"/>
      <w:bookmarkStart w:id="7" w:name="_Toc46325611"/>
      <w:bookmarkStart w:id="8" w:name="_Toc46327427"/>
      <w:bookmarkStart w:id="9" w:name="_Toc46412213"/>
      <w:bookmarkStart w:id="10" w:name="_Final_decision_in"/>
      <w:bookmarkStart w:id="11" w:name="_Toc46325256"/>
      <w:bookmarkStart w:id="12" w:name="_Toc46325612"/>
      <w:bookmarkStart w:id="13" w:name="_Toc46327428"/>
      <w:bookmarkStart w:id="14" w:name="_Toc46412214"/>
      <w:bookmarkStart w:id="15" w:name="_Toc46325257"/>
      <w:bookmarkStart w:id="16" w:name="_Toc46325613"/>
      <w:bookmarkStart w:id="17" w:name="_Toc46327429"/>
      <w:bookmarkStart w:id="18" w:name="_Toc46412215"/>
      <w:bookmarkStart w:id="19" w:name="_Toc46325258"/>
      <w:bookmarkStart w:id="20" w:name="_Toc46325614"/>
      <w:bookmarkStart w:id="21" w:name="_Toc46327430"/>
      <w:bookmarkStart w:id="22" w:name="_Toc46412216"/>
      <w:bookmarkStart w:id="23" w:name="_Toc46325259"/>
      <w:bookmarkStart w:id="24" w:name="_Toc46325615"/>
      <w:bookmarkStart w:id="25" w:name="_Toc46327431"/>
      <w:bookmarkStart w:id="26" w:name="_Toc46412217"/>
      <w:bookmarkStart w:id="27" w:name="_Final_decision_in_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24AD70" w14:textId="41B3A74F" w:rsidR="0025660C" w:rsidRDefault="00F56D63" w:rsidP="00E951D8">
      <w:pPr>
        <w:pStyle w:val="Heading3"/>
      </w:pPr>
      <w:bookmarkStart w:id="28" w:name="_Toc125014770"/>
      <w:r>
        <w:t xml:space="preserve">Final decision in relation to </w:t>
      </w:r>
      <w:r w:rsidR="00904486" w:rsidRPr="008F11C0">
        <w:rPr>
          <w:rFonts w:cs="Arial"/>
        </w:rPr>
        <w:t>cetirizine</w:t>
      </w:r>
      <w:bookmarkEnd w:id="28"/>
    </w:p>
    <w:p w14:paraId="381AECB7" w14:textId="77777777" w:rsidR="00E951D8" w:rsidRDefault="00E951D8" w:rsidP="00F41DCE">
      <w:pPr>
        <w:pStyle w:val="Heading5"/>
      </w:pPr>
      <w:r>
        <w:t>Proposal</w:t>
      </w:r>
    </w:p>
    <w:p w14:paraId="73642222" w14:textId="07985DBB" w:rsidR="00E951D8" w:rsidRPr="00904486" w:rsidRDefault="00904486" w:rsidP="00904486">
      <w:pPr>
        <w:rPr>
          <w:rFonts w:cstheme="minorHAnsi"/>
        </w:rPr>
      </w:pPr>
      <w:r w:rsidRPr="008F11C0">
        <w:rPr>
          <w:rFonts w:cstheme="minorHAnsi"/>
        </w:rPr>
        <w:t xml:space="preserve">The applicant proposed an amendment to the current Schedule 2 entry for cetirizine to lower the maximum age of patients for whom the substance is indicated, from 12 years and over to 6 years and over, when not scheduled in the Poisons Standard (the </w:t>
      </w:r>
      <w:r w:rsidRPr="008F11C0">
        <w:rPr>
          <w:rFonts w:cstheme="minorHAnsi"/>
          <w:b/>
          <w:bCs/>
        </w:rPr>
        <w:t>Proposal</w:t>
      </w:r>
      <w:r w:rsidRPr="008F11C0">
        <w:rPr>
          <w:rFonts w:cstheme="minorHAnsi"/>
        </w:rPr>
        <w:t xml:space="preserve">). </w:t>
      </w:r>
      <w:r w:rsidR="00784CA8">
        <w:rPr>
          <w:rFonts w:cstheme="minorHAnsi"/>
        </w:rPr>
        <w:t xml:space="preserve">Implementation </w:t>
      </w:r>
      <w:r w:rsidR="007805E4">
        <w:rPr>
          <w:rFonts w:cstheme="minorHAnsi"/>
        </w:rPr>
        <w:t>of</w:t>
      </w:r>
      <w:r w:rsidR="00784CA8">
        <w:rPr>
          <w:rFonts w:cstheme="minorHAnsi"/>
        </w:rPr>
        <w:t xml:space="preserve"> the Proposal </w:t>
      </w:r>
      <w:r w:rsidRPr="008F11C0">
        <w:rPr>
          <w:rFonts w:cstheme="minorHAnsi"/>
        </w:rPr>
        <w:t>would allow access to certain oral preparations of cetirizine for the treatment of seasonal allergic rhinitis from outlets such as supermarkets for individuals aged 6 years and over.</w:t>
      </w:r>
    </w:p>
    <w:p w14:paraId="61E0B426" w14:textId="2E417B6B" w:rsidR="00335BEC" w:rsidRPr="008036B7" w:rsidRDefault="00436C41" w:rsidP="00F41DCE">
      <w:pPr>
        <w:pStyle w:val="Heading5"/>
      </w:pPr>
      <w:r>
        <w:t xml:space="preserve">Final </w:t>
      </w:r>
      <w:r w:rsidR="00A53DC8">
        <w:t>d</w:t>
      </w:r>
      <w:r>
        <w:t xml:space="preserve">ecision </w:t>
      </w:r>
    </w:p>
    <w:p w14:paraId="7E0E6689" w14:textId="170E9618" w:rsidR="00F655CA" w:rsidRDefault="00335BEC" w:rsidP="00335BEC">
      <w:r w:rsidRPr="00F655CA">
        <w:t xml:space="preserve">Pursuant to regulation 42ZCZR of the Regulations, </w:t>
      </w:r>
      <w:r w:rsidR="00B23D7A" w:rsidRPr="00F655CA">
        <w:t>the</w:t>
      </w:r>
      <w:r w:rsidRPr="00F655CA">
        <w:t xml:space="preserve"> Delegate has made a final decision to confirm the interim decision and amend the current Poisons Standard in relation to </w:t>
      </w:r>
      <w:r w:rsidR="00F655CA" w:rsidRPr="00F655CA">
        <w:t>cetirizine</w:t>
      </w:r>
      <w:r w:rsidR="00516E40" w:rsidRPr="00F655CA">
        <w:t xml:space="preserve"> </w:t>
      </w:r>
      <w:r w:rsidRPr="00F655CA">
        <w:t>as follows</w:t>
      </w:r>
      <w:r w:rsidR="00F655CA" w:rsidRPr="00F655CA">
        <w:t>:</w:t>
      </w:r>
      <w:r w:rsidR="001B53BC">
        <w:rPr>
          <w:rStyle w:val="FootnoteReference"/>
        </w:rPr>
        <w:footnoteReference w:id="2"/>
      </w:r>
      <w:r w:rsidR="00F655CA">
        <w:t xml:space="preserve"> </w:t>
      </w:r>
    </w:p>
    <w:p w14:paraId="54329365" w14:textId="77777777" w:rsidR="00F655CA" w:rsidRDefault="00F655CA" w:rsidP="00F655CA">
      <w:pPr>
        <w:ind w:left="426"/>
        <w:rPr>
          <w:rFonts w:cstheme="minorHAnsi"/>
          <w:b/>
        </w:rPr>
      </w:pPr>
      <w:r>
        <w:rPr>
          <w:rFonts w:cstheme="minorHAnsi"/>
          <w:b/>
        </w:rPr>
        <w:t>Schedule 4 – Amend entry</w:t>
      </w:r>
    </w:p>
    <w:p w14:paraId="334D7DFB" w14:textId="77777777" w:rsidR="00F655CA" w:rsidRDefault="00F655CA" w:rsidP="00F655CA">
      <w:pPr>
        <w:ind w:left="426"/>
        <w:rPr>
          <w:rFonts w:cstheme="minorHAnsi"/>
          <w:b/>
        </w:rPr>
      </w:pPr>
      <w:r>
        <w:rPr>
          <w:rFonts w:cstheme="minorHAnsi"/>
          <w:b/>
        </w:rPr>
        <w:tab/>
      </w:r>
      <w:r>
        <w:rPr>
          <w:rFonts w:cstheme="minorHAnsi"/>
          <w:bCs/>
        </w:rPr>
        <w:t>CETIRIZINE</w:t>
      </w:r>
      <w:r>
        <w:rPr>
          <w:rFonts w:cstheme="minorHAnsi"/>
          <w:b/>
        </w:rPr>
        <w:t xml:space="preserve"> except:</w:t>
      </w:r>
    </w:p>
    <w:p w14:paraId="3EE6DC6D" w14:textId="77777777" w:rsidR="00F655CA" w:rsidRDefault="00F655CA" w:rsidP="00AA0127">
      <w:pPr>
        <w:pStyle w:val="ListParagraph"/>
        <w:numPr>
          <w:ilvl w:val="0"/>
          <w:numId w:val="8"/>
        </w:numPr>
        <w:spacing w:before="60" w:after="60" w:line="257" w:lineRule="auto"/>
        <w:ind w:left="1276" w:hanging="142"/>
        <w:contextualSpacing w:val="0"/>
        <w:rPr>
          <w:rFonts w:cstheme="minorHAnsi"/>
          <w:bCs/>
        </w:rPr>
      </w:pPr>
      <w:r>
        <w:rPr>
          <w:rFonts w:cstheme="minorHAnsi"/>
          <w:bCs/>
        </w:rPr>
        <w:t>when included in Schedule 2; or</w:t>
      </w:r>
    </w:p>
    <w:p w14:paraId="39A31E0F" w14:textId="77777777" w:rsidR="00F655CA" w:rsidRDefault="00F655CA" w:rsidP="00AA0127">
      <w:pPr>
        <w:pStyle w:val="ListParagraph"/>
        <w:numPr>
          <w:ilvl w:val="0"/>
          <w:numId w:val="8"/>
        </w:numPr>
        <w:spacing w:before="60" w:after="60" w:line="257" w:lineRule="auto"/>
        <w:ind w:left="1418" w:hanging="284"/>
        <w:contextualSpacing w:val="0"/>
        <w:rPr>
          <w:rFonts w:cstheme="minorHAnsi"/>
          <w:bCs/>
        </w:rPr>
      </w:pPr>
      <w:r>
        <w:rPr>
          <w:rFonts w:cstheme="minorHAnsi"/>
          <w:bCs/>
        </w:rPr>
        <w:t xml:space="preserve">in divided preparations for oral use for the treatment of seasonal allergic rhinitis in adults and children </w:t>
      </w:r>
      <w:r>
        <w:rPr>
          <w:rFonts w:cstheme="minorHAnsi"/>
          <w:bCs/>
          <w:strike/>
          <w:color w:val="FF0000"/>
        </w:rPr>
        <w:t>12</w:t>
      </w:r>
      <w:r w:rsidRPr="00855EE9">
        <w:rPr>
          <w:rFonts w:cstheme="minorHAnsi"/>
          <w:bCs/>
          <w:color w:val="00B050"/>
          <w:u w:val="single"/>
        </w:rPr>
        <w:t>6</w:t>
      </w:r>
      <w:r>
        <w:rPr>
          <w:rFonts w:cstheme="minorHAnsi"/>
          <w:bCs/>
        </w:rPr>
        <w:t xml:space="preserve"> years of age and over when:</w:t>
      </w:r>
    </w:p>
    <w:p w14:paraId="41C504D5" w14:textId="77777777" w:rsidR="00F655CA" w:rsidRDefault="00F655CA" w:rsidP="00AA0127">
      <w:pPr>
        <w:pStyle w:val="ListParagraph"/>
        <w:numPr>
          <w:ilvl w:val="1"/>
          <w:numId w:val="8"/>
        </w:numPr>
        <w:spacing w:before="60" w:after="60" w:line="257" w:lineRule="auto"/>
        <w:ind w:left="1865" w:hanging="357"/>
        <w:contextualSpacing w:val="0"/>
        <w:rPr>
          <w:rFonts w:cstheme="minorHAnsi"/>
          <w:bCs/>
        </w:rPr>
      </w:pPr>
      <w:r>
        <w:rPr>
          <w:rFonts w:cstheme="minorHAnsi"/>
          <w:bCs/>
        </w:rPr>
        <w:lastRenderedPageBreak/>
        <w:t>in a primary pack containing not more than 10 days’ supply; and</w:t>
      </w:r>
    </w:p>
    <w:p w14:paraId="3E5741FC" w14:textId="77777777" w:rsidR="00F655CA" w:rsidRDefault="00F655CA" w:rsidP="00AA0127">
      <w:pPr>
        <w:pStyle w:val="ListParagraph"/>
        <w:numPr>
          <w:ilvl w:val="1"/>
          <w:numId w:val="8"/>
        </w:numPr>
        <w:spacing w:before="60" w:after="60" w:line="257" w:lineRule="auto"/>
        <w:ind w:left="1865" w:hanging="357"/>
        <w:contextualSpacing w:val="0"/>
        <w:rPr>
          <w:rFonts w:cstheme="minorHAnsi"/>
          <w:bCs/>
        </w:rPr>
      </w:pPr>
      <w:r>
        <w:rPr>
          <w:rFonts w:cstheme="minorHAnsi"/>
          <w:bCs/>
        </w:rPr>
        <w:t>labelled with a recommended daily dose not exceeding 10 mg of cetirizine.</w:t>
      </w:r>
    </w:p>
    <w:p w14:paraId="348B3BE3" w14:textId="77777777" w:rsidR="00F655CA" w:rsidRDefault="00F655CA" w:rsidP="00F655CA">
      <w:pPr>
        <w:ind w:left="426"/>
        <w:rPr>
          <w:rFonts w:cstheme="minorHAnsi"/>
          <w:b/>
        </w:rPr>
      </w:pPr>
      <w:r>
        <w:rPr>
          <w:rFonts w:cstheme="minorHAnsi"/>
          <w:b/>
        </w:rPr>
        <w:t>Schedule 2 – Amend entry</w:t>
      </w:r>
    </w:p>
    <w:p w14:paraId="5C85370C" w14:textId="77777777" w:rsidR="00F655CA" w:rsidRDefault="00F655CA" w:rsidP="00F655CA">
      <w:pPr>
        <w:ind w:left="720" w:firstLine="6"/>
        <w:rPr>
          <w:rFonts w:cstheme="minorHAnsi"/>
          <w:bCs/>
        </w:rPr>
      </w:pPr>
      <w:r>
        <w:rPr>
          <w:rFonts w:cstheme="minorHAnsi"/>
          <w:bCs/>
        </w:rPr>
        <w:t xml:space="preserve">CETIRIZINE in preparations for oral use except in divided preparations for the treatment of seasonal allergic rhinitis in adults and children </w:t>
      </w:r>
      <w:r>
        <w:rPr>
          <w:rFonts w:cstheme="minorHAnsi"/>
          <w:bCs/>
          <w:strike/>
          <w:color w:val="FF0000"/>
        </w:rPr>
        <w:t>12</w:t>
      </w:r>
      <w:r w:rsidRPr="00855EE9">
        <w:rPr>
          <w:rFonts w:cstheme="minorHAnsi"/>
          <w:bCs/>
          <w:color w:val="00B050"/>
          <w:u w:val="single"/>
        </w:rPr>
        <w:t>6</w:t>
      </w:r>
      <w:r>
        <w:rPr>
          <w:rFonts w:cstheme="minorHAnsi"/>
          <w:bCs/>
        </w:rPr>
        <w:t xml:space="preserve"> years of age and over when:</w:t>
      </w:r>
    </w:p>
    <w:p w14:paraId="7D9DC16A" w14:textId="77777777" w:rsidR="00F655CA" w:rsidRDefault="00F655CA" w:rsidP="00AA0127">
      <w:pPr>
        <w:pStyle w:val="ListParagraph"/>
        <w:numPr>
          <w:ilvl w:val="0"/>
          <w:numId w:val="20"/>
        </w:numPr>
        <w:spacing w:before="60" w:after="60" w:line="257" w:lineRule="auto"/>
        <w:ind w:left="1276" w:hanging="142"/>
        <w:contextualSpacing w:val="0"/>
        <w:rPr>
          <w:rFonts w:cstheme="minorHAnsi"/>
          <w:bCs/>
        </w:rPr>
      </w:pPr>
      <w:r>
        <w:rPr>
          <w:rFonts w:cstheme="minorHAnsi"/>
          <w:bCs/>
        </w:rPr>
        <w:t>in a primary pack containing not more than 10 days’ supply; and</w:t>
      </w:r>
    </w:p>
    <w:p w14:paraId="2811FB97" w14:textId="77777777" w:rsidR="00F655CA" w:rsidRDefault="00F655CA" w:rsidP="00AA0127">
      <w:pPr>
        <w:pStyle w:val="ListParagraph"/>
        <w:numPr>
          <w:ilvl w:val="0"/>
          <w:numId w:val="20"/>
        </w:numPr>
        <w:spacing w:before="60" w:after="60" w:line="257" w:lineRule="auto"/>
        <w:ind w:left="1276" w:hanging="142"/>
        <w:contextualSpacing w:val="0"/>
        <w:rPr>
          <w:rFonts w:cstheme="minorHAnsi"/>
          <w:bCs/>
        </w:rPr>
      </w:pPr>
      <w:r>
        <w:rPr>
          <w:rFonts w:cstheme="minorHAnsi"/>
          <w:bCs/>
        </w:rPr>
        <w:t>labelled with a recommended daily dose not exceeding 10 mg of cetirizine.</w:t>
      </w:r>
    </w:p>
    <w:p w14:paraId="5D482910" w14:textId="486280DF" w:rsidR="00436C41" w:rsidRPr="00E35534" w:rsidRDefault="00436C41" w:rsidP="00E35534">
      <w:pPr>
        <w:rPr>
          <w:b/>
          <w:bCs/>
          <w:i/>
          <w:iCs/>
        </w:rPr>
      </w:pPr>
      <w:r w:rsidRPr="00E35534">
        <w:rPr>
          <w:b/>
          <w:bCs/>
          <w:i/>
          <w:iCs/>
        </w:rPr>
        <w:t xml:space="preserve">Materials considered </w:t>
      </w:r>
    </w:p>
    <w:p w14:paraId="348AF278" w14:textId="4E3E957E" w:rsidR="006A64F4" w:rsidRDefault="006A64F4" w:rsidP="006A64F4">
      <w:r>
        <w:t>In making this final decision, the Delegate considered the following material:</w:t>
      </w:r>
    </w:p>
    <w:p w14:paraId="5184C1E8" w14:textId="6DA1FCEC" w:rsidR="006A64F4" w:rsidRDefault="006A64F4" w:rsidP="006A64F4">
      <w:pPr>
        <w:pStyle w:val="ListBullet"/>
      </w:pPr>
      <w:r>
        <w:t>T</w:t>
      </w:r>
      <w:r w:rsidRPr="00F655CA">
        <w:t xml:space="preserve">he </w:t>
      </w:r>
      <w:hyperlink r:id="rId12" w:history="1">
        <w:r w:rsidR="001A25DD">
          <w:rPr>
            <w:rStyle w:val="Hyperlink"/>
          </w:rPr>
          <w:t>application</w:t>
        </w:r>
      </w:hyperlink>
      <w:r w:rsidR="001A25DD" w:rsidRPr="001A25DD">
        <w:rPr>
          <w:rStyle w:val="Hyperlink"/>
          <w:color w:val="auto"/>
          <w:u w:val="none"/>
        </w:rPr>
        <w:t xml:space="preserve"> to</w:t>
      </w:r>
      <w:r>
        <w:t xml:space="preserve"> amend the current Poisons Standard with respect to</w:t>
      </w:r>
      <w:r w:rsidR="00792B5F">
        <w:t xml:space="preserve"> cetirizine</w:t>
      </w:r>
      <w:r w:rsidR="002F4418">
        <w:t xml:space="preserve"> (the </w:t>
      </w:r>
      <w:r w:rsidR="002F4418" w:rsidRPr="002F4418">
        <w:rPr>
          <w:b/>
          <w:bCs/>
        </w:rPr>
        <w:t>Application</w:t>
      </w:r>
      <w:r w:rsidR="002F4418">
        <w:t>)</w:t>
      </w:r>
      <w:r>
        <w:t>;</w:t>
      </w:r>
    </w:p>
    <w:p w14:paraId="7A70CC69" w14:textId="57A66E30" w:rsidR="001A25DD" w:rsidRDefault="001A25DD" w:rsidP="006A64F4">
      <w:pPr>
        <w:pStyle w:val="ListBullet"/>
      </w:pPr>
      <w:r>
        <w:t xml:space="preserve">The </w:t>
      </w:r>
      <w:r w:rsidR="008B0BAE">
        <w:t>3,148</w:t>
      </w:r>
      <w:r>
        <w:t xml:space="preserve"> </w:t>
      </w:r>
      <w:hyperlink r:id="rId13" w:history="1">
        <w:r w:rsidRPr="00657D27">
          <w:rPr>
            <w:rStyle w:val="Hyperlink"/>
          </w:rPr>
          <w:t>public submissions</w:t>
        </w:r>
      </w:hyperlink>
      <w:r w:rsidR="008B0BAE">
        <w:t xml:space="preserve">, including 6 with a written component, </w:t>
      </w:r>
      <w:r>
        <w:t xml:space="preserve">received in response to the </w:t>
      </w:r>
      <w:hyperlink r:id="rId14" w:history="1">
        <w:r w:rsidRPr="00657D27">
          <w:rPr>
            <w:rStyle w:val="Hyperlink"/>
          </w:rPr>
          <w:t>pre-meeting consultation</w:t>
        </w:r>
      </w:hyperlink>
      <w:r>
        <w:t xml:space="preserve"> under regulation 42</w:t>
      </w:r>
      <w:r w:rsidR="006C7281">
        <w:t>Z</w:t>
      </w:r>
      <w:r>
        <w:t>CZK of the Regulations;</w:t>
      </w:r>
    </w:p>
    <w:p w14:paraId="6D0FB2BA" w14:textId="5A31ED1E" w:rsidR="006A64F4" w:rsidRDefault="002C1418">
      <w:pPr>
        <w:pStyle w:val="ListBullet"/>
      </w:pPr>
      <w:r>
        <w:t xml:space="preserve">The advice received from the </w:t>
      </w:r>
      <w:r w:rsidR="00792B5F">
        <w:t>38</w:t>
      </w:r>
      <w:r w:rsidR="00EA2090">
        <w:t xml:space="preserve">th </w:t>
      </w:r>
      <w:r w:rsidR="00EA2090" w:rsidRPr="00F655CA">
        <w:t>m</w:t>
      </w:r>
      <w:r w:rsidR="006A64F4" w:rsidRPr="00F655CA">
        <w:t xml:space="preserve">eeting of the </w:t>
      </w:r>
      <w:r w:rsidR="00E81BC9" w:rsidRPr="00F655CA">
        <w:t>Advisory Committee on Medicines Scheduling (</w:t>
      </w:r>
      <w:r w:rsidR="00EA2090" w:rsidRPr="00F655CA">
        <w:t xml:space="preserve">the </w:t>
      </w:r>
      <w:r w:rsidR="00EA2090" w:rsidRPr="00F655CA">
        <w:rPr>
          <w:b/>
          <w:bCs/>
        </w:rPr>
        <w:t>Committee</w:t>
      </w:r>
      <w:proofErr w:type="gramStart"/>
      <w:r w:rsidR="00E81BC9" w:rsidRPr="00F655CA">
        <w:t>)</w:t>
      </w:r>
      <w:r w:rsidR="00784CA8">
        <w:t>;</w:t>
      </w:r>
      <w:proofErr w:type="gramEnd"/>
    </w:p>
    <w:p w14:paraId="201A189C" w14:textId="379CBA29" w:rsidR="001A25DD" w:rsidRDefault="00160449">
      <w:pPr>
        <w:pStyle w:val="ListBullet"/>
      </w:pPr>
      <w:r>
        <w:t xml:space="preserve">The </w:t>
      </w:r>
      <w:r w:rsidR="002A26C4">
        <w:t>4</w:t>
      </w:r>
      <w:r>
        <w:t xml:space="preserve"> </w:t>
      </w:r>
      <w:hyperlink r:id="rId15" w:history="1">
        <w:r w:rsidRPr="00657D27">
          <w:rPr>
            <w:rStyle w:val="Hyperlink"/>
          </w:rPr>
          <w:t>public submissions</w:t>
        </w:r>
      </w:hyperlink>
      <w:r>
        <w:t xml:space="preserve">, including </w:t>
      </w:r>
      <w:r w:rsidR="008B4DD7">
        <w:t>one</w:t>
      </w:r>
      <w:r>
        <w:t xml:space="preserve"> written submission, received in response to the </w:t>
      </w:r>
      <w:hyperlink r:id="rId16" w:history="1">
        <w:r w:rsidRPr="00657D27">
          <w:rPr>
            <w:rStyle w:val="Hyperlink"/>
          </w:rPr>
          <w:t>interim decision consultation</w:t>
        </w:r>
      </w:hyperlink>
      <w:r>
        <w:t xml:space="preserve"> under regulation 42ZCZP of the Regulations (the </w:t>
      </w:r>
      <w:r w:rsidRPr="00160449">
        <w:rPr>
          <w:b/>
          <w:bCs/>
        </w:rPr>
        <w:t>Submissions</w:t>
      </w:r>
      <w:r>
        <w:t>);</w:t>
      </w:r>
    </w:p>
    <w:p w14:paraId="0CA7079D" w14:textId="129E7C48" w:rsidR="006A64F4" w:rsidRDefault="001169AC" w:rsidP="001169AC">
      <w:pPr>
        <w:pStyle w:val="ListBullet"/>
      </w:pPr>
      <w:r w:rsidRPr="001169AC">
        <w:t>Subsection 52</w:t>
      </w:r>
      <w:proofErr w:type="gramStart"/>
      <w:r w:rsidRPr="001169AC">
        <w:t>E(</w:t>
      </w:r>
      <w:proofErr w:type="gramEnd"/>
      <w:r w:rsidRPr="001169AC">
        <w:t xml:space="preserve">1) of </w:t>
      </w:r>
      <w:r w:rsidRPr="001169AC">
        <w:rPr>
          <w:i/>
        </w:rPr>
        <w:t>the Therapeutic Goods Act 1989</w:t>
      </w:r>
      <w:r w:rsidR="00EA2090">
        <w:rPr>
          <w:i/>
        </w:rPr>
        <w:t xml:space="preserve"> </w:t>
      </w:r>
      <w:r w:rsidR="00EA2090">
        <w:rPr>
          <w:iCs/>
        </w:rPr>
        <w:t>(</w:t>
      </w:r>
      <w:proofErr w:type="spellStart"/>
      <w:r w:rsidR="00EA2090">
        <w:rPr>
          <w:iCs/>
        </w:rPr>
        <w:t>Cth</w:t>
      </w:r>
      <w:proofErr w:type="spellEnd"/>
      <w:r w:rsidR="00EA2090">
        <w:rPr>
          <w:iCs/>
        </w:rPr>
        <w:t xml:space="preserve">) (the </w:t>
      </w:r>
      <w:r w:rsidR="00EA2090" w:rsidRPr="00EA2090">
        <w:rPr>
          <w:b/>
          <w:bCs/>
          <w:iCs/>
        </w:rPr>
        <w:t>Act</w:t>
      </w:r>
      <w:r w:rsidR="00EA2090">
        <w:rPr>
          <w:iCs/>
        </w:rPr>
        <w: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7EDBC43C" w14:textId="1ABDDEAD" w:rsidR="006A64F4" w:rsidRDefault="002C1418" w:rsidP="002C1418">
      <w:pPr>
        <w:pStyle w:val="ListBullet"/>
      </w:pPr>
      <w:r w:rsidRPr="002C1418">
        <w:t xml:space="preserve">The </w:t>
      </w:r>
      <w:hyperlink r:id="rId17" w:history="1">
        <w:r w:rsidR="006A64F4" w:rsidRPr="001A7580">
          <w:rPr>
            <w:rStyle w:val="Hyperlink"/>
          </w:rPr>
          <w:t>Scheduling Policy Framework</w:t>
        </w:r>
      </w:hyperlink>
      <w:r w:rsidR="006A64F4">
        <w:t xml:space="preserve"> </w:t>
      </w:r>
      <w:r w:rsidR="00EA2090">
        <w:t xml:space="preserve">2018 </w:t>
      </w:r>
      <w:r w:rsidR="006A64F4">
        <w:t>(</w:t>
      </w:r>
      <w:r w:rsidR="00EA2090">
        <w:t xml:space="preserve">the </w:t>
      </w:r>
      <w:r w:rsidR="006A64F4" w:rsidRPr="00EA2090">
        <w:rPr>
          <w:b/>
          <w:bCs/>
        </w:rPr>
        <w:t>SPF</w:t>
      </w:r>
      <w:r w:rsidR="006A64F4">
        <w:t>)</w:t>
      </w:r>
      <w:r w:rsidR="00EA2090">
        <w:t>, pursuant to paragraph 52E(2)(a) of the Act</w:t>
      </w:r>
      <w:r w:rsidR="006A64F4">
        <w:t xml:space="preserve">; </w:t>
      </w:r>
      <w:r w:rsidR="006A64F4" w:rsidRPr="00F655CA">
        <w:t>and</w:t>
      </w:r>
    </w:p>
    <w:p w14:paraId="14442224" w14:textId="1411C130" w:rsidR="002C1418" w:rsidRDefault="002C1418" w:rsidP="00F655CA">
      <w:pPr>
        <w:pStyle w:val="ListBullet"/>
      </w:pPr>
      <w:r>
        <w:t xml:space="preserve">The </w:t>
      </w:r>
      <w:hyperlink r:id="rId18" w:history="1">
        <w:r w:rsidR="006A64F4" w:rsidRPr="001A7580">
          <w:rPr>
            <w:rStyle w:val="Hyperlink"/>
          </w:rPr>
          <w:t>Scheduling handbook: Guidance for amending the Poisons Standard</w:t>
        </w:r>
      </w:hyperlink>
      <w:r w:rsidR="00E40BD2">
        <w:t>.</w:t>
      </w:r>
    </w:p>
    <w:p w14:paraId="70E59020" w14:textId="6A773F7F" w:rsidR="00436C41" w:rsidRDefault="00436C41" w:rsidP="00F41DCE">
      <w:pPr>
        <w:pStyle w:val="Heading5"/>
      </w:pPr>
      <w:r w:rsidRPr="00436C41">
        <w:t>Reasons for the final decision (including findings on material questions of fact)</w:t>
      </w:r>
    </w:p>
    <w:p w14:paraId="64E9C1AD" w14:textId="0B066DFF" w:rsidR="004B32D0" w:rsidRDefault="004B32D0" w:rsidP="004B32D0">
      <w:r w:rsidRPr="00F655CA">
        <w:t>I have made a final decision to confirm</w:t>
      </w:r>
      <w:r w:rsidR="00F655CA" w:rsidRPr="00F655CA">
        <w:t xml:space="preserve"> my </w:t>
      </w:r>
      <w:r w:rsidRPr="00F655CA">
        <w:t xml:space="preserve">interim decision to amend the current Poisons Standard with respect to </w:t>
      </w:r>
      <w:r w:rsidR="00F655CA" w:rsidRPr="00F655CA">
        <w:t>cetirizine</w:t>
      </w:r>
      <w:r w:rsidRPr="00F655CA">
        <w:t>. My reasons for making the final decision are those set out in the interim decision</w:t>
      </w:r>
      <w:r w:rsidR="00F655CA" w:rsidRPr="00F655CA">
        <w:t xml:space="preserve">. </w:t>
      </w:r>
      <w:r w:rsidRPr="00F655CA">
        <w:t>I</w:t>
      </w:r>
      <w:r w:rsidR="002A26C4">
        <w:t>n ma</w:t>
      </w:r>
      <w:r w:rsidR="008B4DD7">
        <w:t>king my final decision, I</w:t>
      </w:r>
      <w:r w:rsidRPr="00F655CA">
        <w:t xml:space="preserve"> have </w:t>
      </w:r>
      <w:proofErr w:type="gramStart"/>
      <w:r w:rsidR="008B4DD7">
        <w:t>taken into account</w:t>
      </w:r>
      <w:proofErr w:type="gramEnd"/>
      <w:r w:rsidR="008B4DD7">
        <w:t xml:space="preserve"> the material detailed in the interim decision published on 21 October 2022 </w:t>
      </w:r>
      <w:r w:rsidRPr="00F655CA">
        <w:t>under regulation 42ZCZP of the Regulations</w:t>
      </w:r>
      <w:r w:rsidR="000C4FF7">
        <w:t xml:space="preserve">, and the Submissions, </w:t>
      </w:r>
      <w:r w:rsidR="00657D27">
        <w:t>only</w:t>
      </w:r>
      <w:r w:rsidR="008B4DD7">
        <w:t xml:space="preserve"> </w:t>
      </w:r>
      <w:r w:rsidR="000C4FF7">
        <w:t xml:space="preserve">one of which was </w:t>
      </w:r>
      <w:r w:rsidR="008B4DD7">
        <w:t xml:space="preserve">written </w:t>
      </w:r>
      <w:r w:rsidR="000C4FF7">
        <w:t xml:space="preserve">and was </w:t>
      </w:r>
      <w:r w:rsidR="008B4DD7">
        <w:t>support</w:t>
      </w:r>
      <w:r w:rsidR="00657D27">
        <w:t>ive</w:t>
      </w:r>
      <w:r w:rsidR="008B4DD7">
        <w:t xml:space="preserve"> </w:t>
      </w:r>
      <w:r w:rsidR="00657D27">
        <w:t>of</w:t>
      </w:r>
      <w:r w:rsidR="008B4DD7">
        <w:t xml:space="preserve"> the interim decision.</w:t>
      </w:r>
    </w:p>
    <w:p w14:paraId="62D1F954" w14:textId="7379CD42" w:rsidR="00F41DCE" w:rsidRDefault="00B23D7A" w:rsidP="00F2731A">
      <w:pPr>
        <w:pStyle w:val="Heading5"/>
        <w:spacing w:before="360"/>
        <w:ind w:left="1009" w:hanging="1009"/>
      </w:pPr>
      <w:r>
        <w:t>Implementation d</w:t>
      </w:r>
      <w:r w:rsidR="00F41DCE">
        <w:t>ate</w:t>
      </w:r>
    </w:p>
    <w:p w14:paraId="62163482" w14:textId="188F58F9" w:rsidR="00792B5F" w:rsidRPr="00657D27" w:rsidRDefault="00792B5F" w:rsidP="00792B5F">
      <w:pPr>
        <w:rPr>
          <w:rFonts w:cstheme="minorHAnsi"/>
        </w:rPr>
      </w:pPr>
      <w:r w:rsidRPr="00657D27">
        <w:rPr>
          <w:rFonts w:cstheme="minorHAnsi"/>
        </w:rPr>
        <w:t>1 February 2023.</w:t>
      </w:r>
    </w:p>
    <w:p w14:paraId="535934D8" w14:textId="5C7665E0" w:rsidR="00792B5F" w:rsidRDefault="00792B5F" w:rsidP="00792B5F">
      <w:pPr>
        <w:pStyle w:val="Heading3"/>
      </w:pPr>
      <w:bookmarkStart w:id="30" w:name="_Toc125014771"/>
      <w:r>
        <w:t>Final decision in relation to budesonide</w:t>
      </w:r>
      <w:bookmarkEnd w:id="30"/>
    </w:p>
    <w:p w14:paraId="78345D83" w14:textId="77777777" w:rsidR="00792B5F" w:rsidRDefault="00792B5F" w:rsidP="00792B5F">
      <w:pPr>
        <w:pStyle w:val="Heading5"/>
      </w:pPr>
      <w:r>
        <w:t>Proposal</w:t>
      </w:r>
    </w:p>
    <w:p w14:paraId="161A6C47" w14:textId="77777777" w:rsidR="00792B5F" w:rsidRPr="00D75206" w:rsidRDefault="00792B5F" w:rsidP="00792B5F">
      <w:r>
        <w:t xml:space="preserve">The applicant proposed the creation </w:t>
      </w:r>
      <w:r w:rsidRPr="009A16D9">
        <w:t xml:space="preserve">of a Schedule </w:t>
      </w:r>
      <w:r>
        <w:t>3</w:t>
      </w:r>
      <w:r w:rsidRPr="009A16D9">
        <w:t xml:space="preserve"> entry for </w:t>
      </w:r>
      <w:r>
        <w:t>inhaled budesonide</w:t>
      </w:r>
      <w:r w:rsidRPr="009A16D9">
        <w:t xml:space="preserve"> </w:t>
      </w:r>
      <w:r>
        <w:t xml:space="preserve">in single ingredient inhaler devices for the maintenance of asthma in people aged 12 years and older </w:t>
      </w:r>
      <w:r>
        <w:lastRenderedPageBreak/>
        <w:t xml:space="preserve">where the maximum daily dose does not exceed 800 micrograms (the </w:t>
      </w:r>
      <w:r w:rsidRPr="007742B5">
        <w:rPr>
          <w:b/>
          <w:bCs/>
        </w:rPr>
        <w:t>Proposal</w:t>
      </w:r>
      <w:r>
        <w:t>). Inhaled formulations of budesonide are currently available only with a prescription.</w:t>
      </w:r>
    </w:p>
    <w:p w14:paraId="38F43377" w14:textId="77777777" w:rsidR="00792B5F" w:rsidRPr="008036B7" w:rsidRDefault="00792B5F" w:rsidP="00792B5F">
      <w:pPr>
        <w:pStyle w:val="Heading5"/>
      </w:pPr>
      <w:r>
        <w:t xml:space="preserve">Final decision </w:t>
      </w:r>
    </w:p>
    <w:p w14:paraId="0B672836" w14:textId="24176692" w:rsidR="00792B5F" w:rsidRPr="00335BEC" w:rsidRDefault="00792B5F" w:rsidP="00792B5F">
      <w:r w:rsidRPr="0099683C">
        <w:t xml:space="preserve">Pursuant to regulation 42ZCZR of the Regulations, the Delegate has made a final decision to confirm the interim decision and not amend the current Poisons Standard in relation to </w:t>
      </w:r>
      <w:r w:rsidR="00F655CA" w:rsidRPr="0099683C">
        <w:t>budesonide.</w:t>
      </w:r>
      <w:r w:rsidR="00F655CA">
        <w:t xml:space="preserve"> </w:t>
      </w:r>
      <w:r>
        <w:t xml:space="preserve"> </w:t>
      </w:r>
    </w:p>
    <w:p w14:paraId="0F7E5A24" w14:textId="77777777" w:rsidR="00792B5F" w:rsidRDefault="00792B5F" w:rsidP="00792B5F">
      <w:pPr>
        <w:pStyle w:val="Heading5"/>
      </w:pPr>
      <w:r>
        <w:t xml:space="preserve">Materials considered </w:t>
      </w:r>
    </w:p>
    <w:p w14:paraId="7D54C53B" w14:textId="77777777" w:rsidR="00792B5F" w:rsidRDefault="00792B5F" w:rsidP="00792B5F">
      <w:r>
        <w:t>In making this final decision, the Delegate considered the following material:</w:t>
      </w:r>
    </w:p>
    <w:p w14:paraId="381F6471" w14:textId="25174552" w:rsidR="00792B5F" w:rsidRDefault="00792B5F" w:rsidP="00792B5F">
      <w:pPr>
        <w:pStyle w:val="ListBullet"/>
      </w:pPr>
      <w:r w:rsidRPr="0099683C">
        <w:t>Th</w:t>
      </w:r>
      <w:r w:rsidR="00F655CA" w:rsidRPr="0099683C">
        <w:t>e</w:t>
      </w:r>
      <w:r w:rsidRPr="0099683C">
        <w:t xml:space="preserve"> </w:t>
      </w:r>
      <w:hyperlink r:id="rId19" w:history="1">
        <w:r w:rsidR="0099683C">
          <w:rPr>
            <w:rStyle w:val="Hyperlink"/>
          </w:rPr>
          <w:t>application</w:t>
        </w:r>
      </w:hyperlink>
      <w:r>
        <w:t xml:space="preserve"> to amend the current Poisons Standard with respect to cetirizine (the </w:t>
      </w:r>
      <w:r w:rsidRPr="002F4418">
        <w:rPr>
          <w:b/>
          <w:bCs/>
        </w:rPr>
        <w:t>Application</w:t>
      </w:r>
      <w:r>
        <w:t>);</w:t>
      </w:r>
    </w:p>
    <w:p w14:paraId="275D0E35" w14:textId="57464A0F" w:rsidR="00792B5F" w:rsidRDefault="00792B5F" w:rsidP="00792B5F">
      <w:pPr>
        <w:pStyle w:val="ListBullet"/>
      </w:pPr>
      <w:r w:rsidRPr="0099683C">
        <w:t xml:space="preserve">The </w:t>
      </w:r>
      <w:r w:rsidR="0099683C" w:rsidRPr="0099683C">
        <w:t>2,831</w:t>
      </w:r>
      <w:r w:rsidRPr="0099683C">
        <w:t xml:space="preserve"> </w:t>
      </w:r>
      <w:hyperlink r:id="rId20" w:history="1">
        <w:r w:rsidRPr="0099683C">
          <w:rPr>
            <w:rStyle w:val="Hyperlink"/>
          </w:rPr>
          <w:t>public submissions</w:t>
        </w:r>
      </w:hyperlink>
      <w:r w:rsidR="0099683C" w:rsidRPr="0099683C">
        <w:t>, including 9 with a written component,</w:t>
      </w:r>
      <w:r w:rsidRPr="0099683C">
        <w:t xml:space="preserve"> received in response to the </w:t>
      </w:r>
      <w:hyperlink r:id="rId21" w:history="1">
        <w:r w:rsidRPr="0099683C">
          <w:rPr>
            <w:rStyle w:val="Hyperlink"/>
          </w:rPr>
          <w:t>pre-meeting consultation</w:t>
        </w:r>
      </w:hyperlink>
      <w:r w:rsidRPr="0099683C">
        <w:t xml:space="preserve"> under regulation 42ZCZK of the Regulat</w:t>
      </w:r>
      <w:r>
        <w:t xml:space="preserve">ions; </w:t>
      </w:r>
    </w:p>
    <w:p w14:paraId="37F6C1D9" w14:textId="10B6939A" w:rsidR="00792B5F" w:rsidRDefault="00792B5F" w:rsidP="00792B5F">
      <w:pPr>
        <w:pStyle w:val="ListBullet"/>
      </w:pPr>
      <w:r>
        <w:t>The advice received from the 3</w:t>
      </w:r>
      <w:r w:rsidRPr="00D028DD">
        <w:t xml:space="preserve">8th meeting of the Advisory Committee on Medicines Scheduling (the </w:t>
      </w:r>
      <w:r w:rsidRPr="00D028DD">
        <w:rPr>
          <w:b/>
          <w:bCs/>
        </w:rPr>
        <w:t>Committee</w:t>
      </w:r>
      <w:proofErr w:type="gramStart"/>
      <w:r w:rsidRPr="00D028DD">
        <w:t>);</w:t>
      </w:r>
      <w:proofErr w:type="gramEnd"/>
    </w:p>
    <w:p w14:paraId="10777D53" w14:textId="6A2908F7" w:rsidR="00792B5F" w:rsidRDefault="00792B5F" w:rsidP="00792B5F">
      <w:pPr>
        <w:pStyle w:val="ListBullet"/>
      </w:pPr>
      <w:r>
        <w:t xml:space="preserve">The </w:t>
      </w:r>
      <w:r w:rsidR="00D028DD">
        <w:t>3</w:t>
      </w:r>
      <w:r>
        <w:t xml:space="preserve"> </w:t>
      </w:r>
      <w:hyperlink r:id="rId22" w:history="1">
        <w:r w:rsidRPr="00D028DD">
          <w:rPr>
            <w:rStyle w:val="Hyperlink"/>
          </w:rPr>
          <w:t>public submissions</w:t>
        </w:r>
      </w:hyperlink>
      <w:r w:rsidR="00D028DD" w:rsidRPr="00D028DD">
        <w:t>, includi</w:t>
      </w:r>
      <w:r w:rsidR="00D028DD">
        <w:t>ng one with a written component,</w:t>
      </w:r>
      <w:r>
        <w:t xml:space="preserve"> received in response to the </w:t>
      </w:r>
      <w:hyperlink r:id="rId23" w:history="1">
        <w:r w:rsidRPr="00D028DD">
          <w:rPr>
            <w:rStyle w:val="Hyperlink"/>
          </w:rPr>
          <w:t>interim decision consultation</w:t>
        </w:r>
      </w:hyperlink>
      <w:r>
        <w:t xml:space="preserve"> </w:t>
      </w:r>
      <w:r w:rsidRPr="002C1418">
        <w:t>under regulation 42ZCZP of the Regulations</w:t>
      </w:r>
      <w:r>
        <w:t>;</w:t>
      </w:r>
    </w:p>
    <w:p w14:paraId="530F844F" w14:textId="1339D46A" w:rsidR="00792B5F" w:rsidRDefault="00792B5F" w:rsidP="00792B5F">
      <w:pPr>
        <w:pStyle w:val="ListBullet"/>
      </w:pPr>
      <w:r w:rsidRPr="001169AC">
        <w:t xml:space="preserve">Subsection 52E(1) of </w:t>
      </w:r>
      <w:r w:rsidRPr="001169AC">
        <w:rPr>
          <w:i/>
        </w:rPr>
        <w:t>the Therapeutic Goods Act 1989</w:t>
      </w:r>
      <w:r>
        <w:rPr>
          <w:i/>
        </w:rPr>
        <w:t xml:space="preserve"> </w:t>
      </w:r>
      <w:r>
        <w:rPr>
          <w:iCs/>
        </w:rPr>
        <w:t>(</w:t>
      </w:r>
      <w:proofErr w:type="spellStart"/>
      <w:r>
        <w:rPr>
          <w:iCs/>
        </w:rPr>
        <w:t>Cth</w:t>
      </w:r>
      <w:proofErr w:type="spellEnd"/>
      <w:r>
        <w:rPr>
          <w:iCs/>
        </w:rPr>
        <w:t xml:space="preserve">) (the </w:t>
      </w:r>
      <w:r w:rsidRPr="00EA2090">
        <w:rPr>
          <w:b/>
          <w:bCs/>
          <w:iCs/>
        </w:rPr>
        <w:t>Act</w:t>
      </w:r>
      <w:r>
        <w:rPr>
          <w:iCs/>
        </w:rPr>
        <w: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t>;</w:t>
      </w:r>
    </w:p>
    <w:p w14:paraId="1553BC85" w14:textId="77777777" w:rsidR="00792B5F" w:rsidRDefault="00792B5F" w:rsidP="00792B5F">
      <w:pPr>
        <w:pStyle w:val="ListBullet"/>
      </w:pPr>
      <w:r w:rsidRPr="002C1418">
        <w:t xml:space="preserve">The </w:t>
      </w:r>
      <w:hyperlink r:id="rId24" w:history="1">
        <w:r w:rsidRPr="001A7580">
          <w:rPr>
            <w:rStyle w:val="Hyperlink"/>
          </w:rPr>
          <w:t>Scheduling Policy Framework</w:t>
        </w:r>
      </w:hyperlink>
      <w:r>
        <w:t xml:space="preserve"> 2018 (the </w:t>
      </w:r>
      <w:r w:rsidRPr="00EA2090">
        <w:rPr>
          <w:b/>
          <w:bCs/>
        </w:rPr>
        <w:t>SPF</w:t>
      </w:r>
      <w:r>
        <w:t xml:space="preserve">), pursuant to paragraph 52E(2)(a) of the Act; </w:t>
      </w:r>
      <w:r w:rsidRPr="00D028DD">
        <w:t>and</w:t>
      </w:r>
    </w:p>
    <w:p w14:paraId="21F4FC3D" w14:textId="3A24B0BE" w:rsidR="00792B5F" w:rsidRDefault="00792B5F" w:rsidP="00F655CA">
      <w:pPr>
        <w:pStyle w:val="ListBullet"/>
      </w:pPr>
      <w:r>
        <w:t xml:space="preserve">The </w:t>
      </w:r>
      <w:hyperlink r:id="rId25" w:history="1">
        <w:r w:rsidRPr="001A7580">
          <w:rPr>
            <w:rStyle w:val="Hyperlink"/>
          </w:rPr>
          <w:t>Scheduling handbook: Guidance for amending the Poisons Standard</w:t>
        </w:r>
      </w:hyperlink>
      <w:r>
        <w:t>.</w:t>
      </w:r>
    </w:p>
    <w:p w14:paraId="4E7D832E" w14:textId="77777777" w:rsidR="00792B5F" w:rsidRDefault="00792B5F" w:rsidP="00792B5F">
      <w:pPr>
        <w:pStyle w:val="Heading5"/>
      </w:pPr>
      <w:r w:rsidRPr="00436C41">
        <w:t>Reasons for the final decision (including findings on material questions of fact)</w:t>
      </w:r>
    </w:p>
    <w:p w14:paraId="7809974B" w14:textId="5C13E796" w:rsidR="00D028DD" w:rsidRDefault="00D028DD" w:rsidP="00D028DD">
      <w:pPr>
        <w:pStyle w:val="ListBullet"/>
        <w:numPr>
          <w:ilvl w:val="0"/>
          <w:numId w:val="0"/>
        </w:numPr>
      </w:pPr>
      <w:r w:rsidRPr="00F655CA">
        <w:t xml:space="preserve">I have made a final decision to confirm my interim decision to </w:t>
      </w:r>
      <w:r w:rsidR="000C4FF7">
        <w:t xml:space="preserve">not </w:t>
      </w:r>
      <w:r w:rsidRPr="00F655CA">
        <w:t xml:space="preserve">amend the current Poisons Standard with respect to </w:t>
      </w:r>
      <w:r w:rsidR="009D6295">
        <w:t>budesonide</w:t>
      </w:r>
      <w:r w:rsidRPr="00F655CA">
        <w:t>. My reasons for making the final decision are those set out in the interim decision. I</w:t>
      </w:r>
      <w:r>
        <w:t>n making my final decision, I</w:t>
      </w:r>
      <w:r w:rsidRPr="00F655CA">
        <w:t xml:space="preserve"> have </w:t>
      </w:r>
      <w:proofErr w:type="gramStart"/>
      <w:r>
        <w:t>taken into account</w:t>
      </w:r>
      <w:proofErr w:type="gramEnd"/>
      <w:r>
        <w:t xml:space="preserve"> the material detailed in the interim decision published on 21 October 2022 </w:t>
      </w:r>
      <w:r w:rsidRPr="00F655CA">
        <w:t>under regulation 42ZCZP of the Regulations</w:t>
      </w:r>
      <w:r w:rsidR="000C4FF7">
        <w:t>, and the Submissions</w:t>
      </w:r>
      <w:r w:rsidRPr="00F655CA">
        <w:t>.</w:t>
      </w:r>
      <w:r>
        <w:t xml:space="preserve"> I note that one written submission was received, which was opposed to the interim decision.</w:t>
      </w:r>
    </w:p>
    <w:p w14:paraId="53D5F186" w14:textId="4A4EDD95" w:rsidR="00DC7AF7" w:rsidRDefault="00D028DD" w:rsidP="00D028DD">
      <w:pPr>
        <w:pStyle w:val="ListBullet"/>
        <w:numPr>
          <w:ilvl w:val="0"/>
          <w:numId w:val="0"/>
        </w:numPr>
      </w:pPr>
      <w:r>
        <w:t xml:space="preserve">I have considered the comments in the opposing submission, </w:t>
      </w:r>
      <w:proofErr w:type="gramStart"/>
      <w:r>
        <w:t>in particular that</w:t>
      </w:r>
      <w:proofErr w:type="gramEnd"/>
      <w:r>
        <w:t xml:space="preserve"> the proposed scheduling amendment was only intended for maintenance treatment of asthma with the initial diagnosis to be made by a medical practitioner. </w:t>
      </w:r>
      <w:r w:rsidR="00002586" w:rsidRPr="004929C5">
        <w:t>I reiterate my concerns regarding the potential for misdiagnosis of respiratory symptoms in the absence of a complete medical assessment and discussion of patient history, concerns which were echoed by Asthma Australia in the initial consultation</w:t>
      </w:r>
      <w:r w:rsidR="00DC7AF7">
        <w:t xml:space="preserve"> on this matter</w:t>
      </w:r>
      <w:r w:rsidR="000316EB">
        <w:t xml:space="preserve">. </w:t>
      </w:r>
    </w:p>
    <w:p w14:paraId="3C06A48B" w14:textId="7E7EB40A" w:rsidR="004929C5" w:rsidRDefault="00F84417" w:rsidP="00D028DD">
      <w:pPr>
        <w:pStyle w:val="ListBullet"/>
        <w:numPr>
          <w:ilvl w:val="0"/>
          <w:numId w:val="0"/>
        </w:numPr>
      </w:pPr>
      <w:r>
        <w:t xml:space="preserve">This </w:t>
      </w:r>
      <w:r w:rsidR="00DC7AF7">
        <w:t xml:space="preserve">concern </w:t>
      </w:r>
      <w:r>
        <w:t>extends to ongoing treatment</w:t>
      </w:r>
      <w:r w:rsidR="00DC7AF7">
        <w:t xml:space="preserve"> of asthma with budesonide. Maintaining budesonide as a prescription-only medicine is consistent with the Quality Use of Medicines and</w:t>
      </w:r>
      <w:r>
        <w:t xml:space="preserve"> ensur</w:t>
      </w:r>
      <w:r w:rsidR="00DC7AF7">
        <w:t>es</w:t>
      </w:r>
      <w:r>
        <w:t xml:space="preserve"> that the medication provided to patients continues to be appropriate</w:t>
      </w:r>
      <w:r w:rsidR="00DC7AF7">
        <w:t xml:space="preserve"> for their condition.</w:t>
      </w:r>
      <w:r>
        <w:t xml:space="preserve"> </w:t>
      </w:r>
      <w:r w:rsidR="00DC7AF7">
        <w:t>A</w:t>
      </w:r>
      <w:r>
        <w:t>ny new health concerns th</w:t>
      </w:r>
      <w:r w:rsidR="00DC46AC">
        <w:t>at</w:t>
      </w:r>
      <w:r>
        <w:t xml:space="preserve"> may have </w:t>
      </w:r>
      <w:r w:rsidR="00DA01BC">
        <w:t xml:space="preserve">developed </w:t>
      </w:r>
      <w:r w:rsidR="00DC46AC">
        <w:t>since the patient’s initial diagnosis</w:t>
      </w:r>
      <w:r w:rsidR="00DC7AF7">
        <w:t>, as well as assessment of any changes in the severity of the patient’s asthma,</w:t>
      </w:r>
      <w:r w:rsidR="00DC46AC">
        <w:t xml:space="preserve"> </w:t>
      </w:r>
      <w:r w:rsidR="00DC7AF7">
        <w:t>can only be</w:t>
      </w:r>
      <w:r>
        <w:t xml:space="preserve"> properly and fully addressed</w:t>
      </w:r>
      <w:r w:rsidR="00DC46AC">
        <w:t xml:space="preserve"> by a qualified medical professional</w:t>
      </w:r>
      <w:r>
        <w:t>.</w:t>
      </w:r>
    </w:p>
    <w:p w14:paraId="6EAC32FA" w14:textId="677C78AC" w:rsidR="00792B5F" w:rsidRPr="00D028DD" w:rsidRDefault="000316EB" w:rsidP="00D028DD">
      <w:pPr>
        <w:pStyle w:val="ListBullet"/>
        <w:numPr>
          <w:ilvl w:val="0"/>
          <w:numId w:val="0"/>
        </w:numPr>
      </w:pPr>
      <w:r>
        <w:lastRenderedPageBreak/>
        <w:t>I note the reference</w:t>
      </w:r>
      <w:r w:rsidR="000C4FF7">
        <w:t xml:space="preserve"> in the submission</w:t>
      </w:r>
      <w:r>
        <w:t xml:space="preserve"> to the possibility</w:t>
      </w:r>
      <w:r w:rsidR="004929C5">
        <w:t xml:space="preserve"> of Appendix M conditions for budesonide mitigating the </w:t>
      </w:r>
      <w:r w:rsidR="00DC7AF7">
        <w:t xml:space="preserve">identified </w:t>
      </w:r>
      <w:r w:rsidR="004929C5">
        <w:t>risks</w:t>
      </w:r>
      <w:r w:rsidR="00DC7AF7">
        <w:t xml:space="preserve"> in this application. </w:t>
      </w:r>
      <w:r w:rsidR="000C4FF7">
        <w:t>I consider that such conditions should be presented in a proposal that is the subject of a separate application to amend the Poisons Standard</w:t>
      </w:r>
      <w:r w:rsidR="004929C5">
        <w:t>.</w:t>
      </w:r>
    </w:p>
    <w:p w14:paraId="788B6C66" w14:textId="142D4632" w:rsidR="00792B5F" w:rsidRDefault="00792B5F" w:rsidP="00792B5F">
      <w:pPr>
        <w:pStyle w:val="Heading3"/>
      </w:pPr>
      <w:bookmarkStart w:id="31" w:name="_Toc125014772"/>
      <w:r>
        <w:t xml:space="preserve">Final decision in relation to </w:t>
      </w:r>
      <w:proofErr w:type="spellStart"/>
      <w:r w:rsidR="00432A32">
        <w:t>apronal</w:t>
      </w:r>
      <w:proofErr w:type="spellEnd"/>
      <w:r w:rsidR="00432A32">
        <w:t xml:space="preserve"> (</w:t>
      </w:r>
      <w:proofErr w:type="spellStart"/>
      <w:r w:rsidR="00432A32">
        <w:t>allylisopropylacetylurea</w:t>
      </w:r>
      <w:proofErr w:type="spellEnd"/>
      <w:r w:rsidR="00432A32">
        <w:t>)</w:t>
      </w:r>
      <w:bookmarkEnd w:id="31"/>
    </w:p>
    <w:p w14:paraId="17CA760D" w14:textId="77777777" w:rsidR="00792B5F" w:rsidRDefault="00792B5F" w:rsidP="00792B5F">
      <w:pPr>
        <w:pStyle w:val="Heading5"/>
      </w:pPr>
      <w:r>
        <w:t>Proposal</w:t>
      </w:r>
    </w:p>
    <w:p w14:paraId="6DA237C4" w14:textId="77777777" w:rsidR="00432A32" w:rsidRDefault="00432A32" w:rsidP="00432A32">
      <w:r>
        <w:t>A proposal</w:t>
      </w:r>
      <w:r w:rsidRPr="00327716">
        <w:t xml:space="preserve"> was initiated by </w:t>
      </w:r>
      <w:r w:rsidRPr="00FE5155">
        <w:t xml:space="preserve">a delegate of the Secretary of the Department of Health and Aged Care (the </w:t>
      </w:r>
      <w:r w:rsidRPr="00AB47F6">
        <w:rPr>
          <w:b/>
          <w:bCs/>
        </w:rPr>
        <w:t>Delegate</w:t>
      </w:r>
      <w:r w:rsidRPr="00FE5155">
        <w:t>)</w:t>
      </w:r>
      <w:r w:rsidRPr="00327716">
        <w:t xml:space="preserve"> to clarify the appropriate scheduling for </w:t>
      </w:r>
      <w:proofErr w:type="spellStart"/>
      <w:r w:rsidRPr="00327716">
        <w:t>apronal</w:t>
      </w:r>
      <w:proofErr w:type="spellEnd"/>
      <w:r w:rsidRPr="00327716">
        <w:t xml:space="preserve"> and </w:t>
      </w:r>
      <w:proofErr w:type="spellStart"/>
      <w:r w:rsidRPr="00327716">
        <w:t>allylisopropylacetylurea</w:t>
      </w:r>
      <w:proofErr w:type="spellEnd"/>
      <w:r w:rsidRPr="00327716">
        <w:t>, which are currently in Schedule 4 and Schedule 10 of the Poisons Standard respectively. These entries represent the same substance.</w:t>
      </w:r>
    </w:p>
    <w:p w14:paraId="4CA0EFE4" w14:textId="77777777" w:rsidR="00792B5F" w:rsidRPr="008036B7" w:rsidRDefault="00792B5F" w:rsidP="00792B5F">
      <w:pPr>
        <w:pStyle w:val="Heading5"/>
      </w:pPr>
      <w:r>
        <w:t xml:space="preserve">Final decision </w:t>
      </w:r>
    </w:p>
    <w:p w14:paraId="162FC139" w14:textId="5939F0F1" w:rsidR="00F04336" w:rsidRDefault="00792B5F" w:rsidP="00792B5F">
      <w:r w:rsidRPr="00002586">
        <w:t xml:space="preserve">Pursuant to regulation 42ZCZR of the Regulations, the Delegate has made a final decision to confirm the interim decision and amend the current Poisons Standard in relation to </w:t>
      </w:r>
      <w:proofErr w:type="spellStart"/>
      <w:r w:rsidR="00F04336" w:rsidRPr="00002586">
        <w:t>apronal</w:t>
      </w:r>
      <w:proofErr w:type="spellEnd"/>
      <w:r w:rsidR="00F04336" w:rsidRPr="00002586">
        <w:t xml:space="preserve"> (</w:t>
      </w:r>
      <w:proofErr w:type="spellStart"/>
      <w:r w:rsidR="00F04336" w:rsidRPr="00002586">
        <w:t>allylisopropylacetylurea</w:t>
      </w:r>
      <w:proofErr w:type="spellEnd"/>
      <w:r w:rsidR="00F04336" w:rsidRPr="00002586">
        <w:t>)</w:t>
      </w:r>
      <w:r w:rsidRPr="00002586">
        <w:t xml:space="preserve"> as follows</w:t>
      </w:r>
      <w:r w:rsidR="00F04336" w:rsidRPr="00002586">
        <w:t>:</w:t>
      </w:r>
      <w:r w:rsidR="001B53BC">
        <w:rPr>
          <w:rStyle w:val="FootnoteReference"/>
        </w:rPr>
        <w:footnoteReference w:id="3"/>
      </w:r>
    </w:p>
    <w:p w14:paraId="299E600E" w14:textId="77777777" w:rsidR="00F04336" w:rsidRDefault="00F04336" w:rsidP="00DA01BC">
      <w:pPr>
        <w:kinsoku w:val="0"/>
        <w:overflowPunct w:val="0"/>
        <w:autoSpaceDE w:val="0"/>
        <w:autoSpaceDN w:val="0"/>
        <w:adjustRightInd w:val="0"/>
        <w:spacing w:before="0" w:after="0" w:line="276" w:lineRule="auto"/>
        <w:ind w:left="426"/>
        <w:rPr>
          <w:rFonts w:eastAsiaTheme="minorHAnsi" w:cs="Cambria"/>
          <w:b/>
          <w:bCs/>
          <w:szCs w:val="22"/>
        </w:rPr>
      </w:pPr>
      <w:r>
        <w:rPr>
          <w:rFonts w:eastAsiaTheme="minorHAnsi" w:cs="Cambria"/>
          <w:b/>
          <w:bCs/>
          <w:szCs w:val="22"/>
        </w:rPr>
        <w:t>Schedule 4 – Delete entry</w:t>
      </w:r>
    </w:p>
    <w:p w14:paraId="3BD7D28D" w14:textId="77777777" w:rsidR="00F04336" w:rsidRDefault="00F04336" w:rsidP="00F04336">
      <w:pPr>
        <w:kinsoku w:val="0"/>
        <w:overflowPunct w:val="0"/>
        <w:autoSpaceDE w:val="0"/>
        <w:autoSpaceDN w:val="0"/>
        <w:adjustRightInd w:val="0"/>
        <w:spacing w:after="0" w:line="276" w:lineRule="auto"/>
        <w:ind w:firstLine="720"/>
        <w:rPr>
          <w:rFonts w:eastAsiaTheme="minorHAnsi" w:cs="Cambria"/>
          <w:b/>
          <w:bCs/>
          <w:szCs w:val="22"/>
        </w:rPr>
      </w:pPr>
      <w:r>
        <w:rPr>
          <w:rFonts w:eastAsiaTheme="minorHAnsi" w:cs="Cambria"/>
          <w:strike/>
          <w:color w:val="FF0000"/>
          <w:spacing w:val="-2"/>
          <w:szCs w:val="22"/>
        </w:rPr>
        <w:t>APRONAL</w:t>
      </w:r>
    </w:p>
    <w:p w14:paraId="61B5406A" w14:textId="77777777" w:rsidR="00F04336" w:rsidRDefault="00F04336" w:rsidP="00DA01BC">
      <w:pPr>
        <w:kinsoku w:val="0"/>
        <w:overflowPunct w:val="0"/>
        <w:autoSpaceDE w:val="0"/>
        <w:autoSpaceDN w:val="0"/>
        <w:adjustRightInd w:val="0"/>
        <w:spacing w:after="0" w:line="276" w:lineRule="auto"/>
        <w:ind w:left="426"/>
        <w:rPr>
          <w:rFonts w:eastAsiaTheme="minorHAnsi" w:cs="Cambria"/>
          <w:b/>
          <w:bCs/>
          <w:szCs w:val="22"/>
        </w:rPr>
      </w:pPr>
      <w:r>
        <w:rPr>
          <w:rFonts w:eastAsiaTheme="minorHAnsi" w:cs="Cambria"/>
          <w:b/>
          <w:bCs/>
          <w:szCs w:val="22"/>
        </w:rPr>
        <w:t>Index – Delete entry</w:t>
      </w:r>
    </w:p>
    <w:p w14:paraId="01751082" w14:textId="77777777" w:rsidR="00F04336" w:rsidRDefault="00F04336" w:rsidP="00F04336">
      <w:pPr>
        <w:kinsoku w:val="0"/>
        <w:overflowPunct w:val="0"/>
        <w:autoSpaceDE w:val="0"/>
        <w:autoSpaceDN w:val="0"/>
        <w:adjustRightInd w:val="0"/>
        <w:spacing w:after="0" w:line="276" w:lineRule="auto"/>
        <w:ind w:firstLine="720"/>
        <w:rPr>
          <w:rFonts w:eastAsiaTheme="minorHAnsi" w:cs="Cambria"/>
          <w:b/>
          <w:bCs/>
          <w:color w:val="FF0000"/>
          <w:spacing w:val="-2"/>
          <w:szCs w:val="22"/>
        </w:rPr>
      </w:pPr>
      <w:r>
        <w:rPr>
          <w:rFonts w:eastAsiaTheme="minorHAnsi" w:cs="Cambria"/>
          <w:b/>
          <w:bCs/>
          <w:strike/>
          <w:color w:val="FF0000"/>
          <w:spacing w:val="-2"/>
          <w:szCs w:val="22"/>
        </w:rPr>
        <w:t>APRONAL</w:t>
      </w:r>
    </w:p>
    <w:p w14:paraId="0306F138" w14:textId="77777777" w:rsidR="00F04336" w:rsidRDefault="00F04336" w:rsidP="00F04336">
      <w:pPr>
        <w:kinsoku w:val="0"/>
        <w:overflowPunct w:val="0"/>
        <w:autoSpaceDE w:val="0"/>
        <w:autoSpaceDN w:val="0"/>
        <w:adjustRightInd w:val="0"/>
        <w:spacing w:after="0" w:line="276" w:lineRule="auto"/>
        <w:ind w:firstLine="720"/>
        <w:rPr>
          <w:rFonts w:eastAsiaTheme="minorHAnsi" w:cs="Cambria"/>
          <w:color w:val="FF0000"/>
          <w:szCs w:val="22"/>
        </w:rPr>
      </w:pPr>
      <w:r>
        <w:rPr>
          <w:rFonts w:eastAsiaTheme="minorHAnsi" w:cs="Cambria"/>
          <w:strike/>
          <w:color w:val="FF0000"/>
          <w:szCs w:val="22"/>
        </w:rPr>
        <w:t>Schedule 4</w:t>
      </w:r>
    </w:p>
    <w:p w14:paraId="3C60A858" w14:textId="77777777" w:rsidR="00F04336" w:rsidRDefault="00F04336" w:rsidP="00DA01BC">
      <w:pPr>
        <w:kinsoku w:val="0"/>
        <w:overflowPunct w:val="0"/>
        <w:autoSpaceDE w:val="0"/>
        <w:autoSpaceDN w:val="0"/>
        <w:adjustRightInd w:val="0"/>
        <w:spacing w:after="0" w:line="276" w:lineRule="auto"/>
        <w:ind w:left="426"/>
        <w:rPr>
          <w:rFonts w:eastAsiaTheme="minorHAnsi" w:cs="Cambria"/>
          <w:b/>
          <w:bCs/>
          <w:szCs w:val="22"/>
        </w:rPr>
      </w:pPr>
      <w:r>
        <w:rPr>
          <w:rFonts w:eastAsiaTheme="minorHAnsi" w:cs="Cambria"/>
          <w:b/>
          <w:bCs/>
          <w:szCs w:val="22"/>
        </w:rPr>
        <w:t>Schedule 10 – Amend entry</w:t>
      </w:r>
    </w:p>
    <w:p w14:paraId="63270361" w14:textId="77777777" w:rsidR="00F04336" w:rsidRDefault="00F04336" w:rsidP="00F04336">
      <w:pPr>
        <w:kinsoku w:val="0"/>
        <w:overflowPunct w:val="0"/>
        <w:autoSpaceDE w:val="0"/>
        <w:autoSpaceDN w:val="0"/>
        <w:adjustRightInd w:val="0"/>
        <w:spacing w:after="0" w:line="276" w:lineRule="auto"/>
        <w:ind w:firstLine="720"/>
        <w:rPr>
          <w:rFonts w:eastAsiaTheme="minorHAnsi" w:cs="Cambria"/>
          <w:color w:val="002C47" w:themeColor="text1"/>
          <w:szCs w:val="22"/>
        </w:rPr>
      </w:pPr>
      <w:r w:rsidRPr="00855EE9">
        <w:rPr>
          <w:rFonts w:eastAsiaTheme="minorHAnsi" w:cs="Cambria"/>
          <w:color w:val="00AF50"/>
          <w:szCs w:val="22"/>
          <w:u w:val="single"/>
        </w:rPr>
        <w:t>APRONAL</w:t>
      </w:r>
      <w:r>
        <w:rPr>
          <w:rFonts w:eastAsiaTheme="minorHAnsi" w:cs="Cambria"/>
          <w:color w:val="00AF50"/>
          <w:szCs w:val="22"/>
        </w:rPr>
        <w:t xml:space="preserve"> </w:t>
      </w:r>
      <w:r>
        <w:rPr>
          <w:rFonts w:eastAsiaTheme="minorHAnsi" w:cs="Cambria"/>
          <w:strike/>
          <w:color w:val="FF0000"/>
          <w:szCs w:val="22"/>
        </w:rPr>
        <w:t xml:space="preserve">ALLYLISOPROPYLACETYLUREA </w:t>
      </w:r>
      <w:r w:rsidRPr="00E9523A">
        <w:rPr>
          <w:rFonts w:eastAsiaTheme="minorHAnsi" w:cs="Cambria"/>
          <w:szCs w:val="22"/>
        </w:rPr>
        <w:t>for therapeutic use</w:t>
      </w:r>
    </w:p>
    <w:p w14:paraId="6AB995CC" w14:textId="77777777" w:rsidR="00F04336" w:rsidRDefault="00F04336" w:rsidP="00DA01BC">
      <w:pPr>
        <w:kinsoku w:val="0"/>
        <w:overflowPunct w:val="0"/>
        <w:autoSpaceDE w:val="0"/>
        <w:autoSpaceDN w:val="0"/>
        <w:adjustRightInd w:val="0"/>
        <w:spacing w:before="181" w:after="0" w:line="276" w:lineRule="auto"/>
        <w:ind w:left="426"/>
        <w:rPr>
          <w:rFonts w:eastAsiaTheme="minorHAnsi" w:cs="Cambria"/>
          <w:b/>
          <w:bCs/>
          <w:szCs w:val="22"/>
        </w:rPr>
      </w:pPr>
      <w:r>
        <w:rPr>
          <w:rFonts w:eastAsiaTheme="minorHAnsi" w:cs="Cambria"/>
          <w:b/>
          <w:bCs/>
          <w:szCs w:val="22"/>
        </w:rPr>
        <w:t>Index – Amend entry</w:t>
      </w:r>
    </w:p>
    <w:p w14:paraId="6CB4B316" w14:textId="77777777" w:rsidR="00F04336" w:rsidRPr="00855EE9" w:rsidRDefault="00F04336" w:rsidP="00F04336">
      <w:pPr>
        <w:kinsoku w:val="0"/>
        <w:overflowPunct w:val="0"/>
        <w:autoSpaceDE w:val="0"/>
        <w:autoSpaceDN w:val="0"/>
        <w:adjustRightInd w:val="0"/>
        <w:spacing w:after="0" w:line="276" w:lineRule="auto"/>
        <w:ind w:left="720"/>
        <w:rPr>
          <w:rFonts w:eastAsiaTheme="minorHAnsi" w:cs="Cambria"/>
          <w:color w:val="00AF50"/>
          <w:spacing w:val="-2"/>
          <w:szCs w:val="22"/>
          <w:u w:val="single"/>
        </w:rPr>
      </w:pPr>
      <w:r w:rsidRPr="00855EE9">
        <w:rPr>
          <w:rFonts w:eastAsiaTheme="minorHAnsi" w:cs="Cambria"/>
          <w:color w:val="00AF50"/>
          <w:spacing w:val="-2"/>
          <w:szCs w:val="22"/>
          <w:u w:val="single"/>
        </w:rPr>
        <w:t>APRONAL</w:t>
      </w:r>
    </w:p>
    <w:p w14:paraId="6B47361F" w14:textId="77777777" w:rsidR="00F04336" w:rsidRDefault="00F04336" w:rsidP="00F04336">
      <w:pPr>
        <w:kinsoku w:val="0"/>
        <w:overflowPunct w:val="0"/>
        <w:autoSpaceDE w:val="0"/>
        <w:autoSpaceDN w:val="0"/>
        <w:adjustRightInd w:val="0"/>
        <w:spacing w:before="0" w:after="120" w:line="276" w:lineRule="auto"/>
        <w:ind w:left="720"/>
        <w:rPr>
          <w:rFonts w:eastAsiaTheme="minorHAnsi" w:cs="Cambria"/>
          <w:color w:val="00AF50"/>
          <w:spacing w:val="-2"/>
          <w:szCs w:val="22"/>
        </w:rPr>
      </w:pPr>
      <w:r w:rsidRPr="00855EE9">
        <w:rPr>
          <w:rFonts w:eastAsiaTheme="minorHAnsi" w:cs="Cambria"/>
          <w:color w:val="00AF50"/>
          <w:szCs w:val="22"/>
          <w:u w:val="single"/>
        </w:rPr>
        <w:t>cross reference:</w:t>
      </w:r>
      <w:r>
        <w:rPr>
          <w:rFonts w:eastAsiaTheme="minorHAnsi" w:cs="Cambria"/>
          <w:color w:val="00AF50"/>
          <w:szCs w:val="22"/>
        </w:rPr>
        <w:t xml:space="preserve"> </w:t>
      </w:r>
      <w:r>
        <w:rPr>
          <w:rFonts w:eastAsiaTheme="minorHAnsi" w:cs="Cambria"/>
          <w:color w:val="000000"/>
          <w:szCs w:val="22"/>
        </w:rPr>
        <w:t>ALLYLISOPROPYLACETYLUREA</w:t>
      </w:r>
    </w:p>
    <w:p w14:paraId="551FCCBA" w14:textId="7D14A770" w:rsidR="00792B5F" w:rsidRPr="00F04336" w:rsidRDefault="00F04336" w:rsidP="00F04336">
      <w:pPr>
        <w:kinsoku w:val="0"/>
        <w:overflowPunct w:val="0"/>
        <w:autoSpaceDE w:val="0"/>
        <w:autoSpaceDN w:val="0"/>
        <w:adjustRightInd w:val="0"/>
        <w:spacing w:after="0" w:line="276" w:lineRule="auto"/>
        <w:ind w:firstLine="720"/>
        <w:rPr>
          <w:rFonts w:eastAsiaTheme="minorHAnsi" w:cs="Cambria"/>
          <w:szCs w:val="22"/>
        </w:rPr>
      </w:pPr>
      <w:r>
        <w:rPr>
          <w:rFonts w:eastAsiaTheme="minorHAnsi" w:cs="Cambria"/>
          <w:szCs w:val="22"/>
        </w:rPr>
        <w:t>Schedule 10</w:t>
      </w:r>
      <w:r w:rsidR="00792B5F">
        <w:t xml:space="preserve"> </w:t>
      </w:r>
    </w:p>
    <w:p w14:paraId="3FFDDFAD" w14:textId="77777777" w:rsidR="00792B5F" w:rsidRDefault="00792B5F" w:rsidP="00792B5F">
      <w:pPr>
        <w:pStyle w:val="Heading5"/>
      </w:pPr>
      <w:r>
        <w:t xml:space="preserve">Materials considered </w:t>
      </w:r>
    </w:p>
    <w:p w14:paraId="097ABD1A" w14:textId="77777777" w:rsidR="00792B5F" w:rsidRDefault="00792B5F" w:rsidP="00792B5F">
      <w:r>
        <w:t>In making this final decision, the Delegate considered the following material:</w:t>
      </w:r>
    </w:p>
    <w:p w14:paraId="44B54C56" w14:textId="723F97AF" w:rsidR="00792B5F" w:rsidRDefault="00792B5F" w:rsidP="00792B5F">
      <w:pPr>
        <w:pStyle w:val="ListBullet"/>
      </w:pPr>
      <w:r>
        <w:t>The</w:t>
      </w:r>
      <w:r w:rsidR="0073223B">
        <w:t xml:space="preserve"> delegate-initiated</w:t>
      </w:r>
      <w:r>
        <w:t xml:space="preserve"> </w:t>
      </w:r>
      <w:hyperlink r:id="rId26" w:history="1">
        <w:r w:rsidR="0073223B">
          <w:rPr>
            <w:rStyle w:val="Hyperlink"/>
          </w:rPr>
          <w:t>application</w:t>
        </w:r>
      </w:hyperlink>
      <w:r>
        <w:t xml:space="preserve"> to amend the current Poisons Standard with respect to </w:t>
      </w:r>
      <w:proofErr w:type="spellStart"/>
      <w:r w:rsidR="0073223B">
        <w:t>apronal</w:t>
      </w:r>
      <w:proofErr w:type="spellEnd"/>
      <w:r w:rsidR="0073223B">
        <w:t>/</w:t>
      </w:r>
      <w:proofErr w:type="spellStart"/>
      <w:r w:rsidR="0073223B">
        <w:t>allylisopropylacetylurea</w:t>
      </w:r>
      <w:proofErr w:type="spellEnd"/>
      <w:r>
        <w:t xml:space="preserve"> (the </w:t>
      </w:r>
      <w:r w:rsidRPr="002F4418">
        <w:rPr>
          <w:b/>
          <w:bCs/>
        </w:rPr>
        <w:t>Application</w:t>
      </w:r>
      <w:r>
        <w:t>);</w:t>
      </w:r>
    </w:p>
    <w:p w14:paraId="7A3E5A6D" w14:textId="3ED0AD90" w:rsidR="00792B5F" w:rsidRDefault="00792B5F" w:rsidP="00792B5F">
      <w:pPr>
        <w:pStyle w:val="ListBullet"/>
      </w:pPr>
      <w:r>
        <w:t xml:space="preserve">The </w:t>
      </w:r>
      <w:r w:rsidR="0073223B">
        <w:t>2,748</w:t>
      </w:r>
      <w:r>
        <w:t xml:space="preserve"> </w:t>
      </w:r>
      <w:hyperlink r:id="rId27" w:history="1">
        <w:r w:rsidRPr="0073223B">
          <w:rPr>
            <w:rStyle w:val="Hyperlink"/>
          </w:rPr>
          <w:t>public submissions</w:t>
        </w:r>
      </w:hyperlink>
      <w:r w:rsidRPr="0073223B">
        <w:t xml:space="preserve"> received in response to the </w:t>
      </w:r>
      <w:hyperlink r:id="rId28" w:history="1">
        <w:r w:rsidRPr="0073223B">
          <w:rPr>
            <w:rStyle w:val="Hyperlink"/>
          </w:rPr>
          <w:t>pre-meeting consultation</w:t>
        </w:r>
      </w:hyperlink>
      <w:r>
        <w:t xml:space="preserve"> under regulation </w:t>
      </w:r>
      <w:r w:rsidRPr="00DB105D">
        <w:t>42ZCZK</w:t>
      </w:r>
      <w:r>
        <w:t xml:space="preserve"> of the Regulations; </w:t>
      </w:r>
    </w:p>
    <w:p w14:paraId="452009F9" w14:textId="2D2E5C5E" w:rsidR="00792B5F" w:rsidRDefault="00792B5F" w:rsidP="00792B5F">
      <w:pPr>
        <w:pStyle w:val="ListBullet"/>
      </w:pPr>
      <w:r>
        <w:t>The advice received from the 38th m</w:t>
      </w:r>
      <w:r w:rsidRPr="00F04336">
        <w:t xml:space="preserve">eeting of the Advisory Committee on Medicines Scheduling (the </w:t>
      </w:r>
      <w:r w:rsidRPr="00F04336">
        <w:rPr>
          <w:b/>
          <w:bCs/>
        </w:rPr>
        <w:t>Committee</w:t>
      </w:r>
      <w:proofErr w:type="gramStart"/>
      <w:r w:rsidRPr="00F04336">
        <w:t>);</w:t>
      </w:r>
      <w:proofErr w:type="gramEnd"/>
    </w:p>
    <w:p w14:paraId="792B7164" w14:textId="7B02977E" w:rsidR="00792B5F" w:rsidRDefault="00792B5F" w:rsidP="00792B5F">
      <w:pPr>
        <w:pStyle w:val="ListBullet"/>
      </w:pPr>
      <w:r>
        <w:t xml:space="preserve">The </w:t>
      </w:r>
      <w:r w:rsidR="0073223B">
        <w:t>2</w:t>
      </w:r>
      <w:r>
        <w:t xml:space="preserve"> </w:t>
      </w:r>
      <w:hyperlink r:id="rId29" w:history="1">
        <w:r w:rsidRPr="0073223B">
          <w:rPr>
            <w:rStyle w:val="Hyperlink"/>
          </w:rPr>
          <w:t>public submissions</w:t>
        </w:r>
      </w:hyperlink>
      <w:r w:rsidR="0073223B">
        <w:t>, neither of which included a written component,</w:t>
      </w:r>
      <w:r>
        <w:t xml:space="preserve"> received in response to the </w:t>
      </w:r>
      <w:hyperlink r:id="rId30" w:history="1">
        <w:r w:rsidRPr="0073223B">
          <w:rPr>
            <w:rStyle w:val="Hyperlink"/>
          </w:rPr>
          <w:t>interim decision consultation</w:t>
        </w:r>
      </w:hyperlink>
      <w:r>
        <w:t xml:space="preserve"> </w:t>
      </w:r>
      <w:r w:rsidRPr="002C1418">
        <w:t>under regulation 42ZCZP of the Regulations</w:t>
      </w:r>
      <w:r>
        <w:t>;</w:t>
      </w:r>
    </w:p>
    <w:p w14:paraId="12AA04AA" w14:textId="0D11F998" w:rsidR="00792B5F" w:rsidRDefault="00792B5F" w:rsidP="00792B5F">
      <w:pPr>
        <w:pStyle w:val="ListBullet"/>
      </w:pPr>
      <w:r w:rsidRPr="001169AC">
        <w:lastRenderedPageBreak/>
        <w:t>Subsection 52</w:t>
      </w:r>
      <w:proofErr w:type="gramStart"/>
      <w:r w:rsidRPr="001169AC">
        <w:t>E(</w:t>
      </w:r>
      <w:proofErr w:type="gramEnd"/>
      <w:r w:rsidRPr="001169AC">
        <w:t xml:space="preserve">1) of </w:t>
      </w:r>
      <w:r w:rsidRPr="001169AC">
        <w:rPr>
          <w:i/>
        </w:rPr>
        <w:t>the Therapeutic Goods Act 1989</w:t>
      </w:r>
      <w:r>
        <w:rPr>
          <w:i/>
        </w:rPr>
        <w:t xml:space="preserve"> </w:t>
      </w:r>
      <w:r>
        <w:rPr>
          <w:iCs/>
        </w:rPr>
        <w:t>(</w:t>
      </w:r>
      <w:proofErr w:type="spellStart"/>
      <w:r>
        <w:rPr>
          <w:iCs/>
        </w:rPr>
        <w:t>Cth</w:t>
      </w:r>
      <w:proofErr w:type="spellEnd"/>
      <w:r>
        <w:rPr>
          <w:iCs/>
        </w:rPr>
        <w:t xml:space="preserve">) (the </w:t>
      </w:r>
      <w:r w:rsidRPr="00EA2090">
        <w:rPr>
          <w:b/>
          <w:bCs/>
          <w:iCs/>
        </w:rPr>
        <w:t>Act</w:t>
      </w:r>
      <w:r>
        <w:rPr>
          <w:iCs/>
        </w:rPr>
        <w:t>)</w:t>
      </w:r>
      <w:r w:rsidRPr="001169AC">
        <w:t>, in particular (a) the risks and benefits of the use of a substance; (b) the purposes for which a substance is to be used and the extent of use of a substance; (c) the toxicity of a substance; (e) the potential for abuse of a substance; and (f) any other matters considered necessary to protect public health</w:t>
      </w:r>
      <w:r w:rsidR="002C37C0">
        <w:t>;</w:t>
      </w:r>
      <w:r w:rsidRPr="001169AC">
        <w:t xml:space="preserve"> </w:t>
      </w:r>
    </w:p>
    <w:p w14:paraId="1F81A0A3" w14:textId="5C2106DD" w:rsidR="00792B5F" w:rsidRDefault="00792B5F" w:rsidP="00792B5F">
      <w:pPr>
        <w:pStyle w:val="ListBullet"/>
      </w:pPr>
      <w:r w:rsidRPr="002C1418">
        <w:t xml:space="preserve">The </w:t>
      </w:r>
      <w:hyperlink r:id="rId31" w:history="1">
        <w:r w:rsidRPr="001A7580">
          <w:rPr>
            <w:rStyle w:val="Hyperlink"/>
          </w:rPr>
          <w:t>Scheduling Policy Framework</w:t>
        </w:r>
      </w:hyperlink>
      <w:r>
        <w:t xml:space="preserve"> 2018 (the </w:t>
      </w:r>
      <w:r w:rsidRPr="00EA2090">
        <w:rPr>
          <w:b/>
          <w:bCs/>
        </w:rPr>
        <w:t>SPF</w:t>
      </w:r>
      <w:r>
        <w:t>), pursuant to paragraph 52E(2)(a) of the Act;</w:t>
      </w:r>
    </w:p>
    <w:p w14:paraId="4AFC4D81" w14:textId="7EAE4E45" w:rsidR="00792B5F" w:rsidRDefault="00792B5F" w:rsidP="00792B5F">
      <w:pPr>
        <w:pStyle w:val="ListBullet"/>
      </w:pPr>
      <w:r>
        <w:t xml:space="preserve">The </w:t>
      </w:r>
      <w:hyperlink r:id="rId32" w:history="1">
        <w:r w:rsidRPr="001A7580">
          <w:rPr>
            <w:rStyle w:val="Hyperlink"/>
          </w:rPr>
          <w:t>Scheduling handbook: Guidance for amending the Poisons Standard</w:t>
        </w:r>
      </w:hyperlink>
      <w:r>
        <w:t>.</w:t>
      </w:r>
    </w:p>
    <w:p w14:paraId="53BDC026" w14:textId="77777777" w:rsidR="00792B5F" w:rsidRDefault="00792B5F" w:rsidP="00792B5F">
      <w:pPr>
        <w:pStyle w:val="Heading5"/>
      </w:pPr>
      <w:r w:rsidRPr="00436C41">
        <w:t>Reasons for the final decision (including findings on material questions of fact)</w:t>
      </w:r>
    </w:p>
    <w:p w14:paraId="318159BB" w14:textId="671C4A44" w:rsidR="00792B5F" w:rsidRPr="00F04336" w:rsidRDefault="00792B5F" w:rsidP="00792B5F">
      <w:r w:rsidRPr="000473A3">
        <w:t>I have made a final decision to confirm</w:t>
      </w:r>
      <w:r w:rsidR="00F04336" w:rsidRPr="000473A3">
        <w:t xml:space="preserve"> my </w:t>
      </w:r>
      <w:r w:rsidRPr="000473A3">
        <w:t>interim decision to amend</w:t>
      </w:r>
      <w:r w:rsidR="00F04336" w:rsidRPr="000473A3">
        <w:t xml:space="preserve"> </w:t>
      </w:r>
      <w:r w:rsidRPr="000473A3">
        <w:t xml:space="preserve">the current Poisons Standard with respect to </w:t>
      </w:r>
      <w:proofErr w:type="spellStart"/>
      <w:r w:rsidR="00F04336" w:rsidRPr="000473A3">
        <w:t>apronal</w:t>
      </w:r>
      <w:proofErr w:type="spellEnd"/>
      <w:r w:rsidR="002B1620">
        <w:t xml:space="preserve"> (</w:t>
      </w:r>
      <w:proofErr w:type="spellStart"/>
      <w:r w:rsidR="0073223B">
        <w:t>allylisopropylacetylurea</w:t>
      </w:r>
      <w:proofErr w:type="spellEnd"/>
      <w:r w:rsidR="002B1620">
        <w:t>)</w:t>
      </w:r>
      <w:r w:rsidRPr="000473A3">
        <w:t xml:space="preserve">. </w:t>
      </w:r>
      <w:r w:rsidRPr="0073223B">
        <w:t>My reasons for making the final decision are those set out in the interim decision. In making my final decision, I have noted that no</w:t>
      </w:r>
      <w:r w:rsidR="0073223B">
        <w:t xml:space="preserve"> written</w:t>
      </w:r>
      <w:r w:rsidRPr="0073223B">
        <w:t xml:space="preserve"> public submissions were received before the second closing date in response to the call for further submissions published on </w:t>
      </w:r>
      <w:r w:rsidR="0073223B" w:rsidRPr="0073223B">
        <w:t>21 October</w:t>
      </w:r>
      <w:r w:rsidR="000473A3" w:rsidRPr="0073223B">
        <w:t xml:space="preserve"> </w:t>
      </w:r>
      <w:r w:rsidR="0073223B" w:rsidRPr="0073223B">
        <w:t>2022</w:t>
      </w:r>
      <w:r w:rsidR="000473A3" w:rsidRPr="0073223B">
        <w:t xml:space="preserve"> under regulation 42ZCZP of the Regulations.</w:t>
      </w:r>
    </w:p>
    <w:p w14:paraId="5900DAEF" w14:textId="59F28615" w:rsidR="00432A32" w:rsidRPr="000E37EA" w:rsidRDefault="0073223B" w:rsidP="00432A32">
      <w:pPr>
        <w:pStyle w:val="Heading4"/>
        <w:rPr>
          <w:rFonts w:ascii="Cambria" w:hAnsi="Cambria"/>
          <w:i/>
          <w:iCs/>
          <w:sz w:val="22"/>
          <w:szCs w:val="22"/>
        </w:rPr>
      </w:pPr>
      <w:bookmarkStart w:id="32" w:name="_Toc110871291"/>
      <w:bookmarkStart w:id="33" w:name="_Toc116989679"/>
      <w:r>
        <w:rPr>
          <w:rFonts w:ascii="Cambria" w:hAnsi="Cambria"/>
          <w:i/>
          <w:iCs/>
          <w:sz w:val="22"/>
          <w:szCs w:val="22"/>
        </w:rPr>
        <w:t>I</w:t>
      </w:r>
      <w:r w:rsidR="00432A32" w:rsidRPr="000E37EA">
        <w:rPr>
          <w:rFonts w:ascii="Cambria" w:hAnsi="Cambria"/>
          <w:i/>
          <w:iCs/>
          <w:sz w:val="22"/>
          <w:szCs w:val="22"/>
        </w:rPr>
        <w:t>mplementation date</w:t>
      </w:r>
      <w:bookmarkEnd w:id="32"/>
      <w:bookmarkEnd w:id="33"/>
    </w:p>
    <w:p w14:paraId="11BD2C68" w14:textId="5433B61E" w:rsidR="00792B5F" w:rsidRPr="00432A32" w:rsidRDefault="00432A32" w:rsidP="00432A32">
      <w:pPr>
        <w:spacing w:after="240"/>
        <w:rPr>
          <w:szCs w:val="22"/>
        </w:rPr>
      </w:pPr>
      <w:r w:rsidRPr="00987348">
        <w:rPr>
          <w:szCs w:val="22"/>
        </w:rPr>
        <w:t>1 February 2023</w:t>
      </w:r>
      <w:r w:rsidR="00E631B9">
        <w:rPr>
          <w:szCs w:val="22"/>
        </w:rPr>
        <w:t>.</w:t>
      </w:r>
    </w:p>
    <w:p w14:paraId="07CFC5F4" w14:textId="71E0A6AE" w:rsidR="00F41DCE" w:rsidRPr="00F41DCE" w:rsidRDefault="00F41DCE" w:rsidP="00E951D8">
      <w:pPr>
        <w:pStyle w:val="Heading2"/>
      </w:pPr>
      <w:bookmarkStart w:id="34" w:name="_Toc125014773"/>
      <w:r>
        <w:t>Final</w:t>
      </w:r>
      <w:r w:rsidRPr="00FA029A">
        <w:t xml:space="preserve"> decisions on proposed amendments referred to the </w:t>
      </w:r>
      <w:r w:rsidRPr="00F41DCE">
        <w:t>Advisory Committee on Medicines and Chemicals Scheduling in jo</w:t>
      </w:r>
      <w:r>
        <w:t>int session (Joint ACMS-ACCS #</w:t>
      </w:r>
      <w:r w:rsidR="00432A32">
        <w:t>31</w:t>
      </w:r>
      <w:r>
        <w:t xml:space="preserve">, </w:t>
      </w:r>
      <w:r w:rsidR="00432A32">
        <w:t>June 2022</w:t>
      </w:r>
      <w:r w:rsidRPr="00F41DCE">
        <w:t>)</w:t>
      </w:r>
      <w:bookmarkEnd w:id="34"/>
    </w:p>
    <w:p w14:paraId="43C59632" w14:textId="56C68083" w:rsidR="00F41DCE" w:rsidRDefault="00F41DCE" w:rsidP="00E951D8">
      <w:pPr>
        <w:pStyle w:val="Heading3"/>
      </w:pPr>
      <w:bookmarkStart w:id="35" w:name="_Toc125014774"/>
      <w:r>
        <w:t xml:space="preserve">Final decision in relation to </w:t>
      </w:r>
      <w:r w:rsidR="00D85742">
        <w:t>helional</w:t>
      </w:r>
      <w:bookmarkEnd w:id="35"/>
    </w:p>
    <w:p w14:paraId="1EA725BC" w14:textId="77777777" w:rsidR="00E951D8" w:rsidRDefault="00E951D8" w:rsidP="00E951D8">
      <w:pPr>
        <w:pStyle w:val="Heading5"/>
      </w:pPr>
      <w:r>
        <w:t>Proposal</w:t>
      </w:r>
    </w:p>
    <w:p w14:paraId="0D5F58DE" w14:textId="45EE0273" w:rsidR="00E951D8" w:rsidRPr="00D85742" w:rsidRDefault="00D85742" w:rsidP="00D85742">
      <w:r>
        <w:t>The applicant proposed the creation of new Schedule 6 and Schedule 10 entries for the substance helional, which is not currently scheduled</w:t>
      </w:r>
      <w:r w:rsidR="001B53BC">
        <w:t>, to prohibit internal use of helional except in low concentrations in therapeutic and food preparations, and place labelling and storage requirements on helional in most other preparations for external use</w:t>
      </w:r>
      <w:r>
        <w:t xml:space="preserve"> (the </w:t>
      </w:r>
      <w:r w:rsidRPr="008969D6">
        <w:rPr>
          <w:b/>
          <w:bCs/>
        </w:rPr>
        <w:t>Proposal</w:t>
      </w:r>
      <w:r>
        <w:t>). Helional is used as a fragrance and flavouring agent in foods</w:t>
      </w:r>
      <w:r w:rsidR="00F04336">
        <w:t xml:space="preserve"> </w:t>
      </w:r>
      <w:r>
        <w:t xml:space="preserve">but may be used as a precursor in the manufacture of illicit substances and may also be toxic by ingestion. </w:t>
      </w:r>
    </w:p>
    <w:p w14:paraId="0E1FDBA0" w14:textId="52DACBE1" w:rsidR="00F41DCE" w:rsidRPr="008036B7" w:rsidRDefault="00F41DCE" w:rsidP="001D21A3">
      <w:pPr>
        <w:pStyle w:val="Heading5"/>
        <w:ind w:left="1009" w:hanging="1009"/>
      </w:pPr>
      <w:r>
        <w:t xml:space="preserve">Final </w:t>
      </w:r>
      <w:r w:rsidR="00D12D62">
        <w:t>d</w:t>
      </w:r>
      <w:r>
        <w:t xml:space="preserve">ecision </w:t>
      </w:r>
    </w:p>
    <w:p w14:paraId="77394C55" w14:textId="3833E1E3" w:rsidR="00F41DCE" w:rsidRDefault="00F41DCE" w:rsidP="00F41DCE">
      <w:r w:rsidRPr="00F04336">
        <w:t xml:space="preserve">Pursuant to regulation 42ZCZR of the Regulations, </w:t>
      </w:r>
      <w:r w:rsidR="00C05254" w:rsidRPr="00F04336">
        <w:t>the</w:t>
      </w:r>
      <w:r w:rsidRPr="00F04336">
        <w:t xml:space="preserve"> Delegate has made a final decision to confirm the interim decision and amend the current Poisons Standard in relation to </w:t>
      </w:r>
      <w:r w:rsidR="00F04336" w:rsidRPr="00F04336">
        <w:t>helional</w:t>
      </w:r>
      <w:r w:rsidRPr="00F04336">
        <w:t xml:space="preserve"> as follows:</w:t>
      </w:r>
      <w:r w:rsidR="001B53BC" w:rsidRPr="001B53BC">
        <w:rPr>
          <w:rStyle w:val="FootnoteReference"/>
        </w:rPr>
        <w:t xml:space="preserve"> </w:t>
      </w:r>
      <w:r w:rsidR="001B53BC">
        <w:rPr>
          <w:rStyle w:val="FootnoteReference"/>
        </w:rPr>
        <w:footnoteReference w:id="4"/>
      </w:r>
    </w:p>
    <w:p w14:paraId="7C507B59" w14:textId="77777777" w:rsidR="00F04336" w:rsidRDefault="00F04336" w:rsidP="00855EE9">
      <w:pPr>
        <w:keepNext/>
        <w:ind w:left="425"/>
        <w:rPr>
          <w:b/>
        </w:rPr>
      </w:pPr>
      <w:r>
        <w:rPr>
          <w:b/>
        </w:rPr>
        <w:lastRenderedPageBreak/>
        <w:t>Appendix B – New Entry</w:t>
      </w:r>
    </w:p>
    <w:tbl>
      <w:tblPr>
        <w:tblStyle w:val="TableTGAblue"/>
        <w:tblW w:w="8330" w:type="dxa"/>
        <w:tblInd w:w="732" w:type="dxa"/>
        <w:tblLook w:val="04A0" w:firstRow="1" w:lastRow="0" w:firstColumn="1" w:lastColumn="0" w:noHBand="0" w:noVBand="1"/>
      </w:tblPr>
      <w:tblGrid>
        <w:gridCol w:w="1952"/>
        <w:gridCol w:w="1984"/>
        <w:gridCol w:w="2126"/>
        <w:gridCol w:w="2268"/>
      </w:tblGrid>
      <w:tr w:rsidR="00F04336" w14:paraId="7FE6840D" w14:textId="77777777" w:rsidTr="00F04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hideMark/>
          </w:tcPr>
          <w:p w14:paraId="36990B14" w14:textId="77777777" w:rsidR="00F04336" w:rsidRDefault="00F04336">
            <w:pPr>
              <w:jc w:val="center"/>
              <w:rPr>
                <w:bCs/>
              </w:rPr>
            </w:pPr>
            <w:r>
              <w:rPr>
                <w:bCs/>
              </w:rPr>
              <w:t>Substance</w:t>
            </w:r>
          </w:p>
        </w:tc>
        <w:tc>
          <w:tcPr>
            <w:tcW w:w="1984" w:type="dxa"/>
            <w:hideMark/>
          </w:tcPr>
          <w:p w14:paraId="284AE0F3" w14:textId="77777777" w:rsidR="00F04336" w:rsidRDefault="00F04336">
            <w:pPr>
              <w:jc w:val="center"/>
              <w:cnfStyle w:val="100000000000" w:firstRow="1" w:lastRow="0" w:firstColumn="0" w:lastColumn="0" w:oddVBand="0" w:evenVBand="0" w:oddHBand="0" w:evenHBand="0" w:firstRowFirstColumn="0" w:firstRowLastColumn="0" w:lastRowFirstColumn="0" w:lastRowLastColumn="0"/>
              <w:rPr>
                <w:bCs/>
              </w:rPr>
            </w:pPr>
            <w:r>
              <w:rPr>
                <w:bCs/>
              </w:rPr>
              <w:t>Date of entry</w:t>
            </w:r>
          </w:p>
        </w:tc>
        <w:tc>
          <w:tcPr>
            <w:tcW w:w="2126" w:type="dxa"/>
            <w:hideMark/>
          </w:tcPr>
          <w:p w14:paraId="5BA48638" w14:textId="77777777" w:rsidR="00F04336" w:rsidRDefault="00F04336">
            <w:pPr>
              <w:jc w:val="center"/>
              <w:cnfStyle w:val="100000000000" w:firstRow="1" w:lastRow="0" w:firstColumn="0" w:lastColumn="0" w:oddVBand="0" w:evenVBand="0" w:oddHBand="0" w:evenHBand="0" w:firstRowFirstColumn="0" w:firstRowLastColumn="0" w:lastRowFirstColumn="0" w:lastRowLastColumn="0"/>
              <w:rPr>
                <w:bCs/>
              </w:rPr>
            </w:pPr>
            <w:r>
              <w:rPr>
                <w:bCs/>
              </w:rPr>
              <w:t>Reason for listing</w:t>
            </w:r>
          </w:p>
        </w:tc>
        <w:tc>
          <w:tcPr>
            <w:tcW w:w="2268" w:type="dxa"/>
            <w:hideMark/>
          </w:tcPr>
          <w:p w14:paraId="51BDF82C" w14:textId="77777777" w:rsidR="00F04336" w:rsidRDefault="00F04336">
            <w:pPr>
              <w:jc w:val="center"/>
              <w:cnfStyle w:val="100000000000" w:firstRow="1" w:lastRow="0" w:firstColumn="0" w:lastColumn="0" w:oddVBand="0" w:evenVBand="0" w:oddHBand="0" w:evenHBand="0" w:firstRowFirstColumn="0" w:firstRowLastColumn="0" w:lastRowFirstColumn="0" w:lastRowLastColumn="0"/>
              <w:rPr>
                <w:bCs/>
              </w:rPr>
            </w:pPr>
            <w:r>
              <w:rPr>
                <w:bCs/>
              </w:rPr>
              <w:t>Area of use</w:t>
            </w:r>
          </w:p>
        </w:tc>
      </w:tr>
      <w:tr w:rsidR="00F04336" w14:paraId="0FF4B1D4" w14:textId="77777777" w:rsidTr="00F04336">
        <w:tc>
          <w:tcPr>
            <w:cnfStyle w:val="001000000000" w:firstRow="0" w:lastRow="0" w:firstColumn="1" w:lastColumn="0" w:oddVBand="0" w:evenVBand="0" w:oddHBand="0" w:evenHBand="0" w:firstRowFirstColumn="0" w:firstRowLastColumn="0" w:lastRowFirstColumn="0" w:lastRowLastColumn="0"/>
            <w:tcW w:w="1952" w:type="dxa"/>
            <w:tcBorders>
              <w:top w:val="single" w:sz="8" w:space="0" w:color="002C47"/>
              <w:left w:val="single" w:sz="8" w:space="0" w:color="002C47"/>
              <w:bottom w:val="single" w:sz="8" w:space="0" w:color="002C47"/>
              <w:right w:val="single" w:sz="8" w:space="0" w:color="002C47"/>
            </w:tcBorders>
            <w:hideMark/>
          </w:tcPr>
          <w:p w14:paraId="4964DF48" w14:textId="77777777" w:rsidR="00F04336" w:rsidRPr="00855EE9" w:rsidRDefault="00F04336">
            <w:pPr>
              <w:jc w:val="center"/>
              <w:rPr>
                <w:bCs/>
                <w:color w:val="00B050"/>
                <w:u w:val="single"/>
              </w:rPr>
            </w:pPr>
            <w:r w:rsidRPr="00855EE9">
              <w:rPr>
                <w:bCs/>
                <w:color w:val="00B050"/>
                <w:u w:val="single"/>
              </w:rPr>
              <w:t>HELIONAL</w:t>
            </w:r>
          </w:p>
        </w:tc>
        <w:tc>
          <w:tcPr>
            <w:tcW w:w="1984" w:type="dxa"/>
            <w:tcBorders>
              <w:top w:val="single" w:sz="8" w:space="0" w:color="002C47"/>
              <w:left w:val="single" w:sz="8" w:space="0" w:color="002C47"/>
              <w:bottom w:val="single" w:sz="8" w:space="0" w:color="002C47"/>
              <w:right w:val="single" w:sz="8" w:space="0" w:color="002C47"/>
            </w:tcBorders>
            <w:hideMark/>
          </w:tcPr>
          <w:p w14:paraId="3DD6B109" w14:textId="77777777" w:rsidR="00F04336" w:rsidRPr="00855EE9" w:rsidRDefault="00F04336">
            <w:pPr>
              <w:jc w:val="center"/>
              <w:cnfStyle w:val="000000000000" w:firstRow="0" w:lastRow="0" w:firstColumn="0" w:lastColumn="0" w:oddVBand="0" w:evenVBand="0" w:oddHBand="0" w:evenHBand="0" w:firstRowFirstColumn="0" w:firstRowLastColumn="0" w:lastRowFirstColumn="0" w:lastRowLastColumn="0"/>
              <w:rPr>
                <w:bCs/>
                <w:color w:val="00B050"/>
                <w:u w:val="single"/>
              </w:rPr>
            </w:pPr>
            <w:r w:rsidRPr="00855EE9">
              <w:rPr>
                <w:bCs/>
                <w:color w:val="00B050"/>
                <w:u w:val="single"/>
              </w:rPr>
              <w:t>February 2023</w:t>
            </w:r>
          </w:p>
        </w:tc>
        <w:tc>
          <w:tcPr>
            <w:tcW w:w="2126" w:type="dxa"/>
            <w:tcBorders>
              <w:top w:val="single" w:sz="8" w:space="0" w:color="002C47"/>
              <w:left w:val="single" w:sz="8" w:space="0" w:color="002C47"/>
              <w:bottom w:val="single" w:sz="8" w:space="0" w:color="002C47"/>
              <w:right w:val="single" w:sz="8" w:space="0" w:color="002C47"/>
            </w:tcBorders>
            <w:hideMark/>
          </w:tcPr>
          <w:p w14:paraId="705284FA" w14:textId="77777777" w:rsidR="00F04336" w:rsidRPr="00855EE9" w:rsidRDefault="00F04336">
            <w:pPr>
              <w:jc w:val="center"/>
              <w:cnfStyle w:val="000000000000" w:firstRow="0" w:lastRow="0" w:firstColumn="0" w:lastColumn="0" w:oddVBand="0" w:evenVBand="0" w:oddHBand="0" w:evenHBand="0" w:firstRowFirstColumn="0" w:firstRowLastColumn="0" w:lastRowFirstColumn="0" w:lastRowLastColumn="0"/>
              <w:rPr>
                <w:bCs/>
                <w:color w:val="00B050"/>
                <w:u w:val="single"/>
              </w:rPr>
            </w:pPr>
            <w:r w:rsidRPr="00855EE9">
              <w:rPr>
                <w:bCs/>
                <w:color w:val="00B050"/>
                <w:u w:val="single"/>
              </w:rPr>
              <w:t>a (Low Toxicity)</w:t>
            </w:r>
          </w:p>
        </w:tc>
        <w:tc>
          <w:tcPr>
            <w:tcW w:w="2268" w:type="dxa"/>
            <w:tcBorders>
              <w:top w:val="single" w:sz="8" w:space="0" w:color="002C47"/>
              <w:left w:val="single" w:sz="8" w:space="0" w:color="002C47"/>
              <w:bottom w:val="single" w:sz="8" w:space="0" w:color="002C47"/>
              <w:right w:val="single" w:sz="8" w:space="0" w:color="002C47"/>
            </w:tcBorders>
            <w:hideMark/>
          </w:tcPr>
          <w:p w14:paraId="28C45B70" w14:textId="77777777" w:rsidR="00F04336" w:rsidRPr="00855EE9" w:rsidRDefault="00F04336">
            <w:pPr>
              <w:jc w:val="center"/>
              <w:cnfStyle w:val="000000000000" w:firstRow="0" w:lastRow="0" w:firstColumn="0" w:lastColumn="0" w:oddVBand="0" w:evenVBand="0" w:oddHBand="0" w:evenHBand="0" w:firstRowFirstColumn="0" w:firstRowLastColumn="0" w:lastRowFirstColumn="0" w:lastRowLastColumn="0"/>
              <w:rPr>
                <w:bCs/>
                <w:color w:val="00B050"/>
                <w:u w:val="single"/>
              </w:rPr>
            </w:pPr>
            <w:r w:rsidRPr="00855EE9">
              <w:rPr>
                <w:bCs/>
                <w:color w:val="00B050"/>
                <w:u w:val="single"/>
              </w:rPr>
              <w:t>7 (General)</w:t>
            </w:r>
          </w:p>
        </w:tc>
      </w:tr>
    </w:tbl>
    <w:p w14:paraId="3956D933" w14:textId="77777777" w:rsidR="00F04336" w:rsidRDefault="00F04336" w:rsidP="001D21A3">
      <w:pPr>
        <w:spacing w:before="240" w:after="120"/>
        <w:ind w:left="425"/>
        <w:rPr>
          <w:b/>
        </w:rPr>
      </w:pPr>
      <w:r>
        <w:rPr>
          <w:b/>
        </w:rPr>
        <w:t>Index – New Entry</w:t>
      </w:r>
    </w:p>
    <w:p w14:paraId="53D7426F" w14:textId="77777777" w:rsidR="00F04336" w:rsidRPr="00855EE9" w:rsidRDefault="00F04336" w:rsidP="00F04336">
      <w:pPr>
        <w:ind w:left="720"/>
        <w:rPr>
          <w:b/>
          <w:color w:val="00B050"/>
          <w:u w:val="single"/>
        </w:rPr>
      </w:pPr>
      <w:r w:rsidRPr="00855EE9">
        <w:rPr>
          <w:b/>
          <w:color w:val="00B050"/>
          <w:u w:val="single"/>
        </w:rPr>
        <w:t>HELIONAL</w:t>
      </w:r>
    </w:p>
    <w:p w14:paraId="10402BB9" w14:textId="0D352BDD" w:rsidR="00F04336" w:rsidRPr="00F04336" w:rsidRDefault="00F04336" w:rsidP="00F04336">
      <w:pPr>
        <w:ind w:left="720"/>
        <w:rPr>
          <w:bCs/>
        </w:rPr>
      </w:pPr>
      <w:r w:rsidRPr="00855EE9">
        <w:rPr>
          <w:bCs/>
          <w:color w:val="00B050"/>
          <w:u w:val="single"/>
        </w:rPr>
        <w:t>Appendix B, Part 3</w:t>
      </w:r>
      <w:r>
        <w:rPr>
          <w:bCs/>
        </w:rPr>
        <w:t xml:space="preserve"> </w:t>
      </w:r>
    </w:p>
    <w:p w14:paraId="6C325675" w14:textId="77777777" w:rsidR="00F41DCE" w:rsidRDefault="00F41DCE" w:rsidP="00F41DCE">
      <w:pPr>
        <w:pStyle w:val="Heading5"/>
      </w:pPr>
      <w:r>
        <w:t xml:space="preserve">Materials considered </w:t>
      </w:r>
    </w:p>
    <w:p w14:paraId="622BB0D3" w14:textId="77777777" w:rsidR="00F41DCE" w:rsidRDefault="00F41DCE" w:rsidP="00F41DCE">
      <w:r>
        <w:t>In making this final decision, the Delegate considered the following material:</w:t>
      </w:r>
    </w:p>
    <w:p w14:paraId="03F40DD1" w14:textId="3D69AFC5" w:rsidR="00D85742" w:rsidRDefault="00D85742" w:rsidP="00D85742">
      <w:pPr>
        <w:pStyle w:val="ListBullet"/>
      </w:pPr>
      <w:r w:rsidRPr="0073223B">
        <w:t xml:space="preserve">The </w:t>
      </w:r>
      <w:hyperlink r:id="rId33" w:history="1">
        <w:r w:rsidR="0073223B" w:rsidRPr="0073223B">
          <w:rPr>
            <w:rStyle w:val="Hyperlink"/>
          </w:rPr>
          <w:t>application</w:t>
        </w:r>
      </w:hyperlink>
      <w:r w:rsidRPr="0073223B">
        <w:t xml:space="preserve"> to</w:t>
      </w:r>
      <w:r w:rsidRPr="009833AF">
        <w:t xml:space="preserve"> amend</w:t>
      </w:r>
      <w:r>
        <w:t xml:space="preserve"> the current Poisons Standard with respect to </w:t>
      </w:r>
      <w:r w:rsidR="0073223B">
        <w:t>helional</w:t>
      </w:r>
      <w:r>
        <w:t xml:space="preserve"> (the </w:t>
      </w:r>
      <w:r w:rsidRPr="002F4418">
        <w:rPr>
          <w:b/>
          <w:bCs/>
        </w:rPr>
        <w:t>Application</w:t>
      </w:r>
      <w:r>
        <w:t>);</w:t>
      </w:r>
    </w:p>
    <w:p w14:paraId="3DA449C9" w14:textId="793D97BF" w:rsidR="00F41DCE" w:rsidRDefault="00F41DCE" w:rsidP="00F41DCE">
      <w:pPr>
        <w:pStyle w:val="ListBullet"/>
      </w:pPr>
      <w:r>
        <w:t xml:space="preserve">The </w:t>
      </w:r>
      <w:r w:rsidR="002C37C0">
        <w:t>2,667</w:t>
      </w:r>
      <w:r>
        <w:t xml:space="preserve"> </w:t>
      </w:r>
      <w:hyperlink r:id="rId34" w:history="1">
        <w:r w:rsidRPr="002C37C0">
          <w:rPr>
            <w:rStyle w:val="Hyperlink"/>
          </w:rPr>
          <w:t>public submissions</w:t>
        </w:r>
      </w:hyperlink>
      <w:r w:rsidR="002C37C0" w:rsidRPr="002C37C0">
        <w:t>, including 3 with a written component,</w:t>
      </w:r>
      <w:r w:rsidRPr="002C37C0">
        <w:t xml:space="preserve"> received in response to the </w:t>
      </w:r>
      <w:hyperlink r:id="rId35" w:history="1">
        <w:r w:rsidRPr="002C37C0">
          <w:rPr>
            <w:rStyle w:val="Hyperlink"/>
          </w:rPr>
          <w:t>pre-meeting consultation</w:t>
        </w:r>
      </w:hyperlink>
      <w:r>
        <w:t xml:space="preserve"> under regulation 42ZCZK of the Regulations</w:t>
      </w:r>
      <w:r w:rsidR="004E2EBC">
        <w:t>;</w:t>
      </w:r>
      <w:r>
        <w:t xml:space="preserve"> </w:t>
      </w:r>
    </w:p>
    <w:p w14:paraId="62AF73D1" w14:textId="56E0DEC0" w:rsidR="00F41DCE" w:rsidRDefault="00F41DCE" w:rsidP="00F41DCE">
      <w:pPr>
        <w:pStyle w:val="ListBullet"/>
      </w:pPr>
      <w:r>
        <w:t xml:space="preserve">The advice received from the </w:t>
      </w:r>
      <w:r w:rsidR="002C37C0">
        <w:t>31st</w:t>
      </w:r>
      <w:r w:rsidR="00EA2090">
        <w:t xml:space="preserve"> </w:t>
      </w:r>
      <w:r w:rsidRPr="002C37C0">
        <w:t xml:space="preserve">meeting of the Advisory Committees on Medicines and Chemicals Scheduling </w:t>
      </w:r>
      <w:r w:rsidR="00EA2090" w:rsidRPr="002C37C0">
        <w:t xml:space="preserve">in joint session </w:t>
      </w:r>
      <w:r w:rsidRPr="002C37C0">
        <w:t>(</w:t>
      </w:r>
      <w:r w:rsidR="00EA2090" w:rsidRPr="002C37C0">
        <w:t xml:space="preserve">the </w:t>
      </w:r>
      <w:r w:rsidR="00EA2090" w:rsidRPr="002C37C0">
        <w:rPr>
          <w:b/>
          <w:bCs/>
        </w:rPr>
        <w:t>Committee</w:t>
      </w:r>
      <w:proofErr w:type="gramStart"/>
      <w:r w:rsidRPr="002C37C0">
        <w:t>)</w:t>
      </w:r>
      <w:r>
        <w:t>;</w:t>
      </w:r>
      <w:proofErr w:type="gramEnd"/>
    </w:p>
    <w:p w14:paraId="7FFB03EB" w14:textId="5BCE568D" w:rsidR="00F41DCE" w:rsidRDefault="00F41DCE" w:rsidP="00F41DCE">
      <w:pPr>
        <w:pStyle w:val="ListBullet"/>
      </w:pPr>
      <w:r>
        <w:t xml:space="preserve">The </w:t>
      </w:r>
      <w:hyperlink r:id="rId36" w:history="1">
        <w:r w:rsidRPr="002C37C0">
          <w:rPr>
            <w:rStyle w:val="Hyperlink"/>
          </w:rPr>
          <w:t>public submission</w:t>
        </w:r>
      </w:hyperlink>
      <w:r w:rsidR="00174A93">
        <w:t>, which did not include a written component,</w:t>
      </w:r>
      <w:r>
        <w:t xml:space="preserve"> received in response to the </w:t>
      </w:r>
      <w:hyperlink r:id="rId37" w:history="1">
        <w:r w:rsidRPr="002C37C0">
          <w:rPr>
            <w:rStyle w:val="Hyperlink"/>
          </w:rPr>
          <w:t>interim decision consultation</w:t>
        </w:r>
      </w:hyperlink>
      <w:r>
        <w:t xml:space="preserve"> </w:t>
      </w:r>
      <w:r w:rsidRPr="002C1418">
        <w:t>under regulation 42ZCZP of the Regulations</w:t>
      </w:r>
      <w:r>
        <w:t>;</w:t>
      </w:r>
    </w:p>
    <w:p w14:paraId="5BD25D42" w14:textId="4BC887AF" w:rsidR="00F41DCE" w:rsidRDefault="00F41DCE" w:rsidP="00F41DCE">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rsidR="002C37C0">
        <w:t>;</w:t>
      </w:r>
      <w:r w:rsidRPr="001169AC">
        <w:t xml:space="preserve"> </w:t>
      </w:r>
    </w:p>
    <w:p w14:paraId="305095CD" w14:textId="3DA4C703" w:rsidR="00F41DCE" w:rsidRDefault="00F41DCE" w:rsidP="00F41DCE">
      <w:pPr>
        <w:pStyle w:val="ListBullet"/>
      </w:pPr>
      <w:r w:rsidRPr="002C1418">
        <w:t xml:space="preserve">The </w:t>
      </w:r>
      <w:hyperlink r:id="rId38" w:history="1">
        <w:r w:rsidRPr="001A7580">
          <w:rPr>
            <w:rStyle w:val="Hyperlink"/>
          </w:rPr>
          <w:t>Scheduling Policy Framework</w:t>
        </w:r>
      </w:hyperlink>
      <w:r>
        <w:t xml:space="preserve"> </w:t>
      </w:r>
      <w:r w:rsidR="00EA2090">
        <w:t xml:space="preserve">2018 </w:t>
      </w:r>
      <w:r>
        <w:t>(</w:t>
      </w:r>
      <w:r w:rsidR="00EA2090">
        <w:t xml:space="preserve">the </w:t>
      </w:r>
      <w:r w:rsidRPr="00EA2090">
        <w:rPr>
          <w:b/>
          <w:bCs/>
        </w:rPr>
        <w:t>SP</w:t>
      </w:r>
      <w:r w:rsidR="00EA2090" w:rsidRPr="00EA2090">
        <w:rPr>
          <w:b/>
          <w:bCs/>
        </w:rPr>
        <w:t>F</w:t>
      </w:r>
      <w:r>
        <w:t xml:space="preserve">); </w:t>
      </w:r>
      <w:r w:rsidRPr="002C37C0">
        <w:t>and</w:t>
      </w:r>
    </w:p>
    <w:p w14:paraId="0A886E1C" w14:textId="279E87B7" w:rsidR="00F41DCE" w:rsidRDefault="00F41DCE" w:rsidP="002C37C0">
      <w:pPr>
        <w:pStyle w:val="ListBullet"/>
      </w:pPr>
      <w:r>
        <w:t xml:space="preserve">The </w:t>
      </w:r>
      <w:hyperlink r:id="rId39" w:history="1">
        <w:r w:rsidRPr="001A7580">
          <w:rPr>
            <w:rStyle w:val="Hyperlink"/>
          </w:rPr>
          <w:t>Scheduling handbook: Guidance for amending the Poisons Standard</w:t>
        </w:r>
      </w:hyperlink>
      <w:r>
        <w:t>.</w:t>
      </w:r>
    </w:p>
    <w:p w14:paraId="14775BA7" w14:textId="5CBA1411" w:rsidR="004B32D0" w:rsidRDefault="00F41DCE" w:rsidP="004B32D0">
      <w:pPr>
        <w:pStyle w:val="Heading5"/>
      </w:pPr>
      <w:r w:rsidRPr="00436C41">
        <w:t>Reasons for the final decision (including findings on material questions of fact)</w:t>
      </w:r>
    </w:p>
    <w:p w14:paraId="17237D0F" w14:textId="668FE150" w:rsidR="002C37C0" w:rsidRPr="00F04336" w:rsidRDefault="002C37C0" w:rsidP="002C37C0">
      <w:pPr>
        <w:pStyle w:val="ListBullet"/>
        <w:numPr>
          <w:ilvl w:val="0"/>
          <w:numId w:val="0"/>
        </w:numPr>
      </w:pPr>
      <w:r w:rsidRPr="000473A3">
        <w:t xml:space="preserve">I have made a final decision to confirm my interim decision to amend the current Poisons Standard with respect to </w:t>
      </w:r>
      <w:r w:rsidR="00A77C3E">
        <w:t>helional</w:t>
      </w:r>
      <w:r w:rsidRPr="000473A3">
        <w:t xml:space="preserve">. </w:t>
      </w:r>
      <w:r w:rsidRPr="0073223B">
        <w:t>My reasons for making the final decision are those set out in the interim decision. In making my final decision, I have noted that no</w:t>
      </w:r>
      <w:r>
        <w:t xml:space="preserve"> written</w:t>
      </w:r>
      <w:r w:rsidRPr="0073223B">
        <w:t xml:space="preserve"> public submissions were received before the second closing date in response to the call for further submissions published on 21 October 2022 under regulation 42ZCZP of the Regulations.</w:t>
      </w:r>
    </w:p>
    <w:p w14:paraId="2D272D94" w14:textId="4C2B82F2" w:rsidR="00D85742" w:rsidRPr="008969D6" w:rsidRDefault="002C37C0" w:rsidP="00DC46AC">
      <w:pPr>
        <w:pStyle w:val="Heading4"/>
        <w:rPr>
          <w:rFonts w:ascii="Cambria" w:hAnsi="Cambria"/>
          <w:i/>
          <w:iCs/>
          <w:sz w:val="22"/>
          <w:szCs w:val="22"/>
        </w:rPr>
      </w:pPr>
      <w:bookmarkStart w:id="36" w:name="_Toc116989687"/>
      <w:r>
        <w:rPr>
          <w:rFonts w:ascii="Cambria" w:hAnsi="Cambria"/>
          <w:i/>
          <w:iCs/>
          <w:sz w:val="22"/>
          <w:szCs w:val="22"/>
        </w:rPr>
        <w:t>I</w:t>
      </w:r>
      <w:r w:rsidR="00D85742" w:rsidRPr="008969D6">
        <w:rPr>
          <w:rFonts w:ascii="Cambria" w:hAnsi="Cambria"/>
          <w:i/>
          <w:iCs/>
          <w:sz w:val="22"/>
          <w:szCs w:val="22"/>
        </w:rPr>
        <w:t>mplementation date</w:t>
      </w:r>
      <w:bookmarkEnd w:id="36"/>
    </w:p>
    <w:p w14:paraId="0389E87A" w14:textId="065C2049" w:rsidR="00D85742" w:rsidRPr="00D85742" w:rsidRDefault="00D85742" w:rsidP="00D85742">
      <w:pPr>
        <w:spacing w:after="240"/>
        <w:rPr>
          <w:szCs w:val="22"/>
        </w:rPr>
      </w:pPr>
      <w:r w:rsidRPr="00560C34">
        <w:rPr>
          <w:szCs w:val="22"/>
        </w:rPr>
        <w:t>1 February 202</w:t>
      </w:r>
      <w:r>
        <w:rPr>
          <w:szCs w:val="22"/>
        </w:rPr>
        <w:t>3</w:t>
      </w:r>
      <w:r w:rsidR="00DC46AC">
        <w:rPr>
          <w:szCs w:val="22"/>
        </w:rPr>
        <w:t>.</w:t>
      </w:r>
    </w:p>
    <w:p w14:paraId="1D69F9D3" w14:textId="0F099C8C" w:rsidR="00432A32" w:rsidRDefault="00432A32" w:rsidP="00432A32">
      <w:pPr>
        <w:pStyle w:val="Heading3"/>
      </w:pPr>
      <w:bookmarkStart w:id="37" w:name="_Toc125014775"/>
      <w:r>
        <w:t xml:space="preserve">Final decision in relation to </w:t>
      </w:r>
      <w:proofErr w:type="spellStart"/>
      <w:r w:rsidR="00D85742">
        <w:t>hydroxypinacolone</w:t>
      </w:r>
      <w:proofErr w:type="spellEnd"/>
      <w:r w:rsidR="00D85742">
        <w:t xml:space="preserve"> retinoate (HPR)</w:t>
      </w:r>
      <w:bookmarkEnd w:id="37"/>
    </w:p>
    <w:p w14:paraId="05A1D66B" w14:textId="77777777" w:rsidR="00432A32" w:rsidRDefault="00432A32" w:rsidP="00432A32">
      <w:pPr>
        <w:pStyle w:val="Heading5"/>
      </w:pPr>
      <w:r>
        <w:t>Proposal</w:t>
      </w:r>
    </w:p>
    <w:p w14:paraId="2CAB7447" w14:textId="0124404A" w:rsidR="00432A32" w:rsidRPr="00984E90" w:rsidRDefault="00984E90" w:rsidP="00984E90">
      <w:r w:rsidRPr="00A016B9">
        <w:t xml:space="preserve">The applicant presented two proposed amendments of the Schedule 4 entry for tretinoin to exclude its salts and derivatives and/or </w:t>
      </w:r>
      <w:proofErr w:type="spellStart"/>
      <w:r w:rsidRPr="00A016B9">
        <w:t>hydroxypinacolone</w:t>
      </w:r>
      <w:proofErr w:type="spellEnd"/>
      <w:r w:rsidRPr="00A016B9">
        <w:t xml:space="preserve"> retinoate (HPR) for use in topical preparations containing 0.5 per cent or less of the substance (the </w:t>
      </w:r>
      <w:r w:rsidRPr="00A016B9">
        <w:rPr>
          <w:b/>
          <w:bCs/>
        </w:rPr>
        <w:t>Proposals</w:t>
      </w:r>
      <w:r w:rsidRPr="00A016B9">
        <w:t>).</w:t>
      </w:r>
    </w:p>
    <w:p w14:paraId="4898A47B" w14:textId="77777777" w:rsidR="00432A32" w:rsidRPr="008036B7" w:rsidRDefault="00432A32" w:rsidP="00432A32">
      <w:pPr>
        <w:pStyle w:val="Heading5"/>
      </w:pPr>
      <w:r>
        <w:lastRenderedPageBreak/>
        <w:t xml:space="preserve">Final decision </w:t>
      </w:r>
    </w:p>
    <w:p w14:paraId="22EAD09C" w14:textId="4B49A604" w:rsidR="00432A32" w:rsidRDefault="00432A32" w:rsidP="00432A32">
      <w:r w:rsidRPr="009833AF">
        <w:t xml:space="preserve">Pursuant to regulation 42ZCZR of the Regulations, the Delegate has made a final decision to confirm the interim decision and amend the current Poisons Standard in relation to </w:t>
      </w:r>
      <w:proofErr w:type="spellStart"/>
      <w:r w:rsidR="009A1168" w:rsidRPr="00A016B9">
        <w:t>hydroxypinacolone</w:t>
      </w:r>
      <w:proofErr w:type="spellEnd"/>
      <w:r w:rsidR="009A1168" w:rsidRPr="00A016B9">
        <w:t xml:space="preserve"> retinoate</w:t>
      </w:r>
      <w:r w:rsidRPr="009833AF">
        <w:t xml:space="preserve"> as follows:</w:t>
      </w:r>
      <w:r w:rsidR="001B53BC" w:rsidRPr="001B53BC">
        <w:rPr>
          <w:rStyle w:val="FootnoteReference"/>
        </w:rPr>
        <w:t xml:space="preserve"> </w:t>
      </w:r>
      <w:r w:rsidR="001B53BC">
        <w:rPr>
          <w:rStyle w:val="FootnoteReference"/>
        </w:rPr>
        <w:footnoteReference w:id="5"/>
      </w:r>
      <w:r>
        <w:t xml:space="preserve"> </w:t>
      </w:r>
    </w:p>
    <w:p w14:paraId="1862B5C5" w14:textId="77777777" w:rsidR="009833AF" w:rsidRDefault="009833AF" w:rsidP="00F2731A">
      <w:pPr>
        <w:ind w:left="426"/>
        <w:rPr>
          <w:b/>
        </w:rPr>
      </w:pPr>
      <w:r>
        <w:rPr>
          <w:b/>
        </w:rPr>
        <w:t>Schedule 4 – Amend entry</w:t>
      </w:r>
    </w:p>
    <w:p w14:paraId="2AD26BD3" w14:textId="0BCE57F3" w:rsidR="009833AF" w:rsidRPr="00335BEC" w:rsidRDefault="009833AF" w:rsidP="009833AF">
      <w:pPr>
        <w:ind w:left="720"/>
      </w:pPr>
      <w:r>
        <w:rPr>
          <w:bCs/>
        </w:rPr>
        <w:t xml:space="preserve">TRETINOIN </w:t>
      </w:r>
      <w:r>
        <w:rPr>
          <w:bCs/>
          <w:color w:val="00B050"/>
        </w:rPr>
        <w:t xml:space="preserve">except the ester </w:t>
      </w:r>
      <w:proofErr w:type="spellStart"/>
      <w:r>
        <w:rPr>
          <w:bCs/>
          <w:color w:val="00B050"/>
        </w:rPr>
        <w:t>hydroxypinacolone</w:t>
      </w:r>
      <w:proofErr w:type="spellEnd"/>
      <w:r>
        <w:rPr>
          <w:bCs/>
          <w:color w:val="00B050"/>
        </w:rPr>
        <w:t xml:space="preserve"> retinoate in preparations for dermal use containing 0.5</w:t>
      </w:r>
      <w:r w:rsidR="005C6983">
        <w:rPr>
          <w:bCs/>
          <w:color w:val="00B050"/>
        </w:rPr>
        <w:t>%</w:t>
      </w:r>
      <w:r>
        <w:rPr>
          <w:bCs/>
          <w:color w:val="00B050"/>
        </w:rPr>
        <w:t xml:space="preserve"> or less of </w:t>
      </w:r>
      <w:proofErr w:type="spellStart"/>
      <w:r>
        <w:rPr>
          <w:bCs/>
          <w:color w:val="00B050"/>
        </w:rPr>
        <w:t>hydroxypinacolone</w:t>
      </w:r>
      <w:proofErr w:type="spellEnd"/>
      <w:r>
        <w:rPr>
          <w:bCs/>
          <w:color w:val="00B050"/>
        </w:rPr>
        <w:t xml:space="preserve"> retinoate</w:t>
      </w:r>
      <w:r>
        <w:rPr>
          <w:bCs/>
        </w:rPr>
        <w:t>.</w:t>
      </w:r>
    </w:p>
    <w:p w14:paraId="2551C6EB" w14:textId="77777777" w:rsidR="00432A32" w:rsidRDefault="00432A32" w:rsidP="00432A32">
      <w:pPr>
        <w:pStyle w:val="Heading5"/>
      </w:pPr>
      <w:r>
        <w:t xml:space="preserve">Materials considered </w:t>
      </w:r>
    </w:p>
    <w:p w14:paraId="4D48DB78" w14:textId="77777777" w:rsidR="00432A32" w:rsidRDefault="00432A32" w:rsidP="00432A32">
      <w:r>
        <w:t>In making this final decision, the Delegate considered the following material:</w:t>
      </w:r>
    </w:p>
    <w:p w14:paraId="7D0CA9B8" w14:textId="4C791B9F" w:rsidR="00D85742" w:rsidRDefault="00D85742" w:rsidP="00D85742">
      <w:pPr>
        <w:pStyle w:val="ListBullet"/>
      </w:pPr>
      <w:r w:rsidRPr="009833AF">
        <w:t xml:space="preserve">The </w:t>
      </w:r>
      <w:hyperlink r:id="rId40" w:history="1">
        <w:r w:rsidR="00174A93">
          <w:rPr>
            <w:rStyle w:val="Hyperlink"/>
          </w:rPr>
          <w:t>application</w:t>
        </w:r>
      </w:hyperlink>
      <w:r w:rsidRPr="009833AF">
        <w:t xml:space="preserve"> to amend</w:t>
      </w:r>
      <w:r>
        <w:t xml:space="preserve"> the current Poisons Standard with respect to </w:t>
      </w:r>
      <w:r w:rsidR="00174A93">
        <w:t xml:space="preserve">HPR </w:t>
      </w:r>
      <w:r>
        <w:t xml:space="preserve">(the </w:t>
      </w:r>
      <w:r w:rsidRPr="002F4418">
        <w:rPr>
          <w:b/>
          <w:bCs/>
        </w:rPr>
        <w:t>Application</w:t>
      </w:r>
      <w:r>
        <w:t>);</w:t>
      </w:r>
    </w:p>
    <w:p w14:paraId="66A67E6D" w14:textId="0D885860" w:rsidR="00432A32" w:rsidRDefault="00432A32" w:rsidP="00432A32">
      <w:pPr>
        <w:pStyle w:val="ListBullet"/>
      </w:pPr>
      <w:r>
        <w:t xml:space="preserve">The </w:t>
      </w:r>
      <w:r w:rsidR="00931FAD">
        <w:t>2,373</w:t>
      </w:r>
      <w:r>
        <w:t xml:space="preserve"> </w:t>
      </w:r>
      <w:hyperlink r:id="rId41" w:history="1">
        <w:r w:rsidRPr="00931FAD">
          <w:rPr>
            <w:rStyle w:val="Hyperlink"/>
          </w:rPr>
          <w:t>public submissions</w:t>
        </w:r>
      </w:hyperlink>
      <w:r w:rsidR="00931FAD" w:rsidRPr="00931FAD">
        <w:t>, including 4 with a written component,</w:t>
      </w:r>
      <w:r w:rsidRPr="00931FAD">
        <w:t xml:space="preserve"> received in response to the </w:t>
      </w:r>
      <w:hyperlink r:id="rId42" w:history="1">
        <w:r w:rsidRPr="00931FAD">
          <w:rPr>
            <w:rStyle w:val="Hyperlink"/>
          </w:rPr>
          <w:t>pre-meeting consultation</w:t>
        </w:r>
      </w:hyperlink>
      <w:r>
        <w:t xml:space="preserve"> under regulation 42ZCZK of the Regulations; </w:t>
      </w:r>
    </w:p>
    <w:p w14:paraId="1C4CF6F0" w14:textId="0610C3D9" w:rsidR="00432A32" w:rsidRDefault="00432A32" w:rsidP="00432A32">
      <w:pPr>
        <w:pStyle w:val="ListBullet"/>
      </w:pPr>
      <w:r>
        <w:t xml:space="preserve">The advice received from the </w:t>
      </w:r>
      <w:r w:rsidR="00931FAD">
        <w:t>31st</w:t>
      </w:r>
      <w:r>
        <w:t xml:space="preserve"> </w:t>
      </w:r>
      <w:r w:rsidRPr="00931FAD">
        <w:t xml:space="preserve">meeting of the Advisory Committees on Medicines and Chemicals Scheduling in joint session (the </w:t>
      </w:r>
      <w:r w:rsidRPr="00931FAD">
        <w:rPr>
          <w:b/>
          <w:bCs/>
        </w:rPr>
        <w:t>Committee</w:t>
      </w:r>
      <w:proofErr w:type="gramStart"/>
      <w:r w:rsidRPr="00931FAD">
        <w:t>);</w:t>
      </w:r>
      <w:proofErr w:type="gramEnd"/>
    </w:p>
    <w:p w14:paraId="4FAA18C6" w14:textId="414583F9" w:rsidR="00432A32" w:rsidRDefault="00432A32" w:rsidP="00432A32">
      <w:pPr>
        <w:pStyle w:val="ListBullet"/>
      </w:pPr>
      <w:r>
        <w:t xml:space="preserve">The </w:t>
      </w:r>
      <w:r w:rsidR="00931FAD">
        <w:t>4</w:t>
      </w:r>
      <w:r>
        <w:t xml:space="preserve"> </w:t>
      </w:r>
      <w:hyperlink r:id="rId43" w:history="1">
        <w:r w:rsidRPr="00931FAD">
          <w:rPr>
            <w:rStyle w:val="Hyperlink"/>
          </w:rPr>
          <w:t>public submissions</w:t>
        </w:r>
      </w:hyperlink>
      <w:r w:rsidR="00931FAD" w:rsidRPr="00931FAD">
        <w:t>,</w:t>
      </w:r>
      <w:r w:rsidR="00931FAD">
        <w:t xml:space="preserve"> including one with a written component,</w:t>
      </w:r>
      <w:r>
        <w:t xml:space="preserve"> received in response to the </w:t>
      </w:r>
      <w:hyperlink r:id="rId44" w:history="1">
        <w:r w:rsidRPr="00931FAD">
          <w:rPr>
            <w:rStyle w:val="Hyperlink"/>
          </w:rPr>
          <w:t>interim decision consultation</w:t>
        </w:r>
      </w:hyperlink>
      <w:r>
        <w:t xml:space="preserve"> </w:t>
      </w:r>
      <w:r w:rsidRPr="002C1418">
        <w:t>under regulation 42ZCZP of the Regulations</w:t>
      </w:r>
      <w:r>
        <w:t>;</w:t>
      </w:r>
    </w:p>
    <w:p w14:paraId="4B8537A0" w14:textId="4C200E7B" w:rsidR="00432A32" w:rsidRDefault="00432A32" w:rsidP="00432A32">
      <w:pPr>
        <w:pStyle w:val="ListBullet"/>
      </w:pPr>
      <w:r w:rsidRPr="001169AC">
        <w:t>Subsection 52</w:t>
      </w:r>
      <w:proofErr w:type="gramStart"/>
      <w:r w:rsidRPr="001169AC">
        <w:t>E(</w:t>
      </w:r>
      <w:proofErr w:type="gramEnd"/>
      <w:r w:rsidRPr="001169AC">
        <w:t xml:space="preserve">1) of </w:t>
      </w:r>
      <w:r w:rsidRPr="001169AC">
        <w:rPr>
          <w:i/>
        </w:rPr>
        <w:t>the Therapeutic Goods Act 1989</w:t>
      </w:r>
      <w:r w:rsidRPr="001169AC">
        <w:t xml:space="preserve">, in particular (a) the risks and benefits of the use of a substance; (b) the purposes for which a substance is to be used and the extent of use of a substance; (c) the toxicity of a substance; </w:t>
      </w:r>
      <w:r w:rsidR="00931FAD">
        <w:t xml:space="preserve">and </w:t>
      </w:r>
      <w:r w:rsidRPr="001169AC">
        <w:t xml:space="preserve">(d) the dosage, formulation, labelling, packaging and presentation of a substance; </w:t>
      </w:r>
    </w:p>
    <w:p w14:paraId="50B3CAD8" w14:textId="620685DD" w:rsidR="00432A32" w:rsidRDefault="00432A32" w:rsidP="00432A32">
      <w:pPr>
        <w:pStyle w:val="ListBullet"/>
      </w:pPr>
      <w:r w:rsidRPr="002C1418">
        <w:t xml:space="preserve">The </w:t>
      </w:r>
      <w:hyperlink r:id="rId45" w:history="1">
        <w:r w:rsidRPr="001A7580">
          <w:rPr>
            <w:rStyle w:val="Hyperlink"/>
          </w:rPr>
          <w:t>Scheduling Policy Framework</w:t>
        </w:r>
      </w:hyperlink>
      <w:r>
        <w:t xml:space="preserve"> 2018 (the </w:t>
      </w:r>
      <w:r w:rsidRPr="00EA2090">
        <w:rPr>
          <w:b/>
          <w:bCs/>
        </w:rPr>
        <w:t>SPF</w:t>
      </w:r>
      <w:r>
        <w:t xml:space="preserve">); </w:t>
      </w:r>
      <w:r w:rsidR="00931FAD">
        <w:t>and</w:t>
      </w:r>
    </w:p>
    <w:p w14:paraId="7EF6A7D1" w14:textId="7426960E" w:rsidR="00432A32" w:rsidRDefault="00432A32" w:rsidP="009833AF">
      <w:pPr>
        <w:pStyle w:val="ListBullet"/>
      </w:pPr>
      <w:r>
        <w:t xml:space="preserve">The </w:t>
      </w:r>
      <w:hyperlink r:id="rId46" w:history="1">
        <w:r w:rsidRPr="001A7580">
          <w:rPr>
            <w:rStyle w:val="Hyperlink"/>
          </w:rPr>
          <w:t>Scheduling handbook: Guidance for amending the Poisons Standard</w:t>
        </w:r>
      </w:hyperlink>
      <w:r>
        <w:t>.</w:t>
      </w:r>
    </w:p>
    <w:p w14:paraId="57910345" w14:textId="77777777" w:rsidR="00432A32" w:rsidRDefault="00432A32" w:rsidP="00432A32">
      <w:pPr>
        <w:pStyle w:val="Heading5"/>
      </w:pPr>
      <w:r w:rsidRPr="00436C41">
        <w:t>Reasons for the final decision (including findings on material questions of fact)</w:t>
      </w:r>
    </w:p>
    <w:p w14:paraId="47591BD5" w14:textId="27FA43C8" w:rsidR="00432A32" w:rsidRPr="00931FAD" w:rsidRDefault="00432A32" w:rsidP="00931FAD">
      <w:r w:rsidRPr="000473A3">
        <w:t xml:space="preserve">I have made a final decision to confirm my </w:t>
      </w:r>
      <w:r w:rsidR="009833AF" w:rsidRPr="000473A3">
        <w:t>i</w:t>
      </w:r>
      <w:r w:rsidRPr="000473A3">
        <w:t xml:space="preserve">nterim decision to amend the current Poisons Standard with respect to </w:t>
      </w:r>
      <w:proofErr w:type="spellStart"/>
      <w:r w:rsidR="009833AF" w:rsidRPr="000473A3">
        <w:t>hydroxypinacolone</w:t>
      </w:r>
      <w:proofErr w:type="spellEnd"/>
      <w:r w:rsidR="009833AF" w:rsidRPr="000473A3">
        <w:t xml:space="preserve"> retinoate</w:t>
      </w:r>
      <w:r w:rsidRPr="000473A3">
        <w:t xml:space="preserve">. </w:t>
      </w:r>
      <w:r w:rsidRPr="00931FAD">
        <w:t xml:space="preserve">My reasons for making the final decision are those set out in the interim decision. In making my final decision, I have </w:t>
      </w:r>
      <w:proofErr w:type="gramStart"/>
      <w:r w:rsidRPr="00931FAD">
        <w:t>taken into account</w:t>
      </w:r>
      <w:proofErr w:type="gramEnd"/>
      <w:r w:rsidRPr="00931FAD">
        <w:t xml:space="preserve"> the material detailed in the interim decision and the public submissions received before the second closing date in response to the call for further submissions published on </w:t>
      </w:r>
      <w:r w:rsidR="00931FAD" w:rsidRPr="00931FAD">
        <w:t>21</w:t>
      </w:r>
      <w:r w:rsidRPr="000473A3">
        <w:t xml:space="preserve"> </w:t>
      </w:r>
      <w:r w:rsidR="00931FAD">
        <w:t>October 2022</w:t>
      </w:r>
      <w:r w:rsidRPr="000473A3">
        <w:t xml:space="preserve"> under regulation 42ZCZP of the Regulations.</w:t>
      </w:r>
      <w:r w:rsidR="00931FAD">
        <w:t xml:space="preserve"> I note that the one written public submission </w:t>
      </w:r>
      <w:r w:rsidR="00096F5C">
        <w:t xml:space="preserve">received </w:t>
      </w:r>
      <w:r w:rsidR="00931FAD">
        <w:t>was supportive of the interim decision.</w:t>
      </w:r>
    </w:p>
    <w:p w14:paraId="31FA149F" w14:textId="500D4852" w:rsidR="00984E90" w:rsidRPr="00D35D6F" w:rsidRDefault="00931FAD" w:rsidP="00984E90">
      <w:pPr>
        <w:pStyle w:val="Heading4"/>
        <w:rPr>
          <w:rFonts w:ascii="Cambria" w:hAnsi="Cambria"/>
          <w:i/>
          <w:iCs/>
          <w:sz w:val="22"/>
          <w:szCs w:val="22"/>
        </w:rPr>
      </w:pPr>
      <w:bookmarkStart w:id="38" w:name="_Toc116989694"/>
      <w:r>
        <w:rPr>
          <w:rFonts w:ascii="Cambria" w:hAnsi="Cambria"/>
          <w:i/>
          <w:iCs/>
          <w:sz w:val="22"/>
          <w:szCs w:val="22"/>
        </w:rPr>
        <w:t>I</w:t>
      </w:r>
      <w:r w:rsidR="00984E90" w:rsidRPr="00D35D6F">
        <w:rPr>
          <w:rFonts w:ascii="Cambria" w:hAnsi="Cambria"/>
          <w:i/>
          <w:iCs/>
          <w:sz w:val="22"/>
          <w:szCs w:val="22"/>
        </w:rPr>
        <w:t>mplementation date</w:t>
      </w:r>
      <w:bookmarkEnd w:id="38"/>
    </w:p>
    <w:p w14:paraId="61F5E011" w14:textId="289C5C57" w:rsidR="00984E90" w:rsidRPr="00CB5D03" w:rsidRDefault="00984E90" w:rsidP="00984E90">
      <w:pPr>
        <w:spacing w:after="240"/>
      </w:pPr>
      <w:r w:rsidRPr="00CB5D03">
        <w:t>1 February 2023</w:t>
      </w:r>
      <w:r w:rsidR="00931FAD">
        <w:t>.</w:t>
      </w:r>
    </w:p>
    <w:p w14:paraId="720A2C5A" w14:textId="39C01494" w:rsidR="00432A32" w:rsidRDefault="00432A32" w:rsidP="00432A32">
      <w:pPr>
        <w:pStyle w:val="Heading3"/>
      </w:pPr>
      <w:bookmarkStart w:id="39" w:name="_Toc125014776"/>
      <w:r>
        <w:t xml:space="preserve">Final decision in relation to </w:t>
      </w:r>
      <w:r w:rsidR="00D85742">
        <w:t>MDMA and MDA nomenclature</w:t>
      </w:r>
      <w:bookmarkEnd w:id="39"/>
    </w:p>
    <w:p w14:paraId="0B545E9A" w14:textId="77777777" w:rsidR="00432A32" w:rsidRDefault="00432A32" w:rsidP="00432A32">
      <w:pPr>
        <w:pStyle w:val="Heading5"/>
      </w:pPr>
      <w:r>
        <w:t>Proposal</w:t>
      </w:r>
    </w:p>
    <w:p w14:paraId="7282C62B" w14:textId="3C658585" w:rsidR="00984E90" w:rsidRPr="00FA50CF" w:rsidRDefault="00984E90" w:rsidP="00E35534">
      <w:bookmarkStart w:id="40" w:name="_Toc110871294"/>
      <w:r w:rsidRPr="004E3CB0">
        <w:rPr>
          <w:szCs w:val="22"/>
        </w:rPr>
        <w:t xml:space="preserve">This </w:t>
      </w:r>
      <w:r w:rsidRPr="00E8479A">
        <w:rPr>
          <w:szCs w:val="22"/>
        </w:rPr>
        <w:t xml:space="preserve">section contains two independent </w:t>
      </w:r>
      <w:r w:rsidR="007058B4">
        <w:rPr>
          <w:szCs w:val="22"/>
        </w:rPr>
        <w:t>final</w:t>
      </w:r>
      <w:r w:rsidRPr="00E8479A">
        <w:rPr>
          <w:szCs w:val="22"/>
        </w:rPr>
        <w:t xml:space="preserve"> decisions in respect to </w:t>
      </w:r>
      <w:r>
        <w:rPr>
          <w:szCs w:val="22"/>
        </w:rPr>
        <w:t xml:space="preserve">the nomenclature of </w:t>
      </w:r>
      <w:r w:rsidRPr="00E8479A">
        <w:rPr>
          <w:szCs w:val="22"/>
        </w:rPr>
        <w:t xml:space="preserve">(i) </w:t>
      </w:r>
      <w:r>
        <w:rPr>
          <w:szCs w:val="22"/>
        </w:rPr>
        <w:t>MDMA</w:t>
      </w:r>
      <w:r w:rsidRPr="00E8479A">
        <w:rPr>
          <w:szCs w:val="22"/>
        </w:rPr>
        <w:t xml:space="preserve"> and (ii) MDA (the </w:t>
      </w:r>
      <w:r>
        <w:rPr>
          <w:b/>
          <w:bCs/>
          <w:szCs w:val="22"/>
        </w:rPr>
        <w:t>S</w:t>
      </w:r>
      <w:r w:rsidRPr="00645AA3">
        <w:rPr>
          <w:b/>
          <w:bCs/>
          <w:szCs w:val="22"/>
        </w:rPr>
        <w:t>ubstances</w:t>
      </w:r>
      <w:r w:rsidRPr="004E3CB0">
        <w:rPr>
          <w:szCs w:val="22"/>
        </w:rPr>
        <w:t>)</w:t>
      </w:r>
      <w:r w:rsidRPr="00E8479A">
        <w:rPr>
          <w:szCs w:val="22"/>
        </w:rPr>
        <w:t xml:space="preserve">. Given the current scheduling and the proposed </w:t>
      </w:r>
      <w:r w:rsidRPr="00E8479A">
        <w:rPr>
          <w:szCs w:val="22"/>
        </w:rPr>
        <w:lastRenderedPageBreak/>
        <w:t xml:space="preserve">amendments to the Poisons Standard in relation to the </w:t>
      </w:r>
      <w:r>
        <w:rPr>
          <w:szCs w:val="22"/>
        </w:rPr>
        <w:t>s</w:t>
      </w:r>
      <w:r w:rsidRPr="00E8479A">
        <w:rPr>
          <w:szCs w:val="22"/>
        </w:rPr>
        <w:t xml:space="preserve">ubstances are </w:t>
      </w:r>
      <w:r>
        <w:rPr>
          <w:szCs w:val="22"/>
        </w:rPr>
        <w:t>similar</w:t>
      </w:r>
      <w:r w:rsidRPr="00E8479A">
        <w:rPr>
          <w:szCs w:val="22"/>
        </w:rPr>
        <w:t xml:space="preserve">, the reasons for making the </w:t>
      </w:r>
      <w:r w:rsidR="007058B4">
        <w:rPr>
          <w:szCs w:val="22"/>
        </w:rPr>
        <w:t xml:space="preserve">final </w:t>
      </w:r>
      <w:r w:rsidRPr="00E8479A">
        <w:rPr>
          <w:szCs w:val="22"/>
        </w:rPr>
        <w:t xml:space="preserve">decisions for both </w:t>
      </w:r>
      <w:r>
        <w:rPr>
          <w:szCs w:val="22"/>
        </w:rPr>
        <w:t>s</w:t>
      </w:r>
      <w:r w:rsidRPr="00E8479A">
        <w:rPr>
          <w:szCs w:val="22"/>
        </w:rPr>
        <w:t xml:space="preserve">ubstances are substantially the same. </w:t>
      </w:r>
      <w:bookmarkEnd w:id="40"/>
    </w:p>
    <w:p w14:paraId="1DF95449" w14:textId="77777777" w:rsidR="00984E90" w:rsidRPr="00034B91" w:rsidRDefault="00984E90" w:rsidP="00984E90">
      <w:pPr>
        <w:rPr>
          <w:i/>
          <w:iCs/>
        </w:rPr>
      </w:pPr>
      <w:r w:rsidRPr="00034B91">
        <w:rPr>
          <w:i/>
          <w:iCs/>
        </w:rPr>
        <w:t>MDMA</w:t>
      </w:r>
    </w:p>
    <w:p w14:paraId="01234752" w14:textId="34D6D101" w:rsidR="00984E90" w:rsidRDefault="00984E90" w:rsidP="00984E90">
      <w:r>
        <w:t xml:space="preserve">The applicant proposed amendment of the current Schedule 9 entry for </w:t>
      </w:r>
      <w:proofErr w:type="gramStart"/>
      <w:r>
        <w:t>N,α</w:t>
      </w:r>
      <w:proofErr w:type="gramEnd"/>
      <w:r>
        <w:t>-dimethyl-3,4- (</w:t>
      </w:r>
      <w:proofErr w:type="spellStart"/>
      <w:r>
        <w:t>methylenedioxy</w:t>
      </w:r>
      <w:proofErr w:type="spellEnd"/>
      <w:r>
        <w:t xml:space="preserve">)phenylethylamine (MDMA) to reference the international non-proprietary name (INN) </w:t>
      </w:r>
      <w:proofErr w:type="spellStart"/>
      <w:r>
        <w:t>midomafetamine</w:t>
      </w:r>
      <w:proofErr w:type="spellEnd"/>
      <w:r>
        <w:t xml:space="preserve"> (the </w:t>
      </w:r>
      <w:r w:rsidRPr="00034B91">
        <w:rPr>
          <w:b/>
          <w:bCs/>
        </w:rPr>
        <w:t>MDMA</w:t>
      </w:r>
      <w:r>
        <w:t xml:space="preserve"> </w:t>
      </w:r>
      <w:r w:rsidRPr="00FA50CF">
        <w:rPr>
          <w:b/>
          <w:bCs/>
        </w:rPr>
        <w:t>Proposal</w:t>
      </w:r>
      <w:r>
        <w:t xml:space="preserve">). The original name for the substance would be included as a cross-reference in the index entry for </w:t>
      </w:r>
      <w:proofErr w:type="spellStart"/>
      <w:r w:rsidR="007058B4">
        <w:t>midomafetamine</w:t>
      </w:r>
      <w:proofErr w:type="spellEnd"/>
      <w:r>
        <w:t>.</w:t>
      </w:r>
    </w:p>
    <w:p w14:paraId="4173BD40" w14:textId="77777777" w:rsidR="00984E90" w:rsidRPr="00034B91" w:rsidRDefault="00984E90" w:rsidP="00984E90">
      <w:pPr>
        <w:rPr>
          <w:i/>
          <w:iCs/>
        </w:rPr>
      </w:pPr>
      <w:r w:rsidRPr="00034B91">
        <w:rPr>
          <w:i/>
          <w:iCs/>
        </w:rPr>
        <w:t>MDA</w:t>
      </w:r>
    </w:p>
    <w:p w14:paraId="10301D64" w14:textId="7C7AE925" w:rsidR="00984E90" w:rsidRPr="00782237" w:rsidRDefault="00984E90" w:rsidP="00984E90">
      <w:r>
        <w:t xml:space="preserve">The applicant proposed amendment of the current Schedule 9 entry for 3,4-methylendioxyamfetamine (MDA) to reference the INN tenamfetamine (the </w:t>
      </w:r>
      <w:r w:rsidRPr="00034B91">
        <w:rPr>
          <w:b/>
          <w:bCs/>
        </w:rPr>
        <w:t>MDA</w:t>
      </w:r>
      <w:r>
        <w:t xml:space="preserve"> </w:t>
      </w:r>
      <w:r w:rsidRPr="00FA50CF">
        <w:rPr>
          <w:b/>
          <w:bCs/>
        </w:rPr>
        <w:t>Proposal</w:t>
      </w:r>
      <w:r>
        <w:t xml:space="preserve">). The original name for the substance would be included as a cross-reference in the index entry for the </w:t>
      </w:r>
      <w:r w:rsidR="007058B4">
        <w:t>tenamfetamine</w:t>
      </w:r>
      <w:r>
        <w:t xml:space="preserve">. </w:t>
      </w:r>
    </w:p>
    <w:p w14:paraId="177817D7" w14:textId="77777777" w:rsidR="00432A32" w:rsidRPr="008036B7" w:rsidRDefault="00432A32" w:rsidP="00432A32">
      <w:pPr>
        <w:pStyle w:val="Heading5"/>
      </w:pPr>
      <w:r>
        <w:t xml:space="preserve">Final decision </w:t>
      </w:r>
    </w:p>
    <w:p w14:paraId="075D88A9" w14:textId="4F10513A" w:rsidR="000473A3" w:rsidRDefault="00432A32" w:rsidP="00432A32">
      <w:r>
        <w:t>Pursuant to regulation 42ZCZR of the Regulations, the Delegate has made final decision</w:t>
      </w:r>
      <w:r w:rsidR="001B53BC">
        <w:t>s</w:t>
      </w:r>
      <w:r>
        <w:t xml:space="preserve"> to </w:t>
      </w:r>
      <w:r w:rsidRPr="000473A3">
        <w:t>confirm</w:t>
      </w:r>
      <w:r>
        <w:t xml:space="preserve"> </w:t>
      </w:r>
      <w:r w:rsidRPr="005203C8">
        <w:t>the interim decision</w:t>
      </w:r>
      <w:r w:rsidR="001B53BC">
        <w:t>s</w:t>
      </w:r>
      <w:r>
        <w:t xml:space="preserve"> a</w:t>
      </w:r>
      <w:r w:rsidRPr="000473A3">
        <w:t xml:space="preserve">nd amend the current Poisons Standard in relation to </w:t>
      </w:r>
      <w:r w:rsidR="000473A3" w:rsidRPr="000473A3">
        <w:t>MDMA</w:t>
      </w:r>
      <w:r w:rsidR="001B53BC">
        <w:t xml:space="preserve"> and </w:t>
      </w:r>
      <w:r w:rsidR="000473A3" w:rsidRPr="000473A3">
        <w:t>MDA nomenclature</w:t>
      </w:r>
      <w:r w:rsidRPr="000473A3">
        <w:t xml:space="preserve"> as follows</w:t>
      </w:r>
      <w:r w:rsidR="000473A3" w:rsidRPr="000473A3">
        <w:t>:</w:t>
      </w:r>
    </w:p>
    <w:p w14:paraId="0C3B5730" w14:textId="4008FD61" w:rsidR="000473A3" w:rsidRDefault="000473A3" w:rsidP="00AF77FE">
      <w:pPr>
        <w:pStyle w:val="ListParagraph"/>
        <w:numPr>
          <w:ilvl w:val="0"/>
          <w:numId w:val="10"/>
        </w:numPr>
        <w:rPr>
          <w:color w:val="000000"/>
          <w:szCs w:val="22"/>
          <w:shd w:val="clear" w:color="auto" w:fill="FFFFFF"/>
        </w:rPr>
      </w:pPr>
      <w:r>
        <w:t xml:space="preserve">to not amend the current Schedule 9 </w:t>
      </w:r>
      <w:r w:rsidR="001B53BC">
        <w:t xml:space="preserve">entry </w:t>
      </w:r>
      <w:r>
        <w:t>for MDMA in the Poisons Standard.</w:t>
      </w:r>
    </w:p>
    <w:p w14:paraId="5B8C769F" w14:textId="33ED4DE0" w:rsidR="000473A3" w:rsidRDefault="000473A3" w:rsidP="00AF77FE">
      <w:pPr>
        <w:pStyle w:val="ListParagraph"/>
        <w:numPr>
          <w:ilvl w:val="0"/>
          <w:numId w:val="10"/>
        </w:numPr>
        <w:rPr>
          <w:color w:val="000000"/>
          <w:szCs w:val="22"/>
          <w:shd w:val="clear" w:color="auto" w:fill="FFFFFF"/>
        </w:rPr>
      </w:pPr>
      <w:r>
        <w:t xml:space="preserve">to not amend the current Schedule 9 </w:t>
      </w:r>
      <w:r w:rsidR="001B53BC">
        <w:t xml:space="preserve">entry </w:t>
      </w:r>
      <w:r>
        <w:t xml:space="preserve">for MDA in the Poisons Standard. </w:t>
      </w:r>
    </w:p>
    <w:p w14:paraId="36AF95B8" w14:textId="77777777" w:rsidR="000473A3" w:rsidRDefault="000473A3" w:rsidP="000473A3">
      <w:pPr>
        <w:rPr>
          <w:rStyle w:val="normaltextrun"/>
        </w:rPr>
      </w:pPr>
      <w:r>
        <w:t>Instead, the INNs for these substances are to be entered as cross references to MDMA and MDA in the index as follows:</w:t>
      </w:r>
    </w:p>
    <w:p w14:paraId="090F7329" w14:textId="77777777" w:rsidR="000473A3" w:rsidRDefault="000473A3" w:rsidP="000473A3">
      <w:pPr>
        <w:pStyle w:val="paragraph"/>
        <w:spacing w:before="0" w:beforeAutospacing="0" w:after="0" w:afterAutospacing="0" w:line="276" w:lineRule="auto"/>
        <w:textAlignment w:val="baseline"/>
        <w:rPr>
          <w:rFonts w:ascii="Cambria" w:hAnsi="Cambria" w:cs="Segoe UI"/>
          <w:sz w:val="18"/>
          <w:szCs w:val="18"/>
        </w:rPr>
      </w:pPr>
      <w:r>
        <w:rPr>
          <w:rStyle w:val="normaltextrun"/>
          <w:color w:val="000000"/>
          <w:szCs w:val="22"/>
          <w:shd w:val="clear" w:color="auto" w:fill="FFFFFF"/>
        </w:rPr>
        <w:tab/>
      </w:r>
      <w:r>
        <w:rPr>
          <w:rStyle w:val="normaltextrun"/>
          <w:rFonts w:ascii="Cambria" w:hAnsi="Cambria" w:cs="Segoe UI"/>
          <w:b/>
          <w:bCs/>
          <w:sz w:val="22"/>
          <w:szCs w:val="22"/>
        </w:rPr>
        <w:t>Index</w:t>
      </w:r>
      <w:r>
        <w:rPr>
          <w:rStyle w:val="eop"/>
          <w:rFonts w:ascii="Cambria" w:hAnsi="Cambria" w:cs="Segoe UI"/>
          <w:sz w:val="22"/>
          <w:szCs w:val="22"/>
        </w:rPr>
        <w:t> </w:t>
      </w:r>
      <w:r>
        <w:rPr>
          <w:rStyle w:val="eop"/>
          <w:rFonts w:ascii="Cambria" w:hAnsi="Cambria" w:cs="Segoe UI"/>
          <w:b/>
          <w:bCs/>
          <w:sz w:val="22"/>
          <w:szCs w:val="22"/>
        </w:rPr>
        <w:t>- Amend Entry</w:t>
      </w:r>
    </w:p>
    <w:p w14:paraId="30C1B207" w14:textId="77777777" w:rsidR="000473A3" w:rsidRDefault="000473A3" w:rsidP="000473A3">
      <w:pPr>
        <w:pStyle w:val="paragraph"/>
        <w:spacing w:before="120" w:beforeAutospacing="0" w:after="0" w:afterAutospacing="0" w:line="276" w:lineRule="auto"/>
        <w:ind w:left="720"/>
        <w:textAlignment w:val="baseline"/>
        <w:rPr>
          <w:rStyle w:val="eop"/>
          <w:color w:val="000000"/>
          <w:sz w:val="22"/>
          <w:szCs w:val="22"/>
        </w:rPr>
      </w:pPr>
      <w:r>
        <w:rPr>
          <w:rStyle w:val="normaltextrun"/>
          <w:rFonts w:ascii="Cambria" w:hAnsi="Cambria" w:cs="Segoe UI"/>
          <w:b/>
          <w:bCs/>
          <w:sz w:val="22"/>
          <w:szCs w:val="22"/>
        </w:rPr>
        <w:t>N, α -DIMETHYL-3,4-(METHYLENEDIOXY)PHENYLETHYLAMINE *(MDMA).</w:t>
      </w:r>
      <w:r>
        <w:rPr>
          <w:rStyle w:val="scxw215137901"/>
          <w:rFonts w:ascii="Cambria" w:eastAsia="Cambria" w:hAnsi="Cambria" w:cs="Segoe UI"/>
          <w:sz w:val="22"/>
          <w:szCs w:val="22"/>
        </w:rPr>
        <w:t> </w:t>
      </w:r>
      <w:r>
        <w:rPr>
          <w:rFonts w:ascii="Cambria" w:hAnsi="Cambria" w:cs="Segoe UI"/>
          <w:sz w:val="22"/>
          <w:szCs w:val="22"/>
        </w:rPr>
        <w:br/>
      </w:r>
      <w:r>
        <w:rPr>
          <w:rStyle w:val="normaltextrun"/>
          <w:rFonts w:ascii="Cambria" w:hAnsi="Cambria" w:cs="Segoe UI"/>
          <w:sz w:val="22"/>
          <w:szCs w:val="22"/>
        </w:rPr>
        <w:t xml:space="preserve">cross reference: </w:t>
      </w:r>
      <w:r>
        <w:rPr>
          <w:rStyle w:val="normaltextrun"/>
          <w:rFonts w:ascii="Cambria" w:hAnsi="Cambria" w:cs="Segoe UI"/>
          <w:color w:val="000000"/>
          <w:sz w:val="22"/>
          <w:szCs w:val="22"/>
        </w:rPr>
        <w:t xml:space="preserve">3,4- METHYLENEDIOXY-N-α-DIMETHYLPHENYLETHYLAMINE, MDMA, </w:t>
      </w:r>
      <w:r w:rsidRPr="00855EE9">
        <w:rPr>
          <w:rStyle w:val="normaltextrun"/>
          <w:rFonts w:ascii="Cambria" w:hAnsi="Cambria" w:cs="Segoe UI"/>
          <w:color w:val="00B050"/>
          <w:sz w:val="22"/>
          <w:szCs w:val="22"/>
          <w:u w:val="single"/>
        </w:rPr>
        <w:t>MIDOMAFETAMINE</w:t>
      </w:r>
      <w:r>
        <w:rPr>
          <w:rStyle w:val="eop"/>
          <w:rFonts w:ascii="Cambria" w:hAnsi="Cambria" w:cs="Segoe UI"/>
          <w:color w:val="00B050"/>
          <w:sz w:val="22"/>
          <w:szCs w:val="22"/>
        </w:rPr>
        <w:t> </w:t>
      </w:r>
    </w:p>
    <w:p w14:paraId="11D790FC" w14:textId="77777777" w:rsidR="000473A3" w:rsidRDefault="000473A3" w:rsidP="000473A3">
      <w:pPr>
        <w:pStyle w:val="paragraph"/>
        <w:spacing w:before="0" w:beforeAutospacing="0" w:after="0" w:afterAutospacing="0" w:line="276" w:lineRule="auto"/>
        <w:textAlignment w:val="baseline"/>
        <w:rPr>
          <w:sz w:val="18"/>
          <w:szCs w:val="18"/>
        </w:rPr>
      </w:pPr>
    </w:p>
    <w:p w14:paraId="753750EB" w14:textId="33AE1774" w:rsidR="00432A32" w:rsidRPr="000473A3" w:rsidRDefault="000473A3" w:rsidP="000473A3">
      <w:pPr>
        <w:pStyle w:val="paragraph"/>
        <w:spacing w:before="0" w:beforeAutospacing="0" w:after="0" w:afterAutospacing="0" w:line="276" w:lineRule="auto"/>
        <w:ind w:left="720"/>
        <w:textAlignment w:val="baseline"/>
        <w:rPr>
          <w:rFonts w:eastAsia="Cambria"/>
          <w:color w:val="00AF50"/>
          <w:sz w:val="22"/>
          <w:szCs w:val="22"/>
          <w:lang w:eastAsia="en-US"/>
        </w:rPr>
      </w:pPr>
      <w:r>
        <w:rPr>
          <w:rStyle w:val="normaltextrun"/>
          <w:rFonts w:ascii="Cambria" w:hAnsi="Cambria" w:cs="Segoe UI"/>
          <w:b/>
          <w:bCs/>
          <w:sz w:val="22"/>
          <w:szCs w:val="22"/>
        </w:rPr>
        <w:t>3,4-METHYLENEDIOXYAMFETAMINE *(MDA).</w:t>
      </w:r>
      <w:r>
        <w:rPr>
          <w:rStyle w:val="normaltextrun"/>
          <w:rFonts w:ascii="Cambria" w:hAnsi="Cambria" w:cs="Segoe UI"/>
          <w:sz w:val="22"/>
          <w:szCs w:val="22"/>
        </w:rPr>
        <w:t xml:space="preserve"> </w:t>
      </w:r>
      <w:r>
        <w:rPr>
          <w:rStyle w:val="scxw215137901"/>
          <w:rFonts w:ascii="Cambria" w:eastAsia="Cambria" w:hAnsi="Cambria" w:cs="Segoe UI"/>
          <w:sz w:val="22"/>
          <w:szCs w:val="22"/>
        </w:rPr>
        <w:t> </w:t>
      </w:r>
      <w:r>
        <w:rPr>
          <w:rFonts w:ascii="Cambria" w:hAnsi="Cambria" w:cs="Segoe UI"/>
          <w:sz w:val="22"/>
          <w:szCs w:val="22"/>
        </w:rPr>
        <w:br/>
      </w:r>
      <w:r>
        <w:rPr>
          <w:rStyle w:val="normaltextrun"/>
          <w:rFonts w:ascii="Cambria" w:hAnsi="Cambria" w:cs="Segoe UI"/>
          <w:sz w:val="22"/>
          <w:szCs w:val="22"/>
        </w:rPr>
        <w:t xml:space="preserve">cross reference: </w:t>
      </w:r>
      <w:r>
        <w:rPr>
          <w:rStyle w:val="normaltextrun"/>
          <w:rFonts w:ascii="Cambria" w:hAnsi="Cambria" w:cs="Segoe UI"/>
          <w:color w:val="000000"/>
          <w:sz w:val="22"/>
          <w:szCs w:val="22"/>
        </w:rPr>
        <w:t xml:space="preserve">3,4-METHYLENEDIOXYAMPHETAMINE, MDA, </w:t>
      </w:r>
      <w:r w:rsidRPr="00855EE9">
        <w:rPr>
          <w:rStyle w:val="normaltextrun"/>
          <w:rFonts w:ascii="Cambria" w:hAnsi="Cambria" w:cs="Segoe UI"/>
          <w:color w:val="00AF50"/>
          <w:sz w:val="22"/>
          <w:szCs w:val="22"/>
          <w:u w:val="single"/>
        </w:rPr>
        <w:t>TENAMFETAMINE</w:t>
      </w:r>
      <w:r>
        <w:rPr>
          <w:rStyle w:val="normaltextrun"/>
          <w:rFonts w:ascii="Cambria" w:hAnsi="Cambria" w:cs="Segoe UI"/>
          <w:color w:val="00AF50"/>
          <w:sz w:val="22"/>
          <w:szCs w:val="22"/>
        </w:rPr>
        <w:t>.</w:t>
      </w:r>
      <w:r>
        <w:rPr>
          <w:rStyle w:val="eop"/>
          <w:rFonts w:ascii="Cambria" w:hAnsi="Cambria" w:cs="Segoe UI"/>
          <w:color w:val="00AF50"/>
          <w:sz w:val="22"/>
          <w:szCs w:val="22"/>
        </w:rPr>
        <w:t> </w:t>
      </w:r>
    </w:p>
    <w:p w14:paraId="662841F4" w14:textId="77777777" w:rsidR="00432A32" w:rsidRDefault="00432A32" w:rsidP="00432A32">
      <w:pPr>
        <w:pStyle w:val="Heading5"/>
      </w:pPr>
      <w:r>
        <w:t xml:space="preserve">Materials considered </w:t>
      </w:r>
    </w:p>
    <w:p w14:paraId="31770DC6" w14:textId="77777777" w:rsidR="00432A32" w:rsidRDefault="00432A32" w:rsidP="00432A32">
      <w:r>
        <w:t>In making this final decision, the Delegate considered the following material:</w:t>
      </w:r>
    </w:p>
    <w:p w14:paraId="1D7354C3" w14:textId="4B05BBF4" w:rsidR="00D85742" w:rsidRDefault="00D85742" w:rsidP="00D85742">
      <w:pPr>
        <w:pStyle w:val="ListBullet"/>
      </w:pPr>
      <w:r w:rsidRPr="000473A3">
        <w:t xml:space="preserve">The </w:t>
      </w:r>
      <w:hyperlink r:id="rId47" w:history="1">
        <w:r w:rsidR="00500ACD">
          <w:rPr>
            <w:rStyle w:val="Hyperlink"/>
          </w:rPr>
          <w:t>application</w:t>
        </w:r>
      </w:hyperlink>
      <w:r w:rsidR="00500ACD">
        <w:rPr>
          <w:rStyle w:val="Hyperlink"/>
        </w:rPr>
        <w:t>s</w:t>
      </w:r>
      <w:r w:rsidRPr="000473A3">
        <w:t xml:space="preserve"> to amend</w:t>
      </w:r>
      <w:r>
        <w:t xml:space="preserve"> the current Poisons Standard with respect to </w:t>
      </w:r>
      <w:r w:rsidR="00500ACD">
        <w:t>MDMA and MDA</w:t>
      </w:r>
      <w:r>
        <w:t xml:space="preserve"> (the </w:t>
      </w:r>
      <w:r w:rsidRPr="002F4418">
        <w:rPr>
          <w:b/>
          <w:bCs/>
        </w:rPr>
        <w:t>Application</w:t>
      </w:r>
      <w:r w:rsidR="00500ACD">
        <w:rPr>
          <w:b/>
          <w:bCs/>
        </w:rPr>
        <w:t>s</w:t>
      </w:r>
      <w:r>
        <w:t>);</w:t>
      </w:r>
    </w:p>
    <w:p w14:paraId="37AEFA44" w14:textId="012559CA" w:rsidR="00432A32" w:rsidRDefault="00432A32" w:rsidP="00432A32">
      <w:pPr>
        <w:pStyle w:val="ListBullet"/>
      </w:pPr>
      <w:r>
        <w:t xml:space="preserve">The </w:t>
      </w:r>
      <w:r w:rsidR="00500ACD">
        <w:t>5,350</w:t>
      </w:r>
      <w:r>
        <w:t xml:space="preserve"> </w:t>
      </w:r>
      <w:hyperlink r:id="rId48" w:history="1">
        <w:r w:rsidRPr="00B26D10">
          <w:rPr>
            <w:rStyle w:val="Hyperlink"/>
          </w:rPr>
          <w:t>public submissions</w:t>
        </w:r>
      </w:hyperlink>
      <w:r w:rsidR="00500ACD" w:rsidRPr="00500ACD">
        <w:t>, including 2 with a written component,</w:t>
      </w:r>
      <w:r w:rsidRPr="00500ACD">
        <w:t xml:space="preserve"> received in response to the </w:t>
      </w:r>
      <w:hyperlink r:id="rId49" w:history="1">
        <w:r w:rsidRPr="00B26D10">
          <w:rPr>
            <w:rStyle w:val="Hyperlink"/>
          </w:rPr>
          <w:t>pre-meeting consultation</w:t>
        </w:r>
      </w:hyperlink>
      <w:r>
        <w:t xml:space="preserve"> under regulation 42ZCZK of the Regulations; </w:t>
      </w:r>
    </w:p>
    <w:p w14:paraId="4EC3CA09" w14:textId="31D169D6" w:rsidR="00432A32" w:rsidRDefault="00432A32" w:rsidP="00432A32">
      <w:pPr>
        <w:pStyle w:val="ListBullet"/>
      </w:pPr>
      <w:r>
        <w:t xml:space="preserve">The advice received from the </w:t>
      </w:r>
      <w:r w:rsidR="00500ACD">
        <w:t>31</w:t>
      </w:r>
      <w:r w:rsidR="00500ACD" w:rsidRPr="00654B6B">
        <w:t>st</w:t>
      </w:r>
      <w:r w:rsidRPr="00654B6B">
        <w:t xml:space="preserve"> </w:t>
      </w:r>
      <w:r w:rsidRPr="00500ACD">
        <w:t xml:space="preserve">meeting of the Advisory Committees on Medicines and Chemicals Scheduling in joint session (the </w:t>
      </w:r>
      <w:r w:rsidRPr="00500ACD">
        <w:rPr>
          <w:b/>
          <w:bCs/>
        </w:rPr>
        <w:t>Committee</w:t>
      </w:r>
      <w:proofErr w:type="gramStart"/>
      <w:r w:rsidRPr="00500ACD">
        <w:t>);</w:t>
      </w:r>
      <w:proofErr w:type="gramEnd"/>
    </w:p>
    <w:p w14:paraId="482A921C" w14:textId="426CB252" w:rsidR="00432A32" w:rsidRDefault="00432A32" w:rsidP="00432A32">
      <w:pPr>
        <w:pStyle w:val="ListBullet"/>
      </w:pPr>
      <w:r>
        <w:t xml:space="preserve">The </w:t>
      </w:r>
      <w:r w:rsidR="00654B6B">
        <w:t>4</w:t>
      </w:r>
      <w:r>
        <w:t xml:space="preserve"> </w:t>
      </w:r>
      <w:hyperlink r:id="rId50" w:history="1">
        <w:r w:rsidRPr="00B26D10">
          <w:rPr>
            <w:rStyle w:val="Hyperlink"/>
          </w:rPr>
          <w:t>public submissions</w:t>
        </w:r>
      </w:hyperlink>
      <w:r w:rsidR="00B26D10">
        <w:t>, none of which included a written component,</w:t>
      </w:r>
      <w:r>
        <w:t xml:space="preserve"> received in response to the </w:t>
      </w:r>
      <w:hyperlink r:id="rId51" w:history="1">
        <w:r w:rsidRPr="00B26D10">
          <w:rPr>
            <w:rStyle w:val="Hyperlink"/>
          </w:rPr>
          <w:t>interim decision consultation</w:t>
        </w:r>
      </w:hyperlink>
      <w:r>
        <w:t xml:space="preserve"> </w:t>
      </w:r>
      <w:r w:rsidRPr="002C1418">
        <w:t>under regulation 42ZCZP of the Regulations</w:t>
      </w:r>
      <w:r>
        <w:t>;</w:t>
      </w:r>
      <w:r w:rsidR="00B26D10">
        <w:t xml:space="preserve"> and</w:t>
      </w:r>
    </w:p>
    <w:p w14:paraId="7574A7CC" w14:textId="0F8CAB98" w:rsidR="00432A32" w:rsidRDefault="00432A32" w:rsidP="00B26D10">
      <w:pPr>
        <w:pStyle w:val="ListBullet"/>
      </w:pPr>
      <w:r>
        <w:t xml:space="preserve">The </w:t>
      </w:r>
      <w:hyperlink r:id="rId52" w:history="1">
        <w:r w:rsidRPr="001A7580">
          <w:rPr>
            <w:rStyle w:val="Hyperlink"/>
          </w:rPr>
          <w:t>Scheduling handbook: Guidance for amending the Poisons Standard</w:t>
        </w:r>
      </w:hyperlink>
      <w:r>
        <w:t>.</w:t>
      </w:r>
    </w:p>
    <w:p w14:paraId="17562A0F" w14:textId="77777777" w:rsidR="00432A32" w:rsidRDefault="00432A32" w:rsidP="00432A32">
      <w:pPr>
        <w:pStyle w:val="Heading5"/>
      </w:pPr>
      <w:r w:rsidRPr="00436C41">
        <w:t>Reasons for the final decision (including findings on material questions of fact)</w:t>
      </w:r>
    </w:p>
    <w:p w14:paraId="40D2AAA1" w14:textId="595D0753" w:rsidR="00432A32" w:rsidRPr="00B26D10" w:rsidRDefault="00B26D10" w:rsidP="00B26D10">
      <w:pPr>
        <w:pStyle w:val="ListBullet"/>
        <w:numPr>
          <w:ilvl w:val="0"/>
          <w:numId w:val="0"/>
        </w:numPr>
      </w:pPr>
      <w:r w:rsidRPr="000473A3">
        <w:t xml:space="preserve">I have made a final decision to confirm my interim decision to amend the current Poisons Standard with respect to </w:t>
      </w:r>
      <w:r>
        <w:t xml:space="preserve">MDMA and </w:t>
      </w:r>
      <w:proofErr w:type="gramStart"/>
      <w:r>
        <w:t>MDA</w:t>
      </w:r>
      <w:r w:rsidR="007058B4">
        <w:t>, and</w:t>
      </w:r>
      <w:proofErr w:type="gramEnd"/>
      <w:r w:rsidR="007058B4">
        <w:t xml:space="preserve"> include the INNs for these substances as cross-</w:t>
      </w:r>
      <w:r w:rsidR="007058B4">
        <w:lastRenderedPageBreak/>
        <w:t>references in the respective index entries for each substance</w:t>
      </w:r>
      <w:r w:rsidRPr="000473A3">
        <w:t xml:space="preserve">. </w:t>
      </w:r>
      <w:r w:rsidRPr="00931FAD">
        <w:t xml:space="preserve">My reasons for making the final decision are those set out in the interim decision. </w:t>
      </w:r>
      <w:r w:rsidRPr="0073223B">
        <w:t>In making my final decision, I have noted that no</w:t>
      </w:r>
      <w:r>
        <w:t xml:space="preserve"> written</w:t>
      </w:r>
      <w:r w:rsidRPr="0073223B">
        <w:t xml:space="preserve"> public submissions were received before the second closing date in response to the call for further submissions published on 21 October 2022 under regulation 42ZCZP of the Regulations.</w:t>
      </w:r>
    </w:p>
    <w:p w14:paraId="66136017" w14:textId="7E62FE13" w:rsidR="00984E90" w:rsidRPr="00F219B0" w:rsidRDefault="00B26D10" w:rsidP="00984E90">
      <w:pPr>
        <w:pStyle w:val="Heading4"/>
        <w:rPr>
          <w:rFonts w:ascii="Cambria" w:hAnsi="Cambria"/>
          <w:i/>
          <w:iCs/>
          <w:sz w:val="22"/>
          <w:szCs w:val="22"/>
        </w:rPr>
      </w:pPr>
      <w:bookmarkStart w:id="41" w:name="_Toc110871299"/>
      <w:bookmarkStart w:id="42" w:name="_Toc116989701"/>
      <w:r>
        <w:rPr>
          <w:rFonts w:ascii="Cambria" w:hAnsi="Cambria"/>
          <w:i/>
          <w:iCs/>
          <w:sz w:val="22"/>
          <w:szCs w:val="22"/>
        </w:rPr>
        <w:t>I</w:t>
      </w:r>
      <w:r w:rsidR="00984E90" w:rsidRPr="00F219B0">
        <w:rPr>
          <w:rFonts w:ascii="Cambria" w:hAnsi="Cambria"/>
          <w:i/>
          <w:iCs/>
          <w:sz w:val="22"/>
          <w:szCs w:val="22"/>
        </w:rPr>
        <w:t>mplementation date</w:t>
      </w:r>
      <w:bookmarkEnd w:id="41"/>
      <w:bookmarkEnd w:id="42"/>
    </w:p>
    <w:p w14:paraId="105A509D" w14:textId="36BA216E" w:rsidR="00984E90" w:rsidRDefault="00984E90" w:rsidP="00984E90">
      <w:pPr>
        <w:spacing w:after="240"/>
        <w:rPr>
          <w:szCs w:val="22"/>
        </w:rPr>
      </w:pPr>
      <w:r w:rsidRPr="0036016D">
        <w:rPr>
          <w:szCs w:val="22"/>
        </w:rPr>
        <w:t>1 February 2023</w:t>
      </w:r>
      <w:r w:rsidR="00B26D10">
        <w:rPr>
          <w:szCs w:val="22"/>
        </w:rPr>
        <w:t>.</w:t>
      </w:r>
    </w:p>
    <w:p w14:paraId="211AB904" w14:textId="23F4E7C9" w:rsidR="00B23D7A" w:rsidRPr="00FA029A" w:rsidRDefault="00B23D7A" w:rsidP="00B23D7A">
      <w:pPr>
        <w:pStyle w:val="Heading2"/>
      </w:pPr>
      <w:bookmarkStart w:id="43" w:name="_Toc125014777"/>
      <w:r>
        <w:t>Final</w:t>
      </w:r>
      <w:r w:rsidRPr="00FA029A">
        <w:t xml:space="preserve"> decisions on proposed amendments referred to the </w:t>
      </w:r>
      <w:r w:rsidRPr="0065237C">
        <w:t>Advisory Committee on Chemic</w:t>
      </w:r>
      <w:r>
        <w:t>als Scheduling (ACCS #</w:t>
      </w:r>
      <w:r w:rsidR="00D85742">
        <w:t>34</w:t>
      </w:r>
      <w:r>
        <w:t xml:space="preserve">, </w:t>
      </w:r>
      <w:r w:rsidR="00D85742">
        <w:t>June</w:t>
      </w:r>
      <w:r>
        <w:t> 20</w:t>
      </w:r>
      <w:r w:rsidR="00D85742">
        <w:t>22</w:t>
      </w:r>
      <w:r w:rsidRPr="0065237C">
        <w:t>)</w:t>
      </w:r>
      <w:bookmarkEnd w:id="43"/>
    </w:p>
    <w:p w14:paraId="19389DBB" w14:textId="652EE97C" w:rsidR="00B23D7A" w:rsidRDefault="00B23D7A" w:rsidP="00B23D7A">
      <w:pPr>
        <w:pStyle w:val="Heading3"/>
      </w:pPr>
      <w:bookmarkStart w:id="44" w:name="_Toc125014778"/>
      <w:r>
        <w:t xml:space="preserve">Final decision in relation to </w:t>
      </w:r>
      <w:r w:rsidR="00D85742">
        <w:t>dichloromethane</w:t>
      </w:r>
      <w:bookmarkEnd w:id="44"/>
    </w:p>
    <w:p w14:paraId="2C07C928" w14:textId="77777777" w:rsidR="00B23D7A" w:rsidRDefault="00B23D7A" w:rsidP="00B23D7A">
      <w:pPr>
        <w:pStyle w:val="Heading5"/>
      </w:pPr>
      <w:r>
        <w:t>Proposal</w:t>
      </w:r>
    </w:p>
    <w:p w14:paraId="7470D8B9" w14:textId="1DA13CA0" w:rsidR="00984E90" w:rsidRDefault="00984E90" w:rsidP="00984E90">
      <w:r>
        <w:t xml:space="preserve">The applicant proposed the deletion of the existing Schedule 5 entry in the Poisons Standard for dichloromethane (also known as methylene chloride), to be replaced by a new entry in Schedule 10 (the </w:t>
      </w:r>
      <w:r w:rsidRPr="00CA030C">
        <w:rPr>
          <w:b/>
          <w:bCs/>
        </w:rPr>
        <w:t>Proposal</w:t>
      </w:r>
      <w:r>
        <w:t>). This amendment would effectively prohibit any use of dichloromethane.</w:t>
      </w:r>
    </w:p>
    <w:p w14:paraId="008BF07B" w14:textId="77777777" w:rsidR="00B23D7A" w:rsidRPr="008036B7" w:rsidRDefault="00B23D7A" w:rsidP="00B23D7A">
      <w:pPr>
        <w:pStyle w:val="Heading5"/>
      </w:pPr>
      <w:r>
        <w:t xml:space="preserve">Final decision </w:t>
      </w:r>
    </w:p>
    <w:p w14:paraId="070F25F7" w14:textId="7C73D05A" w:rsidR="00096F5C" w:rsidRDefault="00B23D7A" w:rsidP="00B23D7A">
      <w:r>
        <w:t xml:space="preserve">Pursuant to regulation 42ZCZR of the Regulations, the Delegate has made a final decision to </w:t>
      </w:r>
      <w:r w:rsidR="00096F5C">
        <w:t>vary</w:t>
      </w:r>
      <w:r w:rsidRPr="00B26D10">
        <w:t xml:space="preserve"> the interim decision and amend the current Poisons Standard in relation to </w:t>
      </w:r>
      <w:r w:rsidR="000473A3" w:rsidRPr="00B26D10">
        <w:t>dichloromethane</w:t>
      </w:r>
      <w:r w:rsidR="00096F5C">
        <w:t xml:space="preserve"> as follows:</w:t>
      </w:r>
      <w:r w:rsidR="00FA4ADF" w:rsidRPr="00FA4ADF">
        <w:rPr>
          <w:rStyle w:val="FootnoteReference"/>
        </w:rPr>
        <w:t xml:space="preserve"> </w:t>
      </w:r>
      <w:r w:rsidR="00FA4ADF">
        <w:rPr>
          <w:rStyle w:val="FootnoteReference"/>
        </w:rPr>
        <w:footnoteReference w:id="6"/>
      </w:r>
    </w:p>
    <w:p w14:paraId="5749D555" w14:textId="1058CCCD" w:rsidR="00096F5C" w:rsidRPr="00096F5C" w:rsidRDefault="00096F5C" w:rsidP="00096F5C">
      <w:pPr>
        <w:ind w:left="426"/>
        <w:rPr>
          <w:b/>
          <w:bCs/>
        </w:rPr>
      </w:pPr>
      <w:r w:rsidRPr="00096F5C">
        <w:rPr>
          <w:b/>
          <w:bCs/>
        </w:rPr>
        <w:t>Schedule 5</w:t>
      </w:r>
    </w:p>
    <w:p w14:paraId="7C04C3D1" w14:textId="1F92A17C" w:rsidR="00096F5C" w:rsidRPr="00096F5C" w:rsidRDefault="00096F5C" w:rsidP="00096F5C">
      <w:pPr>
        <w:ind w:left="426" w:firstLine="294"/>
      </w:pPr>
      <w:r w:rsidRPr="00096F5C">
        <w:t xml:space="preserve">DICHLOROMETHANE (methylene chloride) </w:t>
      </w:r>
      <w:r w:rsidRPr="00096F5C">
        <w:rPr>
          <w:b/>
          <w:bCs/>
        </w:rPr>
        <w:t>except</w:t>
      </w:r>
      <w:r w:rsidRPr="00096F5C">
        <w:t xml:space="preserve">: </w:t>
      </w:r>
    </w:p>
    <w:p w14:paraId="5DD92142" w14:textId="49D5F9F4" w:rsidR="00096F5C" w:rsidRPr="00096F5C" w:rsidRDefault="00096F5C" w:rsidP="00096F5C">
      <w:pPr>
        <w:pStyle w:val="ListParagraph"/>
        <w:numPr>
          <w:ilvl w:val="0"/>
          <w:numId w:val="22"/>
        </w:numPr>
        <w:spacing w:after="120"/>
        <w:ind w:left="1276" w:hanging="142"/>
        <w:contextualSpacing w:val="0"/>
      </w:pPr>
      <w:r w:rsidRPr="00096F5C">
        <w:t xml:space="preserve">in preparations in pressurised spray packs labelled as degreasers, </w:t>
      </w:r>
      <w:proofErr w:type="spellStart"/>
      <w:r w:rsidRPr="00096F5C">
        <w:t>decarbonisers</w:t>
      </w:r>
      <w:proofErr w:type="spellEnd"/>
      <w:r w:rsidRPr="00096F5C">
        <w:t xml:space="preserve"> or paint strippers and containing 10</w:t>
      </w:r>
      <w:r w:rsidR="0091590F">
        <w:t>%</w:t>
      </w:r>
      <w:r w:rsidRPr="00096F5C">
        <w:t xml:space="preserve"> or less of </w:t>
      </w:r>
      <w:proofErr w:type="gramStart"/>
      <w:r w:rsidRPr="00096F5C">
        <w:t>dichloromethane;</w:t>
      </w:r>
      <w:proofErr w:type="gramEnd"/>
      <w:r w:rsidRPr="00096F5C">
        <w:t xml:space="preserve"> </w:t>
      </w:r>
    </w:p>
    <w:p w14:paraId="6DDDD663" w14:textId="0CE45B39" w:rsidR="00096F5C" w:rsidRPr="00096F5C" w:rsidRDefault="00096F5C" w:rsidP="00096F5C">
      <w:pPr>
        <w:pStyle w:val="ListParagraph"/>
        <w:numPr>
          <w:ilvl w:val="0"/>
          <w:numId w:val="22"/>
        </w:numPr>
        <w:spacing w:after="120"/>
        <w:ind w:left="1276" w:hanging="142"/>
        <w:contextualSpacing w:val="0"/>
      </w:pPr>
      <w:r w:rsidRPr="00096F5C">
        <w:t xml:space="preserve">in other preparations in pressurised spray packs; </w:t>
      </w:r>
      <w:r w:rsidRPr="00096F5C">
        <w:rPr>
          <w:strike/>
          <w:color w:val="FF0000"/>
        </w:rPr>
        <w:t>or</w:t>
      </w:r>
    </w:p>
    <w:p w14:paraId="5FEDB5A9" w14:textId="30E2DCDC" w:rsidR="00096F5C" w:rsidRDefault="00096F5C" w:rsidP="00096F5C">
      <w:pPr>
        <w:pStyle w:val="ListParagraph"/>
        <w:numPr>
          <w:ilvl w:val="0"/>
          <w:numId w:val="22"/>
        </w:numPr>
        <w:spacing w:after="120"/>
        <w:ind w:left="1276" w:hanging="142"/>
        <w:contextualSpacing w:val="0"/>
      </w:pPr>
      <w:r w:rsidRPr="00096F5C">
        <w:t>in paints and tinters containing 5</w:t>
      </w:r>
      <w:r w:rsidR="0091590F">
        <w:t>%</w:t>
      </w:r>
      <w:r w:rsidRPr="00096F5C">
        <w:t xml:space="preserve"> or less of dichloromethane</w:t>
      </w:r>
      <w:r w:rsidRPr="00096F5C">
        <w:rPr>
          <w:strike/>
          <w:color w:val="FF0000"/>
        </w:rPr>
        <w:t>.</w:t>
      </w:r>
      <w:r w:rsidRPr="00855EE9">
        <w:rPr>
          <w:color w:val="00B050"/>
          <w:u w:val="single"/>
        </w:rPr>
        <w:t>; or</w:t>
      </w:r>
    </w:p>
    <w:p w14:paraId="139541E7" w14:textId="6CEAD672" w:rsidR="00B23D7A" w:rsidRPr="00855EE9" w:rsidRDefault="00096F5C" w:rsidP="0010741A">
      <w:pPr>
        <w:pStyle w:val="ListParagraph"/>
        <w:numPr>
          <w:ilvl w:val="0"/>
          <w:numId w:val="22"/>
        </w:numPr>
        <w:spacing w:after="120"/>
        <w:ind w:left="1276" w:hanging="142"/>
        <w:contextualSpacing w:val="0"/>
        <w:rPr>
          <w:u w:val="single"/>
        </w:rPr>
      </w:pPr>
      <w:r w:rsidRPr="00855EE9">
        <w:rPr>
          <w:color w:val="00B050"/>
          <w:u w:val="single"/>
        </w:rPr>
        <w:t xml:space="preserve">in preparations for </w:t>
      </w:r>
      <w:r w:rsidR="00985843">
        <w:rPr>
          <w:color w:val="00B050"/>
          <w:u w:val="single"/>
        </w:rPr>
        <w:t xml:space="preserve">human </w:t>
      </w:r>
      <w:r w:rsidRPr="00855EE9">
        <w:rPr>
          <w:color w:val="00B050"/>
          <w:u w:val="single"/>
        </w:rPr>
        <w:t>therapeutic use.</w:t>
      </w:r>
      <w:r w:rsidRPr="00855EE9">
        <w:rPr>
          <w:u w:val="single"/>
        </w:rPr>
        <w:t xml:space="preserve"> </w:t>
      </w:r>
      <w:r w:rsidR="00B23D7A" w:rsidRPr="00855EE9">
        <w:rPr>
          <w:u w:val="single"/>
        </w:rPr>
        <w:t xml:space="preserve"> </w:t>
      </w:r>
    </w:p>
    <w:p w14:paraId="600DFCA1" w14:textId="77777777" w:rsidR="00B23D7A" w:rsidRDefault="00B23D7A" w:rsidP="00B23D7A">
      <w:pPr>
        <w:pStyle w:val="Heading5"/>
      </w:pPr>
      <w:r>
        <w:t xml:space="preserve">Materials considered </w:t>
      </w:r>
    </w:p>
    <w:p w14:paraId="13A19D4C" w14:textId="77777777" w:rsidR="00B23D7A" w:rsidRDefault="00B23D7A" w:rsidP="00B23D7A">
      <w:r>
        <w:t>In making this final decision, the Delegate considered the following material:</w:t>
      </w:r>
    </w:p>
    <w:p w14:paraId="23E6B9D9" w14:textId="43A57CD5" w:rsidR="00D85742" w:rsidRDefault="00D85742" w:rsidP="00D85742">
      <w:pPr>
        <w:pStyle w:val="ListBullet"/>
      </w:pPr>
      <w:r>
        <w:t xml:space="preserve">The </w:t>
      </w:r>
      <w:hyperlink r:id="rId53" w:history="1">
        <w:r w:rsidR="00B26D10">
          <w:rPr>
            <w:rStyle w:val="Hyperlink"/>
          </w:rPr>
          <w:t>application</w:t>
        </w:r>
      </w:hyperlink>
      <w:r w:rsidRPr="000473A3">
        <w:t xml:space="preserve"> to</w:t>
      </w:r>
      <w:r>
        <w:t xml:space="preserve"> amend the current Poisons Standard with respect to </w:t>
      </w:r>
      <w:r w:rsidR="00861B8C">
        <w:t>dichloromethane</w:t>
      </w:r>
      <w:r>
        <w:t xml:space="preserve"> (the </w:t>
      </w:r>
      <w:r w:rsidRPr="002F4418">
        <w:rPr>
          <w:b/>
          <w:bCs/>
        </w:rPr>
        <w:t>Application</w:t>
      </w:r>
      <w:r>
        <w:t>);</w:t>
      </w:r>
    </w:p>
    <w:p w14:paraId="63CB6061" w14:textId="67C7EEE6" w:rsidR="00B23D7A" w:rsidRDefault="00B23D7A" w:rsidP="00B23D7A">
      <w:pPr>
        <w:pStyle w:val="ListBullet"/>
      </w:pPr>
      <w:r>
        <w:t xml:space="preserve">The </w:t>
      </w:r>
      <w:r w:rsidR="00861B8C">
        <w:t>2,812</w:t>
      </w:r>
      <w:r>
        <w:t xml:space="preserve"> </w:t>
      </w:r>
      <w:hyperlink r:id="rId54" w:history="1">
        <w:r w:rsidR="00131F89" w:rsidRPr="00B26D10">
          <w:rPr>
            <w:rStyle w:val="Hyperlink"/>
          </w:rPr>
          <w:t>public submissions</w:t>
        </w:r>
      </w:hyperlink>
      <w:r w:rsidR="00861B8C" w:rsidRPr="00861B8C">
        <w:t>, including 22 with a written component,</w:t>
      </w:r>
      <w:r w:rsidRPr="00861B8C">
        <w:t xml:space="preserve"> received in response to the </w:t>
      </w:r>
      <w:hyperlink r:id="rId55" w:history="1">
        <w:r w:rsidR="00131F89" w:rsidRPr="00B26D10">
          <w:rPr>
            <w:rStyle w:val="Hyperlink"/>
          </w:rPr>
          <w:t>pre-meeting consultation</w:t>
        </w:r>
      </w:hyperlink>
      <w:r w:rsidR="00131F89">
        <w:rPr>
          <w:rStyle w:val="Hyperlink"/>
        </w:rPr>
        <w:t xml:space="preserve"> </w:t>
      </w:r>
      <w:r>
        <w:t>under regulation 42ZCZK of the Regulations;</w:t>
      </w:r>
    </w:p>
    <w:p w14:paraId="0C3D4C72" w14:textId="0A3FA7E3" w:rsidR="00B23D7A" w:rsidRDefault="00B23D7A" w:rsidP="00B23D7A">
      <w:pPr>
        <w:pStyle w:val="ListBullet"/>
      </w:pPr>
      <w:r>
        <w:t xml:space="preserve">The advice received from the </w:t>
      </w:r>
      <w:r w:rsidR="00861B8C" w:rsidRPr="00861B8C">
        <w:t>3</w:t>
      </w:r>
      <w:r w:rsidR="00131F89">
        <w:t>4th</w:t>
      </w:r>
      <w:r w:rsidRPr="00861B8C">
        <w:t xml:space="preserve"> meeting of the Advisory Committee on Chemicals Scheduling (the </w:t>
      </w:r>
      <w:r w:rsidRPr="00861B8C">
        <w:rPr>
          <w:b/>
          <w:bCs/>
        </w:rPr>
        <w:t>Committee</w:t>
      </w:r>
      <w:proofErr w:type="gramStart"/>
      <w:r w:rsidRPr="00861B8C">
        <w:t>);</w:t>
      </w:r>
      <w:proofErr w:type="gramEnd"/>
    </w:p>
    <w:p w14:paraId="26AA77C6" w14:textId="63FA09D2" w:rsidR="00B23D7A" w:rsidRDefault="00B23D7A" w:rsidP="00B23D7A">
      <w:pPr>
        <w:pStyle w:val="ListBullet"/>
      </w:pPr>
      <w:r>
        <w:lastRenderedPageBreak/>
        <w:t xml:space="preserve">The </w:t>
      </w:r>
      <w:r w:rsidR="00AD1456">
        <w:t>5</w:t>
      </w:r>
      <w:r>
        <w:t xml:space="preserve"> </w:t>
      </w:r>
      <w:hyperlink r:id="rId56" w:history="1">
        <w:r w:rsidR="00131F89" w:rsidRPr="00B26D10">
          <w:rPr>
            <w:rStyle w:val="Hyperlink"/>
          </w:rPr>
          <w:t>public submissions</w:t>
        </w:r>
      </w:hyperlink>
      <w:r w:rsidR="00861B8C">
        <w:t xml:space="preserve">, including </w:t>
      </w:r>
      <w:r w:rsidR="00AD1456">
        <w:t>3</w:t>
      </w:r>
      <w:r w:rsidR="00861B8C">
        <w:t xml:space="preserve"> with a written component,</w:t>
      </w:r>
      <w:r>
        <w:t xml:space="preserve"> received in response to the </w:t>
      </w:r>
      <w:hyperlink r:id="rId57" w:history="1">
        <w:r w:rsidR="00131F89" w:rsidRPr="00B26D10">
          <w:rPr>
            <w:rStyle w:val="Hyperlink"/>
          </w:rPr>
          <w:t>interim decision consultation</w:t>
        </w:r>
      </w:hyperlink>
      <w:r w:rsidR="00131F89">
        <w:rPr>
          <w:rStyle w:val="Hyperlink"/>
        </w:rPr>
        <w:t xml:space="preserve"> </w:t>
      </w:r>
      <w:r w:rsidRPr="002C1418">
        <w:t>under regulation 42ZCZP of the Regulations</w:t>
      </w:r>
      <w:r w:rsidR="003B6BA7">
        <w:t xml:space="preserve"> (the </w:t>
      </w:r>
      <w:r w:rsidR="003B6BA7" w:rsidRPr="00855EE9">
        <w:rPr>
          <w:b/>
          <w:bCs/>
        </w:rPr>
        <w:t>Submissions</w:t>
      </w:r>
      <w:r w:rsidR="003B6BA7">
        <w:t>)</w:t>
      </w:r>
      <w:r>
        <w:t>;</w:t>
      </w:r>
    </w:p>
    <w:p w14:paraId="74C1AFE8" w14:textId="7583354B" w:rsidR="00B23D7A" w:rsidRDefault="00B23D7A" w:rsidP="00B23D7A">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t>;</w:t>
      </w:r>
    </w:p>
    <w:p w14:paraId="45865456" w14:textId="77777777" w:rsidR="00B23D7A" w:rsidRPr="00861B8C" w:rsidRDefault="00B23D7A" w:rsidP="00B23D7A">
      <w:pPr>
        <w:pStyle w:val="ListBullet"/>
      </w:pPr>
      <w:r w:rsidRPr="002C1418">
        <w:t xml:space="preserve">The </w:t>
      </w:r>
      <w:hyperlink r:id="rId58" w:history="1">
        <w:r w:rsidRPr="001A7580">
          <w:rPr>
            <w:rStyle w:val="Hyperlink"/>
          </w:rPr>
          <w:t>Scheduling Policy Framework</w:t>
        </w:r>
      </w:hyperlink>
      <w:r>
        <w:t xml:space="preserve"> 2018 (the </w:t>
      </w:r>
      <w:r w:rsidRPr="00EA2090">
        <w:rPr>
          <w:b/>
          <w:bCs/>
        </w:rPr>
        <w:t>SPF</w:t>
      </w:r>
      <w:r>
        <w:t>), pursuant to paragraph 52E(2)(a) of the Act</w:t>
      </w:r>
      <w:r w:rsidRPr="00861B8C">
        <w:t>; and</w:t>
      </w:r>
    </w:p>
    <w:p w14:paraId="2BD45533" w14:textId="77777777" w:rsidR="00861B8C" w:rsidRDefault="00B23D7A" w:rsidP="00861B8C">
      <w:pPr>
        <w:pStyle w:val="ListBullet"/>
      </w:pPr>
      <w:r>
        <w:t xml:space="preserve">The </w:t>
      </w:r>
      <w:hyperlink r:id="rId59" w:history="1">
        <w:r w:rsidRPr="001A7580">
          <w:rPr>
            <w:rStyle w:val="Hyperlink"/>
          </w:rPr>
          <w:t>Scheduling handbook: Guidance for amending the Poisons Standard</w:t>
        </w:r>
      </w:hyperlink>
      <w:r>
        <w:t>.</w:t>
      </w:r>
    </w:p>
    <w:p w14:paraId="751B1265" w14:textId="1C3802E9" w:rsidR="00B23D7A" w:rsidRPr="00861B8C" w:rsidRDefault="00B23D7A" w:rsidP="00861B8C">
      <w:pPr>
        <w:pStyle w:val="ListBullet"/>
        <w:numPr>
          <w:ilvl w:val="0"/>
          <w:numId w:val="0"/>
        </w:numPr>
        <w:rPr>
          <w:b/>
          <w:bCs/>
          <w:i/>
          <w:iCs/>
        </w:rPr>
      </w:pPr>
      <w:r w:rsidRPr="00861B8C">
        <w:rPr>
          <w:b/>
          <w:bCs/>
          <w:i/>
          <w:iCs/>
        </w:rPr>
        <w:t>Reasons for the final decision (including findings on material questions of fact)</w:t>
      </w:r>
    </w:p>
    <w:p w14:paraId="33107C6B" w14:textId="1E59CD34" w:rsidR="00B23D7A" w:rsidRDefault="00B23D7A" w:rsidP="00861B8C">
      <w:r w:rsidRPr="00861B8C">
        <w:t xml:space="preserve">I have made a final decision to </w:t>
      </w:r>
      <w:r w:rsidR="00096F5C">
        <w:t>vary</w:t>
      </w:r>
      <w:r w:rsidR="000473A3" w:rsidRPr="00861B8C">
        <w:t xml:space="preserve"> my interim decision to not</w:t>
      </w:r>
      <w:r w:rsidRPr="00861B8C">
        <w:t xml:space="preserve"> amend</w:t>
      </w:r>
      <w:r w:rsidR="000473A3" w:rsidRPr="00861B8C">
        <w:t xml:space="preserve"> </w:t>
      </w:r>
      <w:r w:rsidRPr="00861B8C">
        <w:t xml:space="preserve">the current Poisons Standard with respect to </w:t>
      </w:r>
      <w:r w:rsidR="000473A3" w:rsidRPr="00861B8C">
        <w:t>dichloromethane</w:t>
      </w:r>
      <w:r w:rsidRPr="00861B8C">
        <w:t>. My reasons for making the final decision are those set out in the interim decision</w:t>
      </w:r>
      <w:r w:rsidR="00096F5C">
        <w:t>, and the reasons for varying my interim decision are outlined below</w:t>
      </w:r>
      <w:r w:rsidRPr="00861B8C">
        <w:t xml:space="preserve">. In making my final decision, I have </w:t>
      </w:r>
      <w:proofErr w:type="gramStart"/>
      <w:r w:rsidRPr="00861B8C">
        <w:t>taken into account</w:t>
      </w:r>
      <w:proofErr w:type="gramEnd"/>
      <w:r w:rsidRPr="00861B8C">
        <w:t xml:space="preserve"> the material detailed in the interim decision on </w:t>
      </w:r>
      <w:r w:rsidR="00861B8C" w:rsidRPr="00861B8C">
        <w:t>21 October 2022</w:t>
      </w:r>
      <w:r w:rsidR="00FA4ADF">
        <w:t xml:space="preserve"> and the Submissions</w:t>
      </w:r>
      <w:r w:rsidRPr="00861B8C">
        <w:t>.</w:t>
      </w:r>
    </w:p>
    <w:p w14:paraId="27AEEEE6" w14:textId="1C91EBEC" w:rsidR="00861B8C" w:rsidRDefault="00861B8C" w:rsidP="00861B8C">
      <w:r w:rsidRPr="00855EE9">
        <w:t xml:space="preserve">I have considered the comments in the Submissions, </w:t>
      </w:r>
      <w:proofErr w:type="gramStart"/>
      <w:r w:rsidRPr="00855EE9">
        <w:t xml:space="preserve">in particular </w:t>
      </w:r>
      <w:r w:rsidR="00496E4F" w:rsidRPr="00855EE9">
        <w:t>those</w:t>
      </w:r>
      <w:proofErr w:type="gramEnd"/>
      <w:r w:rsidR="00496E4F" w:rsidRPr="00855EE9">
        <w:t xml:space="preserve"> </w:t>
      </w:r>
      <w:r w:rsidRPr="00855EE9">
        <w:t xml:space="preserve">regarding the discrepancy between the limit of 0.06% for dichloromethane that is </w:t>
      </w:r>
      <w:r w:rsidR="00135364" w:rsidRPr="00855EE9">
        <w:t xml:space="preserve">included </w:t>
      </w:r>
      <w:r w:rsidRPr="00855EE9">
        <w:t xml:space="preserve">in the </w:t>
      </w:r>
      <w:r w:rsidR="00216FA4" w:rsidRPr="00855EE9">
        <w:t>Therapeutic Goods (</w:t>
      </w:r>
      <w:r w:rsidRPr="00855EE9">
        <w:t>Permissible Ingredients</w:t>
      </w:r>
      <w:r w:rsidR="00216FA4" w:rsidRPr="00855EE9">
        <w:t>)</w:t>
      </w:r>
      <w:r w:rsidRPr="00855EE9">
        <w:t xml:space="preserve"> Determination</w:t>
      </w:r>
      <w:r w:rsidR="00216FA4" w:rsidRPr="00855EE9">
        <w:t xml:space="preserve"> (No.5) 2022 (the </w:t>
      </w:r>
      <w:r w:rsidR="00216FA4" w:rsidRPr="00855EE9">
        <w:rPr>
          <w:b/>
          <w:bCs/>
        </w:rPr>
        <w:t>Determination</w:t>
      </w:r>
      <w:r w:rsidR="00216FA4" w:rsidRPr="00855EE9">
        <w:t>)</w:t>
      </w:r>
      <w:r w:rsidRPr="00855EE9">
        <w:t xml:space="preserve">, and the </w:t>
      </w:r>
      <w:r w:rsidR="00A63446" w:rsidRPr="00855EE9">
        <w:t>default</w:t>
      </w:r>
      <w:r w:rsidR="00862A10" w:rsidRPr="00855EE9">
        <w:t xml:space="preserve"> </w:t>
      </w:r>
      <w:r w:rsidRPr="00855EE9">
        <w:t xml:space="preserve">Poisons Standard limit </w:t>
      </w:r>
      <w:r w:rsidR="00862A10" w:rsidRPr="00855EE9">
        <w:t xml:space="preserve">of 0.001% </w:t>
      </w:r>
      <w:r w:rsidRPr="00855EE9">
        <w:t xml:space="preserve">that applies </w:t>
      </w:r>
      <w:r w:rsidR="00862A10" w:rsidRPr="00855EE9">
        <w:t>to all substances in Schedules 1 to 6 (unless specified otherwise).</w:t>
      </w:r>
      <w:r w:rsidR="00216FA4">
        <w:t xml:space="preserve"> I have noted that the limit in the Determination is consistent with that included in the </w:t>
      </w:r>
      <w:hyperlink r:id="rId60" w:history="1">
        <w:r w:rsidR="00216FA4" w:rsidRPr="00216FA4">
          <w:rPr>
            <w:rStyle w:val="Hyperlink"/>
          </w:rPr>
          <w:t>ICH guideline Q3C (R8) for residual solvents</w:t>
        </w:r>
      </w:hyperlink>
      <w:r w:rsidR="00216FA4">
        <w:t>.</w:t>
      </w:r>
    </w:p>
    <w:p w14:paraId="6A1D5F02" w14:textId="4FCAEF6A" w:rsidR="00B936EA" w:rsidRDefault="000D1DFD" w:rsidP="00861B8C">
      <w:r>
        <w:t>I am satisfied that</w:t>
      </w:r>
      <w:r w:rsidR="00B936EA">
        <w:t xml:space="preserve"> the </w:t>
      </w:r>
      <w:r>
        <w:t xml:space="preserve">suitable limit for dichloromethane as a </w:t>
      </w:r>
      <w:r w:rsidR="000E5981">
        <w:t xml:space="preserve">residual solvent in </w:t>
      </w:r>
      <w:r w:rsidR="00D11C4D">
        <w:t>human medicines</w:t>
      </w:r>
      <w:r w:rsidR="000E5981">
        <w:t xml:space="preserve"> in Australia</w:t>
      </w:r>
      <w:r>
        <w:t xml:space="preserve"> is provided by the Determination</w:t>
      </w:r>
      <w:r w:rsidR="00D11C4D">
        <w:t>.</w:t>
      </w:r>
      <w:r w:rsidR="000E5981">
        <w:t xml:space="preserve"> </w:t>
      </w:r>
      <w:r w:rsidR="00D11C4D">
        <w:t>While</w:t>
      </w:r>
      <w:r w:rsidR="000E5981">
        <w:t xml:space="preserve"> the </w:t>
      </w:r>
      <w:r w:rsidR="00B936EA">
        <w:t xml:space="preserve">existing scheduling for dichloromethane has been in place since February 2000, </w:t>
      </w:r>
      <w:r>
        <w:t xml:space="preserve">this was established in consideration of the </w:t>
      </w:r>
      <w:r w:rsidR="00D11C4D">
        <w:t>industrial use of the substance</w:t>
      </w:r>
      <w:r>
        <w:t>.</w:t>
      </w:r>
      <w:r w:rsidR="00B936EA">
        <w:t xml:space="preserve"> Therefore, I have decided to clarify </w:t>
      </w:r>
      <w:r w:rsidR="003B6BA7">
        <w:t xml:space="preserve">the </w:t>
      </w:r>
      <w:r w:rsidR="00FA4ADF">
        <w:t>Poisons</w:t>
      </w:r>
      <w:r w:rsidR="003B6BA7">
        <w:t xml:space="preserve"> Standards entry </w:t>
      </w:r>
      <w:r w:rsidR="00B936EA">
        <w:t xml:space="preserve">by including a new exemption for </w:t>
      </w:r>
      <w:r w:rsidR="00D11C4D">
        <w:t xml:space="preserve">human </w:t>
      </w:r>
      <w:r w:rsidR="00B936EA">
        <w:t xml:space="preserve">therapeutic </w:t>
      </w:r>
      <w:r w:rsidR="00A63446">
        <w:t xml:space="preserve">preparations </w:t>
      </w:r>
      <w:r w:rsidR="00B936EA">
        <w:t xml:space="preserve">in the Schedule 5 entry for dichloromethane. The Determination henceforth becomes the sole applicable standard in Australia for the control of dichloromethane as a residual solvent in </w:t>
      </w:r>
      <w:r w:rsidR="00985843">
        <w:t xml:space="preserve">human </w:t>
      </w:r>
      <w:r w:rsidR="00B936EA">
        <w:t>therapeutic goods</w:t>
      </w:r>
      <w:r w:rsidR="00A63446">
        <w:t>. T</w:t>
      </w:r>
      <w:r w:rsidR="00B936EA">
        <w:t>his decision aligns Australian regulations with international standards in this regard.</w:t>
      </w:r>
    </w:p>
    <w:p w14:paraId="07BB1A5A" w14:textId="2529A1D2" w:rsidR="00B936EA" w:rsidRPr="00B936EA" w:rsidRDefault="00B936EA" w:rsidP="00496E4F">
      <w:pPr>
        <w:spacing w:before="360"/>
        <w:rPr>
          <w:b/>
          <w:bCs/>
          <w:i/>
          <w:iCs/>
        </w:rPr>
      </w:pPr>
      <w:r w:rsidRPr="00B936EA">
        <w:rPr>
          <w:b/>
          <w:bCs/>
          <w:i/>
          <w:iCs/>
        </w:rPr>
        <w:t>Implementation date</w:t>
      </w:r>
    </w:p>
    <w:p w14:paraId="4931CE01" w14:textId="1499128E" w:rsidR="00B936EA" w:rsidRPr="00861B8C" w:rsidRDefault="00B936EA" w:rsidP="00861B8C">
      <w:r>
        <w:t>1 February 2023.</w:t>
      </w:r>
    </w:p>
    <w:p w14:paraId="09B34E62" w14:textId="3B12DF1E" w:rsidR="00D85742" w:rsidRDefault="00D85742" w:rsidP="00D85742">
      <w:pPr>
        <w:pStyle w:val="Heading3"/>
      </w:pPr>
      <w:bookmarkStart w:id="45" w:name="_Toc125014779"/>
      <w:r>
        <w:t xml:space="preserve">Final decision in relation to </w:t>
      </w:r>
      <w:proofErr w:type="spellStart"/>
      <w:r>
        <w:t>ipflufenoquin</w:t>
      </w:r>
      <w:bookmarkEnd w:id="45"/>
      <w:proofErr w:type="spellEnd"/>
    </w:p>
    <w:p w14:paraId="3ED2B75B" w14:textId="77777777" w:rsidR="00D85742" w:rsidRDefault="00D85742" w:rsidP="00D85742">
      <w:pPr>
        <w:pStyle w:val="Heading5"/>
      </w:pPr>
      <w:r>
        <w:t>Proposal</w:t>
      </w:r>
    </w:p>
    <w:p w14:paraId="1512FBCD" w14:textId="77777777" w:rsidR="00984E90" w:rsidRDefault="00984E90" w:rsidP="00984E90">
      <w:r>
        <w:t xml:space="preserve">The applicant, the Australian Pesticides and Veterinary Medicines Authority (APVMA), proposed to enter a new fungicide, </w:t>
      </w:r>
      <w:proofErr w:type="spellStart"/>
      <w:r>
        <w:t>ipflufenoquin</w:t>
      </w:r>
      <w:proofErr w:type="spellEnd"/>
      <w:r>
        <w:t xml:space="preserve">, into Appendix B of the Poisons Standard (the </w:t>
      </w:r>
      <w:r w:rsidRPr="00FF2862">
        <w:rPr>
          <w:b/>
          <w:bCs/>
        </w:rPr>
        <w:t>Proposal</w:t>
      </w:r>
      <w:r>
        <w:t xml:space="preserve">). Appendix B of the Poisons Standard contains a list of substances for which the available information indicates that inclusion in the Poisons Standard is not necessary or not the most appropriate means of controlling the risk to public health. </w:t>
      </w:r>
    </w:p>
    <w:p w14:paraId="4D841E17" w14:textId="77777777" w:rsidR="00D85742" w:rsidRPr="008036B7" w:rsidRDefault="00D85742" w:rsidP="00D85742">
      <w:pPr>
        <w:pStyle w:val="Heading5"/>
      </w:pPr>
      <w:r>
        <w:lastRenderedPageBreak/>
        <w:t xml:space="preserve">Final decision </w:t>
      </w:r>
    </w:p>
    <w:p w14:paraId="60834453" w14:textId="100559E9" w:rsidR="00D85742" w:rsidRDefault="00D85742" w:rsidP="00D85742">
      <w:r>
        <w:t xml:space="preserve">Pursuant </w:t>
      </w:r>
      <w:r w:rsidRPr="000473A3">
        <w:t xml:space="preserve">to regulation 42ZCZR of the Regulations, the Delegate has made a final decision to confirm the interim decision and amend the current Poisons Standard in relation to </w:t>
      </w:r>
      <w:proofErr w:type="spellStart"/>
      <w:r w:rsidR="000473A3" w:rsidRPr="000473A3">
        <w:t>ipflufenoquin</w:t>
      </w:r>
      <w:proofErr w:type="spellEnd"/>
      <w:r w:rsidRPr="000473A3">
        <w:t xml:space="preserve"> as follows:</w:t>
      </w:r>
      <w:r w:rsidR="00632206">
        <w:rPr>
          <w:rStyle w:val="FootnoteReference"/>
        </w:rPr>
        <w:footnoteReference w:id="7"/>
      </w:r>
      <w:r w:rsidR="000473A3">
        <w:t xml:space="preserve"> </w:t>
      </w:r>
    </w:p>
    <w:p w14:paraId="722048E6" w14:textId="77777777" w:rsidR="000473A3" w:rsidRDefault="000473A3" w:rsidP="000473A3">
      <w:pPr>
        <w:ind w:left="426"/>
      </w:pPr>
      <w:r>
        <w:rPr>
          <w:b/>
          <w:bCs/>
        </w:rPr>
        <w:t>Appendix B – New Entry</w:t>
      </w:r>
      <w:r>
        <w:tab/>
      </w:r>
    </w:p>
    <w:tbl>
      <w:tblPr>
        <w:tblStyle w:val="TableTGAblue"/>
        <w:tblW w:w="0" w:type="auto"/>
        <w:tblInd w:w="699" w:type="dxa"/>
        <w:tblLook w:val="04A0" w:firstRow="1" w:lastRow="0" w:firstColumn="1" w:lastColumn="0" w:noHBand="0" w:noVBand="1"/>
      </w:tblPr>
      <w:tblGrid>
        <w:gridCol w:w="2126"/>
        <w:gridCol w:w="1985"/>
        <w:gridCol w:w="2088"/>
        <w:gridCol w:w="2152"/>
      </w:tblGrid>
      <w:tr w:rsidR="000473A3" w14:paraId="4073124E" w14:textId="77777777" w:rsidTr="00047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hideMark/>
          </w:tcPr>
          <w:p w14:paraId="5B99A29A" w14:textId="77777777" w:rsidR="000473A3" w:rsidRDefault="000473A3">
            <w:pPr>
              <w:jc w:val="center"/>
            </w:pPr>
            <w:r>
              <w:t>Substance</w:t>
            </w:r>
          </w:p>
        </w:tc>
        <w:tc>
          <w:tcPr>
            <w:tcW w:w="1985" w:type="dxa"/>
            <w:hideMark/>
          </w:tcPr>
          <w:p w14:paraId="2FFFE24F" w14:textId="77777777" w:rsidR="000473A3" w:rsidRDefault="000473A3">
            <w:pPr>
              <w:jc w:val="center"/>
              <w:cnfStyle w:val="100000000000" w:firstRow="1" w:lastRow="0" w:firstColumn="0" w:lastColumn="0" w:oddVBand="0" w:evenVBand="0" w:oddHBand="0" w:evenHBand="0" w:firstRowFirstColumn="0" w:firstRowLastColumn="0" w:lastRowFirstColumn="0" w:lastRowLastColumn="0"/>
            </w:pPr>
            <w:r>
              <w:t>Date of entry</w:t>
            </w:r>
          </w:p>
        </w:tc>
        <w:tc>
          <w:tcPr>
            <w:tcW w:w="2088" w:type="dxa"/>
            <w:hideMark/>
          </w:tcPr>
          <w:p w14:paraId="0699CDEA" w14:textId="77777777" w:rsidR="000473A3" w:rsidRDefault="000473A3">
            <w:pPr>
              <w:jc w:val="center"/>
              <w:cnfStyle w:val="100000000000" w:firstRow="1" w:lastRow="0" w:firstColumn="0" w:lastColumn="0" w:oddVBand="0" w:evenVBand="0" w:oddHBand="0" w:evenHBand="0" w:firstRowFirstColumn="0" w:firstRowLastColumn="0" w:lastRowFirstColumn="0" w:lastRowLastColumn="0"/>
            </w:pPr>
            <w:r>
              <w:t>Reason for listing</w:t>
            </w:r>
          </w:p>
        </w:tc>
        <w:tc>
          <w:tcPr>
            <w:tcW w:w="2152" w:type="dxa"/>
            <w:hideMark/>
          </w:tcPr>
          <w:p w14:paraId="557D3BFC" w14:textId="77777777" w:rsidR="000473A3" w:rsidRDefault="000473A3">
            <w:pPr>
              <w:jc w:val="center"/>
              <w:cnfStyle w:val="100000000000" w:firstRow="1" w:lastRow="0" w:firstColumn="0" w:lastColumn="0" w:oddVBand="0" w:evenVBand="0" w:oddHBand="0" w:evenHBand="0" w:firstRowFirstColumn="0" w:firstRowLastColumn="0" w:lastRowFirstColumn="0" w:lastRowLastColumn="0"/>
            </w:pPr>
            <w:r>
              <w:t>Area for use</w:t>
            </w:r>
          </w:p>
        </w:tc>
      </w:tr>
      <w:tr w:rsidR="000473A3" w14:paraId="6ACFC643" w14:textId="77777777" w:rsidTr="000473A3">
        <w:tc>
          <w:tcPr>
            <w:cnfStyle w:val="001000000000" w:firstRow="0" w:lastRow="0" w:firstColumn="1" w:lastColumn="0" w:oddVBand="0" w:evenVBand="0" w:oddHBand="0" w:evenHBand="0" w:firstRowFirstColumn="0" w:firstRowLastColumn="0" w:lastRowFirstColumn="0" w:lastRowLastColumn="0"/>
            <w:tcW w:w="2126" w:type="dxa"/>
            <w:tcBorders>
              <w:top w:val="single" w:sz="8" w:space="0" w:color="002C47"/>
              <w:left w:val="single" w:sz="8" w:space="0" w:color="002C47"/>
              <w:bottom w:val="single" w:sz="8" w:space="0" w:color="002C47"/>
              <w:right w:val="single" w:sz="8" w:space="0" w:color="002C47"/>
            </w:tcBorders>
            <w:hideMark/>
          </w:tcPr>
          <w:p w14:paraId="1992196C" w14:textId="77777777" w:rsidR="000473A3" w:rsidRPr="00855EE9" w:rsidRDefault="000473A3">
            <w:pPr>
              <w:jc w:val="center"/>
              <w:rPr>
                <w:color w:val="00B050"/>
                <w:u w:val="single"/>
              </w:rPr>
            </w:pPr>
            <w:r w:rsidRPr="00855EE9">
              <w:rPr>
                <w:color w:val="00B050"/>
                <w:u w:val="single"/>
              </w:rPr>
              <w:t>IPFLUFENOQUIN</w:t>
            </w:r>
          </w:p>
        </w:tc>
        <w:tc>
          <w:tcPr>
            <w:tcW w:w="1985" w:type="dxa"/>
            <w:tcBorders>
              <w:top w:val="single" w:sz="8" w:space="0" w:color="002C47"/>
              <w:left w:val="single" w:sz="8" w:space="0" w:color="002C47"/>
              <w:bottom w:val="single" w:sz="8" w:space="0" w:color="002C47"/>
              <w:right w:val="single" w:sz="8" w:space="0" w:color="002C47"/>
            </w:tcBorders>
            <w:hideMark/>
          </w:tcPr>
          <w:p w14:paraId="14E60AF8" w14:textId="77777777" w:rsidR="000473A3" w:rsidRPr="00855EE9" w:rsidRDefault="000473A3">
            <w:pPr>
              <w:jc w:val="center"/>
              <w:cnfStyle w:val="000000000000" w:firstRow="0" w:lastRow="0" w:firstColumn="0" w:lastColumn="0" w:oddVBand="0" w:evenVBand="0" w:oddHBand="0" w:evenHBand="0" w:firstRowFirstColumn="0" w:firstRowLastColumn="0" w:lastRowFirstColumn="0" w:lastRowLastColumn="0"/>
              <w:rPr>
                <w:color w:val="00B050"/>
                <w:u w:val="single"/>
              </w:rPr>
            </w:pPr>
            <w:r w:rsidRPr="00855EE9">
              <w:rPr>
                <w:color w:val="00B050"/>
                <w:u w:val="single"/>
              </w:rPr>
              <w:t>September 2022</w:t>
            </w:r>
          </w:p>
        </w:tc>
        <w:tc>
          <w:tcPr>
            <w:tcW w:w="2088" w:type="dxa"/>
            <w:tcBorders>
              <w:top w:val="single" w:sz="8" w:space="0" w:color="002C47"/>
              <w:left w:val="single" w:sz="8" w:space="0" w:color="002C47"/>
              <w:bottom w:val="single" w:sz="8" w:space="0" w:color="002C47"/>
              <w:right w:val="single" w:sz="8" w:space="0" w:color="002C47"/>
            </w:tcBorders>
            <w:hideMark/>
          </w:tcPr>
          <w:p w14:paraId="583F918D" w14:textId="77777777" w:rsidR="000473A3" w:rsidRPr="00855EE9" w:rsidRDefault="000473A3">
            <w:pPr>
              <w:jc w:val="center"/>
              <w:cnfStyle w:val="000000000000" w:firstRow="0" w:lastRow="0" w:firstColumn="0" w:lastColumn="0" w:oddVBand="0" w:evenVBand="0" w:oddHBand="0" w:evenHBand="0" w:firstRowFirstColumn="0" w:firstRowLastColumn="0" w:lastRowFirstColumn="0" w:lastRowLastColumn="0"/>
              <w:rPr>
                <w:color w:val="00B050"/>
                <w:u w:val="single"/>
              </w:rPr>
            </w:pPr>
            <w:r w:rsidRPr="00855EE9">
              <w:rPr>
                <w:color w:val="00B050"/>
                <w:u w:val="single"/>
              </w:rPr>
              <w:t>a</w:t>
            </w:r>
          </w:p>
        </w:tc>
        <w:tc>
          <w:tcPr>
            <w:tcW w:w="2152" w:type="dxa"/>
            <w:tcBorders>
              <w:top w:val="single" w:sz="8" w:space="0" w:color="002C47"/>
              <w:left w:val="single" w:sz="8" w:space="0" w:color="002C47"/>
              <w:bottom w:val="single" w:sz="8" w:space="0" w:color="002C47"/>
              <w:right w:val="single" w:sz="8" w:space="0" w:color="002C47"/>
            </w:tcBorders>
            <w:hideMark/>
          </w:tcPr>
          <w:p w14:paraId="19BFB6AD" w14:textId="77777777" w:rsidR="000473A3" w:rsidRPr="00855EE9" w:rsidRDefault="000473A3">
            <w:pPr>
              <w:jc w:val="center"/>
              <w:cnfStyle w:val="000000000000" w:firstRow="0" w:lastRow="0" w:firstColumn="0" w:lastColumn="0" w:oddVBand="0" w:evenVBand="0" w:oddHBand="0" w:evenHBand="0" w:firstRowFirstColumn="0" w:firstRowLastColumn="0" w:lastRowFirstColumn="0" w:lastRowLastColumn="0"/>
              <w:rPr>
                <w:color w:val="00B050"/>
                <w:u w:val="single"/>
              </w:rPr>
            </w:pPr>
            <w:r w:rsidRPr="00855EE9">
              <w:rPr>
                <w:color w:val="00B050"/>
                <w:u w:val="single"/>
              </w:rPr>
              <w:t>1.3, 1.3.1</w:t>
            </w:r>
          </w:p>
        </w:tc>
      </w:tr>
    </w:tbl>
    <w:p w14:paraId="3FF5FA1E" w14:textId="77777777" w:rsidR="000473A3" w:rsidRDefault="000473A3" w:rsidP="00D35FCA">
      <w:pPr>
        <w:spacing w:before="240"/>
        <w:ind w:left="425"/>
        <w:rPr>
          <w:b/>
          <w:bCs/>
        </w:rPr>
      </w:pPr>
      <w:r>
        <w:rPr>
          <w:b/>
          <w:bCs/>
        </w:rPr>
        <w:t>Index – New entry</w:t>
      </w:r>
    </w:p>
    <w:p w14:paraId="5A891B73" w14:textId="77777777" w:rsidR="000473A3" w:rsidRPr="00855EE9" w:rsidRDefault="000473A3" w:rsidP="000473A3">
      <w:pPr>
        <w:ind w:firstLine="720"/>
        <w:rPr>
          <w:b/>
          <w:bCs/>
          <w:color w:val="00B050"/>
          <w:u w:val="single"/>
        </w:rPr>
      </w:pPr>
      <w:r w:rsidRPr="00855EE9">
        <w:rPr>
          <w:b/>
          <w:bCs/>
          <w:color w:val="00B050"/>
          <w:u w:val="single"/>
        </w:rPr>
        <w:t>IPFLUFENOQUIN</w:t>
      </w:r>
    </w:p>
    <w:p w14:paraId="12839331" w14:textId="7C142B9A" w:rsidR="000473A3" w:rsidRPr="00855EE9" w:rsidRDefault="000473A3" w:rsidP="000473A3">
      <w:pPr>
        <w:ind w:left="720"/>
        <w:rPr>
          <w:color w:val="00B050"/>
          <w:u w:val="single"/>
        </w:rPr>
      </w:pPr>
      <w:r w:rsidRPr="00855EE9">
        <w:rPr>
          <w:color w:val="00B050"/>
          <w:u w:val="single"/>
        </w:rPr>
        <w:t>Appendix B, Part 3</w:t>
      </w:r>
    </w:p>
    <w:p w14:paraId="26E11A8A" w14:textId="77777777" w:rsidR="00D85742" w:rsidRDefault="00D85742" w:rsidP="00D85742">
      <w:pPr>
        <w:pStyle w:val="Heading5"/>
      </w:pPr>
      <w:r>
        <w:t xml:space="preserve">Materials considered </w:t>
      </w:r>
    </w:p>
    <w:p w14:paraId="24C3F9AD" w14:textId="77777777" w:rsidR="00D85742" w:rsidRDefault="00D85742" w:rsidP="00D85742">
      <w:r>
        <w:t>In making this final decision, the Delegate considered the following material:</w:t>
      </w:r>
    </w:p>
    <w:p w14:paraId="4246D6B2" w14:textId="051DA995" w:rsidR="00D85742" w:rsidRDefault="00D85742" w:rsidP="00D85742">
      <w:pPr>
        <w:pStyle w:val="ListBullet"/>
      </w:pPr>
      <w:r w:rsidRPr="000473A3">
        <w:t xml:space="preserve">The </w:t>
      </w:r>
      <w:hyperlink r:id="rId61" w:history="1">
        <w:r w:rsidR="00862A10">
          <w:rPr>
            <w:rStyle w:val="Hyperlink"/>
          </w:rPr>
          <w:t>application</w:t>
        </w:r>
      </w:hyperlink>
      <w:r w:rsidRPr="000473A3">
        <w:t xml:space="preserve"> to amend</w:t>
      </w:r>
      <w:r>
        <w:t xml:space="preserve"> the current Poisons Standard with respect to </w:t>
      </w:r>
      <w:proofErr w:type="spellStart"/>
      <w:r w:rsidR="00862A10">
        <w:t>ipflufenoquin</w:t>
      </w:r>
      <w:proofErr w:type="spellEnd"/>
      <w:r>
        <w:t xml:space="preserve"> (the </w:t>
      </w:r>
      <w:r w:rsidRPr="002F4418">
        <w:rPr>
          <w:b/>
          <w:bCs/>
        </w:rPr>
        <w:t>Application</w:t>
      </w:r>
      <w:r>
        <w:t>);</w:t>
      </w:r>
    </w:p>
    <w:p w14:paraId="07EDFED2" w14:textId="709E01AC" w:rsidR="00D85742" w:rsidRDefault="00D85742" w:rsidP="00D85742">
      <w:pPr>
        <w:pStyle w:val="ListBullet"/>
      </w:pPr>
      <w:r>
        <w:t xml:space="preserve">The </w:t>
      </w:r>
      <w:r w:rsidR="00862A10">
        <w:t>2,703</w:t>
      </w:r>
      <w:r>
        <w:t xml:space="preserve"> </w:t>
      </w:r>
      <w:hyperlink r:id="rId62" w:history="1">
        <w:r w:rsidR="002E345C" w:rsidRPr="00B26D10">
          <w:rPr>
            <w:rStyle w:val="Hyperlink"/>
          </w:rPr>
          <w:t>public submissions</w:t>
        </w:r>
      </w:hyperlink>
      <w:r w:rsidR="00862A10" w:rsidRPr="00862A10">
        <w:t>, including one with a written component,</w:t>
      </w:r>
      <w:r w:rsidRPr="00862A10">
        <w:t xml:space="preserve"> received in response to the </w:t>
      </w:r>
      <w:hyperlink r:id="rId63" w:history="1">
        <w:r w:rsidR="002E345C" w:rsidRPr="00B26D10">
          <w:rPr>
            <w:rStyle w:val="Hyperlink"/>
          </w:rPr>
          <w:t>pre-meeting consultation</w:t>
        </w:r>
      </w:hyperlink>
      <w:r>
        <w:t xml:space="preserve"> under regulation 42ZCZK of the Regulations;</w:t>
      </w:r>
    </w:p>
    <w:p w14:paraId="505564A7" w14:textId="5B5E6D99" w:rsidR="00D85742" w:rsidRDefault="00D85742" w:rsidP="00D85742">
      <w:pPr>
        <w:pStyle w:val="ListBullet"/>
      </w:pPr>
      <w:r>
        <w:t xml:space="preserve">The advice received from the </w:t>
      </w:r>
      <w:r w:rsidR="00862A10" w:rsidRPr="00862A10">
        <w:t>3</w:t>
      </w:r>
      <w:r w:rsidR="002E345C">
        <w:t>4th</w:t>
      </w:r>
      <w:r w:rsidRPr="00862A10">
        <w:t xml:space="preserve"> meeting of the Advisory Committee on Chemicals Scheduling (the </w:t>
      </w:r>
      <w:r w:rsidRPr="00862A10">
        <w:rPr>
          <w:b/>
          <w:bCs/>
        </w:rPr>
        <w:t>Committee</w:t>
      </w:r>
      <w:proofErr w:type="gramStart"/>
      <w:r w:rsidRPr="00862A10">
        <w:t>);</w:t>
      </w:r>
      <w:proofErr w:type="gramEnd"/>
    </w:p>
    <w:p w14:paraId="77033481" w14:textId="43742985" w:rsidR="00D85742" w:rsidRDefault="00D85742" w:rsidP="00D85742">
      <w:pPr>
        <w:pStyle w:val="ListBullet"/>
      </w:pPr>
      <w:r>
        <w:t xml:space="preserve">The </w:t>
      </w:r>
      <w:r w:rsidR="00862A10">
        <w:t>one</w:t>
      </w:r>
      <w:r>
        <w:t xml:space="preserve"> </w:t>
      </w:r>
      <w:hyperlink r:id="rId64" w:history="1">
        <w:r w:rsidR="002E345C">
          <w:rPr>
            <w:rStyle w:val="Hyperlink"/>
          </w:rPr>
          <w:t>public submission</w:t>
        </w:r>
      </w:hyperlink>
      <w:r w:rsidR="00862A10">
        <w:t>, which did not include a written component,</w:t>
      </w:r>
      <w:r>
        <w:t xml:space="preserve"> received in response to the</w:t>
      </w:r>
      <w:r w:rsidR="002E345C">
        <w:t xml:space="preserve"> </w:t>
      </w:r>
      <w:hyperlink r:id="rId65" w:history="1">
        <w:r w:rsidR="002E345C" w:rsidRPr="00B26D10">
          <w:rPr>
            <w:rStyle w:val="Hyperlink"/>
          </w:rPr>
          <w:t>interim decision consultation</w:t>
        </w:r>
      </w:hyperlink>
      <w:r w:rsidR="002E345C">
        <w:t xml:space="preserve"> </w:t>
      </w:r>
      <w:r w:rsidRPr="002C1418">
        <w:t>under regulation 42ZCZP of the Regulations</w:t>
      </w:r>
      <w:r>
        <w:t>;</w:t>
      </w:r>
    </w:p>
    <w:p w14:paraId="510230E6" w14:textId="38A86E5B" w:rsidR="00D85742" w:rsidRDefault="00D85742" w:rsidP="00D85742">
      <w:pPr>
        <w:pStyle w:val="ListBullet"/>
      </w:pPr>
      <w:r w:rsidRPr="001169AC">
        <w:t>Subsection 52</w:t>
      </w:r>
      <w:proofErr w:type="gramStart"/>
      <w:r w:rsidRPr="001169AC">
        <w:t>E(</w:t>
      </w:r>
      <w:proofErr w:type="gramEnd"/>
      <w:r w:rsidRPr="001169AC">
        <w:t xml:space="preserv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t>;</w:t>
      </w:r>
    </w:p>
    <w:p w14:paraId="5C1AC118" w14:textId="77777777" w:rsidR="00D85742" w:rsidRDefault="00D85742" w:rsidP="00D85742">
      <w:pPr>
        <w:pStyle w:val="ListBullet"/>
      </w:pPr>
      <w:r w:rsidRPr="002C1418">
        <w:t xml:space="preserve">The </w:t>
      </w:r>
      <w:hyperlink r:id="rId66" w:history="1">
        <w:r w:rsidRPr="001A7580">
          <w:rPr>
            <w:rStyle w:val="Hyperlink"/>
          </w:rPr>
          <w:t>Scheduling Policy Framework</w:t>
        </w:r>
      </w:hyperlink>
      <w:r>
        <w:t xml:space="preserve"> 2018 (the </w:t>
      </w:r>
      <w:r w:rsidRPr="00EA2090">
        <w:rPr>
          <w:b/>
          <w:bCs/>
        </w:rPr>
        <w:t>SPF</w:t>
      </w:r>
      <w:r>
        <w:t xml:space="preserve">), pursuant to paragraph 52E(2)(a) of the Act; </w:t>
      </w:r>
      <w:r w:rsidRPr="00862A10">
        <w:t>and</w:t>
      </w:r>
    </w:p>
    <w:p w14:paraId="71DF4E9C" w14:textId="700193AC" w:rsidR="00D85742" w:rsidRDefault="00D85742" w:rsidP="00862A10">
      <w:pPr>
        <w:pStyle w:val="ListBullet"/>
      </w:pPr>
      <w:r>
        <w:t xml:space="preserve">The </w:t>
      </w:r>
      <w:hyperlink r:id="rId67" w:history="1">
        <w:r w:rsidRPr="001A7580">
          <w:rPr>
            <w:rStyle w:val="Hyperlink"/>
          </w:rPr>
          <w:t>Scheduling handbook: Guidance for amending the Poisons Standard</w:t>
        </w:r>
      </w:hyperlink>
      <w:r>
        <w:t>.</w:t>
      </w:r>
    </w:p>
    <w:p w14:paraId="1ED7A9C4" w14:textId="77777777" w:rsidR="00D85742" w:rsidRDefault="00D85742" w:rsidP="00D85742">
      <w:pPr>
        <w:pStyle w:val="Heading5"/>
      </w:pPr>
      <w:r w:rsidRPr="00436C41">
        <w:t>Reasons for the final decision (including findings on material questions of fact)</w:t>
      </w:r>
    </w:p>
    <w:p w14:paraId="72B025DD" w14:textId="6966E413" w:rsidR="00D85742" w:rsidRPr="000C6646" w:rsidRDefault="00D85742" w:rsidP="00862A10">
      <w:pPr>
        <w:rPr>
          <w:highlight w:val="yellow"/>
        </w:rPr>
      </w:pPr>
      <w:r w:rsidRPr="00862A10">
        <w:t>I have made a final decision to confirm my interim decision to amend</w:t>
      </w:r>
      <w:r w:rsidR="000473A3" w:rsidRPr="00862A10">
        <w:t xml:space="preserve"> </w:t>
      </w:r>
      <w:r w:rsidRPr="00862A10">
        <w:t xml:space="preserve">the current Poisons Standard with respect to </w:t>
      </w:r>
      <w:proofErr w:type="spellStart"/>
      <w:r w:rsidR="000473A3" w:rsidRPr="00862A10">
        <w:t>ipflufenoquin</w:t>
      </w:r>
      <w:proofErr w:type="spellEnd"/>
      <w:r w:rsidRPr="00862A10">
        <w:t xml:space="preserve">. </w:t>
      </w:r>
      <w:r w:rsidR="00862A10" w:rsidRPr="00931FAD">
        <w:t xml:space="preserve">My reasons for making the final decision are those set out in the interim decision. </w:t>
      </w:r>
      <w:r w:rsidR="00862A10" w:rsidRPr="0073223B">
        <w:t>In making my final decision, I have noted that no</w:t>
      </w:r>
      <w:r w:rsidR="00862A10">
        <w:t xml:space="preserve"> written</w:t>
      </w:r>
      <w:r w:rsidR="00862A10" w:rsidRPr="0073223B">
        <w:t xml:space="preserve"> public submissions were received before the second closing date in response to the call for further submissions published on 21 October 2022 under regulation 42ZCZP of the Regulations</w:t>
      </w:r>
      <w:r w:rsidR="00862A10">
        <w:t>.</w:t>
      </w:r>
    </w:p>
    <w:p w14:paraId="6B1D1C06" w14:textId="1B17D9A9" w:rsidR="00984E90" w:rsidRPr="008F11C0" w:rsidRDefault="00862A10" w:rsidP="00984E90">
      <w:pPr>
        <w:pStyle w:val="Heading4"/>
        <w:rPr>
          <w:rFonts w:ascii="Cambria" w:hAnsi="Cambria" w:cstheme="minorHAnsi"/>
          <w:i/>
          <w:iCs/>
          <w:sz w:val="22"/>
          <w:szCs w:val="22"/>
        </w:rPr>
      </w:pPr>
      <w:r>
        <w:rPr>
          <w:rFonts w:ascii="Cambria" w:hAnsi="Cambria" w:cstheme="minorHAnsi"/>
          <w:i/>
          <w:iCs/>
          <w:sz w:val="22"/>
          <w:szCs w:val="22"/>
        </w:rPr>
        <w:lastRenderedPageBreak/>
        <w:t>I</w:t>
      </w:r>
      <w:r w:rsidR="00984E90" w:rsidRPr="008F11C0">
        <w:rPr>
          <w:rFonts w:ascii="Cambria" w:hAnsi="Cambria" w:cstheme="minorHAnsi"/>
          <w:i/>
          <w:iCs/>
          <w:sz w:val="22"/>
          <w:szCs w:val="22"/>
        </w:rPr>
        <w:t>mplementation date</w:t>
      </w:r>
    </w:p>
    <w:p w14:paraId="5DA2F3BE" w14:textId="509F5AE0" w:rsidR="00DC694C" w:rsidRDefault="00984E90" w:rsidP="00855EE9">
      <w:pPr>
        <w:spacing w:after="240"/>
      </w:pPr>
      <w:r w:rsidRPr="00FF2862">
        <w:t xml:space="preserve">1 </w:t>
      </w:r>
      <w:r>
        <w:t>February</w:t>
      </w:r>
      <w:r w:rsidRPr="00FF2862">
        <w:t xml:space="preserve"> 202</w:t>
      </w:r>
      <w:r w:rsidR="00862A10">
        <w:t>3.</w:t>
      </w:r>
      <w:r w:rsidR="00DC694C">
        <w:br w:type="page"/>
      </w:r>
    </w:p>
    <w:p w14:paraId="1DDFC1C4" w14:textId="77777777" w:rsidR="00984E90" w:rsidRPr="009401F6" w:rsidRDefault="00984E90" w:rsidP="00984E90">
      <w:pPr>
        <w:spacing w:after="240"/>
        <w:sectPr w:rsidR="00984E90" w:rsidRPr="009401F6" w:rsidSect="00AF743C">
          <w:headerReference w:type="default" r:id="rId68"/>
          <w:footerReference w:type="default" r:id="rId69"/>
          <w:headerReference w:type="first" r:id="rId70"/>
          <w:type w:val="continuous"/>
          <w:pgSz w:w="11906" w:h="16838" w:code="9"/>
          <w:pgMar w:top="1134" w:right="1418" w:bottom="1361" w:left="1418" w:header="425" w:footer="397" w:gutter="0"/>
          <w:cols w:space="708"/>
          <w:titlePg/>
          <w:docGrid w:linePitch="360"/>
        </w:sectPr>
      </w:pPr>
    </w:p>
    <w:p w14:paraId="52BD3E19" w14:textId="77777777" w:rsidR="00DC694C" w:rsidRPr="009B3B5A" w:rsidRDefault="00DC694C" w:rsidP="00DC694C">
      <w:pPr>
        <w:pStyle w:val="Heading2"/>
      </w:pPr>
      <w:bookmarkStart w:id="46" w:name="_Final_decision_in_2"/>
      <w:bookmarkStart w:id="47" w:name="_Toc120478914"/>
      <w:bookmarkStart w:id="48" w:name="_Toc121295998"/>
      <w:bookmarkStart w:id="49" w:name="_Toc125014780"/>
      <w:bookmarkStart w:id="50" w:name="_Toc97640266"/>
      <w:bookmarkEnd w:id="46"/>
      <w:r w:rsidRPr="009B3B5A">
        <w:lastRenderedPageBreak/>
        <w:t>Amendments to the Poison Standard in relation to New Chemical Entities (NCEs)</w:t>
      </w:r>
      <w:bookmarkEnd w:id="47"/>
      <w:bookmarkEnd w:id="48"/>
      <w:bookmarkEnd w:id="49"/>
      <w:r w:rsidRPr="009B3B5A">
        <w:t xml:space="preserve"> </w:t>
      </w:r>
    </w:p>
    <w:p w14:paraId="4104152E" w14:textId="459E0541" w:rsidR="00DC694C" w:rsidRDefault="00DC694C" w:rsidP="00DC694C">
      <w:r w:rsidRPr="009B3B5A">
        <w:t>The NCEs listed below will be included in the new Poisons Standard that will come into effect on 1 February 2023.</w:t>
      </w:r>
      <w:r w:rsidR="00632206" w:rsidRPr="00632206">
        <w:rPr>
          <w:rStyle w:val="FootnoteReference"/>
        </w:rPr>
        <w:t xml:space="preserve"> </w:t>
      </w:r>
      <w:r w:rsidR="00632206">
        <w:rPr>
          <w:rStyle w:val="FootnoteReference"/>
        </w:rPr>
        <w:footnoteReference w:id="8"/>
      </w:r>
    </w:p>
    <w:p w14:paraId="45C962F5" w14:textId="0C6E2A7B" w:rsidR="00603099" w:rsidRDefault="00603099" w:rsidP="00F2731A">
      <w:pPr>
        <w:pStyle w:val="Heading3"/>
      </w:pPr>
      <w:bookmarkStart w:id="51" w:name="_Toc125014781"/>
      <w:bookmarkStart w:id="52" w:name="_Toc120478915"/>
      <w:bookmarkStart w:id="53" w:name="_Toc121295999"/>
      <w:proofErr w:type="spellStart"/>
      <w:r w:rsidRPr="0097393E">
        <w:t>Avacopan</w:t>
      </w:r>
      <w:bookmarkEnd w:id="51"/>
      <w:proofErr w:type="spellEnd"/>
    </w:p>
    <w:tbl>
      <w:tblPr>
        <w:tblStyle w:val="TableGrid"/>
        <w:tblW w:w="0" w:type="auto"/>
        <w:tblInd w:w="988" w:type="dxa"/>
        <w:tblLook w:val="04A0" w:firstRow="1" w:lastRow="0" w:firstColumn="1" w:lastColumn="0" w:noHBand="0" w:noVBand="1"/>
      </w:tblPr>
      <w:tblGrid>
        <w:gridCol w:w="8072"/>
      </w:tblGrid>
      <w:tr w:rsidR="00603099" w14:paraId="74A9E85F" w14:textId="77777777" w:rsidTr="003001C4">
        <w:tc>
          <w:tcPr>
            <w:tcW w:w="8072" w:type="dxa"/>
          </w:tcPr>
          <w:p w14:paraId="59E63CF9" w14:textId="77777777" w:rsidR="00603099" w:rsidRPr="00105867" w:rsidRDefault="00603099" w:rsidP="003001C4">
            <w:pPr>
              <w:rPr>
                <w:rFonts w:asciiTheme="minorHAnsi" w:hAnsiTheme="minorHAnsi"/>
              </w:rPr>
            </w:pPr>
            <w:r w:rsidRPr="00105867">
              <w:rPr>
                <w:rStyle w:val="Strong"/>
                <w:rFonts w:asciiTheme="minorHAnsi" w:hAnsiTheme="minorHAnsi"/>
                <w:color w:val="000000"/>
                <w:szCs w:val="22"/>
              </w:rPr>
              <w:t xml:space="preserve">Schedule 4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70BE12D7" w14:textId="77777777" w:rsidR="00603099" w:rsidRPr="00855EE9" w:rsidRDefault="00603099" w:rsidP="003001C4">
            <w:pPr>
              <w:rPr>
                <w:rFonts w:asciiTheme="minorHAnsi" w:hAnsiTheme="minorHAnsi"/>
                <w:color w:val="00B050"/>
                <w:u w:val="single"/>
              </w:rPr>
            </w:pPr>
            <w:r w:rsidRPr="00855EE9">
              <w:rPr>
                <w:rFonts w:asciiTheme="minorHAnsi" w:hAnsiTheme="minorHAnsi"/>
                <w:color w:val="00B050"/>
                <w:u w:val="single"/>
              </w:rPr>
              <w:t>AVACOPAN</w:t>
            </w:r>
          </w:p>
          <w:p w14:paraId="46E5C202" w14:textId="77777777" w:rsidR="00603099" w:rsidRPr="00105867" w:rsidRDefault="00603099" w:rsidP="003001C4">
            <w:pPr>
              <w:rPr>
                <w:rFonts w:asciiTheme="minorHAnsi" w:hAnsiTheme="minorHAnsi"/>
              </w:rPr>
            </w:pPr>
            <w:r w:rsidRPr="00105867">
              <w:rPr>
                <w:rStyle w:val="Strong"/>
                <w:rFonts w:asciiTheme="minorHAnsi" w:hAnsiTheme="minorHAnsi"/>
                <w:color w:val="000000"/>
                <w:szCs w:val="22"/>
              </w:rPr>
              <w:t xml:space="preserve">Index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7750A2F6" w14:textId="77777777" w:rsidR="00603099" w:rsidRPr="00855EE9" w:rsidRDefault="00603099" w:rsidP="003001C4">
            <w:pPr>
              <w:rPr>
                <w:rFonts w:asciiTheme="minorHAnsi" w:hAnsiTheme="minorHAnsi"/>
                <w:color w:val="00B050"/>
                <w:u w:val="single"/>
              </w:rPr>
            </w:pPr>
            <w:r w:rsidRPr="00855EE9">
              <w:rPr>
                <w:rFonts w:asciiTheme="minorHAnsi" w:hAnsiTheme="minorHAnsi"/>
                <w:color w:val="00B050"/>
                <w:u w:val="single"/>
              </w:rPr>
              <w:t>AVACOPAN</w:t>
            </w:r>
          </w:p>
          <w:p w14:paraId="6B88A835" w14:textId="77777777" w:rsidR="00603099" w:rsidRPr="00013BFF" w:rsidRDefault="00603099" w:rsidP="003001C4">
            <w:pPr>
              <w:rPr>
                <w:color w:val="00B050"/>
              </w:rPr>
            </w:pPr>
            <w:r w:rsidRPr="00855EE9">
              <w:rPr>
                <w:rFonts w:asciiTheme="minorHAnsi" w:hAnsiTheme="minorHAnsi"/>
                <w:color w:val="00B050"/>
                <w:u w:val="single"/>
              </w:rPr>
              <w:t>Schedule 4</w:t>
            </w:r>
          </w:p>
        </w:tc>
      </w:tr>
    </w:tbl>
    <w:p w14:paraId="35446CBD" w14:textId="796061C2" w:rsidR="00603099" w:rsidRPr="002F1391" w:rsidRDefault="00603099" w:rsidP="00F2731A">
      <w:pPr>
        <w:pStyle w:val="Heading3"/>
      </w:pPr>
      <w:bookmarkStart w:id="54" w:name="_Toc125014782"/>
      <w:proofErr w:type="spellStart"/>
      <w:r w:rsidRPr="0097393E">
        <w:t>Deucravacitinib</w:t>
      </w:r>
      <w:bookmarkEnd w:id="54"/>
      <w:proofErr w:type="spellEnd"/>
    </w:p>
    <w:tbl>
      <w:tblPr>
        <w:tblStyle w:val="TableGrid"/>
        <w:tblW w:w="0" w:type="auto"/>
        <w:tblInd w:w="988" w:type="dxa"/>
        <w:tblLook w:val="04A0" w:firstRow="1" w:lastRow="0" w:firstColumn="1" w:lastColumn="0" w:noHBand="0" w:noVBand="1"/>
      </w:tblPr>
      <w:tblGrid>
        <w:gridCol w:w="8072"/>
      </w:tblGrid>
      <w:tr w:rsidR="00603099" w14:paraId="6BBF60CC" w14:textId="77777777" w:rsidTr="003001C4">
        <w:tc>
          <w:tcPr>
            <w:tcW w:w="8072" w:type="dxa"/>
          </w:tcPr>
          <w:p w14:paraId="1D0C5B9D" w14:textId="77777777" w:rsidR="00603099" w:rsidRPr="00105867" w:rsidRDefault="00603099" w:rsidP="003001C4">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7E235E6A" w14:textId="77777777" w:rsidR="00603099" w:rsidRPr="00855EE9" w:rsidRDefault="00603099" w:rsidP="003001C4">
            <w:pPr>
              <w:rPr>
                <w:color w:val="00B050"/>
                <w:u w:val="single"/>
              </w:rPr>
            </w:pPr>
            <w:r w:rsidRPr="00855EE9">
              <w:rPr>
                <w:color w:val="00B050"/>
                <w:u w:val="single"/>
              </w:rPr>
              <w:t>DEUCRAVACITINIB</w:t>
            </w:r>
          </w:p>
          <w:p w14:paraId="31734B9A" w14:textId="77777777" w:rsidR="00603099" w:rsidRPr="004E10A3" w:rsidRDefault="00603099" w:rsidP="003001C4">
            <w:pPr>
              <w:rPr>
                <w:rFonts w:asciiTheme="minorHAnsi" w:hAnsiTheme="minorHAnsi"/>
              </w:rPr>
            </w:pPr>
            <w:r w:rsidRPr="004E10A3">
              <w:rPr>
                <w:rStyle w:val="Strong"/>
                <w:rFonts w:asciiTheme="minorHAnsi" w:hAnsiTheme="minorHAnsi"/>
                <w:szCs w:val="22"/>
              </w:rPr>
              <w:t>Index - New Entry</w:t>
            </w:r>
          </w:p>
          <w:p w14:paraId="2F28297E" w14:textId="77777777" w:rsidR="00603099" w:rsidRPr="00855EE9" w:rsidRDefault="00603099" w:rsidP="003001C4">
            <w:pPr>
              <w:rPr>
                <w:color w:val="00B050"/>
                <w:u w:val="single"/>
              </w:rPr>
            </w:pPr>
            <w:r w:rsidRPr="00855EE9">
              <w:rPr>
                <w:color w:val="00B050"/>
                <w:u w:val="single"/>
              </w:rPr>
              <w:t>DEUCRAVACITINIB</w:t>
            </w:r>
          </w:p>
          <w:p w14:paraId="32CC8963" w14:textId="6434C48A" w:rsidR="00603099" w:rsidRPr="00013BFF" w:rsidRDefault="00603099" w:rsidP="003001C4">
            <w:pPr>
              <w:rPr>
                <w:color w:val="00B050"/>
                <w:lang w:eastAsia="en-AU"/>
              </w:rPr>
            </w:pPr>
            <w:r w:rsidRPr="00855EE9">
              <w:rPr>
                <w:rFonts w:asciiTheme="minorHAnsi" w:hAnsiTheme="minorHAnsi"/>
                <w:color w:val="00B050"/>
                <w:u w:val="single"/>
              </w:rPr>
              <w:t>Schedule 4</w:t>
            </w:r>
          </w:p>
        </w:tc>
      </w:tr>
    </w:tbl>
    <w:p w14:paraId="27F1570A" w14:textId="01934EB5" w:rsidR="00603099" w:rsidRPr="002F1391" w:rsidRDefault="00603099" w:rsidP="00F2731A">
      <w:pPr>
        <w:pStyle w:val="Heading3"/>
      </w:pPr>
      <w:bookmarkStart w:id="55" w:name="_Toc125014783"/>
      <w:proofErr w:type="spellStart"/>
      <w:r w:rsidRPr="0097393E">
        <w:t>Edaravone</w:t>
      </w:r>
      <w:bookmarkEnd w:id="55"/>
      <w:proofErr w:type="spellEnd"/>
    </w:p>
    <w:tbl>
      <w:tblPr>
        <w:tblStyle w:val="TableGrid"/>
        <w:tblW w:w="0" w:type="auto"/>
        <w:tblInd w:w="988" w:type="dxa"/>
        <w:tblLook w:val="04A0" w:firstRow="1" w:lastRow="0" w:firstColumn="1" w:lastColumn="0" w:noHBand="0" w:noVBand="1"/>
      </w:tblPr>
      <w:tblGrid>
        <w:gridCol w:w="8072"/>
      </w:tblGrid>
      <w:tr w:rsidR="00603099" w14:paraId="3210893C" w14:textId="77777777" w:rsidTr="003001C4">
        <w:tc>
          <w:tcPr>
            <w:tcW w:w="8072" w:type="dxa"/>
          </w:tcPr>
          <w:p w14:paraId="70A4E7E2" w14:textId="77777777" w:rsidR="00603099" w:rsidRPr="00105867" w:rsidRDefault="00603099" w:rsidP="003001C4">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0160AD5C" w14:textId="77777777" w:rsidR="00603099" w:rsidRPr="00855EE9" w:rsidRDefault="00603099" w:rsidP="003001C4">
            <w:pPr>
              <w:rPr>
                <w:rStyle w:val="Strong"/>
                <w:rFonts w:asciiTheme="minorHAnsi" w:hAnsiTheme="minorHAnsi"/>
                <w:color w:val="000000"/>
                <w:szCs w:val="22"/>
                <w:u w:val="single"/>
              </w:rPr>
            </w:pPr>
            <w:r w:rsidRPr="00855EE9">
              <w:rPr>
                <w:color w:val="00B050"/>
                <w:u w:val="single"/>
              </w:rPr>
              <w:t>EDARAVONE</w:t>
            </w:r>
          </w:p>
          <w:p w14:paraId="74E75765" w14:textId="77777777" w:rsidR="00603099" w:rsidRPr="004E10A3" w:rsidRDefault="00603099" w:rsidP="003001C4">
            <w:pPr>
              <w:rPr>
                <w:rFonts w:asciiTheme="minorHAnsi" w:hAnsiTheme="minorHAnsi"/>
              </w:rPr>
            </w:pPr>
            <w:r w:rsidRPr="004E10A3">
              <w:rPr>
                <w:rStyle w:val="Strong"/>
                <w:rFonts w:asciiTheme="minorHAnsi" w:hAnsiTheme="minorHAnsi"/>
                <w:szCs w:val="22"/>
              </w:rPr>
              <w:t>Index - New Entry</w:t>
            </w:r>
          </w:p>
          <w:p w14:paraId="6A10A7A4" w14:textId="77777777" w:rsidR="00603099" w:rsidRPr="00855EE9" w:rsidRDefault="00603099" w:rsidP="003001C4">
            <w:pPr>
              <w:rPr>
                <w:rStyle w:val="Strong"/>
                <w:rFonts w:asciiTheme="minorHAnsi" w:hAnsiTheme="minorHAnsi"/>
                <w:color w:val="000000"/>
                <w:szCs w:val="22"/>
                <w:u w:val="single"/>
              </w:rPr>
            </w:pPr>
            <w:r w:rsidRPr="00855EE9">
              <w:rPr>
                <w:color w:val="00B050"/>
                <w:u w:val="single"/>
              </w:rPr>
              <w:t>EDARAVONE</w:t>
            </w:r>
          </w:p>
          <w:p w14:paraId="1BFC1DD1" w14:textId="77777777" w:rsidR="00603099" w:rsidRPr="00013BFF" w:rsidRDefault="00603099" w:rsidP="003001C4">
            <w:pPr>
              <w:rPr>
                <w:color w:val="00B050"/>
                <w:lang w:eastAsia="en-AU"/>
              </w:rPr>
            </w:pPr>
            <w:r w:rsidRPr="00855EE9">
              <w:rPr>
                <w:rFonts w:asciiTheme="minorHAnsi" w:hAnsiTheme="minorHAnsi"/>
                <w:color w:val="00B050"/>
                <w:u w:val="single"/>
              </w:rPr>
              <w:t>Schedule 4</w:t>
            </w:r>
          </w:p>
        </w:tc>
      </w:tr>
    </w:tbl>
    <w:p w14:paraId="3F6D8003" w14:textId="24C43687" w:rsidR="00603099" w:rsidRDefault="00603099" w:rsidP="00F2731A">
      <w:pPr>
        <w:pStyle w:val="Heading3"/>
      </w:pPr>
      <w:bookmarkStart w:id="56" w:name="_Toc125014784"/>
      <w:proofErr w:type="spellStart"/>
      <w:r w:rsidRPr="0097393E">
        <w:t>Lenacapavir</w:t>
      </w:r>
      <w:bookmarkEnd w:id="56"/>
      <w:proofErr w:type="spellEnd"/>
    </w:p>
    <w:tbl>
      <w:tblPr>
        <w:tblStyle w:val="TableGrid"/>
        <w:tblW w:w="0" w:type="auto"/>
        <w:tblInd w:w="988" w:type="dxa"/>
        <w:tblLook w:val="04A0" w:firstRow="1" w:lastRow="0" w:firstColumn="1" w:lastColumn="0" w:noHBand="0" w:noVBand="1"/>
      </w:tblPr>
      <w:tblGrid>
        <w:gridCol w:w="8072"/>
      </w:tblGrid>
      <w:tr w:rsidR="00603099" w14:paraId="0884092A" w14:textId="77777777" w:rsidTr="003001C4">
        <w:tc>
          <w:tcPr>
            <w:tcW w:w="8072" w:type="dxa"/>
          </w:tcPr>
          <w:p w14:paraId="66D4DC4A" w14:textId="77777777" w:rsidR="00603099" w:rsidRPr="00105867" w:rsidRDefault="00603099" w:rsidP="003001C4">
            <w:pPr>
              <w:rPr>
                <w:rFonts w:asciiTheme="minorHAnsi" w:hAnsiTheme="minorHAnsi"/>
              </w:rPr>
            </w:pPr>
            <w:r w:rsidRPr="00105867">
              <w:rPr>
                <w:rStyle w:val="Strong"/>
                <w:rFonts w:asciiTheme="minorHAnsi" w:hAnsiTheme="minorHAnsi"/>
                <w:color w:val="000000"/>
                <w:szCs w:val="22"/>
              </w:rPr>
              <w:t xml:space="preserve">Schedule 4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0F13DDA0" w14:textId="77777777" w:rsidR="00603099" w:rsidRPr="00855EE9" w:rsidRDefault="00603099" w:rsidP="003001C4">
            <w:pPr>
              <w:rPr>
                <w:rFonts w:asciiTheme="minorHAnsi" w:hAnsiTheme="minorHAnsi"/>
                <w:color w:val="00B050"/>
                <w:u w:val="single"/>
              </w:rPr>
            </w:pPr>
            <w:r w:rsidRPr="00855EE9">
              <w:rPr>
                <w:rFonts w:asciiTheme="minorHAnsi" w:hAnsiTheme="minorHAnsi"/>
                <w:color w:val="00B050"/>
                <w:u w:val="single"/>
              </w:rPr>
              <w:lastRenderedPageBreak/>
              <w:t>LENACAPAVIR</w:t>
            </w:r>
          </w:p>
          <w:p w14:paraId="0829F555" w14:textId="77777777" w:rsidR="00603099" w:rsidRPr="00105867" w:rsidRDefault="00603099" w:rsidP="003001C4">
            <w:pPr>
              <w:rPr>
                <w:rFonts w:asciiTheme="minorHAnsi" w:hAnsiTheme="minorHAnsi"/>
              </w:rPr>
            </w:pPr>
            <w:r w:rsidRPr="00105867">
              <w:rPr>
                <w:rStyle w:val="Strong"/>
                <w:rFonts w:asciiTheme="minorHAnsi" w:hAnsiTheme="minorHAnsi"/>
                <w:color w:val="000000"/>
                <w:szCs w:val="22"/>
              </w:rPr>
              <w:t xml:space="preserve">Index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4CB565D1" w14:textId="77777777" w:rsidR="00603099" w:rsidRPr="00855EE9" w:rsidRDefault="00603099" w:rsidP="003001C4">
            <w:pPr>
              <w:rPr>
                <w:rFonts w:asciiTheme="minorHAnsi" w:hAnsiTheme="minorHAnsi"/>
                <w:color w:val="00B050"/>
                <w:u w:val="single"/>
              </w:rPr>
            </w:pPr>
            <w:r w:rsidRPr="00855EE9">
              <w:rPr>
                <w:rFonts w:asciiTheme="minorHAnsi" w:hAnsiTheme="minorHAnsi"/>
                <w:color w:val="00B050"/>
                <w:u w:val="single"/>
              </w:rPr>
              <w:t>LENACAPAVIR</w:t>
            </w:r>
          </w:p>
          <w:p w14:paraId="660FD5A5" w14:textId="77777777" w:rsidR="00603099" w:rsidRPr="00013BFF" w:rsidRDefault="00603099" w:rsidP="003001C4">
            <w:pPr>
              <w:rPr>
                <w:color w:val="00B050"/>
              </w:rPr>
            </w:pPr>
            <w:r w:rsidRPr="00855EE9">
              <w:rPr>
                <w:rFonts w:asciiTheme="minorHAnsi" w:hAnsiTheme="minorHAnsi"/>
                <w:color w:val="00B050"/>
                <w:u w:val="single"/>
              </w:rPr>
              <w:t>Schedule 4</w:t>
            </w:r>
          </w:p>
        </w:tc>
      </w:tr>
    </w:tbl>
    <w:p w14:paraId="4C604B27" w14:textId="53374F45" w:rsidR="00603099" w:rsidRPr="002F1391" w:rsidRDefault="00603099" w:rsidP="00F2731A">
      <w:pPr>
        <w:pStyle w:val="Heading3"/>
      </w:pPr>
      <w:bookmarkStart w:id="57" w:name="_Toc125014785"/>
      <w:proofErr w:type="spellStart"/>
      <w:r w:rsidRPr="00F727E7">
        <w:lastRenderedPageBreak/>
        <w:t>Patisiran</w:t>
      </w:r>
      <w:bookmarkEnd w:id="57"/>
      <w:proofErr w:type="spellEnd"/>
    </w:p>
    <w:tbl>
      <w:tblPr>
        <w:tblStyle w:val="TableGrid"/>
        <w:tblW w:w="0" w:type="auto"/>
        <w:tblInd w:w="988" w:type="dxa"/>
        <w:tblLook w:val="04A0" w:firstRow="1" w:lastRow="0" w:firstColumn="1" w:lastColumn="0" w:noHBand="0" w:noVBand="1"/>
      </w:tblPr>
      <w:tblGrid>
        <w:gridCol w:w="8072"/>
      </w:tblGrid>
      <w:tr w:rsidR="00603099" w14:paraId="098C99F1" w14:textId="77777777" w:rsidTr="003001C4">
        <w:tc>
          <w:tcPr>
            <w:tcW w:w="8072" w:type="dxa"/>
          </w:tcPr>
          <w:p w14:paraId="252FE82B" w14:textId="77777777" w:rsidR="00603099" w:rsidRDefault="00603099" w:rsidP="003001C4">
            <w:pPr>
              <w:rPr>
                <w:rStyle w:val="Strong"/>
                <w:rFonts w:asciiTheme="minorHAnsi" w:hAnsiTheme="minorHAnsi"/>
                <w:color w:val="000000"/>
                <w:szCs w:val="22"/>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39EA7AA9" w14:textId="140F842D" w:rsidR="00603099" w:rsidRPr="00855EE9" w:rsidRDefault="00603099" w:rsidP="003001C4">
            <w:pPr>
              <w:rPr>
                <w:rFonts w:asciiTheme="minorHAnsi" w:hAnsiTheme="minorHAnsi"/>
                <w:u w:val="single"/>
              </w:rPr>
            </w:pPr>
            <w:r w:rsidRPr="00855EE9">
              <w:rPr>
                <w:rStyle w:val="Strong"/>
                <w:rFonts w:asciiTheme="minorHAnsi" w:hAnsiTheme="minorHAnsi"/>
                <w:color w:val="00B050"/>
                <w:szCs w:val="22"/>
                <w:u w:val="single"/>
              </w:rPr>
              <w:t>PATISIRAN</w:t>
            </w:r>
          </w:p>
          <w:p w14:paraId="73707258" w14:textId="4222B93A" w:rsidR="00603099" w:rsidRDefault="00603099" w:rsidP="003001C4">
            <w:pPr>
              <w:rPr>
                <w:rStyle w:val="Strong"/>
                <w:rFonts w:asciiTheme="minorHAnsi" w:hAnsiTheme="minorHAnsi"/>
                <w:szCs w:val="22"/>
              </w:rPr>
            </w:pPr>
            <w:r w:rsidRPr="004E10A3">
              <w:rPr>
                <w:rStyle w:val="Strong"/>
                <w:rFonts w:asciiTheme="minorHAnsi" w:hAnsiTheme="minorHAnsi"/>
                <w:szCs w:val="22"/>
              </w:rPr>
              <w:t>Index - New Entry</w:t>
            </w:r>
          </w:p>
          <w:p w14:paraId="4928AE27" w14:textId="30546004" w:rsidR="00603099" w:rsidRPr="00855EE9" w:rsidRDefault="00603099" w:rsidP="003001C4">
            <w:pPr>
              <w:rPr>
                <w:rFonts w:asciiTheme="minorHAnsi" w:hAnsiTheme="minorHAnsi"/>
                <w:color w:val="00B050"/>
                <w:u w:val="single"/>
              </w:rPr>
            </w:pPr>
            <w:r w:rsidRPr="00855EE9">
              <w:rPr>
                <w:rStyle w:val="Strong"/>
                <w:rFonts w:asciiTheme="minorHAnsi" w:hAnsiTheme="minorHAnsi"/>
                <w:color w:val="00B050"/>
                <w:szCs w:val="22"/>
                <w:u w:val="single"/>
              </w:rPr>
              <w:t>PATISIRAN</w:t>
            </w:r>
          </w:p>
          <w:p w14:paraId="3BDF88B7" w14:textId="77777777" w:rsidR="00603099" w:rsidRPr="00013BFF" w:rsidRDefault="00603099" w:rsidP="003001C4">
            <w:pPr>
              <w:rPr>
                <w:color w:val="00B050"/>
                <w:lang w:eastAsia="en-AU"/>
              </w:rPr>
            </w:pPr>
            <w:r w:rsidRPr="00855EE9">
              <w:rPr>
                <w:rFonts w:asciiTheme="minorHAnsi" w:hAnsiTheme="minorHAnsi"/>
                <w:color w:val="00B050"/>
                <w:u w:val="single"/>
              </w:rPr>
              <w:t>Schedule 4</w:t>
            </w:r>
          </w:p>
        </w:tc>
      </w:tr>
    </w:tbl>
    <w:p w14:paraId="71FA74A3" w14:textId="00929FF7" w:rsidR="00603099" w:rsidRPr="002F1391" w:rsidRDefault="00603099" w:rsidP="00F2731A">
      <w:pPr>
        <w:pStyle w:val="Heading3"/>
      </w:pPr>
      <w:bookmarkStart w:id="58" w:name="_Toc125014786"/>
      <w:proofErr w:type="spellStart"/>
      <w:r w:rsidRPr="00F727E7">
        <w:t>Tirzepatide</w:t>
      </w:r>
      <w:bookmarkEnd w:id="58"/>
      <w:proofErr w:type="spellEnd"/>
    </w:p>
    <w:tbl>
      <w:tblPr>
        <w:tblStyle w:val="TableGrid"/>
        <w:tblW w:w="0" w:type="auto"/>
        <w:tblInd w:w="988" w:type="dxa"/>
        <w:tblLook w:val="04A0" w:firstRow="1" w:lastRow="0" w:firstColumn="1" w:lastColumn="0" w:noHBand="0" w:noVBand="1"/>
      </w:tblPr>
      <w:tblGrid>
        <w:gridCol w:w="8072"/>
      </w:tblGrid>
      <w:tr w:rsidR="00603099" w14:paraId="1D3EE46B" w14:textId="77777777" w:rsidTr="003001C4">
        <w:tc>
          <w:tcPr>
            <w:tcW w:w="8072" w:type="dxa"/>
          </w:tcPr>
          <w:p w14:paraId="305972FF" w14:textId="77777777" w:rsidR="00603099" w:rsidRDefault="00603099" w:rsidP="003001C4">
            <w:pPr>
              <w:rPr>
                <w:rStyle w:val="Strong"/>
                <w:rFonts w:asciiTheme="minorHAnsi" w:hAnsiTheme="minorHAnsi"/>
                <w:color w:val="000000"/>
                <w:szCs w:val="22"/>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729D7C1F" w14:textId="469AAA4F" w:rsidR="00603099" w:rsidRPr="00855EE9" w:rsidRDefault="00603099" w:rsidP="003001C4">
            <w:pPr>
              <w:rPr>
                <w:color w:val="00B050"/>
                <w:u w:val="single"/>
              </w:rPr>
            </w:pPr>
            <w:r w:rsidRPr="00855EE9">
              <w:rPr>
                <w:rFonts w:asciiTheme="minorHAnsi" w:hAnsiTheme="minorHAnsi"/>
                <w:color w:val="00B050"/>
                <w:u w:val="single"/>
              </w:rPr>
              <w:t>T</w:t>
            </w:r>
            <w:r w:rsidRPr="00855EE9">
              <w:rPr>
                <w:color w:val="00B050"/>
                <w:u w:val="single"/>
              </w:rPr>
              <w:t>IRZEPATIDE</w:t>
            </w:r>
          </w:p>
          <w:p w14:paraId="164A36A8" w14:textId="77777777" w:rsidR="003218D0" w:rsidRPr="003218D0" w:rsidRDefault="003218D0" w:rsidP="003001C4">
            <w:pPr>
              <w:rPr>
                <w:b/>
                <w:bCs/>
              </w:rPr>
            </w:pPr>
            <w:r w:rsidRPr="003218D0">
              <w:rPr>
                <w:b/>
                <w:bCs/>
              </w:rPr>
              <w:t xml:space="preserve">Appendix L – New Entry </w:t>
            </w:r>
          </w:p>
          <w:p w14:paraId="36847BD5" w14:textId="29985ACF" w:rsidR="003218D0" w:rsidRPr="00855EE9" w:rsidRDefault="003218D0" w:rsidP="003001C4">
            <w:pPr>
              <w:rPr>
                <w:rFonts w:asciiTheme="minorHAnsi" w:hAnsiTheme="minorHAnsi"/>
                <w:color w:val="00B050"/>
                <w:u w:val="single"/>
              </w:rPr>
            </w:pPr>
            <w:r w:rsidRPr="00855EE9">
              <w:rPr>
                <w:rFonts w:asciiTheme="minorHAnsi" w:hAnsiTheme="minorHAnsi"/>
                <w:color w:val="00B050"/>
                <w:u w:val="single"/>
              </w:rPr>
              <w:t>T</w:t>
            </w:r>
            <w:r w:rsidRPr="00855EE9">
              <w:rPr>
                <w:color w:val="00B050"/>
                <w:u w:val="single"/>
              </w:rPr>
              <w:t>IRZEPATIDE: Warning statement 67 (Do not use if pregnant or likely to become pregnant).</w:t>
            </w:r>
          </w:p>
          <w:p w14:paraId="1EAFA926" w14:textId="77777777" w:rsidR="00603099" w:rsidRDefault="00603099" w:rsidP="003001C4">
            <w:pPr>
              <w:rPr>
                <w:rStyle w:val="Strong"/>
                <w:rFonts w:asciiTheme="minorHAnsi" w:hAnsiTheme="minorHAnsi"/>
                <w:szCs w:val="22"/>
              </w:rPr>
            </w:pPr>
            <w:r w:rsidRPr="004E10A3">
              <w:rPr>
                <w:rStyle w:val="Strong"/>
                <w:rFonts w:asciiTheme="minorHAnsi" w:hAnsiTheme="minorHAnsi"/>
                <w:szCs w:val="22"/>
              </w:rPr>
              <w:t>Index - New Entry</w:t>
            </w:r>
          </w:p>
          <w:p w14:paraId="53F8E242" w14:textId="77777777" w:rsidR="00603099" w:rsidRPr="00855EE9" w:rsidRDefault="00603099" w:rsidP="003001C4">
            <w:pPr>
              <w:rPr>
                <w:rFonts w:asciiTheme="minorHAnsi" w:hAnsiTheme="minorHAnsi"/>
                <w:color w:val="00B050"/>
                <w:u w:val="single"/>
              </w:rPr>
            </w:pPr>
            <w:r w:rsidRPr="00855EE9">
              <w:rPr>
                <w:rFonts w:asciiTheme="minorHAnsi" w:hAnsiTheme="minorHAnsi"/>
                <w:color w:val="00B050"/>
                <w:u w:val="single"/>
              </w:rPr>
              <w:t>T</w:t>
            </w:r>
            <w:r w:rsidRPr="00855EE9">
              <w:rPr>
                <w:color w:val="00B050"/>
                <w:u w:val="single"/>
              </w:rPr>
              <w:t>IRZEPATIDE</w:t>
            </w:r>
          </w:p>
          <w:p w14:paraId="0E0CD472" w14:textId="63590653" w:rsidR="003218D0" w:rsidRPr="003218D0" w:rsidRDefault="00603099" w:rsidP="003001C4">
            <w:pPr>
              <w:rPr>
                <w:rFonts w:asciiTheme="minorHAnsi" w:hAnsiTheme="minorHAnsi"/>
                <w:color w:val="00B050"/>
              </w:rPr>
            </w:pPr>
            <w:r w:rsidRPr="00855EE9">
              <w:rPr>
                <w:rFonts w:asciiTheme="minorHAnsi" w:hAnsiTheme="minorHAnsi"/>
                <w:color w:val="00B050"/>
                <w:u w:val="single"/>
              </w:rPr>
              <w:t>Schedule 4</w:t>
            </w:r>
            <w:r w:rsidR="003218D0" w:rsidRPr="00855EE9">
              <w:rPr>
                <w:rFonts w:asciiTheme="minorHAnsi" w:hAnsiTheme="minorHAnsi"/>
                <w:color w:val="00B050"/>
                <w:u w:val="single"/>
              </w:rPr>
              <w:br/>
              <w:t>Appendix L</w:t>
            </w:r>
          </w:p>
        </w:tc>
      </w:tr>
    </w:tbl>
    <w:p w14:paraId="55FA0271" w14:textId="17E567CD" w:rsidR="00DC694C" w:rsidRPr="00BC2009" w:rsidRDefault="00DC694C" w:rsidP="00DC694C">
      <w:pPr>
        <w:pStyle w:val="Heading2"/>
      </w:pPr>
      <w:bookmarkStart w:id="59" w:name="_Toc125014787"/>
      <w:bookmarkEnd w:id="52"/>
      <w:bookmarkEnd w:id="53"/>
      <w:r>
        <w:lastRenderedPageBreak/>
        <w:t>A</w:t>
      </w:r>
      <w:r w:rsidRPr="00B41852">
        <w:t xml:space="preserve">mendments to the Poisons Standard </w:t>
      </w:r>
      <w:bookmarkEnd w:id="50"/>
      <w:r>
        <w:t>made as delegate-only decisions</w:t>
      </w:r>
      <w:bookmarkEnd w:id="59"/>
    </w:p>
    <w:p w14:paraId="20BC5A0A" w14:textId="77777777" w:rsidR="00DC694C" w:rsidRPr="009E7B99" w:rsidRDefault="00DC694C" w:rsidP="00DC694C">
      <w:pPr>
        <w:pStyle w:val="Heading3"/>
        <w:ind w:left="0" w:firstLine="0"/>
      </w:pPr>
      <w:bookmarkStart w:id="60" w:name="_Toc120478918"/>
      <w:bookmarkStart w:id="61" w:name="_Toc125014788"/>
      <w:r w:rsidRPr="009E7B99">
        <w:t>Final decision in relation to fenpropidin</w:t>
      </w:r>
      <w:bookmarkEnd w:id="60"/>
      <w:bookmarkEnd w:id="61"/>
    </w:p>
    <w:p w14:paraId="74D6E34F" w14:textId="77777777" w:rsidR="00DC694C" w:rsidRPr="00944A08" w:rsidRDefault="00DC694C" w:rsidP="00DC694C">
      <w:pPr>
        <w:pStyle w:val="Heading4"/>
        <w:rPr>
          <w:rFonts w:asciiTheme="minorHAnsi" w:hAnsiTheme="minorHAnsi"/>
          <w:i/>
          <w:iCs/>
          <w:sz w:val="22"/>
          <w:szCs w:val="22"/>
        </w:rPr>
      </w:pPr>
      <w:r w:rsidRPr="00944A08">
        <w:rPr>
          <w:rFonts w:asciiTheme="minorHAnsi" w:hAnsiTheme="minorHAnsi"/>
          <w:i/>
          <w:iCs/>
          <w:sz w:val="22"/>
          <w:szCs w:val="22"/>
        </w:rPr>
        <w:t>Final decision</w:t>
      </w:r>
    </w:p>
    <w:p w14:paraId="72DB4372" w14:textId="26392AA4" w:rsidR="00DC694C" w:rsidRPr="00944A08" w:rsidRDefault="00DC694C" w:rsidP="00DC694C">
      <w:pPr>
        <w:rPr>
          <w:rFonts w:asciiTheme="minorHAnsi" w:hAnsiTheme="minorHAnsi"/>
          <w:szCs w:val="22"/>
        </w:rPr>
      </w:pPr>
      <w:r w:rsidRPr="00944A08">
        <w:rPr>
          <w:rFonts w:asciiTheme="minorHAnsi" w:hAnsiTheme="minorHAnsi"/>
          <w:szCs w:val="22"/>
        </w:rPr>
        <w:t xml:space="preserve">Pursuant to regulation 42ZCZU of the Regulations, a </w:t>
      </w:r>
      <w:r>
        <w:rPr>
          <w:rFonts w:asciiTheme="minorHAnsi" w:hAnsiTheme="minorHAnsi"/>
          <w:szCs w:val="22"/>
        </w:rPr>
        <w:t>d</w:t>
      </w:r>
      <w:r w:rsidRPr="00944A08">
        <w:rPr>
          <w:rFonts w:asciiTheme="minorHAnsi" w:hAnsiTheme="minorHAnsi"/>
          <w:szCs w:val="22"/>
        </w:rPr>
        <w:t>elegate of the Secretary has made a final decision to amend the current Poisons Standard in relation to fenpropidin as follows:</w:t>
      </w:r>
      <w:r w:rsidR="00632206" w:rsidRPr="00632206">
        <w:rPr>
          <w:rStyle w:val="FootnoteReference"/>
        </w:rPr>
        <w:t xml:space="preserve"> </w:t>
      </w:r>
      <w:r w:rsidR="00632206">
        <w:rPr>
          <w:rStyle w:val="FootnoteReference"/>
        </w:rPr>
        <w:footnoteReference w:id="9"/>
      </w:r>
    </w:p>
    <w:p w14:paraId="60B76AAB" w14:textId="77777777" w:rsidR="00DC694C" w:rsidRPr="00944A08" w:rsidRDefault="00DC694C" w:rsidP="00DC694C">
      <w:pPr>
        <w:ind w:left="426"/>
        <w:rPr>
          <w:rFonts w:asciiTheme="minorHAnsi" w:hAnsiTheme="minorHAnsi"/>
          <w:b/>
          <w:szCs w:val="22"/>
        </w:rPr>
      </w:pPr>
      <w:r w:rsidRPr="00944A08">
        <w:rPr>
          <w:rFonts w:asciiTheme="minorHAnsi" w:hAnsiTheme="minorHAnsi"/>
          <w:b/>
          <w:szCs w:val="22"/>
        </w:rPr>
        <w:t>Schedule 6 – New entry</w:t>
      </w:r>
    </w:p>
    <w:p w14:paraId="7783FE81" w14:textId="77777777" w:rsidR="00DC694C" w:rsidRDefault="00DC694C" w:rsidP="00DC694C">
      <w:pPr>
        <w:ind w:firstLine="720"/>
        <w:rPr>
          <w:rFonts w:asciiTheme="minorHAnsi" w:hAnsiTheme="minorHAnsi"/>
          <w:bCs/>
          <w:szCs w:val="22"/>
        </w:rPr>
      </w:pPr>
      <w:r w:rsidRPr="00855EE9">
        <w:rPr>
          <w:rFonts w:asciiTheme="minorHAnsi" w:hAnsiTheme="minorHAnsi"/>
          <w:bCs/>
          <w:color w:val="00B050"/>
          <w:szCs w:val="22"/>
          <w:u w:val="single"/>
        </w:rPr>
        <w:t>FENPROPIDIN</w:t>
      </w:r>
      <w:r>
        <w:rPr>
          <w:rFonts w:asciiTheme="minorHAnsi" w:hAnsiTheme="minorHAnsi"/>
          <w:bCs/>
          <w:color w:val="00B050"/>
          <w:szCs w:val="22"/>
        </w:rPr>
        <w:t>.</w:t>
      </w:r>
      <w:r w:rsidRPr="00944A08">
        <w:rPr>
          <w:rFonts w:asciiTheme="minorHAnsi" w:hAnsiTheme="minorHAnsi"/>
          <w:bCs/>
          <w:szCs w:val="22"/>
        </w:rPr>
        <w:t xml:space="preserve"> </w:t>
      </w:r>
    </w:p>
    <w:p w14:paraId="1DC799A5" w14:textId="77777777" w:rsidR="00DC694C" w:rsidRPr="00944A08" w:rsidRDefault="00DC694C" w:rsidP="00DC694C">
      <w:pPr>
        <w:ind w:left="426"/>
        <w:rPr>
          <w:rFonts w:asciiTheme="minorHAnsi" w:hAnsiTheme="minorHAnsi"/>
          <w:b/>
          <w:szCs w:val="22"/>
        </w:rPr>
      </w:pPr>
      <w:r>
        <w:rPr>
          <w:rFonts w:asciiTheme="minorHAnsi" w:hAnsiTheme="minorHAnsi"/>
          <w:b/>
          <w:szCs w:val="22"/>
        </w:rPr>
        <w:t>Index</w:t>
      </w:r>
      <w:r w:rsidRPr="00944A08">
        <w:rPr>
          <w:rFonts w:asciiTheme="minorHAnsi" w:hAnsiTheme="minorHAnsi"/>
          <w:b/>
          <w:szCs w:val="22"/>
        </w:rPr>
        <w:t xml:space="preserve"> – New entry</w:t>
      </w:r>
    </w:p>
    <w:p w14:paraId="0D5E0F4F" w14:textId="77777777" w:rsidR="00DC694C" w:rsidRPr="00855EE9" w:rsidRDefault="00DC694C" w:rsidP="00DC694C">
      <w:pPr>
        <w:ind w:firstLine="720"/>
        <w:rPr>
          <w:rFonts w:asciiTheme="minorHAnsi" w:hAnsiTheme="minorHAnsi"/>
          <w:b/>
          <w:color w:val="00B050"/>
          <w:szCs w:val="22"/>
          <w:u w:val="single"/>
        </w:rPr>
      </w:pPr>
      <w:r w:rsidRPr="00855EE9">
        <w:rPr>
          <w:rFonts w:asciiTheme="minorHAnsi" w:hAnsiTheme="minorHAnsi"/>
          <w:b/>
          <w:color w:val="00B050"/>
          <w:szCs w:val="22"/>
          <w:u w:val="single"/>
        </w:rPr>
        <w:t>FENPROPIDIN</w:t>
      </w:r>
    </w:p>
    <w:p w14:paraId="6C7DFE4C" w14:textId="77777777" w:rsidR="00DC694C" w:rsidRPr="00944A08" w:rsidRDefault="00DC694C" w:rsidP="00DC694C">
      <w:pPr>
        <w:ind w:firstLine="720"/>
        <w:rPr>
          <w:rFonts w:asciiTheme="minorHAnsi" w:hAnsiTheme="minorHAnsi"/>
          <w:bCs/>
          <w:szCs w:val="22"/>
        </w:rPr>
      </w:pPr>
      <w:r w:rsidRPr="00855EE9">
        <w:rPr>
          <w:rFonts w:asciiTheme="minorHAnsi" w:hAnsiTheme="minorHAnsi"/>
          <w:bCs/>
          <w:color w:val="00B050"/>
          <w:szCs w:val="22"/>
          <w:u w:val="single"/>
        </w:rPr>
        <w:t>Schedule 6</w:t>
      </w:r>
      <w:r w:rsidRPr="00944A08">
        <w:rPr>
          <w:rFonts w:asciiTheme="minorHAnsi" w:hAnsiTheme="minorHAnsi"/>
          <w:bCs/>
          <w:szCs w:val="22"/>
        </w:rPr>
        <w:t xml:space="preserve"> </w:t>
      </w:r>
    </w:p>
    <w:p w14:paraId="38919715" w14:textId="77777777" w:rsidR="00DC694C" w:rsidRPr="00944A08" w:rsidRDefault="00DC694C" w:rsidP="00DC694C">
      <w:pPr>
        <w:pStyle w:val="Heading4"/>
        <w:rPr>
          <w:rFonts w:asciiTheme="minorHAnsi" w:hAnsiTheme="minorHAnsi"/>
          <w:i/>
          <w:iCs/>
          <w:sz w:val="22"/>
          <w:szCs w:val="22"/>
        </w:rPr>
      </w:pPr>
      <w:r w:rsidRPr="00944A08">
        <w:rPr>
          <w:rFonts w:asciiTheme="minorHAnsi" w:hAnsiTheme="minorHAnsi"/>
          <w:i/>
          <w:iCs/>
          <w:sz w:val="22"/>
          <w:szCs w:val="22"/>
        </w:rPr>
        <w:t>Materials considered</w:t>
      </w:r>
    </w:p>
    <w:p w14:paraId="445DC2A4" w14:textId="77777777" w:rsidR="00DC694C" w:rsidRPr="00944A08" w:rsidRDefault="00DC694C" w:rsidP="00DC694C">
      <w:pPr>
        <w:rPr>
          <w:rFonts w:asciiTheme="minorHAnsi" w:hAnsiTheme="minorHAnsi"/>
          <w:szCs w:val="22"/>
        </w:rPr>
      </w:pPr>
      <w:r w:rsidRPr="00944A08">
        <w:rPr>
          <w:rFonts w:asciiTheme="minorHAnsi" w:hAnsiTheme="minorHAnsi"/>
          <w:szCs w:val="22"/>
        </w:rPr>
        <w:t>In making this final decision, the Delegate considered the following material:</w:t>
      </w:r>
    </w:p>
    <w:p w14:paraId="5C00E864" w14:textId="77777777" w:rsidR="00DC694C" w:rsidRPr="00944A08" w:rsidRDefault="00DC694C" w:rsidP="00AF77FE">
      <w:pPr>
        <w:pStyle w:val="ListParagraph"/>
        <w:numPr>
          <w:ilvl w:val="0"/>
          <w:numId w:val="11"/>
        </w:numPr>
        <w:spacing w:after="120"/>
        <w:ind w:left="357" w:hanging="357"/>
        <w:rPr>
          <w:rFonts w:asciiTheme="minorHAnsi" w:hAnsiTheme="minorHAnsi"/>
          <w:szCs w:val="22"/>
        </w:rPr>
      </w:pPr>
      <w:r w:rsidRPr="00944A08">
        <w:rPr>
          <w:rFonts w:asciiTheme="minorHAnsi" w:hAnsiTheme="minorHAnsi"/>
          <w:szCs w:val="22"/>
        </w:rPr>
        <w:t xml:space="preserve">The application to amend the current Poisons Standard with respect to </w:t>
      </w:r>
      <w:bookmarkStart w:id="62" w:name="_Hlk121309816"/>
      <w:proofErr w:type="gramStart"/>
      <w:r w:rsidRPr="00944A08">
        <w:rPr>
          <w:rFonts w:asciiTheme="minorHAnsi" w:hAnsiTheme="minorHAnsi"/>
          <w:szCs w:val="22"/>
        </w:rPr>
        <w:t>fenpropidin</w:t>
      </w:r>
      <w:bookmarkEnd w:id="62"/>
      <w:r w:rsidRPr="00944A08">
        <w:rPr>
          <w:rFonts w:asciiTheme="minorHAnsi" w:hAnsiTheme="minorHAnsi"/>
          <w:szCs w:val="22"/>
        </w:rPr>
        <w:t>;</w:t>
      </w:r>
      <w:proofErr w:type="gramEnd"/>
    </w:p>
    <w:p w14:paraId="29E023DD" w14:textId="77777777" w:rsidR="00DC694C" w:rsidRPr="00944A08" w:rsidRDefault="00DC694C" w:rsidP="00DC694C">
      <w:pPr>
        <w:pStyle w:val="ListParagraph"/>
        <w:ind w:left="360"/>
        <w:rPr>
          <w:rFonts w:asciiTheme="minorHAnsi" w:hAnsiTheme="minorHAnsi"/>
          <w:szCs w:val="22"/>
        </w:rPr>
      </w:pPr>
    </w:p>
    <w:p w14:paraId="16CC9F78" w14:textId="77777777" w:rsidR="00DC694C" w:rsidRPr="009E7B99" w:rsidRDefault="00DC694C" w:rsidP="00AF77FE">
      <w:pPr>
        <w:pStyle w:val="ListParagraph"/>
        <w:numPr>
          <w:ilvl w:val="0"/>
          <w:numId w:val="11"/>
        </w:numPr>
        <w:spacing w:after="120"/>
        <w:ind w:left="357" w:hanging="357"/>
        <w:rPr>
          <w:rFonts w:asciiTheme="minorHAnsi" w:hAnsiTheme="minorHAnsi"/>
          <w:szCs w:val="22"/>
        </w:rPr>
      </w:pPr>
      <w:r w:rsidRPr="009E7B99">
        <w:rPr>
          <w:rFonts w:asciiTheme="minorHAnsi" w:hAnsiTheme="minorHAnsi"/>
          <w:szCs w:val="22"/>
        </w:rPr>
        <w:t>Subsection 52</w:t>
      </w:r>
      <w:proofErr w:type="gramStart"/>
      <w:r w:rsidRPr="009E7B99">
        <w:rPr>
          <w:rFonts w:asciiTheme="minorHAnsi" w:hAnsiTheme="minorHAnsi"/>
          <w:szCs w:val="22"/>
        </w:rPr>
        <w:t>E(</w:t>
      </w:r>
      <w:proofErr w:type="gramEnd"/>
      <w:r w:rsidRPr="009E7B99">
        <w:rPr>
          <w:rFonts w:asciiTheme="minorHAnsi" w:hAnsiTheme="minorHAnsi"/>
          <w:szCs w:val="22"/>
        </w:rPr>
        <w:t xml:space="preserve">1) of the </w:t>
      </w:r>
      <w:r w:rsidRPr="009E7B99">
        <w:rPr>
          <w:rFonts w:asciiTheme="minorHAnsi" w:hAnsiTheme="minorHAnsi"/>
          <w:i/>
          <w:iCs/>
          <w:szCs w:val="22"/>
        </w:rPr>
        <w:t>Therapeutic G</w:t>
      </w:r>
      <w:r w:rsidRPr="006806D4">
        <w:rPr>
          <w:rFonts w:asciiTheme="minorHAnsi" w:hAnsiTheme="minorHAnsi"/>
          <w:i/>
          <w:iCs/>
          <w:szCs w:val="22"/>
        </w:rPr>
        <w:t>oods Act 1989</w:t>
      </w:r>
      <w:r w:rsidRPr="006806D4">
        <w:rPr>
          <w:rFonts w:asciiTheme="minorHAnsi" w:hAnsiTheme="minorHAnsi"/>
          <w:szCs w:val="22"/>
        </w:rPr>
        <w:t xml:space="preserve"> (the </w:t>
      </w:r>
      <w:r w:rsidRPr="006806D4">
        <w:rPr>
          <w:rFonts w:asciiTheme="minorHAnsi" w:hAnsiTheme="minorHAnsi"/>
          <w:b/>
          <w:bCs/>
          <w:szCs w:val="22"/>
        </w:rPr>
        <w:t>Act</w:t>
      </w:r>
      <w:r w:rsidRPr="006806D4">
        <w:rPr>
          <w:rFonts w:asciiTheme="minorHAnsi" w:hAnsiTheme="minorHAnsi"/>
          <w:szCs w:val="22"/>
        </w:rPr>
        <w:t>)</w:t>
      </w:r>
      <w:r w:rsidRPr="00AF6B43">
        <w:rPr>
          <w:rFonts w:asciiTheme="minorHAnsi" w:hAnsiTheme="minorHAnsi"/>
          <w:szCs w:val="22"/>
        </w:rPr>
        <w:t>, in particular (a) the risks and benefits of the use of a substance;(b) the purposes for which a substance is to be used and the extent of use of a substance; (c) the toxicity of a substance; (d</w:t>
      </w:r>
      <w:r w:rsidRPr="009E7B99">
        <w:rPr>
          <w:rFonts w:asciiTheme="minorHAnsi" w:hAnsiTheme="minorHAnsi"/>
          <w:szCs w:val="22"/>
        </w:rPr>
        <w:t>) the dosage, formulation, labelling, packaging and presentation of a substance; and (e) the potential for abuse of a substance</w:t>
      </w:r>
      <w:r>
        <w:rPr>
          <w:rFonts w:asciiTheme="minorHAnsi" w:hAnsiTheme="minorHAnsi"/>
          <w:szCs w:val="22"/>
        </w:rPr>
        <w:t>;</w:t>
      </w:r>
    </w:p>
    <w:p w14:paraId="430E6B53" w14:textId="77777777" w:rsidR="00DC694C" w:rsidRPr="00944A08" w:rsidRDefault="00DC694C" w:rsidP="00AF77FE">
      <w:pPr>
        <w:pStyle w:val="ListBullet"/>
        <w:numPr>
          <w:ilvl w:val="0"/>
          <w:numId w:val="11"/>
        </w:numPr>
        <w:ind w:left="360"/>
        <w:rPr>
          <w:rFonts w:asciiTheme="minorHAnsi" w:hAnsiTheme="minorHAnsi"/>
          <w:szCs w:val="22"/>
          <w:lang w:eastAsia="en-AU"/>
        </w:rPr>
      </w:pPr>
      <w:r w:rsidRPr="00944A08">
        <w:rPr>
          <w:rFonts w:asciiTheme="minorHAnsi" w:hAnsiTheme="minorHAnsi"/>
          <w:szCs w:val="22"/>
        </w:rPr>
        <w:t xml:space="preserve">Pursuant to paragraph 52E(2)(a) of the Act, the </w:t>
      </w:r>
      <w:hyperlink r:id="rId71" w:history="1">
        <w:r w:rsidRPr="00944A08">
          <w:rPr>
            <w:rStyle w:val="Hyperlink"/>
            <w:rFonts w:asciiTheme="minorHAnsi" w:hAnsiTheme="minorHAnsi"/>
            <w:szCs w:val="22"/>
          </w:rPr>
          <w:t>Scheduling Policy Framework</w:t>
        </w:r>
      </w:hyperlink>
      <w:r w:rsidRPr="00944A08">
        <w:rPr>
          <w:rFonts w:asciiTheme="minorHAnsi" w:hAnsiTheme="minorHAnsi"/>
          <w:szCs w:val="22"/>
        </w:rPr>
        <w:t xml:space="preserve"> 2018 (</w:t>
      </w:r>
      <w:r w:rsidRPr="00944A08">
        <w:rPr>
          <w:rFonts w:asciiTheme="minorHAnsi" w:hAnsiTheme="minorHAnsi"/>
          <w:b/>
          <w:bCs/>
          <w:szCs w:val="22"/>
        </w:rPr>
        <w:t>SPF</w:t>
      </w:r>
      <w:r w:rsidRPr="00944A08">
        <w:rPr>
          <w:rFonts w:asciiTheme="minorHAnsi" w:hAnsiTheme="minorHAnsi"/>
          <w:szCs w:val="22"/>
        </w:rPr>
        <w:t xml:space="preserve">); and </w:t>
      </w:r>
    </w:p>
    <w:p w14:paraId="1B3839DA" w14:textId="77777777" w:rsidR="00DC694C" w:rsidRPr="00944A08" w:rsidRDefault="00DC694C" w:rsidP="00AF77FE">
      <w:pPr>
        <w:pStyle w:val="ListParagraph"/>
        <w:numPr>
          <w:ilvl w:val="0"/>
          <w:numId w:val="11"/>
        </w:numPr>
        <w:ind w:left="360"/>
        <w:rPr>
          <w:rFonts w:asciiTheme="minorHAnsi" w:hAnsiTheme="minorHAnsi"/>
          <w:szCs w:val="22"/>
        </w:rPr>
      </w:pPr>
      <w:r w:rsidRPr="00944A08">
        <w:rPr>
          <w:rFonts w:asciiTheme="minorHAnsi" w:hAnsiTheme="minorHAnsi"/>
          <w:szCs w:val="22"/>
        </w:rPr>
        <w:t xml:space="preserve">The </w:t>
      </w:r>
      <w:hyperlink r:id="rId72" w:history="1">
        <w:r w:rsidRPr="00944A08">
          <w:rPr>
            <w:rStyle w:val="Hyperlink"/>
            <w:rFonts w:asciiTheme="minorHAnsi" w:hAnsiTheme="minorHAnsi"/>
            <w:szCs w:val="22"/>
          </w:rPr>
          <w:t>Scheduling handbook: Guidance for amending the Poisons Standard</w:t>
        </w:r>
      </w:hyperlink>
      <w:r w:rsidRPr="00944A08">
        <w:rPr>
          <w:rFonts w:asciiTheme="minorHAnsi" w:hAnsiTheme="minorHAnsi"/>
          <w:szCs w:val="22"/>
        </w:rPr>
        <w:t xml:space="preserve"> (the </w:t>
      </w:r>
      <w:r w:rsidRPr="00944A08">
        <w:rPr>
          <w:rFonts w:asciiTheme="minorHAnsi" w:hAnsiTheme="minorHAnsi"/>
          <w:b/>
          <w:bCs/>
          <w:szCs w:val="22"/>
        </w:rPr>
        <w:t>Handbook</w:t>
      </w:r>
      <w:r w:rsidRPr="00944A08">
        <w:rPr>
          <w:rFonts w:asciiTheme="minorHAnsi" w:hAnsiTheme="minorHAnsi"/>
          <w:szCs w:val="22"/>
        </w:rPr>
        <w:t>).</w:t>
      </w:r>
    </w:p>
    <w:p w14:paraId="57102CD9" w14:textId="77777777" w:rsidR="00DC694C" w:rsidRPr="00944A08" w:rsidRDefault="00DC694C" w:rsidP="00DC694C">
      <w:pPr>
        <w:pStyle w:val="Heading4"/>
        <w:rPr>
          <w:rFonts w:asciiTheme="minorHAnsi" w:hAnsiTheme="minorHAnsi"/>
          <w:i/>
          <w:iCs/>
          <w:sz w:val="22"/>
          <w:szCs w:val="22"/>
        </w:rPr>
      </w:pPr>
      <w:r w:rsidRPr="00944A08">
        <w:rPr>
          <w:rFonts w:asciiTheme="minorHAnsi" w:hAnsiTheme="minorHAnsi"/>
          <w:i/>
          <w:iCs/>
          <w:sz w:val="22"/>
          <w:szCs w:val="22"/>
        </w:rPr>
        <w:t>Reasons for the final decision (including findings on material questions of fact)</w:t>
      </w:r>
    </w:p>
    <w:p w14:paraId="229553B4" w14:textId="0B3F39B8" w:rsidR="00DC694C" w:rsidRPr="00944A08" w:rsidRDefault="00DC694C" w:rsidP="00DC694C">
      <w:pPr>
        <w:rPr>
          <w:rFonts w:asciiTheme="minorHAnsi" w:hAnsiTheme="minorHAnsi"/>
          <w:szCs w:val="22"/>
        </w:rPr>
      </w:pPr>
      <w:r w:rsidRPr="00944A08">
        <w:rPr>
          <w:rFonts w:asciiTheme="minorHAnsi" w:hAnsiTheme="minorHAnsi"/>
          <w:szCs w:val="22"/>
        </w:rPr>
        <w:t xml:space="preserve">In determining that this matter will be a </w:t>
      </w:r>
      <w:r>
        <w:rPr>
          <w:rFonts w:asciiTheme="minorHAnsi" w:hAnsiTheme="minorHAnsi"/>
          <w:szCs w:val="22"/>
        </w:rPr>
        <w:t>d</w:t>
      </w:r>
      <w:r w:rsidRPr="00944A08">
        <w:rPr>
          <w:rFonts w:asciiTheme="minorHAnsi" w:hAnsiTheme="minorHAnsi"/>
          <w:szCs w:val="22"/>
        </w:rPr>
        <w:t xml:space="preserve">elegate-only decision I have </w:t>
      </w:r>
      <w:proofErr w:type="gramStart"/>
      <w:r w:rsidRPr="00944A08">
        <w:rPr>
          <w:rFonts w:asciiTheme="minorHAnsi" w:hAnsiTheme="minorHAnsi"/>
          <w:szCs w:val="22"/>
        </w:rPr>
        <w:t>taken into account</w:t>
      </w:r>
      <w:proofErr w:type="gramEnd"/>
      <w:r w:rsidRPr="00944A08">
        <w:rPr>
          <w:rFonts w:asciiTheme="minorHAnsi" w:hAnsiTheme="minorHAnsi"/>
          <w:szCs w:val="22"/>
        </w:rPr>
        <w:t xml:space="preserve"> the information provided in the application from the </w:t>
      </w:r>
      <w:r w:rsidR="00632206">
        <w:rPr>
          <w:rFonts w:asciiTheme="minorHAnsi" w:hAnsiTheme="minorHAnsi"/>
          <w:szCs w:val="22"/>
        </w:rPr>
        <w:t>a</w:t>
      </w:r>
      <w:r w:rsidRPr="00944A08">
        <w:rPr>
          <w:rFonts w:asciiTheme="minorHAnsi" w:hAnsiTheme="minorHAnsi"/>
          <w:szCs w:val="22"/>
        </w:rPr>
        <w:t>pplicant (Australian Pesticides and Veterinary Medicine Authority (APVMA</w:t>
      </w:r>
      <w:r w:rsidR="00773480">
        <w:rPr>
          <w:rFonts w:asciiTheme="minorHAnsi" w:hAnsiTheme="minorHAnsi"/>
          <w:szCs w:val="22"/>
        </w:rPr>
        <w:t>)</w:t>
      </w:r>
      <w:r w:rsidRPr="00944A08">
        <w:rPr>
          <w:rFonts w:asciiTheme="minorHAnsi" w:hAnsiTheme="minorHAnsi"/>
          <w:szCs w:val="22"/>
        </w:rPr>
        <w:t xml:space="preserve">), and the matters outlined under Section 52E of the </w:t>
      </w:r>
      <w:r>
        <w:rPr>
          <w:rFonts w:asciiTheme="minorHAnsi" w:hAnsiTheme="minorHAnsi"/>
          <w:szCs w:val="22"/>
        </w:rPr>
        <w:t xml:space="preserve">Act </w:t>
      </w:r>
      <w:r w:rsidRPr="00944A08">
        <w:rPr>
          <w:rFonts w:asciiTheme="minorHAnsi" w:hAnsiTheme="minorHAnsi"/>
          <w:szCs w:val="22"/>
        </w:rPr>
        <w:t xml:space="preserve">and the SPF. </w:t>
      </w:r>
      <w:proofErr w:type="gramStart"/>
      <w:r w:rsidRPr="00944A08">
        <w:rPr>
          <w:rFonts w:asciiTheme="minorHAnsi" w:hAnsiTheme="minorHAnsi"/>
          <w:szCs w:val="22"/>
        </w:rPr>
        <w:t>In particular, I</w:t>
      </w:r>
      <w:proofErr w:type="gramEnd"/>
      <w:r w:rsidRPr="00944A08">
        <w:rPr>
          <w:rFonts w:asciiTheme="minorHAnsi" w:hAnsiTheme="minorHAnsi"/>
          <w:szCs w:val="22"/>
        </w:rPr>
        <w:t xml:space="preserve"> note that:</w:t>
      </w:r>
    </w:p>
    <w:p w14:paraId="55B8F62F" w14:textId="7A6486A4" w:rsidR="00DC694C" w:rsidRPr="00944A08" w:rsidRDefault="00DC694C" w:rsidP="00AF77FE">
      <w:pPr>
        <w:pStyle w:val="ListParagraph"/>
        <w:numPr>
          <w:ilvl w:val="0"/>
          <w:numId w:val="12"/>
        </w:numPr>
        <w:rPr>
          <w:rFonts w:asciiTheme="minorHAnsi" w:hAnsiTheme="minorHAnsi"/>
          <w:szCs w:val="22"/>
        </w:rPr>
      </w:pPr>
      <w:r w:rsidRPr="00944A08">
        <w:rPr>
          <w:rFonts w:asciiTheme="minorHAnsi" w:hAnsiTheme="minorHAnsi"/>
          <w:szCs w:val="22"/>
        </w:rPr>
        <w:t>In relation to paragraph 52E(1)(a) of the Act, t</w:t>
      </w:r>
      <w:r w:rsidRPr="00944A08">
        <w:rPr>
          <w:rFonts w:asciiTheme="minorHAnsi" w:hAnsiTheme="minorHAnsi"/>
          <w:szCs w:val="22"/>
          <w:lang w:eastAsia="en-AU"/>
        </w:rPr>
        <w:t>he proposed amendment to the Poisons Standard is to</w:t>
      </w:r>
      <w:r w:rsidRPr="00944A08">
        <w:rPr>
          <w:rFonts w:asciiTheme="minorHAnsi" w:hAnsiTheme="minorHAnsi"/>
          <w:szCs w:val="22"/>
        </w:rPr>
        <w:t xml:space="preserve"> include</w:t>
      </w:r>
      <w:r>
        <w:rPr>
          <w:rFonts w:asciiTheme="minorHAnsi" w:hAnsiTheme="minorHAnsi"/>
          <w:szCs w:val="22"/>
        </w:rPr>
        <w:t xml:space="preserve"> a new entry for</w:t>
      </w:r>
      <w:r w:rsidRPr="00944A08">
        <w:rPr>
          <w:rFonts w:asciiTheme="minorHAnsi" w:hAnsiTheme="minorHAnsi"/>
          <w:szCs w:val="22"/>
        </w:rPr>
        <w:t xml:space="preserve"> fenpropidin in Schedule 6</w:t>
      </w:r>
      <w:r>
        <w:rPr>
          <w:rFonts w:asciiTheme="minorHAnsi" w:hAnsiTheme="minorHAnsi"/>
          <w:szCs w:val="22"/>
        </w:rPr>
        <w:t xml:space="preserve">, based upon benefits to the agricultural industry from the introduction of a novel fungicide. </w:t>
      </w:r>
      <w:r w:rsidRPr="00944A08">
        <w:rPr>
          <w:rFonts w:asciiTheme="minorHAnsi" w:hAnsiTheme="minorHAnsi"/>
          <w:szCs w:val="22"/>
        </w:rPr>
        <w:t xml:space="preserve">In its application, the APVMA provided a Human Health Risk Assessment (HHRA) which concluded that the risks to human health and safety posed by this substance are acceptable according to the criteria stipulated in Section 5A of the </w:t>
      </w:r>
      <w:r w:rsidRPr="00944A08">
        <w:rPr>
          <w:rFonts w:asciiTheme="minorHAnsi" w:hAnsiTheme="minorHAnsi"/>
          <w:i/>
          <w:iCs/>
          <w:szCs w:val="22"/>
        </w:rPr>
        <w:t>Agricultural and Veterinary Chemicals Code Act (1994)</w:t>
      </w:r>
      <w:r w:rsidRPr="00944A08">
        <w:rPr>
          <w:rFonts w:asciiTheme="minorHAnsi" w:hAnsiTheme="minorHAnsi"/>
          <w:szCs w:val="22"/>
        </w:rPr>
        <w:t>.</w:t>
      </w:r>
    </w:p>
    <w:p w14:paraId="33C94217" w14:textId="77777777" w:rsidR="00DC694C" w:rsidRPr="00944A08" w:rsidRDefault="00DC694C" w:rsidP="00DC694C">
      <w:pPr>
        <w:pStyle w:val="ListParagraph"/>
        <w:rPr>
          <w:rFonts w:asciiTheme="minorHAnsi" w:hAnsiTheme="minorHAnsi"/>
          <w:szCs w:val="22"/>
        </w:rPr>
      </w:pPr>
    </w:p>
    <w:p w14:paraId="4AF93E1A" w14:textId="77777777" w:rsidR="00DC694C" w:rsidRPr="00944A08" w:rsidRDefault="00DC694C" w:rsidP="00AF77FE">
      <w:pPr>
        <w:pStyle w:val="ListParagraph"/>
        <w:numPr>
          <w:ilvl w:val="0"/>
          <w:numId w:val="12"/>
        </w:numPr>
        <w:rPr>
          <w:rFonts w:asciiTheme="minorHAnsi" w:hAnsiTheme="minorHAnsi"/>
          <w:szCs w:val="22"/>
        </w:rPr>
      </w:pPr>
      <w:r w:rsidRPr="00944A08">
        <w:rPr>
          <w:rFonts w:asciiTheme="minorHAnsi" w:hAnsiTheme="minorHAnsi"/>
          <w:szCs w:val="22"/>
        </w:rPr>
        <w:lastRenderedPageBreak/>
        <w:t xml:space="preserve">In relation to paragraph 52E(1)(b) of the Act, fenpropidin is </w:t>
      </w:r>
      <w:r>
        <w:rPr>
          <w:rFonts w:asciiTheme="minorHAnsi" w:hAnsiTheme="minorHAnsi"/>
          <w:szCs w:val="22"/>
        </w:rPr>
        <w:t xml:space="preserve">fungicide that belongs to the chemical class of piperidine derivatives. Fenpropidin is a new agricultural technical grade active constituent (TGAC) in Australia for the control of powdery mildew in wine grapes </w:t>
      </w:r>
      <w:r w:rsidRPr="00944A08">
        <w:rPr>
          <w:rFonts w:asciiTheme="minorHAnsi" w:hAnsiTheme="minorHAnsi"/>
          <w:szCs w:val="22"/>
        </w:rPr>
        <w:t xml:space="preserve">and may later be considered for the control of various fungal diseases in different food producing crops. </w:t>
      </w:r>
      <w:r>
        <w:rPr>
          <w:rFonts w:asciiTheme="minorHAnsi" w:hAnsiTheme="minorHAnsi"/>
          <w:szCs w:val="22"/>
        </w:rPr>
        <w:t xml:space="preserve">Products containing fenpropidin are approved in the European Union (EU) for the control of a range of foliar fungal diseases in cereals. Further it is also approved in other jurisdictions for the control of foliar fungal diseases in bananas, beets, and grapes. </w:t>
      </w:r>
    </w:p>
    <w:p w14:paraId="56D04BCD" w14:textId="77777777" w:rsidR="00DC694C" w:rsidRPr="00944A08" w:rsidRDefault="00DC694C" w:rsidP="00DC694C">
      <w:pPr>
        <w:pStyle w:val="ListParagraph"/>
        <w:rPr>
          <w:rFonts w:asciiTheme="minorHAnsi" w:hAnsiTheme="minorHAnsi"/>
          <w:szCs w:val="22"/>
        </w:rPr>
      </w:pPr>
    </w:p>
    <w:p w14:paraId="0FF8E7F1" w14:textId="77777777" w:rsidR="00DC694C" w:rsidRPr="00AF6B43" w:rsidRDefault="00DC694C" w:rsidP="00AF77FE">
      <w:pPr>
        <w:pStyle w:val="ListParagraph"/>
        <w:numPr>
          <w:ilvl w:val="0"/>
          <w:numId w:val="15"/>
        </w:numPr>
        <w:spacing w:after="120"/>
        <w:ind w:left="360"/>
        <w:jc w:val="both"/>
        <w:rPr>
          <w:rFonts w:asciiTheme="minorHAnsi" w:hAnsiTheme="minorHAnsi"/>
          <w:szCs w:val="22"/>
          <w:lang w:eastAsia="en-AU"/>
        </w:rPr>
      </w:pPr>
      <w:r w:rsidRPr="00470855">
        <w:rPr>
          <w:rFonts w:asciiTheme="minorHAnsi" w:hAnsiTheme="minorHAnsi"/>
          <w:szCs w:val="22"/>
        </w:rPr>
        <w:t xml:space="preserve">In relation to paragraph 52E(1)(c) of the Act, the application provided toxicity data about the TGAC and an agricultural product formulation containing fenpropidin at 375 g/L. </w:t>
      </w:r>
    </w:p>
    <w:p w14:paraId="5AE6D4AD" w14:textId="77777777" w:rsidR="00DC694C" w:rsidRPr="00CA6CC6" w:rsidRDefault="00DC694C" w:rsidP="00DC694C">
      <w:pPr>
        <w:pStyle w:val="ListParagraph"/>
        <w:ind w:left="360"/>
        <w:rPr>
          <w:rFonts w:asciiTheme="minorHAnsi" w:hAnsiTheme="minorHAnsi"/>
          <w:szCs w:val="22"/>
          <w:highlight w:val="yellow"/>
        </w:rPr>
      </w:pPr>
    </w:p>
    <w:p w14:paraId="6479DFAA" w14:textId="1C5B7B2E" w:rsidR="00DC694C" w:rsidRPr="008F5878" w:rsidRDefault="00DC694C" w:rsidP="00AF77FE">
      <w:pPr>
        <w:pStyle w:val="ListParagraph"/>
        <w:numPr>
          <w:ilvl w:val="0"/>
          <w:numId w:val="17"/>
        </w:numPr>
        <w:rPr>
          <w:rFonts w:asciiTheme="minorHAnsi" w:hAnsiTheme="minorHAnsi"/>
          <w:szCs w:val="22"/>
        </w:rPr>
      </w:pPr>
      <w:r w:rsidRPr="008F5878">
        <w:rPr>
          <w:rFonts w:asciiTheme="minorHAnsi" w:hAnsiTheme="minorHAnsi"/>
          <w:szCs w:val="22"/>
        </w:rPr>
        <w:t xml:space="preserve">The major repeated use hazard associated with fenpropidin is dermal irritation, which requires mitigation </w:t>
      </w:r>
      <w:proofErr w:type="gramStart"/>
      <w:r w:rsidR="002A7DC5">
        <w:rPr>
          <w:rFonts w:asciiTheme="minorHAnsi" w:hAnsiTheme="minorHAnsi"/>
          <w:szCs w:val="22"/>
        </w:rPr>
        <w:t>through</w:t>
      </w:r>
      <w:r w:rsidRPr="008F5878">
        <w:rPr>
          <w:rFonts w:asciiTheme="minorHAnsi" w:hAnsiTheme="minorHAnsi"/>
          <w:szCs w:val="22"/>
        </w:rPr>
        <w:t xml:space="preserve"> the use of</w:t>
      </w:r>
      <w:proofErr w:type="gramEnd"/>
      <w:r w:rsidRPr="008F5878">
        <w:rPr>
          <w:rFonts w:asciiTheme="minorHAnsi" w:hAnsiTheme="minorHAnsi"/>
          <w:szCs w:val="22"/>
        </w:rPr>
        <w:t xml:space="preserve"> personal protective equipment. I note that in mice, rats, </w:t>
      </w:r>
      <w:proofErr w:type="gramStart"/>
      <w:r w:rsidRPr="008F5878">
        <w:rPr>
          <w:rFonts w:asciiTheme="minorHAnsi" w:hAnsiTheme="minorHAnsi"/>
          <w:szCs w:val="22"/>
        </w:rPr>
        <w:t>rabbits</w:t>
      </w:r>
      <w:proofErr w:type="gramEnd"/>
      <w:r w:rsidRPr="008F5878">
        <w:rPr>
          <w:rFonts w:asciiTheme="minorHAnsi" w:hAnsiTheme="minorHAnsi"/>
          <w:szCs w:val="22"/>
        </w:rPr>
        <w:t xml:space="preserve"> and dogs, repeated oral, dermal or inhalation exposure to fenpropidin resulted in irritation/inflammation of the skin, gastrointestinal, urinary or respiratory tracts. Reduced feed consumption and reduced bodyweight gain were also observed. In addition, while demyelination of peripheral nerves associated with paresis and bilateral eye lens cataract</w:t>
      </w:r>
      <w:r w:rsidR="00632206">
        <w:rPr>
          <w:rFonts w:asciiTheme="minorHAnsi" w:hAnsiTheme="minorHAnsi"/>
          <w:szCs w:val="22"/>
        </w:rPr>
        <w:t>s</w:t>
      </w:r>
      <w:r w:rsidRPr="008F5878">
        <w:rPr>
          <w:rFonts w:asciiTheme="minorHAnsi" w:hAnsiTheme="minorHAnsi"/>
          <w:szCs w:val="22"/>
        </w:rPr>
        <w:t xml:space="preserve"> were observed in dogs and in a single rat following sub</w:t>
      </w:r>
      <w:r>
        <w:rPr>
          <w:rFonts w:asciiTheme="minorHAnsi" w:hAnsiTheme="minorHAnsi"/>
          <w:szCs w:val="22"/>
        </w:rPr>
        <w:t>-</w:t>
      </w:r>
      <w:r w:rsidRPr="008F5878">
        <w:rPr>
          <w:rFonts w:asciiTheme="minorHAnsi" w:hAnsiTheme="minorHAnsi"/>
          <w:szCs w:val="22"/>
        </w:rPr>
        <w:t>chronic to chronic high dose exposures, these were observed only at doses well above the no observed adverse effect levels</w:t>
      </w:r>
      <w:r>
        <w:rPr>
          <w:rFonts w:asciiTheme="minorHAnsi" w:hAnsiTheme="minorHAnsi"/>
          <w:szCs w:val="22"/>
        </w:rPr>
        <w:t xml:space="preserve"> (NOAEL)</w:t>
      </w:r>
      <w:r w:rsidRPr="008F5878">
        <w:rPr>
          <w:rFonts w:asciiTheme="minorHAnsi" w:hAnsiTheme="minorHAnsi"/>
          <w:szCs w:val="22"/>
        </w:rPr>
        <w:t xml:space="preserve"> on which health-based guidance values </w:t>
      </w:r>
      <w:r w:rsidR="00496E4F">
        <w:rPr>
          <w:rFonts w:asciiTheme="minorHAnsi" w:hAnsiTheme="minorHAnsi"/>
          <w:szCs w:val="22"/>
        </w:rPr>
        <w:t xml:space="preserve">(HBGVs) </w:t>
      </w:r>
      <w:r w:rsidRPr="008F5878">
        <w:rPr>
          <w:rFonts w:asciiTheme="minorHAnsi" w:hAnsiTheme="minorHAnsi"/>
          <w:szCs w:val="22"/>
        </w:rPr>
        <w:t xml:space="preserve">are established. Cataract and demyelination in fenpropidin studies hypothetically result from a mode of action consistent with fenpropidin’s fungicidal mode of action, </w:t>
      </w:r>
      <w:proofErr w:type="gramStart"/>
      <w:r w:rsidRPr="008F5878">
        <w:rPr>
          <w:rFonts w:asciiTheme="minorHAnsi" w:hAnsiTheme="minorHAnsi"/>
          <w:i/>
          <w:iCs/>
          <w:szCs w:val="22"/>
        </w:rPr>
        <w:t>i.e.</w:t>
      </w:r>
      <w:proofErr w:type="gramEnd"/>
      <w:r w:rsidRPr="008F5878">
        <w:rPr>
          <w:rFonts w:asciiTheme="minorHAnsi" w:hAnsiTheme="minorHAnsi"/>
          <w:szCs w:val="22"/>
        </w:rPr>
        <w:t xml:space="preserve"> sterol metabolism disruption.</w:t>
      </w:r>
    </w:p>
    <w:p w14:paraId="32866F66" w14:textId="77777777" w:rsidR="00DC694C" w:rsidRPr="008F5878" w:rsidRDefault="00DC694C" w:rsidP="00AF77FE">
      <w:pPr>
        <w:pStyle w:val="BodyText"/>
        <w:numPr>
          <w:ilvl w:val="0"/>
          <w:numId w:val="17"/>
        </w:numPr>
        <w:spacing w:after="120"/>
        <w:jc w:val="both"/>
        <w:rPr>
          <w:rFonts w:asciiTheme="minorHAnsi" w:hAnsiTheme="minorHAnsi"/>
          <w:sz w:val="22"/>
          <w:szCs w:val="22"/>
        </w:rPr>
      </w:pPr>
      <w:r w:rsidRPr="008F5878">
        <w:rPr>
          <w:rFonts w:asciiTheme="minorHAnsi" w:hAnsiTheme="minorHAnsi"/>
          <w:sz w:val="22"/>
          <w:szCs w:val="22"/>
        </w:rPr>
        <w:t xml:space="preserve">I note that fenpropidin is unlikely to pose a carcinogenic risk to humans. Fenpropidin was not genotoxic in an adequate range of </w:t>
      </w:r>
      <w:r w:rsidRPr="008F5878">
        <w:rPr>
          <w:rFonts w:asciiTheme="minorHAnsi" w:hAnsiTheme="minorHAnsi"/>
          <w:i/>
          <w:iCs/>
          <w:sz w:val="22"/>
          <w:szCs w:val="22"/>
        </w:rPr>
        <w:t>in vitro</w:t>
      </w:r>
      <w:r w:rsidRPr="008F5878">
        <w:rPr>
          <w:rFonts w:asciiTheme="minorHAnsi" w:hAnsiTheme="minorHAnsi"/>
          <w:sz w:val="22"/>
          <w:szCs w:val="22"/>
        </w:rPr>
        <w:t xml:space="preserve"> and </w:t>
      </w:r>
      <w:r w:rsidRPr="008F5878">
        <w:rPr>
          <w:rFonts w:asciiTheme="minorHAnsi" w:hAnsiTheme="minorHAnsi"/>
          <w:i/>
          <w:iCs/>
          <w:sz w:val="22"/>
          <w:szCs w:val="22"/>
        </w:rPr>
        <w:t>in vivo</w:t>
      </w:r>
      <w:r w:rsidRPr="008F5878">
        <w:rPr>
          <w:rFonts w:asciiTheme="minorHAnsi" w:hAnsiTheme="minorHAnsi"/>
          <w:sz w:val="22"/>
          <w:szCs w:val="22"/>
        </w:rPr>
        <w:t xml:space="preserve"> assays and did not induce neoplasia in near life-time exposure studies in rats and mice. </w:t>
      </w:r>
    </w:p>
    <w:p w14:paraId="6A6C7272" w14:textId="77777777" w:rsidR="00DC694C" w:rsidRPr="008F5878" w:rsidRDefault="00DC694C" w:rsidP="00AF77FE">
      <w:pPr>
        <w:pStyle w:val="BodyText"/>
        <w:numPr>
          <w:ilvl w:val="0"/>
          <w:numId w:val="17"/>
        </w:numPr>
        <w:spacing w:after="120"/>
        <w:jc w:val="both"/>
        <w:rPr>
          <w:rFonts w:asciiTheme="minorHAnsi" w:hAnsiTheme="minorHAnsi"/>
          <w:sz w:val="22"/>
          <w:szCs w:val="22"/>
        </w:rPr>
      </w:pPr>
      <w:r w:rsidRPr="008F5878">
        <w:rPr>
          <w:rFonts w:asciiTheme="minorHAnsi" w:hAnsiTheme="minorHAnsi"/>
          <w:sz w:val="22"/>
          <w:szCs w:val="22"/>
        </w:rPr>
        <w:t>In reference to reproductive and developmental toxicity, in rats and rabbits, fenpropidin did not adversely affect reproduction or offspring survival and development in the absence of maternal toxicity. On this basis, fenpropidin is not a reproductive toxicant and is not a teratogen,</w:t>
      </w:r>
      <w:r>
        <w:rPr>
          <w:rFonts w:asciiTheme="minorHAnsi" w:hAnsiTheme="minorHAnsi"/>
          <w:sz w:val="22"/>
          <w:szCs w:val="22"/>
        </w:rPr>
        <w:t xml:space="preserve"> but</w:t>
      </w:r>
      <w:r w:rsidRPr="008F5878">
        <w:rPr>
          <w:rFonts w:asciiTheme="minorHAnsi" w:hAnsiTheme="minorHAnsi"/>
          <w:sz w:val="22"/>
          <w:szCs w:val="22"/>
        </w:rPr>
        <w:t xml:space="preserve"> I have also considered the rare visceral (persistent truncus arteriosus) and skeletal (severely </w:t>
      </w:r>
      <w:proofErr w:type="spellStart"/>
      <w:r w:rsidRPr="008F5878">
        <w:rPr>
          <w:rFonts w:asciiTheme="minorHAnsi" w:hAnsiTheme="minorHAnsi"/>
          <w:sz w:val="22"/>
          <w:szCs w:val="22"/>
        </w:rPr>
        <w:t>malaligned</w:t>
      </w:r>
      <w:proofErr w:type="spellEnd"/>
      <w:r w:rsidRPr="008F5878">
        <w:rPr>
          <w:rFonts w:asciiTheme="minorHAnsi" w:hAnsiTheme="minorHAnsi"/>
          <w:sz w:val="22"/>
          <w:szCs w:val="22"/>
        </w:rPr>
        <w:t xml:space="preserve"> </w:t>
      </w:r>
      <w:proofErr w:type="spellStart"/>
      <w:r w:rsidRPr="008F5878">
        <w:rPr>
          <w:rFonts w:asciiTheme="minorHAnsi" w:hAnsiTheme="minorHAnsi"/>
          <w:sz w:val="22"/>
          <w:szCs w:val="22"/>
        </w:rPr>
        <w:t>sternebrae</w:t>
      </w:r>
      <w:proofErr w:type="spellEnd"/>
      <w:r w:rsidRPr="008F5878">
        <w:rPr>
          <w:rFonts w:asciiTheme="minorHAnsi" w:hAnsiTheme="minorHAnsi"/>
          <w:sz w:val="22"/>
          <w:szCs w:val="22"/>
        </w:rPr>
        <w:t>) malformations, delayed development and slightly reduced brain weight</w:t>
      </w:r>
      <w:r>
        <w:rPr>
          <w:rFonts w:asciiTheme="minorHAnsi" w:hAnsiTheme="minorHAnsi"/>
          <w:sz w:val="22"/>
          <w:szCs w:val="22"/>
        </w:rPr>
        <w:t xml:space="preserve"> that</w:t>
      </w:r>
      <w:r w:rsidRPr="008F5878">
        <w:rPr>
          <w:rFonts w:asciiTheme="minorHAnsi" w:hAnsiTheme="minorHAnsi"/>
          <w:sz w:val="22"/>
          <w:szCs w:val="22"/>
        </w:rPr>
        <w:t xml:space="preserve"> occurred at </w:t>
      </w:r>
      <w:proofErr w:type="spellStart"/>
      <w:r w:rsidRPr="008F5878">
        <w:rPr>
          <w:rFonts w:asciiTheme="minorHAnsi" w:hAnsiTheme="minorHAnsi"/>
          <w:sz w:val="22"/>
          <w:szCs w:val="22"/>
        </w:rPr>
        <w:t>maternotoxic</w:t>
      </w:r>
      <w:proofErr w:type="spellEnd"/>
      <w:r w:rsidRPr="008F5878">
        <w:rPr>
          <w:rFonts w:asciiTheme="minorHAnsi" w:hAnsiTheme="minorHAnsi"/>
          <w:sz w:val="22"/>
          <w:szCs w:val="22"/>
        </w:rPr>
        <w:t xml:space="preserve"> doses. The NOAEL for foetal development was 10 mg/kg </w:t>
      </w:r>
      <w:proofErr w:type="spellStart"/>
      <w:r w:rsidRPr="008F5878">
        <w:rPr>
          <w:rFonts w:asciiTheme="minorHAnsi" w:hAnsiTheme="minorHAnsi"/>
          <w:sz w:val="22"/>
          <w:szCs w:val="22"/>
        </w:rPr>
        <w:t>bw</w:t>
      </w:r>
      <w:proofErr w:type="spellEnd"/>
      <w:r w:rsidRPr="008F5878">
        <w:rPr>
          <w:rFonts w:asciiTheme="minorHAnsi" w:hAnsiTheme="minorHAnsi"/>
          <w:sz w:val="22"/>
          <w:szCs w:val="22"/>
        </w:rPr>
        <w:t xml:space="preserve">/day, while the NOAEL for </w:t>
      </w:r>
      <w:proofErr w:type="spellStart"/>
      <w:r w:rsidRPr="008F5878">
        <w:rPr>
          <w:rFonts w:asciiTheme="minorHAnsi" w:hAnsiTheme="minorHAnsi"/>
          <w:sz w:val="22"/>
          <w:szCs w:val="22"/>
        </w:rPr>
        <w:t>maternotoxicity</w:t>
      </w:r>
      <w:proofErr w:type="spellEnd"/>
      <w:r w:rsidRPr="008F5878">
        <w:rPr>
          <w:rFonts w:asciiTheme="minorHAnsi" w:hAnsiTheme="minorHAnsi"/>
          <w:sz w:val="22"/>
          <w:szCs w:val="22"/>
        </w:rPr>
        <w:t xml:space="preserve"> was 5 mg/kg </w:t>
      </w:r>
      <w:proofErr w:type="spellStart"/>
      <w:r w:rsidRPr="008F5878">
        <w:rPr>
          <w:rFonts w:asciiTheme="minorHAnsi" w:hAnsiTheme="minorHAnsi"/>
          <w:sz w:val="22"/>
          <w:szCs w:val="22"/>
        </w:rPr>
        <w:t>bw</w:t>
      </w:r>
      <w:proofErr w:type="spellEnd"/>
      <w:r w:rsidRPr="008F5878">
        <w:rPr>
          <w:rFonts w:asciiTheme="minorHAnsi" w:hAnsiTheme="minorHAnsi"/>
          <w:sz w:val="22"/>
          <w:szCs w:val="22"/>
        </w:rPr>
        <w:t xml:space="preserve">/day. </w:t>
      </w:r>
    </w:p>
    <w:p w14:paraId="5D6F69D0" w14:textId="7C9158F1" w:rsidR="00DC694C" w:rsidRPr="008F5878" w:rsidRDefault="00DC694C" w:rsidP="00AF77FE">
      <w:pPr>
        <w:pStyle w:val="BodyText"/>
        <w:numPr>
          <w:ilvl w:val="0"/>
          <w:numId w:val="17"/>
        </w:numPr>
        <w:jc w:val="both"/>
        <w:rPr>
          <w:rFonts w:asciiTheme="minorHAnsi" w:hAnsiTheme="minorHAnsi"/>
          <w:sz w:val="22"/>
          <w:szCs w:val="22"/>
        </w:rPr>
      </w:pPr>
      <w:r w:rsidRPr="008F5878">
        <w:rPr>
          <w:rFonts w:asciiTheme="minorHAnsi" w:hAnsiTheme="minorHAnsi"/>
          <w:sz w:val="22"/>
          <w:szCs w:val="22"/>
        </w:rPr>
        <w:t>Neurotoxic effects in</w:t>
      </w:r>
      <w:r>
        <w:rPr>
          <w:rFonts w:asciiTheme="minorHAnsi" w:hAnsiTheme="minorHAnsi"/>
          <w:sz w:val="22"/>
          <w:szCs w:val="22"/>
        </w:rPr>
        <w:t>clude</w:t>
      </w:r>
      <w:r w:rsidRPr="008F5878">
        <w:rPr>
          <w:rFonts w:asciiTheme="minorHAnsi" w:hAnsiTheme="minorHAnsi"/>
          <w:sz w:val="22"/>
          <w:szCs w:val="22"/>
        </w:rPr>
        <w:t xml:space="preserve"> peripheral nerve demyelination associated with paresis and reduced brain weight (~3%) of female pups in a rat dietary developmental neurotoxicity study. I agree with the APVMA that the proposed HBGVs will be protective of these effects.</w:t>
      </w:r>
    </w:p>
    <w:p w14:paraId="163B27B5" w14:textId="17ED081D" w:rsidR="00DC694C" w:rsidRPr="00944A08" w:rsidRDefault="00DC694C" w:rsidP="00AF77FE">
      <w:pPr>
        <w:pStyle w:val="ListBullet"/>
        <w:numPr>
          <w:ilvl w:val="0"/>
          <w:numId w:val="14"/>
        </w:numPr>
        <w:ind w:left="360"/>
        <w:rPr>
          <w:rFonts w:asciiTheme="minorHAnsi" w:hAnsiTheme="minorHAnsi"/>
          <w:szCs w:val="22"/>
          <w:lang w:eastAsia="en-AU"/>
        </w:rPr>
      </w:pPr>
      <w:r w:rsidRPr="00944A08">
        <w:rPr>
          <w:rFonts w:asciiTheme="minorHAnsi" w:hAnsiTheme="minorHAnsi"/>
          <w:szCs w:val="22"/>
          <w:lang w:eastAsia="en-AU"/>
        </w:rPr>
        <w:t>I am satisfied that, for the purposes of paragraph 52E(1)(d) of the Act,</w:t>
      </w:r>
      <w:r w:rsidR="00632206">
        <w:rPr>
          <w:rFonts w:asciiTheme="minorHAnsi" w:hAnsiTheme="minorHAnsi"/>
          <w:szCs w:val="22"/>
          <w:lang w:eastAsia="en-AU"/>
        </w:rPr>
        <w:t xml:space="preserve"> the </w:t>
      </w:r>
      <w:r w:rsidRPr="00944A08">
        <w:rPr>
          <w:rFonts w:asciiTheme="minorHAnsi" w:hAnsiTheme="minorHAnsi"/>
          <w:szCs w:val="22"/>
          <w:lang w:eastAsia="en-AU"/>
        </w:rPr>
        <w:t>APVMA</w:t>
      </w:r>
      <w:r w:rsidR="00632206">
        <w:rPr>
          <w:rFonts w:asciiTheme="minorHAnsi" w:hAnsiTheme="minorHAnsi"/>
          <w:szCs w:val="22"/>
          <w:lang w:eastAsia="en-AU"/>
        </w:rPr>
        <w:t>, as the product regulator of any commercial products,</w:t>
      </w:r>
      <w:r w:rsidRPr="00944A08">
        <w:rPr>
          <w:rFonts w:asciiTheme="minorHAnsi" w:hAnsiTheme="minorHAnsi"/>
          <w:szCs w:val="22"/>
          <w:lang w:eastAsia="en-AU"/>
        </w:rPr>
        <w:t xml:space="preserve"> will consider the</w:t>
      </w:r>
      <w:r w:rsidR="00632206">
        <w:rPr>
          <w:rFonts w:asciiTheme="minorHAnsi" w:hAnsiTheme="minorHAnsi"/>
          <w:szCs w:val="22"/>
          <w:lang w:eastAsia="en-AU"/>
        </w:rPr>
        <w:t>ir</w:t>
      </w:r>
      <w:r w:rsidRPr="00944A08">
        <w:rPr>
          <w:rFonts w:asciiTheme="minorHAnsi" w:hAnsiTheme="minorHAnsi"/>
          <w:szCs w:val="22"/>
          <w:lang w:eastAsia="en-AU"/>
        </w:rPr>
        <w:t xml:space="preserve"> dosage</w:t>
      </w:r>
      <w:r>
        <w:rPr>
          <w:rFonts w:asciiTheme="minorHAnsi" w:hAnsiTheme="minorHAnsi"/>
          <w:szCs w:val="22"/>
          <w:lang w:eastAsia="en-AU"/>
        </w:rPr>
        <w:t xml:space="preserve"> (application rate)</w:t>
      </w:r>
      <w:r w:rsidRPr="00944A08">
        <w:rPr>
          <w:rFonts w:asciiTheme="minorHAnsi" w:hAnsiTheme="minorHAnsi"/>
          <w:szCs w:val="22"/>
          <w:lang w:eastAsia="en-AU"/>
        </w:rPr>
        <w:t>, formulation, labelling, packaging</w:t>
      </w:r>
      <w:r>
        <w:rPr>
          <w:rFonts w:asciiTheme="minorHAnsi" w:hAnsiTheme="minorHAnsi"/>
          <w:szCs w:val="22"/>
          <w:lang w:eastAsia="en-AU"/>
        </w:rPr>
        <w:t>,</w:t>
      </w:r>
      <w:r w:rsidRPr="00944A08">
        <w:rPr>
          <w:rFonts w:asciiTheme="minorHAnsi" w:hAnsiTheme="minorHAnsi"/>
          <w:szCs w:val="22"/>
          <w:lang w:eastAsia="en-AU"/>
        </w:rPr>
        <w:t xml:space="preserve"> and presentation</w:t>
      </w:r>
      <w:r>
        <w:rPr>
          <w:rFonts w:asciiTheme="minorHAnsi" w:hAnsiTheme="minorHAnsi"/>
          <w:szCs w:val="22"/>
          <w:lang w:eastAsia="en-AU"/>
        </w:rPr>
        <w:t xml:space="preserve">. </w:t>
      </w:r>
    </w:p>
    <w:p w14:paraId="766F07BE" w14:textId="77777777" w:rsidR="00DC694C" w:rsidRPr="00944A08" w:rsidRDefault="00DC694C" w:rsidP="00AF77FE">
      <w:pPr>
        <w:pStyle w:val="ListNumber"/>
        <w:numPr>
          <w:ilvl w:val="0"/>
          <w:numId w:val="14"/>
        </w:numPr>
        <w:tabs>
          <w:tab w:val="clear" w:pos="720"/>
          <w:tab w:val="num" w:pos="360"/>
        </w:tabs>
        <w:ind w:left="360"/>
        <w:jc w:val="both"/>
        <w:rPr>
          <w:rFonts w:asciiTheme="minorHAnsi" w:hAnsiTheme="minorHAnsi"/>
          <w:sz w:val="22"/>
          <w:szCs w:val="22"/>
        </w:rPr>
      </w:pPr>
      <w:r w:rsidRPr="00944A08">
        <w:rPr>
          <w:rFonts w:asciiTheme="minorHAnsi" w:hAnsiTheme="minorHAnsi"/>
          <w:sz w:val="22"/>
          <w:szCs w:val="22"/>
        </w:rPr>
        <w:t>In re</w:t>
      </w:r>
      <w:r>
        <w:rPr>
          <w:rFonts w:asciiTheme="minorHAnsi" w:hAnsiTheme="minorHAnsi"/>
          <w:sz w:val="22"/>
          <w:szCs w:val="22"/>
        </w:rPr>
        <w:t>lation</w:t>
      </w:r>
      <w:r w:rsidRPr="00944A08">
        <w:rPr>
          <w:rFonts w:asciiTheme="minorHAnsi" w:hAnsiTheme="minorHAnsi"/>
          <w:sz w:val="22"/>
          <w:szCs w:val="22"/>
        </w:rPr>
        <w:t xml:space="preserve"> to paragraph 52E(1)(e) of the Act, the </w:t>
      </w:r>
      <w:r>
        <w:rPr>
          <w:rFonts w:asciiTheme="minorHAnsi" w:hAnsiTheme="minorHAnsi"/>
          <w:sz w:val="22"/>
          <w:szCs w:val="22"/>
        </w:rPr>
        <w:t xml:space="preserve">substance has no human therapeutic value or significant pharmacological effect that would indicate a risk for diversion, misuse, or abuse. </w:t>
      </w:r>
      <w:r w:rsidRPr="00944A08">
        <w:rPr>
          <w:rFonts w:asciiTheme="minorHAnsi" w:hAnsiTheme="minorHAnsi"/>
          <w:sz w:val="22"/>
          <w:szCs w:val="22"/>
        </w:rPr>
        <w:t xml:space="preserve"> </w:t>
      </w:r>
    </w:p>
    <w:p w14:paraId="1C88FEAF" w14:textId="77777777" w:rsidR="00DC694C" w:rsidRPr="00944A08" w:rsidRDefault="00DC694C" w:rsidP="00DC694C">
      <w:pPr>
        <w:rPr>
          <w:rFonts w:asciiTheme="minorHAnsi" w:hAnsiTheme="minorHAnsi"/>
          <w:szCs w:val="22"/>
        </w:rPr>
      </w:pPr>
      <w:proofErr w:type="gramStart"/>
      <w:r>
        <w:rPr>
          <w:rFonts w:asciiTheme="minorHAnsi" w:hAnsiTheme="minorHAnsi"/>
          <w:szCs w:val="22"/>
        </w:rPr>
        <w:t>On the basis of</w:t>
      </w:r>
      <w:proofErr w:type="gramEnd"/>
      <w:r>
        <w:rPr>
          <w:rFonts w:asciiTheme="minorHAnsi" w:hAnsiTheme="minorHAnsi"/>
          <w:szCs w:val="22"/>
        </w:rPr>
        <w:t xml:space="preserve"> the above considerations and t</w:t>
      </w:r>
      <w:r w:rsidRPr="00944A08">
        <w:rPr>
          <w:rFonts w:asciiTheme="minorHAnsi" w:hAnsiTheme="minorHAnsi"/>
          <w:szCs w:val="22"/>
        </w:rPr>
        <w:t xml:space="preserve">he information provided in the application, I have decided to amend the current Poisons Standard in the manner set out </w:t>
      </w:r>
      <w:r>
        <w:rPr>
          <w:rFonts w:asciiTheme="minorHAnsi" w:hAnsiTheme="minorHAnsi"/>
          <w:szCs w:val="22"/>
        </w:rPr>
        <w:t xml:space="preserve">above. </w:t>
      </w:r>
      <w:r w:rsidRPr="00944A08">
        <w:rPr>
          <w:rFonts w:asciiTheme="minorHAnsi" w:hAnsiTheme="minorHAnsi"/>
          <w:szCs w:val="22"/>
        </w:rPr>
        <w:t>The proposed amendment was not referred to an expert advisory committee.</w:t>
      </w:r>
    </w:p>
    <w:p w14:paraId="4E9F4063" w14:textId="1A9505F9" w:rsidR="00DC694C" w:rsidRPr="00944A08" w:rsidRDefault="00DC694C" w:rsidP="00DC694C">
      <w:pPr>
        <w:pStyle w:val="Heading4"/>
        <w:rPr>
          <w:rFonts w:asciiTheme="minorHAnsi" w:hAnsiTheme="minorHAnsi"/>
          <w:i/>
          <w:iCs/>
          <w:sz w:val="22"/>
          <w:szCs w:val="22"/>
        </w:rPr>
      </w:pPr>
      <w:r>
        <w:rPr>
          <w:rFonts w:asciiTheme="minorHAnsi" w:hAnsiTheme="minorHAnsi"/>
          <w:i/>
          <w:iCs/>
          <w:sz w:val="22"/>
          <w:szCs w:val="22"/>
        </w:rPr>
        <w:t>Implementation date</w:t>
      </w:r>
    </w:p>
    <w:p w14:paraId="4E75F460" w14:textId="5A9AAE29" w:rsidR="00DC694C" w:rsidRPr="00944A08" w:rsidRDefault="00DC694C" w:rsidP="00DC694C">
      <w:pPr>
        <w:rPr>
          <w:rFonts w:asciiTheme="minorHAnsi" w:hAnsiTheme="minorHAnsi"/>
          <w:szCs w:val="22"/>
        </w:rPr>
      </w:pPr>
      <w:r w:rsidRPr="00944A08">
        <w:rPr>
          <w:rFonts w:asciiTheme="minorHAnsi" w:hAnsiTheme="minorHAnsi"/>
          <w:szCs w:val="22"/>
        </w:rPr>
        <w:t>1 February 2023</w:t>
      </w:r>
      <w:r w:rsidR="00A63446">
        <w:rPr>
          <w:rFonts w:asciiTheme="minorHAnsi" w:hAnsiTheme="minorHAnsi"/>
          <w:szCs w:val="22"/>
        </w:rPr>
        <w:t>.</w:t>
      </w:r>
    </w:p>
    <w:p w14:paraId="1E2CDB9F" w14:textId="77777777" w:rsidR="00DC694C" w:rsidRPr="00FF130E" w:rsidRDefault="00DC694C" w:rsidP="00DC694C">
      <w:pPr>
        <w:pStyle w:val="Heading3"/>
        <w:ind w:left="0" w:firstLine="0"/>
      </w:pPr>
      <w:bookmarkStart w:id="63" w:name="_Toc120478919"/>
      <w:bookmarkStart w:id="64" w:name="_Toc125014789"/>
      <w:r w:rsidRPr="00FF130E">
        <w:lastRenderedPageBreak/>
        <w:t>Final decision in relation to fluralaner</w:t>
      </w:r>
      <w:bookmarkEnd w:id="63"/>
      <w:bookmarkEnd w:id="64"/>
    </w:p>
    <w:p w14:paraId="39F226F2" w14:textId="77777777" w:rsidR="00DC694C" w:rsidRPr="00944A08" w:rsidRDefault="00DC694C" w:rsidP="00DC694C">
      <w:pPr>
        <w:pStyle w:val="Heading4"/>
        <w:rPr>
          <w:rFonts w:asciiTheme="minorHAnsi" w:hAnsiTheme="minorHAnsi"/>
          <w:i/>
          <w:iCs/>
          <w:sz w:val="22"/>
          <w:szCs w:val="22"/>
        </w:rPr>
      </w:pPr>
      <w:r w:rsidRPr="00944A08">
        <w:rPr>
          <w:rFonts w:asciiTheme="minorHAnsi" w:hAnsiTheme="minorHAnsi"/>
          <w:i/>
          <w:iCs/>
          <w:sz w:val="22"/>
          <w:szCs w:val="22"/>
        </w:rPr>
        <w:t>Final decision</w:t>
      </w:r>
    </w:p>
    <w:p w14:paraId="19CCF6FF" w14:textId="0425E97A" w:rsidR="00DC694C" w:rsidRPr="00944A08" w:rsidRDefault="00DC694C" w:rsidP="00DC694C">
      <w:pPr>
        <w:rPr>
          <w:rFonts w:asciiTheme="minorHAnsi" w:hAnsiTheme="minorHAnsi"/>
          <w:szCs w:val="22"/>
        </w:rPr>
      </w:pPr>
      <w:r w:rsidRPr="00944A08">
        <w:rPr>
          <w:rFonts w:asciiTheme="minorHAnsi" w:hAnsiTheme="minorHAnsi"/>
          <w:szCs w:val="22"/>
        </w:rPr>
        <w:t xml:space="preserve">Pursuant to regulation 42ZCZU of the Regulations, a </w:t>
      </w:r>
      <w:r>
        <w:rPr>
          <w:rFonts w:asciiTheme="minorHAnsi" w:hAnsiTheme="minorHAnsi"/>
          <w:szCs w:val="22"/>
        </w:rPr>
        <w:t>d</w:t>
      </w:r>
      <w:r w:rsidRPr="00944A08">
        <w:rPr>
          <w:rFonts w:asciiTheme="minorHAnsi" w:hAnsiTheme="minorHAnsi"/>
          <w:szCs w:val="22"/>
        </w:rPr>
        <w:t>elegate of the Secretary has made a final decision to amend the current Poisons Standard in relation to fluralaner as follows:</w:t>
      </w:r>
      <w:r w:rsidR="006147C4" w:rsidRPr="006147C4">
        <w:rPr>
          <w:rStyle w:val="FootnoteReference"/>
        </w:rPr>
        <w:t xml:space="preserve"> </w:t>
      </w:r>
      <w:r w:rsidR="006147C4">
        <w:rPr>
          <w:rStyle w:val="FootnoteReference"/>
        </w:rPr>
        <w:footnoteReference w:id="10"/>
      </w:r>
    </w:p>
    <w:p w14:paraId="672C4962" w14:textId="77777777" w:rsidR="00DC694C" w:rsidRPr="00944A08" w:rsidRDefault="00DC694C" w:rsidP="00DC694C">
      <w:pPr>
        <w:tabs>
          <w:tab w:val="left" w:pos="426"/>
        </w:tabs>
        <w:ind w:left="426"/>
        <w:jc w:val="both"/>
        <w:rPr>
          <w:rFonts w:asciiTheme="minorHAnsi" w:hAnsiTheme="minorHAnsi"/>
          <w:color w:val="00B050"/>
          <w:szCs w:val="22"/>
        </w:rPr>
      </w:pPr>
      <w:r w:rsidRPr="00944A08">
        <w:rPr>
          <w:rFonts w:asciiTheme="minorHAnsi" w:hAnsiTheme="minorHAnsi"/>
          <w:b/>
          <w:bCs/>
          <w:szCs w:val="22"/>
        </w:rPr>
        <w:t>Schedule 5 – Amend entry</w:t>
      </w:r>
    </w:p>
    <w:p w14:paraId="29083003" w14:textId="77777777" w:rsidR="00DC694C" w:rsidRPr="00944A08" w:rsidRDefault="00DC694C" w:rsidP="00DC694C">
      <w:pPr>
        <w:tabs>
          <w:tab w:val="left" w:pos="426"/>
        </w:tabs>
        <w:jc w:val="both"/>
        <w:rPr>
          <w:rFonts w:asciiTheme="minorHAnsi" w:hAnsiTheme="minorHAnsi"/>
          <w:szCs w:val="22"/>
        </w:rPr>
      </w:pPr>
      <w:r>
        <w:rPr>
          <w:rFonts w:asciiTheme="minorHAnsi" w:hAnsiTheme="minorHAnsi"/>
          <w:szCs w:val="22"/>
        </w:rPr>
        <w:tab/>
      </w:r>
      <w:r>
        <w:rPr>
          <w:rFonts w:asciiTheme="minorHAnsi" w:hAnsiTheme="minorHAnsi"/>
          <w:szCs w:val="22"/>
        </w:rPr>
        <w:tab/>
      </w:r>
      <w:r w:rsidRPr="00944A08">
        <w:rPr>
          <w:rFonts w:asciiTheme="minorHAnsi" w:hAnsiTheme="minorHAnsi"/>
          <w:szCs w:val="22"/>
        </w:rPr>
        <w:t xml:space="preserve">FLURALANER </w:t>
      </w:r>
      <w:r w:rsidRPr="00855EE9">
        <w:rPr>
          <w:rFonts w:asciiTheme="minorHAnsi" w:hAnsiTheme="minorHAnsi"/>
          <w:b/>
          <w:bCs/>
          <w:color w:val="00B050"/>
          <w:szCs w:val="22"/>
          <w:u w:val="single"/>
        </w:rPr>
        <w:t>except</w:t>
      </w:r>
      <w:r w:rsidRPr="00855EE9">
        <w:rPr>
          <w:rFonts w:asciiTheme="minorHAnsi" w:hAnsiTheme="minorHAnsi"/>
          <w:i/>
          <w:iCs/>
          <w:color w:val="00B050"/>
          <w:szCs w:val="22"/>
          <w:u w:val="single"/>
        </w:rPr>
        <w:t xml:space="preserve"> </w:t>
      </w:r>
      <w:r w:rsidRPr="00855EE9">
        <w:rPr>
          <w:rFonts w:asciiTheme="minorHAnsi" w:hAnsiTheme="minorHAnsi"/>
          <w:color w:val="00B050"/>
          <w:szCs w:val="22"/>
          <w:u w:val="single"/>
        </w:rPr>
        <w:t>when in Schedule 4.</w:t>
      </w:r>
      <w:r w:rsidRPr="00944A08">
        <w:rPr>
          <w:rFonts w:asciiTheme="minorHAnsi" w:hAnsiTheme="minorHAnsi"/>
          <w:szCs w:val="22"/>
        </w:rPr>
        <w:t xml:space="preserve"> </w:t>
      </w:r>
    </w:p>
    <w:p w14:paraId="3A269CC9" w14:textId="77777777" w:rsidR="00DC694C" w:rsidRPr="00944A08" w:rsidRDefault="00DC694C" w:rsidP="00DC694C">
      <w:pPr>
        <w:ind w:left="426"/>
        <w:rPr>
          <w:rFonts w:asciiTheme="minorHAnsi" w:hAnsiTheme="minorHAnsi"/>
          <w:b/>
          <w:bCs/>
          <w:szCs w:val="22"/>
        </w:rPr>
      </w:pPr>
      <w:r w:rsidRPr="00944A08">
        <w:rPr>
          <w:rFonts w:asciiTheme="minorHAnsi" w:hAnsiTheme="minorHAnsi"/>
          <w:b/>
          <w:bCs/>
          <w:szCs w:val="22"/>
        </w:rPr>
        <w:t>Schedule 4 - New entry</w:t>
      </w:r>
    </w:p>
    <w:p w14:paraId="76599F9C" w14:textId="77777777" w:rsidR="00DC694C" w:rsidRPr="00855EE9" w:rsidRDefault="00DC694C" w:rsidP="00DC694C">
      <w:pPr>
        <w:ind w:firstLine="720"/>
        <w:rPr>
          <w:rFonts w:asciiTheme="minorHAnsi" w:hAnsiTheme="minorHAnsi"/>
          <w:b/>
          <w:szCs w:val="22"/>
          <w:highlight w:val="cyan"/>
          <w:u w:val="single"/>
        </w:rPr>
      </w:pPr>
      <w:r w:rsidRPr="00855EE9">
        <w:rPr>
          <w:rFonts w:asciiTheme="minorHAnsi" w:hAnsiTheme="minorHAnsi"/>
          <w:bCs/>
          <w:color w:val="00B050"/>
          <w:szCs w:val="22"/>
          <w:u w:val="single"/>
        </w:rPr>
        <w:t>FLURALANER</w:t>
      </w:r>
      <w:r w:rsidRPr="00855EE9">
        <w:rPr>
          <w:rFonts w:asciiTheme="minorHAnsi" w:hAnsiTheme="minorHAnsi"/>
          <w:b/>
          <w:color w:val="00B050"/>
          <w:szCs w:val="22"/>
          <w:u w:val="single"/>
        </w:rPr>
        <w:t xml:space="preserve"> </w:t>
      </w:r>
      <w:bookmarkStart w:id="65" w:name="_Toc105409815"/>
      <w:r w:rsidRPr="00855EE9">
        <w:rPr>
          <w:rFonts w:asciiTheme="minorHAnsi" w:hAnsiTheme="minorHAnsi"/>
          <w:color w:val="00B050"/>
          <w:szCs w:val="22"/>
          <w:u w:val="single"/>
        </w:rPr>
        <w:t>in injectable preparations for use in companion animals.</w:t>
      </w:r>
      <w:bookmarkEnd w:id="65"/>
    </w:p>
    <w:p w14:paraId="674D26A5" w14:textId="77777777" w:rsidR="00DC694C" w:rsidRPr="00944A08" w:rsidRDefault="00DC694C" w:rsidP="00DC694C">
      <w:pPr>
        <w:ind w:left="426"/>
        <w:rPr>
          <w:rFonts w:asciiTheme="minorHAnsi" w:hAnsiTheme="minorHAnsi"/>
          <w:b/>
          <w:szCs w:val="22"/>
        </w:rPr>
      </w:pPr>
      <w:r w:rsidRPr="00944A08">
        <w:rPr>
          <w:rFonts w:asciiTheme="minorHAnsi" w:hAnsiTheme="minorHAnsi"/>
          <w:b/>
          <w:szCs w:val="22"/>
        </w:rPr>
        <w:t>Index – Amend entry</w:t>
      </w:r>
    </w:p>
    <w:p w14:paraId="15D07544" w14:textId="77777777" w:rsidR="00DC694C" w:rsidRPr="00855EE9" w:rsidRDefault="00DC694C" w:rsidP="00DC694C">
      <w:pPr>
        <w:ind w:firstLine="720"/>
        <w:rPr>
          <w:rFonts w:asciiTheme="minorHAnsi" w:hAnsiTheme="minorHAnsi"/>
          <w:b/>
          <w:szCs w:val="22"/>
          <w:u w:val="single"/>
        </w:rPr>
      </w:pPr>
      <w:r w:rsidRPr="00855EE9">
        <w:rPr>
          <w:rFonts w:asciiTheme="minorHAnsi" w:hAnsiTheme="minorHAnsi"/>
          <w:b/>
          <w:color w:val="00B050"/>
          <w:szCs w:val="22"/>
          <w:u w:val="single"/>
        </w:rPr>
        <w:t>FLURALANER</w:t>
      </w:r>
    </w:p>
    <w:p w14:paraId="792F65B3" w14:textId="77777777" w:rsidR="00DC694C" w:rsidRPr="00944A08" w:rsidRDefault="00DC694C" w:rsidP="00DC694C">
      <w:pPr>
        <w:ind w:left="720"/>
        <w:rPr>
          <w:rFonts w:asciiTheme="minorHAnsi" w:hAnsiTheme="minorHAnsi"/>
          <w:bCs/>
          <w:szCs w:val="22"/>
        </w:rPr>
      </w:pPr>
      <w:r w:rsidRPr="00944A08">
        <w:rPr>
          <w:rFonts w:asciiTheme="minorHAnsi" w:hAnsiTheme="minorHAnsi"/>
          <w:bCs/>
          <w:szCs w:val="22"/>
        </w:rPr>
        <w:t>Schedule 5</w:t>
      </w:r>
      <w:r w:rsidRPr="00944A08">
        <w:rPr>
          <w:rFonts w:asciiTheme="minorHAnsi" w:hAnsiTheme="minorHAnsi"/>
          <w:bCs/>
          <w:szCs w:val="22"/>
        </w:rPr>
        <w:br/>
      </w:r>
      <w:r w:rsidRPr="00855EE9">
        <w:rPr>
          <w:rFonts w:asciiTheme="minorHAnsi" w:hAnsiTheme="minorHAnsi"/>
          <w:bCs/>
          <w:color w:val="00B050"/>
          <w:szCs w:val="22"/>
          <w:u w:val="single"/>
        </w:rPr>
        <w:t>Schedule 4</w:t>
      </w:r>
      <w:r w:rsidRPr="00944A08">
        <w:rPr>
          <w:rFonts w:asciiTheme="minorHAnsi" w:hAnsiTheme="minorHAnsi"/>
          <w:bCs/>
          <w:szCs w:val="22"/>
        </w:rPr>
        <w:t xml:space="preserve"> </w:t>
      </w:r>
    </w:p>
    <w:p w14:paraId="2A5D867B" w14:textId="77777777" w:rsidR="00DC694C" w:rsidRPr="00944A08" w:rsidRDefault="00DC694C" w:rsidP="00DC694C">
      <w:pPr>
        <w:pStyle w:val="Heading4"/>
        <w:rPr>
          <w:rFonts w:asciiTheme="minorHAnsi" w:hAnsiTheme="minorHAnsi"/>
          <w:i/>
          <w:iCs/>
          <w:sz w:val="22"/>
          <w:szCs w:val="22"/>
        </w:rPr>
      </w:pPr>
      <w:r w:rsidRPr="00944A08">
        <w:rPr>
          <w:rFonts w:asciiTheme="minorHAnsi" w:hAnsiTheme="minorHAnsi"/>
          <w:i/>
          <w:iCs/>
          <w:sz w:val="22"/>
          <w:szCs w:val="22"/>
        </w:rPr>
        <w:t>Materials considered</w:t>
      </w:r>
    </w:p>
    <w:p w14:paraId="60FCD94D" w14:textId="77777777" w:rsidR="00DC694C" w:rsidRPr="00944A08" w:rsidRDefault="00DC694C" w:rsidP="00DC694C">
      <w:pPr>
        <w:rPr>
          <w:rFonts w:asciiTheme="minorHAnsi" w:hAnsiTheme="minorHAnsi"/>
          <w:szCs w:val="22"/>
        </w:rPr>
      </w:pPr>
      <w:r w:rsidRPr="00944A08">
        <w:rPr>
          <w:rFonts w:asciiTheme="minorHAnsi" w:hAnsiTheme="minorHAnsi"/>
          <w:szCs w:val="22"/>
        </w:rPr>
        <w:t>In making this final decision, the Delegate considered the following material:</w:t>
      </w:r>
    </w:p>
    <w:p w14:paraId="5F2936C9" w14:textId="77777777" w:rsidR="00DC694C" w:rsidRPr="00944A08" w:rsidRDefault="00DC694C" w:rsidP="00DC694C">
      <w:pPr>
        <w:pStyle w:val="ListBullet"/>
        <w:numPr>
          <w:ilvl w:val="0"/>
          <w:numId w:val="1"/>
        </w:numPr>
      </w:pPr>
      <w:r w:rsidRPr="00944A08">
        <w:t xml:space="preserve">The application to amend the current Poisons Standard with respect to </w:t>
      </w:r>
      <w:bookmarkStart w:id="66" w:name="_Hlk121309904"/>
      <w:proofErr w:type="gramStart"/>
      <w:r w:rsidRPr="00944A08">
        <w:t>fluralaner</w:t>
      </w:r>
      <w:bookmarkEnd w:id="66"/>
      <w:r w:rsidRPr="00944A08">
        <w:t>;</w:t>
      </w:r>
      <w:proofErr w:type="gramEnd"/>
    </w:p>
    <w:p w14:paraId="4B27B8BA" w14:textId="77777777" w:rsidR="00DC694C" w:rsidRPr="004366C2" w:rsidRDefault="00DC694C" w:rsidP="00DC694C">
      <w:pPr>
        <w:pStyle w:val="ListBullet"/>
        <w:numPr>
          <w:ilvl w:val="0"/>
          <w:numId w:val="1"/>
        </w:numPr>
      </w:pPr>
      <w:r w:rsidRPr="00944A08">
        <w:t>Subsection 52</w:t>
      </w:r>
      <w:proofErr w:type="gramStart"/>
      <w:r w:rsidRPr="00944A08">
        <w:t>E(</w:t>
      </w:r>
      <w:proofErr w:type="gramEnd"/>
      <w:r w:rsidRPr="00944A08">
        <w:t xml:space="preserve">1) of the Act, in particular (a) the risks and benefits of the use of a substance; (b) the purposes for which a substance is to be used and the extent of use of a substance; (c) the toxicity of a substance; (d) the dosage, formulation, labelling, packaging and presentation of a substance; </w:t>
      </w:r>
      <w:r>
        <w:t xml:space="preserve">and </w:t>
      </w:r>
      <w:r w:rsidRPr="00944A08">
        <w:t xml:space="preserve">(e) the potential for abuse of a </w:t>
      </w:r>
      <w:r w:rsidRPr="004366C2">
        <w:t>substance.</w:t>
      </w:r>
    </w:p>
    <w:p w14:paraId="4DE68D23" w14:textId="77777777" w:rsidR="00DC694C" w:rsidRPr="00944A08" w:rsidRDefault="00DC694C" w:rsidP="00DC694C">
      <w:pPr>
        <w:pStyle w:val="ListBullet"/>
        <w:numPr>
          <w:ilvl w:val="0"/>
          <w:numId w:val="1"/>
        </w:numPr>
        <w:rPr>
          <w:lang w:eastAsia="en-AU"/>
        </w:rPr>
      </w:pPr>
      <w:r w:rsidRPr="00944A08">
        <w:t xml:space="preserve">Pursuant to paragraph 52E(2)(a) of the Act, the </w:t>
      </w:r>
      <w:hyperlink r:id="rId73" w:history="1">
        <w:r w:rsidRPr="00944A08">
          <w:rPr>
            <w:rStyle w:val="Hyperlink"/>
            <w:rFonts w:asciiTheme="minorHAnsi" w:hAnsiTheme="minorHAnsi"/>
            <w:szCs w:val="22"/>
          </w:rPr>
          <w:t>Scheduling Policy Framework</w:t>
        </w:r>
      </w:hyperlink>
      <w:r w:rsidRPr="00944A08">
        <w:t xml:space="preserve"> 2018 (</w:t>
      </w:r>
      <w:r w:rsidRPr="00944A08">
        <w:rPr>
          <w:b/>
          <w:bCs/>
        </w:rPr>
        <w:t>SPF</w:t>
      </w:r>
      <w:r w:rsidRPr="00944A08">
        <w:t xml:space="preserve">); and </w:t>
      </w:r>
    </w:p>
    <w:p w14:paraId="20C16231" w14:textId="77777777" w:rsidR="00DC694C" w:rsidRPr="00944A08" w:rsidRDefault="00DC694C" w:rsidP="00DC694C">
      <w:pPr>
        <w:pStyle w:val="ListBullet"/>
        <w:numPr>
          <w:ilvl w:val="0"/>
          <w:numId w:val="1"/>
        </w:numPr>
      </w:pPr>
      <w:r w:rsidRPr="00944A08">
        <w:t xml:space="preserve">The </w:t>
      </w:r>
      <w:hyperlink r:id="rId74" w:history="1">
        <w:r w:rsidRPr="00944A08">
          <w:rPr>
            <w:rStyle w:val="Hyperlink"/>
            <w:rFonts w:asciiTheme="minorHAnsi" w:hAnsiTheme="minorHAnsi"/>
            <w:szCs w:val="22"/>
          </w:rPr>
          <w:t>Scheduling handbook: Guidance for amending the Poisons Standard</w:t>
        </w:r>
      </w:hyperlink>
      <w:r w:rsidRPr="00944A08">
        <w:t xml:space="preserve"> (the </w:t>
      </w:r>
      <w:r w:rsidRPr="00944A08">
        <w:rPr>
          <w:b/>
          <w:bCs/>
        </w:rPr>
        <w:t>Handbook</w:t>
      </w:r>
      <w:r w:rsidRPr="00944A08">
        <w:t>).</w:t>
      </w:r>
    </w:p>
    <w:p w14:paraId="35E0A98C" w14:textId="77777777" w:rsidR="00DC694C" w:rsidRPr="00944A08" w:rsidRDefault="00DC694C" w:rsidP="00DC694C">
      <w:pPr>
        <w:pStyle w:val="Heading4"/>
        <w:rPr>
          <w:rFonts w:asciiTheme="minorHAnsi" w:hAnsiTheme="minorHAnsi"/>
          <w:i/>
          <w:iCs/>
          <w:sz w:val="22"/>
          <w:szCs w:val="22"/>
        </w:rPr>
      </w:pPr>
      <w:r w:rsidRPr="00944A08">
        <w:rPr>
          <w:rFonts w:asciiTheme="minorHAnsi" w:hAnsiTheme="minorHAnsi"/>
          <w:i/>
          <w:iCs/>
          <w:sz w:val="22"/>
          <w:szCs w:val="22"/>
        </w:rPr>
        <w:t>Reasons for the final decision (including findings on material questions of fact)</w:t>
      </w:r>
    </w:p>
    <w:p w14:paraId="06D53F19" w14:textId="7B5D0564" w:rsidR="00DC694C" w:rsidRPr="00944A08" w:rsidRDefault="00DC694C" w:rsidP="00DC694C">
      <w:pPr>
        <w:rPr>
          <w:rFonts w:asciiTheme="minorHAnsi" w:hAnsiTheme="minorHAnsi"/>
          <w:szCs w:val="22"/>
        </w:rPr>
      </w:pPr>
      <w:r w:rsidRPr="00944A08">
        <w:rPr>
          <w:rFonts w:asciiTheme="minorHAnsi" w:hAnsiTheme="minorHAnsi"/>
          <w:szCs w:val="22"/>
        </w:rPr>
        <w:t xml:space="preserve">In determining that this matter will be a delegate-only decision I have </w:t>
      </w:r>
      <w:proofErr w:type="gramStart"/>
      <w:r w:rsidRPr="00944A08">
        <w:rPr>
          <w:rFonts w:asciiTheme="minorHAnsi" w:hAnsiTheme="minorHAnsi"/>
          <w:szCs w:val="22"/>
        </w:rPr>
        <w:t>taken into account</w:t>
      </w:r>
      <w:proofErr w:type="gramEnd"/>
      <w:r w:rsidRPr="00944A08">
        <w:rPr>
          <w:rFonts w:asciiTheme="minorHAnsi" w:hAnsiTheme="minorHAnsi"/>
          <w:szCs w:val="22"/>
        </w:rPr>
        <w:t xml:space="preserve"> the information provided in the application from the </w:t>
      </w:r>
      <w:r w:rsidR="006147C4">
        <w:rPr>
          <w:rFonts w:asciiTheme="minorHAnsi" w:hAnsiTheme="minorHAnsi"/>
          <w:szCs w:val="22"/>
        </w:rPr>
        <w:t>a</w:t>
      </w:r>
      <w:r w:rsidRPr="00944A08">
        <w:rPr>
          <w:rFonts w:asciiTheme="minorHAnsi" w:hAnsiTheme="minorHAnsi"/>
          <w:szCs w:val="22"/>
        </w:rPr>
        <w:t>pplicant (Australian Pesticides and Veterinary Medicine Authority (APVMA</w:t>
      </w:r>
      <w:r w:rsidR="00773480">
        <w:rPr>
          <w:rFonts w:asciiTheme="minorHAnsi" w:hAnsiTheme="minorHAnsi"/>
          <w:szCs w:val="22"/>
        </w:rPr>
        <w:t>)</w:t>
      </w:r>
      <w:r w:rsidRPr="00944A08">
        <w:rPr>
          <w:rFonts w:asciiTheme="minorHAnsi" w:hAnsiTheme="minorHAnsi"/>
          <w:szCs w:val="22"/>
        </w:rPr>
        <w:t>), and the matters outlined under Section 52E of the</w:t>
      </w:r>
      <w:r>
        <w:rPr>
          <w:rFonts w:asciiTheme="minorHAnsi" w:hAnsiTheme="minorHAnsi"/>
          <w:szCs w:val="22"/>
        </w:rPr>
        <w:t xml:space="preserve"> Act and the SPF. </w:t>
      </w:r>
      <w:proofErr w:type="gramStart"/>
      <w:r w:rsidRPr="00944A08">
        <w:rPr>
          <w:rFonts w:asciiTheme="minorHAnsi" w:hAnsiTheme="minorHAnsi"/>
          <w:szCs w:val="22"/>
        </w:rPr>
        <w:t>In particular I</w:t>
      </w:r>
      <w:proofErr w:type="gramEnd"/>
      <w:r w:rsidRPr="00944A08">
        <w:rPr>
          <w:rFonts w:asciiTheme="minorHAnsi" w:hAnsiTheme="minorHAnsi"/>
          <w:szCs w:val="22"/>
        </w:rPr>
        <w:t xml:space="preserve"> note that:</w:t>
      </w:r>
    </w:p>
    <w:p w14:paraId="3DE25063" w14:textId="620B0BCB" w:rsidR="00DC694C" w:rsidRPr="00815F33" w:rsidRDefault="00DC694C" w:rsidP="00AF77FE">
      <w:pPr>
        <w:pStyle w:val="ListNumber"/>
        <w:numPr>
          <w:ilvl w:val="0"/>
          <w:numId w:val="16"/>
        </w:numPr>
        <w:tabs>
          <w:tab w:val="clear" w:pos="720"/>
        </w:tabs>
        <w:ind w:left="357" w:hanging="357"/>
        <w:rPr>
          <w:rFonts w:asciiTheme="minorHAnsi" w:hAnsiTheme="minorHAnsi"/>
          <w:sz w:val="22"/>
          <w:szCs w:val="22"/>
        </w:rPr>
      </w:pPr>
      <w:r w:rsidRPr="00815F33">
        <w:rPr>
          <w:rFonts w:asciiTheme="minorHAnsi" w:hAnsiTheme="minorHAnsi"/>
          <w:sz w:val="22"/>
          <w:szCs w:val="22"/>
        </w:rPr>
        <w:t xml:space="preserve">In relation to paragraph 52E(1)(a) of the Act, the proposed amendment to the Poisons Standard is to </w:t>
      </w:r>
      <w:r>
        <w:rPr>
          <w:rFonts w:asciiTheme="minorHAnsi" w:hAnsiTheme="minorHAnsi"/>
          <w:sz w:val="22"/>
          <w:szCs w:val="22"/>
        </w:rPr>
        <w:t xml:space="preserve">include a new </w:t>
      </w:r>
      <w:r w:rsidRPr="00815F33">
        <w:rPr>
          <w:rFonts w:asciiTheme="minorHAnsi" w:hAnsiTheme="minorHAnsi"/>
          <w:sz w:val="22"/>
          <w:szCs w:val="22"/>
        </w:rPr>
        <w:t xml:space="preserve">Schedule 4 entry for injectable preparations containing fluralaner for </w:t>
      </w:r>
      <w:r>
        <w:rPr>
          <w:rFonts w:asciiTheme="minorHAnsi" w:hAnsiTheme="minorHAnsi"/>
          <w:sz w:val="22"/>
          <w:szCs w:val="22"/>
        </w:rPr>
        <w:t xml:space="preserve">the </w:t>
      </w:r>
      <w:r w:rsidRPr="00815F33">
        <w:rPr>
          <w:rFonts w:asciiTheme="minorHAnsi" w:hAnsiTheme="minorHAnsi"/>
          <w:sz w:val="22"/>
          <w:szCs w:val="22"/>
        </w:rPr>
        <w:t>treatment of companion animals</w:t>
      </w:r>
      <w:r>
        <w:rPr>
          <w:rFonts w:asciiTheme="minorHAnsi" w:hAnsiTheme="minorHAnsi"/>
          <w:sz w:val="22"/>
          <w:szCs w:val="22"/>
        </w:rPr>
        <w:t xml:space="preserve">, based on its benefits to the veterinary industry as an </w:t>
      </w:r>
      <w:bookmarkStart w:id="67" w:name="_Hlk121310331"/>
      <w:r>
        <w:rPr>
          <w:rFonts w:asciiTheme="minorHAnsi" w:hAnsiTheme="minorHAnsi"/>
          <w:sz w:val="22"/>
          <w:szCs w:val="22"/>
        </w:rPr>
        <w:t>insecticide and acaricide</w:t>
      </w:r>
      <w:bookmarkEnd w:id="67"/>
      <w:r w:rsidRPr="00815F33">
        <w:rPr>
          <w:rFonts w:asciiTheme="minorHAnsi" w:hAnsiTheme="minorHAnsi"/>
          <w:sz w:val="22"/>
          <w:szCs w:val="22"/>
        </w:rPr>
        <w:t xml:space="preserve">. Fluralaner is currently listed in Schedule 5 with no cut-offs or exceptions to other schedules. Injection into companion animals, such as cats and dogs, generally requires veterinary intervention as owners of companion animals do not have the skills or training to administer injectable products. The APVMA has concluded that the human risk posed by </w:t>
      </w:r>
      <w:r>
        <w:rPr>
          <w:rFonts w:asciiTheme="minorHAnsi" w:hAnsiTheme="minorHAnsi"/>
          <w:sz w:val="22"/>
          <w:szCs w:val="22"/>
        </w:rPr>
        <w:t>such a preparation</w:t>
      </w:r>
      <w:r w:rsidRPr="00815F33">
        <w:rPr>
          <w:rFonts w:asciiTheme="minorHAnsi" w:hAnsiTheme="minorHAnsi"/>
          <w:sz w:val="22"/>
          <w:szCs w:val="22"/>
        </w:rPr>
        <w:t xml:space="preserve"> containing 15 per</w:t>
      </w:r>
      <w:r w:rsidR="003B6AE7">
        <w:rPr>
          <w:rFonts w:asciiTheme="minorHAnsi" w:hAnsiTheme="minorHAnsi"/>
          <w:sz w:val="22"/>
          <w:szCs w:val="22"/>
        </w:rPr>
        <w:t xml:space="preserve"> </w:t>
      </w:r>
      <w:r w:rsidRPr="00815F33">
        <w:rPr>
          <w:rFonts w:asciiTheme="minorHAnsi" w:hAnsiTheme="minorHAnsi"/>
          <w:sz w:val="22"/>
          <w:szCs w:val="22"/>
        </w:rPr>
        <w:t xml:space="preserve">cent fluralaner is acceptable </w:t>
      </w:r>
      <w:r w:rsidRPr="00815F33">
        <w:rPr>
          <w:rFonts w:asciiTheme="minorHAnsi" w:hAnsiTheme="minorHAnsi"/>
          <w:sz w:val="22"/>
          <w:szCs w:val="22"/>
        </w:rPr>
        <w:lastRenderedPageBreak/>
        <w:t xml:space="preserve">according to the criteria stipulated in Section 5A of the </w:t>
      </w:r>
      <w:r w:rsidRPr="00815F33">
        <w:rPr>
          <w:rFonts w:asciiTheme="minorHAnsi" w:hAnsiTheme="minorHAnsi"/>
          <w:i/>
          <w:sz w:val="22"/>
          <w:szCs w:val="22"/>
        </w:rPr>
        <w:t>Agricultural and Veterinary Chemicals Code Act (1994)</w:t>
      </w:r>
      <w:r w:rsidRPr="00815F33">
        <w:rPr>
          <w:rFonts w:asciiTheme="minorHAnsi" w:hAnsiTheme="minorHAnsi"/>
          <w:sz w:val="22"/>
          <w:szCs w:val="22"/>
        </w:rPr>
        <w:t>. These risks have been qualified in the APVMA’s Human Health Risk Assessment (HHRA) technical report.</w:t>
      </w:r>
    </w:p>
    <w:p w14:paraId="2E32C98C" w14:textId="77777777" w:rsidR="00DC694C" w:rsidRPr="00815F33" w:rsidRDefault="00DC694C" w:rsidP="00DC694C">
      <w:pPr>
        <w:pStyle w:val="ListNumber"/>
        <w:tabs>
          <w:tab w:val="clear" w:pos="432"/>
        </w:tabs>
        <w:ind w:left="0" w:firstLine="0"/>
        <w:rPr>
          <w:rFonts w:asciiTheme="minorHAnsi" w:hAnsiTheme="minorHAnsi"/>
          <w:sz w:val="22"/>
          <w:szCs w:val="22"/>
        </w:rPr>
      </w:pPr>
    </w:p>
    <w:p w14:paraId="6D6AC2B1" w14:textId="5F035103" w:rsidR="00DC694C" w:rsidRPr="00815F33" w:rsidRDefault="00DC694C" w:rsidP="00AF77FE">
      <w:pPr>
        <w:pStyle w:val="ListNumber"/>
        <w:numPr>
          <w:ilvl w:val="0"/>
          <w:numId w:val="16"/>
        </w:numPr>
        <w:tabs>
          <w:tab w:val="clear" w:pos="720"/>
        </w:tabs>
        <w:ind w:left="357" w:hanging="357"/>
        <w:rPr>
          <w:rFonts w:asciiTheme="minorHAnsi" w:hAnsiTheme="minorHAnsi"/>
          <w:sz w:val="22"/>
          <w:szCs w:val="22"/>
        </w:rPr>
      </w:pPr>
      <w:r w:rsidRPr="00815F33">
        <w:rPr>
          <w:rFonts w:asciiTheme="minorHAnsi" w:hAnsiTheme="minorHAnsi"/>
          <w:sz w:val="22"/>
          <w:szCs w:val="22"/>
        </w:rPr>
        <w:t xml:space="preserve">In relation to paragraph 52E(1)(b) of the Act, fluralaner is a long-acting systemically active insecticide and acaricide belonging to the </w:t>
      </w:r>
      <w:proofErr w:type="spellStart"/>
      <w:r w:rsidRPr="00815F33">
        <w:rPr>
          <w:rFonts w:asciiTheme="minorHAnsi" w:hAnsiTheme="minorHAnsi"/>
          <w:sz w:val="22"/>
          <w:szCs w:val="22"/>
        </w:rPr>
        <w:t>isoxazoline</w:t>
      </w:r>
      <w:proofErr w:type="spellEnd"/>
      <w:r w:rsidRPr="00815F33">
        <w:rPr>
          <w:rFonts w:asciiTheme="minorHAnsi" w:hAnsiTheme="minorHAnsi"/>
          <w:sz w:val="22"/>
          <w:szCs w:val="22"/>
        </w:rPr>
        <w:t xml:space="preserve"> chemical group. Currently registered fluralaner products (oral chews and topical spot-</w:t>
      </w:r>
      <w:proofErr w:type="spellStart"/>
      <w:r w:rsidRPr="00815F33">
        <w:rPr>
          <w:rFonts w:asciiTheme="minorHAnsi" w:hAnsiTheme="minorHAnsi"/>
          <w:sz w:val="22"/>
          <w:szCs w:val="22"/>
        </w:rPr>
        <w:t>ons</w:t>
      </w:r>
      <w:proofErr w:type="spellEnd"/>
      <w:r w:rsidRPr="00815F33">
        <w:rPr>
          <w:rFonts w:asciiTheme="minorHAnsi" w:hAnsiTheme="minorHAnsi"/>
          <w:sz w:val="22"/>
          <w:szCs w:val="22"/>
        </w:rPr>
        <w:t>) for companion animals provide treatment and control of flea and tick infestations for up to three months from a single treatment. A fluralaner injectable for companion animals is intended for a longer lasting single treatment for up to 12 months</w:t>
      </w:r>
      <w:r>
        <w:rPr>
          <w:rFonts w:asciiTheme="minorHAnsi" w:hAnsiTheme="minorHAnsi"/>
          <w:sz w:val="22"/>
          <w:szCs w:val="22"/>
        </w:rPr>
        <w:t xml:space="preserve"> and</w:t>
      </w:r>
      <w:r w:rsidRPr="00815F33">
        <w:rPr>
          <w:rFonts w:asciiTheme="minorHAnsi" w:hAnsiTheme="minorHAnsi"/>
          <w:sz w:val="22"/>
          <w:szCs w:val="22"/>
        </w:rPr>
        <w:t xml:space="preserve"> is intended to be used by veterinarians only. It will be administered as a single dose subcutaneous injection</w:t>
      </w:r>
      <w:r>
        <w:rPr>
          <w:rFonts w:asciiTheme="minorHAnsi" w:hAnsiTheme="minorHAnsi"/>
          <w:sz w:val="22"/>
          <w:szCs w:val="22"/>
        </w:rPr>
        <w:t xml:space="preserve"> from</w:t>
      </w:r>
      <w:r w:rsidRPr="00815F33">
        <w:rPr>
          <w:rFonts w:asciiTheme="minorHAnsi" w:hAnsiTheme="minorHAnsi"/>
          <w:sz w:val="22"/>
          <w:szCs w:val="22"/>
        </w:rPr>
        <w:t xml:space="preserve"> a multi-dose vial, </w:t>
      </w:r>
      <w:r>
        <w:rPr>
          <w:rFonts w:asciiTheme="minorHAnsi" w:hAnsiTheme="minorHAnsi"/>
          <w:sz w:val="22"/>
          <w:szCs w:val="22"/>
        </w:rPr>
        <w:t xml:space="preserve">which </w:t>
      </w:r>
      <w:r w:rsidRPr="00815F33">
        <w:rPr>
          <w:rFonts w:asciiTheme="minorHAnsi" w:hAnsiTheme="minorHAnsi"/>
          <w:sz w:val="22"/>
          <w:szCs w:val="22"/>
        </w:rPr>
        <w:t xml:space="preserve">must be reconstituted correctly with </w:t>
      </w:r>
      <w:r w:rsidR="006147C4">
        <w:rPr>
          <w:rFonts w:asciiTheme="minorHAnsi" w:hAnsiTheme="minorHAnsi"/>
          <w:sz w:val="22"/>
          <w:szCs w:val="22"/>
        </w:rPr>
        <w:t xml:space="preserve">a vehicle </w:t>
      </w:r>
      <w:r w:rsidRPr="00815F33">
        <w:rPr>
          <w:rFonts w:asciiTheme="minorHAnsi" w:hAnsiTheme="minorHAnsi"/>
          <w:sz w:val="22"/>
          <w:szCs w:val="22"/>
        </w:rPr>
        <w:t xml:space="preserve">solution before </w:t>
      </w:r>
      <w:proofErr w:type="gramStart"/>
      <w:r w:rsidRPr="00815F33">
        <w:rPr>
          <w:rFonts w:asciiTheme="minorHAnsi" w:hAnsiTheme="minorHAnsi"/>
          <w:sz w:val="22"/>
          <w:szCs w:val="22"/>
        </w:rPr>
        <w:t>use</w:t>
      </w:r>
      <w:r w:rsidR="006147C4">
        <w:rPr>
          <w:rFonts w:asciiTheme="minorHAnsi" w:hAnsiTheme="minorHAnsi"/>
          <w:sz w:val="22"/>
          <w:szCs w:val="22"/>
        </w:rPr>
        <w:t>,</w:t>
      </w:r>
      <w:r>
        <w:rPr>
          <w:rFonts w:asciiTheme="minorHAnsi" w:hAnsiTheme="minorHAnsi"/>
          <w:sz w:val="22"/>
          <w:szCs w:val="22"/>
        </w:rPr>
        <w:t xml:space="preserve"> and</w:t>
      </w:r>
      <w:proofErr w:type="gramEnd"/>
      <w:r w:rsidRPr="00815F33">
        <w:rPr>
          <w:rFonts w:asciiTheme="minorHAnsi" w:hAnsiTheme="minorHAnsi"/>
          <w:sz w:val="22"/>
          <w:szCs w:val="22"/>
        </w:rPr>
        <w:t xml:space="preserve"> is to be </w:t>
      </w:r>
      <w:r w:rsidR="006147C4">
        <w:rPr>
          <w:rFonts w:asciiTheme="minorHAnsi" w:hAnsiTheme="minorHAnsi"/>
          <w:sz w:val="22"/>
          <w:szCs w:val="22"/>
        </w:rPr>
        <w:t>re-administered</w:t>
      </w:r>
      <w:r w:rsidR="006147C4" w:rsidRPr="00815F33">
        <w:rPr>
          <w:rFonts w:asciiTheme="minorHAnsi" w:hAnsiTheme="minorHAnsi"/>
          <w:sz w:val="22"/>
          <w:szCs w:val="22"/>
        </w:rPr>
        <w:t xml:space="preserve"> </w:t>
      </w:r>
      <w:r w:rsidRPr="00815F33">
        <w:rPr>
          <w:rFonts w:asciiTheme="minorHAnsi" w:hAnsiTheme="minorHAnsi"/>
          <w:sz w:val="22"/>
          <w:szCs w:val="22"/>
        </w:rPr>
        <w:t>every 12 months.</w:t>
      </w:r>
    </w:p>
    <w:p w14:paraId="33BC0167" w14:textId="1D47C672" w:rsidR="00DC694C" w:rsidRPr="00163762" w:rsidRDefault="00DC694C" w:rsidP="00AF77FE">
      <w:pPr>
        <w:pStyle w:val="BodyText"/>
        <w:numPr>
          <w:ilvl w:val="0"/>
          <w:numId w:val="16"/>
        </w:numPr>
        <w:ind w:left="363"/>
        <w:rPr>
          <w:rFonts w:asciiTheme="minorHAnsi" w:hAnsiTheme="minorHAnsi"/>
          <w:sz w:val="22"/>
          <w:szCs w:val="22"/>
        </w:rPr>
      </w:pPr>
      <w:r w:rsidRPr="00163762">
        <w:rPr>
          <w:rFonts w:asciiTheme="minorHAnsi" w:hAnsiTheme="minorHAnsi"/>
          <w:sz w:val="22"/>
          <w:szCs w:val="22"/>
        </w:rPr>
        <w:t xml:space="preserve">In relation to paragraph 52E(1)(c) of the Act, I note that the toxicity of fluralaner </w:t>
      </w:r>
      <w:r w:rsidR="006147C4">
        <w:rPr>
          <w:rFonts w:asciiTheme="minorHAnsi" w:hAnsiTheme="minorHAnsi"/>
          <w:sz w:val="22"/>
          <w:szCs w:val="22"/>
        </w:rPr>
        <w:t xml:space="preserve">was </w:t>
      </w:r>
      <w:r w:rsidRPr="00163762">
        <w:rPr>
          <w:rFonts w:asciiTheme="minorHAnsi" w:hAnsiTheme="minorHAnsi"/>
          <w:sz w:val="22"/>
          <w:szCs w:val="22"/>
        </w:rPr>
        <w:t xml:space="preserve">considered in </w:t>
      </w:r>
      <w:hyperlink r:id="rId75" w:history="1">
        <w:r w:rsidR="001149E5" w:rsidRPr="001149E5">
          <w:rPr>
            <w:rStyle w:val="Hyperlink"/>
            <w:rFonts w:asciiTheme="minorHAnsi" w:hAnsiTheme="minorHAnsi"/>
            <w:sz w:val="22"/>
            <w:szCs w:val="22"/>
          </w:rPr>
          <w:t xml:space="preserve">October </w:t>
        </w:r>
        <w:r w:rsidRPr="001149E5">
          <w:rPr>
            <w:rStyle w:val="Hyperlink"/>
            <w:rFonts w:asciiTheme="minorHAnsi" w:hAnsiTheme="minorHAnsi"/>
            <w:sz w:val="22"/>
            <w:szCs w:val="22"/>
          </w:rPr>
          <w:t>201</w:t>
        </w:r>
        <w:r w:rsidR="001149E5" w:rsidRPr="001149E5">
          <w:rPr>
            <w:rStyle w:val="Hyperlink"/>
            <w:rFonts w:asciiTheme="minorHAnsi" w:hAnsiTheme="minorHAnsi"/>
            <w:sz w:val="22"/>
            <w:szCs w:val="22"/>
          </w:rPr>
          <w:t>4</w:t>
        </w:r>
      </w:hyperlink>
      <w:r w:rsidRPr="00163762">
        <w:rPr>
          <w:rFonts w:asciiTheme="minorHAnsi" w:hAnsiTheme="minorHAnsi"/>
          <w:sz w:val="22"/>
          <w:szCs w:val="22"/>
        </w:rPr>
        <w:t xml:space="preserve"> and no new data is available</w:t>
      </w:r>
      <w:r w:rsidR="006147C4">
        <w:rPr>
          <w:rFonts w:asciiTheme="minorHAnsi" w:hAnsiTheme="minorHAnsi"/>
          <w:sz w:val="22"/>
          <w:szCs w:val="22"/>
        </w:rPr>
        <w:t xml:space="preserve"> since then</w:t>
      </w:r>
      <w:r w:rsidRPr="00163762">
        <w:rPr>
          <w:rFonts w:asciiTheme="minorHAnsi" w:hAnsiTheme="minorHAnsi"/>
          <w:sz w:val="22"/>
          <w:szCs w:val="22"/>
        </w:rPr>
        <w:t>. I acknowledge that fluralaner has a sufficiently low acute toxicity profile to be consistent with the Schedule 5 criteria of the SPF, and that the primary concern with this application is with the risks and benefits associated with the dosage form.</w:t>
      </w:r>
    </w:p>
    <w:p w14:paraId="4E8EA50F" w14:textId="3B5E5AA0" w:rsidR="00DC694C" w:rsidRPr="00FF77B7" w:rsidRDefault="00DC694C" w:rsidP="00AF77FE">
      <w:pPr>
        <w:pStyle w:val="ListNumber"/>
        <w:numPr>
          <w:ilvl w:val="0"/>
          <w:numId w:val="16"/>
        </w:numPr>
        <w:tabs>
          <w:tab w:val="clear" w:pos="720"/>
        </w:tabs>
        <w:ind w:left="357" w:hanging="357"/>
        <w:rPr>
          <w:rFonts w:asciiTheme="minorHAnsi" w:hAnsiTheme="minorHAnsi"/>
          <w:sz w:val="22"/>
          <w:szCs w:val="22"/>
        </w:rPr>
      </w:pPr>
      <w:r w:rsidRPr="00FF77B7">
        <w:rPr>
          <w:rFonts w:asciiTheme="minorHAnsi" w:hAnsiTheme="minorHAnsi"/>
          <w:sz w:val="22"/>
          <w:szCs w:val="22"/>
        </w:rPr>
        <w:t>I am satisfied that, for the purposes of paragraph 52E(1)(d) of the Act, the APVMA</w:t>
      </w:r>
      <w:r w:rsidR="006147C4">
        <w:rPr>
          <w:rFonts w:asciiTheme="minorHAnsi" w:hAnsiTheme="minorHAnsi"/>
          <w:sz w:val="22"/>
          <w:szCs w:val="22"/>
        </w:rPr>
        <w:t>, as the product regulator,</w:t>
      </w:r>
      <w:r w:rsidRPr="00FF77B7">
        <w:rPr>
          <w:rFonts w:asciiTheme="minorHAnsi" w:hAnsiTheme="minorHAnsi"/>
          <w:sz w:val="22"/>
          <w:szCs w:val="22"/>
        </w:rPr>
        <w:t xml:space="preserve"> will consider </w:t>
      </w:r>
      <w:r w:rsidR="006147C4">
        <w:rPr>
          <w:rFonts w:asciiTheme="minorHAnsi" w:hAnsiTheme="minorHAnsi"/>
          <w:sz w:val="22"/>
          <w:szCs w:val="22"/>
        </w:rPr>
        <w:t xml:space="preserve">its </w:t>
      </w:r>
      <w:r w:rsidRPr="00FF77B7">
        <w:rPr>
          <w:rFonts w:asciiTheme="minorHAnsi" w:hAnsiTheme="minorHAnsi"/>
          <w:sz w:val="22"/>
          <w:szCs w:val="22"/>
        </w:rPr>
        <w:t xml:space="preserve">applicable dosage, formulation, labelling, </w:t>
      </w:r>
      <w:proofErr w:type="gramStart"/>
      <w:r w:rsidRPr="00FF77B7">
        <w:rPr>
          <w:rFonts w:asciiTheme="minorHAnsi" w:hAnsiTheme="minorHAnsi"/>
          <w:sz w:val="22"/>
          <w:szCs w:val="22"/>
        </w:rPr>
        <w:t>packaging</w:t>
      </w:r>
      <w:proofErr w:type="gramEnd"/>
      <w:r w:rsidRPr="00FF77B7">
        <w:rPr>
          <w:rFonts w:asciiTheme="minorHAnsi" w:hAnsiTheme="minorHAnsi"/>
          <w:sz w:val="22"/>
          <w:szCs w:val="22"/>
        </w:rPr>
        <w:t xml:space="preserve"> and presentation.  </w:t>
      </w:r>
    </w:p>
    <w:p w14:paraId="515F05B8" w14:textId="77777777" w:rsidR="00DC694C" w:rsidRPr="00944A08" w:rsidRDefault="00DC694C" w:rsidP="00DC694C">
      <w:pPr>
        <w:pStyle w:val="ListNumber"/>
        <w:tabs>
          <w:tab w:val="clear" w:pos="432"/>
          <w:tab w:val="clear" w:pos="720"/>
        </w:tabs>
        <w:ind w:left="0" w:firstLine="0"/>
        <w:rPr>
          <w:rFonts w:asciiTheme="minorHAnsi" w:hAnsiTheme="minorHAnsi"/>
          <w:sz w:val="22"/>
          <w:szCs w:val="22"/>
        </w:rPr>
      </w:pPr>
    </w:p>
    <w:p w14:paraId="456B3272" w14:textId="77777777" w:rsidR="00DC694C" w:rsidRPr="00944A08" w:rsidRDefault="00DC694C" w:rsidP="00AF77FE">
      <w:pPr>
        <w:pStyle w:val="ListNumber"/>
        <w:numPr>
          <w:ilvl w:val="0"/>
          <w:numId w:val="16"/>
        </w:numPr>
        <w:tabs>
          <w:tab w:val="clear" w:pos="720"/>
        </w:tabs>
        <w:ind w:left="357" w:hanging="357"/>
        <w:rPr>
          <w:rFonts w:asciiTheme="minorHAnsi" w:hAnsiTheme="minorHAnsi"/>
          <w:sz w:val="22"/>
          <w:szCs w:val="22"/>
        </w:rPr>
      </w:pPr>
      <w:r>
        <w:rPr>
          <w:rFonts w:asciiTheme="minorHAnsi" w:hAnsiTheme="minorHAnsi"/>
          <w:sz w:val="22"/>
          <w:szCs w:val="22"/>
        </w:rPr>
        <w:t>In relation</w:t>
      </w:r>
      <w:r w:rsidRPr="00944A08">
        <w:rPr>
          <w:rFonts w:asciiTheme="minorHAnsi" w:hAnsiTheme="minorHAnsi"/>
          <w:sz w:val="22"/>
          <w:szCs w:val="22"/>
        </w:rPr>
        <w:t xml:space="preserve"> to paragraph 52E(1)(e) of the Act, the </w:t>
      </w:r>
      <w:r>
        <w:rPr>
          <w:rFonts w:asciiTheme="minorHAnsi" w:hAnsiTheme="minorHAnsi"/>
          <w:sz w:val="22"/>
          <w:szCs w:val="22"/>
        </w:rPr>
        <w:t xml:space="preserve">substance has no human therapeutic value or significant pharmacological effect that would indicate a risk for diversion, misuse, or abuse. </w:t>
      </w:r>
      <w:r w:rsidRPr="00944A08">
        <w:rPr>
          <w:rFonts w:asciiTheme="minorHAnsi" w:hAnsiTheme="minorHAnsi"/>
          <w:sz w:val="22"/>
          <w:szCs w:val="22"/>
        </w:rPr>
        <w:t xml:space="preserve">  </w:t>
      </w:r>
    </w:p>
    <w:p w14:paraId="3C7B07A5" w14:textId="77777777" w:rsidR="00DC694C" w:rsidRPr="009B3B5A" w:rsidRDefault="00DC694C" w:rsidP="00DC694C">
      <w:pPr>
        <w:rPr>
          <w:rFonts w:asciiTheme="minorHAnsi" w:hAnsiTheme="minorHAnsi"/>
          <w:szCs w:val="22"/>
        </w:rPr>
      </w:pPr>
      <w:proofErr w:type="gramStart"/>
      <w:r>
        <w:rPr>
          <w:rFonts w:asciiTheme="minorHAnsi" w:hAnsiTheme="minorHAnsi"/>
          <w:szCs w:val="22"/>
        </w:rPr>
        <w:t>On the basis of</w:t>
      </w:r>
      <w:proofErr w:type="gramEnd"/>
      <w:r>
        <w:rPr>
          <w:rFonts w:asciiTheme="minorHAnsi" w:hAnsiTheme="minorHAnsi"/>
          <w:szCs w:val="22"/>
        </w:rPr>
        <w:t xml:space="preserve"> the above considerations and t</w:t>
      </w:r>
      <w:r w:rsidRPr="009B3B5A">
        <w:rPr>
          <w:rFonts w:asciiTheme="minorHAnsi" w:hAnsiTheme="minorHAnsi"/>
          <w:szCs w:val="22"/>
        </w:rPr>
        <w:t>he information provided in the application, I have decided to amend the current Poisons Standard in the manner set out in the application. The proposed amendment was not referred to an expert advisory committee.</w:t>
      </w:r>
    </w:p>
    <w:p w14:paraId="56E122AD" w14:textId="540130DB" w:rsidR="00DC694C" w:rsidRPr="00944A08" w:rsidRDefault="00DC694C" w:rsidP="00DC694C">
      <w:pPr>
        <w:pStyle w:val="Heading4"/>
        <w:rPr>
          <w:rFonts w:asciiTheme="minorHAnsi" w:hAnsiTheme="minorHAnsi"/>
          <w:i/>
          <w:iCs/>
          <w:sz w:val="22"/>
          <w:szCs w:val="22"/>
        </w:rPr>
      </w:pPr>
      <w:r>
        <w:rPr>
          <w:rFonts w:asciiTheme="minorHAnsi" w:hAnsiTheme="minorHAnsi"/>
          <w:i/>
          <w:iCs/>
          <w:sz w:val="22"/>
          <w:szCs w:val="22"/>
        </w:rPr>
        <w:t xml:space="preserve">Implementation </w:t>
      </w:r>
      <w:r w:rsidR="001149E5">
        <w:rPr>
          <w:rFonts w:asciiTheme="minorHAnsi" w:hAnsiTheme="minorHAnsi"/>
          <w:i/>
          <w:iCs/>
          <w:sz w:val="22"/>
          <w:szCs w:val="22"/>
        </w:rPr>
        <w:t>d</w:t>
      </w:r>
      <w:r w:rsidRPr="00944A08">
        <w:rPr>
          <w:rFonts w:asciiTheme="minorHAnsi" w:hAnsiTheme="minorHAnsi"/>
          <w:i/>
          <w:iCs/>
          <w:sz w:val="22"/>
          <w:szCs w:val="22"/>
        </w:rPr>
        <w:t xml:space="preserve">ate </w:t>
      </w:r>
    </w:p>
    <w:p w14:paraId="05D4E239" w14:textId="7B184A29" w:rsidR="00DC694C" w:rsidRPr="000918D6" w:rsidRDefault="00DC694C" w:rsidP="00DC694C">
      <w:pPr>
        <w:rPr>
          <w:rFonts w:ascii="Times New Roman" w:hAnsi="Times New Roman"/>
        </w:rPr>
      </w:pPr>
      <w:r w:rsidRPr="00944A08">
        <w:rPr>
          <w:rFonts w:asciiTheme="minorHAnsi" w:hAnsiTheme="minorHAnsi"/>
          <w:szCs w:val="22"/>
        </w:rPr>
        <w:t>1 February 2023</w:t>
      </w:r>
      <w:r w:rsidR="00A63446">
        <w:rPr>
          <w:rFonts w:asciiTheme="minorHAnsi" w:hAnsiTheme="minorHAnsi"/>
          <w:szCs w:val="22"/>
        </w:rPr>
        <w:t>.</w:t>
      </w:r>
    </w:p>
    <w:p w14:paraId="29F50892" w14:textId="77777777" w:rsidR="00E06A1B" w:rsidRDefault="00E06A1B" w:rsidP="00E06A1B">
      <w:pPr>
        <w:rPr>
          <w:highlight w:val="yellow"/>
        </w:rPr>
      </w:pPr>
    </w:p>
    <w:sectPr w:rsidR="00E06A1B" w:rsidSect="003A48A2">
      <w:headerReference w:type="default" r:id="rId76"/>
      <w:footerReference w:type="default" r:id="rId77"/>
      <w:headerReference w:type="first" r:id="rId78"/>
      <w:footerReference w:type="first" r:id="rId79"/>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4E56" w14:textId="77777777" w:rsidR="00586EEA" w:rsidRDefault="00586EEA" w:rsidP="00C40A36">
      <w:pPr>
        <w:spacing w:after="0"/>
      </w:pPr>
      <w:r>
        <w:separator/>
      </w:r>
    </w:p>
  </w:endnote>
  <w:endnote w:type="continuationSeparator" w:id="0">
    <w:p w14:paraId="1A4A3FDB" w14:textId="77777777" w:rsidR="00586EEA" w:rsidRDefault="00586EE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E40BD2" w:rsidRPr="00257138" w14:paraId="14B40608" w14:textId="77777777" w:rsidTr="009B00CC">
      <w:trPr>
        <w:trHeight w:val="423"/>
      </w:trPr>
      <w:tc>
        <w:tcPr>
          <w:tcW w:w="7338" w:type="dxa"/>
          <w:tcBorders>
            <w:top w:val="single" w:sz="4" w:space="0" w:color="auto"/>
          </w:tcBorders>
        </w:tcPr>
        <w:p w14:paraId="01C0B506" w14:textId="77777777" w:rsidR="00E40BD2" w:rsidRDefault="00E40BD2" w:rsidP="003F3095">
          <w:pPr>
            <w:pStyle w:val="Footer"/>
          </w:pPr>
          <w:r>
            <w:t>Record of the 29th meeting of the Advisory Committee on Medicines Scheduling</w:t>
          </w:r>
        </w:p>
        <w:p w14:paraId="5C7A2176" w14:textId="13ECDCE6" w:rsidR="00E40BD2" w:rsidRPr="00257138" w:rsidRDefault="00E40BD2"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E40BD2" w:rsidRDefault="00E40BD2" w:rsidP="00782870">
              <w:pPr>
                <w:pStyle w:val="Footer"/>
                <w:jc w:val="right"/>
              </w:pPr>
            </w:p>
            <w:p w14:paraId="650BE744" w14:textId="16F39822" w:rsidR="00E40BD2" w:rsidRPr="00257138" w:rsidRDefault="00E40BD2" w:rsidP="00782870">
              <w:pPr>
                <w:pStyle w:val="Footer"/>
                <w:jc w:val="right"/>
              </w:pPr>
              <w:r w:rsidRPr="00257138">
                <w:t xml:space="preserve">Page </w:t>
              </w:r>
              <w:r>
                <w:fldChar w:fldCharType="begin"/>
              </w:r>
              <w:r>
                <w:instrText xml:space="preserve"> PAGE </w:instrText>
              </w:r>
              <w:r>
                <w:fldChar w:fldCharType="separate"/>
              </w:r>
              <w:r w:rsidR="00ED6B23">
                <w:rPr>
                  <w:noProof/>
                </w:rPr>
                <w:t>2</w:t>
              </w:r>
              <w:r>
                <w:rPr>
                  <w:noProof/>
                </w:rPr>
                <w:fldChar w:fldCharType="end"/>
              </w:r>
              <w:r w:rsidRPr="00257138">
                <w:t xml:space="preserve"> of </w:t>
              </w:r>
              <w:r w:rsidR="00463AFF">
                <w:fldChar w:fldCharType="begin"/>
              </w:r>
              <w:r w:rsidR="00463AFF">
                <w:instrText xml:space="preserve"> NUMPAGES  </w:instrText>
              </w:r>
              <w:r w:rsidR="00463AFF">
                <w:fldChar w:fldCharType="separate"/>
              </w:r>
              <w:r w:rsidR="00ED6B23">
                <w:rPr>
                  <w:noProof/>
                </w:rPr>
                <w:t>6</w:t>
              </w:r>
              <w:r w:rsidR="00463AFF">
                <w:rPr>
                  <w:noProof/>
                </w:rPr>
                <w:fldChar w:fldCharType="end"/>
              </w:r>
            </w:p>
          </w:sdtContent>
        </w:sdt>
      </w:tc>
    </w:tr>
    <w:tr w:rsidR="00E40BD2" w:rsidRPr="00257138" w14:paraId="10AB8BED" w14:textId="77777777" w:rsidTr="009B00CC">
      <w:trPr>
        <w:trHeight w:val="263"/>
      </w:trPr>
      <w:tc>
        <w:tcPr>
          <w:tcW w:w="7338" w:type="dxa"/>
        </w:tcPr>
        <w:p w14:paraId="59580AB7" w14:textId="19B73688" w:rsidR="00E40BD2" w:rsidRPr="00257138" w:rsidRDefault="00E40BD2" w:rsidP="00782870">
          <w:pPr>
            <w:pStyle w:val="Footer"/>
          </w:pPr>
        </w:p>
      </w:tc>
      <w:tc>
        <w:tcPr>
          <w:tcW w:w="1382" w:type="dxa"/>
        </w:tcPr>
        <w:p w14:paraId="219FF5F5" w14:textId="77777777" w:rsidR="00E40BD2" w:rsidRPr="00257138" w:rsidRDefault="00E40BD2" w:rsidP="00782870">
          <w:pPr>
            <w:pStyle w:val="Footer"/>
            <w:jc w:val="right"/>
          </w:pPr>
        </w:p>
      </w:tc>
    </w:tr>
  </w:tbl>
  <w:p w14:paraId="2023C75C" w14:textId="77777777" w:rsidR="00E40BD2" w:rsidRPr="00826007" w:rsidRDefault="00E40BD2"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9"/>
      <w:gridCol w:w="1593"/>
    </w:tblGrid>
    <w:tr w:rsidR="00984E90" w:rsidRPr="00257138" w14:paraId="592A3DAB" w14:textId="77777777" w:rsidTr="00EA22D9">
      <w:trPr>
        <w:trHeight w:val="423"/>
      </w:trPr>
      <w:tc>
        <w:tcPr>
          <w:tcW w:w="7479" w:type="dxa"/>
        </w:tcPr>
        <w:p w14:paraId="5CFC3686" w14:textId="49E81445" w:rsidR="00984E90" w:rsidRPr="00257138" w:rsidRDefault="00984E90" w:rsidP="00EB182C">
          <w:pPr>
            <w:pStyle w:val="Footer"/>
            <w:spacing w:before="120" w:after="120"/>
          </w:pPr>
          <w:r>
            <w:t xml:space="preserve">Delegate’s </w:t>
          </w:r>
          <w:r w:rsidR="00862A10">
            <w:t>final</w:t>
          </w:r>
          <w:r>
            <w:t xml:space="preserve"> decisions and reasons for decisions (ACMS #38, ACCS #34 and Joint ACMS-ACCS #31, June 2022)</w:t>
          </w:r>
        </w:p>
      </w:tc>
      <w:tc>
        <w:tcPr>
          <w:tcW w:w="1593" w:type="dxa"/>
        </w:tcPr>
        <w:sdt>
          <w:sdtPr>
            <w:id w:val="3702141"/>
            <w:docPartObj>
              <w:docPartGallery w:val="Page Numbers (Top of Page)"/>
              <w:docPartUnique/>
            </w:docPartObj>
          </w:sdtPr>
          <w:sdtEndPr/>
          <w:sdtContent>
            <w:p w14:paraId="52C48B8B" w14:textId="77777777" w:rsidR="00984E90" w:rsidRPr="00257138" w:rsidRDefault="00984E90"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7</w:t>
              </w:r>
              <w:r>
                <w:rPr>
                  <w:noProof/>
                </w:rPr>
                <w:fldChar w:fldCharType="end"/>
              </w:r>
              <w:r w:rsidRPr="00257138">
                <w:t xml:space="preserve"> of </w:t>
              </w:r>
              <w:r w:rsidR="00463AFF">
                <w:fldChar w:fldCharType="begin"/>
              </w:r>
              <w:r w:rsidR="00463AFF">
                <w:instrText xml:space="preserve"> NUMPAGES  </w:instrText>
              </w:r>
              <w:r w:rsidR="00463AFF">
                <w:fldChar w:fldCharType="separate"/>
              </w:r>
              <w:r>
                <w:rPr>
                  <w:noProof/>
                </w:rPr>
                <w:t>15</w:t>
              </w:r>
              <w:r w:rsidR="00463AFF">
                <w:rPr>
                  <w:noProof/>
                </w:rPr>
                <w:fldChar w:fldCharType="end"/>
              </w:r>
            </w:p>
          </w:sdtContent>
        </w:sdt>
      </w:tc>
    </w:tr>
  </w:tbl>
  <w:p w14:paraId="448CB1B9" w14:textId="77777777" w:rsidR="00984E90" w:rsidRPr="00826007" w:rsidRDefault="00984E90" w:rsidP="00F4663D">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11075AFF" w14:textId="77777777" w:rsidTr="00AE3703">
      <w:trPr>
        <w:trHeight w:val="423"/>
      </w:trPr>
      <w:tc>
        <w:tcPr>
          <w:tcW w:w="7338" w:type="dxa"/>
        </w:tcPr>
        <w:p w14:paraId="13E7B9DF" w14:textId="1B441BAB" w:rsidR="00E40BD2" w:rsidRPr="00257138" w:rsidRDefault="00B9651D">
          <w:pPr>
            <w:pStyle w:val="Footer"/>
          </w:pPr>
          <w:r>
            <w:t>Notification of proposed amendments to the Standard</w:t>
          </w:r>
          <w:r>
            <w:br/>
            <w:t>January 2023</w:t>
          </w:r>
        </w:p>
      </w:tc>
      <w:tc>
        <w:tcPr>
          <w:tcW w:w="1734" w:type="dxa"/>
        </w:tcPr>
        <w:sdt>
          <w:sdtPr>
            <w:id w:val="6788836"/>
            <w:docPartObj>
              <w:docPartGallery w:val="Page Numbers (Top of Page)"/>
              <w:docPartUnique/>
            </w:docPartObj>
          </w:sdtPr>
          <w:sdtEndPr/>
          <w:sdtContent>
            <w:p w14:paraId="3BD26206" w14:textId="7BDCABDC" w:rsidR="00E40BD2" w:rsidRPr="00257138" w:rsidRDefault="00E40BD2" w:rsidP="009468C6">
              <w:pPr>
                <w:pStyle w:val="Footer"/>
                <w:jc w:val="right"/>
              </w:pPr>
              <w:r w:rsidRPr="00257138">
                <w:t xml:space="preserve">Page </w:t>
              </w:r>
              <w:r>
                <w:fldChar w:fldCharType="begin"/>
              </w:r>
              <w:r>
                <w:instrText xml:space="preserve"> PAGE </w:instrText>
              </w:r>
              <w:r>
                <w:fldChar w:fldCharType="separate"/>
              </w:r>
              <w:r w:rsidR="004B32D0">
                <w:rPr>
                  <w:noProof/>
                </w:rPr>
                <w:t>14</w:t>
              </w:r>
              <w:r>
                <w:fldChar w:fldCharType="end"/>
              </w:r>
              <w:r w:rsidRPr="00257138">
                <w:t xml:space="preserve"> of </w:t>
              </w:r>
              <w:r w:rsidR="00463AFF">
                <w:fldChar w:fldCharType="begin"/>
              </w:r>
              <w:r w:rsidR="00463AFF">
                <w:instrText xml:space="preserve"> NUMPAGES  </w:instrText>
              </w:r>
              <w:r w:rsidR="00463AFF">
                <w:fldChar w:fldCharType="separate"/>
              </w:r>
              <w:r w:rsidR="004B32D0">
                <w:rPr>
                  <w:noProof/>
                </w:rPr>
                <w:t>14</w:t>
              </w:r>
              <w:r w:rsidR="00463AFF">
                <w:rPr>
                  <w:noProof/>
                </w:rPr>
                <w:fldChar w:fldCharType="end"/>
              </w:r>
            </w:p>
          </w:sdtContent>
        </w:sdt>
      </w:tc>
    </w:tr>
  </w:tbl>
  <w:p w14:paraId="623AA1CE" w14:textId="77777777" w:rsidR="00E40BD2" w:rsidRPr="00826007" w:rsidRDefault="00E40BD2" w:rsidP="002001F1">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76052F65" w14:textId="77777777" w:rsidTr="002A7487">
      <w:trPr>
        <w:trHeight w:val="423"/>
      </w:trPr>
      <w:tc>
        <w:tcPr>
          <w:tcW w:w="7338" w:type="dxa"/>
        </w:tcPr>
        <w:p w14:paraId="6A331473" w14:textId="3959184A" w:rsidR="00E40BD2" w:rsidRPr="00257138" w:rsidRDefault="00B9651D">
          <w:pPr>
            <w:pStyle w:val="Footer"/>
          </w:pPr>
          <w:r>
            <w:t>Notification of proposed amendments to the Standard</w:t>
          </w:r>
          <w:r w:rsidR="00ED5D05">
            <w:br/>
          </w:r>
          <w:r>
            <w:t>January 2023</w:t>
          </w:r>
        </w:p>
      </w:tc>
      <w:tc>
        <w:tcPr>
          <w:tcW w:w="1734" w:type="dxa"/>
        </w:tcPr>
        <w:sdt>
          <w:sdtPr>
            <w:id w:val="5342774"/>
            <w:docPartObj>
              <w:docPartGallery w:val="Page Numbers (Top of Page)"/>
              <w:docPartUnique/>
            </w:docPartObj>
          </w:sdtPr>
          <w:sdtEndPr/>
          <w:sdtContent>
            <w:p w14:paraId="44A48167" w14:textId="6E064382" w:rsidR="00E40BD2" w:rsidRPr="00257138" w:rsidRDefault="00E40BD2" w:rsidP="003A48A2">
              <w:pPr>
                <w:pStyle w:val="Footer"/>
                <w:jc w:val="right"/>
              </w:pPr>
              <w:r w:rsidRPr="00257138">
                <w:t xml:space="preserve">Page </w:t>
              </w:r>
              <w:r>
                <w:fldChar w:fldCharType="begin"/>
              </w:r>
              <w:r>
                <w:instrText xml:space="preserve"> PAGE </w:instrText>
              </w:r>
              <w:r>
                <w:fldChar w:fldCharType="separate"/>
              </w:r>
              <w:r w:rsidR="004B32D0">
                <w:rPr>
                  <w:noProof/>
                </w:rPr>
                <w:t>2</w:t>
              </w:r>
              <w:r>
                <w:rPr>
                  <w:noProof/>
                </w:rPr>
                <w:fldChar w:fldCharType="end"/>
              </w:r>
              <w:r w:rsidRPr="00257138">
                <w:t xml:space="preserve"> of </w:t>
              </w:r>
              <w:r w:rsidR="00463AFF">
                <w:fldChar w:fldCharType="begin"/>
              </w:r>
              <w:r w:rsidR="00463AFF">
                <w:instrText xml:space="preserve"> NUMPAGES  </w:instrText>
              </w:r>
              <w:r w:rsidR="00463AFF">
                <w:fldChar w:fldCharType="separate"/>
              </w:r>
              <w:r w:rsidR="004B32D0">
                <w:rPr>
                  <w:noProof/>
                </w:rPr>
                <w:t>14</w:t>
              </w:r>
              <w:r w:rsidR="00463AFF">
                <w:rPr>
                  <w:noProof/>
                </w:rPr>
                <w:fldChar w:fldCharType="end"/>
              </w:r>
            </w:p>
          </w:sdtContent>
        </w:sdt>
      </w:tc>
    </w:tr>
  </w:tbl>
  <w:p w14:paraId="3FF833DF" w14:textId="77777777" w:rsidR="00E40BD2" w:rsidRDefault="00E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BB75" w14:textId="77777777" w:rsidR="00586EEA" w:rsidRDefault="00586EEA" w:rsidP="00C40A36">
      <w:pPr>
        <w:spacing w:after="0"/>
      </w:pPr>
      <w:r>
        <w:separator/>
      </w:r>
    </w:p>
  </w:footnote>
  <w:footnote w:type="continuationSeparator" w:id="0">
    <w:p w14:paraId="2519485D" w14:textId="77777777" w:rsidR="00586EEA" w:rsidRDefault="00586EEA" w:rsidP="00C40A36">
      <w:pPr>
        <w:spacing w:after="0"/>
      </w:pPr>
      <w:r>
        <w:continuationSeparator/>
      </w:r>
    </w:p>
  </w:footnote>
  <w:footnote w:id="1">
    <w:p w14:paraId="76BF7115" w14:textId="6B609DD2" w:rsidR="00A53DC8" w:rsidRDefault="00A53DC8">
      <w:pPr>
        <w:pStyle w:val="FootnoteText"/>
      </w:pPr>
      <w:r>
        <w:rPr>
          <w:rStyle w:val="FootnoteReference"/>
        </w:rPr>
        <w:footnoteRef/>
      </w:r>
      <w:r>
        <w:t xml:space="preserve"> For the purposes of s 52D of the </w:t>
      </w:r>
      <w:r>
        <w:rPr>
          <w:i/>
          <w:iCs/>
        </w:rPr>
        <w:t>Therapeutic Goods Act 1989</w:t>
      </w:r>
      <w:r>
        <w:t xml:space="preserve"> (Cth). </w:t>
      </w:r>
    </w:p>
  </w:footnote>
  <w:footnote w:id="2">
    <w:p w14:paraId="2B4A83B9" w14:textId="77777777" w:rsidR="001B53BC" w:rsidRDefault="001B53BC" w:rsidP="001B53BC">
      <w:pPr>
        <w:pStyle w:val="FootnoteText"/>
      </w:pPr>
      <w:r>
        <w:rPr>
          <w:rStyle w:val="FootnoteReference"/>
        </w:rPr>
        <w:footnoteRef/>
      </w:r>
      <w:r>
        <w:t xml:space="preserve"> </w:t>
      </w:r>
      <w:bookmarkStart w:id="29" w:name="_Hlk117709548"/>
      <w:r>
        <w:t xml:space="preserve">Proposed additions are shown in green underlined font, proposed deletions are shown in red strikethrough font, and text without this formatting represents the current text in the Poisons Standard. </w:t>
      </w:r>
      <w:bookmarkEnd w:id="29"/>
    </w:p>
  </w:footnote>
  <w:footnote w:id="3">
    <w:p w14:paraId="2417F63C" w14:textId="77777777" w:rsidR="001B53BC" w:rsidRDefault="001B53BC" w:rsidP="001B53BC">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4">
    <w:p w14:paraId="6CDB680E" w14:textId="77777777" w:rsidR="001B53BC" w:rsidRDefault="001B53BC" w:rsidP="001B53BC">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5">
    <w:p w14:paraId="746E6C9D" w14:textId="77777777" w:rsidR="001B53BC" w:rsidRDefault="001B53BC" w:rsidP="001B53BC">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6">
    <w:p w14:paraId="2412B343" w14:textId="77777777" w:rsidR="00FA4ADF" w:rsidRDefault="00FA4ADF" w:rsidP="00FA4ADF">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7">
    <w:p w14:paraId="6D715F35" w14:textId="77777777" w:rsidR="00632206" w:rsidRDefault="00632206" w:rsidP="00632206">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8">
    <w:p w14:paraId="6E120D88" w14:textId="77777777" w:rsidR="00632206" w:rsidRDefault="00632206" w:rsidP="00632206">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9">
    <w:p w14:paraId="5AA27A42" w14:textId="77777777" w:rsidR="00632206" w:rsidRDefault="00632206" w:rsidP="00632206">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 w:id="10">
    <w:p w14:paraId="2C383A6B" w14:textId="77777777" w:rsidR="006147C4" w:rsidRDefault="006147C4" w:rsidP="006147C4">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035"/>
      <w:gridCol w:w="4685"/>
    </w:tblGrid>
    <w:tr w:rsidR="00E40BD2" w:rsidRPr="00DA24C7" w14:paraId="081A8C01" w14:textId="77777777" w:rsidTr="00F923D6">
      <w:trPr>
        <w:trHeight w:val="709"/>
      </w:trPr>
      <w:tc>
        <w:tcPr>
          <w:tcW w:w="4035" w:type="dxa"/>
        </w:tcPr>
        <w:p w14:paraId="32A34B13" w14:textId="77777777" w:rsidR="00E40BD2" w:rsidRPr="00DA24C7" w:rsidRDefault="00E40BD2"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E40BD2" w:rsidRPr="000F5176" w:rsidRDefault="00E40BD2" w:rsidP="000F5176">
          <w:pPr>
            <w:pStyle w:val="HeaderNoLine"/>
            <w:rPr>
              <w:rStyle w:val="HeaderChar"/>
            </w:rPr>
          </w:pPr>
          <w:r w:rsidRPr="000F5176">
            <w:t>Therapeutic Goods Administration</w:t>
          </w:r>
        </w:p>
      </w:tc>
    </w:tr>
  </w:tbl>
  <w:p w14:paraId="7D79B037" w14:textId="77777777" w:rsidR="00E40BD2" w:rsidRDefault="00E40BD2"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4CE" w14:textId="60332676" w:rsidR="00E40BD2" w:rsidRDefault="00E04ABD" w:rsidP="006E08B3">
    <w:pPr>
      <w:rPr>
        <w:noProof/>
      </w:rPr>
    </w:pPr>
    <w:r w:rsidRPr="00F3255D">
      <w:rPr>
        <w:noProof/>
        <w:lang w:eastAsia="en-AU"/>
      </w:rPr>
      <w:drawing>
        <wp:anchor distT="0" distB="0" distL="114300" distR="114300" simplePos="0" relativeHeight="251664384" behindDoc="0" locked="0" layoutInCell="1" allowOverlap="1" wp14:anchorId="25575D01" wp14:editId="60006046">
          <wp:simplePos x="0" y="0"/>
          <wp:positionH relativeFrom="column">
            <wp:posOffset>-194310</wp:posOffset>
          </wp:positionH>
          <wp:positionV relativeFrom="paragraph">
            <wp:posOffset>133350</wp:posOffset>
          </wp:positionV>
          <wp:extent cx="3524400" cy="82080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4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E47A24" w14:textId="29E36093" w:rsidR="00E40BD2" w:rsidRDefault="00317355" w:rsidP="006D03E5">
    <w:r>
      <w:rPr>
        <w:noProof/>
        <w:lang w:eastAsia="en-AU"/>
      </w:rPr>
      <w:drawing>
        <wp:anchor distT="0" distB="0" distL="114300" distR="114300" simplePos="0" relativeHeight="251666432" behindDoc="0" locked="0" layoutInCell="0" allowOverlap="1" wp14:anchorId="12FCA66C" wp14:editId="12C02F8A">
          <wp:simplePos x="0" y="0"/>
          <wp:positionH relativeFrom="column">
            <wp:posOffset>-900430</wp:posOffset>
          </wp:positionH>
          <wp:positionV relativeFrom="page">
            <wp:posOffset>4173220</wp:posOffset>
          </wp:positionV>
          <wp:extent cx="7599600" cy="2458800"/>
          <wp:effectExtent l="0" t="0" r="1905" b="0"/>
          <wp:wrapNone/>
          <wp:docPr id="37"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599600" cy="24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CD2D" w14:textId="77777777" w:rsidR="00984E90" w:rsidRPr="00920FF4" w:rsidRDefault="00984E90" w:rsidP="00920FF4">
    <w:pPr>
      <w:pStyle w:val="Header"/>
    </w:pPr>
    <w:r>
      <w:ptab w:relativeTo="margin" w:alignment="left" w:leader="none"/>
    </w: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9A7C" w14:textId="77777777" w:rsidR="00984E90" w:rsidRPr="00920FF4" w:rsidRDefault="00984E90"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bottom w:val="single" w:sz="4" w:space="0" w:color="auto"/>
      </w:tblBorders>
      <w:tblCellMar>
        <w:left w:w="0" w:type="dxa"/>
        <w:right w:w="0" w:type="dxa"/>
      </w:tblCellMar>
      <w:tblLook w:val="04A0" w:firstRow="1" w:lastRow="0" w:firstColumn="1" w:lastColumn="0" w:noHBand="0" w:noVBand="1"/>
    </w:tblPr>
    <w:tblGrid>
      <w:gridCol w:w="4035"/>
      <w:gridCol w:w="5037"/>
    </w:tblGrid>
    <w:tr w:rsidR="00E40BD2" w:rsidRPr="00DA24C7" w14:paraId="7C724D59" w14:textId="77777777" w:rsidTr="00AE3703">
      <w:trPr>
        <w:trHeight w:val="558"/>
      </w:trPr>
      <w:tc>
        <w:tcPr>
          <w:tcW w:w="4035" w:type="dxa"/>
          <w:vAlign w:val="center"/>
        </w:tcPr>
        <w:p w14:paraId="047292FC" w14:textId="62B95FE3" w:rsidR="00E40BD2" w:rsidRPr="00EB74A7" w:rsidRDefault="00E40BD2" w:rsidP="00C6376F">
          <w:pPr>
            <w:rPr>
              <w:rStyle w:val="HeaderChar"/>
              <w:rFonts w:ascii="Arial" w:hAnsi="Arial" w:cs="Arial"/>
              <w:b/>
              <w:sz w:val="28"/>
              <w:szCs w:val="28"/>
            </w:rPr>
          </w:pPr>
        </w:p>
      </w:tc>
      <w:tc>
        <w:tcPr>
          <w:tcW w:w="5037" w:type="dxa"/>
          <w:vAlign w:val="center"/>
        </w:tcPr>
        <w:p w14:paraId="3A7D855E" w14:textId="77777777" w:rsidR="00E40BD2" w:rsidRPr="000F5176" w:rsidRDefault="00E40BD2" w:rsidP="00AE3703">
          <w:pPr>
            <w:pStyle w:val="HeaderNoLine"/>
            <w:ind w:right="5"/>
            <w:rPr>
              <w:rStyle w:val="HeaderChar"/>
            </w:rPr>
          </w:pPr>
          <w:r w:rsidRPr="000F5176">
            <w:t>Therapeutic Goods Administration</w:t>
          </w:r>
        </w:p>
      </w:tc>
    </w:tr>
  </w:tbl>
  <w:p w14:paraId="480E463E" w14:textId="77777777" w:rsidR="00E40BD2" w:rsidRDefault="00E40BD2" w:rsidP="0010176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7" w:type="dxa"/>
      <w:tblBorders>
        <w:bottom w:val="single" w:sz="4" w:space="0" w:color="auto"/>
      </w:tblBorders>
      <w:tblCellMar>
        <w:left w:w="0" w:type="dxa"/>
        <w:right w:w="0" w:type="dxa"/>
      </w:tblCellMar>
      <w:tblLook w:val="04A0" w:firstRow="1" w:lastRow="0" w:firstColumn="1" w:lastColumn="0" w:noHBand="0" w:noVBand="1"/>
    </w:tblPr>
    <w:tblGrid>
      <w:gridCol w:w="4186"/>
      <w:gridCol w:w="5041"/>
    </w:tblGrid>
    <w:tr w:rsidR="002A7487" w:rsidRPr="00DA24C7" w14:paraId="6195BDC9" w14:textId="77777777" w:rsidTr="00C22E8E">
      <w:trPr>
        <w:trHeight w:val="588"/>
      </w:trPr>
      <w:tc>
        <w:tcPr>
          <w:tcW w:w="4186" w:type="dxa"/>
          <w:vAlign w:val="center"/>
        </w:tcPr>
        <w:p w14:paraId="6180D540" w14:textId="7975D466" w:rsidR="002A7487" w:rsidRPr="00EB74A7" w:rsidRDefault="002A7487" w:rsidP="002A7487">
          <w:pPr>
            <w:spacing w:before="0" w:after="0"/>
            <w:rPr>
              <w:rStyle w:val="HeaderChar"/>
              <w:rFonts w:ascii="Arial" w:hAnsi="Arial" w:cs="Arial"/>
              <w:b/>
              <w:sz w:val="28"/>
              <w:szCs w:val="28"/>
            </w:rPr>
          </w:pPr>
          <w:bookmarkStart w:id="68" w:name="_Hlk109644329"/>
          <w:bookmarkStart w:id="69" w:name="_Hlk109644330"/>
        </w:p>
      </w:tc>
      <w:tc>
        <w:tcPr>
          <w:tcW w:w="5041" w:type="dxa"/>
          <w:vAlign w:val="center"/>
        </w:tcPr>
        <w:p w14:paraId="2681EE0A" w14:textId="77777777" w:rsidR="002A7487" w:rsidRPr="000F5176" w:rsidRDefault="002A7487" w:rsidP="002A7487">
          <w:pPr>
            <w:pStyle w:val="HeaderNoLine"/>
            <w:spacing w:before="0" w:after="0"/>
            <w:rPr>
              <w:rStyle w:val="HeaderChar"/>
            </w:rPr>
          </w:pPr>
          <w:bookmarkStart w:id="70" w:name="_Hlk109644399"/>
          <w:r w:rsidRPr="000F5176">
            <w:t>Therapeutic Goods Administration</w:t>
          </w:r>
          <w:bookmarkEnd w:id="70"/>
        </w:p>
      </w:tc>
    </w:tr>
    <w:bookmarkEnd w:id="68"/>
    <w:bookmarkEnd w:id="69"/>
  </w:tbl>
  <w:p w14:paraId="3D9C25A3" w14:textId="1D72ED11" w:rsidR="00E40BD2" w:rsidRDefault="00E40BD2" w:rsidP="004E576B">
    <w:pPr>
      <w:tabs>
        <w:tab w:val="left" w:pos="75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0CD6B4"/>
    <w:lvl w:ilvl="0">
      <w:start w:val="1"/>
      <w:numFmt w:val="decimal"/>
      <w:pStyle w:val="BodyText"/>
      <w:lvlText w:val="%1."/>
      <w:lvlJc w:val="left"/>
      <w:pPr>
        <w:tabs>
          <w:tab w:val="num" w:pos="643"/>
        </w:tabs>
        <w:ind w:left="643" w:hanging="360"/>
      </w:pPr>
      <w:rPr>
        <w:rFonts w:cs="Times New Roman"/>
        <w:b w:val="0"/>
        <w:bCs/>
      </w:rPr>
    </w:lvl>
  </w:abstractNum>
  <w:abstractNum w:abstractNumId="1" w15:restartNumberingAfterBreak="0">
    <w:nsid w:val="FFFFFF89"/>
    <w:multiLevelType w:val="singleLevel"/>
    <w:tmpl w:val="A934D7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47B6B"/>
    <w:multiLevelType w:val="hybridMultilevel"/>
    <w:tmpl w:val="72A23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1A4C6C"/>
    <w:multiLevelType w:val="hybridMultilevel"/>
    <w:tmpl w:val="192ABC6A"/>
    <w:lvl w:ilvl="0" w:tplc="73F64608">
      <w:start w:val="1"/>
      <w:numFmt w:val="lowerRoman"/>
      <w:lvlText w:val="(%1)"/>
      <w:lvlJc w:val="left"/>
      <w:pPr>
        <w:ind w:left="1080" w:hanging="72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AFD0D9D"/>
    <w:multiLevelType w:val="hybridMultilevel"/>
    <w:tmpl w:val="BAF6F1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E65A0F"/>
    <w:multiLevelType w:val="hybridMultilevel"/>
    <w:tmpl w:val="630ADDCE"/>
    <w:lvl w:ilvl="0" w:tplc="7AD6C8AC">
      <w:start w:val="1"/>
      <w:numFmt w:val="lowerLetter"/>
      <w:lvlText w:val="%1)"/>
      <w:lvlJc w:val="left"/>
      <w:pPr>
        <w:ind w:left="1146" w:hanging="360"/>
      </w:pPr>
      <w:rPr>
        <w:b w:val="0"/>
        <w:bCs/>
      </w:rPr>
    </w:lvl>
    <w:lvl w:ilvl="1" w:tplc="0FD483CA">
      <w:start w:val="1"/>
      <w:numFmt w:val="lowerRoman"/>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10"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39E96229"/>
    <w:multiLevelType w:val="hybridMultilevel"/>
    <w:tmpl w:val="1CD69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8657B2"/>
    <w:multiLevelType w:val="hybridMultilevel"/>
    <w:tmpl w:val="35BAB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1AE535A"/>
    <w:multiLevelType w:val="hybridMultilevel"/>
    <w:tmpl w:val="BAF4B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5D0184"/>
    <w:multiLevelType w:val="hybridMultilevel"/>
    <w:tmpl w:val="CD3E5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1F0342"/>
    <w:multiLevelType w:val="hybridMultilevel"/>
    <w:tmpl w:val="630ADDCE"/>
    <w:lvl w:ilvl="0" w:tplc="7AD6C8AC">
      <w:start w:val="1"/>
      <w:numFmt w:val="lowerLetter"/>
      <w:lvlText w:val="%1)"/>
      <w:lvlJc w:val="left"/>
      <w:pPr>
        <w:ind w:left="1146" w:hanging="360"/>
      </w:pPr>
      <w:rPr>
        <w:b w:val="0"/>
        <w:bCs/>
      </w:rPr>
    </w:lvl>
    <w:lvl w:ilvl="1" w:tplc="0FD483CA">
      <w:start w:val="1"/>
      <w:numFmt w:val="lowerRoman"/>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16" w15:restartNumberingAfterBreak="0">
    <w:nsid w:val="6E394B1A"/>
    <w:multiLevelType w:val="hybridMultilevel"/>
    <w:tmpl w:val="BEF8E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836D1"/>
    <w:multiLevelType w:val="hybridMultilevel"/>
    <w:tmpl w:val="630ADDCE"/>
    <w:lvl w:ilvl="0" w:tplc="7AD6C8AC">
      <w:start w:val="1"/>
      <w:numFmt w:val="lowerLetter"/>
      <w:lvlText w:val="%1)"/>
      <w:lvlJc w:val="left"/>
      <w:pPr>
        <w:ind w:left="1146" w:hanging="360"/>
      </w:pPr>
      <w:rPr>
        <w:b w:val="0"/>
        <w:bCs/>
      </w:rPr>
    </w:lvl>
    <w:lvl w:ilvl="1" w:tplc="0FD483CA">
      <w:start w:val="1"/>
      <w:numFmt w:val="lowerRoman"/>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num w:numId="1">
    <w:abstractNumId w:val="5"/>
  </w:num>
  <w:num w:numId="2">
    <w:abstractNumId w:val="3"/>
  </w:num>
  <w:num w:numId="3">
    <w:abstractNumId w:val="5"/>
  </w:num>
  <w:num w:numId="4">
    <w:abstractNumId w:val="3"/>
  </w:num>
  <w:num w:numId="5">
    <w:abstractNumId w:val="8"/>
  </w:num>
  <w:num w:numId="6">
    <w:abstractNumId w:val="10"/>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0"/>
  </w:num>
  <w:num w:numId="14">
    <w:abstractNumId w:val="13"/>
  </w:num>
  <w:num w:numId="15">
    <w:abstractNumId w:val="16"/>
  </w:num>
  <w:num w:numId="16">
    <w:abstractNumId w:val="11"/>
  </w:num>
  <w:num w:numId="17">
    <w:abstractNumId w:val="12"/>
  </w:num>
  <w:num w:numId="18">
    <w:abstractNumId w:val="9"/>
  </w:num>
  <w:num w:numId="19">
    <w:abstractNumId w:val="4"/>
  </w:num>
  <w:num w:numId="20">
    <w:abstractNumId w:val="17"/>
  </w:num>
  <w:num w:numId="21">
    <w:abstractNumId w:val="1"/>
  </w:num>
  <w:num w:numId="2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2586"/>
    <w:rsid w:val="00003EE4"/>
    <w:rsid w:val="000042DA"/>
    <w:rsid w:val="00004734"/>
    <w:rsid w:val="00006AE7"/>
    <w:rsid w:val="00006B22"/>
    <w:rsid w:val="0001276A"/>
    <w:rsid w:val="00012D9E"/>
    <w:rsid w:val="00014609"/>
    <w:rsid w:val="00023C6E"/>
    <w:rsid w:val="000246AE"/>
    <w:rsid w:val="00025266"/>
    <w:rsid w:val="00025C67"/>
    <w:rsid w:val="00030297"/>
    <w:rsid w:val="000316EB"/>
    <w:rsid w:val="000335FC"/>
    <w:rsid w:val="00033F14"/>
    <w:rsid w:val="00041297"/>
    <w:rsid w:val="00042573"/>
    <w:rsid w:val="000465B5"/>
    <w:rsid w:val="000473A3"/>
    <w:rsid w:val="0005081A"/>
    <w:rsid w:val="00052322"/>
    <w:rsid w:val="00053C6C"/>
    <w:rsid w:val="0005559E"/>
    <w:rsid w:val="00056156"/>
    <w:rsid w:val="00057FFC"/>
    <w:rsid w:val="00061765"/>
    <w:rsid w:val="0006427F"/>
    <w:rsid w:val="00065585"/>
    <w:rsid w:val="00065D1A"/>
    <w:rsid w:val="00072D02"/>
    <w:rsid w:val="00074EBD"/>
    <w:rsid w:val="000755F8"/>
    <w:rsid w:val="00077548"/>
    <w:rsid w:val="00077775"/>
    <w:rsid w:val="0008417D"/>
    <w:rsid w:val="00085DD5"/>
    <w:rsid w:val="000860B4"/>
    <w:rsid w:val="00086408"/>
    <w:rsid w:val="000869F6"/>
    <w:rsid w:val="00090471"/>
    <w:rsid w:val="00096F5C"/>
    <w:rsid w:val="000A0611"/>
    <w:rsid w:val="000A250D"/>
    <w:rsid w:val="000A3085"/>
    <w:rsid w:val="000A56BE"/>
    <w:rsid w:val="000B03FE"/>
    <w:rsid w:val="000B0759"/>
    <w:rsid w:val="000B2A33"/>
    <w:rsid w:val="000B3532"/>
    <w:rsid w:val="000B3A75"/>
    <w:rsid w:val="000B56DE"/>
    <w:rsid w:val="000B7084"/>
    <w:rsid w:val="000C31F2"/>
    <w:rsid w:val="000C4FF7"/>
    <w:rsid w:val="000C5F0B"/>
    <w:rsid w:val="000C6B99"/>
    <w:rsid w:val="000D0ABB"/>
    <w:rsid w:val="000D1DFD"/>
    <w:rsid w:val="000D2B49"/>
    <w:rsid w:val="000D391B"/>
    <w:rsid w:val="000D3D6D"/>
    <w:rsid w:val="000D45F7"/>
    <w:rsid w:val="000D4FC7"/>
    <w:rsid w:val="000E5981"/>
    <w:rsid w:val="000F04C4"/>
    <w:rsid w:val="000F10A9"/>
    <w:rsid w:val="000F3A5D"/>
    <w:rsid w:val="000F4869"/>
    <w:rsid w:val="000F5176"/>
    <w:rsid w:val="000F5B42"/>
    <w:rsid w:val="000F6E6F"/>
    <w:rsid w:val="001003F2"/>
    <w:rsid w:val="00101762"/>
    <w:rsid w:val="001025C4"/>
    <w:rsid w:val="0010601F"/>
    <w:rsid w:val="00106BF9"/>
    <w:rsid w:val="00110AE1"/>
    <w:rsid w:val="00110EA5"/>
    <w:rsid w:val="00112440"/>
    <w:rsid w:val="001149E5"/>
    <w:rsid w:val="00115240"/>
    <w:rsid w:val="001157F7"/>
    <w:rsid w:val="00116990"/>
    <w:rsid w:val="001169AC"/>
    <w:rsid w:val="00117127"/>
    <w:rsid w:val="00123BB2"/>
    <w:rsid w:val="00125091"/>
    <w:rsid w:val="00125148"/>
    <w:rsid w:val="00125318"/>
    <w:rsid w:val="0012669D"/>
    <w:rsid w:val="001268BE"/>
    <w:rsid w:val="001305A2"/>
    <w:rsid w:val="00130EB7"/>
    <w:rsid w:val="00131304"/>
    <w:rsid w:val="00131F89"/>
    <w:rsid w:val="001327EC"/>
    <w:rsid w:val="00133238"/>
    <w:rsid w:val="00134D9C"/>
    <w:rsid w:val="00135364"/>
    <w:rsid w:val="00140FE3"/>
    <w:rsid w:val="0014197B"/>
    <w:rsid w:val="00143B58"/>
    <w:rsid w:val="001447CD"/>
    <w:rsid w:val="00150A66"/>
    <w:rsid w:val="001516B1"/>
    <w:rsid w:val="001525B4"/>
    <w:rsid w:val="00155651"/>
    <w:rsid w:val="00156316"/>
    <w:rsid w:val="00156847"/>
    <w:rsid w:val="00157601"/>
    <w:rsid w:val="001578C5"/>
    <w:rsid w:val="00160449"/>
    <w:rsid w:val="00161226"/>
    <w:rsid w:val="00165389"/>
    <w:rsid w:val="001653CE"/>
    <w:rsid w:val="00173C6A"/>
    <w:rsid w:val="00174A93"/>
    <w:rsid w:val="0017517A"/>
    <w:rsid w:val="0017693F"/>
    <w:rsid w:val="00176CB0"/>
    <w:rsid w:val="0018056A"/>
    <w:rsid w:val="0018110E"/>
    <w:rsid w:val="00181684"/>
    <w:rsid w:val="00182A4A"/>
    <w:rsid w:val="001843C6"/>
    <w:rsid w:val="001850E0"/>
    <w:rsid w:val="00185CE9"/>
    <w:rsid w:val="00186517"/>
    <w:rsid w:val="00193183"/>
    <w:rsid w:val="001A25DD"/>
    <w:rsid w:val="001A2654"/>
    <w:rsid w:val="001A3925"/>
    <w:rsid w:val="001A525F"/>
    <w:rsid w:val="001A5FFE"/>
    <w:rsid w:val="001B09F9"/>
    <w:rsid w:val="001B0F8B"/>
    <w:rsid w:val="001B53BC"/>
    <w:rsid w:val="001B5CE3"/>
    <w:rsid w:val="001B6448"/>
    <w:rsid w:val="001C0D8C"/>
    <w:rsid w:val="001C2A9E"/>
    <w:rsid w:val="001C2D91"/>
    <w:rsid w:val="001C5266"/>
    <w:rsid w:val="001C7F0A"/>
    <w:rsid w:val="001D21A3"/>
    <w:rsid w:val="001D3637"/>
    <w:rsid w:val="001E07CF"/>
    <w:rsid w:val="001E51C6"/>
    <w:rsid w:val="001E5555"/>
    <w:rsid w:val="001E59F1"/>
    <w:rsid w:val="001F04D7"/>
    <w:rsid w:val="001F32EC"/>
    <w:rsid w:val="001F49EB"/>
    <w:rsid w:val="001F6CBA"/>
    <w:rsid w:val="002001F1"/>
    <w:rsid w:val="0020028B"/>
    <w:rsid w:val="00200A9C"/>
    <w:rsid w:val="00201D4E"/>
    <w:rsid w:val="00202086"/>
    <w:rsid w:val="00204DF0"/>
    <w:rsid w:val="0020793B"/>
    <w:rsid w:val="002101CA"/>
    <w:rsid w:val="002147E0"/>
    <w:rsid w:val="00216FA4"/>
    <w:rsid w:val="00220B8A"/>
    <w:rsid w:val="002226DD"/>
    <w:rsid w:val="002227FE"/>
    <w:rsid w:val="002257F3"/>
    <w:rsid w:val="0023267B"/>
    <w:rsid w:val="00233456"/>
    <w:rsid w:val="002339A5"/>
    <w:rsid w:val="002339DF"/>
    <w:rsid w:val="00236140"/>
    <w:rsid w:val="00240781"/>
    <w:rsid w:val="00242707"/>
    <w:rsid w:val="002445F4"/>
    <w:rsid w:val="002458D4"/>
    <w:rsid w:val="00245CF3"/>
    <w:rsid w:val="002469CC"/>
    <w:rsid w:val="00247223"/>
    <w:rsid w:val="0025120A"/>
    <w:rsid w:val="0025660C"/>
    <w:rsid w:val="00257138"/>
    <w:rsid w:val="00257848"/>
    <w:rsid w:val="00267925"/>
    <w:rsid w:val="0027084A"/>
    <w:rsid w:val="00275590"/>
    <w:rsid w:val="00286434"/>
    <w:rsid w:val="00286C59"/>
    <w:rsid w:val="002929C2"/>
    <w:rsid w:val="00292BB3"/>
    <w:rsid w:val="002942D1"/>
    <w:rsid w:val="002A026F"/>
    <w:rsid w:val="002A0556"/>
    <w:rsid w:val="002A26C4"/>
    <w:rsid w:val="002A3961"/>
    <w:rsid w:val="002A5857"/>
    <w:rsid w:val="002A5F56"/>
    <w:rsid w:val="002A6E38"/>
    <w:rsid w:val="002A7487"/>
    <w:rsid w:val="002A7DC5"/>
    <w:rsid w:val="002B0E0E"/>
    <w:rsid w:val="002B1620"/>
    <w:rsid w:val="002B1638"/>
    <w:rsid w:val="002B3304"/>
    <w:rsid w:val="002C07AF"/>
    <w:rsid w:val="002C1418"/>
    <w:rsid w:val="002C37C0"/>
    <w:rsid w:val="002C383A"/>
    <w:rsid w:val="002C43C3"/>
    <w:rsid w:val="002C48BF"/>
    <w:rsid w:val="002C6D34"/>
    <w:rsid w:val="002D0B05"/>
    <w:rsid w:val="002E345C"/>
    <w:rsid w:val="002E430E"/>
    <w:rsid w:val="002E4C9A"/>
    <w:rsid w:val="002E5C31"/>
    <w:rsid w:val="002E69BE"/>
    <w:rsid w:val="002F11F8"/>
    <w:rsid w:val="002F3F56"/>
    <w:rsid w:val="002F4418"/>
    <w:rsid w:val="002F44B5"/>
    <w:rsid w:val="002F53E0"/>
    <w:rsid w:val="00302504"/>
    <w:rsid w:val="00303CBB"/>
    <w:rsid w:val="0030508C"/>
    <w:rsid w:val="003055BD"/>
    <w:rsid w:val="00311AC0"/>
    <w:rsid w:val="00314331"/>
    <w:rsid w:val="00316F8D"/>
    <w:rsid w:val="00317355"/>
    <w:rsid w:val="003208A0"/>
    <w:rsid w:val="0032097A"/>
    <w:rsid w:val="003218D0"/>
    <w:rsid w:val="003251D0"/>
    <w:rsid w:val="003261C8"/>
    <w:rsid w:val="00331DBB"/>
    <w:rsid w:val="00334439"/>
    <w:rsid w:val="00335BEC"/>
    <w:rsid w:val="003367E4"/>
    <w:rsid w:val="00343736"/>
    <w:rsid w:val="003521E8"/>
    <w:rsid w:val="00352A2E"/>
    <w:rsid w:val="00353AC2"/>
    <w:rsid w:val="003555D7"/>
    <w:rsid w:val="00356F04"/>
    <w:rsid w:val="00360648"/>
    <w:rsid w:val="00360DFD"/>
    <w:rsid w:val="00362473"/>
    <w:rsid w:val="00362F16"/>
    <w:rsid w:val="003662D5"/>
    <w:rsid w:val="003664BF"/>
    <w:rsid w:val="0036794C"/>
    <w:rsid w:val="0037036E"/>
    <w:rsid w:val="0037215C"/>
    <w:rsid w:val="003728F3"/>
    <w:rsid w:val="00373D31"/>
    <w:rsid w:val="0038110B"/>
    <w:rsid w:val="00386152"/>
    <w:rsid w:val="00390900"/>
    <w:rsid w:val="003964E2"/>
    <w:rsid w:val="003A0110"/>
    <w:rsid w:val="003A0B29"/>
    <w:rsid w:val="003A0B68"/>
    <w:rsid w:val="003A19BA"/>
    <w:rsid w:val="003A48A2"/>
    <w:rsid w:val="003B1FAD"/>
    <w:rsid w:val="003B3601"/>
    <w:rsid w:val="003B629A"/>
    <w:rsid w:val="003B6AE7"/>
    <w:rsid w:val="003B6BA7"/>
    <w:rsid w:val="003B6E20"/>
    <w:rsid w:val="003B7E39"/>
    <w:rsid w:val="003C04B2"/>
    <w:rsid w:val="003C1BBB"/>
    <w:rsid w:val="003C58DC"/>
    <w:rsid w:val="003C62FC"/>
    <w:rsid w:val="003C7673"/>
    <w:rsid w:val="003D1DEC"/>
    <w:rsid w:val="003D26B4"/>
    <w:rsid w:val="003D2AC5"/>
    <w:rsid w:val="003D33CF"/>
    <w:rsid w:val="003D497F"/>
    <w:rsid w:val="003D5D86"/>
    <w:rsid w:val="003E0E6A"/>
    <w:rsid w:val="003E1945"/>
    <w:rsid w:val="003E2889"/>
    <w:rsid w:val="003E3208"/>
    <w:rsid w:val="003E33D4"/>
    <w:rsid w:val="003E3CA3"/>
    <w:rsid w:val="003E7390"/>
    <w:rsid w:val="003F0B04"/>
    <w:rsid w:val="003F3092"/>
    <w:rsid w:val="003F3095"/>
    <w:rsid w:val="003F48DD"/>
    <w:rsid w:val="0040134E"/>
    <w:rsid w:val="00402EF6"/>
    <w:rsid w:val="00403ACE"/>
    <w:rsid w:val="00403D3E"/>
    <w:rsid w:val="00404AD5"/>
    <w:rsid w:val="0040598C"/>
    <w:rsid w:val="0040726C"/>
    <w:rsid w:val="004072A5"/>
    <w:rsid w:val="00411710"/>
    <w:rsid w:val="0041244F"/>
    <w:rsid w:val="00412E40"/>
    <w:rsid w:val="00414BA2"/>
    <w:rsid w:val="00421B7E"/>
    <w:rsid w:val="00423F10"/>
    <w:rsid w:val="004247DA"/>
    <w:rsid w:val="004302D7"/>
    <w:rsid w:val="0043074F"/>
    <w:rsid w:val="00430AAA"/>
    <w:rsid w:val="00432A32"/>
    <w:rsid w:val="00432CDD"/>
    <w:rsid w:val="00433211"/>
    <w:rsid w:val="00435B13"/>
    <w:rsid w:val="00436C41"/>
    <w:rsid w:val="004407B2"/>
    <w:rsid w:val="004407F5"/>
    <w:rsid w:val="00440A2D"/>
    <w:rsid w:val="004422DF"/>
    <w:rsid w:val="004432FB"/>
    <w:rsid w:val="004446E3"/>
    <w:rsid w:val="004454B4"/>
    <w:rsid w:val="0044589C"/>
    <w:rsid w:val="0044722D"/>
    <w:rsid w:val="0044785B"/>
    <w:rsid w:val="00455ECA"/>
    <w:rsid w:val="004564A7"/>
    <w:rsid w:val="00457FE3"/>
    <w:rsid w:val="004617BF"/>
    <w:rsid w:val="004618AB"/>
    <w:rsid w:val="00461999"/>
    <w:rsid w:val="00463AFF"/>
    <w:rsid w:val="00464DFB"/>
    <w:rsid w:val="0046516E"/>
    <w:rsid w:val="004658BC"/>
    <w:rsid w:val="00470EC2"/>
    <w:rsid w:val="00472080"/>
    <w:rsid w:val="00484BAB"/>
    <w:rsid w:val="00485BFD"/>
    <w:rsid w:val="00487716"/>
    <w:rsid w:val="004923FF"/>
    <w:rsid w:val="004929C5"/>
    <w:rsid w:val="00494E60"/>
    <w:rsid w:val="00496E4F"/>
    <w:rsid w:val="004970FD"/>
    <w:rsid w:val="004A2400"/>
    <w:rsid w:val="004A5444"/>
    <w:rsid w:val="004A6F05"/>
    <w:rsid w:val="004B21D7"/>
    <w:rsid w:val="004B2BD3"/>
    <w:rsid w:val="004B32D0"/>
    <w:rsid w:val="004B545E"/>
    <w:rsid w:val="004B6701"/>
    <w:rsid w:val="004B7B76"/>
    <w:rsid w:val="004C0070"/>
    <w:rsid w:val="004C241F"/>
    <w:rsid w:val="004C3BFD"/>
    <w:rsid w:val="004C4791"/>
    <w:rsid w:val="004C60B4"/>
    <w:rsid w:val="004D51A6"/>
    <w:rsid w:val="004D6739"/>
    <w:rsid w:val="004D7224"/>
    <w:rsid w:val="004D722C"/>
    <w:rsid w:val="004D7884"/>
    <w:rsid w:val="004E2EBC"/>
    <w:rsid w:val="004E5523"/>
    <w:rsid w:val="004E576B"/>
    <w:rsid w:val="004F0F38"/>
    <w:rsid w:val="004F4580"/>
    <w:rsid w:val="005009C0"/>
    <w:rsid w:val="00500ACD"/>
    <w:rsid w:val="00501179"/>
    <w:rsid w:val="00501921"/>
    <w:rsid w:val="00501CBA"/>
    <w:rsid w:val="005042C1"/>
    <w:rsid w:val="005164BD"/>
    <w:rsid w:val="005168C9"/>
    <w:rsid w:val="00516E40"/>
    <w:rsid w:val="00520F6C"/>
    <w:rsid w:val="00521BEF"/>
    <w:rsid w:val="005220E5"/>
    <w:rsid w:val="005221E1"/>
    <w:rsid w:val="005274DA"/>
    <w:rsid w:val="005302F5"/>
    <w:rsid w:val="00530354"/>
    <w:rsid w:val="00533970"/>
    <w:rsid w:val="00534871"/>
    <w:rsid w:val="0053538C"/>
    <w:rsid w:val="0053781A"/>
    <w:rsid w:val="00541352"/>
    <w:rsid w:val="0054163A"/>
    <w:rsid w:val="005434C6"/>
    <w:rsid w:val="00543B39"/>
    <w:rsid w:val="00544DDF"/>
    <w:rsid w:val="00546E47"/>
    <w:rsid w:val="00550096"/>
    <w:rsid w:val="00551F1D"/>
    <w:rsid w:val="00552DB2"/>
    <w:rsid w:val="005540F9"/>
    <w:rsid w:val="005576C9"/>
    <w:rsid w:val="00557FF9"/>
    <w:rsid w:val="00560BAF"/>
    <w:rsid w:val="00561B1B"/>
    <w:rsid w:val="005729B0"/>
    <w:rsid w:val="00575A6D"/>
    <w:rsid w:val="00576378"/>
    <w:rsid w:val="00577E38"/>
    <w:rsid w:val="005824DB"/>
    <w:rsid w:val="00585069"/>
    <w:rsid w:val="00585322"/>
    <w:rsid w:val="00586EEA"/>
    <w:rsid w:val="0058774D"/>
    <w:rsid w:val="00591975"/>
    <w:rsid w:val="00593AD1"/>
    <w:rsid w:val="005955CF"/>
    <w:rsid w:val="00597B50"/>
    <w:rsid w:val="005A1131"/>
    <w:rsid w:val="005A3F2F"/>
    <w:rsid w:val="005A5916"/>
    <w:rsid w:val="005A5A5E"/>
    <w:rsid w:val="005A6611"/>
    <w:rsid w:val="005B1DEF"/>
    <w:rsid w:val="005C03F2"/>
    <w:rsid w:val="005C0499"/>
    <w:rsid w:val="005C1D90"/>
    <w:rsid w:val="005C22EA"/>
    <w:rsid w:val="005C2732"/>
    <w:rsid w:val="005C2FB2"/>
    <w:rsid w:val="005C3414"/>
    <w:rsid w:val="005C5570"/>
    <w:rsid w:val="005C6864"/>
    <w:rsid w:val="005C6983"/>
    <w:rsid w:val="005C6D87"/>
    <w:rsid w:val="005C79A4"/>
    <w:rsid w:val="005D04E2"/>
    <w:rsid w:val="005D060C"/>
    <w:rsid w:val="005D16DC"/>
    <w:rsid w:val="005D4E06"/>
    <w:rsid w:val="005D5442"/>
    <w:rsid w:val="005D72D1"/>
    <w:rsid w:val="005E1A89"/>
    <w:rsid w:val="005E3393"/>
    <w:rsid w:val="005E5885"/>
    <w:rsid w:val="005E6395"/>
    <w:rsid w:val="005F3EA0"/>
    <w:rsid w:val="00601594"/>
    <w:rsid w:val="00601FD3"/>
    <w:rsid w:val="00603099"/>
    <w:rsid w:val="0060581D"/>
    <w:rsid w:val="00612B30"/>
    <w:rsid w:val="006131AB"/>
    <w:rsid w:val="00613211"/>
    <w:rsid w:val="006132E8"/>
    <w:rsid w:val="006147C4"/>
    <w:rsid w:val="006210F2"/>
    <w:rsid w:val="0062266E"/>
    <w:rsid w:val="00623676"/>
    <w:rsid w:val="006238C7"/>
    <w:rsid w:val="00632206"/>
    <w:rsid w:val="00632D4C"/>
    <w:rsid w:val="006352D8"/>
    <w:rsid w:val="006400CB"/>
    <w:rsid w:val="00640FC3"/>
    <w:rsid w:val="00642020"/>
    <w:rsid w:val="00650434"/>
    <w:rsid w:val="00651316"/>
    <w:rsid w:val="00652CEE"/>
    <w:rsid w:val="0065337B"/>
    <w:rsid w:val="0065419D"/>
    <w:rsid w:val="00654B6B"/>
    <w:rsid w:val="006558C7"/>
    <w:rsid w:val="00657D27"/>
    <w:rsid w:val="006604D8"/>
    <w:rsid w:val="00664A5B"/>
    <w:rsid w:val="006664CB"/>
    <w:rsid w:val="00667179"/>
    <w:rsid w:val="00667942"/>
    <w:rsid w:val="006733CD"/>
    <w:rsid w:val="00674BA2"/>
    <w:rsid w:val="00677050"/>
    <w:rsid w:val="006804A8"/>
    <w:rsid w:val="00680C08"/>
    <w:rsid w:val="0068543D"/>
    <w:rsid w:val="00686C19"/>
    <w:rsid w:val="0068741A"/>
    <w:rsid w:val="00691DBE"/>
    <w:rsid w:val="006931B1"/>
    <w:rsid w:val="00696670"/>
    <w:rsid w:val="006A15C0"/>
    <w:rsid w:val="006A1DC0"/>
    <w:rsid w:val="006A3560"/>
    <w:rsid w:val="006A64F4"/>
    <w:rsid w:val="006A7FD9"/>
    <w:rsid w:val="006B1BCF"/>
    <w:rsid w:val="006B3B74"/>
    <w:rsid w:val="006B3CF2"/>
    <w:rsid w:val="006C0A51"/>
    <w:rsid w:val="006C1A83"/>
    <w:rsid w:val="006C1AD9"/>
    <w:rsid w:val="006C1F3B"/>
    <w:rsid w:val="006C3E2A"/>
    <w:rsid w:val="006C450D"/>
    <w:rsid w:val="006C57B7"/>
    <w:rsid w:val="006C642F"/>
    <w:rsid w:val="006C7281"/>
    <w:rsid w:val="006D03E5"/>
    <w:rsid w:val="006D08C1"/>
    <w:rsid w:val="006D5D3E"/>
    <w:rsid w:val="006D6A23"/>
    <w:rsid w:val="006E08B3"/>
    <w:rsid w:val="006E5071"/>
    <w:rsid w:val="006E5916"/>
    <w:rsid w:val="006E78E6"/>
    <w:rsid w:val="006F01FE"/>
    <w:rsid w:val="006F1A67"/>
    <w:rsid w:val="006F27DF"/>
    <w:rsid w:val="006F572E"/>
    <w:rsid w:val="006F65A9"/>
    <w:rsid w:val="007046D6"/>
    <w:rsid w:val="007058B4"/>
    <w:rsid w:val="00705DB0"/>
    <w:rsid w:val="00706AFE"/>
    <w:rsid w:val="007105C8"/>
    <w:rsid w:val="00711BAE"/>
    <w:rsid w:val="007127A7"/>
    <w:rsid w:val="0071530B"/>
    <w:rsid w:val="00717545"/>
    <w:rsid w:val="00717B5D"/>
    <w:rsid w:val="007249F8"/>
    <w:rsid w:val="0073205A"/>
    <w:rsid w:val="0073223B"/>
    <w:rsid w:val="00732B06"/>
    <w:rsid w:val="0073345D"/>
    <w:rsid w:val="00736B85"/>
    <w:rsid w:val="00736EFA"/>
    <w:rsid w:val="00737627"/>
    <w:rsid w:val="0074253D"/>
    <w:rsid w:val="0074429B"/>
    <w:rsid w:val="007477F8"/>
    <w:rsid w:val="00750368"/>
    <w:rsid w:val="00754823"/>
    <w:rsid w:val="007560C5"/>
    <w:rsid w:val="00756ABF"/>
    <w:rsid w:val="007615BC"/>
    <w:rsid w:val="00761AA7"/>
    <w:rsid w:val="00762F05"/>
    <w:rsid w:val="007637F0"/>
    <w:rsid w:val="00763BB7"/>
    <w:rsid w:val="007652FF"/>
    <w:rsid w:val="00765C7B"/>
    <w:rsid w:val="00766729"/>
    <w:rsid w:val="00766888"/>
    <w:rsid w:val="00771329"/>
    <w:rsid w:val="00773480"/>
    <w:rsid w:val="00773EF7"/>
    <w:rsid w:val="007748DC"/>
    <w:rsid w:val="00774E1D"/>
    <w:rsid w:val="0077675A"/>
    <w:rsid w:val="00780355"/>
    <w:rsid w:val="007805E4"/>
    <w:rsid w:val="00782870"/>
    <w:rsid w:val="00783116"/>
    <w:rsid w:val="00784124"/>
    <w:rsid w:val="00784CA8"/>
    <w:rsid w:val="00785721"/>
    <w:rsid w:val="007907BF"/>
    <w:rsid w:val="00792B5F"/>
    <w:rsid w:val="00793A59"/>
    <w:rsid w:val="00794519"/>
    <w:rsid w:val="007954D4"/>
    <w:rsid w:val="00797C67"/>
    <w:rsid w:val="007A2162"/>
    <w:rsid w:val="007A2B0B"/>
    <w:rsid w:val="007A58C5"/>
    <w:rsid w:val="007A6E36"/>
    <w:rsid w:val="007B0412"/>
    <w:rsid w:val="007B0A15"/>
    <w:rsid w:val="007B1ED1"/>
    <w:rsid w:val="007B7F38"/>
    <w:rsid w:val="007C0F3D"/>
    <w:rsid w:val="007C1AF7"/>
    <w:rsid w:val="007D2CFA"/>
    <w:rsid w:val="007D31C7"/>
    <w:rsid w:val="007D404B"/>
    <w:rsid w:val="007D4385"/>
    <w:rsid w:val="007D7B54"/>
    <w:rsid w:val="007E29E1"/>
    <w:rsid w:val="007E3E3E"/>
    <w:rsid w:val="007E4DCE"/>
    <w:rsid w:val="007E662C"/>
    <w:rsid w:val="007F489D"/>
    <w:rsid w:val="008030CD"/>
    <w:rsid w:val="00804357"/>
    <w:rsid w:val="0080449A"/>
    <w:rsid w:val="00811949"/>
    <w:rsid w:val="00812029"/>
    <w:rsid w:val="008122AC"/>
    <w:rsid w:val="00813E46"/>
    <w:rsid w:val="00817471"/>
    <w:rsid w:val="00821776"/>
    <w:rsid w:val="00826007"/>
    <w:rsid w:val="0082653E"/>
    <w:rsid w:val="008266E2"/>
    <w:rsid w:val="0083209C"/>
    <w:rsid w:val="008321F5"/>
    <w:rsid w:val="00832369"/>
    <w:rsid w:val="00832486"/>
    <w:rsid w:val="0083329F"/>
    <w:rsid w:val="00834660"/>
    <w:rsid w:val="008357ED"/>
    <w:rsid w:val="00836BC2"/>
    <w:rsid w:val="0084109D"/>
    <w:rsid w:val="008423DC"/>
    <w:rsid w:val="00846E23"/>
    <w:rsid w:val="00855EE9"/>
    <w:rsid w:val="0085641B"/>
    <w:rsid w:val="00857136"/>
    <w:rsid w:val="008617CA"/>
    <w:rsid w:val="00861B8C"/>
    <w:rsid w:val="00862A10"/>
    <w:rsid w:val="00865EFD"/>
    <w:rsid w:val="008702B3"/>
    <w:rsid w:val="008707DF"/>
    <w:rsid w:val="00871E49"/>
    <w:rsid w:val="00872807"/>
    <w:rsid w:val="00876EAC"/>
    <w:rsid w:val="0088186A"/>
    <w:rsid w:val="00881EA0"/>
    <w:rsid w:val="0088496A"/>
    <w:rsid w:val="0088678E"/>
    <w:rsid w:val="008871FB"/>
    <w:rsid w:val="00887952"/>
    <w:rsid w:val="0089392A"/>
    <w:rsid w:val="00893C5D"/>
    <w:rsid w:val="00895D8E"/>
    <w:rsid w:val="00896018"/>
    <w:rsid w:val="00896E1F"/>
    <w:rsid w:val="008A00FE"/>
    <w:rsid w:val="008A07F0"/>
    <w:rsid w:val="008A2B9D"/>
    <w:rsid w:val="008A2D18"/>
    <w:rsid w:val="008A5E0B"/>
    <w:rsid w:val="008A69D0"/>
    <w:rsid w:val="008A6A7F"/>
    <w:rsid w:val="008A6B96"/>
    <w:rsid w:val="008A6D59"/>
    <w:rsid w:val="008B0015"/>
    <w:rsid w:val="008B0BAE"/>
    <w:rsid w:val="008B2B27"/>
    <w:rsid w:val="008B2BFC"/>
    <w:rsid w:val="008B4B03"/>
    <w:rsid w:val="008B4DD7"/>
    <w:rsid w:val="008B596F"/>
    <w:rsid w:val="008B7C43"/>
    <w:rsid w:val="008C0C69"/>
    <w:rsid w:val="008C159F"/>
    <w:rsid w:val="008C1623"/>
    <w:rsid w:val="008C2B58"/>
    <w:rsid w:val="008C51A9"/>
    <w:rsid w:val="008C5225"/>
    <w:rsid w:val="008C7E46"/>
    <w:rsid w:val="008D0620"/>
    <w:rsid w:val="008D1287"/>
    <w:rsid w:val="008D3724"/>
    <w:rsid w:val="008D3FCE"/>
    <w:rsid w:val="008D67F7"/>
    <w:rsid w:val="008D786F"/>
    <w:rsid w:val="008D7BD4"/>
    <w:rsid w:val="008E6463"/>
    <w:rsid w:val="008F1CCC"/>
    <w:rsid w:val="008F2967"/>
    <w:rsid w:val="008F2AD4"/>
    <w:rsid w:val="008F4A62"/>
    <w:rsid w:val="008F57B4"/>
    <w:rsid w:val="00904486"/>
    <w:rsid w:val="0091165D"/>
    <w:rsid w:val="00915525"/>
    <w:rsid w:val="0091590F"/>
    <w:rsid w:val="00917AB4"/>
    <w:rsid w:val="00920330"/>
    <w:rsid w:val="009207ED"/>
    <w:rsid w:val="00920FF4"/>
    <w:rsid w:val="009219D7"/>
    <w:rsid w:val="00922D53"/>
    <w:rsid w:val="00923B70"/>
    <w:rsid w:val="0092465F"/>
    <w:rsid w:val="00924FB8"/>
    <w:rsid w:val="00925333"/>
    <w:rsid w:val="0092600B"/>
    <w:rsid w:val="00926BE5"/>
    <w:rsid w:val="00926F1C"/>
    <w:rsid w:val="00930237"/>
    <w:rsid w:val="009310B4"/>
    <w:rsid w:val="00931FAD"/>
    <w:rsid w:val="00932D26"/>
    <w:rsid w:val="0093749E"/>
    <w:rsid w:val="00942751"/>
    <w:rsid w:val="00943A3F"/>
    <w:rsid w:val="00944B14"/>
    <w:rsid w:val="00945041"/>
    <w:rsid w:val="009468C6"/>
    <w:rsid w:val="00951677"/>
    <w:rsid w:val="00952C3D"/>
    <w:rsid w:val="00953EA8"/>
    <w:rsid w:val="00955A46"/>
    <w:rsid w:val="009628B7"/>
    <w:rsid w:val="00963A5E"/>
    <w:rsid w:val="00963C08"/>
    <w:rsid w:val="00963C0D"/>
    <w:rsid w:val="00966970"/>
    <w:rsid w:val="00966B60"/>
    <w:rsid w:val="00967C5A"/>
    <w:rsid w:val="00970367"/>
    <w:rsid w:val="009741DD"/>
    <w:rsid w:val="009752DD"/>
    <w:rsid w:val="00975379"/>
    <w:rsid w:val="00981AC6"/>
    <w:rsid w:val="00981D0A"/>
    <w:rsid w:val="009833AF"/>
    <w:rsid w:val="009835B6"/>
    <w:rsid w:val="00984CAD"/>
    <w:rsid w:val="00984E90"/>
    <w:rsid w:val="00985843"/>
    <w:rsid w:val="00987D65"/>
    <w:rsid w:val="009927F3"/>
    <w:rsid w:val="00993AB0"/>
    <w:rsid w:val="0099683C"/>
    <w:rsid w:val="009969F5"/>
    <w:rsid w:val="009A1168"/>
    <w:rsid w:val="009A190E"/>
    <w:rsid w:val="009A4825"/>
    <w:rsid w:val="009A4CED"/>
    <w:rsid w:val="009B00CC"/>
    <w:rsid w:val="009B1D12"/>
    <w:rsid w:val="009B20A0"/>
    <w:rsid w:val="009B223F"/>
    <w:rsid w:val="009B2B3C"/>
    <w:rsid w:val="009B3475"/>
    <w:rsid w:val="009B416B"/>
    <w:rsid w:val="009B6348"/>
    <w:rsid w:val="009C313E"/>
    <w:rsid w:val="009C4BD5"/>
    <w:rsid w:val="009C5F04"/>
    <w:rsid w:val="009C683C"/>
    <w:rsid w:val="009D0801"/>
    <w:rsid w:val="009D0A6D"/>
    <w:rsid w:val="009D0DC8"/>
    <w:rsid w:val="009D2144"/>
    <w:rsid w:val="009D2E04"/>
    <w:rsid w:val="009D6295"/>
    <w:rsid w:val="009D7B77"/>
    <w:rsid w:val="009E0BB0"/>
    <w:rsid w:val="009E37F8"/>
    <w:rsid w:val="009E3FBB"/>
    <w:rsid w:val="009E5A04"/>
    <w:rsid w:val="009F018D"/>
    <w:rsid w:val="009F01FD"/>
    <w:rsid w:val="009F207B"/>
    <w:rsid w:val="009F20E4"/>
    <w:rsid w:val="00A0156E"/>
    <w:rsid w:val="00A053F9"/>
    <w:rsid w:val="00A10C68"/>
    <w:rsid w:val="00A1235B"/>
    <w:rsid w:val="00A14DF7"/>
    <w:rsid w:val="00A21C28"/>
    <w:rsid w:val="00A22E19"/>
    <w:rsid w:val="00A27B10"/>
    <w:rsid w:val="00A31294"/>
    <w:rsid w:val="00A3246D"/>
    <w:rsid w:val="00A32C51"/>
    <w:rsid w:val="00A342E4"/>
    <w:rsid w:val="00A36E8D"/>
    <w:rsid w:val="00A36FA7"/>
    <w:rsid w:val="00A40944"/>
    <w:rsid w:val="00A417EE"/>
    <w:rsid w:val="00A41E88"/>
    <w:rsid w:val="00A46A96"/>
    <w:rsid w:val="00A47209"/>
    <w:rsid w:val="00A475B7"/>
    <w:rsid w:val="00A47AF7"/>
    <w:rsid w:val="00A47C3E"/>
    <w:rsid w:val="00A50226"/>
    <w:rsid w:val="00A50992"/>
    <w:rsid w:val="00A53DC8"/>
    <w:rsid w:val="00A60BAD"/>
    <w:rsid w:val="00A63446"/>
    <w:rsid w:val="00A73339"/>
    <w:rsid w:val="00A737A1"/>
    <w:rsid w:val="00A73A8D"/>
    <w:rsid w:val="00A75017"/>
    <w:rsid w:val="00A77C3E"/>
    <w:rsid w:val="00A77C79"/>
    <w:rsid w:val="00A8051A"/>
    <w:rsid w:val="00A806AE"/>
    <w:rsid w:val="00A8571D"/>
    <w:rsid w:val="00A87334"/>
    <w:rsid w:val="00A92E6D"/>
    <w:rsid w:val="00A934D5"/>
    <w:rsid w:val="00A957C4"/>
    <w:rsid w:val="00AA0127"/>
    <w:rsid w:val="00AA34FC"/>
    <w:rsid w:val="00AB201E"/>
    <w:rsid w:val="00AB3F92"/>
    <w:rsid w:val="00AB42C4"/>
    <w:rsid w:val="00AB581C"/>
    <w:rsid w:val="00AB5C96"/>
    <w:rsid w:val="00AC262B"/>
    <w:rsid w:val="00AC285D"/>
    <w:rsid w:val="00AC2B40"/>
    <w:rsid w:val="00AC2BB2"/>
    <w:rsid w:val="00AC2C3C"/>
    <w:rsid w:val="00AC3BD9"/>
    <w:rsid w:val="00AC44FA"/>
    <w:rsid w:val="00AC54D1"/>
    <w:rsid w:val="00AC6EBE"/>
    <w:rsid w:val="00AD1456"/>
    <w:rsid w:val="00AD4722"/>
    <w:rsid w:val="00AD58C6"/>
    <w:rsid w:val="00AD7E78"/>
    <w:rsid w:val="00AE2270"/>
    <w:rsid w:val="00AE3703"/>
    <w:rsid w:val="00AE4205"/>
    <w:rsid w:val="00AE6155"/>
    <w:rsid w:val="00AE65EB"/>
    <w:rsid w:val="00AE670F"/>
    <w:rsid w:val="00AF1D94"/>
    <w:rsid w:val="00AF27F0"/>
    <w:rsid w:val="00AF316D"/>
    <w:rsid w:val="00AF3A8C"/>
    <w:rsid w:val="00AF60C5"/>
    <w:rsid w:val="00AF77FE"/>
    <w:rsid w:val="00B009C6"/>
    <w:rsid w:val="00B01548"/>
    <w:rsid w:val="00B018E3"/>
    <w:rsid w:val="00B138BE"/>
    <w:rsid w:val="00B15AE2"/>
    <w:rsid w:val="00B15C1C"/>
    <w:rsid w:val="00B17A0B"/>
    <w:rsid w:val="00B17CB3"/>
    <w:rsid w:val="00B21D29"/>
    <w:rsid w:val="00B21FC5"/>
    <w:rsid w:val="00B23D7A"/>
    <w:rsid w:val="00B25034"/>
    <w:rsid w:val="00B26D10"/>
    <w:rsid w:val="00B27B29"/>
    <w:rsid w:val="00B27EA3"/>
    <w:rsid w:val="00B325C7"/>
    <w:rsid w:val="00B33863"/>
    <w:rsid w:val="00B34F51"/>
    <w:rsid w:val="00B37D17"/>
    <w:rsid w:val="00B4175E"/>
    <w:rsid w:val="00B4454F"/>
    <w:rsid w:val="00B50EE7"/>
    <w:rsid w:val="00B510E1"/>
    <w:rsid w:val="00B54C25"/>
    <w:rsid w:val="00B54F86"/>
    <w:rsid w:val="00B55E71"/>
    <w:rsid w:val="00B57049"/>
    <w:rsid w:val="00B572B2"/>
    <w:rsid w:val="00B60801"/>
    <w:rsid w:val="00B617EA"/>
    <w:rsid w:val="00B6409A"/>
    <w:rsid w:val="00B6677B"/>
    <w:rsid w:val="00B7083D"/>
    <w:rsid w:val="00B71B18"/>
    <w:rsid w:val="00B7359B"/>
    <w:rsid w:val="00B7672F"/>
    <w:rsid w:val="00B76B91"/>
    <w:rsid w:val="00B83FC7"/>
    <w:rsid w:val="00B8473E"/>
    <w:rsid w:val="00B86F81"/>
    <w:rsid w:val="00B929EB"/>
    <w:rsid w:val="00B936EA"/>
    <w:rsid w:val="00B94276"/>
    <w:rsid w:val="00B94618"/>
    <w:rsid w:val="00B9651D"/>
    <w:rsid w:val="00B978A9"/>
    <w:rsid w:val="00BA3184"/>
    <w:rsid w:val="00BA6C62"/>
    <w:rsid w:val="00BB0BD8"/>
    <w:rsid w:val="00BB538A"/>
    <w:rsid w:val="00BB6DFC"/>
    <w:rsid w:val="00BB7F56"/>
    <w:rsid w:val="00BC1CAB"/>
    <w:rsid w:val="00BC2009"/>
    <w:rsid w:val="00BC3923"/>
    <w:rsid w:val="00BC50DB"/>
    <w:rsid w:val="00BC526C"/>
    <w:rsid w:val="00BC5AC3"/>
    <w:rsid w:val="00BC5AE6"/>
    <w:rsid w:val="00BC622A"/>
    <w:rsid w:val="00BD48EC"/>
    <w:rsid w:val="00BE0A78"/>
    <w:rsid w:val="00BE79F0"/>
    <w:rsid w:val="00BF046D"/>
    <w:rsid w:val="00BF46E4"/>
    <w:rsid w:val="00BF5D04"/>
    <w:rsid w:val="00BF6D2F"/>
    <w:rsid w:val="00C007D3"/>
    <w:rsid w:val="00C019E6"/>
    <w:rsid w:val="00C0357E"/>
    <w:rsid w:val="00C05254"/>
    <w:rsid w:val="00C1305B"/>
    <w:rsid w:val="00C13563"/>
    <w:rsid w:val="00C16CCE"/>
    <w:rsid w:val="00C17E00"/>
    <w:rsid w:val="00C22294"/>
    <w:rsid w:val="00C24035"/>
    <w:rsid w:val="00C25FC2"/>
    <w:rsid w:val="00C27566"/>
    <w:rsid w:val="00C31D44"/>
    <w:rsid w:val="00C32A88"/>
    <w:rsid w:val="00C33FDE"/>
    <w:rsid w:val="00C3534F"/>
    <w:rsid w:val="00C3536F"/>
    <w:rsid w:val="00C364D5"/>
    <w:rsid w:val="00C36810"/>
    <w:rsid w:val="00C404A6"/>
    <w:rsid w:val="00C40A36"/>
    <w:rsid w:val="00C41FCC"/>
    <w:rsid w:val="00C434EA"/>
    <w:rsid w:val="00C44419"/>
    <w:rsid w:val="00C45E7B"/>
    <w:rsid w:val="00C471B1"/>
    <w:rsid w:val="00C54222"/>
    <w:rsid w:val="00C55437"/>
    <w:rsid w:val="00C55C1A"/>
    <w:rsid w:val="00C6204C"/>
    <w:rsid w:val="00C6316B"/>
    <w:rsid w:val="00C634A9"/>
    <w:rsid w:val="00C6376F"/>
    <w:rsid w:val="00C651B1"/>
    <w:rsid w:val="00C669EE"/>
    <w:rsid w:val="00C67ADC"/>
    <w:rsid w:val="00C71938"/>
    <w:rsid w:val="00C73315"/>
    <w:rsid w:val="00C741A3"/>
    <w:rsid w:val="00C74DD6"/>
    <w:rsid w:val="00C76E42"/>
    <w:rsid w:val="00C772FF"/>
    <w:rsid w:val="00C801AF"/>
    <w:rsid w:val="00C80256"/>
    <w:rsid w:val="00C81696"/>
    <w:rsid w:val="00C87CA5"/>
    <w:rsid w:val="00C93228"/>
    <w:rsid w:val="00C94239"/>
    <w:rsid w:val="00C95D76"/>
    <w:rsid w:val="00CA068B"/>
    <w:rsid w:val="00CA0F79"/>
    <w:rsid w:val="00CA3A38"/>
    <w:rsid w:val="00CA62E0"/>
    <w:rsid w:val="00CA7F35"/>
    <w:rsid w:val="00CB27FE"/>
    <w:rsid w:val="00CB41F0"/>
    <w:rsid w:val="00CB6BC0"/>
    <w:rsid w:val="00CC1B7C"/>
    <w:rsid w:val="00CC314F"/>
    <w:rsid w:val="00CC50DE"/>
    <w:rsid w:val="00CC727F"/>
    <w:rsid w:val="00CD6EB8"/>
    <w:rsid w:val="00CE06DE"/>
    <w:rsid w:val="00CE5BB0"/>
    <w:rsid w:val="00CE5E4B"/>
    <w:rsid w:val="00CF15C3"/>
    <w:rsid w:val="00CF2B6F"/>
    <w:rsid w:val="00CF3BC4"/>
    <w:rsid w:val="00CF6340"/>
    <w:rsid w:val="00D017ED"/>
    <w:rsid w:val="00D028DD"/>
    <w:rsid w:val="00D02AD9"/>
    <w:rsid w:val="00D05480"/>
    <w:rsid w:val="00D06274"/>
    <w:rsid w:val="00D07496"/>
    <w:rsid w:val="00D07BFC"/>
    <w:rsid w:val="00D11C4D"/>
    <w:rsid w:val="00D12D62"/>
    <w:rsid w:val="00D135F8"/>
    <w:rsid w:val="00D153B1"/>
    <w:rsid w:val="00D1617A"/>
    <w:rsid w:val="00D224FE"/>
    <w:rsid w:val="00D229BA"/>
    <w:rsid w:val="00D2375D"/>
    <w:rsid w:val="00D24C02"/>
    <w:rsid w:val="00D319C0"/>
    <w:rsid w:val="00D35FCA"/>
    <w:rsid w:val="00D46E89"/>
    <w:rsid w:val="00D47415"/>
    <w:rsid w:val="00D47DEC"/>
    <w:rsid w:val="00D51CD8"/>
    <w:rsid w:val="00D55A5F"/>
    <w:rsid w:val="00D624D6"/>
    <w:rsid w:val="00D63084"/>
    <w:rsid w:val="00D63F91"/>
    <w:rsid w:val="00D6493E"/>
    <w:rsid w:val="00D6762F"/>
    <w:rsid w:val="00D72783"/>
    <w:rsid w:val="00D73C01"/>
    <w:rsid w:val="00D74637"/>
    <w:rsid w:val="00D763E2"/>
    <w:rsid w:val="00D77C24"/>
    <w:rsid w:val="00D80DD3"/>
    <w:rsid w:val="00D82F24"/>
    <w:rsid w:val="00D834EE"/>
    <w:rsid w:val="00D84A25"/>
    <w:rsid w:val="00D855AE"/>
    <w:rsid w:val="00D85742"/>
    <w:rsid w:val="00D86C12"/>
    <w:rsid w:val="00D87F31"/>
    <w:rsid w:val="00D97D00"/>
    <w:rsid w:val="00DA01BC"/>
    <w:rsid w:val="00DA1124"/>
    <w:rsid w:val="00DA24C7"/>
    <w:rsid w:val="00DA2BE7"/>
    <w:rsid w:val="00DA3BFE"/>
    <w:rsid w:val="00DA44D5"/>
    <w:rsid w:val="00DA5B9B"/>
    <w:rsid w:val="00DA7A0C"/>
    <w:rsid w:val="00DB105D"/>
    <w:rsid w:val="00DB33CF"/>
    <w:rsid w:val="00DB34F5"/>
    <w:rsid w:val="00DC38FE"/>
    <w:rsid w:val="00DC46AC"/>
    <w:rsid w:val="00DC55B7"/>
    <w:rsid w:val="00DC694C"/>
    <w:rsid w:val="00DC7746"/>
    <w:rsid w:val="00DC79D6"/>
    <w:rsid w:val="00DC7AF7"/>
    <w:rsid w:val="00DC7EE4"/>
    <w:rsid w:val="00DD75A3"/>
    <w:rsid w:val="00DE02AE"/>
    <w:rsid w:val="00DE6A0C"/>
    <w:rsid w:val="00DE6C04"/>
    <w:rsid w:val="00DE7CB7"/>
    <w:rsid w:val="00DF1D7F"/>
    <w:rsid w:val="00DF2F50"/>
    <w:rsid w:val="00E02FB4"/>
    <w:rsid w:val="00E04ABD"/>
    <w:rsid w:val="00E05B04"/>
    <w:rsid w:val="00E06A1B"/>
    <w:rsid w:val="00E1165A"/>
    <w:rsid w:val="00E1340C"/>
    <w:rsid w:val="00E2020C"/>
    <w:rsid w:val="00E20571"/>
    <w:rsid w:val="00E207D9"/>
    <w:rsid w:val="00E21651"/>
    <w:rsid w:val="00E235F7"/>
    <w:rsid w:val="00E239D4"/>
    <w:rsid w:val="00E313A8"/>
    <w:rsid w:val="00E35534"/>
    <w:rsid w:val="00E40B22"/>
    <w:rsid w:val="00E40BD2"/>
    <w:rsid w:val="00E41AD2"/>
    <w:rsid w:val="00E42068"/>
    <w:rsid w:val="00E4307C"/>
    <w:rsid w:val="00E4588F"/>
    <w:rsid w:val="00E46DA3"/>
    <w:rsid w:val="00E476C8"/>
    <w:rsid w:val="00E57B71"/>
    <w:rsid w:val="00E631B9"/>
    <w:rsid w:val="00E72FC4"/>
    <w:rsid w:val="00E73ADE"/>
    <w:rsid w:val="00E77B79"/>
    <w:rsid w:val="00E81BC9"/>
    <w:rsid w:val="00E8347B"/>
    <w:rsid w:val="00E85439"/>
    <w:rsid w:val="00E85D5D"/>
    <w:rsid w:val="00E860E0"/>
    <w:rsid w:val="00E86A1F"/>
    <w:rsid w:val="00E8778C"/>
    <w:rsid w:val="00E9008E"/>
    <w:rsid w:val="00E951D8"/>
    <w:rsid w:val="00E9523A"/>
    <w:rsid w:val="00E9579B"/>
    <w:rsid w:val="00E97275"/>
    <w:rsid w:val="00EA0A0F"/>
    <w:rsid w:val="00EA0F92"/>
    <w:rsid w:val="00EA16DE"/>
    <w:rsid w:val="00EA2090"/>
    <w:rsid w:val="00EA406B"/>
    <w:rsid w:val="00EA5776"/>
    <w:rsid w:val="00EB0798"/>
    <w:rsid w:val="00EB28AE"/>
    <w:rsid w:val="00EB2F97"/>
    <w:rsid w:val="00EB34F1"/>
    <w:rsid w:val="00EB40AD"/>
    <w:rsid w:val="00EB4571"/>
    <w:rsid w:val="00EB586E"/>
    <w:rsid w:val="00EB5FC8"/>
    <w:rsid w:val="00EB74A7"/>
    <w:rsid w:val="00EC384E"/>
    <w:rsid w:val="00EC4910"/>
    <w:rsid w:val="00EC580A"/>
    <w:rsid w:val="00ED5A41"/>
    <w:rsid w:val="00ED5D05"/>
    <w:rsid w:val="00ED6B23"/>
    <w:rsid w:val="00EE00CA"/>
    <w:rsid w:val="00EE2CC3"/>
    <w:rsid w:val="00EE3577"/>
    <w:rsid w:val="00EE706F"/>
    <w:rsid w:val="00EF1963"/>
    <w:rsid w:val="00EF3C6A"/>
    <w:rsid w:val="00EF578B"/>
    <w:rsid w:val="00EF5EE3"/>
    <w:rsid w:val="00EF7B95"/>
    <w:rsid w:val="00F033EC"/>
    <w:rsid w:val="00F04336"/>
    <w:rsid w:val="00F0438D"/>
    <w:rsid w:val="00F049A1"/>
    <w:rsid w:val="00F04F68"/>
    <w:rsid w:val="00F10A73"/>
    <w:rsid w:val="00F10BD8"/>
    <w:rsid w:val="00F12670"/>
    <w:rsid w:val="00F14B27"/>
    <w:rsid w:val="00F20118"/>
    <w:rsid w:val="00F23105"/>
    <w:rsid w:val="00F25577"/>
    <w:rsid w:val="00F2700C"/>
    <w:rsid w:val="00F2731A"/>
    <w:rsid w:val="00F3148D"/>
    <w:rsid w:val="00F32D36"/>
    <w:rsid w:val="00F3509E"/>
    <w:rsid w:val="00F35298"/>
    <w:rsid w:val="00F3529E"/>
    <w:rsid w:val="00F41DCE"/>
    <w:rsid w:val="00F443FD"/>
    <w:rsid w:val="00F46F9A"/>
    <w:rsid w:val="00F47D14"/>
    <w:rsid w:val="00F47E37"/>
    <w:rsid w:val="00F50ADC"/>
    <w:rsid w:val="00F50B5E"/>
    <w:rsid w:val="00F53E24"/>
    <w:rsid w:val="00F56D63"/>
    <w:rsid w:val="00F640B6"/>
    <w:rsid w:val="00F647EA"/>
    <w:rsid w:val="00F655CA"/>
    <w:rsid w:val="00F65B15"/>
    <w:rsid w:val="00F70540"/>
    <w:rsid w:val="00F712CD"/>
    <w:rsid w:val="00F76802"/>
    <w:rsid w:val="00F76AC7"/>
    <w:rsid w:val="00F80E40"/>
    <w:rsid w:val="00F83DF7"/>
    <w:rsid w:val="00F84417"/>
    <w:rsid w:val="00F91585"/>
    <w:rsid w:val="00F923D6"/>
    <w:rsid w:val="00F942E9"/>
    <w:rsid w:val="00F95CA6"/>
    <w:rsid w:val="00F9705F"/>
    <w:rsid w:val="00FA029A"/>
    <w:rsid w:val="00FA144A"/>
    <w:rsid w:val="00FA2018"/>
    <w:rsid w:val="00FA3338"/>
    <w:rsid w:val="00FA4ADF"/>
    <w:rsid w:val="00FA5B82"/>
    <w:rsid w:val="00FA639E"/>
    <w:rsid w:val="00FA7966"/>
    <w:rsid w:val="00FA7DF1"/>
    <w:rsid w:val="00FB1B89"/>
    <w:rsid w:val="00FB3817"/>
    <w:rsid w:val="00FC03C8"/>
    <w:rsid w:val="00FC25E4"/>
    <w:rsid w:val="00FC42B9"/>
    <w:rsid w:val="00FC4EF7"/>
    <w:rsid w:val="00FD56A0"/>
    <w:rsid w:val="00FD5947"/>
    <w:rsid w:val="00FD62E3"/>
    <w:rsid w:val="00FE1DEE"/>
    <w:rsid w:val="00FE705F"/>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E313A8"/>
    <w:pPr>
      <w:numPr>
        <w:numId w:val="3"/>
      </w:numPr>
    </w:pPr>
  </w:style>
  <w:style w:type="paragraph" w:styleId="ListBullet2">
    <w:name w:val="List Bullet 2"/>
    <w:basedOn w:val="Normal"/>
    <w:uiPriority w:val="99"/>
    <w:qFormat/>
    <w:rsid w:val="00E313A8"/>
    <w:pPr>
      <w:numPr>
        <w:ilvl w:val="1"/>
        <w:numId w:val="3"/>
      </w:numPr>
    </w:pPr>
  </w:style>
  <w:style w:type="paragraph" w:styleId="ListBullet3">
    <w:name w:val="List Bullet 3"/>
    <w:basedOn w:val="Normal"/>
    <w:uiPriority w:val="99"/>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792B5F"/>
    <w:rPr>
      <w:color w:val="605E5C"/>
      <w:shd w:val="clear" w:color="auto" w:fill="E1DFDD"/>
    </w:rPr>
  </w:style>
  <w:style w:type="paragraph" w:customStyle="1" w:styleId="paragraph">
    <w:name w:val="paragraph"/>
    <w:basedOn w:val="Normal"/>
    <w:rsid w:val="000473A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0473A3"/>
  </w:style>
  <w:style w:type="character" w:customStyle="1" w:styleId="eop">
    <w:name w:val="eop"/>
    <w:basedOn w:val="DefaultParagraphFont"/>
    <w:rsid w:val="000473A3"/>
  </w:style>
  <w:style w:type="character" w:customStyle="1" w:styleId="scxw215137901">
    <w:name w:val="scxw215137901"/>
    <w:basedOn w:val="DefaultParagraphFont"/>
    <w:rsid w:val="000473A3"/>
  </w:style>
  <w:style w:type="paragraph" w:styleId="BodyText">
    <w:name w:val="Body Text"/>
    <w:basedOn w:val="Normal"/>
    <w:link w:val="BodyTextChar"/>
    <w:uiPriority w:val="99"/>
    <w:rsid w:val="00DC694C"/>
    <w:pPr>
      <w:numPr>
        <w:numId w:val="13"/>
      </w:numPr>
      <w:spacing w:before="0" w:after="24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uiPriority w:val="99"/>
    <w:rsid w:val="00DC694C"/>
    <w:rPr>
      <w:rFonts w:ascii="Times New Roman" w:eastAsia="Times New Roman" w:hAnsi="Times New Roman"/>
      <w:sz w:val="24"/>
      <w:szCs w:val="24"/>
    </w:rPr>
  </w:style>
  <w:style w:type="paragraph" w:styleId="ListNumber">
    <w:name w:val="List Number"/>
    <w:basedOn w:val="Normal"/>
    <w:uiPriority w:val="99"/>
    <w:unhideWhenUsed/>
    <w:rsid w:val="00DC694C"/>
    <w:pPr>
      <w:tabs>
        <w:tab w:val="num" w:pos="432"/>
        <w:tab w:val="num" w:pos="720"/>
        <w:tab w:val="left" w:pos="1440"/>
      </w:tabs>
      <w:spacing w:before="0" w:after="240" w:line="240" w:lineRule="auto"/>
      <w:ind w:left="360" w:hanging="360"/>
      <w:contextualSpacing/>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26258652">
      <w:bodyDiv w:val="1"/>
      <w:marLeft w:val="0"/>
      <w:marRight w:val="0"/>
      <w:marTop w:val="0"/>
      <w:marBottom w:val="0"/>
      <w:divBdr>
        <w:top w:val="none" w:sz="0" w:space="0" w:color="auto"/>
        <w:left w:val="none" w:sz="0" w:space="0" w:color="auto"/>
        <w:bottom w:val="none" w:sz="0" w:space="0" w:color="auto"/>
        <w:right w:val="none" w:sz="0" w:space="0" w:color="auto"/>
      </w:divBdr>
    </w:div>
    <w:div w:id="351495527">
      <w:bodyDiv w:val="1"/>
      <w:marLeft w:val="0"/>
      <w:marRight w:val="0"/>
      <w:marTop w:val="0"/>
      <w:marBottom w:val="0"/>
      <w:divBdr>
        <w:top w:val="none" w:sz="0" w:space="0" w:color="auto"/>
        <w:left w:val="none" w:sz="0" w:space="0" w:color="auto"/>
        <w:bottom w:val="none" w:sz="0" w:space="0" w:color="auto"/>
        <w:right w:val="none" w:sz="0" w:space="0" w:color="auto"/>
      </w:divBdr>
    </w:div>
    <w:div w:id="466774976">
      <w:bodyDiv w:val="1"/>
      <w:marLeft w:val="0"/>
      <w:marRight w:val="0"/>
      <w:marTop w:val="0"/>
      <w:marBottom w:val="0"/>
      <w:divBdr>
        <w:top w:val="none" w:sz="0" w:space="0" w:color="auto"/>
        <w:left w:val="none" w:sz="0" w:space="0" w:color="auto"/>
        <w:bottom w:val="none" w:sz="0" w:space="0" w:color="auto"/>
        <w:right w:val="none" w:sz="0" w:space="0" w:color="auto"/>
      </w:divBdr>
    </w:div>
    <w:div w:id="510415311">
      <w:bodyDiv w:val="1"/>
      <w:marLeft w:val="0"/>
      <w:marRight w:val="0"/>
      <w:marTop w:val="0"/>
      <w:marBottom w:val="0"/>
      <w:divBdr>
        <w:top w:val="none" w:sz="0" w:space="0" w:color="auto"/>
        <w:left w:val="none" w:sz="0" w:space="0" w:color="auto"/>
        <w:bottom w:val="none" w:sz="0" w:space="0" w:color="auto"/>
        <w:right w:val="none" w:sz="0" w:space="0" w:color="auto"/>
      </w:divBdr>
    </w:div>
    <w:div w:id="1044670861">
      <w:bodyDiv w:val="1"/>
      <w:marLeft w:val="0"/>
      <w:marRight w:val="0"/>
      <w:marTop w:val="0"/>
      <w:marBottom w:val="0"/>
      <w:divBdr>
        <w:top w:val="none" w:sz="0" w:space="0" w:color="auto"/>
        <w:left w:val="none" w:sz="0" w:space="0" w:color="auto"/>
        <w:bottom w:val="none" w:sz="0" w:space="0" w:color="auto"/>
        <w:right w:val="none" w:sz="0" w:space="0" w:color="auto"/>
      </w:divBdr>
    </w:div>
    <w:div w:id="1510682378">
      <w:bodyDiv w:val="1"/>
      <w:marLeft w:val="0"/>
      <w:marRight w:val="0"/>
      <w:marTop w:val="0"/>
      <w:marBottom w:val="0"/>
      <w:divBdr>
        <w:top w:val="none" w:sz="0" w:space="0" w:color="auto"/>
        <w:left w:val="none" w:sz="0" w:space="0" w:color="auto"/>
        <w:bottom w:val="none" w:sz="0" w:space="0" w:color="auto"/>
        <w:right w:val="none" w:sz="0" w:space="0" w:color="auto"/>
      </w:divBdr>
    </w:div>
    <w:div w:id="1898591833">
      <w:bodyDiv w:val="1"/>
      <w:marLeft w:val="0"/>
      <w:marRight w:val="0"/>
      <w:marTop w:val="0"/>
      <w:marBottom w:val="0"/>
      <w:divBdr>
        <w:top w:val="none" w:sz="0" w:space="0" w:color="auto"/>
        <w:left w:val="none" w:sz="0" w:space="0" w:color="auto"/>
        <w:bottom w:val="none" w:sz="0" w:space="0" w:color="auto"/>
        <w:right w:val="none" w:sz="0" w:space="0" w:color="auto"/>
      </w:divBdr>
    </w:div>
    <w:div w:id="20365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proposed_admendments_june-2022/" TargetMode="External"/><Relationship Id="rId18" Type="http://schemas.openxmlformats.org/officeDocument/2006/relationships/hyperlink" Target="https://www.tga.gov.au/publication/scheduling-handbook-guidance-amending-poisons-standard" TargetMode="External"/><Relationship Id="rId26" Type="http://schemas.openxmlformats.org/officeDocument/2006/relationships/hyperlink" Target="https://www.tga.gov.au/resources/consultation/consultation-proposed-amendments-poisons-standard-accs-acms-and-joint-accsacms-meetings-june-2022" TargetMode="External"/><Relationship Id="rId39" Type="http://schemas.openxmlformats.org/officeDocument/2006/relationships/hyperlink" Target="https://www.tga.gov.au/publication/scheduling-handbook-guidance-amending-poisons-standard" TargetMode="External"/><Relationship Id="rId21" Type="http://schemas.openxmlformats.org/officeDocument/2006/relationships/hyperlink" Target="https://www.tga.gov.au/sites/default/files/consultation-proposed-amendments-poisons-standard-accs-acms-and-joint-accsacms-meetings-june-2022.pdf" TargetMode="External"/><Relationship Id="rId34" Type="http://schemas.openxmlformats.org/officeDocument/2006/relationships/hyperlink" Target="https://consultations.tga.gov.au/tga/proposed_admendments_june-2022/" TargetMode="External"/><Relationship Id="rId42" Type="http://schemas.openxmlformats.org/officeDocument/2006/relationships/hyperlink" Target="https://www.tga.gov.au/sites/default/files/consultation-proposed-amendments-poisons-standard-accs-acms-and-joint-accsacms-meetings-june-2022.pdf" TargetMode="External"/><Relationship Id="rId47" Type="http://schemas.openxmlformats.org/officeDocument/2006/relationships/hyperlink" Target="https://www.tga.gov.au/resources/consultation/consultation-proposed-amendments-poisons-standard-accs-acms-and-joint-accsacms-meetings-june-2022" TargetMode="External"/><Relationship Id="rId50" Type="http://schemas.openxmlformats.org/officeDocument/2006/relationships/hyperlink" Target="https://consultations.tga.gov.au/tga/june-2022-interims/" TargetMode="External"/><Relationship Id="rId55" Type="http://schemas.openxmlformats.org/officeDocument/2006/relationships/hyperlink" Target="https://www.tga.gov.au/sites/default/files/consultation-proposed-amendments-poisons-standard-accs-acms-and-joint-accsacms-meetings-june-2022.pdf" TargetMode="External"/><Relationship Id="rId63" Type="http://schemas.openxmlformats.org/officeDocument/2006/relationships/hyperlink" Target="https://www.tga.gov.au/sites/default/files/consultation-proposed-amendments-poisons-standard-accs-acms-and-joint-accsacms-meetings-june-2022.pdf" TargetMode="External"/><Relationship Id="rId68" Type="http://schemas.openxmlformats.org/officeDocument/2006/relationships/header" Target="header3.xm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tga.gov.au/publication/ahmac-scheduling-policy-framework-medicines-and-chemicals" TargetMode="External"/><Relationship Id="rId2" Type="http://schemas.openxmlformats.org/officeDocument/2006/relationships/numbering" Target="numbering.xml"/><Relationship Id="rId16" Type="http://schemas.openxmlformats.org/officeDocument/2006/relationships/hyperlink" Target="https://www.tga.gov.au/sites/default/files/2022-10/notice-of-interim-decisions-on-proposed-amendments-to-the-poisons-standard-acms-38-joint-acms-accs-31-accs-34-meetings-june-2022.pdf" TargetMode="External"/><Relationship Id="rId29" Type="http://schemas.openxmlformats.org/officeDocument/2006/relationships/hyperlink" Target="https://consultations.tga.gov.au/tga/june-2022-interims/" TargetMode="External"/><Relationship Id="rId11" Type="http://schemas.openxmlformats.org/officeDocument/2006/relationships/hyperlink" Target="mailto:tga.copyright@tga.gov.au" TargetMode="External"/><Relationship Id="rId24" Type="http://schemas.openxmlformats.org/officeDocument/2006/relationships/hyperlink" Target="https://www.tga.gov.au/publication/ahmac-scheduling-policy-framework-medicines-and-chemicals" TargetMode="External"/><Relationship Id="rId32" Type="http://schemas.openxmlformats.org/officeDocument/2006/relationships/hyperlink" Target="https://www.tga.gov.au/publication/scheduling-handbook-guidance-amending-poisons-standard" TargetMode="External"/><Relationship Id="rId37" Type="http://schemas.openxmlformats.org/officeDocument/2006/relationships/hyperlink" Target="https://www.tga.gov.au/sites/default/files/2022-10/notice-of-interim-decisions-on-proposed-amendments-to-the-poisons-standard-acms-38-joint-acms-accs-31-accs-34-meetings-june-2022.pdf" TargetMode="External"/><Relationship Id="rId40" Type="http://schemas.openxmlformats.org/officeDocument/2006/relationships/hyperlink" Target="https://www.tga.gov.au/resources/consultation/consultation-proposed-amendments-poisons-standard-accs-acms-and-joint-accsacms-meetings-june-2022" TargetMode="External"/><Relationship Id="rId45" Type="http://schemas.openxmlformats.org/officeDocument/2006/relationships/hyperlink" Target="https://www.tga.gov.au/publication/ahmac-scheduling-policy-framework-medicines-and-chemicals" TargetMode="External"/><Relationship Id="rId53" Type="http://schemas.openxmlformats.org/officeDocument/2006/relationships/hyperlink" Target="https://www.tga.gov.au/resources/consultation/consultation-proposed-amendments-poisons-standard-accs-acms-and-joint-accsacms-meetings-june-2022" TargetMode="External"/><Relationship Id="rId58" Type="http://schemas.openxmlformats.org/officeDocument/2006/relationships/hyperlink" Target="https://www.tga.gov.au/publication/ahmac-scheduling-policy-framework-medicines-and-chemicals" TargetMode="External"/><Relationship Id="rId66" Type="http://schemas.openxmlformats.org/officeDocument/2006/relationships/hyperlink" Target="https://www.tga.gov.au/publication/ahmac-scheduling-policy-framework-medicines-and-chemicals" TargetMode="External"/><Relationship Id="rId74" Type="http://schemas.openxmlformats.org/officeDocument/2006/relationships/hyperlink" Target="https://www.tga.gov.au/publication/scheduling-handbook-guidance-amending-poisons-standard"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www.tga.gov.au/resources/consultation/consultation-proposed-amendments-poisons-standard-accs-acms-and-joint-accsacms-meetings-june-2022" TargetMode="External"/><Relationship Id="rId10" Type="http://schemas.openxmlformats.org/officeDocument/2006/relationships/header" Target="header2.xml"/><Relationship Id="rId19" Type="http://schemas.openxmlformats.org/officeDocument/2006/relationships/hyperlink" Target="https://www.tga.gov.au/resources/consultation/consultation-proposed-amendments-poisons-standard-accs-acms-and-joint-accsacms-meetings-june-2022" TargetMode="External"/><Relationship Id="rId31" Type="http://schemas.openxmlformats.org/officeDocument/2006/relationships/hyperlink" Target="https://www.tga.gov.au/publication/ahmac-scheduling-policy-framework-medicines-and-chemicals" TargetMode="External"/><Relationship Id="rId44" Type="http://schemas.openxmlformats.org/officeDocument/2006/relationships/hyperlink" Target="https://www.tga.gov.au/sites/default/files/2022-10/notice-of-interim-decisions-on-proposed-amendments-to-the-poisons-standard-acms-38-joint-acms-accs-31-accs-34-meetings-june-2022.pdf" TargetMode="External"/><Relationship Id="rId52" Type="http://schemas.openxmlformats.org/officeDocument/2006/relationships/hyperlink" Target="https://www.tga.gov.au/publication/scheduling-handbook-guidance-amending-poisons-standard" TargetMode="External"/><Relationship Id="rId60" Type="http://schemas.openxmlformats.org/officeDocument/2006/relationships/hyperlink" Target="https://www.ema.europa.eu/en/documents/regulatory-procedural-guideline/ich-guideline-q3c-r8-impurities-guideline-residual-solvents-step-5_en.pdf" TargetMode="External"/><Relationship Id="rId65" Type="http://schemas.openxmlformats.org/officeDocument/2006/relationships/hyperlink" Target="https://www.tga.gov.au/sites/default/files/2022-10/notice-of-interim-decisions-on-proposed-amendments-to-the-poisons-standard-acms-38-joint-acms-accs-31-accs-34-meetings-june-2022.pdf" TargetMode="External"/><Relationship Id="rId73" Type="http://schemas.openxmlformats.org/officeDocument/2006/relationships/hyperlink" Target="https://www.tga.gov.au/publication/ahmac-scheduling-policy-framework-medicines-and-chemicals" TargetMode="External"/><Relationship Id="rId78" Type="http://schemas.openxmlformats.org/officeDocument/2006/relationships/header" Target="header6.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ites/default/files/consultation-proposed-amendments-poisons-standard-accs-acms-and-joint-accsacms-meetings-june-2022.pdf" TargetMode="External"/><Relationship Id="rId22" Type="http://schemas.openxmlformats.org/officeDocument/2006/relationships/hyperlink" Target="https://consultations.tga.gov.au/tga/june-2022-interims/" TargetMode="External"/><Relationship Id="rId27" Type="http://schemas.openxmlformats.org/officeDocument/2006/relationships/hyperlink" Target="https://consultations.tga.gov.au/tga/proposed_admendments_june-2022/" TargetMode="External"/><Relationship Id="rId30" Type="http://schemas.openxmlformats.org/officeDocument/2006/relationships/hyperlink" Target="https://www.tga.gov.au/sites/default/files/2022-10/notice-of-interim-decisions-on-proposed-amendments-to-the-poisons-standard-acms-38-joint-acms-accs-31-accs-34-meetings-june-2022.pdf" TargetMode="External"/><Relationship Id="rId35" Type="http://schemas.openxmlformats.org/officeDocument/2006/relationships/hyperlink" Target="https://www.tga.gov.au/sites/default/files/consultation-proposed-amendments-poisons-standard-accs-acms-and-joint-accsacms-meetings-june-2022.pdf" TargetMode="External"/><Relationship Id="rId43" Type="http://schemas.openxmlformats.org/officeDocument/2006/relationships/hyperlink" Target="https://consultations.tga.gov.au/tga/june-2022-interims/" TargetMode="External"/><Relationship Id="rId48" Type="http://schemas.openxmlformats.org/officeDocument/2006/relationships/hyperlink" Target="https://consultations.tga.gov.au/tga/proposed_admendments_june-2022/" TargetMode="External"/><Relationship Id="rId56" Type="http://schemas.openxmlformats.org/officeDocument/2006/relationships/hyperlink" Target="https://consultations.tga.gov.au/tga/june-2022-interims/" TargetMode="External"/><Relationship Id="rId64" Type="http://schemas.openxmlformats.org/officeDocument/2006/relationships/hyperlink" Target="https://consultations.tga.gov.au/tga/june-2022-interims/" TargetMode="External"/><Relationship Id="rId69" Type="http://schemas.openxmlformats.org/officeDocument/2006/relationships/footer" Target="footer2.xml"/><Relationship Id="rId77" Type="http://schemas.openxmlformats.org/officeDocument/2006/relationships/footer" Target="footer3.xml"/><Relationship Id="rId8" Type="http://schemas.openxmlformats.org/officeDocument/2006/relationships/header" Target="header1.xml"/><Relationship Id="rId51" Type="http://schemas.openxmlformats.org/officeDocument/2006/relationships/hyperlink" Target="https://www.tga.gov.au/sites/default/files/2022-10/notice-of-interim-decisions-on-proposed-amendments-to-the-poisons-standard-acms-38-joint-acms-accs-31-accs-34-meetings-june-2022.pdf" TargetMode="External"/><Relationship Id="rId72" Type="http://schemas.openxmlformats.org/officeDocument/2006/relationships/hyperlink" Target="https://www.tga.gov.au/publication/scheduling-handbook-guidance-amending-poisons-standard"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tga.gov.au/resources/consultation/consultation-proposed-amendments-poisons-standard-accs-acms-and-joint-accsacms-meetings-june-2022" TargetMode="External"/><Relationship Id="rId17" Type="http://schemas.openxmlformats.org/officeDocument/2006/relationships/hyperlink" Target="https://www.tga.gov.au/publication/ahmac-scheduling-policy-framework-medicines-and-chemicals" TargetMode="External"/><Relationship Id="rId25" Type="http://schemas.openxmlformats.org/officeDocument/2006/relationships/hyperlink" Target="https://www.tga.gov.au/publication/scheduling-handbook-guidance-amending-poisons-standard" TargetMode="External"/><Relationship Id="rId33" Type="http://schemas.openxmlformats.org/officeDocument/2006/relationships/hyperlink" Target="https://www.tga.gov.au/resources/consultation/consultation-proposed-amendments-poisons-standard-accs-acms-and-joint-accsacms-meetings-june-2022" TargetMode="External"/><Relationship Id="rId38" Type="http://schemas.openxmlformats.org/officeDocument/2006/relationships/hyperlink" Target="https://www.tga.gov.au/publication/ahmac-scheduling-policy-framework-medicines-and-chemicals" TargetMode="External"/><Relationship Id="rId46" Type="http://schemas.openxmlformats.org/officeDocument/2006/relationships/hyperlink" Target="https://www.tga.gov.au/publication/scheduling-handbook-guidance-amending-poisons-standard" TargetMode="External"/><Relationship Id="rId59" Type="http://schemas.openxmlformats.org/officeDocument/2006/relationships/hyperlink" Target="https://www.tga.gov.au/publication/scheduling-handbook-guidance-amending-poisons-standard" TargetMode="External"/><Relationship Id="rId67" Type="http://schemas.openxmlformats.org/officeDocument/2006/relationships/hyperlink" Target="https://www.tga.gov.au/publication/scheduling-handbook-guidance-amending-poisons-standard" TargetMode="External"/><Relationship Id="rId20" Type="http://schemas.openxmlformats.org/officeDocument/2006/relationships/hyperlink" Target="https://consultations.tga.gov.au/tga/proposed_admendments_june-2022/" TargetMode="External"/><Relationship Id="rId41" Type="http://schemas.openxmlformats.org/officeDocument/2006/relationships/hyperlink" Target="https://consultations.tga.gov.au/tga/proposed_admendments_june-2022/" TargetMode="External"/><Relationship Id="rId54" Type="http://schemas.openxmlformats.org/officeDocument/2006/relationships/hyperlink" Target="https://consultations.tga.gov.au/tga/proposed_admendments_june-2022/" TargetMode="External"/><Relationship Id="rId62" Type="http://schemas.openxmlformats.org/officeDocument/2006/relationships/hyperlink" Target="https://consultations.tga.gov.au/tga/proposed_admendments_june-2022/" TargetMode="External"/><Relationship Id="rId70" Type="http://schemas.openxmlformats.org/officeDocument/2006/relationships/header" Target="header4.xml"/><Relationship Id="rId75" Type="http://schemas.openxmlformats.org/officeDocument/2006/relationships/hyperlink" Target="https://webarchive.nla.gov.au/awa/20211007124947/https:/www.tga.gov.au/book/part-b-final-decisions-matters-not-referred-expert-advisory-committee-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sultations.tga.gov.au/tga/june-2022-interims/" TargetMode="External"/><Relationship Id="rId23" Type="http://schemas.openxmlformats.org/officeDocument/2006/relationships/hyperlink" Target="https://www.tga.gov.au/sites/default/files/2022-10/notice-of-interim-decisions-on-proposed-amendments-to-the-poisons-standard-acms-38-joint-acms-accs-31-accs-34-meetings-june-2022.pdf" TargetMode="External"/><Relationship Id="rId28" Type="http://schemas.openxmlformats.org/officeDocument/2006/relationships/hyperlink" Target="https://www.tga.gov.au/sites/default/files/consultation-proposed-amendments-poisons-standard-accs-acms-and-joint-accsacms-meetings-june-2022.pdf" TargetMode="External"/><Relationship Id="rId36" Type="http://schemas.openxmlformats.org/officeDocument/2006/relationships/hyperlink" Target="https://consultations.tga.gov.au/tga/june-2022-interims/" TargetMode="External"/><Relationship Id="rId49" Type="http://schemas.openxmlformats.org/officeDocument/2006/relationships/hyperlink" Target="https://www.tga.gov.au/sites/default/files/consultation-proposed-amendments-poisons-standard-accs-acms-and-joint-accsacms-meetings-june-2022.pdf" TargetMode="External"/><Relationship Id="rId57" Type="http://schemas.openxmlformats.org/officeDocument/2006/relationships/hyperlink" Target="https://www.tga.gov.au/sites/default/files/2022-10/notice-of-interim-decisions-on-proposed-amendments-to-the-poisons-standard-acms-38-joint-acms-accs-31-accs-34-meetings-june-2022.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2480</TotalTime>
  <Pages>21</Pages>
  <Words>7304</Words>
  <Characters>41635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 ACMS #38, Joint ACMS-ACCS #31, ACCS #34</dc:title>
  <dc:subject>Scheduling</dc:subject>
  <dc:creator>Therapeutic Goods Administration</dc:creator>
  <dc:description>template v1.4</dc:description>
  <cp:lastModifiedBy>KOLARIK-O'REILLY, Kristy</cp:lastModifiedBy>
  <cp:revision>42</cp:revision>
  <cp:lastPrinted>2020-05-01T05:17:00Z</cp:lastPrinted>
  <dcterms:created xsi:type="dcterms:W3CDTF">2022-12-06T21:41:00Z</dcterms:created>
  <dcterms:modified xsi:type="dcterms:W3CDTF">2023-01-19T22:15:00Z</dcterms:modified>
</cp:coreProperties>
</file>