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7710" w14:textId="1DF788DC" w:rsidR="00A955A5" w:rsidRDefault="00675951" w:rsidP="002651A2">
      <w:pPr>
        <w:pStyle w:val="Heading1"/>
        <w:ind w:left="360"/>
        <w:jc w:val="center"/>
        <w:rPr>
          <w:rFonts w:ascii="Arial" w:hAnsi="Arial" w:cs="Arial"/>
          <w:color w:val="305DA1" w:themeColor="accent3" w:themeShade="80"/>
          <w:sz w:val="28"/>
          <w:szCs w:val="24"/>
        </w:rPr>
      </w:pPr>
      <w:r w:rsidRPr="00675951">
        <w:rPr>
          <w:rFonts w:ascii="Arial" w:hAnsi="Arial" w:cs="Arial"/>
          <w:color w:val="333F48"/>
          <w:sz w:val="28"/>
          <w:szCs w:val="24"/>
        </w:rPr>
        <w:t xml:space="preserve">Compositional Guideline: </w:t>
      </w:r>
      <w:r w:rsidRPr="00675951">
        <w:rPr>
          <w:rFonts w:ascii="Arial" w:hAnsi="Arial" w:cs="Arial"/>
          <w:color w:val="305DA1" w:themeColor="accent3" w:themeShade="80"/>
          <w:sz w:val="28"/>
          <w:szCs w:val="24"/>
        </w:rPr>
        <w:t>Name of substance</w:t>
      </w:r>
      <w:bookmarkStart w:id="0" w:name="_Hlk112764819"/>
      <w:bookmarkStart w:id="1" w:name="_Hlk112764346"/>
    </w:p>
    <w:p w14:paraId="7A07A5F5" w14:textId="77777777" w:rsidR="002651A2" w:rsidRPr="002651A2" w:rsidRDefault="002651A2" w:rsidP="002651A2">
      <w:pPr>
        <w:jc w:val="center"/>
        <w:rPr>
          <w:rFonts w:ascii="Arial" w:hAnsi="Arial" w:cs="Arial"/>
          <w:b/>
          <w:bCs/>
          <w:color w:val="305DA1" w:themeColor="accent3" w:themeShade="80"/>
          <w:szCs w:val="22"/>
          <w:lang w:val="en"/>
        </w:rPr>
      </w:pPr>
      <w:r w:rsidRPr="002651A2">
        <w:rPr>
          <w:rFonts w:ascii="Arial" w:hAnsi="Arial" w:cs="Arial"/>
          <w:b/>
          <w:bCs/>
          <w:color w:val="305DA1" w:themeColor="accent3" w:themeShade="80"/>
          <w:szCs w:val="22"/>
          <w:lang w:val="en"/>
        </w:rPr>
        <w:t xml:space="preserve">This template applies to </w:t>
      </w:r>
      <w:bookmarkStart w:id="2" w:name="_Hlk104281624"/>
      <w:r w:rsidRPr="002651A2">
        <w:rPr>
          <w:rFonts w:ascii="Arial" w:hAnsi="Arial" w:cs="Arial"/>
          <w:b/>
          <w:bCs/>
          <w:color w:val="305DA1" w:themeColor="accent3" w:themeShade="80"/>
          <w:szCs w:val="22"/>
          <w:lang w:val="en"/>
        </w:rPr>
        <w:t>substances of animal origin.</w:t>
      </w:r>
      <w:bookmarkEnd w:id="2"/>
    </w:p>
    <w:p w14:paraId="12769361" w14:textId="77777777" w:rsidR="002651A2" w:rsidRPr="002651A2" w:rsidRDefault="002651A2" w:rsidP="002651A2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bookmarkStart w:id="3" w:name="_Hlk110949692"/>
      <w:r w:rsidRPr="002651A2">
        <w:rPr>
          <w:rFonts w:ascii="Arial" w:hAnsi="Arial" w:cs="Arial"/>
          <w:bCs/>
          <w:color w:val="305DA1" w:themeColor="accent3" w:themeShade="80"/>
          <w:szCs w:val="22"/>
        </w:rPr>
        <w:t>Provide specifications in the table below in accordance with:</w:t>
      </w:r>
    </w:p>
    <w:p w14:paraId="6A00AEF3" w14:textId="59E5E9C5" w:rsidR="002651A2" w:rsidRPr="002651A2" w:rsidRDefault="002651A2" w:rsidP="002651A2">
      <w:pPr>
        <w:pStyle w:val="ListParagraph"/>
        <w:numPr>
          <w:ilvl w:val="1"/>
          <w:numId w:val="19"/>
        </w:numPr>
        <w:ind w:left="851"/>
        <w:rPr>
          <w:rFonts w:ascii="Arial" w:hAnsi="Arial" w:cs="Arial"/>
          <w:bCs/>
          <w:color w:val="305DA1" w:themeColor="accent3" w:themeShade="80"/>
          <w:szCs w:val="22"/>
        </w:rPr>
      </w:pPr>
      <w:r w:rsidRPr="002651A2">
        <w:rPr>
          <w:rFonts w:ascii="Arial" w:hAnsi="Arial" w:cs="Arial"/>
          <w:bCs/>
          <w:color w:val="305DA1" w:themeColor="accent3" w:themeShade="80"/>
          <w:szCs w:val="22"/>
        </w:rPr>
        <w:t>‘SECTION B – Information requirements’ in ‘</w:t>
      </w:r>
      <w:hyperlink r:id="rId8" w:history="1">
        <w:r w:rsidRPr="0062745C">
          <w:rPr>
            <w:rStyle w:val="Hyperlink"/>
            <w:rFonts w:ascii="Arial" w:hAnsi="Arial" w:cs="Arial"/>
            <w:bCs/>
            <w:szCs w:val="22"/>
          </w:rPr>
          <w:t xml:space="preserve">Application requirements for new substances in listed medicines – Australian regulatory guidelines’. </w:t>
        </w:r>
      </w:hyperlink>
    </w:p>
    <w:p w14:paraId="3744A1C1" w14:textId="77777777" w:rsidR="002651A2" w:rsidRPr="002651A2" w:rsidRDefault="002651A2" w:rsidP="002651A2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651A2">
        <w:rPr>
          <w:rFonts w:ascii="Arial" w:hAnsi="Arial" w:cs="Arial"/>
          <w:bCs/>
          <w:color w:val="305DA1" w:themeColor="accent3" w:themeShade="80"/>
          <w:szCs w:val="22"/>
        </w:rPr>
        <w:t>All headings in the table correspond with the guidance document</w:t>
      </w:r>
      <w:r w:rsidRPr="002651A2">
        <w:rPr>
          <w:rFonts w:ascii="Arial" w:hAnsi="Arial" w:cs="Arial"/>
          <w:color w:val="305DA1" w:themeColor="accent3" w:themeShade="80"/>
          <w:szCs w:val="22"/>
        </w:rPr>
        <w:t xml:space="preserve"> </w:t>
      </w:r>
      <w:r w:rsidRPr="002651A2">
        <w:rPr>
          <w:rFonts w:ascii="Arial" w:hAnsi="Arial" w:cs="Arial"/>
          <w:bCs/>
          <w:color w:val="305DA1" w:themeColor="accent3" w:themeShade="80"/>
          <w:szCs w:val="22"/>
        </w:rPr>
        <w:t xml:space="preserve">headings. </w:t>
      </w:r>
    </w:p>
    <w:p w14:paraId="5EFE3E28" w14:textId="77777777" w:rsidR="002651A2" w:rsidRPr="002651A2" w:rsidRDefault="002651A2" w:rsidP="002651A2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651A2">
        <w:rPr>
          <w:rFonts w:ascii="Arial" w:hAnsi="Arial" w:cs="Arial"/>
          <w:b/>
          <w:color w:val="305DA1" w:themeColor="accent3" w:themeShade="80"/>
          <w:szCs w:val="22"/>
        </w:rPr>
        <w:t>Note</w:t>
      </w:r>
      <w:r w:rsidRPr="002651A2">
        <w:rPr>
          <w:rFonts w:ascii="Arial" w:hAnsi="Arial" w:cs="Arial"/>
          <w:bCs/>
          <w:color w:val="305DA1" w:themeColor="accent3" w:themeShade="80"/>
          <w:szCs w:val="22"/>
        </w:rPr>
        <w:t xml:space="preserve">: Certain headings may not be applicable (e.g. ‘residual solvents’ if no solvents used). </w:t>
      </w:r>
      <w:r w:rsidRPr="002651A2">
        <w:rPr>
          <w:rFonts w:ascii="Arial" w:hAnsi="Arial" w:cs="Arial"/>
          <w:bCs/>
          <w:color w:val="305DA1" w:themeColor="accent3" w:themeShade="80"/>
          <w:szCs w:val="22"/>
          <w:lang w:val="en"/>
        </w:rPr>
        <w:t>Add or delete rows as necessary.</w:t>
      </w:r>
    </w:p>
    <w:p w14:paraId="5AA36497" w14:textId="77777777" w:rsidR="002651A2" w:rsidRPr="002651A2" w:rsidRDefault="002651A2" w:rsidP="002651A2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651A2">
        <w:rPr>
          <w:rFonts w:ascii="Arial" w:hAnsi="Arial" w:cs="Arial"/>
          <w:bCs/>
          <w:color w:val="305DA1" w:themeColor="accent3" w:themeShade="80"/>
          <w:szCs w:val="22"/>
        </w:rPr>
        <w:t xml:space="preserve">Blue information in the table are only </w:t>
      </w:r>
      <w:r w:rsidRPr="002651A2">
        <w:rPr>
          <w:rFonts w:ascii="Arial" w:hAnsi="Arial" w:cs="Arial"/>
          <w:b/>
          <w:color w:val="305DA1" w:themeColor="accent3" w:themeShade="80"/>
          <w:szCs w:val="22"/>
        </w:rPr>
        <w:t>common</w:t>
      </w:r>
      <w:r w:rsidRPr="002651A2">
        <w:rPr>
          <w:rFonts w:ascii="Arial" w:hAnsi="Arial" w:cs="Arial"/>
          <w:bCs/>
          <w:color w:val="305DA1" w:themeColor="accent3" w:themeShade="80"/>
          <w:szCs w:val="22"/>
        </w:rPr>
        <w:t xml:space="preserve"> </w:t>
      </w:r>
      <w:r w:rsidRPr="002651A2">
        <w:rPr>
          <w:rFonts w:ascii="Arial" w:hAnsi="Arial" w:cs="Arial"/>
          <w:b/>
          <w:color w:val="305DA1" w:themeColor="accent3" w:themeShade="80"/>
          <w:szCs w:val="22"/>
        </w:rPr>
        <w:t xml:space="preserve">examples </w:t>
      </w:r>
      <w:r w:rsidRPr="002651A2">
        <w:rPr>
          <w:rFonts w:ascii="Arial" w:hAnsi="Arial" w:cs="Arial"/>
          <w:bCs/>
          <w:color w:val="305DA1" w:themeColor="accent3" w:themeShade="80"/>
          <w:szCs w:val="22"/>
        </w:rPr>
        <w:t>for guidance</w:t>
      </w:r>
      <w:r w:rsidRPr="002651A2">
        <w:rPr>
          <w:rFonts w:ascii="Arial" w:hAnsi="Arial" w:cs="Arial"/>
          <w:b/>
          <w:color w:val="305DA1" w:themeColor="accent3" w:themeShade="80"/>
          <w:szCs w:val="22"/>
        </w:rPr>
        <w:t xml:space="preserve">. </w:t>
      </w:r>
      <w:r w:rsidRPr="002651A2">
        <w:rPr>
          <w:rFonts w:ascii="Arial" w:hAnsi="Arial" w:cs="Arial"/>
          <w:color w:val="305DA1" w:themeColor="accent3" w:themeShade="80"/>
          <w:szCs w:val="22"/>
          <w:lang w:val="en"/>
        </w:rPr>
        <w:t>Delete all blue guidance text before submitting.</w:t>
      </w:r>
      <w:bookmarkEnd w:id="3"/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8779"/>
      </w:tblGrid>
      <w:tr w:rsidR="00675951" w:rsidRPr="00675951" w14:paraId="654EC788" w14:textId="77777777" w:rsidTr="0067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779" w:type="dxa"/>
            <w:shd w:val="clear" w:color="auto" w:fill="B8CCEA"/>
          </w:tcPr>
          <w:bookmarkEnd w:id="0"/>
          <w:bookmarkEnd w:id="1"/>
          <w:p w14:paraId="6F13CA8F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 w:val="0"/>
                <w:color w:val="333F48"/>
              </w:rPr>
            </w:pPr>
            <w:r w:rsidRPr="00675951">
              <w:rPr>
                <w:rFonts w:ascii="Arial" w:hAnsi="Arial" w:cs="Arial"/>
                <w:color w:val="333F48"/>
              </w:rPr>
              <w:t>DESCRIPTION</w:t>
            </w:r>
          </w:p>
        </w:tc>
      </w:tr>
      <w:tr w:rsidR="00261EDF" w:rsidRPr="00675951" w14:paraId="16DA3512" w14:textId="77777777" w:rsidTr="007B5E37">
        <w:tc>
          <w:tcPr>
            <w:tcW w:w="8779" w:type="dxa"/>
            <w:tcBorders>
              <w:bottom w:val="single" w:sz="8" w:space="0" w:color="002C47" w:themeColor="text1"/>
            </w:tcBorders>
          </w:tcPr>
          <w:p w14:paraId="386D61EF" w14:textId="77777777" w:rsidR="002651A2" w:rsidRPr="002651A2" w:rsidRDefault="002651A2" w:rsidP="002651A2">
            <w:pPr>
              <w:pStyle w:val="Heading2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2651A2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 xml:space="preserve">Substance origin, genus, species, age, animal part, geographical </w:t>
            </w:r>
            <w:proofErr w:type="gramStart"/>
            <w:r w:rsidRPr="002651A2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location</w:t>
            </w:r>
            <w:proofErr w:type="gramEnd"/>
            <w:r w:rsidRPr="002651A2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 xml:space="preserve"> and method of manufacture (bred or wild, harvest time, extracted, dried, distilled, purified).</w:t>
            </w:r>
          </w:p>
          <w:p w14:paraId="1A49A8B7" w14:textId="5752EC75" w:rsidR="00261EDF" w:rsidRPr="00261EDF" w:rsidRDefault="002651A2" w:rsidP="002651A2">
            <w:pPr>
              <w:pStyle w:val="Heading2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bCs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2651A2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Chemical names, molecular formulae, molecular structures, and molecular weight of the final substance, if applicable.</w:t>
            </w:r>
          </w:p>
        </w:tc>
      </w:tr>
    </w:tbl>
    <w:p w14:paraId="4C32BD0B" w14:textId="77777777" w:rsidR="00675951" w:rsidRPr="00675951" w:rsidRDefault="00675951" w:rsidP="00675951">
      <w:pPr>
        <w:spacing w:before="0" w:after="0" w:line="14" w:lineRule="exact"/>
        <w:rPr>
          <w:rFonts w:ascii="Arial" w:hAnsi="Arial" w:cs="Arial"/>
          <w:sz w:val="2"/>
          <w:szCs w:val="2"/>
        </w:rPr>
      </w:pP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3109"/>
        <w:gridCol w:w="3118"/>
        <w:gridCol w:w="2552"/>
      </w:tblGrid>
      <w:tr w:rsidR="00675951" w:rsidRPr="00675951" w14:paraId="16189B73" w14:textId="77777777" w:rsidTr="00C86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09" w:type="dxa"/>
            <w:tcBorders>
              <w:right w:val="single" w:sz="4" w:space="0" w:color="auto"/>
            </w:tcBorders>
            <w:shd w:val="clear" w:color="auto" w:fill="B8CCEA"/>
          </w:tcPr>
          <w:p w14:paraId="518B301A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Test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A"/>
          </w:tcPr>
          <w:p w14:paraId="63C13EDE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Method reference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B8CCEA"/>
          </w:tcPr>
          <w:p w14:paraId="0795BA4C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Acceptance criteria</w:t>
            </w:r>
            <w:r w:rsidRPr="00675951">
              <w:rPr>
                <w:rStyle w:val="FootnoteReference"/>
                <w:rFonts w:ascii="Arial" w:hAnsi="Arial" w:cs="Arial"/>
                <w:bCs/>
                <w:iCs/>
                <w:color w:val="333F48"/>
              </w:rPr>
              <w:footnoteReference w:id="1"/>
            </w:r>
          </w:p>
        </w:tc>
      </w:tr>
      <w:tr w:rsidR="00675951" w:rsidRPr="00675951" w14:paraId="1361450D" w14:textId="77777777" w:rsidTr="00675951">
        <w:tc>
          <w:tcPr>
            <w:tcW w:w="8779" w:type="dxa"/>
            <w:gridSpan w:val="3"/>
            <w:shd w:val="clear" w:color="auto" w:fill="B8CCEA"/>
          </w:tcPr>
          <w:p w14:paraId="49105A33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CHARACTERISATION</w:t>
            </w:r>
          </w:p>
        </w:tc>
      </w:tr>
      <w:tr w:rsidR="00675951" w:rsidRPr="00675951" w14:paraId="1DE51681" w14:textId="77777777" w:rsidTr="00675951">
        <w:tc>
          <w:tcPr>
            <w:tcW w:w="8779" w:type="dxa"/>
            <w:gridSpan w:val="3"/>
            <w:shd w:val="clear" w:color="auto" w:fill="B8CCEA"/>
          </w:tcPr>
          <w:p w14:paraId="15A2B42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General properties</w:t>
            </w:r>
          </w:p>
        </w:tc>
      </w:tr>
      <w:tr w:rsidR="002651A2" w:rsidRPr="00675951" w14:paraId="7BA550C4" w14:textId="77777777" w:rsidTr="00C86F43">
        <w:tc>
          <w:tcPr>
            <w:tcW w:w="3109" w:type="dxa"/>
            <w:tcBorders>
              <w:bottom w:val="single" w:sz="8" w:space="0" w:color="002C47" w:themeColor="text1"/>
            </w:tcBorders>
          </w:tcPr>
          <w:p w14:paraId="0AF788C0" w14:textId="77777777" w:rsidR="002651A2" w:rsidRPr="002651A2" w:rsidRDefault="002651A2" w:rsidP="002651A2">
            <w:pPr>
              <w:pStyle w:val="ListParagraph"/>
              <w:spacing w:before="0" w:after="0" w:line="240" w:lineRule="auto"/>
              <w:ind w:left="19"/>
              <w:rPr>
                <w:rFonts w:ascii="Arial" w:hAnsi="Arial" w:cs="Arial"/>
                <w:iCs/>
                <w:color w:val="305DA1" w:themeColor="accent3" w:themeShade="80"/>
              </w:rPr>
            </w:pPr>
            <w:proofErr w:type="spellStart"/>
            <w:r w:rsidRPr="002651A2">
              <w:rPr>
                <w:rFonts w:ascii="Arial" w:hAnsi="Arial" w:cs="Arial"/>
                <w:iCs/>
                <w:color w:val="305DA1" w:themeColor="accent3" w:themeShade="80"/>
              </w:rPr>
              <w:t>Physico</w:t>
            </w:r>
            <w:proofErr w:type="spellEnd"/>
            <w:r w:rsidRPr="002651A2">
              <w:rPr>
                <w:rFonts w:ascii="Arial" w:hAnsi="Arial" w:cs="Arial"/>
                <w:iCs/>
                <w:color w:val="305DA1" w:themeColor="accent3" w:themeShade="80"/>
              </w:rPr>
              <w:t xml:space="preserve">-chemical properties: </w:t>
            </w:r>
          </w:p>
          <w:p w14:paraId="5545D5E9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appearance, colour, state, texture, smell</w:t>
            </w:r>
          </w:p>
          <w:p w14:paraId="732C3344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particle size</w:t>
            </w:r>
          </w:p>
          <w:p w14:paraId="01B7BFED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loss on drying </w:t>
            </w:r>
          </w:p>
          <w:p w14:paraId="014AA345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proofErr w:type="spellStart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sulfated</w:t>
            </w:r>
            <w:proofErr w:type="spellEnd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</w:t>
            </w:r>
          </w:p>
          <w:p w14:paraId="27663C14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solubility</w:t>
            </w:r>
          </w:p>
          <w:p w14:paraId="181B839C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pH </w:t>
            </w:r>
          </w:p>
          <w:p w14:paraId="7294AEC7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viscosity</w:t>
            </w:r>
          </w:p>
          <w:p w14:paraId="2CAB0566" w14:textId="4D020C34" w:rsidR="002651A2" w:rsidRPr="002651A2" w:rsidRDefault="002651A2" w:rsidP="002651A2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specific optical rotation</w:t>
            </w:r>
          </w:p>
        </w:tc>
        <w:tc>
          <w:tcPr>
            <w:tcW w:w="3118" w:type="dxa"/>
            <w:tcBorders>
              <w:bottom w:val="single" w:sz="8" w:space="0" w:color="002C47" w:themeColor="text1"/>
            </w:tcBorders>
          </w:tcPr>
          <w:p w14:paraId="7115C4FB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Loss on drying (USP-NF  &lt;731&gt;), </w:t>
            </w:r>
          </w:p>
          <w:p w14:paraId="6B32BEF4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BP Appendix IX </w:t>
            </w:r>
            <w:proofErr w:type="gramStart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</w:t>
            </w:r>
            <w:proofErr w:type="gramEnd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  <w:proofErr w:type="spellStart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Sulfated</w:t>
            </w:r>
            <w:proofErr w:type="spellEnd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 (Ph. Eur. method 2.4.14)</w:t>
            </w:r>
          </w:p>
          <w:p w14:paraId="14D47487" w14:textId="77777777" w:rsidR="002651A2" w:rsidRPr="002651A2" w:rsidRDefault="002651A2" w:rsidP="002651A2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Solubility (USP-NF &lt;1236&gt;) </w:t>
            </w:r>
          </w:p>
          <w:p w14:paraId="2A4A3F47" w14:textId="35872973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7" w:hanging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pH (USP-NF &lt;791&gt;) </w:t>
            </w:r>
          </w:p>
        </w:tc>
        <w:tc>
          <w:tcPr>
            <w:tcW w:w="2552" w:type="dxa"/>
            <w:tcBorders>
              <w:bottom w:val="single" w:sz="8" w:space="0" w:color="002C47" w:themeColor="text1"/>
            </w:tcBorders>
          </w:tcPr>
          <w:p w14:paraId="717DA163" w14:textId="1D4DE26B" w:rsidR="002651A2" w:rsidRPr="002651A2" w:rsidRDefault="002651A2" w:rsidP="002651A2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</w:rPr>
              <w:t>Description and/or limits for the relevant tests</w:t>
            </w:r>
            <w:r w:rsidRPr="002651A2">
              <w:rPr>
                <w:rFonts w:ascii="Arial" w:hAnsi="Arial" w:cs="Arial"/>
                <w:i/>
                <w:color w:val="305DA1" w:themeColor="accent3" w:themeShade="80"/>
              </w:rPr>
              <w:t xml:space="preserve"> </w:t>
            </w:r>
          </w:p>
        </w:tc>
      </w:tr>
      <w:tr w:rsidR="00675951" w:rsidRPr="00675951" w14:paraId="14543C15" w14:textId="77777777" w:rsidTr="00675951">
        <w:tc>
          <w:tcPr>
            <w:tcW w:w="8779" w:type="dxa"/>
            <w:gridSpan w:val="3"/>
            <w:shd w:val="clear" w:color="auto" w:fill="B8CCEA"/>
          </w:tcPr>
          <w:p w14:paraId="10186E82" w14:textId="0ACB8243" w:rsidR="00675951" w:rsidRPr="00675951" w:rsidRDefault="00675951" w:rsidP="007B5E37">
            <w:pPr>
              <w:keepNext w:val="0"/>
              <w:rPr>
                <w:rFonts w:ascii="Arial" w:hAnsi="Arial" w:cs="Arial"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Identity</w:t>
            </w:r>
          </w:p>
        </w:tc>
      </w:tr>
      <w:tr w:rsidR="002651A2" w:rsidRPr="00675951" w14:paraId="16A2DBE4" w14:textId="77777777" w:rsidTr="00C86F43">
        <w:tc>
          <w:tcPr>
            <w:tcW w:w="3109" w:type="dxa"/>
            <w:tcBorders>
              <w:bottom w:val="single" w:sz="8" w:space="0" w:color="002C47" w:themeColor="text1"/>
            </w:tcBorders>
          </w:tcPr>
          <w:p w14:paraId="74ADE1D5" w14:textId="77777777" w:rsidR="002651A2" w:rsidRPr="002651A2" w:rsidRDefault="002651A2" w:rsidP="002651A2">
            <w:pPr>
              <w:keepNext w:val="0"/>
              <w:spacing w:before="0" w:after="0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bookmarkStart w:id="4" w:name="_Hlk110848400"/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Relevant test(s):</w:t>
            </w:r>
          </w:p>
          <w:p w14:paraId="4DBD9ED7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7E837EAF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IR</w:t>
            </w:r>
          </w:p>
          <w:p w14:paraId="15A004F3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NMR</w:t>
            </w:r>
          </w:p>
          <w:p w14:paraId="36EA9E0B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  <w:p w14:paraId="0BF75E4C" w14:textId="77777777" w:rsidR="002651A2" w:rsidRPr="002651A2" w:rsidRDefault="002651A2" w:rsidP="002651A2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</w:p>
        </w:tc>
        <w:tc>
          <w:tcPr>
            <w:tcW w:w="3118" w:type="dxa"/>
            <w:tcBorders>
              <w:bottom w:val="single" w:sz="8" w:space="0" w:color="002C47" w:themeColor="text1"/>
            </w:tcBorders>
          </w:tcPr>
          <w:p w14:paraId="4AB7507A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Part III, Ph. Eur. General Notice (1.5.1.8; Identification).</w:t>
            </w:r>
          </w:p>
          <w:p w14:paraId="75973D9F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Infrared Spectrophotometry (Ph. Eur. 2.2.24)</w:t>
            </w:r>
          </w:p>
          <w:p w14:paraId="4623ECC8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Nuclear Magnetic Resonance Spectrometry (Ph. Eur. 2.2.33)</w:t>
            </w:r>
          </w:p>
          <w:p w14:paraId="6B3F7D69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Gas Chromatography (Ph. Eur. 2.2.28)</w:t>
            </w:r>
          </w:p>
          <w:p w14:paraId="38068122" w14:textId="7DBB0D4B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Liquid Chromatography (Ph. Eur. 2.2.29)</w:t>
            </w:r>
          </w:p>
        </w:tc>
        <w:tc>
          <w:tcPr>
            <w:tcW w:w="2552" w:type="dxa"/>
            <w:tcBorders>
              <w:bottom w:val="single" w:sz="8" w:space="0" w:color="002C47" w:themeColor="text1"/>
            </w:tcBorders>
          </w:tcPr>
          <w:p w14:paraId="0C798DAB" w14:textId="77777777" w:rsidR="002651A2" w:rsidRPr="002651A2" w:rsidRDefault="002651A2" w:rsidP="002651A2">
            <w:pPr>
              <w:keepNext w:val="0"/>
              <w:spacing w:before="0" w:after="0" w:line="240" w:lineRule="auto"/>
              <w:contextualSpacing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</w:rPr>
              <w:lastRenderedPageBreak/>
              <w:t>e.g.:</w:t>
            </w:r>
          </w:p>
          <w:p w14:paraId="2E3CA0E7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For HPLC – Retention time of main peak corresponds to the retention time of the standard</w:t>
            </w:r>
          </w:p>
          <w:p w14:paraId="66F59834" w14:textId="77777777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For NMR – chemical shifts (ppm) should </w:t>
            </w: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conform with authenticated standard</w:t>
            </w:r>
          </w:p>
          <w:p w14:paraId="7DBEAA94" w14:textId="76DCFE5F" w:rsidR="002651A2" w:rsidRPr="002651A2" w:rsidRDefault="002651A2" w:rsidP="002651A2">
            <w:pPr>
              <w:pStyle w:val="ListParagraph"/>
              <w:keepNext w:val="0"/>
              <w:numPr>
                <w:ilvl w:val="0"/>
                <w:numId w:val="18"/>
              </w:numPr>
              <w:adjustRightInd/>
              <w:snapToGrid/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51A2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</w:t>
            </w:r>
            <w:r w:rsidRPr="002651A2">
              <w:rPr>
                <w:rFonts w:ascii="Arial" w:hAnsi="Arial" w:cs="Arial"/>
                <w:iCs/>
                <w:color w:val="305DA1" w:themeColor="accent3" w:themeShade="80"/>
              </w:rPr>
              <w:t>or spectroscopy – matches spectrum of reference material</w:t>
            </w:r>
          </w:p>
        </w:tc>
      </w:tr>
      <w:bookmarkEnd w:id="4"/>
      <w:tr w:rsidR="00675951" w:rsidRPr="00675951" w14:paraId="574113C4" w14:textId="77777777" w:rsidTr="00675951">
        <w:tc>
          <w:tcPr>
            <w:tcW w:w="8779" w:type="dxa"/>
            <w:gridSpan w:val="3"/>
            <w:shd w:val="clear" w:color="auto" w:fill="B8CCEA"/>
          </w:tcPr>
          <w:p w14:paraId="00DA718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color w:val="333F48"/>
              </w:rPr>
              <w:lastRenderedPageBreak/>
              <w:t>Assay</w:t>
            </w:r>
          </w:p>
        </w:tc>
      </w:tr>
      <w:tr w:rsidR="005C588D" w:rsidRPr="00675951" w14:paraId="6BFE67BD" w14:textId="77777777" w:rsidTr="00C86F43">
        <w:tc>
          <w:tcPr>
            <w:tcW w:w="3109" w:type="dxa"/>
          </w:tcPr>
          <w:p w14:paraId="022C06B2" w14:textId="77777777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</w:rPr>
              <w:t>Relevant test(s):</w:t>
            </w:r>
          </w:p>
          <w:p w14:paraId="6E099974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0150D93A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  <w:p w14:paraId="67533A31" w14:textId="22104DC1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NMR</w:t>
            </w:r>
          </w:p>
        </w:tc>
        <w:tc>
          <w:tcPr>
            <w:tcW w:w="3118" w:type="dxa"/>
          </w:tcPr>
          <w:p w14:paraId="2B9DDDA4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Appendix III L. Amino acid analysis (Ph. Eur. method 2.2.56)</w:t>
            </w:r>
          </w:p>
          <w:p w14:paraId="624CB584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Appendix XP. Oils Rich in Omega-3-acids (Ph. Eur. method 2.4.29)</w:t>
            </w:r>
          </w:p>
          <w:p w14:paraId="33DC7A19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Gas Chromatography (Ph. Eur. 2.2.28)</w:t>
            </w:r>
          </w:p>
          <w:p w14:paraId="4BB77C0C" w14:textId="2C44CF33" w:rsidR="005C588D" w:rsidRPr="005C588D" w:rsidRDefault="005C588D" w:rsidP="005C588D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Liquid Chromatography (Ph. Eur. 2.2.29)</w:t>
            </w:r>
          </w:p>
        </w:tc>
        <w:tc>
          <w:tcPr>
            <w:tcW w:w="2552" w:type="dxa"/>
          </w:tcPr>
          <w:p w14:paraId="55A6685C" w14:textId="4A83EA87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</w:rPr>
              <w:t xml:space="preserve">Limits for the assay </w:t>
            </w:r>
          </w:p>
        </w:tc>
      </w:tr>
      <w:tr w:rsidR="00675951" w:rsidRPr="00675951" w14:paraId="0CD6CAB2" w14:textId="77777777" w:rsidTr="00675951">
        <w:tc>
          <w:tcPr>
            <w:tcW w:w="8779" w:type="dxa"/>
            <w:gridSpan w:val="3"/>
            <w:shd w:val="clear" w:color="auto" w:fill="B8CCEA"/>
          </w:tcPr>
          <w:p w14:paraId="19DEA118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Impurities and incidental constituents</w:t>
            </w:r>
            <w:r w:rsidRPr="000D1459">
              <w:rPr>
                <w:rFonts w:ascii="Arial" w:hAnsi="Arial" w:cs="Arial"/>
                <w:iCs/>
                <w:color w:val="333F48"/>
              </w:rPr>
              <w:t xml:space="preserve"> </w:t>
            </w:r>
            <w:r w:rsidRPr="000D1459">
              <w:rPr>
                <w:rFonts w:ascii="Arial" w:hAnsi="Arial" w:cs="Arial"/>
                <w:iCs/>
                <w:color w:val="333F48"/>
                <w:szCs w:val="22"/>
              </w:rPr>
              <w:t>(as applicable)</w:t>
            </w:r>
          </w:p>
        </w:tc>
      </w:tr>
      <w:tr w:rsidR="005C588D" w:rsidRPr="00675951" w14:paraId="19761657" w14:textId="77777777" w:rsidTr="007B5E37">
        <w:tc>
          <w:tcPr>
            <w:tcW w:w="8779" w:type="dxa"/>
            <w:gridSpan w:val="3"/>
            <w:shd w:val="clear" w:color="auto" w:fill="B8CCEA"/>
          </w:tcPr>
          <w:p w14:paraId="0AC09739" w14:textId="166A4CA0" w:rsidR="005C588D" w:rsidRPr="00675951" w:rsidRDefault="005C588D" w:rsidP="005C588D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bCs/>
                <w:color w:val="333F48"/>
              </w:rPr>
              <w:t>Residual Solvents</w:t>
            </w:r>
          </w:p>
        </w:tc>
      </w:tr>
      <w:tr w:rsidR="005C588D" w:rsidRPr="00675951" w14:paraId="388C0874" w14:textId="77777777" w:rsidTr="005C588D">
        <w:tc>
          <w:tcPr>
            <w:tcW w:w="3109" w:type="dxa"/>
          </w:tcPr>
          <w:p w14:paraId="7D92B1F0" w14:textId="731B32B1" w:rsidR="005C588D" w:rsidRPr="005C588D" w:rsidRDefault="005C588D" w:rsidP="005C588D">
            <w:pPr>
              <w:keepNext w:val="0"/>
              <w:rPr>
                <w:rFonts w:ascii="Arial" w:hAnsi="Arial" w:cs="Arial"/>
                <w:b/>
                <w:iCs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val="en" w:eastAsia="en-US"/>
              </w:rPr>
              <w:t>BP SC IV D. Residual Solvents (Ph. Eur. 5.4)</w:t>
            </w:r>
          </w:p>
        </w:tc>
        <w:tc>
          <w:tcPr>
            <w:tcW w:w="3118" w:type="dxa"/>
          </w:tcPr>
          <w:p w14:paraId="7574B60B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Appendix VIII L. Residual Solvents (Ph. Eur. method 2.4.24)</w:t>
            </w:r>
          </w:p>
          <w:p w14:paraId="2FC478FC" w14:textId="77777777" w:rsid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Residual Solvents (USP-NF &lt;467&gt;)</w:t>
            </w:r>
          </w:p>
          <w:p w14:paraId="7FC13507" w14:textId="52A8C618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 SC</w:t>
            </w: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 IV D. Residual Solvents (Ph. Eur. 5.4)</w:t>
            </w:r>
          </w:p>
        </w:tc>
        <w:tc>
          <w:tcPr>
            <w:tcW w:w="2552" w:type="dxa"/>
          </w:tcPr>
          <w:p w14:paraId="3404EEE3" w14:textId="77777777" w:rsidR="005C588D" w:rsidRPr="005C588D" w:rsidRDefault="005C588D" w:rsidP="005C588D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standard, e.g.:</w:t>
            </w:r>
          </w:p>
          <w:p w14:paraId="1AE82F61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ICH guideline Q3C(R8) Impurities: Guideline for Residual </w:t>
            </w:r>
            <w:proofErr w:type="gramStart"/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Solvents</w:t>
            </w:r>
            <w:r w:rsidRPr="005C588D">
              <w:rPr>
                <w:rFonts w:ascii="Arial" w:hAnsi="Arial" w:cs="Arial"/>
                <w:color w:val="305DA1" w:themeColor="accent3" w:themeShade="80"/>
              </w:rPr>
              <w:t>;</w:t>
            </w:r>
            <w:proofErr w:type="gramEnd"/>
          </w:p>
          <w:p w14:paraId="62538116" w14:textId="130AA853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</w:t>
            </w: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 SC IV D. Residual solvents (Ph. Eur. general texts 5.4)</w:t>
            </w:r>
          </w:p>
        </w:tc>
      </w:tr>
      <w:tr w:rsidR="005C588D" w:rsidRPr="00675951" w14:paraId="119189D1" w14:textId="77777777" w:rsidTr="007B5E37">
        <w:tc>
          <w:tcPr>
            <w:tcW w:w="8779" w:type="dxa"/>
            <w:gridSpan w:val="3"/>
            <w:shd w:val="clear" w:color="auto" w:fill="B8CCEA"/>
          </w:tcPr>
          <w:p w14:paraId="5AC34DEE" w14:textId="77777777" w:rsidR="005C588D" w:rsidRPr="00675951" w:rsidRDefault="005C588D" w:rsidP="005C588D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Elemental</w:t>
            </w:r>
            <w:r w:rsidRPr="00675951">
              <w:rPr>
                <w:rFonts w:ascii="Arial" w:hAnsi="Arial" w:cs="Arial"/>
                <w:b/>
                <w:color w:val="333F48"/>
              </w:rPr>
              <w:t xml:space="preserve"> impurities</w:t>
            </w:r>
          </w:p>
        </w:tc>
      </w:tr>
      <w:tr w:rsidR="005C588D" w:rsidRPr="00675951" w14:paraId="656687E2" w14:textId="77777777" w:rsidTr="005C588D">
        <w:tc>
          <w:tcPr>
            <w:tcW w:w="3109" w:type="dxa"/>
          </w:tcPr>
          <w:p w14:paraId="1199E47F" w14:textId="77777777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Total heavy metals </w:t>
            </w:r>
          </w:p>
          <w:p w14:paraId="2836D152" w14:textId="57DF8DF7" w:rsidR="005C588D" w:rsidRPr="005C588D" w:rsidRDefault="005C588D" w:rsidP="005C588D">
            <w:pPr>
              <w:keepNext w:val="0"/>
              <w:rPr>
                <w:rFonts w:ascii="Arial" w:hAnsi="Arial" w:cs="Arial"/>
                <w:b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Limits for specific metals or non-metals, such as: lead, cadmium, mercury, arsenic</w:t>
            </w:r>
          </w:p>
        </w:tc>
        <w:tc>
          <w:tcPr>
            <w:tcW w:w="3118" w:type="dxa"/>
          </w:tcPr>
          <w:p w14:paraId="127976AE" w14:textId="77777777" w:rsid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Elemental Impurities-Procedures (USP-NF &lt;233&gt;)</w:t>
            </w:r>
          </w:p>
          <w:p w14:paraId="5A090384" w14:textId="43FE6BC6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 Appendix VII Limit tests (Ph. Eur. 2.4.8)</w:t>
            </w:r>
          </w:p>
        </w:tc>
        <w:tc>
          <w:tcPr>
            <w:tcW w:w="2552" w:type="dxa"/>
          </w:tcPr>
          <w:p w14:paraId="2795CD35" w14:textId="77777777" w:rsidR="005C588D" w:rsidRPr="005C588D" w:rsidRDefault="005C588D" w:rsidP="005C588D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standard, e.g.:</w:t>
            </w:r>
          </w:p>
          <w:p w14:paraId="38EE36C2" w14:textId="77777777" w:rsidR="005C588D" w:rsidRPr="005C588D" w:rsidRDefault="005C588D" w:rsidP="005C588D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5C588D">
              <w:rPr>
                <w:rFonts w:ascii="Arial" w:hAnsi="Arial" w:cs="Arial"/>
                <w:color w:val="305DA1" w:themeColor="accent3" w:themeShade="80"/>
              </w:rPr>
              <w:t>ICH Q3D (R1) Elemental impurities</w:t>
            </w:r>
          </w:p>
          <w:p w14:paraId="1A3459D2" w14:textId="2719EA1B" w:rsidR="005C588D" w:rsidRPr="005C588D" w:rsidRDefault="005C588D" w:rsidP="005C588D">
            <w:pPr>
              <w:keepNext w:val="0"/>
              <w:rPr>
                <w:rFonts w:ascii="Arial" w:hAnsi="Arial" w:cs="Arial"/>
                <w:b/>
                <w:color w:val="305DA1" w:themeColor="accent3" w:themeShade="80"/>
              </w:rPr>
            </w:pPr>
          </w:p>
        </w:tc>
      </w:tr>
      <w:tr w:rsidR="00675951" w:rsidRPr="00675951" w14:paraId="5C073C77" w14:textId="77777777" w:rsidTr="00675951">
        <w:tc>
          <w:tcPr>
            <w:tcW w:w="8779" w:type="dxa"/>
            <w:gridSpan w:val="3"/>
            <w:shd w:val="clear" w:color="auto" w:fill="B8CCEA"/>
          </w:tcPr>
          <w:p w14:paraId="085FBDF6" w14:textId="3976E70D" w:rsidR="00675951" w:rsidRPr="00675951" w:rsidRDefault="005C588D" w:rsidP="005C588D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color w:val="333F48"/>
              </w:rPr>
              <w:t xml:space="preserve">Pesticide residues and environmental contaminants </w:t>
            </w:r>
            <w:r>
              <w:rPr>
                <w:rFonts w:ascii="Arial" w:hAnsi="Arial" w:cs="Arial"/>
                <w:bCs/>
                <w:color w:val="333F48"/>
              </w:rPr>
              <w:t>(including agricultural and veterinary substances)</w:t>
            </w:r>
          </w:p>
        </w:tc>
      </w:tr>
      <w:tr w:rsidR="005C588D" w:rsidRPr="00675951" w14:paraId="089573D3" w14:textId="77777777" w:rsidTr="00C86F43">
        <w:trPr>
          <w:cantSplit/>
        </w:trPr>
        <w:tc>
          <w:tcPr>
            <w:tcW w:w="3109" w:type="dxa"/>
          </w:tcPr>
          <w:p w14:paraId="59F776D4" w14:textId="77777777" w:rsidR="005C588D" w:rsidRPr="005C588D" w:rsidRDefault="005C588D" w:rsidP="005C588D">
            <w:pPr>
              <w:keepNext w:val="0"/>
              <w:spacing w:before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Pesticide residues</w:t>
            </w:r>
          </w:p>
          <w:p w14:paraId="60FDE9A4" w14:textId="059694D6" w:rsidR="005C588D" w:rsidRPr="005C588D" w:rsidRDefault="005C588D" w:rsidP="005C588D">
            <w:pPr>
              <w:keepNext w:val="0"/>
              <w:spacing w:before="0" w:after="12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In addition, state any additional residue limits that may be relevant such as </w:t>
            </w:r>
            <w:r w:rsidRPr="005C588D">
              <w:rPr>
                <w:rFonts w:ascii="Arial" w:hAnsi="Arial" w:cs="Arial"/>
                <w:color w:val="305DA1" w:themeColor="accent3" w:themeShade="80"/>
                <w:szCs w:val="22"/>
              </w:rPr>
              <w:t>antibiotic residues</w:t>
            </w:r>
          </w:p>
        </w:tc>
        <w:tc>
          <w:tcPr>
            <w:tcW w:w="3118" w:type="dxa"/>
          </w:tcPr>
          <w:p w14:paraId="797DE1F4" w14:textId="1993A0D7" w:rsidR="005C588D" w:rsidRPr="005C588D" w:rsidRDefault="005C588D" w:rsidP="005C588D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</w:rPr>
              <w:t>Appendix XI L, Pesticide residues (Ph. Eur. method 2.8.13)</w:t>
            </w:r>
          </w:p>
        </w:tc>
        <w:tc>
          <w:tcPr>
            <w:tcW w:w="2552" w:type="dxa"/>
          </w:tcPr>
          <w:p w14:paraId="6D5247B2" w14:textId="165C7071" w:rsidR="005C588D" w:rsidRPr="005C588D" w:rsidRDefault="005C588D" w:rsidP="005C588D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</w:rPr>
              <w:t>Limits to comply with applicable standard, e.g.: Appendix XI L, Pesticide residues (Ph. Eur. method 2.8.13)</w:t>
            </w:r>
          </w:p>
        </w:tc>
      </w:tr>
      <w:tr w:rsidR="005C588D" w:rsidRPr="00675951" w14:paraId="3B8214A1" w14:textId="77777777" w:rsidTr="007B5E37">
        <w:tc>
          <w:tcPr>
            <w:tcW w:w="8779" w:type="dxa"/>
            <w:gridSpan w:val="3"/>
            <w:shd w:val="clear" w:color="auto" w:fill="B8CCEA"/>
          </w:tcPr>
          <w:p w14:paraId="0101C227" w14:textId="3B188DE1" w:rsidR="005C588D" w:rsidRPr="00675951" w:rsidRDefault="005C588D" w:rsidP="007B5E37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bCs/>
                <w:color w:val="333F48"/>
              </w:rPr>
              <w:lastRenderedPageBreak/>
              <w:t>Other organic or inorganic impurities or toxins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</w:t>
            </w:r>
          </w:p>
        </w:tc>
      </w:tr>
      <w:tr w:rsidR="005C588D" w:rsidRPr="00675951" w14:paraId="3CFB5439" w14:textId="77777777" w:rsidTr="00C86F43">
        <w:trPr>
          <w:cantSplit/>
        </w:trPr>
        <w:tc>
          <w:tcPr>
            <w:tcW w:w="3109" w:type="dxa"/>
          </w:tcPr>
          <w:p w14:paraId="2B680758" w14:textId="77777777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Identified degradation products or impurities arising from manufacturing or storage.</w:t>
            </w:r>
          </w:p>
          <w:p w14:paraId="50EE7D94" w14:textId="77777777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Specific substances that are assayed, e.g.: </w:t>
            </w:r>
          </w:p>
          <w:p w14:paraId="685482F6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Dioxins</w:t>
            </w:r>
          </w:p>
          <w:p w14:paraId="0D30FC4D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Polychlorinated biphenyls</w:t>
            </w:r>
          </w:p>
          <w:p w14:paraId="2B4BBCC9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Mycotoxins</w:t>
            </w:r>
          </w:p>
          <w:p w14:paraId="1396484F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Aflatoxins</w:t>
            </w:r>
          </w:p>
          <w:p w14:paraId="0760B7A6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Peroxides</w:t>
            </w:r>
          </w:p>
          <w:p w14:paraId="71F2B855" w14:textId="77777777" w:rsid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Anisidine value</w:t>
            </w:r>
          </w:p>
          <w:p w14:paraId="329F396D" w14:textId="0CD56790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Unsaponifiable</w:t>
            </w:r>
            <w:r w:rsidRPr="005C588D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 matter</w:t>
            </w:r>
          </w:p>
        </w:tc>
        <w:tc>
          <w:tcPr>
            <w:tcW w:w="3118" w:type="dxa"/>
          </w:tcPr>
          <w:p w14:paraId="6E1DBD47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Fish Oil, Rich in Omega-3-Acids (Ph. Eur. 1912)</w:t>
            </w:r>
          </w:p>
          <w:p w14:paraId="05F34A60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 Appendices:</w:t>
            </w:r>
          </w:p>
          <w:p w14:paraId="617908D5" w14:textId="77777777" w:rsidR="005C588D" w:rsidRPr="005C588D" w:rsidRDefault="005C588D" w:rsidP="005C588D">
            <w:pPr>
              <w:pStyle w:val="Heading1"/>
              <w:numPr>
                <w:ilvl w:val="0"/>
                <w:numId w:val="44"/>
              </w:numPr>
              <w:spacing w:before="0" w:after="0" w:line="240" w:lineRule="auto"/>
              <w:ind w:left="336" w:hanging="28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5C588D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>Anisidine value (2.5.36)</w:t>
            </w:r>
          </w:p>
          <w:p w14:paraId="0AE862C9" w14:textId="77777777" w:rsidR="005C588D" w:rsidRPr="005C588D" w:rsidRDefault="005C588D" w:rsidP="005C588D">
            <w:pPr>
              <w:pStyle w:val="Heading1"/>
              <w:numPr>
                <w:ilvl w:val="0"/>
                <w:numId w:val="44"/>
              </w:numPr>
              <w:spacing w:before="0" w:after="0" w:line="240" w:lineRule="auto"/>
              <w:ind w:left="336" w:hanging="28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5C588D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>Peroxide value (2.5.5)</w:t>
            </w:r>
          </w:p>
          <w:p w14:paraId="216AD048" w14:textId="77D3942C" w:rsidR="005C588D" w:rsidRPr="005C588D" w:rsidRDefault="005C588D" w:rsidP="005C588D">
            <w:pPr>
              <w:pStyle w:val="Heading1"/>
              <w:numPr>
                <w:ilvl w:val="0"/>
                <w:numId w:val="44"/>
              </w:numPr>
              <w:spacing w:before="0" w:after="0" w:line="240" w:lineRule="auto"/>
              <w:ind w:left="336" w:hanging="28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5C588D"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val="en"/>
              </w:rPr>
              <w:t>Unsaponifiable matter</w:t>
            </w:r>
            <w:r w:rsidRPr="005C588D">
              <w:rPr>
                <w:rStyle w:val="referenceheading2"/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val="en"/>
              </w:rPr>
              <w:t xml:space="preserve"> (</w:t>
            </w:r>
            <w:r w:rsidRPr="005C588D">
              <w:rPr>
                <w:rStyle w:val="referenceheading2"/>
                <w:rFonts w:ascii="Arial" w:hAnsi="Arial" w:cs="Arial"/>
                <w:b w:val="0"/>
                <w:bCs/>
                <w:color w:val="305DA1" w:themeColor="accent3" w:themeShade="80"/>
                <w:lang w:val="en"/>
              </w:rPr>
              <w:t>2.5.7)</w:t>
            </w:r>
          </w:p>
        </w:tc>
        <w:tc>
          <w:tcPr>
            <w:tcW w:w="2552" w:type="dxa"/>
          </w:tcPr>
          <w:p w14:paraId="19C53127" w14:textId="7F53520A" w:rsidR="005C588D" w:rsidRPr="005C588D" w:rsidRDefault="005C588D" w:rsidP="005C588D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Limits to comply with applicable standards, e.g.: </w:t>
            </w: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Commission Regulation (EC) No 1881/2006 (Commission of the European Communities, 2006)</w:t>
            </w: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 xml:space="preserve"> </w:t>
            </w:r>
          </w:p>
        </w:tc>
      </w:tr>
      <w:tr w:rsidR="000D1459" w:rsidRPr="00675951" w14:paraId="4E9E69EE" w14:textId="77777777" w:rsidTr="007B5E37">
        <w:tc>
          <w:tcPr>
            <w:tcW w:w="8779" w:type="dxa"/>
            <w:gridSpan w:val="3"/>
            <w:shd w:val="clear" w:color="auto" w:fill="B8CCEA"/>
          </w:tcPr>
          <w:p w14:paraId="12B1EB59" w14:textId="34FF4FC6" w:rsidR="000D1459" w:rsidRPr="00675951" w:rsidRDefault="000D1459" w:rsidP="007B5E37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bCs/>
                <w:color w:val="333F48"/>
              </w:rPr>
              <w:t>Microbial contaminants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</w:t>
            </w:r>
          </w:p>
        </w:tc>
      </w:tr>
      <w:tr w:rsidR="005C588D" w:rsidRPr="00675951" w14:paraId="6E9567A9" w14:textId="77777777" w:rsidTr="00C86F43">
        <w:trPr>
          <w:cantSplit/>
        </w:trPr>
        <w:tc>
          <w:tcPr>
            <w:tcW w:w="3109" w:type="dxa"/>
          </w:tcPr>
          <w:p w14:paraId="54BDD986" w14:textId="7FA49C45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bookmarkStart w:id="5" w:name="_Hlk111102063"/>
            <w:r w:rsidRPr="005C588D">
              <w:rPr>
                <w:rFonts w:ascii="Arial" w:hAnsi="Arial" w:cs="Arial"/>
                <w:bCs/>
                <w:color w:val="305DA1" w:themeColor="accent3" w:themeShade="80"/>
              </w:rPr>
              <w:t>Appendix XVI D. Microbiological Quality of Non-sterile Pharmaceutical Preparations and Substances for Pharmaceutical Use (Ph. Eur. general text 5.1.4)</w:t>
            </w:r>
            <w:r w:rsidRPr="005C588D" w:rsidDel="004C29D4">
              <w:rPr>
                <w:rFonts w:ascii="Arial" w:hAnsi="Arial" w:cs="Arial"/>
                <w:bCs/>
                <w:color w:val="305DA1" w:themeColor="accent3" w:themeShade="80"/>
              </w:rPr>
              <w:t xml:space="preserve"> </w:t>
            </w:r>
            <w:bookmarkEnd w:id="5"/>
          </w:p>
        </w:tc>
        <w:tc>
          <w:tcPr>
            <w:tcW w:w="3118" w:type="dxa"/>
          </w:tcPr>
          <w:p w14:paraId="0D64BA20" w14:textId="77777777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Microbial enumeration tests (USP-NF &lt;2021&gt;)</w:t>
            </w:r>
          </w:p>
          <w:p w14:paraId="124ECE3D" w14:textId="05A195B9" w:rsidR="005C588D" w:rsidRPr="005C588D" w:rsidRDefault="005C588D" w:rsidP="005C588D">
            <w:pPr>
              <w:pStyle w:val="ListParagraph"/>
              <w:numPr>
                <w:ilvl w:val="0"/>
                <w:numId w:val="43"/>
              </w:numPr>
              <w:spacing w:before="0" w:after="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Appendix XVI B. Microbiological</w:t>
            </w:r>
            <w:r w:rsidRPr="005C588D">
              <w:rPr>
                <w:rFonts w:ascii="Arial" w:hAnsi="Arial" w:cs="Arial"/>
                <w:bCs/>
                <w:color w:val="305DA1" w:themeColor="accent3" w:themeShade="80"/>
              </w:rPr>
              <w:t xml:space="preserve"> examination of non-sterile products, Ph. Eur. general chapter 2.6.13</w:t>
            </w:r>
          </w:p>
        </w:tc>
        <w:tc>
          <w:tcPr>
            <w:tcW w:w="2552" w:type="dxa"/>
          </w:tcPr>
          <w:p w14:paraId="744AA47E" w14:textId="6285118B" w:rsidR="005C588D" w:rsidRPr="005C588D" w:rsidRDefault="005C588D" w:rsidP="005C588D">
            <w:pPr>
              <w:keepNext w:val="0"/>
              <w:spacing w:before="0" w:after="0"/>
              <w:rPr>
                <w:rFonts w:ascii="Arial" w:hAnsi="Arial" w:cs="Arial"/>
                <w:bCs/>
                <w:color w:val="305DA1" w:themeColor="accent3" w:themeShade="80"/>
              </w:rPr>
            </w:pPr>
            <w:r w:rsidRPr="005C588D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Limits to comply with applicable standards, e.g.: </w:t>
            </w:r>
            <w:r w:rsidRPr="005C588D">
              <w:rPr>
                <w:rFonts w:ascii="Arial" w:hAnsi="Arial" w:cs="Arial"/>
                <w:bCs/>
                <w:color w:val="305DA1" w:themeColor="accent3" w:themeShade="80"/>
              </w:rPr>
              <w:t>Appendix XVI D. Microbiological Quality of Non-sterile Pharmaceutical Preparations and Substances for Pharmaceutical Use (Ph. Eur. general texts 5.1.4)</w:t>
            </w:r>
          </w:p>
        </w:tc>
      </w:tr>
    </w:tbl>
    <w:p w14:paraId="2FB09611" w14:textId="77777777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Footnotes</w:t>
      </w:r>
    </w:p>
    <w:p w14:paraId="2479D242" w14:textId="77777777" w:rsidR="00675951" w:rsidRPr="00675951" w:rsidRDefault="00675951" w:rsidP="00675951">
      <w:pPr>
        <w:rPr>
          <w:rFonts w:ascii="Arial" w:hAnsi="Arial" w:cs="Arial"/>
          <w:iCs/>
          <w:color w:val="305DA1" w:themeColor="accent3" w:themeShade="80"/>
        </w:rPr>
      </w:pPr>
      <w:r w:rsidRPr="00675951">
        <w:rPr>
          <w:rFonts w:ascii="Arial" w:hAnsi="Arial" w:cs="Arial"/>
          <w:iCs/>
          <w:color w:val="305DA1" w:themeColor="accent3" w:themeShade="80"/>
        </w:rPr>
        <w:t>Where non pharmacopeial/proprietary methods are used, include a list and summary of analytical method details against each proprietary method here.</w:t>
      </w:r>
    </w:p>
    <w:p w14:paraId="7083FDC6" w14:textId="3EFA76E0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Abbreviations</w:t>
      </w:r>
    </w:p>
    <w:p w14:paraId="3EB3538D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BP = British Pharmacopoeia</w:t>
      </w:r>
    </w:p>
    <w:p w14:paraId="009921B1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EMA = European Medicines Agency</w:t>
      </w:r>
    </w:p>
    <w:p w14:paraId="0DAE3222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GC = Gas chromatography</w:t>
      </w:r>
    </w:p>
    <w:p w14:paraId="6EC609FB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b/>
          <w:bCs/>
          <w:color w:val="305DA1" w:themeColor="accent3" w:themeShade="80"/>
          <w:lang w:eastAsia="en-AU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HPLC = High-pressure liquid chromatography</w:t>
      </w:r>
    </w:p>
    <w:p w14:paraId="3E79E067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ICH = International Conference on Harmonisation of Technical Requirements for Registration of Pharmaceuticals for Human Use</w:t>
      </w:r>
    </w:p>
    <w:p w14:paraId="64A2952D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IR = Infrared spectrophotometry</w:t>
      </w:r>
    </w:p>
    <w:p w14:paraId="4C41BD4F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NMR = Nuclear magnetic resonance</w:t>
      </w:r>
    </w:p>
    <w:p w14:paraId="11085100" w14:textId="77777777" w:rsidR="005C588D" w:rsidRPr="00136D86" w:rsidRDefault="005C588D" w:rsidP="005C588D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lang w:eastAsia="en-US"/>
        </w:rPr>
        <w:t>Ph. Eur. = European Pharmacopoeia</w:t>
      </w:r>
    </w:p>
    <w:tbl>
      <w:tblPr>
        <w:tblStyle w:val="TableTGAblack"/>
        <w:tblpPr w:leftFromText="180" w:rightFromText="180" w:vertAnchor="text" w:horzAnchor="margin" w:tblpY="370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701"/>
      </w:tblGrid>
      <w:tr w:rsidR="00082DD5" w:rsidRPr="00675951" w14:paraId="2474E01D" w14:textId="77777777" w:rsidTr="00082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</w:tcPr>
          <w:p w14:paraId="2A5F779D" w14:textId="77777777" w:rsidR="00082DD5" w:rsidRPr="00675951" w:rsidRDefault="00082DD5" w:rsidP="00082DD5">
            <w:pPr>
              <w:keepLines/>
              <w:spacing w:after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Version</w:t>
            </w:r>
          </w:p>
        </w:tc>
        <w:tc>
          <w:tcPr>
            <w:tcW w:w="5528" w:type="dxa"/>
          </w:tcPr>
          <w:p w14:paraId="2B7C85B2" w14:textId="77777777" w:rsidR="00082DD5" w:rsidRPr="00675951" w:rsidRDefault="00082DD5" w:rsidP="00082DD5">
            <w:pPr>
              <w:keepLines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Description of change (for official use only)</w:t>
            </w:r>
          </w:p>
        </w:tc>
        <w:tc>
          <w:tcPr>
            <w:tcW w:w="1701" w:type="dxa"/>
          </w:tcPr>
          <w:p w14:paraId="6321D853" w14:textId="77777777" w:rsidR="00082DD5" w:rsidRPr="00675951" w:rsidRDefault="00082DD5" w:rsidP="00082DD5">
            <w:pPr>
              <w:keepLines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Effective date</w:t>
            </w:r>
          </w:p>
        </w:tc>
      </w:tr>
      <w:tr w:rsidR="00082DD5" w:rsidRPr="00675951" w14:paraId="55061366" w14:textId="77777777" w:rsidTr="00082DD5">
        <w:trPr>
          <w:cantSplit w:val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C68AF5" w14:textId="77777777" w:rsidR="00082DD5" w:rsidRPr="00675951" w:rsidRDefault="00082DD5" w:rsidP="00082DD5">
            <w:pPr>
              <w:keepNext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5CDAB5B" w14:textId="77777777" w:rsidR="00082DD5" w:rsidRPr="00675951" w:rsidRDefault="00082DD5" w:rsidP="00082DD5">
            <w:pPr>
              <w:keepNext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336713" w14:textId="77777777" w:rsidR="00082DD5" w:rsidRPr="00675951" w:rsidRDefault="00082DD5" w:rsidP="00082DD5">
            <w:pPr>
              <w:keepNext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9A4637" w14:textId="0718238D" w:rsidR="000D1459" w:rsidRPr="00136D86" w:rsidRDefault="005C588D" w:rsidP="005C588D">
      <w:pPr>
        <w:keepNext w:val="0"/>
        <w:spacing w:before="0" w:after="12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136D86"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  <w:t>USP-NF = United States Pharmacopeia and the National Formulary</w:t>
      </w:r>
    </w:p>
    <w:p w14:paraId="1EC59B98" w14:textId="77777777" w:rsidR="00082DD5" w:rsidRPr="00082DD5" w:rsidRDefault="00082DD5" w:rsidP="00082DD5">
      <w:pPr>
        <w:rPr>
          <w:rFonts w:ascii="Arial" w:hAnsi="Arial" w:cs="Arial"/>
        </w:rPr>
      </w:pPr>
    </w:p>
    <w:sectPr w:rsidR="00082DD5" w:rsidRPr="00082DD5" w:rsidSect="00796F9C">
      <w:footerReference w:type="default" r:id="rId9"/>
      <w:footerReference w:type="first" r:id="rId10"/>
      <w:pgSz w:w="11906" w:h="16838" w:code="9"/>
      <w:pgMar w:top="851" w:right="1701" w:bottom="1361" w:left="1701" w:header="425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F486" w14:textId="77777777" w:rsidR="00321B09" w:rsidRDefault="00321B09" w:rsidP="00C40A36">
      <w:r>
        <w:separator/>
      </w:r>
    </w:p>
  </w:endnote>
  <w:endnote w:type="continuationSeparator" w:id="0">
    <w:p w14:paraId="1FB2F14E" w14:textId="77777777" w:rsidR="00321B09" w:rsidRDefault="00321B09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6CC14776" w14:textId="77777777" w:rsidTr="007B5E37">
      <w:tc>
        <w:tcPr>
          <w:tcW w:w="6379" w:type="dxa"/>
        </w:tcPr>
        <w:p w14:paraId="23762F13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184418862"/>
            <w:docPartObj>
              <w:docPartGallery w:val="Page Numbers (Top of Page)"/>
              <w:docPartUnique/>
            </w:docPartObj>
          </w:sdtPr>
          <w:sdtEndPr/>
          <w:sdtContent>
            <w:p w14:paraId="07F8BEED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737D74BC" w14:textId="77777777" w:rsidR="00271BB2" w:rsidRPr="00D60D51" w:rsidRDefault="00271BB2" w:rsidP="00FC520A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0C0753B7" w14:textId="77777777" w:rsidTr="005C6096">
      <w:tc>
        <w:tcPr>
          <w:tcW w:w="6379" w:type="dxa"/>
        </w:tcPr>
        <w:p w14:paraId="36974240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-175583436"/>
            <w:docPartObj>
              <w:docPartGallery w:val="Page Numbers (Top of Page)"/>
              <w:docPartUnique/>
            </w:docPartObj>
          </w:sdtPr>
          <w:sdtEndPr/>
          <w:sdtContent>
            <w:p w14:paraId="63D5616C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572DA119" w14:textId="77777777" w:rsidR="00271BB2" w:rsidRPr="0068201D" w:rsidRDefault="00271BB2" w:rsidP="005C6096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3B04" w14:textId="77777777" w:rsidR="00321B09" w:rsidRDefault="00321B09" w:rsidP="00C40A36">
      <w:r>
        <w:separator/>
      </w:r>
    </w:p>
  </w:footnote>
  <w:footnote w:type="continuationSeparator" w:id="0">
    <w:p w14:paraId="1AE2AFA5" w14:textId="77777777" w:rsidR="00321B09" w:rsidRDefault="00321B09" w:rsidP="00C40A36">
      <w:r>
        <w:continuationSeparator/>
      </w:r>
    </w:p>
  </w:footnote>
  <w:footnote w:id="1">
    <w:p w14:paraId="59C21F3A" w14:textId="77777777" w:rsidR="00675951" w:rsidRPr="00D60D51" w:rsidRDefault="00675951" w:rsidP="00675951">
      <w:pPr>
        <w:pStyle w:val="FootnoteText"/>
        <w:rPr>
          <w:rFonts w:ascii="Arial" w:hAnsi="Arial" w:cs="Arial"/>
        </w:rPr>
      </w:pPr>
      <w:r w:rsidRPr="00D60D51">
        <w:rPr>
          <w:rStyle w:val="FootnoteReference"/>
          <w:rFonts w:ascii="Arial" w:hAnsi="Arial" w:cs="Arial"/>
          <w:color w:val="305DA1" w:themeColor="accent3" w:themeShade="80"/>
        </w:rPr>
        <w:footnoteRef/>
      </w:r>
      <w:r w:rsidRPr="00D60D51">
        <w:rPr>
          <w:rFonts w:ascii="Arial" w:hAnsi="Arial" w:cs="Arial"/>
          <w:iCs/>
          <w:color w:val="305DA1" w:themeColor="accent3" w:themeShade="80"/>
          <w:szCs w:val="22"/>
          <w:lang w:eastAsia="en-US"/>
        </w:rPr>
        <w:t xml:space="preserve"> Where limits exceed recommended thresholds of pharmacopeial standards and/or ICH/EMA guidelines, limits should be justified in the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2538D"/>
    <w:multiLevelType w:val="hybridMultilevel"/>
    <w:tmpl w:val="0BDA0114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063"/>
    <w:multiLevelType w:val="hybridMultilevel"/>
    <w:tmpl w:val="05560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31A5"/>
    <w:multiLevelType w:val="hybridMultilevel"/>
    <w:tmpl w:val="A216C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7" w15:restartNumberingAfterBreak="0">
    <w:nsid w:val="133624AD"/>
    <w:multiLevelType w:val="hybridMultilevel"/>
    <w:tmpl w:val="85E064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E1597A"/>
    <w:multiLevelType w:val="hybridMultilevel"/>
    <w:tmpl w:val="5338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74347"/>
    <w:multiLevelType w:val="hybridMultilevel"/>
    <w:tmpl w:val="EE96A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1F2C"/>
    <w:multiLevelType w:val="hybridMultilevel"/>
    <w:tmpl w:val="130AA66C"/>
    <w:lvl w:ilvl="0" w:tplc="1FD45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27E05"/>
    <w:multiLevelType w:val="hybridMultilevel"/>
    <w:tmpl w:val="B6D8075A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5B2B"/>
    <w:multiLevelType w:val="hybridMultilevel"/>
    <w:tmpl w:val="771C0938"/>
    <w:lvl w:ilvl="0" w:tplc="5AEEE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1396C"/>
    <w:multiLevelType w:val="hybridMultilevel"/>
    <w:tmpl w:val="2F321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13EC"/>
    <w:multiLevelType w:val="hybridMultilevel"/>
    <w:tmpl w:val="6598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CAB"/>
    <w:multiLevelType w:val="hybridMultilevel"/>
    <w:tmpl w:val="DEF04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410E"/>
    <w:multiLevelType w:val="hybridMultilevel"/>
    <w:tmpl w:val="F2F0A1B0"/>
    <w:lvl w:ilvl="0" w:tplc="5AEEEBFE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0">
    <w:nsid w:val="321C2095"/>
    <w:multiLevelType w:val="hybridMultilevel"/>
    <w:tmpl w:val="67BAA6F2"/>
    <w:lvl w:ilvl="0" w:tplc="34BEA35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5C14"/>
    <w:multiLevelType w:val="hybridMultilevel"/>
    <w:tmpl w:val="4B705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01178"/>
    <w:multiLevelType w:val="hybridMultilevel"/>
    <w:tmpl w:val="87AEB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64817"/>
    <w:multiLevelType w:val="hybridMultilevel"/>
    <w:tmpl w:val="AE4052D0"/>
    <w:lvl w:ilvl="0" w:tplc="48EE53D4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2" w15:restartNumberingAfterBreak="0">
    <w:nsid w:val="493C37D4"/>
    <w:multiLevelType w:val="hybridMultilevel"/>
    <w:tmpl w:val="1E48F3B0"/>
    <w:lvl w:ilvl="0" w:tplc="5AEEE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5A4D"/>
    <w:multiLevelType w:val="hybridMultilevel"/>
    <w:tmpl w:val="2552F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5663"/>
    <w:multiLevelType w:val="hybridMultilevel"/>
    <w:tmpl w:val="93DAA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E5A04"/>
    <w:multiLevelType w:val="hybridMultilevel"/>
    <w:tmpl w:val="070C9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60817"/>
    <w:multiLevelType w:val="hybridMultilevel"/>
    <w:tmpl w:val="7EF2B14A"/>
    <w:lvl w:ilvl="0" w:tplc="F1002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17FE3"/>
    <w:multiLevelType w:val="hybridMultilevel"/>
    <w:tmpl w:val="1BBEB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984543"/>
    <w:multiLevelType w:val="hybridMultilevel"/>
    <w:tmpl w:val="9C3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2240B"/>
    <w:multiLevelType w:val="hybridMultilevel"/>
    <w:tmpl w:val="BD4A6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54D06"/>
    <w:multiLevelType w:val="hybridMultilevel"/>
    <w:tmpl w:val="15965DF4"/>
    <w:lvl w:ilvl="0" w:tplc="F21CE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C3E62"/>
    <w:multiLevelType w:val="hybridMultilevel"/>
    <w:tmpl w:val="BFD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8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8"/>
  </w:num>
  <w:num w:numId="13">
    <w:abstractNumId w:val="8"/>
  </w:num>
  <w:num w:numId="14">
    <w:abstractNumId w:val="8"/>
  </w:num>
  <w:num w:numId="15">
    <w:abstractNumId w:val="6"/>
  </w:num>
  <w:num w:numId="16">
    <w:abstractNumId w:val="6"/>
  </w:num>
  <w:num w:numId="17">
    <w:abstractNumId w:val="6"/>
  </w:num>
  <w:num w:numId="18">
    <w:abstractNumId w:val="30"/>
  </w:num>
  <w:num w:numId="19">
    <w:abstractNumId w:val="23"/>
  </w:num>
  <w:num w:numId="20">
    <w:abstractNumId w:val="17"/>
  </w:num>
  <w:num w:numId="21">
    <w:abstractNumId w:val="13"/>
  </w:num>
  <w:num w:numId="22">
    <w:abstractNumId w:val="22"/>
  </w:num>
  <w:num w:numId="23">
    <w:abstractNumId w:val="20"/>
  </w:num>
  <w:num w:numId="24">
    <w:abstractNumId w:val="27"/>
  </w:num>
  <w:num w:numId="25">
    <w:abstractNumId w:val="9"/>
  </w:num>
  <w:num w:numId="26">
    <w:abstractNumId w:val="24"/>
  </w:num>
  <w:num w:numId="27">
    <w:abstractNumId w:val="3"/>
  </w:num>
  <w:num w:numId="28">
    <w:abstractNumId w:val="26"/>
  </w:num>
  <w:num w:numId="29">
    <w:abstractNumId w:val="16"/>
  </w:num>
  <w:num w:numId="30">
    <w:abstractNumId w:val="10"/>
  </w:num>
  <w:num w:numId="31">
    <w:abstractNumId w:val="12"/>
  </w:num>
  <w:num w:numId="32">
    <w:abstractNumId w:val="14"/>
  </w:num>
  <w:num w:numId="33">
    <w:abstractNumId w:val="11"/>
  </w:num>
  <w:num w:numId="34">
    <w:abstractNumId w:val="25"/>
  </w:num>
  <w:num w:numId="35">
    <w:abstractNumId w:val="15"/>
  </w:num>
  <w:num w:numId="36">
    <w:abstractNumId w:val="19"/>
  </w:num>
  <w:num w:numId="37">
    <w:abstractNumId w:val="31"/>
  </w:num>
  <w:num w:numId="38">
    <w:abstractNumId w:val="4"/>
  </w:num>
  <w:num w:numId="39">
    <w:abstractNumId w:val="5"/>
  </w:num>
  <w:num w:numId="40">
    <w:abstractNumId w:val="28"/>
  </w:num>
  <w:num w:numId="41">
    <w:abstractNumId w:val="7"/>
  </w:num>
  <w:num w:numId="42">
    <w:abstractNumId w:val="29"/>
  </w:num>
  <w:num w:numId="43">
    <w:abstractNumId w:val="2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1"/>
    <w:rsid w:val="00002031"/>
    <w:rsid w:val="00004734"/>
    <w:rsid w:val="00006B22"/>
    <w:rsid w:val="0001276A"/>
    <w:rsid w:val="00017FC2"/>
    <w:rsid w:val="00022A2D"/>
    <w:rsid w:val="00024299"/>
    <w:rsid w:val="000246AE"/>
    <w:rsid w:val="00025C67"/>
    <w:rsid w:val="000521FD"/>
    <w:rsid w:val="0005559E"/>
    <w:rsid w:val="00063BBD"/>
    <w:rsid w:val="00077775"/>
    <w:rsid w:val="00082DD5"/>
    <w:rsid w:val="00090471"/>
    <w:rsid w:val="00090B54"/>
    <w:rsid w:val="000A4024"/>
    <w:rsid w:val="000B2651"/>
    <w:rsid w:val="000B3532"/>
    <w:rsid w:val="000B3A75"/>
    <w:rsid w:val="000B7084"/>
    <w:rsid w:val="000C0C48"/>
    <w:rsid w:val="000C1BBB"/>
    <w:rsid w:val="000C295E"/>
    <w:rsid w:val="000C3C09"/>
    <w:rsid w:val="000C4DE7"/>
    <w:rsid w:val="000D1459"/>
    <w:rsid w:val="000D391B"/>
    <w:rsid w:val="000D3D6D"/>
    <w:rsid w:val="000D4FC7"/>
    <w:rsid w:val="000F0BFD"/>
    <w:rsid w:val="000F4869"/>
    <w:rsid w:val="000F5B42"/>
    <w:rsid w:val="000F6E6F"/>
    <w:rsid w:val="001003F2"/>
    <w:rsid w:val="0010601F"/>
    <w:rsid w:val="00110EA5"/>
    <w:rsid w:val="00111E0E"/>
    <w:rsid w:val="00115240"/>
    <w:rsid w:val="00125318"/>
    <w:rsid w:val="00126183"/>
    <w:rsid w:val="001305A2"/>
    <w:rsid w:val="00133238"/>
    <w:rsid w:val="00136D86"/>
    <w:rsid w:val="0014197B"/>
    <w:rsid w:val="001447CD"/>
    <w:rsid w:val="00146F10"/>
    <w:rsid w:val="001516B1"/>
    <w:rsid w:val="00156316"/>
    <w:rsid w:val="00161908"/>
    <w:rsid w:val="00165389"/>
    <w:rsid w:val="001706CD"/>
    <w:rsid w:val="0017526B"/>
    <w:rsid w:val="0017693F"/>
    <w:rsid w:val="0018110E"/>
    <w:rsid w:val="00181684"/>
    <w:rsid w:val="001843C6"/>
    <w:rsid w:val="001850E0"/>
    <w:rsid w:val="001A525F"/>
    <w:rsid w:val="001B09F9"/>
    <w:rsid w:val="001B6448"/>
    <w:rsid w:val="001C1583"/>
    <w:rsid w:val="001D5858"/>
    <w:rsid w:val="001E07CF"/>
    <w:rsid w:val="001E5810"/>
    <w:rsid w:val="001E59F1"/>
    <w:rsid w:val="001F49EB"/>
    <w:rsid w:val="001F6CBA"/>
    <w:rsid w:val="001F7BF8"/>
    <w:rsid w:val="00201D4E"/>
    <w:rsid w:val="00220B8A"/>
    <w:rsid w:val="0022194D"/>
    <w:rsid w:val="002257F3"/>
    <w:rsid w:val="00231436"/>
    <w:rsid w:val="002316FE"/>
    <w:rsid w:val="00232019"/>
    <w:rsid w:val="00233456"/>
    <w:rsid w:val="002339A5"/>
    <w:rsid w:val="00251A47"/>
    <w:rsid w:val="00257848"/>
    <w:rsid w:val="00261EDF"/>
    <w:rsid w:val="0026430C"/>
    <w:rsid w:val="002651A2"/>
    <w:rsid w:val="0027084A"/>
    <w:rsid w:val="00271BB2"/>
    <w:rsid w:val="00280F95"/>
    <w:rsid w:val="00286434"/>
    <w:rsid w:val="00286C59"/>
    <w:rsid w:val="002942D1"/>
    <w:rsid w:val="002A0556"/>
    <w:rsid w:val="002B1638"/>
    <w:rsid w:val="002C4547"/>
    <w:rsid w:val="002D0354"/>
    <w:rsid w:val="002E4C9A"/>
    <w:rsid w:val="002E4E7C"/>
    <w:rsid w:val="002E550D"/>
    <w:rsid w:val="002F11F8"/>
    <w:rsid w:val="002F3F56"/>
    <w:rsid w:val="002F44B5"/>
    <w:rsid w:val="00311AC0"/>
    <w:rsid w:val="00321B09"/>
    <w:rsid w:val="00332DCC"/>
    <w:rsid w:val="003521E8"/>
    <w:rsid w:val="003664BF"/>
    <w:rsid w:val="003728F3"/>
    <w:rsid w:val="00375F1A"/>
    <w:rsid w:val="003778AD"/>
    <w:rsid w:val="00387DD0"/>
    <w:rsid w:val="00390900"/>
    <w:rsid w:val="00394C32"/>
    <w:rsid w:val="003B7E39"/>
    <w:rsid w:val="003C0A18"/>
    <w:rsid w:val="003C58DC"/>
    <w:rsid w:val="003D4A72"/>
    <w:rsid w:val="003E3208"/>
    <w:rsid w:val="003E37DF"/>
    <w:rsid w:val="003F0B04"/>
    <w:rsid w:val="0040134E"/>
    <w:rsid w:val="00403BC9"/>
    <w:rsid w:val="00404D7F"/>
    <w:rsid w:val="00432436"/>
    <w:rsid w:val="00440A2D"/>
    <w:rsid w:val="0044337B"/>
    <w:rsid w:val="00443C32"/>
    <w:rsid w:val="004564A7"/>
    <w:rsid w:val="004617BF"/>
    <w:rsid w:val="00466C1D"/>
    <w:rsid w:val="00494E60"/>
    <w:rsid w:val="004B7B76"/>
    <w:rsid w:val="004C5ABB"/>
    <w:rsid w:val="004C6D78"/>
    <w:rsid w:val="004D4103"/>
    <w:rsid w:val="004F0F38"/>
    <w:rsid w:val="004F4C94"/>
    <w:rsid w:val="004F603A"/>
    <w:rsid w:val="00501921"/>
    <w:rsid w:val="00501A05"/>
    <w:rsid w:val="005060C8"/>
    <w:rsid w:val="00530354"/>
    <w:rsid w:val="005434C6"/>
    <w:rsid w:val="00543B39"/>
    <w:rsid w:val="00550096"/>
    <w:rsid w:val="00557FF9"/>
    <w:rsid w:val="00571DA2"/>
    <w:rsid w:val="00576378"/>
    <w:rsid w:val="00577E38"/>
    <w:rsid w:val="0058201A"/>
    <w:rsid w:val="00585322"/>
    <w:rsid w:val="00593AD1"/>
    <w:rsid w:val="005A1131"/>
    <w:rsid w:val="005A3DBA"/>
    <w:rsid w:val="005C5570"/>
    <w:rsid w:val="005C588D"/>
    <w:rsid w:val="005C5E62"/>
    <w:rsid w:val="005C6096"/>
    <w:rsid w:val="005C79A4"/>
    <w:rsid w:val="005D5442"/>
    <w:rsid w:val="0062745C"/>
    <w:rsid w:val="00630352"/>
    <w:rsid w:val="00640FC3"/>
    <w:rsid w:val="00642020"/>
    <w:rsid w:val="0064475A"/>
    <w:rsid w:val="0065337B"/>
    <w:rsid w:val="0065419D"/>
    <w:rsid w:val="006604D8"/>
    <w:rsid w:val="00664A5B"/>
    <w:rsid w:val="00675951"/>
    <w:rsid w:val="00680C08"/>
    <w:rsid w:val="0068201D"/>
    <w:rsid w:val="0068741A"/>
    <w:rsid w:val="006931B1"/>
    <w:rsid w:val="006935E5"/>
    <w:rsid w:val="006A15C0"/>
    <w:rsid w:val="006B3F5D"/>
    <w:rsid w:val="006C116C"/>
    <w:rsid w:val="006C1F3B"/>
    <w:rsid w:val="006C3E2A"/>
    <w:rsid w:val="006C642F"/>
    <w:rsid w:val="006D03E5"/>
    <w:rsid w:val="006D4786"/>
    <w:rsid w:val="006D5D3E"/>
    <w:rsid w:val="006E08B3"/>
    <w:rsid w:val="006E1F61"/>
    <w:rsid w:val="006F19B7"/>
    <w:rsid w:val="006F4785"/>
    <w:rsid w:val="006F572E"/>
    <w:rsid w:val="00703FCD"/>
    <w:rsid w:val="007046D6"/>
    <w:rsid w:val="00705DB0"/>
    <w:rsid w:val="00706AFE"/>
    <w:rsid w:val="00715A03"/>
    <w:rsid w:val="007403DA"/>
    <w:rsid w:val="007417F3"/>
    <w:rsid w:val="0074253D"/>
    <w:rsid w:val="0074429B"/>
    <w:rsid w:val="00745886"/>
    <w:rsid w:val="007477F8"/>
    <w:rsid w:val="007615BC"/>
    <w:rsid w:val="00762F05"/>
    <w:rsid w:val="007652FF"/>
    <w:rsid w:val="0077104D"/>
    <w:rsid w:val="00771329"/>
    <w:rsid w:val="007723B6"/>
    <w:rsid w:val="00773EF7"/>
    <w:rsid w:val="00774E1D"/>
    <w:rsid w:val="0077675A"/>
    <w:rsid w:val="00780355"/>
    <w:rsid w:val="0078393F"/>
    <w:rsid w:val="00785721"/>
    <w:rsid w:val="00793A59"/>
    <w:rsid w:val="007967CF"/>
    <w:rsid w:val="00796F9C"/>
    <w:rsid w:val="007A2162"/>
    <w:rsid w:val="007B0408"/>
    <w:rsid w:val="007C0F3D"/>
    <w:rsid w:val="007C1AF7"/>
    <w:rsid w:val="007C1CB8"/>
    <w:rsid w:val="007D22C0"/>
    <w:rsid w:val="007E6396"/>
    <w:rsid w:val="00821776"/>
    <w:rsid w:val="00826007"/>
    <w:rsid w:val="008321F5"/>
    <w:rsid w:val="00832369"/>
    <w:rsid w:val="00834660"/>
    <w:rsid w:val="00836BC2"/>
    <w:rsid w:val="00846418"/>
    <w:rsid w:val="00855221"/>
    <w:rsid w:val="0085641B"/>
    <w:rsid w:val="00857136"/>
    <w:rsid w:val="00863F02"/>
    <w:rsid w:val="0087502F"/>
    <w:rsid w:val="00875F6F"/>
    <w:rsid w:val="008831B7"/>
    <w:rsid w:val="0089465C"/>
    <w:rsid w:val="00896018"/>
    <w:rsid w:val="008A2B9D"/>
    <w:rsid w:val="008A5E0B"/>
    <w:rsid w:val="008A6D59"/>
    <w:rsid w:val="008B4B03"/>
    <w:rsid w:val="008B596F"/>
    <w:rsid w:val="008C159F"/>
    <w:rsid w:val="008C1623"/>
    <w:rsid w:val="008C51A9"/>
    <w:rsid w:val="008D245E"/>
    <w:rsid w:val="008E367D"/>
    <w:rsid w:val="008F1CCC"/>
    <w:rsid w:val="008F2967"/>
    <w:rsid w:val="008F382A"/>
    <w:rsid w:val="009032D7"/>
    <w:rsid w:val="00920330"/>
    <w:rsid w:val="009219D7"/>
    <w:rsid w:val="00922D53"/>
    <w:rsid w:val="00923B70"/>
    <w:rsid w:val="00925E84"/>
    <w:rsid w:val="00930237"/>
    <w:rsid w:val="00933C60"/>
    <w:rsid w:val="00937DD0"/>
    <w:rsid w:val="00941E4F"/>
    <w:rsid w:val="0094448F"/>
    <w:rsid w:val="00963C08"/>
    <w:rsid w:val="009857B4"/>
    <w:rsid w:val="009A3BBD"/>
    <w:rsid w:val="009A4CED"/>
    <w:rsid w:val="009B1D12"/>
    <w:rsid w:val="009B416B"/>
    <w:rsid w:val="009C2765"/>
    <w:rsid w:val="009C4BD5"/>
    <w:rsid w:val="009D6273"/>
    <w:rsid w:val="009D7B77"/>
    <w:rsid w:val="009E0BB0"/>
    <w:rsid w:val="009E3FBB"/>
    <w:rsid w:val="009F3CA4"/>
    <w:rsid w:val="009F5383"/>
    <w:rsid w:val="00A14DF7"/>
    <w:rsid w:val="00A221FB"/>
    <w:rsid w:val="00A3246D"/>
    <w:rsid w:val="00A3671F"/>
    <w:rsid w:val="00A36FA7"/>
    <w:rsid w:val="00A427AD"/>
    <w:rsid w:val="00A446CC"/>
    <w:rsid w:val="00A475B7"/>
    <w:rsid w:val="00A47AF7"/>
    <w:rsid w:val="00A47C3E"/>
    <w:rsid w:val="00A50226"/>
    <w:rsid w:val="00A60BAD"/>
    <w:rsid w:val="00A73A8D"/>
    <w:rsid w:val="00A9547F"/>
    <w:rsid w:val="00A955A5"/>
    <w:rsid w:val="00AA200F"/>
    <w:rsid w:val="00AC2B40"/>
    <w:rsid w:val="00AC2BB2"/>
    <w:rsid w:val="00AC2C3C"/>
    <w:rsid w:val="00AC7B9E"/>
    <w:rsid w:val="00AE65EB"/>
    <w:rsid w:val="00AE7F88"/>
    <w:rsid w:val="00AF1D94"/>
    <w:rsid w:val="00AF60C5"/>
    <w:rsid w:val="00B009C6"/>
    <w:rsid w:val="00B01548"/>
    <w:rsid w:val="00B21D29"/>
    <w:rsid w:val="00B25034"/>
    <w:rsid w:val="00B33863"/>
    <w:rsid w:val="00B37D17"/>
    <w:rsid w:val="00B40564"/>
    <w:rsid w:val="00B4175E"/>
    <w:rsid w:val="00B43C9A"/>
    <w:rsid w:val="00B472F6"/>
    <w:rsid w:val="00B54C25"/>
    <w:rsid w:val="00B76B91"/>
    <w:rsid w:val="00BC10A6"/>
    <w:rsid w:val="00BC5B75"/>
    <w:rsid w:val="00BC622A"/>
    <w:rsid w:val="00BD211A"/>
    <w:rsid w:val="00BE0A78"/>
    <w:rsid w:val="00BE51A6"/>
    <w:rsid w:val="00BE79F0"/>
    <w:rsid w:val="00BF046D"/>
    <w:rsid w:val="00BF5D04"/>
    <w:rsid w:val="00C008E8"/>
    <w:rsid w:val="00C01315"/>
    <w:rsid w:val="00C06758"/>
    <w:rsid w:val="00C13563"/>
    <w:rsid w:val="00C404A6"/>
    <w:rsid w:val="00C40A36"/>
    <w:rsid w:val="00C44419"/>
    <w:rsid w:val="00C45E7B"/>
    <w:rsid w:val="00C471B1"/>
    <w:rsid w:val="00C53A95"/>
    <w:rsid w:val="00C6316B"/>
    <w:rsid w:val="00C634A9"/>
    <w:rsid w:val="00C772FF"/>
    <w:rsid w:val="00C801AF"/>
    <w:rsid w:val="00C80256"/>
    <w:rsid w:val="00C86F43"/>
    <w:rsid w:val="00CB1C51"/>
    <w:rsid w:val="00CB463B"/>
    <w:rsid w:val="00CB6BC0"/>
    <w:rsid w:val="00CC1B7C"/>
    <w:rsid w:val="00CC32BD"/>
    <w:rsid w:val="00CC727F"/>
    <w:rsid w:val="00CE5BB0"/>
    <w:rsid w:val="00CF15C3"/>
    <w:rsid w:val="00CF2B6F"/>
    <w:rsid w:val="00D017ED"/>
    <w:rsid w:val="00D13405"/>
    <w:rsid w:val="00D153B1"/>
    <w:rsid w:val="00D224FE"/>
    <w:rsid w:val="00D22E51"/>
    <w:rsid w:val="00D31162"/>
    <w:rsid w:val="00D40E12"/>
    <w:rsid w:val="00D41819"/>
    <w:rsid w:val="00D54C12"/>
    <w:rsid w:val="00D60D51"/>
    <w:rsid w:val="00D62853"/>
    <w:rsid w:val="00D6493E"/>
    <w:rsid w:val="00D92470"/>
    <w:rsid w:val="00DA1124"/>
    <w:rsid w:val="00DB7B83"/>
    <w:rsid w:val="00DC3AA6"/>
    <w:rsid w:val="00DD75A3"/>
    <w:rsid w:val="00DE02AE"/>
    <w:rsid w:val="00DE092B"/>
    <w:rsid w:val="00DE6A0C"/>
    <w:rsid w:val="00DF1D7F"/>
    <w:rsid w:val="00E02FB4"/>
    <w:rsid w:val="00E20571"/>
    <w:rsid w:val="00E21651"/>
    <w:rsid w:val="00E235F7"/>
    <w:rsid w:val="00E239D4"/>
    <w:rsid w:val="00E40B22"/>
    <w:rsid w:val="00E4588F"/>
    <w:rsid w:val="00E46DA3"/>
    <w:rsid w:val="00E82C70"/>
    <w:rsid w:val="00EA406B"/>
    <w:rsid w:val="00EA6DF2"/>
    <w:rsid w:val="00EB0798"/>
    <w:rsid w:val="00EB40AD"/>
    <w:rsid w:val="00EB433F"/>
    <w:rsid w:val="00EB586E"/>
    <w:rsid w:val="00EB5FC8"/>
    <w:rsid w:val="00ED5A41"/>
    <w:rsid w:val="00EE583F"/>
    <w:rsid w:val="00F033EC"/>
    <w:rsid w:val="00F04F68"/>
    <w:rsid w:val="00F12670"/>
    <w:rsid w:val="00F13A8C"/>
    <w:rsid w:val="00F14B27"/>
    <w:rsid w:val="00F2410C"/>
    <w:rsid w:val="00F25678"/>
    <w:rsid w:val="00F3148D"/>
    <w:rsid w:val="00F35298"/>
    <w:rsid w:val="00F36B0D"/>
    <w:rsid w:val="00F46D8F"/>
    <w:rsid w:val="00F47E37"/>
    <w:rsid w:val="00F52DF2"/>
    <w:rsid w:val="00F56248"/>
    <w:rsid w:val="00F640B6"/>
    <w:rsid w:val="00F80E40"/>
    <w:rsid w:val="00F95D32"/>
    <w:rsid w:val="00FA5B82"/>
    <w:rsid w:val="00FA61F0"/>
    <w:rsid w:val="00FA639E"/>
    <w:rsid w:val="00FC25E4"/>
    <w:rsid w:val="00FC4EF7"/>
    <w:rsid w:val="00FC520A"/>
    <w:rsid w:val="00FE1DEE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5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51"/>
    <w:pPr>
      <w:keepNext/>
      <w:adjustRightInd w:val="0"/>
      <w:snapToGrid w:val="0"/>
      <w:spacing w:before="180" w:after="180" w:line="240" w:lineRule="atLeast"/>
    </w:pPr>
    <w:rPr>
      <w:rFonts w:ascii="Cambria" w:eastAsia="MS Mincho" w:hAnsi="Cambria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D22C0"/>
    <w:pPr>
      <w:keepLines/>
      <w:spacing w:before="24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35E5"/>
    <w:pPr>
      <w:keepLines/>
      <w:spacing w:before="480"/>
      <w:outlineLvl w:val="1"/>
    </w:pPr>
    <w:rPr>
      <w:rFonts w:eastAsia="Times New Roman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6935E5"/>
    <w:pPr>
      <w:keepLines/>
      <w:spacing w:before="480"/>
      <w:outlineLvl w:val="2"/>
    </w:pPr>
    <w:rPr>
      <w:rFonts w:eastAsia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35E5"/>
    <w:pPr>
      <w:keepLines/>
      <w:spacing w:before="3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6935E5"/>
    <w:pPr>
      <w:keepLines/>
      <w:spacing w:before="24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6935E5"/>
    <w:pPr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6935E5"/>
    <w:pPr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2C0"/>
    <w:rPr>
      <w:rFonts w:eastAsia="Cambria"/>
      <w:b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025C67"/>
    <w:rPr>
      <w:rFonts w:ascii="Arial" w:eastAsia="Times New Roman" w:hAnsi="Arial"/>
      <w:b/>
      <w:bCs/>
      <w:sz w:val="32"/>
      <w:szCs w:val="32"/>
    </w:rPr>
  </w:style>
  <w:style w:type="paragraph" w:customStyle="1" w:styleId="Headernoline">
    <w:name w:val="Header no line"/>
    <w:basedOn w:val="Header"/>
    <w:rsid w:val="006935E5"/>
    <w:pPr>
      <w:pBdr>
        <w:bottom w:val="none" w:sz="0" w:space="0" w:color="auto"/>
      </w:pBdr>
      <w:spacing w:line="24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2126"/>
    <w:rPr>
      <w:rFonts w:ascii="Arial" w:eastAsia="Cambria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14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B0408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0408"/>
    <w:rPr>
      <w:rFonts w:ascii="Arial" w:eastAsia="Cambria" w:hAnsi="Arial"/>
      <w:sz w:val="18"/>
    </w:rPr>
  </w:style>
  <w:style w:type="paragraph" w:styleId="Header">
    <w:name w:val="header"/>
    <w:basedOn w:val="Normal"/>
    <w:link w:val="HeaderChar"/>
    <w:uiPriority w:val="99"/>
    <w:rsid w:val="006935E5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F3148D"/>
    <w:rPr>
      <w:rFonts w:eastAsia="Cambria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eastAsia="Times New Roman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eastAsia="Times New Roman"/>
      <w:b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eastAsia="Times New Roman"/>
      <w:bCs/>
      <w:i/>
    </w:rPr>
  </w:style>
  <w:style w:type="character" w:styleId="Hyperlink">
    <w:name w:val="Hyperlink"/>
    <w:basedOn w:val="DefaultParagraphFont"/>
    <w:uiPriority w:val="99"/>
    <w:unhideWhenUsed/>
    <w:rsid w:val="006935E5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 w:cs="Times New Roman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qFormat/>
    <w:rsid w:val="007B0408"/>
    <w:pPr>
      <w:numPr>
        <w:numId w:val="14"/>
      </w:numPr>
      <w:ind w:left="425" w:hanging="425"/>
    </w:pPr>
  </w:style>
  <w:style w:type="paragraph" w:styleId="ListBullet2">
    <w:name w:val="List Bullet 2"/>
    <w:basedOn w:val="Normal"/>
    <w:qFormat/>
    <w:rsid w:val="007B0408"/>
    <w:pPr>
      <w:numPr>
        <w:ilvl w:val="1"/>
        <w:numId w:val="14"/>
      </w:numPr>
      <w:ind w:left="850" w:hanging="425"/>
    </w:pPr>
  </w:style>
  <w:style w:type="paragraph" w:styleId="ListBullet3">
    <w:name w:val="List Bullet 3"/>
    <w:basedOn w:val="Normal"/>
    <w:qFormat/>
    <w:rsid w:val="007B0408"/>
    <w:pPr>
      <w:numPr>
        <w:ilvl w:val="2"/>
        <w:numId w:val="14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 w:cs="Times New Roman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umberbullet0">
    <w:name w:val="Number bullet"/>
    <w:basedOn w:val="ListBullet"/>
    <w:qFormat/>
    <w:rsid w:val="006935E5"/>
    <w:pPr>
      <w:numPr>
        <w:numId w:val="17"/>
      </w:numPr>
    </w:pPr>
  </w:style>
  <w:style w:type="paragraph" w:customStyle="1" w:styleId="Numberbullet2">
    <w:name w:val="Number bullet 2"/>
    <w:basedOn w:val="ListBullet2"/>
    <w:qFormat/>
    <w:rsid w:val="006935E5"/>
    <w:pPr>
      <w:numPr>
        <w:numId w:val="17"/>
      </w:numPr>
    </w:pPr>
  </w:style>
  <w:style w:type="paragraph" w:customStyle="1" w:styleId="Numberbullet3">
    <w:name w:val="Number bullet 3"/>
    <w:basedOn w:val="ListBullet3"/>
    <w:qFormat/>
    <w:rsid w:val="006935E5"/>
    <w:pPr>
      <w:numPr>
        <w:numId w:val="17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table" w:styleId="TableGrid">
    <w:name w:val="Table Grid"/>
    <w:basedOn w:val="TableNormal"/>
    <w:uiPriority w:val="59"/>
    <w:rsid w:val="00F3148D"/>
    <w:pPr>
      <w:spacing w:after="0" w:line="240" w:lineRule="auto"/>
    </w:pPr>
    <w:rPr>
      <w:rFonts w:ascii="Cambria" w:hAnsi="Cambria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GAblue">
    <w:name w:val="Table TGA blue"/>
    <w:basedOn w:val="TableNormal"/>
    <w:uiPriority w:val="99"/>
    <w:qFormat/>
    <w:rsid w:val="004C6D78"/>
    <w:pPr>
      <w:spacing w:before="180" w:after="18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cPr>
        <w:shd w:val="clear" w:color="auto" w:fill="B8CCEA" w:themeFill="accent3"/>
      </w:tcPr>
    </w:tblStylePr>
  </w:style>
  <w:style w:type="table" w:customStyle="1" w:styleId="TableTGA2">
    <w:name w:val="Table TGA 2"/>
    <w:basedOn w:val="TableNormal"/>
    <w:uiPriority w:val="99"/>
    <w:rsid w:val="00AA200F"/>
    <w:pPr>
      <w:spacing w:before="60" w:after="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color w:val="002035"/>
      <w:sz w:val="28"/>
      <w:lang w:val="en-US"/>
    </w:rPr>
  </w:style>
  <w:style w:type="character" w:customStyle="1" w:styleId="ABN">
    <w:name w:val="ABN"/>
    <w:basedOn w:val="DefaultParagraphFont"/>
    <w:uiPriority w:val="1"/>
    <w:rsid w:val="001F7BF8"/>
    <w:rPr>
      <w:rFonts w:ascii="Arial" w:hAnsi="Arial"/>
      <w:color w:val="002C47"/>
      <w:sz w:val="14"/>
    </w:rPr>
  </w:style>
  <w:style w:type="paragraph" w:styleId="EndnoteText">
    <w:name w:val="endnote text"/>
    <w:basedOn w:val="FootnoteText"/>
    <w:link w:val="EndnoteTextChar"/>
    <w:semiHidden/>
    <w:unhideWhenUsed/>
    <w:rsid w:val="00FC520A"/>
    <w:pPr>
      <w:keepLines/>
      <w:spacing w:line="240" w:lineRule="atLeast"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E82C70"/>
    <w:rPr>
      <w:rFonts w:ascii="Cambria" w:eastAsia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C7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C70"/>
    <w:rPr>
      <w:rFonts w:eastAsia="Cambria"/>
      <w:sz w:val="20"/>
      <w:szCs w:val="20"/>
    </w:rPr>
  </w:style>
  <w:style w:type="paragraph" w:customStyle="1" w:styleId="Quotation">
    <w:name w:val="Quotation"/>
    <w:basedOn w:val="Normal"/>
    <w:next w:val="Normal"/>
    <w:uiPriority w:val="4"/>
    <w:qFormat/>
    <w:rsid w:val="00C01315"/>
    <w:pPr>
      <w:ind w:left="425"/>
    </w:pPr>
    <w:rPr>
      <w:sz w:val="20"/>
    </w:rPr>
  </w:style>
  <w:style w:type="paragraph" w:customStyle="1" w:styleId="Figuredescription">
    <w:name w:val="Figure description"/>
    <w:basedOn w:val="Normal"/>
    <w:next w:val="Normal"/>
    <w:rsid w:val="00FC520A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C520A"/>
    <w:pPr>
      <w:outlineLvl w:val="4"/>
    </w:pPr>
    <w:rPr>
      <w:b/>
    </w:rPr>
  </w:style>
  <w:style w:type="paragraph" w:customStyle="1" w:styleId="Tabledescription">
    <w:name w:val="Table description"/>
    <w:basedOn w:val="Figuredescription"/>
    <w:next w:val="Normal"/>
    <w:rsid w:val="00FC520A"/>
  </w:style>
  <w:style w:type="paragraph" w:customStyle="1" w:styleId="Tabletitle">
    <w:name w:val="Table title"/>
    <w:basedOn w:val="Normal"/>
    <w:next w:val="Normal"/>
    <w:rsid w:val="00FC520A"/>
    <w:pPr>
      <w:outlineLvl w:val="4"/>
    </w:pPr>
    <w:rPr>
      <w:b/>
    </w:rPr>
  </w:style>
  <w:style w:type="paragraph" w:customStyle="1" w:styleId="Fromdetails">
    <w:name w:val="From details"/>
    <w:basedOn w:val="Normal"/>
    <w:qFormat/>
    <w:rsid w:val="00FC520A"/>
    <w:pPr>
      <w:spacing w:before="840"/>
      <w:contextualSpacing/>
    </w:pPr>
  </w:style>
  <w:style w:type="paragraph" w:styleId="ListParagraph">
    <w:name w:val="List Paragraph"/>
    <w:basedOn w:val="Normal"/>
    <w:uiPriority w:val="34"/>
    <w:qFormat/>
    <w:rsid w:val="00675951"/>
    <w:pPr>
      <w:ind w:left="720"/>
      <w:contextualSpacing/>
    </w:pPr>
  </w:style>
  <w:style w:type="table" w:customStyle="1" w:styleId="TableTGAblack">
    <w:name w:val="Table TGA black"/>
    <w:basedOn w:val="TableNormal"/>
    <w:uiPriority w:val="99"/>
    <w:rsid w:val="00675951"/>
    <w:pPr>
      <w:spacing w:before="60" w:after="0" w:line="240" w:lineRule="auto"/>
    </w:pPr>
    <w:rPr>
      <w:rFonts w:ascii="Cambria" w:eastAsia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firstCol">
      <w:pPr>
        <w:keepNext w:val="0"/>
        <w:wordWrap/>
      </w:p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5951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6759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0F9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955A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5A5"/>
    <w:rPr>
      <w:rFonts w:ascii="Cambria" w:eastAsia="MS Mincho" w:hAnsi="Cambria" w:cs="Times New Roman"/>
      <w:sz w:val="20"/>
      <w:szCs w:val="20"/>
      <w:lang w:eastAsia="ja-JP"/>
    </w:rPr>
  </w:style>
  <w:style w:type="character" w:customStyle="1" w:styleId="field-content">
    <w:name w:val="field-content"/>
    <w:basedOn w:val="DefaultParagraphFont"/>
    <w:rsid w:val="00C86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819"/>
    <w:rPr>
      <w:rFonts w:ascii="Cambria" w:eastAsia="MS Mincho" w:hAnsi="Cambria" w:cs="Times New Roman"/>
      <w:b/>
      <w:bCs/>
      <w:sz w:val="20"/>
      <w:szCs w:val="20"/>
      <w:lang w:eastAsia="ja-JP"/>
    </w:rPr>
  </w:style>
  <w:style w:type="character" w:customStyle="1" w:styleId="referenceheading2">
    <w:name w:val="referenceheading2"/>
    <w:basedOn w:val="DefaultParagraphFont"/>
    <w:rsid w:val="005C588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resource/guidance/application-requirements-new-substances-listed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FDF8-E207-4836-A118-F5565190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Compositional Guideline templates - Substances of animal origin</dc:title>
  <dc:subject/>
  <dc:creator/>
  <cp:keywords/>
  <dc:description/>
  <cp:lastModifiedBy/>
  <cp:revision>1</cp:revision>
  <dcterms:created xsi:type="dcterms:W3CDTF">2022-09-26T07:10:00Z</dcterms:created>
  <dcterms:modified xsi:type="dcterms:W3CDTF">2023-01-23T03:16:00Z</dcterms:modified>
  <cp:category>Medicine regulation</cp:category>
</cp:coreProperties>
</file>