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FA5F" w14:textId="77777777" w:rsidR="00675951" w:rsidRPr="00675951" w:rsidRDefault="00675951" w:rsidP="00675951">
      <w:pPr>
        <w:pStyle w:val="Heading1"/>
        <w:ind w:left="360"/>
        <w:jc w:val="center"/>
        <w:rPr>
          <w:rFonts w:ascii="Arial" w:hAnsi="Arial" w:cs="Arial"/>
          <w:color w:val="333F48"/>
          <w:sz w:val="28"/>
          <w:szCs w:val="24"/>
        </w:rPr>
      </w:pPr>
      <w:r w:rsidRPr="00675951">
        <w:rPr>
          <w:rFonts w:ascii="Arial" w:hAnsi="Arial" w:cs="Arial"/>
          <w:color w:val="333F48"/>
          <w:sz w:val="28"/>
          <w:szCs w:val="24"/>
        </w:rPr>
        <w:t xml:space="preserve">Compositional Guideline: </w:t>
      </w:r>
      <w:r w:rsidRPr="00675951">
        <w:rPr>
          <w:rFonts w:ascii="Arial" w:hAnsi="Arial" w:cs="Arial"/>
          <w:color w:val="305DA1" w:themeColor="accent3" w:themeShade="80"/>
          <w:sz w:val="28"/>
          <w:szCs w:val="24"/>
        </w:rPr>
        <w:t>Name of substance</w:t>
      </w:r>
    </w:p>
    <w:p w14:paraId="548F92FF" w14:textId="6111FA15" w:rsidR="00280F95" w:rsidRPr="00A955A5" w:rsidRDefault="00A955A5" w:rsidP="00280F95">
      <w:pPr>
        <w:pStyle w:val="ListParagraph"/>
        <w:ind w:left="0"/>
        <w:jc w:val="center"/>
        <w:rPr>
          <w:rFonts w:ascii="Arial" w:hAnsi="Arial" w:cs="Arial"/>
          <w:b/>
          <w:bCs/>
          <w:color w:val="305DA1" w:themeColor="accent3" w:themeShade="80"/>
          <w:lang w:val="en"/>
        </w:rPr>
      </w:pPr>
      <w:bookmarkStart w:id="0" w:name="_Hlk110949692"/>
      <w:bookmarkStart w:id="1" w:name="_Hlk112764346"/>
      <w:r w:rsidRPr="00A955A5">
        <w:rPr>
          <w:rFonts w:ascii="Arial" w:hAnsi="Arial" w:cs="Arial"/>
          <w:b/>
          <w:bCs/>
          <w:color w:val="305DA1" w:themeColor="accent3" w:themeShade="80"/>
          <w:lang w:val="en"/>
        </w:rPr>
        <w:t>This template applies to live and non-viable microorganisms which are whole cell or intact.</w:t>
      </w:r>
    </w:p>
    <w:p w14:paraId="30672434" w14:textId="77777777" w:rsidR="00A955A5" w:rsidRPr="00A955A5" w:rsidRDefault="00A955A5" w:rsidP="00A955A5">
      <w:pPr>
        <w:numPr>
          <w:ilvl w:val="0"/>
          <w:numId w:val="19"/>
        </w:numPr>
        <w:ind w:left="426"/>
        <w:contextualSpacing/>
        <w:rPr>
          <w:rFonts w:ascii="Arial" w:hAnsi="Arial" w:cs="Arial"/>
          <w:bCs/>
          <w:color w:val="305DA1" w:themeColor="accent3" w:themeShade="80"/>
        </w:rPr>
      </w:pPr>
      <w:bookmarkStart w:id="2" w:name="_Hlk112764819"/>
      <w:bookmarkEnd w:id="0"/>
      <w:r w:rsidRPr="00A955A5">
        <w:rPr>
          <w:rFonts w:ascii="Arial" w:hAnsi="Arial" w:cs="Arial"/>
          <w:bCs/>
          <w:color w:val="305DA1" w:themeColor="accent3" w:themeShade="80"/>
        </w:rPr>
        <w:t>Provide specifications in the table below in accordance with:</w:t>
      </w:r>
    </w:p>
    <w:p w14:paraId="7FE4AD1D" w14:textId="3EFC59CA" w:rsidR="00A955A5" w:rsidRPr="00A955A5" w:rsidRDefault="00A955A5" w:rsidP="00A955A5">
      <w:pPr>
        <w:numPr>
          <w:ilvl w:val="1"/>
          <w:numId w:val="19"/>
        </w:numPr>
        <w:spacing w:before="0" w:after="0"/>
        <w:ind w:left="851" w:hanging="357"/>
        <w:rPr>
          <w:rFonts w:ascii="Arial" w:hAnsi="Arial" w:cs="Arial"/>
          <w:bCs/>
          <w:color w:val="305DA1" w:themeColor="accent3" w:themeShade="80"/>
        </w:rPr>
      </w:pPr>
      <w:r w:rsidRPr="00A955A5">
        <w:rPr>
          <w:rFonts w:ascii="Arial" w:hAnsi="Arial" w:cs="Arial"/>
          <w:bCs/>
          <w:color w:val="305DA1" w:themeColor="accent3" w:themeShade="80"/>
        </w:rPr>
        <w:t>‘SECTION B – Information requirements’ in ‘</w:t>
      </w:r>
      <w:hyperlink r:id="rId8" w:history="1">
        <w:r w:rsidRPr="00B90792">
          <w:rPr>
            <w:rStyle w:val="Hyperlink"/>
            <w:rFonts w:ascii="Arial" w:hAnsi="Arial" w:cs="Arial"/>
            <w:bCs/>
          </w:rPr>
          <w:t>Application requirements for new substances in listed medicines – Australian regulatory guidelines</w:t>
        </w:r>
      </w:hyperlink>
      <w:r w:rsidRPr="00A955A5">
        <w:rPr>
          <w:rFonts w:ascii="Arial" w:hAnsi="Arial" w:cs="Arial"/>
          <w:bCs/>
          <w:color w:val="305DA1" w:themeColor="accent3" w:themeShade="80"/>
        </w:rPr>
        <w:t>’</w:t>
      </w:r>
      <w:r w:rsidRPr="00A955A5" w:rsidDel="00087B0A">
        <w:rPr>
          <w:rFonts w:ascii="Arial" w:hAnsi="Arial" w:cs="Arial"/>
          <w:bCs/>
          <w:color w:val="305DA1" w:themeColor="accent3" w:themeShade="80"/>
        </w:rPr>
        <w:t xml:space="preserve"> </w:t>
      </w:r>
    </w:p>
    <w:p w14:paraId="02D223A8" w14:textId="01097ABC" w:rsidR="00A955A5" w:rsidRPr="00A955A5" w:rsidRDefault="00A955A5" w:rsidP="00A955A5">
      <w:pPr>
        <w:numPr>
          <w:ilvl w:val="1"/>
          <w:numId w:val="19"/>
        </w:numPr>
        <w:spacing w:after="0"/>
        <w:ind w:left="850" w:hanging="357"/>
        <w:contextualSpacing/>
        <w:rPr>
          <w:rFonts w:ascii="Arial" w:hAnsi="Arial" w:cs="Arial"/>
          <w:bCs/>
          <w:color w:val="305DA1" w:themeColor="accent3" w:themeShade="80"/>
        </w:rPr>
      </w:pPr>
      <w:r w:rsidRPr="00A955A5">
        <w:rPr>
          <w:rFonts w:ascii="Arial" w:hAnsi="Arial" w:cs="Arial"/>
          <w:bCs/>
          <w:color w:val="305DA1" w:themeColor="accent3" w:themeShade="80"/>
        </w:rPr>
        <w:t>‘</w:t>
      </w:r>
      <w:hyperlink r:id="rId9" w:history="1">
        <w:r w:rsidRPr="00B90792">
          <w:rPr>
            <w:rStyle w:val="Hyperlink"/>
            <w:rFonts w:ascii="Arial" w:hAnsi="Arial" w:cs="Arial"/>
            <w:bCs/>
          </w:rPr>
          <w:t>Requirements for microorganism characterisation in listed and registered complementary medicines’</w:t>
        </w:r>
      </w:hyperlink>
    </w:p>
    <w:p w14:paraId="52AE89B8" w14:textId="77777777" w:rsidR="00A955A5" w:rsidRPr="00A955A5" w:rsidRDefault="00A955A5" w:rsidP="00A955A5">
      <w:pPr>
        <w:pStyle w:val="ListParagraph"/>
        <w:numPr>
          <w:ilvl w:val="0"/>
          <w:numId w:val="19"/>
        </w:numPr>
        <w:spacing w:before="0"/>
        <w:ind w:left="426"/>
        <w:rPr>
          <w:rFonts w:ascii="Arial" w:hAnsi="Arial" w:cs="Arial"/>
          <w:bCs/>
          <w:color w:val="305DA1" w:themeColor="accent3" w:themeShade="80"/>
        </w:rPr>
      </w:pPr>
      <w:r w:rsidRPr="00A955A5">
        <w:rPr>
          <w:rFonts w:ascii="Arial" w:hAnsi="Arial" w:cs="Arial"/>
          <w:bCs/>
          <w:color w:val="305DA1" w:themeColor="accent3" w:themeShade="80"/>
        </w:rPr>
        <w:t>All headings in the table correspond with the guidance document</w:t>
      </w:r>
      <w:r w:rsidRPr="00A955A5">
        <w:rPr>
          <w:rFonts w:ascii="Arial" w:hAnsi="Arial" w:cs="Arial"/>
          <w:color w:val="305DA1" w:themeColor="accent3" w:themeShade="80"/>
        </w:rPr>
        <w:t xml:space="preserve"> </w:t>
      </w:r>
      <w:r w:rsidRPr="00A955A5">
        <w:rPr>
          <w:rFonts w:ascii="Arial" w:hAnsi="Arial" w:cs="Arial"/>
          <w:bCs/>
          <w:color w:val="305DA1" w:themeColor="accent3" w:themeShade="80"/>
        </w:rPr>
        <w:t xml:space="preserve">headings. </w:t>
      </w:r>
    </w:p>
    <w:p w14:paraId="0CE63FB3" w14:textId="77777777" w:rsidR="00A955A5" w:rsidRPr="00A955A5" w:rsidRDefault="00A955A5" w:rsidP="00A955A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r w:rsidRPr="00A955A5">
        <w:rPr>
          <w:rFonts w:ascii="Arial" w:hAnsi="Arial" w:cs="Arial"/>
          <w:b/>
          <w:color w:val="305DA1" w:themeColor="accent3" w:themeShade="80"/>
        </w:rPr>
        <w:t>Note</w:t>
      </w:r>
      <w:r w:rsidRPr="00A955A5">
        <w:rPr>
          <w:rFonts w:ascii="Arial" w:hAnsi="Arial" w:cs="Arial"/>
          <w:bCs/>
          <w:color w:val="305DA1" w:themeColor="accent3" w:themeShade="80"/>
        </w:rPr>
        <w:t>: Certain headings may not be applicable (</w:t>
      </w:r>
      <w:proofErr w:type="gramStart"/>
      <w:r w:rsidRPr="00A955A5">
        <w:rPr>
          <w:rFonts w:ascii="Arial" w:hAnsi="Arial" w:cs="Arial"/>
          <w:bCs/>
          <w:color w:val="305DA1" w:themeColor="accent3" w:themeShade="80"/>
        </w:rPr>
        <w:t>e.g.</w:t>
      </w:r>
      <w:proofErr w:type="gramEnd"/>
      <w:r w:rsidRPr="00A955A5">
        <w:rPr>
          <w:rFonts w:ascii="Arial" w:hAnsi="Arial" w:cs="Arial"/>
          <w:bCs/>
          <w:color w:val="305DA1" w:themeColor="accent3" w:themeShade="80"/>
        </w:rPr>
        <w:t xml:space="preserve"> ‘residual solvents’ if no solvents used). </w:t>
      </w:r>
      <w:r w:rsidRPr="00A955A5">
        <w:rPr>
          <w:rFonts w:ascii="Arial" w:hAnsi="Arial" w:cs="Arial"/>
          <w:bCs/>
          <w:color w:val="305DA1" w:themeColor="accent3" w:themeShade="80"/>
          <w:lang w:val="en"/>
        </w:rPr>
        <w:t>Add or delete rows as necessary.</w:t>
      </w:r>
    </w:p>
    <w:p w14:paraId="78267710" w14:textId="77777777" w:rsidR="00A955A5" w:rsidRPr="00A955A5" w:rsidRDefault="00A955A5" w:rsidP="00A955A5">
      <w:pPr>
        <w:pStyle w:val="ListParagraph"/>
        <w:numPr>
          <w:ilvl w:val="0"/>
          <w:numId w:val="19"/>
        </w:numPr>
        <w:ind w:left="426"/>
        <w:rPr>
          <w:rFonts w:ascii="Arial" w:hAnsi="Arial" w:cs="Arial"/>
          <w:bCs/>
          <w:color w:val="305DA1" w:themeColor="accent3" w:themeShade="80"/>
        </w:rPr>
      </w:pPr>
      <w:r w:rsidRPr="00A955A5">
        <w:rPr>
          <w:rFonts w:ascii="Arial" w:hAnsi="Arial" w:cs="Arial"/>
          <w:bCs/>
          <w:color w:val="305DA1" w:themeColor="accent3" w:themeShade="80"/>
        </w:rPr>
        <w:t xml:space="preserve">Blue information in the table are only </w:t>
      </w:r>
      <w:r w:rsidRPr="00A955A5">
        <w:rPr>
          <w:rFonts w:ascii="Arial" w:hAnsi="Arial" w:cs="Arial"/>
          <w:b/>
          <w:color w:val="305DA1" w:themeColor="accent3" w:themeShade="80"/>
        </w:rPr>
        <w:t>common</w:t>
      </w:r>
      <w:r w:rsidRPr="00A955A5">
        <w:rPr>
          <w:rFonts w:ascii="Arial" w:hAnsi="Arial" w:cs="Arial"/>
          <w:bCs/>
          <w:color w:val="305DA1" w:themeColor="accent3" w:themeShade="80"/>
        </w:rPr>
        <w:t xml:space="preserve"> </w:t>
      </w:r>
      <w:r w:rsidRPr="00A955A5">
        <w:rPr>
          <w:rFonts w:ascii="Arial" w:hAnsi="Arial" w:cs="Arial"/>
          <w:b/>
          <w:color w:val="305DA1" w:themeColor="accent3" w:themeShade="80"/>
        </w:rPr>
        <w:t xml:space="preserve">examples </w:t>
      </w:r>
      <w:r w:rsidRPr="00A955A5">
        <w:rPr>
          <w:rFonts w:ascii="Arial" w:hAnsi="Arial" w:cs="Arial"/>
          <w:bCs/>
          <w:color w:val="305DA1" w:themeColor="accent3" w:themeShade="80"/>
        </w:rPr>
        <w:t>for guidance</w:t>
      </w:r>
      <w:r w:rsidRPr="00A955A5">
        <w:rPr>
          <w:rFonts w:ascii="Arial" w:hAnsi="Arial" w:cs="Arial"/>
          <w:b/>
          <w:color w:val="305DA1" w:themeColor="accent3" w:themeShade="80"/>
        </w:rPr>
        <w:t xml:space="preserve">. </w:t>
      </w:r>
      <w:r w:rsidRPr="00A955A5">
        <w:rPr>
          <w:rFonts w:ascii="Arial" w:hAnsi="Arial" w:cs="Arial"/>
          <w:color w:val="305DA1" w:themeColor="accent3" w:themeShade="80"/>
          <w:lang w:val="en"/>
        </w:rPr>
        <w:t>Delete all blue guidance text before submitting.</w:t>
      </w: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8779"/>
      </w:tblGrid>
      <w:tr w:rsidR="00675951" w:rsidRPr="00675951" w14:paraId="654EC788" w14:textId="77777777" w:rsidTr="00675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779" w:type="dxa"/>
            <w:shd w:val="clear" w:color="auto" w:fill="B8CCEA"/>
          </w:tcPr>
          <w:bookmarkEnd w:id="1"/>
          <w:bookmarkEnd w:id="2"/>
          <w:p w14:paraId="6F13CA8F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 w:val="0"/>
                <w:color w:val="333F48"/>
              </w:rPr>
            </w:pPr>
            <w:r w:rsidRPr="00675951">
              <w:rPr>
                <w:rFonts w:ascii="Arial" w:hAnsi="Arial" w:cs="Arial"/>
                <w:color w:val="333F48"/>
              </w:rPr>
              <w:t>DESCRIPTION</w:t>
            </w:r>
          </w:p>
        </w:tc>
      </w:tr>
      <w:tr w:rsidR="00261EDF" w:rsidRPr="00675951" w14:paraId="16DA3512" w14:textId="77777777" w:rsidTr="007B5E37">
        <w:tc>
          <w:tcPr>
            <w:tcW w:w="8779" w:type="dxa"/>
            <w:tcBorders>
              <w:bottom w:val="single" w:sz="8" w:space="0" w:color="002C47" w:themeColor="text1"/>
            </w:tcBorders>
          </w:tcPr>
          <w:p w14:paraId="520CAB93" w14:textId="77777777" w:rsidR="00261EDF" w:rsidRPr="00261EDF" w:rsidRDefault="00261EDF" w:rsidP="00261EDF">
            <w:pPr>
              <w:pStyle w:val="Heading2"/>
              <w:keepLines w:val="0"/>
              <w:numPr>
                <w:ilvl w:val="0"/>
                <w:numId w:val="25"/>
              </w:numPr>
              <w:spacing w:before="0" w:after="0"/>
              <w:ind w:left="306" w:hanging="357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</w:pPr>
            <w:r w:rsidRPr="00261EDF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Taxonomy information including strain name/code/culture collection reference, culture origin and method of manufacture including critical manufacturing steps.</w:t>
            </w:r>
          </w:p>
          <w:p w14:paraId="4B1F15BF" w14:textId="77777777" w:rsidR="00261EDF" w:rsidRPr="00261EDF" w:rsidRDefault="00261EDF" w:rsidP="00261EDF">
            <w:pPr>
              <w:pStyle w:val="Heading2"/>
              <w:keepLines w:val="0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</w:pPr>
            <w:r w:rsidRPr="00261EDF">
              <w:rPr>
                <w:rFonts w:ascii="Arial" w:hAnsi="Arial" w:cs="Arial"/>
                <w:b w:val="0"/>
                <w:color w:val="305DA1" w:themeColor="accent3" w:themeShade="80"/>
                <w:sz w:val="22"/>
                <w:szCs w:val="22"/>
              </w:rPr>
              <w:t>State if the microorganism is derived from or contains genetically modified substances.</w:t>
            </w:r>
          </w:p>
          <w:p w14:paraId="1A49A8B7" w14:textId="02921715" w:rsidR="00261EDF" w:rsidRPr="00261EDF" w:rsidRDefault="00261EDF" w:rsidP="00261EDF">
            <w:pPr>
              <w:pStyle w:val="Heading2"/>
              <w:numPr>
                <w:ilvl w:val="0"/>
                <w:numId w:val="25"/>
              </w:numPr>
              <w:spacing w:before="0" w:after="0"/>
              <w:ind w:left="306"/>
              <w:outlineLvl w:val="1"/>
              <w:rPr>
                <w:rFonts w:ascii="Arial" w:hAnsi="Arial" w:cs="Arial"/>
                <w:b w:val="0"/>
                <w:bCs w:val="0"/>
                <w:color w:val="305DA1" w:themeColor="accent3" w:themeShade="80"/>
                <w:sz w:val="22"/>
                <w:szCs w:val="22"/>
                <w:u w:val="single"/>
              </w:rPr>
            </w:pPr>
            <w:r w:rsidRPr="00261EDF">
              <w:rPr>
                <w:rFonts w:ascii="Arial" w:hAnsi="Arial" w:cs="Arial"/>
                <w:b w:val="0"/>
                <w:bCs w:val="0"/>
                <w:color w:val="305DA1" w:themeColor="accent3" w:themeShade="80"/>
                <w:sz w:val="22"/>
                <w:szCs w:val="22"/>
              </w:rPr>
              <w:t>For non-viable microorganisms, include additional description of the inactivation method and steps taken to ensure the cellular membrane remains intact after inactivation.</w:t>
            </w:r>
          </w:p>
        </w:tc>
      </w:tr>
    </w:tbl>
    <w:p w14:paraId="4C32BD0B" w14:textId="77777777" w:rsidR="00675951" w:rsidRPr="00675951" w:rsidRDefault="00675951" w:rsidP="00675951">
      <w:pPr>
        <w:spacing w:before="0" w:after="0" w:line="14" w:lineRule="exact"/>
        <w:rPr>
          <w:rFonts w:ascii="Arial" w:hAnsi="Arial" w:cs="Arial"/>
          <w:sz w:val="2"/>
          <w:szCs w:val="2"/>
        </w:rPr>
      </w:pPr>
    </w:p>
    <w:tbl>
      <w:tblPr>
        <w:tblStyle w:val="TableTGAblue"/>
        <w:tblW w:w="8779" w:type="dxa"/>
        <w:tblLook w:val="04A0" w:firstRow="1" w:lastRow="0" w:firstColumn="1" w:lastColumn="0" w:noHBand="0" w:noVBand="1"/>
      </w:tblPr>
      <w:tblGrid>
        <w:gridCol w:w="3109"/>
        <w:gridCol w:w="3118"/>
        <w:gridCol w:w="2552"/>
      </w:tblGrid>
      <w:tr w:rsidR="00675951" w:rsidRPr="00675951" w14:paraId="16189B73" w14:textId="77777777" w:rsidTr="00C86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09" w:type="dxa"/>
            <w:tcBorders>
              <w:right w:val="single" w:sz="4" w:space="0" w:color="auto"/>
            </w:tcBorders>
            <w:shd w:val="clear" w:color="auto" w:fill="B8CCEA"/>
          </w:tcPr>
          <w:p w14:paraId="518B301A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Test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A"/>
          </w:tcPr>
          <w:p w14:paraId="63C13EDE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Method reference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B8CCEA"/>
          </w:tcPr>
          <w:p w14:paraId="0795BA4C" w14:textId="77777777" w:rsidR="00675951" w:rsidRPr="00675951" w:rsidRDefault="00675951" w:rsidP="007B5E37">
            <w:pPr>
              <w:keepNext w:val="0"/>
              <w:jc w:val="center"/>
              <w:rPr>
                <w:rFonts w:ascii="Arial" w:hAnsi="Arial" w:cs="Arial"/>
                <w:b w:val="0"/>
                <w:bCs/>
                <w:iCs/>
                <w:color w:val="333F48"/>
              </w:rPr>
            </w:pPr>
            <w:r w:rsidRPr="00675951">
              <w:rPr>
                <w:rFonts w:ascii="Arial" w:hAnsi="Arial" w:cs="Arial"/>
                <w:bCs/>
                <w:iCs/>
                <w:color w:val="333F48"/>
              </w:rPr>
              <w:t>Acceptance criteria</w:t>
            </w:r>
            <w:r w:rsidRPr="00675951">
              <w:rPr>
                <w:rStyle w:val="FootnoteReference"/>
                <w:rFonts w:ascii="Arial" w:hAnsi="Arial" w:cs="Arial"/>
                <w:bCs/>
                <w:iCs/>
                <w:color w:val="333F48"/>
              </w:rPr>
              <w:footnoteReference w:id="1"/>
            </w:r>
          </w:p>
        </w:tc>
      </w:tr>
      <w:tr w:rsidR="00675951" w:rsidRPr="00675951" w14:paraId="1361450D" w14:textId="77777777" w:rsidTr="00675951">
        <w:tc>
          <w:tcPr>
            <w:tcW w:w="8779" w:type="dxa"/>
            <w:gridSpan w:val="3"/>
            <w:shd w:val="clear" w:color="auto" w:fill="B8CCEA"/>
          </w:tcPr>
          <w:p w14:paraId="49105A33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CHARACTERISATION</w:t>
            </w:r>
          </w:p>
        </w:tc>
      </w:tr>
      <w:tr w:rsidR="00675951" w:rsidRPr="00675951" w14:paraId="1DE51681" w14:textId="77777777" w:rsidTr="00675951">
        <w:tc>
          <w:tcPr>
            <w:tcW w:w="8779" w:type="dxa"/>
            <w:gridSpan w:val="3"/>
            <w:shd w:val="clear" w:color="auto" w:fill="B8CCEA"/>
          </w:tcPr>
          <w:p w14:paraId="15A2B42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General properties</w:t>
            </w:r>
          </w:p>
        </w:tc>
      </w:tr>
      <w:tr w:rsidR="00261EDF" w:rsidRPr="00675951" w14:paraId="7BA550C4" w14:textId="77777777" w:rsidTr="00C86F43">
        <w:tc>
          <w:tcPr>
            <w:tcW w:w="3109" w:type="dxa"/>
            <w:tcBorders>
              <w:bottom w:val="single" w:sz="8" w:space="0" w:color="002C47" w:themeColor="text1"/>
            </w:tcBorders>
          </w:tcPr>
          <w:p w14:paraId="15501095" w14:textId="77777777" w:rsidR="00261EDF" w:rsidRPr="00261EDF" w:rsidRDefault="00261EDF" w:rsidP="00261EDF">
            <w:pPr>
              <w:keepNext w:val="0"/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</w:rPr>
            </w:pPr>
            <w:proofErr w:type="spellStart"/>
            <w:r w:rsidRPr="00261EDF">
              <w:rPr>
                <w:rFonts w:ascii="Arial" w:hAnsi="Arial" w:cs="Arial"/>
                <w:iCs/>
                <w:color w:val="305DA1" w:themeColor="accent3" w:themeShade="80"/>
              </w:rPr>
              <w:t>Physico</w:t>
            </w:r>
            <w:proofErr w:type="spellEnd"/>
            <w:r w:rsidRPr="00261EDF">
              <w:rPr>
                <w:rFonts w:ascii="Arial" w:hAnsi="Arial" w:cs="Arial"/>
                <w:iCs/>
                <w:color w:val="305DA1" w:themeColor="accent3" w:themeShade="80"/>
              </w:rPr>
              <w:t xml:space="preserve">-chemical properties: </w:t>
            </w:r>
          </w:p>
          <w:p w14:paraId="3B98F234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appearance, colour, state, </w:t>
            </w:r>
            <w:r w:rsidRPr="00261EDF">
              <w:rPr>
                <w:rFonts w:ascii="Arial" w:hAnsi="Arial" w:cs="Arial"/>
                <w:color w:val="305DA1" w:themeColor="accent3" w:themeShade="80"/>
              </w:rPr>
              <w:t>texture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, smell</w:t>
            </w:r>
          </w:p>
          <w:p w14:paraId="75909911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</w:rPr>
              <w:t>solubility</w:t>
            </w:r>
          </w:p>
          <w:p w14:paraId="474D1BC2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loss on drying </w:t>
            </w:r>
          </w:p>
          <w:p w14:paraId="742EC19B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proofErr w:type="spellStart"/>
            <w:r w:rsidRPr="00261EDF">
              <w:rPr>
                <w:rFonts w:ascii="Arial" w:hAnsi="Arial" w:cs="Arial"/>
                <w:color w:val="305DA1" w:themeColor="accent3" w:themeShade="80"/>
              </w:rPr>
              <w:t>sulfated</w:t>
            </w:r>
            <w:proofErr w:type="spellEnd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</w:t>
            </w:r>
          </w:p>
          <w:p w14:paraId="6FED3D71" w14:textId="77777777" w:rsid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pH </w:t>
            </w:r>
          </w:p>
          <w:p w14:paraId="2CAB0566" w14:textId="3B84C7AE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</w:rPr>
              <w:t>microscopic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and macroscopic morphology</w:t>
            </w:r>
          </w:p>
        </w:tc>
        <w:tc>
          <w:tcPr>
            <w:tcW w:w="3118" w:type="dxa"/>
            <w:tcBorders>
              <w:bottom w:val="single" w:sz="8" w:space="0" w:color="002C47" w:themeColor="text1"/>
            </w:tcBorders>
          </w:tcPr>
          <w:p w14:paraId="7BCC519A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Gram staining USP &lt;1113&gt;</w:t>
            </w:r>
          </w:p>
          <w:p w14:paraId="68636F8A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Loss on drying (USP-NF &lt;731&gt;</w:t>
            </w:r>
          </w:p>
          <w:p w14:paraId="49BADEDE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Water activity/ Ph. Eur. 2.9.39)</w:t>
            </w:r>
          </w:p>
          <w:p w14:paraId="2104CD68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BP Appendix IX </w:t>
            </w:r>
            <w:proofErr w:type="gramStart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A</w:t>
            </w:r>
            <w:proofErr w:type="gramEnd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</w:t>
            </w:r>
            <w:proofErr w:type="spellStart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Sulfated</w:t>
            </w:r>
            <w:proofErr w:type="spellEnd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Ash (Ph. Eur. 2.4.14)</w:t>
            </w:r>
          </w:p>
          <w:p w14:paraId="5048D1B1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</w:rPr>
              <w:t>Solubility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(USP-NF &lt;1236&gt;)</w:t>
            </w:r>
          </w:p>
          <w:p w14:paraId="2A4A3F47" w14:textId="14A15503" w:rsidR="00261EDF" w:rsidRPr="00261EDF" w:rsidRDefault="00261EDF" w:rsidP="00261EDF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7" w:hanging="197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pH (USP-NF &lt;791&gt;)</w:t>
            </w:r>
          </w:p>
        </w:tc>
        <w:tc>
          <w:tcPr>
            <w:tcW w:w="2552" w:type="dxa"/>
            <w:tcBorders>
              <w:bottom w:val="single" w:sz="8" w:space="0" w:color="002C47" w:themeColor="text1"/>
            </w:tcBorders>
          </w:tcPr>
          <w:p w14:paraId="1B2B20A9" w14:textId="77777777" w:rsidR="00261EDF" w:rsidRPr="00261EDF" w:rsidRDefault="00261EDF" w:rsidP="00261EDF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</w:rPr>
              <w:t>Description and/or limits for the relevant tests</w:t>
            </w:r>
          </w:p>
          <w:p w14:paraId="717DA163" w14:textId="0C47022D" w:rsidR="00261EDF" w:rsidRPr="00261EDF" w:rsidRDefault="00261EDF" w:rsidP="00261EDF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</w:p>
        </w:tc>
      </w:tr>
      <w:tr w:rsidR="00261EDF" w:rsidRPr="00261EDF" w14:paraId="0F59D911" w14:textId="77777777" w:rsidTr="00C86F43">
        <w:tc>
          <w:tcPr>
            <w:tcW w:w="3109" w:type="dxa"/>
            <w:tcBorders>
              <w:bottom w:val="single" w:sz="8" w:space="0" w:color="002C47" w:themeColor="text1"/>
            </w:tcBorders>
          </w:tcPr>
          <w:p w14:paraId="05476FDD" w14:textId="77777777" w:rsidR="00261EDF" w:rsidRPr="00261EDF" w:rsidRDefault="00261EDF" w:rsidP="00261EDF">
            <w:pPr>
              <w:keepNext w:val="0"/>
              <w:spacing w:before="0" w:after="0" w:line="240" w:lineRule="auto"/>
              <w:rPr>
                <w:rFonts w:ascii="Arial" w:hAnsi="Arial" w:cs="Arial"/>
                <w:color w:val="305DA1" w:themeColor="accent3" w:themeShade="80"/>
                <w:szCs w:val="22"/>
                <w:u w:val="single"/>
              </w:rPr>
            </w:pPr>
            <w:r w:rsidRPr="00261EDF">
              <w:rPr>
                <w:rFonts w:ascii="Arial" w:hAnsi="Arial" w:cs="Arial"/>
                <w:color w:val="305DA1" w:themeColor="accent3" w:themeShade="80"/>
                <w:szCs w:val="22"/>
                <w:u w:val="single"/>
              </w:rPr>
              <w:t xml:space="preserve">For live microorganisms: </w:t>
            </w:r>
          </w:p>
          <w:p w14:paraId="209B36F9" w14:textId="77777777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  <w:szCs w:val="22"/>
              </w:rPr>
              <w:lastRenderedPageBreak/>
              <w:t>antimicrobial resistance and susceptibility</w:t>
            </w:r>
          </w:p>
          <w:p w14:paraId="710E9C62" w14:textId="77777777" w:rsid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  <w:szCs w:val="22"/>
              </w:rPr>
              <w:t>absence of virulence factors</w:t>
            </w:r>
          </w:p>
          <w:p w14:paraId="6C78929A" w14:textId="0B145152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  <w:szCs w:val="22"/>
              </w:rPr>
              <w:t>absence of toxigenic and pathogenic attributes</w:t>
            </w:r>
          </w:p>
        </w:tc>
        <w:tc>
          <w:tcPr>
            <w:tcW w:w="3118" w:type="dxa"/>
            <w:tcBorders>
              <w:bottom w:val="single" w:sz="8" w:space="0" w:color="002C47" w:themeColor="text1"/>
            </w:tcBorders>
          </w:tcPr>
          <w:p w14:paraId="689D2078" w14:textId="0C901348" w:rsidR="00261EDF" w:rsidRPr="00261EDF" w:rsidRDefault="00261EDF" w:rsidP="00261EDF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Refer to guidance on ‘</w:t>
            </w:r>
            <w:hyperlink r:id="rId10" w:history="1">
              <w:r w:rsidRPr="00B90792">
                <w:rPr>
                  <w:rStyle w:val="Hyperlink"/>
                  <w:rFonts w:ascii="Arial" w:hAnsi="Arial" w:cs="Arial"/>
                  <w:iCs/>
                  <w:szCs w:val="22"/>
                </w:rPr>
                <w:t xml:space="preserve">Requirements for </w:t>
              </w:r>
              <w:r w:rsidRPr="00B90792">
                <w:rPr>
                  <w:rStyle w:val="Hyperlink"/>
                  <w:rFonts w:ascii="Arial" w:hAnsi="Arial" w:cs="Arial"/>
                  <w:bCs/>
                  <w:iCs/>
                  <w:szCs w:val="22"/>
                </w:rPr>
                <w:t>microorganism characterisation in listed and registered complementary medicines</w:t>
              </w:r>
            </w:hyperlink>
            <w:r w:rsidRPr="00261EDF">
              <w:rPr>
                <w:rFonts w:ascii="Arial" w:hAnsi="Arial" w:cs="Arial"/>
                <w:bCs/>
                <w:iCs/>
                <w:color w:val="305DA1" w:themeColor="accent3" w:themeShade="80"/>
                <w:szCs w:val="22"/>
              </w:rPr>
              <w:t>’</w:t>
            </w:r>
          </w:p>
        </w:tc>
        <w:tc>
          <w:tcPr>
            <w:tcW w:w="2552" w:type="dxa"/>
            <w:tcBorders>
              <w:bottom w:val="single" w:sz="8" w:space="0" w:color="002C47" w:themeColor="text1"/>
            </w:tcBorders>
          </w:tcPr>
          <w:p w14:paraId="3AD974D2" w14:textId="77777777" w:rsidR="00261EDF" w:rsidRPr="00261EDF" w:rsidRDefault="00261EDF" w:rsidP="00261EDF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proofErr w:type="spellStart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e.g</w:t>
            </w:r>
            <w:proofErr w:type="spellEnd"/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:</w:t>
            </w:r>
          </w:p>
          <w:p w14:paraId="09DA1499" w14:textId="77777777" w:rsid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color w:val="305DA1" w:themeColor="accent3" w:themeShade="80"/>
                <w:szCs w:val="22"/>
              </w:rPr>
              <w:t>Sensitive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to – list antibiotics defined by Australian Strategic and Technical Advisory Group on 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lastRenderedPageBreak/>
              <w:t>Antimicrobial Resistance</w:t>
            </w:r>
          </w:p>
          <w:p w14:paraId="6EF3859D" w14:textId="279B3F5A" w:rsidR="00261EDF" w:rsidRPr="00261EDF" w:rsidRDefault="00261EDF" w:rsidP="00261EDF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Absence of - list virulence </w:t>
            </w:r>
            <w:r w:rsidRPr="00261EDF">
              <w:rPr>
                <w:rFonts w:ascii="Arial" w:hAnsi="Arial" w:cs="Arial"/>
                <w:color w:val="305DA1" w:themeColor="accent3" w:themeShade="80"/>
                <w:szCs w:val="22"/>
              </w:rPr>
              <w:t>genes</w:t>
            </w:r>
            <w:r w:rsidRPr="00261EDF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/ factors</w:t>
            </w:r>
          </w:p>
        </w:tc>
      </w:tr>
      <w:tr w:rsidR="00675951" w:rsidRPr="00675951" w14:paraId="14543C15" w14:textId="77777777" w:rsidTr="00675951">
        <w:tc>
          <w:tcPr>
            <w:tcW w:w="8779" w:type="dxa"/>
            <w:gridSpan w:val="3"/>
            <w:shd w:val="clear" w:color="auto" w:fill="B8CCEA"/>
          </w:tcPr>
          <w:p w14:paraId="10186E82" w14:textId="0ACB8243" w:rsidR="00675951" w:rsidRPr="00675951" w:rsidRDefault="00675951" w:rsidP="007B5E37">
            <w:pPr>
              <w:keepNext w:val="0"/>
              <w:rPr>
                <w:rFonts w:ascii="Arial" w:hAnsi="Arial" w:cs="Arial"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lastRenderedPageBreak/>
              <w:t>Identity</w:t>
            </w:r>
          </w:p>
        </w:tc>
      </w:tr>
      <w:tr w:rsidR="00C86F43" w:rsidRPr="00675951" w14:paraId="16A2DBE4" w14:textId="77777777" w:rsidTr="00C86F43">
        <w:tc>
          <w:tcPr>
            <w:tcW w:w="3109" w:type="dxa"/>
            <w:tcBorders>
              <w:bottom w:val="single" w:sz="8" w:space="0" w:color="002C47" w:themeColor="text1"/>
            </w:tcBorders>
          </w:tcPr>
          <w:p w14:paraId="7CC9FD1D" w14:textId="77777777" w:rsidR="00C86F43" w:rsidRPr="00C86F43" w:rsidRDefault="00C86F43" w:rsidP="00C86F43">
            <w:pPr>
              <w:keepNext w:val="0"/>
              <w:spacing w:before="0" w:after="0"/>
              <w:ind w:left="22" w:hanging="22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bookmarkStart w:id="3" w:name="_Hlk110848400"/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Identification to strain level</w:t>
            </w:r>
          </w:p>
          <w:p w14:paraId="6C0029C2" w14:textId="77777777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Genomic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method, </w:t>
            </w:r>
            <w:proofErr w:type="gramStart"/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e.g.</w:t>
            </w:r>
            <w:proofErr w:type="gramEnd"/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Whole Genome Sequencing</w:t>
            </w:r>
          </w:p>
          <w:p w14:paraId="5D4EEACA" w14:textId="77777777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Proteomic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and phenotypic methods (as supporting data)</w:t>
            </w:r>
          </w:p>
          <w:p w14:paraId="0BF75E4C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</w:p>
        </w:tc>
        <w:tc>
          <w:tcPr>
            <w:tcW w:w="3118" w:type="dxa"/>
            <w:tcBorders>
              <w:bottom w:val="single" w:sz="8" w:space="0" w:color="002C47" w:themeColor="text1"/>
            </w:tcBorders>
          </w:tcPr>
          <w:p w14:paraId="7F36352A" w14:textId="77777777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Microbial characterisation, identification and strain typing (USP-NF &lt;1113&gt;)</w:t>
            </w:r>
          </w:p>
          <w:p w14:paraId="38068122" w14:textId="5DA28903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EFSA statement on whole genome sequence 2021;19(7):6506, 14 pp.</w:t>
            </w:r>
          </w:p>
        </w:tc>
        <w:tc>
          <w:tcPr>
            <w:tcW w:w="2552" w:type="dxa"/>
            <w:tcBorders>
              <w:bottom w:val="single" w:sz="8" w:space="0" w:color="002C47" w:themeColor="text1"/>
            </w:tcBorders>
          </w:tcPr>
          <w:p w14:paraId="258DCC6D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e.g.:</w:t>
            </w:r>
          </w:p>
          <w:p w14:paraId="7DBEAA94" w14:textId="4BE82A78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18"/>
              </w:numPr>
              <w:adjustRightInd/>
              <w:snapToGrid/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color w:val="305DA1" w:themeColor="accent3" w:themeShade="80"/>
                <w:szCs w:val="22"/>
              </w:rPr>
              <w:t>Matches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the sequence of reference strain </w:t>
            </w:r>
          </w:p>
        </w:tc>
      </w:tr>
      <w:bookmarkEnd w:id="3"/>
      <w:tr w:rsidR="00675951" w:rsidRPr="00675951" w14:paraId="574113C4" w14:textId="77777777" w:rsidTr="00675951">
        <w:tc>
          <w:tcPr>
            <w:tcW w:w="8779" w:type="dxa"/>
            <w:gridSpan w:val="3"/>
            <w:shd w:val="clear" w:color="auto" w:fill="B8CCEA"/>
          </w:tcPr>
          <w:p w14:paraId="00DA7181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color w:val="333F48"/>
              </w:rPr>
              <w:t>Assay</w:t>
            </w:r>
          </w:p>
        </w:tc>
      </w:tr>
      <w:tr w:rsidR="00C86F43" w:rsidRPr="00675951" w14:paraId="6BFE67BD" w14:textId="77777777" w:rsidTr="00C86F43">
        <w:tc>
          <w:tcPr>
            <w:tcW w:w="3109" w:type="dxa"/>
          </w:tcPr>
          <w:p w14:paraId="32355F4D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u w:val="single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u w:val="single"/>
              </w:rPr>
              <w:t>For live microorganisms:</w:t>
            </w:r>
          </w:p>
          <w:p w14:paraId="1753D23F" w14:textId="77777777" w:rsidR="00BF35C9" w:rsidRDefault="00C86F43" w:rsidP="00BF35C9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 xml:space="preserve">Viable </w:t>
            </w:r>
            <w:r w:rsidRPr="00C86F43">
              <w:rPr>
                <w:rFonts w:ascii="Arial" w:hAnsi="Arial" w:cs="Arial"/>
                <w:color w:val="305DA1" w:themeColor="accent3" w:themeShade="80"/>
              </w:rPr>
              <w:t>cell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 xml:space="preserve"> count</w:t>
            </w:r>
          </w:p>
          <w:p w14:paraId="67533A31" w14:textId="5EF5D0B0" w:rsidR="00C86F43" w:rsidRPr="00BF35C9" w:rsidRDefault="00C86F43" w:rsidP="00BF35C9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BF35C9">
              <w:rPr>
                <w:rFonts w:ascii="Arial" w:hAnsi="Arial" w:cs="Arial"/>
                <w:color w:val="305DA1" w:themeColor="accent3" w:themeShade="80"/>
              </w:rPr>
              <w:t>Enumeration</w:t>
            </w:r>
            <w:r w:rsidRPr="00BF35C9">
              <w:rPr>
                <w:rFonts w:ascii="Arial" w:hAnsi="Arial" w:cs="Arial"/>
                <w:iCs/>
                <w:color w:val="305DA1" w:themeColor="accent3" w:themeShade="80"/>
              </w:rPr>
              <w:t xml:space="preserve"> of viable organisms</w:t>
            </w:r>
          </w:p>
        </w:tc>
        <w:tc>
          <w:tcPr>
            <w:tcW w:w="3118" w:type="dxa"/>
          </w:tcPr>
          <w:p w14:paraId="1ABCBB37" w14:textId="77777777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Probiotic tests (USP-NF &lt;64&gt;)</w:t>
            </w:r>
          </w:p>
          <w:p w14:paraId="4BB77C0C" w14:textId="5566E001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>SC IV L. Alternative Methods for Control of Microbiological Quality (Ph. Eur. general text 5.1.6)</w:t>
            </w:r>
          </w:p>
        </w:tc>
        <w:tc>
          <w:tcPr>
            <w:tcW w:w="2552" w:type="dxa"/>
          </w:tcPr>
          <w:p w14:paraId="66AC7AF3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e.g.:</w:t>
            </w:r>
          </w:p>
          <w:p w14:paraId="2ACEAA84" w14:textId="77777777" w:rsid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Viable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 xml:space="preserve"> count in CFU/g</w:t>
            </w:r>
          </w:p>
          <w:p w14:paraId="55A6685C" w14:textId="11F97A1F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Number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 xml:space="preserve"> of viable organisms/g</w:t>
            </w:r>
          </w:p>
        </w:tc>
      </w:tr>
      <w:tr w:rsidR="00C86F43" w:rsidRPr="00C86F43" w14:paraId="65E57B4A" w14:textId="77777777" w:rsidTr="00C86F43">
        <w:tc>
          <w:tcPr>
            <w:tcW w:w="3109" w:type="dxa"/>
          </w:tcPr>
          <w:p w14:paraId="15403225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u w:val="single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u w:val="single"/>
              </w:rPr>
              <w:t>For non-viable microorganisms:</w:t>
            </w:r>
          </w:p>
          <w:p w14:paraId="3C7768CE" w14:textId="77777777" w:rsid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Cell count before </w:t>
            </w:r>
            <w:r w:rsidRPr="00C86F43">
              <w:rPr>
                <w:rFonts w:ascii="Arial" w:hAnsi="Arial" w:cs="Arial"/>
                <w:color w:val="305DA1" w:themeColor="accent3" w:themeShade="80"/>
              </w:rPr>
              <w:t>inactivation</w:t>
            </w:r>
          </w:p>
          <w:p w14:paraId="13FD37E5" w14:textId="57784838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Enumeration of non-viable organisms</w:t>
            </w:r>
          </w:p>
        </w:tc>
        <w:tc>
          <w:tcPr>
            <w:tcW w:w="3118" w:type="dxa"/>
          </w:tcPr>
          <w:p w14:paraId="4D2A7EF4" w14:textId="77777777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</w:rPr>
            </w:pPr>
            <w:r w:rsidRPr="00C86F43">
              <w:rPr>
                <w:rFonts w:ascii="Arial" w:hAnsi="Arial" w:cs="Arial"/>
                <w:color w:val="305DA1" w:themeColor="accent3" w:themeShade="80"/>
                <w:lang w:eastAsia="en-US"/>
              </w:rPr>
              <w:t>Probiotic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 tests (USP-NF &lt;64&gt;)</w:t>
            </w:r>
          </w:p>
          <w:p w14:paraId="74560941" w14:textId="725547EE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SC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</w:rPr>
              <w:t xml:space="preserve"> IV L. Alternative Methods for Control of Microbiological Quality (Ph. Eur. general text 5.1.6)</w:t>
            </w:r>
          </w:p>
        </w:tc>
        <w:tc>
          <w:tcPr>
            <w:tcW w:w="2552" w:type="dxa"/>
          </w:tcPr>
          <w:p w14:paraId="4CB567E0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e.g.:</w:t>
            </w:r>
          </w:p>
          <w:p w14:paraId="411F38BF" w14:textId="13B8B51F" w:rsid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Deactivated C</w:t>
            </w:r>
            <w:r>
              <w:rPr>
                <w:rFonts w:ascii="Arial" w:hAnsi="Arial" w:cs="Arial"/>
                <w:iCs/>
                <w:color w:val="305DA1" w:themeColor="accent3" w:themeShade="80"/>
              </w:rPr>
              <w:t>F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U/g</w:t>
            </w:r>
          </w:p>
          <w:p w14:paraId="23AE043E" w14:textId="33EDB400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 xml:space="preserve">Number of non-viable </w:t>
            </w:r>
            <w:r w:rsidRPr="00C86F43">
              <w:rPr>
                <w:rFonts w:ascii="Arial" w:hAnsi="Arial" w:cs="Arial"/>
                <w:color w:val="305DA1" w:themeColor="accent3" w:themeShade="80"/>
              </w:rPr>
              <w:t>organisms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/g</w:t>
            </w:r>
          </w:p>
        </w:tc>
      </w:tr>
      <w:tr w:rsidR="00675951" w:rsidRPr="00675951" w14:paraId="0CD6CAB2" w14:textId="77777777" w:rsidTr="00675951">
        <w:tc>
          <w:tcPr>
            <w:tcW w:w="8779" w:type="dxa"/>
            <w:gridSpan w:val="3"/>
            <w:shd w:val="clear" w:color="auto" w:fill="B8CCEA"/>
          </w:tcPr>
          <w:p w14:paraId="19DEA118" w14:textId="77777777" w:rsidR="00675951" w:rsidRPr="00675951" w:rsidRDefault="00675951" w:rsidP="007B5E37">
            <w:pPr>
              <w:keepNext w:val="0"/>
              <w:rPr>
                <w:rFonts w:ascii="Arial" w:hAnsi="Arial" w:cs="Arial"/>
                <w:b/>
                <w:iCs/>
                <w:color w:val="333F48"/>
              </w:rPr>
            </w:pPr>
            <w:r w:rsidRPr="00675951">
              <w:rPr>
                <w:rFonts w:ascii="Arial" w:hAnsi="Arial" w:cs="Arial"/>
                <w:b/>
                <w:iCs/>
                <w:color w:val="333F48"/>
              </w:rPr>
              <w:t>Impurities and incidental constituents</w:t>
            </w:r>
            <w:r w:rsidRPr="000D1459">
              <w:rPr>
                <w:rFonts w:ascii="Arial" w:hAnsi="Arial" w:cs="Arial"/>
                <w:iCs/>
                <w:color w:val="333F48"/>
              </w:rPr>
              <w:t xml:space="preserve"> </w:t>
            </w:r>
            <w:r w:rsidRPr="000D1459">
              <w:rPr>
                <w:rFonts w:ascii="Arial" w:hAnsi="Arial" w:cs="Arial"/>
                <w:iCs/>
                <w:color w:val="333F48"/>
                <w:szCs w:val="22"/>
              </w:rPr>
              <w:t>(as applicable)</w:t>
            </w:r>
          </w:p>
        </w:tc>
      </w:tr>
      <w:tr w:rsidR="00675951" w:rsidRPr="00675951" w14:paraId="5C073C77" w14:textId="77777777" w:rsidTr="00675951">
        <w:tc>
          <w:tcPr>
            <w:tcW w:w="8779" w:type="dxa"/>
            <w:gridSpan w:val="3"/>
            <w:shd w:val="clear" w:color="auto" w:fill="B8CCEA"/>
          </w:tcPr>
          <w:p w14:paraId="085FBDF6" w14:textId="77777777" w:rsidR="00675951" w:rsidRPr="00675951" w:rsidRDefault="00675951" w:rsidP="00675951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 w:rsidRPr="00675951">
              <w:rPr>
                <w:rFonts w:ascii="Arial" w:hAnsi="Arial" w:cs="Arial"/>
                <w:b/>
                <w:bCs/>
                <w:color w:val="333F48"/>
              </w:rPr>
              <w:t>Elemental</w:t>
            </w:r>
            <w:r w:rsidRPr="00675951">
              <w:rPr>
                <w:rFonts w:ascii="Arial" w:hAnsi="Arial" w:cs="Arial"/>
                <w:b/>
                <w:color w:val="333F48"/>
              </w:rPr>
              <w:t xml:space="preserve"> impurities</w:t>
            </w:r>
          </w:p>
        </w:tc>
      </w:tr>
      <w:tr w:rsidR="00C86F43" w:rsidRPr="00675951" w14:paraId="089573D3" w14:textId="77777777" w:rsidTr="00C86F43">
        <w:trPr>
          <w:cantSplit/>
        </w:trPr>
        <w:tc>
          <w:tcPr>
            <w:tcW w:w="3109" w:type="dxa"/>
          </w:tcPr>
          <w:p w14:paraId="084D0E24" w14:textId="77777777" w:rsidR="00C86F43" w:rsidRPr="00C86F43" w:rsidRDefault="00C86F43" w:rsidP="00C86F43">
            <w:pPr>
              <w:keepNext w:val="0"/>
              <w:spacing w:before="0" w:after="12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</w:rPr>
              <w:t>T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 xml:space="preserve">otal heavy metals </w:t>
            </w:r>
          </w:p>
          <w:p w14:paraId="60FDE9A4" w14:textId="0F243AD8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23"/>
              </w:numPr>
              <w:spacing w:before="0" w:after="120"/>
              <w:ind w:left="168" w:hanging="142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  <w:t>Limits for specific metals or non-metals such as: lead, cadmium, mercury, arsenic</w:t>
            </w:r>
          </w:p>
        </w:tc>
        <w:tc>
          <w:tcPr>
            <w:tcW w:w="3118" w:type="dxa"/>
          </w:tcPr>
          <w:p w14:paraId="797DE1F4" w14:textId="7BF23A0C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18"/>
              </w:numPr>
              <w:spacing w:before="0" w:after="0" w:line="240" w:lineRule="auto"/>
              <w:ind w:left="198" w:hanging="198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Elemental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AU"/>
              </w:rPr>
              <w:t xml:space="preserve"> Impurities-Procedures (USP-NF &lt;233&gt;)</w:t>
            </w:r>
          </w:p>
        </w:tc>
        <w:tc>
          <w:tcPr>
            <w:tcW w:w="2552" w:type="dxa"/>
          </w:tcPr>
          <w:p w14:paraId="0A2E75B5" w14:textId="77777777" w:rsidR="00C86F43" w:rsidRPr="00C86F43" w:rsidRDefault="00C86F43" w:rsidP="00C86F43">
            <w:pPr>
              <w:spacing w:before="0" w:after="0" w:line="240" w:lineRule="auto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Limits to comply with applicable standards, e.g.: </w:t>
            </w:r>
          </w:p>
          <w:p w14:paraId="2D18E806" w14:textId="77777777" w:rsidR="00A566C5" w:rsidRPr="00A566C5" w:rsidRDefault="00C86F43" w:rsidP="00A566C5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ICH Q3D (R1) Elemental impurities</w:t>
            </w:r>
          </w:p>
          <w:p w14:paraId="6D5247B2" w14:textId="0E0691ED" w:rsidR="00C86F43" w:rsidRPr="00A566C5" w:rsidRDefault="00C86F43" w:rsidP="00A566C5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A566C5">
              <w:rPr>
                <w:rFonts w:ascii="Arial" w:hAnsi="Arial" w:cs="Arial"/>
                <w:color w:val="305DA1" w:themeColor="accent3" w:themeShade="80"/>
              </w:rPr>
              <w:t>Elemental contaminants in dietary supplements (USP-NF &lt;2232&gt;)</w:t>
            </w:r>
          </w:p>
        </w:tc>
      </w:tr>
      <w:tr w:rsidR="000D1459" w:rsidRPr="00675951" w14:paraId="4E9E69EE" w14:textId="77777777" w:rsidTr="007B5E37">
        <w:tc>
          <w:tcPr>
            <w:tcW w:w="8779" w:type="dxa"/>
            <w:gridSpan w:val="3"/>
            <w:shd w:val="clear" w:color="auto" w:fill="B8CCEA"/>
          </w:tcPr>
          <w:p w14:paraId="12B1EB59" w14:textId="34FF4FC6" w:rsidR="000D1459" w:rsidRPr="00675951" w:rsidRDefault="000D1459" w:rsidP="007B5E37">
            <w:pPr>
              <w:pStyle w:val="ListParagraph"/>
              <w:keepNext w:val="0"/>
              <w:numPr>
                <w:ilvl w:val="0"/>
                <w:numId w:val="24"/>
              </w:numPr>
              <w:rPr>
                <w:rFonts w:ascii="Arial" w:hAnsi="Arial" w:cs="Arial"/>
                <w:b/>
                <w:color w:val="333F48"/>
              </w:rPr>
            </w:pPr>
            <w:r>
              <w:rPr>
                <w:rFonts w:ascii="Arial" w:hAnsi="Arial" w:cs="Arial"/>
                <w:b/>
                <w:bCs/>
                <w:color w:val="333F48"/>
              </w:rPr>
              <w:t>Microbial contaminants</w:t>
            </w:r>
            <w:r w:rsidRPr="00675951">
              <w:rPr>
                <w:rFonts w:ascii="Arial" w:hAnsi="Arial" w:cs="Arial"/>
                <w:b/>
                <w:color w:val="333F48"/>
                <w:lang w:eastAsia="en-US"/>
              </w:rPr>
              <w:t xml:space="preserve"> </w:t>
            </w:r>
          </w:p>
        </w:tc>
      </w:tr>
      <w:tr w:rsidR="00C86F43" w:rsidRPr="00675951" w14:paraId="6E9567A9" w14:textId="77777777" w:rsidTr="00C86F43">
        <w:trPr>
          <w:cantSplit/>
        </w:trPr>
        <w:tc>
          <w:tcPr>
            <w:tcW w:w="3109" w:type="dxa"/>
          </w:tcPr>
          <w:p w14:paraId="54BDD986" w14:textId="5ABD43D6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lang w:eastAsia="en-US"/>
              </w:rPr>
            </w:pPr>
            <w:r w:rsidRPr="00C86F43">
              <w:rPr>
                <w:rFonts w:ascii="Arial" w:hAnsi="Arial" w:cs="Arial"/>
                <w:bCs/>
                <w:color w:val="305DA1" w:themeColor="accent3" w:themeShade="80"/>
              </w:rPr>
              <w:lastRenderedPageBreak/>
              <w:t>Appendix XVI D. Microbiological Quality of Non-sterile Pharmaceutical Preparations and Substances for Pharmaceutical Use (Ph. Eur. general text 5.1.4)</w:t>
            </w:r>
          </w:p>
        </w:tc>
        <w:tc>
          <w:tcPr>
            <w:tcW w:w="3118" w:type="dxa"/>
          </w:tcPr>
          <w:p w14:paraId="0F6F09DC" w14:textId="77777777" w:rsid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color w:val="305DA1" w:themeColor="accent3" w:themeShade="80"/>
              </w:rPr>
              <w:t>Microbial</w:t>
            </w: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 xml:space="preserve"> enumeration tests (USP-NF &lt;2021&gt;)</w:t>
            </w:r>
          </w:p>
          <w:p w14:paraId="124ECE3D" w14:textId="1F25FD31" w:rsidR="00C86F43" w:rsidRPr="00C86F43" w:rsidRDefault="00C86F43" w:rsidP="00C86F43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ind w:left="195" w:hanging="219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bCs/>
                <w:color w:val="305DA1" w:themeColor="accent3" w:themeShade="80"/>
              </w:rPr>
              <w:t xml:space="preserve">Appendix XVI B. </w:t>
            </w:r>
            <w:r w:rsidRPr="00C86F43">
              <w:rPr>
                <w:rFonts w:ascii="Arial" w:hAnsi="Arial" w:cs="Arial"/>
                <w:color w:val="305DA1" w:themeColor="accent3" w:themeShade="80"/>
              </w:rPr>
              <w:t>Microbiological</w:t>
            </w:r>
            <w:r w:rsidRPr="00C86F43">
              <w:rPr>
                <w:rFonts w:ascii="Arial" w:hAnsi="Arial" w:cs="Arial"/>
                <w:bCs/>
                <w:color w:val="305DA1" w:themeColor="accent3" w:themeShade="80"/>
              </w:rPr>
              <w:t xml:space="preserve"> examination of non-sterile products, Ph. Eur. general chapter 2.6.13</w:t>
            </w:r>
          </w:p>
        </w:tc>
        <w:tc>
          <w:tcPr>
            <w:tcW w:w="2552" w:type="dxa"/>
          </w:tcPr>
          <w:p w14:paraId="28B8A252" w14:textId="77777777" w:rsidR="00C86F43" w:rsidRPr="00C86F43" w:rsidRDefault="00C86F43" w:rsidP="00C86F43">
            <w:pPr>
              <w:keepNext w:val="0"/>
              <w:spacing w:before="0" w:after="0"/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Limits to comply with applicable standards, e.g.:</w:t>
            </w:r>
          </w:p>
          <w:p w14:paraId="744AA47E" w14:textId="4E37EA25" w:rsidR="00C86F43" w:rsidRPr="00C86F43" w:rsidRDefault="00C86F43" w:rsidP="00C86F43">
            <w:pPr>
              <w:pStyle w:val="ListParagraph"/>
              <w:keepNext w:val="0"/>
              <w:numPr>
                <w:ilvl w:val="0"/>
                <w:numId w:val="37"/>
              </w:numPr>
              <w:spacing w:before="0" w:after="0"/>
              <w:ind w:left="180" w:hanging="180"/>
              <w:rPr>
                <w:rFonts w:ascii="Arial" w:hAnsi="Arial" w:cs="Arial"/>
                <w:bCs/>
                <w:color w:val="305DA1" w:themeColor="accent3" w:themeShade="80"/>
              </w:rPr>
            </w:pPr>
            <w:r w:rsidRPr="00C86F43">
              <w:rPr>
                <w:rFonts w:ascii="Arial" w:hAnsi="Arial" w:cs="Arial"/>
                <w:iCs/>
                <w:color w:val="305DA1" w:themeColor="accent3" w:themeShade="80"/>
                <w:szCs w:val="22"/>
                <w:lang w:eastAsia="en-US"/>
              </w:rPr>
              <w:t>Probiotic tests (USP-NF &lt;64&gt;)</w:t>
            </w:r>
          </w:p>
        </w:tc>
      </w:tr>
    </w:tbl>
    <w:p w14:paraId="2FB09611" w14:textId="77777777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Footnotes</w:t>
      </w:r>
    </w:p>
    <w:p w14:paraId="2479D242" w14:textId="77777777" w:rsidR="00675951" w:rsidRPr="00675951" w:rsidRDefault="00675951" w:rsidP="00675951">
      <w:pPr>
        <w:rPr>
          <w:rFonts w:ascii="Arial" w:hAnsi="Arial" w:cs="Arial"/>
          <w:iCs/>
          <w:color w:val="305DA1" w:themeColor="accent3" w:themeShade="80"/>
        </w:rPr>
      </w:pPr>
      <w:r w:rsidRPr="00675951">
        <w:rPr>
          <w:rFonts w:ascii="Arial" w:hAnsi="Arial" w:cs="Arial"/>
          <w:iCs/>
          <w:color w:val="305DA1" w:themeColor="accent3" w:themeShade="80"/>
        </w:rPr>
        <w:t>Where non pharmacopeial/proprietary methods are used, include a list and summary of analytical method details against each proprietary method here.</w:t>
      </w:r>
    </w:p>
    <w:p w14:paraId="7083FDC6" w14:textId="3EFA76E0" w:rsidR="00675951" w:rsidRPr="00D60D51" w:rsidRDefault="00675951" w:rsidP="00675951">
      <w:pPr>
        <w:pStyle w:val="Heading2"/>
        <w:rPr>
          <w:rFonts w:ascii="Arial" w:hAnsi="Arial" w:cs="Arial"/>
          <w:color w:val="333F48"/>
          <w:sz w:val="22"/>
          <w:szCs w:val="22"/>
          <w:lang w:eastAsia="en-US"/>
        </w:rPr>
      </w:pPr>
      <w:r w:rsidRPr="00D60D51">
        <w:rPr>
          <w:rFonts w:ascii="Arial" w:hAnsi="Arial" w:cs="Arial"/>
          <w:color w:val="333F48"/>
          <w:sz w:val="22"/>
          <w:szCs w:val="22"/>
          <w:lang w:eastAsia="en-US"/>
        </w:rPr>
        <w:t>Abbreviations</w:t>
      </w:r>
    </w:p>
    <w:p w14:paraId="67F102B9" w14:textId="77777777" w:rsidR="00C86F43" w:rsidRPr="00C86F43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C86F43">
        <w:rPr>
          <w:rFonts w:ascii="Arial" w:hAnsi="Arial" w:cs="Arial"/>
          <w:color w:val="305DA1" w:themeColor="accent3" w:themeShade="80"/>
          <w:szCs w:val="22"/>
          <w:lang w:eastAsia="en-US"/>
        </w:rPr>
        <w:t>BP = British Pharmacopoeia</w:t>
      </w:r>
    </w:p>
    <w:p w14:paraId="24027210" w14:textId="77777777" w:rsidR="00C86F43" w:rsidRPr="00C86F43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C86F43">
        <w:rPr>
          <w:rFonts w:ascii="Arial" w:hAnsi="Arial" w:cs="Arial"/>
          <w:color w:val="305DA1" w:themeColor="accent3" w:themeShade="80"/>
          <w:szCs w:val="22"/>
          <w:lang w:eastAsia="en-US"/>
        </w:rPr>
        <w:t>CFU = Colony-Forming Unit</w:t>
      </w:r>
    </w:p>
    <w:p w14:paraId="0CDE9726" w14:textId="77777777" w:rsidR="00C86F43" w:rsidRPr="00C86F43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C86F43">
        <w:rPr>
          <w:rFonts w:ascii="Arial" w:hAnsi="Arial" w:cs="Arial"/>
          <w:color w:val="305DA1" w:themeColor="accent3" w:themeShade="80"/>
          <w:szCs w:val="22"/>
          <w:lang w:eastAsia="en-US"/>
        </w:rPr>
        <w:t>EFSA = European Food Safety Authority</w:t>
      </w:r>
    </w:p>
    <w:p w14:paraId="52593D48" w14:textId="77777777" w:rsidR="00C86F43" w:rsidRPr="00C86F43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bookmarkStart w:id="4" w:name="_Hlk109378823"/>
      <w:r w:rsidRPr="00C86F43">
        <w:rPr>
          <w:rFonts w:ascii="Arial" w:hAnsi="Arial" w:cs="Arial"/>
          <w:color w:val="305DA1" w:themeColor="accent3" w:themeShade="80"/>
          <w:szCs w:val="22"/>
          <w:lang w:eastAsia="en-US"/>
        </w:rPr>
        <w:t>EMA = European Medicines Agency</w:t>
      </w:r>
    </w:p>
    <w:bookmarkEnd w:id="4"/>
    <w:p w14:paraId="4490E100" w14:textId="77777777" w:rsidR="00C86F43" w:rsidRPr="00BB272E" w:rsidRDefault="00C86F43" w:rsidP="00C86F43">
      <w:pPr>
        <w:keepNext w:val="0"/>
        <w:spacing w:before="0" w:after="0" w:line="240" w:lineRule="auto"/>
        <w:rPr>
          <w:rFonts w:ascii="Arial" w:hAnsi="Arial" w:cs="Arial"/>
          <w:b/>
          <w:bCs/>
          <w:color w:val="305DA1" w:themeColor="accent3" w:themeShade="80"/>
          <w:szCs w:val="22"/>
          <w:lang w:eastAsia="en-US"/>
        </w:rPr>
      </w:pPr>
      <w:r w:rsidRPr="00C86F43">
        <w:rPr>
          <w:rStyle w:val="field-content"/>
          <w:rFonts w:ascii="Arial" w:hAnsi="Arial" w:cs="Arial"/>
          <w:color w:val="305DA1" w:themeColor="accent3" w:themeShade="80"/>
          <w:szCs w:val="22"/>
        </w:rPr>
        <w:t xml:space="preserve">ICH = </w:t>
      </w:r>
      <w:hyperlink r:id="rId11" w:tgtFrame="_blank" w:tooltip="link to the ICH website" w:history="1">
        <w:r w:rsidRPr="00BB272E">
          <w:rPr>
            <w:rStyle w:val="Hyperlink"/>
            <w:rFonts w:ascii="Arial" w:hAnsi="Arial" w:cs="Arial"/>
            <w:color w:val="305DA1" w:themeColor="accent3" w:themeShade="80"/>
            <w:szCs w:val="22"/>
            <w:u w:val="none"/>
          </w:rPr>
          <w:t>International Conference on Harmonisation of Technical Requirements for Registration of Pharmaceuticals for Human Use</w:t>
        </w:r>
      </w:hyperlink>
    </w:p>
    <w:p w14:paraId="0514A1C8" w14:textId="77777777" w:rsidR="00C86F43" w:rsidRPr="00BB272E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BB272E">
        <w:rPr>
          <w:rFonts w:ascii="Arial" w:hAnsi="Arial" w:cs="Arial"/>
          <w:color w:val="305DA1" w:themeColor="accent3" w:themeShade="80"/>
          <w:szCs w:val="22"/>
          <w:lang w:eastAsia="en-US"/>
        </w:rPr>
        <w:t>Ph. Eur. = European Pharmacopoeia</w:t>
      </w:r>
    </w:p>
    <w:p w14:paraId="038F34E6" w14:textId="77777777" w:rsidR="00C86F43" w:rsidRPr="00C86F43" w:rsidRDefault="00C86F43" w:rsidP="00C86F43">
      <w:pPr>
        <w:keepNext w:val="0"/>
        <w:spacing w:before="0" w:after="0" w:line="240" w:lineRule="auto"/>
        <w:rPr>
          <w:rFonts w:ascii="Arial" w:hAnsi="Arial" w:cs="Arial"/>
          <w:color w:val="305DA1" w:themeColor="accent3" w:themeShade="80"/>
          <w:szCs w:val="22"/>
          <w:lang w:eastAsia="en-US"/>
        </w:rPr>
      </w:pPr>
      <w:r w:rsidRPr="00C86F43">
        <w:rPr>
          <w:rFonts w:ascii="Arial" w:hAnsi="Arial" w:cs="Arial"/>
          <w:color w:val="305DA1" w:themeColor="accent3" w:themeShade="80"/>
          <w:szCs w:val="22"/>
          <w:lang w:eastAsia="en-US"/>
        </w:rPr>
        <w:t>USP = United States Pharmacopoeia</w:t>
      </w:r>
    </w:p>
    <w:p w14:paraId="53AA03B3" w14:textId="17E57BD7" w:rsidR="00BB272E" w:rsidRPr="00B90792" w:rsidRDefault="00C86F43" w:rsidP="00B90792">
      <w:pPr>
        <w:keepNext w:val="0"/>
        <w:spacing w:before="0" w:after="360" w:line="240" w:lineRule="auto"/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</w:pPr>
      <w:r w:rsidRPr="00C86F43">
        <w:rPr>
          <w:rFonts w:ascii="Arial" w:hAnsi="Arial" w:cs="Arial"/>
          <w:color w:val="305DA1" w:themeColor="accent3" w:themeShade="80"/>
          <w:szCs w:val="22"/>
          <w:shd w:val="clear" w:color="auto" w:fill="FFFFFF"/>
        </w:rPr>
        <w:t>USP-NF = United States Pharmacopeia and the National Formulary</w:t>
      </w:r>
    </w:p>
    <w:tbl>
      <w:tblPr>
        <w:tblStyle w:val="TableTGAblack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701"/>
      </w:tblGrid>
      <w:tr w:rsidR="00675951" w:rsidRPr="00675951" w14:paraId="4B5A3A69" w14:textId="77777777" w:rsidTr="007B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</w:tcPr>
          <w:p w14:paraId="6EA02E69" w14:textId="77777777" w:rsidR="00675951" w:rsidRPr="00675951" w:rsidRDefault="00675951" w:rsidP="007B5E37">
            <w:pPr>
              <w:keepLines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Version</w:t>
            </w:r>
          </w:p>
        </w:tc>
        <w:tc>
          <w:tcPr>
            <w:tcW w:w="5528" w:type="dxa"/>
          </w:tcPr>
          <w:p w14:paraId="12216563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Description of change (for official use only)</w:t>
            </w:r>
          </w:p>
        </w:tc>
        <w:tc>
          <w:tcPr>
            <w:tcW w:w="1701" w:type="dxa"/>
          </w:tcPr>
          <w:p w14:paraId="263B4887" w14:textId="77777777" w:rsidR="00675951" w:rsidRPr="00675951" w:rsidRDefault="00675951" w:rsidP="007B5E3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5951">
              <w:rPr>
                <w:rFonts w:ascii="Arial" w:hAnsi="Arial" w:cs="Arial"/>
              </w:rPr>
              <w:t>Effective date</w:t>
            </w:r>
          </w:p>
        </w:tc>
      </w:tr>
      <w:tr w:rsidR="00675951" w:rsidRPr="00675951" w14:paraId="56032E07" w14:textId="77777777" w:rsidTr="007B5E37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7FA00A" w14:textId="77777777" w:rsidR="00675951" w:rsidRPr="00675951" w:rsidRDefault="00675951" w:rsidP="007B5E37">
            <w:pPr>
              <w:keepNext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E2B8DED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F0A553" w14:textId="77777777" w:rsidR="00675951" w:rsidRPr="00675951" w:rsidRDefault="00675951" w:rsidP="007B5E37">
            <w:pPr>
              <w:keepNex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EFDB65C" w14:textId="01A97A92" w:rsidR="00D60D51" w:rsidRPr="00D60D51" w:rsidRDefault="00D60D51" w:rsidP="00B90792">
      <w:pPr>
        <w:tabs>
          <w:tab w:val="left" w:pos="3759"/>
        </w:tabs>
        <w:rPr>
          <w:rFonts w:ascii="Arial" w:hAnsi="Arial" w:cs="Arial"/>
        </w:rPr>
      </w:pPr>
    </w:p>
    <w:sectPr w:rsidR="00D60D51" w:rsidRPr="00D60D51" w:rsidSect="00C86F43">
      <w:footerReference w:type="default" r:id="rId12"/>
      <w:footerReference w:type="first" r:id="rId13"/>
      <w:pgSz w:w="11906" w:h="16838" w:code="9"/>
      <w:pgMar w:top="851" w:right="1701" w:bottom="1361" w:left="1701" w:header="42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67AD" w14:textId="77777777" w:rsidR="005A24D1" w:rsidRDefault="005A24D1" w:rsidP="00C40A36">
      <w:r>
        <w:separator/>
      </w:r>
    </w:p>
  </w:endnote>
  <w:endnote w:type="continuationSeparator" w:id="0">
    <w:p w14:paraId="1594CEDA" w14:textId="77777777" w:rsidR="005A24D1" w:rsidRDefault="005A24D1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6CC14776" w14:textId="77777777" w:rsidTr="007B5E37">
      <w:tc>
        <w:tcPr>
          <w:tcW w:w="6379" w:type="dxa"/>
        </w:tcPr>
        <w:p w14:paraId="23762F13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184418862"/>
            <w:docPartObj>
              <w:docPartGallery w:val="Page Numbers (Top of Page)"/>
              <w:docPartUnique/>
            </w:docPartObj>
          </w:sdtPr>
          <w:sdtEndPr/>
          <w:sdtContent>
            <w:p w14:paraId="07F8BEED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737D74BC" w14:textId="77777777" w:rsidR="00271BB2" w:rsidRPr="00D60D51" w:rsidRDefault="00271BB2" w:rsidP="00FC520A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551"/>
    </w:tblGrid>
    <w:tr w:rsidR="00D60D51" w:rsidRPr="00D60D51" w14:paraId="0C0753B7" w14:textId="77777777" w:rsidTr="005C6096">
      <w:tc>
        <w:tcPr>
          <w:tcW w:w="6379" w:type="dxa"/>
        </w:tcPr>
        <w:p w14:paraId="36974240" w14:textId="77777777" w:rsidR="00D60D51" w:rsidRPr="00D60D51" w:rsidRDefault="00D60D51" w:rsidP="00D60D51">
          <w:pPr>
            <w:spacing w:before="60" w:after="60"/>
            <w:rPr>
              <w:rFonts w:ascii="Arial" w:hAnsi="Arial" w:cs="Arial"/>
            </w:rPr>
          </w:pPr>
          <w:r w:rsidRPr="00D60D51">
            <w:rPr>
              <w:rFonts w:ascii="Arial" w:hAnsi="Arial" w:cs="Arial"/>
            </w:rPr>
            <w:t xml:space="preserve">Compositional Guideline: </w:t>
          </w:r>
          <w:r w:rsidRPr="00D60D51">
            <w:rPr>
              <w:rFonts w:ascii="Arial" w:hAnsi="Arial" w:cs="Arial"/>
              <w:color w:val="305DA1" w:themeColor="accent3" w:themeShade="80"/>
            </w:rPr>
            <w:t>Name of substance</w:t>
          </w:r>
        </w:p>
      </w:tc>
      <w:tc>
        <w:tcPr>
          <w:tcW w:w="2551" w:type="dxa"/>
        </w:tcPr>
        <w:sdt>
          <w:sdtPr>
            <w:rPr>
              <w:rFonts w:ascii="Arial" w:hAnsi="Arial" w:cs="Arial"/>
            </w:rPr>
            <w:id w:val="-175583436"/>
            <w:docPartObj>
              <w:docPartGallery w:val="Page Numbers (Top of Page)"/>
              <w:docPartUnique/>
            </w:docPartObj>
          </w:sdtPr>
          <w:sdtEndPr/>
          <w:sdtContent>
            <w:p w14:paraId="63D5616C" w14:textId="77777777" w:rsidR="00D60D51" w:rsidRPr="00D60D51" w:rsidRDefault="00D60D51" w:rsidP="00D60D51">
              <w:pPr>
                <w:spacing w:before="60" w:after="60"/>
                <w:jc w:val="right"/>
                <w:rPr>
                  <w:rFonts w:ascii="Arial" w:hAnsi="Arial" w:cs="Arial"/>
                </w:rPr>
              </w:pPr>
              <w:r w:rsidRPr="00D60D51">
                <w:rPr>
                  <w:rFonts w:ascii="Arial" w:hAnsi="Arial" w:cs="Arial"/>
                </w:rPr>
                <w:t xml:space="preserve">Page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PAGE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1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  <w:r w:rsidRPr="00D60D51">
                <w:rPr>
                  <w:rFonts w:ascii="Arial" w:hAnsi="Arial" w:cs="Arial"/>
                </w:rPr>
                <w:t xml:space="preserve"> of </w:t>
              </w:r>
              <w:r w:rsidRPr="00D60D51">
                <w:rPr>
                  <w:rFonts w:ascii="Arial" w:hAnsi="Arial" w:cs="Arial"/>
                </w:rPr>
                <w:fldChar w:fldCharType="begin"/>
              </w:r>
              <w:r w:rsidRPr="00D60D51">
                <w:rPr>
                  <w:rFonts w:ascii="Arial" w:hAnsi="Arial" w:cs="Arial"/>
                </w:rPr>
                <w:instrText xml:space="preserve"> NUMPAGES  </w:instrText>
              </w:r>
              <w:r w:rsidRPr="00D60D51">
                <w:rPr>
                  <w:rFonts w:ascii="Arial" w:hAnsi="Arial" w:cs="Arial"/>
                </w:rPr>
                <w:fldChar w:fldCharType="separate"/>
              </w:r>
              <w:r w:rsidRPr="00D60D51">
                <w:rPr>
                  <w:rFonts w:ascii="Arial" w:hAnsi="Arial" w:cs="Arial"/>
                  <w:noProof/>
                </w:rPr>
                <w:t>5</w:t>
              </w:r>
              <w:r w:rsidRPr="00D60D51">
                <w:rPr>
                  <w:rFonts w:ascii="Arial" w:hAnsi="Arial" w:cs="Arial"/>
                  <w:noProof/>
                </w:rPr>
                <w:fldChar w:fldCharType="end"/>
              </w:r>
            </w:p>
          </w:sdtContent>
        </w:sdt>
      </w:tc>
    </w:tr>
  </w:tbl>
  <w:p w14:paraId="572DA119" w14:textId="77777777" w:rsidR="00271BB2" w:rsidRPr="0068201D" w:rsidRDefault="00271BB2" w:rsidP="005C6096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6845" w14:textId="77777777" w:rsidR="005A24D1" w:rsidRDefault="005A24D1" w:rsidP="00C40A36">
      <w:r>
        <w:separator/>
      </w:r>
    </w:p>
  </w:footnote>
  <w:footnote w:type="continuationSeparator" w:id="0">
    <w:p w14:paraId="6D6F0E57" w14:textId="77777777" w:rsidR="005A24D1" w:rsidRDefault="005A24D1" w:rsidP="00C40A36">
      <w:r>
        <w:continuationSeparator/>
      </w:r>
    </w:p>
  </w:footnote>
  <w:footnote w:id="1">
    <w:p w14:paraId="59C21F3A" w14:textId="77777777" w:rsidR="00675951" w:rsidRPr="00D60D51" w:rsidRDefault="00675951" w:rsidP="00675951">
      <w:pPr>
        <w:pStyle w:val="FootnoteText"/>
        <w:rPr>
          <w:rFonts w:ascii="Arial" w:hAnsi="Arial" w:cs="Arial"/>
        </w:rPr>
      </w:pPr>
      <w:r w:rsidRPr="00D60D51">
        <w:rPr>
          <w:rStyle w:val="FootnoteReference"/>
          <w:rFonts w:ascii="Arial" w:hAnsi="Arial" w:cs="Arial"/>
          <w:color w:val="305DA1" w:themeColor="accent3" w:themeShade="80"/>
        </w:rPr>
        <w:footnoteRef/>
      </w:r>
      <w:r w:rsidRPr="00D60D51">
        <w:rPr>
          <w:rFonts w:ascii="Arial" w:hAnsi="Arial" w:cs="Arial"/>
          <w:iCs/>
          <w:color w:val="305DA1" w:themeColor="accent3" w:themeShade="80"/>
          <w:szCs w:val="22"/>
          <w:lang w:eastAsia="en-US"/>
        </w:rPr>
        <w:t xml:space="preserve"> Where limits exceed recommended thresholds of pharmacopeial standards and/or ICH/EMA guidelines, limits should be justified in the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2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2538D"/>
    <w:multiLevelType w:val="hybridMultilevel"/>
    <w:tmpl w:val="0BDA0114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063"/>
    <w:multiLevelType w:val="hybridMultilevel"/>
    <w:tmpl w:val="05560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31A5"/>
    <w:multiLevelType w:val="hybridMultilevel"/>
    <w:tmpl w:val="A216C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7" w15:restartNumberingAfterBreak="0">
    <w:nsid w:val="133624AD"/>
    <w:multiLevelType w:val="hybridMultilevel"/>
    <w:tmpl w:val="85E064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E1597A"/>
    <w:multiLevelType w:val="hybridMultilevel"/>
    <w:tmpl w:val="5338D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74347"/>
    <w:multiLevelType w:val="hybridMultilevel"/>
    <w:tmpl w:val="EE96A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1F2C"/>
    <w:multiLevelType w:val="hybridMultilevel"/>
    <w:tmpl w:val="130AA66C"/>
    <w:lvl w:ilvl="0" w:tplc="1FD45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27E05"/>
    <w:multiLevelType w:val="hybridMultilevel"/>
    <w:tmpl w:val="B6D8075A"/>
    <w:lvl w:ilvl="0" w:tplc="F408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5B2B"/>
    <w:multiLevelType w:val="hybridMultilevel"/>
    <w:tmpl w:val="771C0938"/>
    <w:lvl w:ilvl="0" w:tplc="5AEEE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1396C"/>
    <w:multiLevelType w:val="hybridMultilevel"/>
    <w:tmpl w:val="2F321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13EC"/>
    <w:multiLevelType w:val="hybridMultilevel"/>
    <w:tmpl w:val="6598F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CAB"/>
    <w:multiLevelType w:val="hybridMultilevel"/>
    <w:tmpl w:val="DEF04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410E"/>
    <w:multiLevelType w:val="hybridMultilevel"/>
    <w:tmpl w:val="F2F0A1B0"/>
    <w:lvl w:ilvl="0" w:tplc="5AEEEBFE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0">
    <w:nsid w:val="3A365C14"/>
    <w:multiLevelType w:val="hybridMultilevel"/>
    <w:tmpl w:val="4B705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01178"/>
    <w:multiLevelType w:val="hybridMultilevel"/>
    <w:tmpl w:val="87AEB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37D4"/>
    <w:multiLevelType w:val="hybridMultilevel"/>
    <w:tmpl w:val="1E48F3B0"/>
    <w:lvl w:ilvl="0" w:tplc="5AEEE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F2F2" w:themeColor="background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5A4D"/>
    <w:multiLevelType w:val="hybridMultilevel"/>
    <w:tmpl w:val="2552F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5663"/>
    <w:multiLevelType w:val="hybridMultilevel"/>
    <w:tmpl w:val="93DAA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A04"/>
    <w:multiLevelType w:val="hybridMultilevel"/>
    <w:tmpl w:val="070C9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60817"/>
    <w:multiLevelType w:val="hybridMultilevel"/>
    <w:tmpl w:val="7EF2B14A"/>
    <w:lvl w:ilvl="0" w:tplc="F1002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17FE3"/>
    <w:multiLevelType w:val="hybridMultilevel"/>
    <w:tmpl w:val="1BBEB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984543"/>
    <w:multiLevelType w:val="hybridMultilevel"/>
    <w:tmpl w:val="9C3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54D06"/>
    <w:multiLevelType w:val="hybridMultilevel"/>
    <w:tmpl w:val="15965DF4"/>
    <w:lvl w:ilvl="0" w:tplc="F21CE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05DA1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C3E62"/>
    <w:multiLevelType w:val="hybridMultilevel"/>
    <w:tmpl w:val="BFD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8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8"/>
  </w:num>
  <w:num w:numId="13">
    <w:abstractNumId w:val="8"/>
  </w:num>
  <w:num w:numId="14">
    <w:abstractNumId w:val="8"/>
  </w:num>
  <w:num w:numId="15">
    <w:abstractNumId w:val="6"/>
  </w:num>
  <w:num w:numId="16">
    <w:abstractNumId w:val="6"/>
  </w:num>
  <w:num w:numId="17">
    <w:abstractNumId w:val="6"/>
  </w:num>
  <w:num w:numId="18">
    <w:abstractNumId w:val="27"/>
  </w:num>
  <w:num w:numId="19">
    <w:abstractNumId w:val="21"/>
  </w:num>
  <w:num w:numId="20">
    <w:abstractNumId w:val="17"/>
  </w:num>
  <w:num w:numId="21">
    <w:abstractNumId w:val="13"/>
  </w:num>
  <w:num w:numId="22">
    <w:abstractNumId w:val="20"/>
  </w:num>
  <w:num w:numId="23">
    <w:abstractNumId w:val="19"/>
  </w:num>
  <w:num w:numId="24">
    <w:abstractNumId w:val="25"/>
  </w:num>
  <w:num w:numId="25">
    <w:abstractNumId w:val="9"/>
  </w:num>
  <w:num w:numId="26">
    <w:abstractNumId w:val="22"/>
  </w:num>
  <w:num w:numId="27">
    <w:abstractNumId w:val="3"/>
  </w:num>
  <w:num w:numId="28">
    <w:abstractNumId w:val="24"/>
  </w:num>
  <w:num w:numId="29">
    <w:abstractNumId w:val="16"/>
  </w:num>
  <w:num w:numId="30">
    <w:abstractNumId w:val="10"/>
  </w:num>
  <w:num w:numId="31">
    <w:abstractNumId w:val="12"/>
  </w:num>
  <w:num w:numId="32">
    <w:abstractNumId w:val="14"/>
  </w:num>
  <w:num w:numId="33">
    <w:abstractNumId w:val="11"/>
  </w:num>
  <w:num w:numId="34">
    <w:abstractNumId w:val="23"/>
  </w:num>
  <w:num w:numId="35">
    <w:abstractNumId w:val="15"/>
  </w:num>
  <w:num w:numId="36">
    <w:abstractNumId w:val="18"/>
  </w:num>
  <w:num w:numId="37">
    <w:abstractNumId w:val="28"/>
  </w:num>
  <w:num w:numId="38">
    <w:abstractNumId w:val="4"/>
  </w:num>
  <w:num w:numId="39">
    <w:abstractNumId w:val="5"/>
  </w:num>
  <w:num w:numId="40">
    <w:abstractNumId w:val="2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51"/>
    <w:rsid w:val="00002031"/>
    <w:rsid w:val="00004734"/>
    <w:rsid w:val="00006B22"/>
    <w:rsid w:val="0001276A"/>
    <w:rsid w:val="00017FC2"/>
    <w:rsid w:val="00022A2D"/>
    <w:rsid w:val="00024299"/>
    <w:rsid w:val="000246AE"/>
    <w:rsid w:val="00025C67"/>
    <w:rsid w:val="000521FD"/>
    <w:rsid w:val="0005559E"/>
    <w:rsid w:val="00077775"/>
    <w:rsid w:val="00090471"/>
    <w:rsid w:val="00090B54"/>
    <w:rsid w:val="000A4024"/>
    <w:rsid w:val="000B2651"/>
    <w:rsid w:val="000B3532"/>
    <w:rsid w:val="000B3A75"/>
    <w:rsid w:val="000B7084"/>
    <w:rsid w:val="000C1BBB"/>
    <w:rsid w:val="000C295E"/>
    <w:rsid w:val="000C3C09"/>
    <w:rsid w:val="000C4DE7"/>
    <w:rsid w:val="000D1459"/>
    <w:rsid w:val="000D391B"/>
    <w:rsid w:val="000D3D6D"/>
    <w:rsid w:val="000D4FC7"/>
    <w:rsid w:val="000F4869"/>
    <w:rsid w:val="000F5B42"/>
    <w:rsid w:val="000F6E6F"/>
    <w:rsid w:val="001003F2"/>
    <w:rsid w:val="0010601F"/>
    <w:rsid w:val="00110EA5"/>
    <w:rsid w:val="00111E0E"/>
    <w:rsid w:val="00115240"/>
    <w:rsid w:val="00125318"/>
    <w:rsid w:val="001305A2"/>
    <w:rsid w:val="00133238"/>
    <w:rsid w:val="0014197B"/>
    <w:rsid w:val="001447CD"/>
    <w:rsid w:val="00146F10"/>
    <w:rsid w:val="001516B1"/>
    <w:rsid w:val="00156316"/>
    <w:rsid w:val="00161908"/>
    <w:rsid w:val="00165389"/>
    <w:rsid w:val="001706CD"/>
    <w:rsid w:val="0017526B"/>
    <w:rsid w:val="0017693F"/>
    <w:rsid w:val="0018110E"/>
    <w:rsid w:val="00181684"/>
    <w:rsid w:val="001843C6"/>
    <w:rsid w:val="001850E0"/>
    <w:rsid w:val="001A525F"/>
    <w:rsid w:val="001B09F9"/>
    <w:rsid w:val="001B6448"/>
    <w:rsid w:val="001C1583"/>
    <w:rsid w:val="001D5858"/>
    <w:rsid w:val="001E07CF"/>
    <w:rsid w:val="001E5810"/>
    <w:rsid w:val="001E59F1"/>
    <w:rsid w:val="001F49EB"/>
    <w:rsid w:val="001F6CBA"/>
    <w:rsid w:val="001F7BF8"/>
    <w:rsid w:val="00201D4E"/>
    <w:rsid w:val="00220B8A"/>
    <w:rsid w:val="0022194D"/>
    <w:rsid w:val="002257F3"/>
    <w:rsid w:val="00231436"/>
    <w:rsid w:val="002316FE"/>
    <w:rsid w:val="00232019"/>
    <w:rsid w:val="00233456"/>
    <w:rsid w:val="002339A5"/>
    <w:rsid w:val="00251A47"/>
    <w:rsid w:val="00257848"/>
    <w:rsid w:val="00261EDF"/>
    <w:rsid w:val="0026430C"/>
    <w:rsid w:val="0027084A"/>
    <w:rsid w:val="00271BB2"/>
    <w:rsid w:val="00280F95"/>
    <w:rsid w:val="00286434"/>
    <w:rsid w:val="00286C59"/>
    <w:rsid w:val="002942D1"/>
    <w:rsid w:val="002A0556"/>
    <w:rsid w:val="002B1638"/>
    <w:rsid w:val="002C4547"/>
    <w:rsid w:val="002D0354"/>
    <w:rsid w:val="002E4C9A"/>
    <w:rsid w:val="002E4E7C"/>
    <w:rsid w:val="002E550D"/>
    <w:rsid w:val="002E67CA"/>
    <w:rsid w:val="002F11F8"/>
    <w:rsid w:val="002F3F56"/>
    <w:rsid w:val="002F44B5"/>
    <w:rsid w:val="00311AC0"/>
    <w:rsid w:val="00332DCC"/>
    <w:rsid w:val="003521E8"/>
    <w:rsid w:val="003664BF"/>
    <w:rsid w:val="003728F3"/>
    <w:rsid w:val="00375F1A"/>
    <w:rsid w:val="003778AD"/>
    <w:rsid w:val="00387DD0"/>
    <w:rsid w:val="00390900"/>
    <w:rsid w:val="003B7E39"/>
    <w:rsid w:val="003C0A18"/>
    <w:rsid w:val="003C58DC"/>
    <w:rsid w:val="003D4A72"/>
    <w:rsid w:val="003E3208"/>
    <w:rsid w:val="003E37DF"/>
    <w:rsid w:val="003F0B04"/>
    <w:rsid w:val="0040134E"/>
    <w:rsid w:val="00403BC9"/>
    <w:rsid w:val="00404D7F"/>
    <w:rsid w:val="00432436"/>
    <w:rsid w:val="00440A2D"/>
    <w:rsid w:val="0044337B"/>
    <w:rsid w:val="00443C32"/>
    <w:rsid w:val="004564A7"/>
    <w:rsid w:val="004617BF"/>
    <w:rsid w:val="00466C1D"/>
    <w:rsid w:val="00494E60"/>
    <w:rsid w:val="004B7B76"/>
    <w:rsid w:val="004C5ABB"/>
    <w:rsid w:val="004C6D78"/>
    <w:rsid w:val="004D4103"/>
    <w:rsid w:val="004F0F38"/>
    <w:rsid w:val="004F4C94"/>
    <w:rsid w:val="00501921"/>
    <w:rsid w:val="00501A05"/>
    <w:rsid w:val="005060C8"/>
    <w:rsid w:val="00530354"/>
    <w:rsid w:val="005434C6"/>
    <w:rsid w:val="00543B39"/>
    <w:rsid w:val="00550096"/>
    <w:rsid w:val="00557FF9"/>
    <w:rsid w:val="00571DA2"/>
    <w:rsid w:val="00576378"/>
    <w:rsid w:val="00577E38"/>
    <w:rsid w:val="0058201A"/>
    <w:rsid w:val="00585322"/>
    <w:rsid w:val="00593AD1"/>
    <w:rsid w:val="005A1131"/>
    <w:rsid w:val="005A24D1"/>
    <w:rsid w:val="005A3DBA"/>
    <w:rsid w:val="005A6E1E"/>
    <w:rsid w:val="005C5570"/>
    <w:rsid w:val="005C5E62"/>
    <w:rsid w:val="005C6096"/>
    <w:rsid w:val="005C79A4"/>
    <w:rsid w:val="005D5442"/>
    <w:rsid w:val="00630352"/>
    <w:rsid w:val="00640FC3"/>
    <w:rsid w:val="00642020"/>
    <w:rsid w:val="0064475A"/>
    <w:rsid w:val="0065337B"/>
    <w:rsid w:val="0065419D"/>
    <w:rsid w:val="006604D8"/>
    <w:rsid w:val="00664A5B"/>
    <w:rsid w:val="00675951"/>
    <w:rsid w:val="00680C08"/>
    <w:rsid w:val="0068201D"/>
    <w:rsid w:val="0068741A"/>
    <w:rsid w:val="006931B1"/>
    <w:rsid w:val="006935E5"/>
    <w:rsid w:val="006A15C0"/>
    <w:rsid w:val="006B3F5D"/>
    <w:rsid w:val="006C116C"/>
    <w:rsid w:val="006C1F3B"/>
    <w:rsid w:val="006C3E2A"/>
    <w:rsid w:val="006C642F"/>
    <w:rsid w:val="006D03E5"/>
    <w:rsid w:val="006D4786"/>
    <w:rsid w:val="006D5D3E"/>
    <w:rsid w:val="006E08B3"/>
    <w:rsid w:val="006E1F61"/>
    <w:rsid w:val="006F19B7"/>
    <w:rsid w:val="006F4785"/>
    <w:rsid w:val="006F572E"/>
    <w:rsid w:val="00703FCD"/>
    <w:rsid w:val="007046D6"/>
    <w:rsid w:val="00705DB0"/>
    <w:rsid w:val="00706AFE"/>
    <w:rsid w:val="00715A03"/>
    <w:rsid w:val="0072156C"/>
    <w:rsid w:val="007403DA"/>
    <w:rsid w:val="007417F3"/>
    <w:rsid w:val="0074253D"/>
    <w:rsid w:val="0074429B"/>
    <w:rsid w:val="00745886"/>
    <w:rsid w:val="007477F8"/>
    <w:rsid w:val="007615BC"/>
    <w:rsid w:val="00762F05"/>
    <w:rsid w:val="007652FF"/>
    <w:rsid w:val="0077104D"/>
    <w:rsid w:val="00771329"/>
    <w:rsid w:val="007723B6"/>
    <w:rsid w:val="00773EF7"/>
    <w:rsid w:val="00774E1D"/>
    <w:rsid w:val="0077675A"/>
    <w:rsid w:val="00780355"/>
    <w:rsid w:val="0078393F"/>
    <w:rsid w:val="00785721"/>
    <w:rsid w:val="00793A59"/>
    <w:rsid w:val="007967CF"/>
    <w:rsid w:val="007A2162"/>
    <w:rsid w:val="007B0408"/>
    <w:rsid w:val="007C0F3D"/>
    <w:rsid w:val="007C1AF7"/>
    <w:rsid w:val="007C1CB8"/>
    <w:rsid w:val="007D22C0"/>
    <w:rsid w:val="007E6396"/>
    <w:rsid w:val="00821776"/>
    <w:rsid w:val="00826007"/>
    <w:rsid w:val="008321F5"/>
    <w:rsid w:val="00832369"/>
    <w:rsid w:val="00834660"/>
    <w:rsid w:val="00836BC2"/>
    <w:rsid w:val="008429B0"/>
    <w:rsid w:val="00846418"/>
    <w:rsid w:val="00855221"/>
    <w:rsid w:val="0085641B"/>
    <w:rsid w:val="00857136"/>
    <w:rsid w:val="00863F02"/>
    <w:rsid w:val="0087502F"/>
    <w:rsid w:val="00875F6F"/>
    <w:rsid w:val="008831B7"/>
    <w:rsid w:val="0089465C"/>
    <w:rsid w:val="00896018"/>
    <w:rsid w:val="008A2B9D"/>
    <w:rsid w:val="008A5E0B"/>
    <w:rsid w:val="008A6D59"/>
    <w:rsid w:val="008B4B03"/>
    <w:rsid w:val="008B596F"/>
    <w:rsid w:val="008C159F"/>
    <w:rsid w:val="008C1623"/>
    <w:rsid w:val="008C51A9"/>
    <w:rsid w:val="008D245E"/>
    <w:rsid w:val="008E367D"/>
    <w:rsid w:val="008F1CCC"/>
    <w:rsid w:val="008F2967"/>
    <w:rsid w:val="008F382A"/>
    <w:rsid w:val="009032D7"/>
    <w:rsid w:val="00920330"/>
    <w:rsid w:val="009219D7"/>
    <w:rsid w:val="00922D53"/>
    <w:rsid w:val="00923B70"/>
    <w:rsid w:val="00925E84"/>
    <w:rsid w:val="00930237"/>
    <w:rsid w:val="00933C60"/>
    <w:rsid w:val="00937DD0"/>
    <w:rsid w:val="00941E4F"/>
    <w:rsid w:val="0094448F"/>
    <w:rsid w:val="00963C08"/>
    <w:rsid w:val="009857B4"/>
    <w:rsid w:val="009A3BBD"/>
    <w:rsid w:val="009A4CED"/>
    <w:rsid w:val="009B1D12"/>
    <w:rsid w:val="009B416B"/>
    <w:rsid w:val="009C2765"/>
    <w:rsid w:val="009C4BD5"/>
    <w:rsid w:val="009C6ADD"/>
    <w:rsid w:val="009D6273"/>
    <w:rsid w:val="009D7B77"/>
    <w:rsid w:val="009E0BB0"/>
    <w:rsid w:val="009E3FBB"/>
    <w:rsid w:val="009F5383"/>
    <w:rsid w:val="00A14DF7"/>
    <w:rsid w:val="00A221FB"/>
    <w:rsid w:val="00A3246D"/>
    <w:rsid w:val="00A3671F"/>
    <w:rsid w:val="00A36FA7"/>
    <w:rsid w:val="00A427AD"/>
    <w:rsid w:val="00A446CC"/>
    <w:rsid w:val="00A475B7"/>
    <w:rsid w:val="00A47AF7"/>
    <w:rsid w:val="00A47C3E"/>
    <w:rsid w:val="00A50226"/>
    <w:rsid w:val="00A566C5"/>
    <w:rsid w:val="00A60BAD"/>
    <w:rsid w:val="00A73A8D"/>
    <w:rsid w:val="00A9547F"/>
    <w:rsid w:val="00A955A5"/>
    <w:rsid w:val="00AA200F"/>
    <w:rsid w:val="00AC2B40"/>
    <w:rsid w:val="00AC2BB2"/>
    <w:rsid w:val="00AC2C3C"/>
    <w:rsid w:val="00AC7B9E"/>
    <w:rsid w:val="00AE65EB"/>
    <w:rsid w:val="00AE7F88"/>
    <w:rsid w:val="00AF1D94"/>
    <w:rsid w:val="00AF60C5"/>
    <w:rsid w:val="00B009C6"/>
    <w:rsid w:val="00B01548"/>
    <w:rsid w:val="00B21D29"/>
    <w:rsid w:val="00B25034"/>
    <w:rsid w:val="00B33863"/>
    <w:rsid w:val="00B37D17"/>
    <w:rsid w:val="00B40564"/>
    <w:rsid w:val="00B4175E"/>
    <w:rsid w:val="00B43C9A"/>
    <w:rsid w:val="00B472F6"/>
    <w:rsid w:val="00B54C25"/>
    <w:rsid w:val="00B76B91"/>
    <w:rsid w:val="00B90792"/>
    <w:rsid w:val="00BB272E"/>
    <w:rsid w:val="00BC10A6"/>
    <w:rsid w:val="00BC5B75"/>
    <w:rsid w:val="00BC622A"/>
    <w:rsid w:val="00BD211A"/>
    <w:rsid w:val="00BE0A78"/>
    <w:rsid w:val="00BE51A6"/>
    <w:rsid w:val="00BE79F0"/>
    <w:rsid w:val="00BF046D"/>
    <w:rsid w:val="00BF35C9"/>
    <w:rsid w:val="00BF5D04"/>
    <w:rsid w:val="00C008E8"/>
    <w:rsid w:val="00C01315"/>
    <w:rsid w:val="00C06758"/>
    <w:rsid w:val="00C13563"/>
    <w:rsid w:val="00C3502D"/>
    <w:rsid w:val="00C404A6"/>
    <w:rsid w:val="00C40A36"/>
    <w:rsid w:val="00C44419"/>
    <w:rsid w:val="00C45E7B"/>
    <w:rsid w:val="00C471B1"/>
    <w:rsid w:val="00C53A95"/>
    <w:rsid w:val="00C6316B"/>
    <w:rsid w:val="00C634A9"/>
    <w:rsid w:val="00C772FF"/>
    <w:rsid w:val="00C801AF"/>
    <w:rsid w:val="00C80256"/>
    <w:rsid w:val="00C86F43"/>
    <w:rsid w:val="00CB1C51"/>
    <w:rsid w:val="00CB39C1"/>
    <w:rsid w:val="00CB463B"/>
    <w:rsid w:val="00CB6BC0"/>
    <w:rsid w:val="00CC1B7C"/>
    <w:rsid w:val="00CC32BD"/>
    <w:rsid w:val="00CC727F"/>
    <w:rsid w:val="00CE5BB0"/>
    <w:rsid w:val="00CF15C3"/>
    <w:rsid w:val="00CF2B6F"/>
    <w:rsid w:val="00D017ED"/>
    <w:rsid w:val="00D13405"/>
    <w:rsid w:val="00D153B1"/>
    <w:rsid w:val="00D224FE"/>
    <w:rsid w:val="00D22E51"/>
    <w:rsid w:val="00D31162"/>
    <w:rsid w:val="00D40E12"/>
    <w:rsid w:val="00D41819"/>
    <w:rsid w:val="00D54C12"/>
    <w:rsid w:val="00D60D51"/>
    <w:rsid w:val="00D62853"/>
    <w:rsid w:val="00D6493E"/>
    <w:rsid w:val="00D92470"/>
    <w:rsid w:val="00DA1124"/>
    <w:rsid w:val="00DB7B83"/>
    <w:rsid w:val="00DC3AA6"/>
    <w:rsid w:val="00DC42B3"/>
    <w:rsid w:val="00DD75A3"/>
    <w:rsid w:val="00DE02AE"/>
    <w:rsid w:val="00DE092B"/>
    <w:rsid w:val="00DE6A0C"/>
    <w:rsid w:val="00DF1D7F"/>
    <w:rsid w:val="00E02FB4"/>
    <w:rsid w:val="00E20571"/>
    <w:rsid w:val="00E21651"/>
    <w:rsid w:val="00E235F7"/>
    <w:rsid w:val="00E239D4"/>
    <w:rsid w:val="00E40B22"/>
    <w:rsid w:val="00E4588F"/>
    <w:rsid w:val="00E46DA3"/>
    <w:rsid w:val="00E82C70"/>
    <w:rsid w:val="00EA406B"/>
    <w:rsid w:val="00EA6DF2"/>
    <w:rsid w:val="00EB0798"/>
    <w:rsid w:val="00EB40AD"/>
    <w:rsid w:val="00EB433F"/>
    <w:rsid w:val="00EB586E"/>
    <w:rsid w:val="00EB5FC8"/>
    <w:rsid w:val="00ED5A41"/>
    <w:rsid w:val="00EE583F"/>
    <w:rsid w:val="00F033EC"/>
    <w:rsid w:val="00F04F68"/>
    <w:rsid w:val="00F12670"/>
    <w:rsid w:val="00F13A8C"/>
    <w:rsid w:val="00F14B27"/>
    <w:rsid w:val="00F2410C"/>
    <w:rsid w:val="00F25678"/>
    <w:rsid w:val="00F3148D"/>
    <w:rsid w:val="00F35298"/>
    <w:rsid w:val="00F36B0D"/>
    <w:rsid w:val="00F46D8F"/>
    <w:rsid w:val="00F47E37"/>
    <w:rsid w:val="00F52DF2"/>
    <w:rsid w:val="00F56248"/>
    <w:rsid w:val="00F640B6"/>
    <w:rsid w:val="00F80E40"/>
    <w:rsid w:val="00F95D32"/>
    <w:rsid w:val="00FA5B82"/>
    <w:rsid w:val="00FA61F0"/>
    <w:rsid w:val="00FA639E"/>
    <w:rsid w:val="00FC25E4"/>
    <w:rsid w:val="00FC4EF7"/>
    <w:rsid w:val="00FC520A"/>
    <w:rsid w:val="00FE1DEE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5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51"/>
    <w:pPr>
      <w:keepNext/>
      <w:adjustRightInd w:val="0"/>
      <w:snapToGrid w:val="0"/>
      <w:spacing w:before="180" w:after="180" w:line="240" w:lineRule="atLeast"/>
    </w:pPr>
    <w:rPr>
      <w:rFonts w:ascii="Cambria" w:eastAsia="MS Mincho" w:hAnsi="Cambria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7D22C0"/>
    <w:pPr>
      <w:keepLines/>
      <w:spacing w:before="24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935E5"/>
    <w:pPr>
      <w:keepLines/>
      <w:spacing w:before="480"/>
      <w:outlineLvl w:val="1"/>
    </w:pPr>
    <w:rPr>
      <w:rFonts w:eastAsia="Times New Roman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6935E5"/>
    <w:pPr>
      <w:keepLines/>
      <w:spacing w:before="480"/>
      <w:outlineLvl w:val="2"/>
    </w:pPr>
    <w:rPr>
      <w:rFonts w:eastAsia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935E5"/>
    <w:pPr>
      <w:keepLines/>
      <w:spacing w:before="3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6935E5"/>
    <w:pPr>
      <w:keepLines/>
      <w:spacing w:before="240"/>
      <w:outlineLvl w:val="4"/>
    </w:pPr>
    <w:rPr>
      <w:rFonts w:eastAsia="Times New Roman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6935E5"/>
    <w:pPr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6935E5"/>
    <w:pPr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2C0"/>
    <w:rPr>
      <w:rFonts w:eastAsia="Cambria"/>
      <w:b/>
    </w:rPr>
  </w:style>
  <w:style w:type="character" w:customStyle="1" w:styleId="Heading2Char">
    <w:name w:val="Heading 2 Char"/>
    <w:basedOn w:val="DefaultParagraphFont"/>
    <w:link w:val="Heading2"/>
    <w:rsid w:val="00930237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025C67"/>
    <w:rPr>
      <w:rFonts w:ascii="Arial" w:eastAsia="Times New Roman" w:hAnsi="Arial"/>
      <w:b/>
      <w:bCs/>
      <w:sz w:val="32"/>
      <w:szCs w:val="32"/>
    </w:rPr>
  </w:style>
  <w:style w:type="paragraph" w:customStyle="1" w:styleId="Headernoline">
    <w:name w:val="Header no line"/>
    <w:basedOn w:val="Header"/>
    <w:rsid w:val="006935E5"/>
    <w:pPr>
      <w:pBdr>
        <w:bottom w:val="none" w:sz="0" w:space="0" w:color="auto"/>
      </w:pBdr>
      <w:spacing w:line="24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2126"/>
    <w:rPr>
      <w:rFonts w:ascii="Arial" w:eastAsia="Cambria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14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B0408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0408"/>
    <w:rPr>
      <w:rFonts w:ascii="Arial" w:eastAsia="Cambria" w:hAnsi="Arial"/>
      <w:sz w:val="18"/>
    </w:rPr>
  </w:style>
  <w:style w:type="paragraph" w:styleId="Header">
    <w:name w:val="header"/>
    <w:basedOn w:val="Normal"/>
    <w:link w:val="HeaderChar"/>
    <w:uiPriority w:val="99"/>
    <w:rsid w:val="006935E5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F3148D"/>
    <w:rPr>
      <w:rFonts w:eastAsia="Cambria"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A639E"/>
    <w:rPr>
      <w:rFonts w:eastAsia="Times New Roman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3148D"/>
    <w:rPr>
      <w:rFonts w:eastAsia="Times New Roman"/>
      <w:b/>
      <w:bCs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F3148D"/>
    <w:rPr>
      <w:rFonts w:eastAsia="Times New Roman"/>
      <w:bCs/>
      <w:i/>
    </w:rPr>
  </w:style>
  <w:style w:type="character" w:styleId="Hyperlink">
    <w:name w:val="Hyperlink"/>
    <w:basedOn w:val="DefaultParagraphFont"/>
    <w:uiPriority w:val="99"/>
    <w:unhideWhenUsed/>
    <w:rsid w:val="006935E5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F3148D"/>
    <w:pPr>
      <w:spacing w:after="0" w:line="240" w:lineRule="auto"/>
    </w:pPr>
    <w:rPr>
      <w:rFonts w:ascii="Cambria" w:eastAsia="Calibri" w:hAnsi="Cambria" w:cs="Times New Roman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qFormat/>
    <w:rsid w:val="007B0408"/>
    <w:pPr>
      <w:numPr>
        <w:numId w:val="14"/>
      </w:numPr>
      <w:ind w:left="425" w:hanging="425"/>
    </w:pPr>
  </w:style>
  <w:style w:type="paragraph" w:styleId="ListBullet2">
    <w:name w:val="List Bullet 2"/>
    <w:basedOn w:val="Normal"/>
    <w:qFormat/>
    <w:rsid w:val="007B0408"/>
    <w:pPr>
      <w:numPr>
        <w:ilvl w:val="1"/>
        <w:numId w:val="14"/>
      </w:numPr>
      <w:ind w:left="850" w:hanging="425"/>
    </w:pPr>
  </w:style>
  <w:style w:type="paragraph" w:styleId="ListBullet3">
    <w:name w:val="List Bullet 3"/>
    <w:basedOn w:val="Normal"/>
    <w:qFormat/>
    <w:rsid w:val="007B0408"/>
    <w:pPr>
      <w:numPr>
        <w:ilvl w:val="2"/>
        <w:numId w:val="14"/>
      </w:numPr>
      <w:ind w:left="1276" w:hanging="425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pPr>
      <w:spacing w:after="0" w:line="240" w:lineRule="auto"/>
    </w:pPr>
    <w:rPr>
      <w:rFonts w:ascii="Cambria" w:eastAsia="Times New Roman" w:hAnsi="Cambria" w:cs="Times New Roman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umberbullet0">
    <w:name w:val="Number bullet"/>
    <w:basedOn w:val="ListBullet"/>
    <w:qFormat/>
    <w:rsid w:val="006935E5"/>
    <w:pPr>
      <w:numPr>
        <w:numId w:val="17"/>
      </w:numPr>
    </w:pPr>
  </w:style>
  <w:style w:type="paragraph" w:customStyle="1" w:styleId="Numberbullet2">
    <w:name w:val="Number bullet 2"/>
    <w:basedOn w:val="ListBullet2"/>
    <w:qFormat/>
    <w:rsid w:val="006935E5"/>
    <w:pPr>
      <w:numPr>
        <w:numId w:val="17"/>
      </w:numPr>
    </w:pPr>
  </w:style>
  <w:style w:type="paragraph" w:customStyle="1" w:styleId="Numberbullet3">
    <w:name w:val="Number bullet 3"/>
    <w:basedOn w:val="ListBullet3"/>
    <w:qFormat/>
    <w:rsid w:val="006935E5"/>
    <w:pPr>
      <w:numPr>
        <w:numId w:val="17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table" w:styleId="TableGrid">
    <w:name w:val="Table Grid"/>
    <w:basedOn w:val="TableNormal"/>
    <w:uiPriority w:val="59"/>
    <w:rsid w:val="00F3148D"/>
    <w:pPr>
      <w:spacing w:after="0" w:line="240" w:lineRule="auto"/>
    </w:pPr>
    <w:rPr>
      <w:rFonts w:ascii="Cambria" w:hAnsi="Cambria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GAblue">
    <w:name w:val="Table TGA blue"/>
    <w:basedOn w:val="TableNormal"/>
    <w:uiPriority w:val="99"/>
    <w:qFormat/>
    <w:rsid w:val="004C6D78"/>
    <w:pPr>
      <w:spacing w:before="180" w:after="18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cPr>
        <w:shd w:val="clear" w:color="auto" w:fill="B8CCEA" w:themeFill="accent3"/>
      </w:tcPr>
    </w:tblStylePr>
  </w:style>
  <w:style w:type="table" w:customStyle="1" w:styleId="TableTGA2">
    <w:name w:val="Table TGA 2"/>
    <w:basedOn w:val="TableNormal"/>
    <w:uiPriority w:val="99"/>
    <w:rsid w:val="00AA200F"/>
    <w:pPr>
      <w:spacing w:before="60" w:after="0" w:line="240" w:lineRule="auto"/>
    </w:pPr>
    <w:rPr>
      <w:rFonts w:ascii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color w:val="002035"/>
      <w:sz w:val="28"/>
      <w:lang w:val="en-US"/>
    </w:rPr>
  </w:style>
  <w:style w:type="character" w:customStyle="1" w:styleId="ABN">
    <w:name w:val="ABN"/>
    <w:basedOn w:val="DefaultParagraphFont"/>
    <w:uiPriority w:val="1"/>
    <w:rsid w:val="001F7BF8"/>
    <w:rPr>
      <w:rFonts w:ascii="Arial" w:hAnsi="Arial"/>
      <w:color w:val="002C47"/>
      <w:sz w:val="14"/>
    </w:rPr>
  </w:style>
  <w:style w:type="paragraph" w:styleId="EndnoteText">
    <w:name w:val="endnote text"/>
    <w:basedOn w:val="FootnoteText"/>
    <w:link w:val="EndnoteTextChar"/>
    <w:semiHidden/>
    <w:unhideWhenUsed/>
    <w:rsid w:val="00FC520A"/>
    <w:pPr>
      <w:keepLines/>
      <w:spacing w:line="240" w:lineRule="atLeast"/>
    </w:pPr>
    <w:rPr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E82C70"/>
    <w:rPr>
      <w:rFonts w:ascii="Cambria" w:eastAsia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C7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C70"/>
    <w:rPr>
      <w:rFonts w:eastAsia="Cambria"/>
      <w:sz w:val="20"/>
      <w:szCs w:val="20"/>
    </w:rPr>
  </w:style>
  <w:style w:type="paragraph" w:customStyle="1" w:styleId="Quotation">
    <w:name w:val="Quotation"/>
    <w:basedOn w:val="Normal"/>
    <w:next w:val="Normal"/>
    <w:uiPriority w:val="4"/>
    <w:qFormat/>
    <w:rsid w:val="00C01315"/>
    <w:pPr>
      <w:ind w:left="425"/>
    </w:pPr>
    <w:rPr>
      <w:sz w:val="20"/>
    </w:rPr>
  </w:style>
  <w:style w:type="paragraph" w:customStyle="1" w:styleId="Figuredescription">
    <w:name w:val="Figure description"/>
    <w:basedOn w:val="Normal"/>
    <w:next w:val="Normal"/>
    <w:rsid w:val="00FC520A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C520A"/>
    <w:pPr>
      <w:outlineLvl w:val="4"/>
    </w:pPr>
    <w:rPr>
      <w:b/>
    </w:rPr>
  </w:style>
  <w:style w:type="paragraph" w:customStyle="1" w:styleId="Tabledescription">
    <w:name w:val="Table description"/>
    <w:basedOn w:val="Figuredescription"/>
    <w:next w:val="Normal"/>
    <w:rsid w:val="00FC520A"/>
  </w:style>
  <w:style w:type="paragraph" w:customStyle="1" w:styleId="Tabletitle">
    <w:name w:val="Table title"/>
    <w:basedOn w:val="Normal"/>
    <w:next w:val="Normal"/>
    <w:rsid w:val="00FC520A"/>
    <w:pPr>
      <w:outlineLvl w:val="4"/>
    </w:pPr>
    <w:rPr>
      <w:b/>
    </w:rPr>
  </w:style>
  <w:style w:type="paragraph" w:customStyle="1" w:styleId="Fromdetails">
    <w:name w:val="From details"/>
    <w:basedOn w:val="Normal"/>
    <w:qFormat/>
    <w:rsid w:val="00FC520A"/>
    <w:pPr>
      <w:spacing w:before="840"/>
      <w:contextualSpacing/>
    </w:pPr>
  </w:style>
  <w:style w:type="paragraph" w:styleId="ListParagraph">
    <w:name w:val="List Paragraph"/>
    <w:basedOn w:val="Normal"/>
    <w:uiPriority w:val="34"/>
    <w:qFormat/>
    <w:rsid w:val="00675951"/>
    <w:pPr>
      <w:ind w:left="720"/>
      <w:contextualSpacing/>
    </w:pPr>
  </w:style>
  <w:style w:type="table" w:customStyle="1" w:styleId="TableTGAblack">
    <w:name w:val="Table TGA black"/>
    <w:basedOn w:val="TableNormal"/>
    <w:uiPriority w:val="99"/>
    <w:rsid w:val="00675951"/>
    <w:pPr>
      <w:spacing w:before="60" w:after="0" w:line="240" w:lineRule="auto"/>
    </w:pPr>
    <w:rPr>
      <w:rFonts w:ascii="Cambria" w:eastAsia="Cambria" w:hAnsi="Cambria" w:cs="Times New Roman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firstCol">
      <w:pPr>
        <w:keepNext w:val="0"/>
        <w:wordWrap/>
      </w:p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22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5951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67595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0F9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955A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5A5"/>
    <w:rPr>
      <w:rFonts w:ascii="Cambria" w:eastAsia="MS Mincho" w:hAnsi="Cambria" w:cs="Times New Roman"/>
      <w:sz w:val="20"/>
      <w:szCs w:val="20"/>
      <w:lang w:eastAsia="ja-JP"/>
    </w:rPr>
  </w:style>
  <w:style w:type="character" w:customStyle="1" w:styleId="field-content">
    <w:name w:val="field-content"/>
    <w:basedOn w:val="DefaultParagraphFont"/>
    <w:rsid w:val="00C86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819"/>
    <w:rPr>
      <w:rFonts w:ascii="Cambria" w:eastAsia="MS Mincho" w:hAnsi="Cambria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resources/resource/guidance/application-requirements-new-substances-listed-medicin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h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resources/resource/guidance/requirements-microorganism-characterisation-listed-medicines-and-registered-complementary-medic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resources/resource/guidance/requirements-microorganism-characterisation-listed-medicines-and-registered-complementary-medic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GA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FDF8-E207-4836-A118-F5565190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Compositional Guideline Template - Microorganisms</dc:title>
  <dc:subject/>
  <dc:creator/>
  <cp:keywords/>
  <dc:description/>
  <cp:lastModifiedBy/>
  <cp:revision>1</cp:revision>
  <dcterms:created xsi:type="dcterms:W3CDTF">2022-09-26T07:09:00Z</dcterms:created>
  <dcterms:modified xsi:type="dcterms:W3CDTF">2023-01-23T00:40:00Z</dcterms:modified>
</cp:coreProperties>
</file>