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CAC3AD9" w14:textId="77777777" w:rsidTr="00BF1190">
        <w:trPr>
          <w:trHeight w:val="1863"/>
        </w:trPr>
        <w:tc>
          <w:tcPr>
            <w:tcW w:w="3652" w:type="dxa"/>
            <w:tcBorders>
              <w:top w:val="nil"/>
              <w:left w:val="nil"/>
              <w:bottom w:val="nil"/>
              <w:right w:val="nil"/>
            </w:tcBorders>
          </w:tcPr>
          <w:p w14:paraId="7BDBDCA2" w14:textId="471C9838" w:rsidR="008E7846" w:rsidRPr="00096AA7" w:rsidRDefault="00891DCA" w:rsidP="00F931CE">
            <w:pPr>
              <w:pStyle w:val="Date"/>
              <w:framePr w:hSpace="0" w:wrap="auto" w:vAnchor="margin" w:hAnchor="text" w:yAlign="inline"/>
              <w:suppressOverlap w:val="0"/>
            </w:pPr>
            <w:r>
              <w:t xml:space="preserve">January </w:t>
            </w:r>
            <w:r w:rsidR="00CE26D2">
              <w:t>202</w:t>
            </w:r>
            <w:r>
              <w:t>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4C9DD5E" w14:textId="77777777" w:rsidTr="0032583B">
        <w:trPr>
          <w:trHeight w:val="868"/>
        </w:trPr>
        <w:tc>
          <w:tcPr>
            <w:tcW w:w="9079" w:type="dxa"/>
          </w:tcPr>
          <w:p w14:paraId="365A6462" w14:textId="4D4F71BC" w:rsidR="0032583B" w:rsidRPr="00A964D1" w:rsidRDefault="0032583B" w:rsidP="00F931CE">
            <w:pPr>
              <w:pStyle w:val="Title"/>
              <w:framePr w:hSpace="0" w:wrap="auto" w:vAnchor="margin" w:yAlign="inline"/>
            </w:pPr>
            <w:r w:rsidRPr="00A964D1">
              <w:t>Australian Public Assessment Report for</w:t>
            </w:r>
            <w:r w:rsidR="00AF2313">
              <w:t xml:space="preserve"> </w:t>
            </w:r>
            <w:r w:rsidR="000571CC">
              <w:t>Xembify</w:t>
            </w:r>
          </w:p>
        </w:tc>
      </w:tr>
      <w:tr w:rsidR="0032583B" w:rsidRPr="00B64760" w14:paraId="5ED86DB4" w14:textId="77777777" w:rsidTr="0032583B">
        <w:tc>
          <w:tcPr>
            <w:tcW w:w="9079" w:type="dxa"/>
          </w:tcPr>
          <w:p w14:paraId="0F3E29DB" w14:textId="68E4C1B4" w:rsidR="0032583B" w:rsidRPr="008E7846" w:rsidRDefault="00BB75D6" w:rsidP="00F931CE">
            <w:pPr>
              <w:pStyle w:val="Subtitle"/>
              <w:framePr w:hSpace="0" w:wrap="auto" w:vAnchor="margin" w:yAlign="inline"/>
            </w:pPr>
            <w:r>
              <w:t>Active ingredients</w:t>
            </w:r>
            <w:r w:rsidR="0032583B" w:rsidRPr="008E7846">
              <w:t>:</w:t>
            </w:r>
            <w:r w:rsidR="000571CC">
              <w:t xml:space="preserve"> </w:t>
            </w:r>
            <w:r w:rsidR="000571CC" w:rsidRPr="000571CC">
              <w:t xml:space="preserve">Human </w:t>
            </w:r>
            <w:r w:rsidR="007A0959">
              <w:t>n</w:t>
            </w:r>
            <w:r w:rsidR="000571CC" w:rsidRPr="000571CC">
              <w:t xml:space="preserve">ormal </w:t>
            </w:r>
            <w:r w:rsidR="007A0959">
              <w:t>i</w:t>
            </w:r>
            <w:r w:rsidR="000571CC" w:rsidRPr="000571CC">
              <w:t>mmunoglobulin</w:t>
            </w:r>
          </w:p>
        </w:tc>
      </w:tr>
      <w:tr w:rsidR="0032583B" w:rsidRPr="00B64760" w14:paraId="7939B794" w14:textId="77777777" w:rsidTr="0032583B">
        <w:trPr>
          <w:trHeight w:val="486"/>
        </w:trPr>
        <w:tc>
          <w:tcPr>
            <w:tcW w:w="9079" w:type="dxa"/>
          </w:tcPr>
          <w:p w14:paraId="2FF5869B" w14:textId="426102AD" w:rsidR="0032583B" w:rsidRPr="008E7846" w:rsidRDefault="00460036" w:rsidP="009556D7">
            <w:pPr>
              <w:pStyle w:val="Subtitle"/>
              <w:framePr w:hSpace="0" w:wrap="auto" w:vAnchor="margin" w:yAlign="inline"/>
            </w:pPr>
            <w:r>
              <w:t>Sponsor:</w:t>
            </w:r>
            <w:r w:rsidR="000571CC">
              <w:t xml:space="preserve"> </w:t>
            </w:r>
            <w:r w:rsidR="000571CC" w:rsidRPr="007455BA">
              <w:t>Grifols Australia Pty Ltd</w:t>
            </w:r>
          </w:p>
        </w:tc>
      </w:tr>
    </w:tbl>
    <w:p w14:paraId="3644AFB6" w14:textId="77777777" w:rsidR="008E7846" w:rsidRPr="0085156D" w:rsidRDefault="008E7846" w:rsidP="0085156D">
      <w:r w:rsidRPr="0085156D">
        <w:br w:type="page"/>
      </w:r>
    </w:p>
    <w:p w14:paraId="0415B835" w14:textId="77777777" w:rsidR="008E7846" w:rsidRPr="001F6CBA" w:rsidRDefault="008E7846" w:rsidP="008E7846">
      <w:pPr>
        <w:pStyle w:val="NonTOCHeading2"/>
      </w:pPr>
      <w:r w:rsidRPr="001F6CBA">
        <w:lastRenderedPageBreak/>
        <w:t>About the Therapeutic Goods Administration (TGA)</w:t>
      </w:r>
    </w:p>
    <w:p w14:paraId="5048699F" w14:textId="48BB76DF" w:rsidR="00AF2313" w:rsidRPr="00391B0C" w:rsidRDefault="00AF2313" w:rsidP="00AF2313">
      <w:pPr>
        <w:pStyle w:val="ListBullet"/>
      </w:pPr>
      <w:r w:rsidRPr="00391B0C">
        <w:t>The Therapeutic Goods Administration (TGA) is part of the Australian Government Department of Health</w:t>
      </w:r>
      <w:r w:rsidR="00F8749C">
        <w:t xml:space="preserve"> and Aged Care</w:t>
      </w:r>
      <w:r w:rsidRPr="00391B0C">
        <w:t xml:space="preserve"> and is responsible for regulating therapeutic goods, including medicines, medical devices, and biologicals.</w:t>
      </w:r>
    </w:p>
    <w:p w14:paraId="0508E496"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41361094"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5226DF8C"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385AD946" w14:textId="77777777"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104E1CFD" w14:textId="77777777" w:rsidR="008E7846" w:rsidRDefault="008E7846" w:rsidP="00875A6B">
      <w:pPr>
        <w:pStyle w:val="NonTOCHeading2"/>
      </w:pPr>
      <w:r>
        <w:t xml:space="preserve">About </w:t>
      </w:r>
      <w:proofErr w:type="spellStart"/>
      <w:r>
        <w:t>AusPARs</w:t>
      </w:r>
      <w:proofErr w:type="spellEnd"/>
    </w:p>
    <w:p w14:paraId="1FBABF1F" w14:textId="77777777" w:rsidR="00AF2313" w:rsidRPr="003C6D1F" w:rsidRDefault="00AF2313" w:rsidP="00AF2313">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5A42DE5A" w14:textId="77777777" w:rsidR="00AF2313" w:rsidRPr="003C6D1F" w:rsidRDefault="00AF2313" w:rsidP="00AF2313">
      <w:pPr>
        <w:pStyle w:val="ListBullet"/>
      </w:pPr>
      <w:proofErr w:type="spellStart"/>
      <w:r w:rsidRPr="003C6D1F">
        <w:t>AusPARs</w:t>
      </w:r>
      <w:proofErr w:type="spellEnd"/>
      <w:r w:rsidRPr="003C6D1F">
        <w:t xml:space="preserve"> are prepared and published by the TGA.</w:t>
      </w:r>
    </w:p>
    <w:p w14:paraId="52591795" w14:textId="77777777" w:rsidR="00AF2313" w:rsidRPr="003C6D1F" w:rsidRDefault="00AF2313" w:rsidP="00AF2313">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rsidR="008110BC">
        <w:t xml:space="preserve"> The publication of an </w:t>
      </w:r>
      <w:proofErr w:type="spellStart"/>
      <w:r w:rsidR="008110BC">
        <w:t>AusPAR</w:t>
      </w:r>
      <w:proofErr w:type="spellEnd"/>
      <w:r w:rsidR="008110BC">
        <w:t xml:space="preserve"> is an important part of the transparency of the TGA’s decision-making process.</w:t>
      </w:r>
    </w:p>
    <w:p w14:paraId="3EEA96C1" w14:textId="77777777" w:rsidR="00AF2313" w:rsidRPr="003C6D1F" w:rsidRDefault="00AF2313" w:rsidP="00AF2313">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48A64BF8" w14:textId="77777777" w:rsidR="00924482" w:rsidRPr="00DF1D7F" w:rsidRDefault="00924482" w:rsidP="00F54B65">
      <w:pPr>
        <w:pStyle w:val="LegalSubheading"/>
        <w:spacing w:before="3120"/>
      </w:pPr>
      <w:r w:rsidRPr="00DF1D7F">
        <w:t>Copyright</w:t>
      </w:r>
    </w:p>
    <w:p w14:paraId="2EBD4B7A" w14:textId="2F087A4E"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891DCA">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2F054DC1"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7984B50F" w14:textId="77777777" w:rsidR="0089635C" w:rsidRPr="0089635C" w:rsidRDefault="0089635C" w:rsidP="0010788A">
          <w:pPr>
            <w:pStyle w:val="Contents"/>
          </w:pPr>
          <w:r w:rsidRPr="0010788A">
            <w:t>Contents</w:t>
          </w:r>
        </w:p>
        <w:p w14:paraId="169A7158" w14:textId="0E48902F" w:rsidR="000C3BE6"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25365353" w:history="1">
            <w:r w:rsidR="000C3BE6" w:rsidRPr="00AA3877">
              <w:rPr>
                <w:rStyle w:val="Hyperlink"/>
                <w:noProof/>
              </w:rPr>
              <w:t>List of abbreviations</w:t>
            </w:r>
            <w:r w:rsidR="000C3BE6">
              <w:rPr>
                <w:noProof/>
                <w:webHidden/>
              </w:rPr>
              <w:tab/>
            </w:r>
            <w:r w:rsidR="000C3BE6">
              <w:rPr>
                <w:noProof/>
                <w:webHidden/>
              </w:rPr>
              <w:fldChar w:fldCharType="begin"/>
            </w:r>
            <w:r w:rsidR="000C3BE6">
              <w:rPr>
                <w:noProof/>
                <w:webHidden/>
              </w:rPr>
              <w:instrText xml:space="preserve"> PAGEREF _Toc125365353 \h </w:instrText>
            </w:r>
            <w:r w:rsidR="000C3BE6">
              <w:rPr>
                <w:noProof/>
                <w:webHidden/>
              </w:rPr>
            </w:r>
            <w:r w:rsidR="000C3BE6">
              <w:rPr>
                <w:noProof/>
                <w:webHidden/>
              </w:rPr>
              <w:fldChar w:fldCharType="separate"/>
            </w:r>
            <w:r w:rsidR="00FB6AD8">
              <w:rPr>
                <w:noProof/>
                <w:webHidden/>
              </w:rPr>
              <w:t>4</w:t>
            </w:r>
            <w:r w:rsidR="000C3BE6">
              <w:rPr>
                <w:noProof/>
                <w:webHidden/>
              </w:rPr>
              <w:fldChar w:fldCharType="end"/>
            </w:r>
          </w:hyperlink>
        </w:p>
        <w:p w14:paraId="3DFAED26" w14:textId="5731FD8F" w:rsidR="000C3BE6" w:rsidRDefault="00FB6AD8">
          <w:pPr>
            <w:pStyle w:val="TOC1"/>
            <w:rPr>
              <w:rFonts w:asciiTheme="minorHAnsi" w:eastAsiaTheme="minorEastAsia" w:hAnsiTheme="minorHAnsi" w:cstheme="minorBidi"/>
              <w:b w:val="0"/>
              <w:noProof/>
              <w:sz w:val="22"/>
              <w:lang w:eastAsia="en-AU"/>
            </w:rPr>
          </w:pPr>
          <w:hyperlink w:anchor="_Toc125365354" w:history="1">
            <w:r w:rsidR="000C3BE6" w:rsidRPr="00AA3877">
              <w:rPr>
                <w:rStyle w:val="Hyperlink"/>
                <w:noProof/>
              </w:rPr>
              <w:t>Product submission</w:t>
            </w:r>
            <w:r w:rsidR="000C3BE6">
              <w:rPr>
                <w:noProof/>
                <w:webHidden/>
              </w:rPr>
              <w:tab/>
            </w:r>
            <w:r w:rsidR="000C3BE6">
              <w:rPr>
                <w:noProof/>
                <w:webHidden/>
              </w:rPr>
              <w:fldChar w:fldCharType="begin"/>
            </w:r>
            <w:r w:rsidR="000C3BE6">
              <w:rPr>
                <w:noProof/>
                <w:webHidden/>
              </w:rPr>
              <w:instrText xml:space="preserve"> PAGEREF _Toc125365354 \h </w:instrText>
            </w:r>
            <w:r w:rsidR="000C3BE6">
              <w:rPr>
                <w:noProof/>
                <w:webHidden/>
              </w:rPr>
            </w:r>
            <w:r w:rsidR="000C3BE6">
              <w:rPr>
                <w:noProof/>
                <w:webHidden/>
              </w:rPr>
              <w:fldChar w:fldCharType="separate"/>
            </w:r>
            <w:r>
              <w:rPr>
                <w:noProof/>
                <w:webHidden/>
              </w:rPr>
              <w:t>6</w:t>
            </w:r>
            <w:r w:rsidR="000C3BE6">
              <w:rPr>
                <w:noProof/>
                <w:webHidden/>
              </w:rPr>
              <w:fldChar w:fldCharType="end"/>
            </w:r>
          </w:hyperlink>
        </w:p>
        <w:p w14:paraId="5E689CC6" w14:textId="5221E749" w:rsidR="000C3BE6" w:rsidRDefault="00FB6AD8">
          <w:pPr>
            <w:pStyle w:val="TOC2"/>
            <w:rPr>
              <w:rFonts w:asciiTheme="minorHAnsi" w:eastAsiaTheme="minorEastAsia" w:hAnsiTheme="minorHAnsi" w:cstheme="minorBidi"/>
              <w:b w:val="0"/>
              <w:noProof/>
              <w:sz w:val="22"/>
              <w:lang w:eastAsia="en-AU"/>
            </w:rPr>
          </w:pPr>
          <w:hyperlink w:anchor="_Toc125365355" w:history="1">
            <w:r w:rsidR="000C3BE6" w:rsidRPr="00AA3877">
              <w:rPr>
                <w:rStyle w:val="Hyperlink"/>
                <w:noProof/>
                <w:lang w:eastAsia="en-AU"/>
              </w:rPr>
              <w:t>Submission details</w:t>
            </w:r>
            <w:r w:rsidR="000C3BE6">
              <w:rPr>
                <w:noProof/>
                <w:webHidden/>
              </w:rPr>
              <w:tab/>
            </w:r>
            <w:r w:rsidR="000C3BE6">
              <w:rPr>
                <w:noProof/>
                <w:webHidden/>
              </w:rPr>
              <w:fldChar w:fldCharType="begin"/>
            </w:r>
            <w:r w:rsidR="000C3BE6">
              <w:rPr>
                <w:noProof/>
                <w:webHidden/>
              </w:rPr>
              <w:instrText xml:space="preserve"> PAGEREF _Toc125365355 \h </w:instrText>
            </w:r>
            <w:r w:rsidR="000C3BE6">
              <w:rPr>
                <w:noProof/>
                <w:webHidden/>
              </w:rPr>
            </w:r>
            <w:r w:rsidR="000C3BE6">
              <w:rPr>
                <w:noProof/>
                <w:webHidden/>
              </w:rPr>
              <w:fldChar w:fldCharType="separate"/>
            </w:r>
            <w:r>
              <w:rPr>
                <w:noProof/>
                <w:webHidden/>
              </w:rPr>
              <w:t>6</w:t>
            </w:r>
            <w:r w:rsidR="000C3BE6">
              <w:rPr>
                <w:noProof/>
                <w:webHidden/>
              </w:rPr>
              <w:fldChar w:fldCharType="end"/>
            </w:r>
          </w:hyperlink>
        </w:p>
        <w:p w14:paraId="6E534D31" w14:textId="6CC6FA31" w:rsidR="000C3BE6" w:rsidRDefault="00FB6AD8">
          <w:pPr>
            <w:pStyle w:val="TOC2"/>
            <w:rPr>
              <w:rFonts w:asciiTheme="minorHAnsi" w:eastAsiaTheme="minorEastAsia" w:hAnsiTheme="minorHAnsi" w:cstheme="minorBidi"/>
              <w:b w:val="0"/>
              <w:noProof/>
              <w:sz w:val="22"/>
              <w:lang w:eastAsia="en-AU"/>
            </w:rPr>
          </w:pPr>
          <w:hyperlink w:anchor="_Toc125365356" w:history="1">
            <w:r w:rsidR="000C3BE6" w:rsidRPr="00AA3877">
              <w:rPr>
                <w:rStyle w:val="Hyperlink"/>
                <w:noProof/>
              </w:rPr>
              <w:t>Product background</w:t>
            </w:r>
            <w:r w:rsidR="000C3BE6">
              <w:rPr>
                <w:noProof/>
                <w:webHidden/>
              </w:rPr>
              <w:tab/>
            </w:r>
            <w:r w:rsidR="000C3BE6">
              <w:rPr>
                <w:noProof/>
                <w:webHidden/>
              </w:rPr>
              <w:fldChar w:fldCharType="begin"/>
            </w:r>
            <w:r w:rsidR="000C3BE6">
              <w:rPr>
                <w:noProof/>
                <w:webHidden/>
              </w:rPr>
              <w:instrText xml:space="preserve"> PAGEREF _Toc125365356 \h </w:instrText>
            </w:r>
            <w:r w:rsidR="000C3BE6">
              <w:rPr>
                <w:noProof/>
                <w:webHidden/>
              </w:rPr>
            </w:r>
            <w:r w:rsidR="000C3BE6">
              <w:rPr>
                <w:noProof/>
                <w:webHidden/>
              </w:rPr>
              <w:fldChar w:fldCharType="separate"/>
            </w:r>
            <w:r>
              <w:rPr>
                <w:noProof/>
                <w:webHidden/>
              </w:rPr>
              <w:t>9</w:t>
            </w:r>
            <w:r w:rsidR="000C3BE6">
              <w:rPr>
                <w:noProof/>
                <w:webHidden/>
              </w:rPr>
              <w:fldChar w:fldCharType="end"/>
            </w:r>
          </w:hyperlink>
        </w:p>
        <w:p w14:paraId="0CC534E9" w14:textId="3DC262B1" w:rsidR="000C3BE6" w:rsidRDefault="00FB6AD8">
          <w:pPr>
            <w:pStyle w:val="TOC2"/>
            <w:rPr>
              <w:rFonts w:asciiTheme="minorHAnsi" w:eastAsiaTheme="minorEastAsia" w:hAnsiTheme="minorHAnsi" w:cstheme="minorBidi"/>
              <w:b w:val="0"/>
              <w:noProof/>
              <w:sz w:val="22"/>
              <w:lang w:eastAsia="en-AU"/>
            </w:rPr>
          </w:pPr>
          <w:hyperlink w:anchor="_Toc125365357" w:history="1">
            <w:r w:rsidR="000C3BE6" w:rsidRPr="00AA3877">
              <w:rPr>
                <w:rStyle w:val="Hyperlink"/>
                <w:noProof/>
              </w:rPr>
              <w:t>Regulatory status</w:t>
            </w:r>
            <w:r w:rsidR="000C3BE6">
              <w:rPr>
                <w:noProof/>
                <w:webHidden/>
              </w:rPr>
              <w:tab/>
            </w:r>
            <w:r w:rsidR="000C3BE6">
              <w:rPr>
                <w:noProof/>
                <w:webHidden/>
              </w:rPr>
              <w:fldChar w:fldCharType="begin"/>
            </w:r>
            <w:r w:rsidR="000C3BE6">
              <w:rPr>
                <w:noProof/>
                <w:webHidden/>
              </w:rPr>
              <w:instrText xml:space="preserve"> PAGEREF _Toc125365357 \h </w:instrText>
            </w:r>
            <w:r w:rsidR="000C3BE6">
              <w:rPr>
                <w:noProof/>
                <w:webHidden/>
              </w:rPr>
            </w:r>
            <w:r w:rsidR="000C3BE6">
              <w:rPr>
                <w:noProof/>
                <w:webHidden/>
              </w:rPr>
              <w:fldChar w:fldCharType="separate"/>
            </w:r>
            <w:r>
              <w:rPr>
                <w:noProof/>
                <w:webHidden/>
              </w:rPr>
              <w:t>11</w:t>
            </w:r>
            <w:r w:rsidR="000C3BE6">
              <w:rPr>
                <w:noProof/>
                <w:webHidden/>
              </w:rPr>
              <w:fldChar w:fldCharType="end"/>
            </w:r>
          </w:hyperlink>
        </w:p>
        <w:p w14:paraId="048B7589" w14:textId="07CB519D" w:rsidR="000C3BE6" w:rsidRDefault="00FB6AD8">
          <w:pPr>
            <w:pStyle w:val="TOC2"/>
            <w:rPr>
              <w:rFonts w:asciiTheme="minorHAnsi" w:eastAsiaTheme="minorEastAsia" w:hAnsiTheme="minorHAnsi" w:cstheme="minorBidi"/>
              <w:b w:val="0"/>
              <w:noProof/>
              <w:sz w:val="22"/>
              <w:lang w:eastAsia="en-AU"/>
            </w:rPr>
          </w:pPr>
          <w:hyperlink w:anchor="_Toc125365358" w:history="1">
            <w:r w:rsidR="000C3BE6" w:rsidRPr="00AA3877">
              <w:rPr>
                <w:rStyle w:val="Hyperlink"/>
                <w:noProof/>
              </w:rPr>
              <w:t>Product Information</w:t>
            </w:r>
            <w:r w:rsidR="000C3BE6">
              <w:rPr>
                <w:noProof/>
                <w:webHidden/>
              </w:rPr>
              <w:tab/>
            </w:r>
            <w:r w:rsidR="000C3BE6">
              <w:rPr>
                <w:noProof/>
                <w:webHidden/>
              </w:rPr>
              <w:fldChar w:fldCharType="begin"/>
            </w:r>
            <w:r w:rsidR="000C3BE6">
              <w:rPr>
                <w:noProof/>
                <w:webHidden/>
              </w:rPr>
              <w:instrText xml:space="preserve"> PAGEREF _Toc125365358 \h </w:instrText>
            </w:r>
            <w:r w:rsidR="000C3BE6">
              <w:rPr>
                <w:noProof/>
                <w:webHidden/>
              </w:rPr>
            </w:r>
            <w:r w:rsidR="000C3BE6">
              <w:rPr>
                <w:noProof/>
                <w:webHidden/>
              </w:rPr>
              <w:fldChar w:fldCharType="separate"/>
            </w:r>
            <w:r>
              <w:rPr>
                <w:noProof/>
                <w:webHidden/>
              </w:rPr>
              <w:t>12</w:t>
            </w:r>
            <w:r w:rsidR="000C3BE6">
              <w:rPr>
                <w:noProof/>
                <w:webHidden/>
              </w:rPr>
              <w:fldChar w:fldCharType="end"/>
            </w:r>
          </w:hyperlink>
        </w:p>
        <w:p w14:paraId="7528C6A8" w14:textId="2D5C0AEA" w:rsidR="000C3BE6" w:rsidRDefault="00FB6AD8">
          <w:pPr>
            <w:pStyle w:val="TOC1"/>
            <w:rPr>
              <w:rFonts w:asciiTheme="minorHAnsi" w:eastAsiaTheme="minorEastAsia" w:hAnsiTheme="minorHAnsi" w:cstheme="minorBidi"/>
              <w:b w:val="0"/>
              <w:noProof/>
              <w:sz w:val="22"/>
              <w:lang w:eastAsia="en-AU"/>
            </w:rPr>
          </w:pPr>
          <w:hyperlink w:anchor="_Toc125365359" w:history="1">
            <w:r w:rsidR="000C3BE6" w:rsidRPr="00AA3877">
              <w:rPr>
                <w:rStyle w:val="Hyperlink"/>
                <w:noProof/>
              </w:rPr>
              <w:t>Registration timeline</w:t>
            </w:r>
            <w:r w:rsidR="000C3BE6">
              <w:rPr>
                <w:noProof/>
                <w:webHidden/>
              </w:rPr>
              <w:tab/>
            </w:r>
            <w:r w:rsidR="000C3BE6">
              <w:rPr>
                <w:noProof/>
                <w:webHidden/>
              </w:rPr>
              <w:fldChar w:fldCharType="begin"/>
            </w:r>
            <w:r w:rsidR="000C3BE6">
              <w:rPr>
                <w:noProof/>
                <w:webHidden/>
              </w:rPr>
              <w:instrText xml:space="preserve"> PAGEREF _Toc125365359 \h </w:instrText>
            </w:r>
            <w:r w:rsidR="000C3BE6">
              <w:rPr>
                <w:noProof/>
                <w:webHidden/>
              </w:rPr>
            </w:r>
            <w:r w:rsidR="000C3BE6">
              <w:rPr>
                <w:noProof/>
                <w:webHidden/>
              </w:rPr>
              <w:fldChar w:fldCharType="separate"/>
            </w:r>
            <w:r>
              <w:rPr>
                <w:noProof/>
                <w:webHidden/>
              </w:rPr>
              <w:t>12</w:t>
            </w:r>
            <w:r w:rsidR="000C3BE6">
              <w:rPr>
                <w:noProof/>
                <w:webHidden/>
              </w:rPr>
              <w:fldChar w:fldCharType="end"/>
            </w:r>
          </w:hyperlink>
        </w:p>
        <w:p w14:paraId="385A1C95" w14:textId="574BB308" w:rsidR="000C3BE6" w:rsidRDefault="00FB6AD8">
          <w:pPr>
            <w:pStyle w:val="TOC1"/>
            <w:rPr>
              <w:rFonts w:asciiTheme="minorHAnsi" w:eastAsiaTheme="minorEastAsia" w:hAnsiTheme="minorHAnsi" w:cstheme="minorBidi"/>
              <w:b w:val="0"/>
              <w:noProof/>
              <w:sz w:val="22"/>
              <w:lang w:eastAsia="en-AU"/>
            </w:rPr>
          </w:pPr>
          <w:hyperlink w:anchor="_Toc125365360" w:history="1">
            <w:r w:rsidR="000C3BE6" w:rsidRPr="00AA3877">
              <w:rPr>
                <w:rStyle w:val="Hyperlink"/>
                <w:noProof/>
              </w:rPr>
              <w:t>Submission overview and risk/benefit assessment</w:t>
            </w:r>
            <w:r w:rsidR="000C3BE6">
              <w:rPr>
                <w:noProof/>
                <w:webHidden/>
              </w:rPr>
              <w:tab/>
            </w:r>
            <w:r w:rsidR="000C3BE6">
              <w:rPr>
                <w:noProof/>
                <w:webHidden/>
              </w:rPr>
              <w:fldChar w:fldCharType="begin"/>
            </w:r>
            <w:r w:rsidR="000C3BE6">
              <w:rPr>
                <w:noProof/>
                <w:webHidden/>
              </w:rPr>
              <w:instrText xml:space="preserve"> PAGEREF _Toc125365360 \h </w:instrText>
            </w:r>
            <w:r w:rsidR="000C3BE6">
              <w:rPr>
                <w:noProof/>
                <w:webHidden/>
              </w:rPr>
            </w:r>
            <w:r w:rsidR="000C3BE6">
              <w:rPr>
                <w:noProof/>
                <w:webHidden/>
              </w:rPr>
              <w:fldChar w:fldCharType="separate"/>
            </w:r>
            <w:r>
              <w:rPr>
                <w:noProof/>
                <w:webHidden/>
              </w:rPr>
              <w:t>13</w:t>
            </w:r>
            <w:r w:rsidR="000C3BE6">
              <w:rPr>
                <w:noProof/>
                <w:webHidden/>
              </w:rPr>
              <w:fldChar w:fldCharType="end"/>
            </w:r>
          </w:hyperlink>
        </w:p>
        <w:p w14:paraId="74075C37" w14:textId="510681B3" w:rsidR="000C3BE6" w:rsidRDefault="00FB6AD8">
          <w:pPr>
            <w:pStyle w:val="TOC2"/>
            <w:rPr>
              <w:rFonts w:asciiTheme="minorHAnsi" w:eastAsiaTheme="minorEastAsia" w:hAnsiTheme="minorHAnsi" w:cstheme="minorBidi"/>
              <w:b w:val="0"/>
              <w:noProof/>
              <w:sz w:val="22"/>
              <w:lang w:eastAsia="en-AU"/>
            </w:rPr>
          </w:pPr>
          <w:hyperlink w:anchor="_Toc125365361" w:history="1">
            <w:r w:rsidR="000C3BE6" w:rsidRPr="00AA3877">
              <w:rPr>
                <w:rStyle w:val="Hyperlink"/>
                <w:noProof/>
              </w:rPr>
              <w:t>Quality</w:t>
            </w:r>
            <w:r w:rsidR="000C3BE6">
              <w:rPr>
                <w:noProof/>
                <w:webHidden/>
              </w:rPr>
              <w:tab/>
            </w:r>
            <w:r w:rsidR="000C3BE6">
              <w:rPr>
                <w:noProof/>
                <w:webHidden/>
              </w:rPr>
              <w:fldChar w:fldCharType="begin"/>
            </w:r>
            <w:r w:rsidR="000C3BE6">
              <w:rPr>
                <w:noProof/>
                <w:webHidden/>
              </w:rPr>
              <w:instrText xml:space="preserve"> PAGEREF _Toc125365361 \h </w:instrText>
            </w:r>
            <w:r w:rsidR="000C3BE6">
              <w:rPr>
                <w:noProof/>
                <w:webHidden/>
              </w:rPr>
            </w:r>
            <w:r w:rsidR="000C3BE6">
              <w:rPr>
                <w:noProof/>
                <w:webHidden/>
              </w:rPr>
              <w:fldChar w:fldCharType="separate"/>
            </w:r>
            <w:r>
              <w:rPr>
                <w:noProof/>
                <w:webHidden/>
              </w:rPr>
              <w:t>13</w:t>
            </w:r>
            <w:r w:rsidR="000C3BE6">
              <w:rPr>
                <w:noProof/>
                <w:webHidden/>
              </w:rPr>
              <w:fldChar w:fldCharType="end"/>
            </w:r>
          </w:hyperlink>
        </w:p>
        <w:p w14:paraId="59698CE2" w14:textId="374EB09B" w:rsidR="000C3BE6" w:rsidRDefault="00FB6AD8">
          <w:pPr>
            <w:pStyle w:val="TOC2"/>
            <w:rPr>
              <w:rFonts w:asciiTheme="minorHAnsi" w:eastAsiaTheme="minorEastAsia" w:hAnsiTheme="minorHAnsi" w:cstheme="minorBidi"/>
              <w:b w:val="0"/>
              <w:noProof/>
              <w:sz w:val="22"/>
              <w:lang w:eastAsia="en-AU"/>
            </w:rPr>
          </w:pPr>
          <w:hyperlink w:anchor="_Toc125365362" w:history="1">
            <w:r w:rsidR="000C3BE6" w:rsidRPr="00AA3877">
              <w:rPr>
                <w:rStyle w:val="Hyperlink"/>
                <w:noProof/>
              </w:rPr>
              <w:t>Nonclinical</w:t>
            </w:r>
            <w:r w:rsidR="000C3BE6">
              <w:rPr>
                <w:noProof/>
                <w:webHidden/>
              </w:rPr>
              <w:tab/>
            </w:r>
            <w:r w:rsidR="000C3BE6">
              <w:rPr>
                <w:noProof/>
                <w:webHidden/>
              </w:rPr>
              <w:fldChar w:fldCharType="begin"/>
            </w:r>
            <w:r w:rsidR="000C3BE6">
              <w:rPr>
                <w:noProof/>
                <w:webHidden/>
              </w:rPr>
              <w:instrText xml:space="preserve"> PAGEREF _Toc125365362 \h </w:instrText>
            </w:r>
            <w:r w:rsidR="000C3BE6">
              <w:rPr>
                <w:noProof/>
                <w:webHidden/>
              </w:rPr>
            </w:r>
            <w:r w:rsidR="000C3BE6">
              <w:rPr>
                <w:noProof/>
                <w:webHidden/>
              </w:rPr>
              <w:fldChar w:fldCharType="separate"/>
            </w:r>
            <w:r>
              <w:rPr>
                <w:noProof/>
                <w:webHidden/>
              </w:rPr>
              <w:t>13</w:t>
            </w:r>
            <w:r w:rsidR="000C3BE6">
              <w:rPr>
                <w:noProof/>
                <w:webHidden/>
              </w:rPr>
              <w:fldChar w:fldCharType="end"/>
            </w:r>
          </w:hyperlink>
        </w:p>
        <w:p w14:paraId="414EB150" w14:textId="019E2A24" w:rsidR="000C3BE6" w:rsidRDefault="00FB6AD8">
          <w:pPr>
            <w:pStyle w:val="TOC2"/>
            <w:rPr>
              <w:rFonts w:asciiTheme="minorHAnsi" w:eastAsiaTheme="minorEastAsia" w:hAnsiTheme="minorHAnsi" w:cstheme="minorBidi"/>
              <w:b w:val="0"/>
              <w:noProof/>
              <w:sz w:val="22"/>
              <w:lang w:eastAsia="en-AU"/>
            </w:rPr>
          </w:pPr>
          <w:hyperlink w:anchor="_Toc125365363" w:history="1">
            <w:r w:rsidR="000C3BE6" w:rsidRPr="00AA3877">
              <w:rPr>
                <w:rStyle w:val="Hyperlink"/>
                <w:noProof/>
              </w:rPr>
              <w:t>Clinical</w:t>
            </w:r>
            <w:r w:rsidR="000C3BE6">
              <w:rPr>
                <w:noProof/>
                <w:webHidden/>
              </w:rPr>
              <w:tab/>
            </w:r>
            <w:r w:rsidR="000C3BE6">
              <w:rPr>
                <w:noProof/>
                <w:webHidden/>
              </w:rPr>
              <w:fldChar w:fldCharType="begin"/>
            </w:r>
            <w:r w:rsidR="000C3BE6">
              <w:rPr>
                <w:noProof/>
                <w:webHidden/>
              </w:rPr>
              <w:instrText xml:space="preserve"> PAGEREF _Toc125365363 \h </w:instrText>
            </w:r>
            <w:r w:rsidR="000C3BE6">
              <w:rPr>
                <w:noProof/>
                <w:webHidden/>
              </w:rPr>
            </w:r>
            <w:r w:rsidR="000C3BE6">
              <w:rPr>
                <w:noProof/>
                <w:webHidden/>
              </w:rPr>
              <w:fldChar w:fldCharType="separate"/>
            </w:r>
            <w:r>
              <w:rPr>
                <w:noProof/>
                <w:webHidden/>
              </w:rPr>
              <w:t>14</w:t>
            </w:r>
            <w:r w:rsidR="000C3BE6">
              <w:rPr>
                <w:noProof/>
                <w:webHidden/>
              </w:rPr>
              <w:fldChar w:fldCharType="end"/>
            </w:r>
          </w:hyperlink>
        </w:p>
        <w:p w14:paraId="02F52388" w14:textId="1EAF78C2" w:rsidR="000C3BE6" w:rsidRDefault="00FB6AD8">
          <w:pPr>
            <w:pStyle w:val="TOC2"/>
            <w:rPr>
              <w:rFonts w:asciiTheme="minorHAnsi" w:eastAsiaTheme="minorEastAsia" w:hAnsiTheme="minorHAnsi" w:cstheme="minorBidi"/>
              <w:b w:val="0"/>
              <w:noProof/>
              <w:sz w:val="22"/>
              <w:lang w:eastAsia="en-AU"/>
            </w:rPr>
          </w:pPr>
          <w:hyperlink w:anchor="_Toc125365364" w:history="1">
            <w:r w:rsidR="000C3BE6" w:rsidRPr="00AA3877">
              <w:rPr>
                <w:rStyle w:val="Hyperlink"/>
                <w:noProof/>
                <w:lang w:eastAsia="en-AU"/>
              </w:rPr>
              <w:t>Risk management plan</w:t>
            </w:r>
            <w:r w:rsidR="000C3BE6">
              <w:rPr>
                <w:noProof/>
                <w:webHidden/>
              </w:rPr>
              <w:tab/>
            </w:r>
            <w:r w:rsidR="000C3BE6">
              <w:rPr>
                <w:noProof/>
                <w:webHidden/>
              </w:rPr>
              <w:fldChar w:fldCharType="begin"/>
            </w:r>
            <w:r w:rsidR="000C3BE6">
              <w:rPr>
                <w:noProof/>
                <w:webHidden/>
              </w:rPr>
              <w:instrText xml:space="preserve"> PAGEREF _Toc125365364 \h </w:instrText>
            </w:r>
            <w:r w:rsidR="000C3BE6">
              <w:rPr>
                <w:noProof/>
                <w:webHidden/>
              </w:rPr>
            </w:r>
            <w:r w:rsidR="000C3BE6">
              <w:rPr>
                <w:noProof/>
                <w:webHidden/>
              </w:rPr>
              <w:fldChar w:fldCharType="separate"/>
            </w:r>
            <w:r>
              <w:rPr>
                <w:noProof/>
                <w:webHidden/>
              </w:rPr>
              <w:t>34</w:t>
            </w:r>
            <w:r w:rsidR="000C3BE6">
              <w:rPr>
                <w:noProof/>
                <w:webHidden/>
              </w:rPr>
              <w:fldChar w:fldCharType="end"/>
            </w:r>
          </w:hyperlink>
        </w:p>
        <w:p w14:paraId="1160C73D" w14:textId="1275E76F" w:rsidR="000C3BE6" w:rsidRDefault="00FB6AD8">
          <w:pPr>
            <w:pStyle w:val="TOC2"/>
            <w:rPr>
              <w:rFonts w:asciiTheme="minorHAnsi" w:eastAsiaTheme="minorEastAsia" w:hAnsiTheme="minorHAnsi" w:cstheme="minorBidi"/>
              <w:b w:val="0"/>
              <w:noProof/>
              <w:sz w:val="22"/>
              <w:lang w:eastAsia="en-AU"/>
            </w:rPr>
          </w:pPr>
          <w:hyperlink w:anchor="_Toc125365365" w:history="1">
            <w:r w:rsidR="000C3BE6" w:rsidRPr="00AA3877">
              <w:rPr>
                <w:rStyle w:val="Hyperlink"/>
                <w:noProof/>
              </w:rPr>
              <w:t>Risk-benefit analysis</w:t>
            </w:r>
            <w:r w:rsidR="000C3BE6">
              <w:rPr>
                <w:noProof/>
                <w:webHidden/>
              </w:rPr>
              <w:tab/>
            </w:r>
            <w:r w:rsidR="000C3BE6">
              <w:rPr>
                <w:noProof/>
                <w:webHidden/>
              </w:rPr>
              <w:fldChar w:fldCharType="begin"/>
            </w:r>
            <w:r w:rsidR="000C3BE6">
              <w:rPr>
                <w:noProof/>
                <w:webHidden/>
              </w:rPr>
              <w:instrText xml:space="preserve"> PAGEREF _Toc125365365 \h </w:instrText>
            </w:r>
            <w:r w:rsidR="000C3BE6">
              <w:rPr>
                <w:noProof/>
                <w:webHidden/>
              </w:rPr>
            </w:r>
            <w:r w:rsidR="000C3BE6">
              <w:rPr>
                <w:noProof/>
                <w:webHidden/>
              </w:rPr>
              <w:fldChar w:fldCharType="separate"/>
            </w:r>
            <w:r>
              <w:rPr>
                <w:noProof/>
                <w:webHidden/>
              </w:rPr>
              <w:t>36</w:t>
            </w:r>
            <w:r w:rsidR="000C3BE6">
              <w:rPr>
                <w:noProof/>
                <w:webHidden/>
              </w:rPr>
              <w:fldChar w:fldCharType="end"/>
            </w:r>
          </w:hyperlink>
        </w:p>
        <w:p w14:paraId="48C836CB" w14:textId="67F453A0" w:rsidR="000C3BE6" w:rsidRDefault="00FB6AD8">
          <w:pPr>
            <w:pStyle w:val="TOC1"/>
            <w:rPr>
              <w:rFonts w:asciiTheme="minorHAnsi" w:eastAsiaTheme="minorEastAsia" w:hAnsiTheme="minorHAnsi" w:cstheme="minorBidi"/>
              <w:b w:val="0"/>
              <w:noProof/>
              <w:sz w:val="22"/>
              <w:lang w:eastAsia="en-AU"/>
            </w:rPr>
          </w:pPr>
          <w:hyperlink w:anchor="_Toc125365366" w:history="1">
            <w:r w:rsidR="000C3BE6" w:rsidRPr="00AA3877">
              <w:rPr>
                <w:rStyle w:val="Hyperlink"/>
                <w:noProof/>
              </w:rPr>
              <w:t>Outcome</w:t>
            </w:r>
            <w:r w:rsidR="000C3BE6">
              <w:rPr>
                <w:noProof/>
                <w:webHidden/>
              </w:rPr>
              <w:tab/>
            </w:r>
            <w:r w:rsidR="000C3BE6">
              <w:rPr>
                <w:noProof/>
                <w:webHidden/>
              </w:rPr>
              <w:fldChar w:fldCharType="begin"/>
            </w:r>
            <w:r w:rsidR="000C3BE6">
              <w:rPr>
                <w:noProof/>
                <w:webHidden/>
              </w:rPr>
              <w:instrText xml:space="preserve"> PAGEREF _Toc125365366 \h </w:instrText>
            </w:r>
            <w:r w:rsidR="000C3BE6">
              <w:rPr>
                <w:noProof/>
                <w:webHidden/>
              </w:rPr>
            </w:r>
            <w:r w:rsidR="000C3BE6">
              <w:rPr>
                <w:noProof/>
                <w:webHidden/>
              </w:rPr>
              <w:fldChar w:fldCharType="separate"/>
            </w:r>
            <w:r>
              <w:rPr>
                <w:noProof/>
                <w:webHidden/>
              </w:rPr>
              <w:t>36</w:t>
            </w:r>
            <w:r w:rsidR="000C3BE6">
              <w:rPr>
                <w:noProof/>
                <w:webHidden/>
              </w:rPr>
              <w:fldChar w:fldCharType="end"/>
            </w:r>
          </w:hyperlink>
        </w:p>
        <w:p w14:paraId="43EAED1A" w14:textId="19755EC3" w:rsidR="000C3BE6" w:rsidRDefault="00FB6AD8">
          <w:pPr>
            <w:pStyle w:val="TOC2"/>
            <w:rPr>
              <w:rFonts w:asciiTheme="minorHAnsi" w:eastAsiaTheme="minorEastAsia" w:hAnsiTheme="minorHAnsi" w:cstheme="minorBidi"/>
              <w:b w:val="0"/>
              <w:noProof/>
              <w:sz w:val="22"/>
              <w:lang w:eastAsia="en-AU"/>
            </w:rPr>
          </w:pPr>
          <w:hyperlink w:anchor="_Toc125365367" w:history="1">
            <w:r w:rsidR="000C3BE6" w:rsidRPr="00AA3877">
              <w:rPr>
                <w:rStyle w:val="Hyperlink"/>
                <w:noProof/>
              </w:rPr>
              <w:t>Specific conditions of registration applying to these goods</w:t>
            </w:r>
            <w:r w:rsidR="000C3BE6">
              <w:rPr>
                <w:noProof/>
                <w:webHidden/>
              </w:rPr>
              <w:tab/>
            </w:r>
            <w:r w:rsidR="000C3BE6">
              <w:rPr>
                <w:noProof/>
                <w:webHidden/>
              </w:rPr>
              <w:fldChar w:fldCharType="begin"/>
            </w:r>
            <w:r w:rsidR="000C3BE6">
              <w:rPr>
                <w:noProof/>
                <w:webHidden/>
              </w:rPr>
              <w:instrText xml:space="preserve"> PAGEREF _Toc125365367 \h </w:instrText>
            </w:r>
            <w:r w:rsidR="000C3BE6">
              <w:rPr>
                <w:noProof/>
                <w:webHidden/>
              </w:rPr>
            </w:r>
            <w:r w:rsidR="000C3BE6">
              <w:rPr>
                <w:noProof/>
                <w:webHidden/>
              </w:rPr>
              <w:fldChar w:fldCharType="separate"/>
            </w:r>
            <w:r>
              <w:rPr>
                <w:noProof/>
                <w:webHidden/>
              </w:rPr>
              <w:t>36</w:t>
            </w:r>
            <w:r w:rsidR="000C3BE6">
              <w:rPr>
                <w:noProof/>
                <w:webHidden/>
              </w:rPr>
              <w:fldChar w:fldCharType="end"/>
            </w:r>
          </w:hyperlink>
        </w:p>
        <w:p w14:paraId="2696D2BE" w14:textId="20DF5D21" w:rsidR="000C3BE6" w:rsidRDefault="00FB6AD8">
          <w:pPr>
            <w:pStyle w:val="TOC1"/>
            <w:rPr>
              <w:rFonts w:asciiTheme="minorHAnsi" w:eastAsiaTheme="minorEastAsia" w:hAnsiTheme="minorHAnsi" w:cstheme="minorBidi"/>
              <w:b w:val="0"/>
              <w:noProof/>
              <w:sz w:val="22"/>
              <w:lang w:eastAsia="en-AU"/>
            </w:rPr>
          </w:pPr>
          <w:hyperlink w:anchor="_Toc125365368" w:history="1">
            <w:r w:rsidR="000C3BE6" w:rsidRPr="00AA3877">
              <w:rPr>
                <w:rStyle w:val="Hyperlink"/>
                <w:noProof/>
              </w:rPr>
              <w:t>Attachment 1. Product Information</w:t>
            </w:r>
            <w:r w:rsidR="000C3BE6">
              <w:rPr>
                <w:noProof/>
                <w:webHidden/>
              </w:rPr>
              <w:tab/>
            </w:r>
            <w:r w:rsidR="000C3BE6">
              <w:rPr>
                <w:noProof/>
                <w:webHidden/>
              </w:rPr>
              <w:fldChar w:fldCharType="begin"/>
            </w:r>
            <w:r w:rsidR="000C3BE6">
              <w:rPr>
                <w:noProof/>
                <w:webHidden/>
              </w:rPr>
              <w:instrText xml:space="preserve"> PAGEREF _Toc125365368 \h </w:instrText>
            </w:r>
            <w:r w:rsidR="000C3BE6">
              <w:rPr>
                <w:noProof/>
                <w:webHidden/>
              </w:rPr>
            </w:r>
            <w:r w:rsidR="000C3BE6">
              <w:rPr>
                <w:noProof/>
                <w:webHidden/>
              </w:rPr>
              <w:fldChar w:fldCharType="separate"/>
            </w:r>
            <w:r>
              <w:rPr>
                <w:noProof/>
                <w:webHidden/>
              </w:rPr>
              <w:t>37</w:t>
            </w:r>
            <w:r w:rsidR="000C3BE6">
              <w:rPr>
                <w:noProof/>
                <w:webHidden/>
              </w:rPr>
              <w:fldChar w:fldCharType="end"/>
            </w:r>
          </w:hyperlink>
        </w:p>
        <w:p w14:paraId="0D8B7FFB" w14:textId="031F83C4" w:rsidR="003A7F6C" w:rsidRPr="00B811C6" w:rsidRDefault="00C525A2" w:rsidP="00EB36D6">
          <w:r>
            <w:fldChar w:fldCharType="end"/>
          </w:r>
        </w:p>
      </w:sdtContent>
    </w:sdt>
    <w:bookmarkStart w:id="2" w:name="_Toc314842482" w:displacedByCustomXml="prev"/>
    <w:p w14:paraId="3BB9790E" w14:textId="77777777" w:rsidR="00FD119B" w:rsidRDefault="00FD119B">
      <w:pPr>
        <w:spacing w:before="0" w:after="200" w:line="0" w:lineRule="auto"/>
      </w:pPr>
      <w:r>
        <w:br w:type="page"/>
      </w:r>
    </w:p>
    <w:p w14:paraId="5565E2C1" w14:textId="773B1E43" w:rsidR="00AF2313" w:rsidRDefault="00AF2313" w:rsidP="00AF2313">
      <w:pPr>
        <w:pStyle w:val="Heading2"/>
      </w:pPr>
      <w:bookmarkStart w:id="3" w:name="_Toc98931917"/>
      <w:bookmarkStart w:id="4" w:name="_Toc125365353"/>
      <w:r>
        <w:lastRenderedPageBreak/>
        <w:t>List of abbreviations</w:t>
      </w:r>
      <w:bookmarkEnd w:id="3"/>
      <w:bookmarkEnd w:id="4"/>
    </w:p>
    <w:tbl>
      <w:tblPr>
        <w:tblStyle w:val="TableTGAblue"/>
        <w:tblW w:w="5000" w:type="pct"/>
        <w:tblLook w:val="04A0" w:firstRow="1" w:lastRow="0" w:firstColumn="1" w:lastColumn="0" w:noHBand="0" w:noVBand="1"/>
      </w:tblPr>
      <w:tblGrid>
        <w:gridCol w:w="1719"/>
        <w:gridCol w:w="1196"/>
        <w:gridCol w:w="5569"/>
      </w:tblGrid>
      <w:tr w:rsidR="00041462" w14:paraId="47024AC8" w14:textId="77777777" w:rsidTr="00891DCA">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7F091ECB" w14:textId="77777777" w:rsidR="00041462" w:rsidRDefault="00041462" w:rsidP="00891DCA">
            <w:pPr>
              <w:rPr>
                <w:color w:val="FFFFFF"/>
              </w:rPr>
            </w:pPr>
            <w:r>
              <w:t>Abbreviation</w:t>
            </w:r>
          </w:p>
        </w:tc>
        <w:tc>
          <w:tcPr>
            <w:tcW w:w="3282" w:type="pct"/>
            <w:hideMark/>
          </w:tcPr>
          <w:p w14:paraId="1BEF50FA" w14:textId="77777777" w:rsidR="00041462" w:rsidRDefault="00041462" w:rsidP="00891DCA">
            <w:r>
              <w:t>Meaning</w:t>
            </w:r>
          </w:p>
        </w:tc>
      </w:tr>
      <w:tr w:rsidR="00041462" w14:paraId="68FCABB1"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3DFBAAD4" w14:textId="77777777" w:rsidR="00041462" w:rsidRPr="00EC1165" w:rsidRDefault="00041462" w:rsidP="00891DCA">
            <w:r w:rsidRPr="00EC1165">
              <w:t>AE</w:t>
            </w:r>
          </w:p>
        </w:tc>
        <w:tc>
          <w:tcPr>
            <w:tcW w:w="3987" w:type="pct"/>
            <w:gridSpan w:val="2"/>
            <w:tcBorders>
              <w:top w:val="single" w:sz="8" w:space="0" w:color="002C47"/>
              <w:left w:val="single" w:sz="8" w:space="0" w:color="002C47"/>
              <w:bottom w:val="single" w:sz="8" w:space="0" w:color="002C47"/>
              <w:right w:val="single" w:sz="8" w:space="0" w:color="002C47"/>
            </w:tcBorders>
          </w:tcPr>
          <w:p w14:paraId="7AD56E7D" w14:textId="77777777" w:rsidR="00041462" w:rsidRDefault="00041462" w:rsidP="00891DCA">
            <w:r w:rsidRPr="00F55545">
              <w:t>Adverse event</w:t>
            </w:r>
          </w:p>
        </w:tc>
      </w:tr>
      <w:tr w:rsidR="00041462" w14:paraId="09B99BA7"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40538FED" w14:textId="77777777" w:rsidR="00041462" w:rsidRPr="00EC1165" w:rsidRDefault="00041462" w:rsidP="00891DCA">
            <w:r w:rsidRPr="00EC1165">
              <w:t>AR</w:t>
            </w:r>
          </w:p>
        </w:tc>
        <w:tc>
          <w:tcPr>
            <w:tcW w:w="3987" w:type="pct"/>
            <w:gridSpan w:val="2"/>
            <w:tcBorders>
              <w:top w:val="single" w:sz="8" w:space="0" w:color="002C47"/>
              <w:left w:val="single" w:sz="8" w:space="0" w:color="002C47"/>
              <w:bottom w:val="single" w:sz="8" w:space="0" w:color="002C47"/>
              <w:right w:val="single" w:sz="8" w:space="0" w:color="002C47"/>
            </w:tcBorders>
          </w:tcPr>
          <w:p w14:paraId="60C53CC7" w14:textId="77777777" w:rsidR="00041462" w:rsidRDefault="00041462" w:rsidP="00891DCA">
            <w:r w:rsidRPr="00F55545">
              <w:t>Adverse reaction</w:t>
            </w:r>
          </w:p>
        </w:tc>
      </w:tr>
      <w:tr w:rsidR="00041462" w14:paraId="23F9A461"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309504B9" w14:textId="77777777" w:rsidR="00041462" w:rsidRPr="00EC1165" w:rsidRDefault="00041462" w:rsidP="00891DCA">
            <w:r w:rsidRPr="00EC1165">
              <w:t>ASA</w:t>
            </w:r>
          </w:p>
        </w:tc>
        <w:tc>
          <w:tcPr>
            <w:tcW w:w="3987" w:type="pct"/>
            <w:gridSpan w:val="2"/>
            <w:tcBorders>
              <w:top w:val="single" w:sz="8" w:space="0" w:color="002C47"/>
              <w:left w:val="single" w:sz="8" w:space="0" w:color="002C47"/>
              <w:bottom w:val="single" w:sz="8" w:space="0" w:color="002C47"/>
              <w:right w:val="single" w:sz="8" w:space="0" w:color="002C47"/>
            </w:tcBorders>
          </w:tcPr>
          <w:p w14:paraId="5FE309BE" w14:textId="77777777" w:rsidR="00041462" w:rsidRDefault="00041462" w:rsidP="00891DCA">
            <w:r w:rsidRPr="00F55545">
              <w:t>Australia specific annex</w:t>
            </w:r>
          </w:p>
        </w:tc>
      </w:tr>
      <w:tr w:rsidR="00041462" w14:paraId="36A12CC8"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3B23D55C" w14:textId="77777777" w:rsidR="00041462" w:rsidRPr="00EC1165" w:rsidRDefault="00041462" w:rsidP="00891DCA">
            <w:r w:rsidRPr="00EC1165">
              <w:t>AUC</w:t>
            </w:r>
          </w:p>
        </w:tc>
        <w:tc>
          <w:tcPr>
            <w:tcW w:w="3987" w:type="pct"/>
            <w:gridSpan w:val="2"/>
            <w:tcBorders>
              <w:top w:val="single" w:sz="8" w:space="0" w:color="002C47"/>
              <w:left w:val="single" w:sz="8" w:space="0" w:color="002C47"/>
              <w:bottom w:val="single" w:sz="8" w:space="0" w:color="002C47"/>
              <w:right w:val="single" w:sz="8" w:space="0" w:color="002C47"/>
            </w:tcBorders>
          </w:tcPr>
          <w:p w14:paraId="68BD0622" w14:textId="7348D3A1" w:rsidR="00041462" w:rsidRDefault="00041462" w:rsidP="00891DCA">
            <w:r w:rsidRPr="00F55545">
              <w:t>Area under the concentration</w:t>
            </w:r>
            <w:r w:rsidR="00891DCA">
              <w:noBreakHyphen/>
            </w:r>
            <w:r w:rsidRPr="00F55545">
              <w:t>time curve</w:t>
            </w:r>
          </w:p>
        </w:tc>
      </w:tr>
      <w:tr w:rsidR="00041462" w14:paraId="46F0C69F"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603FB3BF" w14:textId="2FCE7DAC" w:rsidR="00041462" w:rsidRPr="00EC1165" w:rsidRDefault="00041462" w:rsidP="00891DCA">
            <w:pPr>
              <w:rPr>
                <w:color w:val="000000"/>
              </w:rPr>
            </w:pPr>
            <w:r w:rsidRPr="00EC1165">
              <w:t>AUC</w:t>
            </w:r>
            <w:r w:rsidRPr="00EC1165">
              <w:rPr>
                <w:vertAlign w:val="subscript"/>
              </w:rPr>
              <w:t>0-7</w:t>
            </w:r>
            <w:r w:rsidRPr="004926F2">
              <w:rPr>
                <w:vertAlign w:val="subscript"/>
              </w:rPr>
              <w:t>days</w:t>
            </w:r>
          </w:p>
        </w:tc>
        <w:tc>
          <w:tcPr>
            <w:tcW w:w="3987" w:type="pct"/>
            <w:gridSpan w:val="2"/>
            <w:tcBorders>
              <w:top w:val="single" w:sz="8" w:space="0" w:color="002C47"/>
              <w:left w:val="single" w:sz="8" w:space="0" w:color="002C47"/>
              <w:bottom w:val="single" w:sz="8" w:space="0" w:color="002C47"/>
              <w:right w:val="single" w:sz="8" w:space="0" w:color="002C47"/>
            </w:tcBorders>
          </w:tcPr>
          <w:p w14:paraId="06DF7DFB" w14:textId="77777777" w:rsidR="00041462" w:rsidRDefault="00041462" w:rsidP="00891DCA">
            <w:pPr>
              <w:rPr>
                <w:color w:val="000000"/>
              </w:rPr>
            </w:pPr>
            <w:r w:rsidRPr="00F55545">
              <w:t>Area under the concentration-time curve from 0 to 7 days</w:t>
            </w:r>
          </w:p>
        </w:tc>
      </w:tr>
      <w:tr w:rsidR="00041462" w14:paraId="7E015478"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41E06B82" w14:textId="20E50A25" w:rsidR="00041462" w:rsidRPr="00EC1165" w:rsidRDefault="00041462" w:rsidP="00891DCA">
            <w:pPr>
              <w:rPr>
                <w:color w:val="000000"/>
              </w:rPr>
            </w:pPr>
            <w:proofErr w:type="spellStart"/>
            <w:r w:rsidRPr="00EC1165">
              <w:t>C</w:t>
            </w:r>
            <w:r w:rsidRPr="00EC1165">
              <w:rPr>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59892946" w14:textId="77777777" w:rsidR="00041462" w:rsidRDefault="00041462" w:rsidP="00891DCA">
            <w:r w:rsidRPr="00F55545">
              <w:t>Maximum observed concentration</w:t>
            </w:r>
          </w:p>
        </w:tc>
      </w:tr>
      <w:tr w:rsidR="00041462" w14:paraId="55746250"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14126AF8" w14:textId="0DC2F719" w:rsidR="00041462" w:rsidRPr="00EC1165" w:rsidRDefault="00041462" w:rsidP="00891DCA">
            <w:pPr>
              <w:rPr>
                <w:color w:val="000000"/>
              </w:rPr>
            </w:pPr>
            <w:r w:rsidRPr="00EC1165">
              <w:t>CI</w:t>
            </w:r>
          </w:p>
        </w:tc>
        <w:tc>
          <w:tcPr>
            <w:tcW w:w="3987" w:type="pct"/>
            <w:gridSpan w:val="2"/>
            <w:tcBorders>
              <w:top w:val="single" w:sz="8" w:space="0" w:color="002C47"/>
              <w:left w:val="single" w:sz="8" w:space="0" w:color="002C47"/>
              <w:bottom w:val="single" w:sz="8" w:space="0" w:color="002C47"/>
              <w:right w:val="single" w:sz="8" w:space="0" w:color="002C47"/>
            </w:tcBorders>
          </w:tcPr>
          <w:p w14:paraId="219E6AD0" w14:textId="77777777" w:rsidR="00041462" w:rsidRDefault="00041462" w:rsidP="00891DCA">
            <w:r w:rsidRPr="00F55545">
              <w:t>Confidence interval</w:t>
            </w:r>
          </w:p>
        </w:tc>
      </w:tr>
      <w:tr w:rsidR="00041462" w14:paraId="18924465"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6CEC6C1B" w14:textId="77777777" w:rsidR="00041462" w:rsidRPr="00EC1165" w:rsidRDefault="00041462" w:rsidP="00891DCA">
            <w:pPr>
              <w:rPr>
                <w:color w:val="000000"/>
              </w:rPr>
            </w:pPr>
            <w:r w:rsidRPr="00EC1165">
              <w:t>CMI</w:t>
            </w:r>
          </w:p>
        </w:tc>
        <w:tc>
          <w:tcPr>
            <w:tcW w:w="3987" w:type="pct"/>
            <w:gridSpan w:val="2"/>
            <w:tcBorders>
              <w:top w:val="single" w:sz="8" w:space="0" w:color="002C47"/>
              <w:left w:val="single" w:sz="8" w:space="0" w:color="002C47"/>
              <w:bottom w:val="single" w:sz="8" w:space="0" w:color="002C47"/>
              <w:right w:val="single" w:sz="8" w:space="0" w:color="002C47"/>
            </w:tcBorders>
          </w:tcPr>
          <w:p w14:paraId="44FC27DE" w14:textId="6420B798" w:rsidR="00041462" w:rsidRDefault="00041462" w:rsidP="00891DCA">
            <w:r w:rsidRPr="00F55545">
              <w:t xml:space="preserve">Consumer </w:t>
            </w:r>
            <w:r w:rsidR="009C6DEB">
              <w:t>M</w:t>
            </w:r>
            <w:r w:rsidRPr="00F55545">
              <w:t xml:space="preserve">edicine </w:t>
            </w:r>
            <w:r w:rsidR="009C6DEB">
              <w:t>I</w:t>
            </w:r>
            <w:r w:rsidRPr="00F55545">
              <w:t>nformation</w:t>
            </w:r>
          </w:p>
        </w:tc>
      </w:tr>
      <w:tr w:rsidR="001E0E47" w14:paraId="390BE457"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4C603B26" w14:textId="71CD2198" w:rsidR="001E0E47" w:rsidRPr="00EC1165" w:rsidRDefault="001E0E47" w:rsidP="00891DCA">
            <w:r>
              <w:t>CVID</w:t>
            </w:r>
          </w:p>
        </w:tc>
        <w:tc>
          <w:tcPr>
            <w:tcW w:w="3987" w:type="pct"/>
            <w:gridSpan w:val="2"/>
            <w:tcBorders>
              <w:top w:val="single" w:sz="8" w:space="0" w:color="002C47"/>
              <w:left w:val="single" w:sz="8" w:space="0" w:color="002C47"/>
              <w:bottom w:val="single" w:sz="8" w:space="0" w:color="002C47"/>
              <w:right w:val="single" w:sz="8" w:space="0" w:color="002C47"/>
            </w:tcBorders>
          </w:tcPr>
          <w:p w14:paraId="22C9F6C0" w14:textId="5F629950" w:rsidR="001E0E47" w:rsidRPr="00F55545" w:rsidRDefault="001E0E47" w:rsidP="00891DCA">
            <w:r w:rsidRPr="001E0E47">
              <w:t>Common variable immunodeficiency</w:t>
            </w:r>
          </w:p>
        </w:tc>
      </w:tr>
      <w:tr w:rsidR="00041462" w14:paraId="28340541"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3E569AE0" w14:textId="77777777" w:rsidR="00041462" w:rsidRPr="00EC1165" w:rsidRDefault="00041462" w:rsidP="00891DCA">
            <w:pPr>
              <w:rPr>
                <w:color w:val="000000"/>
              </w:rPr>
            </w:pPr>
            <w:r w:rsidRPr="00EC1165">
              <w:t>DAF</w:t>
            </w:r>
          </w:p>
        </w:tc>
        <w:tc>
          <w:tcPr>
            <w:tcW w:w="3987" w:type="pct"/>
            <w:gridSpan w:val="2"/>
            <w:tcBorders>
              <w:top w:val="single" w:sz="8" w:space="0" w:color="002C47"/>
              <w:left w:val="single" w:sz="8" w:space="0" w:color="002C47"/>
              <w:bottom w:val="single" w:sz="8" w:space="0" w:color="002C47"/>
              <w:right w:val="single" w:sz="8" w:space="0" w:color="002C47"/>
            </w:tcBorders>
          </w:tcPr>
          <w:p w14:paraId="1B806875" w14:textId="77777777" w:rsidR="00041462" w:rsidRDefault="00041462" w:rsidP="00891DCA">
            <w:r w:rsidRPr="00F55545">
              <w:t>Dose adjustment factor</w:t>
            </w:r>
          </w:p>
        </w:tc>
      </w:tr>
      <w:tr w:rsidR="00041462" w14:paraId="063FBB1A"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6EBA63A8" w14:textId="77777777" w:rsidR="00041462" w:rsidRPr="00EC1165" w:rsidRDefault="00041462" w:rsidP="00891DCA">
            <w:r w:rsidRPr="00EC1165">
              <w:t>Fc</w:t>
            </w:r>
          </w:p>
        </w:tc>
        <w:tc>
          <w:tcPr>
            <w:tcW w:w="3987" w:type="pct"/>
            <w:gridSpan w:val="2"/>
            <w:tcBorders>
              <w:top w:val="single" w:sz="8" w:space="0" w:color="002C47"/>
              <w:left w:val="single" w:sz="8" w:space="0" w:color="002C47"/>
              <w:bottom w:val="single" w:sz="8" w:space="0" w:color="002C47"/>
              <w:right w:val="single" w:sz="8" w:space="0" w:color="002C47"/>
            </w:tcBorders>
          </w:tcPr>
          <w:p w14:paraId="7F8E0416" w14:textId="77777777" w:rsidR="00041462" w:rsidRPr="00F55545" w:rsidRDefault="00041462" w:rsidP="00891DCA">
            <w:r>
              <w:t>F</w:t>
            </w:r>
            <w:r w:rsidRPr="00D95932">
              <w:t>ragment crystallisable region</w:t>
            </w:r>
          </w:p>
        </w:tc>
      </w:tr>
      <w:tr w:rsidR="00041462" w14:paraId="12CA28AF"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55F998B4" w14:textId="77777777" w:rsidR="00041462" w:rsidRPr="00EC1165" w:rsidRDefault="00041462" w:rsidP="00891DCA">
            <w:pPr>
              <w:rPr>
                <w:color w:val="000000"/>
              </w:rPr>
            </w:pPr>
            <w:proofErr w:type="spellStart"/>
            <w:r w:rsidRPr="00EC1165">
              <w:t>FcRn</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63641D6F" w14:textId="77777777" w:rsidR="00041462" w:rsidRDefault="00041462" w:rsidP="00891DCA">
            <w:r w:rsidRPr="00F55545">
              <w:t>Neonatal Fc receptor</w:t>
            </w:r>
          </w:p>
        </w:tc>
      </w:tr>
      <w:tr w:rsidR="00041462" w14:paraId="5D12A59B"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708770A0" w14:textId="0B8E42C4" w:rsidR="00041462" w:rsidRPr="00EC1165" w:rsidRDefault="00041462" w:rsidP="00891DCA">
            <w:pPr>
              <w:rPr>
                <w:color w:val="000000"/>
              </w:rPr>
            </w:pPr>
            <w:r w:rsidRPr="00EC1165">
              <w:t>ISR</w:t>
            </w:r>
          </w:p>
        </w:tc>
        <w:tc>
          <w:tcPr>
            <w:tcW w:w="3987" w:type="pct"/>
            <w:gridSpan w:val="2"/>
            <w:tcBorders>
              <w:top w:val="single" w:sz="8" w:space="0" w:color="002C47"/>
              <w:left w:val="single" w:sz="8" w:space="0" w:color="002C47"/>
              <w:bottom w:val="single" w:sz="8" w:space="0" w:color="002C47"/>
              <w:right w:val="single" w:sz="8" w:space="0" w:color="002C47"/>
            </w:tcBorders>
          </w:tcPr>
          <w:p w14:paraId="16F8AD07" w14:textId="77777777" w:rsidR="00041462" w:rsidRDefault="00041462" w:rsidP="00891DCA">
            <w:r w:rsidRPr="00F55545">
              <w:t>Injection site reaction</w:t>
            </w:r>
          </w:p>
        </w:tc>
      </w:tr>
      <w:tr w:rsidR="00041462" w14:paraId="3449C2C3"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2F6810C3" w14:textId="6BA41405" w:rsidR="00041462" w:rsidRPr="00EC1165" w:rsidRDefault="00041462" w:rsidP="00891DCA">
            <w:pPr>
              <w:rPr>
                <w:color w:val="000000"/>
              </w:rPr>
            </w:pPr>
            <w:r w:rsidRPr="00EC1165">
              <w:t>K</w:t>
            </w:r>
            <w:r w:rsidRPr="004926F2">
              <w:rPr>
                <w:vertAlign w:val="subscript"/>
              </w:rPr>
              <w:t>a</w:t>
            </w:r>
          </w:p>
        </w:tc>
        <w:tc>
          <w:tcPr>
            <w:tcW w:w="3987" w:type="pct"/>
            <w:gridSpan w:val="2"/>
            <w:tcBorders>
              <w:top w:val="single" w:sz="8" w:space="0" w:color="002C47"/>
              <w:left w:val="single" w:sz="8" w:space="0" w:color="002C47"/>
              <w:bottom w:val="single" w:sz="8" w:space="0" w:color="002C47"/>
              <w:right w:val="single" w:sz="8" w:space="0" w:color="002C47"/>
            </w:tcBorders>
          </w:tcPr>
          <w:p w14:paraId="4657E06E" w14:textId="77777777" w:rsidR="00041462" w:rsidRDefault="00041462" w:rsidP="00891DCA">
            <w:r w:rsidRPr="00F55545">
              <w:t>Absorption rate constant</w:t>
            </w:r>
          </w:p>
        </w:tc>
      </w:tr>
      <w:tr w:rsidR="0072757C" w14:paraId="51A0A4E7"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0036F620" w14:textId="67CD84BD" w:rsidR="0072757C" w:rsidRPr="00EC1165" w:rsidRDefault="0072757C" w:rsidP="00891DCA">
            <w:r>
              <w:t>LSM</w:t>
            </w:r>
          </w:p>
        </w:tc>
        <w:tc>
          <w:tcPr>
            <w:tcW w:w="3987" w:type="pct"/>
            <w:gridSpan w:val="2"/>
            <w:tcBorders>
              <w:top w:val="single" w:sz="8" w:space="0" w:color="002C47"/>
              <w:left w:val="single" w:sz="8" w:space="0" w:color="002C47"/>
              <w:bottom w:val="single" w:sz="8" w:space="0" w:color="002C47"/>
              <w:right w:val="single" w:sz="8" w:space="0" w:color="002C47"/>
            </w:tcBorders>
          </w:tcPr>
          <w:p w14:paraId="578CDA54" w14:textId="57738A67" w:rsidR="0072757C" w:rsidRPr="00F55545" w:rsidRDefault="0072757C" w:rsidP="00891DCA">
            <w:r>
              <w:t>Least squares mean</w:t>
            </w:r>
          </w:p>
        </w:tc>
      </w:tr>
      <w:tr w:rsidR="00D6190F" w14:paraId="7343127D"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59306D86" w14:textId="702F4622" w:rsidR="00D6190F" w:rsidRPr="00EC1165" w:rsidRDefault="00D6190F" w:rsidP="00891DCA">
            <w:r>
              <w:t>NBA</w:t>
            </w:r>
          </w:p>
        </w:tc>
        <w:tc>
          <w:tcPr>
            <w:tcW w:w="3987" w:type="pct"/>
            <w:gridSpan w:val="2"/>
            <w:tcBorders>
              <w:top w:val="single" w:sz="8" w:space="0" w:color="002C47"/>
              <w:left w:val="single" w:sz="8" w:space="0" w:color="002C47"/>
              <w:bottom w:val="single" w:sz="8" w:space="0" w:color="002C47"/>
              <w:right w:val="single" w:sz="8" w:space="0" w:color="002C47"/>
            </w:tcBorders>
          </w:tcPr>
          <w:p w14:paraId="31E6832D" w14:textId="155DECC2" w:rsidR="00D6190F" w:rsidRPr="00F55545" w:rsidRDefault="00D6190F" w:rsidP="00891DCA">
            <w:r>
              <w:t>National Blood Authority (Australia)</w:t>
            </w:r>
          </w:p>
        </w:tc>
      </w:tr>
      <w:tr w:rsidR="00041462" w14:paraId="202F23AF"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0CC194C6" w14:textId="77777777" w:rsidR="00041462" w:rsidRPr="00EC1165" w:rsidRDefault="00041462" w:rsidP="00891DCA">
            <w:pPr>
              <w:rPr>
                <w:rStyle w:val="CommentReference"/>
              </w:rPr>
            </w:pPr>
            <w:r w:rsidRPr="00EC1165">
              <w:t>PI</w:t>
            </w:r>
          </w:p>
        </w:tc>
        <w:tc>
          <w:tcPr>
            <w:tcW w:w="3987" w:type="pct"/>
            <w:gridSpan w:val="2"/>
            <w:tcBorders>
              <w:top w:val="single" w:sz="8" w:space="0" w:color="002C47"/>
              <w:left w:val="single" w:sz="8" w:space="0" w:color="002C47"/>
              <w:bottom w:val="single" w:sz="8" w:space="0" w:color="002C47"/>
              <w:right w:val="single" w:sz="8" w:space="0" w:color="002C47"/>
            </w:tcBorders>
          </w:tcPr>
          <w:p w14:paraId="797532EA" w14:textId="77777777" w:rsidR="00041462" w:rsidRPr="00F55545" w:rsidRDefault="00041462" w:rsidP="00891DCA">
            <w:r>
              <w:t>Product information</w:t>
            </w:r>
          </w:p>
        </w:tc>
      </w:tr>
      <w:tr w:rsidR="00041462" w14:paraId="15899DE1"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4B78C0F9" w14:textId="77777777" w:rsidR="00041462" w:rsidRPr="00EC1165" w:rsidRDefault="00041462" w:rsidP="00891DCA">
            <w:pPr>
              <w:rPr>
                <w:color w:val="000000"/>
              </w:rPr>
            </w:pPr>
            <w:r w:rsidRPr="00EC1165">
              <w:t>PID</w:t>
            </w:r>
          </w:p>
        </w:tc>
        <w:tc>
          <w:tcPr>
            <w:tcW w:w="3987" w:type="pct"/>
            <w:gridSpan w:val="2"/>
            <w:tcBorders>
              <w:top w:val="single" w:sz="8" w:space="0" w:color="002C47"/>
              <w:left w:val="single" w:sz="8" w:space="0" w:color="002C47"/>
              <w:bottom w:val="single" w:sz="8" w:space="0" w:color="002C47"/>
              <w:right w:val="single" w:sz="8" w:space="0" w:color="002C47"/>
            </w:tcBorders>
          </w:tcPr>
          <w:p w14:paraId="728FE679" w14:textId="10A0F436" w:rsidR="00041462" w:rsidRDefault="00041462" w:rsidP="00891DCA">
            <w:r w:rsidRPr="00F55545">
              <w:t>Primary immunodeficiency dis</w:t>
            </w:r>
            <w:r>
              <w:t>ease</w:t>
            </w:r>
          </w:p>
        </w:tc>
      </w:tr>
      <w:tr w:rsidR="00041462" w14:paraId="7E118D3F"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3318B591" w14:textId="5580143F" w:rsidR="00041462" w:rsidRPr="00EC1165" w:rsidRDefault="00041462" w:rsidP="00891DCA">
            <w:pPr>
              <w:rPr>
                <w:color w:val="000000"/>
              </w:rPr>
            </w:pPr>
            <w:r w:rsidRPr="00EC1165">
              <w:t>PK</w:t>
            </w:r>
          </w:p>
        </w:tc>
        <w:tc>
          <w:tcPr>
            <w:tcW w:w="3987" w:type="pct"/>
            <w:gridSpan w:val="2"/>
            <w:tcBorders>
              <w:top w:val="single" w:sz="8" w:space="0" w:color="002C47"/>
              <w:left w:val="single" w:sz="8" w:space="0" w:color="002C47"/>
              <w:bottom w:val="single" w:sz="8" w:space="0" w:color="002C47"/>
              <w:right w:val="single" w:sz="8" w:space="0" w:color="002C47"/>
            </w:tcBorders>
          </w:tcPr>
          <w:p w14:paraId="55FA4AB9" w14:textId="2D958609" w:rsidR="00041462" w:rsidRDefault="00041462" w:rsidP="00891DCA">
            <w:r w:rsidRPr="00F55545">
              <w:t>Pharmacokinetic</w:t>
            </w:r>
            <w:r w:rsidR="009C6DEB">
              <w:t>(</w:t>
            </w:r>
            <w:r w:rsidRPr="00F55545">
              <w:t>s</w:t>
            </w:r>
            <w:r w:rsidR="009C6DEB">
              <w:t>)</w:t>
            </w:r>
          </w:p>
        </w:tc>
      </w:tr>
      <w:tr w:rsidR="00041462" w14:paraId="2225F634"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02649543" w14:textId="77777777" w:rsidR="00041462" w:rsidRPr="00EC1165" w:rsidRDefault="00041462" w:rsidP="00891DCA">
            <w:pPr>
              <w:rPr>
                <w:color w:val="000000"/>
              </w:rPr>
            </w:pPr>
            <w:r w:rsidRPr="00EC1165">
              <w:t>RMP</w:t>
            </w:r>
          </w:p>
        </w:tc>
        <w:tc>
          <w:tcPr>
            <w:tcW w:w="3987" w:type="pct"/>
            <w:gridSpan w:val="2"/>
            <w:tcBorders>
              <w:top w:val="single" w:sz="8" w:space="0" w:color="002C47"/>
              <w:left w:val="single" w:sz="8" w:space="0" w:color="002C47"/>
              <w:bottom w:val="single" w:sz="8" w:space="0" w:color="002C47"/>
              <w:right w:val="single" w:sz="8" w:space="0" w:color="002C47"/>
            </w:tcBorders>
          </w:tcPr>
          <w:p w14:paraId="67BEEA0D" w14:textId="77777777" w:rsidR="00041462" w:rsidRDefault="00041462" w:rsidP="00891DCA">
            <w:r w:rsidRPr="00F55545">
              <w:t>Risk management plan</w:t>
            </w:r>
          </w:p>
        </w:tc>
      </w:tr>
      <w:tr w:rsidR="00041462" w14:paraId="1A1D7C1D"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2562EE93" w14:textId="77777777" w:rsidR="00041462" w:rsidRPr="00EC1165" w:rsidRDefault="00041462" w:rsidP="00891DCA">
            <w:pPr>
              <w:rPr>
                <w:color w:val="000000"/>
              </w:rPr>
            </w:pPr>
            <w:r w:rsidRPr="00EC1165">
              <w:t xml:space="preserve">SAE </w:t>
            </w:r>
          </w:p>
        </w:tc>
        <w:tc>
          <w:tcPr>
            <w:tcW w:w="3987" w:type="pct"/>
            <w:gridSpan w:val="2"/>
            <w:tcBorders>
              <w:top w:val="single" w:sz="8" w:space="0" w:color="002C47"/>
              <w:left w:val="single" w:sz="8" w:space="0" w:color="002C47"/>
              <w:bottom w:val="single" w:sz="8" w:space="0" w:color="002C47"/>
              <w:right w:val="single" w:sz="8" w:space="0" w:color="002C47"/>
            </w:tcBorders>
          </w:tcPr>
          <w:p w14:paraId="5F675464" w14:textId="77777777" w:rsidR="00041462" w:rsidRDefault="00041462" w:rsidP="00891DCA">
            <w:r w:rsidRPr="00F55545">
              <w:t>Serious adverse event</w:t>
            </w:r>
          </w:p>
        </w:tc>
      </w:tr>
      <w:tr w:rsidR="00041462" w14:paraId="72AC8271"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782F1AB5" w14:textId="77777777" w:rsidR="00041462" w:rsidRPr="00EC1165" w:rsidRDefault="00041462" w:rsidP="00891DCA">
            <w:pPr>
              <w:rPr>
                <w:color w:val="000000"/>
              </w:rPr>
            </w:pPr>
            <w:r w:rsidRPr="00EC1165">
              <w:t>SBI</w:t>
            </w:r>
          </w:p>
        </w:tc>
        <w:tc>
          <w:tcPr>
            <w:tcW w:w="3987" w:type="pct"/>
            <w:gridSpan w:val="2"/>
            <w:tcBorders>
              <w:top w:val="single" w:sz="8" w:space="0" w:color="002C47"/>
              <w:left w:val="single" w:sz="8" w:space="0" w:color="002C47"/>
              <w:bottom w:val="single" w:sz="8" w:space="0" w:color="002C47"/>
              <w:right w:val="single" w:sz="8" w:space="0" w:color="002C47"/>
            </w:tcBorders>
          </w:tcPr>
          <w:p w14:paraId="4220781B" w14:textId="77777777" w:rsidR="00041462" w:rsidRDefault="00041462" w:rsidP="00891DCA">
            <w:r w:rsidRPr="00F55545">
              <w:t>Serious bacterial infection</w:t>
            </w:r>
          </w:p>
        </w:tc>
      </w:tr>
      <w:tr w:rsidR="00041462" w14:paraId="00A12C91" w14:textId="42B8FE73"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5F1512B3" w14:textId="7DE34271" w:rsidR="00041462" w:rsidRPr="00EC1165" w:rsidRDefault="00041462" w:rsidP="00891DCA">
            <w:pPr>
              <w:rPr>
                <w:color w:val="auto"/>
              </w:rPr>
            </w:pPr>
            <w:r w:rsidRPr="00EC1165">
              <w:rPr>
                <w:color w:val="auto"/>
              </w:rPr>
              <w:t>SC#1</w:t>
            </w:r>
          </w:p>
        </w:tc>
        <w:tc>
          <w:tcPr>
            <w:tcW w:w="3987" w:type="pct"/>
            <w:gridSpan w:val="2"/>
            <w:tcBorders>
              <w:top w:val="single" w:sz="8" w:space="0" w:color="002C47"/>
              <w:left w:val="single" w:sz="8" w:space="0" w:color="002C47"/>
              <w:bottom w:val="single" w:sz="8" w:space="0" w:color="002C47"/>
              <w:right w:val="single" w:sz="8" w:space="0" w:color="002C47"/>
            </w:tcBorders>
          </w:tcPr>
          <w:p w14:paraId="467B3B5D" w14:textId="1278E369" w:rsidR="00041462" w:rsidRPr="00EC1165" w:rsidRDefault="00041462" w:rsidP="00891DCA">
            <w:pPr>
              <w:rPr>
                <w:color w:val="auto"/>
              </w:rPr>
            </w:pPr>
            <w:r w:rsidRPr="00EC1165">
              <w:rPr>
                <w:color w:val="auto"/>
              </w:rPr>
              <w:t xml:space="preserve">Subcutaneous </w:t>
            </w:r>
            <w:r w:rsidR="009C6DEB">
              <w:rPr>
                <w:color w:val="auto"/>
              </w:rPr>
              <w:t>V</w:t>
            </w:r>
            <w:r w:rsidRPr="00EC1165">
              <w:rPr>
                <w:color w:val="auto"/>
              </w:rPr>
              <w:t>isit one</w:t>
            </w:r>
          </w:p>
        </w:tc>
      </w:tr>
      <w:tr w:rsidR="00041462" w14:paraId="6671F18B"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4237589E" w14:textId="77777777" w:rsidR="00041462" w:rsidRPr="007A5C11" w:rsidRDefault="00041462" w:rsidP="00891DCA">
            <w:pPr>
              <w:rPr>
                <w:color w:val="000000"/>
              </w:rPr>
            </w:pPr>
            <w:r w:rsidRPr="007A5C11">
              <w:t>SCIg</w:t>
            </w:r>
          </w:p>
        </w:tc>
        <w:tc>
          <w:tcPr>
            <w:tcW w:w="3987" w:type="pct"/>
            <w:gridSpan w:val="2"/>
            <w:tcBorders>
              <w:top w:val="single" w:sz="8" w:space="0" w:color="002C47"/>
              <w:left w:val="single" w:sz="8" w:space="0" w:color="002C47"/>
              <w:bottom w:val="single" w:sz="8" w:space="0" w:color="002C47"/>
              <w:right w:val="single" w:sz="8" w:space="0" w:color="002C47"/>
            </w:tcBorders>
          </w:tcPr>
          <w:p w14:paraId="604F8A1A" w14:textId="77777777" w:rsidR="00041462" w:rsidRDefault="00041462" w:rsidP="00891DCA">
            <w:r w:rsidRPr="00F55545">
              <w:t>Subcutaneous immunoglobulin</w:t>
            </w:r>
          </w:p>
        </w:tc>
      </w:tr>
      <w:tr w:rsidR="00041462" w14:paraId="3542A607"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3C4C4321" w14:textId="718CC537" w:rsidR="00041462" w:rsidRPr="007A5C11" w:rsidRDefault="00041462" w:rsidP="00891DCA">
            <w:pPr>
              <w:rPr>
                <w:color w:val="000000"/>
              </w:rPr>
            </w:pPr>
            <w:r w:rsidRPr="007A5C11">
              <w:t>SD</w:t>
            </w:r>
          </w:p>
        </w:tc>
        <w:tc>
          <w:tcPr>
            <w:tcW w:w="3987" w:type="pct"/>
            <w:gridSpan w:val="2"/>
            <w:tcBorders>
              <w:top w:val="single" w:sz="8" w:space="0" w:color="002C47"/>
              <w:left w:val="single" w:sz="8" w:space="0" w:color="002C47"/>
              <w:bottom w:val="single" w:sz="8" w:space="0" w:color="002C47"/>
              <w:right w:val="single" w:sz="8" w:space="0" w:color="002C47"/>
            </w:tcBorders>
          </w:tcPr>
          <w:p w14:paraId="54B81677" w14:textId="77777777" w:rsidR="00041462" w:rsidRDefault="00041462" w:rsidP="00891DCA">
            <w:r w:rsidRPr="00F55545">
              <w:t>Standard deviation</w:t>
            </w:r>
          </w:p>
        </w:tc>
      </w:tr>
      <w:tr w:rsidR="00041462" w14:paraId="3F8139E4"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58E8295E" w14:textId="1FB7F95E" w:rsidR="00041462" w:rsidRPr="007A5C11" w:rsidRDefault="009E007E" w:rsidP="00891DCA">
            <w:pPr>
              <w:rPr>
                <w:color w:val="000000"/>
              </w:rPr>
            </w:pPr>
            <w:r w:rsidRPr="007A5C11">
              <w:lastRenderedPageBreak/>
              <w:t>T</w:t>
            </w:r>
            <w:r>
              <w:rPr>
                <w:vertAlign w:val="subscript"/>
              </w:rPr>
              <w:t xml:space="preserve">1/2 </w:t>
            </w:r>
          </w:p>
        </w:tc>
        <w:tc>
          <w:tcPr>
            <w:tcW w:w="3987" w:type="pct"/>
            <w:gridSpan w:val="2"/>
            <w:tcBorders>
              <w:top w:val="single" w:sz="8" w:space="0" w:color="002C47"/>
              <w:left w:val="single" w:sz="8" w:space="0" w:color="002C47"/>
              <w:bottom w:val="single" w:sz="8" w:space="0" w:color="002C47"/>
              <w:right w:val="single" w:sz="8" w:space="0" w:color="002C47"/>
            </w:tcBorders>
          </w:tcPr>
          <w:p w14:paraId="5D87D848" w14:textId="77777777" w:rsidR="00041462" w:rsidRDefault="00041462" w:rsidP="00891DCA">
            <w:r>
              <w:t>H</w:t>
            </w:r>
            <w:r w:rsidRPr="00F55545">
              <w:t>alf-life</w:t>
            </w:r>
          </w:p>
        </w:tc>
      </w:tr>
      <w:tr w:rsidR="00041462" w14:paraId="1CB0007D"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5B96C3B5" w14:textId="49D81582" w:rsidR="00041462" w:rsidRPr="007A5C11" w:rsidRDefault="00041462" w:rsidP="00891DCA">
            <w:r w:rsidRPr="007A5C11">
              <w:t>TEAE</w:t>
            </w:r>
          </w:p>
        </w:tc>
        <w:tc>
          <w:tcPr>
            <w:tcW w:w="3987" w:type="pct"/>
            <w:gridSpan w:val="2"/>
            <w:tcBorders>
              <w:top w:val="single" w:sz="8" w:space="0" w:color="002C47"/>
              <w:left w:val="single" w:sz="8" w:space="0" w:color="002C47"/>
              <w:bottom w:val="single" w:sz="8" w:space="0" w:color="002C47"/>
              <w:right w:val="single" w:sz="8" w:space="0" w:color="002C47"/>
            </w:tcBorders>
          </w:tcPr>
          <w:p w14:paraId="41DED577" w14:textId="1FD502C5" w:rsidR="00041462" w:rsidRPr="00F55545" w:rsidRDefault="00041462" w:rsidP="00891DCA">
            <w:r w:rsidRPr="00A62A8D">
              <w:t>Treatment</w:t>
            </w:r>
            <w:r w:rsidR="009C6DEB">
              <w:t xml:space="preserve"> </w:t>
            </w:r>
            <w:r w:rsidRPr="00A62A8D">
              <w:t>emergent adverse event</w:t>
            </w:r>
          </w:p>
        </w:tc>
      </w:tr>
      <w:tr w:rsidR="00041462" w14:paraId="5B0071C6"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270F6F1D" w14:textId="77777777" w:rsidR="00041462" w:rsidRPr="007A5C11" w:rsidRDefault="00041462" w:rsidP="00891DCA">
            <w:r w:rsidRPr="007A5C11">
              <w:t>TGA</w:t>
            </w:r>
          </w:p>
        </w:tc>
        <w:tc>
          <w:tcPr>
            <w:tcW w:w="3987" w:type="pct"/>
            <w:gridSpan w:val="2"/>
            <w:tcBorders>
              <w:top w:val="single" w:sz="8" w:space="0" w:color="002C47"/>
              <w:left w:val="single" w:sz="8" w:space="0" w:color="002C47"/>
              <w:bottom w:val="single" w:sz="8" w:space="0" w:color="002C47"/>
              <w:right w:val="single" w:sz="8" w:space="0" w:color="002C47"/>
            </w:tcBorders>
          </w:tcPr>
          <w:p w14:paraId="16266BC0" w14:textId="77777777" w:rsidR="00041462" w:rsidRPr="00F55545" w:rsidRDefault="00041462" w:rsidP="00891DCA">
            <w:r w:rsidRPr="00A62A8D">
              <w:t>Therapeutic Goods Administration</w:t>
            </w:r>
          </w:p>
        </w:tc>
      </w:tr>
      <w:tr w:rsidR="00041462" w14:paraId="369119E1"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3B19AEA5" w14:textId="244E3C7F" w:rsidR="00041462" w:rsidRPr="007A5C11" w:rsidRDefault="00041462" w:rsidP="00891DCA">
            <w:proofErr w:type="spellStart"/>
            <w:r w:rsidRPr="007A5C11">
              <w:t>T</w:t>
            </w:r>
            <w:r w:rsidRPr="007A5C11">
              <w:rPr>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634DB121" w14:textId="77777777" w:rsidR="00041462" w:rsidRPr="00F55545" w:rsidRDefault="00041462" w:rsidP="00891DCA">
            <w:r w:rsidRPr="00A62A8D">
              <w:t xml:space="preserve">Time to reach </w:t>
            </w:r>
            <w:r>
              <w:t>maximum observed concentration</w:t>
            </w:r>
          </w:p>
        </w:tc>
      </w:tr>
      <w:tr w:rsidR="00041462" w14:paraId="5750BAA7" w14:textId="77777777" w:rsidTr="00891DCA">
        <w:trPr>
          <w:cantSplit/>
        </w:trPr>
        <w:tc>
          <w:tcPr>
            <w:tcW w:w="1013" w:type="pct"/>
            <w:tcBorders>
              <w:top w:val="single" w:sz="8" w:space="0" w:color="002C47"/>
              <w:left w:val="single" w:sz="8" w:space="0" w:color="002C47"/>
              <w:bottom w:val="single" w:sz="8" w:space="0" w:color="002C47"/>
              <w:right w:val="single" w:sz="8" w:space="0" w:color="002C47"/>
            </w:tcBorders>
          </w:tcPr>
          <w:p w14:paraId="779A8CE0" w14:textId="0AC160A1" w:rsidR="00041462" w:rsidRPr="007A5C11" w:rsidRDefault="00041462" w:rsidP="00891DCA">
            <w:r w:rsidRPr="007A5C11">
              <w:t>US</w:t>
            </w:r>
            <w:r w:rsidR="009C6DEB">
              <w:t>(</w:t>
            </w:r>
            <w:r w:rsidRPr="007A5C11">
              <w:t>A</w:t>
            </w:r>
            <w:r w:rsidR="009C6DEB">
              <w:t>)</w:t>
            </w:r>
          </w:p>
        </w:tc>
        <w:tc>
          <w:tcPr>
            <w:tcW w:w="3987" w:type="pct"/>
            <w:gridSpan w:val="2"/>
            <w:tcBorders>
              <w:top w:val="single" w:sz="8" w:space="0" w:color="002C47"/>
              <w:left w:val="single" w:sz="8" w:space="0" w:color="002C47"/>
              <w:bottom w:val="single" w:sz="8" w:space="0" w:color="002C47"/>
              <w:right w:val="single" w:sz="8" w:space="0" w:color="002C47"/>
            </w:tcBorders>
          </w:tcPr>
          <w:p w14:paraId="7F1B59CB" w14:textId="4076B017" w:rsidR="00041462" w:rsidRPr="00F55545" w:rsidRDefault="00041462" w:rsidP="00891DCA">
            <w:r w:rsidRPr="00A62A8D">
              <w:t xml:space="preserve">United States </w:t>
            </w:r>
            <w:r w:rsidR="009C6DEB">
              <w:t>(</w:t>
            </w:r>
            <w:r w:rsidRPr="00A62A8D">
              <w:t>of America</w:t>
            </w:r>
            <w:r w:rsidR="009C6DEB">
              <w:t>)</w:t>
            </w:r>
          </w:p>
        </w:tc>
      </w:tr>
    </w:tbl>
    <w:p w14:paraId="257FD189" w14:textId="77777777" w:rsidR="00C1148F" w:rsidRPr="00C1148F" w:rsidRDefault="00C1148F" w:rsidP="00C1148F"/>
    <w:p w14:paraId="083D5BFB"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83E6C64" w14:textId="77777777" w:rsidR="008E7846" w:rsidRDefault="009F2673" w:rsidP="008E7846">
      <w:pPr>
        <w:pStyle w:val="Heading2"/>
      </w:pPr>
      <w:bookmarkStart w:id="5" w:name="_Toc125365354"/>
      <w:r>
        <w:lastRenderedPageBreak/>
        <w:t>Pr</w:t>
      </w:r>
      <w:r w:rsidR="008E7846">
        <w:t>oduct submission</w:t>
      </w:r>
      <w:bookmarkEnd w:id="5"/>
      <w:bookmarkEnd w:id="2"/>
      <w:bookmarkEnd w:id="0"/>
    </w:p>
    <w:p w14:paraId="1E55CC60" w14:textId="77777777" w:rsidR="008E7846" w:rsidRDefault="008E7846" w:rsidP="009E5A87">
      <w:pPr>
        <w:pStyle w:val="Heading3"/>
        <w:rPr>
          <w:lang w:eastAsia="en-AU"/>
        </w:rPr>
      </w:pPr>
      <w:bookmarkStart w:id="6" w:name="_Toc247691502"/>
      <w:bookmarkStart w:id="7" w:name="_Toc314842483"/>
      <w:bookmarkStart w:id="8" w:name="_Toc125365355"/>
      <w:r>
        <w:rPr>
          <w:lang w:eastAsia="en-AU"/>
        </w:rPr>
        <w:t>Submission details</w:t>
      </w:r>
      <w:bookmarkEnd w:id="6"/>
      <w:bookmarkEnd w:id="7"/>
      <w:bookmarkEnd w:id="8"/>
    </w:p>
    <w:tbl>
      <w:tblPr>
        <w:tblW w:w="5000" w:type="pct"/>
        <w:tblLook w:val="01E0" w:firstRow="1" w:lastRow="1" w:firstColumn="1" w:lastColumn="1" w:noHBand="0" w:noVBand="0"/>
      </w:tblPr>
      <w:tblGrid>
        <w:gridCol w:w="2682"/>
        <w:gridCol w:w="5822"/>
      </w:tblGrid>
      <w:tr w:rsidR="009F2673" w:rsidRPr="003D1E62" w14:paraId="1899C40B" w14:textId="77777777" w:rsidTr="00985A8C">
        <w:tc>
          <w:tcPr>
            <w:tcW w:w="1577" w:type="pct"/>
          </w:tcPr>
          <w:p w14:paraId="5C8E34BF" w14:textId="77777777" w:rsidR="009F2673" w:rsidRPr="003D1E62" w:rsidRDefault="009F2673" w:rsidP="009E5A87">
            <w:pPr>
              <w:rPr>
                <w:i/>
              </w:rPr>
            </w:pPr>
            <w:r>
              <w:rPr>
                <w:i/>
              </w:rPr>
              <w:t>Type of s</w:t>
            </w:r>
            <w:r w:rsidRPr="003D1E62">
              <w:rPr>
                <w:i/>
              </w:rPr>
              <w:t>ubmission</w:t>
            </w:r>
            <w:r>
              <w:rPr>
                <w:i/>
              </w:rPr>
              <w:t>:</w:t>
            </w:r>
          </w:p>
        </w:tc>
        <w:tc>
          <w:tcPr>
            <w:tcW w:w="3423" w:type="pct"/>
          </w:tcPr>
          <w:p w14:paraId="568A743A" w14:textId="6CC0CBD1" w:rsidR="009F2673" w:rsidRPr="003D1E62" w:rsidRDefault="002210AA" w:rsidP="009E5A87">
            <w:r>
              <w:t>New biological entity</w:t>
            </w:r>
          </w:p>
        </w:tc>
      </w:tr>
      <w:tr w:rsidR="009F2673" w:rsidRPr="003D1E62" w14:paraId="19EF0755" w14:textId="77777777" w:rsidTr="00985A8C">
        <w:tc>
          <w:tcPr>
            <w:tcW w:w="1577" w:type="pct"/>
          </w:tcPr>
          <w:p w14:paraId="5E028DD8" w14:textId="10EF3B3D" w:rsidR="009F2673" w:rsidRPr="003D1E62" w:rsidRDefault="009F2673" w:rsidP="009E5A87">
            <w:pPr>
              <w:rPr>
                <w:i/>
              </w:rPr>
            </w:pPr>
            <w:r w:rsidRPr="00460036">
              <w:rPr>
                <w:i/>
              </w:rPr>
              <w:t>Product name:</w:t>
            </w:r>
          </w:p>
        </w:tc>
        <w:tc>
          <w:tcPr>
            <w:tcW w:w="3423" w:type="pct"/>
          </w:tcPr>
          <w:p w14:paraId="23088BFC" w14:textId="7BB39092" w:rsidR="009F2673" w:rsidRPr="003D1E62" w:rsidRDefault="002210AA" w:rsidP="009E5A87">
            <w:r>
              <w:t>Xembify</w:t>
            </w:r>
          </w:p>
        </w:tc>
      </w:tr>
      <w:tr w:rsidR="009F2673" w:rsidRPr="003D1E62" w14:paraId="10DB1890" w14:textId="77777777" w:rsidTr="00985A8C">
        <w:tc>
          <w:tcPr>
            <w:tcW w:w="1577" w:type="pct"/>
          </w:tcPr>
          <w:p w14:paraId="01F917FB" w14:textId="16300E4C" w:rsidR="009F2673" w:rsidRPr="003D1E62" w:rsidRDefault="009F2673" w:rsidP="009E5A87">
            <w:pPr>
              <w:rPr>
                <w:i/>
              </w:rPr>
            </w:pPr>
            <w:r w:rsidRPr="00460036">
              <w:rPr>
                <w:i/>
              </w:rPr>
              <w:t>Active ingredient:</w:t>
            </w:r>
          </w:p>
        </w:tc>
        <w:tc>
          <w:tcPr>
            <w:tcW w:w="3423" w:type="pct"/>
          </w:tcPr>
          <w:p w14:paraId="4C19B254" w14:textId="228FAFB9" w:rsidR="009F2673" w:rsidRPr="003D1E62" w:rsidRDefault="002210AA" w:rsidP="009E5A87">
            <w:r w:rsidRPr="00C47F6F">
              <w:rPr>
                <w:rFonts w:asciiTheme="minorHAnsi" w:hAnsiTheme="minorHAnsi"/>
              </w:rPr>
              <w:t xml:space="preserve">Normal </w:t>
            </w:r>
            <w:r w:rsidR="0085105E">
              <w:rPr>
                <w:rFonts w:asciiTheme="minorHAnsi" w:hAnsiTheme="minorHAnsi"/>
              </w:rPr>
              <w:t>i</w:t>
            </w:r>
            <w:r w:rsidRPr="00C47F6F">
              <w:rPr>
                <w:rFonts w:asciiTheme="minorHAnsi" w:hAnsiTheme="minorHAnsi"/>
              </w:rPr>
              <w:t>mmunoglobulin (Human)</w:t>
            </w:r>
          </w:p>
        </w:tc>
      </w:tr>
      <w:tr w:rsidR="009F2673" w:rsidRPr="003D1E62" w14:paraId="43564EF2" w14:textId="77777777" w:rsidTr="00985A8C">
        <w:tc>
          <w:tcPr>
            <w:tcW w:w="1577" w:type="pct"/>
          </w:tcPr>
          <w:p w14:paraId="404A00D6" w14:textId="77777777" w:rsidR="009F2673" w:rsidRPr="009F2673" w:rsidRDefault="009F2673" w:rsidP="009E5A87">
            <w:pPr>
              <w:rPr>
                <w:i/>
              </w:rPr>
            </w:pPr>
            <w:r w:rsidRPr="003D1E62">
              <w:rPr>
                <w:i/>
              </w:rPr>
              <w:t>Decision</w:t>
            </w:r>
            <w:r w:rsidRPr="009F2673">
              <w:rPr>
                <w:i/>
              </w:rPr>
              <w:t>:</w:t>
            </w:r>
          </w:p>
        </w:tc>
        <w:tc>
          <w:tcPr>
            <w:tcW w:w="3423" w:type="pct"/>
          </w:tcPr>
          <w:p w14:paraId="720EF83E" w14:textId="37C14BEB" w:rsidR="009F2673" w:rsidRPr="003D1E62" w:rsidRDefault="009F2673" w:rsidP="009E5A87">
            <w:r w:rsidRPr="00460036">
              <w:t>Approved</w:t>
            </w:r>
          </w:p>
        </w:tc>
      </w:tr>
      <w:tr w:rsidR="009F2673" w:rsidRPr="003D1E62" w14:paraId="42E02D98" w14:textId="77777777" w:rsidTr="00985A8C">
        <w:tc>
          <w:tcPr>
            <w:tcW w:w="1577" w:type="pct"/>
          </w:tcPr>
          <w:p w14:paraId="611F6D75"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0DB70FA7" w14:textId="2E064878" w:rsidR="009F2673" w:rsidRPr="003D1E62" w:rsidRDefault="001F77DB" w:rsidP="009E5A87">
            <w:r>
              <w:t>8 July 2022</w:t>
            </w:r>
          </w:p>
        </w:tc>
      </w:tr>
      <w:tr w:rsidR="009F2673" w:rsidRPr="003D1E62" w14:paraId="4D1BE68A" w14:textId="77777777" w:rsidTr="00985A8C">
        <w:tc>
          <w:tcPr>
            <w:tcW w:w="1577" w:type="pct"/>
          </w:tcPr>
          <w:p w14:paraId="2D41F557" w14:textId="77777777" w:rsidR="009F2673" w:rsidRPr="00441C3F" w:rsidRDefault="009F2673" w:rsidP="009E5A87">
            <w:pPr>
              <w:rPr>
                <w:i/>
              </w:rPr>
            </w:pPr>
            <w:r w:rsidRPr="00441C3F">
              <w:rPr>
                <w:i/>
              </w:rPr>
              <w:t>Date of entry onto ARTG</w:t>
            </w:r>
            <w:r>
              <w:rPr>
                <w:i/>
              </w:rPr>
              <w:t>:</w:t>
            </w:r>
          </w:p>
        </w:tc>
        <w:tc>
          <w:tcPr>
            <w:tcW w:w="3423" w:type="pct"/>
          </w:tcPr>
          <w:p w14:paraId="566DCB44" w14:textId="47B91A0A" w:rsidR="009F2673" w:rsidRPr="009F2673" w:rsidRDefault="001F77DB" w:rsidP="009E5A87">
            <w:r>
              <w:t>30 June 2022</w:t>
            </w:r>
          </w:p>
        </w:tc>
      </w:tr>
      <w:tr w:rsidR="009F2673" w:rsidRPr="003D1E62" w14:paraId="2B1B01CA" w14:textId="77777777" w:rsidTr="00985A8C">
        <w:tc>
          <w:tcPr>
            <w:tcW w:w="1577" w:type="pct"/>
          </w:tcPr>
          <w:p w14:paraId="4268191E" w14:textId="3461A7B8" w:rsidR="009F2673" w:rsidRPr="00441C3F" w:rsidRDefault="009F2673" w:rsidP="009E5A87">
            <w:pPr>
              <w:rPr>
                <w:i/>
              </w:rPr>
            </w:pPr>
            <w:r>
              <w:rPr>
                <w:i/>
              </w:rPr>
              <w:t>ARTG number</w:t>
            </w:r>
            <w:r w:rsidR="009C2B13">
              <w:rPr>
                <w:i/>
              </w:rPr>
              <w:t>s</w:t>
            </w:r>
            <w:r>
              <w:rPr>
                <w:i/>
              </w:rPr>
              <w:t>:</w:t>
            </w:r>
          </w:p>
        </w:tc>
        <w:tc>
          <w:tcPr>
            <w:tcW w:w="3423" w:type="pct"/>
          </w:tcPr>
          <w:p w14:paraId="2E987DB3" w14:textId="05736829" w:rsidR="001F77DB" w:rsidRPr="00441C3F" w:rsidRDefault="001F77DB" w:rsidP="009E5A87">
            <w:r>
              <w:t>355315</w:t>
            </w:r>
            <w:r w:rsidR="00496F8D">
              <w:t>,</w:t>
            </w:r>
            <w:r w:rsidR="00DD2857">
              <w:t xml:space="preserve"> </w:t>
            </w:r>
            <w:r>
              <w:t>380404</w:t>
            </w:r>
            <w:r w:rsidR="00DD2857">
              <w:t xml:space="preserve"> </w:t>
            </w:r>
            <w:r w:rsidR="00833381">
              <w:t>,</w:t>
            </w:r>
            <w:r>
              <w:t>380405</w:t>
            </w:r>
            <w:r w:rsidR="00833381">
              <w:t>,</w:t>
            </w:r>
            <w:r w:rsidR="00DD2857">
              <w:t xml:space="preserve"> </w:t>
            </w:r>
            <w:r w:rsidR="00891DCA">
              <w:t xml:space="preserve">and </w:t>
            </w:r>
            <w:r>
              <w:t>380406</w:t>
            </w:r>
          </w:p>
        </w:tc>
      </w:tr>
      <w:tr w:rsidR="009F2673" w:rsidRPr="003D1E62" w14:paraId="4DD96188" w14:textId="77777777" w:rsidTr="00985A8C">
        <w:tc>
          <w:tcPr>
            <w:tcW w:w="1577" w:type="pct"/>
          </w:tcPr>
          <w:p w14:paraId="462059FB" w14:textId="77777777"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p>
        </w:tc>
        <w:tc>
          <w:tcPr>
            <w:tcW w:w="3423" w:type="pct"/>
          </w:tcPr>
          <w:p w14:paraId="6228C37B" w14:textId="5E580152" w:rsidR="009F2673" w:rsidRDefault="009F2673" w:rsidP="009E5A87">
            <w:r>
              <w:t>Yes</w:t>
            </w:r>
          </w:p>
          <w:p w14:paraId="1954309B" w14:textId="05928833" w:rsidR="009F2673" w:rsidRPr="00487162" w:rsidRDefault="009F2673" w:rsidP="009E5A87">
            <w:r>
              <w:t xml:space="preserve">This product will remain in the scheme for 5 years, starting on the date the product is first supplied in </w:t>
            </w:r>
            <w:r w:rsidRPr="00D453FA">
              <w:t>Australia</w:t>
            </w:r>
          </w:p>
        </w:tc>
      </w:tr>
      <w:tr w:rsidR="009F2673" w:rsidRPr="00DD2857" w14:paraId="0A43C2AB" w14:textId="77777777" w:rsidTr="00985A8C">
        <w:tc>
          <w:tcPr>
            <w:tcW w:w="1577" w:type="pct"/>
          </w:tcPr>
          <w:p w14:paraId="277F733A"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7292325A" w14:textId="77777777" w:rsidR="009C0441" w:rsidRDefault="009C0441" w:rsidP="009C0441">
            <w:r>
              <w:t>Grifols Australia Pty Ltd</w:t>
            </w:r>
          </w:p>
          <w:p w14:paraId="6DA2A5D9" w14:textId="77777777" w:rsidR="009C0441" w:rsidRDefault="009C0441" w:rsidP="009C0441">
            <w:r>
              <w:t>Unit 5/80 Fairbank Rd</w:t>
            </w:r>
          </w:p>
          <w:p w14:paraId="5F744339" w14:textId="13C1591D" w:rsidR="009F2673" w:rsidRDefault="009C0441" w:rsidP="009C0441">
            <w:r>
              <w:t>Clayton South VIC 3169</w:t>
            </w:r>
          </w:p>
        </w:tc>
      </w:tr>
      <w:tr w:rsidR="009F2673" w:rsidRPr="003D1E62" w14:paraId="51BB0899" w14:textId="77777777" w:rsidTr="00985A8C">
        <w:tc>
          <w:tcPr>
            <w:tcW w:w="1577" w:type="pct"/>
          </w:tcPr>
          <w:p w14:paraId="648FCF3E" w14:textId="2F65CBB7" w:rsidR="009F2673" w:rsidRPr="00487162" w:rsidRDefault="009F2673" w:rsidP="009E5A87">
            <w:pPr>
              <w:rPr>
                <w:i/>
              </w:rPr>
            </w:pPr>
            <w:r>
              <w:rPr>
                <w:i/>
              </w:rPr>
              <w:t>Dose form:</w:t>
            </w:r>
          </w:p>
        </w:tc>
        <w:tc>
          <w:tcPr>
            <w:tcW w:w="3423" w:type="pct"/>
          </w:tcPr>
          <w:p w14:paraId="7C0E7568" w14:textId="760EC6B2" w:rsidR="009F2673" w:rsidRDefault="005950F7" w:rsidP="009E5A87">
            <w:r>
              <w:t>Solution for injection</w:t>
            </w:r>
          </w:p>
        </w:tc>
      </w:tr>
      <w:tr w:rsidR="009F2673" w:rsidRPr="003D1E62" w14:paraId="4F87D17B" w14:textId="77777777" w:rsidTr="00985A8C">
        <w:tc>
          <w:tcPr>
            <w:tcW w:w="1577" w:type="pct"/>
          </w:tcPr>
          <w:p w14:paraId="0F45AC21" w14:textId="2589F83B" w:rsidR="009F2673" w:rsidRPr="00487162" w:rsidRDefault="009F2673" w:rsidP="009E5A87">
            <w:pPr>
              <w:rPr>
                <w:i/>
              </w:rPr>
            </w:pPr>
            <w:r w:rsidRPr="00487162">
              <w:rPr>
                <w:i/>
              </w:rPr>
              <w:t>Strength</w:t>
            </w:r>
            <w:r w:rsidR="009C2B13">
              <w:rPr>
                <w:i/>
              </w:rPr>
              <w:t>s</w:t>
            </w:r>
            <w:r w:rsidRPr="00487162">
              <w:rPr>
                <w:i/>
              </w:rPr>
              <w:t>:</w:t>
            </w:r>
          </w:p>
        </w:tc>
        <w:tc>
          <w:tcPr>
            <w:tcW w:w="3423" w:type="pct"/>
          </w:tcPr>
          <w:p w14:paraId="273C973F" w14:textId="6FE6425E" w:rsidR="00891DCA" w:rsidRDefault="005950F7" w:rsidP="009E5A87">
            <w:r>
              <w:t>2 g/10 mL</w:t>
            </w:r>
            <w:r w:rsidR="00792337">
              <w:t xml:space="preserve"> (20%)</w:t>
            </w:r>
          </w:p>
          <w:p w14:paraId="1CCA4521" w14:textId="0DECBFA6" w:rsidR="00891DCA" w:rsidRDefault="005950F7" w:rsidP="009E5A87">
            <w:r>
              <w:t>4 g/20 mL</w:t>
            </w:r>
            <w:r w:rsidR="00792337">
              <w:t xml:space="preserve"> (20%)</w:t>
            </w:r>
          </w:p>
          <w:p w14:paraId="2DB608BD" w14:textId="4E80EA57" w:rsidR="00891DCA" w:rsidRDefault="005950F7" w:rsidP="009E5A87">
            <w:r>
              <w:t xml:space="preserve">1 g/5 mL </w:t>
            </w:r>
            <w:r w:rsidR="00792337">
              <w:t>(20%)</w:t>
            </w:r>
          </w:p>
          <w:p w14:paraId="7EE91998" w14:textId="42AAFDCC" w:rsidR="009F2673" w:rsidRDefault="005950F7" w:rsidP="009E5A87">
            <w:r>
              <w:t>10 g/50 mL</w:t>
            </w:r>
            <w:r w:rsidR="00792337">
              <w:t xml:space="preserve"> (20%)</w:t>
            </w:r>
          </w:p>
        </w:tc>
      </w:tr>
      <w:tr w:rsidR="009F2673" w:rsidRPr="003D1E62" w14:paraId="51CD95FF" w14:textId="77777777" w:rsidTr="00985A8C">
        <w:tc>
          <w:tcPr>
            <w:tcW w:w="1577" w:type="pct"/>
          </w:tcPr>
          <w:p w14:paraId="287C3FDD" w14:textId="2FA4BFDF" w:rsidR="009F2673" w:rsidRPr="00487162" w:rsidRDefault="009F2673" w:rsidP="009E5A87">
            <w:pPr>
              <w:rPr>
                <w:i/>
              </w:rPr>
            </w:pPr>
            <w:r w:rsidRPr="00487162">
              <w:rPr>
                <w:i/>
              </w:rPr>
              <w:t>Container:</w:t>
            </w:r>
          </w:p>
        </w:tc>
        <w:tc>
          <w:tcPr>
            <w:tcW w:w="3423" w:type="pct"/>
          </w:tcPr>
          <w:p w14:paraId="41AAD581" w14:textId="7BD32255" w:rsidR="009F2673" w:rsidRDefault="005950F7" w:rsidP="009E5A87">
            <w:r>
              <w:t>Vial</w:t>
            </w:r>
          </w:p>
        </w:tc>
      </w:tr>
      <w:tr w:rsidR="009F2673" w:rsidRPr="003D1E62" w14:paraId="7DDBFB25" w14:textId="77777777" w:rsidTr="00985A8C">
        <w:tc>
          <w:tcPr>
            <w:tcW w:w="1577" w:type="pct"/>
          </w:tcPr>
          <w:p w14:paraId="57003333" w14:textId="052C64FA" w:rsidR="009F2673" w:rsidRPr="00487162" w:rsidRDefault="009F2673" w:rsidP="009E5A87">
            <w:pPr>
              <w:rPr>
                <w:i/>
              </w:rPr>
            </w:pPr>
            <w:r w:rsidRPr="00487162">
              <w:rPr>
                <w:i/>
              </w:rPr>
              <w:t>Pack size:</w:t>
            </w:r>
          </w:p>
        </w:tc>
        <w:tc>
          <w:tcPr>
            <w:tcW w:w="3423" w:type="pct"/>
          </w:tcPr>
          <w:p w14:paraId="3DB90405" w14:textId="3FA4B8C1" w:rsidR="009F2673" w:rsidRDefault="00792337" w:rsidP="009E5A87">
            <w:r>
              <w:t>One</w:t>
            </w:r>
            <w:r w:rsidR="009C2B13">
              <w:t xml:space="preserve"> vial</w:t>
            </w:r>
          </w:p>
        </w:tc>
      </w:tr>
      <w:tr w:rsidR="009F2673" w:rsidRPr="003D1E62" w14:paraId="28FE3DBF" w14:textId="77777777" w:rsidTr="00985A8C">
        <w:tc>
          <w:tcPr>
            <w:tcW w:w="1577" w:type="pct"/>
          </w:tcPr>
          <w:p w14:paraId="7B3EB7A5"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018FDE35" w14:textId="32DC7B2A" w:rsidR="00E576ED" w:rsidRPr="00E576ED" w:rsidRDefault="00E576ED" w:rsidP="00E576ED">
            <w:pPr>
              <w:tabs>
                <w:tab w:val="left" w:pos="720"/>
              </w:tabs>
              <w:rPr>
                <w:rFonts w:cs="Cambria"/>
                <w:i/>
                <w:iCs/>
                <w:color w:val="000000"/>
                <w:lang w:eastAsia="en-AU"/>
              </w:rPr>
            </w:pPr>
            <w:r w:rsidRPr="00E576ED">
              <w:rPr>
                <w:rFonts w:cs="Cambria"/>
                <w:i/>
                <w:iCs/>
                <w:color w:val="000000"/>
                <w:lang w:eastAsia="en-AU"/>
              </w:rPr>
              <w:t>Indications for subcutaneous administration (SCIg)</w:t>
            </w:r>
          </w:p>
          <w:p w14:paraId="074C52E7" w14:textId="7D551735" w:rsidR="00E576ED" w:rsidRPr="00025C69" w:rsidRDefault="00E576ED" w:rsidP="00E576ED">
            <w:pPr>
              <w:tabs>
                <w:tab w:val="left" w:pos="720"/>
              </w:tabs>
              <w:rPr>
                <w:rFonts w:cs="Cambria"/>
                <w:i/>
                <w:iCs/>
                <w:color w:val="000000"/>
                <w:lang w:eastAsia="en-AU"/>
              </w:rPr>
            </w:pPr>
            <w:r w:rsidRPr="00E576ED">
              <w:rPr>
                <w:rFonts w:cs="Cambria"/>
                <w:i/>
                <w:iCs/>
                <w:color w:val="000000"/>
                <w:lang w:eastAsia="en-AU"/>
              </w:rPr>
              <w:t>Xembify is indicated as replacement therapy in adult and pa</w:t>
            </w:r>
            <w:r w:rsidRPr="00025C69">
              <w:rPr>
                <w:rFonts w:cs="Cambria"/>
                <w:i/>
                <w:iCs/>
                <w:color w:val="000000"/>
                <w:lang w:eastAsia="en-AU"/>
              </w:rPr>
              <w:t>ediatric patients for:</w:t>
            </w:r>
          </w:p>
          <w:p w14:paraId="16150B83" w14:textId="77777777" w:rsidR="00E576ED" w:rsidRPr="00025C69" w:rsidRDefault="00E576ED" w:rsidP="00025C69">
            <w:pPr>
              <w:pStyle w:val="ListBullet"/>
              <w:rPr>
                <w:i/>
                <w:iCs/>
                <w:lang w:eastAsia="en-AU"/>
              </w:rPr>
            </w:pPr>
            <w:r w:rsidRPr="00025C69">
              <w:rPr>
                <w:i/>
                <w:iCs/>
                <w:lang w:eastAsia="en-AU"/>
              </w:rPr>
              <w:t>Primary immunodeficiency diseases (PID)</w:t>
            </w:r>
          </w:p>
          <w:p w14:paraId="301822DD" w14:textId="4F6DDA17" w:rsidR="009F2673" w:rsidRPr="00E576ED" w:rsidRDefault="00E576ED" w:rsidP="00025C69">
            <w:pPr>
              <w:pStyle w:val="ListBullet"/>
              <w:rPr>
                <w:lang w:eastAsia="en-AU"/>
              </w:rPr>
            </w:pPr>
            <w:r w:rsidRPr="00025C69">
              <w:rPr>
                <w:i/>
                <w:iCs/>
                <w:lang w:eastAsia="en-AU"/>
              </w:rPr>
              <w:t xml:space="preserve">Symptomatic </w:t>
            </w:r>
            <w:proofErr w:type="spellStart"/>
            <w:r w:rsidRPr="00025C69">
              <w:rPr>
                <w:i/>
                <w:iCs/>
                <w:lang w:eastAsia="en-AU"/>
              </w:rPr>
              <w:t>hypogammaglobulinaemia</w:t>
            </w:r>
            <w:proofErr w:type="spellEnd"/>
            <w:r w:rsidRPr="00025C69">
              <w:rPr>
                <w:i/>
                <w:iCs/>
                <w:lang w:eastAsia="en-AU"/>
              </w:rPr>
              <w:t xml:space="preserve"> secondary to underlying disease or treatment.</w:t>
            </w:r>
          </w:p>
        </w:tc>
      </w:tr>
      <w:tr w:rsidR="009F2673" w:rsidRPr="003D1E62" w14:paraId="02989F14" w14:textId="77777777" w:rsidTr="00985A8C">
        <w:tc>
          <w:tcPr>
            <w:tcW w:w="1577" w:type="pct"/>
          </w:tcPr>
          <w:p w14:paraId="3C938A79" w14:textId="02CEF3CF" w:rsidR="009F2673" w:rsidRPr="00487162" w:rsidRDefault="009F2673" w:rsidP="009E5A87">
            <w:pPr>
              <w:rPr>
                <w:i/>
              </w:rPr>
            </w:pPr>
            <w:r w:rsidRPr="00487162">
              <w:rPr>
                <w:i/>
              </w:rPr>
              <w:t>Route of administration:</w:t>
            </w:r>
          </w:p>
        </w:tc>
        <w:tc>
          <w:tcPr>
            <w:tcW w:w="3423" w:type="pct"/>
          </w:tcPr>
          <w:p w14:paraId="033425BE" w14:textId="4EF424CB" w:rsidR="009F2673" w:rsidRPr="00487162" w:rsidRDefault="009C2B13" w:rsidP="009E5A87">
            <w:r>
              <w:t>Subcutaneous injection</w:t>
            </w:r>
          </w:p>
        </w:tc>
      </w:tr>
      <w:tr w:rsidR="009F2673" w:rsidRPr="003D1E62" w14:paraId="59091AC9" w14:textId="77777777" w:rsidTr="00985A8C">
        <w:tc>
          <w:tcPr>
            <w:tcW w:w="1577" w:type="pct"/>
          </w:tcPr>
          <w:p w14:paraId="341B6676" w14:textId="77777777" w:rsidR="009F2673" w:rsidRPr="00487162" w:rsidRDefault="009F2673" w:rsidP="009E5A87">
            <w:pPr>
              <w:rPr>
                <w:i/>
              </w:rPr>
            </w:pPr>
            <w:r w:rsidRPr="00487162">
              <w:rPr>
                <w:i/>
              </w:rPr>
              <w:t>Dosage:</w:t>
            </w:r>
          </w:p>
        </w:tc>
        <w:tc>
          <w:tcPr>
            <w:tcW w:w="3423" w:type="pct"/>
          </w:tcPr>
          <w:p w14:paraId="15D8F2C8" w14:textId="77777777" w:rsidR="003C1D50" w:rsidRDefault="00792337" w:rsidP="00792337">
            <w:r w:rsidRPr="00792337">
              <w:t>Replacement therapy should be initiated and monitored under the supervision of a physician experienced in the treatment of</w:t>
            </w:r>
            <w:r>
              <w:t xml:space="preserve"> immunodeficiency.</w:t>
            </w:r>
          </w:p>
          <w:p w14:paraId="75A99517" w14:textId="34D74E0E" w:rsidR="00792337" w:rsidRDefault="00792337" w:rsidP="00792337">
            <w:r>
              <w:lastRenderedPageBreak/>
              <w:t>The dose and dose regimen are dependent on the indication.</w:t>
            </w:r>
          </w:p>
          <w:p w14:paraId="05C99BA7" w14:textId="330A9BBB" w:rsidR="00792337" w:rsidRDefault="00792337" w:rsidP="00792337">
            <w:r>
              <w:t>In replacement therapy the dose may need to be individualised for each patient dependent on the pharmacokinetic and clinical response.</w:t>
            </w:r>
          </w:p>
          <w:p w14:paraId="3EDC28A1" w14:textId="0D545BC4" w:rsidR="003C1D50" w:rsidRDefault="003C1D50" w:rsidP="003C1D50">
            <w:r>
              <w:t xml:space="preserve">The dose regimen should achieve a trough level of immunoglobulin G (IgG) (measured before the next infusion) of at least 5 to 6 g/L and aim to be within the reference interval of serum IgG for age. A loading dose of at least 0.2 to 0.5 g/kg (1 to 2.5 mL/kg) body weight may be required. This may need to be divided over several days, with a maximal daily dose of 0.1 to 0.15 g/kg. </w:t>
            </w:r>
          </w:p>
          <w:p w14:paraId="5A3B9819" w14:textId="04B83AC1" w:rsidR="003C1D50" w:rsidRDefault="003C1D50" w:rsidP="003C1D50">
            <w:r>
              <w:t>After steady state IgG levels have been attained, maintenance doses are administered at repeated intervals (approximately once per week) to reach a cumulative monthly dose of the order of 0.4 to 0.8 g/kg. Each single dose may need to be injected at different anatomic sites.</w:t>
            </w:r>
          </w:p>
          <w:p w14:paraId="39051E70" w14:textId="56899632" w:rsidR="003C1D50" w:rsidRDefault="003C1D50" w:rsidP="003C1D50">
            <w:r>
              <w:t>Trough levels should be measured and assessed in conjunction with the incidence of infection. To reduce the rate of infection, it may be necessary to increase the dose and aim for higher trough levels.</w:t>
            </w:r>
          </w:p>
          <w:p w14:paraId="7753E3A3" w14:textId="517E1BC4" w:rsidR="003C1D50" w:rsidRDefault="003C1D50" w:rsidP="003C1D50">
            <w:r>
              <w:t>If a dose is missed or therapy is interrupted, administration of Xembify should re-commence as soon as feasible with appropriate monitoring of IgG trough level if clinically indicated.</w:t>
            </w:r>
          </w:p>
          <w:p w14:paraId="6DFC0C76" w14:textId="259F7D00" w:rsidR="003C1D50" w:rsidRDefault="003C1D50" w:rsidP="003C1D50">
            <w:r>
              <w:t xml:space="preserve">See Section 4.2 Dose and method of administration of the Product Information for further information including </w:t>
            </w:r>
            <w:r w:rsidR="00056F02">
              <w:t>dosing for patients switching from other subcutaneous or intravenous immunoglobulin treatments.</w:t>
            </w:r>
          </w:p>
          <w:p w14:paraId="6E891244" w14:textId="7D66555A" w:rsidR="003C1D50" w:rsidRDefault="003C1D50" w:rsidP="003C1D50">
            <w:pPr>
              <w:rPr>
                <w:i/>
              </w:rPr>
            </w:pPr>
            <w:r>
              <w:rPr>
                <w:i/>
              </w:rPr>
              <w:t>Dose guidance</w:t>
            </w:r>
          </w:p>
          <w:p w14:paraId="59E564F1" w14:textId="6B772E07" w:rsidR="003C1D50" w:rsidRDefault="003C1D50" w:rsidP="00A745C1">
            <w:r>
              <w:t>Refer to the dose adjustment table (Section 4.2 Dose and method of administration of the Product Information) for suggested dose changes (in mL) to achieve a desired IgG trough level change (increase or decrease), once Xembify treatment has been initiated.</w:t>
            </w:r>
          </w:p>
          <w:p w14:paraId="562DBE40" w14:textId="71A31EB5" w:rsidR="003C1D50" w:rsidRDefault="003C1D50" w:rsidP="004A2F6A">
            <w:r>
              <w:t>The patient’s clinical response should be the primary consideration in dose adjustment. If a patient on Xembify does not maintain an adequate clinical response or a serum IgG trough level equivalent to that of a previous treatment, adjust the dose accordingly.</w:t>
            </w:r>
          </w:p>
          <w:p w14:paraId="19DDF852" w14:textId="1AE08190" w:rsidR="00056F02" w:rsidRDefault="00056F02" w:rsidP="004A2F6A">
            <w:r>
              <w:t>See Section 4.2 Dose and method of administration of the Product Information for further information.</w:t>
            </w:r>
          </w:p>
          <w:p w14:paraId="00964E46" w14:textId="77777777" w:rsidR="00056F02" w:rsidRPr="004926F2" w:rsidRDefault="00056F02" w:rsidP="001E0E47">
            <w:pPr>
              <w:rPr>
                <w:i/>
              </w:rPr>
            </w:pPr>
            <w:r w:rsidRPr="004926F2">
              <w:rPr>
                <w:i/>
              </w:rPr>
              <w:t>Paediatric population</w:t>
            </w:r>
          </w:p>
          <w:p w14:paraId="31D72863" w14:textId="0E860E96" w:rsidR="00056F02" w:rsidRPr="00A745C1" w:rsidRDefault="00056F02" w:rsidP="001E0E47">
            <w:r>
              <w:t>The dosage in children and adolescents (0 to 18 years of age) is not different to that of adults as the dosage for each indication is given by body weight and adjusted to the clinical outcome in replacement therapy indications. Xembify was evaluated in 43 paediatric subjects with p</w:t>
            </w:r>
            <w:r w:rsidRPr="00056F02">
              <w:t xml:space="preserve">rimary immunodeficiency </w:t>
            </w:r>
            <w:r>
              <w:t xml:space="preserve">disease aged 2 to 16 years </w:t>
            </w:r>
            <w:r>
              <w:lastRenderedPageBreak/>
              <w:t xml:space="preserve">(inclusive), which included 28 subjects 12 years of age or younger. No paediatric-specific dose requirements were necessary to achieve the desired serum IgG levels. No clinical trials have been conducted with Xembify in children aged between 0 to 2 years. However, experience with immunoglobulins suggests a safety profile </w:t>
            </w:r>
            <w:proofErr w:type="gramStart"/>
            <w:r>
              <w:t>similar to</w:t>
            </w:r>
            <w:proofErr w:type="gramEnd"/>
            <w:r>
              <w:t xml:space="preserve"> that for children of age 2 to 18 years and adults with Xembify is to be expected.</w:t>
            </w:r>
          </w:p>
          <w:p w14:paraId="0D16D94B" w14:textId="3606FCF4" w:rsidR="003C1D50" w:rsidRPr="004926F2" w:rsidRDefault="003C1D50" w:rsidP="003C1D50">
            <w:pPr>
              <w:rPr>
                <w:i/>
              </w:rPr>
            </w:pPr>
            <w:r w:rsidRPr="004926F2">
              <w:rPr>
                <w:i/>
              </w:rPr>
              <w:t>Method of administration</w:t>
            </w:r>
          </w:p>
          <w:p w14:paraId="4468CF38" w14:textId="7ABB30E1" w:rsidR="003C1D50" w:rsidRDefault="003C1D50" w:rsidP="003C1D50">
            <w:r w:rsidRPr="00A745C1">
              <w:t>For subcutaneous use only.</w:t>
            </w:r>
            <w:r>
              <w:t xml:space="preserve"> Subcutaneous infusion for home treatment should be initiated and monitored by a physician experienced in the guidance of patients for home treatment. Infusion pumps appropriate for subcutaneous administration of immunoglobulins can be used. The patient must be instructed in the use of an infusion pump, the infusion techniques, the keeping of treatment diary, recognition of and measures to be taken in case of severe adverse reactions.</w:t>
            </w:r>
          </w:p>
          <w:p w14:paraId="32271B59" w14:textId="77777777" w:rsidR="003C1D50" w:rsidRDefault="003C1D50" w:rsidP="003C1D50">
            <w:r>
              <w:t>Xembify may be injected into sites such as abdomen, thigh, upper arm, and lateral hip. The recommended initial infusion rate depends on the individual needs of the patient and should not exceed an administration speed of 25 mL/h/site.</w:t>
            </w:r>
          </w:p>
          <w:p w14:paraId="2CA3849A" w14:textId="77777777" w:rsidR="003C1D50" w:rsidRDefault="003C1D50" w:rsidP="003C1D50">
            <w:r>
              <w:t>If well tolerated (see Section 4.4 Special warnings and precautions for use of the Product Information) for two infusions, the infusion speed can gradually be increased to 35 mL/h/site.</w:t>
            </w:r>
          </w:p>
          <w:p w14:paraId="6343E7B1" w14:textId="04040B95" w:rsidR="003C1D50" w:rsidRDefault="003C1D50" w:rsidP="003C1D50">
            <w:r>
              <w:t xml:space="preserve">More than one pump can be used simultaneously. The amount of product infused into a particular site varies. In infants and children infusion sites may be changed every 5 mL to 15 </w:t>
            </w:r>
            <w:proofErr w:type="spellStart"/>
            <w:r>
              <w:t>mL.</w:t>
            </w:r>
            <w:proofErr w:type="spellEnd"/>
            <w:r>
              <w:t xml:space="preserve"> In </w:t>
            </w:r>
            <w:proofErr w:type="gramStart"/>
            <w:r>
              <w:t>adults</w:t>
            </w:r>
            <w:proofErr w:type="gramEnd"/>
            <w:r>
              <w:t xml:space="preserve"> doses over 30 mL may be divided according to patient preference. There is no limit to the number of infusion sites. Infusion sites should be at least 5 cm apart.</w:t>
            </w:r>
          </w:p>
          <w:p w14:paraId="37692DA6" w14:textId="226518BB" w:rsidR="009F2673" w:rsidRPr="00487162" w:rsidRDefault="00792337" w:rsidP="00792337">
            <w:r>
              <w:t>For further information refer to the Product Information.</w:t>
            </w:r>
          </w:p>
        </w:tc>
      </w:tr>
      <w:tr w:rsidR="009F2673" w:rsidRPr="003D1E62" w14:paraId="4A9C7A7D" w14:textId="77777777" w:rsidTr="00985A8C">
        <w:tc>
          <w:tcPr>
            <w:tcW w:w="1577" w:type="pct"/>
          </w:tcPr>
          <w:p w14:paraId="4D5576EC" w14:textId="77777777" w:rsidR="009F2673" w:rsidRPr="00487162" w:rsidRDefault="009F2673" w:rsidP="009E5A87">
            <w:pPr>
              <w:rPr>
                <w:i/>
              </w:rPr>
            </w:pPr>
            <w:r w:rsidRPr="00460036">
              <w:rPr>
                <w:i/>
              </w:rPr>
              <w:lastRenderedPageBreak/>
              <w:t>Pregnancy category</w:t>
            </w:r>
            <w:r>
              <w:rPr>
                <w:i/>
              </w:rPr>
              <w:t>:</w:t>
            </w:r>
          </w:p>
        </w:tc>
        <w:tc>
          <w:tcPr>
            <w:tcW w:w="3423" w:type="pct"/>
          </w:tcPr>
          <w:p w14:paraId="35B682CB" w14:textId="77777777" w:rsidR="009F2673" w:rsidRDefault="009F2673" w:rsidP="009E5A87">
            <w:r>
              <w:t>This therapeutic good is exempted from pregnancy categorisation.</w:t>
            </w:r>
          </w:p>
          <w:p w14:paraId="35C4667C" w14:textId="77777777" w:rsidR="009F2673" w:rsidRPr="00487162" w:rsidRDefault="009F2673" w:rsidP="009E5A87">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7013E646" w14:textId="77777777" w:rsidR="008E7846" w:rsidRDefault="008E7846" w:rsidP="008E7846">
      <w:pPr>
        <w:pStyle w:val="Heading3"/>
      </w:pPr>
      <w:bookmarkStart w:id="9" w:name="_Toc247691503"/>
      <w:bookmarkStart w:id="10" w:name="_Toc314842484"/>
      <w:bookmarkStart w:id="11" w:name="_Toc125365356"/>
      <w:r>
        <w:lastRenderedPageBreak/>
        <w:t>Product background</w:t>
      </w:r>
      <w:bookmarkEnd w:id="9"/>
      <w:bookmarkEnd w:id="10"/>
      <w:bookmarkEnd w:id="11"/>
    </w:p>
    <w:p w14:paraId="772EDF46" w14:textId="4B9C98BA" w:rsidR="006D7C3F" w:rsidRDefault="009F2673">
      <w:r w:rsidRPr="004B5766">
        <w:t xml:space="preserve">This </w:t>
      </w:r>
      <w:proofErr w:type="spellStart"/>
      <w:r w:rsidRPr="004B5766">
        <w:t>AusPAR</w:t>
      </w:r>
      <w:proofErr w:type="spellEnd"/>
      <w:r w:rsidRPr="004B5766">
        <w:t xml:space="preserve"> describes the </w:t>
      </w:r>
      <w:r w:rsidR="001E359E" w:rsidRPr="004B5766">
        <w:t>submission</w:t>
      </w:r>
      <w:r w:rsidRPr="004B5766">
        <w:t xml:space="preserve"> by </w:t>
      </w:r>
      <w:r w:rsidR="00CA6D4C" w:rsidRPr="004B5766">
        <w:t>Grifols Australia Pty Ltd</w:t>
      </w:r>
      <w:r w:rsidRPr="004B5766">
        <w:t xml:space="preserve"> (the sponsor) to register </w:t>
      </w:r>
      <w:r w:rsidR="00CA6D4C" w:rsidRPr="004B5766">
        <w:t>Xembify</w:t>
      </w:r>
      <w:r w:rsidRPr="004B5766">
        <w:t xml:space="preserve"> (</w:t>
      </w:r>
      <w:r w:rsidR="0085105E">
        <w:t>n</w:t>
      </w:r>
      <w:r w:rsidR="00CA6D4C" w:rsidRPr="004B5766">
        <w:t>ormal</w:t>
      </w:r>
      <w:r w:rsidR="0085105E">
        <w:t xml:space="preserve"> </w:t>
      </w:r>
      <w:r w:rsidR="006D7C3F">
        <w:t xml:space="preserve">human </w:t>
      </w:r>
      <w:r w:rsidR="0085105E">
        <w:t>i</w:t>
      </w:r>
      <w:r w:rsidR="00CA6D4C" w:rsidRPr="004B5766">
        <w:t>mmunoglobulin</w:t>
      </w:r>
      <w:r w:rsidRPr="004B5766">
        <w:t>)</w:t>
      </w:r>
      <w:r w:rsidR="00CA6D4C" w:rsidRPr="004B5766">
        <w:t xml:space="preserve"> 2 g/10 mL (20%), 4 g/20 mL (20%), 1</w:t>
      </w:r>
      <w:r w:rsidR="006D7C3F">
        <w:t> </w:t>
      </w:r>
      <w:r w:rsidR="00CA6D4C" w:rsidRPr="004B5766">
        <w:t>g/5 mL (20%) and 10 g/50 mL (20%) solution for</w:t>
      </w:r>
      <w:r w:rsidR="00056F02">
        <w:t xml:space="preserve"> </w:t>
      </w:r>
      <w:r w:rsidR="004926F2">
        <w:t>subcutaneous</w:t>
      </w:r>
      <w:r w:rsidR="00CA6D4C" w:rsidRPr="004B5766">
        <w:t xml:space="preserve"> injection</w:t>
      </w:r>
      <w:r w:rsidRPr="004B5766">
        <w:t xml:space="preserve"> for the following proposed indication:</w:t>
      </w:r>
    </w:p>
    <w:p w14:paraId="4D0275CC" w14:textId="7D5B47CD" w:rsidR="00FE5000" w:rsidRPr="006D7C3F" w:rsidRDefault="00FE5000" w:rsidP="006D7C3F">
      <w:pPr>
        <w:ind w:left="720"/>
        <w:rPr>
          <w:i/>
          <w:iCs/>
        </w:rPr>
      </w:pPr>
      <w:r w:rsidRPr="006D7C3F">
        <w:rPr>
          <w:i/>
          <w:iCs/>
        </w:rPr>
        <w:t>Xembify is a human immune globulin indicated for the treatment of primary immunodeficiency syndrom</w:t>
      </w:r>
      <w:r w:rsidR="006D7C3F">
        <w:rPr>
          <w:i/>
          <w:iCs/>
        </w:rPr>
        <w:t>e</w:t>
      </w:r>
      <w:r w:rsidRPr="006D7C3F">
        <w:rPr>
          <w:i/>
          <w:iCs/>
        </w:rPr>
        <w:t xml:space="preserve">s (PID) in adults, </w:t>
      </w:r>
      <w:proofErr w:type="gramStart"/>
      <w:r w:rsidRPr="006D7C3F">
        <w:rPr>
          <w:i/>
          <w:iCs/>
        </w:rPr>
        <w:t>child</w:t>
      </w:r>
      <w:r w:rsidR="006D7C3F">
        <w:rPr>
          <w:i/>
          <w:iCs/>
        </w:rPr>
        <w:t>r</w:t>
      </w:r>
      <w:r w:rsidRPr="006D7C3F">
        <w:rPr>
          <w:i/>
          <w:iCs/>
        </w:rPr>
        <w:t>en</w:t>
      </w:r>
      <w:proofErr w:type="gramEnd"/>
      <w:r w:rsidRPr="006D7C3F">
        <w:rPr>
          <w:i/>
          <w:iCs/>
        </w:rPr>
        <w:t xml:space="preserve"> and adolescents (0-18 years). This includes, but is not limited to, </w:t>
      </w:r>
      <w:proofErr w:type="spellStart"/>
      <w:r w:rsidRPr="006D7C3F">
        <w:rPr>
          <w:i/>
          <w:iCs/>
        </w:rPr>
        <w:t>hypogammaglobulinaemia</w:t>
      </w:r>
      <w:proofErr w:type="spellEnd"/>
      <w:r w:rsidRPr="006D7C3F">
        <w:rPr>
          <w:i/>
          <w:iCs/>
        </w:rPr>
        <w:t xml:space="preserve"> with chronic lymphocytic leukaemia (CLL), multiple myeloma (MM), and patients pre- and post- allogeneic haematopoietic stem cell transplantation (HSCT).</w:t>
      </w:r>
    </w:p>
    <w:p w14:paraId="42BA540B" w14:textId="65610823" w:rsidR="009F2673" w:rsidRPr="004B5766" w:rsidRDefault="00C155E0" w:rsidP="004B5766">
      <w:r w:rsidRPr="004B5766">
        <w:t xml:space="preserve">Primary immunodeficiency disease (PID) is a broad term for </w:t>
      </w:r>
      <w:r w:rsidR="00056F02">
        <w:t xml:space="preserve">diverse group of </w:t>
      </w:r>
      <w:r w:rsidRPr="004B5766">
        <w:t>immunodeficiencies where secondary causes have been excluded. There are over 280</w:t>
      </w:r>
      <w:r w:rsidR="00056F02">
        <w:t> </w:t>
      </w:r>
      <w:r w:rsidRPr="004B5766">
        <w:t xml:space="preserve">identified PIDs, which include a wide range of rare conditions affecting both paediatric and adult patients. Infection is the most common complication of PID and the most common reason leading to medical assessment. </w:t>
      </w:r>
      <w:r w:rsidR="00056F02" w:rsidRPr="004B5766">
        <w:t xml:space="preserve">Primary immunodeficiency disease </w:t>
      </w:r>
      <w:r w:rsidRPr="004B5766">
        <w:t xml:space="preserve">usually presents with signs of infection that can be repetitive, </w:t>
      </w:r>
      <w:proofErr w:type="gramStart"/>
      <w:r w:rsidRPr="004B5766">
        <w:t>severe</w:t>
      </w:r>
      <w:proofErr w:type="gramEnd"/>
      <w:r w:rsidRPr="004B5766">
        <w:t xml:space="preserve"> and difficult to treat. In addition, autoimmune disease and malignancies are complications of many PIDs.</w:t>
      </w:r>
      <w:r w:rsidRPr="004B5766">
        <w:rPr>
          <w:vertAlign w:val="superscript"/>
        </w:rPr>
        <w:footnoteReference w:id="1"/>
      </w:r>
      <w:r w:rsidR="005D407A">
        <w:t xml:space="preserve"> </w:t>
      </w:r>
    </w:p>
    <w:p w14:paraId="714E5076" w14:textId="6F31734C" w:rsidR="00574A15" w:rsidRDefault="00574A15" w:rsidP="009F2673">
      <w:r w:rsidRPr="004B5766">
        <w:t>In 2018</w:t>
      </w:r>
      <w:r w:rsidR="00FE5000">
        <w:t xml:space="preserve"> and </w:t>
      </w:r>
      <w:r w:rsidRPr="004B5766">
        <w:t>2019, a total of 2,292 patients in Australia accessed immunoglobulin therapy for the treatment of PID through the National Blood Authority (NBA).</w:t>
      </w:r>
      <w:bookmarkStart w:id="12" w:name="_Ref124838745"/>
      <w:r w:rsidR="00D6190F">
        <w:rPr>
          <w:rStyle w:val="FootnoteReference"/>
        </w:rPr>
        <w:footnoteReference w:id="2"/>
      </w:r>
      <w:bookmarkEnd w:id="12"/>
      <w:r w:rsidRPr="004B5766">
        <w:t xml:space="preserve"> Based on these data, the prevalence of PID in Australia is calculated to be approximately 9.09 per 100,000 population. However, PID patients (diagnosed or undiagnosed) who are not on </w:t>
      </w:r>
      <w:r w:rsidR="004F58ED">
        <w:t>immunoglobulin</w:t>
      </w:r>
      <w:r w:rsidRPr="004B5766">
        <w:t xml:space="preserve"> therapy are not included in the </w:t>
      </w:r>
      <w:r w:rsidR="004F58ED">
        <w:t>immunoglobulin</w:t>
      </w:r>
      <w:r w:rsidRPr="004B5766">
        <w:t xml:space="preserve"> usage data from the NBA. Consequently, the NBA data might underestimate the total population in Australia with PID who are potentially eligible for </w:t>
      </w:r>
      <w:r w:rsidR="004F58ED">
        <w:t>immunoglobulin</w:t>
      </w:r>
      <w:r w:rsidRPr="004B5766">
        <w:t xml:space="preserve"> therapy</w:t>
      </w:r>
      <w:r w:rsidRPr="00574A15">
        <w:t>.</w:t>
      </w:r>
    </w:p>
    <w:p w14:paraId="1ED64926" w14:textId="4B1539A8" w:rsidR="00574A15" w:rsidRDefault="00F24C6B" w:rsidP="00574A15">
      <w:r>
        <w:fldChar w:fldCharType="begin"/>
      </w:r>
      <w:r>
        <w:instrText xml:space="preserve"> REF _Ref118466874 \h </w:instrText>
      </w:r>
      <w:r>
        <w:fldChar w:fldCharType="separate"/>
      </w:r>
      <w:r w:rsidR="002E6EEA" w:rsidRPr="00574A15">
        <w:t xml:space="preserve">Table </w:t>
      </w:r>
      <w:r w:rsidR="002E6EEA">
        <w:rPr>
          <w:noProof/>
        </w:rPr>
        <w:t>1</w:t>
      </w:r>
      <w:r>
        <w:fldChar w:fldCharType="end"/>
      </w:r>
      <w:r w:rsidR="00EA67E6">
        <w:t xml:space="preserve">, shown below, summarises the 10 most common medication conditions for which immunoglobulin was issued in Australia for the </w:t>
      </w:r>
      <w:proofErr w:type="gramStart"/>
      <w:r w:rsidR="00EA67E6">
        <w:t>time period</w:t>
      </w:r>
      <w:proofErr w:type="gramEnd"/>
      <w:r w:rsidR="00EA67E6">
        <w:t xml:space="preserve"> of 2017 and 2018, according to NBA data</w:t>
      </w:r>
      <w:r w:rsidR="00574A15">
        <w:t>.</w:t>
      </w:r>
      <w:r w:rsidR="00786678" w:rsidRPr="004926F2">
        <w:rPr>
          <w:vertAlign w:val="superscript"/>
        </w:rPr>
        <w:fldChar w:fldCharType="begin"/>
      </w:r>
      <w:r w:rsidR="00786678" w:rsidRPr="004926F2">
        <w:rPr>
          <w:vertAlign w:val="superscript"/>
        </w:rPr>
        <w:instrText xml:space="preserve"> NOTEREF _Ref124838745 \h </w:instrText>
      </w:r>
      <w:r w:rsidR="00786678">
        <w:rPr>
          <w:vertAlign w:val="superscript"/>
        </w:rPr>
        <w:instrText xml:space="preserve"> \* MERGEFORMAT </w:instrText>
      </w:r>
      <w:r w:rsidR="00786678" w:rsidRPr="004926F2">
        <w:rPr>
          <w:vertAlign w:val="superscript"/>
        </w:rPr>
      </w:r>
      <w:r w:rsidR="00786678" w:rsidRPr="004926F2">
        <w:rPr>
          <w:vertAlign w:val="superscript"/>
        </w:rPr>
        <w:fldChar w:fldCharType="separate"/>
      </w:r>
      <w:r w:rsidR="00786678" w:rsidRPr="004926F2">
        <w:rPr>
          <w:vertAlign w:val="superscript"/>
        </w:rPr>
        <w:t>2</w:t>
      </w:r>
      <w:r w:rsidR="00786678" w:rsidRPr="004926F2">
        <w:rPr>
          <w:vertAlign w:val="superscript"/>
        </w:rPr>
        <w:fldChar w:fldCharType="end"/>
      </w:r>
      <w:r w:rsidR="00786678" w:rsidRPr="004926F2">
        <w:rPr>
          <w:vertAlign w:val="superscript"/>
        </w:rPr>
        <w:t>,</w:t>
      </w:r>
      <w:r w:rsidR="00786678">
        <w:rPr>
          <w:rStyle w:val="FootnoteReference"/>
        </w:rPr>
        <w:footnoteReference w:id="3"/>
      </w:r>
    </w:p>
    <w:p w14:paraId="1DC0E7CF" w14:textId="3553BBB2" w:rsidR="00574A15" w:rsidRPr="00574A15" w:rsidRDefault="00574A15" w:rsidP="00A44057">
      <w:pPr>
        <w:pStyle w:val="FigureTitle"/>
      </w:pPr>
      <w:bookmarkStart w:id="13" w:name="_Ref118466874"/>
      <w:bookmarkStart w:id="14" w:name="_Toc88033241"/>
      <w:r w:rsidRPr="00574A15">
        <w:lastRenderedPageBreak/>
        <w:t xml:space="preserve">Table </w:t>
      </w:r>
      <w:fldSimple w:instr=" SEQ Table \* ARABIC ">
        <w:r w:rsidR="009C353F">
          <w:rPr>
            <w:noProof/>
          </w:rPr>
          <w:t>1</w:t>
        </w:r>
      </w:fldSimple>
      <w:bookmarkEnd w:id="13"/>
      <w:r w:rsidRPr="00574A15">
        <w:t xml:space="preserve">: </w:t>
      </w:r>
      <w:r w:rsidR="00786678">
        <w:t>National Blood Authority/Medical Services Advisory Committee; Most common</w:t>
      </w:r>
      <w:r w:rsidRPr="00574A15">
        <w:t xml:space="preserve"> medical conditions </w:t>
      </w:r>
      <w:r w:rsidR="004F58ED">
        <w:t xml:space="preserve">in </w:t>
      </w:r>
      <w:r w:rsidRPr="00574A15">
        <w:t xml:space="preserve">Australia for which </w:t>
      </w:r>
      <w:r w:rsidR="004F58ED">
        <w:t xml:space="preserve">immunoglobulin </w:t>
      </w:r>
      <w:r w:rsidRPr="00574A15">
        <w:t xml:space="preserve">was issued </w:t>
      </w:r>
      <w:r w:rsidR="00786678">
        <w:t>(</w:t>
      </w:r>
      <w:r w:rsidRPr="00574A15">
        <w:t>2017</w:t>
      </w:r>
      <w:r w:rsidR="00FE5000">
        <w:t xml:space="preserve"> to 20</w:t>
      </w:r>
      <w:r w:rsidRPr="00574A15">
        <w:t>18</w:t>
      </w:r>
      <w:r w:rsidR="00786678">
        <w:t>)</w:t>
      </w:r>
      <w:bookmarkEnd w:id="14"/>
    </w:p>
    <w:p w14:paraId="7AA656B4" w14:textId="5B541586" w:rsidR="00786678" w:rsidRDefault="00574A15" w:rsidP="00CE1073">
      <w:pPr>
        <w:pStyle w:val="TableDescription"/>
      </w:pPr>
      <w:r>
        <w:rPr>
          <w:noProof/>
          <w:lang w:val="en-GB" w:eastAsia="en-GB"/>
        </w:rPr>
        <w:drawing>
          <wp:inline distT="0" distB="0" distL="0" distR="0" wp14:anchorId="1BE80104" wp14:editId="01A69755">
            <wp:extent cx="5305425" cy="2489306"/>
            <wp:effectExtent l="0" t="0" r="0" b="6350"/>
            <wp:docPr id="4" name="Picture 4" descr="Top 10 medical conditions in Australia for which immunoglobulin was issued in 2017 to 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op 10 medical conditions in Australia for which immunoglobulin was issued in 2017 to 2018. "/>
                    <pic:cNvPicPr/>
                  </pic:nvPicPr>
                  <pic:blipFill>
                    <a:blip r:embed="rId15"/>
                    <a:stretch>
                      <a:fillRect/>
                    </a:stretch>
                  </pic:blipFill>
                  <pic:spPr>
                    <a:xfrm>
                      <a:off x="0" y="0"/>
                      <a:ext cx="5316715" cy="2494603"/>
                    </a:xfrm>
                    <a:prstGeom prst="rect">
                      <a:avLst/>
                    </a:prstGeom>
                  </pic:spPr>
                </pic:pic>
              </a:graphicData>
            </a:graphic>
          </wp:inline>
        </w:drawing>
      </w:r>
      <w:r w:rsidR="00D6190F">
        <w:t>Table s</w:t>
      </w:r>
      <w:r w:rsidRPr="00574A15">
        <w:t>ource: Table 7</w:t>
      </w:r>
      <w:r w:rsidR="00786678">
        <w:t xml:space="preserve">, from </w:t>
      </w:r>
      <w:r w:rsidR="00786678" w:rsidRPr="00786678">
        <w:t>Medi</w:t>
      </w:r>
      <w:r w:rsidR="00786678">
        <w:t>cal Services Advisory Committee</w:t>
      </w:r>
      <w:r w:rsidR="00EA67E6">
        <w:t xml:space="preserve"> (MSAC)</w:t>
      </w:r>
      <w:r w:rsidR="00786678">
        <w:t>:</w:t>
      </w:r>
      <w:r w:rsidR="00786678" w:rsidRPr="00786678">
        <w:t xml:space="preserve"> Review of Immunoglobulin (Ig) for Primary Immunodeficiency Disease</w:t>
      </w:r>
      <w:r w:rsidR="00786678">
        <w:t xml:space="preserve"> (PID) with Antibody Deficiency. </w:t>
      </w:r>
      <w:r w:rsidR="00786678" w:rsidRPr="00574A15">
        <w:t>MSAC CA 1592</w:t>
      </w:r>
      <w:r w:rsidR="00EA67E6">
        <w:t>;</w:t>
      </w:r>
      <w:r w:rsidR="00786678" w:rsidRPr="00786678">
        <w:t xml:space="preserve"> 2020.</w:t>
      </w:r>
      <w:r w:rsidR="00EA67E6">
        <w:t xml:space="preserve"> </w:t>
      </w:r>
      <w:r w:rsidR="00EA67E6" w:rsidRPr="004926F2">
        <w:rPr>
          <w:i/>
        </w:rPr>
        <w:t>Medical Services Advisory Committee</w:t>
      </w:r>
      <w:r w:rsidR="00EA67E6">
        <w:t>.</w:t>
      </w:r>
      <w:r w:rsidR="00786678" w:rsidRPr="00786678">
        <w:t xml:space="preserve"> Available from </w:t>
      </w:r>
      <w:hyperlink r:id="rId16" w:history="1">
        <w:r w:rsidR="00786678" w:rsidRPr="00786678">
          <w:rPr>
            <w:rStyle w:val="Hyperlink"/>
          </w:rPr>
          <w:t>msac.gov.au</w:t>
        </w:r>
      </w:hyperlink>
      <w:r w:rsidR="00786678" w:rsidRPr="00786678">
        <w:t>.</w:t>
      </w:r>
    </w:p>
    <w:p w14:paraId="63FFDE0C" w14:textId="18AFC0C0" w:rsidR="00EA67E6" w:rsidRPr="00A745C1" w:rsidRDefault="00786678" w:rsidP="00A745C1">
      <w:pPr>
        <w:pStyle w:val="TableDescription"/>
      </w:pPr>
      <w:r w:rsidRPr="00A745C1">
        <w:t>D</w:t>
      </w:r>
      <w:r w:rsidR="00D6190F" w:rsidRPr="004A2F6A">
        <w:t xml:space="preserve">ata originally </w:t>
      </w:r>
      <w:r w:rsidRPr="004A2F6A">
        <w:t>p</w:t>
      </w:r>
      <w:r w:rsidRPr="001E0E47">
        <w:t>ublished</w:t>
      </w:r>
      <w:r w:rsidR="00EA67E6" w:rsidRPr="001E0E47">
        <w:t xml:space="preserve"> in National Blood Authority (NBA): 2017-18</w:t>
      </w:r>
      <w:r w:rsidR="00EA67E6" w:rsidRPr="009E007E">
        <w:t xml:space="preserve"> </w:t>
      </w:r>
      <w:r w:rsidR="00EA67E6" w:rsidRPr="004926F2">
        <w:t xml:space="preserve">National Report on the Issue and Use of Immunoglobulin (Ig); 2018. </w:t>
      </w:r>
      <w:r w:rsidR="00EA67E6" w:rsidRPr="004926F2">
        <w:rPr>
          <w:i/>
        </w:rPr>
        <w:t>National Blood Authority Australia</w:t>
      </w:r>
      <w:r w:rsidR="00EA67E6">
        <w:t xml:space="preserve">. Available from: </w:t>
      </w:r>
      <w:hyperlink r:id="rId17" w:history="1">
        <w:r w:rsidR="00EA67E6" w:rsidRPr="00EA67E6">
          <w:rPr>
            <w:rStyle w:val="Hyperlink"/>
          </w:rPr>
          <w:t>blood.gov.au</w:t>
        </w:r>
      </w:hyperlink>
      <w:r w:rsidR="00EA67E6">
        <w:t>.</w:t>
      </w:r>
    </w:p>
    <w:p w14:paraId="00565240" w14:textId="43CAA014" w:rsidR="009959E7" w:rsidRPr="004B5766" w:rsidRDefault="00EA67E6" w:rsidP="004B5766">
      <w:r>
        <w:t>Therapeutic i</w:t>
      </w:r>
      <w:r w:rsidR="009959E7" w:rsidRPr="004B5766">
        <w:t>mmunoglobulin is a plasma</w:t>
      </w:r>
      <w:r w:rsidR="00420D47">
        <w:t xml:space="preserve"> </w:t>
      </w:r>
      <w:r w:rsidR="009959E7" w:rsidRPr="004B5766">
        <w:t xml:space="preserve">derived product manufactured to treat a range of medical conditions. In Australia, access to </w:t>
      </w:r>
      <w:r w:rsidR="00A44057">
        <w:t>g</w:t>
      </w:r>
      <w:r w:rsidR="009959E7" w:rsidRPr="004B5766">
        <w:t xml:space="preserve">overnment funded immunoglobulin is through the national blood arrangements and is determined by the NBA’s </w:t>
      </w:r>
      <w:r w:rsidR="009959E7" w:rsidRPr="004926F2">
        <w:rPr>
          <w:i/>
        </w:rPr>
        <w:t>Criteria for Clinical Use of Immunoglobulin in Australia</w:t>
      </w:r>
      <w:r w:rsidR="00895C09">
        <w:t>.</w:t>
      </w:r>
      <w:r w:rsidR="001432DA">
        <w:rPr>
          <w:rStyle w:val="FootnoteReference"/>
        </w:rPr>
        <w:footnoteReference w:id="4"/>
      </w:r>
      <w:r w:rsidR="009959E7" w:rsidRPr="004B5766">
        <w:t xml:space="preserve"> Demand for </w:t>
      </w:r>
      <w:r w:rsidR="00C969CA">
        <w:t xml:space="preserve">immunoglobulin </w:t>
      </w:r>
      <w:r w:rsidR="009959E7" w:rsidRPr="004B5766">
        <w:t>in Australia has increased around 11% per year since 2009</w:t>
      </w:r>
      <w:r w:rsidR="00CE1073">
        <w:t xml:space="preserve"> to 2010</w:t>
      </w:r>
      <w:r w:rsidR="009959E7" w:rsidRPr="004B5766">
        <w:t xml:space="preserve">. Internationally, Australia is in the top three users of </w:t>
      </w:r>
      <w:r w:rsidR="003732B9">
        <w:t>immunoglobulin</w:t>
      </w:r>
      <w:r w:rsidR="009959E7" w:rsidRPr="004B5766">
        <w:t xml:space="preserve">, along with the </w:t>
      </w:r>
      <w:r w:rsidR="00420D47">
        <w:t>United States of America (</w:t>
      </w:r>
      <w:r w:rsidR="009959E7" w:rsidRPr="004B5766">
        <w:t>US</w:t>
      </w:r>
      <w:r w:rsidR="00420D47">
        <w:t>A)</w:t>
      </w:r>
      <w:r w:rsidR="009959E7" w:rsidRPr="004B5766">
        <w:t xml:space="preserve"> and Canada. In the absence of</w:t>
      </w:r>
      <w:r w:rsidR="00C969CA">
        <w:t xml:space="preserve"> immunoglobulin </w:t>
      </w:r>
      <w:r w:rsidR="009959E7" w:rsidRPr="004B5766">
        <w:t>replacement therapy for PID, best supportive care is the only treatment available.</w:t>
      </w:r>
    </w:p>
    <w:p w14:paraId="0A9E24C4" w14:textId="5C6BE9E7" w:rsidR="009959E7" w:rsidRPr="00965575" w:rsidRDefault="009959E7" w:rsidP="009959E7">
      <w:pPr>
        <w:autoSpaceDE w:val="0"/>
        <w:autoSpaceDN w:val="0"/>
        <w:adjustRightInd w:val="0"/>
        <w:rPr>
          <w:rFonts w:asciiTheme="minorHAnsi" w:hAnsiTheme="minorHAnsi"/>
          <w:vertAlign w:val="superscript"/>
        </w:rPr>
      </w:pPr>
      <w:r w:rsidRPr="004B5766">
        <w:t xml:space="preserve">The therapeutic management of PID is via </w:t>
      </w:r>
      <w:r w:rsidR="00CE1073">
        <w:t>intramuscula</w:t>
      </w:r>
      <w:r w:rsidR="00F976B8">
        <w:t>r</w:t>
      </w:r>
      <w:r w:rsidRPr="004B5766">
        <w:t>,</w:t>
      </w:r>
      <w:r w:rsidR="00CE1073">
        <w:t xml:space="preserve"> intravenous</w:t>
      </w:r>
      <w:r w:rsidRPr="004B5766">
        <w:t>, and</w:t>
      </w:r>
      <w:r w:rsidR="00CE1073">
        <w:t xml:space="preserve"> subcutaneous</w:t>
      </w:r>
      <w:r w:rsidR="00F976B8">
        <w:t xml:space="preserve"> </w:t>
      </w:r>
      <w:r w:rsidRPr="004B5766">
        <w:t xml:space="preserve">injections with various </w:t>
      </w:r>
      <w:r w:rsidR="00C969CA">
        <w:t>immunoglobulin</w:t>
      </w:r>
      <w:r w:rsidRPr="004B5766">
        <w:t xml:space="preserve"> preparations. </w:t>
      </w:r>
      <w:r w:rsidR="00C969CA">
        <w:t>Immunoglobulin</w:t>
      </w:r>
      <w:r w:rsidRPr="004B5766">
        <w:t xml:space="preserve"> preparations were first used in the 1950s as replacement therapy for a range of PID. </w:t>
      </w:r>
      <w:r w:rsidR="00C969CA">
        <w:t>Immunoglobulin</w:t>
      </w:r>
      <w:r w:rsidRPr="004B5766">
        <w:t xml:space="preserve"> was initially administered intramuscularly until the 1980s when highly purified monomeric suspensions of </w:t>
      </w:r>
      <w:r w:rsidR="00C969CA">
        <w:t xml:space="preserve">immunoglobulin </w:t>
      </w:r>
      <w:r w:rsidRPr="004B5766">
        <w:t xml:space="preserve">G became available for </w:t>
      </w:r>
      <w:r w:rsidR="00F976B8">
        <w:t>intravenous</w:t>
      </w:r>
      <w:r w:rsidRPr="004B5766">
        <w:t xml:space="preserve"> or </w:t>
      </w:r>
      <w:r w:rsidR="00F976B8">
        <w:t>subcutaneous</w:t>
      </w:r>
      <w:r w:rsidRPr="004B5766">
        <w:t xml:space="preserve"> use</w:t>
      </w:r>
      <w:r w:rsidR="00942FF1" w:rsidRPr="004B5766">
        <w:t>.</w:t>
      </w:r>
      <w:bookmarkStart w:id="15" w:name="_Ref118807657"/>
      <w:r w:rsidR="00C42CA3" w:rsidRPr="004B5766">
        <w:rPr>
          <w:vertAlign w:val="superscript"/>
        </w:rPr>
        <w:footnoteReference w:id="5"/>
      </w:r>
      <w:bookmarkEnd w:id="15"/>
      <w:r w:rsidRPr="004B5766">
        <w:t xml:space="preserve"> </w:t>
      </w:r>
      <w:r w:rsidR="00C969CA">
        <w:t>Immunoglobulin</w:t>
      </w:r>
      <w:r w:rsidRPr="004B5766">
        <w:t xml:space="preserve"> products are manufactured from the plasma of healthy donors. Plasma pools are derived from, on average, approximately 15,000 donors and purified via ethanol fractionation with</w:t>
      </w:r>
      <w:r w:rsidRPr="00814124">
        <w:rPr>
          <w:rFonts w:asciiTheme="minorHAnsi" w:hAnsiTheme="minorHAnsi"/>
        </w:rPr>
        <w:t xml:space="preserve"> </w:t>
      </w:r>
      <w:r w:rsidRPr="004B5766">
        <w:t>additional steps to remove</w:t>
      </w:r>
      <w:r w:rsidR="00C969CA">
        <w:t xml:space="preserve"> immunoglobulin</w:t>
      </w:r>
      <w:r w:rsidRPr="004B5766">
        <w:t xml:space="preserve"> aggregates</w:t>
      </w:r>
      <w:r w:rsidR="00942FF1" w:rsidRPr="004B5766">
        <w:t>.</w:t>
      </w:r>
      <w:r w:rsidR="0043304A">
        <w:fldChar w:fldCharType="begin"/>
      </w:r>
      <w:r w:rsidR="0043304A">
        <w:instrText xml:space="preserve"> NOTEREF _Ref118807657 \f \h </w:instrText>
      </w:r>
      <w:r w:rsidR="0043304A">
        <w:fldChar w:fldCharType="separate"/>
      </w:r>
      <w:r w:rsidR="004926F2" w:rsidRPr="004926F2">
        <w:rPr>
          <w:rStyle w:val="FootnoteReference"/>
        </w:rPr>
        <w:t>5</w:t>
      </w:r>
      <w:r w:rsidR="0043304A">
        <w:fldChar w:fldCharType="end"/>
      </w:r>
      <w:bookmarkStart w:id="17" w:name="_Ref118807751"/>
      <w:r w:rsidR="0043304A">
        <w:rPr>
          <w:vertAlign w:val="superscript"/>
        </w:rPr>
        <w:t xml:space="preserve">, </w:t>
      </w:r>
      <w:bookmarkStart w:id="18" w:name="_Ref118807956"/>
      <w:r w:rsidR="00C42CA3" w:rsidRPr="004B5766">
        <w:rPr>
          <w:vertAlign w:val="superscript"/>
        </w:rPr>
        <w:footnoteReference w:id="6"/>
      </w:r>
      <w:bookmarkEnd w:id="17"/>
      <w:bookmarkEnd w:id="18"/>
      <w:r w:rsidRPr="004B5766">
        <w:t xml:space="preserve"> The preparation is then stabilised using agents such as human albumin, glycine, polyethylene glycol or sugars (such as sucrose, maltose or glucose).</w:t>
      </w:r>
      <w:r w:rsidR="0043304A">
        <w:fldChar w:fldCharType="begin"/>
      </w:r>
      <w:r w:rsidR="0043304A">
        <w:instrText xml:space="preserve"> NOTEREF _Ref118807657 \f \h </w:instrText>
      </w:r>
      <w:r w:rsidR="0043304A">
        <w:fldChar w:fldCharType="separate"/>
      </w:r>
      <w:r w:rsidR="001432DA" w:rsidRPr="001432DA">
        <w:rPr>
          <w:rStyle w:val="FootnoteReference"/>
        </w:rPr>
        <w:t>3</w:t>
      </w:r>
      <w:r w:rsidR="0043304A">
        <w:fldChar w:fldCharType="end"/>
      </w:r>
      <w:r w:rsidRPr="004B5766">
        <w:t xml:space="preserve"> The primary active ingredient of </w:t>
      </w:r>
      <w:r w:rsidR="00C969CA">
        <w:t>immunoglobulin</w:t>
      </w:r>
      <w:r w:rsidRPr="004B5766">
        <w:t xml:space="preserve"> preparations is </w:t>
      </w:r>
      <w:r w:rsidR="00C969CA">
        <w:t xml:space="preserve">immunoglobulin </w:t>
      </w:r>
      <w:r w:rsidRPr="004B5766">
        <w:t xml:space="preserve">G. However, </w:t>
      </w:r>
      <w:r w:rsidR="00C969CA">
        <w:t>immunoglobulin</w:t>
      </w:r>
      <w:r w:rsidRPr="004B5766">
        <w:t xml:space="preserve"> preparations may vary in </w:t>
      </w:r>
      <w:r w:rsidR="00C969CA">
        <w:t xml:space="preserve">immunoglobulin </w:t>
      </w:r>
      <w:r w:rsidRPr="004B5766">
        <w:t>G monomer, dimer, aggregate concentrations, immunoglobulin A and immunoglobulin M content, stabilisers and additives used, as well as the level of impurities present</w:t>
      </w:r>
      <w:r w:rsidR="00942FF1" w:rsidRPr="004B5766">
        <w:t>.</w:t>
      </w:r>
      <w:r w:rsidR="0043304A">
        <w:rPr>
          <w:rStyle w:val="CommentReference"/>
        </w:rPr>
        <w:fldChar w:fldCharType="begin"/>
      </w:r>
      <w:r w:rsidR="0043304A">
        <w:instrText xml:space="preserve"> NOTEREF _Ref118807751 \f \h </w:instrText>
      </w:r>
      <w:r w:rsidR="0043304A">
        <w:rPr>
          <w:rStyle w:val="CommentReference"/>
        </w:rPr>
      </w:r>
      <w:r w:rsidR="0043304A">
        <w:rPr>
          <w:rStyle w:val="CommentReference"/>
        </w:rPr>
        <w:fldChar w:fldCharType="separate"/>
      </w:r>
      <w:r w:rsidR="001432DA" w:rsidRPr="001432DA">
        <w:rPr>
          <w:rStyle w:val="FootnoteReference"/>
        </w:rPr>
        <w:t>4</w:t>
      </w:r>
      <w:r w:rsidR="0043304A">
        <w:rPr>
          <w:rStyle w:val="CommentReference"/>
        </w:rPr>
        <w:fldChar w:fldCharType="end"/>
      </w:r>
    </w:p>
    <w:p w14:paraId="520050ED" w14:textId="1A806843" w:rsidR="00C9047D" w:rsidRPr="004B5766" w:rsidRDefault="00420D47" w:rsidP="004B5766">
      <w:r>
        <w:lastRenderedPageBreak/>
        <w:t>Immunoglob</w:t>
      </w:r>
      <w:r w:rsidR="003732B9">
        <w:t>ulin</w:t>
      </w:r>
      <w:r w:rsidR="00C9047D" w:rsidRPr="004B5766">
        <w:t xml:space="preserve"> is primarily administered either intravenously or subcutaneously. The main difference between the two delivery methods is that </w:t>
      </w:r>
      <w:r w:rsidR="00F976B8">
        <w:t>intravenous</w:t>
      </w:r>
      <w:r w:rsidR="00C9047D" w:rsidRPr="004B5766">
        <w:t xml:space="preserve"> administration requires venous access, can deliver larger volumes (therefore fewer doses</w:t>
      </w:r>
      <w:proofErr w:type="gramStart"/>
      <w:r w:rsidR="00C9047D" w:rsidRPr="004B5766">
        <w:t>)</w:t>
      </w:r>
      <w:proofErr w:type="gramEnd"/>
      <w:r w:rsidR="00C9047D" w:rsidRPr="004B5766">
        <w:t xml:space="preserve"> and is carried out by skilled healthcare professionals in a hospital setting. </w:t>
      </w:r>
      <w:r w:rsidR="00F976B8">
        <w:t>Subcutaneous</w:t>
      </w:r>
      <w:r w:rsidR="00C9047D" w:rsidRPr="004B5766">
        <w:t xml:space="preserve"> administration, which delivers smaller volumes, may be self</w:t>
      </w:r>
      <w:r w:rsidR="004141DE">
        <w:t>-</w:t>
      </w:r>
      <w:r w:rsidR="00C9047D" w:rsidRPr="004B5766">
        <w:t>administered at home following training.</w:t>
      </w:r>
      <w:r w:rsidR="0043304A">
        <w:rPr>
          <w:vertAlign w:val="superscript"/>
        </w:rPr>
        <w:fldChar w:fldCharType="begin"/>
      </w:r>
      <w:r w:rsidR="0043304A">
        <w:instrText xml:space="preserve"> NOTEREF _Ref118807751 \f \h </w:instrText>
      </w:r>
      <w:r w:rsidR="0043304A">
        <w:rPr>
          <w:vertAlign w:val="superscript"/>
        </w:rPr>
      </w:r>
      <w:r w:rsidR="0043304A">
        <w:rPr>
          <w:vertAlign w:val="superscript"/>
        </w:rPr>
        <w:fldChar w:fldCharType="separate"/>
      </w:r>
      <w:r w:rsidR="001432DA" w:rsidRPr="001432DA">
        <w:rPr>
          <w:rStyle w:val="FootnoteReference"/>
        </w:rPr>
        <w:t>4</w:t>
      </w:r>
      <w:r w:rsidR="0043304A">
        <w:rPr>
          <w:vertAlign w:val="superscript"/>
        </w:rPr>
        <w:fldChar w:fldCharType="end"/>
      </w:r>
      <w:r w:rsidR="0052537C">
        <w:t xml:space="preserve"> </w:t>
      </w:r>
      <w:r w:rsidR="00F976B8">
        <w:t>Intravenous</w:t>
      </w:r>
      <w:r w:rsidR="00C9047D" w:rsidRPr="004B5766">
        <w:t xml:space="preserve"> administration may be associated with increased systemic adverse events, such as headache, flushing, chills, myalgia, wheezing, tachycardia, lower back pain, nausea and hypotension compared with </w:t>
      </w:r>
      <w:r w:rsidR="00F976B8">
        <w:t>subcutaneous</w:t>
      </w:r>
      <w:r w:rsidR="00C9047D" w:rsidRPr="004B5766">
        <w:t xml:space="preserve"> administration.</w:t>
      </w:r>
      <w:r w:rsidR="0043304A">
        <w:fldChar w:fldCharType="begin"/>
      </w:r>
      <w:r w:rsidR="0043304A">
        <w:instrText xml:space="preserve"> NOTEREF _Ref118807657 \f \h </w:instrText>
      </w:r>
      <w:r w:rsidR="0043304A">
        <w:fldChar w:fldCharType="separate"/>
      </w:r>
      <w:r w:rsidR="001432DA" w:rsidRPr="001432DA">
        <w:rPr>
          <w:rStyle w:val="FootnoteReference"/>
        </w:rPr>
        <w:t>3</w:t>
      </w:r>
      <w:r w:rsidR="0043304A">
        <w:fldChar w:fldCharType="end"/>
      </w:r>
      <w:r w:rsidR="0043304A">
        <w:rPr>
          <w:vertAlign w:val="superscript"/>
        </w:rPr>
        <w:t xml:space="preserve">, </w:t>
      </w:r>
      <w:r w:rsidR="0043304A">
        <w:fldChar w:fldCharType="begin"/>
      </w:r>
      <w:r w:rsidR="0043304A">
        <w:instrText xml:space="preserve"> NOTEREF _Ref118807751 \f \h </w:instrText>
      </w:r>
      <w:r w:rsidR="0043304A">
        <w:fldChar w:fldCharType="separate"/>
      </w:r>
      <w:r w:rsidR="001432DA" w:rsidRPr="001432DA">
        <w:rPr>
          <w:rStyle w:val="FootnoteReference"/>
        </w:rPr>
        <w:t>4</w:t>
      </w:r>
      <w:r w:rsidR="0043304A">
        <w:fldChar w:fldCharType="end"/>
      </w:r>
      <w:r w:rsidR="00C9047D" w:rsidRPr="004B5766">
        <w:t xml:space="preserve"> Adverse events relating to </w:t>
      </w:r>
      <w:r w:rsidR="00F976B8">
        <w:t>subcutaneous</w:t>
      </w:r>
      <w:r w:rsidR="000D00CE" w:rsidRPr="004B5766">
        <w:t xml:space="preserve"> administration</w:t>
      </w:r>
      <w:r w:rsidR="00C9047D" w:rsidRPr="004B5766">
        <w:t xml:space="preserve"> are typically localised to the injection site.</w:t>
      </w:r>
      <w:r w:rsidR="001432DA">
        <w:rPr>
          <w:vertAlign w:val="superscript"/>
        </w:rPr>
        <w:fldChar w:fldCharType="begin"/>
      </w:r>
      <w:r w:rsidR="001432DA">
        <w:instrText xml:space="preserve"> NOTEREF _Ref118807956 \f \h </w:instrText>
      </w:r>
      <w:r w:rsidR="001432DA">
        <w:rPr>
          <w:vertAlign w:val="superscript"/>
        </w:rPr>
      </w:r>
      <w:r w:rsidR="001432DA">
        <w:rPr>
          <w:vertAlign w:val="superscript"/>
        </w:rPr>
        <w:fldChar w:fldCharType="separate"/>
      </w:r>
      <w:r w:rsidR="001432DA" w:rsidRPr="001432DA">
        <w:rPr>
          <w:rStyle w:val="FootnoteReference"/>
        </w:rPr>
        <w:t>4</w:t>
      </w:r>
      <w:r w:rsidR="001432DA">
        <w:rPr>
          <w:vertAlign w:val="superscript"/>
        </w:rPr>
        <w:fldChar w:fldCharType="end"/>
      </w:r>
      <w:r w:rsidR="00C9047D" w:rsidRPr="004B5766">
        <w:t xml:space="preserve"> Overall, serious adverse events of </w:t>
      </w:r>
      <w:r w:rsidR="003732B9">
        <w:t>immunoglobulin</w:t>
      </w:r>
      <w:r w:rsidR="00C9047D" w:rsidRPr="004B5766">
        <w:t xml:space="preserve"> therapy are rare and may include hypersensitivity (</w:t>
      </w:r>
      <w:r w:rsidR="00F24C6B">
        <w:t>for example</w:t>
      </w:r>
      <w:r w:rsidR="00B9097D">
        <w:t>,</w:t>
      </w:r>
      <w:r w:rsidR="00C9047D" w:rsidRPr="004B5766">
        <w:t xml:space="preserve"> anaphylaxis), thromboembolism, aseptic meningitis, and renal failure (particularly with those products containing sucrose).</w:t>
      </w:r>
    </w:p>
    <w:p w14:paraId="712D829D" w14:textId="3F1CF7FA" w:rsidR="00C9047D" w:rsidRPr="004B5766" w:rsidRDefault="00C9047D" w:rsidP="004B5766">
      <w:r w:rsidRPr="004B5766">
        <w:t xml:space="preserve">The </w:t>
      </w:r>
      <w:r w:rsidR="00CE1073">
        <w:t>s</w:t>
      </w:r>
      <w:r w:rsidRPr="004B5766">
        <w:t xml:space="preserve">ponsor stated that several </w:t>
      </w:r>
      <w:r w:rsidR="00F24C6B">
        <w:t xml:space="preserve">subcutaneous </w:t>
      </w:r>
      <w:r w:rsidR="003732B9">
        <w:t xml:space="preserve">immunoglobulin </w:t>
      </w:r>
      <w:r w:rsidRPr="004B5766">
        <w:t xml:space="preserve">products, ranging in protein </w:t>
      </w:r>
      <w:r w:rsidR="003732B9">
        <w:t xml:space="preserve">immunoglobulin </w:t>
      </w:r>
      <w:r w:rsidRPr="004B5766">
        <w:t xml:space="preserve">G concentrations from 10% to 20%, are currently being used to treat PID most commonly by either weekly or biweekly (or more frequent) administration. The primary advantages of higher concentration </w:t>
      </w:r>
      <w:r w:rsidR="00F24C6B">
        <w:t>subcutaneous immunoglobulin</w:t>
      </w:r>
      <w:r w:rsidR="003732B9">
        <w:t xml:space="preserve"> </w:t>
      </w:r>
      <w:r w:rsidRPr="004B5766">
        <w:t xml:space="preserve">products (20%) compared with lower concentration </w:t>
      </w:r>
      <w:r w:rsidR="00F24C6B">
        <w:t>subcutaneous immunoglobulin</w:t>
      </w:r>
      <w:r w:rsidR="003732B9">
        <w:t xml:space="preserve"> </w:t>
      </w:r>
      <w:r w:rsidRPr="004B5766">
        <w:t xml:space="preserve">products (10%) are significantly reduced </w:t>
      </w:r>
      <w:r w:rsidR="003732B9">
        <w:t>subcutaneous</w:t>
      </w:r>
      <w:r w:rsidRPr="004B5766">
        <w:t xml:space="preserve"> infusion volumes and shorter infusion times, thereby increasing ease of administration, improving patient convenience, and potentially increasing tolerability by reducing local infusion related reactions.</w:t>
      </w:r>
    </w:p>
    <w:p w14:paraId="77C9F086" w14:textId="63A80036" w:rsidR="00574A15" w:rsidRPr="004B5766" w:rsidRDefault="00C9047D" w:rsidP="004B5766">
      <w:r w:rsidRPr="004B5766">
        <w:t xml:space="preserve">There are </w:t>
      </w:r>
      <w:proofErr w:type="gramStart"/>
      <w:r w:rsidRPr="004B5766">
        <w:t>a number of</w:t>
      </w:r>
      <w:proofErr w:type="gramEnd"/>
      <w:r w:rsidRPr="004B5766">
        <w:t xml:space="preserve"> alternative human normal immunoglobulin products available for </w:t>
      </w:r>
      <w:r w:rsidR="00F976B8">
        <w:t>intravenous</w:t>
      </w:r>
      <w:r w:rsidRPr="004B5766">
        <w:t xml:space="preserve"> and </w:t>
      </w:r>
      <w:r w:rsidR="00F976B8">
        <w:t>subcutaneous</w:t>
      </w:r>
      <w:r w:rsidRPr="004B5766">
        <w:t xml:space="preserve"> treatment of PID in Australia. Therefore, there is not an unmet clinical need for Xembify </w:t>
      </w:r>
      <w:r w:rsidR="00CE1073">
        <w:t>h</w:t>
      </w:r>
      <w:r w:rsidRPr="004B5766">
        <w:t>owever, unforeseen supply problems (</w:t>
      </w:r>
      <w:r w:rsidR="00F976B8">
        <w:t>for example</w:t>
      </w:r>
      <w:r w:rsidRPr="004B5766">
        <w:t xml:space="preserve"> manufacturing issues) might reduce the availability of alternative products.</w:t>
      </w:r>
    </w:p>
    <w:p w14:paraId="1324589E" w14:textId="77777777" w:rsidR="008E7846" w:rsidRPr="003F31A2" w:rsidRDefault="00386150" w:rsidP="008E7846">
      <w:pPr>
        <w:pStyle w:val="Heading3"/>
      </w:pPr>
      <w:bookmarkStart w:id="19" w:name="_Toc314842485"/>
      <w:bookmarkStart w:id="20" w:name="_Toc247691504"/>
      <w:bookmarkStart w:id="21" w:name="_Toc125365357"/>
      <w:r>
        <w:t>Regulatory s</w:t>
      </w:r>
      <w:r w:rsidR="008E7846">
        <w:t>tatus</w:t>
      </w:r>
      <w:bookmarkEnd w:id="19"/>
      <w:bookmarkEnd w:id="20"/>
      <w:bookmarkEnd w:id="21"/>
    </w:p>
    <w:p w14:paraId="74686A54" w14:textId="73BDDC5A" w:rsidR="00332715" w:rsidRPr="004B5766" w:rsidRDefault="00332715" w:rsidP="004B5766">
      <w:bookmarkStart w:id="22" w:name="_Toc247691505"/>
      <w:bookmarkStart w:id="23" w:name="_Toc314842486"/>
      <w:r w:rsidRPr="004B5766">
        <w:t>This product is considered a new biological entity for Australian regulatory purposes.</w:t>
      </w:r>
    </w:p>
    <w:p w14:paraId="0B1D717B" w14:textId="3484C19D" w:rsidR="00332715" w:rsidRPr="004B5766" w:rsidRDefault="00332715" w:rsidP="004B5766">
      <w:r w:rsidRPr="004B5766">
        <w:t xml:space="preserve">At the time the </w:t>
      </w:r>
      <w:r w:rsidRPr="00B40C00">
        <w:t>TGA</w:t>
      </w:r>
      <w:r w:rsidRPr="004B5766">
        <w:t xml:space="preserve"> considered this </w:t>
      </w:r>
      <w:r w:rsidR="00BB0B78" w:rsidRPr="004B5766">
        <w:t>submission</w:t>
      </w:r>
      <w:r w:rsidRPr="004B5766">
        <w:t xml:space="preserve">, a similar </w:t>
      </w:r>
      <w:r w:rsidR="00BB0B78" w:rsidRPr="004B5766">
        <w:t>submission</w:t>
      </w:r>
      <w:r w:rsidRPr="004B5766">
        <w:t xml:space="preserve"> had been approved </w:t>
      </w:r>
      <w:r w:rsidR="00A41CCB" w:rsidRPr="004B5766">
        <w:t xml:space="preserve">in the </w:t>
      </w:r>
      <w:r w:rsidR="006F347D">
        <w:t>United States of America (</w:t>
      </w:r>
      <w:r w:rsidR="00A41CCB" w:rsidRPr="004B5766">
        <w:t>USA</w:t>
      </w:r>
      <w:r w:rsidR="006F347D">
        <w:t>)</w:t>
      </w:r>
      <w:r w:rsidR="00F976B8">
        <w:t xml:space="preserve"> </w:t>
      </w:r>
      <w:r w:rsidR="00A41CCB" w:rsidRPr="004B5766">
        <w:t xml:space="preserve">on 3 July 2019 and </w:t>
      </w:r>
      <w:r w:rsidR="006F347D">
        <w:t xml:space="preserve">in </w:t>
      </w:r>
      <w:r w:rsidR="00A41CCB" w:rsidRPr="004B5766">
        <w:t>Canada on 10 December 2019</w:t>
      </w:r>
      <w:r w:rsidRPr="004B5766">
        <w:t xml:space="preserve">. A similar </w:t>
      </w:r>
      <w:r w:rsidR="00BB0B78" w:rsidRPr="004B5766">
        <w:t>submission</w:t>
      </w:r>
      <w:r w:rsidRPr="004B5766">
        <w:t xml:space="preserve"> was under consideration </w:t>
      </w:r>
      <w:r w:rsidR="006F347D">
        <w:t xml:space="preserve">by the European Union (EU) </w:t>
      </w:r>
      <w:r w:rsidRPr="004B5766">
        <w:t xml:space="preserve">(submitted on </w:t>
      </w:r>
      <w:r w:rsidR="00A41CCB" w:rsidRPr="004B5766">
        <w:t>30 November 2020</w:t>
      </w:r>
      <w:r w:rsidRPr="004B5766">
        <w:t>).</w:t>
      </w:r>
    </w:p>
    <w:p w14:paraId="5C2C7038" w14:textId="640482D1" w:rsidR="00332715" w:rsidRPr="004B5766" w:rsidRDefault="00F976B8" w:rsidP="004B5766">
      <w:r>
        <w:fldChar w:fldCharType="begin"/>
      </w:r>
      <w:r>
        <w:instrText xml:space="preserve"> REF _Ref99705479 \h </w:instrText>
      </w:r>
      <w:r>
        <w:fldChar w:fldCharType="separate"/>
      </w:r>
      <w:r>
        <w:t xml:space="preserve">Table </w:t>
      </w:r>
      <w:r>
        <w:rPr>
          <w:noProof/>
        </w:rPr>
        <w:t>2</w:t>
      </w:r>
      <w:r>
        <w:fldChar w:fldCharType="end"/>
      </w:r>
      <w:r w:rsidR="006F347D">
        <w:t>, shown below,</w:t>
      </w:r>
      <w:r>
        <w:t xml:space="preserve"> </w:t>
      </w:r>
      <w:r w:rsidR="00332715" w:rsidRPr="004B5766">
        <w:t xml:space="preserve">summarises these </w:t>
      </w:r>
      <w:r w:rsidR="00BB0B78" w:rsidRPr="004B5766">
        <w:t>submissions</w:t>
      </w:r>
      <w:r w:rsidR="00332715" w:rsidRPr="004B5766">
        <w:t xml:space="preserve"> and provides the indications where approved.</w:t>
      </w:r>
    </w:p>
    <w:p w14:paraId="2FD9EBA3" w14:textId="6EC27F01" w:rsidR="00324E45" w:rsidRPr="00F0146F" w:rsidRDefault="00324E45" w:rsidP="00B40C00">
      <w:pPr>
        <w:pStyle w:val="TableTitle"/>
      </w:pPr>
      <w:bookmarkStart w:id="24" w:name="_Ref99705479"/>
      <w:r>
        <w:t xml:space="preserve">Table </w:t>
      </w:r>
      <w:fldSimple w:instr=" SEQ Table \* ARABIC ">
        <w:r w:rsidR="009C353F">
          <w:rPr>
            <w:noProof/>
          </w:rPr>
          <w:t>2</w:t>
        </w:r>
      </w:fldSimple>
      <w:bookmarkEnd w:id="24"/>
      <w:r>
        <w:t>: International regulatory status</w:t>
      </w:r>
    </w:p>
    <w:tbl>
      <w:tblPr>
        <w:tblStyle w:val="TableTGAblue"/>
        <w:tblW w:w="5189" w:type="pct"/>
        <w:tblLook w:val="04A0" w:firstRow="1" w:lastRow="0" w:firstColumn="1" w:lastColumn="0" w:noHBand="0" w:noVBand="1"/>
      </w:tblPr>
      <w:tblGrid>
        <w:gridCol w:w="1261"/>
        <w:gridCol w:w="2128"/>
        <w:gridCol w:w="2038"/>
        <w:gridCol w:w="3388"/>
      </w:tblGrid>
      <w:tr w:rsidR="006F347D" w14:paraId="6A6517B2" w14:textId="77777777" w:rsidTr="006F347D">
        <w:trPr>
          <w:cnfStyle w:val="100000000000" w:firstRow="1" w:lastRow="0" w:firstColumn="0" w:lastColumn="0" w:oddVBand="0" w:evenVBand="0" w:oddHBand="0" w:evenHBand="0" w:firstRowFirstColumn="0" w:firstRowLastColumn="0" w:lastRowFirstColumn="0" w:lastRowLastColumn="0"/>
        </w:trPr>
        <w:tc>
          <w:tcPr>
            <w:tcW w:w="661" w:type="pct"/>
            <w:tcBorders>
              <w:top w:val="single" w:sz="4" w:space="0" w:color="auto"/>
              <w:left w:val="single" w:sz="4" w:space="0" w:color="auto"/>
              <w:bottom w:val="single" w:sz="4" w:space="0" w:color="auto"/>
              <w:right w:val="single" w:sz="4" w:space="0" w:color="auto"/>
            </w:tcBorders>
          </w:tcPr>
          <w:p w14:paraId="56319724" w14:textId="77777777" w:rsidR="00006FAB" w:rsidRDefault="00006FAB" w:rsidP="00006FAB">
            <w:pPr>
              <w:ind w:left="0" w:right="0"/>
            </w:pPr>
            <w:r>
              <w:t>Region</w:t>
            </w:r>
          </w:p>
        </w:tc>
        <w:tc>
          <w:tcPr>
            <w:tcW w:w="1225" w:type="pct"/>
            <w:tcBorders>
              <w:top w:val="single" w:sz="4" w:space="0" w:color="auto"/>
              <w:left w:val="single" w:sz="4" w:space="0" w:color="auto"/>
              <w:bottom w:val="single" w:sz="4" w:space="0" w:color="auto"/>
              <w:right w:val="single" w:sz="4" w:space="0" w:color="auto"/>
            </w:tcBorders>
          </w:tcPr>
          <w:p w14:paraId="4780327E" w14:textId="77777777" w:rsidR="00006FAB" w:rsidRDefault="00006FAB" w:rsidP="00006FAB">
            <w:pPr>
              <w:ind w:left="0" w:right="0"/>
            </w:pPr>
            <w:r>
              <w:t>Submission date</w:t>
            </w:r>
          </w:p>
        </w:tc>
        <w:tc>
          <w:tcPr>
            <w:tcW w:w="1174" w:type="pct"/>
            <w:tcBorders>
              <w:top w:val="single" w:sz="4" w:space="0" w:color="auto"/>
              <w:left w:val="single" w:sz="4" w:space="0" w:color="auto"/>
              <w:bottom w:val="single" w:sz="4" w:space="0" w:color="auto"/>
              <w:right w:val="single" w:sz="4" w:space="0" w:color="auto"/>
            </w:tcBorders>
          </w:tcPr>
          <w:p w14:paraId="1C1DF3A0" w14:textId="77777777" w:rsidR="00006FAB" w:rsidRDefault="00006FAB" w:rsidP="00006FAB">
            <w:pPr>
              <w:ind w:left="0" w:right="0"/>
            </w:pPr>
            <w:r>
              <w:t>Status</w:t>
            </w:r>
          </w:p>
        </w:tc>
        <w:tc>
          <w:tcPr>
            <w:tcW w:w="1940" w:type="pct"/>
            <w:tcBorders>
              <w:top w:val="single" w:sz="4" w:space="0" w:color="auto"/>
              <w:left w:val="single" w:sz="4" w:space="0" w:color="auto"/>
              <w:bottom w:val="single" w:sz="4" w:space="0" w:color="auto"/>
              <w:right w:val="single" w:sz="4" w:space="0" w:color="auto"/>
            </w:tcBorders>
          </w:tcPr>
          <w:p w14:paraId="44181186" w14:textId="17B8C085" w:rsidR="00006FAB" w:rsidRDefault="00006FAB" w:rsidP="008575F3">
            <w:pPr>
              <w:tabs>
                <w:tab w:val="left" w:pos="2925"/>
              </w:tabs>
              <w:ind w:left="0" w:right="0"/>
            </w:pPr>
            <w:r>
              <w:t>Approved indications</w:t>
            </w:r>
            <w:r w:rsidR="008575F3">
              <w:tab/>
            </w:r>
          </w:p>
        </w:tc>
      </w:tr>
      <w:tr w:rsidR="006F347D" w14:paraId="2A32C6E8" w14:textId="77777777" w:rsidTr="006F347D">
        <w:tc>
          <w:tcPr>
            <w:tcW w:w="661" w:type="pct"/>
            <w:tcBorders>
              <w:top w:val="single" w:sz="4" w:space="0" w:color="auto"/>
            </w:tcBorders>
          </w:tcPr>
          <w:p w14:paraId="434AF596" w14:textId="742D1DE2" w:rsidR="00006FAB" w:rsidRPr="004926F2" w:rsidRDefault="00A41CCB" w:rsidP="00006FAB">
            <w:pPr>
              <w:ind w:left="0" w:right="0"/>
              <w:rPr>
                <w:sz w:val="21"/>
              </w:rPr>
            </w:pPr>
            <w:r w:rsidRPr="004926F2">
              <w:rPr>
                <w:sz w:val="21"/>
                <w:szCs w:val="22"/>
              </w:rPr>
              <w:t>United States of America</w:t>
            </w:r>
          </w:p>
        </w:tc>
        <w:tc>
          <w:tcPr>
            <w:tcW w:w="1225" w:type="pct"/>
            <w:tcBorders>
              <w:top w:val="single" w:sz="4" w:space="0" w:color="auto"/>
            </w:tcBorders>
          </w:tcPr>
          <w:p w14:paraId="2DBC40E1" w14:textId="1AC2ED83" w:rsidR="00006FAB" w:rsidRPr="004926F2" w:rsidRDefault="00A41CCB" w:rsidP="00006FAB">
            <w:pPr>
              <w:ind w:left="0" w:right="0"/>
              <w:rPr>
                <w:sz w:val="21"/>
              </w:rPr>
            </w:pPr>
            <w:r w:rsidRPr="004926F2">
              <w:rPr>
                <w:sz w:val="21"/>
                <w:szCs w:val="22"/>
              </w:rPr>
              <w:t>9 July 2018</w:t>
            </w:r>
          </w:p>
        </w:tc>
        <w:tc>
          <w:tcPr>
            <w:tcW w:w="1174" w:type="pct"/>
            <w:tcBorders>
              <w:top w:val="single" w:sz="4" w:space="0" w:color="auto"/>
            </w:tcBorders>
          </w:tcPr>
          <w:p w14:paraId="2A11B2DC" w14:textId="65E75E5B" w:rsidR="00006FAB" w:rsidRPr="004926F2" w:rsidRDefault="00006FAB" w:rsidP="00006FAB">
            <w:pPr>
              <w:ind w:left="0" w:right="0"/>
              <w:rPr>
                <w:sz w:val="21"/>
              </w:rPr>
            </w:pPr>
            <w:r w:rsidRPr="004926F2">
              <w:rPr>
                <w:sz w:val="21"/>
                <w:szCs w:val="22"/>
              </w:rPr>
              <w:t xml:space="preserve">Approved on </w:t>
            </w:r>
            <w:r w:rsidR="00A41CCB" w:rsidRPr="004926F2">
              <w:rPr>
                <w:sz w:val="21"/>
                <w:szCs w:val="22"/>
              </w:rPr>
              <w:t>3</w:t>
            </w:r>
            <w:r w:rsidR="006F347D" w:rsidRPr="004926F2">
              <w:rPr>
                <w:sz w:val="21"/>
                <w:szCs w:val="22"/>
              </w:rPr>
              <w:t> </w:t>
            </w:r>
            <w:r w:rsidR="00A41CCB" w:rsidRPr="004926F2">
              <w:rPr>
                <w:sz w:val="21"/>
                <w:szCs w:val="22"/>
              </w:rPr>
              <w:t>July</w:t>
            </w:r>
            <w:r w:rsidR="006F347D" w:rsidRPr="004926F2">
              <w:rPr>
                <w:sz w:val="21"/>
                <w:szCs w:val="22"/>
              </w:rPr>
              <w:t> </w:t>
            </w:r>
            <w:r w:rsidR="00A41CCB" w:rsidRPr="004926F2">
              <w:rPr>
                <w:sz w:val="21"/>
                <w:szCs w:val="22"/>
              </w:rPr>
              <w:t>2019</w:t>
            </w:r>
          </w:p>
        </w:tc>
        <w:tc>
          <w:tcPr>
            <w:tcW w:w="1940" w:type="pct"/>
            <w:tcBorders>
              <w:top w:val="single" w:sz="4" w:space="0" w:color="auto"/>
            </w:tcBorders>
          </w:tcPr>
          <w:p w14:paraId="04076177" w14:textId="1C1B8384" w:rsidR="00006FAB" w:rsidRPr="004926F2" w:rsidRDefault="00A41CCB" w:rsidP="0062162C">
            <w:pPr>
              <w:ind w:left="0"/>
              <w:rPr>
                <w:i/>
                <w:iCs/>
                <w:sz w:val="21"/>
              </w:rPr>
            </w:pPr>
            <w:r w:rsidRPr="004926F2">
              <w:rPr>
                <w:i/>
                <w:iCs/>
                <w:sz w:val="21"/>
                <w:szCs w:val="22"/>
              </w:rPr>
              <w:t>Approved for the treatment of Primary Humoral Immunodeficiency in patients 2</w:t>
            </w:r>
            <w:r w:rsidR="006F347D">
              <w:rPr>
                <w:i/>
                <w:iCs/>
                <w:sz w:val="21"/>
              </w:rPr>
              <w:t> </w:t>
            </w:r>
            <w:r w:rsidRPr="004926F2">
              <w:rPr>
                <w:i/>
                <w:iCs/>
                <w:sz w:val="21"/>
                <w:szCs w:val="22"/>
              </w:rPr>
              <w:t>years of age and older.</w:t>
            </w:r>
            <w:r w:rsidR="0062162C" w:rsidRPr="004926F2">
              <w:rPr>
                <w:i/>
                <w:iCs/>
                <w:sz w:val="21"/>
                <w:szCs w:val="22"/>
              </w:rPr>
              <w:t xml:space="preserve"> </w:t>
            </w:r>
            <w:r w:rsidRPr="004926F2">
              <w:rPr>
                <w:i/>
                <w:iCs/>
                <w:sz w:val="21"/>
                <w:szCs w:val="22"/>
              </w:rPr>
              <w:t xml:space="preserve">This includes, but is not limited to, congenital agammaglobulinemia, common variable immunodeficiency, X-linked agammaglobulinemia, </w:t>
            </w:r>
            <w:proofErr w:type="spellStart"/>
            <w:r w:rsidRPr="004926F2">
              <w:rPr>
                <w:i/>
                <w:iCs/>
                <w:sz w:val="21"/>
                <w:szCs w:val="22"/>
              </w:rPr>
              <w:t>Wiskott</w:t>
            </w:r>
            <w:proofErr w:type="spellEnd"/>
            <w:r w:rsidRPr="004926F2">
              <w:rPr>
                <w:i/>
                <w:iCs/>
                <w:sz w:val="21"/>
                <w:szCs w:val="22"/>
              </w:rPr>
              <w:t>-Aldrich syndrome, and severe combined immunodeficiencies.</w:t>
            </w:r>
          </w:p>
        </w:tc>
      </w:tr>
      <w:tr w:rsidR="006F347D" w14:paraId="023E81F8" w14:textId="77777777" w:rsidTr="006F347D">
        <w:trPr>
          <w:cantSplit/>
        </w:trPr>
        <w:tc>
          <w:tcPr>
            <w:tcW w:w="661" w:type="pct"/>
          </w:tcPr>
          <w:p w14:paraId="7905805A" w14:textId="74E911BC" w:rsidR="00006FAB" w:rsidRPr="004926F2" w:rsidRDefault="00A41CCB" w:rsidP="00006FAB">
            <w:pPr>
              <w:ind w:left="0" w:right="0"/>
              <w:rPr>
                <w:sz w:val="21"/>
              </w:rPr>
            </w:pPr>
            <w:r w:rsidRPr="004926F2">
              <w:rPr>
                <w:sz w:val="21"/>
                <w:szCs w:val="22"/>
              </w:rPr>
              <w:lastRenderedPageBreak/>
              <w:t>Canada</w:t>
            </w:r>
          </w:p>
        </w:tc>
        <w:tc>
          <w:tcPr>
            <w:tcW w:w="1225" w:type="pct"/>
          </w:tcPr>
          <w:p w14:paraId="631A073C" w14:textId="5697F66F" w:rsidR="00006FAB" w:rsidRPr="004926F2" w:rsidRDefault="00A41CCB" w:rsidP="00006FAB">
            <w:pPr>
              <w:ind w:left="0" w:right="0"/>
              <w:rPr>
                <w:sz w:val="21"/>
              </w:rPr>
            </w:pPr>
            <w:r w:rsidRPr="004926F2">
              <w:rPr>
                <w:sz w:val="21"/>
                <w:szCs w:val="22"/>
              </w:rPr>
              <w:t>25 April 2019</w:t>
            </w:r>
          </w:p>
        </w:tc>
        <w:tc>
          <w:tcPr>
            <w:tcW w:w="1174" w:type="pct"/>
          </w:tcPr>
          <w:p w14:paraId="78948374" w14:textId="781BB8EC" w:rsidR="00006FAB" w:rsidRPr="004926F2" w:rsidRDefault="00A41CCB" w:rsidP="00006FAB">
            <w:pPr>
              <w:ind w:left="0" w:right="0"/>
              <w:rPr>
                <w:sz w:val="21"/>
              </w:rPr>
            </w:pPr>
            <w:r w:rsidRPr="004926F2">
              <w:rPr>
                <w:sz w:val="21"/>
                <w:szCs w:val="22"/>
              </w:rPr>
              <w:t xml:space="preserve">Approved on </w:t>
            </w:r>
            <w:r w:rsidR="0062162C" w:rsidRPr="004926F2">
              <w:rPr>
                <w:sz w:val="21"/>
                <w:szCs w:val="22"/>
              </w:rPr>
              <w:t>10</w:t>
            </w:r>
            <w:r w:rsidR="006F347D" w:rsidRPr="004926F2">
              <w:rPr>
                <w:sz w:val="21"/>
                <w:szCs w:val="22"/>
              </w:rPr>
              <w:t> </w:t>
            </w:r>
            <w:r w:rsidR="0062162C" w:rsidRPr="004926F2">
              <w:rPr>
                <w:sz w:val="21"/>
                <w:szCs w:val="22"/>
              </w:rPr>
              <w:t>December 2019</w:t>
            </w:r>
          </w:p>
        </w:tc>
        <w:tc>
          <w:tcPr>
            <w:tcW w:w="1940" w:type="pct"/>
          </w:tcPr>
          <w:p w14:paraId="7483E03D" w14:textId="4E83E91C" w:rsidR="00006FAB" w:rsidRPr="004926F2" w:rsidRDefault="0062162C" w:rsidP="0062162C">
            <w:pPr>
              <w:ind w:left="0"/>
              <w:rPr>
                <w:i/>
                <w:iCs/>
                <w:sz w:val="21"/>
              </w:rPr>
            </w:pPr>
            <w:r w:rsidRPr="004926F2">
              <w:rPr>
                <w:i/>
                <w:iCs/>
                <w:sz w:val="21"/>
                <w:szCs w:val="22"/>
              </w:rPr>
              <w:t>Approved for the treatment of patients 2 years of age and older with Primary Immune Deficiency (PID) and Secondary Immune Deficiency (SID) who require immunoglobulin replacement therapy.</w:t>
            </w:r>
          </w:p>
        </w:tc>
      </w:tr>
      <w:tr w:rsidR="006F347D" w14:paraId="351A93E3" w14:textId="77777777" w:rsidTr="006F347D">
        <w:tc>
          <w:tcPr>
            <w:tcW w:w="661" w:type="pct"/>
          </w:tcPr>
          <w:p w14:paraId="5DD0C72B" w14:textId="5A923D34" w:rsidR="0062162C" w:rsidRPr="004926F2" w:rsidRDefault="0062162C" w:rsidP="0062162C">
            <w:pPr>
              <w:ind w:left="0"/>
              <w:rPr>
                <w:sz w:val="21"/>
              </w:rPr>
            </w:pPr>
            <w:r w:rsidRPr="004926F2">
              <w:rPr>
                <w:sz w:val="21"/>
                <w:szCs w:val="22"/>
              </w:rPr>
              <w:t>Euro</w:t>
            </w:r>
            <w:r w:rsidR="006F347D">
              <w:rPr>
                <w:sz w:val="21"/>
              </w:rPr>
              <w:t>pean Union</w:t>
            </w:r>
          </w:p>
        </w:tc>
        <w:tc>
          <w:tcPr>
            <w:tcW w:w="1225" w:type="pct"/>
          </w:tcPr>
          <w:p w14:paraId="2D75B110" w14:textId="3B7CCA6D" w:rsidR="0062162C" w:rsidRPr="004926F2" w:rsidRDefault="0062162C" w:rsidP="0062162C">
            <w:pPr>
              <w:ind w:left="0"/>
              <w:rPr>
                <w:sz w:val="21"/>
              </w:rPr>
            </w:pPr>
            <w:r w:rsidRPr="004926F2">
              <w:rPr>
                <w:sz w:val="21"/>
                <w:szCs w:val="22"/>
              </w:rPr>
              <w:t>30 November 2020</w:t>
            </w:r>
          </w:p>
        </w:tc>
        <w:tc>
          <w:tcPr>
            <w:tcW w:w="1174" w:type="pct"/>
          </w:tcPr>
          <w:p w14:paraId="171670A2" w14:textId="503C0BB9" w:rsidR="0062162C" w:rsidRPr="004926F2" w:rsidRDefault="00F24C6B" w:rsidP="0062162C">
            <w:pPr>
              <w:ind w:left="0"/>
              <w:rPr>
                <w:sz w:val="21"/>
              </w:rPr>
            </w:pPr>
            <w:r w:rsidRPr="004926F2">
              <w:rPr>
                <w:sz w:val="21"/>
                <w:szCs w:val="22"/>
              </w:rPr>
              <w:t>Under consideration</w:t>
            </w:r>
          </w:p>
        </w:tc>
        <w:tc>
          <w:tcPr>
            <w:tcW w:w="1940" w:type="pct"/>
          </w:tcPr>
          <w:p w14:paraId="52EBA4B5" w14:textId="2975DAF6" w:rsidR="0062162C" w:rsidRPr="004926F2" w:rsidRDefault="00D92E34" w:rsidP="0062162C">
            <w:pPr>
              <w:ind w:left="0"/>
              <w:rPr>
                <w:sz w:val="21"/>
              </w:rPr>
            </w:pPr>
            <w:r w:rsidRPr="004926F2">
              <w:rPr>
                <w:sz w:val="21"/>
                <w:szCs w:val="22"/>
              </w:rPr>
              <w:t xml:space="preserve">Under </w:t>
            </w:r>
            <w:r w:rsidR="009C6DEB" w:rsidRPr="004926F2">
              <w:rPr>
                <w:sz w:val="21"/>
                <w:szCs w:val="22"/>
              </w:rPr>
              <w:t>c</w:t>
            </w:r>
            <w:r w:rsidRPr="004926F2">
              <w:rPr>
                <w:sz w:val="21"/>
                <w:szCs w:val="22"/>
              </w:rPr>
              <w:t>onsideration</w:t>
            </w:r>
          </w:p>
        </w:tc>
      </w:tr>
    </w:tbl>
    <w:p w14:paraId="330CB9AC" w14:textId="77777777" w:rsidR="008E7846" w:rsidRDefault="008E7846" w:rsidP="00940A89">
      <w:pPr>
        <w:pStyle w:val="Heading3"/>
      </w:pPr>
      <w:bookmarkStart w:id="25" w:name="_Toc125365358"/>
      <w:r>
        <w:t>Product Information</w:t>
      </w:r>
      <w:bookmarkEnd w:id="22"/>
      <w:bookmarkEnd w:id="23"/>
      <w:bookmarkEnd w:id="25"/>
    </w:p>
    <w:p w14:paraId="0A3BC645" w14:textId="77777777" w:rsidR="00332715" w:rsidRDefault="00332715" w:rsidP="00332715">
      <w:bookmarkStart w:id="26" w:name="_Toc504480011"/>
      <w:bookmarkStart w:id="27" w:name="_Toc247691506"/>
      <w:bookmarkStart w:id="28" w:name="_Toc314842487"/>
      <w:r>
        <w:t xml:space="preserve">The Product Information (PI) approved with the submission which is described in this </w:t>
      </w:r>
      <w:proofErr w:type="spellStart"/>
      <w:r>
        <w:t>AusPAR</w:t>
      </w:r>
      <w:proofErr w:type="spellEnd"/>
      <w:r>
        <w:t xml:space="preserve"> can be found as Attachment 1. For the most recent PI, please refer to the TGA </w:t>
      </w:r>
      <w:hyperlink r:id="rId18" w:history="1">
        <w:r>
          <w:rPr>
            <w:rStyle w:val="Hyperlink"/>
          </w:rPr>
          <w:t>PI/CMI search facility</w:t>
        </w:r>
        <w:r w:rsidRPr="009556D7">
          <w:rPr>
            <w:rStyle w:val="Hyperlink"/>
            <w:color w:val="auto"/>
            <w:u w:val="none"/>
          </w:rPr>
          <w:t>.</w:t>
        </w:r>
      </w:hyperlink>
    </w:p>
    <w:p w14:paraId="4163A651" w14:textId="77777777" w:rsidR="00500337" w:rsidRDefault="00500337" w:rsidP="00500337">
      <w:pPr>
        <w:pStyle w:val="Heading2"/>
      </w:pPr>
      <w:bookmarkStart w:id="29" w:name="_Toc125365359"/>
      <w:r>
        <w:t>Registration timeline</w:t>
      </w:r>
      <w:bookmarkEnd w:id="26"/>
      <w:bookmarkEnd w:id="29"/>
    </w:p>
    <w:p w14:paraId="7074AA94" w14:textId="6D9CF720" w:rsidR="0074163C" w:rsidRPr="00B03ACE" w:rsidRDefault="0074163C" w:rsidP="0074163C">
      <w:r w:rsidRPr="00C93EC1">
        <w:t xml:space="preserve">The following table captures the key steps and dates for this </w:t>
      </w:r>
      <w:r w:rsidR="00804D99">
        <w:t>submission</w:t>
      </w:r>
      <w:r w:rsidRPr="00C93EC1">
        <w:t>.</w:t>
      </w:r>
    </w:p>
    <w:p w14:paraId="7363C798" w14:textId="3A948DEA" w:rsidR="0074163C" w:rsidRPr="00B03ACE" w:rsidRDefault="0074163C" w:rsidP="00B03ACE">
      <w:pPr>
        <w:pStyle w:val="TableTitle"/>
      </w:pPr>
      <w:r>
        <w:t xml:space="preserve">Table </w:t>
      </w:r>
      <w:fldSimple w:instr=" SEQ Table \* ARABIC ">
        <w:r w:rsidR="009C353F">
          <w:rPr>
            <w:noProof/>
          </w:rPr>
          <w:t>3</w:t>
        </w:r>
      </w:fldSimple>
      <w:r>
        <w:t>:</w:t>
      </w:r>
      <w:r w:rsidRPr="006A58A8">
        <w:t xml:space="preserve"> Timeline for </w:t>
      </w:r>
      <w:r w:rsidR="00B40C00">
        <w:t>s</w:t>
      </w:r>
      <w:r w:rsidRPr="006A58A8">
        <w:t xml:space="preserve">ubmission </w:t>
      </w:r>
      <w:r w:rsidR="00B03ACE" w:rsidRPr="00B03ACE">
        <w:t>PM-2020-06238-1-2</w:t>
      </w:r>
    </w:p>
    <w:tbl>
      <w:tblPr>
        <w:tblStyle w:val="TableTGAblue"/>
        <w:tblW w:w="0" w:type="auto"/>
        <w:tblLook w:val="04A0" w:firstRow="1" w:lastRow="0" w:firstColumn="1" w:lastColumn="0" w:noHBand="0" w:noVBand="1"/>
      </w:tblPr>
      <w:tblGrid>
        <w:gridCol w:w="4256"/>
        <w:gridCol w:w="4103"/>
      </w:tblGrid>
      <w:tr w:rsidR="0074163C" w14:paraId="35E62CC6" w14:textId="77777777" w:rsidTr="008575F3">
        <w:trPr>
          <w:cnfStyle w:val="100000000000" w:firstRow="1" w:lastRow="0" w:firstColumn="0" w:lastColumn="0" w:oddVBand="0" w:evenVBand="0" w:oddHBand="0" w:evenHBand="0" w:firstRowFirstColumn="0" w:firstRowLastColumn="0" w:lastRowFirstColumn="0" w:lastRowLastColumn="0"/>
        </w:trPr>
        <w:tc>
          <w:tcPr>
            <w:tcW w:w="4256" w:type="dxa"/>
            <w:tcBorders>
              <w:top w:val="single" w:sz="4" w:space="0" w:color="auto"/>
              <w:left w:val="single" w:sz="4" w:space="0" w:color="auto"/>
              <w:bottom w:val="single" w:sz="4" w:space="0" w:color="auto"/>
              <w:right w:val="single" w:sz="4" w:space="0" w:color="auto"/>
            </w:tcBorders>
          </w:tcPr>
          <w:p w14:paraId="55ED1857" w14:textId="77777777" w:rsidR="0074163C" w:rsidRDefault="0074163C" w:rsidP="009E5A87">
            <w:r>
              <w:t>Description</w:t>
            </w:r>
          </w:p>
        </w:tc>
        <w:tc>
          <w:tcPr>
            <w:tcW w:w="4103" w:type="dxa"/>
            <w:tcBorders>
              <w:top w:val="single" w:sz="4" w:space="0" w:color="auto"/>
              <w:left w:val="single" w:sz="4" w:space="0" w:color="auto"/>
              <w:bottom w:val="single" w:sz="4" w:space="0" w:color="auto"/>
              <w:right w:val="single" w:sz="4" w:space="0" w:color="auto"/>
            </w:tcBorders>
          </w:tcPr>
          <w:p w14:paraId="03CBA0D8" w14:textId="77777777" w:rsidR="0074163C" w:rsidRDefault="0074163C" w:rsidP="008575F3">
            <w:pPr>
              <w:tabs>
                <w:tab w:val="left" w:pos="3852"/>
              </w:tabs>
            </w:pPr>
            <w:r>
              <w:t>Date</w:t>
            </w:r>
          </w:p>
        </w:tc>
      </w:tr>
      <w:tr w:rsidR="0074163C" w14:paraId="5995A756" w14:textId="77777777" w:rsidTr="008575F3">
        <w:tc>
          <w:tcPr>
            <w:tcW w:w="4256" w:type="dxa"/>
            <w:tcBorders>
              <w:top w:val="single" w:sz="4" w:space="0" w:color="auto"/>
            </w:tcBorders>
          </w:tcPr>
          <w:p w14:paraId="5A508B82" w14:textId="77777777" w:rsidR="0074163C" w:rsidRDefault="0074163C" w:rsidP="009E5A87">
            <w:r>
              <w:t>Submission dossier accepted and first round evaluation commenced</w:t>
            </w:r>
          </w:p>
        </w:tc>
        <w:tc>
          <w:tcPr>
            <w:tcW w:w="4103" w:type="dxa"/>
            <w:tcBorders>
              <w:top w:val="single" w:sz="4" w:space="0" w:color="auto"/>
            </w:tcBorders>
          </w:tcPr>
          <w:p w14:paraId="5F04E36D" w14:textId="74B67F18" w:rsidR="0074163C" w:rsidRDefault="00B03ACE" w:rsidP="009E5A87">
            <w:r>
              <w:t>31 March 2021</w:t>
            </w:r>
          </w:p>
        </w:tc>
      </w:tr>
      <w:tr w:rsidR="0074163C" w14:paraId="1604BE39" w14:textId="77777777" w:rsidTr="008575F3">
        <w:tc>
          <w:tcPr>
            <w:tcW w:w="4256" w:type="dxa"/>
          </w:tcPr>
          <w:p w14:paraId="5D4166CE" w14:textId="77777777" w:rsidR="0074163C" w:rsidRDefault="0074163C" w:rsidP="009E5A87">
            <w:r>
              <w:t>First round evaluation completed</w:t>
            </w:r>
          </w:p>
        </w:tc>
        <w:tc>
          <w:tcPr>
            <w:tcW w:w="4103" w:type="dxa"/>
          </w:tcPr>
          <w:p w14:paraId="3111E180" w14:textId="2F6F949A" w:rsidR="0074163C" w:rsidRDefault="00B03ACE" w:rsidP="009E5A87">
            <w:r>
              <w:t>31 August 2021</w:t>
            </w:r>
          </w:p>
        </w:tc>
      </w:tr>
      <w:tr w:rsidR="0074163C" w14:paraId="7FD44B08" w14:textId="77777777" w:rsidTr="008575F3">
        <w:tc>
          <w:tcPr>
            <w:tcW w:w="4256" w:type="dxa"/>
          </w:tcPr>
          <w:p w14:paraId="4F025890" w14:textId="77777777" w:rsidR="0074163C" w:rsidRDefault="0074163C" w:rsidP="009E5A87">
            <w:r>
              <w:t>Sponsor provides responses on questions raised in first round evaluation</w:t>
            </w:r>
          </w:p>
        </w:tc>
        <w:tc>
          <w:tcPr>
            <w:tcW w:w="4103" w:type="dxa"/>
          </w:tcPr>
          <w:p w14:paraId="280C6D92" w14:textId="7761A8EF" w:rsidR="0074163C" w:rsidRDefault="00B03ACE" w:rsidP="009E5A87">
            <w:r>
              <w:t>28 October 2021</w:t>
            </w:r>
          </w:p>
        </w:tc>
      </w:tr>
      <w:tr w:rsidR="0074163C" w14:paraId="6020AF11" w14:textId="77777777" w:rsidTr="008575F3">
        <w:tc>
          <w:tcPr>
            <w:tcW w:w="4256" w:type="dxa"/>
          </w:tcPr>
          <w:p w14:paraId="0E4F7FAD" w14:textId="77777777" w:rsidR="0074163C" w:rsidRDefault="0074163C" w:rsidP="009E5A87">
            <w:r>
              <w:t>Second round evaluation completed</w:t>
            </w:r>
          </w:p>
        </w:tc>
        <w:tc>
          <w:tcPr>
            <w:tcW w:w="4103" w:type="dxa"/>
          </w:tcPr>
          <w:p w14:paraId="1AE1B670" w14:textId="01192787" w:rsidR="0074163C" w:rsidRDefault="00B03ACE" w:rsidP="009E5A87">
            <w:r>
              <w:t>26 May 2022</w:t>
            </w:r>
          </w:p>
        </w:tc>
      </w:tr>
      <w:tr w:rsidR="0074163C" w14:paraId="500A76FE" w14:textId="77777777" w:rsidTr="008575F3">
        <w:tc>
          <w:tcPr>
            <w:tcW w:w="4256" w:type="dxa"/>
          </w:tcPr>
          <w:p w14:paraId="60E90AD9" w14:textId="3D0E0F07" w:rsidR="0074163C" w:rsidRDefault="0074163C" w:rsidP="009E5A87">
            <w:r>
              <w:t xml:space="preserve">Delegate’s Overall benefit-risk assessment </w:t>
            </w:r>
          </w:p>
        </w:tc>
        <w:tc>
          <w:tcPr>
            <w:tcW w:w="4103" w:type="dxa"/>
          </w:tcPr>
          <w:p w14:paraId="67520158" w14:textId="615C8630" w:rsidR="0074163C" w:rsidRDefault="00B03ACE" w:rsidP="009E5A87">
            <w:r>
              <w:t>15 February 2022</w:t>
            </w:r>
          </w:p>
        </w:tc>
      </w:tr>
      <w:tr w:rsidR="0074163C" w14:paraId="4ED6F670" w14:textId="77777777" w:rsidTr="008575F3">
        <w:tc>
          <w:tcPr>
            <w:tcW w:w="4256" w:type="dxa"/>
          </w:tcPr>
          <w:p w14:paraId="043E64C8" w14:textId="77777777" w:rsidR="0074163C" w:rsidRDefault="0074163C" w:rsidP="009E5A87">
            <w:r>
              <w:t>Registration decision (Outcome)</w:t>
            </w:r>
          </w:p>
        </w:tc>
        <w:tc>
          <w:tcPr>
            <w:tcW w:w="4103" w:type="dxa"/>
          </w:tcPr>
          <w:p w14:paraId="68ACF8F0" w14:textId="4389CDB0" w:rsidR="0074163C" w:rsidRDefault="00B03ACE" w:rsidP="009E5A87">
            <w:r>
              <w:t>22 June 2022</w:t>
            </w:r>
          </w:p>
        </w:tc>
      </w:tr>
      <w:tr w:rsidR="0074163C" w14:paraId="798E5507" w14:textId="77777777" w:rsidTr="008575F3">
        <w:tc>
          <w:tcPr>
            <w:tcW w:w="4256" w:type="dxa"/>
          </w:tcPr>
          <w:p w14:paraId="27B90C11" w14:textId="77777777" w:rsidR="0074163C" w:rsidRDefault="0074163C" w:rsidP="009E5A87">
            <w:r w:rsidRPr="005A79F5">
              <w:t>Completion of administrative activities and registration on the ARTG</w:t>
            </w:r>
          </w:p>
        </w:tc>
        <w:tc>
          <w:tcPr>
            <w:tcW w:w="4103" w:type="dxa"/>
          </w:tcPr>
          <w:p w14:paraId="0110B8CE" w14:textId="04D69233" w:rsidR="0074163C" w:rsidRDefault="00B03ACE" w:rsidP="009E5A87">
            <w:r>
              <w:t>30 June 2022</w:t>
            </w:r>
          </w:p>
        </w:tc>
      </w:tr>
      <w:tr w:rsidR="0074163C" w14:paraId="320581A9" w14:textId="77777777" w:rsidTr="008575F3">
        <w:tc>
          <w:tcPr>
            <w:tcW w:w="4256" w:type="dxa"/>
          </w:tcPr>
          <w:p w14:paraId="6460F576" w14:textId="77777777" w:rsidR="0074163C" w:rsidRDefault="0074163C" w:rsidP="009E5A87">
            <w:r>
              <w:t>Number of working days from submission dossier acceptance to registration decision*</w:t>
            </w:r>
          </w:p>
        </w:tc>
        <w:tc>
          <w:tcPr>
            <w:tcW w:w="4103" w:type="dxa"/>
          </w:tcPr>
          <w:p w14:paraId="76B5A846" w14:textId="6F4799B9" w:rsidR="0074163C" w:rsidRDefault="00B03ACE" w:rsidP="009E5A87">
            <w:r>
              <w:t>143</w:t>
            </w:r>
          </w:p>
        </w:tc>
      </w:tr>
    </w:tbl>
    <w:p w14:paraId="184C1088" w14:textId="77777777" w:rsidR="0074163C" w:rsidRDefault="0074163C" w:rsidP="0074163C">
      <w:pPr>
        <w:pStyle w:val="TableDescription"/>
      </w:pPr>
      <w:r>
        <w:t>*</w:t>
      </w:r>
      <w:r w:rsidRPr="00BF3774">
        <w:t xml:space="preserve">Statutory </w:t>
      </w:r>
      <w:r>
        <w:t xml:space="preserve">timeframe for standard </w:t>
      </w:r>
      <w:r w:rsidR="00BB0B78">
        <w:t>submission</w:t>
      </w:r>
      <w:r>
        <w:t>s is 255 working days</w:t>
      </w:r>
    </w:p>
    <w:p w14:paraId="7C9BCA1C" w14:textId="77777777" w:rsidR="008E7846" w:rsidRPr="00792A32" w:rsidRDefault="00006FAB" w:rsidP="008E7846">
      <w:pPr>
        <w:pStyle w:val="Heading2"/>
      </w:pPr>
      <w:bookmarkStart w:id="30" w:name="_Toc196046504"/>
      <w:bookmarkStart w:id="31" w:name="_Toc247691527"/>
      <w:bookmarkStart w:id="32" w:name="_Toc314842510"/>
      <w:bookmarkStart w:id="33" w:name="_Toc125365360"/>
      <w:bookmarkStart w:id="34" w:name="_Toc163441390"/>
      <w:bookmarkEnd w:id="27"/>
      <w:bookmarkEnd w:id="28"/>
      <w:bookmarkEnd w:id="1"/>
      <w:r w:rsidRPr="00006FAB">
        <w:lastRenderedPageBreak/>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0"/>
      <w:bookmarkEnd w:id="31"/>
      <w:bookmarkEnd w:id="32"/>
      <w:bookmarkEnd w:id="33"/>
    </w:p>
    <w:p w14:paraId="7FA5993E" w14:textId="77777777" w:rsidR="005A79F5" w:rsidRDefault="005A79F5" w:rsidP="0074163C">
      <w:pPr>
        <w:pStyle w:val="Instructions"/>
        <w:rPr>
          <w:i w:val="0"/>
          <w:color w:val="auto"/>
        </w:rPr>
      </w:pPr>
      <w:bookmarkStart w:id="35" w:name="_Toc247691528"/>
      <w:bookmarkStart w:id="36" w:name="_Toc314842511"/>
      <w:r w:rsidRPr="005A79F5">
        <w:rPr>
          <w:i w:val="0"/>
          <w:color w:val="auto"/>
        </w:rPr>
        <w:t>A summary of the TGA’s assessment for this submission is provided below</w:t>
      </w:r>
      <w:r>
        <w:rPr>
          <w:i w:val="0"/>
          <w:color w:val="auto"/>
        </w:rPr>
        <w:t>.</w:t>
      </w:r>
    </w:p>
    <w:p w14:paraId="25473284" w14:textId="3742DD51" w:rsidR="00B40C00" w:rsidRPr="00B40C00" w:rsidRDefault="00B40C00" w:rsidP="00B40C00">
      <w:r w:rsidRPr="008E3FD6">
        <w:t>Relevant guideline</w:t>
      </w:r>
      <w:r w:rsidR="006F347D">
        <w:t>s</w:t>
      </w:r>
      <w:r w:rsidRPr="008E3FD6">
        <w:t xml:space="preserve"> or guidance document</w:t>
      </w:r>
      <w:r w:rsidR="006F347D">
        <w:t>s</w:t>
      </w:r>
      <w:r w:rsidRPr="008E3FD6">
        <w:t xml:space="preserve"> referred to by the Delegate </w:t>
      </w:r>
      <w:r w:rsidR="006F347D">
        <w:t xml:space="preserve">are </w:t>
      </w:r>
      <w:r>
        <w:t>given below:</w:t>
      </w:r>
    </w:p>
    <w:p w14:paraId="1F4CA435" w14:textId="3584CEB2" w:rsidR="00B40C00" w:rsidRDefault="00B40C00" w:rsidP="00B40C00">
      <w:pPr>
        <w:pStyle w:val="ListBullet"/>
      </w:pPr>
      <w:r w:rsidRPr="00B40C00">
        <w:t>European Medicines Agency (EMA), Committee for Medicinal Products for Human Use (CHMP),</w:t>
      </w:r>
      <w:r>
        <w:t xml:space="preserve"> Guideline on the clinical investigation of human normal immunoglobulin for subcutaneous and/or intramuscular administration (SCIg/</w:t>
      </w:r>
      <w:proofErr w:type="spellStart"/>
      <w:r>
        <w:t>IMIg</w:t>
      </w:r>
      <w:proofErr w:type="spellEnd"/>
      <w:r>
        <w:t>), EMA/CHMP</w:t>
      </w:r>
      <w:r w:rsidRPr="00B40C00">
        <w:t>/BPWP/410415/2011 rev 1</w:t>
      </w:r>
      <w:r>
        <w:t>, 1 February 2016.</w:t>
      </w:r>
      <w:bookmarkStart w:id="37" w:name="_Ref119064310"/>
      <w:r w:rsidR="009B31D5">
        <w:rPr>
          <w:rStyle w:val="FootnoteReference"/>
        </w:rPr>
        <w:footnoteReference w:id="7"/>
      </w:r>
      <w:bookmarkEnd w:id="37"/>
    </w:p>
    <w:p w14:paraId="52B02430" w14:textId="77777777" w:rsidR="008E7846" w:rsidRDefault="008E7846" w:rsidP="008E7846">
      <w:pPr>
        <w:pStyle w:val="Heading3"/>
      </w:pPr>
      <w:bookmarkStart w:id="38" w:name="_Toc125365361"/>
      <w:r>
        <w:t>Quality</w:t>
      </w:r>
      <w:bookmarkEnd w:id="35"/>
      <w:bookmarkEnd w:id="36"/>
      <w:bookmarkEnd w:id="38"/>
    </w:p>
    <w:p w14:paraId="099DB301" w14:textId="1E57826E" w:rsidR="009C6BD3" w:rsidRDefault="009C6BD3" w:rsidP="009C6BD3">
      <w:r w:rsidRPr="004B5766">
        <w:t xml:space="preserve">The drug substance (sterile filling bulk prior to aseptic filling) is immunoglobulin (primarily </w:t>
      </w:r>
      <w:r w:rsidR="00881DDF">
        <w:t xml:space="preserve">immunoglobulin </w:t>
      </w:r>
      <w:r w:rsidRPr="004B5766">
        <w:t>G) that has been purified from human plasma via a multi</w:t>
      </w:r>
      <w:r w:rsidR="00D92E34">
        <w:t>-</w:t>
      </w:r>
      <w:r w:rsidRPr="004B5766">
        <w:t xml:space="preserve">step process. The </w:t>
      </w:r>
      <w:r w:rsidR="00B40C00">
        <w:t>drug product</w:t>
      </w:r>
      <w:r w:rsidRPr="004B5766">
        <w:t xml:space="preserve"> is formulated to contain 18 to 22% protein, 10 to 40</w:t>
      </w:r>
      <w:r w:rsidR="00D92E34">
        <w:t> </w:t>
      </w:r>
      <w:r w:rsidRPr="004B5766">
        <w:t>µg/mL of Polysorbate 80, 0.16 to 0.26 M of glycine</w:t>
      </w:r>
      <w:r w:rsidR="00881DDF">
        <w:t>.</w:t>
      </w:r>
    </w:p>
    <w:p w14:paraId="0808DD7A" w14:textId="7383032C" w:rsidR="00170B8D" w:rsidRPr="00170B8D" w:rsidRDefault="009C6BD3" w:rsidP="00170B8D">
      <w:r w:rsidRPr="004B5766">
        <w:t xml:space="preserve">The active principle, immunoglobulin G, is a glycoprotein of approximately 150 </w:t>
      </w:r>
      <w:proofErr w:type="spellStart"/>
      <w:r w:rsidRPr="004B5766">
        <w:t>kD</w:t>
      </w:r>
      <w:proofErr w:type="spellEnd"/>
      <w:r w:rsidRPr="004B5766">
        <w:t xml:space="preserve"> in molecular weight, consisting of four </w:t>
      </w:r>
      <w:proofErr w:type="spellStart"/>
      <w:r w:rsidRPr="004B5766">
        <w:t>disulfide</w:t>
      </w:r>
      <w:proofErr w:type="spellEnd"/>
      <w:r w:rsidR="007B6692">
        <w:t xml:space="preserve"> </w:t>
      </w:r>
      <w:r w:rsidRPr="004B5766">
        <w:t xml:space="preserve">linked polypeptide chains: two light chains of 25 </w:t>
      </w:r>
      <w:proofErr w:type="spellStart"/>
      <w:r w:rsidRPr="004B5766">
        <w:t>kD</w:t>
      </w:r>
      <w:proofErr w:type="spellEnd"/>
      <w:r w:rsidRPr="004B5766">
        <w:t xml:space="preserve"> and two heavy chains of 55 </w:t>
      </w:r>
      <w:proofErr w:type="spellStart"/>
      <w:r w:rsidRPr="004B5766">
        <w:t>kD</w:t>
      </w:r>
      <w:proofErr w:type="spellEnd"/>
      <w:r w:rsidRPr="004B5766">
        <w:t xml:space="preserve">. </w:t>
      </w:r>
      <w:proofErr w:type="spellStart"/>
      <w:r w:rsidRPr="004B5766">
        <w:t>Disulfide</w:t>
      </w:r>
      <w:proofErr w:type="spellEnd"/>
      <w:r w:rsidRPr="004B5766">
        <w:t xml:space="preserve"> linkage of the amino terminal portions of each pair of light and heavy chain forms an antigen binding site, resulting in two such sites per molecule. The carboxyl terminal portions of the heavy chains are likewise </w:t>
      </w:r>
      <w:proofErr w:type="spellStart"/>
      <w:r w:rsidRPr="004B5766">
        <w:t>disulfide</w:t>
      </w:r>
      <w:proofErr w:type="spellEnd"/>
      <w:r w:rsidR="007B6692">
        <w:t xml:space="preserve"> </w:t>
      </w:r>
      <w:r w:rsidRPr="004B5766">
        <w:t>linked, forming the carbohydrate</w:t>
      </w:r>
      <w:r w:rsidR="007B6692">
        <w:t xml:space="preserve"> </w:t>
      </w:r>
      <w:r w:rsidRPr="004B5766">
        <w:t xml:space="preserve">bearing </w:t>
      </w:r>
      <w:r w:rsidR="00D92E34" w:rsidRPr="00D92E34">
        <w:t>fragment crystalli</w:t>
      </w:r>
      <w:r w:rsidR="00D92E34">
        <w:t>s</w:t>
      </w:r>
      <w:r w:rsidR="00D92E34" w:rsidRPr="00D92E34">
        <w:t>able region</w:t>
      </w:r>
      <w:r w:rsidR="00D92E34">
        <w:t xml:space="preserve"> (</w:t>
      </w:r>
      <w:r w:rsidRPr="004B5766">
        <w:t>Fc</w:t>
      </w:r>
      <w:r w:rsidR="00D92E34">
        <w:t>)</w:t>
      </w:r>
      <w:r w:rsidRPr="004B5766">
        <w:t xml:space="preserve"> portion of the molecule that can interact with complement, and for which various phagocytes and B lymphocytes bear receptors. The three resulting domains of the protein are arranged in the shape of a </w:t>
      </w:r>
      <w:r w:rsidR="00AE38C3">
        <w:t>‘</w:t>
      </w:r>
      <w:r w:rsidRPr="004B5766">
        <w:t>Y</w:t>
      </w:r>
      <w:r w:rsidR="00AE38C3">
        <w:t>’</w:t>
      </w:r>
      <w:r w:rsidRPr="004B5766">
        <w:t>. The amino terminal portions of all four chains in I</w:t>
      </w:r>
      <w:r w:rsidR="00881DDF">
        <w:t xml:space="preserve">mmunoglobulin </w:t>
      </w:r>
      <w:r w:rsidRPr="004B5766">
        <w:t xml:space="preserve">G contain regions with variable amino acid sequences, responsible for conferring the broad specificity of a population of antibody molecules against diverse antigens. In addition, </w:t>
      </w:r>
      <w:r w:rsidR="00881DDF">
        <w:t xml:space="preserve">immunoglobulin </w:t>
      </w:r>
      <w:r w:rsidRPr="004B5766">
        <w:t>G light and heavy chains contain alternate constant regions which divide the antibody population into four distinct subclasses:</w:t>
      </w:r>
      <w:r w:rsidR="00881DDF">
        <w:t xml:space="preserve"> immunoglobulin </w:t>
      </w:r>
      <w:r w:rsidRPr="004B5766">
        <w:t xml:space="preserve">G1, </w:t>
      </w:r>
      <w:r w:rsidR="00881DDF">
        <w:t xml:space="preserve">immunoglobulin </w:t>
      </w:r>
      <w:r w:rsidRPr="004B5766">
        <w:t xml:space="preserve">G2, </w:t>
      </w:r>
      <w:r w:rsidR="00881DDF">
        <w:t xml:space="preserve">immunoglobulin </w:t>
      </w:r>
      <w:r w:rsidRPr="004B5766">
        <w:t xml:space="preserve">G3 and </w:t>
      </w:r>
      <w:r w:rsidR="00881DDF">
        <w:t xml:space="preserve">immunoglobulin </w:t>
      </w:r>
      <w:r w:rsidRPr="004B5766">
        <w:t>G4.</w:t>
      </w:r>
    </w:p>
    <w:p w14:paraId="7945C192" w14:textId="18498387" w:rsidR="00233E13" w:rsidRPr="004B5766" w:rsidRDefault="00233E13" w:rsidP="004B5766">
      <w:r w:rsidRPr="004B5766">
        <w:t xml:space="preserve">The </w:t>
      </w:r>
      <w:r w:rsidR="00881DDF">
        <w:t>subcutaneous immunoglobulin</w:t>
      </w:r>
      <w:r w:rsidRPr="004B5766">
        <w:t xml:space="preserve"> 20% is supplied in glass vials and available in</w:t>
      </w:r>
      <w:r w:rsidR="004B5766">
        <w:t xml:space="preserve"> 5 mL</w:t>
      </w:r>
      <w:r w:rsidRPr="004B5766">
        <w:t xml:space="preserve">, </w:t>
      </w:r>
      <w:r w:rsidR="004B5766">
        <w:t>10</w:t>
      </w:r>
      <w:r w:rsidR="00AE38C3">
        <w:t> </w:t>
      </w:r>
      <w:r w:rsidR="004B5766">
        <w:t>mL</w:t>
      </w:r>
      <w:r w:rsidRPr="004B5766">
        <w:t xml:space="preserve">, </w:t>
      </w:r>
      <w:r w:rsidR="004B5766">
        <w:t xml:space="preserve">20 mL </w:t>
      </w:r>
      <w:r w:rsidRPr="004B5766">
        <w:t xml:space="preserve">and </w:t>
      </w:r>
      <w:r w:rsidR="004B5766">
        <w:t>50</w:t>
      </w:r>
      <w:r w:rsidRPr="004B5766">
        <w:t xml:space="preserve"> mL volumes with </w:t>
      </w:r>
      <w:r w:rsidR="004B5766">
        <w:t xml:space="preserve">20 mm </w:t>
      </w:r>
      <w:r w:rsidRPr="004B5766">
        <w:t xml:space="preserve">and </w:t>
      </w:r>
      <w:r w:rsidR="004B5766">
        <w:t xml:space="preserve">32 mm </w:t>
      </w:r>
      <w:r w:rsidRPr="004B5766">
        <w:t>gr</w:t>
      </w:r>
      <w:r w:rsidR="007B6692">
        <w:t>e</w:t>
      </w:r>
      <w:r w:rsidRPr="004B5766">
        <w:t xml:space="preserve">y </w:t>
      </w:r>
      <w:proofErr w:type="spellStart"/>
      <w:r w:rsidRPr="004B5766">
        <w:t>chlorobutyl</w:t>
      </w:r>
      <w:proofErr w:type="spellEnd"/>
      <w:r w:rsidRPr="004B5766">
        <w:t xml:space="preserve"> stopper laminated with 20 mm and 32 mm lacquered aluminium </w:t>
      </w:r>
      <w:proofErr w:type="spellStart"/>
      <w:r w:rsidRPr="004B5766">
        <w:t>overseal</w:t>
      </w:r>
      <w:proofErr w:type="spellEnd"/>
      <w:r w:rsidRPr="004B5766">
        <w:t xml:space="preserve"> with plastic flip</w:t>
      </w:r>
      <w:r w:rsidR="009C6DEB">
        <w:t xml:space="preserve"> </w:t>
      </w:r>
      <w:r w:rsidRPr="004B5766">
        <w:t>cap.</w:t>
      </w:r>
    </w:p>
    <w:p w14:paraId="278DEEF2" w14:textId="2ECD3FCE" w:rsidR="00A678A3" w:rsidRDefault="00A678A3" w:rsidP="004B5766">
      <w:r w:rsidRPr="004B5766">
        <w:t>The proposed shelf</w:t>
      </w:r>
      <w:r w:rsidR="007B6692">
        <w:t xml:space="preserve"> </w:t>
      </w:r>
      <w:r w:rsidRPr="004B5766">
        <w:t xml:space="preserve">life for </w:t>
      </w:r>
      <w:r w:rsidR="00881DDF">
        <w:t>subcutaneous immunoglobulin</w:t>
      </w:r>
      <w:r w:rsidRPr="004B5766">
        <w:t xml:space="preserve"> 20% is 36 months when stored at 2 to 8</w:t>
      </w:r>
      <w:r w:rsidR="00881DDF">
        <w:t xml:space="preserve"> </w:t>
      </w:r>
      <w:r w:rsidRPr="004B5766">
        <w:t>°C. The sponsor also proposes that the product may be stored at temperatures not exceeding 25</w:t>
      </w:r>
      <w:r w:rsidR="00881DDF">
        <w:t xml:space="preserve"> </w:t>
      </w:r>
      <w:r w:rsidRPr="004B5766">
        <w:t xml:space="preserve">°C for up to </w:t>
      </w:r>
      <w:r w:rsidR="00D60705">
        <w:t>six</w:t>
      </w:r>
      <w:r w:rsidRPr="004B5766">
        <w:t xml:space="preserve"> months anytime during the </w:t>
      </w:r>
      <w:proofErr w:type="gramStart"/>
      <w:r w:rsidRPr="004B5766">
        <w:t>36 month</w:t>
      </w:r>
      <w:proofErr w:type="gramEnd"/>
      <w:r w:rsidRPr="004B5766">
        <w:t xml:space="preserve"> shelf</w:t>
      </w:r>
      <w:r w:rsidR="007B6692">
        <w:t xml:space="preserve"> </w:t>
      </w:r>
      <w:r w:rsidRPr="004B5766">
        <w:t>life and after that the product should be immediately used or discarded. Freezing should be avoided.</w:t>
      </w:r>
    </w:p>
    <w:p w14:paraId="13158367" w14:textId="21326D90" w:rsidR="00516990" w:rsidRPr="004B5766" w:rsidRDefault="00516990" w:rsidP="004926F2">
      <w:pPr>
        <w:pStyle w:val="Heading4"/>
      </w:pPr>
      <w:r>
        <w:t>Conclusion</w:t>
      </w:r>
    </w:p>
    <w:p w14:paraId="61D412C1" w14:textId="35622DAB" w:rsidR="006D57CA" w:rsidRPr="004B5766" w:rsidRDefault="00A678A3" w:rsidP="004B5766">
      <w:r w:rsidRPr="004B5766">
        <w:t>There are no objections on quality grounds to the registration of X</w:t>
      </w:r>
      <w:r w:rsidR="004B5766">
        <w:t>embify</w:t>
      </w:r>
      <w:r w:rsidRPr="004B5766">
        <w:t xml:space="preserve"> normal immunoglobulin (</w:t>
      </w:r>
      <w:r w:rsidR="007B6692">
        <w:t>h</w:t>
      </w:r>
      <w:r w:rsidRPr="004B5766">
        <w:t>uman) 20% solution for subcutaneous injection</w:t>
      </w:r>
      <w:r w:rsidR="004059B6" w:rsidRPr="004B5766">
        <w:t>.</w:t>
      </w:r>
    </w:p>
    <w:p w14:paraId="06041754" w14:textId="67AE4530" w:rsidR="008E7846" w:rsidRDefault="008E7846" w:rsidP="008E7846">
      <w:pPr>
        <w:pStyle w:val="Heading3"/>
      </w:pPr>
      <w:bookmarkStart w:id="39" w:name="_Toc314842512"/>
      <w:bookmarkStart w:id="40" w:name="_Toc125365362"/>
      <w:r>
        <w:t>Nonclinical</w:t>
      </w:r>
      <w:bookmarkEnd w:id="39"/>
      <w:bookmarkEnd w:id="40"/>
    </w:p>
    <w:p w14:paraId="4B395F8B" w14:textId="7B26E3DD" w:rsidR="004059B6" w:rsidRPr="0061366E" w:rsidRDefault="004059B6" w:rsidP="0061366E">
      <w:r w:rsidRPr="0061366E">
        <w:t>The nonclinical dossier was satisfactory. Safety</w:t>
      </w:r>
      <w:r w:rsidR="00891E13">
        <w:t xml:space="preserve"> </w:t>
      </w:r>
      <w:r w:rsidRPr="0061366E">
        <w:t xml:space="preserve">related studies were </w:t>
      </w:r>
      <w:r w:rsidR="007B6692">
        <w:t>Good Laboratory Practice (</w:t>
      </w:r>
      <w:r w:rsidRPr="007B6692">
        <w:t>GLP</w:t>
      </w:r>
      <w:r w:rsidR="007B6692">
        <w:t>)</w:t>
      </w:r>
      <w:r w:rsidRPr="0061366E">
        <w:t xml:space="preserve"> compliant. While nonclinical studies with X</w:t>
      </w:r>
      <w:r w:rsidR="004B5766" w:rsidRPr="0061366E">
        <w:t>embify</w:t>
      </w:r>
      <w:r w:rsidRPr="0061366E">
        <w:t xml:space="preserve"> were limited, it was </w:t>
      </w:r>
      <w:r w:rsidRPr="0061366E">
        <w:lastRenderedPageBreak/>
        <w:t>justified due to the immunogenicity of human immunoglobulins administered to non-human species.</w:t>
      </w:r>
    </w:p>
    <w:p w14:paraId="73133A40" w14:textId="387A1BAB" w:rsidR="004059B6" w:rsidRPr="0061366E" w:rsidRDefault="004059B6" w:rsidP="0061366E">
      <w:r w:rsidRPr="0061366E">
        <w:t xml:space="preserve">Primary pharmacology studies were conducted with the currently market authorised </w:t>
      </w:r>
      <w:proofErr w:type="spellStart"/>
      <w:r w:rsidRPr="0061366E">
        <w:t>Gamunex</w:t>
      </w:r>
      <w:proofErr w:type="spellEnd"/>
      <w:r w:rsidRPr="0061366E">
        <w:t xml:space="preserve"> (</w:t>
      </w:r>
      <w:r w:rsidR="00F91070">
        <w:t>intravenous immunoglobulin</w:t>
      </w:r>
      <w:r w:rsidRPr="0061366E">
        <w:t xml:space="preserve"> 10%)</w:t>
      </w:r>
      <w:r w:rsidR="00516990">
        <w:t>;</w:t>
      </w:r>
      <w:bookmarkStart w:id="41" w:name="_Ref124847618"/>
      <w:r w:rsidR="00516990">
        <w:rPr>
          <w:rStyle w:val="FootnoteReference"/>
        </w:rPr>
        <w:footnoteReference w:id="8"/>
      </w:r>
      <w:bookmarkEnd w:id="41"/>
      <w:r w:rsidRPr="0061366E">
        <w:t xml:space="preserve"> containing </w:t>
      </w:r>
      <w:proofErr w:type="gramStart"/>
      <w:r w:rsidR="00891E13">
        <w:t xml:space="preserve">two </w:t>
      </w:r>
      <w:r w:rsidRPr="0061366E">
        <w:t>fold</w:t>
      </w:r>
      <w:proofErr w:type="gramEnd"/>
      <w:r w:rsidRPr="0061366E">
        <w:t xml:space="preserve"> lower immunoglobulins. These provided evidence of bactericidal activity </w:t>
      </w:r>
      <w:r w:rsidRPr="00891E13">
        <w:rPr>
          <w:i/>
          <w:iCs/>
        </w:rPr>
        <w:t>in vitro</w:t>
      </w:r>
      <w:r w:rsidRPr="0061366E">
        <w:t xml:space="preserve"> and </w:t>
      </w:r>
      <w:r w:rsidRPr="00891E13">
        <w:rPr>
          <w:i/>
          <w:iCs/>
        </w:rPr>
        <w:t>in vivo</w:t>
      </w:r>
      <w:r w:rsidRPr="0061366E">
        <w:t>.</w:t>
      </w:r>
    </w:p>
    <w:p w14:paraId="43AE9286" w14:textId="129EE82A" w:rsidR="004059B6" w:rsidRPr="0061366E" w:rsidRDefault="004059B6" w:rsidP="0061366E">
      <w:r w:rsidRPr="0061366E">
        <w:t>Safety pharmacology studies assessed effects on the cardiovascular and respiratory systems. No remarkable adverse effects were seen on either system in ra</w:t>
      </w:r>
      <w:r w:rsidR="00F91070">
        <w:t>t</w:t>
      </w:r>
      <w:r w:rsidRPr="0061366E">
        <w:t xml:space="preserve"> (</w:t>
      </w:r>
      <w:r w:rsidR="00F91070">
        <w:t>intravenous immunoglobulin 1</w:t>
      </w:r>
      <w:r w:rsidRPr="0061366E">
        <w:t>0%, 1000 mg/kg), rabbit (</w:t>
      </w:r>
      <w:r w:rsidR="00F91070">
        <w:t xml:space="preserve">intravenous immunoglobulin </w:t>
      </w:r>
      <w:r w:rsidRPr="0061366E">
        <w:t>10%, 1000</w:t>
      </w:r>
      <w:r w:rsidR="00797942">
        <w:t> </w:t>
      </w:r>
      <w:r w:rsidRPr="0061366E">
        <w:t>mg/kg) or monkey (</w:t>
      </w:r>
      <w:r w:rsidR="00F91070">
        <w:t>intravenous immunoglobulin</w:t>
      </w:r>
      <w:r w:rsidRPr="0061366E">
        <w:t>, 2000 mg/kg) studies, which were conducted using current market authorised product (</w:t>
      </w:r>
      <w:proofErr w:type="spellStart"/>
      <w:r w:rsidRPr="0061366E">
        <w:t>Gamunex</w:t>
      </w:r>
      <w:proofErr w:type="spellEnd"/>
      <w:r w:rsidRPr="0061366E">
        <w:t>).</w:t>
      </w:r>
    </w:p>
    <w:p w14:paraId="1B380077" w14:textId="2C6E16FB" w:rsidR="004059B6" w:rsidRPr="0061366E" w:rsidRDefault="004059B6" w:rsidP="0061366E">
      <w:r w:rsidRPr="0061366E">
        <w:t xml:space="preserve">The pharmacokinetic profile in rabbits, the single species used for toxicity and local tolerance testing was qualitatively </w:t>
      </w:r>
      <w:proofErr w:type="gramStart"/>
      <w:r w:rsidRPr="0061366E">
        <w:t>similar to</w:t>
      </w:r>
      <w:proofErr w:type="gramEnd"/>
      <w:r w:rsidRPr="0061366E">
        <w:t xml:space="preserve"> that of humans with long</w:t>
      </w:r>
      <w:r w:rsidR="009A4791">
        <w:t xml:space="preserve"> </w:t>
      </w:r>
      <w:r w:rsidR="009A4791" w:rsidRPr="008A743A">
        <w:t>time to reach maximum concentration</w:t>
      </w:r>
      <w:r w:rsidRPr="0061366E">
        <w:t xml:space="preserve"> </w:t>
      </w:r>
      <w:r w:rsidR="009A4791">
        <w:t>(</w:t>
      </w:r>
      <w:proofErr w:type="spellStart"/>
      <w:r w:rsidRPr="0061366E">
        <w:t>T</w:t>
      </w:r>
      <w:r w:rsidRPr="007B6692">
        <w:rPr>
          <w:vertAlign w:val="subscript"/>
        </w:rPr>
        <w:t>max</w:t>
      </w:r>
      <w:proofErr w:type="spellEnd"/>
      <w:r w:rsidR="009A4791">
        <w:t xml:space="preserve">) </w:t>
      </w:r>
      <w:r w:rsidRPr="0061366E">
        <w:t>and</w:t>
      </w:r>
      <w:r w:rsidR="009A4791" w:rsidRPr="009A4791">
        <w:t xml:space="preserve"> </w:t>
      </w:r>
      <w:r w:rsidR="009A4791">
        <w:t>t</w:t>
      </w:r>
      <w:r w:rsidR="009A4791" w:rsidRPr="009A4791">
        <w:t>erminal phase half-life</w:t>
      </w:r>
      <w:r w:rsidR="009A4791">
        <w:t xml:space="preserve"> (</w:t>
      </w:r>
      <w:r w:rsidRPr="0061366E">
        <w:t>t</w:t>
      </w:r>
      <w:r w:rsidRPr="007B6692">
        <w:rPr>
          <w:vertAlign w:val="subscript"/>
        </w:rPr>
        <w:t>1/2</w:t>
      </w:r>
      <w:r w:rsidR="009A4791">
        <w:t>)</w:t>
      </w:r>
      <w:r w:rsidRPr="007B6692">
        <w:rPr>
          <w:vertAlign w:val="subscript"/>
        </w:rPr>
        <w:t xml:space="preserve"> </w:t>
      </w:r>
      <w:r w:rsidRPr="0061366E">
        <w:t>values.</w:t>
      </w:r>
    </w:p>
    <w:p w14:paraId="4E768A47" w14:textId="1801F32C" w:rsidR="004059B6" w:rsidRPr="0061366E" w:rsidRDefault="004059B6" w:rsidP="0061366E">
      <w:r w:rsidRPr="0061366E">
        <w:t>A repeat</w:t>
      </w:r>
      <w:r w:rsidR="00F53DB3">
        <w:t xml:space="preserve"> </w:t>
      </w:r>
      <w:r w:rsidRPr="0061366E">
        <w:t xml:space="preserve">dose toxicity study and </w:t>
      </w:r>
      <w:proofErr w:type="gramStart"/>
      <w:r w:rsidR="00F80410">
        <w:t xml:space="preserve">four </w:t>
      </w:r>
      <w:r w:rsidRPr="0061366E">
        <w:t>day</w:t>
      </w:r>
      <w:proofErr w:type="gramEnd"/>
      <w:r w:rsidRPr="0061366E">
        <w:t xml:space="preserve"> pharmacokinetic study (with some toxicological endpoints)</w:t>
      </w:r>
      <w:r w:rsidR="002E1C46">
        <w:t xml:space="preserve"> was </w:t>
      </w:r>
      <w:r w:rsidRPr="0061366E">
        <w:t>conducted in rabbits</w:t>
      </w:r>
      <w:r w:rsidR="002E1C46">
        <w:t xml:space="preserve"> </w:t>
      </w:r>
      <w:r w:rsidRPr="0061366E">
        <w:t xml:space="preserve">comparing </w:t>
      </w:r>
      <w:r w:rsidR="00F004EC">
        <w:t>intravenous immunoglobulin</w:t>
      </w:r>
      <w:r w:rsidRPr="0061366E">
        <w:t xml:space="preserve"> 10% and </w:t>
      </w:r>
      <w:r w:rsidR="00F004EC">
        <w:t>subcutaneous immunoglobulin</w:t>
      </w:r>
      <w:r w:rsidRPr="0061366E">
        <w:t xml:space="preserve"> 20% administered by the proposed </w:t>
      </w:r>
      <w:r w:rsidR="00F004EC">
        <w:t>subcutaneous</w:t>
      </w:r>
      <w:r w:rsidRPr="0061366E">
        <w:t xml:space="preserve"> route. The duration (</w:t>
      </w:r>
      <w:r w:rsidR="00F80410">
        <w:t>four</w:t>
      </w:r>
      <w:r w:rsidR="00F53DB3">
        <w:t xml:space="preserve"> to </w:t>
      </w:r>
      <w:r w:rsidR="00F80410">
        <w:t>five</w:t>
      </w:r>
      <w:r w:rsidRPr="0061366E">
        <w:t xml:space="preserve"> days) was limited </w:t>
      </w:r>
      <w:proofErr w:type="gramStart"/>
      <w:r w:rsidRPr="0061366E">
        <w:t>in order to</w:t>
      </w:r>
      <w:proofErr w:type="gramEnd"/>
      <w:r w:rsidRPr="0061366E">
        <w:t xml:space="preserve"> mitigate </w:t>
      </w:r>
      <w:proofErr w:type="spellStart"/>
      <w:r w:rsidRPr="0061366E">
        <w:t>xenogenic</w:t>
      </w:r>
      <w:proofErr w:type="spellEnd"/>
      <w:r w:rsidRPr="0061366E">
        <w:t xml:space="preserve"> immunity issues. No difference in toxicity profile was noted between the current market-authorised product (</w:t>
      </w:r>
      <w:proofErr w:type="spellStart"/>
      <w:r w:rsidRPr="0061366E">
        <w:t>Gamunex</w:t>
      </w:r>
      <w:proofErr w:type="spellEnd"/>
      <w:r w:rsidRPr="0061366E">
        <w:t xml:space="preserve">) and </w:t>
      </w:r>
      <w:proofErr w:type="spellStart"/>
      <w:r w:rsidRPr="0061366E">
        <w:t>X</w:t>
      </w:r>
      <w:r w:rsidR="00F53DB3">
        <w:t>embify</w:t>
      </w:r>
      <w:proofErr w:type="spellEnd"/>
      <w:r w:rsidRPr="0061366E">
        <w:t xml:space="preserve"> at doses up to 1500</w:t>
      </w:r>
      <w:r w:rsidR="00AE38C3">
        <w:t> </w:t>
      </w:r>
      <w:r w:rsidRPr="0061366E">
        <w:t>mg/kg/day. Toxicity findings were unremarkable and consistent with immune</w:t>
      </w:r>
      <w:r w:rsidR="00F004EC">
        <w:t xml:space="preserve"> </w:t>
      </w:r>
      <w:r w:rsidRPr="0061366E">
        <w:t>mediated haemolytic anaemia.</w:t>
      </w:r>
    </w:p>
    <w:p w14:paraId="34A3B6B6" w14:textId="77777777" w:rsidR="004059B6" w:rsidRDefault="004059B6" w:rsidP="004059B6">
      <w:r w:rsidRPr="0061366E">
        <w:t>No genotoxicity, carcinogenicity or reproductive developmental toxicity studies were conducted, which is acceptable for a constituent of normal human plasma. No juvenile toxicity studies were conducted</w:t>
      </w:r>
      <w:r>
        <w:t>.</w:t>
      </w:r>
    </w:p>
    <w:p w14:paraId="07A533B2" w14:textId="6AF3E422" w:rsidR="004059B6" w:rsidRDefault="004059B6" w:rsidP="0061366E">
      <w:r w:rsidRPr="0061366E">
        <w:t xml:space="preserve">An increased severity of injection site changes </w:t>
      </w:r>
      <w:proofErr w:type="gramStart"/>
      <w:r w:rsidRPr="0061366E">
        <w:t>were</w:t>
      </w:r>
      <w:proofErr w:type="gramEnd"/>
      <w:r w:rsidRPr="0061366E">
        <w:t xml:space="preserve"> observed in rabbits given X</w:t>
      </w:r>
      <w:r w:rsidR="0061366E">
        <w:t>embify</w:t>
      </w:r>
      <w:r w:rsidRPr="0061366E">
        <w:t xml:space="preserve"> for </w:t>
      </w:r>
      <w:r w:rsidR="00F80410">
        <w:t>five</w:t>
      </w:r>
      <w:r w:rsidRPr="0061366E">
        <w:t xml:space="preserve"> days compared with </w:t>
      </w:r>
      <w:proofErr w:type="spellStart"/>
      <w:r w:rsidRPr="0061366E">
        <w:t>Gamunex</w:t>
      </w:r>
      <w:proofErr w:type="spellEnd"/>
      <w:r w:rsidRPr="0061366E">
        <w:t>. This is anticipated given the higher concentration and there is an increased potential for local effects in the clinical setting. Administration of X</w:t>
      </w:r>
      <w:r w:rsidR="00F53DB3">
        <w:t>embify</w:t>
      </w:r>
      <w:r w:rsidRPr="0061366E">
        <w:t xml:space="preserve"> was well tolerated following subcutaneous, intravenous (auricular vein), intra-arterial (auricular artery) or perivascular (between the auricular vein and artery) administration, with local tolerance broadly comparable to </w:t>
      </w:r>
      <w:r w:rsidR="005B70AA">
        <w:t>intravenous immunoglobulin</w:t>
      </w:r>
      <w:r w:rsidRPr="0061366E">
        <w:t xml:space="preserve"> 10%.</w:t>
      </w:r>
    </w:p>
    <w:p w14:paraId="2983CB5D" w14:textId="5A0B80ED" w:rsidR="00516990" w:rsidRPr="0061366E" w:rsidRDefault="00516990" w:rsidP="00213CC2">
      <w:pPr>
        <w:pStyle w:val="Heading4"/>
      </w:pPr>
      <w:r>
        <w:t>Conclusion</w:t>
      </w:r>
    </w:p>
    <w:p w14:paraId="23A124BF" w14:textId="753D4156" w:rsidR="004059B6" w:rsidRPr="0061366E" w:rsidRDefault="004059B6" w:rsidP="0061366E">
      <w:r w:rsidRPr="0061366E">
        <w:t xml:space="preserve">There </w:t>
      </w:r>
      <w:r w:rsidR="009E007E">
        <w:t>were</w:t>
      </w:r>
      <w:r w:rsidR="009E007E" w:rsidRPr="0061366E">
        <w:t xml:space="preserve"> </w:t>
      </w:r>
      <w:r w:rsidRPr="0061366E">
        <w:t>no nonclinical objections to registration.</w:t>
      </w:r>
    </w:p>
    <w:p w14:paraId="4997B250" w14:textId="77777777" w:rsidR="008E7846" w:rsidRPr="0061366E" w:rsidRDefault="008E7846" w:rsidP="0061366E">
      <w:pPr>
        <w:pStyle w:val="Heading3"/>
      </w:pPr>
      <w:bookmarkStart w:id="42" w:name="_Toc247691530"/>
      <w:bookmarkStart w:id="43" w:name="_Toc314842513"/>
      <w:bookmarkStart w:id="44" w:name="_Toc125365363"/>
      <w:r>
        <w:t>Clinical</w:t>
      </w:r>
      <w:bookmarkEnd w:id="42"/>
      <w:bookmarkEnd w:id="43"/>
      <w:bookmarkEnd w:id="44"/>
    </w:p>
    <w:p w14:paraId="16E6B434" w14:textId="77777777" w:rsidR="00516990" w:rsidRDefault="00716A19" w:rsidP="0061366E">
      <w:r w:rsidRPr="0061366E">
        <w:t>The current 2021</w:t>
      </w:r>
      <w:r w:rsidR="005B70AA">
        <w:t xml:space="preserve"> </w:t>
      </w:r>
      <w:r w:rsidRPr="0061366E">
        <w:t>submission included the following clinical study reports</w:t>
      </w:r>
      <w:r w:rsidR="00516990">
        <w:t>:</w:t>
      </w:r>
    </w:p>
    <w:p w14:paraId="317AC713" w14:textId="54A7BF86" w:rsidR="00516990" w:rsidRDefault="00341317" w:rsidP="00213CC2">
      <w:pPr>
        <w:pStyle w:val="ListBullet"/>
      </w:pPr>
      <w:r>
        <w:t xml:space="preserve">Study </w:t>
      </w:r>
      <w:r w:rsidR="00716A19" w:rsidRPr="0061366E">
        <w:t>GTI1502</w:t>
      </w:r>
      <w:r w:rsidR="00516990">
        <w:t xml:space="preserve">, a </w:t>
      </w:r>
      <w:r w:rsidR="00716A19" w:rsidRPr="0061366E">
        <w:t>patient</w:t>
      </w:r>
      <w:r w:rsidR="00B30DB0" w:rsidRPr="00B30DB0">
        <w:t xml:space="preserve"> </w:t>
      </w:r>
      <w:r w:rsidR="005B70AA">
        <w:t xml:space="preserve">pharmacokinetic </w:t>
      </w:r>
      <w:r w:rsidR="00716A19" w:rsidRPr="0061366E">
        <w:t>and initial tolerability report of 24</w:t>
      </w:r>
      <w:r w:rsidR="00516990">
        <w:t> </w:t>
      </w:r>
      <w:r w:rsidR="00716A19" w:rsidRPr="0061366E">
        <w:t xml:space="preserve">weeks </w:t>
      </w:r>
      <w:proofErr w:type="gramStart"/>
      <w:r w:rsidR="00716A19" w:rsidRPr="0061366E">
        <w:t>duration;</w:t>
      </w:r>
      <w:proofErr w:type="gramEnd"/>
    </w:p>
    <w:p w14:paraId="45A1F54F" w14:textId="2AD2851A" w:rsidR="00516990" w:rsidRDefault="00341317" w:rsidP="00213CC2">
      <w:pPr>
        <w:pStyle w:val="ListBullet"/>
      </w:pPr>
      <w:r>
        <w:t xml:space="preserve">Study </w:t>
      </w:r>
      <w:r w:rsidR="00716A19" w:rsidRPr="0061366E">
        <w:t>GTI1503</w:t>
      </w:r>
      <w:r w:rsidR="00516990">
        <w:t xml:space="preserve">, an </w:t>
      </w:r>
      <w:r w:rsidR="00716A19" w:rsidRPr="0061366E">
        <w:t>uncontrolled clinical efficacy and safety study of 52 weeks duration); and</w:t>
      </w:r>
    </w:p>
    <w:p w14:paraId="4A507236" w14:textId="2FC3D791" w:rsidR="00A745C1" w:rsidRDefault="00341317" w:rsidP="00213CC2">
      <w:pPr>
        <w:pStyle w:val="ListBullet"/>
      </w:pPr>
      <w:r>
        <w:t xml:space="preserve">Study </w:t>
      </w:r>
      <w:r w:rsidR="00716A19" w:rsidRPr="0061366E">
        <w:t>GRI003</w:t>
      </w:r>
      <w:r w:rsidR="00516990">
        <w:t>, a pharmacokinetic</w:t>
      </w:r>
      <w:r w:rsidR="00716A19" w:rsidRPr="0061366E">
        <w:t xml:space="preserve"> </w:t>
      </w:r>
      <w:r w:rsidR="005B70AA">
        <w:t>m</w:t>
      </w:r>
      <w:r w:rsidR="00716A19" w:rsidRPr="0061366E">
        <w:t xml:space="preserve">odelling and </w:t>
      </w:r>
      <w:r w:rsidR="005B70AA">
        <w:t>s</w:t>
      </w:r>
      <w:r w:rsidR="00716A19" w:rsidRPr="0061366E">
        <w:t xml:space="preserve">imulation </w:t>
      </w:r>
      <w:r w:rsidR="005B70AA">
        <w:t>r</w:t>
      </w:r>
      <w:r w:rsidR="00716A19" w:rsidRPr="0061366E">
        <w:t>eport (population PK study report).</w:t>
      </w:r>
    </w:p>
    <w:p w14:paraId="2EE69B69" w14:textId="0731B0CB" w:rsidR="00716A19" w:rsidRPr="0061366E" w:rsidRDefault="00716A19">
      <w:r w:rsidRPr="0061366E">
        <w:t>The additional clinical studies (</w:t>
      </w:r>
      <w:r w:rsidR="00341317">
        <w:t xml:space="preserve">Studies </w:t>
      </w:r>
      <w:r w:rsidRPr="0061366E">
        <w:t>GTI1503, GRI003) have been submitted to address the deficiencies in the 2018 submission.</w:t>
      </w:r>
    </w:p>
    <w:p w14:paraId="6D8833E3" w14:textId="0196B343" w:rsidR="00B9097D" w:rsidRDefault="00716A19" w:rsidP="0061366E">
      <w:r w:rsidRPr="0061366E">
        <w:lastRenderedPageBreak/>
        <w:t xml:space="preserve">The TGA has adopted </w:t>
      </w:r>
      <w:r w:rsidR="00A745C1">
        <w:t xml:space="preserve">the </w:t>
      </w:r>
      <w:r w:rsidR="00B9097D">
        <w:t xml:space="preserve">EMA </w:t>
      </w:r>
      <w:r w:rsidR="00B9097D" w:rsidRPr="00B9097D">
        <w:t>Guideline on the clinical investigation of human normal immunoglobulin for subcutaneous and/or intramuscular administration (SCIg/</w:t>
      </w:r>
      <w:proofErr w:type="spellStart"/>
      <w:r w:rsidR="00B9097D" w:rsidRPr="00B9097D">
        <w:t>IMIg</w:t>
      </w:r>
      <w:proofErr w:type="spellEnd"/>
      <w:r w:rsidR="00B9097D" w:rsidRPr="00B9097D">
        <w:t>), EMA/CHMP/BPWP/410415/2011 rev 1</w:t>
      </w:r>
      <w:r w:rsidR="00B9097D">
        <w:t xml:space="preserve"> </w:t>
      </w:r>
      <w:r w:rsidRPr="0061366E">
        <w:t>which applies to X</w:t>
      </w:r>
      <w:r w:rsidR="0061366E" w:rsidRPr="0061366E">
        <w:t>embify</w:t>
      </w:r>
      <w:r w:rsidR="002E1C46">
        <w:t>.</w:t>
      </w:r>
      <w:r w:rsidR="009B31D5">
        <w:fldChar w:fldCharType="begin"/>
      </w:r>
      <w:r w:rsidR="009B31D5">
        <w:instrText xml:space="preserve"> NOTEREF _Ref119064310 \f \h </w:instrText>
      </w:r>
      <w:r w:rsidR="009B31D5">
        <w:fldChar w:fldCharType="separate"/>
      </w:r>
      <w:r w:rsidR="009B31D5" w:rsidRPr="009B31D5">
        <w:rPr>
          <w:rStyle w:val="FootnoteReference"/>
        </w:rPr>
        <w:t>5</w:t>
      </w:r>
      <w:r w:rsidR="009B31D5">
        <w:fldChar w:fldCharType="end"/>
      </w:r>
    </w:p>
    <w:p w14:paraId="6B42A871" w14:textId="77777777" w:rsidR="00716A19" w:rsidRPr="007F5B54" w:rsidRDefault="00716A19" w:rsidP="007F5B54">
      <w:pPr>
        <w:pStyle w:val="Heading4"/>
      </w:pPr>
      <w:r w:rsidRPr="007F5B54">
        <w:t>Pharmacokinetics</w:t>
      </w:r>
    </w:p>
    <w:p w14:paraId="7744DE13" w14:textId="0494D7A9" w:rsidR="00716A19" w:rsidRPr="0061366E" w:rsidRDefault="00716A19" w:rsidP="0061366E">
      <w:r w:rsidRPr="0061366E">
        <w:t>Al</w:t>
      </w:r>
      <w:r w:rsidR="00F004EC">
        <w:t xml:space="preserve">l </w:t>
      </w:r>
      <w:r w:rsidR="00A745C1">
        <w:t>pharmacokinetic (P</w:t>
      </w:r>
      <w:r w:rsidRPr="0061366E">
        <w:t>K</w:t>
      </w:r>
      <w:r w:rsidR="00A745C1">
        <w:t>)</w:t>
      </w:r>
      <w:r w:rsidRPr="0061366E">
        <w:t xml:space="preserve"> information relating to Xembify was derived from patients with PID. There were no PK data in healthy subjects relating to Xembify. The submitted studies providing PK information relating to Xembify in patients with PID </w:t>
      </w:r>
      <w:r w:rsidR="00A745C1">
        <w:t>are summarised as follows and are further discussed below:</w:t>
      </w:r>
    </w:p>
    <w:p w14:paraId="32E96288" w14:textId="77777777" w:rsidR="00A745C1" w:rsidRDefault="00716A19" w:rsidP="0061366E">
      <w:pPr>
        <w:pStyle w:val="ListBullet"/>
      </w:pPr>
      <w:r w:rsidRPr="005B70AA">
        <w:t>Study GTI1502</w:t>
      </w:r>
      <w:r w:rsidRPr="0061366E">
        <w:t>:</w:t>
      </w:r>
    </w:p>
    <w:p w14:paraId="6C909010" w14:textId="5D221CA0" w:rsidR="00A745C1" w:rsidRDefault="00716A19" w:rsidP="00213CC2">
      <w:pPr>
        <w:pStyle w:val="ListBullet2"/>
      </w:pPr>
      <w:r w:rsidRPr="0061366E">
        <w:t xml:space="preserve">This was the primary PK study. It was designed to evaluate the safety and PK of </w:t>
      </w:r>
      <w:r w:rsidR="00034A14">
        <w:t>subcutaneous immunoglobulin</w:t>
      </w:r>
      <w:r w:rsidRPr="0061366E">
        <w:t xml:space="preserve"> 20% administered by </w:t>
      </w:r>
      <w:r w:rsidR="00034A14">
        <w:t>subcutaneous</w:t>
      </w:r>
      <w:r w:rsidRPr="0061366E">
        <w:t xml:space="preserve"> infusion for up to 24 weeks in subjects with PID.</w:t>
      </w:r>
    </w:p>
    <w:p w14:paraId="0BC0914C" w14:textId="00B102BE" w:rsidR="00A745C1" w:rsidRDefault="00716A19" w:rsidP="00213CC2">
      <w:pPr>
        <w:pStyle w:val="ListBullet2"/>
      </w:pPr>
      <w:r w:rsidRPr="0061366E">
        <w:t xml:space="preserve">The primary PK objective of this study was to determine a weekly </w:t>
      </w:r>
      <w:r w:rsidR="00034A14">
        <w:t>subcutaneous</w:t>
      </w:r>
      <w:r w:rsidRPr="0061366E">
        <w:t xml:space="preserve"> dose of </w:t>
      </w:r>
      <w:r w:rsidR="00034A14">
        <w:t>subcutaneous immunoglobulin</w:t>
      </w:r>
      <w:r w:rsidRPr="0061366E">
        <w:t xml:space="preserve"> 20% that produced a steady</w:t>
      </w:r>
      <w:r w:rsidR="00DD6293">
        <w:t xml:space="preserve"> </w:t>
      </w:r>
      <w:r w:rsidRPr="0061366E">
        <w:t xml:space="preserve">state total </w:t>
      </w:r>
      <w:r w:rsidR="00034A14">
        <w:t xml:space="preserve">immunoglobulin </w:t>
      </w:r>
      <w:r w:rsidRPr="0061366E">
        <w:t xml:space="preserve">G </w:t>
      </w:r>
      <w:r w:rsidR="00034A14">
        <w:t>area under</w:t>
      </w:r>
      <w:r w:rsidR="000F6B6C">
        <w:t xml:space="preserve"> concentration time</w:t>
      </w:r>
      <w:r w:rsidR="00034A14">
        <w:t xml:space="preserve"> curve (</w:t>
      </w:r>
      <w:r w:rsidRPr="00DD6293">
        <w:t>AUC</w:t>
      </w:r>
      <w:r w:rsidR="00034A14">
        <w:t>)</w:t>
      </w:r>
      <w:r w:rsidRPr="0061366E">
        <w:t xml:space="preserve"> that was non-inferior to the regularly administered </w:t>
      </w:r>
      <w:r w:rsidR="00034A14">
        <w:t>intravenous</w:t>
      </w:r>
      <w:r w:rsidRPr="0061366E">
        <w:t xml:space="preserve"> dose of </w:t>
      </w:r>
      <w:r w:rsidR="00034A14">
        <w:t>intravenous immunoglobulin</w:t>
      </w:r>
      <w:r w:rsidRPr="0061366E">
        <w:t xml:space="preserve"> 10% in subjects with PID.</w:t>
      </w:r>
    </w:p>
    <w:p w14:paraId="0EF93D35" w14:textId="012A0531" w:rsidR="00A745C1" w:rsidRDefault="00716A19" w:rsidP="00213CC2">
      <w:pPr>
        <w:pStyle w:val="ListBullet2"/>
      </w:pPr>
      <w:r w:rsidRPr="0061366E">
        <w:t xml:space="preserve">The secondary PK objective was to determine if </w:t>
      </w:r>
      <w:r w:rsidR="00034A14">
        <w:t>subcutaneous immunoglobulin</w:t>
      </w:r>
      <w:r w:rsidRPr="0061366E">
        <w:t xml:space="preserve"> 20% replacement therapy could maintain mean steady</w:t>
      </w:r>
      <w:r w:rsidR="00DD6293">
        <w:t xml:space="preserve"> </w:t>
      </w:r>
      <w:r w:rsidRPr="0061366E">
        <w:t xml:space="preserve">state trough total </w:t>
      </w:r>
      <w:r w:rsidR="00034A14">
        <w:t xml:space="preserve">immunoglobulin </w:t>
      </w:r>
      <w:r w:rsidRPr="0061366E">
        <w:t xml:space="preserve">G levels that were comparable to those achieved with </w:t>
      </w:r>
      <w:r w:rsidR="00034A14">
        <w:t>intravenous immunoglobulin</w:t>
      </w:r>
      <w:r w:rsidRPr="0061366E">
        <w:t xml:space="preserve"> 10% replacement therapy.</w:t>
      </w:r>
    </w:p>
    <w:p w14:paraId="280875D1" w14:textId="27786F51" w:rsidR="00716A19" w:rsidRPr="0061366E" w:rsidRDefault="00716A19" w:rsidP="00213CC2">
      <w:pPr>
        <w:pStyle w:val="ListBullet2"/>
      </w:pPr>
      <w:r w:rsidRPr="0061366E">
        <w:t xml:space="preserve">The </w:t>
      </w:r>
      <w:r w:rsidR="00DD6293">
        <w:t>clinical study report</w:t>
      </w:r>
      <w:r w:rsidRPr="0061366E">
        <w:t xml:space="preserve"> was dated 27 June 2018.</w:t>
      </w:r>
    </w:p>
    <w:p w14:paraId="2D823D53" w14:textId="77777777" w:rsidR="00A745C1" w:rsidRDefault="00716A19" w:rsidP="00796E37">
      <w:pPr>
        <w:pStyle w:val="ListBullet"/>
      </w:pPr>
      <w:r w:rsidRPr="00034A14">
        <w:t>Study GTI1503:</w:t>
      </w:r>
    </w:p>
    <w:p w14:paraId="255DE81F" w14:textId="52533D75" w:rsidR="00A745C1" w:rsidRDefault="00716A19" w:rsidP="00213CC2">
      <w:pPr>
        <w:pStyle w:val="ListBullet2"/>
      </w:pPr>
      <w:r w:rsidRPr="0061366E">
        <w:t>This single</w:t>
      </w:r>
      <w:r w:rsidR="00706111">
        <w:t xml:space="preserve"> </w:t>
      </w:r>
      <w:r w:rsidRPr="0061366E">
        <w:t xml:space="preserve">arm study was designed to evaluate the efficacy, PK, </w:t>
      </w:r>
      <w:proofErr w:type="gramStart"/>
      <w:r w:rsidRPr="0061366E">
        <w:t>safety</w:t>
      </w:r>
      <w:proofErr w:type="gramEnd"/>
      <w:r w:rsidRPr="0061366E">
        <w:t xml:space="preserve"> and tolerability of </w:t>
      </w:r>
      <w:r w:rsidR="00034A14">
        <w:t>subcutaneous immunoglobulin</w:t>
      </w:r>
      <w:r w:rsidRPr="0061366E">
        <w:t xml:space="preserve"> 20% administered by </w:t>
      </w:r>
      <w:r w:rsidR="00034A14">
        <w:t>subcutaneous</w:t>
      </w:r>
      <w:r w:rsidRPr="0061366E">
        <w:t xml:space="preserve"> infusion for 52 weeks in subjects with primary immunodeficiency. This study </w:t>
      </w:r>
      <w:proofErr w:type="gramStart"/>
      <w:r w:rsidRPr="0061366E">
        <w:t>is considered to be</w:t>
      </w:r>
      <w:proofErr w:type="gramEnd"/>
      <w:r w:rsidRPr="0061366E">
        <w:t xml:space="preserve"> the pivotal efficacy and safety study.</w:t>
      </w:r>
    </w:p>
    <w:p w14:paraId="0ED1EAC3" w14:textId="2FF6BB33" w:rsidR="00A745C1" w:rsidRDefault="00716A19" w:rsidP="00213CC2">
      <w:pPr>
        <w:pStyle w:val="ListBullet2"/>
      </w:pPr>
      <w:r w:rsidRPr="0061366E">
        <w:t xml:space="preserve">The PK data in this study were categorised as secondary endpoints and additional endpoints. The PK secondary endpoint were trough concentrations of total </w:t>
      </w:r>
      <w:r w:rsidR="00034A14">
        <w:t xml:space="preserve">immunoglobulin </w:t>
      </w:r>
      <w:r w:rsidRPr="0061366E">
        <w:t xml:space="preserve">G of the previous regimen during the </w:t>
      </w:r>
      <w:r w:rsidR="0044217E">
        <w:t>s</w:t>
      </w:r>
      <w:r w:rsidRPr="0061366E">
        <w:t>creening/</w:t>
      </w:r>
      <w:r w:rsidR="0044217E">
        <w:t>p</w:t>
      </w:r>
      <w:r w:rsidRPr="0061366E">
        <w:t xml:space="preserve">revious </w:t>
      </w:r>
      <w:r w:rsidR="0044217E">
        <w:t>r</w:t>
      </w:r>
      <w:r w:rsidRPr="0061366E">
        <w:t xml:space="preserve">egimen </w:t>
      </w:r>
      <w:r w:rsidR="0044217E">
        <w:t>p</w:t>
      </w:r>
      <w:r w:rsidRPr="0061366E">
        <w:t xml:space="preserve">hase and of </w:t>
      </w:r>
      <w:r w:rsidR="00034A14">
        <w:t>subcutaneous immunoglobulin</w:t>
      </w:r>
      <w:r w:rsidRPr="0061366E">
        <w:t xml:space="preserve"> 20% during the </w:t>
      </w:r>
      <w:r w:rsidR="00034A14">
        <w:t>subcutaneous</w:t>
      </w:r>
      <w:r w:rsidRPr="0061366E">
        <w:t xml:space="preserve"> </w:t>
      </w:r>
      <w:r w:rsidR="0044217E">
        <w:t>t</w:t>
      </w:r>
      <w:r w:rsidRPr="0061366E">
        <w:t xml:space="preserve">reatment </w:t>
      </w:r>
      <w:r w:rsidR="0044217E">
        <w:t>s</w:t>
      </w:r>
      <w:r w:rsidRPr="0061366E">
        <w:t>tages.</w:t>
      </w:r>
    </w:p>
    <w:p w14:paraId="6A89E504" w14:textId="5C5B2712" w:rsidR="00A745C1" w:rsidRDefault="00716A19" w:rsidP="00213CC2">
      <w:pPr>
        <w:pStyle w:val="ListBullet2"/>
      </w:pPr>
      <w:r w:rsidRPr="0061366E">
        <w:t>The additional PK endpoints were</w:t>
      </w:r>
      <w:r w:rsidR="00DD2857">
        <w:t xml:space="preserve"> </w:t>
      </w:r>
      <w:r w:rsidRPr="0061366E">
        <w:t xml:space="preserve">average trough concentration of </w:t>
      </w:r>
      <w:r w:rsidR="00034A14">
        <w:t xml:space="preserve">immunoglobulin </w:t>
      </w:r>
      <w:r w:rsidRPr="0061366E">
        <w:t>G subclasses and</w:t>
      </w:r>
      <w:r w:rsidR="00DD2857">
        <w:t xml:space="preserve"> </w:t>
      </w:r>
      <w:r w:rsidRPr="0061366E">
        <w:t xml:space="preserve">concentration of antibody levels to </w:t>
      </w:r>
      <w:r w:rsidR="00A745C1" w:rsidRPr="00213CC2">
        <w:rPr>
          <w:i/>
        </w:rPr>
        <w:t>Streptococcus pneumoniae (S. pneumoniae), H</w:t>
      </w:r>
      <w:r w:rsidR="00A745C1">
        <w:rPr>
          <w:i/>
        </w:rPr>
        <w:t>a</w:t>
      </w:r>
      <w:r w:rsidR="00A745C1" w:rsidRPr="00213CC2">
        <w:rPr>
          <w:i/>
        </w:rPr>
        <w:t>emophilus influenzae</w:t>
      </w:r>
      <w:r w:rsidR="00A745C1" w:rsidRPr="008A743A">
        <w:t xml:space="preserve"> (</w:t>
      </w:r>
      <w:r w:rsidR="00A745C1" w:rsidRPr="00213CC2">
        <w:rPr>
          <w:i/>
        </w:rPr>
        <w:t>H. influenzae</w:t>
      </w:r>
      <w:r w:rsidR="00A745C1" w:rsidRPr="008A743A">
        <w:t xml:space="preserve">), and </w:t>
      </w:r>
      <w:r w:rsidR="00A745C1" w:rsidRPr="00213CC2">
        <w:rPr>
          <w:i/>
        </w:rPr>
        <w:t xml:space="preserve">Clostridium tetani (C. tetani </w:t>
      </w:r>
      <w:r w:rsidR="00A745C1">
        <w:t>(tetanus)</w:t>
      </w:r>
      <w:r w:rsidR="00A745C1" w:rsidRPr="00A745C1">
        <w:t>).</w:t>
      </w:r>
    </w:p>
    <w:p w14:paraId="679C9097" w14:textId="6F44F2A9" w:rsidR="00716A19" w:rsidRPr="0061366E" w:rsidRDefault="00716A19" w:rsidP="00213CC2">
      <w:pPr>
        <w:pStyle w:val="ListBullet2"/>
      </w:pPr>
      <w:r w:rsidRPr="0061366E">
        <w:t xml:space="preserve">The </w:t>
      </w:r>
      <w:r w:rsidR="00A745C1">
        <w:t>clinical study report</w:t>
      </w:r>
      <w:r w:rsidR="00A745C1" w:rsidRPr="0061366E">
        <w:t xml:space="preserve"> </w:t>
      </w:r>
      <w:r w:rsidRPr="0061366E">
        <w:t>was dated 16</w:t>
      </w:r>
      <w:r w:rsidR="00A745C1">
        <w:t> </w:t>
      </w:r>
      <w:r w:rsidRPr="0061366E">
        <w:t>December 2019.</w:t>
      </w:r>
    </w:p>
    <w:p w14:paraId="331CA2CA" w14:textId="77777777" w:rsidR="00A745C1" w:rsidRDefault="00A745C1" w:rsidP="0061366E">
      <w:pPr>
        <w:pStyle w:val="ListBullet"/>
      </w:pPr>
      <w:r>
        <w:t xml:space="preserve">Pharmacokinetic </w:t>
      </w:r>
      <w:r w:rsidR="00716A19" w:rsidRPr="00034A14">
        <w:t>Report GRI003</w:t>
      </w:r>
      <w:r w:rsidR="00716A19" w:rsidRPr="0061366E">
        <w:rPr>
          <w:b/>
          <w:bCs/>
        </w:rPr>
        <w:t>:</w:t>
      </w:r>
    </w:p>
    <w:p w14:paraId="7F384AAD" w14:textId="5E6992D6" w:rsidR="00A745C1" w:rsidRDefault="00716A19" w:rsidP="00213CC2">
      <w:pPr>
        <w:pStyle w:val="ListBullet2"/>
      </w:pPr>
      <w:r w:rsidRPr="0061366E">
        <w:t xml:space="preserve">This was a PK modelling and simulation report of </w:t>
      </w:r>
      <w:r w:rsidR="00034A14">
        <w:t>subcutaneous</w:t>
      </w:r>
      <w:r w:rsidRPr="0061366E">
        <w:t xml:space="preserve"> </w:t>
      </w:r>
      <w:r w:rsidR="00034A14">
        <w:t xml:space="preserve">immunoglobulin </w:t>
      </w:r>
      <w:r w:rsidRPr="0061366E">
        <w:t xml:space="preserve">G and </w:t>
      </w:r>
      <w:r w:rsidR="00034A14">
        <w:t>intravenous</w:t>
      </w:r>
      <w:r w:rsidRPr="0061366E">
        <w:t xml:space="preserve"> </w:t>
      </w:r>
      <w:r w:rsidR="00034A14">
        <w:t xml:space="preserve">immunoglobulin </w:t>
      </w:r>
      <w:r w:rsidRPr="0061366E">
        <w:t>G dosing in patients with primary immunodeficiency.</w:t>
      </w:r>
    </w:p>
    <w:p w14:paraId="3EEFB2FF" w14:textId="1332F3B6" w:rsidR="00A745C1" w:rsidRDefault="00716A19" w:rsidP="00213CC2">
      <w:pPr>
        <w:pStyle w:val="ListBullet2"/>
      </w:pPr>
      <w:r w:rsidRPr="0061366E">
        <w:t>The aim of the study was to develop a robust and predictive population pharmacokinetic (</w:t>
      </w:r>
      <w:proofErr w:type="spellStart"/>
      <w:r w:rsidRPr="0061366E">
        <w:t>PopPK</w:t>
      </w:r>
      <w:proofErr w:type="spellEnd"/>
      <w:r w:rsidRPr="0061366E">
        <w:t xml:space="preserve">) model for the </w:t>
      </w:r>
      <w:r w:rsidR="00034A14">
        <w:t>subcutaneous</w:t>
      </w:r>
      <w:r w:rsidRPr="0061366E">
        <w:t xml:space="preserve"> administration of </w:t>
      </w:r>
      <w:r w:rsidR="00F625C1">
        <w:t>subcutaneous immunoglobulin</w:t>
      </w:r>
      <w:r w:rsidRPr="0061366E">
        <w:t xml:space="preserve"> 20% in patients with PID to better inform clinical decisions on dosage regimens.</w:t>
      </w:r>
    </w:p>
    <w:p w14:paraId="7C63DD80" w14:textId="24BC4A09" w:rsidR="00716A19" w:rsidRPr="0061366E" w:rsidRDefault="00716A19" w:rsidP="00213CC2">
      <w:pPr>
        <w:pStyle w:val="ListBullet2"/>
      </w:pPr>
      <w:r w:rsidRPr="0061366E">
        <w:t>The report was dated 4 October 2018.</w:t>
      </w:r>
    </w:p>
    <w:p w14:paraId="00ABEF44" w14:textId="2AC3C3F5" w:rsidR="00716A19" w:rsidRPr="007F5B54" w:rsidRDefault="00716A19" w:rsidP="007F5B54">
      <w:pPr>
        <w:pStyle w:val="Heading5"/>
      </w:pPr>
      <w:r w:rsidRPr="007F5B54">
        <w:lastRenderedPageBreak/>
        <w:t>Study GTI1502</w:t>
      </w:r>
    </w:p>
    <w:p w14:paraId="6F46ECB4" w14:textId="77777777" w:rsidR="00A745C1" w:rsidRDefault="00716A19" w:rsidP="0061366E">
      <w:r w:rsidRPr="0061366E">
        <w:t>This was an open</w:t>
      </w:r>
      <w:r w:rsidR="007A024C">
        <w:t xml:space="preserve"> </w:t>
      </w:r>
      <w:r w:rsidRPr="0061366E">
        <w:t>label, multi</w:t>
      </w:r>
      <w:r w:rsidR="00F625C1">
        <w:t>-</w:t>
      </w:r>
      <w:r w:rsidRPr="0061366E">
        <w:t xml:space="preserve">centre study to evaluate the safety and pharmacokinetics of </w:t>
      </w:r>
      <w:r w:rsidR="00F625C1">
        <w:t>subcutaneous immunoglobulin</w:t>
      </w:r>
      <w:r w:rsidRPr="0061366E">
        <w:t xml:space="preserve"> 20% </w:t>
      </w:r>
      <w:r w:rsidR="000A5A0B">
        <w:t>a</w:t>
      </w:r>
      <w:r w:rsidRPr="0061366E">
        <w:t xml:space="preserve">dministered for </w:t>
      </w:r>
      <w:r w:rsidR="00D60705">
        <w:t>six</w:t>
      </w:r>
      <w:r w:rsidRPr="0061366E">
        <w:t xml:space="preserve"> </w:t>
      </w:r>
      <w:r w:rsidR="000A5A0B">
        <w:t>m</w:t>
      </w:r>
      <w:r w:rsidRPr="0061366E">
        <w:t xml:space="preserve">onths in </w:t>
      </w:r>
      <w:r w:rsidR="000A5A0B">
        <w:t>s</w:t>
      </w:r>
      <w:r w:rsidRPr="0061366E">
        <w:t xml:space="preserve">ubjects with </w:t>
      </w:r>
      <w:r w:rsidR="000A5A0B">
        <w:t>p</w:t>
      </w:r>
      <w:r w:rsidRPr="0061366E">
        <w:t xml:space="preserve">rimary </w:t>
      </w:r>
      <w:r w:rsidR="000A5A0B">
        <w:t>i</w:t>
      </w:r>
      <w:r w:rsidRPr="0061366E">
        <w:t>mmunodeficiency.</w:t>
      </w:r>
    </w:p>
    <w:p w14:paraId="202759E8" w14:textId="1D28B81F" w:rsidR="00A745C1" w:rsidRDefault="00716A19" w:rsidP="0061366E">
      <w:r w:rsidRPr="0061366E">
        <w:t>The study design was a prospective, multi</w:t>
      </w:r>
      <w:r w:rsidR="00EF1577">
        <w:t>-</w:t>
      </w:r>
      <w:r w:rsidRPr="0061366E">
        <w:t>centre, open</w:t>
      </w:r>
      <w:r w:rsidR="007A024C">
        <w:t xml:space="preserve"> </w:t>
      </w:r>
      <w:r w:rsidRPr="0061366E">
        <w:t>label, single</w:t>
      </w:r>
      <w:r w:rsidR="007A024C">
        <w:t xml:space="preserve"> </w:t>
      </w:r>
      <w:r w:rsidRPr="0061366E">
        <w:t xml:space="preserve">sequence, </w:t>
      </w:r>
      <w:r w:rsidR="00A745C1">
        <w:t>6-</w:t>
      </w:r>
      <w:r w:rsidRPr="0061366E">
        <w:t xml:space="preserve">month, PK, safety, and tolerability study of </w:t>
      </w:r>
      <w:r w:rsidR="00F625C1">
        <w:t>subcutaneous immunoglobulin</w:t>
      </w:r>
      <w:r w:rsidRPr="0061366E">
        <w:t xml:space="preserve"> 20% in subjects with PID to be carried out in approximately 30 study centres in the US</w:t>
      </w:r>
      <w:r w:rsidR="00D60705">
        <w:t>A</w:t>
      </w:r>
      <w:r w:rsidRPr="0061366E">
        <w:t xml:space="preserve"> and Canada.</w:t>
      </w:r>
    </w:p>
    <w:p w14:paraId="5F06C3D7" w14:textId="40B84FEF" w:rsidR="00716A19" w:rsidRPr="0061366E" w:rsidRDefault="00716A19" w:rsidP="0061366E">
      <w:r w:rsidRPr="0061366E">
        <w:t xml:space="preserve">Planned </w:t>
      </w:r>
      <w:r w:rsidR="0061366E" w:rsidRPr="0061366E">
        <w:t>enrolment</w:t>
      </w:r>
      <w:r w:rsidRPr="0061366E">
        <w:t xml:space="preserve"> included 50 subjects, including approximately 30 adult subjects and 12</w:t>
      </w:r>
      <w:r w:rsidR="00A745C1">
        <w:t> </w:t>
      </w:r>
      <w:r w:rsidRPr="0061366E">
        <w:t xml:space="preserve">to 18 paediatric subjects (aged </w:t>
      </w:r>
      <w:r w:rsidR="00A745C1">
        <w:t xml:space="preserve">from </w:t>
      </w:r>
      <w:r w:rsidR="002E1C46">
        <w:t>2</w:t>
      </w:r>
      <w:r w:rsidRPr="0061366E">
        <w:t xml:space="preserve"> to 16 years) completing treatment with </w:t>
      </w:r>
      <w:r w:rsidR="00F625C1">
        <w:t>subcutaneous immunoglobulin</w:t>
      </w:r>
      <w:r w:rsidRPr="0061366E">
        <w:t xml:space="preserve"> 20%. Paediatric </w:t>
      </w:r>
      <w:r w:rsidR="0061366E" w:rsidRPr="0061366E">
        <w:t>enrolment</w:t>
      </w:r>
      <w:r w:rsidRPr="0061366E">
        <w:t xml:space="preserve"> was stratified by age with a target of </w:t>
      </w:r>
      <w:r w:rsidR="00F80410">
        <w:t>four</w:t>
      </w:r>
      <w:r w:rsidRPr="0061366E">
        <w:t xml:space="preserve"> to </w:t>
      </w:r>
      <w:r w:rsidR="00F80410">
        <w:t>six</w:t>
      </w:r>
      <w:r w:rsidRPr="0061366E">
        <w:t xml:space="preserve"> children for ages </w:t>
      </w:r>
      <w:r w:rsidR="002E1C46">
        <w:t>2</w:t>
      </w:r>
      <w:r w:rsidRPr="0061366E">
        <w:t xml:space="preserve"> to </w:t>
      </w:r>
      <w:r w:rsidR="002E1C46">
        <w:t>5</w:t>
      </w:r>
      <w:r w:rsidRPr="0061366E">
        <w:t xml:space="preserve"> years,</w:t>
      </w:r>
      <w:r w:rsidR="009A4791">
        <w:t xml:space="preserve"> greater than </w:t>
      </w:r>
      <w:r w:rsidRPr="0061366E">
        <w:t xml:space="preserve">5 to 12 years, and </w:t>
      </w:r>
      <w:r w:rsidR="009A4791">
        <w:t>greater than 1</w:t>
      </w:r>
      <w:r w:rsidRPr="0061366E">
        <w:t>2 to 16 years.</w:t>
      </w:r>
    </w:p>
    <w:p w14:paraId="2193FB88" w14:textId="65DF7FFF" w:rsidR="00716A19" w:rsidRPr="0061366E" w:rsidRDefault="00716A19" w:rsidP="0061366E">
      <w:r w:rsidRPr="0061366E">
        <w:t xml:space="preserve">The primary PK objective was to determine a dose of weekly </w:t>
      </w:r>
      <w:r w:rsidR="009A4791">
        <w:t>subcutaneously</w:t>
      </w:r>
      <w:r w:rsidRPr="0061366E">
        <w:t xml:space="preserve"> administered </w:t>
      </w:r>
      <w:r w:rsidR="009A4791">
        <w:t xml:space="preserve">subcutaneous immunoglobulin </w:t>
      </w:r>
      <w:r w:rsidRPr="0061366E">
        <w:t>20% that produced a steady</w:t>
      </w:r>
      <w:r w:rsidR="00A745C1">
        <w:noBreakHyphen/>
      </w:r>
      <w:r w:rsidRPr="0061366E">
        <w:t xml:space="preserve">state AUC of total </w:t>
      </w:r>
      <w:r w:rsidR="009A4791">
        <w:t xml:space="preserve">immunoglobulin </w:t>
      </w:r>
      <w:r w:rsidRPr="0061366E">
        <w:t xml:space="preserve">G that was non-inferior to </w:t>
      </w:r>
      <w:r w:rsidR="009A4791">
        <w:t xml:space="preserve">a </w:t>
      </w:r>
      <w:r w:rsidRPr="0061366E">
        <w:t xml:space="preserve">regularly administered </w:t>
      </w:r>
      <w:r w:rsidR="009A4791">
        <w:t>intravenous</w:t>
      </w:r>
      <w:r w:rsidRPr="0061366E">
        <w:t xml:space="preserve"> dose of </w:t>
      </w:r>
      <w:r w:rsidR="009A4791">
        <w:t>intravenous immunoglobulin</w:t>
      </w:r>
      <w:r w:rsidRPr="0061366E">
        <w:t xml:space="preserve"> 10% in PID subjects.</w:t>
      </w:r>
    </w:p>
    <w:p w14:paraId="452548FA" w14:textId="65730B60" w:rsidR="00716A19" w:rsidRPr="0061366E" w:rsidRDefault="00716A19" w:rsidP="0061366E">
      <w:r w:rsidRPr="0061366E">
        <w:t xml:space="preserve">The secondary PK objective was to determine if </w:t>
      </w:r>
      <w:r w:rsidR="009A4791">
        <w:t>subcutaneous immunoglobulin</w:t>
      </w:r>
      <w:r w:rsidRPr="0061366E">
        <w:t xml:space="preserve"> 20% replacement therapy could achieve comparable mean steady</w:t>
      </w:r>
      <w:r w:rsidR="007A024C">
        <w:t xml:space="preserve"> </w:t>
      </w:r>
      <w:r w:rsidRPr="0061366E">
        <w:t xml:space="preserve">state trough total </w:t>
      </w:r>
      <w:r w:rsidR="009A4791">
        <w:t xml:space="preserve">immunoglobulin </w:t>
      </w:r>
      <w:r w:rsidRPr="0061366E">
        <w:t xml:space="preserve">G levels to those obtained with </w:t>
      </w:r>
      <w:r w:rsidR="009A4791">
        <w:t>intravenous immunoglobulin</w:t>
      </w:r>
      <w:r w:rsidRPr="0061366E">
        <w:t xml:space="preserve"> 10% replacement therapy in PID subjects.</w:t>
      </w:r>
    </w:p>
    <w:p w14:paraId="426D7DFB" w14:textId="77777777" w:rsidR="00716A19" w:rsidRPr="0061366E" w:rsidRDefault="00716A19" w:rsidP="0061366E">
      <w:r w:rsidRPr="0061366E">
        <w:t>There were multiple exploratory objectives which included evaluation of the following:</w:t>
      </w:r>
    </w:p>
    <w:p w14:paraId="7D86D3E1" w14:textId="79DF6A8C" w:rsidR="00716A19" w:rsidRPr="008A743A" w:rsidRDefault="00716A19" w:rsidP="0061366E">
      <w:pPr>
        <w:pStyle w:val="ListBullet"/>
      </w:pPr>
      <w:r w:rsidRPr="008A743A">
        <w:t>Maximum concentration (</w:t>
      </w:r>
      <w:proofErr w:type="spellStart"/>
      <w:r w:rsidRPr="008A743A">
        <w:t>C</w:t>
      </w:r>
      <w:r w:rsidRPr="000A5A0B">
        <w:rPr>
          <w:vertAlign w:val="subscript"/>
        </w:rPr>
        <w:t>max</w:t>
      </w:r>
      <w:proofErr w:type="spellEnd"/>
      <w:r w:rsidRPr="008A743A">
        <w:t>) and</w:t>
      </w:r>
      <w:r w:rsidR="00A745C1">
        <w:t xml:space="preserve"> time of maximum concentration</w:t>
      </w:r>
      <w:r w:rsidRPr="008A743A">
        <w:t xml:space="preserve"> </w:t>
      </w:r>
      <w:r w:rsidR="00A745C1">
        <w:t>(</w:t>
      </w:r>
      <w:proofErr w:type="spellStart"/>
      <w:r w:rsidR="009B31D5">
        <w:t>T</w:t>
      </w:r>
      <w:r w:rsidRPr="007A024C">
        <w:rPr>
          <w:vertAlign w:val="subscript"/>
        </w:rPr>
        <w:t>max</w:t>
      </w:r>
      <w:proofErr w:type="spellEnd"/>
      <w:r w:rsidR="00A745C1">
        <w:t xml:space="preserve">) </w:t>
      </w:r>
      <w:r w:rsidRPr="008A743A">
        <w:t>in PID subjects at steady state.</w:t>
      </w:r>
    </w:p>
    <w:p w14:paraId="387B6CCE" w14:textId="17AA05EE" w:rsidR="00716A19" w:rsidRPr="008A743A" w:rsidRDefault="00716A19" w:rsidP="0061366E">
      <w:pPr>
        <w:pStyle w:val="ListBullet"/>
      </w:pPr>
      <w:r w:rsidRPr="008A743A">
        <w:t xml:space="preserve">Trough levels of </w:t>
      </w:r>
      <w:r w:rsidR="009A4791">
        <w:t xml:space="preserve">immunoglobulin </w:t>
      </w:r>
      <w:r w:rsidRPr="008A743A">
        <w:t>G subclasses (</w:t>
      </w:r>
      <w:r w:rsidR="009A4791">
        <w:t xml:space="preserve">immunoglobulin </w:t>
      </w:r>
      <w:r w:rsidRPr="008A743A">
        <w:t xml:space="preserve">G1, </w:t>
      </w:r>
      <w:r w:rsidR="009A4791">
        <w:t>immunoglobulin </w:t>
      </w:r>
      <w:r w:rsidRPr="008A743A">
        <w:t xml:space="preserve">G2, </w:t>
      </w:r>
      <w:r w:rsidR="009A4791">
        <w:t xml:space="preserve">immunoglobulin </w:t>
      </w:r>
      <w:r w:rsidRPr="008A743A">
        <w:t>G3</w:t>
      </w:r>
      <w:r w:rsidR="009A4791">
        <w:t xml:space="preserve"> and immunoglobulin </w:t>
      </w:r>
      <w:r w:rsidRPr="008A743A">
        <w:t>G4).</w:t>
      </w:r>
    </w:p>
    <w:p w14:paraId="7209DD4B" w14:textId="557F06F0" w:rsidR="00716A19" w:rsidRPr="003337EB" w:rsidRDefault="00716A19" w:rsidP="0061366E">
      <w:pPr>
        <w:pStyle w:val="ListBullet"/>
      </w:pPr>
      <w:r w:rsidRPr="008A743A">
        <w:t xml:space="preserve">Antibody levels for </w:t>
      </w:r>
      <w:r w:rsidRPr="008A743A">
        <w:rPr>
          <w:i/>
          <w:iCs/>
        </w:rPr>
        <w:t>S. pneumoniae, H. influenzae,</w:t>
      </w:r>
      <w:r w:rsidRPr="008A743A">
        <w:t xml:space="preserve"> and </w:t>
      </w:r>
      <w:r w:rsidRPr="008A743A">
        <w:rPr>
          <w:i/>
          <w:iCs/>
        </w:rPr>
        <w:t xml:space="preserve">(C. tetani </w:t>
      </w:r>
      <w:r w:rsidR="00A745C1">
        <w:rPr>
          <w:i/>
          <w:iCs/>
        </w:rPr>
        <w:t>(</w:t>
      </w:r>
      <w:r w:rsidRPr="00213CC2">
        <w:rPr>
          <w:iCs/>
        </w:rPr>
        <w:t>tetanus</w:t>
      </w:r>
      <w:r w:rsidR="00A745C1">
        <w:rPr>
          <w:i/>
          <w:iCs/>
        </w:rPr>
        <w:t>)</w:t>
      </w:r>
      <w:r w:rsidRPr="008A743A">
        <w:t>).</w:t>
      </w:r>
    </w:p>
    <w:p w14:paraId="7F7B8ADE" w14:textId="053A0207" w:rsidR="00716A19" w:rsidRDefault="00716A19" w:rsidP="0061366E">
      <w:pPr>
        <w:pStyle w:val="ListBullet"/>
        <w:rPr>
          <w:rFonts w:eastAsia="TimesNewRoman" w:cs="TimesNewRoman"/>
        </w:rPr>
      </w:pPr>
      <w:r w:rsidRPr="006C7735">
        <w:rPr>
          <w:rFonts w:eastAsia="TimesNewRoman" w:cs="TimesNewRoman"/>
        </w:rPr>
        <w:t>The rate of serious bacterial infections</w:t>
      </w:r>
      <w:r w:rsidR="0072757C">
        <w:rPr>
          <w:rFonts w:eastAsia="TimesNewRoman" w:cs="TimesNewRoman"/>
        </w:rPr>
        <w:t>.</w:t>
      </w:r>
    </w:p>
    <w:p w14:paraId="418B53F8" w14:textId="69C14707" w:rsidR="00716A19" w:rsidRDefault="00716A19" w:rsidP="0061366E">
      <w:pPr>
        <w:pStyle w:val="ListBullet"/>
        <w:rPr>
          <w:rFonts w:eastAsia="TimesNewRoman" w:cs="TimesNewRoman"/>
        </w:rPr>
      </w:pPr>
      <w:r>
        <w:rPr>
          <w:rFonts w:eastAsia="TimesNewRoman" w:cs="TimesNewRoman"/>
        </w:rPr>
        <w:t>The s</w:t>
      </w:r>
      <w:r w:rsidRPr="006C7735">
        <w:rPr>
          <w:rFonts w:eastAsia="TimesNewRoman" w:cs="TimesNewRoman"/>
        </w:rPr>
        <w:t xml:space="preserve">afety and tolerability of </w:t>
      </w:r>
      <w:r w:rsidR="009A4791">
        <w:rPr>
          <w:rFonts w:eastAsia="TimesNewRoman" w:cs="TimesNewRoman"/>
        </w:rPr>
        <w:t>subcutaneous immunoglobulin</w:t>
      </w:r>
      <w:r w:rsidRPr="006C7735">
        <w:rPr>
          <w:rFonts w:eastAsia="TimesNewRoman" w:cs="TimesNewRoman"/>
        </w:rPr>
        <w:t xml:space="preserve"> 20% as an </w:t>
      </w:r>
      <w:r w:rsidR="009A4791">
        <w:rPr>
          <w:rFonts w:eastAsia="TimesNewRoman" w:cs="TimesNewRoman"/>
        </w:rPr>
        <w:t xml:space="preserve">immunoglobulin </w:t>
      </w:r>
      <w:r w:rsidRPr="006C7735">
        <w:rPr>
          <w:rFonts w:eastAsia="TimesNewRoman" w:cs="TimesNewRoman"/>
        </w:rPr>
        <w:t xml:space="preserve">G replacement therapy in subjects with </w:t>
      </w:r>
      <w:r w:rsidR="000F6B6C">
        <w:t>p</w:t>
      </w:r>
      <w:r w:rsidR="000F6B6C" w:rsidRPr="00F55545">
        <w:t>rimary immunodeficiency</w:t>
      </w:r>
      <w:r w:rsidRPr="006C7735">
        <w:rPr>
          <w:rFonts w:eastAsia="TimesNewRoman" w:cs="TimesNewRoman"/>
        </w:rPr>
        <w:t>.</w:t>
      </w:r>
    </w:p>
    <w:p w14:paraId="19212B89" w14:textId="1D6C7C0B" w:rsidR="00716A19" w:rsidRPr="000A5A0B" w:rsidRDefault="00716A19" w:rsidP="000A5A0B">
      <w:r w:rsidRPr="000A5A0B">
        <w:t xml:space="preserve">The study consisted of a </w:t>
      </w:r>
      <w:r w:rsidR="00E567F7">
        <w:t>s</w:t>
      </w:r>
      <w:r w:rsidRPr="000A5A0B">
        <w:t xml:space="preserve">creening </w:t>
      </w:r>
      <w:r w:rsidR="009D13C3">
        <w:t>p</w:t>
      </w:r>
      <w:r w:rsidRPr="000A5A0B">
        <w:t xml:space="preserve">hase, a </w:t>
      </w:r>
      <w:r w:rsidR="00E567F7">
        <w:t>r</w:t>
      </w:r>
      <w:r w:rsidRPr="000A5A0B">
        <w:t>un-</w:t>
      </w:r>
      <w:r w:rsidR="00E567F7">
        <w:t>i</w:t>
      </w:r>
      <w:r w:rsidRPr="000A5A0B">
        <w:t xml:space="preserve">n </w:t>
      </w:r>
      <w:r w:rsidR="009D13C3">
        <w:t>p</w:t>
      </w:r>
      <w:r w:rsidRPr="000A5A0B">
        <w:t xml:space="preserve">hase, an </w:t>
      </w:r>
      <w:r w:rsidR="00983682">
        <w:t>intravenous</w:t>
      </w:r>
      <w:r w:rsidRPr="000A5A0B">
        <w:t xml:space="preserve"> </w:t>
      </w:r>
      <w:r w:rsidR="009D13C3">
        <w:t>p</w:t>
      </w:r>
      <w:r w:rsidRPr="000A5A0B">
        <w:t xml:space="preserve">hase, a </w:t>
      </w:r>
      <w:r w:rsidR="00983682">
        <w:t>subcutaneous</w:t>
      </w:r>
      <w:r w:rsidRPr="000A5A0B">
        <w:t xml:space="preserve"> </w:t>
      </w:r>
      <w:r w:rsidR="009D13C3">
        <w:t>p</w:t>
      </w:r>
      <w:r w:rsidRPr="000A5A0B">
        <w:t xml:space="preserve">hase, and an </w:t>
      </w:r>
      <w:r w:rsidR="00E567F7">
        <w:t>e</w:t>
      </w:r>
      <w:r w:rsidRPr="000A5A0B">
        <w:t xml:space="preserve">nd of </w:t>
      </w:r>
      <w:r w:rsidR="00E567F7">
        <w:t>s</w:t>
      </w:r>
      <w:r w:rsidRPr="000A5A0B">
        <w:t>tudy/</w:t>
      </w:r>
      <w:r w:rsidR="00E567F7">
        <w:t>e</w:t>
      </w:r>
      <w:r w:rsidRPr="000A5A0B">
        <w:t xml:space="preserve">arly </w:t>
      </w:r>
      <w:r w:rsidR="00E567F7">
        <w:t>t</w:t>
      </w:r>
      <w:r w:rsidRPr="000A5A0B">
        <w:t xml:space="preserve">ermination </w:t>
      </w:r>
      <w:r w:rsidR="008575F3">
        <w:t>v</w:t>
      </w:r>
      <w:r w:rsidRPr="000A5A0B">
        <w:t>isit.</w:t>
      </w:r>
    </w:p>
    <w:p w14:paraId="288FE377" w14:textId="4A3E36D9" w:rsidR="00716A19" w:rsidRPr="000A5A0B" w:rsidRDefault="00716A19" w:rsidP="000A5A0B">
      <w:r w:rsidRPr="00E0797C">
        <w:t>Subjects</w:t>
      </w:r>
      <w:r w:rsidRPr="000A5A0B">
        <w:t xml:space="preserve"> were treated with </w:t>
      </w:r>
      <w:r w:rsidR="00E0797C">
        <w:t>intravenous immunoglobulin</w:t>
      </w:r>
      <w:r w:rsidRPr="000A5A0B">
        <w:t xml:space="preserve"> 10% and </w:t>
      </w:r>
      <w:r w:rsidR="00E0797C">
        <w:t>subcutaneous immunoglobulin</w:t>
      </w:r>
      <w:r w:rsidRPr="000A5A0B">
        <w:t xml:space="preserve"> 20% manufactured by the sponsor. As this was an open</w:t>
      </w:r>
      <w:r w:rsidR="00E567F7">
        <w:t xml:space="preserve"> </w:t>
      </w:r>
      <w:r w:rsidRPr="000A5A0B">
        <w:t>label, single</w:t>
      </w:r>
      <w:r w:rsidR="00E567F7">
        <w:t xml:space="preserve"> </w:t>
      </w:r>
      <w:r w:rsidRPr="000A5A0B">
        <w:t>sequence study, all subjects received study drug treatment in the same order (</w:t>
      </w:r>
      <w:r w:rsidR="00E0797C">
        <w:t>that is</w:t>
      </w:r>
      <w:r w:rsidR="00E0797C" w:rsidRPr="000A5A0B">
        <w:t xml:space="preserve"> </w:t>
      </w:r>
      <w:r w:rsidR="00E0797C">
        <w:t>intravenous immunoglobulin</w:t>
      </w:r>
      <w:r w:rsidRPr="000A5A0B">
        <w:t xml:space="preserve"> 10% in the </w:t>
      </w:r>
      <w:r w:rsidR="00E0797C">
        <w:t>intravenous</w:t>
      </w:r>
      <w:r w:rsidRPr="000A5A0B">
        <w:t xml:space="preserve"> </w:t>
      </w:r>
      <w:r w:rsidR="009D13C3">
        <w:t>p</w:t>
      </w:r>
      <w:r w:rsidRPr="000A5A0B">
        <w:t xml:space="preserve">hase followed by </w:t>
      </w:r>
      <w:r w:rsidR="00E0797C">
        <w:t>subcutaneous immunoglobulin</w:t>
      </w:r>
      <w:r w:rsidRPr="000A5A0B">
        <w:t xml:space="preserve"> 20% in the </w:t>
      </w:r>
      <w:r w:rsidR="00E0797C">
        <w:t>subcutaneous</w:t>
      </w:r>
      <w:r w:rsidRPr="000A5A0B">
        <w:t xml:space="preserve"> </w:t>
      </w:r>
      <w:r w:rsidR="009D13C3">
        <w:t>p</w:t>
      </w:r>
      <w:r w:rsidRPr="000A5A0B">
        <w:t xml:space="preserve">hase). An </w:t>
      </w:r>
      <w:r w:rsidR="00E0797C">
        <w:t>intravenous</w:t>
      </w:r>
      <w:r w:rsidRPr="000A5A0B">
        <w:t xml:space="preserve"> to </w:t>
      </w:r>
      <w:r w:rsidR="00E0797C">
        <w:t>subcutaneous</w:t>
      </w:r>
      <w:r w:rsidRPr="000A5A0B">
        <w:t xml:space="preserve"> dose adjustment factor of 1.37 times was used to determine the initial </w:t>
      </w:r>
      <w:r w:rsidR="00E0797C">
        <w:t>subcutaneous</w:t>
      </w:r>
      <w:r w:rsidRPr="000A5A0B">
        <w:t xml:space="preserve"> dose.</w:t>
      </w:r>
    </w:p>
    <w:p w14:paraId="331604A7" w14:textId="7F8B34B4" w:rsidR="00716A19" w:rsidRPr="000A5A0B" w:rsidRDefault="00716A19" w:rsidP="000A5A0B">
      <w:r w:rsidRPr="000A5A0B">
        <w:t xml:space="preserve">In the </w:t>
      </w:r>
      <w:r w:rsidR="005773DC">
        <w:t>intravenous</w:t>
      </w:r>
      <w:r w:rsidRPr="000A5A0B">
        <w:t xml:space="preserve"> </w:t>
      </w:r>
      <w:r w:rsidR="009D13C3">
        <w:t>p</w:t>
      </w:r>
      <w:r w:rsidRPr="000A5A0B">
        <w:t xml:space="preserve">hase, subjects received two </w:t>
      </w:r>
      <w:r w:rsidR="005773DC">
        <w:t>intravenous</w:t>
      </w:r>
      <w:r w:rsidRPr="000A5A0B">
        <w:t xml:space="preserve"> infusions of </w:t>
      </w:r>
      <w:r w:rsidR="005773DC">
        <w:t>intravenous immunoglobulin</w:t>
      </w:r>
      <w:r w:rsidRPr="000A5A0B">
        <w:t xml:space="preserve"> 10%. At the first </w:t>
      </w:r>
      <w:r w:rsidR="008575F3">
        <w:t>V</w:t>
      </w:r>
      <w:r w:rsidRPr="000A5A0B">
        <w:t>isit (</w:t>
      </w:r>
      <w:r w:rsidR="005773DC">
        <w:t>intravenous</w:t>
      </w:r>
      <w:r w:rsidR="00EF1577">
        <w:t xml:space="preserve"> </w:t>
      </w:r>
      <w:r w:rsidR="00796E37">
        <w:t>V</w:t>
      </w:r>
      <w:r w:rsidR="00EF1577">
        <w:t>isit</w:t>
      </w:r>
      <w:r w:rsidR="005773DC">
        <w:t xml:space="preserve"> </w:t>
      </w:r>
      <w:r w:rsidRPr="000A5A0B">
        <w:t xml:space="preserve">1), subjects in Group 1 who had directly entered the </w:t>
      </w:r>
      <w:r w:rsidR="005773DC">
        <w:t>intravenous</w:t>
      </w:r>
      <w:r w:rsidRPr="000A5A0B">
        <w:t xml:space="preserve"> phase following screening received</w:t>
      </w:r>
      <w:r w:rsidR="005773DC">
        <w:t xml:space="preserve"> intravenous immunoglobulin</w:t>
      </w:r>
      <w:r w:rsidRPr="000A5A0B">
        <w:t xml:space="preserve"> 10% at a dose equivalent to their current dose while subjects in Groups 2 and 3 who had entered the </w:t>
      </w:r>
      <w:r w:rsidR="00E567F7">
        <w:t>r</w:t>
      </w:r>
      <w:r w:rsidRPr="000A5A0B">
        <w:t>un-</w:t>
      </w:r>
      <w:r w:rsidR="00E567F7">
        <w:t>i</w:t>
      </w:r>
      <w:r w:rsidRPr="000A5A0B">
        <w:t xml:space="preserve">n </w:t>
      </w:r>
      <w:r w:rsidR="009D13C3">
        <w:t>p</w:t>
      </w:r>
      <w:r w:rsidRPr="000A5A0B">
        <w:t xml:space="preserve">hase after screening received </w:t>
      </w:r>
      <w:r w:rsidR="005773DC">
        <w:t>intravenous immunoglobulin</w:t>
      </w:r>
      <w:r w:rsidRPr="000A5A0B">
        <w:t xml:space="preserve"> 10% at the same dose as had been administered in the </w:t>
      </w:r>
      <w:r w:rsidR="00E567F7">
        <w:t>r</w:t>
      </w:r>
      <w:r w:rsidRPr="000A5A0B">
        <w:t>un-</w:t>
      </w:r>
      <w:r w:rsidR="00E567F7">
        <w:t>i</w:t>
      </w:r>
      <w:r w:rsidRPr="000A5A0B">
        <w:t>n period.</w:t>
      </w:r>
    </w:p>
    <w:p w14:paraId="6EBD4BE3" w14:textId="4FCAFB2C" w:rsidR="00716A19" w:rsidRPr="000A5A0B" w:rsidRDefault="00716A19" w:rsidP="000A5A0B">
      <w:r w:rsidRPr="000A5A0B">
        <w:t xml:space="preserve">One week after the </w:t>
      </w:r>
      <w:r w:rsidR="005773DC">
        <w:t xml:space="preserve">intravenous </w:t>
      </w:r>
      <w:r w:rsidR="008575F3">
        <w:t>V</w:t>
      </w:r>
      <w:r w:rsidR="005773DC">
        <w:t xml:space="preserve">isit </w:t>
      </w:r>
      <w:r w:rsidRPr="000A5A0B">
        <w:t xml:space="preserve">2, subjects entered the </w:t>
      </w:r>
      <w:r w:rsidR="005773DC">
        <w:t>subcutaneous</w:t>
      </w:r>
      <w:r w:rsidRPr="000A5A0B">
        <w:t xml:space="preserve"> </w:t>
      </w:r>
      <w:r w:rsidR="0098334E">
        <w:t>p</w:t>
      </w:r>
      <w:r w:rsidR="009D13C3">
        <w:t>hase</w:t>
      </w:r>
      <w:r w:rsidRPr="000A5A0B">
        <w:t xml:space="preserve"> to receive weekly </w:t>
      </w:r>
      <w:r w:rsidR="005773DC">
        <w:t>subcutaneous</w:t>
      </w:r>
      <w:r w:rsidRPr="000A5A0B">
        <w:t xml:space="preserve"> doses of</w:t>
      </w:r>
      <w:r w:rsidR="005773DC">
        <w:t xml:space="preserve"> subcutaneous immunoglobulin</w:t>
      </w:r>
      <w:r w:rsidRPr="000A5A0B">
        <w:t xml:space="preserve"> 20% for a minimum of 24</w:t>
      </w:r>
      <w:r w:rsidR="00EC128F">
        <w:t> </w:t>
      </w:r>
      <w:r w:rsidRPr="000A5A0B">
        <w:t>weeks (</w:t>
      </w:r>
      <w:r w:rsidR="005773DC">
        <w:t>plus or minus one</w:t>
      </w:r>
      <w:r w:rsidRPr="000A5A0B">
        <w:t xml:space="preserve"> day). As described above, the initial </w:t>
      </w:r>
      <w:r w:rsidR="005773DC">
        <w:t>subcutaneous immunoglobulin</w:t>
      </w:r>
      <w:r w:rsidRPr="000A5A0B">
        <w:t xml:space="preserve"> 20% dose in the </w:t>
      </w:r>
      <w:r w:rsidR="005773DC">
        <w:t>subcutaneous</w:t>
      </w:r>
      <w:r w:rsidRPr="000A5A0B">
        <w:t xml:space="preserve"> </w:t>
      </w:r>
      <w:r w:rsidR="0098334E">
        <w:t>p</w:t>
      </w:r>
      <w:r w:rsidR="009D13C3">
        <w:t>hase</w:t>
      </w:r>
      <w:r w:rsidRPr="000A5A0B">
        <w:t xml:space="preserve"> was determined using an </w:t>
      </w:r>
      <w:r w:rsidR="005773DC">
        <w:lastRenderedPageBreak/>
        <w:t>intravenous</w:t>
      </w:r>
      <w:r w:rsidRPr="000A5A0B">
        <w:t xml:space="preserve"> to </w:t>
      </w:r>
      <w:r w:rsidR="005773DC">
        <w:t>subcutaneous</w:t>
      </w:r>
      <w:r w:rsidRPr="000A5A0B">
        <w:t xml:space="preserve"> </w:t>
      </w:r>
      <w:r w:rsidR="0072757C" w:rsidRPr="000A5A0B">
        <w:t xml:space="preserve">dose adjustment factor </w:t>
      </w:r>
      <w:r w:rsidRPr="000A5A0B">
        <w:t xml:space="preserve">of 1.37. After 12 weeks of weekly </w:t>
      </w:r>
      <w:r w:rsidR="005773DC">
        <w:t>subcutaneous</w:t>
      </w:r>
      <w:r w:rsidRPr="000A5A0B">
        <w:t xml:space="preserve"> therapy, determination of PK profiles for total </w:t>
      </w:r>
      <w:r w:rsidR="005773DC">
        <w:t xml:space="preserve">immunoglobulin </w:t>
      </w:r>
      <w:r w:rsidRPr="000A5A0B">
        <w:t>G began at the blood draw just prior to the 13</w:t>
      </w:r>
      <w:r w:rsidRPr="00213CC2">
        <w:t>th</w:t>
      </w:r>
      <w:r w:rsidRPr="000A5A0B">
        <w:t xml:space="preserve"> </w:t>
      </w:r>
      <w:r w:rsidR="005773DC">
        <w:t>subcutaneous</w:t>
      </w:r>
      <w:r w:rsidRPr="000A5A0B">
        <w:t xml:space="preserve"> infusion with the last sample collected immediately prior to the 14</w:t>
      </w:r>
      <w:r w:rsidRPr="00213CC2">
        <w:t>th</w:t>
      </w:r>
      <w:r w:rsidRPr="000A5A0B">
        <w:t xml:space="preserve"> </w:t>
      </w:r>
      <w:r w:rsidR="005773DC">
        <w:t>subcutaneous</w:t>
      </w:r>
      <w:r w:rsidRPr="000A5A0B">
        <w:t xml:space="preserve"> infusion (</w:t>
      </w:r>
      <w:r w:rsidR="0098334E">
        <w:t>seven</w:t>
      </w:r>
      <w:r w:rsidRPr="000A5A0B">
        <w:t xml:space="preserve"> days total).</w:t>
      </w:r>
    </w:p>
    <w:p w14:paraId="6F153FC5" w14:textId="301E84C2" w:rsidR="00716A19" w:rsidRPr="000A5A0B" w:rsidRDefault="00716A19" w:rsidP="000A5A0B">
      <w:r w:rsidRPr="000A5A0B">
        <w:t xml:space="preserve">A total of 61 subjects were screened for participation. A total of 53 subjects entered the study. Of these 53 subjects, </w:t>
      </w:r>
      <w:r w:rsidR="0098334E">
        <w:t>nine</w:t>
      </w:r>
      <w:r w:rsidRPr="000A5A0B">
        <w:t xml:space="preserve"> directly entered the </w:t>
      </w:r>
      <w:r w:rsidR="005773DC">
        <w:t>intravenous</w:t>
      </w:r>
      <w:r w:rsidRPr="000A5A0B">
        <w:t xml:space="preserve"> </w:t>
      </w:r>
      <w:r w:rsidR="0098334E">
        <w:t>p</w:t>
      </w:r>
      <w:r w:rsidR="009D13C3">
        <w:t>hase</w:t>
      </w:r>
      <w:r w:rsidRPr="000A5A0B">
        <w:t xml:space="preserve"> without </w:t>
      </w:r>
      <w:r w:rsidR="00E567F7">
        <w:t>r</w:t>
      </w:r>
      <w:r w:rsidRPr="000A5A0B">
        <w:t>un</w:t>
      </w:r>
      <w:r w:rsidR="00EC128F">
        <w:t>-</w:t>
      </w:r>
      <w:r w:rsidRPr="000A5A0B">
        <w:t xml:space="preserve">in and 44 entered the </w:t>
      </w:r>
      <w:r w:rsidR="00E567F7">
        <w:t>r</w:t>
      </w:r>
      <w:r w:rsidRPr="000A5A0B">
        <w:t>un</w:t>
      </w:r>
      <w:r w:rsidR="00EC128F">
        <w:t>-</w:t>
      </w:r>
      <w:r w:rsidRPr="000A5A0B">
        <w:t xml:space="preserve">in </w:t>
      </w:r>
      <w:r w:rsidR="0098334E">
        <w:t>p</w:t>
      </w:r>
      <w:r w:rsidR="009D13C3">
        <w:t>hase</w:t>
      </w:r>
      <w:r w:rsidRPr="000A5A0B">
        <w:t xml:space="preserve">. During the </w:t>
      </w:r>
      <w:r w:rsidR="00E567F7">
        <w:t>r</w:t>
      </w:r>
      <w:r w:rsidRPr="000A5A0B">
        <w:t>un</w:t>
      </w:r>
      <w:r w:rsidR="00EC128F">
        <w:t>-</w:t>
      </w:r>
      <w:r w:rsidRPr="000A5A0B">
        <w:t xml:space="preserve">in </w:t>
      </w:r>
      <w:r w:rsidR="0098334E">
        <w:t>p</w:t>
      </w:r>
      <w:r w:rsidR="009D13C3">
        <w:t>hase</w:t>
      </w:r>
      <w:r w:rsidRPr="000A5A0B">
        <w:t xml:space="preserve">, </w:t>
      </w:r>
      <w:r w:rsidR="005773DC">
        <w:t>one</w:t>
      </w:r>
      <w:r w:rsidRPr="000A5A0B">
        <w:t xml:space="preserve"> of the 44 subjects was lost to follow</w:t>
      </w:r>
      <w:r w:rsidR="00EF1577">
        <w:t xml:space="preserve"> </w:t>
      </w:r>
      <w:r w:rsidRPr="000A5A0B">
        <w:t xml:space="preserve">up. As a result, 43 subjects completed the </w:t>
      </w:r>
      <w:r w:rsidR="003F72E1">
        <w:t>r</w:t>
      </w:r>
      <w:r w:rsidRPr="000A5A0B">
        <w:t>un</w:t>
      </w:r>
      <w:r w:rsidR="00EC128F">
        <w:t>-</w:t>
      </w:r>
      <w:r w:rsidRPr="000A5A0B">
        <w:t xml:space="preserve">in </w:t>
      </w:r>
      <w:r w:rsidR="0098334E">
        <w:t>p</w:t>
      </w:r>
      <w:r w:rsidR="009D13C3">
        <w:t>hase</w:t>
      </w:r>
      <w:r w:rsidRPr="000A5A0B">
        <w:t xml:space="preserve"> and proceeded to the </w:t>
      </w:r>
      <w:r w:rsidR="005773DC">
        <w:t>intravenous</w:t>
      </w:r>
      <w:r w:rsidRPr="000A5A0B">
        <w:t xml:space="preserve"> </w:t>
      </w:r>
      <w:r w:rsidR="0098334E">
        <w:t>p</w:t>
      </w:r>
      <w:r w:rsidR="009D13C3">
        <w:t>hase</w:t>
      </w:r>
      <w:r w:rsidRPr="000A5A0B">
        <w:t>.</w:t>
      </w:r>
    </w:p>
    <w:p w14:paraId="1D3C4F98" w14:textId="3912A6BE" w:rsidR="00716A19" w:rsidRPr="000A5A0B" w:rsidRDefault="00716A19" w:rsidP="000A5A0B">
      <w:r w:rsidRPr="000A5A0B">
        <w:t xml:space="preserve">Overall, 52 subjects entered the </w:t>
      </w:r>
      <w:r w:rsidR="005773DC">
        <w:t>intravenous</w:t>
      </w:r>
      <w:r w:rsidRPr="000A5A0B">
        <w:t xml:space="preserve"> </w:t>
      </w:r>
      <w:r w:rsidR="0098334E">
        <w:t>p</w:t>
      </w:r>
      <w:r w:rsidR="009D13C3">
        <w:t>hase</w:t>
      </w:r>
      <w:r w:rsidRPr="000A5A0B">
        <w:t xml:space="preserve"> (</w:t>
      </w:r>
      <w:r w:rsidR="0098334E">
        <w:t>nine</w:t>
      </w:r>
      <w:r w:rsidRPr="000A5A0B">
        <w:t xml:space="preserve"> via direct entry, 43 via the </w:t>
      </w:r>
      <w:r w:rsidR="00C81592">
        <w:t>r</w:t>
      </w:r>
      <w:r w:rsidRPr="000A5A0B">
        <w:t>un</w:t>
      </w:r>
      <w:r w:rsidR="00EC128F">
        <w:t>-</w:t>
      </w:r>
      <w:r w:rsidRPr="000A5A0B">
        <w:t xml:space="preserve">in </w:t>
      </w:r>
      <w:r w:rsidR="0098334E">
        <w:t>p</w:t>
      </w:r>
      <w:r w:rsidR="009D13C3">
        <w:t>hase</w:t>
      </w:r>
      <w:r w:rsidRPr="000A5A0B">
        <w:t xml:space="preserve">). </w:t>
      </w:r>
      <w:r w:rsidR="005773DC">
        <w:t>Forty</w:t>
      </w:r>
      <w:r w:rsidR="0072757C">
        <w:t>-</w:t>
      </w:r>
      <w:r w:rsidR="005773DC">
        <w:t>nine</w:t>
      </w:r>
      <w:r w:rsidRPr="000A5A0B">
        <w:t xml:space="preserve"> completed the</w:t>
      </w:r>
      <w:r w:rsidR="005773DC">
        <w:t xml:space="preserve"> intravenous </w:t>
      </w:r>
      <w:r w:rsidR="0098334E">
        <w:t>p</w:t>
      </w:r>
      <w:r w:rsidR="009D13C3">
        <w:t>hase</w:t>
      </w:r>
      <w:r w:rsidRPr="000A5A0B">
        <w:t xml:space="preserve"> and entered the</w:t>
      </w:r>
      <w:r w:rsidR="005773DC">
        <w:t xml:space="preserve"> subcutaneous</w:t>
      </w:r>
      <w:r w:rsidRPr="000A5A0B">
        <w:t xml:space="preserve"> </w:t>
      </w:r>
      <w:r w:rsidR="0098334E">
        <w:t>p</w:t>
      </w:r>
      <w:r w:rsidR="009D13C3">
        <w:t>hase</w:t>
      </w:r>
      <w:r w:rsidRPr="000A5A0B">
        <w:t xml:space="preserve">, while </w:t>
      </w:r>
      <w:r w:rsidR="0098334E">
        <w:t>three</w:t>
      </w:r>
      <w:r w:rsidRPr="000A5A0B">
        <w:t xml:space="preserve"> discontinued the </w:t>
      </w:r>
      <w:r w:rsidR="005773DC">
        <w:t>intravenous</w:t>
      </w:r>
      <w:r w:rsidRPr="000A5A0B">
        <w:t xml:space="preserve"> </w:t>
      </w:r>
      <w:r w:rsidR="0098334E">
        <w:t>p</w:t>
      </w:r>
      <w:r w:rsidR="009D13C3">
        <w:t>hase</w:t>
      </w:r>
      <w:r w:rsidRPr="000A5A0B">
        <w:t xml:space="preserve"> and did not proceed to the </w:t>
      </w:r>
      <w:r w:rsidR="005773DC">
        <w:t>subcutaneous</w:t>
      </w:r>
      <w:r w:rsidRPr="000A5A0B">
        <w:t xml:space="preserve"> </w:t>
      </w:r>
      <w:r w:rsidR="0098334E">
        <w:t>p</w:t>
      </w:r>
      <w:r w:rsidR="009D13C3">
        <w:t>hase</w:t>
      </w:r>
      <w:r w:rsidRPr="000A5A0B">
        <w:t xml:space="preserve">. Of the 49 subjects entering the </w:t>
      </w:r>
      <w:r w:rsidR="005773DC">
        <w:t>subcutaneous</w:t>
      </w:r>
      <w:r w:rsidRPr="000A5A0B">
        <w:t xml:space="preserve"> </w:t>
      </w:r>
      <w:r w:rsidR="0098334E">
        <w:t>p</w:t>
      </w:r>
      <w:r w:rsidR="009D13C3">
        <w:t>hase</w:t>
      </w:r>
      <w:r w:rsidRPr="000A5A0B">
        <w:t xml:space="preserve">, 42 completed the </w:t>
      </w:r>
      <w:r w:rsidR="005773DC">
        <w:t>subcutaneous</w:t>
      </w:r>
      <w:r w:rsidRPr="000A5A0B">
        <w:t xml:space="preserve"> </w:t>
      </w:r>
      <w:r w:rsidR="0098334E">
        <w:t>p</w:t>
      </w:r>
      <w:r w:rsidR="009D13C3">
        <w:t>hase</w:t>
      </w:r>
      <w:r w:rsidRPr="000A5A0B">
        <w:t xml:space="preserve"> and </w:t>
      </w:r>
      <w:r w:rsidR="00EF1577">
        <w:t>seven</w:t>
      </w:r>
      <w:r w:rsidRPr="000A5A0B">
        <w:t xml:space="preserve"> discontinued the </w:t>
      </w:r>
      <w:r w:rsidR="005773DC">
        <w:t>subcutaneous</w:t>
      </w:r>
      <w:r w:rsidRPr="000A5A0B">
        <w:t xml:space="preserve"> </w:t>
      </w:r>
      <w:r w:rsidR="0098334E">
        <w:t>p</w:t>
      </w:r>
      <w:r w:rsidR="009D13C3">
        <w:t>hase</w:t>
      </w:r>
      <w:r w:rsidRPr="000A5A0B">
        <w:t>.</w:t>
      </w:r>
    </w:p>
    <w:p w14:paraId="2DC64AC5" w14:textId="0E5C38CC" w:rsidR="00716A19" w:rsidRPr="000A5A0B" w:rsidRDefault="00716A19" w:rsidP="000A5A0B">
      <w:r w:rsidRPr="000A5A0B">
        <w:t>Overall, of the 53 subjects entering the study, 42 (79.2%) completed the study and 11</w:t>
      </w:r>
      <w:r w:rsidR="0072757C">
        <w:t> </w:t>
      </w:r>
      <w:r w:rsidRPr="000A5A0B">
        <w:t>(20.8%) discontinued prematurely</w:t>
      </w:r>
      <w:r w:rsidR="00AC6D79">
        <w:t xml:space="preserve">. Five subjects discontinued </w:t>
      </w:r>
      <w:r w:rsidRPr="000A5A0B">
        <w:t xml:space="preserve">due to </w:t>
      </w:r>
      <w:r w:rsidR="00D60705">
        <w:t>adverse events</w:t>
      </w:r>
      <w:r w:rsidR="0072757C">
        <w:t>,</w:t>
      </w:r>
      <w:r w:rsidR="00D60705">
        <w:t xml:space="preserve"> </w:t>
      </w:r>
      <w:r w:rsidR="00AC6D79">
        <w:t>four subjects withdrew</w:t>
      </w:r>
      <w:r w:rsidRPr="000A5A0B">
        <w:t>,</w:t>
      </w:r>
      <w:r w:rsidR="00AC6D79">
        <w:t xml:space="preserve"> one subject was</w:t>
      </w:r>
      <w:r w:rsidRPr="000A5A0B">
        <w:t xml:space="preserve"> lost to follow</w:t>
      </w:r>
      <w:r w:rsidR="00C81592">
        <w:t xml:space="preserve"> </w:t>
      </w:r>
      <w:r w:rsidRPr="000A5A0B">
        <w:t>up</w:t>
      </w:r>
      <w:r w:rsidR="00AC6D79">
        <w:t xml:space="preserve">, </w:t>
      </w:r>
      <w:r w:rsidRPr="000A5A0B">
        <w:t xml:space="preserve">and </w:t>
      </w:r>
      <w:r w:rsidR="0098334E">
        <w:t>one</w:t>
      </w:r>
      <w:r w:rsidRPr="000A5A0B">
        <w:t xml:space="preserve"> subject refused blood samples.</w:t>
      </w:r>
    </w:p>
    <w:p w14:paraId="2B2F2529" w14:textId="3C1AEC00" w:rsidR="00716A19" w:rsidRPr="000A5A0B" w:rsidRDefault="00716A19" w:rsidP="000A5A0B">
      <w:r w:rsidRPr="000A5A0B">
        <w:t xml:space="preserve">The mean </w:t>
      </w:r>
      <w:r w:rsidR="00EF1577">
        <w:t xml:space="preserve">standard deviation </w:t>
      </w:r>
      <w:r w:rsidRPr="000A5A0B">
        <w:t>(SD) age of the population was 36.8 (21.36) years (range:</w:t>
      </w:r>
      <w:r w:rsidR="0072757C">
        <w:t> </w:t>
      </w:r>
      <w:r w:rsidR="000F6B6C">
        <w:t>2</w:t>
      </w:r>
      <w:r w:rsidR="00EC128F">
        <w:t> </w:t>
      </w:r>
      <w:r w:rsidR="0084660C">
        <w:t>to</w:t>
      </w:r>
      <w:r w:rsidRPr="000A5A0B">
        <w:t xml:space="preserve"> 72 years), with </w:t>
      </w:r>
      <w:proofErr w:type="gramStart"/>
      <w:r w:rsidRPr="000A5A0B">
        <w:t>the majority of</w:t>
      </w:r>
      <w:proofErr w:type="gramEnd"/>
      <w:r w:rsidRPr="000A5A0B">
        <w:t xml:space="preserve"> the population being aged </w:t>
      </w:r>
      <w:r w:rsidR="00C10788">
        <w:t>greater than</w:t>
      </w:r>
      <w:r w:rsidRPr="000A5A0B">
        <w:t xml:space="preserve"> 16</w:t>
      </w:r>
      <w:r w:rsidR="0072757C">
        <w:t> </w:t>
      </w:r>
      <w:r w:rsidRPr="000E561B">
        <w:t>years (38</w:t>
      </w:r>
      <w:r w:rsidR="00EC128F">
        <w:t> </w:t>
      </w:r>
      <w:r w:rsidRPr="000E561B">
        <w:t xml:space="preserve">subjects, 71.7%). There were </w:t>
      </w:r>
      <w:r w:rsidR="0098334E" w:rsidRPr="000E561B">
        <w:t>two</w:t>
      </w:r>
      <w:r w:rsidRPr="000E561B">
        <w:t xml:space="preserve"> paediatric subjects aged</w:t>
      </w:r>
      <w:r w:rsidR="00C10788">
        <w:t xml:space="preserve"> greater than or equal to</w:t>
      </w:r>
      <w:r w:rsidRPr="000E561B">
        <w:t xml:space="preserve"> </w:t>
      </w:r>
      <w:r w:rsidR="00EC128F">
        <w:t>2 </w:t>
      </w:r>
      <w:r w:rsidR="00C10788">
        <w:t>years</w:t>
      </w:r>
      <w:r w:rsidRPr="000E561B">
        <w:t xml:space="preserve"> to </w:t>
      </w:r>
      <w:r w:rsidR="00C10788">
        <w:t xml:space="preserve">less than or equal to </w:t>
      </w:r>
      <w:r w:rsidR="00EC128F">
        <w:t>5</w:t>
      </w:r>
      <w:r w:rsidR="00C10788">
        <w:t xml:space="preserve"> </w:t>
      </w:r>
      <w:r w:rsidRPr="000E561B">
        <w:t>years</w:t>
      </w:r>
      <w:r w:rsidRPr="000A5A0B">
        <w:t xml:space="preserve">, </w:t>
      </w:r>
      <w:r w:rsidR="00C10788">
        <w:t>seven</w:t>
      </w:r>
      <w:r w:rsidRPr="000A5A0B">
        <w:t xml:space="preserve"> paediatric subjects aged </w:t>
      </w:r>
      <w:r w:rsidR="00C10788">
        <w:t xml:space="preserve">greater than </w:t>
      </w:r>
      <w:r w:rsidR="00EC128F">
        <w:t>5</w:t>
      </w:r>
      <w:r w:rsidR="0072757C">
        <w:t> </w:t>
      </w:r>
      <w:r w:rsidR="00C10788">
        <w:t>years</w:t>
      </w:r>
      <w:r w:rsidRPr="000A5A0B">
        <w:t xml:space="preserve"> to </w:t>
      </w:r>
      <w:r w:rsidR="00C10788">
        <w:t>less than or equal to</w:t>
      </w:r>
      <w:r w:rsidR="00C81592">
        <w:t> </w:t>
      </w:r>
      <w:r w:rsidRPr="000A5A0B">
        <w:t xml:space="preserve">12 years, and </w:t>
      </w:r>
      <w:r w:rsidR="0098334E">
        <w:t>six</w:t>
      </w:r>
      <w:r w:rsidRPr="000A5A0B">
        <w:t xml:space="preserve"> adolescent subjects aged </w:t>
      </w:r>
      <w:r w:rsidR="00C10788">
        <w:t>gr</w:t>
      </w:r>
      <w:r w:rsidR="00D60705">
        <w:t>e</w:t>
      </w:r>
      <w:r w:rsidR="00C10788">
        <w:t>ater than</w:t>
      </w:r>
      <w:r w:rsidRPr="000A5A0B">
        <w:t xml:space="preserve"> 12 to 16</w:t>
      </w:r>
      <w:r w:rsidR="00EC128F">
        <w:t> </w:t>
      </w:r>
      <w:r w:rsidRPr="000A5A0B">
        <w:t>years. The number of males and females was well balanced in the overall population (27</w:t>
      </w:r>
      <w:r w:rsidR="00EC128F">
        <w:t> </w:t>
      </w:r>
      <w:r w:rsidRPr="000A5A0B">
        <w:t xml:space="preserve">males, </w:t>
      </w:r>
      <w:r w:rsidR="000A5A0B" w:rsidRPr="000A5A0B">
        <w:t>50.9%:</w:t>
      </w:r>
      <w:r w:rsidRPr="000A5A0B">
        <w:t xml:space="preserve"> 26 females, 49.1%). </w:t>
      </w:r>
      <w:proofErr w:type="gramStart"/>
      <w:r w:rsidRPr="000A5A0B">
        <w:t>The majority of</w:t>
      </w:r>
      <w:proofErr w:type="gramEnd"/>
      <w:r w:rsidRPr="000A5A0B">
        <w:t xml:space="preserve"> the overall population was </w:t>
      </w:r>
      <w:r w:rsidR="00796E37">
        <w:t>W</w:t>
      </w:r>
      <w:r w:rsidRPr="000A5A0B">
        <w:t>hite (48 subjects, 90.6%).</w:t>
      </w:r>
    </w:p>
    <w:p w14:paraId="4AB15535" w14:textId="2CC35F56" w:rsidR="00716A19" w:rsidRPr="000A5A0B" w:rsidRDefault="00716A19" w:rsidP="000A5A0B">
      <w:r w:rsidRPr="000A5A0B">
        <w:t xml:space="preserve">Of the 53 enrolled subjects, 50 (94.3%) subjects had valid data for PK analysis and were included in the PK population, with AUC estimates being provided by 49 subjects in the </w:t>
      </w:r>
      <w:r w:rsidR="00C10788">
        <w:t>intravenous</w:t>
      </w:r>
      <w:r w:rsidRPr="000A5A0B">
        <w:t xml:space="preserve"> </w:t>
      </w:r>
      <w:r w:rsidR="0098334E">
        <w:t>p</w:t>
      </w:r>
      <w:r w:rsidR="009D13C3">
        <w:t>hase</w:t>
      </w:r>
      <w:r w:rsidRPr="000A5A0B">
        <w:t xml:space="preserve"> and 39 subjects in the </w:t>
      </w:r>
      <w:r w:rsidR="00C10788">
        <w:t xml:space="preserve">subcutaneous </w:t>
      </w:r>
      <w:r w:rsidR="0098334E">
        <w:t>p</w:t>
      </w:r>
      <w:r w:rsidR="009D13C3">
        <w:t>hase</w:t>
      </w:r>
      <w:r w:rsidRPr="000A5A0B">
        <w:t xml:space="preserve">. A total of 38 subjects had sufficient and valid PK profiles in both the </w:t>
      </w:r>
      <w:r w:rsidR="00C10788">
        <w:t>intravenous</w:t>
      </w:r>
      <w:r w:rsidRPr="000A5A0B">
        <w:t xml:space="preserve"> and </w:t>
      </w:r>
      <w:r w:rsidR="00C10788">
        <w:t>subcutaneous</w:t>
      </w:r>
      <w:r w:rsidRPr="000A5A0B">
        <w:t xml:space="preserve"> </w:t>
      </w:r>
      <w:r w:rsidR="0098334E">
        <w:t>p</w:t>
      </w:r>
      <w:r w:rsidR="009D13C3">
        <w:t>hase</w:t>
      </w:r>
      <w:r w:rsidRPr="000A5A0B">
        <w:t>s allowing calculation of the AUC (</w:t>
      </w:r>
      <w:r w:rsidR="00C10788">
        <w:t>subcutaneous</w:t>
      </w:r>
      <w:r w:rsidRPr="000A5A0B">
        <w:t>/</w:t>
      </w:r>
      <w:r w:rsidR="00C10788">
        <w:t>intravenous</w:t>
      </w:r>
      <w:r w:rsidRPr="000A5A0B">
        <w:t>) ratio.</w:t>
      </w:r>
    </w:p>
    <w:p w14:paraId="101EBEC1" w14:textId="266A2EB7" w:rsidR="00716A19" w:rsidRPr="000A5A0B" w:rsidRDefault="00716A19" w:rsidP="000A5A0B">
      <w:r w:rsidRPr="000A5A0B">
        <w:t>The mean</w:t>
      </w:r>
      <w:r w:rsidR="00C10788">
        <w:t xml:space="preserve"> </w:t>
      </w:r>
      <w:r w:rsidR="00F37884">
        <w:t>(</w:t>
      </w:r>
      <w:r w:rsidRPr="000A5A0B">
        <w:t>SD</w:t>
      </w:r>
      <w:r w:rsidR="00F37884">
        <w:t>)</w:t>
      </w:r>
      <w:r w:rsidRPr="000A5A0B">
        <w:t xml:space="preserve"> time since </w:t>
      </w:r>
      <w:r w:rsidR="00EC128F">
        <w:t>primary immunodeficiency</w:t>
      </w:r>
      <w:r w:rsidRPr="000A5A0B">
        <w:t xml:space="preserve"> diagnosis was 10.33 (10.655) years (range: 0.3, 41.1 years), and </w:t>
      </w:r>
      <w:proofErr w:type="gramStart"/>
      <w:r w:rsidRPr="000A5A0B">
        <w:t>the majority of</w:t>
      </w:r>
      <w:proofErr w:type="gramEnd"/>
      <w:r w:rsidRPr="000A5A0B">
        <w:t xml:space="preserve"> subjects (n</w:t>
      </w:r>
      <w:r w:rsidR="000E561B">
        <w:t xml:space="preserve"> </w:t>
      </w:r>
      <w:r w:rsidRPr="000A5A0B">
        <w:t>=</w:t>
      </w:r>
      <w:r w:rsidR="000E561B">
        <w:t xml:space="preserve"> </w:t>
      </w:r>
      <w:r w:rsidRPr="000A5A0B">
        <w:t xml:space="preserve">41, 77.4%) had common variable immunodeficiency (CVID). Of the 53 enrolled subjects, 35 (66%) had received </w:t>
      </w:r>
      <w:r w:rsidR="00C10788">
        <w:t>intravenous immunoglobulin</w:t>
      </w:r>
      <w:r w:rsidRPr="000A5A0B">
        <w:t xml:space="preserve"> treatment in the 12 months prior to study entry and 25 (47.2%) had received </w:t>
      </w:r>
      <w:r w:rsidR="00C10788">
        <w:t>subcutaneous immunoglobulin</w:t>
      </w:r>
      <w:r w:rsidRPr="000A5A0B">
        <w:t xml:space="preserve"> treatment, with </w:t>
      </w:r>
      <w:r w:rsidR="00C10788">
        <w:t>intravenous immunoglobulin</w:t>
      </w:r>
      <w:r w:rsidRPr="000A5A0B">
        <w:t xml:space="preserve"> and </w:t>
      </w:r>
      <w:r w:rsidR="00C10788">
        <w:t>subcutaneous immunoglobulin</w:t>
      </w:r>
      <w:r w:rsidRPr="000A5A0B">
        <w:t xml:space="preserve"> treatments not being mutually exclusive.</w:t>
      </w:r>
    </w:p>
    <w:p w14:paraId="0688A631" w14:textId="49B9DB98" w:rsidR="00716A19" w:rsidRDefault="00716A19" w:rsidP="000A5A0B">
      <w:r w:rsidRPr="000A5A0B">
        <w:t>The results for the primary PK endpoint analysis of steady</w:t>
      </w:r>
      <w:r w:rsidR="00C81592">
        <w:t xml:space="preserve"> </w:t>
      </w:r>
      <w:r w:rsidRPr="000A5A0B">
        <w:t>state</w:t>
      </w:r>
      <w:r w:rsidR="00C420CC" w:rsidRPr="00C420CC">
        <w:t xml:space="preserve"> </w:t>
      </w:r>
      <w:r w:rsidR="00C420CC">
        <w:t>a</w:t>
      </w:r>
      <w:r w:rsidR="00C420CC" w:rsidRPr="00C420CC">
        <w:t>rea under the concentration</w:t>
      </w:r>
      <w:r w:rsidR="00C420CC">
        <w:t xml:space="preserve"> </w:t>
      </w:r>
      <w:r w:rsidR="00C420CC" w:rsidRPr="00C420CC">
        <w:t>time curve from 0 to 7 days</w:t>
      </w:r>
      <w:r w:rsidRPr="000A5A0B">
        <w:t xml:space="preserve"> </w:t>
      </w:r>
      <w:r w:rsidR="00C420CC">
        <w:t>(</w:t>
      </w:r>
      <w:r w:rsidRPr="000A5A0B">
        <w:t>AUC</w:t>
      </w:r>
      <w:r w:rsidRPr="000A5A0B">
        <w:rPr>
          <w:vertAlign w:val="subscript"/>
        </w:rPr>
        <w:t>0-7</w:t>
      </w:r>
      <w:r w:rsidRPr="00CA2706">
        <w:rPr>
          <w:vertAlign w:val="subscript"/>
        </w:rPr>
        <w:t>days</w:t>
      </w:r>
      <w:r w:rsidR="00C420CC">
        <w:t>)</w:t>
      </w:r>
      <w:r w:rsidRPr="000A5A0B">
        <w:t xml:space="preserve"> for total </w:t>
      </w:r>
      <w:r w:rsidR="00C420CC">
        <w:t xml:space="preserve">immunoglobulin </w:t>
      </w:r>
      <w:r w:rsidRPr="000A5A0B">
        <w:t xml:space="preserve">G showed that the geometric </w:t>
      </w:r>
      <w:r w:rsidR="001A7EEF" w:rsidRPr="0084660C">
        <w:t>least square means</w:t>
      </w:r>
      <w:r w:rsidR="001A7EEF" w:rsidRPr="001A7EEF">
        <w:t xml:space="preserve"> (</w:t>
      </w:r>
      <w:r w:rsidRPr="001A7EEF">
        <w:t>LSM</w:t>
      </w:r>
      <w:r w:rsidR="001A7EEF" w:rsidRPr="001A7EEF">
        <w:t>)</w:t>
      </w:r>
      <w:r w:rsidRPr="000A5A0B">
        <w:t xml:space="preserve"> ratio (</w:t>
      </w:r>
      <w:r w:rsidR="00C420CC">
        <w:t>subcutaneous</w:t>
      </w:r>
      <w:r w:rsidRPr="000A5A0B">
        <w:t>/</w:t>
      </w:r>
      <w:r w:rsidR="00C420CC">
        <w:t>intravenous</w:t>
      </w:r>
      <w:r w:rsidRPr="000A5A0B">
        <w:t>) was 1.04 and the 90%</w:t>
      </w:r>
      <w:r w:rsidR="001A7EEF">
        <w:t xml:space="preserve"> confidence interval</w:t>
      </w:r>
      <w:r w:rsidRPr="000A5A0B">
        <w:t xml:space="preserve"> </w:t>
      </w:r>
      <w:r w:rsidR="001A7EEF">
        <w:t>(</w:t>
      </w:r>
      <w:r w:rsidRPr="000A5A0B">
        <w:t>CI</w:t>
      </w:r>
      <w:r w:rsidR="001A7EEF">
        <w:t>)</w:t>
      </w:r>
      <w:r w:rsidRPr="000A5A0B">
        <w:t xml:space="preserve"> for the ratio was 1 to 1.07. The lower bound of the 90% CI of the geometric LSM ratio (</w:t>
      </w:r>
      <w:r w:rsidR="00C420CC">
        <w:t>subcutaneous</w:t>
      </w:r>
      <w:r w:rsidRPr="000A5A0B">
        <w:t>/</w:t>
      </w:r>
      <w:r w:rsidR="00C420CC">
        <w:t>intravenous</w:t>
      </w:r>
      <w:r w:rsidRPr="000A5A0B">
        <w:t xml:space="preserve">) was above 0.8, demonstrating non-inferiority of </w:t>
      </w:r>
      <w:r w:rsidR="00C420CC">
        <w:t>subcutaneous</w:t>
      </w:r>
      <w:r w:rsidRPr="000A5A0B">
        <w:t xml:space="preserve"> to </w:t>
      </w:r>
      <w:r w:rsidR="00C420CC">
        <w:t>intravenous</w:t>
      </w:r>
      <w:r w:rsidRPr="000A5A0B">
        <w:t xml:space="preserve"> administration. The primary PK objective of this study was achieved by demonstrating that a </w:t>
      </w:r>
      <w:r w:rsidR="0072757C">
        <w:t xml:space="preserve">dose adjustment factor </w:t>
      </w:r>
      <w:r w:rsidRPr="000A5A0B">
        <w:t xml:space="preserve">of 1.37 is appropriate when determining a </w:t>
      </w:r>
      <w:r w:rsidR="00C420CC">
        <w:t>subcutaneous</w:t>
      </w:r>
      <w:r w:rsidRPr="000A5A0B">
        <w:t xml:space="preserve"> dose of </w:t>
      </w:r>
      <w:r w:rsidR="00C420CC">
        <w:t>subcutaneous immunoglobulin</w:t>
      </w:r>
      <w:r w:rsidRPr="000A5A0B">
        <w:t xml:space="preserve"> 20% from an </w:t>
      </w:r>
      <w:r w:rsidR="00C420CC">
        <w:t>intravenous</w:t>
      </w:r>
      <w:r w:rsidRPr="000A5A0B">
        <w:t xml:space="preserve"> dose of</w:t>
      </w:r>
      <w:r w:rsidR="00C420CC">
        <w:t xml:space="preserve"> intravenous immunoglobulin </w:t>
      </w:r>
      <w:r w:rsidRPr="000A5A0B">
        <w:t>10%.</w:t>
      </w:r>
    </w:p>
    <w:p w14:paraId="35EED220" w14:textId="01605544" w:rsidR="009E007E" w:rsidRPr="000A5A0B" w:rsidRDefault="009E007E" w:rsidP="00213CC2">
      <w:pPr>
        <w:spacing w:before="0" w:after="200" w:line="0" w:lineRule="auto"/>
      </w:pPr>
      <w:r>
        <w:br w:type="page"/>
      </w:r>
    </w:p>
    <w:p w14:paraId="435C627E" w14:textId="3E2990A4" w:rsidR="00716A19" w:rsidRPr="0084660C" w:rsidRDefault="0084660C" w:rsidP="0084660C">
      <w:pPr>
        <w:pStyle w:val="TableTitle"/>
      </w:pPr>
      <w:r>
        <w:lastRenderedPageBreak/>
        <w:t xml:space="preserve">Table </w:t>
      </w:r>
      <w:fldSimple w:instr=" SEQ Table \* ARABIC ">
        <w:r w:rsidR="009C353F">
          <w:rPr>
            <w:noProof/>
          </w:rPr>
          <w:t>4</w:t>
        </w:r>
      </w:fldSimple>
      <w:r>
        <w:t xml:space="preserve">: </w:t>
      </w:r>
      <w:r w:rsidR="0072757C">
        <w:t xml:space="preserve">Study GTI1502 </w:t>
      </w:r>
      <w:r w:rsidR="00716A19" w:rsidRPr="0084660C">
        <w:t xml:space="preserve">Statistical analysis of primary </w:t>
      </w:r>
      <w:r w:rsidRPr="0084660C">
        <w:t>pharmacokinetics</w:t>
      </w:r>
      <w:r w:rsidR="00716A19" w:rsidRPr="0084660C">
        <w:t xml:space="preserve"> endpoint of steady state </w:t>
      </w:r>
      <w:r w:rsidR="00B811FF" w:rsidRPr="00B811FF">
        <w:t xml:space="preserve">area under the concentration time curve from 0 to 7 days </w:t>
      </w:r>
      <w:r w:rsidR="00716A19" w:rsidRPr="0084660C">
        <w:t xml:space="preserve">(h.mg/dL) of total </w:t>
      </w:r>
      <w:r w:rsidR="00B811FF">
        <w:t xml:space="preserve">immunoglobulin </w:t>
      </w:r>
      <w:r w:rsidR="00716A19" w:rsidRPr="0084660C">
        <w:t>G and the two sensitivity analyses</w:t>
      </w:r>
      <w:r w:rsidR="0072757C">
        <w:t xml:space="preserve"> (</w:t>
      </w:r>
      <w:r w:rsidR="00B811FF">
        <w:t>pharmacokinetic</w:t>
      </w:r>
      <w:r w:rsidR="002925DB">
        <w:t xml:space="preserve"> population</w:t>
      </w:r>
      <w:r w:rsidR="0072757C">
        <w:t>)</w:t>
      </w:r>
    </w:p>
    <w:p w14:paraId="4A3B5A8F" w14:textId="5B01231E" w:rsidR="00716A19" w:rsidRDefault="00716A19" w:rsidP="00716A19">
      <w:pPr>
        <w:rPr>
          <w:bCs/>
        </w:rPr>
      </w:pPr>
      <w:r w:rsidRPr="00DD5C81">
        <w:rPr>
          <w:rFonts w:ascii="TimesNewRoman" w:eastAsia="TimesNewRoman" w:hAnsiTheme="minorHAnsi" w:cs="TimesNewRoman"/>
          <w:noProof/>
          <w:sz w:val="24"/>
          <w:szCs w:val="24"/>
          <w:lang w:val="en-GB" w:eastAsia="en-GB"/>
        </w:rPr>
        <w:drawing>
          <wp:inline distT="0" distB="0" distL="0" distR="0" wp14:anchorId="5DF0CF68" wp14:editId="6F7BAF35">
            <wp:extent cx="4965192" cy="3008376"/>
            <wp:effectExtent l="0" t="0" r="6985" b="1905"/>
            <wp:docPr id="16" name="Picture 16" descr="Table 4: Statistical analysis of primary pharmacokinetics endpoint of steady state area under the concentration time curve from 0 to 7 days (h.mg/dL) of total immunoglobulin G and the two sensitivity analyses, pharmacokinetic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 4: Statistical analysis of primary pharmacokinetics endpoint of steady state area under the concentration time curve from 0 to 7 days (h.mg/dL) of total immunoglobulin G and the two sensitivity analyses, pharmacokinetic popul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65192" cy="3008376"/>
                    </a:xfrm>
                    <a:prstGeom prst="rect">
                      <a:avLst/>
                    </a:prstGeom>
                    <a:noFill/>
                    <a:ln>
                      <a:noFill/>
                    </a:ln>
                  </pic:spPr>
                </pic:pic>
              </a:graphicData>
            </a:graphic>
          </wp:inline>
        </w:drawing>
      </w:r>
    </w:p>
    <w:p w14:paraId="55AD10A3" w14:textId="5DD4B5F4" w:rsidR="0072757C" w:rsidRDefault="0072757C" w:rsidP="00213CC2">
      <w:pPr>
        <w:pStyle w:val="TableDescription"/>
      </w:pPr>
      <w:r>
        <w:t xml:space="preserve">Abbreviations: </w:t>
      </w:r>
      <w:r w:rsidR="004A2F6A">
        <w:t xml:space="preserve">GLSM = geometric least squares mean; </w:t>
      </w:r>
      <w:r>
        <w:t>IV = intravenous; LSM = least squares mean; PK = pharmacokinetic; SC = subcutaneous</w:t>
      </w:r>
    </w:p>
    <w:p w14:paraId="4BE9FAED" w14:textId="7DF736C2" w:rsidR="00716A19" w:rsidRPr="000A5A0B" w:rsidRDefault="00716A19" w:rsidP="000A5A0B">
      <w:r w:rsidRPr="000A5A0B">
        <w:t>The mean AUC</w:t>
      </w:r>
      <w:r w:rsidRPr="000A5A0B">
        <w:rPr>
          <w:vertAlign w:val="subscript"/>
        </w:rPr>
        <w:t xml:space="preserve">0-7 </w:t>
      </w:r>
      <w:r w:rsidRPr="00CA2706">
        <w:rPr>
          <w:vertAlign w:val="subscript"/>
        </w:rPr>
        <w:t>days</w:t>
      </w:r>
      <w:r w:rsidRPr="000A5A0B">
        <w:t xml:space="preserve"> ratio (</w:t>
      </w:r>
      <w:r w:rsidR="002D71BA">
        <w:t>subcutaneous</w:t>
      </w:r>
      <w:r w:rsidRPr="000A5A0B">
        <w:t>/</w:t>
      </w:r>
      <w:r w:rsidR="002D71BA">
        <w:t>intravenous</w:t>
      </w:r>
      <w:r w:rsidRPr="000A5A0B">
        <w:t>) was 1.05 for all subjects (n</w:t>
      </w:r>
      <w:r w:rsidR="002D71BA">
        <w:t xml:space="preserve"> </w:t>
      </w:r>
      <w:r w:rsidRPr="000A5A0B">
        <w:t>=</w:t>
      </w:r>
      <w:r w:rsidR="002D71BA">
        <w:t xml:space="preserve"> </w:t>
      </w:r>
      <w:r w:rsidRPr="000A5A0B">
        <w:t>38), with mean values by age group ranging from 1.02 (</w:t>
      </w:r>
      <w:r w:rsidR="002D71BA">
        <w:t>greater than</w:t>
      </w:r>
      <w:r w:rsidRPr="000A5A0B">
        <w:t xml:space="preserve"> 16 years, n</w:t>
      </w:r>
      <w:r w:rsidR="002D71BA">
        <w:t xml:space="preserve"> </w:t>
      </w:r>
      <w:r w:rsidRPr="000A5A0B">
        <w:t>=</w:t>
      </w:r>
      <w:r w:rsidR="002D71BA">
        <w:t xml:space="preserve"> </w:t>
      </w:r>
      <w:r w:rsidRPr="000A5A0B">
        <w:t xml:space="preserve">28 to 1.22, </w:t>
      </w:r>
      <w:r w:rsidR="00EC128F">
        <w:t>2 </w:t>
      </w:r>
      <w:r w:rsidRPr="000A5A0B">
        <w:t xml:space="preserve">to </w:t>
      </w:r>
      <w:r w:rsidR="00EC128F">
        <w:t>5</w:t>
      </w:r>
      <w:r w:rsidRPr="000A5A0B">
        <w:t xml:space="preserve"> years, n</w:t>
      </w:r>
      <w:r w:rsidR="002D71BA">
        <w:t xml:space="preserve"> </w:t>
      </w:r>
      <w:r w:rsidRPr="000A5A0B">
        <w:t>=</w:t>
      </w:r>
      <w:r w:rsidR="002D71BA">
        <w:t xml:space="preserve"> </w:t>
      </w:r>
      <w:r w:rsidRPr="000A5A0B">
        <w:t xml:space="preserve">1). There were low numbers of subjects aged </w:t>
      </w:r>
      <w:r w:rsidR="002D71BA">
        <w:t>less than</w:t>
      </w:r>
      <w:r w:rsidRPr="000A5A0B">
        <w:t xml:space="preserve"> 16 years. The primary PK endpoint analysis of steady</w:t>
      </w:r>
      <w:r w:rsidR="002925DB">
        <w:t xml:space="preserve"> </w:t>
      </w:r>
      <w:r w:rsidRPr="000A5A0B">
        <w:t>state AUC</w:t>
      </w:r>
      <w:r w:rsidRPr="000A5A0B">
        <w:rPr>
          <w:vertAlign w:val="subscript"/>
        </w:rPr>
        <w:t xml:space="preserve">0-7 </w:t>
      </w:r>
      <w:r w:rsidRPr="00CA2706">
        <w:rPr>
          <w:vertAlign w:val="subscript"/>
        </w:rPr>
        <w:t>days</w:t>
      </w:r>
      <w:r w:rsidRPr="000A5A0B">
        <w:t xml:space="preserve"> in the </w:t>
      </w:r>
      <w:r w:rsidR="002D71BA">
        <w:t>intravenous</w:t>
      </w:r>
      <w:r w:rsidRPr="000A5A0B">
        <w:t xml:space="preserve"> and </w:t>
      </w:r>
      <w:r w:rsidR="002D71BA">
        <w:t>subcutaneous</w:t>
      </w:r>
      <w:r w:rsidRPr="000A5A0B">
        <w:t xml:space="preserve"> </w:t>
      </w:r>
      <w:r w:rsidR="002D71BA">
        <w:t>p</w:t>
      </w:r>
      <w:r w:rsidR="009D13C3">
        <w:t>hase</w:t>
      </w:r>
      <w:r w:rsidRPr="000A5A0B">
        <w:t xml:space="preserve">s was also undertaken in subgroups based on </w:t>
      </w:r>
      <w:r w:rsidR="002D71BA">
        <w:t xml:space="preserve">intravenous </w:t>
      </w:r>
      <w:r w:rsidRPr="000A5A0B">
        <w:t xml:space="preserve">dosing frequency (every </w:t>
      </w:r>
      <w:r w:rsidR="0098334E">
        <w:t>three</w:t>
      </w:r>
      <w:r w:rsidRPr="000A5A0B">
        <w:t xml:space="preserve"> and every </w:t>
      </w:r>
      <w:r w:rsidR="0098334E">
        <w:t xml:space="preserve">four </w:t>
      </w:r>
      <w:r w:rsidRPr="000A5A0B">
        <w:t xml:space="preserve">weeks), sex, </w:t>
      </w:r>
      <w:proofErr w:type="gramStart"/>
      <w:r w:rsidRPr="000A5A0B">
        <w:t>race</w:t>
      </w:r>
      <w:proofErr w:type="gramEnd"/>
      <w:r w:rsidRPr="000A5A0B">
        <w:t xml:space="preserve"> and ethnicity. In general, the AUC</w:t>
      </w:r>
      <w:r w:rsidRPr="002925DB">
        <w:rPr>
          <w:vertAlign w:val="subscript"/>
        </w:rPr>
        <w:t>0</w:t>
      </w:r>
      <w:r w:rsidR="00C065C0">
        <w:rPr>
          <w:vertAlign w:val="subscript"/>
        </w:rPr>
        <w:noBreakHyphen/>
      </w:r>
      <w:r w:rsidRPr="002925DB">
        <w:rPr>
          <w:vertAlign w:val="subscript"/>
        </w:rPr>
        <w:t>7</w:t>
      </w:r>
      <w:r w:rsidR="002925DB">
        <w:rPr>
          <w:vertAlign w:val="subscript"/>
        </w:rPr>
        <w:t xml:space="preserve"> </w:t>
      </w:r>
      <w:r w:rsidRPr="00CA2706">
        <w:rPr>
          <w:vertAlign w:val="subscript"/>
        </w:rPr>
        <w:t>days</w:t>
      </w:r>
      <w:r w:rsidRPr="000A5A0B">
        <w:t xml:space="preserve"> values in the </w:t>
      </w:r>
      <w:r w:rsidR="002D71BA">
        <w:t>intravenous</w:t>
      </w:r>
      <w:r w:rsidRPr="000A5A0B">
        <w:t xml:space="preserve"> and </w:t>
      </w:r>
      <w:r w:rsidR="002D71BA">
        <w:t>subcutaneous</w:t>
      </w:r>
      <w:r w:rsidRPr="000A5A0B">
        <w:t xml:space="preserve"> phases in these subgroups were comparable.</w:t>
      </w:r>
    </w:p>
    <w:p w14:paraId="6A4C3D0C" w14:textId="73290B4D" w:rsidR="00716A19" w:rsidRPr="000A5A0B" w:rsidRDefault="00716A19" w:rsidP="000A5A0B">
      <w:r w:rsidRPr="000A5A0B">
        <w:t>The secondary PK endpoint was the mean steady</w:t>
      </w:r>
      <w:r w:rsidR="002925DB">
        <w:t xml:space="preserve"> </w:t>
      </w:r>
      <w:r w:rsidRPr="000A5A0B">
        <w:t xml:space="preserve">state trough (pre-dose) concentration of total </w:t>
      </w:r>
      <w:r w:rsidR="00A0626D">
        <w:t xml:space="preserve">immunoglobulin </w:t>
      </w:r>
      <w:r w:rsidRPr="000A5A0B">
        <w:t xml:space="preserve">G following </w:t>
      </w:r>
      <w:r w:rsidR="00A0626D">
        <w:t>intravenous</w:t>
      </w:r>
      <w:r w:rsidRPr="000A5A0B">
        <w:t xml:space="preserve"> administration of </w:t>
      </w:r>
      <w:r w:rsidR="00A0626D">
        <w:t>intravenous immunoglobulin</w:t>
      </w:r>
      <w:r w:rsidRPr="000A5A0B">
        <w:t xml:space="preserve"> 10% or </w:t>
      </w:r>
      <w:r w:rsidR="00A0626D">
        <w:t>subcutaneous</w:t>
      </w:r>
      <w:r w:rsidRPr="000A5A0B">
        <w:t xml:space="preserve"> administration of </w:t>
      </w:r>
      <w:r w:rsidR="00A0626D">
        <w:t xml:space="preserve">subcutaneous immunoglobulin </w:t>
      </w:r>
      <w:r w:rsidRPr="000A5A0B">
        <w:t xml:space="preserve">20%. Mean trough concentrations were calculated using </w:t>
      </w:r>
      <w:r w:rsidR="0098334E">
        <w:t>two</w:t>
      </w:r>
      <w:r w:rsidRPr="000A5A0B">
        <w:t xml:space="preserve"> </w:t>
      </w:r>
      <w:r w:rsidR="0072757C">
        <w:t>v</w:t>
      </w:r>
      <w:r w:rsidRPr="000A5A0B">
        <w:t xml:space="preserve">isits during the </w:t>
      </w:r>
      <w:r w:rsidR="00A0626D">
        <w:t xml:space="preserve">intravenous </w:t>
      </w:r>
      <w:r w:rsidR="0098334E">
        <w:t>p</w:t>
      </w:r>
      <w:r w:rsidR="009D13C3">
        <w:t>hase</w:t>
      </w:r>
      <w:r w:rsidRPr="000A5A0B">
        <w:t xml:space="preserve"> (</w:t>
      </w:r>
      <w:r w:rsidR="00A0626D">
        <w:t xml:space="preserve">intravenous </w:t>
      </w:r>
      <w:r w:rsidR="00796E37">
        <w:t xml:space="preserve">Visit </w:t>
      </w:r>
      <w:r w:rsidRPr="000A5A0B">
        <w:t xml:space="preserve">1 and </w:t>
      </w:r>
      <w:r w:rsidR="00A0626D">
        <w:t xml:space="preserve">intravenous </w:t>
      </w:r>
      <w:r w:rsidR="008575F3">
        <w:t>Vi</w:t>
      </w:r>
      <w:r w:rsidR="00A0626D">
        <w:t xml:space="preserve">sit </w:t>
      </w:r>
      <w:r w:rsidRPr="000A5A0B">
        <w:t xml:space="preserve">2) in a total of 51 subjects and </w:t>
      </w:r>
      <w:r w:rsidR="0098334E">
        <w:t>four</w:t>
      </w:r>
      <w:r w:rsidRPr="000A5A0B">
        <w:t xml:space="preserve"> </w:t>
      </w:r>
      <w:r w:rsidR="008575F3">
        <w:t>V</w:t>
      </w:r>
      <w:r w:rsidRPr="000A5A0B">
        <w:t xml:space="preserve">isits during the </w:t>
      </w:r>
      <w:r w:rsidR="00A0626D">
        <w:t>subcutaneous</w:t>
      </w:r>
      <w:r w:rsidRPr="000A5A0B">
        <w:t xml:space="preserve"> </w:t>
      </w:r>
      <w:r w:rsidR="0098334E">
        <w:t>p</w:t>
      </w:r>
      <w:r w:rsidR="009D13C3">
        <w:t>hase</w:t>
      </w:r>
      <w:r w:rsidRPr="000A5A0B">
        <w:t xml:space="preserve"> (</w:t>
      </w:r>
      <w:r w:rsidR="00A0626D">
        <w:t xml:space="preserve">subcutaneous </w:t>
      </w:r>
      <w:r w:rsidR="008575F3">
        <w:t>V</w:t>
      </w:r>
      <w:r w:rsidR="00A0626D">
        <w:t xml:space="preserve">isit </w:t>
      </w:r>
      <w:r w:rsidRPr="000A5A0B">
        <w:t xml:space="preserve">13, </w:t>
      </w:r>
      <w:r w:rsidR="00A0626D">
        <w:t xml:space="preserve">subcutaneous </w:t>
      </w:r>
      <w:r w:rsidR="008575F3">
        <w:t>V</w:t>
      </w:r>
      <w:r w:rsidR="00A0626D">
        <w:t>isit</w:t>
      </w:r>
      <w:r w:rsidR="0072757C">
        <w:t> </w:t>
      </w:r>
      <w:r w:rsidR="00A0626D">
        <w:t>1</w:t>
      </w:r>
      <w:r w:rsidRPr="000A5A0B">
        <w:t xml:space="preserve">4, </w:t>
      </w:r>
      <w:r w:rsidR="00A0626D">
        <w:t xml:space="preserve">subcutaneous </w:t>
      </w:r>
      <w:r w:rsidR="008575F3">
        <w:t>V</w:t>
      </w:r>
      <w:r w:rsidR="00A0626D">
        <w:t xml:space="preserve">isit </w:t>
      </w:r>
      <w:r w:rsidRPr="000A5A0B">
        <w:t xml:space="preserve">17, and </w:t>
      </w:r>
      <w:r w:rsidR="00A0626D">
        <w:t xml:space="preserve">subcutaneous </w:t>
      </w:r>
      <w:r w:rsidR="008575F3">
        <w:t>V</w:t>
      </w:r>
      <w:r w:rsidR="00A0626D">
        <w:t xml:space="preserve">isit </w:t>
      </w:r>
      <w:r w:rsidRPr="000A5A0B">
        <w:t>21) in a total of 44 subjects.</w:t>
      </w:r>
    </w:p>
    <w:p w14:paraId="7C1D0939" w14:textId="5B56460C" w:rsidR="002E6EEA" w:rsidRPr="000A5A0B" w:rsidRDefault="00716A19" w:rsidP="000A5A0B">
      <w:r w:rsidRPr="000A5A0B">
        <w:t>The secondary PK endpoint of steady</w:t>
      </w:r>
      <w:r w:rsidR="002925DB">
        <w:t xml:space="preserve"> </w:t>
      </w:r>
      <w:r w:rsidRPr="000A5A0B">
        <w:t xml:space="preserve">state mean trough of total </w:t>
      </w:r>
      <w:r w:rsidR="00A0626D">
        <w:t xml:space="preserve">immunoglobulin </w:t>
      </w:r>
      <w:r w:rsidRPr="000A5A0B">
        <w:t xml:space="preserve">G in serum following </w:t>
      </w:r>
      <w:r w:rsidR="00A0626D">
        <w:t xml:space="preserve">subcutaneous immunoglobulin </w:t>
      </w:r>
      <w:r w:rsidRPr="000A5A0B">
        <w:t xml:space="preserve">20% averaged 33% higher than the trough concentrations observed for the </w:t>
      </w:r>
      <w:r w:rsidR="00A0626D">
        <w:t>intravenous immunoglobulin</w:t>
      </w:r>
      <w:r w:rsidRPr="000A5A0B">
        <w:t xml:space="preserve"> 10% dose. Individual trough concentrations in the </w:t>
      </w:r>
      <w:r w:rsidR="00A0626D">
        <w:t>subcutaneous</w:t>
      </w:r>
      <w:r w:rsidRPr="000A5A0B">
        <w:t xml:space="preserve"> </w:t>
      </w:r>
      <w:r w:rsidR="0098334E">
        <w:t>p</w:t>
      </w:r>
      <w:r w:rsidR="009D13C3">
        <w:t>hase</w:t>
      </w:r>
      <w:r w:rsidRPr="000A5A0B">
        <w:t xml:space="preserve"> in all 44 subjects were above the 500</w:t>
      </w:r>
      <w:r w:rsidR="00C065C0">
        <w:t> </w:t>
      </w:r>
      <w:r w:rsidRPr="000A5A0B">
        <w:t>mg/dL therapeutic threshold, while individual trough concentrations in 50 of the 51</w:t>
      </w:r>
      <w:r w:rsidR="00C065C0">
        <w:t> </w:t>
      </w:r>
      <w:r w:rsidRPr="000A5A0B">
        <w:t xml:space="preserve">subjects in the </w:t>
      </w:r>
      <w:r w:rsidR="00A0626D">
        <w:t>intravenous</w:t>
      </w:r>
      <w:r w:rsidRPr="000A5A0B">
        <w:t xml:space="preserve"> </w:t>
      </w:r>
      <w:r w:rsidR="0098334E">
        <w:t>p</w:t>
      </w:r>
      <w:r w:rsidR="009D13C3">
        <w:t>hase</w:t>
      </w:r>
      <w:r w:rsidRPr="000A5A0B">
        <w:t xml:space="preserve"> were above the 500 mg/dL therapeutic threshold</w:t>
      </w:r>
      <w:r w:rsidR="002E6EEA" w:rsidRPr="000A5A0B">
        <w:t>.</w:t>
      </w:r>
    </w:p>
    <w:p w14:paraId="613CC32D" w14:textId="08A37373" w:rsidR="00716A19" w:rsidRDefault="002925DB" w:rsidP="002925DB">
      <w:pPr>
        <w:pStyle w:val="TableTitle"/>
      </w:pPr>
      <w:r>
        <w:lastRenderedPageBreak/>
        <w:t xml:space="preserve">Table </w:t>
      </w:r>
      <w:fldSimple w:instr=" SEQ Table \* ARABIC ">
        <w:r w:rsidR="009C353F">
          <w:rPr>
            <w:noProof/>
          </w:rPr>
          <w:t>5</w:t>
        </w:r>
      </w:fldSimple>
      <w:r>
        <w:t xml:space="preserve">: </w:t>
      </w:r>
      <w:r w:rsidR="0072757C">
        <w:t xml:space="preserve">Study GTI1502 </w:t>
      </w:r>
      <w:r w:rsidR="00716A19" w:rsidRPr="002925DB">
        <w:t xml:space="preserve">Trough total </w:t>
      </w:r>
      <w:r w:rsidR="00A0626D">
        <w:t xml:space="preserve">immunoglobulin </w:t>
      </w:r>
      <w:r w:rsidR="00716A19" w:rsidRPr="002925DB">
        <w:t xml:space="preserve">G concentrations (mg/dL) during the </w:t>
      </w:r>
      <w:r w:rsidRPr="002925DB">
        <w:t>intravenous</w:t>
      </w:r>
      <w:r w:rsidR="00716A19" w:rsidRPr="002925DB">
        <w:t xml:space="preserve"> and </w:t>
      </w:r>
      <w:r w:rsidRPr="002925DB">
        <w:t>subcutaneous</w:t>
      </w:r>
      <w:r w:rsidR="00716A19" w:rsidRPr="002925DB">
        <w:t xml:space="preserve"> </w:t>
      </w:r>
      <w:r w:rsidR="002E6EEA">
        <w:t>p</w:t>
      </w:r>
      <w:r w:rsidR="009D13C3">
        <w:t>hase</w:t>
      </w:r>
      <w:r w:rsidR="00716A19" w:rsidRPr="002925DB">
        <w:t xml:space="preserve">s, </w:t>
      </w:r>
      <w:r w:rsidR="00A0626D">
        <w:t xml:space="preserve">immunoglobulin </w:t>
      </w:r>
      <w:r w:rsidR="00716A19" w:rsidRPr="002925DB">
        <w:t>G population</w:t>
      </w:r>
    </w:p>
    <w:p w14:paraId="73187EC5" w14:textId="668A67DD" w:rsidR="00716A19" w:rsidRDefault="00716A19" w:rsidP="002925DB">
      <w:pPr>
        <w:pStyle w:val="TableDescription"/>
        <w:keepNext/>
      </w:pPr>
      <w:r w:rsidRPr="00CB7A3E">
        <w:rPr>
          <w:noProof/>
          <w:lang w:val="en-GB" w:eastAsia="en-GB"/>
        </w:rPr>
        <w:drawing>
          <wp:inline distT="0" distB="0" distL="0" distR="0" wp14:anchorId="2C847525" wp14:editId="1D3F8CD4">
            <wp:extent cx="5419725" cy="1685925"/>
            <wp:effectExtent l="0" t="0" r="9525" b="9525"/>
            <wp:docPr id="21" name="Picture 21" descr="Table 5: Study GTI1502 Trough total immunoglobulin G concentrations (mg/dL) during the intravenous and subcutaneous phases, immunoglobulin G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able 5: Study GTI1502 Trough total immunoglobulin G concentrations (mg/dL) during the intravenous and subcutaneous phases, immunoglobulin G population"/>
                    <pic:cNvPicPr>
                      <a:picLocks noChangeAspect="1" noChangeArrowheads="1"/>
                    </pic:cNvPicPr>
                  </pic:nvPicPr>
                  <pic:blipFill rotWithShape="1">
                    <a:blip r:embed="rId20">
                      <a:extLst>
                        <a:ext uri="{28A0092B-C50C-407E-A947-70E740481C1C}">
                          <a14:useLocalDpi xmlns:a14="http://schemas.microsoft.com/office/drawing/2010/main" val="0"/>
                        </a:ext>
                      </a:extLst>
                    </a:blip>
                    <a:srcRect b="20342"/>
                    <a:stretch/>
                  </pic:blipFill>
                  <pic:spPr bwMode="auto">
                    <a:xfrm>
                      <a:off x="0" y="0"/>
                      <a:ext cx="5419725" cy="1685925"/>
                    </a:xfrm>
                    <a:prstGeom prst="rect">
                      <a:avLst/>
                    </a:prstGeom>
                    <a:noFill/>
                    <a:ln>
                      <a:noFill/>
                    </a:ln>
                    <a:extLst>
                      <a:ext uri="{53640926-AAD7-44D8-BBD7-CCE9431645EC}">
                        <a14:shadowObscured xmlns:a14="http://schemas.microsoft.com/office/drawing/2010/main"/>
                      </a:ext>
                    </a:extLst>
                  </pic:spPr>
                </pic:pic>
              </a:graphicData>
            </a:graphic>
          </wp:inline>
        </w:drawing>
      </w:r>
    </w:p>
    <w:p w14:paraId="66BF84EA" w14:textId="152D9D39" w:rsidR="004A2F6A" w:rsidRDefault="004A2F6A" w:rsidP="00213CC2">
      <w:pPr>
        <w:pStyle w:val="TableDescription"/>
      </w:pPr>
      <w:r>
        <w:t>Abbreviations: CV% = coefficient of variation; IV = intravenous; max = maximum; min = minimum; n = number of subjects; PK = pharmacokinetic; SC = subcutaneous.</w:t>
      </w:r>
    </w:p>
    <w:p w14:paraId="11F55C2A" w14:textId="06AA512B" w:rsidR="004A2F6A" w:rsidRDefault="004A2F6A" w:rsidP="00213CC2">
      <w:pPr>
        <w:pStyle w:val="TableDescription"/>
      </w:pPr>
      <w:r>
        <w:t>IV#/SC# refers to intravenous/subcutaneous visit number.</w:t>
      </w:r>
    </w:p>
    <w:p w14:paraId="0C7BF830" w14:textId="59144E8C" w:rsidR="00A0626D" w:rsidRDefault="002925DB" w:rsidP="009D4EE8">
      <w:pPr>
        <w:pStyle w:val="TableDescription"/>
      </w:pPr>
      <w:r w:rsidRPr="009D4EE8">
        <w:t>a</w:t>
      </w:r>
      <w:r w:rsidR="00AF5A39">
        <w:t>.</w:t>
      </w:r>
      <w:r w:rsidRPr="009D4EE8">
        <w:t xml:space="preserve"> Mean trough in the </w:t>
      </w:r>
      <w:r w:rsidR="00A0626D">
        <w:t>intravenous p</w:t>
      </w:r>
      <w:r w:rsidR="009D13C3">
        <w:t>hase</w:t>
      </w:r>
      <w:r w:rsidRPr="009D4EE8">
        <w:t xml:space="preserve"> is calculated as the average of the trough concentrations at </w:t>
      </w:r>
      <w:r w:rsidR="00A0626D">
        <w:t xml:space="preserve">intravenous </w:t>
      </w:r>
      <w:r w:rsidR="008575F3">
        <w:t>V</w:t>
      </w:r>
      <w:r w:rsidR="00A0626D">
        <w:t xml:space="preserve">isit </w:t>
      </w:r>
      <w:r w:rsidRPr="009D4EE8">
        <w:t>1</w:t>
      </w:r>
      <w:r w:rsidR="008E4C38">
        <w:t xml:space="preserve"> </w:t>
      </w:r>
      <w:r w:rsidR="00A0626D">
        <w:t xml:space="preserve">(IV#1) </w:t>
      </w:r>
      <w:r w:rsidRPr="009D4EE8">
        <w:t xml:space="preserve">and </w:t>
      </w:r>
      <w:r w:rsidR="00A0626D">
        <w:t xml:space="preserve">intravenous </w:t>
      </w:r>
      <w:r w:rsidR="008575F3">
        <w:t>V</w:t>
      </w:r>
      <w:r w:rsidR="00A0626D">
        <w:t xml:space="preserve">isit </w:t>
      </w:r>
      <w:r w:rsidRPr="009D4EE8">
        <w:t>2</w:t>
      </w:r>
      <w:r w:rsidR="00A0626D">
        <w:t xml:space="preserve"> (IV#2).</w:t>
      </w:r>
    </w:p>
    <w:p w14:paraId="7C5F1006" w14:textId="74D5474D" w:rsidR="002925DB" w:rsidRPr="009D4EE8" w:rsidRDefault="002925DB" w:rsidP="009D4EE8">
      <w:pPr>
        <w:pStyle w:val="TableDescription"/>
      </w:pPr>
      <w:r w:rsidRPr="009D4EE8">
        <w:t>b</w:t>
      </w:r>
      <w:r w:rsidR="00AF5A39">
        <w:t>.</w:t>
      </w:r>
      <w:r w:rsidRPr="009D4EE8">
        <w:t xml:space="preserve"> Mean trough in the </w:t>
      </w:r>
      <w:r w:rsidR="008E4C38">
        <w:t>subcutaneous</w:t>
      </w:r>
      <w:r w:rsidRPr="009D4EE8">
        <w:t xml:space="preserve"> </w:t>
      </w:r>
      <w:r w:rsidR="008E4C38">
        <w:t>p</w:t>
      </w:r>
      <w:r w:rsidR="009D13C3">
        <w:t>hase</w:t>
      </w:r>
      <w:r w:rsidRPr="009D4EE8">
        <w:t xml:space="preserve"> is calculated as the average of the trough concentrations at</w:t>
      </w:r>
      <w:r w:rsidR="008E4C38">
        <w:t xml:space="preserve"> subcutaneous </w:t>
      </w:r>
      <w:r w:rsidR="008575F3">
        <w:t>V</w:t>
      </w:r>
      <w:r w:rsidR="008E4C38">
        <w:t>isit 13 (</w:t>
      </w:r>
      <w:r w:rsidRPr="009D4EE8">
        <w:t>SC#</w:t>
      </w:r>
      <w:r w:rsidR="008E4C38">
        <w:t>1</w:t>
      </w:r>
      <w:r w:rsidRPr="009D4EE8">
        <w:t>3</w:t>
      </w:r>
      <w:r w:rsidR="008E4C38">
        <w:t>)</w:t>
      </w:r>
      <w:r w:rsidRPr="009D4EE8">
        <w:t xml:space="preserve">, </w:t>
      </w:r>
      <w:r w:rsidR="008E4C38">
        <w:t xml:space="preserve">subcutaneous </w:t>
      </w:r>
      <w:r w:rsidR="008575F3">
        <w:t>V</w:t>
      </w:r>
      <w:r w:rsidR="008E4C38">
        <w:t>isit 14 (</w:t>
      </w:r>
      <w:r w:rsidRPr="009D4EE8">
        <w:t>SC#14</w:t>
      </w:r>
      <w:r w:rsidR="008E4C38">
        <w:t>)</w:t>
      </w:r>
      <w:r w:rsidRPr="009D4EE8">
        <w:t xml:space="preserve">, </w:t>
      </w:r>
      <w:r w:rsidR="008E4C38">
        <w:t xml:space="preserve">subcutaneous </w:t>
      </w:r>
      <w:r w:rsidR="008575F3">
        <w:t>V</w:t>
      </w:r>
      <w:r w:rsidR="008E4C38">
        <w:t>isit 17 (</w:t>
      </w:r>
      <w:r w:rsidRPr="009D4EE8">
        <w:t>SC#</w:t>
      </w:r>
      <w:r w:rsidR="008E4C38">
        <w:t>1</w:t>
      </w:r>
      <w:r w:rsidRPr="009D4EE8">
        <w:t>7</w:t>
      </w:r>
      <w:r w:rsidR="008E4C38">
        <w:t>)</w:t>
      </w:r>
      <w:r w:rsidRPr="009D4EE8">
        <w:t xml:space="preserve"> and</w:t>
      </w:r>
      <w:r w:rsidR="008E4C38">
        <w:t xml:space="preserve"> subcutaneous </w:t>
      </w:r>
      <w:r w:rsidR="008575F3">
        <w:t>V</w:t>
      </w:r>
      <w:r w:rsidR="008E4C38">
        <w:t>isit 21</w:t>
      </w:r>
      <w:r w:rsidRPr="009D4EE8">
        <w:t xml:space="preserve"> </w:t>
      </w:r>
      <w:r w:rsidR="008E4C38">
        <w:t>(</w:t>
      </w:r>
      <w:r w:rsidRPr="009D4EE8">
        <w:t>SC#21</w:t>
      </w:r>
      <w:r w:rsidR="008E4C38">
        <w:t>).</w:t>
      </w:r>
    </w:p>
    <w:p w14:paraId="6706D313" w14:textId="5A3CE785" w:rsidR="000A5A0B" w:rsidRDefault="000A5A0B" w:rsidP="007F5B54">
      <w:pPr>
        <w:pStyle w:val="Heading5"/>
      </w:pPr>
      <w:r w:rsidRPr="000A5A0B">
        <w:t>Study GT11503</w:t>
      </w:r>
    </w:p>
    <w:p w14:paraId="3C2052F8" w14:textId="399EF5F0" w:rsidR="00716A19" w:rsidRPr="009209C2" w:rsidRDefault="00716A19" w:rsidP="009209C2">
      <w:r w:rsidRPr="009209C2">
        <w:t>Study GT11503 a multi</w:t>
      </w:r>
      <w:r w:rsidR="002E6EEA">
        <w:t>-</w:t>
      </w:r>
      <w:r w:rsidRPr="009209C2">
        <w:t>centre, open</w:t>
      </w:r>
      <w:r w:rsidR="009209C2" w:rsidRPr="009209C2">
        <w:t xml:space="preserve"> </w:t>
      </w:r>
      <w:r w:rsidRPr="009209C2">
        <w:t xml:space="preserve">label, single arm trial to evaluate efficacy, </w:t>
      </w:r>
      <w:proofErr w:type="gramStart"/>
      <w:r w:rsidRPr="009209C2">
        <w:t>pharmacokinetics</w:t>
      </w:r>
      <w:proofErr w:type="gramEnd"/>
      <w:r w:rsidRPr="009209C2">
        <w:t xml:space="preserve"> and safety of </w:t>
      </w:r>
      <w:r w:rsidR="008E4C38">
        <w:t>subcutaneous immunoglobulin</w:t>
      </w:r>
      <w:r w:rsidRPr="009209C2">
        <w:t xml:space="preserve"> 20% in subjects with </w:t>
      </w:r>
      <w:r w:rsidR="002E6EEA">
        <w:t>p</w:t>
      </w:r>
      <w:r w:rsidRPr="009209C2">
        <w:t xml:space="preserve">rimary </w:t>
      </w:r>
      <w:r w:rsidR="002E6EEA">
        <w:t>i</w:t>
      </w:r>
      <w:r w:rsidRPr="009209C2">
        <w:t>mmunodeficiency.</w:t>
      </w:r>
    </w:p>
    <w:p w14:paraId="3F1BD174" w14:textId="6D478C3E" w:rsidR="00716A19" w:rsidRPr="000A5A0B" w:rsidRDefault="00716A19" w:rsidP="000A5A0B">
      <w:r w:rsidRPr="000A5A0B">
        <w:t xml:space="preserve">The secondary objective of Study GTI1503 was to determine if </w:t>
      </w:r>
      <w:r w:rsidR="008E4C38">
        <w:t>subcutaneous immunoglobulin</w:t>
      </w:r>
      <w:r w:rsidRPr="000A5A0B">
        <w:t xml:space="preserve"> 20% replacement therapy could maintain comparable mean trough </w:t>
      </w:r>
      <w:r w:rsidR="008E4C38">
        <w:t xml:space="preserve">immunoglobulin </w:t>
      </w:r>
      <w:r w:rsidRPr="000A5A0B">
        <w:t xml:space="preserve">G levels with those achieved with the previous </w:t>
      </w:r>
      <w:r w:rsidR="008E4C38">
        <w:t xml:space="preserve">immunoglobulin </w:t>
      </w:r>
      <w:r w:rsidRPr="000A5A0B">
        <w:t>G replacement regimen.</w:t>
      </w:r>
    </w:p>
    <w:p w14:paraId="293F356B" w14:textId="77777777" w:rsidR="00716A19" w:rsidRPr="000A5A0B" w:rsidRDefault="00716A19" w:rsidP="000A5A0B">
      <w:r w:rsidRPr="000A5A0B">
        <w:t>Exploratory objectives included:</w:t>
      </w:r>
    </w:p>
    <w:p w14:paraId="78F12162" w14:textId="2F905A5C" w:rsidR="00716A19" w:rsidRPr="000A5A0B" w:rsidRDefault="00716A19" w:rsidP="000A5A0B">
      <w:pPr>
        <w:pStyle w:val="ListBullet"/>
      </w:pPr>
      <w:r w:rsidRPr="000A5A0B">
        <w:t xml:space="preserve">evaluation </w:t>
      </w:r>
      <w:r w:rsidR="000A5A0B">
        <w:t>o</w:t>
      </w:r>
      <w:r w:rsidRPr="000A5A0B">
        <w:t xml:space="preserve">f the PK profile for total </w:t>
      </w:r>
      <w:r w:rsidR="008E4C38">
        <w:t xml:space="preserve">immunoglobulin </w:t>
      </w:r>
      <w:r w:rsidRPr="000A5A0B">
        <w:t>G (</w:t>
      </w:r>
      <w:r w:rsidRPr="004B0F89">
        <w:t>AUC</w:t>
      </w:r>
      <w:r w:rsidRPr="004B0F89">
        <w:rPr>
          <w:vertAlign w:val="subscript"/>
        </w:rPr>
        <w:t xml:space="preserve">0-7 </w:t>
      </w:r>
      <w:r w:rsidRPr="00CA2706">
        <w:rPr>
          <w:vertAlign w:val="subscript"/>
        </w:rPr>
        <w:t>days</w:t>
      </w:r>
      <w:r w:rsidRPr="004B0F89">
        <w:t>,</w:t>
      </w:r>
      <w:r w:rsidR="004B0F89" w:rsidRPr="004B0F89">
        <w:t xml:space="preserve"> </w:t>
      </w:r>
      <w:proofErr w:type="spellStart"/>
      <w:r w:rsidRPr="004B0F89">
        <w:t>C</w:t>
      </w:r>
      <w:r w:rsidRPr="004B0F89">
        <w:rPr>
          <w:vertAlign w:val="subscript"/>
        </w:rPr>
        <w:t>max</w:t>
      </w:r>
      <w:proofErr w:type="spellEnd"/>
      <w:r w:rsidRPr="004B0F89">
        <w:t>,</w:t>
      </w:r>
      <w:r w:rsidRPr="000A5A0B">
        <w:t xml:space="preserve"> and </w:t>
      </w:r>
      <w:proofErr w:type="spellStart"/>
      <w:r w:rsidR="00CA2706">
        <w:t>T</w:t>
      </w:r>
      <w:r w:rsidRPr="000A5A0B">
        <w:rPr>
          <w:vertAlign w:val="subscript"/>
        </w:rPr>
        <w:t>max</w:t>
      </w:r>
      <w:proofErr w:type="spellEnd"/>
      <w:r w:rsidRPr="000A5A0B">
        <w:t xml:space="preserve"> in adult PID subjects at steady state (after approximately </w:t>
      </w:r>
      <w:r w:rsidR="0098334E">
        <w:t>four</w:t>
      </w:r>
      <w:r w:rsidRPr="000A5A0B">
        <w:t xml:space="preserve"> months </w:t>
      </w:r>
      <w:r w:rsidR="008E4C38">
        <w:t>(</w:t>
      </w:r>
      <w:r w:rsidRPr="000A5A0B">
        <w:t>16 weeks</w:t>
      </w:r>
      <w:r w:rsidR="008E4C38">
        <w:t>)</w:t>
      </w:r>
      <w:r w:rsidRPr="000A5A0B">
        <w:t xml:space="preserve">) of weekly administration of </w:t>
      </w:r>
      <w:r w:rsidR="008E4C38">
        <w:t>subcutaneous immunoglobulin</w:t>
      </w:r>
      <w:r w:rsidRPr="000A5A0B">
        <w:t xml:space="preserve"> 20%.</w:t>
      </w:r>
    </w:p>
    <w:p w14:paraId="559AB2CC" w14:textId="479E3A88" w:rsidR="00716A19" w:rsidRPr="000A5A0B" w:rsidRDefault="00716A19" w:rsidP="000A5A0B">
      <w:pPr>
        <w:pStyle w:val="ListBullet"/>
      </w:pPr>
      <w:r w:rsidRPr="000A5A0B">
        <w:t xml:space="preserve">evaluation of trough levels of </w:t>
      </w:r>
      <w:r w:rsidR="008E4C38">
        <w:t xml:space="preserve">immunoglobulin </w:t>
      </w:r>
      <w:r w:rsidRPr="000A5A0B">
        <w:t>G subclasses (</w:t>
      </w:r>
      <w:r w:rsidR="008E4C38">
        <w:t xml:space="preserve">immunoglobulin </w:t>
      </w:r>
      <w:r w:rsidRPr="000A5A0B">
        <w:t xml:space="preserve">G1, </w:t>
      </w:r>
      <w:r w:rsidR="008E4C38">
        <w:t xml:space="preserve">immunoglobulin </w:t>
      </w:r>
      <w:r w:rsidRPr="000A5A0B">
        <w:t xml:space="preserve">G2, </w:t>
      </w:r>
      <w:r w:rsidR="008E4C38">
        <w:t xml:space="preserve">immunoglobulin </w:t>
      </w:r>
      <w:r w:rsidRPr="000A5A0B">
        <w:t>G3</w:t>
      </w:r>
      <w:r w:rsidR="005C0026">
        <w:t xml:space="preserve"> and</w:t>
      </w:r>
      <w:r w:rsidRPr="000A5A0B">
        <w:t xml:space="preserve"> </w:t>
      </w:r>
      <w:r w:rsidR="008E4C38">
        <w:t xml:space="preserve">immunoglobulin </w:t>
      </w:r>
      <w:r w:rsidRPr="000A5A0B">
        <w:t>G4).</w:t>
      </w:r>
    </w:p>
    <w:p w14:paraId="2ACA223D" w14:textId="66F54B7C" w:rsidR="00716A19" w:rsidRPr="000A5A0B" w:rsidRDefault="00716A19" w:rsidP="000A5A0B">
      <w:pPr>
        <w:pStyle w:val="ListBullet"/>
      </w:pPr>
      <w:r w:rsidRPr="000A5A0B">
        <w:t xml:space="preserve">evaluation of antibody levels for </w:t>
      </w:r>
      <w:r w:rsidRPr="000A5A0B">
        <w:rPr>
          <w:i/>
          <w:iCs/>
        </w:rPr>
        <w:t>S. pneumonia</w:t>
      </w:r>
      <w:r w:rsidRPr="000A5A0B">
        <w:t xml:space="preserve">, </w:t>
      </w:r>
      <w:r w:rsidRPr="000A5A0B">
        <w:rPr>
          <w:i/>
          <w:iCs/>
        </w:rPr>
        <w:t>H. influenza</w:t>
      </w:r>
      <w:r w:rsidRPr="000A5A0B">
        <w:t xml:space="preserve">, and </w:t>
      </w:r>
      <w:r w:rsidRPr="000A5A0B">
        <w:rPr>
          <w:i/>
          <w:iCs/>
        </w:rPr>
        <w:t>C. tetani</w:t>
      </w:r>
      <w:r w:rsidRPr="000A5A0B">
        <w:t>.</w:t>
      </w:r>
    </w:p>
    <w:p w14:paraId="279047BE" w14:textId="723FF8D3" w:rsidR="00716A19" w:rsidRPr="00C86A0A" w:rsidRDefault="00716A19" w:rsidP="000A5A0B">
      <w:r w:rsidRPr="000A5A0B">
        <w:t xml:space="preserve">In the </w:t>
      </w:r>
      <w:r w:rsidR="009209C2">
        <w:t>s</w:t>
      </w:r>
      <w:r w:rsidRPr="000A5A0B">
        <w:t>creening/</w:t>
      </w:r>
      <w:r w:rsidR="009209C2">
        <w:t>p</w:t>
      </w:r>
      <w:r w:rsidRPr="000A5A0B">
        <w:t xml:space="preserve">revious </w:t>
      </w:r>
      <w:r w:rsidR="009209C2">
        <w:t>r</w:t>
      </w:r>
      <w:r w:rsidRPr="000A5A0B">
        <w:t xml:space="preserve">egimen </w:t>
      </w:r>
      <w:r w:rsidR="0098334E">
        <w:t>p</w:t>
      </w:r>
      <w:r w:rsidR="009D13C3">
        <w:t>hase</w:t>
      </w:r>
      <w:r w:rsidRPr="000A5A0B">
        <w:t xml:space="preserve">, subjects continued to receive ongoing treatment with their previous </w:t>
      </w:r>
      <w:r w:rsidR="005C0026">
        <w:t>intravenous immunoglobulin</w:t>
      </w:r>
      <w:r w:rsidRPr="000A5A0B">
        <w:t xml:space="preserve"> or </w:t>
      </w:r>
      <w:r w:rsidR="005C0026">
        <w:t>subcutaneous immunoglobulin</w:t>
      </w:r>
      <w:r w:rsidRPr="000A5A0B">
        <w:t xml:space="preserve"> regimen. Two trough </w:t>
      </w:r>
      <w:r w:rsidR="005C0026">
        <w:t xml:space="preserve">immunoglobulin </w:t>
      </w:r>
      <w:r w:rsidRPr="000A5A0B">
        <w:t xml:space="preserve">G levels were obtained in the </w:t>
      </w:r>
      <w:r w:rsidR="009209C2">
        <w:t>s</w:t>
      </w:r>
      <w:r w:rsidRPr="000A5A0B">
        <w:t xml:space="preserve">creening </w:t>
      </w:r>
      <w:r w:rsidR="0098334E">
        <w:t>p</w:t>
      </w:r>
      <w:r w:rsidR="009D13C3">
        <w:t>hase</w:t>
      </w:r>
      <w:r w:rsidRPr="000A5A0B">
        <w:t xml:space="preserve"> for </w:t>
      </w:r>
      <w:r w:rsidRPr="00C86A0A">
        <w:t xml:space="preserve">prior </w:t>
      </w:r>
      <w:r w:rsidR="005C0026" w:rsidRPr="00C86A0A">
        <w:t>intravenous immunoglobulin or subcutaneous immunoglobulin</w:t>
      </w:r>
      <w:r w:rsidRPr="00C86A0A">
        <w:t xml:space="preserve"> treatments.</w:t>
      </w:r>
    </w:p>
    <w:p w14:paraId="651D05BC" w14:textId="6B5DC5DC" w:rsidR="00716A19" w:rsidRPr="000A5A0B" w:rsidRDefault="00716A19" w:rsidP="000A5A0B">
      <w:r w:rsidRPr="00C86A0A">
        <w:t xml:space="preserve">In </w:t>
      </w:r>
      <w:r w:rsidR="005C0026" w:rsidRPr="00C86A0A">
        <w:t xml:space="preserve">subcutaneous immunoglobulin </w:t>
      </w:r>
      <w:r w:rsidRPr="00C86A0A">
        <w:t xml:space="preserve">20% </w:t>
      </w:r>
      <w:r w:rsidR="009209C2" w:rsidRPr="00C86A0A">
        <w:t>t</w:t>
      </w:r>
      <w:r w:rsidRPr="00C86A0A">
        <w:t xml:space="preserve">reatment </w:t>
      </w:r>
      <w:r w:rsidR="00C53C08" w:rsidRPr="00C86A0A">
        <w:t>S</w:t>
      </w:r>
      <w:r w:rsidRPr="00C86A0A">
        <w:t xml:space="preserve">tage 1 (13 weeks), adjustment in </w:t>
      </w:r>
      <w:r w:rsidR="005C0026" w:rsidRPr="00C86A0A">
        <w:t>subcutaneous immunoglobulin</w:t>
      </w:r>
      <w:r w:rsidRPr="00C86A0A">
        <w:t xml:space="preserve"> 20% was made at clinic visits if </w:t>
      </w:r>
      <w:r w:rsidR="005C0026" w:rsidRPr="00C86A0A">
        <w:t xml:space="preserve">immunoglobulin </w:t>
      </w:r>
      <w:r w:rsidRPr="00C86A0A">
        <w:t>G trough levels were less than 500 mg/dL.</w:t>
      </w:r>
    </w:p>
    <w:p w14:paraId="2571E29A" w14:textId="6D45BECE" w:rsidR="00716A19" w:rsidRPr="000A5A0B" w:rsidRDefault="00716A19" w:rsidP="000A5A0B">
      <w:r w:rsidRPr="000A5A0B">
        <w:t xml:space="preserve">The </w:t>
      </w:r>
      <w:r w:rsidR="005C0026">
        <w:t>intravenous immunoglobulin</w:t>
      </w:r>
      <w:r w:rsidRPr="000A5A0B">
        <w:t xml:space="preserve"> regimen to </w:t>
      </w:r>
      <w:r w:rsidR="005C0026">
        <w:t xml:space="preserve">subcutaneous immunoglobulin </w:t>
      </w:r>
      <w:r w:rsidRPr="000A5A0B">
        <w:t>20% dose conversion calculation formula was:</w:t>
      </w:r>
    </w:p>
    <w:p w14:paraId="1D0EF79A" w14:textId="077C85C2" w:rsidR="00716A19" w:rsidRPr="000A5A0B" w:rsidRDefault="00716A19" w:rsidP="000A5A0B">
      <w:pPr>
        <w:pStyle w:val="ListBullet"/>
      </w:pPr>
      <w:r w:rsidRPr="000A5A0B">
        <w:t>(</w:t>
      </w:r>
      <w:r w:rsidR="005C0026">
        <w:t xml:space="preserve">Greater than or equal to </w:t>
      </w:r>
      <w:r w:rsidRPr="000A5A0B">
        <w:t xml:space="preserve">200 mg/kg </w:t>
      </w:r>
      <w:r w:rsidR="005C0026">
        <w:t>(</w:t>
      </w:r>
      <w:r w:rsidRPr="000A5A0B">
        <w:t xml:space="preserve">previous </w:t>
      </w:r>
      <w:r w:rsidR="005C0026">
        <w:t>intravenous</w:t>
      </w:r>
      <w:r w:rsidRPr="000A5A0B">
        <w:t xml:space="preserve"> dose</w:t>
      </w:r>
      <w:r w:rsidR="005C0026">
        <w:t>)</w:t>
      </w:r>
      <w:r w:rsidRPr="000A5A0B">
        <w:t>)</w:t>
      </w:r>
      <w:proofErr w:type="gramStart"/>
      <w:r w:rsidR="005C0026">
        <w:t>/</w:t>
      </w:r>
      <w:r w:rsidR="000A5A0B" w:rsidRPr="000A5A0B">
        <w:t>(</w:t>
      </w:r>
      <w:proofErr w:type="gramEnd"/>
      <w:r w:rsidRPr="000A5A0B">
        <w:t>3 or 4</w:t>
      </w:r>
      <w:r w:rsidR="005C0026">
        <w:t xml:space="preserve"> (</w:t>
      </w:r>
      <w:r w:rsidRPr="000A5A0B">
        <w:t xml:space="preserve">previous </w:t>
      </w:r>
      <w:r w:rsidR="005C0026">
        <w:t>intravenous</w:t>
      </w:r>
      <w:r w:rsidRPr="000A5A0B">
        <w:t xml:space="preserve"> dosing interval in weeks</w:t>
      </w:r>
      <w:r w:rsidR="005C0026">
        <w:t>)</w:t>
      </w:r>
      <w:r w:rsidRPr="000A5A0B">
        <w:t>)</w:t>
      </w:r>
    </w:p>
    <w:p w14:paraId="623D97A0" w14:textId="797EFF9A" w:rsidR="00716A19" w:rsidRPr="000A5A0B" w:rsidRDefault="00716A19" w:rsidP="000A5A0B">
      <w:r w:rsidRPr="000A5A0B">
        <w:lastRenderedPageBreak/>
        <w:t xml:space="preserve">The </w:t>
      </w:r>
      <w:r w:rsidR="005C0026">
        <w:t>subcutaneous immunoglobulin</w:t>
      </w:r>
      <w:r w:rsidRPr="000A5A0B">
        <w:t xml:space="preserve"> regimen to </w:t>
      </w:r>
      <w:r w:rsidR="005C0026">
        <w:t xml:space="preserve">subcutaneous immunoglobulin </w:t>
      </w:r>
      <w:r w:rsidRPr="000A5A0B">
        <w:t>20% dose conversion calculation formula was:</w:t>
      </w:r>
    </w:p>
    <w:p w14:paraId="6FEEB64E" w14:textId="4F240844" w:rsidR="00716A19" w:rsidRPr="000A5A0B" w:rsidRDefault="00716A19" w:rsidP="000A5A0B">
      <w:pPr>
        <w:pStyle w:val="ListBullet"/>
      </w:pPr>
      <w:r w:rsidRPr="000A5A0B">
        <w:t>(</w:t>
      </w:r>
      <w:r w:rsidR="005C0026" w:rsidRPr="000A5A0B">
        <w:t>Previous</w:t>
      </w:r>
      <w:r w:rsidRPr="000A5A0B">
        <w:t xml:space="preserve"> </w:t>
      </w:r>
      <w:r w:rsidR="005C0026">
        <w:t>subcutaneous</w:t>
      </w:r>
      <w:r w:rsidRPr="000A5A0B">
        <w:t xml:space="preserve"> dose mg/kg)</w:t>
      </w:r>
      <w:proofErr w:type="gramStart"/>
      <w:r w:rsidR="000A5A0B" w:rsidRPr="000A5A0B">
        <w:t>/(</w:t>
      </w:r>
      <w:proofErr w:type="gramEnd"/>
      <w:r w:rsidRPr="000A5A0B">
        <w:t xml:space="preserve">previous </w:t>
      </w:r>
      <w:r w:rsidR="005C0026">
        <w:t>subcutaneous</w:t>
      </w:r>
      <w:r w:rsidRPr="000A5A0B">
        <w:t xml:space="preserve"> dosing interval between treatments in weeks)</w:t>
      </w:r>
    </w:p>
    <w:p w14:paraId="33D4BEBB" w14:textId="345DF9A9" w:rsidR="00716A19" w:rsidRPr="00BF7BA4" w:rsidRDefault="00716A19" w:rsidP="00BF7BA4">
      <w:r w:rsidRPr="00BF7BA4">
        <w:t>In</w:t>
      </w:r>
      <w:r w:rsidR="005C0026">
        <w:t xml:space="preserve"> subcutaneous immunoglobulin</w:t>
      </w:r>
      <w:r w:rsidRPr="00BF7BA4">
        <w:t xml:space="preserve"> 20% </w:t>
      </w:r>
      <w:r w:rsidR="009209C2">
        <w:t>t</w:t>
      </w:r>
      <w:r w:rsidRPr="00BF7BA4">
        <w:t xml:space="preserve">reatment </w:t>
      </w:r>
      <w:r w:rsidR="00C53C08">
        <w:t>S</w:t>
      </w:r>
      <w:r w:rsidRPr="00BF7BA4">
        <w:t xml:space="preserve">tage 1, all subjects received 13 weekly </w:t>
      </w:r>
      <w:r w:rsidR="005C0026">
        <w:t>subcutaneous immunoglobulin</w:t>
      </w:r>
      <w:r w:rsidRPr="00BF7BA4">
        <w:t xml:space="preserve"> 20% infusions.</w:t>
      </w:r>
    </w:p>
    <w:p w14:paraId="03A5D119" w14:textId="5C176064" w:rsidR="00716A19" w:rsidRPr="00BF7BA4" w:rsidRDefault="00716A19" w:rsidP="00BF7BA4">
      <w:r w:rsidRPr="00BF7BA4">
        <w:t xml:space="preserve">In </w:t>
      </w:r>
      <w:r w:rsidR="005C0026">
        <w:t>subcutaneous immunoglobulin</w:t>
      </w:r>
      <w:r w:rsidRPr="00BF7BA4">
        <w:t xml:space="preserve"> 20% </w:t>
      </w:r>
      <w:r w:rsidR="009209C2">
        <w:t>t</w:t>
      </w:r>
      <w:r w:rsidRPr="00BF7BA4">
        <w:t xml:space="preserve">reatment </w:t>
      </w:r>
      <w:r w:rsidR="00C53C08">
        <w:t>S</w:t>
      </w:r>
      <w:r w:rsidRPr="00BF7BA4">
        <w:t xml:space="preserve">tage 2, subjects received 39 weekly infusions of </w:t>
      </w:r>
      <w:r w:rsidR="005C0026">
        <w:t>subcutaneous immunoglobulin</w:t>
      </w:r>
      <w:r w:rsidRPr="00BF7BA4">
        <w:t xml:space="preserve"> 20% at the dose established in </w:t>
      </w:r>
      <w:r w:rsidR="009209C2">
        <w:t>t</w:t>
      </w:r>
      <w:r w:rsidRPr="00BF7BA4">
        <w:t xml:space="preserve">reatment </w:t>
      </w:r>
      <w:r w:rsidR="00C86A0A">
        <w:t>S</w:t>
      </w:r>
      <w:r w:rsidRPr="00BF7BA4">
        <w:t xml:space="preserve">tage 1. Overall, a total of 52 doses of </w:t>
      </w:r>
      <w:r w:rsidR="00F37884">
        <w:t>subcutaneous immunoglobulin</w:t>
      </w:r>
      <w:r w:rsidRPr="00BF7BA4">
        <w:t xml:space="preserve"> 20% was planned to be administered per subject during the </w:t>
      </w:r>
      <w:r w:rsidR="00F37884">
        <w:t>subcutaneous</w:t>
      </w:r>
      <w:r w:rsidRPr="00BF7BA4">
        <w:t xml:space="preserve"> </w:t>
      </w:r>
      <w:r w:rsidR="0098334E">
        <w:t>p</w:t>
      </w:r>
      <w:r w:rsidR="009D13C3">
        <w:t>hase</w:t>
      </w:r>
      <w:r w:rsidRPr="00BF7BA4">
        <w:t xml:space="preserve"> (13 in </w:t>
      </w:r>
      <w:r w:rsidR="009209C2">
        <w:t>t</w:t>
      </w:r>
      <w:r w:rsidRPr="00BF7BA4">
        <w:t xml:space="preserve">reatment </w:t>
      </w:r>
      <w:r w:rsidR="009209C2">
        <w:t>p</w:t>
      </w:r>
      <w:r w:rsidRPr="00BF7BA4">
        <w:t xml:space="preserve">eriod 1 and 39 in </w:t>
      </w:r>
      <w:r w:rsidR="009209C2">
        <w:t>t</w:t>
      </w:r>
      <w:r w:rsidRPr="00BF7BA4">
        <w:t xml:space="preserve">reatment </w:t>
      </w:r>
      <w:r w:rsidR="009209C2">
        <w:t>p</w:t>
      </w:r>
      <w:r w:rsidRPr="00BF7BA4">
        <w:t>eriod 2) with a final follow</w:t>
      </w:r>
      <w:r w:rsidR="009209C2">
        <w:t xml:space="preserve"> </w:t>
      </w:r>
      <w:r w:rsidRPr="00BF7BA4">
        <w:t xml:space="preserve">up </w:t>
      </w:r>
      <w:r w:rsidR="008575F3">
        <w:t>v</w:t>
      </w:r>
      <w:r w:rsidRPr="00BF7BA4">
        <w:t xml:space="preserve">isit at </w:t>
      </w:r>
      <w:r w:rsidR="004D2195">
        <w:t>W</w:t>
      </w:r>
      <w:r w:rsidRPr="00BF7BA4">
        <w:t>eek 53 (</w:t>
      </w:r>
      <w:r w:rsidR="00F37884">
        <w:t>that is</w:t>
      </w:r>
      <w:r w:rsidRPr="00BF7BA4">
        <w:t xml:space="preserve">, </w:t>
      </w:r>
      <w:r w:rsidR="0098334E">
        <w:t>one</w:t>
      </w:r>
      <w:r w:rsidRPr="00BF7BA4">
        <w:t xml:space="preserve"> week after the last dose at </w:t>
      </w:r>
      <w:r w:rsidR="004D2195">
        <w:t>W</w:t>
      </w:r>
      <w:r w:rsidRPr="00BF7BA4">
        <w:t>eek 52).</w:t>
      </w:r>
    </w:p>
    <w:p w14:paraId="0B53524D" w14:textId="36537C94" w:rsidR="00716A19" w:rsidRPr="00BF7BA4" w:rsidRDefault="00716A19" w:rsidP="00BF7BA4">
      <w:r w:rsidRPr="00BF7BA4">
        <w:t xml:space="preserve">A total of 61 subjects entered the </w:t>
      </w:r>
      <w:r w:rsidR="00F37884">
        <w:t>subcutaneous</w:t>
      </w:r>
      <w:r w:rsidRPr="00BF7BA4">
        <w:t xml:space="preserve"> </w:t>
      </w:r>
      <w:r w:rsidR="0098334E">
        <w:t>p</w:t>
      </w:r>
      <w:r w:rsidR="009D13C3">
        <w:t>hase</w:t>
      </w:r>
      <w:r w:rsidRPr="00BF7BA4">
        <w:t xml:space="preserve"> of Study GTI1503 and were included in the </w:t>
      </w:r>
      <w:r w:rsidR="009209C2">
        <w:t>e</w:t>
      </w:r>
      <w:r w:rsidRPr="00BF7BA4">
        <w:t xml:space="preserve">fficacy </w:t>
      </w:r>
      <w:r w:rsidR="009209C2">
        <w:t>e</w:t>
      </w:r>
      <w:r w:rsidRPr="00BF7BA4">
        <w:t xml:space="preserve">valuable population. A total of 59 (96.7%) subjects had sufficient </w:t>
      </w:r>
      <w:r w:rsidR="00F37884">
        <w:t xml:space="preserve">immunoglobulin </w:t>
      </w:r>
      <w:r w:rsidRPr="00BF7BA4">
        <w:t xml:space="preserve">G data for trough </w:t>
      </w:r>
      <w:r w:rsidR="00F37884">
        <w:t xml:space="preserve">immunoglobulin </w:t>
      </w:r>
      <w:r w:rsidRPr="00BF7BA4">
        <w:t xml:space="preserve">G analysis and were included in the </w:t>
      </w:r>
      <w:r w:rsidR="00F37884">
        <w:t xml:space="preserve">immunoglobulin </w:t>
      </w:r>
      <w:r w:rsidRPr="00BF7BA4">
        <w:t>G population, and 27 adult subjects were included in the PK population.</w:t>
      </w:r>
    </w:p>
    <w:p w14:paraId="1688F984" w14:textId="0AF82BA5" w:rsidR="00716A19" w:rsidRPr="00BF7BA4" w:rsidRDefault="00716A19" w:rsidP="00BF7BA4">
      <w:r w:rsidRPr="00BF7BA4">
        <w:t xml:space="preserve">The overall average </w:t>
      </w:r>
      <w:r w:rsidR="00C42CA3" w:rsidRPr="00BF7BA4">
        <w:t>steady state</w:t>
      </w:r>
      <w:r w:rsidRPr="00BF7BA4">
        <w:t xml:space="preserve"> mean </w:t>
      </w:r>
      <w:r w:rsidR="00F37884">
        <w:t>(</w:t>
      </w:r>
      <w:r w:rsidRPr="00BF7BA4">
        <w:t>SD</w:t>
      </w:r>
      <w:r w:rsidR="00F37884">
        <w:t>)</w:t>
      </w:r>
      <w:r w:rsidRPr="00BF7BA4">
        <w:t xml:space="preserve"> trough total </w:t>
      </w:r>
      <w:r w:rsidR="00F37884">
        <w:t xml:space="preserve">immunoglobulin </w:t>
      </w:r>
      <w:r w:rsidRPr="00BF7BA4">
        <w:t xml:space="preserve">G concentration during the </w:t>
      </w:r>
      <w:r w:rsidR="009209C2">
        <w:t>p</w:t>
      </w:r>
      <w:r w:rsidRPr="00BF7BA4">
        <w:t xml:space="preserve">revious </w:t>
      </w:r>
      <w:r w:rsidR="009209C2">
        <w:t>r</w:t>
      </w:r>
      <w:r w:rsidRPr="00BF7BA4">
        <w:t xml:space="preserve">egimen </w:t>
      </w:r>
      <w:r w:rsidR="0098334E">
        <w:t>p</w:t>
      </w:r>
      <w:r w:rsidR="009D13C3">
        <w:t>hase</w:t>
      </w:r>
      <w:r w:rsidRPr="00BF7BA4">
        <w:t xml:space="preserve"> was 891.37 (165.943) mg/dL. The average trough concentrations at</w:t>
      </w:r>
      <w:r w:rsidR="00CF6E0E">
        <w:t xml:space="preserve"> previous intravenous </w:t>
      </w:r>
      <w:r w:rsidR="008575F3">
        <w:t>V</w:t>
      </w:r>
      <w:r w:rsidR="00CF6E0E">
        <w:t xml:space="preserve">isit </w:t>
      </w:r>
      <w:r w:rsidR="004A2F6A">
        <w:t>1</w:t>
      </w:r>
      <w:r w:rsidRPr="0067397A">
        <w:t>/</w:t>
      </w:r>
      <w:r w:rsidR="00CF6E0E" w:rsidRPr="0067397A">
        <w:t xml:space="preserve">previous subcutaneous </w:t>
      </w:r>
      <w:r w:rsidR="008575F3">
        <w:t>V</w:t>
      </w:r>
      <w:r w:rsidR="00CF6E0E" w:rsidRPr="0067397A">
        <w:t xml:space="preserve">isit </w:t>
      </w:r>
      <w:r w:rsidR="004A2F6A">
        <w:t>1</w:t>
      </w:r>
      <w:r w:rsidRPr="0067397A">
        <w:t xml:space="preserve">and </w:t>
      </w:r>
      <w:r w:rsidR="00CF6E0E" w:rsidRPr="0067397A">
        <w:t xml:space="preserve">previous intravenous </w:t>
      </w:r>
      <w:r w:rsidR="008575F3">
        <w:t>V</w:t>
      </w:r>
      <w:r w:rsidR="00CF6E0E" w:rsidRPr="0067397A">
        <w:t xml:space="preserve">isit </w:t>
      </w:r>
      <w:r w:rsidR="004A2F6A">
        <w:t>2</w:t>
      </w:r>
      <w:r w:rsidR="00CF6E0E" w:rsidRPr="0067397A">
        <w:t>/</w:t>
      </w:r>
      <w:r w:rsidR="0067397A" w:rsidRPr="0067397A">
        <w:t xml:space="preserve">subcutaneous </w:t>
      </w:r>
      <w:r w:rsidR="008575F3">
        <w:t>V</w:t>
      </w:r>
      <w:r w:rsidR="0067397A" w:rsidRPr="0067397A">
        <w:t xml:space="preserve">isit </w:t>
      </w:r>
      <w:r w:rsidR="004A2F6A">
        <w:t xml:space="preserve">1 </w:t>
      </w:r>
      <w:r w:rsidRPr="00BF7BA4">
        <w:t>were mean (SD) concentrations of 875.6 (167.28) mg/dL and 906.9 (173.62) mg/dL, respectively. All individual trough concentrations were above 500</w:t>
      </w:r>
      <w:r w:rsidR="004A2F6A">
        <w:t> </w:t>
      </w:r>
      <w:r w:rsidRPr="00BF7BA4">
        <w:t>mg/dL.</w:t>
      </w:r>
    </w:p>
    <w:p w14:paraId="1FD8F082" w14:textId="41C1B4E5" w:rsidR="00716A19" w:rsidRPr="00BF7BA4" w:rsidRDefault="00716A19" w:rsidP="00BF7BA4">
      <w:r w:rsidRPr="00BF7BA4">
        <w:t xml:space="preserve">The average of the mean (SD) trough </w:t>
      </w:r>
      <w:r w:rsidR="00F37884">
        <w:t xml:space="preserve">immunoglobulin </w:t>
      </w:r>
      <w:r w:rsidRPr="00BF7BA4">
        <w:t>G concentrations for all subjects during the</w:t>
      </w:r>
      <w:r w:rsidR="00F37884">
        <w:t xml:space="preserve"> subcutaneous</w:t>
      </w:r>
      <w:r w:rsidRPr="00BF7BA4">
        <w:t xml:space="preserve"> </w:t>
      </w:r>
      <w:r w:rsidR="009D13C3">
        <w:t>phase</w:t>
      </w:r>
      <w:r w:rsidRPr="00BF7BA4">
        <w:t xml:space="preserve"> was 947.64 (150.262) mg/dL and was generally comparable to the average of the mean trough </w:t>
      </w:r>
      <w:r w:rsidR="00F37884">
        <w:t xml:space="preserve">immunoglobulin </w:t>
      </w:r>
      <w:r w:rsidRPr="00BF7BA4">
        <w:t>G concentrations from the previous regimen of 891.37 (165.943) mg/dL. The average mean trough ratio (</w:t>
      </w:r>
      <w:r w:rsidR="00F37884">
        <w:t>subcutaneous</w:t>
      </w:r>
      <w:r w:rsidRPr="00BF7BA4">
        <w:t xml:space="preserve"> </w:t>
      </w:r>
      <w:r w:rsidR="0098334E">
        <w:t>p</w:t>
      </w:r>
      <w:r w:rsidR="009D13C3">
        <w:t>hase</w:t>
      </w:r>
      <w:r w:rsidRPr="00BF7BA4">
        <w:t xml:space="preserve">: </w:t>
      </w:r>
      <w:r w:rsidR="009209C2">
        <w:t>p</w:t>
      </w:r>
      <w:r w:rsidRPr="00BF7BA4">
        <w:t xml:space="preserve">revious </w:t>
      </w:r>
      <w:r w:rsidR="009209C2">
        <w:t>r</w:t>
      </w:r>
      <w:r w:rsidRPr="00BF7BA4">
        <w:t xml:space="preserve">egimen </w:t>
      </w:r>
      <w:r w:rsidR="0098334E">
        <w:t>p</w:t>
      </w:r>
      <w:r w:rsidR="009D13C3">
        <w:t>hase</w:t>
      </w:r>
      <w:r w:rsidRPr="00BF7BA4">
        <w:t xml:space="preserve">) was 1.078 (range: 0.83, 1.54). All individual trough concentrations in the </w:t>
      </w:r>
      <w:r w:rsidR="00F37884">
        <w:t>subcutaneous</w:t>
      </w:r>
      <w:r w:rsidRPr="00BF7BA4">
        <w:t xml:space="preserve"> </w:t>
      </w:r>
      <w:r w:rsidR="0098334E">
        <w:t>p</w:t>
      </w:r>
      <w:r w:rsidR="009D13C3">
        <w:t>hase</w:t>
      </w:r>
      <w:r w:rsidRPr="00BF7BA4">
        <w:t xml:space="preserve"> were above the anticipated 500 mg/dL therapeutic threshold.</w:t>
      </w:r>
    </w:p>
    <w:p w14:paraId="608F5D80" w14:textId="615F8B8E" w:rsidR="00716A19" w:rsidRDefault="009209C2" w:rsidP="00E47035">
      <w:pPr>
        <w:pStyle w:val="TableTitle"/>
      </w:pPr>
      <w:bookmarkStart w:id="45" w:name="_Ref118974672"/>
      <w:r>
        <w:t xml:space="preserve">Table </w:t>
      </w:r>
      <w:fldSimple w:instr=" SEQ Table \* ARABIC ">
        <w:r w:rsidR="009C353F">
          <w:rPr>
            <w:noProof/>
          </w:rPr>
          <w:t>6</w:t>
        </w:r>
      </w:fldSimple>
      <w:bookmarkEnd w:id="45"/>
      <w:r>
        <w:t xml:space="preserve">: </w:t>
      </w:r>
      <w:r w:rsidR="004A2F6A">
        <w:t xml:space="preserve">Study GT1I503 </w:t>
      </w:r>
      <w:r w:rsidR="00716A19" w:rsidRPr="009209C2">
        <w:t>Summary of steady</w:t>
      </w:r>
      <w:r w:rsidRPr="009209C2">
        <w:t xml:space="preserve"> </w:t>
      </w:r>
      <w:r w:rsidR="00716A19" w:rsidRPr="009209C2">
        <w:t xml:space="preserve">state trough concentrations of total </w:t>
      </w:r>
      <w:r w:rsidR="00F37884">
        <w:t xml:space="preserve">immunoglobulin </w:t>
      </w:r>
      <w:r w:rsidR="00716A19" w:rsidRPr="009209C2">
        <w:t xml:space="preserve">G during the previous regimen and </w:t>
      </w:r>
      <w:r w:rsidRPr="009209C2">
        <w:t>subcutaneous</w:t>
      </w:r>
      <w:r w:rsidR="00716A19" w:rsidRPr="009209C2">
        <w:t xml:space="preserve"> </w:t>
      </w:r>
      <w:r w:rsidR="00F37884">
        <w:t>p</w:t>
      </w:r>
      <w:r w:rsidR="009D13C3">
        <w:t>hase</w:t>
      </w:r>
      <w:r w:rsidR="00716A19" w:rsidRPr="009209C2">
        <w:t xml:space="preserve">s, </w:t>
      </w:r>
      <w:r w:rsidR="00F37884">
        <w:t xml:space="preserve">immunoglobulin </w:t>
      </w:r>
      <w:r w:rsidR="00716A19" w:rsidRPr="009209C2">
        <w:t>G</w:t>
      </w:r>
      <w:r w:rsidR="00F37884">
        <w:t xml:space="preserve"> </w:t>
      </w:r>
      <w:r w:rsidR="00716A19" w:rsidRPr="009209C2">
        <w:t>population</w:t>
      </w:r>
    </w:p>
    <w:p w14:paraId="12C6ACD6" w14:textId="74A4F4E7" w:rsidR="004151A2" w:rsidRDefault="004151A2" w:rsidP="00E47035">
      <w:pPr>
        <w:pStyle w:val="TableTitle"/>
      </w:pPr>
      <w:r>
        <w:rPr>
          <w:noProof/>
          <w:lang w:val="en-GB" w:eastAsia="en-GB"/>
        </w:rPr>
        <w:drawing>
          <wp:inline distT="0" distB="0" distL="0" distR="0" wp14:anchorId="5CB6B063" wp14:editId="48BCB68F">
            <wp:extent cx="5381625" cy="2112010"/>
            <wp:effectExtent l="0" t="0" r="9525" b="2540"/>
            <wp:docPr id="1" name="Picture 1" descr="Table 6: Study GT1I503 Summary of steady state trough concentrations of total immunoglobulin G during the previous regimen and subcutaneous phases, immunoglobulin G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6: Study GT1I503 Summary of steady state trough concentrations of total immunoglobulin G during the previous regimen and subcutaneous phases, immunoglobulin G population"/>
                    <pic:cNvPicPr/>
                  </pic:nvPicPr>
                  <pic:blipFill>
                    <a:blip r:embed="rId21"/>
                    <a:stretch>
                      <a:fillRect/>
                    </a:stretch>
                  </pic:blipFill>
                  <pic:spPr>
                    <a:xfrm>
                      <a:off x="0" y="0"/>
                      <a:ext cx="5387843" cy="2114450"/>
                    </a:xfrm>
                    <a:prstGeom prst="rect">
                      <a:avLst/>
                    </a:prstGeom>
                  </pic:spPr>
                </pic:pic>
              </a:graphicData>
            </a:graphic>
          </wp:inline>
        </w:drawing>
      </w:r>
    </w:p>
    <w:p w14:paraId="45134058" w14:textId="1E75D2F5" w:rsidR="004A2F6A" w:rsidRDefault="004A2F6A" w:rsidP="004A2F6A">
      <w:pPr>
        <w:pStyle w:val="TableDescription"/>
      </w:pPr>
      <w:r>
        <w:t>Abbreviations: CV% = coefficient of variation; IV = intravenous; max = maximum; min = minimum; n = number of subjects; PK = pharmacokinetic; SC = subcutaneous</w:t>
      </w:r>
      <w:r w:rsidR="008E14EF">
        <w:t>; SD = standard deviation.</w:t>
      </w:r>
    </w:p>
    <w:p w14:paraId="77543202" w14:textId="0E9A44B6" w:rsidR="004A2F6A" w:rsidRDefault="004A2F6A" w:rsidP="00213CC2">
      <w:pPr>
        <w:pStyle w:val="TableDescription"/>
      </w:pPr>
      <w:r>
        <w:t>IV#/SC# refers to intravenous/subcutaneous visit number.</w:t>
      </w:r>
    </w:p>
    <w:p w14:paraId="13D00984" w14:textId="6ECBD757" w:rsidR="00E47035" w:rsidRPr="00E47035" w:rsidRDefault="00E47035" w:rsidP="00E47035">
      <w:pPr>
        <w:pStyle w:val="TableDescription"/>
      </w:pPr>
      <w:r w:rsidRPr="00E47035">
        <w:lastRenderedPageBreak/>
        <w:t>a. Trough concentration is taken from the</w:t>
      </w:r>
      <w:r w:rsidR="0067397A">
        <w:t xml:space="preserve"> previous intravenous </w:t>
      </w:r>
      <w:r w:rsidR="008575F3">
        <w:t>V</w:t>
      </w:r>
      <w:r w:rsidR="0067397A">
        <w:t xml:space="preserve">isit </w:t>
      </w:r>
      <w:r w:rsidR="004E6634">
        <w:t>one</w:t>
      </w:r>
      <w:r w:rsidR="0067397A" w:rsidRPr="0067397A">
        <w:t xml:space="preserve">/previous subcutaneous </w:t>
      </w:r>
      <w:r w:rsidR="008575F3">
        <w:t>V</w:t>
      </w:r>
      <w:r w:rsidR="0067397A" w:rsidRPr="0067397A">
        <w:t xml:space="preserve">isit </w:t>
      </w:r>
      <w:r w:rsidR="004E6634">
        <w:t>one</w:t>
      </w:r>
      <w:r w:rsidRPr="00E47035">
        <w:t xml:space="preserve"> </w:t>
      </w:r>
      <w:r w:rsidR="0067397A">
        <w:t>(</w:t>
      </w:r>
      <w:r w:rsidRPr="00E47035">
        <w:t>pIV#1/pSC#1</w:t>
      </w:r>
      <w:r w:rsidR="0067397A">
        <w:t>)</w:t>
      </w:r>
      <w:r w:rsidRPr="00E47035">
        <w:t xml:space="preserve"> </w:t>
      </w:r>
      <w:r w:rsidR="008575F3">
        <w:t>V</w:t>
      </w:r>
      <w:r w:rsidRPr="00E47035">
        <w:t xml:space="preserve">isit, or from screening </w:t>
      </w:r>
      <w:r w:rsidR="008575F3">
        <w:t>V</w:t>
      </w:r>
      <w:r w:rsidRPr="00E47035">
        <w:t>isit if a separate</w:t>
      </w:r>
      <w:r w:rsidR="0067397A">
        <w:t xml:space="preserve"> </w:t>
      </w:r>
      <w:r w:rsidR="0067397A" w:rsidRPr="0067397A">
        <w:t xml:space="preserve">previous intravenous </w:t>
      </w:r>
      <w:r w:rsidR="008575F3">
        <w:t>V</w:t>
      </w:r>
      <w:r w:rsidR="0067397A" w:rsidRPr="0067397A">
        <w:t xml:space="preserve">isit </w:t>
      </w:r>
      <w:r w:rsidR="004E6634">
        <w:t>two</w:t>
      </w:r>
      <w:r w:rsidR="0067397A" w:rsidRPr="0067397A">
        <w:t xml:space="preserve">/subcutaneous </w:t>
      </w:r>
      <w:r w:rsidR="008575F3">
        <w:t>V</w:t>
      </w:r>
      <w:r w:rsidR="0067397A" w:rsidRPr="0067397A">
        <w:t xml:space="preserve">isit </w:t>
      </w:r>
      <w:r w:rsidR="004E6634">
        <w:t>one</w:t>
      </w:r>
      <w:r w:rsidR="0067397A" w:rsidRPr="0067397A">
        <w:t xml:space="preserve"> </w:t>
      </w:r>
      <w:r w:rsidR="0067397A">
        <w:t>(</w:t>
      </w:r>
      <w:r w:rsidRPr="00E47035">
        <w:t>pIV#1/pSC#1</w:t>
      </w:r>
      <w:r w:rsidR="0067397A">
        <w:t>)</w:t>
      </w:r>
      <w:r w:rsidRPr="00E47035">
        <w:t xml:space="preserve"> </w:t>
      </w:r>
      <w:r w:rsidR="008575F3">
        <w:t>V</w:t>
      </w:r>
      <w:r w:rsidRPr="00E47035">
        <w:t>isit was not required for the subject.</w:t>
      </w:r>
    </w:p>
    <w:p w14:paraId="4CEF74F6" w14:textId="1DBF8BC4" w:rsidR="00F37884" w:rsidRDefault="00E47035" w:rsidP="00E47035">
      <w:pPr>
        <w:pStyle w:val="TableDescription"/>
      </w:pPr>
      <w:r w:rsidRPr="00E47035">
        <w:t xml:space="preserve">b. Mean trough in the previous regimen </w:t>
      </w:r>
      <w:r w:rsidR="0067397A">
        <w:t>p</w:t>
      </w:r>
      <w:r w:rsidRPr="00E47035">
        <w:t xml:space="preserve">hase is calculated as the average of the trough concentrations at the pIV#1 and pIV#2 </w:t>
      </w:r>
      <w:r w:rsidR="008575F3">
        <w:t>V</w:t>
      </w:r>
      <w:r w:rsidRPr="00E47035">
        <w:t xml:space="preserve">isits for subjects entering study on a previous </w:t>
      </w:r>
      <w:r w:rsidR="0067397A">
        <w:t>intravenous immunoglobulin</w:t>
      </w:r>
      <w:r w:rsidRPr="00E47035">
        <w:t xml:space="preserve"> regimen, or at the pSC#1 and Baseline/SC#1 </w:t>
      </w:r>
      <w:r w:rsidR="008575F3">
        <w:t>V</w:t>
      </w:r>
      <w:r w:rsidRPr="00E47035">
        <w:t xml:space="preserve">isits for subjects entering study on a previous </w:t>
      </w:r>
      <w:r w:rsidR="0067397A">
        <w:t>subcutaneous</w:t>
      </w:r>
      <w:r w:rsidRPr="00E47035">
        <w:t xml:space="preserve"> regimen.</w:t>
      </w:r>
    </w:p>
    <w:p w14:paraId="152A57C5" w14:textId="6F5E5CAC" w:rsidR="009D4EE8" w:rsidRPr="009D4EE8" w:rsidRDefault="009D4EE8" w:rsidP="009D4EE8">
      <w:pPr>
        <w:pStyle w:val="TableDescription"/>
      </w:pPr>
      <w:r w:rsidRPr="009D4EE8">
        <w:t>c</w:t>
      </w:r>
      <w:r w:rsidR="00AF5A39">
        <w:t>.</w:t>
      </w:r>
      <w:r w:rsidRPr="009D4EE8">
        <w:t xml:space="preserve"> Mean trough in the </w:t>
      </w:r>
      <w:r w:rsidR="0067397A">
        <w:t>subcutaneous p</w:t>
      </w:r>
      <w:r w:rsidR="009D13C3">
        <w:t>hase</w:t>
      </w:r>
      <w:r w:rsidRPr="009D4EE8">
        <w:t xml:space="preserve"> is calculated as the average of the trough concentrations at </w:t>
      </w:r>
      <w:r w:rsidR="0067397A">
        <w:t xml:space="preserve">subcutaneous </w:t>
      </w:r>
      <w:r w:rsidR="008575F3">
        <w:t>V</w:t>
      </w:r>
      <w:r w:rsidR="0067397A">
        <w:t>isit 17</w:t>
      </w:r>
      <w:r w:rsidRPr="009D4EE8">
        <w:t xml:space="preserve"> </w:t>
      </w:r>
      <w:r w:rsidR="0067397A">
        <w:t>(</w:t>
      </w:r>
      <w:r w:rsidRPr="009D4EE8">
        <w:t>SC#17</w:t>
      </w:r>
      <w:r w:rsidR="0067397A">
        <w:t>)</w:t>
      </w:r>
      <w:r w:rsidRPr="009D4EE8">
        <w:t xml:space="preserve">, </w:t>
      </w:r>
      <w:r w:rsidR="0067397A">
        <w:t xml:space="preserve">subcutaneous </w:t>
      </w:r>
      <w:r w:rsidR="008575F3">
        <w:t>V</w:t>
      </w:r>
      <w:r w:rsidR="0067397A">
        <w:t>isit 18 (</w:t>
      </w:r>
      <w:r w:rsidRPr="009D4EE8">
        <w:t>SC#18</w:t>
      </w:r>
      <w:r w:rsidR="0067397A">
        <w:t>)</w:t>
      </w:r>
      <w:r w:rsidRPr="009D4EE8">
        <w:t>,</w:t>
      </w:r>
      <w:r w:rsidR="0067397A">
        <w:t xml:space="preserve"> subcutaneous </w:t>
      </w:r>
      <w:r w:rsidR="008575F3">
        <w:t>V</w:t>
      </w:r>
      <w:r w:rsidR="0067397A">
        <w:t>isit 20</w:t>
      </w:r>
      <w:r w:rsidRPr="009D4EE8">
        <w:t xml:space="preserve"> </w:t>
      </w:r>
      <w:r w:rsidR="0067397A">
        <w:t>(</w:t>
      </w:r>
      <w:r w:rsidRPr="009D4EE8">
        <w:t>SC#20</w:t>
      </w:r>
      <w:r w:rsidR="0067397A">
        <w:t>)</w:t>
      </w:r>
      <w:r w:rsidRPr="009D4EE8">
        <w:t>,</w:t>
      </w:r>
      <w:r w:rsidR="0067397A">
        <w:t xml:space="preserve"> subcutaneous </w:t>
      </w:r>
      <w:r w:rsidR="008575F3">
        <w:t>V</w:t>
      </w:r>
      <w:r w:rsidR="0067397A">
        <w:t>isit</w:t>
      </w:r>
      <w:r w:rsidRPr="009D4EE8">
        <w:t xml:space="preserve"> </w:t>
      </w:r>
      <w:r w:rsidR="0067397A">
        <w:t>24 (</w:t>
      </w:r>
      <w:r w:rsidRPr="009D4EE8">
        <w:t>SC#24</w:t>
      </w:r>
      <w:r w:rsidR="0067397A">
        <w:t>)</w:t>
      </w:r>
      <w:r w:rsidRPr="009D4EE8">
        <w:t>,</w:t>
      </w:r>
      <w:r w:rsidR="0067397A">
        <w:t xml:space="preserve"> subcutaneous </w:t>
      </w:r>
      <w:r w:rsidR="008575F3">
        <w:t>V</w:t>
      </w:r>
      <w:r w:rsidR="0067397A">
        <w:t>isit 28</w:t>
      </w:r>
      <w:r w:rsidRPr="009D4EE8">
        <w:t xml:space="preserve"> </w:t>
      </w:r>
      <w:r w:rsidR="0067397A">
        <w:t>(</w:t>
      </w:r>
      <w:r w:rsidRPr="009D4EE8">
        <w:t>SC#28</w:t>
      </w:r>
      <w:r w:rsidR="0067397A">
        <w:t>)</w:t>
      </w:r>
      <w:r w:rsidRPr="009D4EE8">
        <w:t>,</w:t>
      </w:r>
      <w:r w:rsidR="0067397A">
        <w:t xml:space="preserve"> subcutaneous </w:t>
      </w:r>
      <w:r w:rsidR="008575F3">
        <w:t>V</w:t>
      </w:r>
      <w:r w:rsidR="0067397A">
        <w:t>isit 32</w:t>
      </w:r>
      <w:r w:rsidRPr="009D4EE8">
        <w:t xml:space="preserve"> </w:t>
      </w:r>
      <w:r w:rsidR="0067397A">
        <w:t>(</w:t>
      </w:r>
      <w:r w:rsidRPr="009D4EE8">
        <w:t>SC#32</w:t>
      </w:r>
      <w:r w:rsidR="0067397A">
        <w:t>)</w:t>
      </w:r>
      <w:r w:rsidRPr="009D4EE8">
        <w:t>,</w:t>
      </w:r>
      <w:r w:rsidR="0067397A">
        <w:t xml:space="preserve"> subcutaneous </w:t>
      </w:r>
      <w:r w:rsidR="008575F3">
        <w:t>V</w:t>
      </w:r>
      <w:r w:rsidR="0067397A">
        <w:t>isit 36</w:t>
      </w:r>
      <w:r w:rsidRPr="009D4EE8">
        <w:t xml:space="preserve"> </w:t>
      </w:r>
      <w:r w:rsidR="0067397A">
        <w:t>(</w:t>
      </w:r>
      <w:r w:rsidRPr="009D4EE8">
        <w:t>SC#36</w:t>
      </w:r>
      <w:r w:rsidR="0067397A">
        <w:t>)</w:t>
      </w:r>
      <w:r w:rsidRPr="009D4EE8">
        <w:t>,</w:t>
      </w:r>
      <w:r w:rsidR="0067397A">
        <w:t xml:space="preserve"> subcutaneous </w:t>
      </w:r>
      <w:r w:rsidR="008575F3">
        <w:t>V</w:t>
      </w:r>
      <w:r w:rsidR="0067397A">
        <w:t>isit 40</w:t>
      </w:r>
      <w:r w:rsidRPr="009D4EE8">
        <w:t xml:space="preserve"> </w:t>
      </w:r>
      <w:r w:rsidR="0067397A">
        <w:t>(</w:t>
      </w:r>
      <w:r w:rsidRPr="009D4EE8">
        <w:t>SC#40</w:t>
      </w:r>
      <w:r w:rsidR="0067397A">
        <w:t>)</w:t>
      </w:r>
      <w:r w:rsidRPr="009D4EE8">
        <w:t>,</w:t>
      </w:r>
      <w:r w:rsidR="0067397A">
        <w:t xml:space="preserve"> subcutaneous </w:t>
      </w:r>
      <w:r w:rsidR="008575F3">
        <w:t>V</w:t>
      </w:r>
      <w:r w:rsidR="0067397A">
        <w:t>isit 44</w:t>
      </w:r>
      <w:r w:rsidRPr="009D4EE8">
        <w:t xml:space="preserve"> </w:t>
      </w:r>
      <w:r w:rsidR="0067397A">
        <w:t>(</w:t>
      </w:r>
      <w:r w:rsidRPr="009D4EE8">
        <w:t>SC#44</w:t>
      </w:r>
      <w:r w:rsidR="0067397A">
        <w:t>)</w:t>
      </w:r>
      <w:r w:rsidRPr="009D4EE8">
        <w:t>,</w:t>
      </w:r>
      <w:r w:rsidR="0067397A">
        <w:t xml:space="preserve"> subcutaneous </w:t>
      </w:r>
      <w:r w:rsidR="008575F3">
        <w:t>V</w:t>
      </w:r>
      <w:r w:rsidR="0067397A">
        <w:t>isit 48</w:t>
      </w:r>
      <w:r w:rsidRPr="009D4EE8">
        <w:t xml:space="preserve"> </w:t>
      </w:r>
      <w:r w:rsidR="0067397A">
        <w:t>(</w:t>
      </w:r>
      <w:r w:rsidRPr="009D4EE8">
        <w:t>SC#48</w:t>
      </w:r>
      <w:r w:rsidR="0067397A">
        <w:t>)</w:t>
      </w:r>
      <w:r w:rsidRPr="009D4EE8">
        <w:t>,</w:t>
      </w:r>
      <w:r w:rsidR="0067397A">
        <w:t xml:space="preserve"> subcutaneous </w:t>
      </w:r>
      <w:r w:rsidR="008575F3">
        <w:t>V</w:t>
      </w:r>
      <w:r w:rsidR="0067397A">
        <w:t>isit 52</w:t>
      </w:r>
      <w:r w:rsidRPr="009D4EE8">
        <w:t xml:space="preserve"> </w:t>
      </w:r>
      <w:r w:rsidR="0067397A">
        <w:t>(</w:t>
      </w:r>
      <w:r w:rsidRPr="009D4EE8">
        <w:t>SC#52</w:t>
      </w:r>
      <w:r w:rsidR="0067397A">
        <w:t>)</w:t>
      </w:r>
      <w:r w:rsidRPr="009D4EE8">
        <w:t xml:space="preserve"> and </w:t>
      </w:r>
      <w:r w:rsidR="0067397A">
        <w:t xml:space="preserve">subcutaneous </w:t>
      </w:r>
      <w:r w:rsidR="008575F3">
        <w:t>V</w:t>
      </w:r>
      <w:r w:rsidR="0067397A">
        <w:t>isit 53 (</w:t>
      </w:r>
      <w:r w:rsidRPr="009D4EE8">
        <w:t>SC#53</w:t>
      </w:r>
      <w:r w:rsidR="0067397A">
        <w:t>)</w:t>
      </w:r>
      <w:r w:rsidRPr="009D4EE8">
        <w:t>.</w:t>
      </w:r>
    </w:p>
    <w:p w14:paraId="048DB1F3" w14:textId="18C31AFC" w:rsidR="00716A19" w:rsidRPr="00BF7BA4" w:rsidRDefault="00716A19" w:rsidP="00BF7BA4">
      <w:r w:rsidRPr="00BF7BA4">
        <w:t xml:space="preserve">The peak value at </w:t>
      </w:r>
      <w:r w:rsidR="0067397A">
        <w:t xml:space="preserve">subcutaneous </w:t>
      </w:r>
      <w:r w:rsidR="008E14EF">
        <w:t>V</w:t>
      </w:r>
      <w:r w:rsidR="0067397A">
        <w:t>isit</w:t>
      </w:r>
      <w:r w:rsidR="008E14EF">
        <w:t xml:space="preserve"> 1</w:t>
      </w:r>
      <w:r w:rsidR="0067397A">
        <w:t xml:space="preserve"> </w:t>
      </w:r>
      <w:r w:rsidRPr="00BF7BA4">
        <w:t xml:space="preserve">can be attributed to the </w:t>
      </w:r>
      <w:proofErr w:type="gramStart"/>
      <w:r w:rsidR="0098334E">
        <w:t xml:space="preserve">one </w:t>
      </w:r>
      <w:r w:rsidRPr="00BF7BA4">
        <w:t>week</w:t>
      </w:r>
      <w:proofErr w:type="gramEnd"/>
      <w:r w:rsidRPr="00BF7BA4">
        <w:t xml:space="preserve"> transition between the last previous regimen </w:t>
      </w:r>
      <w:r w:rsidR="0067397A">
        <w:t>intravenous immunoglobulin</w:t>
      </w:r>
      <w:r w:rsidRPr="00BF7BA4">
        <w:t xml:space="preserve"> dose and the start of </w:t>
      </w:r>
      <w:r w:rsidR="0067397A">
        <w:t>subcutaneous immunoglobulin</w:t>
      </w:r>
      <w:r w:rsidRPr="00BF7BA4">
        <w:t xml:space="preserve"> 20% administration at Baseline/</w:t>
      </w:r>
      <w:r w:rsidR="0067397A">
        <w:t xml:space="preserve"> subcutaneous </w:t>
      </w:r>
      <w:r w:rsidR="008E14EF">
        <w:t>V</w:t>
      </w:r>
      <w:r w:rsidR="0067397A">
        <w:t xml:space="preserve">isit </w:t>
      </w:r>
      <w:r w:rsidRPr="00BF7BA4">
        <w:t xml:space="preserve">1 for subjects who entered the study on </w:t>
      </w:r>
      <w:r w:rsidR="0067397A">
        <w:t>intravenous immunoglobulin</w:t>
      </w:r>
      <w:r w:rsidRPr="00BF7BA4">
        <w:t xml:space="preserve">, given that the previous regimen of </w:t>
      </w:r>
      <w:r w:rsidR="0067397A">
        <w:t>intravenous immunoglobulin</w:t>
      </w:r>
      <w:r w:rsidRPr="00BF7BA4">
        <w:t xml:space="preserve"> dosing frequency was every </w:t>
      </w:r>
      <w:r w:rsidR="0098334E">
        <w:t>three</w:t>
      </w:r>
      <w:r w:rsidRPr="00BF7BA4">
        <w:t xml:space="preserve"> or </w:t>
      </w:r>
      <w:r w:rsidR="0098334E">
        <w:t>four</w:t>
      </w:r>
      <w:r w:rsidRPr="00BF7BA4">
        <w:t xml:space="preserve"> weeks.</w:t>
      </w:r>
    </w:p>
    <w:p w14:paraId="4AF0759E" w14:textId="74713A36" w:rsidR="00716A19" w:rsidRPr="00BF7BA4" w:rsidRDefault="00716A19" w:rsidP="00BF7BA4">
      <w:r w:rsidRPr="00BF7BA4">
        <w:t>When stratified by age (</w:t>
      </w:r>
      <w:r w:rsidR="0067397A">
        <w:t>less than or equal to</w:t>
      </w:r>
      <w:r w:rsidR="002E6EEA">
        <w:t xml:space="preserve"> </w:t>
      </w:r>
      <w:r w:rsidRPr="00BF7BA4">
        <w:t xml:space="preserve">16 years </w:t>
      </w:r>
      <w:r w:rsidR="0067397A">
        <w:t>(</w:t>
      </w:r>
      <w:r w:rsidRPr="00BF7BA4">
        <w:t>n</w:t>
      </w:r>
      <w:r w:rsidR="002E6EEA">
        <w:t xml:space="preserve"> </w:t>
      </w:r>
      <w:r w:rsidRPr="00BF7BA4">
        <w:t>=</w:t>
      </w:r>
      <w:r w:rsidR="002E6EEA">
        <w:t xml:space="preserve"> </w:t>
      </w:r>
      <w:r w:rsidRPr="00BF7BA4">
        <w:t>27</w:t>
      </w:r>
      <w:r w:rsidR="0067397A">
        <w:t>)</w:t>
      </w:r>
      <w:r w:rsidRPr="00BF7BA4">
        <w:t xml:space="preserve"> or </w:t>
      </w:r>
      <w:r w:rsidR="0067397A">
        <w:t xml:space="preserve">greater than </w:t>
      </w:r>
      <w:r w:rsidRPr="00BF7BA4">
        <w:t xml:space="preserve">16 years </w:t>
      </w:r>
      <w:r w:rsidR="0067397A">
        <w:t>(</w:t>
      </w:r>
      <w:r w:rsidRPr="00BF7BA4">
        <w:t>n</w:t>
      </w:r>
      <w:r w:rsidR="006B1F8E">
        <w:t> </w:t>
      </w:r>
      <w:r w:rsidRPr="00BF7BA4">
        <w:t>=</w:t>
      </w:r>
      <w:r w:rsidR="0067397A">
        <w:t xml:space="preserve"> </w:t>
      </w:r>
      <w:r w:rsidRPr="00BF7BA4">
        <w:t>32</w:t>
      </w:r>
      <w:r w:rsidR="0067397A">
        <w:t>)</w:t>
      </w:r>
      <w:r w:rsidRPr="00BF7BA4">
        <w:t xml:space="preserve">), results for </w:t>
      </w:r>
      <w:r w:rsidR="0067397A">
        <w:t xml:space="preserve">immunoglobulin </w:t>
      </w:r>
      <w:r w:rsidRPr="00BF7BA4">
        <w:t xml:space="preserve">G trough concentrations were </w:t>
      </w:r>
      <w:proofErr w:type="gramStart"/>
      <w:r w:rsidRPr="00BF7BA4">
        <w:t>similar to</w:t>
      </w:r>
      <w:proofErr w:type="gramEnd"/>
      <w:r w:rsidRPr="00BF7BA4">
        <w:t xml:space="preserve"> the overall population.</w:t>
      </w:r>
    </w:p>
    <w:p w14:paraId="05DD0D09" w14:textId="10B4D568" w:rsidR="00716A19" w:rsidRPr="00BF7BA4" w:rsidRDefault="00716A19" w:rsidP="00BF7BA4">
      <w:r w:rsidRPr="00BF7BA4">
        <w:t xml:space="preserve">Overall, the data showed that serum total </w:t>
      </w:r>
      <w:r w:rsidR="0067397A">
        <w:t xml:space="preserve">immunoglobulin </w:t>
      </w:r>
      <w:r w:rsidRPr="00BF7BA4">
        <w:t xml:space="preserve">G trough concentrations were stable over time following </w:t>
      </w:r>
      <w:r w:rsidR="0067397A">
        <w:t>subcutaneous</w:t>
      </w:r>
      <w:r w:rsidRPr="00BF7BA4">
        <w:t xml:space="preserve"> administration of </w:t>
      </w:r>
      <w:r w:rsidR="0067397A">
        <w:t>subcutaneous immunoglobulin</w:t>
      </w:r>
      <w:r w:rsidRPr="00BF7BA4">
        <w:t xml:space="preserve"> 20% and were comparable to the mean </w:t>
      </w:r>
      <w:r w:rsidR="0067397A">
        <w:t xml:space="preserve">immunoglobulin </w:t>
      </w:r>
      <w:r w:rsidRPr="00BF7BA4">
        <w:t xml:space="preserve">G trough concentrations obtained with the previous </w:t>
      </w:r>
      <w:r w:rsidR="0067397A">
        <w:t>immunoglobulin G</w:t>
      </w:r>
      <w:r w:rsidRPr="00BF7BA4">
        <w:t xml:space="preserve"> replacement regimen.</w:t>
      </w:r>
    </w:p>
    <w:p w14:paraId="0C49D58F" w14:textId="4AC12275" w:rsidR="00716A19" w:rsidRDefault="00716A19" w:rsidP="00213CC2">
      <w:pPr>
        <w:pStyle w:val="Heading5"/>
      </w:pPr>
      <w:r w:rsidRPr="006B1F8E">
        <w:t>Conclusions on pharmacokinetics</w:t>
      </w:r>
    </w:p>
    <w:p w14:paraId="6E53AD0E" w14:textId="40616595" w:rsidR="008E14EF" w:rsidRPr="008E14EF" w:rsidRDefault="008E14EF">
      <w:pPr>
        <w:pStyle w:val="Heading6"/>
      </w:pPr>
      <w:r>
        <w:t>Study GTI1502</w:t>
      </w:r>
    </w:p>
    <w:p w14:paraId="079286C6" w14:textId="1DCA2BB7" w:rsidR="00716A19" w:rsidRDefault="00716A19" w:rsidP="00716A19">
      <w:pPr>
        <w:autoSpaceDE w:val="0"/>
        <w:autoSpaceDN w:val="0"/>
        <w:adjustRightInd w:val="0"/>
        <w:rPr>
          <w:rFonts w:asciiTheme="minorHAnsi" w:eastAsia="TimesNewRoman" w:hAnsiTheme="minorHAnsi" w:cs="TimesNewRoman"/>
        </w:rPr>
      </w:pPr>
      <w:r w:rsidRPr="000C2404">
        <w:t xml:space="preserve">The primary PK study was </w:t>
      </w:r>
      <w:r w:rsidR="004D2195">
        <w:t xml:space="preserve">Study </w:t>
      </w:r>
      <w:r w:rsidRPr="000C2404">
        <w:t xml:space="preserve">GTI1502. Overall, 50 subjects were included in the PK population, with 49 subjects providing AUC estimates in the </w:t>
      </w:r>
      <w:r w:rsidR="006B1F8E">
        <w:t>intravenous p</w:t>
      </w:r>
      <w:r w:rsidR="009D13C3">
        <w:t>hase</w:t>
      </w:r>
      <w:r w:rsidRPr="000C2404">
        <w:t xml:space="preserve"> (300</w:t>
      </w:r>
      <w:r w:rsidR="004D2195">
        <w:t xml:space="preserve"> to </w:t>
      </w:r>
      <w:r w:rsidRPr="000C2404">
        <w:t>800</w:t>
      </w:r>
      <w:r w:rsidR="004D2195">
        <w:t> </w:t>
      </w:r>
      <w:r w:rsidRPr="000C2404">
        <w:t xml:space="preserve">mg/kg over a </w:t>
      </w:r>
      <w:proofErr w:type="gramStart"/>
      <w:r w:rsidR="0098334E">
        <w:t>three</w:t>
      </w:r>
      <w:r w:rsidRPr="000C2404">
        <w:t xml:space="preserve"> or</w:t>
      </w:r>
      <w:r w:rsidR="0098334E">
        <w:t xml:space="preserve"> four </w:t>
      </w:r>
      <w:r w:rsidRPr="000C2404">
        <w:t>week</w:t>
      </w:r>
      <w:proofErr w:type="gramEnd"/>
      <w:r w:rsidRPr="000C2404">
        <w:t xml:space="preserve"> dosing interval) and 39 providing AUC estimates in the </w:t>
      </w:r>
      <w:r w:rsidR="006B1F8E">
        <w:t>subcutaneous</w:t>
      </w:r>
      <w:r w:rsidRPr="000C2404">
        <w:t xml:space="preserve"> </w:t>
      </w:r>
      <w:r w:rsidR="006B1F8E">
        <w:t>p</w:t>
      </w:r>
      <w:r w:rsidR="009D13C3">
        <w:t>hase</w:t>
      </w:r>
      <w:r>
        <w:rPr>
          <w:rFonts w:asciiTheme="minorHAnsi" w:eastAsia="TimesNewRoman" w:hAnsiTheme="minorHAnsi" w:cs="TimesNewRoman"/>
        </w:rPr>
        <w:t>.</w:t>
      </w:r>
    </w:p>
    <w:p w14:paraId="1B4919C5" w14:textId="0FEEF1F1" w:rsidR="00716A19" w:rsidRPr="000C2404" w:rsidRDefault="00716A19" w:rsidP="000C2404">
      <w:r w:rsidRPr="000C2404">
        <w:t>The analysis of the primary PK endpoint of steady</w:t>
      </w:r>
      <w:r w:rsidR="001D7EC9">
        <w:t xml:space="preserve"> </w:t>
      </w:r>
      <w:r w:rsidRPr="000C2404">
        <w:t>state AUC</w:t>
      </w:r>
      <w:r w:rsidRPr="000C2404">
        <w:rPr>
          <w:vertAlign w:val="subscript"/>
        </w:rPr>
        <w:t xml:space="preserve">0-7 </w:t>
      </w:r>
      <w:r w:rsidRPr="000C2404">
        <w:t xml:space="preserve">days demonstrated that a </w:t>
      </w:r>
      <w:r w:rsidR="008E14EF">
        <w:t xml:space="preserve">dose adjustment factor </w:t>
      </w:r>
      <w:r w:rsidRPr="000C2404">
        <w:t xml:space="preserve">of 1.37 for the </w:t>
      </w:r>
      <w:r w:rsidR="006B1F8E">
        <w:t>subcutaneous</w:t>
      </w:r>
      <w:r w:rsidRPr="000C2404">
        <w:t xml:space="preserve"> dose of </w:t>
      </w:r>
      <w:r w:rsidR="006B1F8E">
        <w:t>subcutaneous immunoglobulin</w:t>
      </w:r>
      <w:r w:rsidRPr="000C2404">
        <w:t xml:space="preserve"> 20% provided comparable overall serum exposure (AUC) to total </w:t>
      </w:r>
      <w:r w:rsidR="006B1F8E">
        <w:t xml:space="preserve">immunoglobulin </w:t>
      </w:r>
      <w:r w:rsidRPr="000C2404">
        <w:t xml:space="preserve">G relative to the previous </w:t>
      </w:r>
      <w:r w:rsidR="006B1F8E">
        <w:t>intravenous</w:t>
      </w:r>
      <w:r w:rsidRPr="000C2404">
        <w:t xml:space="preserve"> dose of </w:t>
      </w:r>
      <w:r w:rsidR="006B1F8E">
        <w:t>intravenous immunoglobulin</w:t>
      </w:r>
      <w:r w:rsidRPr="000C2404">
        <w:t xml:space="preserve"> 10%. The</w:t>
      </w:r>
      <w:r w:rsidR="001D7EC9" w:rsidRPr="001D7EC9">
        <w:t xml:space="preserve"> </w:t>
      </w:r>
      <w:r w:rsidR="001D7EC9">
        <w:t>g</w:t>
      </w:r>
      <w:r w:rsidR="001D7EC9" w:rsidRPr="001D7EC9">
        <w:t>eometric least</w:t>
      </w:r>
      <w:r w:rsidR="001D7EC9">
        <w:t xml:space="preserve"> </w:t>
      </w:r>
      <w:r w:rsidR="001D7EC9" w:rsidRPr="001D7EC9">
        <w:t>squared mean</w:t>
      </w:r>
      <w:r w:rsidRPr="000C2404">
        <w:t xml:space="preserve"> </w:t>
      </w:r>
      <w:r w:rsidR="001D7EC9">
        <w:t>(</w:t>
      </w:r>
      <w:r w:rsidRPr="001D7EC9">
        <w:t>GLSM</w:t>
      </w:r>
      <w:r w:rsidR="001D7EC9">
        <w:t>)</w:t>
      </w:r>
      <w:r w:rsidRPr="000C2404">
        <w:t xml:space="preserve"> ratio (</w:t>
      </w:r>
      <w:r w:rsidR="006B1F8E">
        <w:t>subcutaneous</w:t>
      </w:r>
      <w:r w:rsidRPr="000C2404">
        <w:t>/</w:t>
      </w:r>
      <w:r w:rsidR="006B1F8E">
        <w:t>intravenous</w:t>
      </w:r>
      <w:r w:rsidRPr="000C2404">
        <w:t>) for the AUC</w:t>
      </w:r>
      <w:r w:rsidRPr="000C2404">
        <w:rPr>
          <w:vertAlign w:val="subscript"/>
        </w:rPr>
        <w:t xml:space="preserve">0-7 </w:t>
      </w:r>
      <w:r w:rsidRPr="000C2404">
        <w:t xml:space="preserve">days for total </w:t>
      </w:r>
      <w:r w:rsidR="006B1F8E">
        <w:t xml:space="preserve">immunoglobulin </w:t>
      </w:r>
      <w:r w:rsidRPr="000C2404">
        <w:t xml:space="preserve">G was 1.04 (90% CI: 1 to 1.07). The lower bound 90% CI for the GLSM ratio was greater than 0.8, indicating non-inferiority of </w:t>
      </w:r>
      <w:r w:rsidR="006B1F8E">
        <w:t>subcutaneous</w:t>
      </w:r>
      <w:r w:rsidRPr="000C2404">
        <w:t xml:space="preserve"> (</w:t>
      </w:r>
      <w:r w:rsidR="006B1F8E">
        <w:t>subcutaneous immunoglobulin</w:t>
      </w:r>
      <w:r w:rsidRPr="000C2404">
        <w:t xml:space="preserve"> 20%) compared with </w:t>
      </w:r>
      <w:r w:rsidR="006B1F8E">
        <w:t>intravenous</w:t>
      </w:r>
      <w:r w:rsidRPr="000C2404">
        <w:t xml:space="preserve"> (</w:t>
      </w:r>
      <w:r w:rsidR="006B1F8E">
        <w:t>intravenous immunoglobulin</w:t>
      </w:r>
      <w:r w:rsidRPr="000C2404">
        <w:t xml:space="preserve"> 10%). The 90% CI was enclosed within the interval 0.8 to 1.25, indicating bioequivalence of </w:t>
      </w:r>
      <w:r w:rsidR="006B1F8E">
        <w:t xml:space="preserve">subcutaneous </w:t>
      </w:r>
      <w:r w:rsidRPr="000C2404">
        <w:t>(</w:t>
      </w:r>
      <w:r w:rsidR="006B1F8E">
        <w:t>subcutaneous immunoglobulin</w:t>
      </w:r>
      <w:r w:rsidRPr="000C2404">
        <w:t xml:space="preserve"> 20%) and </w:t>
      </w:r>
      <w:r w:rsidR="006B1F8E">
        <w:t>intravenous</w:t>
      </w:r>
      <w:r w:rsidRPr="000C2404">
        <w:t xml:space="preserve"> (</w:t>
      </w:r>
      <w:r w:rsidR="006B1F8E">
        <w:t>intravenous immunoglobulin</w:t>
      </w:r>
      <w:r w:rsidRPr="000C2404">
        <w:t xml:space="preserve"> 10%).</w:t>
      </w:r>
    </w:p>
    <w:p w14:paraId="5E6E6B1D" w14:textId="49D2F992" w:rsidR="00716A19" w:rsidRPr="000C2404" w:rsidRDefault="00716A19" w:rsidP="000C2404">
      <w:r w:rsidRPr="000C2404">
        <w:t>The results for the secondary PK endpoint of mean steady</w:t>
      </w:r>
      <w:r w:rsidR="001D7EC9">
        <w:t xml:space="preserve"> </w:t>
      </w:r>
      <w:r w:rsidRPr="000C2404">
        <w:t xml:space="preserve">state trough (pre-dose) indicated that </w:t>
      </w:r>
      <w:r w:rsidR="006B1F8E">
        <w:t>subcutaneous immunoglobulin</w:t>
      </w:r>
      <w:r w:rsidRPr="000C2404">
        <w:t xml:space="preserve"> 20% were stable over </w:t>
      </w:r>
      <w:r w:rsidR="00C42CA3" w:rsidRPr="000C2404">
        <w:t>time and</w:t>
      </w:r>
      <w:r w:rsidRPr="000C2404">
        <w:t xml:space="preserve"> were approximately 1.33</w:t>
      </w:r>
      <w:r w:rsidR="006B1F8E">
        <w:t>-</w:t>
      </w:r>
      <w:r w:rsidRPr="000C2404">
        <w:t xml:space="preserve">fold higher than that following </w:t>
      </w:r>
      <w:r w:rsidR="006B1F8E">
        <w:t>intravenous immunoglobulin</w:t>
      </w:r>
      <w:r w:rsidRPr="000C2404">
        <w:t xml:space="preserve"> 10% administration.</w:t>
      </w:r>
    </w:p>
    <w:p w14:paraId="4D101B7D" w14:textId="77777777" w:rsidR="00716A19" w:rsidRDefault="00716A19" w:rsidP="00213CC2">
      <w:pPr>
        <w:pStyle w:val="Heading6"/>
        <w:rPr>
          <w:rFonts w:eastAsia="TimesNewRoman"/>
        </w:rPr>
      </w:pPr>
      <w:r w:rsidRPr="00281230">
        <w:rPr>
          <w:rFonts w:eastAsia="TimesNewRoman"/>
        </w:rPr>
        <w:t>Study GTI1503</w:t>
      </w:r>
    </w:p>
    <w:p w14:paraId="7DFB7016" w14:textId="39C85A98" w:rsidR="00716A19" w:rsidRPr="000C2404" w:rsidRDefault="00716A19" w:rsidP="000C2404">
      <w:r w:rsidRPr="000C2404">
        <w:t xml:space="preserve">The average of the </w:t>
      </w:r>
      <w:r w:rsidR="00C42CA3" w:rsidRPr="000C2404">
        <w:t>steady state</w:t>
      </w:r>
      <w:r w:rsidRPr="000C2404">
        <w:t xml:space="preserve"> mean trough concentration of total </w:t>
      </w:r>
      <w:r w:rsidR="006B1F8E">
        <w:t xml:space="preserve">immunoglobulin </w:t>
      </w:r>
      <w:r w:rsidRPr="000C2404">
        <w:t xml:space="preserve">G over all subjects during the </w:t>
      </w:r>
      <w:r w:rsidR="001D7EC9">
        <w:t>p</w:t>
      </w:r>
      <w:r w:rsidRPr="000C2404">
        <w:t xml:space="preserve">revious </w:t>
      </w:r>
      <w:r w:rsidR="001D7EC9">
        <w:t>r</w:t>
      </w:r>
      <w:r w:rsidRPr="000C2404">
        <w:t xml:space="preserve">egimen </w:t>
      </w:r>
      <w:r w:rsidR="0098334E">
        <w:t>p</w:t>
      </w:r>
      <w:r w:rsidR="009D13C3">
        <w:t>hase</w:t>
      </w:r>
      <w:r w:rsidRPr="000C2404">
        <w:t xml:space="preserve"> was 891.37 mg/dL (</w:t>
      </w:r>
      <w:r w:rsidR="00862E3B">
        <w:t>c</w:t>
      </w:r>
      <w:r w:rsidR="00862E3B" w:rsidRPr="00862E3B">
        <w:t xml:space="preserve">oefficient of variation </w:t>
      </w:r>
      <w:r w:rsidR="00862E3B">
        <w:t>(</w:t>
      </w:r>
      <w:r w:rsidRPr="000C2404">
        <w:t>CV</w:t>
      </w:r>
      <w:r w:rsidR="00862E3B">
        <w:t>)%</w:t>
      </w:r>
      <w:r w:rsidRPr="000C2404">
        <w:t xml:space="preserve"> = 18.6%), and the average of the mean trough </w:t>
      </w:r>
      <w:r w:rsidR="006B1F8E">
        <w:t xml:space="preserve">immunoglobulin </w:t>
      </w:r>
      <w:r w:rsidRPr="000C2404">
        <w:t xml:space="preserve">G concentration </w:t>
      </w:r>
      <w:r w:rsidRPr="000C2404">
        <w:lastRenderedPageBreak/>
        <w:t xml:space="preserve">over all subjects during the </w:t>
      </w:r>
      <w:r w:rsidR="006B1F8E">
        <w:t>subcutaneous</w:t>
      </w:r>
      <w:r w:rsidRPr="000C2404">
        <w:t xml:space="preserve"> </w:t>
      </w:r>
      <w:r w:rsidR="0098334E">
        <w:t>p</w:t>
      </w:r>
      <w:r w:rsidR="009D13C3">
        <w:t>hase</w:t>
      </w:r>
      <w:r w:rsidRPr="000C2404">
        <w:t xml:space="preserve"> was 947.64</w:t>
      </w:r>
      <w:r w:rsidR="002E6EEA">
        <w:t> </w:t>
      </w:r>
      <w:r w:rsidRPr="000C2404">
        <w:t xml:space="preserve">mg/dL (%CV = 14.9%). The mean trough total </w:t>
      </w:r>
      <w:r w:rsidR="006B1F8E">
        <w:t xml:space="preserve">immunoglobulin </w:t>
      </w:r>
      <w:r w:rsidRPr="000C2404">
        <w:t xml:space="preserve">G ratio of the </w:t>
      </w:r>
      <w:r w:rsidR="00802560">
        <w:t>subcutaneous</w:t>
      </w:r>
      <w:r w:rsidRPr="000C2404">
        <w:t xml:space="preserve"> regimen relative to the previous </w:t>
      </w:r>
      <w:r w:rsidR="006B1F8E">
        <w:t>intravenous</w:t>
      </w:r>
      <w:r w:rsidRPr="000C2404">
        <w:t>/</w:t>
      </w:r>
      <w:r w:rsidR="006B1F8E">
        <w:t>subcutaneous</w:t>
      </w:r>
      <w:r w:rsidRPr="000C2404">
        <w:t xml:space="preserve"> regimen was 1.078 (range: 0.83, 1.54). All individual total </w:t>
      </w:r>
      <w:r w:rsidR="006B1F8E">
        <w:t xml:space="preserve">immunoglobulin </w:t>
      </w:r>
      <w:r w:rsidRPr="000C2404">
        <w:t>G trough concentrations were above the therapeutic level of 500</w:t>
      </w:r>
      <w:r w:rsidR="00A05E96">
        <w:t> </w:t>
      </w:r>
      <w:r w:rsidRPr="000C2404">
        <w:t>mg/dL.</w:t>
      </w:r>
    </w:p>
    <w:p w14:paraId="3207E87D" w14:textId="0BE1C7DF" w:rsidR="00716A19" w:rsidRPr="000C2404" w:rsidRDefault="00716A19" w:rsidP="000C2404">
      <w:r w:rsidRPr="000C2404">
        <w:t>When stratified by age (</w:t>
      </w:r>
      <w:r w:rsidR="006B1F8E">
        <w:t xml:space="preserve">less than or equal to </w:t>
      </w:r>
      <w:r w:rsidRPr="000C2404">
        <w:t xml:space="preserve">16 years </w:t>
      </w:r>
      <w:r w:rsidR="006B1F8E">
        <w:t>(</w:t>
      </w:r>
      <w:r w:rsidRPr="000C2404">
        <w:t>n</w:t>
      </w:r>
      <w:r w:rsidR="006B1F8E">
        <w:t xml:space="preserve"> </w:t>
      </w:r>
      <w:r w:rsidRPr="000C2404">
        <w:t>=</w:t>
      </w:r>
      <w:r w:rsidR="006B1F8E">
        <w:t xml:space="preserve"> </w:t>
      </w:r>
      <w:r w:rsidRPr="000C2404">
        <w:t>27</w:t>
      </w:r>
      <w:r w:rsidR="006B1F8E">
        <w:t>)</w:t>
      </w:r>
      <w:r w:rsidRPr="000C2404">
        <w:t xml:space="preserve"> or </w:t>
      </w:r>
      <w:r w:rsidR="006B1F8E">
        <w:t xml:space="preserve">greater than </w:t>
      </w:r>
      <w:r w:rsidRPr="000C2404">
        <w:t xml:space="preserve">16 years </w:t>
      </w:r>
      <w:r w:rsidR="006B1F8E">
        <w:t>(</w:t>
      </w:r>
      <w:r w:rsidRPr="000C2404">
        <w:t>n</w:t>
      </w:r>
      <w:r w:rsidR="006B1F8E">
        <w:t> </w:t>
      </w:r>
      <w:r w:rsidRPr="000C2404">
        <w:t>=</w:t>
      </w:r>
      <w:r w:rsidR="006B1F8E">
        <w:t xml:space="preserve"> </w:t>
      </w:r>
      <w:r w:rsidRPr="000C2404">
        <w:t>32), the results for the average of the steady</w:t>
      </w:r>
      <w:r w:rsidR="001D7EC9">
        <w:t xml:space="preserve"> </w:t>
      </w:r>
      <w:r w:rsidRPr="000C2404">
        <w:t xml:space="preserve">state mean total </w:t>
      </w:r>
      <w:r w:rsidR="006B1F8E">
        <w:t xml:space="preserve">immunoglobulin </w:t>
      </w:r>
      <w:r w:rsidRPr="000C2404">
        <w:t xml:space="preserve">G trough concentration were </w:t>
      </w:r>
      <w:proofErr w:type="gramStart"/>
      <w:r w:rsidRPr="000C2404">
        <w:t>similar to</w:t>
      </w:r>
      <w:proofErr w:type="gramEnd"/>
      <w:r w:rsidRPr="000C2404">
        <w:t xml:space="preserve"> the results for the overall population.</w:t>
      </w:r>
    </w:p>
    <w:p w14:paraId="746EDDD9" w14:textId="41097FB6" w:rsidR="00716A19" w:rsidRPr="000C2404" w:rsidRDefault="009950CA" w:rsidP="009950CA">
      <w:pPr>
        <w:pStyle w:val="Heading5"/>
      </w:pPr>
      <w:r w:rsidRPr="000C2404">
        <w:t>Report GRI003</w:t>
      </w:r>
      <w:r>
        <w:t xml:space="preserve"> p</w:t>
      </w:r>
      <w:r w:rsidR="00716A19" w:rsidRPr="000C2404">
        <w:t xml:space="preserve">opulation </w:t>
      </w:r>
      <w:r>
        <w:t xml:space="preserve">pharmacokinetics </w:t>
      </w:r>
      <w:r w:rsidR="00716A19" w:rsidRPr="000C2404">
        <w:t>analysis</w:t>
      </w:r>
    </w:p>
    <w:p w14:paraId="5C41B0E3" w14:textId="27C56F95" w:rsidR="00716A19" w:rsidRPr="000C2404" w:rsidRDefault="00716A19" w:rsidP="000C2404">
      <w:r w:rsidRPr="000C2404">
        <w:t xml:space="preserve">A PK modelling and simulation study was conducted to develop a predictive </w:t>
      </w:r>
      <w:proofErr w:type="spellStart"/>
      <w:r w:rsidRPr="000C2404">
        <w:t>PopPK</w:t>
      </w:r>
      <w:proofErr w:type="spellEnd"/>
      <w:r w:rsidRPr="000C2404">
        <w:t xml:space="preserve"> model for the administration Xembify to better guide clinical decisions relating to dosage, given that not all potential dosing regimens were investigated in the clinical studies.</w:t>
      </w:r>
    </w:p>
    <w:p w14:paraId="5F2BD366" w14:textId="73A9DF0B" w:rsidR="00716A19" w:rsidRPr="000C2404" w:rsidRDefault="00716A19" w:rsidP="000C2404">
      <w:r w:rsidRPr="000C2404">
        <w:t xml:space="preserve">The PK of </w:t>
      </w:r>
      <w:r w:rsidR="009950CA">
        <w:t xml:space="preserve">immunoglobulin </w:t>
      </w:r>
      <w:r w:rsidRPr="000C2404">
        <w:t xml:space="preserve">G following </w:t>
      </w:r>
      <w:r w:rsidR="009950CA">
        <w:t>intravenous</w:t>
      </w:r>
      <w:r w:rsidRPr="000C2404">
        <w:t xml:space="preserve"> and </w:t>
      </w:r>
      <w:r w:rsidR="009950CA">
        <w:t>subcutaneous</w:t>
      </w:r>
      <w:r w:rsidRPr="000C2404">
        <w:t xml:space="preserve"> administration was adequately described by a </w:t>
      </w:r>
      <w:proofErr w:type="gramStart"/>
      <w:r w:rsidR="004A13BD">
        <w:t>two</w:t>
      </w:r>
      <w:r w:rsidR="001D7EC9">
        <w:t> </w:t>
      </w:r>
      <w:r w:rsidRPr="000C2404">
        <w:t>compartment</w:t>
      </w:r>
      <w:proofErr w:type="gramEnd"/>
      <w:r w:rsidRPr="000C2404">
        <w:t xml:space="preserve"> model with first</w:t>
      </w:r>
      <w:r w:rsidR="001D7EC9">
        <w:t xml:space="preserve"> </w:t>
      </w:r>
      <w:r w:rsidRPr="000C2404">
        <w:t xml:space="preserve">order elimination from the central compartment. Administration of </w:t>
      </w:r>
      <w:r w:rsidR="009950CA">
        <w:t>intravenous immunoglobulin</w:t>
      </w:r>
      <w:r w:rsidRPr="000C2404">
        <w:t xml:space="preserve"> was modelled as an infusion directly into the central compartment, and absorption of exogenous</w:t>
      </w:r>
      <w:r w:rsidR="009950CA">
        <w:t xml:space="preserve"> immunoglobulin </w:t>
      </w:r>
      <w:r w:rsidRPr="000C2404">
        <w:t xml:space="preserve">G from the depot site of </w:t>
      </w:r>
      <w:r w:rsidR="009950CA">
        <w:t>subcutaneous</w:t>
      </w:r>
      <w:r w:rsidRPr="000C2404">
        <w:t xml:space="preserve"> infusions into the central compartment was modelled as a first-order process with an absorption rate constant (K</w:t>
      </w:r>
      <w:r w:rsidR="00A74034" w:rsidRPr="004F0AA5">
        <w:rPr>
          <w:vertAlign w:val="subscript"/>
        </w:rPr>
        <w:t>a</w:t>
      </w:r>
      <w:r w:rsidRPr="000C2404">
        <w:t>).</w:t>
      </w:r>
    </w:p>
    <w:p w14:paraId="2F59CF37" w14:textId="3CC0A65C" w:rsidR="00716A19" w:rsidRDefault="00716A19" w:rsidP="000C2404">
      <w:r w:rsidRPr="000C2404">
        <w:t>Simulations of steady</w:t>
      </w:r>
      <w:r w:rsidR="001D7EC9">
        <w:t xml:space="preserve"> </w:t>
      </w:r>
      <w:r w:rsidRPr="000C2404">
        <w:t xml:space="preserve">state </w:t>
      </w:r>
      <w:r w:rsidR="009950CA">
        <w:t xml:space="preserve">immunoglobulin </w:t>
      </w:r>
      <w:r w:rsidRPr="000C2404">
        <w:t xml:space="preserve">G exposures after </w:t>
      </w:r>
      <w:r w:rsidR="009950CA">
        <w:t>intravenous immunoglobulin</w:t>
      </w:r>
      <w:r w:rsidRPr="000C2404">
        <w:t xml:space="preserve"> dosing followed by </w:t>
      </w:r>
      <w:r w:rsidR="009950CA">
        <w:t>subcutaneous immunoglobulin</w:t>
      </w:r>
      <w:r w:rsidRPr="000C2404">
        <w:t xml:space="preserve"> dosing showed that for a dose</w:t>
      </w:r>
      <w:r w:rsidR="001D7EC9">
        <w:t xml:space="preserve"> </w:t>
      </w:r>
      <w:r w:rsidRPr="000C2404">
        <w:t>conversion factor of 1:1.37 (</w:t>
      </w:r>
      <w:r w:rsidR="009950CA">
        <w:t>intravenous immunoglobulin</w:t>
      </w:r>
      <w:r w:rsidRPr="000C2404">
        <w:t>:</w:t>
      </w:r>
      <w:r w:rsidR="009950CA">
        <w:t xml:space="preserve"> subcutaneous immunoglobulin</w:t>
      </w:r>
      <w:r w:rsidRPr="000C2404">
        <w:t>), the median AUC ratios (</w:t>
      </w:r>
      <w:r w:rsidR="009950CA">
        <w:t>subcutaneous immunoglobulin</w:t>
      </w:r>
      <w:r w:rsidRPr="000C2404">
        <w:t>/</w:t>
      </w:r>
      <w:r w:rsidR="009950CA">
        <w:t>intravenous immunoglobulin</w:t>
      </w:r>
      <w:r w:rsidRPr="000C2404">
        <w:t>) were 0.976 (</w:t>
      </w:r>
      <w:r w:rsidR="008E14EF">
        <w:t>fifth to ninety-fifth</w:t>
      </w:r>
      <w:r w:rsidRPr="000C2404">
        <w:t xml:space="preserve"> percentile: 0.88</w:t>
      </w:r>
      <w:r w:rsidR="008E14EF">
        <w:t xml:space="preserve"> to </w:t>
      </w:r>
      <w:r w:rsidRPr="000C2404">
        <w:t xml:space="preserve">1.09) for the </w:t>
      </w:r>
      <w:r w:rsidR="009950CA">
        <w:t>subcutaneous immunoglobulin</w:t>
      </w:r>
      <w:r w:rsidRPr="000C2404">
        <w:t xml:space="preserve"> weekly regimen relative to the </w:t>
      </w:r>
      <w:r w:rsidR="009950CA">
        <w:t>intravenous immunoglobulin</w:t>
      </w:r>
      <w:r w:rsidRPr="000C2404">
        <w:t xml:space="preserve"> every </w:t>
      </w:r>
      <w:r w:rsidR="004A13BD">
        <w:t xml:space="preserve">four </w:t>
      </w:r>
      <w:r w:rsidRPr="000C2404">
        <w:t>weeks regimen, and 0.975 (</w:t>
      </w:r>
      <w:r w:rsidR="008E14EF">
        <w:t>fifth to ninety-fifth</w:t>
      </w:r>
      <w:r w:rsidRPr="000C2404">
        <w:t xml:space="preserve"> percentile: 0.88</w:t>
      </w:r>
      <w:r w:rsidR="008E14EF">
        <w:t xml:space="preserve"> to </w:t>
      </w:r>
      <w:r w:rsidRPr="000C2404">
        <w:t xml:space="preserve">1.09) for the </w:t>
      </w:r>
      <w:r w:rsidR="009950CA">
        <w:t>subcutaneous immunoglobulin</w:t>
      </w:r>
      <w:r w:rsidRPr="000C2404">
        <w:t xml:space="preserve"> weekly regimen relative to the </w:t>
      </w:r>
      <w:r w:rsidR="009950CA">
        <w:t>intravenous immunoglobulin</w:t>
      </w:r>
      <w:r w:rsidRPr="000C2404">
        <w:t xml:space="preserve"> every </w:t>
      </w:r>
      <w:r w:rsidR="004A13BD">
        <w:t xml:space="preserve">three </w:t>
      </w:r>
      <w:r w:rsidRPr="000C2404">
        <w:t>weeks regimen. Using a dose</w:t>
      </w:r>
      <w:r w:rsidR="001D7EC9">
        <w:t xml:space="preserve"> </w:t>
      </w:r>
      <w:r w:rsidRPr="000C2404">
        <w:t>equivalent approach, the median AUC ratios (</w:t>
      </w:r>
      <w:r w:rsidR="009950CA">
        <w:t>subcutaneous immunoglobulin</w:t>
      </w:r>
      <w:r w:rsidRPr="000C2404">
        <w:t>/</w:t>
      </w:r>
      <w:r w:rsidR="009950CA">
        <w:t>intravenous immunoglobulin</w:t>
      </w:r>
      <w:r w:rsidRPr="000C2404">
        <w:t>) were 0.806 (</w:t>
      </w:r>
      <w:r w:rsidR="008E14EF">
        <w:t>fifth to ninety-fifth</w:t>
      </w:r>
      <w:r w:rsidRPr="000C2404">
        <w:t xml:space="preserve"> percentile:</w:t>
      </w:r>
      <w:r w:rsidR="002827DD">
        <w:t xml:space="preserve"> </w:t>
      </w:r>
      <w:r w:rsidRPr="000C2404">
        <w:t>0.728</w:t>
      </w:r>
      <w:r w:rsidR="008E14EF">
        <w:t xml:space="preserve"> to </w:t>
      </w:r>
      <w:r w:rsidRPr="000C2404">
        <w:t xml:space="preserve">0.894) for the </w:t>
      </w:r>
      <w:r w:rsidR="009950CA">
        <w:t>subcutaneous immunoglobulin</w:t>
      </w:r>
      <w:r w:rsidRPr="000C2404">
        <w:t xml:space="preserve"> weekly regimen relative to the </w:t>
      </w:r>
      <w:r w:rsidR="009950CA">
        <w:t>intravenous immunoglobulin</w:t>
      </w:r>
      <w:r w:rsidRPr="000C2404">
        <w:t xml:space="preserve"> every </w:t>
      </w:r>
      <w:r w:rsidR="004A13BD">
        <w:t xml:space="preserve">four </w:t>
      </w:r>
      <w:r w:rsidRPr="000C2404">
        <w:t>weeks regimen and 0.785 (</w:t>
      </w:r>
      <w:r w:rsidR="008E14EF">
        <w:t>fifth to ninety-fifth</w:t>
      </w:r>
      <w:r w:rsidRPr="000C2404">
        <w:t xml:space="preserve"> percentile: 0.702</w:t>
      </w:r>
      <w:r w:rsidR="008E14EF">
        <w:t xml:space="preserve"> to </w:t>
      </w:r>
      <w:r w:rsidRPr="000C2404">
        <w:t xml:space="preserve">0.887) for the </w:t>
      </w:r>
      <w:r w:rsidR="009950CA">
        <w:t>subcutaneous immunoglobulin</w:t>
      </w:r>
      <w:r w:rsidRPr="000C2404">
        <w:t xml:space="preserve"> weekly regimen relative to the </w:t>
      </w:r>
      <w:r w:rsidR="009950CA">
        <w:t>intravenous immunoglobulin</w:t>
      </w:r>
      <w:r w:rsidRPr="000C2404">
        <w:t xml:space="preserve"> every </w:t>
      </w:r>
      <w:r w:rsidR="004A13BD">
        <w:t xml:space="preserve">three </w:t>
      </w:r>
      <w:r w:rsidRPr="000C2404">
        <w:t xml:space="preserve">weeks regimen. Simulated total </w:t>
      </w:r>
      <w:r w:rsidR="009950CA">
        <w:t xml:space="preserve">immunoglobulin </w:t>
      </w:r>
      <w:r w:rsidRPr="000C2404">
        <w:t xml:space="preserve">G exposures (AUC) demonstrated greater similarity for the </w:t>
      </w:r>
      <w:r w:rsidR="009950CA">
        <w:t>subcutaneous immunoglobulin</w:t>
      </w:r>
      <w:r w:rsidRPr="000C2404">
        <w:t xml:space="preserve"> and</w:t>
      </w:r>
      <w:r w:rsidR="009950CA">
        <w:t xml:space="preserve"> intravenous immunoglobulin</w:t>
      </w:r>
      <w:r w:rsidRPr="000C2404">
        <w:t xml:space="preserve"> regimens using a dose</w:t>
      </w:r>
      <w:r w:rsidR="001D7EC9">
        <w:t xml:space="preserve"> </w:t>
      </w:r>
      <w:r w:rsidRPr="000C2404">
        <w:t>conversion factor of 1:1.37 (</w:t>
      </w:r>
      <w:r w:rsidR="009950CA">
        <w:t>intravenous immunoglobulin</w:t>
      </w:r>
      <w:r w:rsidRPr="000C2404">
        <w:t>:</w:t>
      </w:r>
      <w:r w:rsidR="009950CA">
        <w:t xml:space="preserve"> subcutaneous immunoglobulin</w:t>
      </w:r>
      <w:r w:rsidRPr="000C2404">
        <w:t>) than a dose</w:t>
      </w:r>
      <w:r w:rsidR="001D7EC9">
        <w:t xml:space="preserve"> </w:t>
      </w:r>
      <w:r w:rsidRPr="000C2404">
        <w:t>equivalent factor (1:1).</w:t>
      </w:r>
    </w:p>
    <w:p w14:paraId="27105859" w14:textId="75469C07" w:rsidR="00EB398D" w:rsidRPr="00056C07" w:rsidRDefault="00EB398D" w:rsidP="007F5B54">
      <w:pPr>
        <w:pStyle w:val="Heading5"/>
      </w:pPr>
      <w:r w:rsidRPr="00056C07">
        <w:t xml:space="preserve">Advice by </w:t>
      </w:r>
      <w:r w:rsidR="00056C07" w:rsidRPr="00056C07">
        <w:t>pharmacometrics</w:t>
      </w:r>
      <w:r w:rsidRPr="00056C07">
        <w:t xml:space="preserve"> working group</w:t>
      </w:r>
    </w:p>
    <w:p w14:paraId="76925377" w14:textId="7CB9A2E1" w:rsidR="00716A19" w:rsidRPr="00056C07" w:rsidRDefault="00716A19" w:rsidP="00056C07">
      <w:r w:rsidRPr="00056C07">
        <w:t xml:space="preserve">The </w:t>
      </w:r>
      <w:r w:rsidR="008E14EF">
        <w:t xml:space="preserve">TGA’s </w:t>
      </w:r>
      <w:r w:rsidR="008E14EF" w:rsidRPr="00056C07">
        <w:t xml:space="preserve">pharmacometrics working group </w:t>
      </w:r>
      <w:r w:rsidRPr="00056C07">
        <w:t>considered the submission in May 2021.</w:t>
      </w:r>
    </w:p>
    <w:p w14:paraId="669900ED" w14:textId="485F60AB" w:rsidR="00716A19" w:rsidRPr="00056C07" w:rsidRDefault="00716A19" w:rsidP="00716A19">
      <w:pPr>
        <w:rPr>
          <w:bCs/>
        </w:rPr>
      </w:pPr>
      <w:r w:rsidRPr="00056C07">
        <w:rPr>
          <w:bCs/>
        </w:rPr>
        <w:t>The</w:t>
      </w:r>
      <w:r w:rsidR="00056C07">
        <w:rPr>
          <w:bCs/>
        </w:rPr>
        <w:t xml:space="preserve"> working group</w:t>
      </w:r>
      <w:r w:rsidRPr="00056C07">
        <w:rPr>
          <w:bCs/>
        </w:rPr>
        <w:t xml:space="preserve"> did not express any major concerns in relation to PK modelling and simulation analyses by the </w:t>
      </w:r>
      <w:r w:rsidR="00056C07">
        <w:rPr>
          <w:bCs/>
        </w:rPr>
        <w:t>s</w:t>
      </w:r>
      <w:r w:rsidRPr="00056C07">
        <w:rPr>
          <w:bCs/>
        </w:rPr>
        <w:t xml:space="preserve">ponsor. The </w:t>
      </w:r>
      <w:r w:rsidR="00862E3B">
        <w:rPr>
          <w:bCs/>
        </w:rPr>
        <w:t>working group</w:t>
      </w:r>
      <w:r w:rsidR="00862E3B" w:rsidRPr="00056C07">
        <w:rPr>
          <w:bCs/>
        </w:rPr>
        <w:t xml:space="preserve"> </w:t>
      </w:r>
      <w:r w:rsidRPr="00056C07">
        <w:rPr>
          <w:bCs/>
        </w:rPr>
        <w:t>is of the opinion that the analyses support the proposed dosing recommendations (once weekly, bi-weekly dose at double the weekly dose, and more frequent dosing at the same total weekly dose) in the patient groups (</w:t>
      </w:r>
      <w:r w:rsidR="004A13BD">
        <w:rPr>
          <w:bCs/>
        </w:rPr>
        <w:t>two</w:t>
      </w:r>
      <w:r w:rsidRPr="00056C07">
        <w:rPr>
          <w:bCs/>
        </w:rPr>
        <w:t xml:space="preserve"> years and above) analysed in the PK modelling report.</w:t>
      </w:r>
    </w:p>
    <w:p w14:paraId="16C57850" w14:textId="5F83FFCB" w:rsidR="00716A19" w:rsidRDefault="00716A19" w:rsidP="00716A19">
      <w:pPr>
        <w:rPr>
          <w:bCs/>
        </w:rPr>
      </w:pPr>
      <w:r w:rsidRPr="00056C07">
        <w:rPr>
          <w:bCs/>
        </w:rPr>
        <w:t xml:space="preserve">The </w:t>
      </w:r>
      <w:r w:rsidR="00862E3B">
        <w:rPr>
          <w:bCs/>
        </w:rPr>
        <w:t>working group</w:t>
      </w:r>
      <w:r w:rsidRPr="00056C07">
        <w:rPr>
          <w:bCs/>
        </w:rPr>
        <w:t xml:space="preserve"> requested the </w:t>
      </w:r>
      <w:r w:rsidR="00056C07">
        <w:rPr>
          <w:bCs/>
        </w:rPr>
        <w:t>s</w:t>
      </w:r>
      <w:r w:rsidRPr="00056C07">
        <w:rPr>
          <w:bCs/>
        </w:rPr>
        <w:t xml:space="preserve">ponsor to address the following questions. The questions and summary of </w:t>
      </w:r>
      <w:r w:rsidR="004B0F89">
        <w:rPr>
          <w:bCs/>
        </w:rPr>
        <w:t>the sponsors</w:t>
      </w:r>
      <w:r w:rsidRPr="00056C07">
        <w:rPr>
          <w:bCs/>
        </w:rPr>
        <w:t xml:space="preserve"> response are listed below.</w:t>
      </w:r>
    </w:p>
    <w:p w14:paraId="4263B8C9" w14:textId="303662CF" w:rsidR="008E14EF" w:rsidRPr="00056C07" w:rsidRDefault="008E14EF" w:rsidP="00F20E26">
      <w:pPr>
        <w:spacing w:before="0" w:after="200" w:line="0" w:lineRule="auto"/>
        <w:rPr>
          <w:bCs/>
        </w:rPr>
      </w:pPr>
      <w:r>
        <w:rPr>
          <w:bCs/>
        </w:rPr>
        <w:br w:type="page"/>
      </w:r>
    </w:p>
    <w:p w14:paraId="5FD194C4" w14:textId="2DF4BDF7" w:rsidR="008E14EF" w:rsidRDefault="00716A19" w:rsidP="00B771F0">
      <w:pPr>
        <w:pStyle w:val="Numberbullet0"/>
        <w:rPr>
          <w:b/>
          <w:bCs/>
          <w:i/>
          <w:iCs/>
        </w:rPr>
      </w:pPr>
      <w:r w:rsidRPr="009950CA">
        <w:rPr>
          <w:b/>
          <w:bCs/>
          <w:i/>
          <w:iCs/>
        </w:rPr>
        <w:lastRenderedPageBreak/>
        <w:t>In the modelling report, please explain the correlations</w:t>
      </w:r>
      <w:r w:rsidRPr="00B771F0">
        <w:rPr>
          <w:b/>
          <w:bCs/>
          <w:i/>
          <w:iCs/>
        </w:rPr>
        <w:t xml:space="preserve"> observed in </w:t>
      </w:r>
      <w:r w:rsidR="00E85072" w:rsidRPr="00E85072">
        <w:rPr>
          <w:b/>
          <w:bCs/>
          <w:i/>
          <w:iCs/>
        </w:rPr>
        <w:fldChar w:fldCharType="begin"/>
      </w:r>
      <w:r w:rsidR="00E85072" w:rsidRPr="00E85072">
        <w:rPr>
          <w:b/>
          <w:bCs/>
          <w:i/>
          <w:iCs/>
        </w:rPr>
        <w:instrText xml:space="preserve"> REF _Ref119660886 \h  \* MERGEFORMAT </w:instrText>
      </w:r>
      <w:r w:rsidR="00E85072" w:rsidRPr="00E85072">
        <w:rPr>
          <w:b/>
          <w:bCs/>
          <w:i/>
          <w:iCs/>
        </w:rPr>
      </w:r>
      <w:r w:rsidR="00E85072" w:rsidRPr="00E85072">
        <w:rPr>
          <w:b/>
          <w:bCs/>
          <w:i/>
          <w:iCs/>
        </w:rPr>
        <w:fldChar w:fldCharType="separate"/>
      </w:r>
      <w:r w:rsidR="00E85072" w:rsidRPr="00E85072">
        <w:rPr>
          <w:b/>
          <w:bCs/>
          <w:i/>
          <w:iCs/>
        </w:rPr>
        <w:t xml:space="preserve">Figure </w:t>
      </w:r>
      <w:r w:rsidR="00E85072" w:rsidRPr="00E85072">
        <w:rPr>
          <w:b/>
          <w:bCs/>
          <w:i/>
          <w:iCs/>
          <w:noProof/>
        </w:rPr>
        <w:t>1</w:t>
      </w:r>
      <w:r w:rsidR="00E85072" w:rsidRPr="00E85072">
        <w:rPr>
          <w:b/>
          <w:bCs/>
          <w:i/>
          <w:iCs/>
        </w:rPr>
        <w:fldChar w:fldCharType="end"/>
      </w:r>
      <w:r w:rsidR="008E14EF">
        <w:rPr>
          <w:b/>
          <w:bCs/>
          <w:i/>
          <w:iCs/>
        </w:rPr>
        <w:t xml:space="preserve"> (shown below).</w:t>
      </w:r>
    </w:p>
    <w:p w14:paraId="30A56457" w14:textId="273E8910" w:rsidR="00716A19" w:rsidRDefault="00716A19" w:rsidP="004F0AA5">
      <w:pPr>
        <w:pStyle w:val="Numberbullet0"/>
        <w:numPr>
          <w:ilvl w:val="0"/>
          <w:numId w:val="0"/>
        </w:numPr>
        <w:ind w:left="425"/>
        <w:rPr>
          <w:b/>
          <w:bCs/>
          <w:i/>
          <w:iCs/>
        </w:rPr>
      </w:pPr>
      <w:r w:rsidRPr="00B771F0">
        <w:rPr>
          <w:b/>
          <w:bCs/>
          <w:i/>
          <w:iCs/>
        </w:rPr>
        <w:t>Could it be because of the different patient population?</w:t>
      </w:r>
    </w:p>
    <w:p w14:paraId="38271AA3" w14:textId="1185A720" w:rsidR="001A3FC4" w:rsidRPr="001A3FC4" w:rsidRDefault="001A3FC4" w:rsidP="001A3FC4">
      <w:pPr>
        <w:pStyle w:val="FigureTitle"/>
      </w:pPr>
      <w:bookmarkStart w:id="46" w:name="_Ref119660886"/>
      <w:r>
        <w:t xml:space="preserve">Figure </w:t>
      </w:r>
      <w:fldSimple w:instr=" SEQ Figure \* ARABIC ">
        <w:r>
          <w:rPr>
            <w:noProof/>
          </w:rPr>
          <w:t>1</w:t>
        </w:r>
      </w:fldSimple>
      <w:bookmarkEnd w:id="46"/>
      <w:r>
        <w:t xml:space="preserve">: </w:t>
      </w:r>
      <w:r w:rsidR="008E14EF">
        <w:t xml:space="preserve">Report GRI003 </w:t>
      </w:r>
      <w:r w:rsidR="00FE31F2">
        <w:t>C</w:t>
      </w:r>
      <w:r>
        <w:t>orrelation of random effects included in the final model</w:t>
      </w:r>
    </w:p>
    <w:p w14:paraId="1C487621" w14:textId="41011B07" w:rsidR="001A3FC4" w:rsidRDefault="001A3FC4" w:rsidP="001A3FC4">
      <w:r>
        <w:rPr>
          <w:noProof/>
          <w:lang w:val="en-GB" w:eastAsia="en-GB"/>
        </w:rPr>
        <w:drawing>
          <wp:inline distT="0" distB="0" distL="0" distR="0" wp14:anchorId="13B1DBAF" wp14:editId="0767F08B">
            <wp:extent cx="5236845" cy="2670175"/>
            <wp:effectExtent l="0" t="0" r="1905" b="0"/>
            <wp:docPr id="8" name="Picture 8" descr="Figure 1: Modelling report Figure 10, correlation of random effects included in the fina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Modelling report Figure 10, correlation of random effects included in the final mod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6845" cy="2670175"/>
                    </a:xfrm>
                    <a:prstGeom prst="rect">
                      <a:avLst/>
                    </a:prstGeom>
                    <a:noFill/>
                  </pic:spPr>
                </pic:pic>
              </a:graphicData>
            </a:graphic>
          </wp:inline>
        </w:drawing>
      </w:r>
    </w:p>
    <w:p w14:paraId="4E47963E" w14:textId="77777777" w:rsidR="008E14EF" w:rsidRDefault="001A3FC4" w:rsidP="00025C69">
      <w:pPr>
        <w:pStyle w:val="FigureDescription"/>
      </w:pPr>
      <w:r>
        <w:t>ETA: inter-individual variability of the PK parameter</w:t>
      </w:r>
    </w:p>
    <w:p w14:paraId="540717D3" w14:textId="211A7327" w:rsidR="00716A19" w:rsidRPr="001A3FC4" w:rsidRDefault="00B771F0" w:rsidP="001A3FC4">
      <w:pPr>
        <w:rPr>
          <w:bCs/>
        </w:rPr>
      </w:pPr>
      <w:r w:rsidRPr="001A3FC4">
        <w:rPr>
          <w:bCs/>
        </w:rPr>
        <w:t>The s</w:t>
      </w:r>
      <w:r w:rsidR="008C4169" w:rsidRPr="001A3FC4">
        <w:rPr>
          <w:bCs/>
        </w:rPr>
        <w:t>ponsor</w:t>
      </w:r>
      <w:r w:rsidR="00716A19" w:rsidRPr="001A3FC4">
        <w:rPr>
          <w:bCs/>
        </w:rPr>
        <w:t xml:space="preserve"> believe</w:t>
      </w:r>
      <w:r w:rsidRPr="001A3FC4">
        <w:rPr>
          <w:bCs/>
        </w:rPr>
        <w:t>s</w:t>
      </w:r>
      <w:r w:rsidR="00716A19" w:rsidRPr="001A3FC4">
        <w:rPr>
          <w:bCs/>
        </w:rPr>
        <w:t xml:space="preserve"> that this potential correlation between</w:t>
      </w:r>
      <w:r w:rsidRPr="00B771F0">
        <w:t xml:space="preserve"> </w:t>
      </w:r>
      <w:r w:rsidRPr="001A3FC4">
        <w:rPr>
          <w:bCs/>
        </w:rPr>
        <w:t>volume of distribution of central compartment</w:t>
      </w:r>
      <w:r w:rsidR="00716A19" w:rsidRPr="001A3FC4">
        <w:rPr>
          <w:bCs/>
        </w:rPr>
        <w:t xml:space="preserve"> </w:t>
      </w:r>
      <w:r w:rsidRPr="001A3FC4">
        <w:rPr>
          <w:bCs/>
        </w:rPr>
        <w:t>(</w:t>
      </w:r>
      <w:r w:rsidR="00716A19" w:rsidRPr="001A3FC4">
        <w:rPr>
          <w:bCs/>
        </w:rPr>
        <w:t>V2</w:t>
      </w:r>
      <w:r w:rsidRPr="001A3FC4">
        <w:rPr>
          <w:bCs/>
        </w:rPr>
        <w:t>)</w:t>
      </w:r>
      <w:r w:rsidR="00716A19" w:rsidRPr="001A3FC4">
        <w:rPr>
          <w:bCs/>
        </w:rPr>
        <w:t xml:space="preserve"> and K</w:t>
      </w:r>
      <w:r w:rsidR="008C4169" w:rsidRPr="004F0AA5">
        <w:rPr>
          <w:bCs/>
          <w:vertAlign w:val="subscript"/>
        </w:rPr>
        <w:t>a</w:t>
      </w:r>
      <w:r w:rsidR="00716A19" w:rsidRPr="001A3FC4">
        <w:rPr>
          <w:bCs/>
        </w:rPr>
        <w:t xml:space="preserve"> could be related to body weight, which influenced V2 and probably also on K</w:t>
      </w:r>
      <w:r w:rsidRPr="004F0AA5">
        <w:rPr>
          <w:bCs/>
          <w:vertAlign w:val="subscript"/>
        </w:rPr>
        <w:t>a</w:t>
      </w:r>
      <w:r w:rsidR="00716A19" w:rsidRPr="001A3FC4">
        <w:rPr>
          <w:bCs/>
        </w:rPr>
        <w:t>.</w:t>
      </w:r>
      <w:r w:rsidR="00716A19" w:rsidRPr="00056C07">
        <w:t xml:space="preserve"> </w:t>
      </w:r>
      <w:r w:rsidR="00716A19" w:rsidRPr="001A3FC4">
        <w:rPr>
          <w:bCs/>
        </w:rPr>
        <w:t xml:space="preserve">On the other hand, based on the practically flat PK profile on the </w:t>
      </w:r>
      <w:r w:rsidRPr="001A3FC4">
        <w:rPr>
          <w:bCs/>
        </w:rPr>
        <w:t xml:space="preserve">immunoglobulin </w:t>
      </w:r>
      <w:r w:rsidR="00716A19" w:rsidRPr="001A3FC4">
        <w:rPr>
          <w:bCs/>
        </w:rPr>
        <w:t xml:space="preserve">G serum levels obtained after repeated administration of </w:t>
      </w:r>
      <w:r w:rsidRPr="001A3FC4">
        <w:rPr>
          <w:bCs/>
        </w:rPr>
        <w:t>subcutaneous immunoglobulin</w:t>
      </w:r>
      <w:r w:rsidR="00716A19" w:rsidRPr="001A3FC4">
        <w:rPr>
          <w:bCs/>
        </w:rPr>
        <w:t xml:space="preserve"> once a week or once every two weeks, and that the absolute </w:t>
      </w:r>
      <w:r w:rsidRPr="001A3FC4">
        <w:rPr>
          <w:bCs/>
        </w:rPr>
        <w:t>subcutaneous</w:t>
      </w:r>
      <w:r w:rsidR="00716A19" w:rsidRPr="001A3FC4">
        <w:rPr>
          <w:bCs/>
        </w:rPr>
        <w:t xml:space="preserve"> bioavailability would be the same, this potential relationship between V2 and K</w:t>
      </w:r>
      <w:r w:rsidRPr="004F0AA5">
        <w:rPr>
          <w:bCs/>
          <w:vertAlign w:val="subscript"/>
        </w:rPr>
        <w:t>a</w:t>
      </w:r>
      <w:r w:rsidR="00716A19" w:rsidRPr="001A3FC4">
        <w:rPr>
          <w:bCs/>
        </w:rPr>
        <w:t xml:space="preserve"> would have a very low clinical significance.</w:t>
      </w:r>
    </w:p>
    <w:p w14:paraId="7369B185" w14:textId="548DB6DF" w:rsidR="00716A19" w:rsidRPr="00802560" w:rsidRDefault="00716A19" w:rsidP="00E00276">
      <w:pPr>
        <w:pStyle w:val="Numberbullet0"/>
        <w:rPr>
          <w:b/>
          <w:bCs/>
          <w:i/>
          <w:iCs/>
        </w:rPr>
      </w:pPr>
      <w:r w:rsidRPr="00802560">
        <w:rPr>
          <w:b/>
          <w:bCs/>
          <w:i/>
          <w:iCs/>
        </w:rPr>
        <w:t>Please discuss whether albumin was explored as a covariate during the modelling analysis. Please provide rationale if not explored.</w:t>
      </w:r>
    </w:p>
    <w:p w14:paraId="38CC2B43" w14:textId="1B75B859" w:rsidR="00716A19" w:rsidRPr="00056C07" w:rsidRDefault="00716A19" w:rsidP="00E00276">
      <w:pPr>
        <w:rPr>
          <w:bCs/>
        </w:rPr>
      </w:pPr>
      <w:r w:rsidRPr="00056C07">
        <w:rPr>
          <w:bCs/>
        </w:rPr>
        <w:t xml:space="preserve">The relationship between albumin and specifically Xembify </w:t>
      </w:r>
      <w:r w:rsidR="00C42CA3" w:rsidRPr="00056C07">
        <w:rPr>
          <w:bCs/>
        </w:rPr>
        <w:t>modelling</w:t>
      </w:r>
      <w:r w:rsidRPr="00056C07">
        <w:rPr>
          <w:bCs/>
        </w:rPr>
        <w:t xml:space="preserve"> for </w:t>
      </w:r>
      <w:r w:rsidR="00E00276">
        <w:rPr>
          <w:bCs/>
        </w:rPr>
        <w:t>immunoglobulin</w:t>
      </w:r>
      <w:r w:rsidR="007F0985">
        <w:rPr>
          <w:bCs/>
        </w:rPr>
        <w:t> </w:t>
      </w:r>
      <w:r w:rsidRPr="00056C07">
        <w:rPr>
          <w:bCs/>
        </w:rPr>
        <w:t xml:space="preserve">G replacement in congenital primary immunodeficiency does not appear to be sufficiently plausible to include in the model and there was no evident precedent to include in this regard for a non-facilitated </w:t>
      </w:r>
      <w:r w:rsidR="00E00276">
        <w:rPr>
          <w:bCs/>
        </w:rPr>
        <w:t>subcutaneous</w:t>
      </w:r>
      <w:r w:rsidRPr="00056C07">
        <w:rPr>
          <w:bCs/>
        </w:rPr>
        <w:t xml:space="preserve"> immune globulin product.</w:t>
      </w:r>
      <w:r w:rsidRPr="00056C07">
        <w:t xml:space="preserve"> </w:t>
      </w:r>
      <w:r w:rsidRPr="00056C07">
        <w:rPr>
          <w:bCs/>
        </w:rPr>
        <w:t>There is no clinical application for dosing of any subcutaneous immune globulin product that is currently commercially available based on host albumin levels; all medically applied dosing paradigms are predicated solely on patient’s body weight.</w:t>
      </w:r>
    </w:p>
    <w:p w14:paraId="512402AE" w14:textId="77777777" w:rsidR="001E0E47" w:rsidRDefault="00716A19" w:rsidP="00E00276">
      <w:pPr>
        <w:rPr>
          <w:bCs/>
        </w:rPr>
      </w:pPr>
      <w:r w:rsidRPr="00056C07">
        <w:rPr>
          <w:bCs/>
        </w:rPr>
        <w:t>Some additional points for consideration were</w:t>
      </w:r>
      <w:r w:rsidR="001E0E47">
        <w:rPr>
          <w:bCs/>
        </w:rPr>
        <w:t>:</w:t>
      </w:r>
    </w:p>
    <w:p w14:paraId="324F332E" w14:textId="5364E18A" w:rsidR="001E0E47" w:rsidRDefault="001E0E47" w:rsidP="004F0AA5">
      <w:pPr>
        <w:pStyle w:val="Numberbullet2"/>
      </w:pPr>
      <w:r>
        <w:t>F</w:t>
      </w:r>
      <w:r w:rsidR="00716A19" w:rsidRPr="00056C07">
        <w:t>ormulation</w:t>
      </w:r>
      <w:r w:rsidR="00E00276">
        <w:t>,</w:t>
      </w:r>
      <w:r w:rsidR="00716A19" w:rsidRPr="00056C07">
        <w:t xml:space="preserve"> </w:t>
      </w:r>
      <w:r w:rsidR="00E00276">
        <w:t>immunoglobulin</w:t>
      </w:r>
      <w:r w:rsidR="00716A19" w:rsidRPr="00056C07">
        <w:t xml:space="preserve"> products are manufactured from the plasma of healthy donors and can be stabili</w:t>
      </w:r>
      <w:r w:rsidR="00E00276">
        <w:t>s</w:t>
      </w:r>
      <w:r w:rsidR="00716A19" w:rsidRPr="00056C07">
        <w:t xml:space="preserve">ed agents such as human albumin, glycine, polyethylene glycol, or sugars. Some preparations may have as much as 3% albumin, in addition to the </w:t>
      </w:r>
      <w:r w:rsidR="00E00276">
        <w:t xml:space="preserve">immunoglobulin </w:t>
      </w:r>
      <w:r w:rsidR="00716A19" w:rsidRPr="00056C07">
        <w:t>G itself. Notably Cuvitru,</w:t>
      </w:r>
      <w:r w:rsidR="00EB734E">
        <w:rPr>
          <w:rStyle w:val="FootnoteReference"/>
          <w:bCs/>
        </w:rPr>
        <w:footnoteReference w:id="9"/>
      </w:r>
      <w:r w:rsidR="00716A19" w:rsidRPr="00056C07">
        <w:t xml:space="preserve"> </w:t>
      </w:r>
      <w:proofErr w:type="spellStart"/>
      <w:r w:rsidR="00716A19" w:rsidRPr="00056C07">
        <w:t>Hizentra</w:t>
      </w:r>
      <w:proofErr w:type="spellEnd"/>
      <w:r w:rsidR="00716A19" w:rsidRPr="00056C07">
        <w:t>,</w:t>
      </w:r>
      <w:r w:rsidR="00EB734E">
        <w:rPr>
          <w:rStyle w:val="FootnoteReference"/>
          <w:bCs/>
        </w:rPr>
        <w:footnoteReference w:id="10"/>
      </w:r>
      <w:r w:rsidR="00716A19" w:rsidRPr="00056C07">
        <w:t xml:space="preserve"> and </w:t>
      </w:r>
      <w:proofErr w:type="spellStart"/>
      <w:r w:rsidR="00716A19" w:rsidRPr="00056C07">
        <w:t>Xembify</w:t>
      </w:r>
      <w:proofErr w:type="spellEnd"/>
      <w:r w:rsidR="00716A19" w:rsidRPr="00056C07">
        <w:t xml:space="preserve"> contain no albumin in their product formulations.</w:t>
      </w:r>
    </w:p>
    <w:p w14:paraId="0BA46B35" w14:textId="602D48B7" w:rsidR="00716A19" w:rsidRPr="00056C07" w:rsidRDefault="00716A19" w:rsidP="004F0AA5">
      <w:pPr>
        <w:pStyle w:val="Numberbullet2"/>
      </w:pPr>
      <w:r w:rsidRPr="00056C07">
        <w:t xml:space="preserve">Similar distribution/elimination pattern between albumin and </w:t>
      </w:r>
      <w:r w:rsidR="00E00276">
        <w:t xml:space="preserve">immunoglobulin </w:t>
      </w:r>
      <w:r w:rsidRPr="00056C07">
        <w:t xml:space="preserve">G. Albumin and </w:t>
      </w:r>
      <w:r w:rsidR="00E00276">
        <w:t xml:space="preserve">immunoglobulin </w:t>
      </w:r>
      <w:r w:rsidRPr="00056C07">
        <w:t xml:space="preserve">G are both plasma proteins that follow similar patterns of distribution and bind with high affinity to neonatal Fc receptor </w:t>
      </w:r>
      <w:r w:rsidRPr="00056C07">
        <w:lastRenderedPageBreak/>
        <w:t>(</w:t>
      </w:r>
      <w:proofErr w:type="spellStart"/>
      <w:r w:rsidRPr="00056C07">
        <w:t>FcRn</w:t>
      </w:r>
      <w:proofErr w:type="spellEnd"/>
      <w:r w:rsidRPr="00056C07">
        <w:t xml:space="preserve">), which is a saturable receptor that protects both </w:t>
      </w:r>
      <w:r w:rsidR="00E00276">
        <w:t xml:space="preserve">immunoglobulin </w:t>
      </w:r>
      <w:r w:rsidRPr="00056C07">
        <w:t xml:space="preserve">G and albumin from intracellular degradation. In PID patients, low serum albumin level was also associated with poor efficiency in patients with </w:t>
      </w:r>
      <w:r w:rsidR="00E00276">
        <w:t>intravenous immunoglobulin</w:t>
      </w:r>
      <w:r w:rsidRPr="00056C07">
        <w:t xml:space="preserve">, but not in patients with </w:t>
      </w:r>
      <w:r w:rsidR="00E00276">
        <w:t>subcutaneous immunoglobulin</w:t>
      </w:r>
      <w:r w:rsidRPr="00056C07">
        <w:t xml:space="preserve">, which could be related to increased catabolism or reduced recycling when high peak </w:t>
      </w:r>
      <w:r w:rsidR="00E00276">
        <w:t xml:space="preserve">immunoglobulin </w:t>
      </w:r>
      <w:r w:rsidRPr="00056C07">
        <w:t xml:space="preserve">G concentrations are achieved with </w:t>
      </w:r>
      <w:r w:rsidR="00E00276">
        <w:t>intravenous</w:t>
      </w:r>
      <w:r w:rsidRPr="00056C07">
        <w:t xml:space="preserve"> infusions in contrast to the more stable levels with more frequent </w:t>
      </w:r>
      <w:r w:rsidR="00E00276">
        <w:t>subcutaneous immunoglobulin i</w:t>
      </w:r>
      <w:r w:rsidRPr="00056C07">
        <w:t xml:space="preserve">nfusions, since </w:t>
      </w:r>
      <w:proofErr w:type="spellStart"/>
      <w:r w:rsidRPr="00056C07">
        <w:t>FcRn</w:t>
      </w:r>
      <w:proofErr w:type="spellEnd"/>
      <w:r w:rsidRPr="00056C07">
        <w:t xml:space="preserve"> is a saturable receptor.</w:t>
      </w:r>
    </w:p>
    <w:p w14:paraId="3DB176C4" w14:textId="4A77AAB2" w:rsidR="00716A19" w:rsidRPr="00802560" w:rsidRDefault="00716A19" w:rsidP="00E00276">
      <w:pPr>
        <w:pStyle w:val="Numberbullet0"/>
        <w:rPr>
          <w:b/>
          <w:bCs/>
          <w:i/>
          <w:iCs/>
        </w:rPr>
      </w:pPr>
      <w:r w:rsidRPr="00802560">
        <w:rPr>
          <w:b/>
          <w:bCs/>
          <w:i/>
          <w:iCs/>
        </w:rPr>
        <w:t xml:space="preserve">Please provide the dose adjustment factor and related information when converting from </w:t>
      </w:r>
      <w:r w:rsidR="00E00276" w:rsidRPr="00802560">
        <w:rPr>
          <w:b/>
          <w:bCs/>
          <w:i/>
          <w:iCs/>
        </w:rPr>
        <w:t>intravenous immunoglobulin</w:t>
      </w:r>
      <w:r w:rsidRPr="00802560">
        <w:rPr>
          <w:b/>
          <w:bCs/>
          <w:i/>
          <w:iCs/>
        </w:rPr>
        <w:t xml:space="preserve"> to </w:t>
      </w:r>
      <w:r w:rsidR="00E00276" w:rsidRPr="00802560">
        <w:rPr>
          <w:b/>
          <w:bCs/>
          <w:i/>
          <w:iCs/>
        </w:rPr>
        <w:t xml:space="preserve">subcutaneous immunoglobulin </w:t>
      </w:r>
      <w:r w:rsidRPr="00802560">
        <w:rPr>
          <w:b/>
          <w:bCs/>
          <w:i/>
          <w:iCs/>
        </w:rPr>
        <w:t>in the PI.</w:t>
      </w:r>
    </w:p>
    <w:p w14:paraId="5C2624FA" w14:textId="568B4A77" w:rsidR="00716A19" w:rsidRPr="00056C07" w:rsidRDefault="00716A19" w:rsidP="00716A19">
      <w:pPr>
        <w:rPr>
          <w:bCs/>
        </w:rPr>
      </w:pPr>
      <w:r w:rsidRPr="00056C07">
        <w:rPr>
          <w:bCs/>
        </w:rPr>
        <w:t>Additional prescriptive language in the form of a table has been added to the draft Australian labelling.</w:t>
      </w:r>
    </w:p>
    <w:p w14:paraId="3E657A9D" w14:textId="77777777" w:rsidR="00716A19" w:rsidRPr="00802560" w:rsidRDefault="00716A19" w:rsidP="00E00276">
      <w:pPr>
        <w:pStyle w:val="Numberbullet0"/>
        <w:rPr>
          <w:i/>
          <w:iCs/>
        </w:rPr>
      </w:pPr>
      <w:r w:rsidRPr="00802560">
        <w:rPr>
          <w:b/>
          <w:bCs/>
          <w:i/>
          <w:iCs/>
        </w:rPr>
        <w:t>Please provide the impact of missed doses and instructions for clinicians on how to approach in case of a missed dose in the</w:t>
      </w:r>
      <w:r w:rsidRPr="00802560">
        <w:rPr>
          <w:i/>
          <w:iCs/>
        </w:rPr>
        <w:t xml:space="preserve"> </w:t>
      </w:r>
      <w:r w:rsidRPr="00802560">
        <w:rPr>
          <w:b/>
          <w:bCs/>
          <w:i/>
          <w:iCs/>
        </w:rPr>
        <w:t>PI.</w:t>
      </w:r>
    </w:p>
    <w:p w14:paraId="561DB32C" w14:textId="6A04A6CB" w:rsidR="00716A19" w:rsidRPr="00056C07" w:rsidRDefault="00716A19" w:rsidP="00716A19">
      <w:pPr>
        <w:rPr>
          <w:bCs/>
        </w:rPr>
      </w:pPr>
      <w:r w:rsidRPr="00056C07">
        <w:rPr>
          <w:bCs/>
        </w:rPr>
        <w:t xml:space="preserve">General instructions have been added to the PI </w:t>
      </w:r>
      <w:proofErr w:type="gramStart"/>
      <w:r w:rsidRPr="00056C07">
        <w:rPr>
          <w:bCs/>
        </w:rPr>
        <w:t>with regard to</w:t>
      </w:r>
      <w:proofErr w:type="gramEnd"/>
      <w:r w:rsidRPr="00056C07">
        <w:rPr>
          <w:bCs/>
        </w:rPr>
        <w:t xml:space="preserve"> reinstituting therapy as quickly as possible if interrupted or if there is a missing dose.</w:t>
      </w:r>
    </w:p>
    <w:p w14:paraId="4C6F8C87" w14:textId="2CAEB804" w:rsidR="00716A19" w:rsidRPr="00802560" w:rsidRDefault="00716A19" w:rsidP="00E00276">
      <w:pPr>
        <w:pStyle w:val="Numberbullet0"/>
        <w:rPr>
          <w:i/>
          <w:iCs/>
        </w:rPr>
      </w:pPr>
      <w:r w:rsidRPr="00802560">
        <w:rPr>
          <w:b/>
          <w:bCs/>
          <w:i/>
          <w:iCs/>
        </w:rPr>
        <w:t xml:space="preserve">Please provide the dose adjustment guidance either as a descriptive </w:t>
      </w:r>
      <w:r w:rsidR="00E00276" w:rsidRPr="00802560">
        <w:rPr>
          <w:b/>
          <w:bCs/>
          <w:i/>
          <w:iCs/>
        </w:rPr>
        <w:t>(for example,</w:t>
      </w:r>
      <w:r w:rsidRPr="00802560">
        <w:rPr>
          <w:b/>
          <w:bCs/>
          <w:i/>
          <w:iCs/>
        </w:rPr>
        <w:t xml:space="preserve"> linear) or detailed information in the PI</w:t>
      </w:r>
      <w:r w:rsidRPr="00802560">
        <w:rPr>
          <w:i/>
          <w:iCs/>
        </w:rPr>
        <w:t>.</w:t>
      </w:r>
    </w:p>
    <w:p w14:paraId="6E6F064F" w14:textId="47E0F38E" w:rsidR="00716A19" w:rsidRPr="00056C07" w:rsidRDefault="00E00276" w:rsidP="00716A19">
      <w:pPr>
        <w:rPr>
          <w:bCs/>
        </w:rPr>
      </w:pPr>
      <w:r>
        <w:rPr>
          <w:bCs/>
        </w:rPr>
        <w:t>The s</w:t>
      </w:r>
      <w:r w:rsidR="008C4169">
        <w:rPr>
          <w:bCs/>
        </w:rPr>
        <w:t>ponsor</w:t>
      </w:r>
      <w:r w:rsidR="008C4169" w:rsidRPr="00056C07">
        <w:rPr>
          <w:bCs/>
        </w:rPr>
        <w:t xml:space="preserve"> </w:t>
      </w:r>
      <w:r w:rsidR="00716A19" w:rsidRPr="00056C07">
        <w:rPr>
          <w:bCs/>
        </w:rPr>
        <w:t xml:space="preserve">has added guidance and a dose adjustment table for target </w:t>
      </w:r>
      <w:r>
        <w:rPr>
          <w:bCs/>
        </w:rPr>
        <w:t xml:space="preserve">immunoglobulin </w:t>
      </w:r>
      <w:r w:rsidR="00716A19" w:rsidRPr="00056C07">
        <w:rPr>
          <w:bCs/>
        </w:rPr>
        <w:t>G trough levels to the revised Australian PI.</w:t>
      </w:r>
    </w:p>
    <w:p w14:paraId="3451FACA" w14:textId="5ADEBB50" w:rsidR="00716A19" w:rsidRPr="00802560" w:rsidRDefault="00716A19" w:rsidP="00E00276">
      <w:pPr>
        <w:pStyle w:val="Numberbullet0"/>
        <w:rPr>
          <w:b/>
          <w:bCs/>
          <w:i/>
          <w:iCs/>
        </w:rPr>
      </w:pPr>
      <w:r w:rsidRPr="00802560">
        <w:rPr>
          <w:b/>
          <w:bCs/>
          <w:i/>
          <w:iCs/>
        </w:rPr>
        <w:t xml:space="preserve">Please discuss the interchangeability between </w:t>
      </w:r>
      <w:proofErr w:type="spellStart"/>
      <w:r w:rsidRPr="00802560">
        <w:rPr>
          <w:b/>
          <w:bCs/>
          <w:i/>
          <w:iCs/>
        </w:rPr>
        <w:t>Xembify</w:t>
      </w:r>
      <w:proofErr w:type="spellEnd"/>
      <w:r w:rsidRPr="00802560">
        <w:rPr>
          <w:b/>
          <w:bCs/>
          <w:i/>
          <w:iCs/>
        </w:rPr>
        <w:t xml:space="preserve"> and </w:t>
      </w:r>
      <w:proofErr w:type="spellStart"/>
      <w:r w:rsidRPr="00802560">
        <w:rPr>
          <w:b/>
          <w:bCs/>
          <w:i/>
          <w:iCs/>
        </w:rPr>
        <w:t>Hizentra</w:t>
      </w:r>
      <w:proofErr w:type="spellEnd"/>
      <w:r w:rsidRPr="00802560">
        <w:rPr>
          <w:b/>
          <w:bCs/>
          <w:i/>
          <w:iCs/>
        </w:rPr>
        <w:t xml:space="preserve"> (approved CSL product)</w:t>
      </w:r>
      <w:r w:rsidR="001E0E47">
        <w:rPr>
          <w:b/>
          <w:bCs/>
          <w:i/>
          <w:iCs/>
        </w:rPr>
        <w:t>;</w:t>
      </w:r>
      <w:r w:rsidR="001E0E47">
        <w:rPr>
          <w:rStyle w:val="FootnoteReference"/>
          <w:b/>
          <w:bCs/>
          <w:i/>
          <w:iCs/>
        </w:rPr>
        <w:footnoteReference w:id="11"/>
      </w:r>
      <w:r w:rsidRPr="00802560">
        <w:rPr>
          <w:b/>
          <w:bCs/>
          <w:i/>
          <w:iCs/>
        </w:rPr>
        <w:t xml:space="preserve"> given the potential for it to be initiated in patients already receiving </w:t>
      </w:r>
      <w:proofErr w:type="spellStart"/>
      <w:r w:rsidRPr="00802560">
        <w:rPr>
          <w:b/>
          <w:bCs/>
          <w:i/>
          <w:iCs/>
        </w:rPr>
        <w:t>Hizentra</w:t>
      </w:r>
      <w:proofErr w:type="spellEnd"/>
      <w:r w:rsidRPr="00802560">
        <w:rPr>
          <w:b/>
          <w:bCs/>
          <w:i/>
          <w:iCs/>
        </w:rPr>
        <w:t>.</w:t>
      </w:r>
    </w:p>
    <w:p w14:paraId="480ED50C" w14:textId="35CE51C0" w:rsidR="00716A19" w:rsidRPr="007016C6" w:rsidRDefault="00716A19" w:rsidP="00716A19">
      <w:pPr>
        <w:rPr>
          <w:bCs/>
        </w:rPr>
      </w:pPr>
      <w:r w:rsidRPr="00056C07">
        <w:rPr>
          <w:bCs/>
        </w:rPr>
        <w:t xml:space="preserve">Based on </w:t>
      </w:r>
      <w:r w:rsidR="004A13BD">
        <w:rPr>
          <w:bCs/>
        </w:rPr>
        <w:t>two</w:t>
      </w:r>
      <w:r w:rsidRPr="00056C07">
        <w:rPr>
          <w:bCs/>
        </w:rPr>
        <w:t xml:space="preserve"> clinical trials in treatment</w:t>
      </w:r>
      <w:r w:rsidR="00056C07">
        <w:rPr>
          <w:bCs/>
        </w:rPr>
        <w:t xml:space="preserve"> </w:t>
      </w:r>
      <w:r w:rsidRPr="00056C07">
        <w:rPr>
          <w:bCs/>
        </w:rPr>
        <w:t>experienced patients on pre</w:t>
      </w:r>
      <w:r w:rsidR="008C4169">
        <w:rPr>
          <w:bCs/>
        </w:rPr>
        <w:noBreakHyphen/>
      </w:r>
      <w:r w:rsidRPr="00056C07">
        <w:rPr>
          <w:bCs/>
        </w:rPr>
        <w:t xml:space="preserve">existing </w:t>
      </w:r>
      <w:r w:rsidR="00E00276">
        <w:rPr>
          <w:bCs/>
        </w:rPr>
        <w:t xml:space="preserve">immunoglobulin </w:t>
      </w:r>
      <w:r w:rsidRPr="00056C07">
        <w:rPr>
          <w:bCs/>
        </w:rPr>
        <w:t xml:space="preserve">G replacement therapy, the transition from </w:t>
      </w:r>
      <w:proofErr w:type="gramStart"/>
      <w:r w:rsidRPr="00056C07">
        <w:rPr>
          <w:bCs/>
        </w:rPr>
        <w:t>previous to</w:t>
      </w:r>
      <w:proofErr w:type="gramEnd"/>
      <w:r w:rsidRPr="00056C07">
        <w:rPr>
          <w:bCs/>
        </w:rPr>
        <w:t xml:space="preserve"> a Xembify</w:t>
      </w:r>
      <w:r w:rsidR="00D27291">
        <w:rPr>
          <w:bCs/>
        </w:rPr>
        <w:t xml:space="preserve"> </w:t>
      </w:r>
      <w:r w:rsidRPr="00056C07">
        <w:rPr>
          <w:bCs/>
        </w:rPr>
        <w:t>based regimen should be well tolerated.</w:t>
      </w:r>
      <w:r w:rsidRPr="00056C07">
        <w:t xml:space="preserve"> </w:t>
      </w:r>
      <w:r w:rsidRPr="00056C07">
        <w:rPr>
          <w:bCs/>
        </w:rPr>
        <w:t xml:space="preserve">Patients historically treated with </w:t>
      </w:r>
      <w:proofErr w:type="spellStart"/>
      <w:r w:rsidRPr="00056C07">
        <w:rPr>
          <w:bCs/>
        </w:rPr>
        <w:t>Hizentra</w:t>
      </w:r>
      <w:proofErr w:type="spellEnd"/>
      <w:r w:rsidRPr="00056C07">
        <w:rPr>
          <w:bCs/>
        </w:rPr>
        <w:t xml:space="preserve">, as well as many other brands of </w:t>
      </w:r>
      <w:r w:rsidR="00E00276">
        <w:rPr>
          <w:bCs/>
        </w:rPr>
        <w:t xml:space="preserve">immunoglobulin </w:t>
      </w:r>
      <w:r w:rsidRPr="00056C07">
        <w:rPr>
          <w:bCs/>
        </w:rPr>
        <w:t xml:space="preserve">G treatment, were enrolled in both </w:t>
      </w:r>
      <w:r w:rsidR="009D13C3">
        <w:rPr>
          <w:bCs/>
        </w:rPr>
        <w:t>Phase</w:t>
      </w:r>
      <w:r w:rsidRPr="00056C07">
        <w:rPr>
          <w:bCs/>
        </w:rPr>
        <w:t xml:space="preserve"> </w:t>
      </w:r>
      <w:r w:rsidR="00056C07">
        <w:rPr>
          <w:bCs/>
        </w:rPr>
        <w:t>III</w:t>
      </w:r>
      <w:r w:rsidRPr="00056C07">
        <w:rPr>
          <w:bCs/>
        </w:rPr>
        <w:t xml:space="preserve"> studies.</w:t>
      </w:r>
    </w:p>
    <w:p w14:paraId="7C101A01" w14:textId="52061590" w:rsidR="00716A19" w:rsidRPr="000C2404" w:rsidRDefault="00716A19" w:rsidP="000C2404">
      <w:pPr>
        <w:pStyle w:val="Heading4"/>
      </w:pPr>
      <w:r w:rsidRPr="00AA53F4">
        <w:t>Efficacy</w:t>
      </w:r>
    </w:p>
    <w:p w14:paraId="4E7615AB" w14:textId="7B1AA467" w:rsidR="00161A3B" w:rsidRPr="000C2404" w:rsidRDefault="00D8020B" w:rsidP="000C2404">
      <w:pPr>
        <w:pStyle w:val="Heading5"/>
      </w:pPr>
      <w:r w:rsidRPr="00161A3B">
        <w:t>Study GTI1503</w:t>
      </w:r>
    </w:p>
    <w:p w14:paraId="10C280BE" w14:textId="732145B2" w:rsidR="00716A19" w:rsidRPr="000C2404" w:rsidRDefault="00716A19" w:rsidP="000C2404">
      <w:r w:rsidRPr="000C2404">
        <w:t>Study GTI1503 is a multi</w:t>
      </w:r>
      <w:r w:rsidR="00E00276">
        <w:t>-</w:t>
      </w:r>
      <w:r w:rsidRPr="000C2404">
        <w:t>centre, open</w:t>
      </w:r>
      <w:r w:rsidR="000767F4">
        <w:t xml:space="preserve"> </w:t>
      </w:r>
      <w:r w:rsidRPr="000C2404">
        <w:t>label, single</w:t>
      </w:r>
      <w:r w:rsidR="000767F4">
        <w:t xml:space="preserve"> </w:t>
      </w:r>
      <w:r w:rsidRPr="000C2404">
        <w:t>arm</w:t>
      </w:r>
      <w:r w:rsidR="00D27291">
        <w:t xml:space="preserve"> Phase III</w:t>
      </w:r>
      <w:r w:rsidRPr="000C2404">
        <w:t xml:space="preserve"> trial to evaluate efficacy, pharmacokinetics, and safety and tolerability of </w:t>
      </w:r>
      <w:r w:rsidR="00E00276">
        <w:t>subcutaneous immunoglobulin</w:t>
      </w:r>
      <w:r w:rsidRPr="000C2404">
        <w:t xml:space="preserve"> 20% in subjects with primary immunodeficiency.</w:t>
      </w:r>
    </w:p>
    <w:p w14:paraId="10D1AD8D" w14:textId="444B8FAA" w:rsidR="00716A19" w:rsidRPr="000C2404" w:rsidRDefault="00716A19" w:rsidP="000C2404">
      <w:r w:rsidRPr="000C2404">
        <w:t xml:space="preserve">The primary efficacy objective was to evaluate whether weekly administered </w:t>
      </w:r>
      <w:r w:rsidR="00E00276">
        <w:t>subcutaneous immunoglobulin</w:t>
      </w:r>
      <w:r w:rsidRPr="000C2404">
        <w:t xml:space="preserve"> 20% over a </w:t>
      </w:r>
      <w:proofErr w:type="gramStart"/>
      <w:r w:rsidRPr="000C2404">
        <w:t>one</w:t>
      </w:r>
      <w:r w:rsidR="000767F4">
        <w:t xml:space="preserve"> </w:t>
      </w:r>
      <w:r w:rsidRPr="000C2404">
        <w:t>year</w:t>
      </w:r>
      <w:proofErr w:type="gramEnd"/>
      <w:r w:rsidRPr="000C2404">
        <w:t xml:space="preserve"> period achieved less than </w:t>
      </w:r>
      <w:r w:rsidR="004A13BD">
        <w:t>one</w:t>
      </w:r>
      <w:r w:rsidRPr="000C2404">
        <w:t xml:space="preserve"> </w:t>
      </w:r>
      <w:r w:rsidR="001E0E47">
        <w:t>serious bacterial infection</w:t>
      </w:r>
      <w:r w:rsidR="001E0E47" w:rsidRPr="000C2404">
        <w:t xml:space="preserve"> </w:t>
      </w:r>
      <w:r w:rsidRPr="000C2404">
        <w:t>per subject per year in PID subjects.</w:t>
      </w:r>
    </w:p>
    <w:p w14:paraId="56FBBA5C" w14:textId="0E3AC5CB" w:rsidR="00716A19" w:rsidRPr="000C2404" w:rsidRDefault="00716A19" w:rsidP="000C2404">
      <w:r w:rsidRPr="000C2404">
        <w:t>Secondary efficacy objectives included evaluation of all infections of any kind, number of days on antibiotics, number of hospitalisations due to infection and number of days of work/school/daily activities missed per subject year due to infections and related treatment.</w:t>
      </w:r>
    </w:p>
    <w:p w14:paraId="122947D9" w14:textId="285590D9" w:rsidR="00716A19" w:rsidRPr="000C2404" w:rsidRDefault="00C42CA3" w:rsidP="000C2404">
      <w:r w:rsidRPr="000C2404">
        <w:t>Enrolment</w:t>
      </w:r>
      <w:r w:rsidR="00716A19" w:rsidRPr="000C2404">
        <w:t xml:space="preserve"> was planned for approximately 60 subjects.</w:t>
      </w:r>
    </w:p>
    <w:p w14:paraId="54B5FCF0" w14:textId="5CF957AE" w:rsidR="00716A19" w:rsidRPr="000C2404" w:rsidRDefault="00716A19" w:rsidP="000C2404">
      <w:r w:rsidRPr="000C2404">
        <w:lastRenderedPageBreak/>
        <w:t xml:space="preserve">The study included </w:t>
      </w:r>
      <w:r w:rsidR="004A13BD">
        <w:t>three</w:t>
      </w:r>
      <w:r w:rsidRPr="000C2404">
        <w:t xml:space="preserve"> stages: </w:t>
      </w:r>
      <w:r w:rsidR="009D13C3" w:rsidRPr="009D13C3">
        <w:t>s</w:t>
      </w:r>
      <w:r w:rsidRPr="009D13C3">
        <w:t>creening/</w:t>
      </w:r>
      <w:r w:rsidR="009D13C3" w:rsidRPr="009D13C3">
        <w:t>p</w:t>
      </w:r>
      <w:r w:rsidRPr="009D13C3">
        <w:t xml:space="preserve">revious </w:t>
      </w:r>
      <w:r w:rsidR="009D13C3" w:rsidRPr="009D13C3">
        <w:t>r</w:t>
      </w:r>
      <w:r w:rsidRPr="009D13C3">
        <w:t xml:space="preserve">egimen </w:t>
      </w:r>
      <w:r w:rsidR="009D13C3" w:rsidRPr="009D13C3">
        <w:t>p</w:t>
      </w:r>
      <w:r w:rsidRPr="009D13C3">
        <w:t>hase</w:t>
      </w:r>
      <w:r w:rsidRPr="000C2404">
        <w:t xml:space="preserve"> (up to </w:t>
      </w:r>
      <w:r w:rsidR="004A13BD">
        <w:t>eight</w:t>
      </w:r>
      <w:r w:rsidRPr="000C2404">
        <w:t xml:space="preserve"> weeks); </w:t>
      </w:r>
      <w:r w:rsidR="00F17F48">
        <w:t>subcutaneous immunoglobulin</w:t>
      </w:r>
      <w:r w:rsidRPr="000C2404">
        <w:t xml:space="preserve"> 20% </w:t>
      </w:r>
      <w:r w:rsidR="000767F4">
        <w:t>t</w:t>
      </w:r>
      <w:r w:rsidRPr="000C2404">
        <w:t xml:space="preserve">reatment </w:t>
      </w:r>
      <w:r w:rsidR="00483EB3">
        <w:t>S</w:t>
      </w:r>
      <w:r w:rsidRPr="000C2404">
        <w:t xml:space="preserve">tage 1 (13 </w:t>
      </w:r>
      <w:r w:rsidR="00D27291">
        <w:t>times</w:t>
      </w:r>
      <w:r w:rsidRPr="000C2404">
        <w:t xml:space="preserve"> </w:t>
      </w:r>
      <w:r w:rsidR="00F17F48">
        <w:t>subcutaneous immunoglobulin</w:t>
      </w:r>
      <w:r w:rsidRPr="000C2404">
        <w:t xml:space="preserve"> 20% weekly doses); and </w:t>
      </w:r>
      <w:r w:rsidR="00F17F48">
        <w:t>subcutaneous immunoglobulin</w:t>
      </w:r>
      <w:r w:rsidRPr="000C2404">
        <w:t xml:space="preserve"> 20% </w:t>
      </w:r>
      <w:r w:rsidR="000767F4">
        <w:t>t</w:t>
      </w:r>
      <w:r w:rsidRPr="000C2404">
        <w:t xml:space="preserve">reatment </w:t>
      </w:r>
      <w:r w:rsidR="002827DD">
        <w:t>S</w:t>
      </w:r>
      <w:r w:rsidRPr="000C2404">
        <w:t xml:space="preserve">tage 2 (39 </w:t>
      </w:r>
      <w:r w:rsidR="00F17F48">
        <w:t>times</w:t>
      </w:r>
      <w:r w:rsidRPr="000C2404">
        <w:t xml:space="preserve"> </w:t>
      </w:r>
      <w:r w:rsidR="00F17F48">
        <w:t>subcutaneous immunoglobulin</w:t>
      </w:r>
      <w:r w:rsidRPr="000C2404">
        <w:t xml:space="preserve"> 20% weekly doses). The </w:t>
      </w:r>
      <w:r w:rsidR="00F17F48">
        <w:t>subcutaneous immunoglobulin</w:t>
      </w:r>
      <w:r w:rsidRPr="000C2404">
        <w:t xml:space="preserve"> 20% dose was determined using a previous </w:t>
      </w:r>
      <w:r w:rsidR="00F17F48">
        <w:t xml:space="preserve">immunoglobulin </w:t>
      </w:r>
      <w:r w:rsidRPr="000C2404">
        <w:t xml:space="preserve">G regimen to </w:t>
      </w:r>
      <w:r w:rsidR="00F17F48">
        <w:t>subcutaneous</w:t>
      </w:r>
      <w:r w:rsidRPr="000C2404">
        <w:t xml:space="preserve"> DAF of 1:1.</w:t>
      </w:r>
    </w:p>
    <w:p w14:paraId="64B56A5D" w14:textId="5E139A87" w:rsidR="00716A19" w:rsidRPr="000C2404" w:rsidRDefault="00716A19" w:rsidP="000C2404">
      <w:r w:rsidRPr="000C2404">
        <w:t xml:space="preserve">Subjects aged </w:t>
      </w:r>
      <w:r w:rsidR="002827DD">
        <w:t>2</w:t>
      </w:r>
      <w:r w:rsidRPr="000C2404">
        <w:t xml:space="preserve"> to 75 years (inclusive) at screening, with a confirmed pre-existing diagnosis of PID, were included. Treatment naïve subjects who had never received </w:t>
      </w:r>
      <w:r w:rsidR="00903456">
        <w:t>intravenous immunoglobulin</w:t>
      </w:r>
      <w:r w:rsidRPr="000C2404">
        <w:t xml:space="preserve"> or </w:t>
      </w:r>
      <w:r w:rsidR="00903456">
        <w:t>subcutaneous immunoglobulin</w:t>
      </w:r>
      <w:r w:rsidRPr="000C2404">
        <w:t xml:space="preserve"> treatment were not eligible for entry into the study. All measured</w:t>
      </w:r>
      <w:r w:rsidR="004B0F89" w:rsidRPr="004B0F89">
        <w:t xml:space="preserve"> </w:t>
      </w:r>
      <w:r w:rsidR="004B0F89">
        <w:t>m</w:t>
      </w:r>
      <w:r w:rsidR="004B0F89" w:rsidRPr="004B0F89">
        <w:t>inimum observed concentration</w:t>
      </w:r>
      <w:r w:rsidRPr="004B0F89">
        <w:t xml:space="preserve"> </w:t>
      </w:r>
      <w:r w:rsidR="004B0F89" w:rsidRPr="004B0F89">
        <w:t>(</w:t>
      </w:r>
      <w:proofErr w:type="spellStart"/>
      <w:r w:rsidRPr="004B0F89">
        <w:t>C</w:t>
      </w:r>
      <w:r w:rsidRPr="004B0F89">
        <w:rPr>
          <w:vertAlign w:val="subscript"/>
        </w:rPr>
        <w:t>trough</w:t>
      </w:r>
      <w:proofErr w:type="spellEnd"/>
      <w:r w:rsidR="004B0F89" w:rsidRPr="004B0F89">
        <w:t>)</w:t>
      </w:r>
      <w:r w:rsidRPr="000C2404">
        <w:t xml:space="preserve"> levels of </w:t>
      </w:r>
      <w:r w:rsidR="00903456">
        <w:t xml:space="preserve">immunoglobulin </w:t>
      </w:r>
      <w:r w:rsidRPr="000C2404">
        <w:t>G drawn pre-</w:t>
      </w:r>
      <w:r w:rsidR="00D27291">
        <w:t>b</w:t>
      </w:r>
      <w:r w:rsidRPr="000C2404">
        <w:t xml:space="preserve">aseline must have been </w:t>
      </w:r>
      <w:r w:rsidR="004B0F89">
        <w:t>greater than or equal to</w:t>
      </w:r>
      <w:r w:rsidRPr="000C2404">
        <w:t xml:space="preserve"> 500 mg/dL for the subject to qualify for subsequent treatment with </w:t>
      </w:r>
      <w:r w:rsidR="00903456">
        <w:t>subcutaneous immunoglobulin</w:t>
      </w:r>
      <w:r w:rsidRPr="000C2404">
        <w:t xml:space="preserve"> 20%.</w:t>
      </w:r>
    </w:p>
    <w:p w14:paraId="1EBE5032" w14:textId="3C2A637C" w:rsidR="00716A19" w:rsidRPr="000C2404" w:rsidRDefault="00903456" w:rsidP="000C2404">
      <w:r>
        <w:t>Subcutaneous immunoglobulin</w:t>
      </w:r>
      <w:r w:rsidR="00716A19" w:rsidRPr="000C2404">
        <w:t xml:space="preserve"> 20% </w:t>
      </w:r>
      <w:r w:rsidR="000767F4">
        <w:t>t</w:t>
      </w:r>
      <w:r w:rsidR="00716A19" w:rsidRPr="000C2404">
        <w:t xml:space="preserve">reatment </w:t>
      </w:r>
      <w:r w:rsidR="002827DD">
        <w:t>S</w:t>
      </w:r>
      <w:r w:rsidR="00716A19" w:rsidRPr="000C2404">
        <w:t xml:space="preserve">tage 1 involved 13 </w:t>
      </w:r>
      <w:r>
        <w:t>times</w:t>
      </w:r>
      <w:r w:rsidR="00716A19" w:rsidRPr="000C2404">
        <w:t xml:space="preserve"> </w:t>
      </w:r>
      <w:r>
        <w:t>subcutaneous immunoglobulin</w:t>
      </w:r>
      <w:r w:rsidR="00716A19" w:rsidRPr="000C2404">
        <w:t xml:space="preserve"> 20% infusions at weekly intervals. In treatment </w:t>
      </w:r>
      <w:r w:rsidR="002827DD">
        <w:t>S</w:t>
      </w:r>
      <w:r w:rsidR="00716A19" w:rsidRPr="000C2404">
        <w:t xml:space="preserve">tage 1 </w:t>
      </w:r>
      <w:r>
        <w:t xml:space="preserve">subcutaneous immunoglobulin </w:t>
      </w:r>
      <w:r w:rsidR="00716A19" w:rsidRPr="000C2404">
        <w:t xml:space="preserve">20% dose was adjusted if trough level was below 500 mg/dL. </w:t>
      </w:r>
      <w:r w:rsidR="005E586C">
        <w:t>S</w:t>
      </w:r>
      <w:r w:rsidR="00716A19" w:rsidRPr="000C2404">
        <w:t xml:space="preserve">ubjects entered </w:t>
      </w:r>
      <w:r>
        <w:t>subcutaneous immunoglobulin</w:t>
      </w:r>
      <w:r w:rsidR="00716A19" w:rsidRPr="000C2404">
        <w:t xml:space="preserve"> 20% </w:t>
      </w:r>
      <w:r w:rsidR="009D13C3">
        <w:t>t</w:t>
      </w:r>
      <w:r w:rsidR="00716A19" w:rsidRPr="000C2404">
        <w:t xml:space="preserve">reatment </w:t>
      </w:r>
      <w:r w:rsidR="002827DD">
        <w:t>S</w:t>
      </w:r>
      <w:r w:rsidR="00716A19" w:rsidRPr="000C2404">
        <w:t>tage 2 to receive an additional 39</w:t>
      </w:r>
      <w:r w:rsidR="003A22DF">
        <w:t> </w:t>
      </w:r>
      <w:r w:rsidR="00716A19" w:rsidRPr="000C2404">
        <w:t xml:space="preserve">weeks of </w:t>
      </w:r>
      <w:r>
        <w:t>subcutaneous immunoglobulin</w:t>
      </w:r>
      <w:r w:rsidR="00716A19" w:rsidRPr="000C2404">
        <w:t xml:space="preserve"> 20% therapy.</w:t>
      </w:r>
    </w:p>
    <w:p w14:paraId="3908D218" w14:textId="23B39C49" w:rsidR="00716A19" w:rsidRPr="000C2404" w:rsidRDefault="00716A19" w:rsidP="000C2404">
      <w:r w:rsidRPr="00817EF1">
        <w:t>Of</w:t>
      </w:r>
      <w:r w:rsidRPr="000C2404">
        <w:t xml:space="preserve"> these 68 subjects screened, </w:t>
      </w:r>
      <w:r w:rsidR="005E586C">
        <w:t>seven</w:t>
      </w:r>
      <w:r w:rsidRPr="000C2404">
        <w:t xml:space="preserve"> subjects were considered screen failures. </w:t>
      </w:r>
      <w:r w:rsidR="005E586C">
        <w:t>Six</w:t>
      </w:r>
      <w:r w:rsidRPr="000C2404">
        <w:t xml:space="preserve"> subjects never received any amount of </w:t>
      </w:r>
      <w:r w:rsidR="00817EF1">
        <w:t>subcutaneous immunoglobulin</w:t>
      </w:r>
      <w:r w:rsidRPr="000C2404">
        <w:t xml:space="preserve"> 20% and </w:t>
      </w:r>
      <w:r w:rsidR="005E586C">
        <w:t>one</w:t>
      </w:r>
      <w:r w:rsidRPr="000C2404">
        <w:t xml:space="preserve"> subject was withdrawn because of a </w:t>
      </w:r>
      <w:r w:rsidR="001E0E47">
        <w:t>serious adverse event</w:t>
      </w:r>
      <w:r w:rsidRPr="00BE1940">
        <w:t>.</w:t>
      </w:r>
      <w:r w:rsidRPr="000C2404">
        <w:t xml:space="preserve"> A total of 61 subjects entered</w:t>
      </w:r>
      <w:r w:rsidR="005E586C">
        <w:t xml:space="preserve"> t</w:t>
      </w:r>
      <w:r w:rsidRPr="000C2404">
        <w:t xml:space="preserve">reatment </w:t>
      </w:r>
      <w:r w:rsidR="002827DD">
        <w:t>S</w:t>
      </w:r>
      <w:r w:rsidRPr="000C2404">
        <w:t xml:space="preserve">tage 1 with 60 completing treatment </w:t>
      </w:r>
      <w:r w:rsidR="002827DD">
        <w:t>S</w:t>
      </w:r>
      <w:r w:rsidRPr="000C2404">
        <w:t xml:space="preserve">tage 1. </w:t>
      </w:r>
      <w:r w:rsidR="005E586C">
        <w:t>One</w:t>
      </w:r>
      <w:r w:rsidRPr="000C2404">
        <w:t xml:space="preserve"> subject was withdrawn because of an </w:t>
      </w:r>
      <w:r w:rsidR="001E0E47">
        <w:t>adverse event</w:t>
      </w:r>
      <w:r w:rsidRPr="000C2404">
        <w:t xml:space="preserve">. </w:t>
      </w:r>
      <w:r w:rsidR="004A13BD">
        <w:t>Sixty</w:t>
      </w:r>
      <w:r w:rsidRPr="000C2404">
        <w:t xml:space="preserve"> subjects entered </w:t>
      </w:r>
      <w:r w:rsidR="004A13BD">
        <w:t>t</w:t>
      </w:r>
      <w:r w:rsidRPr="000C2404">
        <w:t xml:space="preserve">reatment </w:t>
      </w:r>
      <w:r w:rsidR="004A13BD">
        <w:t>s</w:t>
      </w:r>
      <w:r w:rsidRPr="000C2404">
        <w:t xml:space="preserve">tage 2 and 55 (91.7%) completed treatment </w:t>
      </w:r>
      <w:r w:rsidR="004A13BD">
        <w:t>s</w:t>
      </w:r>
      <w:r w:rsidRPr="000C2404">
        <w:t xml:space="preserve">tage 2. Over the course of the study </w:t>
      </w:r>
      <w:r w:rsidR="00F80410">
        <w:t>six</w:t>
      </w:r>
      <w:r w:rsidRPr="000C2404">
        <w:t xml:space="preserve"> subjects withdrew with </w:t>
      </w:r>
      <w:r w:rsidR="00F80410">
        <w:t xml:space="preserve">four </w:t>
      </w:r>
      <w:r w:rsidRPr="000C2404">
        <w:t xml:space="preserve">subjects withdrawing because of </w:t>
      </w:r>
      <w:r w:rsidR="001E0E47">
        <w:t>adverse event</w:t>
      </w:r>
      <w:r w:rsidRPr="000C2404">
        <w:t xml:space="preserve">. </w:t>
      </w:r>
      <w:r w:rsidR="004A13BD">
        <w:t>Two</w:t>
      </w:r>
      <w:r w:rsidRPr="000C2404">
        <w:t xml:space="preserve"> subjects withdrew due </w:t>
      </w:r>
      <w:r w:rsidR="004A13BD">
        <w:t xml:space="preserve">to </w:t>
      </w:r>
      <w:r w:rsidRPr="000C2404">
        <w:t>own decisions.</w:t>
      </w:r>
      <w:r w:rsidR="00F80410">
        <w:t xml:space="preserve"> Thirty</w:t>
      </w:r>
      <w:r w:rsidR="001E0E47">
        <w:noBreakHyphen/>
      </w:r>
      <w:r w:rsidR="00F80410">
        <w:t>two</w:t>
      </w:r>
      <w:r w:rsidRPr="000C2404">
        <w:t xml:space="preserve"> adult subjects (age </w:t>
      </w:r>
      <w:r w:rsidR="009C0874">
        <w:t xml:space="preserve">greater than </w:t>
      </w:r>
      <w:r w:rsidRPr="000C2404">
        <w:t xml:space="preserve">16 years) entered and completed </w:t>
      </w:r>
      <w:r w:rsidR="009C0874">
        <w:t xml:space="preserve">subcutaneous immunoglobulin </w:t>
      </w:r>
      <w:r w:rsidRPr="000C2404">
        <w:t xml:space="preserve">20% </w:t>
      </w:r>
      <w:r w:rsidR="00F80410">
        <w:t>t</w:t>
      </w:r>
      <w:r w:rsidRPr="000C2404">
        <w:t xml:space="preserve">reatment </w:t>
      </w:r>
      <w:r w:rsidR="002827DD">
        <w:t>S</w:t>
      </w:r>
      <w:r w:rsidRPr="000C2404">
        <w:t xml:space="preserve">tage 1. All 32 subjects who completed </w:t>
      </w:r>
      <w:r w:rsidR="009C0874">
        <w:t xml:space="preserve">subcutaneous immunoglobulin </w:t>
      </w:r>
      <w:r w:rsidRPr="000C2404">
        <w:t xml:space="preserve">20% </w:t>
      </w:r>
      <w:r w:rsidR="00F80410">
        <w:t>t</w:t>
      </w:r>
      <w:r w:rsidRPr="000C2404">
        <w:t xml:space="preserve">reatment </w:t>
      </w:r>
      <w:r w:rsidR="002827DD">
        <w:t>S</w:t>
      </w:r>
      <w:r w:rsidRPr="000C2404">
        <w:t xml:space="preserve">tage 1 entered </w:t>
      </w:r>
      <w:r w:rsidR="009C0874">
        <w:t>subcutaneous immunoglobulin</w:t>
      </w:r>
      <w:r w:rsidRPr="000C2404">
        <w:t xml:space="preserve"> 20% </w:t>
      </w:r>
      <w:r w:rsidR="00F80410">
        <w:t>t</w:t>
      </w:r>
      <w:r w:rsidRPr="000C2404">
        <w:t xml:space="preserve">reatment </w:t>
      </w:r>
      <w:r w:rsidR="002827DD">
        <w:t>S</w:t>
      </w:r>
      <w:r w:rsidRPr="000C2404">
        <w:t xml:space="preserve">tage 2, and 30 (93.8%) of these subjects completed </w:t>
      </w:r>
      <w:r w:rsidR="009C0874">
        <w:t>subcutaneous immunoglobulin</w:t>
      </w:r>
      <w:r w:rsidRPr="000C2404">
        <w:t xml:space="preserve"> 20% </w:t>
      </w:r>
      <w:r w:rsidR="00F80410">
        <w:t>t</w:t>
      </w:r>
      <w:r w:rsidRPr="000C2404">
        <w:t xml:space="preserve">reatment </w:t>
      </w:r>
      <w:r w:rsidR="002827DD">
        <w:t>S</w:t>
      </w:r>
      <w:r w:rsidRPr="000C2404">
        <w:t>tage 2</w:t>
      </w:r>
      <w:r w:rsidR="009C0874">
        <w:t>,</w:t>
      </w:r>
      <w:r w:rsidR="00F80410">
        <w:t xml:space="preserve"> </w:t>
      </w:r>
      <w:r w:rsidRPr="000C2404">
        <w:t>29 paediatric subjects (age</w:t>
      </w:r>
      <w:r w:rsidR="009C0874">
        <w:t>d</w:t>
      </w:r>
      <w:r w:rsidRPr="000C2404">
        <w:t xml:space="preserve"> </w:t>
      </w:r>
      <w:r w:rsidR="009C0874">
        <w:t xml:space="preserve">less than </w:t>
      </w:r>
      <w:r w:rsidRPr="000C2404">
        <w:t>16 years)</w:t>
      </w:r>
      <w:r w:rsidR="000C2404" w:rsidRPr="000C2404">
        <w:t xml:space="preserve"> </w:t>
      </w:r>
      <w:r w:rsidRPr="000C2404">
        <w:t xml:space="preserve">entered </w:t>
      </w:r>
      <w:r w:rsidR="009C0874">
        <w:t>subcutaneous immunoglobulin</w:t>
      </w:r>
      <w:r w:rsidRPr="000C2404">
        <w:t xml:space="preserve"> 20% </w:t>
      </w:r>
      <w:r w:rsidR="00F80410">
        <w:t>t</w:t>
      </w:r>
      <w:r w:rsidRPr="000C2404">
        <w:t xml:space="preserve">reatment </w:t>
      </w:r>
      <w:r w:rsidR="002827DD">
        <w:t>S</w:t>
      </w:r>
      <w:r w:rsidRPr="000C2404">
        <w:t xml:space="preserve">tage 1 and 28 (96.6%) of these subjects completed </w:t>
      </w:r>
      <w:r w:rsidR="00F80410">
        <w:t>t</w:t>
      </w:r>
      <w:r w:rsidRPr="000C2404">
        <w:t>reatment</w:t>
      </w:r>
      <w:r w:rsidR="00F80410">
        <w:t xml:space="preserve"> </w:t>
      </w:r>
      <w:r w:rsidR="002827DD">
        <w:t>S</w:t>
      </w:r>
      <w:r w:rsidRPr="000C2404">
        <w:t>tage 1 (</w:t>
      </w:r>
      <w:r w:rsidR="00F80410">
        <w:t xml:space="preserve">one </w:t>
      </w:r>
      <w:r w:rsidRPr="000C2404">
        <w:t xml:space="preserve">subject discontinued due to an </w:t>
      </w:r>
      <w:r w:rsidR="001E0E47">
        <w:t>adverse event</w:t>
      </w:r>
      <w:r w:rsidRPr="000C2404">
        <w:t xml:space="preserve">). A total of 28 subjects entered </w:t>
      </w:r>
      <w:r w:rsidR="009C0874">
        <w:t>subcutaneous immunoglobulin</w:t>
      </w:r>
      <w:r w:rsidRPr="000C2404">
        <w:t xml:space="preserve"> 20% </w:t>
      </w:r>
      <w:r w:rsidR="00F80410">
        <w:t>t</w:t>
      </w:r>
      <w:r w:rsidRPr="000C2404">
        <w:t xml:space="preserve">reatment </w:t>
      </w:r>
      <w:r w:rsidR="002827DD">
        <w:t>S</w:t>
      </w:r>
      <w:r w:rsidRPr="000C2404">
        <w:t>tage 2, and 25 (89.3%) completed.</w:t>
      </w:r>
    </w:p>
    <w:p w14:paraId="2270BDD5" w14:textId="628C5246" w:rsidR="00716A19" w:rsidRPr="000C2404" w:rsidRDefault="00716A19" w:rsidP="000C2404">
      <w:r w:rsidRPr="000C2404">
        <w:t xml:space="preserve">The </w:t>
      </w:r>
      <w:r w:rsidR="00F80410">
        <w:t>ef</w:t>
      </w:r>
      <w:r w:rsidRPr="000C2404">
        <w:t xml:space="preserve">ficacy </w:t>
      </w:r>
      <w:r w:rsidR="00F80410">
        <w:t>e</w:t>
      </w:r>
      <w:r w:rsidRPr="000C2404">
        <w:t xml:space="preserve">valuable population consisted of all 61 subjects who received </w:t>
      </w:r>
      <w:r w:rsidR="009C0874">
        <w:t>subcutaneous immunoglobulin</w:t>
      </w:r>
      <w:r w:rsidRPr="000C2404">
        <w:t xml:space="preserve"> 20%. There were more males (68.9%, 42</w:t>
      </w:r>
      <w:r w:rsidR="00D27291">
        <w:t xml:space="preserve"> out of </w:t>
      </w:r>
      <w:r w:rsidRPr="000C2404">
        <w:t>61) than females (31.1%, 19</w:t>
      </w:r>
      <w:r w:rsidR="009C0874">
        <w:t xml:space="preserve"> out of </w:t>
      </w:r>
      <w:r w:rsidRPr="000C2404">
        <w:t xml:space="preserve">61) in this population. </w:t>
      </w:r>
      <w:proofErr w:type="gramStart"/>
      <w:r w:rsidRPr="000C2404">
        <w:t>The majority of</w:t>
      </w:r>
      <w:proofErr w:type="gramEnd"/>
      <w:r w:rsidRPr="000C2404">
        <w:t xml:space="preserve"> subjects were </w:t>
      </w:r>
      <w:r w:rsidR="00E85072">
        <w:t>W</w:t>
      </w:r>
      <w:r w:rsidRPr="000C2404">
        <w:t>hite (93.4%, 57</w:t>
      </w:r>
      <w:r w:rsidR="003A22DF">
        <w:t xml:space="preserve"> </w:t>
      </w:r>
      <w:r w:rsidR="009C0874">
        <w:t xml:space="preserve">out of </w:t>
      </w:r>
      <w:r w:rsidRPr="000C2404">
        <w:t xml:space="preserve">61). </w:t>
      </w:r>
      <w:r w:rsidR="00F80410">
        <w:t>Thirty</w:t>
      </w:r>
      <w:r w:rsidR="001E0E47">
        <w:noBreakHyphen/>
      </w:r>
      <w:r w:rsidR="00F80410">
        <w:t>two</w:t>
      </w:r>
      <w:r w:rsidRPr="000C2404">
        <w:t xml:space="preserve"> (52.5%) subjects were aged </w:t>
      </w:r>
      <w:r w:rsidR="009C0874">
        <w:t>greater than</w:t>
      </w:r>
      <w:r w:rsidRPr="000C2404">
        <w:t xml:space="preserve"> 16 years and 29 (47.5%) subjects were aged </w:t>
      </w:r>
      <w:r w:rsidR="005B1155">
        <w:t>less than or equal to</w:t>
      </w:r>
      <w:r w:rsidRPr="000C2404">
        <w:t xml:space="preserve"> 16 years. Of the 29 subjects aged </w:t>
      </w:r>
      <w:r w:rsidR="005B1155">
        <w:t>less than or equal to</w:t>
      </w:r>
      <w:r w:rsidRPr="000C2404">
        <w:t xml:space="preserve"> 16</w:t>
      </w:r>
      <w:r w:rsidR="001E0E47">
        <w:t> </w:t>
      </w:r>
      <w:r w:rsidRPr="000C2404">
        <w:t xml:space="preserve">years, </w:t>
      </w:r>
      <w:r w:rsidR="00F80410">
        <w:t>five</w:t>
      </w:r>
      <w:r w:rsidRPr="000C2404">
        <w:t xml:space="preserve"> (</w:t>
      </w:r>
      <w:r w:rsidR="003A22DF">
        <w:t>5</w:t>
      </w:r>
      <w:r w:rsidR="005B1155">
        <w:t xml:space="preserve"> out of </w:t>
      </w:r>
      <w:r w:rsidRPr="000C2404">
        <w:t>61, 8.2%) were aged</w:t>
      </w:r>
      <w:r w:rsidR="005B1155">
        <w:t xml:space="preserve"> less than or equal to</w:t>
      </w:r>
      <w:r w:rsidR="002827DD">
        <w:t xml:space="preserve"> 2</w:t>
      </w:r>
      <w:r w:rsidRPr="000C2404">
        <w:t xml:space="preserve"> to </w:t>
      </w:r>
      <w:r w:rsidR="005B1155">
        <w:t>less than or equal to</w:t>
      </w:r>
      <w:r w:rsidRPr="000C2404">
        <w:t xml:space="preserve"> </w:t>
      </w:r>
      <w:r w:rsidR="002827DD">
        <w:t>5</w:t>
      </w:r>
      <w:r w:rsidR="001E0E47">
        <w:t> </w:t>
      </w:r>
      <w:r w:rsidRPr="000C2404">
        <w:t>years, 14 (14</w:t>
      </w:r>
      <w:r w:rsidR="00D27291">
        <w:t xml:space="preserve"> out of </w:t>
      </w:r>
      <w:r w:rsidRPr="000C2404">
        <w:t xml:space="preserve">61, 23.0%) were aged </w:t>
      </w:r>
      <w:r w:rsidR="005B1155">
        <w:t xml:space="preserve">greater than </w:t>
      </w:r>
      <w:r w:rsidR="002827DD">
        <w:t>5</w:t>
      </w:r>
      <w:r w:rsidRPr="000C2404">
        <w:t xml:space="preserve"> to </w:t>
      </w:r>
      <w:r w:rsidR="005B1155">
        <w:t>less than or equal to</w:t>
      </w:r>
      <w:r w:rsidRPr="000C2404">
        <w:t xml:space="preserve"> 12</w:t>
      </w:r>
      <w:r w:rsidR="001E0E47">
        <w:t> </w:t>
      </w:r>
      <w:r w:rsidRPr="000C2404">
        <w:t>years, and 10 (10</w:t>
      </w:r>
      <w:r w:rsidR="005B1155">
        <w:t xml:space="preserve"> out of </w:t>
      </w:r>
      <w:r w:rsidRPr="000C2404">
        <w:t xml:space="preserve">61, 16.4%) were aged </w:t>
      </w:r>
      <w:r w:rsidR="005B1155">
        <w:t xml:space="preserve">greater than </w:t>
      </w:r>
      <w:r w:rsidRPr="000C2404">
        <w:t>12 to 16 years.</w:t>
      </w:r>
    </w:p>
    <w:p w14:paraId="5A2F696C" w14:textId="35FB63B5" w:rsidR="00716A19" w:rsidRPr="000C2404" w:rsidRDefault="00716A19" w:rsidP="000C2404">
      <w:r w:rsidRPr="000C2404">
        <w:t xml:space="preserve">The mean (SD) time since diagnosis of PID in the </w:t>
      </w:r>
      <w:r w:rsidR="00F80410">
        <w:t>e</w:t>
      </w:r>
      <w:r w:rsidRPr="000C2404">
        <w:t xml:space="preserve">fficacy </w:t>
      </w:r>
      <w:r w:rsidR="00F80410">
        <w:t>e</w:t>
      </w:r>
      <w:r w:rsidRPr="000C2404">
        <w:t>valuable population (61</w:t>
      </w:r>
      <w:r w:rsidR="003A22DF">
        <w:t> </w:t>
      </w:r>
      <w:r w:rsidRPr="000C2404">
        <w:t xml:space="preserve">subjects) was 8.99 (7.899) years (range: 0.3, 38.9 years). The most common type of PID diagnosed at study entry </w:t>
      </w:r>
      <w:r w:rsidRPr="00E45A69">
        <w:t xml:space="preserve">was </w:t>
      </w:r>
      <w:r w:rsidR="001E0E47">
        <w:t>c</w:t>
      </w:r>
      <w:r w:rsidR="001E0E47" w:rsidRPr="001E0E47">
        <w:t>ommon variable immunodeficiency</w:t>
      </w:r>
      <w:r w:rsidR="001E0E47">
        <w:t xml:space="preserve"> (</w:t>
      </w:r>
      <w:r w:rsidRPr="00E85072">
        <w:t>CVID</w:t>
      </w:r>
      <w:r w:rsidR="001E0E47">
        <w:t>)</w:t>
      </w:r>
      <w:r w:rsidRPr="000C2404">
        <w:t xml:space="preserve"> (39</w:t>
      </w:r>
      <w:r w:rsidR="005B1155">
        <w:t xml:space="preserve"> out of </w:t>
      </w:r>
      <w:r w:rsidRPr="000C2404">
        <w:t xml:space="preserve">61, 63.9%), followed by X-linked </w:t>
      </w:r>
      <w:proofErr w:type="spellStart"/>
      <w:r w:rsidRPr="000C2404">
        <w:t>agammaglobulinaemia</w:t>
      </w:r>
      <w:proofErr w:type="spellEnd"/>
      <w:r w:rsidRPr="000C2404">
        <w:t xml:space="preserve"> (13</w:t>
      </w:r>
      <w:r w:rsidR="005B1155">
        <w:t xml:space="preserve"> out of </w:t>
      </w:r>
      <w:r w:rsidRPr="000C2404">
        <w:t xml:space="preserve">61, 21.3%), primary </w:t>
      </w:r>
      <w:proofErr w:type="spellStart"/>
      <w:r w:rsidRPr="000C2404">
        <w:t>hypogammaglobulinaemia</w:t>
      </w:r>
      <w:proofErr w:type="spellEnd"/>
      <w:r w:rsidRPr="000C2404">
        <w:t xml:space="preserve"> (</w:t>
      </w:r>
      <w:r w:rsidR="003A22DF">
        <w:t xml:space="preserve">8 </w:t>
      </w:r>
      <w:r w:rsidR="005B1155">
        <w:t xml:space="preserve">out of </w:t>
      </w:r>
      <w:r w:rsidRPr="000C2404">
        <w:t xml:space="preserve">61, 13.1%), and hyper </w:t>
      </w:r>
      <w:r w:rsidR="005B1155">
        <w:t xml:space="preserve">immunoglobulin </w:t>
      </w:r>
      <w:r w:rsidRPr="000C2404">
        <w:t>M immunodeficiency syndrome (</w:t>
      </w:r>
      <w:r w:rsidR="001332D4">
        <w:t>1</w:t>
      </w:r>
      <w:r w:rsidR="005B1155">
        <w:t xml:space="preserve"> out of </w:t>
      </w:r>
      <w:r w:rsidRPr="000C2404">
        <w:t>61, 1.6%).</w:t>
      </w:r>
    </w:p>
    <w:p w14:paraId="67EC344A" w14:textId="30F6EF59" w:rsidR="00716A19" w:rsidRPr="000C2404" w:rsidRDefault="005B1155" w:rsidP="000C2404">
      <w:r>
        <w:t>Intravenous immunoglobulin</w:t>
      </w:r>
      <w:r w:rsidR="00F80410" w:rsidRPr="000C2404">
        <w:t xml:space="preserve"> treatment </w:t>
      </w:r>
      <w:r w:rsidR="00F80410">
        <w:t xml:space="preserve">was being received by </w:t>
      </w:r>
      <w:r w:rsidR="00716A19" w:rsidRPr="000C2404">
        <w:t>65.6% (40</w:t>
      </w:r>
      <w:r>
        <w:t xml:space="preserve"> out of </w:t>
      </w:r>
      <w:r w:rsidR="00716A19" w:rsidRPr="000C2404">
        <w:t>61) of subjects and 36.1% (22</w:t>
      </w:r>
      <w:r>
        <w:t xml:space="preserve"> out of </w:t>
      </w:r>
      <w:r w:rsidR="00716A19" w:rsidRPr="000C2404">
        <w:t xml:space="preserve">61) were receiving </w:t>
      </w:r>
      <w:r>
        <w:t>subcutaneous</w:t>
      </w:r>
      <w:r w:rsidR="00716A19" w:rsidRPr="000C2404">
        <w:t xml:space="preserve"> treatment. The most </w:t>
      </w:r>
      <w:r w:rsidR="00716A19" w:rsidRPr="000C2404">
        <w:lastRenderedPageBreak/>
        <w:t xml:space="preserve">common frequency of </w:t>
      </w:r>
      <w:r>
        <w:t xml:space="preserve">immunoglobulin </w:t>
      </w:r>
      <w:r w:rsidR="00716A19" w:rsidRPr="000C2404">
        <w:t xml:space="preserve">G treatment for the previous 12 months was every </w:t>
      </w:r>
      <w:r w:rsidR="00F80410">
        <w:t>four</w:t>
      </w:r>
      <w:r w:rsidR="00716A19" w:rsidRPr="000C2404">
        <w:t xml:space="preserve"> weeks (23 subjects, 37.7%).</w:t>
      </w:r>
    </w:p>
    <w:p w14:paraId="6B9EF5D6" w14:textId="108F9180" w:rsidR="00716A19" w:rsidRPr="000C2404" w:rsidRDefault="00716A19" w:rsidP="000C2404">
      <w:r w:rsidRPr="000C2404">
        <w:t xml:space="preserve">Total duration of exposure across all subjects was 15.06 years for </w:t>
      </w:r>
      <w:r w:rsidR="005B1155">
        <w:t>subcutaneous immunoglobulin</w:t>
      </w:r>
      <w:r w:rsidRPr="000C2404">
        <w:t xml:space="preserve"> 20% </w:t>
      </w:r>
      <w:r w:rsidR="003F72E7">
        <w:t>t</w:t>
      </w:r>
      <w:r w:rsidRPr="000C2404">
        <w:t xml:space="preserve">reatment </w:t>
      </w:r>
      <w:r w:rsidR="001332D4">
        <w:t>S</w:t>
      </w:r>
      <w:r w:rsidRPr="000C2404">
        <w:t xml:space="preserve">tage 1, 43.35 years for </w:t>
      </w:r>
      <w:r w:rsidR="005B1155">
        <w:t>subcutaneous immunoglobulin</w:t>
      </w:r>
      <w:r w:rsidRPr="000C2404">
        <w:t xml:space="preserve"> 20% </w:t>
      </w:r>
      <w:r w:rsidR="003F72E7">
        <w:t>t</w:t>
      </w:r>
      <w:r w:rsidRPr="000C2404">
        <w:t xml:space="preserve">reatment </w:t>
      </w:r>
      <w:r w:rsidR="001332D4">
        <w:t>S</w:t>
      </w:r>
      <w:r w:rsidRPr="000C2404">
        <w:t xml:space="preserve">tage 2, and 58.40 years for the overall </w:t>
      </w:r>
      <w:r w:rsidR="005B1155">
        <w:t>subcutaneous</w:t>
      </w:r>
      <w:r w:rsidRPr="000C2404">
        <w:t xml:space="preserve"> phase (</w:t>
      </w:r>
      <w:r w:rsidR="003F72E7">
        <w:t>t</w:t>
      </w:r>
      <w:r w:rsidRPr="000C2404">
        <w:t xml:space="preserve">reatment </w:t>
      </w:r>
      <w:r w:rsidR="00E45A69">
        <w:t>S</w:t>
      </w:r>
      <w:r w:rsidRPr="000C2404">
        <w:t xml:space="preserve">tages 1 plus 2). The overall mean annualised </w:t>
      </w:r>
      <w:r w:rsidR="001E0E47">
        <w:t>serious bacterial infection</w:t>
      </w:r>
      <w:r w:rsidR="001E0E47" w:rsidRPr="000C2404">
        <w:t xml:space="preserve"> </w:t>
      </w:r>
      <w:r w:rsidRPr="000C2404">
        <w:t xml:space="preserve">rate was 0.016 during the entire </w:t>
      </w:r>
      <w:r w:rsidR="005B1155">
        <w:t>subcutaneous immunoglobulin</w:t>
      </w:r>
      <w:r w:rsidRPr="000C2404">
        <w:t xml:space="preserve"> 20% </w:t>
      </w:r>
      <w:r w:rsidR="005B1155">
        <w:t>subcutaneous</w:t>
      </w:r>
      <w:r w:rsidRPr="000C2404">
        <w:t xml:space="preserve"> phase (0</w:t>
      </w:r>
      <w:r w:rsidR="005B1155">
        <w:t xml:space="preserve"> </w:t>
      </w:r>
      <w:r w:rsidRPr="000C2404">
        <w:t xml:space="preserve">in </w:t>
      </w:r>
      <w:r w:rsidR="003F72E7">
        <w:t>t</w:t>
      </w:r>
      <w:r w:rsidRPr="000C2404">
        <w:t xml:space="preserve">reatment </w:t>
      </w:r>
      <w:r w:rsidR="00E45A69">
        <w:t>S</w:t>
      </w:r>
      <w:r w:rsidRPr="000C2404">
        <w:t xml:space="preserve">tage 1, 0.022 in </w:t>
      </w:r>
      <w:r w:rsidR="003F72E7">
        <w:t>t</w:t>
      </w:r>
      <w:r w:rsidRPr="000C2404">
        <w:t xml:space="preserve">reatment </w:t>
      </w:r>
      <w:r w:rsidR="00E45A69">
        <w:t>S</w:t>
      </w:r>
      <w:r w:rsidRPr="000C2404">
        <w:t xml:space="preserve">tage 2). The overall rate of </w:t>
      </w:r>
      <w:r w:rsidR="001E0E47">
        <w:t>serious bacterial infection</w:t>
      </w:r>
      <w:r w:rsidR="001E0E47" w:rsidRPr="000C2404">
        <w:t xml:space="preserve"> </w:t>
      </w:r>
      <w:r w:rsidRPr="000C2404">
        <w:t xml:space="preserve">per person per year in the </w:t>
      </w:r>
      <w:r w:rsidR="005B1155">
        <w:t>subcutaneous</w:t>
      </w:r>
      <w:r w:rsidRPr="000C2404">
        <w:t xml:space="preserve"> phase was 0.017 (</w:t>
      </w:r>
      <w:proofErr w:type="gramStart"/>
      <w:r w:rsidR="005B1155">
        <w:t xml:space="preserve">two </w:t>
      </w:r>
      <w:r w:rsidRPr="000C2404">
        <w:t>sided</w:t>
      </w:r>
      <w:proofErr w:type="gramEnd"/>
      <w:r w:rsidRPr="000C2404">
        <w:t xml:space="preserve"> 98% CI: 0.006, 0.036); (0 in </w:t>
      </w:r>
      <w:r w:rsidR="003F72E7">
        <w:t>t</w:t>
      </w:r>
      <w:r w:rsidRPr="000C2404">
        <w:t xml:space="preserve">reatment </w:t>
      </w:r>
      <w:r w:rsidR="001332D4">
        <w:t>S</w:t>
      </w:r>
      <w:r w:rsidRPr="000C2404">
        <w:t xml:space="preserve">tage 1; 0.023 </w:t>
      </w:r>
      <w:r w:rsidR="005B1155">
        <w:t xml:space="preserve">(two </w:t>
      </w:r>
      <w:r w:rsidRPr="000C2404">
        <w:t>sided 98% CI: 0.008, 0.049</w:t>
      </w:r>
      <w:r w:rsidR="005B1155">
        <w:t>)</w:t>
      </w:r>
      <w:r w:rsidRPr="000C2404">
        <w:t xml:space="preserve"> in </w:t>
      </w:r>
      <w:r w:rsidR="003F72E7">
        <w:t>t</w:t>
      </w:r>
      <w:r w:rsidRPr="000C2404">
        <w:t xml:space="preserve">reatment </w:t>
      </w:r>
      <w:r w:rsidR="001332D4">
        <w:t>S</w:t>
      </w:r>
      <w:r w:rsidRPr="000C2404">
        <w:t>tage 2).</w:t>
      </w:r>
    </w:p>
    <w:p w14:paraId="4C4A15B7" w14:textId="6148C397" w:rsidR="00716A19" w:rsidRPr="003F72E7" w:rsidRDefault="009C353F" w:rsidP="009C353F">
      <w:pPr>
        <w:pStyle w:val="TableTitle"/>
      </w:pPr>
      <w:bookmarkStart w:id="47" w:name="_Toc88033268"/>
      <w:r>
        <w:t xml:space="preserve">Table </w:t>
      </w:r>
      <w:fldSimple w:instr=" SEQ Table \* ARABIC ">
        <w:r>
          <w:rPr>
            <w:noProof/>
          </w:rPr>
          <w:t>7</w:t>
        </w:r>
      </w:fldSimple>
      <w:r w:rsidR="003F72E7">
        <w:t xml:space="preserve">: </w:t>
      </w:r>
      <w:r w:rsidR="00575FEC">
        <w:t xml:space="preserve">Study GTI1503 </w:t>
      </w:r>
      <w:r w:rsidR="00716A19" w:rsidRPr="003F72E7">
        <w:t>Summary of serious bacterial infections</w:t>
      </w:r>
      <w:r w:rsidR="00575FEC">
        <w:t xml:space="preserve"> (</w:t>
      </w:r>
      <w:r w:rsidR="00716A19" w:rsidRPr="003F72E7">
        <w:t>efficacy evaluable population</w:t>
      </w:r>
      <w:r w:rsidR="00575FEC">
        <w:t>)</w:t>
      </w:r>
      <w:bookmarkEnd w:id="47"/>
    </w:p>
    <w:p w14:paraId="512FFACD" w14:textId="62AEE77A" w:rsidR="00716A19" w:rsidRDefault="00716A19" w:rsidP="003F72E7">
      <w:pPr>
        <w:keepNext/>
        <w:autoSpaceDE w:val="0"/>
        <w:autoSpaceDN w:val="0"/>
        <w:adjustRightInd w:val="0"/>
        <w:spacing w:before="0" w:after="0" w:line="240" w:lineRule="auto"/>
        <w:rPr>
          <w:rFonts w:ascii="Times New Roman" w:eastAsiaTheme="minorHAnsi" w:hAnsi="Times New Roman"/>
          <w:sz w:val="24"/>
          <w:szCs w:val="24"/>
        </w:rPr>
      </w:pPr>
      <w:r w:rsidRPr="00B52CB7">
        <w:rPr>
          <w:rFonts w:ascii="Times New Roman" w:eastAsiaTheme="minorHAnsi" w:hAnsi="Times New Roman"/>
          <w:noProof/>
          <w:sz w:val="24"/>
          <w:szCs w:val="24"/>
          <w:lang w:val="en-GB" w:eastAsia="en-GB"/>
        </w:rPr>
        <w:drawing>
          <wp:inline distT="0" distB="0" distL="0" distR="0" wp14:anchorId="03BDBA4A" wp14:editId="545E1E16">
            <wp:extent cx="5410200" cy="2515235"/>
            <wp:effectExtent l="0" t="0" r="0" b="0"/>
            <wp:docPr id="76" name="Picture 76" descr="Table 7: Summary of serious bacterial infections, efficacy evaluabl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Table 7: Summary of serious bacterial infections, efficacy evaluable popula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1280" cy="2515737"/>
                    </a:xfrm>
                    <a:prstGeom prst="rect">
                      <a:avLst/>
                    </a:prstGeom>
                    <a:noFill/>
                    <a:ln>
                      <a:noFill/>
                    </a:ln>
                  </pic:spPr>
                </pic:pic>
              </a:graphicData>
            </a:graphic>
          </wp:inline>
        </w:drawing>
      </w:r>
    </w:p>
    <w:p w14:paraId="6AF3133A" w14:textId="3A0028EB" w:rsidR="00575FEC" w:rsidRPr="004F0AA5" w:rsidRDefault="00575FEC" w:rsidP="004F0AA5">
      <w:pPr>
        <w:pStyle w:val="TableDescription"/>
      </w:pPr>
      <w:r>
        <w:t xml:space="preserve">Abbreviations: CI = confidence interval; IGSC 20% = </w:t>
      </w:r>
      <w:r w:rsidRPr="00575FEC">
        <w:t>immunoglobulin for subcutaneous administration</w:t>
      </w:r>
      <w:r>
        <w:t xml:space="preserve"> 20%; IV = intravenous; max = maximum; min = minimum; n = number of subjects; NA = not applicable; SD = standard deviation.</w:t>
      </w:r>
    </w:p>
    <w:p w14:paraId="21EA41D5" w14:textId="7BEE0EF2" w:rsidR="00716A19" w:rsidRPr="005B1155" w:rsidRDefault="00AF5A39" w:rsidP="005B1155">
      <w:pPr>
        <w:pStyle w:val="TableDescription"/>
      </w:pPr>
      <w:r w:rsidRPr="005B1155">
        <w:t xml:space="preserve">a. </w:t>
      </w:r>
      <w:r w:rsidR="00716A19" w:rsidRPr="005B1155">
        <w:t>Annualised rate of events is calculated for each individual subject as the number of events divided by the duration of exposure in years for the subject.</w:t>
      </w:r>
    </w:p>
    <w:p w14:paraId="32EC44EC" w14:textId="35984963" w:rsidR="00716A19" w:rsidRPr="005B1155" w:rsidRDefault="00AF5A39" w:rsidP="005B1155">
      <w:pPr>
        <w:pStyle w:val="TableDescription"/>
      </w:pPr>
      <w:r w:rsidRPr="005B1155">
        <w:t xml:space="preserve">b. </w:t>
      </w:r>
      <w:r w:rsidR="00716A19" w:rsidRPr="005B1155">
        <w:t>Rate of events per person per year is calculated as the total number of events divided by the total duration of exposure in years across all subjects.</w:t>
      </w:r>
    </w:p>
    <w:p w14:paraId="2D1CE295" w14:textId="44CEDC43" w:rsidR="00716A19" w:rsidRPr="005B1155" w:rsidRDefault="00AF5A39" w:rsidP="00D27291">
      <w:pPr>
        <w:pStyle w:val="TableDescription"/>
      </w:pPr>
      <w:r w:rsidRPr="005B1155">
        <w:t xml:space="preserve">c. </w:t>
      </w:r>
      <w:proofErr w:type="gramStart"/>
      <w:r w:rsidR="005B1155">
        <w:t xml:space="preserve">Two </w:t>
      </w:r>
      <w:r w:rsidR="00716A19" w:rsidRPr="005B1155">
        <w:t>sided</w:t>
      </w:r>
      <w:proofErr w:type="gramEnd"/>
      <w:r w:rsidR="00716A19" w:rsidRPr="005B1155">
        <w:t xml:space="preserve"> 98% CI is determined from a generalised linear model for Poisson regression for the log transformed duration of exposure in years as an offset variable.</w:t>
      </w:r>
    </w:p>
    <w:p w14:paraId="482D4798" w14:textId="56286F55" w:rsidR="00716A19" w:rsidRPr="000C2404" w:rsidRDefault="00716A19" w:rsidP="000C2404">
      <w:r w:rsidRPr="000C2404">
        <w:t xml:space="preserve">The </w:t>
      </w:r>
      <w:r w:rsidR="00D27291">
        <w:t>one</w:t>
      </w:r>
      <w:r w:rsidR="00575FEC">
        <w:noBreakHyphen/>
      </w:r>
      <w:r w:rsidRPr="000C2404">
        <w:t>sided 99% upper confidence limit</w:t>
      </w:r>
      <w:r w:rsidR="00575FEC">
        <w:t xml:space="preserve"> </w:t>
      </w:r>
      <w:r w:rsidRPr="000C2404">
        <w:t xml:space="preserve">of the </w:t>
      </w:r>
      <w:r w:rsidR="00575FEC">
        <w:t xml:space="preserve">serious bacterial infection </w:t>
      </w:r>
      <w:r w:rsidRPr="000C2404">
        <w:t xml:space="preserve">rate per person per year was less than </w:t>
      </w:r>
      <w:r w:rsidR="003F72E7">
        <w:t>one</w:t>
      </w:r>
      <w:r w:rsidRPr="000C2404">
        <w:t xml:space="preserve"> and the primary efficacy endpoint was met.</w:t>
      </w:r>
    </w:p>
    <w:p w14:paraId="0C20676A" w14:textId="7685E746" w:rsidR="00716A19" w:rsidRPr="000C2404" w:rsidRDefault="00716A19" w:rsidP="000C2404">
      <w:r w:rsidRPr="000C2404">
        <w:t xml:space="preserve">There was only </w:t>
      </w:r>
      <w:r w:rsidR="003F72E7">
        <w:t>one</w:t>
      </w:r>
      <w:r w:rsidRPr="000C2404">
        <w:t xml:space="preserve"> subject in the </w:t>
      </w:r>
      <w:r w:rsidR="003F72E7">
        <w:t>e</w:t>
      </w:r>
      <w:r w:rsidRPr="000C2404">
        <w:t xml:space="preserve">fficacy </w:t>
      </w:r>
      <w:r w:rsidR="003F72E7">
        <w:t>e</w:t>
      </w:r>
      <w:r w:rsidRPr="000C2404">
        <w:t xml:space="preserve">valuable population with at least </w:t>
      </w:r>
      <w:r w:rsidR="003F72E7">
        <w:t>one</w:t>
      </w:r>
      <w:r w:rsidRPr="000C2404">
        <w:t xml:space="preserve"> </w:t>
      </w:r>
      <w:r w:rsidR="00575FEC">
        <w:t>serious bacterial infectio</w:t>
      </w:r>
      <w:r w:rsidR="00744A82">
        <w:t>n</w:t>
      </w:r>
      <w:r w:rsidRPr="000C2404">
        <w:t xml:space="preserve">. This event was diagnosed as pneumonia in </w:t>
      </w:r>
      <w:r w:rsidR="005B1155">
        <w:t>subcutaneous immunoglobulin</w:t>
      </w:r>
      <w:r w:rsidRPr="000C2404">
        <w:t xml:space="preserve"> 20% </w:t>
      </w:r>
      <w:r w:rsidR="003F72E7">
        <w:t>t</w:t>
      </w:r>
      <w:r w:rsidRPr="000C2404">
        <w:t xml:space="preserve">reatment </w:t>
      </w:r>
      <w:r w:rsidR="001332D4">
        <w:t>S</w:t>
      </w:r>
      <w:r w:rsidRPr="000C2404">
        <w:t xml:space="preserve">tage 2 in a subject aged </w:t>
      </w:r>
      <w:r w:rsidR="005B1155">
        <w:t>less than or equal to</w:t>
      </w:r>
      <w:r w:rsidRPr="000C2404">
        <w:t xml:space="preserve"> 16 years. The </w:t>
      </w:r>
      <w:r w:rsidR="00575FEC">
        <w:t xml:space="preserve">serious bacterial infection </w:t>
      </w:r>
      <w:r w:rsidRPr="000C2404">
        <w:t xml:space="preserve">of pneumonia was reported as a </w:t>
      </w:r>
      <w:r w:rsidR="00575FEC">
        <w:t>serious adverse event</w:t>
      </w:r>
      <w:r w:rsidR="00575FEC" w:rsidRPr="000C2404">
        <w:t xml:space="preserve"> </w:t>
      </w:r>
      <w:r w:rsidRPr="000C2404">
        <w:t xml:space="preserve">not considered by the investigator to be related to the study drug. The event occurred in </w:t>
      </w:r>
      <w:proofErr w:type="gramStart"/>
      <w:r w:rsidRPr="000C2404">
        <w:t>10</w:t>
      </w:r>
      <w:r w:rsidR="00575FEC">
        <w:t> </w:t>
      </w:r>
      <w:r w:rsidRPr="000C2404">
        <w:t>year old</w:t>
      </w:r>
      <w:proofErr w:type="gramEnd"/>
      <w:r w:rsidRPr="000C2404">
        <w:t xml:space="preserve"> male and was reported 241 days after the start of the infusion. The subject was treated with oral amoxicillin/clavulanic acid </w:t>
      </w:r>
      <w:r w:rsidR="00575FEC">
        <w:t xml:space="preserve">(co-amoxiclav) </w:t>
      </w:r>
      <w:r w:rsidRPr="000C2404">
        <w:t xml:space="preserve">as an outpatient and the event resolved after </w:t>
      </w:r>
      <w:r w:rsidR="003F72E7">
        <w:t>four</w:t>
      </w:r>
      <w:r w:rsidRPr="000C2404">
        <w:t xml:space="preserve"> days treatment. The event was reported as </w:t>
      </w:r>
      <w:proofErr w:type="gramStart"/>
      <w:r w:rsidRPr="000C2404">
        <w:t>an</w:t>
      </w:r>
      <w:proofErr w:type="gramEnd"/>
      <w:r w:rsidRPr="000C2404">
        <w:t xml:space="preserve"> </w:t>
      </w:r>
      <w:r w:rsidR="00575FEC">
        <w:t>serious adverse event</w:t>
      </w:r>
      <w:r w:rsidR="00575FEC" w:rsidRPr="000C2404">
        <w:t xml:space="preserve"> </w:t>
      </w:r>
      <w:r w:rsidRPr="000C2404">
        <w:t xml:space="preserve">and was not considered by the investigator to be related to study drug. There were no </w:t>
      </w:r>
      <w:r w:rsidR="00575FEC">
        <w:t xml:space="preserve">serious bacterial infections </w:t>
      </w:r>
      <w:r w:rsidRPr="000C2404">
        <w:t xml:space="preserve">reported in the </w:t>
      </w:r>
      <w:r w:rsidR="005B1155">
        <w:t xml:space="preserve">greater than </w:t>
      </w:r>
      <w:r w:rsidRPr="000C2404">
        <w:t xml:space="preserve">16 years age group, and there were no </w:t>
      </w:r>
      <w:r w:rsidR="00575FEC">
        <w:t xml:space="preserve">serious bacterial infection </w:t>
      </w:r>
      <w:r w:rsidRPr="000C2404">
        <w:t xml:space="preserve">events in </w:t>
      </w:r>
      <w:r w:rsidR="005B1155">
        <w:t>subcutaneous immunoglobulin</w:t>
      </w:r>
      <w:r w:rsidRPr="000C2404">
        <w:t xml:space="preserve"> 20% </w:t>
      </w:r>
      <w:r w:rsidR="003F72E7">
        <w:t>t</w:t>
      </w:r>
      <w:r w:rsidRPr="000C2404">
        <w:t xml:space="preserve">reatment </w:t>
      </w:r>
      <w:r w:rsidR="001332D4">
        <w:t>S</w:t>
      </w:r>
      <w:r w:rsidRPr="000C2404">
        <w:t>tage 1.</w:t>
      </w:r>
    </w:p>
    <w:p w14:paraId="522C1523" w14:textId="291BCF2E" w:rsidR="00716A19" w:rsidRPr="000C2404" w:rsidRDefault="00716A19" w:rsidP="000C2404">
      <w:r w:rsidRPr="000C2404">
        <w:lastRenderedPageBreak/>
        <w:t xml:space="preserve">Across age categories, in the </w:t>
      </w:r>
      <w:r w:rsidR="005B1155">
        <w:t xml:space="preserve">less than or equal to </w:t>
      </w:r>
      <w:r w:rsidRPr="000C2404">
        <w:t xml:space="preserve">16 years age group the rate of </w:t>
      </w:r>
      <w:r w:rsidR="00575FEC">
        <w:t xml:space="preserve">serious bacterial infection </w:t>
      </w:r>
      <w:r w:rsidRPr="000C2404">
        <w:t>per person per year was 0.037 (</w:t>
      </w:r>
      <w:r w:rsidR="005B1155">
        <w:t>two</w:t>
      </w:r>
      <w:r w:rsidR="00575FEC">
        <w:noBreakHyphen/>
      </w:r>
      <w:r w:rsidRPr="000C2404">
        <w:t xml:space="preserve">sided 98% CI: 0.009, 0.096). In the </w:t>
      </w:r>
      <w:r w:rsidR="005B1155">
        <w:t xml:space="preserve">greater than </w:t>
      </w:r>
      <w:r w:rsidRPr="000C2404">
        <w:t xml:space="preserve">16 years age group, the rate of </w:t>
      </w:r>
      <w:r w:rsidR="00575FEC">
        <w:t xml:space="preserve">serious bacterial infection </w:t>
      </w:r>
      <w:r w:rsidRPr="000C2404">
        <w:t xml:space="preserve">per person per year was </w:t>
      </w:r>
      <w:r w:rsidR="00575FEC">
        <w:t>zero</w:t>
      </w:r>
      <w:r w:rsidRPr="000C2404">
        <w:t>.</w:t>
      </w:r>
    </w:p>
    <w:p w14:paraId="0033D26F" w14:textId="32758ABE" w:rsidR="00716A19" w:rsidRPr="000C2404" w:rsidRDefault="00716A19" w:rsidP="000C2404">
      <w:r w:rsidRPr="00110D47">
        <w:t>For</w:t>
      </w:r>
      <w:r w:rsidRPr="000C2404">
        <w:t xml:space="preserve"> other efficacy outcomes, infections of any kind, in the total </w:t>
      </w:r>
      <w:r w:rsidR="0016612A">
        <w:t>e</w:t>
      </w:r>
      <w:r w:rsidRPr="000C2404">
        <w:t xml:space="preserve">fficacy </w:t>
      </w:r>
      <w:r w:rsidR="0016612A">
        <w:t>e</w:t>
      </w:r>
      <w:r w:rsidRPr="000C2404">
        <w:t>valuable population 73.8% (45</w:t>
      </w:r>
      <w:r w:rsidR="00D27291">
        <w:t xml:space="preserve"> out of </w:t>
      </w:r>
      <w:r w:rsidRPr="000C2404">
        <w:t xml:space="preserve">61) of subjects experienced at least </w:t>
      </w:r>
      <w:r w:rsidR="0016612A">
        <w:t>one</w:t>
      </w:r>
      <w:r w:rsidRPr="000C2404">
        <w:t xml:space="preserve"> infection. The most frequent infections (incidence </w:t>
      </w:r>
      <w:r w:rsidR="00110D47">
        <w:t>greater than or equal to</w:t>
      </w:r>
      <w:r w:rsidRPr="000C2404">
        <w:t xml:space="preserve"> 10%) by </w:t>
      </w:r>
      <w:r w:rsidR="00E45A69">
        <w:t>P</w:t>
      </w:r>
      <w:r w:rsidRPr="000C2404">
        <w:t xml:space="preserve">referred </w:t>
      </w:r>
      <w:r w:rsidR="00E45A69">
        <w:t>T</w:t>
      </w:r>
      <w:r w:rsidRPr="000C2404">
        <w:t>erm were nasopharyngitis (19.7%, 12</w:t>
      </w:r>
      <w:r w:rsidR="00110D47">
        <w:t xml:space="preserve"> out of </w:t>
      </w:r>
      <w:r w:rsidRPr="000C2404">
        <w:t xml:space="preserve">61), upper respiratory tract infection (14.8%, </w:t>
      </w:r>
      <w:r w:rsidR="001332D4">
        <w:t>9</w:t>
      </w:r>
      <w:r w:rsidR="00110D47">
        <w:t xml:space="preserve"> out of </w:t>
      </w:r>
      <w:r w:rsidRPr="000C2404">
        <w:t xml:space="preserve">61), bronchitis (13.1%, </w:t>
      </w:r>
      <w:r w:rsidR="001332D4">
        <w:t>8</w:t>
      </w:r>
      <w:r w:rsidR="00110D47">
        <w:t xml:space="preserve"> out of </w:t>
      </w:r>
      <w:r w:rsidRPr="000C2404">
        <w:t xml:space="preserve">61), and sinusitis (11.5%, </w:t>
      </w:r>
      <w:r w:rsidR="001332D4">
        <w:t>7</w:t>
      </w:r>
      <w:r w:rsidR="00110D47">
        <w:t xml:space="preserve"> out of </w:t>
      </w:r>
      <w:r w:rsidRPr="000C2404">
        <w:t>61).</w:t>
      </w:r>
    </w:p>
    <w:p w14:paraId="5F1CA352" w14:textId="7A1BD404" w:rsidR="00716A19" w:rsidRPr="000C2404" w:rsidRDefault="00716A19" w:rsidP="000C2404">
      <w:r w:rsidRPr="000C2404">
        <w:t xml:space="preserve">The mean (SD) annualised infection rate in the total </w:t>
      </w:r>
      <w:r w:rsidR="0016612A">
        <w:t>e</w:t>
      </w:r>
      <w:r w:rsidRPr="000C2404">
        <w:t xml:space="preserve">fficacy </w:t>
      </w:r>
      <w:r w:rsidR="0016612A">
        <w:t>e</w:t>
      </w:r>
      <w:r w:rsidRPr="000C2404">
        <w:t>valuable population (n</w:t>
      </w:r>
      <w:r w:rsidR="00D27291">
        <w:t xml:space="preserve"> </w:t>
      </w:r>
      <w:r w:rsidRPr="000C2404">
        <w:t>=</w:t>
      </w:r>
      <w:r w:rsidR="00D27291">
        <w:t xml:space="preserve"> </w:t>
      </w:r>
      <w:r w:rsidRPr="000C2404">
        <w:t>61) was 2.327 (2.49), and the rate of all infections per person per year was 2.397 (</w:t>
      </w:r>
      <w:proofErr w:type="gramStart"/>
      <w:r w:rsidR="00D27291">
        <w:t xml:space="preserve">two </w:t>
      </w:r>
      <w:r w:rsidRPr="000C2404">
        <w:t>sided</w:t>
      </w:r>
      <w:proofErr w:type="gramEnd"/>
      <w:r w:rsidRPr="000C2404">
        <w:t xml:space="preserve"> 95% CI: 1.824, 3.079). The results were generally consistent across the age categories.</w:t>
      </w:r>
    </w:p>
    <w:p w14:paraId="68B26711" w14:textId="19ABE110" w:rsidR="00716A19" w:rsidRPr="000C2404" w:rsidRDefault="00716A19" w:rsidP="000C2404">
      <w:r w:rsidRPr="000C2404">
        <w:t xml:space="preserve">In the total </w:t>
      </w:r>
      <w:r w:rsidR="0016612A">
        <w:t>e</w:t>
      </w:r>
      <w:r w:rsidRPr="000C2404">
        <w:t xml:space="preserve">fficacy </w:t>
      </w:r>
      <w:r w:rsidR="0016612A">
        <w:t>e</w:t>
      </w:r>
      <w:r w:rsidRPr="000C2404">
        <w:t>valuable population (n</w:t>
      </w:r>
      <w:r w:rsidR="00D27291">
        <w:t xml:space="preserve"> </w:t>
      </w:r>
      <w:r w:rsidRPr="000C2404">
        <w:t>=</w:t>
      </w:r>
      <w:r w:rsidR="00D27291">
        <w:t xml:space="preserve"> </w:t>
      </w:r>
      <w:r w:rsidRPr="000C2404">
        <w:t xml:space="preserve">61), in the </w:t>
      </w:r>
      <w:r w:rsidR="00110D47">
        <w:t>subcutaneous immunoglobulin</w:t>
      </w:r>
      <w:r w:rsidRPr="000C2404">
        <w:t xml:space="preserve"> 20% </w:t>
      </w:r>
      <w:r w:rsidR="00110D47">
        <w:t xml:space="preserve">subcutaneous </w:t>
      </w:r>
      <w:r w:rsidRPr="000C2404">
        <w:t>phase the total number of days on prophylactic antibiotics overall was 2595 days, the mean (SD) annualised rate of days on prophylactic antibiotics was 42.665 (108.6821), and the rate of days per person per year on prophylactic antibiotics was 44.432 (</w:t>
      </w:r>
      <w:proofErr w:type="gramStart"/>
      <w:r w:rsidR="00D27291">
        <w:t xml:space="preserve">two </w:t>
      </w:r>
      <w:r w:rsidRPr="000C2404">
        <w:t>sided</w:t>
      </w:r>
      <w:proofErr w:type="gramEnd"/>
      <w:r w:rsidRPr="000C2404">
        <w:t xml:space="preserve"> 95% CI: 26.351, 69.339).</w:t>
      </w:r>
    </w:p>
    <w:p w14:paraId="1F28DD15" w14:textId="7AD8C4C8" w:rsidR="00716A19" w:rsidRPr="000C2404" w:rsidRDefault="00716A19" w:rsidP="000C2404">
      <w:r w:rsidRPr="000C2404">
        <w:t xml:space="preserve">In the total </w:t>
      </w:r>
      <w:r w:rsidR="0016612A">
        <w:t>e</w:t>
      </w:r>
      <w:r w:rsidRPr="000C2404">
        <w:t xml:space="preserve">fficacy </w:t>
      </w:r>
      <w:r w:rsidR="0016612A">
        <w:t>e</w:t>
      </w:r>
      <w:r w:rsidRPr="000C2404">
        <w:t>valuable population (n</w:t>
      </w:r>
      <w:r w:rsidR="005F0533">
        <w:t xml:space="preserve"> </w:t>
      </w:r>
      <w:r w:rsidRPr="000C2404">
        <w:t>=</w:t>
      </w:r>
      <w:r w:rsidR="005F0533">
        <w:t xml:space="preserve"> </w:t>
      </w:r>
      <w:r w:rsidRPr="000C2404">
        <w:t xml:space="preserve">61), in the </w:t>
      </w:r>
      <w:r w:rsidR="005F0533">
        <w:t>subcutaneous immunoglobulin</w:t>
      </w:r>
      <w:r w:rsidRPr="000C2404">
        <w:t xml:space="preserve"> 20%</w:t>
      </w:r>
      <w:r w:rsidR="005F0533">
        <w:t xml:space="preserve"> subcutaneous</w:t>
      </w:r>
      <w:r w:rsidRPr="000C2404">
        <w:t xml:space="preserve"> phase the total number of days on therapeutic antibiotics overall was 520 days, the mean (SD) annualised rate of days on therapeutic antibiotics was 8.607 (14.7527), and the rate of days per person per year on therapeutic antibiotics was 8.904 (</w:t>
      </w:r>
      <w:proofErr w:type="gramStart"/>
      <w:r w:rsidR="005F0533">
        <w:t>two s</w:t>
      </w:r>
      <w:r w:rsidRPr="000C2404">
        <w:t>ided</w:t>
      </w:r>
      <w:proofErr w:type="gramEnd"/>
      <w:r w:rsidRPr="000C2404">
        <w:t xml:space="preserve"> 95% CI: 5.949, 12.705).</w:t>
      </w:r>
    </w:p>
    <w:p w14:paraId="7DB6234D" w14:textId="483FFD49" w:rsidR="00716A19" w:rsidRPr="000C2404" w:rsidRDefault="00716A19" w:rsidP="000C2404">
      <w:r w:rsidRPr="000C2404">
        <w:t xml:space="preserve">There was </w:t>
      </w:r>
      <w:r w:rsidR="0016612A">
        <w:t>one</w:t>
      </w:r>
      <w:r w:rsidRPr="000C2404">
        <w:t xml:space="preserve"> event of hospitalisation due to infection in the overall population </w:t>
      </w:r>
      <w:r w:rsidR="005F0533">
        <w:t>subcutaneous immunoglobulin</w:t>
      </w:r>
      <w:r w:rsidRPr="000C2404">
        <w:t xml:space="preserve"> 20% during the </w:t>
      </w:r>
      <w:r w:rsidR="005F0533">
        <w:t>subcutaneous</w:t>
      </w:r>
      <w:r w:rsidRPr="000C2404">
        <w:t xml:space="preserve"> phase. The mean (SD) annualised rate of hospitalisations due to infections during the </w:t>
      </w:r>
      <w:r w:rsidR="005F0533">
        <w:t>subcutaneous immunoglobulin</w:t>
      </w:r>
      <w:r w:rsidRPr="000C2404">
        <w:t xml:space="preserve"> 20% </w:t>
      </w:r>
      <w:r w:rsidR="005F0533">
        <w:t>subcutaneous</w:t>
      </w:r>
      <w:r w:rsidRPr="000C2404">
        <w:t xml:space="preserve"> phase was 0.016 (0.1285), and the rate of hospitalisations due to infections per person per year was 0.017 (</w:t>
      </w:r>
      <w:proofErr w:type="gramStart"/>
      <w:r w:rsidR="005F0533">
        <w:t xml:space="preserve">two </w:t>
      </w:r>
      <w:r w:rsidRPr="000C2404">
        <w:t>sided</w:t>
      </w:r>
      <w:proofErr w:type="gramEnd"/>
      <w:r w:rsidRPr="000C2404">
        <w:t xml:space="preserve"> 95% CI: 0.008, 0.033). The one subject hospitalised due to infection was a </w:t>
      </w:r>
      <w:proofErr w:type="gramStart"/>
      <w:r w:rsidRPr="000C2404">
        <w:t>64</w:t>
      </w:r>
      <w:r w:rsidR="00575FEC">
        <w:t>-</w:t>
      </w:r>
      <w:r w:rsidRPr="000C2404">
        <w:t>year old</w:t>
      </w:r>
      <w:proofErr w:type="gramEnd"/>
      <w:r w:rsidRPr="000C2404">
        <w:t xml:space="preserve"> </w:t>
      </w:r>
      <w:r w:rsidR="00E85072">
        <w:t>W</w:t>
      </w:r>
      <w:r w:rsidRPr="000C2404">
        <w:t xml:space="preserve">hite male with a urinary tract infection. The urinary tract infection was reported as a </w:t>
      </w:r>
      <w:r w:rsidR="00575FEC">
        <w:t>serious adverse event</w:t>
      </w:r>
      <w:r w:rsidR="00575FEC" w:rsidRPr="000C2404">
        <w:t xml:space="preserve"> </w:t>
      </w:r>
      <w:r w:rsidRPr="000C2404">
        <w:t>and was not considered by the investigator to be related to the study drug. The infection was treated with antibiotics and resolved after treatment.</w:t>
      </w:r>
    </w:p>
    <w:p w14:paraId="4F753569" w14:textId="757155AD" w:rsidR="00716A19" w:rsidRPr="000C2404" w:rsidRDefault="00716A19" w:rsidP="000C2404">
      <w:r w:rsidRPr="000C2404">
        <w:t xml:space="preserve">In the total </w:t>
      </w:r>
      <w:r w:rsidR="0016612A">
        <w:t>e</w:t>
      </w:r>
      <w:r w:rsidRPr="000C2404">
        <w:t xml:space="preserve">fficacy </w:t>
      </w:r>
      <w:r w:rsidR="0016612A">
        <w:t>e</w:t>
      </w:r>
      <w:r w:rsidRPr="000C2404">
        <w:t>valuable population (n</w:t>
      </w:r>
      <w:r w:rsidR="005F0533">
        <w:t xml:space="preserve"> </w:t>
      </w:r>
      <w:r w:rsidRPr="000C2404">
        <w:t>=</w:t>
      </w:r>
      <w:r w:rsidR="005F0533">
        <w:t xml:space="preserve"> </w:t>
      </w:r>
      <w:r w:rsidRPr="000C2404">
        <w:t xml:space="preserve">61), in the </w:t>
      </w:r>
      <w:r w:rsidR="005F0533">
        <w:t>subcutaneous immunoglobulin</w:t>
      </w:r>
      <w:r w:rsidRPr="000C2404">
        <w:t xml:space="preserve"> 20% </w:t>
      </w:r>
      <w:r w:rsidR="005F0533">
        <w:t>subcutaneous</w:t>
      </w:r>
      <w:r w:rsidRPr="000C2404">
        <w:t xml:space="preserve"> phase the overall number of days of work/school/daily activities missed due to infections and related treatment was 291, the overall mean (SD) annualised rate of days missed was 4.84 (13.8489), and the overall rate of days missed per person per year was 4.983 (</w:t>
      </w:r>
      <w:proofErr w:type="gramStart"/>
      <w:r w:rsidR="005F0533">
        <w:t xml:space="preserve">two </w:t>
      </w:r>
      <w:r w:rsidRPr="000C2404">
        <w:t>sided</w:t>
      </w:r>
      <w:proofErr w:type="gramEnd"/>
      <w:r w:rsidRPr="000C2404">
        <w:t xml:space="preserve"> 95% CI: 3.064, 7.572).</w:t>
      </w:r>
    </w:p>
    <w:p w14:paraId="5E8EE179" w14:textId="3531E890" w:rsidR="00716A19" w:rsidRPr="000C2404" w:rsidRDefault="00716A19" w:rsidP="000C2404">
      <w:r w:rsidRPr="000C2404">
        <w:t>Validated infections documented by positive radiograph, fever (</w:t>
      </w:r>
      <w:r w:rsidR="005F0533">
        <w:t>greater than</w:t>
      </w:r>
      <w:r w:rsidRPr="000C2404">
        <w:t xml:space="preserve"> 38°C oral or </w:t>
      </w:r>
      <w:r w:rsidR="005F0533">
        <w:t>greater than</w:t>
      </w:r>
      <w:r w:rsidRPr="000C2404">
        <w:t xml:space="preserve"> 39°C rectal), culture, or diagnostic testing for microorganisms (</w:t>
      </w:r>
      <w:r w:rsidR="005F0533">
        <w:t>for example</w:t>
      </w:r>
      <w:r w:rsidRPr="000C2404">
        <w:t xml:space="preserve">, bacterial, viral, fungal, or protozoal pathogens </w:t>
      </w:r>
      <w:r w:rsidR="005F0533">
        <w:t>(</w:t>
      </w:r>
      <w:r w:rsidRPr="000C2404">
        <w:t>for instance, rapid streptococcal antigen detection test</w:t>
      </w:r>
      <w:r w:rsidR="005F0533">
        <w:t>)</w:t>
      </w:r>
      <w:r w:rsidRPr="000C2404">
        <w:t>) were evaluated in this study as an additional efficacy endpoint.</w:t>
      </w:r>
    </w:p>
    <w:p w14:paraId="2A6CC11D" w14:textId="7653FB98" w:rsidR="00716A19" w:rsidRPr="000C2404" w:rsidRDefault="00716A19" w:rsidP="000C2404">
      <w:r w:rsidRPr="000C2404">
        <w:t xml:space="preserve">In the total </w:t>
      </w:r>
      <w:r w:rsidR="0016612A">
        <w:t>e</w:t>
      </w:r>
      <w:r w:rsidRPr="000C2404">
        <w:t xml:space="preserve">fficacy </w:t>
      </w:r>
      <w:r w:rsidR="0016612A">
        <w:t>e</w:t>
      </w:r>
      <w:r w:rsidRPr="000C2404">
        <w:t>valuable population (n</w:t>
      </w:r>
      <w:r w:rsidR="005F0533">
        <w:t xml:space="preserve"> </w:t>
      </w:r>
      <w:r w:rsidRPr="000C2404">
        <w:t>=</w:t>
      </w:r>
      <w:r w:rsidR="005F0533">
        <w:t xml:space="preserve"> </w:t>
      </w:r>
      <w:r w:rsidRPr="000C2404">
        <w:t xml:space="preserve">61), during the </w:t>
      </w:r>
      <w:r w:rsidR="005F0533">
        <w:t>subcutaneous immunoglobulin</w:t>
      </w:r>
      <w:r w:rsidRPr="000C2404">
        <w:t xml:space="preserve"> 20% </w:t>
      </w:r>
      <w:r w:rsidR="005F0533">
        <w:t>subcutaneous</w:t>
      </w:r>
      <w:r w:rsidRPr="000C2404">
        <w:t xml:space="preserve"> phase there were 36 validated infections. The mean (SD) annualised validated infection rate was 0.597 (1.0926) and the overall rate of validated infections per person per year was 0.616 (</w:t>
      </w:r>
      <w:proofErr w:type="gramStart"/>
      <w:r w:rsidR="005F0533">
        <w:t xml:space="preserve">two </w:t>
      </w:r>
      <w:r w:rsidRPr="000C2404">
        <w:t>sided</w:t>
      </w:r>
      <w:proofErr w:type="gramEnd"/>
      <w:r w:rsidRPr="000C2404">
        <w:t xml:space="preserve"> 95% CI: 0.401-0.898). Overall, 32.8% (20</w:t>
      </w:r>
      <w:r w:rsidR="005F0533">
        <w:t xml:space="preserve"> out of </w:t>
      </w:r>
      <w:r w:rsidRPr="000C2404">
        <w:t xml:space="preserve">61) of subjects experienced at least </w:t>
      </w:r>
      <w:r w:rsidR="0016612A">
        <w:t>one</w:t>
      </w:r>
      <w:r w:rsidRPr="000C2404">
        <w:t xml:space="preserve"> validated infection (total of 36 validated infections in 61 subjects). The most frequently reported validated infections (occurring in </w:t>
      </w:r>
      <w:r w:rsidR="009C1D04">
        <w:t>greater than or equal to two</w:t>
      </w:r>
      <w:r w:rsidRPr="000C2404">
        <w:t xml:space="preserve"> subjects) by </w:t>
      </w:r>
      <w:r w:rsidR="00E45A69">
        <w:t>P</w:t>
      </w:r>
      <w:r w:rsidRPr="000C2404">
        <w:t xml:space="preserve">referred </w:t>
      </w:r>
      <w:r w:rsidR="00E45A69">
        <w:t>T</w:t>
      </w:r>
      <w:r w:rsidRPr="000C2404">
        <w:t xml:space="preserve">erm were bronchitis (4.9%, </w:t>
      </w:r>
      <w:r w:rsidR="003A22DF">
        <w:t>3</w:t>
      </w:r>
      <w:r w:rsidR="009C1D04">
        <w:t xml:space="preserve"> out of </w:t>
      </w:r>
      <w:r w:rsidRPr="000C2404">
        <w:t xml:space="preserve">61), pyrexia (4.9%, </w:t>
      </w:r>
      <w:r w:rsidR="00802560">
        <w:t>3</w:t>
      </w:r>
      <w:r w:rsidR="009C1D04">
        <w:t xml:space="preserve"> out of </w:t>
      </w:r>
      <w:r w:rsidRPr="000C2404">
        <w:t xml:space="preserve">61), upper respiratory tract infection (4.9%, </w:t>
      </w:r>
      <w:r w:rsidR="00802560">
        <w:t>3</w:t>
      </w:r>
      <w:r w:rsidR="009C1D04">
        <w:t xml:space="preserve"> out of </w:t>
      </w:r>
      <w:r w:rsidRPr="000C2404">
        <w:t xml:space="preserve">61), gastroenteritis (3.3%, </w:t>
      </w:r>
      <w:r w:rsidR="00802560">
        <w:t>2</w:t>
      </w:r>
      <w:r w:rsidR="009C1D04">
        <w:t xml:space="preserve"> out of </w:t>
      </w:r>
      <w:r w:rsidRPr="000C2404">
        <w:t>61), influenza (3.3%,</w:t>
      </w:r>
      <w:r w:rsidR="009C1D04">
        <w:t xml:space="preserve"> </w:t>
      </w:r>
      <w:r w:rsidR="00802560">
        <w:t>2</w:t>
      </w:r>
      <w:r w:rsidR="009C1D04">
        <w:t xml:space="preserve"> out of </w:t>
      </w:r>
      <w:r w:rsidRPr="000C2404">
        <w:t xml:space="preserve">61), pneumonia (3.3%, </w:t>
      </w:r>
      <w:r w:rsidR="00802560">
        <w:t>2</w:t>
      </w:r>
      <w:r w:rsidR="009C1D04">
        <w:t xml:space="preserve"> out of </w:t>
      </w:r>
      <w:r w:rsidRPr="000C2404">
        <w:t xml:space="preserve">61) and sinusitis (3.3%, </w:t>
      </w:r>
      <w:r w:rsidR="00802560">
        <w:t>2</w:t>
      </w:r>
      <w:r w:rsidR="009C1D04">
        <w:t xml:space="preserve"> out of </w:t>
      </w:r>
      <w:r w:rsidRPr="000C2404">
        <w:t>61).</w:t>
      </w:r>
    </w:p>
    <w:p w14:paraId="165C2AEA" w14:textId="77777777" w:rsidR="00716A19" w:rsidRPr="000C2404" w:rsidRDefault="00716A19" w:rsidP="000C2404">
      <w:pPr>
        <w:pStyle w:val="Heading5"/>
      </w:pPr>
      <w:r w:rsidRPr="00AF5A39">
        <w:lastRenderedPageBreak/>
        <w:t>Study GTI1502</w:t>
      </w:r>
    </w:p>
    <w:p w14:paraId="68E6FE17" w14:textId="56B39D93" w:rsidR="00716A19" w:rsidRPr="000C2404" w:rsidRDefault="00716A19" w:rsidP="000C2404">
      <w:r w:rsidRPr="000C2404">
        <w:t xml:space="preserve">In Study GTI1502 </w:t>
      </w:r>
      <w:r w:rsidR="00575FEC">
        <w:t>Serious bacterial infection</w:t>
      </w:r>
      <w:r w:rsidR="00575FEC" w:rsidRPr="000C2404" w:rsidDel="00575FEC">
        <w:t xml:space="preserve"> </w:t>
      </w:r>
      <w:r w:rsidRPr="000C2404">
        <w:t xml:space="preserve">and </w:t>
      </w:r>
      <w:r w:rsidR="00575FEC">
        <w:t xml:space="preserve">other </w:t>
      </w:r>
      <w:r w:rsidRPr="000C2404">
        <w:t>infection</w:t>
      </w:r>
      <w:r w:rsidR="00575FEC">
        <w:t>s</w:t>
      </w:r>
      <w:r w:rsidRPr="000C2404">
        <w:t xml:space="preserve"> </w:t>
      </w:r>
      <w:proofErr w:type="gramStart"/>
      <w:r w:rsidRPr="000C2404">
        <w:t>were considered to be</w:t>
      </w:r>
      <w:proofErr w:type="gramEnd"/>
      <w:r w:rsidRPr="000C2404">
        <w:t xml:space="preserve"> safety endpoints.</w:t>
      </w:r>
    </w:p>
    <w:p w14:paraId="00AEA335" w14:textId="764AB05B" w:rsidR="00716A19" w:rsidRPr="00AF5A39" w:rsidRDefault="00AF5A39" w:rsidP="00AF5A39">
      <w:pPr>
        <w:pStyle w:val="TableTitle"/>
      </w:pPr>
      <w:bookmarkStart w:id="48" w:name="_Toc88033270"/>
      <w:r>
        <w:t xml:space="preserve">Table </w:t>
      </w:r>
      <w:fldSimple w:instr=" SEQ Table \* ARABIC ">
        <w:r w:rsidR="009C353F">
          <w:rPr>
            <w:noProof/>
          </w:rPr>
          <w:t>8</w:t>
        </w:r>
      </w:fldSimple>
      <w:r>
        <w:t xml:space="preserve">: </w:t>
      </w:r>
      <w:r w:rsidR="00575FEC">
        <w:t xml:space="preserve">Study GTI1502 </w:t>
      </w:r>
      <w:r w:rsidR="00716A19" w:rsidRPr="00AF5A39">
        <w:t xml:space="preserve">Serious bacterial infections </w:t>
      </w:r>
      <w:r w:rsidR="00575FEC">
        <w:t>(</w:t>
      </w:r>
      <w:r w:rsidR="00716A19" w:rsidRPr="00AF5A39">
        <w:t>safety population</w:t>
      </w:r>
      <w:r w:rsidR="00575FEC">
        <w:t>)</w:t>
      </w:r>
      <w:bookmarkEnd w:id="48"/>
    </w:p>
    <w:p w14:paraId="46B7DC7B" w14:textId="77777777" w:rsidR="00716A19" w:rsidRPr="005877AE" w:rsidRDefault="00716A19" w:rsidP="00716A19">
      <w:pPr>
        <w:autoSpaceDE w:val="0"/>
        <w:autoSpaceDN w:val="0"/>
        <w:adjustRightInd w:val="0"/>
        <w:spacing w:before="0" w:after="0" w:line="240" w:lineRule="auto"/>
        <w:rPr>
          <w:rFonts w:ascii="Comic Sans MS" w:eastAsia="TimesNewRoman" w:hAnsi="Comic Sans MS" w:cs="TimesNewRoman"/>
        </w:rPr>
      </w:pPr>
      <w:r w:rsidRPr="005877AE">
        <w:rPr>
          <w:rFonts w:ascii="Comic Sans MS" w:eastAsia="TimesNewRoman" w:hAnsi="Comic Sans MS" w:cs="TimesNewRoman"/>
          <w:noProof/>
          <w:lang w:val="en-GB" w:eastAsia="en-GB"/>
        </w:rPr>
        <w:drawing>
          <wp:inline distT="0" distB="0" distL="0" distR="0" wp14:anchorId="42B66A96" wp14:editId="4FAF4FCD">
            <wp:extent cx="5324475" cy="1934845"/>
            <wp:effectExtent l="0" t="0" r="9525" b="8255"/>
            <wp:docPr id="33" name="Picture 33" descr="Table 8: Serious bacterial infections,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able 8: Serious bacterial infections, safety popula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4475" cy="1934845"/>
                    </a:xfrm>
                    <a:prstGeom prst="rect">
                      <a:avLst/>
                    </a:prstGeom>
                    <a:noFill/>
                    <a:ln>
                      <a:noFill/>
                    </a:ln>
                  </pic:spPr>
                </pic:pic>
              </a:graphicData>
            </a:graphic>
          </wp:inline>
        </w:drawing>
      </w:r>
    </w:p>
    <w:p w14:paraId="16922551" w14:textId="632F58AD" w:rsidR="00716A19" w:rsidRDefault="00716A19" w:rsidP="00AF5A39">
      <w:pPr>
        <w:pStyle w:val="TableDescription"/>
      </w:pPr>
      <w:r w:rsidRPr="005877AE">
        <w:t>Note: For incidence, at each level of summation (</w:t>
      </w:r>
      <w:r w:rsidR="00E45A69">
        <w:t>P</w:t>
      </w:r>
      <w:r w:rsidRPr="005877AE">
        <w:t xml:space="preserve">referred </w:t>
      </w:r>
      <w:r w:rsidR="00E45A69">
        <w:t>T</w:t>
      </w:r>
      <w:r w:rsidRPr="005877AE">
        <w:t>erm), subjects are counted only once per study phase.</w:t>
      </w:r>
    </w:p>
    <w:p w14:paraId="2A69CDD3" w14:textId="3120EF36" w:rsidR="00575FEC" w:rsidRPr="005877AE" w:rsidRDefault="00575FEC" w:rsidP="00AF5A39">
      <w:pPr>
        <w:pStyle w:val="TableDescription"/>
      </w:pPr>
      <w:r>
        <w:t>Abbreviations: CI = confidence interval; IV = intravenous; NA = not applicable; SBI = serious bacterial infection; SC = subcutaneous; SD = standard deviation.</w:t>
      </w:r>
    </w:p>
    <w:p w14:paraId="7FAE5011" w14:textId="7DAEF1D5" w:rsidR="00716A19" w:rsidRPr="005877AE" w:rsidRDefault="00AF5A39" w:rsidP="00AF5A39">
      <w:pPr>
        <w:pStyle w:val="TableDescription"/>
      </w:pPr>
      <w:r>
        <w:t>a.</w:t>
      </w:r>
      <w:r w:rsidR="00716A19" w:rsidRPr="005877AE">
        <w:t xml:space="preserve"> Annualised rate of events is calculated for each individual subject as the number of events divided by the duration of exposure in years for the subject.</w:t>
      </w:r>
    </w:p>
    <w:p w14:paraId="5D428C7E" w14:textId="50E6037B" w:rsidR="00716A19" w:rsidRDefault="00AF5A39" w:rsidP="00AF5A39">
      <w:pPr>
        <w:pStyle w:val="TableDescription"/>
      </w:pPr>
      <w:r w:rsidRPr="00AF5A39">
        <w:t>b.</w:t>
      </w:r>
      <w:r w:rsidR="00716A19" w:rsidRPr="005877AE">
        <w:t xml:space="preserve"> Rate of events per person per year is calculated as the total number of events divided by the total duration of exposure in years across all subjects</w:t>
      </w:r>
    </w:p>
    <w:p w14:paraId="5D14A267" w14:textId="57D82BAA" w:rsidR="00716A19" w:rsidRPr="000C2404" w:rsidRDefault="00716A19" w:rsidP="000C2404">
      <w:r w:rsidRPr="000C2404">
        <w:t xml:space="preserve">There were </w:t>
      </w:r>
      <w:r w:rsidR="00AF5A39">
        <w:t>two</w:t>
      </w:r>
      <w:r w:rsidRPr="000C2404">
        <w:t xml:space="preserve"> subjects with a total of </w:t>
      </w:r>
      <w:r w:rsidR="00AF5A39">
        <w:t>three</w:t>
      </w:r>
      <w:r w:rsidRPr="000C2404">
        <w:t xml:space="preserve"> </w:t>
      </w:r>
      <w:r w:rsidR="00575FEC">
        <w:t xml:space="preserve">serious bacterial infections </w:t>
      </w:r>
      <w:r w:rsidRPr="000C2404">
        <w:t>in Study GTI1502</w:t>
      </w:r>
      <w:r w:rsidR="00575FEC">
        <w:t>;</w:t>
      </w:r>
      <w:r w:rsidRPr="000C2404">
        <w:t xml:space="preserve"> in the </w:t>
      </w:r>
      <w:r w:rsidR="009C1D04">
        <w:t>intravenous phase, one</w:t>
      </w:r>
      <w:r w:rsidRPr="000C2404">
        <w:t xml:space="preserve"> 30</w:t>
      </w:r>
      <w:r w:rsidR="00575FEC">
        <w:t>-</w:t>
      </w:r>
      <w:r w:rsidRPr="000C2404">
        <w:t xml:space="preserve">year old male developed bacterial pneumonia </w:t>
      </w:r>
      <w:r w:rsidR="00AF5A39">
        <w:t>four</w:t>
      </w:r>
      <w:r w:rsidRPr="000C2404">
        <w:t xml:space="preserve"> days after entering the </w:t>
      </w:r>
      <w:r w:rsidR="009C1D04">
        <w:t>intravenous</w:t>
      </w:r>
      <w:r w:rsidRPr="000C2404">
        <w:t xml:space="preserve"> phase following completion of a</w:t>
      </w:r>
      <w:r w:rsidR="00AF5A39">
        <w:t xml:space="preserve"> four </w:t>
      </w:r>
      <w:r w:rsidRPr="000C2404">
        <w:t xml:space="preserve">month </w:t>
      </w:r>
      <w:r w:rsidR="00AF5A39">
        <w:t>r</w:t>
      </w:r>
      <w:r w:rsidRPr="000C2404">
        <w:t xml:space="preserve">un-in and sepsis developed </w:t>
      </w:r>
      <w:r w:rsidR="00AF5A39">
        <w:t>four</w:t>
      </w:r>
      <w:r w:rsidRPr="000C2404">
        <w:t xml:space="preserve"> days later; </w:t>
      </w:r>
      <w:r w:rsidR="00575FEC">
        <w:t xml:space="preserve">serious bacterial infection </w:t>
      </w:r>
      <w:r w:rsidRPr="000C2404">
        <w:t xml:space="preserve">events of bacterial pneumonia and sepsis were considered to be </w:t>
      </w:r>
      <w:r w:rsidR="00575FEC">
        <w:t>serious adverse events</w:t>
      </w:r>
      <w:r w:rsidR="00575FEC" w:rsidRPr="000C2404">
        <w:t xml:space="preserve"> </w:t>
      </w:r>
      <w:r w:rsidRPr="000C2404">
        <w:t xml:space="preserve">and were treated and resolved; in the </w:t>
      </w:r>
      <w:r w:rsidR="009C1D04">
        <w:t>subcutaneous</w:t>
      </w:r>
      <w:r w:rsidRPr="000C2404">
        <w:t xml:space="preserve"> phase</w:t>
      </w:r>
      <w:r w:rsidR="00575FEC">
        <w:t>,</w:t>
      </w:r>
      <w:r w:rsidRPr="000C2404">
        <w:t xml:space="preserve"> one 54</w:t>
      </w:r>
      <w:r w:rsidR="00575FEC">
        <w:noBreakHyphen/>
      </w:r>
      <w:r w:rsidRPr="000C2404">
        <w:t xml:space="preserve">year old male developed sepsis on </w:t>
      </w:r>
      <w:r w:rsidR="00575FEC">
        <w:t>D</w:t>
      </w:r>
      <w:r w:rsidRPr="000C2404">
        <w:t xml:space="preserve">ay 140 due to cellulitis associated with a cat bite; the </w:t>
      </w:r>
      <w:r w:rsidR="00575FEC">
        <w:t xml:space="preserve">serious bacterial infection </w:t>
      </w:r>
      <w:r w:rsidRPr="000C2404">
        <w:t xml:space="preserve">event (sepsis) was considered to be a </w:t>
      </w:r>
      <w:r w:rsidR="00575FEC">
        <w:t>serious adverse event</w:t>
      </w:r>
      <w:r w:rsidR="00575FEC" w:rsidRPr="000C2404">
        <w:t xml:space="preserve"> </w:t>
      </w:r>
      <w:r w:rsidRPr="000C2404">
        <w:t>and was treated and resolved.</w:t>
      </w:r>
    </w:p>
    <w:p w14:paraId="7BA72115" w14:textId="1CF61F7A" w:rsidR="00716A19" w:rsidRPr="000C2404" w:rsidRDefault="00716A19" w:rsidP="000C2404">
      <w:r w:rsidRPr="000C2404">
        <w:t>In the overall population (n</w:t>
      </w:r>
      <w:r w:rsidR="009C1D04">
        <w:t xml:space="preserve"> </w:t>
      </w:r>
      <w:r w:rsidRPr="000C2404">
        <w:t>=</w:t>
      </w:r>
      <w:r w:rsidR="009C1D04">
        <w:t xml:space="preserve"> </w:t>
      </w:r>
      <w:r w:rsidRPr="000C2404">
        <w:t xml:space="preserve">49), in the </w:t>
      </w:r>
      <w:r w:rsidR="009C1D04">
        <w:t>subcutaneous immunoglobulin</w:t>
      </w:r>
      <w:r w:rsidRPr="000C2404">
        <w:t xml:space="preserve"> 20% </w:t>
      </w:r>
      <w:r w:rsidR="009C1D04">
        <w:t>subcutaneous</w:t>
      </w:r>
      <w:r w:rsidRPr="000C2404">
        <w:t xml:space="preserve"> phase </w:t>
      </w:r>
      <w:r w:rsidR="00575FEC">
        <w:t>‘I</w:t>
      </w:r>
      <w:r w:rsidRPr="000C2404">
        <w:t xml:space="preserve">nfections and </w:t>
      </w:r>
      <w:r w:rsidR="00575FEC">
        <w:t>I</w:t>
      </w:r>
      <w:r w:rsidRPr="000C2404">
        <w:t>nfestations</w:t>
      </w:r>
      <w:r w:rsidR="00575FEC">
        <w:t>’ System Organ Class</w:t>
      </w:r>
      <w:r w:rsidRPr="000C2404">
        <w:t xml:space="preserve"> were reported in 53.1% (n</w:t>
      </w:r>
      <w:r w:rsidR="009C1D04">
        <w:t xml:space="preserve"> </w:t>
      </w:r>
      <w:r w:rsidRPr="000C2404">
        <w:t>=</w:t>
      </w:r>
      <w:r w:rsidR="009C1D04">
        <w:t xml:space="preserve"> </w:t>
      </w:r>
      <w:r w:rsidRPr="000C2404">
        <w:t xml:space="preserve">26) of subjects, with </w:t>
      </w:r>
      <w:r w:rsidR="00BE1940">
        <w:t>t</w:t>
      </w:r>
      <w:r w:rsidR="00BE1940" w:rsidRPr="00BE1940">
        <w:t>reatment</w:t>
      </w:r>
      <w:r w:rsidR="00CC110B">
        <w:noBreakHyphen/>
      </w:r>
      <w:r w:rsidR="00BE1940" w:rsidRPr="00BE1940">
        <w:t xml:space="preserve">emergent adverse events </w:t>
      </w:r>
      <w:r w:rsidRPr="000C2404">
        <w:t xml:space="preserve">reported in </w:t>
      </w:r>
      <w:r w:rsidR="009C1D04">
        <w:t>greater than or equal to</w:t>
      </w:r>
      <w:r w:rsidRPr="000C2404">
        <w:t xml:space="preserve"> 5% of subjects being sinusitis (18.4%, </w:t>
      </w:r>
      <w:r w:rsidR="00AF5A39">
        <w:t>nine</w:t>
      </w:r>
      <w:r w:rsidRPr="000C2404">
        <w:t xml:space="preserve"> subjects), upper respiratory tract infection (10.2%, </w:t>
      </w:r>
      <w:r w:rsidR="00AF5A39">
        <w:t>five</w:t>
      </w:r>
      <w:r w:rsidRPr="000C2404">
        <w:t xml:space="preserve"> subjects), bronchitis (6.1%, </w:t>
      </w:r>
      <w:r w:rsidR="00AF5A39">
        <w:t>three</w:t>
      </w:r>
      <w:r w:rsidRPr="000C2404">
        <w:t xml:space="preserve"> subjects), and pharyngitis streptococcal (6.1%, </w:t>
      </w:r>
      <w:r w:rsidR="00AF5A39">
        <w:t>three</w:t>
      </w:r>
      <w:r w:rsidRPr="000C2404">
        <w:t xml:space="preserve"> subjects).</w:t>
      </w:r>
    </w:p>
    <w:p w14:paraId="55AD1066" w14:textId="055DCD31" w:rsidR="00716A19" w:rsidRPr="00791785" w:rsidRDefault="00716A19" w:rsidP="00161A3B">
      <w:pPr>
        <w:pStyle w:val="Heading5"/>
      </w:pPr>
      <w:r w:rsidRPr="00791785">
        <w:t>Conclusions on efficacy</w:t>
      </w:r>
    </w:p>
    <w:p w14:paraId="6B5AF6F0" w14:textId="29223B5A" w:rsidR="00716A19" w:rsidRPr="000C2404" w:rsidRDefault="00716A19" w:rsidP="000C2404">
      <w:r w:rsidRPr="000C2404">
        <w:t>It is considered that the totality of the efficacy data for Study GTI1503 supports approval of Xembify for replacement therapy for subjects with PID. The positive efficacy data from Study GTI1503 are supported by the corresponding outcome safety data reported in Study</w:t>
      </w:r>
      <w:r w:rsidR="00CC110B">
        <w:t> </w:t>
      </w:r>
      <w:r w:rsidRPr="000C2404">
        <w:t>GTI1502.</w:t>
      </w:r>
    </w:p>
    <w:p w14:paraId="1BC045E2" w14:textId="3DD24FEA" w:rsidR="00716A19" w:rsidRDefault="00716A19" w:rsidP="00404C98">
      <w:pPr>
        <w:pStyle w:val="Heading4"/>
      </w:pPr>
      <w:r w:rsidRPr="00404C98">
        <w:t>Safety</w:t>
      </w:r>
    </w:p>
    <w:p w14:paraId="4850995A" w14:textId="2EFE059B" w:rsidR="00CC110B" w:rsidRPr="009E007E" w:rsidRDefault="00CC110B" w:rsidP="00744A82">
      <w:pPr>
        <w:pStyle w:val="Heading5"/>
      </w:pPr>
      <w:r>
        <w:t>Exposure and safety populations</w:t>
      </w:r>
    </w:p>
    <w:p w14:paraId="3A45A9C5" w14:textId="1C1099F3" w:rsidR="00716A19" w:rsidRPr="00404C98" w:rsidRDefault="00716A19" w:rsidP="00404C98">
      <w:r w:rsidRPr="00404C98">
        <w:t>The safety of Xembify (</w:t>
      </w:r>
      <w:r w:rsidR="004E6634">
        <w:t>subcutaneous immunoglobulin</w:t>
      </w:r>
      <w:r w:rsidRPr="00404C98">
        <w:t xml:space="preserve"> 20%) was assessed in subjects with PID in Studies GTI1503 and GTI1502. The safety population in Study GTI1503 included all 61 subjects who received </w:t>
      </w:r>
      <w:r w:rsidR="004E6634">
        <w:t>subcutaneous immunoglobulin</w:t>
      </w:r>
      <w:r w:rsidRPr="00404C98">
        <w:t xml:space="preserve"> 20% during the treatment phase. </w:t>
      </w:r>
      <w:r w:rsidRPr="00404C98">
        <w:lastRenderedPageBreak/>
        <w:t xml:space="preserve">The safety population in Study GTI1502 included all 53 subjects who received any amount of study medication (either </w:t>
      </w:r>
      <w:r w:rsidR="004E6634">
        <w:t>intravenous immunoglobulin</w:t>
      </w:r>
      <w:r w:rsidRPr="00404C98">
        <w:t xml:space="preserve"> 10% or </w:t>
      </w:r>
      <w:r w:rsidR="004E6634">
        <w:t>subcutaneous immunoglobulin</w:t>
      </w:r>
      <w:r w:rsidRPr="00404C98">
        <w:t xml:space="preserve"> 20%). In Study GTI1502, 49 of the 53 subjects in the safety population subjects received </w:t>
      </w:r>
      <w:r w:rsidR="004E6634">
        <w:t xml:space="preserve">subcutaneous immunoglobulin </w:t>
      </w:r>
      <w:r w:rsidRPr="00404C98">
        <w:t xml:space="preserve">20%. Overall, a total of 110 subjects with PID in the two studies were treated with </w:t>
      </w:r>
      <w:r w:rsidR="004E6634">
        <w:t>subcutaneous immunoglobulin</w:t>
      </w:r>
      <w:r w:rsidRPr="00404C98">
        <w:t xml:space="preserve"> 20%.</w:t>
      </w:r>
    </w:p>
    <w:p w14:paraId="1D8ECD06" w14:textId="107BA1EA" w:rsidR="00716A19" w:rsidRPr="00404C98" w:rsidRDefault="00716A19" w:rsidP="00404C98">
      <w:r w:rsidRPr="00404C98">
        <w:t xml:space="preserve">In Study GT11503, 55 (91.7%) subjects completed the study. Overall, the mean (SD) duration of exposure to </w:t>
      </w:r>
      <w:r w:rsidR="004E6634">
        <w:t>subcutaneous immunoglobulin</w:t>
      </w:r>
      <w:r w:rsidRPr="00404C98">
        <w:t xml:space="preserve"> 20% in the </w:t>
      </w:r>
      <w:r w:rsidR="004E6634">
        <w:t>subcutaneous</w:t>
      </w:r>
      <w:r w:rsidRPr="00404C98">
        <w:t xml:space="preserve"> phase for all 61 subjects was 49.96 (7.87) weeks. Overall, the mean (SD) total number of infusions was 49.9 (7.86) and the mean (SD) dose per infusion was 125.5 (28.46) mg/kg for all 61</w:t>
      </w:r>
      <w:r w:rsidR="00CC110B">
        <w:t> </w:t>
      </w:r>
      <w:r w:rsidRPr="00404C98">
        <w:t xml:space="preserve">subjects during the </w:t>
      </w:r>
      <w:r w:rsidR="004E6634">
        <w:t>subcutaneous</w:t>
      </w:r>
      <w:r w:rsidRPr="00404C98">
        <w:t xml:space="preserve"> phase. </w:t>
      </w:r>
      <w:r w:rsidR="004E6634">
        <w:t>I</w:t>
      </w:r>
      <w:r w:rsidRPr="00404C98">
        <w:t xml:space="preserve">n the </w:t>
      </w:r>
      <w:r w:rsidR="004E6634">
        <w:t>subcutaneous</w:t>
      </w:r>
      <w:r w:rsidRPr="00404C98">
        <w:t xml:space="preserve"> phase the mean (SD) duration of individual </w:t>
      </w:r>
      <w:r w:rsidR="004E6634">
        <w:t>subcutaneous</w:t>
      </w:r>
      <w:r w:rsidRPr="00404C98">
        <w:t xml:space="preserve"> infusions was 1.15 (0.566) hours, and the mean (SD) volume of </w:t>
      </w:r>
      <w:r w:rsidR="004E6634">
        <w:t>subcutaneous immunoglobulin</w:t>
      </w:r>
      <w:r w:rsidRPr="00404C98">
        <w:t xml:space="preserve"> 20% per infusion was 37 (17.20) </w:t>
      </w:r>
      <w:proofErr w:type="spellStart"/>
      <w:r w:rsidRPr="00404C98">
        <w:t>mL.</w:t>
      </w:r>
      <w:proofErr w:type="spellEnd"/>
      <w:r w:rsidRPr="00404C98">
        <w:t xml:space="preserve"> The mean (SD) number of infusion sites used per infusion was 2 (0.75) across all infusions (range:</w:t>
      </w:r>
      <w:r w:rsidR="00CC110B">
        <w:t> </w:t>
      </w:r>
      <w:r w:rsidR="00972094">
        <w:t>1</w:t>
      </w:r>
      <w:r w:rsidRPr="00404C98">
        <w:t>,</w:t>
      </w:r>
      <w:r w:rsidR="00CC110B">
        <w:t> </w:t>
      </w:r>
      <w:r w:rsidR="00972094">
        <w:t>4</w:t>
      </w:r>
      <w:r w:rsidR="004E6634">
        <w:t xml:space="preserve"> </w:t>
      </w:r>
      <w:r w:rsidRPr="00404C98">
        <w:t xml:space="preserve">sites). The mean (SD) volume of </w:t>
      </w:r>
      <w:r w:rsidR="004E6634">
        <w:t>subcutaneous immunoglobulin</w:t>
      </w:r>
      <w:r w:rsidRPr="00404C98">
        <w:t xml:space="preserve"> 20% infused per site per infusion, was 19.3 (7.64) mL/site. The </w:t>
      </w:r>
      <w:r w:rsidR="00720608">
        <w:t>two</w:t>
      </w:r>
      <w:r w:rsidRPr="00404C98">
        <w:t xml:space="preserve"> most frequently used </w:t>
      </w:r>
      <w:r w:rsidR="004E6634">
        <w:t>subcutaneous</w:t>
      </w:r>
      <w:r w:rsidRPr="00404C98">
        <w:t xml:space="preserve"> infusion sites in all subjects were the abdomen (5258</w:t>
      </w:r>
      <w:r w:rsidR="003A22DF">
        <w:t xml:space="preserve"> out of </w:t>
      </w:r>
      <w:r w:rsidRPr="00404C98">
        <w:t>6087 sites, 86.4%) and thigh (462</w:t>
      </w:r>
      <w:r w:rsidR="003A22DF">
        <w:t xml:space="preserve"> out of</w:t>
      </w:r>
      <w:r w:rsidR="00802560">
        <w:t xml:space="preserve"> </w:t>
      </w:r>
      <w:r w:rsidRPr="00404C98">
        <w:t>6087 sites, 7.6%). The mean (SD) infusion rate per site per infusion was 20</w:t>
      </w:r>
      <w:r w:rsidR="00CC110B">
        <w:t> </w:t>
      </w:r>
      <w:r w:rsidRPr="00404C98">
        <w:t>(9.29</w:t>
      </w:r>
      <w:r w:rsidR="00CC110B">
        <w:t>) </w:t>
      </w:r>
      <w:r w:rsidRPr="00404C98">
        <w:t>mL/hr/site and the mean (SD) by subject maximum infusion rate per site per infusion was 25.2 (13.8) mL/hr/site.</w:t>
      </w:r>
    </w:p>
    <w:p w14:paraId="0A5C2C96" w14:textId="670CC6C2" w:rsidR="00716A19" w:rsidRPr="004E6634" w:rsidRDefault="00716A19" w:rsidP="00404C98">
      <w:r w:rsidRPr="00404C98">
        <w:t>Overall, less than 4% of all infusions were interrupted</w:t>
      </w:r>
      <w:r w:rsidR="00720608">
        <w:t>.</w:t>
      </w:r>
      <w:r w:rsidRPr="00404C98">
        <w:t xml:space="preserve"> </w:t>
      </w:r>
      <w:r w:rsidR="00720608">
        <w:t>D</w:t>
      </w:r>
      <w:r w:rsidRPr="00404C98">
        <w:t xml:space="preserve">uring the entire </w:t>
      </w:r>
      <w:r w:rsidR="004E6634">
        <w:t>subcutaneous immunoglobulin</w:t>
      </w:r>
      <w:r w:rsidRPr="00404C98">
        <w:t xml:space="preserve"> 20% </w:t>
      </w:r>
      <w:r w:rsidR="00720608">
        <w:t>t</w:t>
      </w:r>
      <w:r w:rsidRPr="00404C98">
        <w:t xml:space="preserve">reatment phase, only </w:t>
      </w:r>
      <w:r w:rsidR="00720608">
        <w:t>eight</w:t>
      </w:r>
      <w:r w:rsidRPr="00404C98">
        <w:t xml:space="preserve"> infusion interruptions were potentially due to an </w:t>
      </w:r>
      <w:r w:rsidR="00CC110B">
        <w:t>adverse event</w:t>
      </w:r>
      <w:r w:rsidRPr="00404C98">
        <w:t xml:space="preserve">. All </w:t>
      </w:r>
      <w:r w:rsidR="00720608">
        <w:t>eight</w:t>
      </w:r>
      <w:r w:rsidRPr="00404C98">
        <w:t xml:space="preserve"> infusions were resumed and completed, </w:t>
      </w:r>
      <w:proofErr w:type="gramStart"/>
      <w:r w:rsidRPr="00404C98">
        <w:t>with the exception of</w:t>
      </w:r>
      <w:proofErr w:type="gramEnd"/>
      <w:r w:rsidRPr="00404C98">
        <w:t xml:space="preserve"> one infusion in a subject at </w:t>
      </w:r>
      <w:r w:rsidR="004E6634">
        <w:t xml:space="preserve">subcutaneous </w:t>
      </w:r>
      <w:r w:rsidR="008575F3">
        <w:t>V</w:t>
      </w:r>
      <w:r w:rsidR="004E6634">
        <w:t xml:space="preserve">isit </w:t>
      </w:r>
      <w:r w:rsidR="00CC110B">
        <w:t>6</w:t>
      </w:r>
      <w:r w:rsidR="00CC110B" w:rsidRPr="00404C98">
        <w:t xml:space="preserve"> </w:t>
      </w:r>
      <w:r w:rsidRPr="00404C98">
        <w:t xml:space="preserve">which was permanently discontinued due to </w:t>
      </w:r>
      <w:r w:rsidRPr="004E6634">
        <w:t>an AE of anxiety.</w:t>
      </w:r>
    </w:p>
    <w:p w14:paraId="0D271BF6" w14:textId="455A3289" w:rsidR="00716A19" w:rsidRPr="00404C98" w:rsidRDefault="00716A19" w:rsidP="00404C98">
      <w:r w:rsidRPr="004E6634">
        <w:t>In</w:t>
      </w:r>
      <w:r w:rsidRPr="00404C98">
        <w:t xml:space="preserve"> Study GT11502, 42 (79.2%) subjects completed the study, and 11 (20.8%) subjects discontinued the study prematurely. In the </w:t>
      </w:r>
      <w:r w:rsidR="00157CF8">
        <w:t>subcutaneous</w:t>
      </w:r>
      <w:r w:rsidRPr="00404C98">
        <w:t xml:space="preserve"> phase, 49 subjects were treated with </w:t>
      </w:r>
      <w:r w:rsidR="00157CF8">
        <w:t>subcutaneous immunoglobulin</w:t>
      </w:r>
      <w:r w:rsidRPr="00404C98">
        <w:t xml:space="preserve"> 20% infusions. In the </w:t>
      </w:r>
      <w:r w:rsidR="00157CF8">
        <w:t>subcutaneous</w:t>
      </w:r>
      <w:r w:rsidRPr="00404C98">
        <w:t xml:space="preserve"> phase (49</w:t>
      </w:r>
      <w:r w:rsidR="00CC110B">
        <w:t> </w:t>
      </w:r>
      <w:r w:rsidRPr="00404C98">
        <w:t xml:space="preserve">subjects), the mean (SD) duration of subject exposure to </w:t>
      </w:r>
      <w:r w:rsidR="00157CF8">
        <w:t>subcutaneous immunoglobulin</w:t>
      </w:r>
      <w:r w:rsidRPr="00404C98">
        <w:t xml:space="preserve"> 20% was 21.6 (6.51) weeks, the mean (SD) total volume infused per subject was 1365.4 (798.62) mL, the mean (SD) number of infusions per subject was 21.5 (6.47), the mean (SD) duration of infusions (1049 infusions) was 1.56 (0.843) hours, the mean (SD) volume infused (1053 infusions) was 63.5 (29.5) mL, and the mean (SD) dose per infusion (1053 infusions) was 178.9 (44.98) mg/kg. Most infusions were administered using either </w:t>
      </w:r>
      <w:r w:rsidR="00720608">
        <w:t>four</w:t>
      </w:r>
      <w:r w:rsidRPr="00404C98">
        <w:t xml:space="preserve"> infusion sites (56.2%, 592</w:t>
      </w:r>
      <w:r w:rsidR="00DA19FA">
        <w:t xml:space="preserve"> out of </w:t>
      </w:r>
      <w:r w:rsidRPr="00404C98">
        <w:t xml:space="preserve">1053) or </w:t>
      </w:r>
      <w:r w:rsidR="00720608">
        <w:t>two</w:t>
      </w:r>
      <w:r w:rsidRPr="00404C98">
        <w:t xml:space="preserve"> infusion sites (30.5%, 321</w:t>
      </w:r>
      <w:r w:rsidR="00CC110B">
        <w:t> </w:t>
      </w:r>
      <w:r w:rsidR="00802560">
        <w:t xml:space="preserve">out of </w:t>
      </w:r>
      <w:r w:rsidRPr="00404C98">
        <w:t xml:space="preserve">053). The mean number of infusion sites used per infusion was 3.3 across all infusions. The </w:t>
      </w:r>
      <w:r w:rsidR="00720608">
        <w:t>two</w:t>
      </w:r>
      <w:r w:rsidRPr="00404C98">
        <w:t xml:space="preserve"> most frequently used infusion sites were the abdomen and thigh. Approximately 94% (46</w:t>
      </w:r>
      <w:r w:rsidR="00157CF8">
        <w:t xml:space="preserve"> out of </w:t>
      </w:r>
      <w:r w:rsidRPr="00404C98">
        <w:t>49) of subjects used the abdomen and 38.8% (19</w:t>
      </w:r>
      <w:r w:rsidR="00157CF8">
        <w:t xml:space="preserve"> out of </w:t>
      </w:r>
      <w:r w:rsidRPr="00404C98">
        <w:t xml:space="preserve">49) of subjects used the thigh for </w:t>
      </w:r>
      <w:r w:rsidR="00157CF8">
        <w:t>subcutaneous</w:t>
      </w:r>
      <w:r w:rsidRPr="00404C98">
        <w:t xml:space="preserve"> infusion. The mean (SD) volume infused per site per infusion was 20.6 (11.51) mL/site. The mean (SD) infusion rate per site per infusion was 16 (6.9) mL/hour/site. The mean (SD) by</w:t>
      </w:r>
      <w:r w:rsidR="00157CF8">
        <w:t xml:space="preserve"> </w:t>
      </w:r>
      <w:r w:rsidRPr="00404C98">
        <w:t>subject maximum infusion rate per site per infusion was 17.5 (8.09) mL/hour/site.</w:t>
      </w:r>
    </w:p>
    <w:p w14:paraId="306858F3" w14:textId="7F4A7641" w:rsidR="00716A19" w:rsidRDefault="00716A19" w:rsidP="00404C98">
      <w:r w:rsidRPr="00404C98">
        <w:t xml:space="preserve">Overall, both </w:t>
      </w:r>
      <w:r w:rsidR="00157CF8">
        <w:t>intravenous</w:t>
      </w:r>
      <w:r w:rsidRPr="00404C98">
        <w:t xml:space="preserve"> and </w:t>
      </w:r>
      <w:r w:rsidR="00157CF8">
        <w:t>subcutaneous</w:t>
      </w:r>
      <w:r w:rsidRPr="00404C98">
        <w:t xml:space="preserve"> infusions were completed without interruptions in the great majority of cases</w:t>
      </w:r>
      <w:r w:rsidRPr="00D8101C">
        <w:t>.</w:t>
      </w:r>
    </w:p>
    <w:p w14:paraId="66A79F8F" w14:textId="008899BB" w:rsidR="00790960" w:rsidRDefault="00790960" w:rsidP="00404C98">
      <w:r w:rsidRPr="00404C98">
        <w:t xml:space="preserve">The proportion of subjects treated with </w:t>
      </w:r>
      <w:r>
        <w:t>subcutaneous immunoglobulin</w:t>
      </w:r>
      <w:r w:rsidRPr="00404C98">
        <w:t xml:space="preserve"> 20% in the </w:t>
      </w:r>
      <w:r>
        <w:t>subcutaneous</w:t>
      </w:r>
      <w:r w:rsidRPr="00404C98">
        <w:t xml:space="preserve"> phase in Study GTI1503 was 85.2% </w:t>
      </w:r>
      <w:r>
        <w:t>(</w:t>
      </w:r>
      <w:r w:rsidRPr="00404C98">
        <w:t>52</w:t>
      </w:r>
      <w:r>
        <w:t xml:space="preserve"> out of </w:t>
      </w:r>
      <w:r w:rsidRPr="00404C98">
        <w:t>61</w:t>
      </w:r>
      <w:r>
        <w:t>)</w:t>
      </w:r>
      <w:r w:rsidRPr="00404C98">
        <w:t xml:space="preserve"> and in Study GTI1502 was 83.7% </w:t>
      </w:r>
      <w:r>
        <w:t>(</w:t>
      </w:r>
      <w:r w:rsidRPr="00404C98">
        <w:t>41</w:t>
      </w:r>
      <w:r>
        <w:t xml:space="preserve"> out of </w:t>
      </w:r>
      <w:r w:rsidRPr="00404C98">
        <w:t>49</w:t>
      </w:r>
      <w:r>
        <w:t>).</w:t>
      </w:r>
    </w:p>
    <w:p w14:paraId="2E293F0A" w14:textId="46B46C52" w:rsidR="00716A19" w:rsidRDefault="00790960" w:rsidP="00404C98">
      <w:pPr>
        <w:pStyle w:val="Heading5"/>
      </w:pPr>
      <w:r>
        <w:t>Any treatment-emergent adverse events</w:t>
      </w:r>
    </w:p>
    <w:p w14:paraId="42B3082A" w14:textId="2988010D" w:rsidR="00716A19" w:rsidRPr="00404C98" w:rsidRDefault="00634B85" w:rsidP="00404C98">
      <w:r w:rsidRPr="00BE1940">
        <w:t>Treatment</w:t>
      </w:r>
      <w:r w:rsidR="00CC110B">
        <w:t>-</w:t>
      </w:r>
      <w:r w:rsidRPr="00BE1940">
        <w:t>emergent adverse events</w:t>
      </w:r>
      <w:r w:rsidR="00716A19" w:rsidRPr="00404C98">
        <w:t xml:space="preserve"> </w:t>
      </w:r>
      <w:r w:rsidR="00CC110B">
        <w:t>(TEAEs)</w:t>
      </w:r>
      <w:r w:rsidR="00790960">
        <w:t xml:space="preserve"> irrespective of relationship to treatment were</w:t>
      </w:r>
      <w:r w:rsidR="00CC110B">
        <w:t xml:space="preserve"> </w:t>
      </w:r>
      <w:r w:rsidR="00716A19" w:rsidRPr="00404C98">
        <w:t xml:space="preserve">reported in </w:t>
      </w:r>
      <w:r w:rsidR="00157CF8">
        <w:t>greater than or equal to</w:t>
      </w:r>
      <w:r w:rsidR="00716A19" w:rsidRPr="00404C98">
        <w:t xml:space="preserve"> 10% of subjects in Study GTI1503 were nasopharyngitis (19.7%), infusion site erythema (16.4%), cough (14.8%), upper respiratory tract infection (14.8%), bronchitis (13.1%), infusion site pruritus (13.1%), </w:t>
      </w:r>
      <w:r w:rsidR="00716A19" w:rsidRPr="00404C98">
        <w:lastRenderedPageBreak/>
        <w:t xml:space="preserve">headache (11.5%), pyrexia (11.5%), rhinitis (11.5%), and sinusitis (11.5%). TEAEs reported in </w:t>
      </w:r>
      <w:r w:rsidR="00157CF8">
        <w:t>greater than or equal to</w:t>
      </w:r>
      <w:r w:rsidR="00716A19" w:rsidRPr="00404C98">
        <w:t xml:space="preserve"> 10% of subjects in Study GTI1502 were sinusitis (18.4%), infusion site nodule (12.2%) and upper respiratory tract infection (10.2%).</w:t>
      </w:r>
    </w:p>
    <w:p w14:paraId="694D1017" w14:textId="589F70AE" w:rsidR="00716A19" w:rsidRPr="00404C98" w:rsidRDefault="00716A19" w:rsidP="00404C98">
      <w:r w:rsidRPr="00404C98">
        <w:t xml:space="preserve">The majority of TEAEs in both studies were mild or moderate in severity. Severe TEAEs were reported in </w:t>
      </w:r>
      <w:r w:rsidR="00634B85">
        <w:t>seven</w:t>
      </w:r>
      <w:r w:rsidRPr="00404C98">
        <w:t xml:space="preserve"> (11.5%) subjects in Study GTI1503 (12</w:t>
      </w:r>
      <w:r w:rsidR="00157CF8">
        <w:t xml:space="preserve"> out of </w:t>
      </w:r>
      <w:r w:rsidRPr="00404C98">
        <w:t xml:space="preserve">411 </w:t>
      </w:r>
      <w:r w:rsidR="00157CF8">
        <w:t>(</w:t>
      </w:r>
      <w:r w:rsidRPr="00404C98">
        <w:t>2.9%</w:t>
      </w:r>
      <w:r w:rsidR="00157CF8">
        <w:t>)</w:t>
      </w:r>
      <w:r w:rsidRPr="00404C98">
        <w:t xml:space="preserve"> events) and in </w:t>
      </w:r>
      <w:r w:rsidR="00157CF8">
        <w:t>three</w:t>
      </w:r>
      <w:r w:rsidRPr="00404C98">
        <w:t xml:space="preserve"> subjects (6.1%) in Study GTI1502 (</w:t>
      </w:r>
      <w:r w:rsidR="00FC131F">
        <w:t>5</w:t>
      </w:r>
      <w:r w:rsidR="00157CF8">
        <w:t xml:space="preserve"> out of </w:t>
      </w:r>
      <w:r w:rsidRPr="00404C98">
        <w:t xml:space="preserve">141 </w:t>
      </w:r>
      <w:r w:rsidR="00157CF8">
        <w:t>(</w:t>
      </w:r>
      <w:r w:rsidRPr="00404C98">
        <w:t>3.5%</w:t>
      </w:r>
      <w:r w:rsidR="00157CF8">
        <w:t>)</w:t>
      </w:r>
      <w:r w:rsidRPr="00404C98">
        <w:t xml:space="preserve"> events). In Study GTI1503, severe TEAEs were headache (</w:t>
      </w:r>
      <w:r w:rsidR="00634B85">
        <w:t>three</w:t>
      </w:r>
      <w:r w:rsidRPr="00404C98">
        <w:t xml:space="preserve"> subjects </w:t>
      </w:r>
      <w:r w:rsidR="00157CF8">
        <w:t>(</w:t>
      </w:r>
      <w:r w:rsidRPr="00404C98">
        <w:t>4.9%</w:t>
      </w:r>
      <w:r w:rsidR="00157CF8">
        <w:t>)</w:t>
      </w:r>
      <w:r w:rsidRPr="00404C98">
        <w:t>), infusion site swelling (</w:t>
      </w:r>
      <w:r w:rsidR="00634B85">
        <w:t>one</w:t>
      </w:r>
      <w:r w:rsidRPr="00404C98">
        <w:t xml:space="preserve"> subject </w:t>
      </w:r>
      <w:r w:rsidR="00157CF8">
        <w:t>(</w:t>
      </w:r>
      <w:r w:rsidRPr="00404C98">
        <w:t>1.6%</w:t>
      </w:r>
      <w:r w:rsidR="00157CF8">
        <w:t>)</w:t>
      </w:r>
      <w:r w:rsidRPr="00404C98">
        <w:t>), urinary tract infection (</w:t>
      </w:r>
      <w:r w:rsidR="00634B85">
        <w:t>one</w:t>
      </w:r>
      <w:r w:rsidRPr="00404C98">
        <w:t xml:space="preserve"> subject </w:t>
      </w:r>
      <w:r w:rsidR="00157CF8">
        <w:t>(</w:t>
      </w:r>
      <w:r w:rsidRPr="00404C98">
        <w:t>1.6%</w:t>
      </w:r>
      <w:r w:rsidR="00157CF8">
        <w:t>)</w:t>
      </w:r>
      <w:r w:rsidRPr="00404C98">
        <w:t>), pneumonia (</w:t>
      </w:r>
      <w:r w:rsidR="00634B85">
        <w:t>one</w:t>
      </w:r>
      <w:r w:rsidRPr="00404C98">
        <w:t xml:space="preserve"> subject </w:t>
      </w:r>
      <w:r w:rsidR="00157CF8">
        <w:t>(</w:t>
      </w:r>
      <w:r w:rsidRPr="00404C98">
        <w:t>1.6%</w:t>
      </w:r>
      <w:r w:rsidR="00157CF8">
        <w:t>)</w:t>
      </w:r>
      <w:r w:rsidRPr="00404C98">
        <w:t>), sunburn (</w:t>
      </w:r>
      <w:r w:rsidR="00634B85">
        <w:t>one</w:t>
      </w:r>
      <w:r w:rsidRPr="00404C98">
        <w:t xml:space="preserve"> subject </w:t>
      </w:r>
      <w:r w:rsidR="00157CF8">
        <w:t>(</w:t>
      </w:r>
      <w:r w:rsidRPr="00404C98">
        <w:t>1.6%</w:t>
      </w:r>
      <w:r w:rsidR="00157CF8">
        <w:t>)</w:t>
      </w:r>
      <w:r w:rsidRPr="00404C98">
        <w:t>), back pain (</w:t>
      </w:r>
      <w:r w:rsidR="00634B85">
        <w:t>one</w:t>
      </w:r>
      <w:r w:rsidRPr="00404C98">
        <w:t xml:space="preserve"> subject </w:t>
      </w:r>
      <w:r w:rsidR="00157CF8">
        <w:t>(</w:t>
      </w:r>
      <w:r w:rsidRPr="00404C98">
        <w:t>1.6%</w:t>
      </w:r>
      <w:r w:rsidR="00157CF8">
        <w:t>)</w:t>
      </w:r>
      <w:r w:rsidRPr="00404C98">
        <w:t>), neck pain (</w:t>
      </w:r>
      <w:r w:rsidR="00634B85">
        <w:t>one</w:t>
      </w:r>
      <w:r w:rsidRPr="00404C98">
        <w:t xml:space="preserve"> subject </w:t>
      </w:r>
      <w:r w:rsidR="00157CF8">
        <w:t>(</w:t>
      </w:r>
      <w:r w:rsidRPr="00404C98">
        <w:t>1.6%</w:t>
      </w:r>
      <w:r w:rsidR="00157CF8">
        <w:t>)</w:t>
      </w:r>
      <w:r w:rsidRPr="00404C98">
        <w:t>), and aortic valve incompetence (</w:t>
      </w:r>
      <w:r w:rsidR="00634B85">
        <w:t>one</w:t>
      </w:r>
      <w:r w:rsidRPr="00404C98">
        <w:t xml:space="preserve"> subject </w:t>
      </w:r>
      <w:r w:rsidR="00157CF8">
        <w:t>(</w:t>
      </w:r>
      <w:r w:rsidRPr="00404C98">
        <w:t>1.6%</w:t>
      </w:r>
      <w:r w:rsidR="00157CF8">
        <w:t>)</w:t>
      </w:r>
      <w:r w:rsidRPr="00404C98">
        <w:t>). In Study GTI1502, severe TEAEs were cellulitis (</w:t>
      </w:r>
      <w:r w:rsidR="00634B85">
        <w:t>one</w:t>
      </w:r>
      <w:r w:rsidRPr="00404C98">
        <w:t xml:space="preserve"> subject </w:t>
      </w:r>
      <w:r w:rsidR="00157CF8">
        <w:t>(2</w:t>
      </w:r>
      <w:r w:rsidRPr="00404C98">
        <w:t>%</w:t>
      </w:r>
      <w:r w:rsidR="00157CF8">
        <w:t>)</w:t>
      </w:r>
      <w:r w:rsidRPr="00404C98">
        <w:t>), sepsis (</w:t>
      </w:r>
      <w:r w:rsidR="00634B85">
        <w:t>one</w:t>
      </w:r>
      <w:r w:rsidRPr="00404C98">
        <w:t xml:space="preserve"> subject </w:t>
      </w:r>
      <w:r w:rsidR="00157CF8">
        <w:t>(</w:t>
      </w:r>
      <w:r w:rsidRPr="00404C98">
        <w:t>2%</w:t>
      </w:r>
      <w:r w:rsidR="00157CF8">
        <w:t>)</w:t>
      </w:r>
      <w:r w:rsidRPr="00404C98">
        <w:t>), animal bite (</w:t>
      </w:r>
      <w:r w:rsidR="00634B85">
        <w:t>one</w:t>
      </w:r>
      <w:r w:rsidRPr="00404C98">
        <w:t xml:space="preserve"> subject </w:t>
      </w:r>
      <w:r w:rsidR="00157CF8">
        <w:t>(</w:t>
      </w:r>
      <w:r w:rsidRPr="00404C98">
        <w:t>2%</w:t>
      </w:r>
      <w:r w:rsidR="00157CF8">
        <w:t>)</w:t>
      </w:r>
      <w:r w:rsidRPr="00404C98">
        <w:t>), neck pain (</w:t>
      </w:r>
      <w:r w:rsidR="00634B85">
        <w:t>one</w:t>
      </w:r>
      <w:r w:rsidRPr="00404C98">
        <w:t xml:space="preserve"> subject </w:t>
      </w:r>
      <w:r w:rsidR="00157CF8">
        <w:t>(</w:t>
      </w:r>
      <w:r w:rsidRPr="00404C98">
        <w:t>2%</w:t>
      </w:r>
      <w:r w:rsidR="00157CF8">
        <w:t>)</w:t>
      </w:r>
      <w:r w:rsidRPr="00404C98">
        <w:t>), and polymyalgia rheumatic (</w:t>
      </w:r>
      <w:r w:rsidR="00634B85">
        <w:t>one</w:t>
      </w:r>
      <w:r w:rsidRPr="00404C98">
        <w:t xml:space="preserve"> subject </w:t>
      </w:r>
      <w:r w:rsidR="00157CF8">
        <w:t>(</w:t>
      </w:r>
      <w:r w:rsidRPr="00404C98">
        <w:t>2%</w:t>
      </w:r>
      <w:r w:rsidR="00157CF8">
        <w:t>)</w:t>
      </w:r>
      <w:r w:rsidRPr="00404C98">
        <w:t>).</w:t>
      </w:r>
    </w:p>
    <w:p w14:paraId="4C6F4495" w14:textId="4FB091FB" w:rsidR="00716A19" w:rsidRPr="00404C98" w:rsidRDefault="00716A19" w:rsidP="00404C98">
      <w:r w:rsidRPr="00404C98">
        <w:t xml:space="preserve">In Study GT11503 there were 3045 infusions and 441 TEAEs in the </w:t>
      </w:r>
      <w:r w:rsidR="00157CF8">
        <w:t>subcutaneous immunoglobulin</w:t>
      </w:r>
      <w:r w:rsidRPr="00404C98">
        <w:t xml:space="preserve"> 20% </w:t>
      </w:r>
      <w:r w:rsidR="00157CF8">
        <w:t>subcutaneous</w:t>
      </w:r>
      <w:r w:rsidRPr="00404C98">
        <w:t xml:space="preserve"> phase, resulting in 0.135 TEAEs per infusion. TEAEs in Study GTI1503 with a rate of </w:t>
      </w:r>
      <w:r w:rsidR="00157CF8">
        <w:t>greater than or equal to</w:t>
      </w:r>
      <w:r w:rsidRPr="00404C98">
        <w:t xml:space="preserve"> 0.005 per infusion were infusion site erythema (26 events, 0.009), nasopharyngitis (23 events, 0.008), headache (21 events, 0.007), infusion site pruritus (19 events, 0.006), and upper respiratory tract infection (17 events, 0.006).</w:t>
      </w:r>
    </w:p>
    <w:p w14:paraId="63A6D621" w14:textId="0D0FADF6" w:rsidR="00716A19" w:rsidRDefault="00716A19" w:rsidP="00716A19">
      <w:r>
        <w:t xml:space="preserve">In </w:t>
      </w:r>
      <w:r w:rsidR="00DA19FA">
        <w:t>S</w:t>
      </w:r>
      <w:r>
        <w:t>tudy GT11502</w:t>
      </w:r>
      <w:r w:rsidRPr="001717CB">
        <w:t xml:space="preserve"> the rate of TEAEs per infusion in the </w:t>
      </w:r>
      <w:r w:rsidR="00157CF8">
        <w:t>subcutaneous</w:t>
      </w:r>
      <w:r w:rsidRPr="001717CB">
        <w:t xml:space="preserve"> phase was 0.134 (141 TEAEs over a total of 1053 infusions). TEAEs in Study GTI1502 with a rate of </w:t>
      </w:r>
      <w:r w:rsidR="00157CF8">
        <w:t>greater than or equal to</w:t>
      </w:r>
      <w:r w:rsidRPr="001717CB">
        <w:t xml:space="preserve"> 0.005 per infusion were sinusitis (10 events, 0.009), infusion site nodule (</w:t>
      </w:r>
      <w:r w:rsidR="00366542">
        <w:t>nine</w:t>
      </w:r>
      <w:r w:rsidRPr="001717CB">
        <w:t xml:space="preserve"> events, 0.009), upper respiratory tract infection (</w:t>
      </w:r>
      <w:r w:rsidR="00366542">
        <w:t>six</w:t>
      </w:r>
      <w:r w:rsidRPr="001717CB">
        <w:t xml:space="preserve"> events, 0.006), infusion site rash (</w:t>
      </w:r>
      <w:r w:rsidR="00366542">
        <w:t>five</w:t>
      </w:r>
      <w:r w:rsidRPr="001717CB">
        <w:t xml:space="preserve"> events, 0.005), and infusion site scab (</w:t>
      </w:r>
      <w:r w:rsidR="00366542">
        <w:t>five</w:t>
      </w:r>
      <w:r w:rsidRPr="001717CB">
        <w:t xml:space="preserve"> events, 0.005).</w:t>
      </w:r>
    </w:p>
    <w:p w14:paraId="2D918139" w14:textId="5FC21F10" w:rsidR="00CC110B" w:rsidRDefault="00CC110B" w:rsidP="00744A82">
      <w:pPr>
        <w:pStyle w:val="Heading5"/>
      </w:pPr>
      <w:r>
        <w:t>Local infusion site reactions</w:t>
      </w:r>
    </w:p>
    <w:p w14:paraId="30D92180" w14:textId="630E9BFB" w:rsidR="00790960" w:rsidRDefault="00714203" w:rsidP="00744A82">
      <w:pPr>
        <w:pStyle w:val="Heading6"/>
      </w:pPr>
      <w:r>
        <w:t>All</w:t>
      </w:r>
      <w:r w:rsidR="00790960">
        <w:t xml:space="preserve"> l</w:t>
      </w:r>
      <w:r w:rsidR="00716A19" w:rsidRPr="001717CB">
        <w:t>ocal infusion site reaction</w:t>
      </w:r>
      <w:r>
        <w:t>s</w:t>
      </w:r>
    </w:p>
    <w:p w14:paraId="2942B5DF" w14:textId="5C4183CD" w:rsidR="00716A19" w:rsidRPr="00404C98" w:rsidRDefault="00716A19" w:rsidP="00790960">
      <w:r w:rsidRPr="00404C98">
        <w:t xml:space="preserve">The total number of local </w:t>
      </w:r>
      <w:r w:rsidR="00634B85">
        <w:t>i</w:t>
      </w:r>
      <w:r w:rsidR="00634B85" w:rsidRPr="00634B85">
        <w:t>n</w:t>
      </w:r>
      <w:r w:rsidR="00634B85">
        <w:t>fusion</w:t>
      </w:r>
      <w:r w:rsidR="00634B85" w:rsidRPr="00634B85">
        <w:t xml:space="preserve"> site reaction</w:t>
      </w:r>
      <w:r w:rsidR="00634B85">
        <w:t>s</w:t>
      </w:r>
      <w:r w:rsidR="00634B85" w:rsidRPr="00634B85">
        <w:t xml:space="preserve"> </w:t>
      </w:r>
      <w:r w:rsidR="00790960" w:rsidRPr="001717CB">
        <w:t xml:space="preserve">irrespective of </w:t>
      </w:r>
      <w:r w:rsidR="00790960">
        <w:t>TEAE event status</w:t>
      </w:r>
      <w:r w:rsidR="00790960" w:rsidDel="00CC110B">
        <w:t xml:space="preserve"> </w:t>
      </w:r>
      <w:bookmarkStart w:id="49" w:name="_Hlk100836275"/>
      <w:r w:rsidRPr="00404C98">
        <w:t xml:space="preserve">in Study GTI1503 </w:t>
      </w:r>
      <w:bookmarkEnd w:id="49"/>
      <w:r w:rsidRPr="00404C98">
        <w:t>was 1250 over 3045 infusions (rate per infusion = 0.411).</w:t>
      </w:r>
    </w:p>
    <w:p w14:paraId="7F47E567" w14:textId="586A2B8F" w:rsidR="00716A19" w:rsidRPr="00404C98" w:rsidRDefault="00716A19" w:rsidP="00404C98">
      <w:r w:rsidRPr="00404C98">
        <w:t xml:space="preserve">The total number of localised </w:t>
      </w:r>
      <w:r w:rsidR="00790960">
        <w:t>infusion site reactions</w:t>
      </w:r>
      <w:r w:rsidR="00790960" w:rsidRPr="00404C98">
        <w:t xml:space="preserve"> </w:t>
      </w:r>
      <w:r w:rsidRPr="00404C98">
        <w:t>in Study GTI1502 was 390 over 1053 infusions (rate per infusion = 0.370)</w:t>
      </w:r>
      <w:r w:rsidR="00404C98" w:rsidRPr="00404C98">
        <w:t>.</w:t>
      </w:r>
    </w:p>
    <w:p w14:paraId="0438A5DF" w14:textId="1E7B5607" w:rsidR="00716A19" w:rsidRPr="00404C98" w:rsidRDefault="00714203" w:rsidP="00744A82">
      <w:pPr>
        <w:pStyle w:val="Heading6"/>
      </w:pPr>
      <w:r>
        <w:t>T</w:t>
      </w:r>
      <w:r w:rsidR="00634B85" w:rsidRPr="00634B85">
        <w:t>reatment</w:t>
      </w:r>
      <w:r>
        <w:t>-</w:t>
      </w:r>
      <w:r w:rsidR="00634B85" w:rsidRPr="00634B85">
        <w:t xml:space="preserve">emergent </w:t>
      </w:r>
      <w:r>
        <w:t>local infusion site reactions</w:t>
      </w:r>
    </w:p>
    <w:p w14:paraId="0C3FFC76" w14:textId="526727D1" w:rsidR="00716A19" w:rsidRPr="00404C98" w:rsidRDefault="00716A19" w:rsidP="00404C98">
      <w:r w:rsidRPr="00404C98">
        <w:t xml:space="preserve">Local </w:t>
      </w:r>
      <w:r w:rsidR="00CC110B">
        <w:t>i</w:t>
      </w:r>
      <w:r w:rsidR="00CC110B" w:rsidRPr="00634B85">
        <w:t>n</w:t>
      </w:r>
      <w:r w:rsidR="00CC110B">
        <w:t>fusion</w:t>
      </w:r>
      <w:r w:rsidR="00CC110B" w:rsidRPr="00634B85">
        <w:t xml:space="preserve"> site reaction</w:t>
      </w:r>
      <w:r w:rsidR="00CC110B">
        <w:t>s</w:t>
      </w:r>
      <w:r w:rsidR="00CC110B" w:rsidRPr="00634B85">
        <w:t xml:space="preserve"> </w:t>
      </w:r>
      <w:r w:rsidRPr="00404C98">
        <w:t>were only considered to be TEAEs if they met the protocol specified criteria.</w:t>
      </w:r>
      <w:r w:rsidR="00C1148F">
        <w:t xml:space="preserve"> </w:t>
      </w:r>
      <w:r w:rsidRPr="00404C98">
        <w:t xml:space="preserve">Local </w:t>
      </w:r>
      <w:r w:rsidR="00CC110B">
        <w:t>i</w:t>
      </w:r>
      <w:r w:rsidR="00CC110B" w:rsidRPr="00634B85">
        <w:t>n</w:t>
      </w:r>
      <w:r w:rsidR="00CC110B">
        <w:t>fusion</w:t>
      </w:r>
      <w:r w:rsidR="00CC110B" w:rsidRPr="00634B85">
        <w:t xml:space="preserve"> site reaction</w:t>
      </w:r>
      <w:r w:rsidR="00CC110B">
        <w:t>s</w:t>
      </w:r>
      <w:r w:rsidR="00CC110B" w:rsidRPr="00634B85">
        <w:t xml:space="preserve"> </w:t>
      </w:r>
      <w:r w:rsidRPr="00404C98">
        <w:t xml:space="preserve">classified as TEAEs in the </w:t>
      </w:r>
      <w:r w:rsidR="00366542">
        <w:t>subcutaneous</w:t>
      </w:r>
      <w:r w:rsidRPr="00404C98">
        <w:t xml:space="preserve"> phase were reported in 21 subjects (34.4%) in Study GTI1503</w:t>
      </w:r>
      <w:r w:rsidR="00DE529E">
        <w:t>.</w:t>
      </w:r>
      <w:r w:rsidRPr="00404C98">
        <w:t xml:space="preserve"> The rate of local </w:t>
      </w:r>
      <w:r w:rsidR="00CC110B">
        <w:t>i</w:t>
      </w:r>
      <w:r w:rsidR="00CC110B" w:rsidRPr="00634B85">
        <w:t>n</w:t>
      </w:r>
      <w:r w:rsidR="00CC110B">
        <w:t>fusion</w:t>
      </w:r>
      <w:r w:rsidR="00CC110B" w:rsidRPr="00634B85">
        <w:t xml:space="preserve"> site reaction</w:t>
      </w:r>
      <w:r w:rsidR="00CC110B">
        <w:t>s</w:t>
      </w:r>
      <w:r w:rsidR="00CC110B" w:rsidRPr="00634B85">
        <w:t xml:space="preserve"> </w:t>
      </w:r>
      <w:r w:rsidRPr="00404C98">
        <w:t xml:space="preserve">per infusion considered to be TEAEs in the </w:t>
      </w:r>
      <w:r w:rsidR="00366542">
        <w:t>subcutaneous</w:t>
      </w:r>
      <w:r w:rsidRPr="00404C98">
        <w:t xml:space="preserve"> phase was 0.029 (87 localised </w:t>
      </w:r>
      <w:r w:rsidR="00714203">
        <w:t xml:space="preserve">infusion site reactions </w:t>
      </w:r>
      <w:r w:rsidRPr="00404C98">
        <w:t>considered to be TEAEs in 3045 infusions). These were infusion site erythema (26 infusions, 0.009</w:t>
      </w:r>
      <w:r w:rsidR="007F5B54">
        <w:t xml:space="preserve"> per</w:t>
      </w:r>
      <w:r w:rsidR="00366542">
        <w:t xml:space="preserve"> </w:t>
      </w:r>
      <w:r w:rsidRPr="00404C98">
        <w:t>infusion), infusion site pruritus (19 infusions, 0.006</w:t>
      </w:r>
      <w:r w:rsidR="00366542">
        <w:t xml:space="preserve"> per </w:t>
      </w:r>
      <w:r w:rsidRPr="00404C98">
        <w:t>infusion), infusion site swelling (11 infusions, 0.004</w:t>
      </w:r>
      <w:r w:rsidR="00366542">
        <w:t xml:space="preserve"> per </w:t>
      </w:r>
      <w:r w:rsidRPr="00404C98">
        <w:t>infusion), infusion site induration (</w:t>
      </w:r>
      <w:r w:rsidR="00050FC4">
        <w:t>six</w:t>
      </w:r>
      <w:r w:rsidRPr="00404C98">
        <w:t xml:space="preserve"> infusions, 0.002</w:t>
      </w:r>
      <w:r w:rsidR="00366542">
        <w:t xml:space="preserve"> per </w:t>
      </w:r>
      <w:r w:rsidRPr="00404C98">
        <w:t>infusion), infusion site pain (</w:t>
      </w:r>
      <w:r w:rsidR="00050FC4">
        <w:t>five</w:t>
      </w:r>
      <w:r w:rsidRPr="00404C98">
        <w:t xml:space="preserve"> infusions, 0.002</w:t>
      </w:r>
      <w:r w:rsidR="00366542">
        <w:t xml:space="preserve"> per </w:t>
      </w:r>
      <w:r w:rsidRPr="00404C98">
        <w:t>infusion), and infusion site mass (</w:t>
      </w:r>
      <w:r w:rsidR="00050FC4">
        <w:t>three</w:t>
      </w:r>
      <w:r w:rsidRPr="00404C98">
        <w:t xml:space="preserve"> infusions, 0.001</w:t>
      </w:r>
      <w:r w:rsidR="00366542">
        <w:t xml:space="preserve"> per </w:t>
      </w:r>
      <w:r w:rsidRPr="00404C98">
        <w:t>infusion).</w:t>
      </w:r>
    </w:p>
    <w:p w14:paraId="0DC4E0EF" w14:textId="4ADC96AA" w:rsidR="00716A19" w:rsidRPr="00404C98" w:rsidRDefault="00716A19" w:rsidP="00404C98">
      <w:r w:rsidRPr="00404C98">
        <w:t xml:space="preserve">Local </w:t>
      </w:r>
      <w:r w:rsidR="00CC110B">
        <w:t>i</w:t>
      </w:r>
      <w:r w:rsidR="00CC110B" w:rsidRPr="00634B85">
        <w:t>n</w:t>
      </w:r>
      <w:r w:rsidR="00CC110B">
        <w:t>fusion</w:t>
      </w:r>
      <w:r w:rsidR="00CC110B" w:rsidRPr="00634B85">
        <w:t xml:space="preserve"> site reaction</w:t>
      </w:r>
      <w:r w:rsidR="00CC110B">
        <w:t>s</w:t>
      </w:r>
      <w:r w:rsidR="00CC110B" w:rsidRPr="00634B85">
        <w:t xml:space="preserve"> </w:t>
      </w:r>
      <w:r w:rsidRPr="00404C98">
        <w:t xml:space="preserve">classified as TEAEs in the </w:t>
      </w:r>
      <w:r w:rsidR="00366542">
        <w:t>subcutaneous</w:t>
      </w:r>
      <w:r w:rsidRPr="00404C98">
        <w:t xml:space="preserve"> phase were reported in 16 subjects (32.7%) in Study GT11502. The rate of local </w:t>
      </w:r>
      <w:r w:rsidR="00CC110B">
        <w:t>i</w:t>
      </w:r>
      <w:r w:rsidR="00CC110B" w:rsidRPr="00634B85">
        <w:t>n</w:t>
      </w:r>
      <w:r w:rsidR="00CC110B">
        <w:t>fusion</w:t>
      </w:r>
      <w:r w:rsidR="00CC110B" w:rsidRPr="00634B85">
        <w:t xml:space="preserve"> site reaction</w:t>
      </w:r>
      <w:r w:rsidR="00CC110B">
        <w:t>s</w:t>
      </w:r>
      <w:r w:rsidR="00CC110B" w:rsidRPr="00634B85">
        <w:t xml:space="preserve"> </w:t>
      </w:r>
      <w:r w:rsidRPr="00404C98">
        <w:t xml:space="preserve">per infusion considered to be TEAEs in the </w:t>
      </w:r>
      <w:r w:rsidR="00366542">
        <w:t>subcutaneous</w:t>
      </w:r>
      <w:r w:rsidRPr="00404C98">
        <w:t xml:space="preserve"> phase was 0.039 in Study GTI1502 (41 localised </w:t>
      </w:r>
      <w:r w:rsidR="00CC110B">
        <w:t>i</w:t>
      </w:r>
      <w:r w:rsidR="00CC110B" w:rsidRPr="00634B85">
        <w:t>n</w:t>
      </w:r>
      <w:r w:rsidR="00CC110B">
        <w:t>fusion</w:t>
      </w:r>
      <w:r w:rsidR="00CC110B" w:rsidRPr="00634B85">
        <w:t xml:space="preserve"> site reaction</w:t>
      </w:r>
      <w:r w:rsidR="00CC110B">
        <w:t>s</w:t>
      </w:r>
      <w:r w:rsidR="00CC110B" w:rsidRPr="00634B85">
        <w:t xml:space="preserve"> </w:t>
      </w:r>
      <w:r w:rsidRPr="00404C98">
        <w:t>considered to be TEAEs in 1053 infusions). These were infusion site nodule (</w:t>
      </w:r>
      <w:r w:rsidR="00050FC4">
        <w:t>nine</w:t>
      </w:r>
      <w:r w:rsidRPr="00404C98">
        <w:t xml:space="preserve"> infusions, 0.009</w:t>
      </w:r>
      <w:r w:rsidR="00366542">
        <w:t xml:space="preserve"> per </w:t>
      </w:r>
      <w:r w:rsidRPr="00404C98">
        <w:t>infusion), infusion site rash (</w:t>
      </w:r>
      <w:r w:rsidR="00050FC4">
        <w:t>five</w:t>
      </w:r>
      <w:r w:rsidRPr="00404C98">
        <w:t xml:space="preserve"> infusions, 0.005</w:t>
      </w:r>
      <w:r w:rsidR="00366542">
        <w:t xml:space="preserve"> per </w:t>
      </w:r>
      <w:r w:rsidRPr="00404C98">
        <w:t>infusion), infusion site scab (</w:t>
      </w:r>
      <w:r w:rsidR="00050FC4">
        <w:t>five</w:t>
      </w:r>
      <w:r w:rsidRPr="00404C98">
        <w:t xml:space="preserve"> infusions, 0.005</w:t>
      </w:r>
      <w:r w:rsidR="00366542">
        <w:t xml:space="preserve"> per </w:t>
      </w:r>
      <w:r w:rsidRPr="00404C98">
        <w:t>infusion), infusion site urticaria (</w:t>
      </w:r>
      <w:r w:rsidR="00050FC4">
        <w:t>four</w:t>
      </w:r>
      <w:r w:rsidRPr="00404C98">
        <w:t xml:space="preserve"> infusions, 0.004</w:t>
      </w:r>
      <w:r w:rsidR="00366542">
        <w:t xml:space="preserve"> per </w:t>
      </w:r>
      <w:r w:rsidRPr="00404C98">
        <w:t>infusion), infusion site bruising (</w:t>
      </w:r>
      <w:r w:rsidR="00050FC4">
        <w:t>three</w:t>
      </w:r>
      <w:r w:rsidRPr="00404C98">
        <w:t xml:space="preserve"> infusions, 0.003</w:t>
      </w:r>
      <w:r w:rsidR="00366542">
        <w:t xml:space="preserve"> per </w:t>
      </w:r>
      <w:r w:rsidRPr="00404C98">
        <w:t>infusion), and infusion site pain (</w:t>
      </w:r>
      <w:r w:rsidR="00050FC4">
        <w:t>three</w:t>
      </w:r>
      <w:r w:rsidRPr="00404C98">
        <w:t xml:space="preserve"> infusions, 0.003</w:t>
      </w:r>
      <w:r w:rsidR="00366542">
        <w:t xml:space="preserve"> per </w:t>
      </w:r>
      <w:r w:rsidRPr="00404C98">
        <w:t>infusion).</w:t>
      </w:r>
    </w:p>
    <w:p w14:paraId="54F5EECA" w14:textId="0C4DCFC7" w:rsidR="00716A19" w:rsidRPr="00404C98" w:rsidRDefault="00714203" w:rsidP="00F20E26">
      <w:pPr>
        <w:pStyle w:val="Heading6"/>
      </w:pPr>
      <w:r>
        <w:lastRenderedPageBreak/>
        <w:t>Non-</w:t>
      </w:r>
      <w:r w:rsidR="00050FC4" w:rsidRPr="00050FC4">
        <w:t>treatment</w:t>
      </w:r>
      <w:r>
        <w:t>-</w:t>
      </w:r>
      <w:r w:rsidR="00050FC4" w:rsidRPr="00050FC4">
        <w:t xml:space="preserve">emergent </w:t>
      </w:r>
      <w:r>
        <w:t>local infusion site reactions</w:t>
      </w:r>
    </w:p>
    <w:p w14:paraId="79D69D89" w14:textId="5339DB42" w:rsidR="00716A19" w:rsidRPr="00404C98" w:rsidRDefault="00716A19" w:rsidP="00404C98">
      <w:r w:rsidRPr="00404C98">
        <w:t xml:space="preserve">Local </w:t>
      </w:r>
      <w:r w:rsidR="00CC110B">
        <w:t>i</w:t>
      </w:r>
      <w:r w:rsidR="00CC110B" w:rsidRPr="00634B85">
        <w:t>n</w:t>
      </w:r>
      <w:r w:rsidR="00CC110B">
        <w:t>fusion</w:t>
      </w:r>
      <w:r w:rsidR="00CC110B" w:rsidRPr="00634B85">
        <w:t xml:space="preserve"> site reaction</w:t>
      </w:r>
      <w:r w:rsidR="00CC110B">
        <w:t>s</w:t>
      </w:r>
      <w:r w:rsidR="00CC110B" w:rsidRPr="00634B85">
        <w:t xml:space="preserve"> </w:t>
      </w:r>
      <w:r w:rsidRPr="00404C98">
        <w:t xml:space="preserve">not meeting the protocol specified criteria for classification as a TEAE in the </w:t>
      </w:r>
      <w:r w:rsidR="00366542">
        <w:t>subcutaneous</w:t>
      </w:r>
      <w:r w:rsidRPr="00404C98">
        <w:t xml:space="preserve"> phase were reported in 40 (65.5%) subjects in Study GTI1503 (1163 non-TEAE </w:t>
      </w:r>
      <w:r w:rsidR="00CC110B">
        <w:t>i</w:t>
      </w:r>
      <w:r w:rsidR="00CC110B" w:rsidRPr="00634B85">
        <w:t>n</w:t>
      </w:r>
      <w:r w:rsidR="00CC110B">
        <w:t>fusion</w:t>
      </w:r>
      <w:r w:rsidR="00CC110B" w:rsidRPr="00634B85">
        <w:t xml:space="preserve"> site reaction</w:t>
      </w:r>
      <w:r w:rsidR="00CC110B">
        <w:t>s</w:t>
      </w:r>
      <w:r w:rsidRPr="00404C98">
        <w:t>) and 27 (55.1%) subjects in Study GTI1502 (349</w:t>
      </w:r>
      <w:r w:rsidR="00CC110B">
        <w:t> </w:t>
      </w:r>
      <w:r w:rsidRPr="00404C98">
        <w:t xml:space="preserve">non-TEAE </w:t>
      </w:r>
      <w:r w:rsidR="00CC110B">
        <w:t>i</w:t>
      </w:r>
      <w:r w:rsidR="00CC110B" w:rsidRPr="00634B85">
        <w:t>n</w:t>
      </w:r>
      <w:r w:rsidR="00CC110B">
        <w:t>fusion</w:t>
      </w:r>
      <w:r w:rsidR="00CC110B" w:rsidRPr="00634B85">
        <w:t xml:space="preserve"> site reaction</w:t>
      </w:r>
      <w:r w:rsidR="00CC110B">
        <w:t>s</w:t>
      </w:r>
      <w:r w:rsidRPr="00404C98">
        <w:t xml:space="preserve">). The rate of non-TEAE local </w:t>
      </w:r>
      <w:r w:rsidR="00CC110B">
        <w:t>i</w:t>
      </w:r>
      <w:r w:rsidR="00CC110B" w:rsidRPr="00634B85">
        <w:t>n</w:t>
      </w:r>
      <w:r w:rsidR="00CC110B">
        <w:t>fusion</w:t>
      </w:r>
      <w:r w:rsidR="00CC110B" w:rsidRPr="00634B85">
        <w:t xml:space="preserve"> site reaction</w:t>
      </w:r>
      <w:r w:rsidR="00CC110B">
        <w:t>s</w:t>
      </w:r>
      <w:r w:rsidR="00CC110B" w:rsidRPr="00634B85">
        <w:t xml:space="preserve"> </w:t>
      </w:r>
      <w:r w:rsidRPr="00404C98">
        <w:t xml:space="preserve">per infusion during the </w:t>
      </w:r>
      <w:r w:rsidR="00366542">
        <w:t>subcutaneous</w:t>
      </w:r>
      <w:r w:rsidRPr="00404C98">
        <w:t xml:space="preserve"> phase was similar in the two studies (0.382 in Study</w:t>
      </w:r>
      <w:r w:rsidR="00CC110B">
        <w:t> </w:t>
      </w:r>
      <w:r w:rsidRPr="00404C98">
        <w:t>GTI1503 and 0.331 in Study GTI1502).</w:t>
      </w:r>
    </w:p>
    <w:p w14:paraId="39668F06" w14:textId="06811D51" w:rsidR="00716A19" w:rsidRPr="00404C98" w:rsidRDefault="00716A19" w:rsidP="00404C98">
      <w:pPr>
        <w:pStyle w:val="Heading5"/>
      </w:pPr>
      <w:r w:rsidRPr="00DE35E5">
        <w:t xml:space="preserve">Adverse </w:t>
      </w:r>
      <w:r w:rsidR="00CC110B">
        <w:t xml:space="preserve">drug </w:t>
      </w:r>
      <w:r w:rsidRPr="00DE35E5">
        <w:t>reactions</w:t>
      </w:r>
    </w:p>
    <w:p w14:paraId="2E89B591" w14:textId="26728828" w:rsidR="00716A19" w:rsidRPr="00404C98" w:rsidRDefault="00716A19" w:rsidP="00404C98">
      <w:r w:rsidRPr="00404C98">
        <w:t xml:space="preserve">In the </w:t>
      </w:r>
      <w:r w:rsidR="00366542">
        <w:t>subcutaneous</w:t>
      </w:r>
      <w:r w:rsidRPr="00404C98">
        <w:t xml:space="preserve"> phase, </w:t>
      </w:r>
      <w:r w:rsidR="00050FC4">
        <w:t xml:space="preserve">adverse </w:t>
      </w:r>
      <w:r w:rsidR="00CC110B">
        <w:t xml:space="preserve">drug </w:t>
      </w:r>
      <w:r w:rsidR="00050FC4">
        <w:t xml:space="preserve">reactions </w:t>
      </w:r>
      <w:r w:rsidRPr="00404C98">
        <w:t>were reported in Study GTI1503 in 19</w:t>
      </w:r>
      <w:r w:rsidR="00CC110B">
        <w:t> </w:t>
      </w:r>
      <w:r w:rsidRPr="00404C98">
        <w:t xml:space="preserve">subjects (31.1%). In Study GTI1503, </w:t>
      </w:r>
      <w:r w:rsidR="00CC110B">
        <w:t>adverse drug reactions</w:t>
      </w:r>
      <w:r w:rsidR="00CC110B" w:rsidRPr="00404C98">
        <w:t xml:space="preserve"> </w:t>
      </w:r>
      <w:r w:rsidRPr="00404C98">
        <w:t xml:space="preserve">reported in </w:t>
      </w:r>
      <w:r w:rsidR="00366542">
        <w:t>greater than or equal to</w:t>
      </w:r>
      <w:r w:rsidRPr="00404C98">
        <w:t xml:space="preserve"> </w:t>
      </w:r>
      <w:r w:rsidR="00366542">
        <w:t>two</w:t>
      </w:r>
      <w:r w:rsidRPr="00404C98">
        <w:t xml:space="preserve"> subjects were infusion site erythema (</w:t>
      </w:r>
      <w:r w:rsidR="00050FC4">
        <w:t>nine</w:t>
      </w:r>
      <w:r w:rsidRPr="00404C98">
        <w:t xml:space="preserve"> subjects, 14.8%), infusion site pruritus (</w:t>
      </w:r>
      <w:r w:rsidR="00050FC4">
        <w:t>eight</w:t>
      </w:r>
      <w:r w:rsidRPr="00404C98">
        <w:t xml:space="preserve"> subjects, 13.1%), infusion site pain (</w:t>
      </w:r>
      <w:r w:rsidR="00050FC4">
        <w:t>four</w:t>
      </w:r>
      <w:r w:rsidRPr="00404C98">
        <w:t xml:space="preserve"> subjects, 6.6%), infusion site swelling (</w:t>
      </w:r>
      <w:r w:rsidR="00050FC4">
        <w:t>four</w:t>
      </w:r>
      <w:r w:rsidRPr="00404C98">
        <w:t xml:space="preserve"> subjects, 6.6%), infusion site mass (</w:t>
      </w:r>
      <w:r w:rsidR="00050FC4">
        <w:t>three</w:t>
      </w:r>
      <w:r w:rsidRPr="00404C98">
        <w:t xml:space="preserve"> subjects, 4.9%), infusion site extravasation (</w:t>
      </w:r>
      <w:r w:rsidR="00050FC4">
        <w:t>two</w:t>
      </w:r>
      <w:r w:rsidRPr="00404C98">
        <w:t xml:space="preserve"> subjects, 3.3%), infusion site induration (</w:t>
      </w:r>
      <w:r w:rsidR="00050FC4">
        <w:t>two</w:t>
      </w:r>
      <w:r w:rsidRPr="00404C98">
        <w:t xml:space="preserve"> subjects, 3.3%), and blood </w:t>
      </w:r>
      <w:r w:rsidR="00366542">
        <w:t xml:space="preserve">immunoglobulin </w:t>
      </w:r>
      <w:r w:rsidRPr="00404C98">
        <w:t>G decreased (</w:t>
      </w:r>
      <w:r w:rsidR="00050FC4">
        <w:t>two</w:t>
      </w:r>
      <w:r w:rsidRPr="00404C98">
        <w:t xml:space="preserve"> subjects, 3.3%).</w:t>
      </w:r>
    </w:p>
    <w:p w14:paraId="74075417" w14:textId="6AF4997B" w:rsidR="00716A19" w:rsidRPr="00404C98" w:rsidRDefault="00716A19" w:rsidP="00404C98">
      <w:r w:rsidRPr="00404C98">
        <w:t xml:space="preserve">In the </w:t>
      </w:r>
      <w:r w:rsidR="00366542">
        <w:t>subcutaneous</w:t>
      </w:r>
      <w:r w:rsidRPr="00404C98">
        <w:t xml:space="preserve"> phase, </w:t>
      </w:r>
      <w:r w:rsidR="00CC110B">
        <w:t xml:space="preserve">adverse drug reactions </w:t>
      </w:r>
      <w:r w:rsidRPr="00404C98">
        <w:t>were reported in Study GTI1502 in 14</w:t>
      </w:r>
      <w:r w:rsidR="00CC110B">
        <w:t> </w:t>
      </w:r>
      <w:r w:rsidRPr="00404C98">
        <w:t xml:space="preserve">subjects (28.6%). </w:t>
      </w:r>
      <w:r w:rsidR="00CC110B">
        <w:t xml:space="preserve">Adverse drug reactions </w:t>
      </w:r>
      <w:r w:rsidRPr="00404C98">
        <w:t xml:space="preserve">reported in </w:t>
      </w:r>
      <w:r w:rsidR="00366542">
        <w:t>greater than or equal to two</w:t>
      </w:r>
      <w:r w:rsidRPr="00404C98">
        <w:t xml:space="preserve"> subjects were infusion site nodule (</w:t>
      </w:r>
      <w:r w:rsidR="00050FC4">
        <w:t>five</w:t>
      </w:r>
      <w:r w:rsidRPr="00404C98">
        <w:t xml:space="preserve"> subjects, 10.2%), infusion site bruising (</w:t>
      </w:r>
      <w:r w:rsidR="00050FC4">
        <w:t>three</w:t>
      </w:r>
      <w:r w:rsidRPr="00404C98">
        <w:t xml:space="preserve"> subjects, 6.1%), infusion site pain (</w:t>
      </w:r>
      <w:r w:rsidR="00050FC4">
        <w:t>three</w:t>
      </w:r>
      <w:r w:rsidRPr="00404C98">
        <w:t xml:space="preserve"> subjects, 6.1%), infusion site rash (</w:t>
      </w:r>
      <w:r w:rsidR="00050FC4">
        <w:t>two</w:t>
      </w:r>
      <w:r w:rsidRPr="00404C98">
        <w:t xml:space="preserve"> subjects, 4.1%), and infusion site scab (</w:t>
      </w:r>
      <w:r w:rsidR="00050FC4">
        <w:t>two</w:t>
      </w:r>
      <w:r w:rsidRPr="00404C98">
        <w:t xml:space="preserve"> subjects, 4.1%).</w:t>
      </w:r>
    </w:p>
    <w:p w14:paraId="5831DD15" w14:textId="11FEB1EB" w:rsidR="00716A19" w:rsidRPr="00404C98" w:rsidRDefault="00716A19" w:rsidP="00404C98">
      <w:pPr>
        <w:pStyle w:val="Heading5"/>
      </w:pPr>
      <w:r>
        <w:t xml:space="preserve">Serious adverse events </w:t>
      </w:r>
    </w:p>
    <w:p w14:paraId="0BFB49AC" w14:textId="35CF6586" w:rsidR="00716A19" w:rsidRPr="00404C98" w:rsidRDefault="00716A19" w:rsidP="00404C98">
      <w:bookmarkStart w:id="50" w:name="_Hlk100837957"/>
      <w:r w:rsidRPr="00404C98">
        <w:t xml:space="preserve">In Study GT11503 </w:t>
      </w:r>
      <w:bookmarkEnd w:id="50"/>
      <w:r w:rsidRPr="00404C98">
        <w:t xml:space="preserve">in the </w:t>
      </w:r>
      <w:r w:rsidR="00366542">
        <w:t>subcutaneous</w:t>
      </w:r>
      <w:r w:rsidRPr="00404C98">
        <w:t xml:space="preserve"> phase, there were </w:t>
      </w:r>
      <w:r w:rsidR="00050FC4">
        <w:t>seven</w:t>
      </w:r>
      <w:r w:rsidRPr="00404C98">
        <w:t xml:space="preserve"> (11.5%) subjects with a total of </w:t>
      </w:r>
      <w:r w:rsidR="00CC110B">
        <w:t>7</w:t>
      </w:r>
      <w:r w:rsidR="00CC110B" w:rsidRPr="00404C98">
        <w:t xml:space="preserve"> </w:t>
      </w:r>
      <w:r w:rsidRPr="00404C98">
        <w:t>treatment</w:t>
      </w:r>
      <w:r w:rsidR="00CC110B">
        <w:t>-</w:t>
      </w:r>
      <w:r w:rsidRPr="00404C98">
        <w:t xml:space="preserve">emergent </w:t>
      </w:r>
      <w:r w:rsidR="00CC110B">
        <w:t>serious adverse events</w:t>
      </w:r>
      <w:r w:rsidRPr="00404C98">
        <w:t>, all unrelated to study drug. In Study</w:t>
      </w:r>
      <w:r w:rsidR="00CC110B">
        <w:t> </w:t>
      </w:r>
      <w:r w:rsidRPr="00404C98">
        <w:t xml:space="preserve">GT11502 in the </w:t>
      </w:r>
      <w:r w:rsidR="00366542">
        <w:t>subcutaneous</w:t>
      </w:r>
      <w:r w:rsidRPr="00404C98">
        <w:t xml:space="preserve"> phase, there were </w:t>
      </w:r>
      <w:r w:rsidR="00050FC4">
        <w:t>two</w:t>
      </w:r>
      <w:r w:rsidRPr="00404C98">
        <w:t xml:space="preserve"> (4.1%) subjects with </w:t>
      </w:r>
      <w:r w:rsidR="00CC110B">
        <w:t>4</w:t>
      </w:r>
      <w:r w:rsidR="00CC110B" w:rsidRPr="00404C98">
        <w:t xml:space="preserve"> </w:t>
      </w:r>
      <w:r w:rsidR="00CC110B">
        <w:t>serious adverse events</w:t>
      </w:r>
      <w:r w:rsidRPr="00404C98">
        <w:t>, all unrelated to study drug. There were no deaths reported in either Study</w:t>
      </w:r>
      <w:r w:rsidR="00CC110B">
        <w:t> </w:t>
      </w:r>
      <w:r w:rsidRPr="00404C98">
        <w:t>GT11503 or GT11502.</w:t>
      </w:r>
    </w:p>
    <w:p w14:paraId="4245F332" w14:textId="15A64988" w:rsidR="00716A19" w:rsidRPr="00404C98" w:rsidRDefault="00714203" w:rsidP="00404C98">
      <w:pPr>
        <w:pStyle w:val="Heading5"/>
      </w:pPr>
      <w:r>
        <w:t xml:space="preserve">Discontinuation due to </w:t>
      </w:r>
      <w:r w:rsidR="00050FC4" w:rsidRPr="00050FC4">
        <w:t>treatment</w:t>
      </w:r>
      <w:r w:rsidR="00CC110B">
        <w:t>-</w:t>
      </w:r>
      <w:r w:rsidR="00050FC4" w:rsidRPr="00050FC4">
        <w:t>emergent adverse events</w:t>
      </w:r>
    </w:p>
    <w:p w14:paraId="108FA959" w14:textId="275F99BC" w:rsidR="00716A19" w:rsidRPr="00404C98" w:rsidRDefault="00716A19" w:rsidP="00404C98">
      <w:r w:rsidRPr="00404C98">
        <w:t xml:space="preserve">In Study GT11503, </w:t>
      </w:r>
      <w:r w:rsidR="00050FC4">
        <w:t>four</w:t>
      </w:r>
      <w:r w:rsidRPr="00404C98">
        <w:t xml:space="preserve"> (6.6%) subjects reported a total of </w:t>
      </w:r>
      <w:r w:rsidR="00050FC4">
        <w:t>four</w:t>
      </w:r>
      <w:r w:rsidRPr="00404C98">
        <w:t xml:space="preserve"> </w:t>
      </w:r>
      <w:r w:rsidR="00CC110B">
        <w:t>adverse events</w:t>
      </w:r>
      <w:r w:rsidR="00CC110B" w:rsidRPr="00404C98">
        <w:t xml:space="preserve"> </w:t>
      </w:r>
      <w:r w:rsidRPr="00404C98">
        <w:t xml:space="preserve">which led to withdrawal from the study in </w:t>
      </w:r>
      <w:r w:rsidR="00366542">
        <w:t>subcutaneous</w:t>
      </w:r>
      <w:r w:rsidRPr="00404C98">
        <w:t xml:space="preserve"> phase (</w:t>
      </w:r>
      <w:r w:rsidR="00050FC4">
        <w:t>one</w:t>
      </w:r>
      <w:r w:rsidRPr="00404C98">
        <w:t xml:space="preserve"> subject each with nephrotic syndrome, anxiety, aortic valve incompetence, and infusion site mass). In injection site mass was related to treatment but others considered unrelated to study drug.</w:t>
      </w:r>
    </w:p>
    <w:p w14:paraId="7260692F" w14:textId="198C6CC9" w:rsidR="00716A19" w:rsidRPr="00404C98" w:rsidRDefault="00716A19" w:rsidP="00404C98">
      <w:r w:rsidRPr="00404C98">
        <w:t xml:space="preserve">In Study GTI1502, TEAEs leading to withdrawal from the study were reported in </w:t>
      </w:r>
      <w:r w:rsidR="00050FC4">
        <w:t>four</w:t>
      </w:r>
      <w:r w:rsidRPr="00404C98">
        <w:t xml:space="preserve"> (8.2%) subjects in the </w:t>
      </w:r>
      <w:r w:rsidR="00366542">
        <w:t>subcutaneous</w:t>
      </w:r>
      <w:r w:rsidRPr="00404C98">
        <w:t xml:space="preserve"> phase</w:t>
      </w:r>
      <w:r w:rsidR="00050FC4">
        <w:t xml:space="preserve"> </w:t>
      </w:r>
      <w:r w:rsidRPr="00404C98">
        <w:t>(</w:t>
      </w:r>
      <w:r w:rsidR="00050FC4">
        <w:t>one</w:t>
      </w:r>
      <w:r w:rsidRPr="00404C98">
        <w:t xml:space="preserve"> subject with infusion site nodule considered definitely related to the study drug; </w:t>
      </w:r>
      <w:r w:rsidR="00050FC4">
        <w:t>one</w:t>
      </w:r>
      <w:r w:rsidRPr="00404C98">
        <w:t xml:space="preserve"> subject with infusion site discomfort and intentional medical device removal by patient considered definitely related to the study drug; </w:t>
      </w:r>
      <w:r w:rsidR="00050FC4">
        <w:t>one</w:t>
      </w:r>
      <w:r w:rsidRPr="00404C98">
        <w:t xml:space="preserve"> subject with arthralgia and myalgia considered possibly related to the study drug; </w:t>
      </w:r>
      <w:r w:rsidR="00050FC4">
        <w:t>one</w:t>
      </w:r>
      <w:r w:rsidRPr="00404C98">
        <w:t xml:space="preserve"> subject with papule and skin plaque considered not related to the study drug).</w:t>
      </w:r>
    </w:p>
    <w:p w14:paraId="77B03691" w14:textId="2225312D" w:rsidR="00716A19" w:rsidRPr="00404C98" w:rsidRDefault="00714203" w:rsidP="00404C98">
      <w:pPr>
        <w:pStyle w:val="Heading5"/>
      </w:pPr>
      <w:r>
        <w:t>A</w:t>
      </w:r>
      <w:r w:rsidR="00716A19" w:rsidRPr="00404C98">
        <w:t xml:space="preserve">ny </w:t>
      </w:r>
      <w:r w:rsidR="00050FC4" w:rsidRPr="00050FC4">
        <w:t>treatment</w:t>
      </w:r>
      <w:r w:rsidR="00CC110B">
        <w:t>-</w:t>
      </w:r>
      <w:r w:rsidR="00050FC4" w:rsidRPr="00050FC4">
        <w:t>emergent adverse event</w:t>
      </w:r>
      <w:r w:rsidR="00716A19" w:rsidRPr="00404C98">
        <w:t xml:space="preserve"> during or within 72 hours of </w:t>
      </w:r>
      <w:r>
        <w:t>drug infusion</w:t>
      </w:r>
    </w:p>
    <w:p w14:paraId="3E2A5AAD" w14:textId="07DC4FD6" w:rsidR="00716A19" w:rsidRPr="00404C98" w:rsidRDefault="00716A19" w:rsidP="00404C98">
      <w:r w:rsidRPr="00404C98">
        <w:t xml:space="preserve">In Study GTI1503, there were 45 (73.8%) subjects with at least </w:t>
      </w:r>
      <w:r w:rsidR="00050FC4">
        <w:t>one</w:t>
      </w:r>
      <w:r w:rsidRPr="00404C98">
        <w:t xml:space="preserve"> TEAE reported during or within 72 hours of a </w:t>
      </w:r>
      <w:r w:rsidR="00366542">
        <w:t>subcutaneous</w:t>
      </w:r>
      <w:r w:rsidRPr="00404C98">
        <w:t xml:space="preserve"> infusion with </w:t>
      </w:r>
      <w:r w:rsidR="00366542">
        <w:t>subcutaneous immunoglobulin</w:t>
      </w:r>
      <w:r w:rsidRPr="00404C98">
        <w:t xml:space="preserve"> 20%. The rate of TEAEs per infusion in this time frame was 0.76. The most frequently reported local infusion site reactions observed in this time frame reported in </w:t>
      </w:r>
      <w:r w:rsidR="00366542">
        <w:t>greater than or equal to</w:t>
      </w:r>
      <w:r w:rsidRPr="00404C98">
        <w:t xml:space="preserve"> 5% of subjects overall were infusion site erythema (16.4%), infusion site pruritus (13.1%), upper respiratory tract infection (</w:t>
      </w:r>
      <w:r w:rsidR="00050FC4">
        <w:t>eight</w:t>
      </w:r>
      <w:r w:rsidRPr="00404C98">
        <w:t xml:space="preserve"> subjects, 13.1%), nasopharyngitis (</w:t>
      </w:r>
      <w:r w:rsidR="00050FC4">
        <w:t>seven</w:t>
      </w:r>
      <w:r w:rsidR="00CC110B">
        <w:t> </w:t>
      </w:r>
      <w:r w:rsidRPr="00404C98">
        <w:t>subjects, 11.5%), cough (</w:t>
      </w:r>
      <w:r w:rsidR="00050FC4">
        <w:t>six</w:t>
      </w:r>
      <w:r w:rsidRPr="00404C98">
        <w:t xml:space="preserve"> subjects, 9.8%), bronchitis (</w:t>
      </w:r>
      <w:r w:rsidR="00050FC4">
        <w:t>five</w:t>
      </w:r>
      <w:r w:rsidRPr="00404C98">
        <w:t xml:space="preserve"> subjects, 8.2%), sinusitis (</w:t>
      </w:r>
      <w:r w:rsidR="00050FC4">
        <w:t>five</w:t>
      </w:r>
      <w:r w:rsidRPr="00404C98">
        <w:t xml:space="preserve"> subjects, 8.2%), rhinitis (</w:t>
      </w:r>
      <w:r w:rsidR="00050FC4">
        <w:t>four</w:t>
      </w:r>
      <w:r w:rsidRPr="00404C98">
        <w:t xml:space="preserve"> subjects, 6.6%), infusion site pain (6.6%), infusion site swelling (6.6%) and headache (6.6%)</w:t>
      </w:r>
      <w:r w:rsidR="00366542">
        <w:t>.</w:t>
      </w:r>
    </w:p>
    <w:p w14:paraId="79E57E61" w14:textId="29EF78F8" w:rsidR="00716A19" w:rsidRDefault="00716A19" w:rsidP="00404C98">
      <w:r w:rsidRPr="00404C98">
        <w:lastRenderedPageBreak/>
        <w:t>In Study GTI1502, TEAEs reported during or within 72 hours of an infusion occurred in 35</w:t>
      </w:r>
      <w:r w:rsidR="00CC110B">
        <w:t> </w:t>
      </w:r>
      <w:r w:rsidRPr="00404C98">
        <w:t>(71.4%) subjects who experienced a total of 92 TEAEs in this timeframe. The most frequent TEAEs were infusion site nodule (10.2%), infusion site bruising (6.1%), infusion site pain</w:t>
      </w:r>
      <w:r w:rsidR="00404C98">
        <w:t xml:space="preserve"> </w:t>
      </w:r>
      <w:r w:rsidRPr="00404C98">
        <w:t>(6.1%), sinusitis (6.1%) and upper respiratory tract infection (6.1%).</w:t>
      </w:r>
    </w:p>
    <w:p w14:paraId="2FC7FEAB" w14:textId="55A3D0D1" w:rsidR="00CC110B" w:rsidRPr="00404C98" w:rsidRDefault="00CC110B" w:rsidP="00F20E26">
      <w:pPr>
        <w:pStyle w:val="Heading5"/>
      </w:pPr>
      <w:r>
        <w:t>Infectio</w:t>
      </w:r>
      <w:r w:rsidR="00714203">
        <w:t>us adverse events</w:t>
      </w:r>
    </w:p>
    <w:p w14:paraId="742E3FC7" w14:textId="27236BC0" w:rsidR="00716A19" w:rsidRPr="00404C98" w:rsidRDefault="00714203" w:rsidP="00F20E26">
      <w:pPr>
        <w:pStyle w:val="Heading6"/>
      </w:pPr>
      <w:r>
        <w:t>A</w:t>
      </w:r>
      <w:r w:rsidR="00716A19" w:rsidRPr="00635A6E">
        <w:t>ny serious bacterial infection</w:t>
      </w:r>
    </w:p>
    <w:p w14:paraId="2D51AEE7" w14:textId="39CAC742" w:rsidR="00716A19" w:rsidRPr="003A6F14" w:rsidRDefault="00716A19" w:rsidP="003A6F14">
      <w:r w:rsidRPr="003A6F14">
        <w:t xml:space="preserve">In Study GTI1503, </w:t>
      </w:r>
      <w:r w:rsidR="00CC110B">
        <w:t xml:space="preserve">serious bacterial infections </w:t>
      </w:r>
      <w:r w:rsidRPr="003A6F14">
        <w:t xml:space="preserve">were the primary efficacy endpoint. In this study, </w:t>
      </w:r>
      <w:r w:rsidR="00714203">
        <w:t xml:space="preserve">serious bacterial infections </w:t>
      </w:r>
      <w:r w:rsidRPr="003A6F14">
        <w:t xml:space="preserve">were reported in </w:t>
      </w:r>
      <w:r w:rsidR="00423C6A">
        <w:t>one</w:t>
      </w:r>
      <w:r w:rsidRPr="003A6F14">
        <w:t xml:space="preserve"> (1.6%) subject in the </w:t>
      </w:r>
      <w:r w:rsidR="00366542">
        <w:t>subcutaneous</w:t>
      </w:r>
      <w:r w:rsidRPr="003A6F14">
        <w:t xml:space="preserve"> phase (</w:t>
      </w:r>
      <w:r w:rsidR="00423C6A">
        <w:t>one</w:t>
      </w:r>
      <w:r w:rsidRPr="003A6F14">
        <w:t xml:space="preserve"> event of pneumonia). The mean (SD) annualised rate of </w:t>
      </w:r>
      <w:r w:rsidR="00CC110B">
        <w:t xml:space="preserve">serious bacterial infections </w:t>
      </w:r>
      <w:r w:rsidRPr="003A6F14">
        <w:t xml:space="preserve">in the </w:t>
      </w:r>
      <w:r w:rsidR="00366542">
        <w:t>subcutaneous</w:t>
      </w:r>
      <w:r w:rsidRPr="003A6F14">
        <w:t xml:space="preserve"> phase was 0.016 (0.1285) and the </w:t>
      </w:r>
      <w:r w:rsidR="00CC110B">
        <w:t xml:space="preserve">serious bacterial infection </w:t>
      </w:r>
      <w:r w:rsidRPr="003A6F14">
        <w:t>rate per person per year was 0.017 (95% CI: 0.006, 0.036).</w:t>
      </w:r>
    </w:p>
    <w:p w14:paraId="31AFA644" w14:textId="6517889D" w:rsidR="00716A19" w:rsidRPr="003A6F14" w:rsidRDefault="00716A19" w:rsidP="003A6F14">
      <w:r w:rsidRPr="003A6F14">
        <w:t xml:space="preserve">In Study GTI1502, </w:t>
      </w:r>
      <w:r w:rsidR="00714203">
        <w:t xml:space="preserve">serious bacterial infections </w:t>
      </w:r>
      <w:r w:rsidRPr="003A6F14">
        <w:t xml:space="preserve">were safety endpoints. In this study, </w:t>
      </w:r>
      <w:r w:rsidR="00CC110B">
        <w:t xml:space="preserve">serious bacterial infections </w:t>
      </w:r>
      <w:r w:rsidRPr="003A6F14">
        <w:t xml:space="preserve">were reported in </w:t>
      </w:r>
      <w:r w:rsidR="00423C6A">
        <w:t>one</w:t>
      </w:r>
      <w:r w:rsidRPr="003A6F14">
        <w:t xml:space="preserve"> (2%) subject in the </w:t>
      </w:r>
      <w:r w:rsidR="001926B6">
        <w:t>subcutaneous</w:t>
      </w:r>
      <w:r w:rsidRPr="003A6F14">
        <w:t xml:space="preserve"> phase (</w:t>
      </w:r>
      <w:r w:rsidR="00423C6A">
        <w:t>one</w:t>
      </w:r>
      <w:r w:rsidR="00714203">
        <w:t> </w:t>
      </w:r>
      <w:r w:rsidRPr="003A6F14">
        <w:t xml:space="preserve">event of sepsis). The mean (SD) annualised rate of </w:t>
      </w:r>
      <w:r w:rsidR="00CC110B">
        <w:t xml:space="preserve">serious bacterial infections </w:t>
      </w:r>
      <w:r w:rsidRPr="003A6F14">
        <w:t xml:space="preserve">was 0.044 (0.3106) and the </w:t>
      </w:r>
      <w:r w:rsidR="00CC110B">
        <w:t xml:space="preserve">serious bacterial infection </w:t>
      </w:r>
      <w:r w:rsidRPr="003A6F14">
        <w:t>rate per person per year was 0.049 (95% CI: 0.02, 0.098).</w:t>
      </w:r>
    </w:p>
    <w:p w14:paraId="3A8A4A15" w14:textId="52E0EE7D" w:rsidR="00716A19" w:rsidRPr="00404C98" w:rsidRDefault="00716A19" w:rsidP="00F20E26">
      <w:pPr>
        <w:pStyle w:val="Heading6"/>
      </w:pPr>
      <w:r>
        <w:t>Any infection</w:t>
      </w:r>
    </w:p>
    <w:p w14:paraId="6648D720" w14:textId="4D601D0F" w:rsidR="00716A19" w:rsidRPr="003A6F14" w:rsidRDefault="00716A19" w:rsidP="003A6F14">
      <w:r w:rsidRPr="003A6F14">
        <w:t xml:space="preserve">In Study GTI1503, infections of any kind were a secondary efficacy endpoint. In this study, 140 infections of any kind were reported in 45 (73.8%) subjects in the </w:t>
      </w:r>
      <w:r w:rsidR="001926B6">
        <w:t xml:space="preserve">subcutaneous </w:t>
      </w:r>
      <w:r w:rsidRPr="003A6F14">
        <w:t xml:space="preserve">phase. Infections of any kind reported in </w:t>
      </w:r>
      <w:r w:rsidR="001926B6">
        <w:t xml:space="preserve">greater than or equal to </w:t>
      </w:r>
      <w:r w:rsidRPr="003A6F14">
        <w:t>5% of subjects were nasopharyngitis (12 subjects, 19.7%), upper respiratory tract infection (</w:t>
      </w:r>
      <w:r w:rsidR="00423C6A">
        <w:t>nine</w:t>
      </w:r>
      <w:r w:rsidRPr="003A6F14">
        <w:t xml:space="preserve"> subjects, 14.8%), bronchitis (</w:t>
      </w:r>
      <w:r w:rsidR="00423C6A">
        <w:t>eight</w:t>
      </w:r>
      <w:r w:rsidRPr="003A6F14">
        <w:t xml:space="preserve"> subjects, 13.1%), sinusitis (</w:t>
      </w:r>
      <w:r w:rsidR="00423C6A">
        <w:t>seven</w:t>
      </w:r>
      <w:r w:rsidRPr="003A6F14">
        <w:t xml:space="preserve"> subjects, 11.5%), gastroenteritis (</w:t>
      </w:r>
      <w:r w:rsidR="00423C6A">
        <w:t>five</w:t>
      </w:r>
      <w:r w:rsidRPr="003A6F14">
        <w:t xml:space="preserve"> subjects, 8.2%), lower respiratory tract infection (</w:t>
      </w:r>
      <w:r w:rsidR="00423C6A">
        <w:t>five</w:t>
      </w:r>
      <w:r w:rsidRPr="003A6F14">
        <w:t xml:space="preserve"> subjects, 8.2%), influenzae (</w:t>
      </w:r>
      <w:r w:rsidR="00423C6A">
        <w:t>four</w:t>
      </w:r>
      <w:r w:rsidRPr="003A6F14">
        <w:t xml:space="preserve"> subjects, 6.6%), urinary tract infection (</w:t>
      </w:r>
      <w:r w:rsidR="00423C6A">
        <w:t>four</w:t>
      </w:r>
      <w:r w:rsidRPr="003A6F14">
        <w:t xml:space="preserve"> subjects, 6.6%), and viral infection (</w:t>
      </w:r>
      <w:r w:rsidR="00423C6A">
        <w:t>four</w:t>
      </w:r>
      <w:r w:rsidRPr="003A6F14">
        <w:t xml:space="preserve"> subjects, 6.6%). In the </w:t>
      </w:r>
      <w:r w:rsidR="001926B6">
        <w:t>subcutaneous</w:t>
      </w:r>
      <w:r w:rsidRPr="003A6F14">
        <w:t xml:space="preserve"> phase, the mean (SD) annualised rate of infections was 2.327 (2.49) and the infection rate per person per year was 2.397 (95% CI: 1.824, 3.079).</w:t>
      </w:r>
    </w:p>
    <w:p w14:paraId="1371DC1E" w14:textId="59D349DC" w:rsidR="00716A19" w:rsidRPr="003A6F14" w:rsidRDefault="00716A19" w:rsidP="003A6F14">
      <w:r w:rsidRPr="003A6F14">
        <w:t>In Study GTI1502, infections of any kind were a safety endpoint. In this study, 48</w:t>
      </w:r>
      <w:r w:rsidR="00CC110B">
        <w:t> </w:t>
      </w:r>
      <w:r w:rsidRPr="003A6F14">
        <w:t xml:space="preserve">infections of any kind were reported in 26 (53.1%) subjects in the </w:t>
      </w:r>
      <w:r w:rsidR="001926B6">
        <w:t>subcutaneous</w:t>
      </w:r>
      <w:r w:rsidRPr="003A6F14">
        <w:t xml:space="preserve"> phase. Infections of any kind reported in </w:t>
      </w:r>
      <w:r w:rsidR="001926B6">
        <w:t>greater than or equal to</w:t>
      </w:r>
      <w:r w:rsidRPr="003A6F14">
        <w:t xml:space="preserve"> 5% of subjects were sinusitis (</w:t>
      </w:r>
      <w:r w:rsidR="00423C6A">
        <w:t>nine</w:t>
      </w:r>
      <w:r w:rsidRPr="003A6F14">
        <w:t xml:space="preserve"> subjects, 18.4%), upper respiratory tract infection (</w:t>
      </w:r>
      <w:r w:rsidR="00423C6A">
        <w:t>five</w:t>
      </w:r>
      <w:r w:rsidRPr="003A6F14">
        <w:t xml:space="preserve"> subjects, 10.2%), bronchitis (</w:t>
      </w:r>
      <w:r w:rsidR="00423C6A">
        <w:t>three</w:t>
      </w:r>
      <w:r w:rsidRPr="003A6F14">
        <w:t xml:space="preserve"> subjects, 6.1%), and pharyngeal streptococcal (</w:t>
      </w:r>
      <w:r w:rsidR="00423C6A">
        <w:t>three</w:t>
      </w:r>
      <w:r w:rsidRPr="003A6F14">
        <w:t xml:space="preserve"> subjects, 6.1%). In the </w:t>
      </w:r>
      <w:r w:rsidR="001926B6">
        <w:t>subcutaneous</w:t>
      </w:r>
      <w:r w:rsidRPr="003A6F14">
        <w:t xml:space="preserve"> phase, the mean (SD) annualised rate of infections was 2.571 (3.928) and the infection rate per person per year was 2.367 (95% CI: 1.601, 3.345).</w:t>
      </w:r>
    </w:p>
    <w:p w14:paraId="1216172F" w14:textId="19C56DC4" w:rsidR="00716A19" w:rsidRPr="003A6F14" w:rsidRDefault="00716A19" w:rsidP="00F20E26">
      <w:pPr>
        <w:pStyle w:val="Heading6"/>
      </w:pPr>
      <w:r>
        <w:t>Validated infection</w:t>
      </w:r>
    </w:p>
    <w:p w14:paraId="748426F6" w14:textId="4E1D7DB5" w:rsidR="00716A19" w:rsidRPr="003A6F14" w:rsidRDefault="00716A19" w:rsidP="003A6F14">
      <w:r w:rsidRPr="003A6F14">
        <w:t xml:space="preserve">In Study GTI1503, validated infections were efficacy endpoints. In this study, 36 validated infections were reported in 20 (32.8%) subjects in the </w:t>
      </w:r>
      <w:r w:rsidR="001926B6">
        <w:t>subcutaneous</w:t>
      </w:r>
      <w:r w:rsidRPr="003A6F14">
        <w:t xml:space="preserve"> phase. Validated infections reported in </w:t>
      </w:r>
      <w:r w:rsidR="001926B6">
        <w:t>greater than or equal to two</w:t>
      </w:r>
      <w:r w:rsidRPr="003A6F14">
        <w:t xml:space="preserve"> subjects were bronchitis (</w:t>
      </w:r>
      <w:r w:rsidR="00423C6A">
        <w:t>three</w:t>
      </w:r>
      <w:r w:rsidRPr="003A6F14">
        <w:t xml:space="preserve"> subjects, 4.9%), pyrexia (</w:t>
      </w:r>
      <w:r w:rsidR="00423C6A">
        <w:t>three</w:t>
      </w:r>
      <w:r w:rsidRPr="003A6F14">
        <w:t xml:space="preserve"> subjects, 4.9%), upper respiratory tract infection (</w:t>
      </w:r>
      <w:r w:rsidR="00423C6A">
        <w:t>three</w:t>
      </w:r>
      <w:r w:rsidRPr="003A6F14">
        <w:t xml:space="preserve"> subjects, 4.9%), gastroenteritis (</w:t>
      </w:r>
      <w:r w:rsidR="00423C6A">
        <w:t>two</w:t>
      </w:r>
      <w:r w:rsidRPr="003A6F14">
        <w:t xml:space="preserve"> subjects, 3.3%), influenza (</w:t>
      </w:r>
      <w:r w:rsidR="00423C6A">
        <w:t>two</w:t>
      </w:r>
      <w:r w:rsidRPr="003A6F14">
        <w:t xml:space="preserve"> subjects, 3.3%), pneumonia (</w:t>
      </w:r>
      <w:r w:rsidR="00423C6A">
        <w:t>two</w:t>
      </w:r>
      <w:r w:rsidRPr="003A6F14">
        <w:t xml:space="preserve"> subjects, 3.3%), and sinusitis (</w:t>
      </w:r>
      <w:r w:rsidR="00423C6A">
        <w:t>two</w:t>
      </w:r>
      <w:r w:rsidRPr="003A6F14">
        <w:t xml:space="preserve"> subjects, 3.3%). In the </w:t>
      </w:r>
      <w:r w:rsidR="001926B6">
        <w:t>subcutaneous</w:t>
      </w:r>
      <w:r w:rsidRPr="003A6F14">
        <w:t xml:space="preserve"> phase, the mean (SD) annualised rate of validated infections was 0.597 (1.0926) and the validated infection rate per person per year was 0.616 (95% CI: 0.401, 0.898).</w:t>
      </w:r>
    </w:p>
    <w:p w14:paraId="0CD790C0" w14:textId="59693D23" w:rsidR="00716A19" w:rsidRPr="003A6F14" w:rsidRDefault="00716A19" w:rsidP="003A6F14">
      <w:r w:rsidRPr="003A6F14">
        <w:t xml:space="preserve">In Study GTI1502, validated infections were safety endpoints. In this study, 10 validated infections were reported in </w:t>
      </w:r>
      <w:r w:rsidR="00423C6A">
        <w:t>eight</w:t>
      </w:r>
      <w:r w:rsidRPr="003A6F14">
        <w:t xml:space="preserve"> (16.3%) subjects in the </w:t>
      </w:r>
      <w:r w:rsidR="001926B6">
        <w:t xml:space="preserve">subcutaneous </w:t>
      </w:r>
      <w:r w:rsidRPr="003A6F14">
        <w:t xml:space="preserve">phase. Validated infections reported in </w:t>
      </w:r>
      <w:r w:rsidR="001926B6">
        <w:t>greater than or equal to two</w:t>
      </w:r>
      <w:r w:rsidRPr="003A6F14">
        <w:t xml:space="preserve"> subjects were cellulitis (</w:t>
      </w:r>
      <w:r w:rsidR="00423C6A">
        <w:t>two</w:t>
      </w:r>
      <w:r w:rsidRPr="003A6F14">
        <w:t xml:space="preserve"> subjects, 2.1%), pharyngeal streptococcal (</w:t>
      </w:r>
      <w:r w:rsidR="00423C6A">
        <w:t>two</w:t>
      </w:r>
      <w:r w:rsidRPr="003A6F14">
        <w:t xml:space="preserve"> subjects, 2.1%), and urinary tract infection (</w:t>
      </w:r>
      <w:r w:rsidR="00423C6A">
        <w:t>two</w:t>
      </w:r>
      <w:r w:rsidRPr="003A6F14">
        <w:t xml:space="preserve"> subjects, 2.1%). In the </w:t>
      </w:r>
      <w:r w:rsidR="001926B6">
        <w:t>subcutaneous</w:t>
      </w:r>
      <w:r w:rsidRPr="003A6F14">
        <w:t xml:space="preserve"> phase, the mean (SD) annualised rate of validated infections was 0.479 (1.168) and the validated infection rate per person per year was 0.493 (95% CI: 0.273, 0.809).</w:t>
      </w:r>
    </w:p>
    <w:p w14:paraId="44D8C016" w14:textId="77777777" w:rsidR="00716A19" w:rsidRPr="003A6F14" w:rsidRDefault="00716A19" w:rsidP="003A6F14">
      <w:pPr>
        <w:pStyle w:val="Heading5"/>
      </w:pPr>
      <w:r>
        <w:lastRenderedPageBreak/>
        <w:t>Laboratory abnormalities</w:t>
      </w:r>
    </w:p>
    <w:p w14:paraId="4A4DD785" w14:textId="04E8FCBF" w:rsidR="00716A19" w:rsidRPr="00423C6A" w:rsidRDefault="00716A19" w:rsidP="00423C6A">
      <w:r w:rsidRPr="00423C6A">
        <w:t xml:space="preserve">Overall, in both studies there were no significant changes in mean values for haematology or clinical chemistry parameters during the </w:t>
      </w:r>
      <w:r w:rsidR="001926B6">
        <w:t>subcutaneous</w:t>
      </w:r>
      <w:r w:rsidRPr="00423C6A">
        <w:t xml:space="preserve"> phase, with the number of subjects with laboratory values outside the threshold ranges being small.</w:t>
      </w:r>
    </w:p>
    <w:p w14:paraId="2751E6C1" w14:textId="1FF30E3E" w:rsidR="00716A19" w:rsidRPr="00423C6A" w:rsidRDefault="00716A19" w:rsidP="00423C6A">
      <w:r w:rsidRPr="00423C6A">
        <w:t xml:space="preserve">In Study GTI1503, there were </w:t>
      </w:r>
      <w:r w:rsidR="00423C6A">
        <w:t>nine</w:t>
      </w:r>
      <w:r w:rsidRPr="00423C6A">
        <w:t xml:space="preserve"> individual laboratory abnormalities reported as TEAEs in </w:t>
      </w:r>
      <w:r w:rsidR="00423C6A">
        <w:t>six</w:t>
      </w:r>
      <w:r w:rsidRPr="00423C6A">
        <w:t xml:space="preserve"> subjects in the </w:t>
      </w:r>
      <w:r w:rsidR="001926B6">
        <w:t>subcutaneous</w:t>
      </w:r>
      <w:r w:rsidRPr="00423C6A">
        <w:t xml:space="preserve"> phase.</w:t>
      </w:r>
    </w:p>
    <w:p w14:paraId="0C0E4100" w14:textId="78F1E9AF" w:rsidR="00716A19" w:rsidRPr="00423C6A" w:rsidRDefault="00716A19" w:rsidP="00423C6A">
      <w:r w:rsidRPr="00423C6A">
        <w:t xml:space="preserve">In Study GTI1502, there were </w:t>
      </w:r>
      <w:r w:rsidR="00423C6A">
        <w:t>six</w:t>
      </w:r>
      <w:r w:rsidRPr="00423C6A">
        <w:t xml:space="preserve"> individual laboratory abnormalities reported as TEAEs in </w:t>
      </w:r>
      <w:r w:rsidR="00423C6A">
        <w:t>two</w:t>
      </w:r>
      <w:r w:rsidRPr="00423C6A">
        <w:t xml:space="preserve"> subjects in the </w:t>
      </w:r>
      <w:r w:rsidR="001926B6">
        <w:t>subcutaneous</w:t>
      </w:r>
      <w:r w:rsidRPr="00423C6A">
        <w:t xml:space="preserve"> phase.</w:t>
      </w:r>
    </w:p>
    <w:p w14:paraId="1EC757A1" w14:textId="77777777" w:rsidR="00790960" w:rsidRDefault="00790960" w:rsidP="003A6F14">
      <w:pPr>
        <w:pStyle w:val="Heading5"/>
      </w:pPr>
      <w:r>
        <w:t>Paediatric safety</w:t>
      </w:r>
    </w:p>
    <w:p w14:paraId="4C84F51D" w14:textId="2C136E60" w:rsidR="00716A19" w:rsidRPr="003A6F14" w:rsidRDefault="00716A19" w:rsidP="003A6F14">
      <w:r w:rsidRPr="003A6F14">
        <w:t xml:space="preserve">The safety profiles of </w:t>
      </w:r>
      <w:r w:rsidR="001926B6">
        <w:t>subcutaneous immunoglobulin</w:t>
      </w:r>
      <w:r w:rsidRPr="003A6F14">
        <w:t xml:space="preserve"> 20% in both studies in children aged </w:t>
      </w:r>
      <w:r w:rsidR="001926B6">
        <w:t>greater than or equal to two</w:t>
      </w:r>
      <w:r w:rsidRPr="003A6F14">
        <w:t xml:space="preserve"> years and adolescents were generally comparable with the safety profiles of subjects aged </w:t>
      </w:r>
      <w:r w:rsidR="001926B6">
        <w:t>greater than</w:t>
      </w:r>
      <w:r w:rsidRPr="003A6F14">
        <w:t xml:space="preserve"> 16 years.</w:t>
      </w:r>
    </w:p>
    <w:p w14:paraId="07592C8C" w14:textId="4D24B3A2" w:rsidR="00716A19" w:rsidRPr="003A6F14" w:rsidRDefault="00716A19" w:rsidP="003A6F14">
      <w:pPr>
        <w:pStyle w:val="Heading4"/>
      </w:pPr>
      <w:r w:rsidRPr="00136AEB">
        <w:t>Benefit</w:t>
      </w:r>
      <w:r w:rsidR="00A37242">
        <w:t>-r</w:t>
      </w:r>
      <w:r w:rsidRPr="00136AEB">
        <w:t xml:space="preserve">isk </w:t>
      </w:r>
      <w:r w:rsidR="00A37242">
        <w:t>a</w:t>
      </w:r>
      <w:r w:rsidRPr="00136AEB">
        <w:t>ssessment</w:t>
      </w:r>
    </w:p>
    <w:p w14:paraId="030EBE92" w14:textId="65DD731E" w:rsidR="00716A19" w:rsidRPr="003A6F14" w:rsidRDefault="00716A19" w:rsidP="003A6F14">
      <w:r w:rsidRPr="003A6F14">
        <w:t xml:space="preserve">The </w:t>
      </w:r>
      <w:r w:rsidR="007F5B54">
        <w:t>clinical evaluat</w:t>
      </w:r>
      <w:r w:rsidR="00714203">
        <w:t>ion</w:t>
      </w:r>
      <w:r w:rsidR="001926B6">
        <w:t xml:space="preserve"> </w:t>
      </w:r>
      <w:r w:rsidRPr="003A6F14">
        <w:t xml:space="preserve">considered the benefit-risk benefit of Xembify for replacement treatment for subjects aged </w:t>
      </w:r>
      <w:r w:rsidR="001926B6">
        <w:t>two</w:t>
      </w:r>
      <w:r w:rsidRPr="003A6F14">
        <w:t xml:space="preserve"> years</w:t>
      </w:r>
      <w:r w:rsidR="00C9192A">
        <w:t xml:space="preserve"> or older</w:t>
      </w:r>
      <w:r w:rsidRPr="003A6F14">
        <w:t xml:space="preserve"> with PID has been satisfactorily established in the submitted clinical data. Sustained </w:t>
      </w:r>
      <w:r w:rsidR="001926B6">
        <w:t xml:space="preserve">immunoglobulin </w:t>
      </w:r>
      <w:r w:rsidRPr="003A6F14">
        <w:t>G trough levels were obtained in both Stud</w:t>
      </w:r>
      <w:r w:rsidR="002C4D05">
        <w:t>ies</w:t>
      </w:r>
      <w:r w:rsidRPr="003A6F14">
        <w:t xml:space="preserve"> GT11503 and GT11502.</w:t>
      </w:r>
    </w:p>
    <w:p w14:paraId="67B193FE" w14:textId="5936257F" w:rsidR="00716A19" w:rsidRPr="003A6F14" w:rsidRDefault="00716A19" w:rsidP="003A6F14">
      <w:r w:rsidRPr="003A6F14">
        <w:t xml:space="preserve">In Study GTI1503, the primary efficacy endpoint analysis demonstrated that rate of SBIs per person per year was 0.017 (98% CI: 0.006, 0.036). The upper 99% confidence limit for the rate was 0.036, which was less that the recommended standard historical rate of </w:t>
      </w:r>
      <w:r w:rsidR="00423C6A">
        <w:t>one</w:t>
      </w:r>
      <w:r w:rsidRPr="003A6F14">
        <w:t xml:space="preserve"> </w:t>
      </w:r>
      <w:r w:rsidR="00C9192A">
        <w:t xml:space="preserve">serious bacterial infection </w:t>
      </w:r>
      <w:r w:rsidRPr="003A6F14">
        <w:t xml:space="preserve">per person per year. In the </w:t>
      </w:r>
      <w:r w:rsidR="001926B6">
        <w:t>less than or equal to</w:t>
      </w:r>
      <w:r w:rsidRPr="003A6F14">
        <w:t xml:space="preserve"> 16 years age group, the rate of SBI per person per year was 0.037 (98% CI: 0.009, 0.096) and in the </w:t>
      </w:r>
      <w:r w:rsidR="001926B6">
        <w:t>greater than</w:t>
      </w:r>
      <w:r w:rsidR="002A2615">
        <w:t xml:space="preserve"> </w:t>
      </w:r>
      <w:r w:rsidRPr="003A6F14">
        <w:t xml:space="preserve">16 years age group, the rate of </w:t>
      </w:r>
      <w:r w:rsidR="00C9192A">
        <w:t xml:space="preserve">serious bacterial infection </w:t>
      </w:r>
      <w:r w:rsidRPr="003A6F14">
        <w:t xml:space="preserve">per person per year was </w:t>
      </w:r>
      <w:r w:rsidR="00C9192A">
        <w:t>zero</w:t>
      </w:r>
      <w:r w:rsidRPr="003A6F14">
        <w:t xml:space="preserve">. These results were consistent with the </w:t>
      </w:r>
      <w:r w:rsidR="00C9192A">
        <w:t xml:space="preserve">serious bacterial infection </w:t>
      </w:r>
      <w:r w:rsidRPr="003A6F14">
        <w:t>rates reported for Xembify in Study GTI1502.</w:t>
      </w:r>
    </w:p>
    <w:p w14:paraId="228776E1" w14:textId="3F1CFD36" w:rsidR="00716A19" w:rsidRPr="003A6F14" w:rsidRDefault="00716A19" w:rsidP="003A6F14">
      <w:r w:rsidRPr="003A6F14">
        <w:t xml:space="preserve">The major risks associated with Xembify are localised </w:t>
      </w:r>
      <w:r w:rsidR="00C9192A">
        <w:t xml:space="preserve">infusion site reactions </w:t>
      </w:r>
      <w:r w:rsidRPr="003A6F14">
        <w:t xml:space="preserve">and infections. In Study GTI1503, 21 (34.4%) subjects experienced a total of 87 local ISRs considered to be TEAEs (0.029 events per infusion; 87 events over 3044 total infusions). No </w:t>
      </w:r>
      <w:r w:rsidR="00C9192A">
        <w:t xml:space="preserve">infusion site reactions </w:t>
      </w:r>
      <w:r w:rsidRPr="003A6F14">
        <w:t xml:space="preserve">were reported as </w:t>
      </w:r>
      <w:r w:rsidR="00C9192A">
        <w:t>serious adverse events</w:t>
      </w:r>
      <w:r w:rsidR="00C9192A" w:rsidRPr="003A6F14">
        <w:t xml:space="preserve"> </w:t>
      </w:r>
      <w:r w:rsidRPr="003A6F14">
        <w:t xml:space="preserve">and treatment discontinuation due to </w:t>
      </w:r>
      <w:r w:rsidR="00C9192A">
        <w:t xml:space="preserve">infusion site reactions </w:t>
      </w:r>
      <w:r w:rsidRPr="003A6F14">
        <w:t xml:space="preserve">was reported in only </w:t>
      </w:r>
      <w:r w:rsidR="00423C6A">
        <w:t>one</w:t>
      </w:r>
      <w:r w:rsidRPr="003A6F14">
        <w:t xml:space="preserve"> (1.6%) subject (infusion site mass). </w:t>
      </w:r>
    </w:p>
    <w:p w14:paraId="41E86D08" w14:textId="50BC2AB7" w:rsidR="00716A19" w:rsidRPr="003A6F14" w:rsidRDefault="00423C6A" w:rsidP="003A6F14">
      <w:r>
        <w:t>Forty</w:t>
      </w:r>
      <w:r w:rsidR="00C9192A">
        <w:t>-</w:t>
      </w:r>
      <w:r>
        <w:t>four</w:t>
      </w:r>
      <w:r w:rsidR="00716A19" w:rsidRPr="003A6F14">
        <w:t xml:space="preserve"> (72.1%) subjects experienced a total of 140 infections (2.397 </w:t>
      </w:r>
      <w:r w:rsidR="001926B6">
        <w:t>(</w:t>
      </w:r>
      <w:r w:rsidR="00716A19" w:rsidRPr="003A6F14">
        <w:t>95% CI: 1.824, 3.079</w:t>
      </w:r>
      <w:r w:rsidR="001926B6">
        <w:t>)</w:t>
      </w:r>
      <w:r w:rsidR="00716A19" w:rsidRPr="003A6F14">
        <w:t xml:space="preserve"> events per person per year). Only </w:t>
      </w:r>
      <w:r>
        <w:t>two</w:t>
      </w:r>
      <w:r w:rsidR="00716A19" w:rsidRPr="003A6F14">
        <w:t xml:space="preserve"> (3.3%) subjects experienced infections categorised as SAEs (urinary tract infection and pneumonia, both unrelated to treatment) and no infections resulted in treatment discontinuation. Suspected infection </w:t>
      </w:r>
      <w:r>
        <w:t xml:space="preserve">adverse drug reasons </w:t>
      </w:r>
      <w:r w:rsidR="00716A19" w:rsidRPr="003A6F14">
        <w:t xml:space="preserve">were reported in </w:t>
      </w:r>
      <w:r>
        <w:t>six</w:t>
      </w:r>
      <w:r w:rsidR="00716A19" w:rsidRPr="003A6F14">
        <w:t xml:space="preserve"> (9.8%) subjects in Study GTI1503, with rhinitis and sinusitis being the only reactions reported in </w:t>
      </w:r>
      <w:r w:rsidR="001926B6">
        <w:t>greater than or equal to two</w:t>
      </w:r>
      <w:r w:rsidR="00716A19" w:rsidRPr="003A6F14">
        <w:t xml:space="preserve"> subjects and no infections were reported with investigator’s causality assessment of </w:t>
      </w:r>
      <w:r w:rsidR="000E0BD1">
        <w:t>‘</w:t>
      </w:r>
      <w:r w:rsidR="00716A19" w:rsidRPr="003A6F14">
        <w:t>definite</w:t>
      </w:r>
      <w:r w:rsidR="000E0BD1">
        <w:t>’</w:t>
      </w:r>
      <w:r w:rsidR="00716A19" w:rsidRPr="003A6F14">
        <w:t xml:space="preserve"> (</w:t>
      </w:r>
      <w:r w:rsidR="001926B6">
        <w:t>that is</w:t>
      </w:r>
      <w:r w:rsidR="00716A19" w:rsidRPr="003A6F14">
        <w:t xml:space="preserve">, </w:t>
      </w:r>
      <w:r w:rsidR="00C9192A">
        <w:t>as adverse reactions</w:t>
      </w:r>
      <w:r w:rsidR="00716A19" w:rsidRPr="003A6F14">
        <w:t>).</w:t>
      </w:r>
    </w:p>
    <w:p w14:paraId="2DC65BCC" w14:textId="5F199744" w:rsidR="00716A19" w:rsidRDefault="00716A19" w:rsidP="00716A19">
      <w:r w:rsidRPr="001B306C">
        <w:t xml:space="preserve">The </w:t>
      </w:r>
      <w:r w:rsidR="007478A6">
        <w:t>s</w:t>
      </w:r>
      <w:r w:rsidRPr="001B306C">
        <w:t xml:space="preserve">ponsor has provided a comprehensive and satisfactory response to the </w:t>
      </w:r>
      <w:r w:rsidR="002A2615">
        <w:t>TGA questions</w:t>
      </w:r>
    </w:p>
    <w:p w14:paraId="2DBC6299" w14:textId="0958F7AC" w:rsidR="00716A19" w:rsidRDefault="0099443F" w:rsidP="00716A19">
      <w:r>
        <w:t>The s</w:t>
      </w:r>
      <w:r w:rsidR="002A2615">
        <w:t xml:space="preserve">ponsor </w:t>
      </w:r>
      <w:r w:rsidR="00716A19">
        <w:t xml:space="preserve">modified the </w:t>
      </w:r>
      <w:r w:rsidR="00A37242">
        <w:t>t</w:t>
      </w:r>
      <w:r w:rsidR="00716A19">
        <w:t xml:space="preserve">herapeutic </w:t>
      </w:r>
      <w:r w:rsidR="00A37242">
        <w:t>i</w:t>
      </w:r>
      <w:r w:rsidR="00716A19">
        <w:t xml:space="preserve">ndications wording to align with </w:t>
      </w:r>
      <w:r>
        <w:t>Delegate</w:t>
      </w:r>
      <w:r w:rsidR="00716A19">
        <w:t xml:space="preserve"> </w:t>
      </w:r>
      <w:r w:rsidR="00A37242">
        <w:t>r</w:t>
      </w:r>
      <w:r w:rsidR="00716A19">
        <w:t>ecommendations and the Australian PI for Gamunex</w:t>
      </w:r>
      <w:r w:rsidR="00C9192A">
        <w:t>;</w:t>
      </w:r>
      <w:r w:rsidR="00C9192A" w:rsidRPr="00F20E26">
        <w:rPr>
          <w:vertAlign w:val="superscript"/>
        </w:rPr>
        <w:fldChar w:fldCharType="begin"/>
      </w:r>
      <w:r w:rsidR="00C9192A" w:rsidRPr="00F20E26">
        <w:rPr>
          <w:vertAlign w:val="superscript"/>
        </w:rPr>
        <w:instrText xml:space="preserve"> NOTEREF _Ref124847618 \h </w:instrText>
      </w:r>
      <w:r w:rsidR="00C9192A">
        <w:rPr>
          <w:vertAlign w:val="superscript"/>
        </w:rPr>
        <w:instrText xml:space="preserve"> \* MERGEFORMAT </w:instrText>
      </w:r>
      <w:r w:rsidR="00C9192A" w:rsidRPr="00F20E26">
        <w:rPr>
          <w:vertAlign w:val="superscript"/>
        </w:rPr>
      </w:r>
      <w:r w:rsidR="00C9192A" w:rsidRPr="00F20E26">
        <w:rPr>
          <w:vertAlign w:val="superscript"/>
        </w:rPr>
        <w:fldChar w:fldCharType="separate"/>
      </w:r>
      <w:r w:rsidR="00C9192A" w:rsidRPr="00F20E26">
        <w:rPr>
          <w:vertAlign w:val="superscript"/>
        </w:rPr>
        <w:t>9</w:t>
      </w:r>
      <w:r w:rsidR="00C9192A" w:rsidRPr="00F20E26">
        <w:rPr>
          <w:vertAlign w:val="superscript"/>
        </w:rPr>
        <w:fldChar w:fldCharType="end"/>
      </w:r>
      <w:r w:rsidR="00716A19">
        <w:t xml:space="preserve"> as replacement therapy </w:t>
      </w:r>
      <w:r w:rsidR="00A37242">
        <w:t>in</w:t>
      </w:r>
      <w:r w:rsidR="00716A19">
        <w:t>:</w:t>
      </w:r>
    </w:p>
    <w:p w14:paraId="607F0E33" w14:textId="3F77C204" w:rsidR="00716A19" w:rsidRDefault="00716A19" w:rsidP="003A6F14">
      <w:pPr>
        <w:pStyle w:val="ListBullet"/>
      </w:pPr>
      <w:r>
        <w:t>Primary immunodeficiency diseases (PID).</w:t>
      </w:r>
    </w:p>
    <w:p w14:paraId="0550A873" w14:textId="69DB5899" w:rsidR="00716A19" w:rsidRDefault="00716A19" w:rsidP="003A6F14">
      <w:pPr>
        <w:pStyle w:val="ListBullet"/>
      </w:pPr>
      <w:r>
        <w:t xml:space="preserve">Symptomatic </w:t>
      </w:r>
      <w:proofErr w:type="spellStart"/>
      <w:r>
        <w:t>hypogammaglobulinaemia</w:t>
      </w:r>
      <w:proofErr w:type="spellEnd"/>
      <w:r>
        <w:t xml:space="preserve"> secondary to underlying disease or treatment.</w:t>
      </w:r>
    </w:p>
    <w:p w14:paraId="20AE4871" w14:textId="5D84F38A" w:rsidR="0099443F" w:rsidRDefault="0099443F" w:rsidP="00A37242">
      <w:r>
        <w:lastRenderedPageBreak/>
        <w:t>The s</w:t>
      </w:r>
      <w:r w:rsidR="002A2615">
        <w:t>ponsor</w:t>
      </w:r>
      <w:r w:rsidR="002A2615" w:rsidRPr="00A37242">
        <w:t xml:space="preserve"> </w:t>
      </w:r>
      <w:r w:rsidR="00716A19" w:rsidRPr="00A37242">
        <w:t xml:space="preserve">justified the initially proposed age range </w:t>
      </w:r>
      <w:r w:rsidR="00C9192A">
        <w:t>of 0</w:t>
      </w:r>
      <w:r w:rsidR="002A2615">
        <w:t xml:space="preserve"> to </w:t>
      </w:r>
      <w:r w:rsidR="00716A19" w:rsidRPr="00A37242">
        <w:t xml:space="preserve">18 years. There were no clinical study data in children with primary immunodeficiency </w:t>
      </w:r>
      <w:r>
        <w:t>less than</w:t>
      </w:r>
      <w:r w:rsidR="00716A19" w:rsidRPr="00A37242">
        <w:t xml:space="preserve"> </w:t>
      </w:r>
      <w:r>
        <w:t>two</w:t>
      </w:r>
      <w:r w:rsidR="00716A19" w:rsidRPr="00A37242">
        <w:t xml:space="preserve"> years</w:t>
      </w:r>
      <w:r w:rsidR="00C9192A">
        <w:t>.</w:t>
      </w:r>
      <w:r w:rsidR="00716A19" w:rsidRPr="00A37242">
        <w:t xml:space="preserve"> The sponsor noted a paucity of published data for subcutaneous </w:t>
      </w:r>
      <w:r>
        <w:t>immunoglobulin</w:t>
      </w:r>
      <w:r w:rsidR="00716A19" w:rsidRPr="00A37242">
        <w:t xml:space="preserve"> administration in infants and toddlers </w:t>
      </w:r>
      <w:r w:rsidR="00CC32DB">
        <w:t>under</w:t>
      </w:r>
      <w:r w:rsidR="00716A19" w:rsidRPr="00A37242">
        <w:t xml:space="preserve"> </w:t>
      </w:r>
      <w:r>
        <w:t>two</w:t>
      </w:r>
      <w:r w:rsidR="00716A19" w:rsidRPr="00A37242">
        <w:t xml:space="preserve"> years of age but no safety concerns. </w:t>
      </w:r>
      <w:r>
        <w:t>The sponsor</w:t>
      </w:r>
      <w:r w:rsidR="00716A19" w:rsidRPr="00A37242">
        <w:t xml:space="preserve"> proposes to include the following statement in </w:t>
      </w:r>
      <w:r w:rsidR="00C9192A">
        <w:t>S</w:t>
      </w:r>
      <w:r w:rsidR="00716A19" w:rsidRPr="00A37242">
        <w:t xml:space="preserve">ection 4.2 </w:t>
      </w:r>
      <w:r w:rsidR="00CC32DB">
        <w:t>(</w:t>
      </w:r>
      <w:r w:rsidR="00CC32DB" w:rsidRPr="00F20E26">
        <w:rPr>
          <w:i/>
        </w:rPr>
        <w:t>Dosage and method of administration</w:t>
      </w:r>
      <w:r w:rsidR="00CC32DB">
        <w:t xml:space="preserve">) </w:t>
      </w:r>
      <w:r w:rsidR="00716A19" w:rsidRPr="00A37242">
        <w:t xml:space="preserve">of the Xembify </w:t>
      </w:r>
      <w:r w:rsidR="000E0BD1">
        <w:t>PI</w:t>
      </w:r>
      <w:r w:rsidR="00716A19" w:rsidRPr="00A37242">
        <w:t xml:space="preserve">: </w:t>
      </w:r>
    </w:p>
    <w:p w14:paraId="66CA1065" w14:textId="5735FE73" w:rsidR="0099443F" w:rsidRPr="0099443F" w:rsidRDefault="002A2615" w:rsidP="0099443F">
      <w:pPr>
        <w:ind w:left="720"/>
      </w:pPr>
      <w:r w:rsidRPr="0099443F">
        <w:t>‘</w:t>
      </w:r>
      <w:r w:rsidR="00716A19" w:rsidRPr="0099443F">
        <w:t>No clinical trials have been conducted with Xembify in children of age 0 to &lt;</w:t>
      </w:r>
      <w:r w:rsidR="00CC32DB">
        <w:t> </w:t>
      </w:r>
      <w:r w:rsidR="00716A19" w:rsidRPr="0099443F">
        <w:t>2</w:t>
      </w:r>
      <w:r w:rsidR="00CC32DB">
        <w:t> </w:t>
      </w:r>
      <w:r w:rsidR="00716A19" w:rsidRPr="0099443F">
        <w:t xml:space="preserve">years. However, experience with immunoglobulins suggests a safety profile </w:t>
      </w:r>
      <w:proofErr w:type="gramStart"/>
      <w:r w:rsidR="00716A19" w:rsidRPr="0099443F">
        <w:t>similar to</w:t>
      </w:r>
      <w:proofErr w:type="gramEnd"/>
      <w:r w:rsidR="00716A19" w:rsidRPr="0099443F">
        <w:t xml:space="preserve"> that for children of age 2-18 years and adults with Xembify is to be expected</w:t>
      </w:r>
      <w:r w:rsidRPr="0099443F">
        <w:t>’</w:t>
      </w:r>
      <w:r w:rsidR="00716A19" w:rsidRPr="0099443F">
        <w:t>.</w:t>
      </w:r>
    </w:p>
    <w:p w14:paraId="797B4B60" w14:textId="0527BBF3" w:rsidR="00716A19" w:rsidRPr="00A37242" w:rsidRDefault="00716A19" w:rsidP="00A37242">
      <w:r w:rsidRPr="00A37242">
        <w:t xml:space="preserve">The </w:t>
      </w:r>
      <w:r w:rsidR="0099443F">
        <w:t>Delegate</w:t>
      </w:r>
      <w:r w:rsidRPr="00A37242">
        <w:t xml:space="preserve"> accepted this response.</w:t>
      </w:r>
      <w:r w:rsidR="0099443F">
        <w:t xml:space="preserve"> </w:t>
      </w:r>
      <w:r w:rsidRPr="00A37242">
        <w:t xml:space="preserve">The addition of information in </w:t>
      </w:r>
      <w:r w:rsidR="0099443F">
        <w:t xml:space="preserve">the </w:t>
      </w:r>
      <w:r w:rsidRPr="00A37242">
        <w:t xml:space="preserve">PI relating to dosing for patients switching from other </w:t>
      </w:r>
      <w:r w:rsidR="0099443F">
        <w:t>subcutaneous immunoglobulin</w:t>
      </w:r>
      <w:r w:rsidRPr="00A37242">
        <w:t xml:space="preserve"> or</w:t>
      </w:r>
      <w:r w:rsidR="0099443F">
        <w:t xml:space="preserve"> intravenous immunoglobulin</w:t>
      </w:r>
      <w:r w:rsidRPr="00A37242">
        <w:t xml:space="preserve"> treatments is considered acceptable. No conversion factor is specified for patients switching from </w:t>
      </w:r>
      <w:r w:rsidR="0099443F">
        <w:t>intravenous immunoglobulin</w:t>
      </w:r>
      <w:r w:rsidRPr="00A37242">
        <w:t xml:space="preserve"> to </w:t>
      </w:r>
      <w:r w:rsidR="0099443F">
        <w:t>subcutaneous immunoglobulin treatment, whi</w:t>
      </w:r>
      <w:r w:rsidRPr="00A37242">
        <w:t>ch was adequately justified</w:t>
      </w:r>
      <w:r w:rsidR="0099443F">
        <w:t>.</w:t>
      </w:r>
    </w:p>
    <w:p w14:paraId="0A0787C9" w14:textId="0537AC6A" w:rsidR="00716A19" w:rsidRPr="00A37242" w:rsidRDefault="00716A19" w:rsidP="00A37242">
      <w:r w:rsidRPr="00A37242">
        <w:t xml:space="preserve">Following evaluation of the </w:t>
      </w:r>
      <w:r w:rsidR="00A37242">
        <w:t>s</w:t>
      </w:r>
      <w:r w:rsidRPr="00A37242">
        <w:t xml:space="preserve">ponsor’s responses to the clinical questions, the assessment of the benefit-risk risk balance for Xembify by subcutaneous administration remains acceptable as replacement therapy in adult and paediatric patients for primary immunodeficiency diseases and for symptomatic </w:t>
      </w:r>
      <w:proofErr w:type="spellStart"/>
      <w:r w:rsidRPr="00A37242">
        <w:t>hypogammaglobulinaemia</w:t>
      </w:r>
      <w:proofErr w:type="spellEnd"/>
      <w:r w:rsidRPr="00A37242">
        <w:t xml:space="preserve"> secondary to underlying disease or treatment.</w:t>
      </w:r>
    </w:p>
    <w:p w14:paraId="547B606B" w14:textId="1C536866" w:rsidR="008E7846" w:rsidRDefault="00386150" w:rsidP="007B6132">
      <w:pPr>
        <w:pStyle w:val="Heading3"/>
        <w:rPr>
          <w:lang w:eastAsia="en-AU"/>
        </w:rPr>
      </w:pPr>
      <w:bookmarkStart w:id="51" w:name="_Toc314842514"/>
      <w:bookmarkStart w:id="52" w:name="_Toc125365364"/>
      <w:r>
        <w:rPr>
          <w:lang w:eastAsia="en-AU"/>
        </w:rPr>
        <w:t>Risk m</w:t>
      </w:r>
      <w:r w:rsidR="008E7846">
        <w:rPr>
          <w:lang w:eastAsia="en-AU"/>
        </w:rPr>
        <w:t xml:space="preserve">anagement </w:t>
      </w:r>
      <w:r>
        <w:rPr>
          <w:lang w:eastAsia="en-AU"/>
        </w:rPr>
        <w:t>p</w:t>
      </w:r>
      <w:r w:rsidR="008E7846">
        <w:rPr>
          <w:lang w:eastAsia="en-AU"/>
        </w:rPr>
        <w:t>lan</w:t>
      </w:r>
      <w:bookmarkEnd w:id="51"/>
      <w:bookmarkEnd w:id="52"/>
    </w:p>
    <w:p w14:paraId="3ABEE2C4" w14:textId="14832B46" w:rsidR="002A2615" w:rsidRPr="005046D0" w:rsidRDefault="005046D0" w:rsidP="005046D0">
      <w:bookmarkStart w:id="53" w:name="_Toc247691531"/>
      <w:bookmarkStart w:id="54" w:name="_Toc314842515"/>
      <w:bookmarkStart w:id="55" w:name="_Toc196046505"/>
      <w:bookmarkStart w:id="56" w:name="_Toc196046949"/>
      <w:r w:rsidRPr="005046D0">
        <w:t>The s</w:t>
      </w:r>
      <w:r w:rsidR="002A2615" w:rsidRPr="005046D0">
        <w:t>ponsor has submitted European Union (EU)</w:t>
      </w:r>
      <w:r w:rsidRPr="005046D0">
        <w:t xml:space="preserve"> </w:t>
      </w:r>
      <w:r w:rsidR="002A2615" w:rsidRPr="005046D0">
        <w:t>risk management plan (RMP) version 2.0 (24 November 2020; data lock point (DLP) 31 May 2020) and Australia specific annex (ASA) version 1.0 (24 November 2020) in support of this application. Subsequently, the sponsor has submitted ASA version 2.0 (13 December 2021) at second round of RMP evaluation.</w:t>
      </w:r>
    </w:p>
    <w:p w14:paraId="47F39D2B" w14:textId="1860C391" w:rsidR="0074163C" w:rsidRDefault="0074163C" w:rsidP="0074163C">
      <w:r>
        <w:t xml:space="preserve">The summary of safety concerns and their associated risk monitoring and mitigation strategies are summarised in </w:t>
      </w:r>
      <w:r w:rsidR="008C0848">
        <w:fldChar w:fldCharType="begin"/>
      </w:r>
      <w:r w:rsidR="008C0848">
        <w:instrText xml:space="preserve"> REF _Ref97629131 \h </w:instrText>
      </w:r>
      <w:r w:rsidR="008C0848">
        <w:fldChar w:fldCharType="separate"/>
      </w:r>
      <w:r w:rsidR="002E6EEA">
        <w:t xml:space="preserve">Table </w:t>
      </w:r>
      <w:r w:rsidR="002E6EEA">
        <w:rPr>
          <w:noProof/>
        </w:rPr>
        <w:t>9</w:t>
      </w:r>
      <w:r w:rsidR="008C0848">
        <w:fldChar w:fldCharType="end"/>
      </w:r>
      <w:r w:rsidR="008C0848">
        <w:t xml:space="preserve">. </w:t>
      </w:r>
      <w:r>
        <w:t xml:space="preserve">Further information regarding </w:t>
      </w:r>
      <w:r w:rsidR="00CC5044">
        <w:t>the TGA</w:t>
      </w:r>
      <w:r w:rsidR="00BF7063">
        <w:t>’</w:t>
      </w:r>
      <w:r w:rsidR="00CC5044">
        <w:t>s r</w:t>
      </w:r>
      <w:r>
        <w:t xml:space="preserve">isk management approach can be found in </w:t>
      </w:r>
      <w:hyperlink r:id="rId25" w:history="1">
        <w:r w:rsidRPr="0023444E">
          <w:rPr>
            <w:rStyle w:val="Hyperlink"/>
          </w:rPr>
          <w:t>risk management plans for medicines and biologicals</w:t>
        </w:r>
      </w:hyperlink>
      <w:r>
        <w:t xml:space="preserve"> and </w:t>
      </w:r>
      <w:hyperlink r:id="rId26" w:history="1">
        <w:r w:rsidRPr="0023444E">
          <w:rPr>
            <w:rStyle w:val="Hyperlink"/>
          </w:rPr>
          <w:t>the TGA's risk management approach</w:t>
        </w:r>
      </w:hyperlink>
      <w:r>
        <w:t>.</w:t>
      </w:r>
    </w:p>
    <w:p w14:paraId="2A1B7FC6" w14:textId="50714247" w:rsidR="00CC32DB" w:rsidRDefault="00CC32DB" w:rsidP="0074163C">
      <w:r>
        <w:br w:type="page"/>
      </w:r>
    </w:p>
    <w:p w14:paraId="67E16564" w14:textId="40C734F0" w:rsidR="0074163C" w:rsidRPr="009849AC" w:rsidRDefault="0074163C" w:rsidP="009849AC">
      <w:pPr>
        <w:pStyle w:val="TableTitle"/>
      </w:pPr>
      <w:bookmarkStart w:id="57" w:name="_Ref97629131"/>
      <w:r>
        <w:lastRenderedPageBreak/>
        <w:t xml:space="preserve">Table </w:t>
      </w:r>
      <w:fldSimple w:instr=" SEQ Table \* ARABIC ">
        <w:r w:rsidR="009C353F">
          <w:rPr>
            <w:noProof/>
          </w:rPr>
          <w:t>9</w:t>
        </w:r>
      </w:fldSimple>
      <w:bookmarkEnd w:id="57"/>
      <w:r>
        <w:t>: Summary of safety concerns</w:t>
      </w:r>
    </w:p>
    <w:tbl>
      <w:tblPr>
        <w:tblStyle w:val="TableTGAblue"/>
        <w:tblW w:w="5000" w:type="pct"/>
        <w:tblLayout w:type="fixed"/>
        <w:tblLook w:val="04A0" w:firstRow="1" w:lastRow="0" w:firstColumn="1" w:lastColumn="0" w:noHBand="0" w:noVBand="1"/>
      </w:tblPr>
      <w:tblGrid>
        <w:gridCol w:w="1193"/>
        <w:gridCol w:w="3122"/>
        <w:gridCol w:w="990"/>
        <w:gridCol w:w="1170"/>
        <w:gridCol w:w="899"/>
        <w:gridCol w:w="1120"/>
      </w:tblGrid>
      <w:tr w:rsidR="009849AC" w:rsidRPr="00CC32DB" w14:paraId="46E1BA2F" w14:textId="77777777" w:rsidTr="00F20E26">
        <w:trPr>
          <w:cnfStyle w:val="100000000000" w:firstRow="1" w:lastRow="0" w:firstColumn="0" w:lastColumn="0" w:oddVBand="0" w:evenVBand="0" w:oddHBand="0" w:evenHBand="0" w:firstRowFirstColumn="0" w:firstRowLastColumn="0" w:lastRowFirstColumn="0" w:lastRowLastColumn="0"/>
          <w:trHeight w:val="131"/>
        </w:trPr>
        <w:tc>
          <w:tcPr>
            <w:tcW w:w="2540" w:type="pct"/>
            <w:gridSpan w:val="2"/>
            <w:vMerge w:val="restart"/>
            <w:tcBorders>
              <w:top w:val="single" w:sz="4" w:space="0" w:color="auto"/>
              <w:left w:val="single" w:sz="4" w:space="0" w:color="auto"/>
              <w:bottom w:val="single" w:sz="4" w:space="0" w:color="auto"/>
              <w:right w:val="single" w:sz="4" w:space="0" w:color="auto"/>
            </w:tcBorders>
          </w:tcPr>
          <w:p w14:paraId="4C855DAE" w14:textId="77777777" w:rsidR="009849AC" w:rsidRPr="00F20E26" w:rsidRDefault="009849AC" w:rsidP="009849AC">
            <w:pPr>
              <w:pStyle w:val="Tabletext"/>
              <w:ind w:left="0" w:right="0"/>
              <w:rPr>
                <w:b w:val="0"/>
                <w:sz w:val="20"/>
                <w:szCs w:val="20"/>
              </w:rPr>
            </w:pPr>
            <w:r w:rsidRPr="00F20E26">
              <w:rPr>
                <w:sz w:val="20"/>
                <w:szCs w:val="20"/>
              </w:rPr>
              <w:t>Summary of safety concerns</w:t>
            </w:r>
          </w:p>
        </w:tc>
        <w:tc>
          <w:tcPr>
            <w:tcW w:w="1271" w:type="pct"/>
            <w:gridSpan w:val="2"/>
            <w:tcBorders>
              <w:top w:val="single" w:sz="4" w:space="0" w:color="auto"/>
              <w:left w:val="single" w:sz="4" w:space="0" w:color="auto"/>
              <w:bottom w:val="single" w:sz="4" w:space="0" w:color="auto"/>
              <w:right w:val="single" w:sz="4" w:space="0" w:color="auto"/>
            </w:tcBorders>
          </w:tcPr>
          <w:p w14:paraId="3367AC63" w14:textId="77777777" w:rsidR="009849AC" w:rsidRPr="00F20E26" w:rsidRDefault="009849AC" w:rsidP="009849AC">
            <w:pPr>
              <w:pStyle w:val="Tabletext"/>
              <w:ind w:left="0" w:right="0"/>
              <w:rPr>
                <w:b w:val="0"/>
                <w:sz w:val="20"/>
                <w:szCs w:val="20"/>
              </w:rPr>
            </w:pPr>
            <w:r w:rsidRPr="00F20E26">
              <w:rPr>
                <w:sz w:val="20"/>
                <w:szCs w:val="20"/>
              </w:rPr>
              <w:t>Pharmacovigilance</w:t>
            </w:r>
          </w:p>
        </w:tc>
        <w:tc>
          <w:tcPr>
            <w:tcW w:w="1188" w:type="pct"/>
            <w:gridSpan w:val="2"/>
            <w:tcBorders>
              <w:top w:val="single" w:sz="4" w:space="0" w:color="auto"/>
              <w:left w:val="single" w:sz="4" w:space="0" w:color="auto"/>
              <w:bottom w:val="single" w:sz="4" w:space="0" w:color="auto"/>
              <w:right w:val="single" w:sz="4" w:space="0" w:color="auto"/>
            </w:tcBorders>
          </w:tcPr>
          <w:p w14:paraId="2B4D1314" w14:textId="77777777" w:rsidR="009849AC" w:rsidRPr="00F20E26" w:rsidRDefault="009849AC" w:rsidP="009849AC">
            <w:pPr>
              <w:pStyle w:val="Tabletext"/>
              <w:ind w:left="0" w:right="0"/>
              <w:rPr>
                <w:b w:val="0"/>
                <w:sz w:val="20"/>
                <w:szCs w:val="20"/>
              </w:rPr>
            </w:pPr>
            <w:r w:rsidRPr="00F20E26">
              <w:rPr>
                <w:sz w:val="20"/>
                <w:szCs w:val="20"/>
              </w:rPr>
              <w:t>Risk Minimisation</w:t>
            </w:r>
          </w:p>
        </w:tc>
      </w:tr>
      <w:tr w:rsidR="00CC32DB" w:rsidRPr="00CC32DB" w14:paraId="48DAD892" w14:textId="77777777" w:rsidTr="00CC32DB">
        <w:trPr>
          <w:trHeight w:val="150"/>
        </w:trPr>
        <w:tc>
          <w:tcPr>
            <w:tcW w:w="2540" w:type="pct"/>
            <w:gridSpan w:val="2"/>
            <w:vMerge/>
            <w:tcBorders>
              <w:top w:val="single" w:sz="4" w:space="0" w:color="auto"/>
              <w:left w:val="single" w:sz="4" w:space="0" w:color="auto"/>
              <w:bottom w:val="single" w:sz="4" w:space="0" w:color="auto"/>
              <w:right w:val="single" w:sz="4" w:space="0" w:color="auto"/>
            </w:tcBorders>
          </w:tcPr>
          <w:p w14:paraId="5CB087B2" w14:textId="77777777" w:rsidR="009849AC" w:rsidRPr="00F20E26" w:rsidRDefault="009849AC" w:rsidP="009849AC">
            <w:pPr>
              <w:pStyle w:val="Tabletext"/>
              <w:ind w:left="0" w:right="0"/>
              <w:rPr>
                <w:b/>
                <w:sz w:val="20"/>
                <w:szCs w:val="20"/>
              </w:rPr>
            </w:pPr>
          </w:p>
        </w:tc>
        <w:tc>
          <w:tcPr>
            <w:tcW w:w="583" w:type="pct"/>
            <w:tcBorders>
              <w:top w:val="single" w:sz="4" w:space="0" w:color="auto"/>
              <w:left w:val="single" w:sz="4" w:space="0" w:color="auto"/>
              <w:bottom w:val="single" w:sz="4" w:space="0" w:color="auto"/>
              <w:right w:val="single" w:sz="4" w:space="0" w:color="auto"/>
            </w:tcBorders>
            <w:shd w:val="clear" w:color="auto" w:fill="006DA7"/>
          </w:tcPr>
          <w:p w14:paraId="7B52A3B5" w14:textId="77777777" w:rsidR="009849AC" w:rsidRPr="00F20E26" w:rsidRDefault="009849AC" w:rsidP="009849AC">
            <w:pPr>
              <w:pStyle w:val="Tabletext"/>
              <w:ind w:left="0" w:right="0"/>
              <w:rPr>
                <w:color w:val="FFFFFF" w:themeColor="background1"/>
                <w:sz w:val="20"/>
                <w:szCs w:val="20"/>
              </w:rPr>
            </w:pPr>
            <w:r w:rsidRPr="00F20E26">
              <w:rPr>
                <w:color w:val="FFFFFF" w:themeColor="background1"/>
                <w:sz w:val="20"/>
                <w:szCs w:val="20"/>
              </w:rPr>
              <w:t>Routine</w:t>
            </w:r>
          </w:p>
        </w:tc>
        <w:tc>
          <w:tcPr>
            <w:tcW w:w="689" w:type="pct"/>
            <w:tcBorders>
              <w:top w:val="single" w:sz="4" w:space="0" w:color="auto"/>
              <w:left w:val="single" w:sz="4" w:space="0" w:color="auto"/>
              <w:bottom w:val="single" w:sz="4" w:space="0" w:color="auto"/>
              <w:right w:val="single" w:sz="4" w:space="0" w:color="auto"/>
            </w:tcBorders>
            <w:shd w:val="clear" w:color="auto" w:fill="006DA7"/>
          </w:tcPr>
          <w:p w14:paraId="2C5F541C" w14:textId="77777777" w:rsidR="009849AC" w:rsidRPr="00F20E26" w:rsidRDefault="009849AC" w:rsidP="009849AC">
            <w:pPr>
              <w:pStyle w:val="Tabletext"/>
              <w:ind w:left="0" w:right="0"/>
              <w:rPr>
                <w:color w:val="FFFFFF" w:themeColor="background1"/>
                <w:sz w:val="20"/>
                <w:szCs w:val="20"/>
              </w:rPr>
            </w:pPr>
            <w:r w:rsidRPr="00F20E26">
              <w:rPr>
                <w:color w:val="FFFFFF" w:themeColor="background1"/>
                <w:sz w:val="20"/>
                <w:szCs w:val="20"/>
              </w:rPr>
              <w:t>Additional</w:t>
            </w:r>
          </w:p>
        </w:tc>
        <w:tc>
          <w:tcPr>
            <w:tcW w:w="529" w:type="pct"/>
            <w:tcBorders>
              <w:top w:val="single" w:sz="4" w:space="0" w:color="auto"/>
              <w:left w:val="single" w:sz="4" w:space="0" w:color="auto"/>
              <w:bottom w:val="single" w:sz="4" w:space="0" w:color="auto"/>
              <w:right w:val="single" w:sz="4" w:space="0" w:color="auto"/>
            </w:tcBorders>
            <w:shd w:val="clear" w:color="auto" w:fill="006DA7"/>
          </w:tcPr>
          <w:p w14:paraId="602A8BAA" w14:textId="77777777" w:rsidR="009849AC" w:rsidRPr="00F20E26" w:rsidRDefault="009849AC" w:rsidP="009849AC">
            <w:pPr>
              <w:pStyle w:val="Tabletext"/>
              <w:ind w:left="0" w:right="0"/>
              <w:rPr>
                <w:color w:val="FFFFFF" w:themeColor="background1"/>
                <w:sz w:val="20"/>
                <w:szCs w:val="20"/>
              </w:rPr>
            </w:pPr>
            <w:r w:rsidRPr="00F20E26">
              <w:rPr>
                <w:color w:val="FFFFFF" w:themeColor="background1"/>
                <w:sz w:val="20"/>
                <w:szCs w:val="20"/>
              </w:rPr>
              <w:t>Routine</w:t>
            </w:r>
          </w:p>
        </w:tc>
        <w:tc>
          <w:tcPr>
            <w:tcW w:w="659" w:type="pct"/>
            <w:tcBorders>
              <w:top w:val="single" w:sz="4" w:space="0" w:color="auto"/>
              <w:left w:val="single" w:sz="4" w:space="0" w:color="auto"/>
              <w:bottom w:val="single" w:sz="4" w:space="0" w:color="auto"/>
              <w:right w:val="single" w:sz="4" w:space="0" w:color="auto"/>
            </w:tcBorders>
            <w:shd w:val="clear" w:color="auto" w:fill="006DA7"/>
          </w:tcPr>
          <w:p w14:paraId="5B3CDC43" w14:textId="77777777" w:rsidR="009849AC" w:rsidRPr="00F20E26" w:rsidRDefault="009849AC" w:rsidP="009849AC">
            <w:pPr>
              <w:pStyle w:val="Tabletext"/>
              <w:ind w:left="0" w:right="0"/>
              <w:rPr>
                <w:color w:val="FFFFFF" w:themeColor="background1"/>
                <w:sz w:val="20"/>
                <w:szCs w:val="20"/>
              </w:rPr>
            </w:pPr>
            <w:r w:rsidRPr="00F20E26">
              <w:rPr>
                <w:color w:val="FFFFFF" w:themeColor="background1"/>
                <w:sz w:val="20"/>
                <w:szCs w:val="20"/>
              </w:rPr>
              <w:t>Additional</w:t>
            </w:r>
          </w:p>
        </w:tc>
      </w:tr>
      <w:tr w:rsidR="00CC32DB" w:rsidRPr="00CC32DB" w14:paraId="2602DA4F" w14:textId="77777777" w:rsidTr="00CC32DB">
        <w:trPr>
          <w:trHeight w:val="137"/>
        </w:trPr>
        <w:tc>
          <w:tcPr>
            <w:tcW w:w="702" w:type="pct"/>
            <w:vMerge w:val="restart"/>
            <w:tcBorders>
              <w:top w:val="single" w:sz="4" w:space="0" w:color="auto"/>
            </w:tcBorders>
          </w:tcPr>
          <w:p w14:paraId="0EB337E7" w14:textId="77777777" w:rsidR="009849AC" w:rsidRPr="00F20E26" w:rsidRDefault="009849AC" w:rsidP="009849AC">
            <w:pPr>
              <w:pStyle w:val="Tabletext"/>
              <w:ind w:left="0" w:right="0"/>
              <w:rPr>
                <w:b/>
                <w:sz w:val="20"/>
                <w:szCs w:val="20"/>
              </w:rPr>
            </w:pPr>
            <w:r w:rsidRPr="00F20E26">
              <w:rPr>
                <w:b/>
                <w:sz w:val="20"/>
                <w:szCs w:val="20"/>
              </w:rPr>
              <w:t>Important identified risks</w:t>
            </w:r>
          </w:p>
        </w:tc>
        <w:tc>
          <w:tcPr>
            <w:tcW w:w="1838" w:type="pct"/>
            <w:tcBorders>
              <w:top w:val="single" w:sz="4" w:space="0" w:color="auto"/>
            </w:tcBorders>
          </w:tcPr>
          <w:p w14:paraId="0C744AC0" w14:textId="77777777" w:rsidR="009849AC" w:rsidRPr="00F20E26" w:rsidRDefault="009849AC" w:rsidP="009849AC">
            <w:pPr>
              <w:pStyle w:val="Tabletext"/>
              <w:ind w:left="0" w:right="0"/>
              <w:rPr>
                <w:color w:val="auto"/>
                <w:sz w:val="20"/>
                <w:szCs w:val="20"/>
              </w:rPr>
            </w:pPr>
            <w:r w:rsidRPr="00F20E26">
              <w:rPr>
                <w:sz w:val="20"/>
                <w:szCs w:val="20"/>
              </w:rPr>
              <w:t>Infusion site reactions</w:t>
            </w:r>
          </w:p>
        </w:tc>
        <w:tc>
          <w:tcPr>
            <w:tcW w:w="583" w:type="pct"/>
            <w:tcBorders>
              <w:top w:val="single" w:sz="4" w:space="0" w:color="auto"/>
            </w:tcBorders>
          </w:tcPr>
          <w:p w14:paraId="64645335" w14:textId="77777777" w:rsidR="009849AC" w:rsidRPr="00F20E26" w:rsidRDefault="009849AC" w:rsidP="00891DCA">
            <w:pPr>
              <w:pStyle w:val="Tabletext"/>
              <w:jc w:val="center"/>
              <w:rPr>
                <w:color w:val="00B050"/>
                <w:sz w:val="20"/>
                <w:szCs w:val="20"/>
              </w:rPr>
            </w:pPr>
            <w:r w:rsidRPr="00F20E26">
              <w:rPr>
                <w:sz w:val="20"/>
                <w:szCs w:val="20"/>
              </w:rPr>
              <w:sym w:font="Wingdings" w:char="F0FC"/>
            </w:r>
          </w:p>
        </w:tc>
        <w:tc>
          <w:tcPr>
            <w:tcW w:w="689" w:type="pct"/>
            <w:tcBorders>
              <w:top w:val="single" w:sz="4" w:space="0" w:color="auto"/>
            </w:tcBorders>
          </w:tcPr>
          <w:p w14:paraId="77D8FF94" w14:textId="77777777" w:rsidR="009849AC" w:rsidRPr="00F20E26" w:rsidRDefault="009849AC" w:rsidP="00891DCA">
            <w:pPr>
              <w:pStyle w:val="Tabletext"/>
              <w:jc w:val="center"/>
              <w:rPr>
                <w:color w:val="00B050"/>
                <w:sz w:val="20"/>
                <w:szCs w:val="20"/>
              </w:rPr>
            </w:pPr>
            <w:r w:rsidRPr="00F20E26">
              <w:rPr>
                <w:sz w:val="20"/>
                <w:szCs w:val="20"/>
              </w:rPr>
              <w:t>–</w:t>
            </w:r>
          </w:p>
        </w:tc>
        <w:tc>
          <w:tcPr>
            <w:tcW w:w="529" w:type="pct"/>
            <w:tcBorders>
              <w:top w:val="single" w:sz="4" w:space="0" w:color="auto"/>
            </w:tcBorders>
          </w:tcPr>
          <w:p w14:paraId="5AD1BD1C" w14:textId="77777777" w:rsidR="009849AC" w:rsidRPr="00F20E26" w:rsidRDefault="009849AC" w:rsidP="00891DCA">
            <w:pPr>
              <w:pStyle w:val="Tabletext"/>
              <w:jc w:val="center"/>
              <w:rPr>
                <w:color w:val="00B050"/>
                <w:sz w:val="20"/>
                <w:szCs w:val="20"/>
              </w:rPr>
            </w:pPr>
            <w:r w:rsidRPr="00F20E26">
              <w:rPr>
                <w:sz w:val="20"/>
                <w:szCs w:val="20"/>
              </w:rPr>
              <w:sym w:font="Wingdings" w:char="F0FC"/>
            </w:r>
          </w:p>
        </w:tc>
        <w:tc>
          <w:tcPr>
            <w:tcW w:w="659" w:type="pct"/>
            <w:tcBorders>
              <w:top w:val="single" w:sz="4" w:space="0" w:color="auto"/>
            </w:tcBorders>
          </w:tcPr>
          <w:p w14:paraId="3B50CE30" w14:textId="77777777" w:rsidR="009849AC" w:rsidRPr="00F20E26" w:rsidRDefault="009849AC" w:rsidP="00891DCA">
            <w:pPr>
              <w:pStyle w:val="Tabletext"/>
              <w:jc w:val="center"/>
              <w:rPr>
                <w:color w:val="00B050"/>
                <w:sz w:val="20"/>
                <w:szCs w:val="20"/>
              </w:rPr>
            </w:pPr>
            <w:r w:rsidRPr="00F20E26">
              <w:rPr>
                <w:sz w:val="20"/>
                <w:szCs w:val="20"/>
              </w:rPr>
              <w:t>–</w:t>
            </w:r>
          </w:p>
        </w:tc>
      </w:tr>
      <w:tr w:rsidR="00CC32DB" w:rsidRPr="00CC32DB" w14:paraId="197FBF62" w14:textId="77777777" w:rsidTr="00CC32DB">
        <w:trPr>
          <w:trHeight w:val="137"/>
        </w:trPr>
        <w:tc>
          <w:tcPr>
            <w:tcW w:w="702" w:type="pct"/>
            <w:vMerge/>
          </w:tcPr>
          <w:p w14:paraId="567DDE7E" w14:textId="77777777" w:rsidR="009849AC" w:rsidRPr="00F20E26" w:rsidRDefault="009849AC" w:rsidP="009849AC">
            <w:pPr>
              <w:pStyle w:val="Tabletext"/>
              <w:ind w:left="0" w:right="0"/>
              <w:rPr>
                <w:b/>
                <w:sz w:val="20"/>
                <w:szCs w:val="20"/>
              </w:rPr>
            </w:pPr>
          </w:p>
        </w:tc>
        <w:tc>
          <w:tcPr>
            <w:tcW w:w="1838" w:type="pct"/>
          </w:tcPr>
          <w:p w14:paraId="35CD60CA" w14:textId="77777777" w:rsidR="009849AC" w:rsidRPr="00F20E26" w:rsidRDefault="009849AC" w:rsidP="009849AC">
            <w:pPr>
              <w:pStyle w:val="Tabletext"/>
              <w:ind w:left="0" w:right="0"/>
              <w:rPr>
                <w:color w:val="auto"/>
                <w:sz w:val="20"/>
                <w:szCs w:val="20"/>
              </w:rPr>
            </w:pPr>
            <w:r w:rsidRPr="00F20E26">
              <w:rPr>
                <w:sz w:val="20"/>
                <w:szCs w:val="20"/>
              </w:rPr>
              <w:t>Hypersensitivity reactions including anaphylactic reactions*</w:t>
            </w:r>
          </w:p>
        </w:tc>
        <w:tc>
          <w:tcPr>
            <w:tcW w:w="583" w:type="pct"/>
          </w:tcPr>
          <w:p w14:paraId="2306F722"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89" w:type="pct"/>
          </w:tcPr>
          <w:p w14:paraId="5D438D58" w14:textId="77777777" w:rsidR="009849AC" w:rsidRPr="00F20E26" w:rsidRDefault="009849AC" w:rsidP="00891DCA">
            <w:pPr>
              <w:pStyle w:val="Tabletext"/>
              <w:jc w:val="center"/>
              <w:rPr>
                <w:sz w:val="20"/>
                <w:szCs w:val="20"/>
              </w:rPr>
            </w:pPr>
            <w:r w:rsidRPr="00F20E26">
              <w:rPr>
                <w:sz w:val="20"/>
                <w:szCs w:val="20"/>
              </w:rPr>
              <w:t>–</w:t>
            </w:r>
          </w:p>
        </w:tc>
        <w:tc>
          <w:tcPr>
            <w:tcW w:w="529" w:type="pct"/>
          </w:tcPr>
          <w:p w14:paraId="03925971"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59" w:type="pct"/>
          </w:tcPr>
          <w:p w14:paraId="207DE9D1" w14:textId="77777777" w:rsidR="009849AC" w:rsidRPr="00F20E26" w:rsidRDefault="009849AC" w:rsidP="00891DCA">
            <w:pPr>
              <w:pStyle w:val="Tabletext"/>
              <w:jc w:val="center"/>
              <w:rPr>
                <w:sz w:val="20"/>
                <w:szCs w:val="20"/>
              </w:rPr>
            </w:pPr>
            <w:r w:rsidRPr="00F20E26">
              <w:rPr>
                <w:sz w:val="20"/>
                <w:szCs w:val="20"/>
              </w:rPr>
              <w:t>–</w:t>
            </w:r>
          </w:p>
        </w:tc>
      </w:tr>
      <w:tr w:rsidR="00CC32DB" w:rsidRPr="00CC32DB" w14:paraId="10EA7D38" w14:textId="77777777" w:rsidTr="00CC32DB">
        <w:trPr>
          <w:trHeight w:val="137"/>
        </w:trPr>
        <w:tc>
          <w:tcPr>
            <w:tcW w:w="702" w:type="pct"/>
            <w:vMerge/>
          </w:tcPr>
          <w:p w14:paraId="54DDDEE1" w14:textId="77777777" w:rsidR="009849AC" w:rsidRPr="00F20E26" w:rsidRDefault="009849AC" w:rsidP="009849AC">
            <w:pPr>
              <w:pStyle w:val="Tabletext"/>
              <w:ind w:left="0" w:right="0"/>
              <w:rPr>
                <w:b/>
                <w:sz w:val="20"/>
                <w:szCs w:val="20"/>
              </w:rPr>
            </w:pPr>
          </w:p>
        </w:tc>
        <w:tc>
          <w:tcPr>
            <w:tcW w:w="1838" w:type="pct"/>
          </w:tcPr>
          <w:p w14:paraId="5EBC3421" w14:textId="77777777" w:rsidR="009849AC" w:rsidRPr="00F20E26" w:rsidRDefault="009849AC" w:rsidP="009849AC">
            <w:pPr>
              <w:pStyle w:val="Tabletext"/>
              <w:ind w:left="0" w:right="0"/>
              <w:rPr>
                <w:color w:val="auto"/>
                <w:sz w:val="20"/>
                <w:szCs w:val="20"/>
              </w:rPr>
            </w:pPr>
            <w:r w:rsidRPr="00F20E26">
              <w:rPr>
                <w:sz w:val="20"/>
                <w:szCs w:val="20"/>
              </w:rPr>
              <w:t>Thromboembolic events*</w:t>
            </w:r>
          </w:p>
        </w:tc>
        <w:tc>
          <w:tcPr>
            <w:tcW w:w="583" w:type="pct"/>
          </w:tcPr>
          <w:p w14:paraId="7528C062"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89" w:type="pct"/>
          </w:tcPr>
          <w:p w14:paraId="37696D1B" w14:textId="77777777" w:rsidR="009849AC" w:rsidRPr="00F20E26" w:rsidRDefault="009849AC" w:rsidP="00891DCA">
            <w:pPr>
              <w:pStyle w:val="Tabletext"/>
              <w:jc w:val="center"/>
              <w:rPr>
                <w:sz w:val="20"/>
                <w:szCs w:val="20"/>
              </w:rPr>
            </w:pPr>
            <w:r w:rsidRPr="00F20E26">
              <w:rPr>
                <w:sz w:val="20"/>
                <w:szCs w:val="20"/>
              </w:rPr>
              <w:t>–</w:t>
            </w:r>
          </w:p>
        </w:tc>
        <w:tc>
          <w:tcPr>
            <w:tcW w:w="529" w:type="pct"/>
          </w:tcPr>
          <w:p w14:paraId="628B883D"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59" w:type="pct"/>
          </w:tcPr>
          <w:p w14:paraId="1DF6676D" w14:textId="77777777" w:rsidR="009849AC" w:rsidRPr="00F20E26" w:rsidRDefault="009849AC" w:rsidP="00891DCA">
            <w:pPr>
              <w:pStyle w:val="Tabletext"/>
              <w:jc w:val="center"/>
              <w:rPr>
                <w:sz w:val="20"/>
                <w:szCs w:val="20"/>
              </w:rPr>
            </w:pPr>
            <w:r w:rsidRPr="00F20E26">
              <w:rPr>
                <w:sz w:val="20"/>
                <w:szCs w:val="20"/>
              </w:rPr>
              <w:t>–</w:t>
            </w:r>
          </w:p>
        </w:tc>
      </w:tr>
      <w:tr w:rsidR="00CC32DB" w:rsidRPr="00CC32DB" w14:paraId="5F3C6279" w14:textId="77777777" w:rsidTr="00CC32DB">
        <w:trPr>
          <w:trHeight w:val="137"/>
        </w:trPr>
        <w:tc>
          <w:tcPr>
            <w:tcW w:w="702" w:type="pct"/>
            <w:vMerge/>
          </w:tcPr>
          <w:p w14:paraId="0ED27ECD" w14:textId="77777777" w:rsidR="009849AC" w:rsidRPr="00F20E26" w:rsidRDefault="009849AC" w:rsidP="009849AC">
            <w:pPr>
              <w:pStyle w:val="Tabletext"/>
              <w:ind w:left="0" w:right="0"/>
              <w:rPr>
                <w:b/>
                <w:sz w:val="20"/>
                <w:szCs w:val="20"/>
              </w:rPr>
            </w:pPr>
          </w:p>
        </w:tc>
        <w:tc>
          <w:tcPr>
            <w:tcW w:w="1838" w:type="pct"/>
          </w:tcPr>
          <w:p w14:paraId="3C572D74" w14:textId="77777777" w:rsidR="009849AC" w:rsidRPr="00F20E26" w:rsidRDefault="009849AC" w:rsidP="009849AC">
            <w:pPr>
              <w:pStyle w:val="Tabletext"/>
              <w:ind w:left="0" w:right="0"/>
              <w:rPr>
                <w:color w:val="auto"/>
                <w:sz w:val="20"/>
                <w:szCs w:val="20"/>
              </w:rPr>
            </w:pPr>
            <w:r w:rsidRPr="00F20E26">
              <w:rPr>
                <w:sz w:val="20"/>
                <w:szCs w:val="20"/>
              </w:rPr>
              <w:t>Aseptic meningitis*</w:t>
            </w:r>
          </w:p>
        </w:tc>
        <w:tc>
          <w:tcPr>
            <w:tcW w:w="583" w:type="pct"/>
          </w:tcPr>
          <w:p w14:paraId="777790B5"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89" w:type="pct"/>
          </w:tcPr>
          <w:p w14:paraId="40F75A3A" w14:textId="77777777" w:rsidR="009849AC" w:rsidRPr="00F20E26" w:rsidRDefault="009849AC" w:rsidP="00891DCA">
            <w:pPr>
              <w:pStyle w:val="Tabletext"/>
              <w:jc w:val="center"/>
              <w:rPr>
                <w:sz w:val="20"/>
                <w:szCs w:val="20"/>
              </w:rPr>
            </w:pPr>
            <w:r w:rsidRPr="00F20E26">
              <w:rPr>
                <w:sz w:val="20"/>
                <w:szCs w:val="20"/>
              </w:rPr>
              <w:t>–</w:t>
            </w:r>
          </w:p>
        </w:tc>
        <w:tc>
          <w:tcPr>
            <w:tcW w:w="529" w:type="pct"/>
          </w:tcPr>
          <w:p w14:paraId="6C4D4141"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59" w:type="pct"/>
          </w:tcPr>
          <w:p w14:paraId="6ACD40D0" w14:textId="77777777" w:rsidR="009849AC" w:rsidRPr="00F20E26" w:rsidRDefault="009849AC" w:rsidP="00891DCA">
            <w:pPr>
              <w:pStyle w:val="Tabletext"/>
              <w:jc w:val="center"/>
              <w:rPr>
                <w:sz w:val="20"/>
                <w:szCs w:val="20"/>
              </w:rPr>
            </w:pPr>
            <w:r w:rsidRPr="00F20E26">
              <w:rPr>
                <w:sz w:val="20"/>
                <w:szCs w:val="20"/>
              </w:rPr>
              <w:t>–</w:t>
            </w:r>
          </w:p>
        </w:tc>
      </w:tr>
      <w:tr w:rsidR="00CC32DB" w:rsidRPr="00CC32DB" w14:paraId="34A37E2D" w14:textId="77777777" w:rsidTr="00CC32DB">
        <w:trPr>
          <w:trHeight w:val="137"/>
        </w:trPr>
        <w:tc>
          <w:tcPr>
            <w:tcW w:w="702" w:type="pct"/>
            <w:vMerge/>
          </w:tcPr>
          <w:p w14:paraId="2A9A9FFD" w14:textId="77777777" w:rsidR="009849AC" w:rsidRPr="00F20E26" w:rsidRDefault="009849AC" w:rsidP="009849AC">
            <w:pPr>
              <w:pStyle w:val="Tabletext"/>
              <w:ind w:left="0" w:right="0"/>
              <w:rPr>
                <w:b/>
                <w:sz w:val="20"/>
                <w:szCs w:val="20"/>
              </w:rPr>
            </w:pPr>
          </w:p>
        </w:tc>
        <w:tc>
          <w:tcPr>
            <w:tcW w:w="1838" w:type="pct"/>
          </w:tcPr>
          <w:p w14:paraId="08F87332" w14:textId="77777777" w:rsidR="009849AC" w:rsidRPr="00F20E26" w:rsidRDefault="009849AC" w:rsidP="009849AC">
            <w:pPr>
              <w:pStyle w:val="Tabletext"/>
              <w:ind w:left="0" w:right="0"/>
              <w:rPr>
                <w:color w:val="auto"/>
                <w:sz w:val="20"/>
                <w:szCs w:val="20"/>
              </w:rPr>
            </w:pPr>
            <w:r w:rsidRPr="00F20E26">
              <w:rPr>
                <w:sz w:val="20"/>
                <w:szCs w:val="20"/>
              </w:rPr>
              <w:t>Haemolysis/haemolytic anaemia*</w:t>
            </w:r>
          </w:p>
        </w:tc>
        <w:tc>
          <w:tcPr>
            <w:tcW w:w="583" w:type="pct"/>
          </w:tcPr>
          <w:p w14:paraId="3E68072D"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89" w:type="pct"/>
          </w:tcPr>
          <w:p w14:paraId="37E82429" w14:textId="77777777" w:rsidR="009849AC" w:rsidRPr="00F20E26" w:rsidRDefault="009849AC" w:rsidP="00891DCA">
            <w:pPr>
              <w:pStyle w:val="Tabletext"/>
              <w:jc w:val="center"/>
              <w:rPr>
                <w:sz w:val="20"/>
                <w:szCs w:val="20"/>
              </w:rPr>
            </w:pPr>
            <w:r w:rsidRPr="00F20E26">
              <w:rPr>
                <w:sz w:val="20"/>
                <w:szCs w:val="20"/>
              </w:rPr>
              <w:t>–</w:t>
            </w:r>
          </w:p>
        </w:tc>
        <w:tc>
          <w:tcPr>
            <w:tcW w:w="529" w:type="pct"/>
          </w:tcPr>
          <w:p w14:paraId="5FC0186D"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59" w:type="pct"/>
          </w:tcPr>
          <w:p w14:paraId="6775FE23" w14:textId="77777777" w:rsidR="009849AC" w:rsidRPr="00F20E26" w:rsidRDefault="009849AC" w:rsidP="00891DCA">
            <w:pPr>
              <w:pStyle w:val="Tabletext"/>
              <w:jc w:val="center"/>
              <w:rPr>
                <w:sz w:val="20"/>
                <w:szCs w:val="20"/>
              </w:rPr>
            </w:pPr>
            <w:r w:rsidRPr="00F20E26">
              <w:rPr>
                <w:sz w:val="20"/>
                <w:szCs w:val="20"/>
              </w:rPr>
              <w:t>–</w:t>
            </w:r>
          </w:p>
        </w:tc>
      </w:tr>
      <w:tr w:rsidR="00CC32DB" w:rsidRPr="00CC32DB" w14:paraId="5CFCA5F9" w14:textId="77777777" w:rsidTr="00CC32DB">
        <w:trPr>
          <w:trHeight w:val="137"/>
        </w:trPr>
        <w:tc>
          <w:tcPr>
            <w:tcW w:w="702" w:type="pct"/>
            <w:vMerge/>
          </w:tcPr>
          <w:p w14:paraId="7F2C48AE" w14:textId="77777777" w:rsidR="009849AC" w:rsidRPr="00F20E26" w:rsidRDefault="009849AC" w:rsidP="009849AC">
            <w:pPr>
              <w:pStyle w:val="Tabletext"/>
              <w:ind w:left="0" w:right="0"/>
              <w:rPr>
                <w:b/>
                <w:sz w:val="20"/>
                <w:szCs w:val="20"/>
              </w:rPr>
            </w:pPr>
          </w:p>
        </w:tc>
        <w:tc>
          <w:tcPr>
            <w:tcW w:w="1838" w:type="pct"/>
          </w:tcPr>
          <w:p w14:paraId="60ED2E39" w14:textId="77777777" w:rsidR="009849AC" w:rsidRPr="00F20E26" w:rsidRDefault="009849AC" w:rsidP="009849AC">
            <w:pPr>
              <w:pStyle w:val="Tabletext"/>
              <w:ind w:left="0" w:right="0"/>
              <w:rPr>
                <w:color w:val="auto"/>
                <w:sz w:val="20"/>
                <w:szCs w:val="20"/>
              </w:rPr>
            </w:pPr>
            <w:r w:rsidRPr="00F20E26">
              <w:rPr>
                <w:sz w:val="20"/>
                <w:szCs w:val="20"/>
              </w:rPr>
              <w:t>Interference with serological testing*</w:t>
            </w:r>
          </w:p>
        </w:tc>
        <w:tc>
          <w:tcPr>
            <w:tcW w:w="583" w:type="pct"/>
          </w:tcPr>
          <w:p w14:paraId="06133A05"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89" w:type="pct"/>
          </w:tcPr>
          <w:p w14:paraId="2AA58837" w14:textId="77777777" w:rsidR="009849AC" w:rsidRPr="00F20E26" w:rsidRDefault="009849AC" w:rsidP="00891DCA">
            <w:pPr>
              <w:pStyle w:val="Tabletext"/>
              <w:jc w:val="center"/>
              <w:rPr>
                <w:sz w:val="20"/>
                <w:szCs w:val="20"/>
              </w:rPr>
            </w:pPr>
            <w:r w:rsidRPr="00F20E26">
              <w:rPr>
                <w:sz w:val="20"/>
                <w:szCs w:val="20"/>
              </w:rPr>
              <w:t>–</w:t>
            </w:r>
          </w:p>
        </w:tc>
        <w:tc>
          <w:tcPr>
            <w:tcW w:w="529" w:type="pct"/>
          </w:tcPr>
          <w:p w14:paraId="2B677AE0" w14:textId="77777777" w:rsidR="009849AC" w:rsidRPr="00F20E26" w:rsidRDefault="009849AC" w:rsidP="00891DCA">
            <w:pPr>
              <w:pStyle w:val="Tabletext"/>
              <w:jc w:val="center"/>
              <w:rPr>
                <w:sz w:val="20"/>
                <w:szCs w:val="20"/>
              </w:rPr>
            </w:pPr>
            <w:r w:rsidRPr="00F20E26">
              <w:rPr>
                <w:sz w:val="20"/>
                <w:szCs w:val="20"/>
              </w:rPr>
              <w:sym w:font="Wingdings" w:char="F0FC"/>
            </w:r>
          </w:p>
        </w:tc>
        <w:tc>
          <w:tcPr>
            <w:tcW w:w="659" w:type="pct"/>
          </w:tcPr>
          <w:p w14:paraId="3BE1B57F" w14:textId="77777777" w:rsidR="009849AC" w:rsidRPr="00F20E26" w:rsidRDefault="009849AC" w:rsidP="00891DCA">
            <w:pPr>
              <w:pStyle w:val="Tabletext"/>
              <w:jc w:val="center"/>
              <w:rPr>
                <w:sz w:val="20"/>
                <w:szCs w:val="20"/>
              </w:rPr>
            </w:pPr>
            <w:r w:rsidRPr="00F20E26">
              <w:rPr>
                <w:sz w:val="20"/>
                <w:szCs w:val="20"/>
              </w:rPr>
              <w:t>–</w:t>
            </w:r>
          </w:p>
        </w:tc>
      </w:tr>
      <w:tr w:rsidR="00CC32DB" w:rsidRPr="00CC32DB" w14:paraId="3267B6D7" w14:textId="77777777" w:rsidTr="00CC32DB">
        <w:trPr>
          <w:trHeight w:val="159"/>
        </w:trPr>
        <w:tc>
          <w:tcPr>
            <w:tcW w:w="702" w:type="pct"/>
            <w:vMerge w:val="restart"/>
          </w:tcPr>
          <w:p w14:paraId="63781D51" w14:textId="77777777" w:rsidR="009849AC" w:rsidRPr="00F20E26" w:rsidRDefault="009849AC" w:rsidP="009849AC">
            <w:pPr>
              <w:pStyle w:val="Tabletext"/>
              <w:ind w:left="0" w:right="0"/>
              <w:rPr>
                <w:b/>
                <w:sz w:val="20"/>
                <w:szCs w:val="20"/>
              </w:rPr>
            </w:pPr>
            <w:r w:rsidRPr="00F20E26">
              <w:rPr>
                <w:b/>
                <w:sz w:val="20"/>
                <w:szCs w:val="20"/>
              </w:rPr>
              <w:t>Important potential risks</w:t>
            </w:r>
          </w:p>
        </w:tc>
        <w:tc>
          <w:tcPr>
            <w:tcW w:w="1838" w:type="pct"/>
          </w:tcPr>
          <w:p w14:paraId="1209A0CB" w14:textId="77777777" w:rsidR="009849AC" w:rsidRPr="00F20E26" w:rsidRDefault="009849AC" w:rsidP="009849AC">
            <w:pPr>
              <w:pStyle w:val="Tabletext"/>
              <w:ind w:left="0" w:right="0"/>
              <w:rPr>
                <w:color w:val="auto"/>
                <w:sz w:val="20"/>
                <w:szCs w:val="20"/>
              </w:rPr>
            </w:pPr>
            <w:r w:rsidRPr="00F20E26">
              <w:rPr>
                <w:sz w:val="20"/>
                <w:szCs w:val="20"/>
              </w:rPr>
              <w:t>Hypersensitivity reactions including anaphylactic reactions</w:t>
            </w:r>
            <w:r w:rsidRPr="00F20E26">
              <w:rPr>
                <w:rFonts w:asciiTheme="majorHAnsi" w:hAnsiTheme="majorHAnsi"/>
                <w:sz w:val="20"/>
                <w:szCs w:val="20"/>
                <w:vertAlign w:val="superscript"/>
              </w:rPr>
              <w:t>†</w:t>
            </w:r>
          </w:p>
        </w:tc>
        <w:tc>
          <w:tcPr>
            <w:tcW w:w="583" w:type="pct"/>
          </w:tcPr>
          <w:p w14:paraId="166A4299"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05899990"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0AD4E2B6"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240A18D7"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7A282CDD" w14:textId="77777777" w:rsidTr="00CC32DB">
        <w:trPr>
          <w:trHeight w:val="122"/>
        </w:trPr>
        <w:tc>
          <w:tcPr>
            <w:tcW w:w="702" w:type="pct"/>
            <w:vMerge/>
          </w:tcPr>
          <w:p w14:paraId="4FDE1B90" w14:textId="77777777" w:rsidR="009849AC" w:rsidRPr="00F20E26" w:rsidRDefault="009849AC" w:rsidP="00891DCA">
            <w:pPr>
              <w:pStyle w:val="Tabletext"/>
              <w:rPr>
                <w:b/>
                <w:sz w:val="20"/>
                <w:szCs w:val="20"/>
              </w:rPr>
            </w:pPr>
          </w:p>
        </w:tc>
        <w:tc>
          <w:tcPr>
            <w:tcW w:w="1838" w:type="pct"/>
          </w:tcPr>
          <w:p w14:paraId="16D44BC4" w14:textId="77777777" w:rsidR="009849AC" w:rsidRPr="00F20E26" w:rsidRDefault="009849AC" w:rsidP="009849AC">
            <w:pPr>
              <w:pStyle w:val="Tabletext"/>
              <w:ind w:left="0" w:right="0"/>
              <w:rPr>
                <w:color w:val="auto"/>
                <w:sz w:val="20"/>
                <w:szCs w:val="20"/>
              </w:rPr>
            </w:pPr>
            <w:r w:rsidRPr="00F20E26">
              <w:rPr>
                <w:sz w:val="20"/>
                <w:szCs w:val="20"/>
              </w:rPr>
              <w:t>Thromboembolic events</w:t>
            </w:r>
            <w:r w:rsidRPr="00F20E26">
              <w:rPr>
                <w:rFonts w:asciiTheme="majorHAnsi" w:hAnsiTheme="majorHAnsi"/>
                <w:sz w:val="20"/>
                <w:szCs w:val="20"/>
                <w:vertAlign w:val="superscript"/>
              </w:rPr>
              <w:t>†</w:t>
            </w:r>
          </w:p>
        </w:tc>
        <w:tc>
          <w:tcPr>
            <w:tcW w:w="583" w:type="pct"/>
          </w:tcPr>
          <w:p w14:paraId="696B599E"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565A042C"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565EFCE6"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1518F97F"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174DAE80" w14:textId="77777777" w:rsidTr="00CC32DB">
        <w:trPr>
          <w:trHeight w:val="122"/>
        </w:trPr>
        <w:tc>
          <w:tcPr>
            <w:tcW w:w="702" w:type="pct"/>
            <w:vMerge/>
          </w:tcPr>
          <w:p w14:paraId="724E0F2C" w14:textId="77777777" w:rsidR="009849AC" w:rsidRPr="00F20E26" w:rsidRDefault="009849AC" w:rsidP="00891DCA">
            <w:pPr>
              <w:pStyle w:val="Tabletext"/>
              <w:rPr>
                <w:b/>
                <w:sz w:val="20"/>
                <w:szCs w:val="20"/>
              </w:rPr>
            </w:pPr>
          </w:p>
        </w:tc>
        <w:tc>
          <w:tcPr>
            <w:tcW w:w="1838" w:type="pct"/>
          </w:tcPr>
          <w:p w14:paraId="37A8F29C" w14:textId="77777777" w:rsidR="009849AC" w:rsidRPr="00F20E26" w:rsidRDefault="009849AC" w:rsidP="009849AC">
            <w:pPr>
              <w:pStyle w:val="Tabletext"/>
              <w:ind w:left="0" w:right="0"/>
              <w:rPr>
                <w:color w:val="auto"/>
                <w:sz w:val="20"/>
                <w:szCs w:val="20"/>
              </w:rPr>
            </w:pPr>
            <w:r w:rsidRPr="00F20E26">
              <w:rPr>
                <w:sz w:val="20"/>
                <w:szCs w:val="20"/>
              </w:rPr>
              <w:t>Aseptic meningitis</w:t>
            </w:r>
            <w:r w:rsidRPr="00F20E26">
              <w:rPr>
                <w:rFonts w:asciiTheme="majorHAnsi" w:hAnsiTheme="majorHAnsi"/>
                <w:sz w:val="20"/>
                <w:szCs w:val="20"/>
                <w:vertAlign w:val="superscript"/>
              </w:rPr>
              <w:t>†</w:t>
            </w:r>
          </w:p>
        </w:tc>
        <w:tc>
          <w:tcPr>
            <w:tcW w:w="583" w:type="pct"/>
          </w:tcPr>
          <w:p w14:paraId="67702C9A"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556BF94B"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2A479AEC"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180F200F"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05B2B14B" w14:textId="77777777" w:rsidTr="00CC32DB">
        <w:trPr>
          <w:trHeight w:val="122"/>
        </w:trPr>
        <w:tc>
          <w:tcPr>
            <w:tcW w:w="702" w:type="pct"/>
            <w:vMerge/>
          </w:tcPr>
          <w:p w14:paraId="1A2C302E" w14:textId="77777777" w:rsidR="009849AC" w:rsidRPr="00F20E26" w:rsidRDefault="009849AC" w:rsidP="00891DCA">
            <w:pPr>
              <w:pStyle w:val="Tabletext"/>
              <w:rPr>
                <w:b/>
                <w:sz w:val="20"/>
                <w:szCs w:val="20"/>
              </w:rPr>
            </w:pPr>
          </w:p>
        </w:tc>
        <w:tc>
          <w:tcPr>
            <w:tcW w:w="1838" w:type="pct"/>
          </w:tcPr>
          <w:p w14:paraId="2C4119B9" w14:textId="77777777" w:rsidR="009849AC" w:rsidRPr="00F20E26" w:rsidRDefault="009849AC" w:rsidP="009849AC">
            <w:pPr>
              <w:pStyle w:val="Tabletext"/>
              <w:ind w:left="0" w:right="0"/>
              <w:rPr>
                <w:color w:val="auto"/>
                <w:sz w:val="20"/>
                <w:szCs w:val="20"/>
              </w:rPr>
            </w:pPr>
            <w:r w:rsidRPr="00F20E26">
              <w:rPr>
                <w:sz w:val="20"/>
                <w:szCs w:val="20"/>
              </w:rPr>
              <w:t>Theoretical risk of pathogen infection</w:t>
            </w:r>
          </w:p>
        </w:tc>
        <w:tc>
          <w:tcPr>
            <w:tcW w:w="583" w:type="pct"/>
          </w:tcPr>
          <w:p w14:paraId="58848CD9"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701C34F9"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052933FD"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18BC2A62"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7ED60E74" w14:textId="77777777" w:rsidTr="00CC32DB">
        <w:trPr>
          <w:trHeight w:val="122"/>
        </w:trPr>
        <w:tc>
          <w:tcPr>
            <w:tcW w:w="702" w:type="pct"/>
            <w:vMerge/>
          </w:tcPr>
          <w:p w14:paraId="33484CDC" w14:textId="77777777" w:rsidR="009849AC" w:rsidRPr="00F20E26" w:rsidRDefault="009849AC" w:rsidP="00891DCA">
            <w:pPr>
              <w:pStyle w:val="Tabletext"/>
              <w:rPr>
                <w:b/>
                <w:sz w:val="20"/>
                <w:szCs w:val="20"/>
              </w:rPr>
            </w:pPr>
          </w:p>
        </w:tc>
        <w:tc>
          <w:tcPr>
            <w:tcW w:w="1838" w:type="pct"/>
          </w:tcPr>
          <w:p w14:paraId="77B959C1" w14:textId="77777777" w:rsidR="009849AC" w:rsidRPr="00F20E26" w:rsidRDefault="009849AC" w:rsidP="009849AC">
            <w:pPr>
              <w:pStyle w:val="Tabletext"/>
              <w:ind w:left="0" w:right="0"/>
              <w:rPr>
                <w:color w:val="auto"/>
                <w:sz w:val="20"/>
                <w:szCs w:val="20"/>
              </w:rPr>
            </w:pPr>
            <w:r w:rsidRPr="00F20E26">
              <w:rPr>
                <w:sz w:val="20"/>
                <w:szCs w:val="20"/>
              </w:rPr>
              <w:t>Interaction with live attenuated vaccines</w:t>
            </w:r>
          </w:p>
        </w:tc>
        <w:tc>
          <w:tcPr>
            <w:tcW w:w="583" w:type="pct"/>
          </w:tcPr>
          <w:p w14:paraId="1CB5260B"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6C81413F"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35B0F224"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60462A6A"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11ACD674" w14:textId="77777777" w:rsidTr="00CC32DB">
        <w:trPr>
          <w:trHeight w:val="122"/>
        </w:trPr>
        <w:tc>
          <w:tcPr>
            <w:tcW w:w="702" w:type="pct"/>
            <w:vMerge/>
          </w:tcPr>
          <w:p w14:paraId="74F57232" w14:textId="77777777" w:rsidR="009849AC" w:rsidRPr="00F20E26" w:rsidRDefault="009849AC" w:rsidP="00891DCA">
            <w:pPr>
              <w:pStyle w:val="Tabletext"/>
              <w:rPr>
                <w:b/>
                <w:sz w:val="20"/>
                <w:szCs w:val="20"/>
              </w:rPr>
            </w:pPr>
          </w:p>
        </w:tc>
        <w:tc>
          <w:tcPr>
            <w:tcW w:w="1838" w:type="pct"/>
          </w:tcPr>
          <w:p w14:paraId="072AE453" w14:textId="77777777" w:rsidR="009849AC" w:rsidRPr="00F20E26" w:rsidRDefault="009849AC" w:rsidP="009849AC">
            <w:pPr>
              <w:pStyle w:val="Tabletext"/>
              <w:ind w:left="0" w:right="0"/>
              <w:rPr>
                <w:color w:val="auto"/>
                <w:sz w:val="20"/>
                <w:szCs w:val="20"/>
              </w:rPr>
            </w:pPr>
            <w:r w:rsidRPr="00F20E26">
              <w:rPr>
                <w:sz w:val="20"/>
                <w:szCs w:val="20"/>
              </w:rPr>
              <w:t>Medication errors arising from self-administration</w:t>
            </w:r>
          </w:p>
        </w:tc>
        <w:tc>
          <w:tcPr>
            <w:tcW w:w="583" w:type="pct"/>
          </w:tcPr>
          <w:p w14:paraId="1385F6E2"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155CEE75"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2934B461"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65F8B7B7"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054F3D58" w14:textId="77777777" w:rsidTr="00CC32DB">
        <w:trPr>
          <w:trHeight w:val="112"/>
        </w:trPr>
        <w:tc>
          <w:tcPr>
            <w:tcW w:w="702" w:type="pct"/>
            <w:vMerge/>
          </w:tcPr>
          <w:p w14:paraId="2EABD3FE" w14:textId="77777777" w:rsidR="009849AC" w:rsidRPr="00F20E26" w:rsidRDefault="009849AC" w:rsidP="00891DCA">
            <w:pPr>
              <w:pStyle w:val="Tabletext"/>
              <w:rPr>
                <w:b/>
                <w:sz w:val="20"/>
                <w:szCs w:val="20"/>
              </w:rPr>
            </w:pPr>
          </w:p>
        </w:tc>
        <w:tc>
          <w:tcPr>
            <w:tcW w:w="1838" w:type="pct"/>
          </w:tcPr>
          <w:p w14:paraId="10F0856D" w14:textId="77777777" w:rsidR="009849AC" w:rsidRPr="00F20E26" w:rsidRDefault="009849AC" w:rsidP="009849AC">
            <w:pPr>
              <w:pStyle w:val="Tabletext"/>
              <w:ind w:left="0" w:right="0"/>
              <w:rPr>
                <w:color w:val="auto"/>
                <w:sz w:val="20"/>
                <w:szCs w:val="20"/>
              </w:rPr>
            </w:pPr>
            <w:r w:rsidRPr="00F20E26">
              <w:rPr>
                <w:sz w:val="20"/>
                <w:szCs w:val="20"/>
              </w:rPr>
              <w:t>Transfusion related acute lung injury (TRALI)*</w:t>
            </w:r>
          </w:p>
        </w:tc>
        <w:tc>
          <w:tcPr>
            <w:tcW w:w="583" w:type="pct"/>
          </w:tcPr>
          <w:p w14:paraId="763B6B61"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60935EB3"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10A4D99D"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1F3D14AF"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596647B2" w14:textId="77777777" w:rsidTr="00CC32DB">
        <w:trPr>
          <w:trHeight w:val="178"/>
        </w:trPr>
        <w:tc>
          <w:tcPr>
            <w:tcW w:w="702" w:type="pct"/>
            <w:vMerge w:val="restart"/>
          </w:tcPr>
          <w:p w14:paraId="4BF0FC2F" w14:textId="77777777" w:rsidR="009849AC" w:rsidRPr="00F20E26" w:rsidRDefault="009849AC" w:rsidP="009849AC">
            <w:pPr>
              <w:pStyle w:val="Tabletext"/>
              <w:ind w:left="0" w:right="0"/>
              <w:rPr>
                <w:b/>
                <w:sz w:val="20"/>
                <w:szCs w:val="20"/>
              </w:rPr>
            </w:pPr>
            <w:r w:rsidRPr="00F20E26">
              <w:rPr>
                <w:b/>
                <w:sz w:val="20"/>
                <w:szCs w:val="20"/>
              </w:rPr>
              <w:t>Missing information</w:t>
            </w:r>
          </w:p>
        </w:tc>
        <w:tc>
          <w:tcPr>
            <w:tcW w:w="1838" w:type="pct"/>
          </w:tcPr>
          <w:p w14:paraId="77077F26" w14:textId="77777777" w:rsidR="009849AC" w:rsidRPr="00F20E26" w:rsidRDefault="009849AC" w:rsidP="009849AC">
            <w:pPr>
              <w:pStyle w:val="Tabletext"/>
              <w:ind w:left="0" w:right="0"/>
              <w:rPr>
                <w:color w:val="auto"/>
                <w:sz w:val="20"/>
                <w:szCs w:val="20"/>
              </w:rPr>
            </w:pPr>
            <w:r w:rsidRPr="00F20E26">
              <w:rPr>
                <w:sz w:val="20"/>
                <w:szCs w:val="20"/>
              </w:rPr>
              <w:t>Use in women who are pregnant or lactating</w:t>
            </w:r>
          </w:p>
        </w:tc>
        <w:tc>
          <w:tcPr>
            <w:tcW w:w="583" w:type="pct"/>
          </w:tcPr>
          <w:p w14:paraId="75A5BA1B"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71E18DD3"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750AC6C5"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39785BCB"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25E738F0" w14:textId="77777777" w:rsidTr="00CC32DB">
        <w:trPr>
          <w:trHeight w:val="178"/>
        </w:trPr>
        <w:tc>
          <w:tcPr>
            <w:tcW w:w="702" w:type="pct"/>
            <w:vMerge/>
          </w:tcPr>
          <w:p w14:paraId="43D96668" w14:textId="77777777" w:rsidR="009849AC" w:rsidRPr="00F20E26" w:rsidRDefault="009849AC" w:rsidP="00891DCA">
            <w:pPr>
              <w:pStyle w:val="Tabletext"/>
              <w:rPr>
                <w:b/>
                <w:sz w:val="20"/>
                <w:szCs w:val="20"/>
              </w:rPr>
            </w:pPr>
          </w:p>
        </w:tc>
        <w:tc>
          <w:tcPr>
            <w:tcW w:w="1838" w:type="pct"/>
          </w:tcPr>
          <w:p w14:paraId="063A8F75" w14:textId="77777777" w:rsidR="009849AC" w:rsidRPr="00F20E26" w:rsidRDefault="009849AC" w:rsidP="009849AC">
            <w:pPr>
              <w:pStyle w:val="Tabletext"/>
              <w:ind w:left="0" w:right="0"/>
              <w:rPr>
                <w:color w:val="auto"/>
                <w:sz w:val="20"/>
                <w:szCs w:val="20"/>
              </w:rPr>
            </w:pPr>
            <w:r w:rsidRPr="00F20E26">
              <w:rPr>
                <w:sz w:val="20"/>
                <w:szCs w:val="20"/>
              </w:rPr>
              <w:t>Use in neonates and infants &lt;2 years*</w:t>
            </w:r>
          </w:p>
        </w:tc>
        <w:tc>
          <w:tcPr>
            <w:tcW w:w="583" w:type="pct"/>
          </w:tcPr>
          <w:p w14:paraId="0F9E2FA8"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429703B1"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367577F7"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53881054"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0F80FAB1" w14:textId="77777777" w:rsidTr="00CC32DB">
        <w:trPr>
          <w:trHeight w:val="178"/>
        </w:trPr>
        <w:tc>
          <w:tcPr>
            <w:tcW w:w="702" w:type="pct"/>
            <w:vMerge/>
          </w:tcPr>
          <w:p w14:paraId="32802189" w14:textId="77777777" w:rsidR="009849AC" w:rsidRPr="00F20E26" w:rsidRDefault="009849AC" w:rsidP="00891DCA">
            <w:pPr>
              <w:pStyle w:val="Tabletext"/>
              <w:rPr>
                <w:b/>
                <w:sz w:val="20"/>
                <w:szCs w:val="20"/>
              </w:rPr>
            </w:pPr>
          </w:p>
        </w:tc>
        <w:tc>
          <w:tcPr>
            <w:tcW w:w="1838" w:type="pct"/>
          </w:tcPr>
          <w:p w14:paraId="78935025" w14:textId="77777777" w:rsidR="009849AC" w:rsidRPr="00F20E26" w:rsidRDefault="009849AC" w:rsidP="009849AC">
            <w:pPr>
              <w:pStyle w:val="Tabletext"/>
              <w:ind w:left="0" w:right="0"/>
              <w:rPr>
                <w:color w:val="auto"/>
                <w:sz w:val="20"/>
                <w:szCs w:val="20"/>
              </w:rPr>
            </w:pPr>
            <w:r w:rsidRPr="00F20E26">
              <w:rPr>
                <w:sz w:val="20"/>
                <w:szCs w:val="20"/>
              </w:rPr>
              <w:t>Use in patients &gt;65 years*</w:t>
            </w:r>
          </w:p>
        </w:tc>
        <w:tc>
          <w:tcPr>
            <w:tcW w:w="583" w:type="pct"/>
          </w:tcPr>
          <w:p w14:paraId="4676914E"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4DB12C89"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21065D63"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0C395BBC" w14:textId="77777777" w:rsidR="009849AC" w:rsidRPr="00F20E26" w:rsidRDefault="009849AC" w:rsidP="00891DCA">
            <w:pPr>
              <w:pStyle w:val="Tabletext"/>
              <w:jc w:val="center"/>
              <w:rPr>
                <w:color w:val="auto"/>
                <w:sz w:val="20"/>
                <w:szCs w:val="20"/>
              </w:rPr>
            </w:pPr>
            <w:r w:rsidRPr="00F20E26">
              <w:rPr>
                <w:sz w:val="20"/>
                <w:szCs w:val="20"/>
              </w:rPr>
              <w:t>–</w:t>
            </w:r>
          </w:p>
        </w:tc>
      </w:tr>
      <w:tr w:rsidR="00CC32DB" w:rsidRPr="00CC32DB" w14:paraId="7D7C1859" w14:textId="77777777" w:rsidTr="00CC32DB">
        <w:trPr>
          <w:trHeight w:val="178"/>
        </w:trPr>
        <w:tc>
          <w:tcPr>
            <w:tcW w:w="702" w:type="pct"/>
            <w:vMerge/>
          </w:tcPr>
          <w:p w14:paraId="621DFF09" w14:textId="77777777" w:rsidR="009849AC" w:rsidRPr="00F20E26" w:rsidRDefault="009849AC" w:rsidP="00891DCA">
            <w:pPr>
              <w:pStyle w:val="Tabletext"/>
              <w:rPr>
                <w:b/>
                <w:sz w:val="20"/>
                <w:szCs w:val="20"/>
              </w:rPr>
            </w:pPr>
          </w:p>
        </w:tc>
        <w:tc>
          <w:tcPr>
            <w:tcW w:w="1838" w:type="pct"/>
          </w:tcPr>
          <w:p w14:paraId="33CDF8F4" w14:textId="77777777" w:rsidR="009849AC" w:rsidRPr="00F20E26" w:rsidRDefault="009849AC" w:rsidP="009849AC">
            <w:pPr>
              <w:pStyle w:val="Tabletext"/>
              <w:ind w:left="0" w:right="0"/>
              <w:rPr>
                <w:color w:val="auto"/>
                <w:sz w:val="20"/>
                <w:szCs w:val="20"/>
              </w:rPr>
            </w:pPr>
            <w:r w:rsidRPr="00F20E26">
              <w:rPr>
                <w:sz w:val="20"/>
                <w:szCs w:val="20"/>
              </w:rPr>
              <w:t>Use in patients with renal or hepatic impairment*</w:t>
            </w:r>
          </w:p>
        </w:tc>
        <w:tc>
          <w:tcPr>
            <w:tcW w:w="583" w:type="pct"/>
          </w:tcPr>
          <w:p w14:paraId="7FD465B4"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89" w:type="pct"/>
          </w:tcPr>
          <w:p w14:paraId="124EAC05" w14:textId="77777777" w:rsidR="009849AC" w:rsidRPr="00F20E26" w:rsidRDefault="009849AC" w:rsidP="00891DCA">
            <w:pPr>
              <w:pStyle w:val="Tabletext"/>
              <w:jc w:val="center"/>
              <w:rPr>
                <w:color w:val="auto"/>
                <w:sz w:val="20"/>
                <w:szCs w:val="20"/>
              </w:rPr>
            </w:pPr>
            <w:r w:rsidRPr="00F20E26">
              <w:rPr>
                <w:sz w:val="20"/>
                <w:szCs w:val="20"/>
              </w:rPr>
              <w:t>–</w:t>
            </w:r>
          </w:p>
        </w:tc>
        <w:tc>
          <w:tcPr>
            <w:tcW w:w="529" w:type="pct"/>
          </w:tcPr>
          <w:p w14:paraId="6F29F895" w14:textId="77777777" w:rsidR="009849AC" w:rsidRPr="00F20E26" w:rsidRDefault="009849AC" w:rsidP="00891DCA">
            <w:pPr>
              <w:pStyle w:val="Tabletext"/>
              <w:jc w:val="center"/>
              <w:rPr>
                <w:color w:val="auto"/>
                <w:sz w:val="20"/>
                <w:szCs w:val="20"/>
              </w:rPr>
            </w:pPr>
            <w:r w:rsidRPr="00F20E26">
              <w:rPr>
                <w:sz w:val="20"/>
                <w:szCs w:val="20"/>
              </w:rPr>
              <w:sym w:font="Wingdings" w:char="F0FC"/>
            </w:r>
          </w:p>
        </w:tc>
        <w:tc>
          <w:tcPr>
            <w:tcW w:w="659" w:type="pct"/>
          </w:tcPr>
          <w:p w14:paraId="383251E2" w14:textId="77777777" w:rsidR="009849AC" w:rsidRPr="00F20E26" w:rsidRDefault="009849AC" w:rsidP="00891DCA">
            <w:pPr>
              <w:pStyle w:val="Tabletext"/>
              <w:jc w:val="center"/>
              <w:rPr>
                <w:color w:val="auto"/>
                <w:sz w:val="20"/>
                <w:szCs w:val="20"/>
              </w:rPr>
            </w:pPr>
            <w:r w:rsidRPr="00F20E26">
              <w:rPr>
                <w:sz w:val="20"/>
                <w:szCs w:val="20"/>
              </w:rPr>
              <w:t>–</w:t>
            </w:r>
          </w:p>
        </w:tc>
      </w:tr>
    </w:tbl>
    <w:p w14:paraId="41A5A57A" w14:textId="77777777" w:rsidR="008C0848" w:rsidRDefault="009849AC" w:rsidP="009849AC">
      <w:pPr>
        <w:pStyle w:val="TableDescription"/>
      </w:pPr>
      <w:r w:rsidRPr="009849AC">
        <w:t>*ASA only</w:t>
      </w:r>
    </w:p>
    <w:p w14:paraId="58967A3D" w14:textId="63BD72BB" w:rsidR="009849AC" w:rsidRDefault="009849AC" w:rsidP="009849AC">
      <w:pPr>
        <w:pStyle w:val="TableDescription"/>
      </w:pPr>
      <w:r w:rsidRPr="009849AC">
        <w:t>†EU-RMP only</w:t>
      </w:r>
    </w:p>
    <w:p w14:paraId="5BB45FD0" w14:textId="77777777" w:rsidR="00CC32DB" w:rsidRDefault="00CC32DB" w:rsidP="002A2615"/>
    <w:p w14:paraId="1E8B1EC1" w14:textId="77777777" w:rsidR="00CC32DB" w:rsidRDefault="00CC32DB" w:rsidP="002A2615"/>
    <w:p w14:paraId="6D994185" w14:textId="16784210" w:rsidR="002A2615" w:rsidRDefault="002A2615" w:rsidP="002A2615">
      <w:r>
        <w:lastRenderedPageBreak/>
        <w:t>The sponsor has amended the safety specification as requested by the RMP evaluator. The summary of safety concerns listed in the ASA is now acceptable.</w:t>
      </w:r>
    </w:p>
    <w:p w14:paraId="2B7377E4" w14:textId="02D0DFAB" w:rsidR="002A2615" w:rsidRDefault="002A2615" w:rsidP="002A2615">
      <w:r>
        <w:t>The sponsor has proposed routine pharmacovigilance activities only for all safety concerns which is acceptable.</w:t>
      </w:r>
    </w:p>
    <w:p w14:paraId="75E7674B" w14:textId="33CEE4DA" w:rsidR="002A2615" w:rsidRPr="009849AC" w:rsidRDefault="002A2615" w:rsidP="005046D0">
      <w:r>
        <w:t>The sponsor has proposed routine risk minimisation activities only for the safety concerns which consist of the PI and consumer medicine information (CMI). The sponsor has committed to including the CMI, which includes instructions for use, in the packaging of the product. This is acceptable.</w:t>
      </w:r>
    </w:p>
    <w:p w14:paraId="4C03DE94" w14:textId="77777777" w:rsidR="008E7846" w:rsidRDefault="00AA0ED0" w:rsidP="008E7846">
      <w:pPr>
        <w:pStyle w:val="Heading3"/>
      </w:pPr>
      <w:bookmarkStart w:id="58" w:name="_Toc125365365"/>
      <w:r>
        <w:t>Risk-benefit a</w:t>
      </w:r>
      <w:r w:rsidR="008E7846">
        <w:t>nalysis</w:t>
      </w:r>
      <w:bookmarkEnd w:id="53"/>
      <w:bookmarkEnd w:id="54"/>
      <w:bookmarkEnd w:id="58"/>
    </w:p>
    <w:p w14:paraId="4B7E9EEB" w14:textId="77777777" w:rsidR="0074163C" w:rsidRDefault="0074163C" w:rsidP="0074163C">
      <w:pPr>
        <w:pStyle w:val="Heading4"/>
      </w:pPr>
      <w:bookmarkStart w:id="59" w:name="_Toc98931932"/>
      <w:r>
        <w:t>Delegate’s considerations</w:t>
      </w:r>
      <w:bookmarkEnd w:id="59"/>
    </w:p>
    <w:p w14:paraId="6D589F85" w14:textId="77777777" w:rsidR="00261045" w:rsidRDefault="00261045" w:rsidP="00261045">
      <w:pPr>
        <w:rPr>
          <w:rFonts w:asciiTheme="minorHAnsi" w:hAnsiTheme="minorHAnsi" w:cstheme="majorHAnsi"/>
          <w:bCs/>
        </w:rPr>
      </w:pPr>
      <w:r w:rsidRPr="00AF7876">
        <w:rPr>
          <w:rFonts w:asciiTheme="minorHAnsi" w:hAnsiTheme="minorHAnsi" w:cstheme="majorHAnsi"/>
          <w:bCs/>
        </w:rPr>
        <w:t>There are no nonclinical objections to registration.</w:t>
      </w:r>
    </w:p>
    <w:p w14:paraId="7BEC9F9C" w14:textId="74D11ADA" w:rsidR="00261045" w:rsidRPr="0008349C" w:rsidRDefault="00261045" w:rsidP="00261045">
      <w:pPr>
        <w:rPr>
          <w:rFonts w:asciiTheme="minorHAnsi" w:hAnsiTheme="minorHAnsi" w:cstheme="majorHAnsi"/>
          <w:bCs/>
        </w:rPr>
      </w:pPr>
      <w:r w:rsidRPr="0008349C">
        <w:rPr>
          <w:rFonts w:asciiTheme="minorHAnsi" w:hAnsiTheme="minorHAnsi" w:cstheme="majorHAnsi"/>
          <w:bCs/>
        </w:rPr>
        <w:t xml:space="preserve">The </w:t>
      </w:r>
      <w:r w:rsidR="00C40CAA">
        <w:rPr>
          <w:rFonts w:asciiTheme="minorHAnsi" w:hAnsiTheme="minorHAnsi" w:cstheme="majorHAnsi"/>
          <w:bCs/>
        </w:rPr>
        <w:t>p</w:t>
      </w:r>
      <w:r w:rsidRPr="0008349C">
        <w:rPr>
          <w:rFonts w:asciiTheme="minorHAnsi" w:hAnsiTheme="minorHAnsi" w:cstheme="majorHAnsi"/>
          <w:bCs/>
        </w:rPr>
        <w:t xml:space="preserve">harmacometrics </w:t>
      </w:r>
      <w:r w:rsidR="00C40CAA">
        <w:rPr>
          <w:rFonts w:asciiTheme="minorHAnsi" w:hAnsiTheme="minorHAnsi" w:cstheme="majorHAnsi"/>
          <w:bCs/>
        </w:rPr>
        <w:t>w</w:t>
      </w:r>
      <w:r w:rsidR="005046D0">
        <w:rPr>
          <w:rFonts w:asciiTheme="minorHAnsi" w:hAnsiTheme="minorHAnsi" w:cstheme="majorHAnsi"/>
          <w:bCs/>
        </w:rPr>
        <w:t>o</w:t>
      </w:r>
      <w:r w:rsidRPr="0008349C">
        <w:rPr>
          <w:rFonts w:asciiTheme="minorHAnsi" w:hAnsiTheme="minorHAnsi" w:cstheme="majorHAnsi"/>
          <w:bCs/>
        </w:rPr>
        <w:t xml:space="preserve">rking </w:t>
      </w:r>
      <w:r w:rsidR="00C40CAA">
        <w:rPr>
          <w:rFonts w:asciiTheme="minorHAnsi" w:hAnsiTheme="minorHAnsi" w:cstheme="majorHAnsi"/>
          <w:bCs/>
        </w:rPr>
        <w:t>g</w:t>
      </w:r>
      <w:r w:rsidRPr="0008349C">
        <w:rPr>
          <w:rFonts w:asciiTheme="minorHAnsi" w:hAnsiTheme="minorHAnsi" w:cstheme="majorHAnsi"/>
          <w:bCs/>
        </w:rPr>
        <w:t>roup considered th</w:t>
      </w:r>
      <w:r>
        <w:rPr>
          <w:rFonts w:asciiTheme="minorHAnsi" w:hAnsiTheme="minorHAnsi" w:cstheme="majorHAnsi"/>
          <w:bCs/>
        </w:rPr>
        <w:t>is</w:t>
      </w:r>
      <w:r w:rsidRPr="0008349C">
        <w:rPr>
          <w:rFonts w:asciiTheme="minorHAnsi" w:hAnsiTheme="minorHAnsi" w:cstheme="majorHAnsi"/>
          <w:bCs/>
        </w:rPr>
        <w:t xml:space="preserve"> submission</w:t>
      </w:r>
      <w:r>
        <w:rPr>
          <w:rFonts w:asciiTheme="minorHAnsi" w:hAnsiTheme="minorHAnsi" w:cstheme="majorHAnsi"/>
          <w:bCs/>
        </w:rPr>
        <w:t xml:space="preserve">. </w:t>
      </w:r>
      <w:r w:rsidRPr="0008349C">
        <w:rPr>
          <w:rFonts w:asciiTheme="minorHAnsi" w:hAnsiTheme="minorHAnsi" w:cstheme="majorHAnsi"/>
          <w:bCs/>
        </w:rPr>
        <w:t xml:space="preserve">The </w:t>
      </w:r>
      <w:r w:rsidR="00C40CAA">
        <w:rPr>
          <w:rFonts w:asciiTheme="minorHAnsi" w:hAnsiTheme="minorHAnsi" w:cstheme="majorHAnsi"/>
          <w:bCs/>
        </w:rPr>
        <w:t>working group</w:t>
      </w:r>
      <w:r w:rsidR="00C40CAA" w:rsidRPr="0008349C">
        <w:rPr>
          <w:rFonts w:asciiTheme="minorHAnsi" w:hAnsiTheme="minorHAnsi" w:cstheme="majorHAnsi"/>
          <w:bCs/>
        </w:rPr>
        <w:t xml:space="preserve"> </w:t>
      </w:r>
      <w:r w:rsidRPr="0008349C">
        <w:rPr>
          <w:rFonts w:asciiTheme="minorHAnsi" w:hAnsiTheme="minorHAnsi" w:cstheme="majorHAnsi"/>
          <w:bCs/>
        </w:rPr>
        <w:t xml:space="preserve">did not express any major concerns in relation to PK modelling and simulation analyses by the </w:t>
      </w:r>
      <w:r w:rsidR="00C40CAA">
        <w:rPr>
          <w:rFonts w:asciiTheme="minorHAnsi" w:hAnsiTheme="minorHAnsi" w:cstheme="majorHAnsi"/>
          <w:bCs/>
        </w:rPr>
        <w:t>s</w:t>
      </w:r>
      <w:r w:rsidRPr="0008349C">
        <w:rPr>
          <w:rFonts w:asciiTheme="minorHAnsi" w:hAnsiTheme="minorHAnsi" w:cstheme="majorHAnsi"/>
          <w:bCs/>
        </w:rPr>
        <w:t xml:space="preserve">ponsor. The </w:t>
      </w:r>
      <w:r w:rsidR="00C40CAA">
        <w:rPr>
          <w:rFonts w:asciiTheme="minorHAnsi" w:hAnsiTheme="minorHAnsi" w:cstheme="majorHAnsi"/>
          <w:bCs/>
        </w:rPr>
        <w:t>working group</w:t>
      </w:r>
      <w:r w:rsidRPr="0008349C">
        <w:rPr>
          <w:rFonts w:asciiTheme="minorHAnsi" w:hAnsiTheme="minorHAnsi" w:cstheme="majorHAnsi"/>
          <w:bCs/>
        </w:rPr>
        <w:t xml:space="preserve"> is of the opinion that the analyses support the proposed dosing recommendations</w:t>
      </w:r>
      <w:r>
        <w:rPr>
          <w:rFonts w:asciiTheme="minorHAnsi" w:hAnsiTheme="minorHAnsi" w:cstheme="majorHAnsi"/>
          <w:bCs/>
        </w:rPr>
        <w:t>.</w:t>
      </w:r>
      <w:r w:rsidRPr="0008349C">
        <w:rPr>
          <w:rFonts w:asciiTheme="minorHAnsi" w:hAnsiTheme="minorHAnsi" w:cstheme="majorHAnsi"/>
          <w:bCs/>
        </w:rPr>
        <w:t xml:space="preserve"> </w:t>
      </w:r>
    </w:p>
    <w:p w14:paraId="3FB40BE6" w14:textId="01CBEFDA" w:rsidR="00261045" w:rsidRDefault="00261045" w:rsidP="00261045">
      <w:pPr>
        <w:rPr>
          <w:rFonts w:asciiTheme="minorHAnsi" w:hAnsiTheme="minorHAnsi" w:cstheme="majorHAnsi"/>
          <w:bCs/>
        </w:rPr>
      </w:pPr>
      <w:r w:rsidRPr="0008349C">
        <w:rPr>
          <w:rFonts w:asciiTheme="minorHAnsi" w:hAnsiTheme="minorHAnsi" w:cstheme="majorHAnsi"/>
          <w:bCs/>
        </w:rPr>
        <w:t xml:space="preserve">The </w:t>
      </w:r>
      <w:r w:rsidR="00C40CAA">
        <w:rPr>
          <w:rFonts w:asciiTheme="minorHAnsi" w:hAnsiTheme="minorHAnsi" w:cstheme="majorHAnsi"/>
          <w:bCs/>
        </w:rPr>
        <w:t>working group</w:t>
      </w:r>
      <w:r w:rsidRPr="0008349C">
        <w:rPr>
          <w:rFonts w:asciiTheme="minorHAnsi" w:hAnsiTheme="minorHAnsi" w:cstheme="majorHAnsi"/>
          <w:bCs/>
        </w:rPr>
        <w:t xml:space="preserve"> requested the </w:t>
      </w:r>
      <w:r>
        <w:rPr>
          <w:rFonts w:asciiTheme="minorHAnsi" w:hAnsiTheme="minorHAnsi" w:cstheme="majorHAnsi"/>
          <w:bCs/>
        </w:rPr>
        <w:t>s</w:t>
      </w:r>
      <w:r w:rsidRPr="0008349C">
        <w:rPr>
          <w:rFonts w:asciiTheme="minorHAnsi" w:hAnsiTheme="minorHAnsi" w:cstheme="majorHAnsi"/>
          <w:bCs/>
        </w:rPr>
        <w:t xml:space="preserve">ponsor to address </w:t>
      </w:r>
      <w:proofErr w:type="gramStart"/>
      <w:r>
        <w:rPr>
          <w:rFonts w:asciiTheme="minorHAnsi" w:hAnsiTheme="minorHAnsi" w:cstheme="majorHAnsi"/>
          <w:bCs/>
        </w:rPr>
        <w:t>a number of</w:t>
      </w:r>
      <w:proofErr w:type="gramEnd"/>
      <w:r>
        <w:rPr>
          <w:rFonts w:asciiTheme="minorHAnsi" w:hAnsiTheme="minorHAnsi" w:cstheme="majorHAnsi"/>
          <w:bCs/>
        </w:rPr>
        <w:t xml:space="preserve"> questions.</w:t>
      </w:r>
      <w:r w:rsidRPr="0008349C">
        <w:rPr>
          <w:rFonts w:asciiTheme="minorHAnsi" w:hAnsiTheme="minorHAnsi" w:cstheme="majorHAnsi"/>
          <w:bCs/>
        </w:rPr>
        <w:t xml:space="preserve"> The </w:t>
      </w:r>
      <w:r>
        <w:rPr>
          <w:rFonts w:asciiTheme="minorHAnsi" w:hAnsiTheme="minorHAnsi" w:cstheme="majorHAnsi"/>
          <w:bCs/>
        </w:rPr>
        <w:t xml:space="preserve">Delegate considers the </w:t>
      </w:r>
      <w:r w:rsidR="00C40CAA">
        <w:rPr>
          <w:rFonts w:asciiTheme="minorHAnsi" w:hAnsiTheme="minorHAnsi" w:cstheme="majorHAnsi"/>
          <w:bCs/>
        </w:rPr>
        <w:t>sponsor</w:t>
      </w:r>
      <w:r w:rsidR="005046D0">
        <w:rPr>
          <w:rFonts w:asciiTheme="minorHAnsi" w:hAnsiTheme="minorHAnsi" w:cstheme="majorHAnsi"/>
          <w:bCs/>
        </w:rPr>
        <w:t xml:space="preserve"> </w:t>
      </w:r>
      <w:r>
        <w:rPr>
          <w:rFonts w:asciiTheme="minorHAnsi" w:hAnsiTheme="minorHAnsi" w:cstheme="majorHAnsi"/>
          <w:bCs/>
        </w:rPr>
        <w:t>responses</w:t>
      </w:r>
      <w:r w:rsidR="00CC32DB">
        <w:rPr>
          <w:rFonts w:asciiTheme="minorHAnsi" w:hAnsiTheme="minorHAnsi" w:cstheme="majorHAnsi"/>
          <w:bCs/>
        </w:rPr>
        <w:t xml:space="preserve"> to these questions as being satisfactory</w:t>
      </w:r>
      <w:r>
        <w:rPr>
          <w:rFonts w:asciiTheme="minorHAnsi" w:hAnsiTheme="minorHAnsi" w:cstheme="majorHAnsi"/>
          <w:bCs/>
        </w:rPr>
        <w:t>.</w:t>
      </w:r>
    </w:p>
    <w:p w14:paraId="24DF9A9C" w14:textId="29A2FB42" w:rsidR="00261045" w:rsidRDefault="00C40CAA" w:rsidP="0051131C">
      <w:pPr>
        <w:rPr>
          <w:rFonts w:asciiTheme="minorHAnsi" w:hAnsiTheme="minorHAnsi" w:cstheme="majorHAnsi"/>
          <w:bCs/>
        </w:rPr>
      </w:pPr>
      <w:r w:rsidRPr="0051131C">
        <w:t>The are no outstanding RMP evaluation issues.</w:t>
      </w:r>
    </w:p>
    <w:p w14:paraId="42323801" w14:textId="77777777" w:rsidR="0074163C" w:rsidRDefault="0074163C" w:rsidP="0074163C">
      <w:pPr>
        <w:pStyle w:val="Heading4"/>
      </w:pPr>
      <w:bookmarkStart w:id="60" w:name="_Toc98931933"/>
      <w:r w:rsidRPr="00D23139">
        <w:t>Proposed action</w:t>
      </w:r>
      <w:bookmarkEnd w:id="60"/>
    </w:p>
    <w:p w14:paraId="006D3BC9" w14:textId="77777777" w:rsidR="00C1148F" w:rsidRDefault="0051131C" w:rsidP="0051131C">
      <w:bookmarkStart w:id="61" w:name="_Toc98931936"/>
      <w:bookmarkStart w:id="62" w:name="_Toc247691532"/>
      <w:bookmarkStart w:id="63" w:name="_Toc314842516"/>
      <w:bookmarkEnd w:id="34"/>
      <w:bookmarkEnd w:id="55"/>
      <w:bookmarkEnd w:id="56"/>
      <w:r w:rsidRPr="0051131C">
        <w:t xml:space="preserve">The </w:t>
      </w:r>
      <w:r w:rsidR="00C40CAA">
        <w:t>Delegate</w:t>
      </w:r>
      <w:r w:rsidR="00C40CAA" w:rsidRPr="0051131C">
        <w:t xml:space="preserve"> </w:t>
      </w:r>
      <w:r w:rsidRPr="0051131C">
        <w:t xml:space="preserve">considers the benefit-risk risk balance for Xembify by subcutaneous administration remains acceptable as replacement therapy in adult and paediatric patients for primary immunodeficiency diseases and for symptomatic </w:t>
      </w:r>
      <w:proofErr w:type="spellStart"/>
      <w:r w:rsidRPr="0051131C">
        <w:t>hypogammaglobulinaemia</w:t>
      </w:r>
      <w:proofErr w:type="spellEnd"/>
      <w:r w:rsidRPr="0051131C">
        <w:t xml:space="preserve"> secondary to underlying disease or treatment.</w:t>
      </w:r>
    </w:p>
    <w:p w14:paraId="42F579A5" w14:textId="0AEB501E" w:rsidR="0074163C" w:rsidRPr="00F73346" w:rsidRDefault="0074163C" w:rsidP="0074163C">
      <w:pPr>
        <w:pStyle w:val="Heading4"/>
      </w:pPr>
      <w:r w:rsidRPr="00F73346">
        <w:t>Advisory Committee considerations</w:t>
      </w:r>
      <w:bookmarkEnd w:id="61"/>
    </w:p>
    <w:p w14:paraId="357A2BDD" w14:textId="37A67310" w:rsidR="0074163C" w:rsidRPr="007D53B6" w:rsidRDefault="0074163C" w:rsidP="0074163C">
      <w:r w:rsidRPr="00C65E63">
        <w:t xml:space="preserve">The Delegate did not refer this </w:t>
      </w:r>
      <w:r w:rsidR="00BB0B78">
        <w:t>submission</w:t>
      </w:r>
      <w:r w:rsidRPr="00C65E63">
        <w:t xml:space="preserve"> to the </w:t>
      </w:r>
      <w:hyperlink r:id="rId27" w:history="1">
        <w:r w:rsidRPr="00CC32DB">
          <w:rPr>
            <w:rStyle w:val="Hyperlink"/>
          </w:rPr>
          <w:t>Advisory Committee on Medicines</w:t>
        </w:r>
      </w:hyperlink>
      <w:r w:rsidRPr="00C65E63">
        <w:t xml:space="preserve"> (</w:t>
      </w:r>
      <w:hyperlink r:id="rId28" w:history="1">
        <w:r w:rsidRPr="00CC32DB">
          <w:rPr>
            <w:rStyle w:val="Hyperlink"/>
          </w:rPr>
          <w:t>ACM</w:t>
        </w:r>
      </w:hyperlink>
      <w:r w:rsidRPr="00C65E63">
        <w:t>) for advice</w:t>
      </w:r>
      <w:r w:rsidR="00D04F4B">
        <w:t>.</w:t>
      </w:r>
    </w:p>
    <w:p w14:paraId="2AF1818C" w14:textId="77777777" w:rsidR="008E7846" w:rsidRPr="002E238E" w:rsidRDefault="008E7846" w:rsidP="00D212F3">
      <w:pPr>
        <w:pStyle w:val="Heading2"/>
      </w:pPr>
      <w:bookmarkStart w:id="64" w:name="_Toc125365366"/>
      <w:r>
        <w:t>Outcome</w:t>
      </w:r>
      <w:bookmarkEnd w:id="62"/>
      <w:bookmarkEnd w:id="63"/>
      <w:bookmarkEnd w:id="64"/>
    </w:p>
    <w:p w14:paraId="53BE263B" w14:textId="3CDE18AF" w:rsidR="002768D4" w:rsidRPr="00DE7813" w:rsidRDefault="0074163C" w:rsidP="00DE7813">
      <w:bookmarkStart w:id="65" w:name="_Toc247691533"/>
      <w:bookmarkStart w:id="66" w:name="_Toc314842517"/>
      <w:r w:rsidRPr="00DE7813">
        <w:t xml:space="preserve">Based on a review of quality, </w:t>
      </w:r>
      <w:r w:rsidR="00CC5044" w:rsidRPr="00DE7813">
        <w:t>safety,</w:t>
      </w:r>
      <w:r w:rsidRPr="00DE7813">
        <w:t xml:space="preserve"> and efficacy, the TGA approved the registration of </w:t>
      </w:r>
      <w:r w:rsidR="002768D4" w:rsidRPr="00DE7813">
        <w:t>Xembify (normal immunoglobulin (</w:t>
      </w:r>
      <w:r w:rsidR="00CC32DB">
        <w:t>h</w:t>
      </w:r>
      <w:r w:rsidR="002768D4" w:rsidRPr="00DE7813">
        <w:t>uman)) 2 g/10 mL (20%), 4 g/20 mL (20%), 1</w:t>
      </w:r>
      <w:r w:rsidR="00CC32DB">
        <w:t> </w:t>
      </w:r>
      <w:r w:rsidR="002768D4" w:rsidRPr="00DE7813">
        <w:t>g/5</w:t>
      </w:r>
      <w:r w:rsidR="00CC32DB">
        <w:t> </w:t>
      </w:r>
      <w:r w:rsidR="002768D4" w:rsidRPr="00DE7813">
        <w:t xml:space="preserve">mL (20%) and 10 g/50 mL (20%) solution for </w:t>
      </w:r>
      <w:r w:rsidR="00CC32DB">
        <w:t xml:space="preserve">subcutaneous </w:t>
      </w:r>
      <w:r w:rsidR="002768D4" w:rsidRPr="00DE7813">
        <w:t>injection indicated for:</w:t>
      </w:r>
    </w:p>
    <w:p w14:paraId="7F4DF991" w14:textId="70242151" w:rsidR="002768D4" w:rsidRPr="00DC2110" w:rsidRDefault="002768D4" w:rsidP="00DC2110">
      <w:pPr>
        <w:ind w:left="357"/>
        <w:rPr>
          <w:i/>
          <w:iCs/>
          <w:lang w:eastAsia="en-AU"/>
        </w:rPr>
      </w:pPr>
      <w:r w:rsidRPr="00DC2110">
        <w:rPr>
          <w:i/>
          <w:iCs/>
          <w:lang w:eastAsia="en-AU"/>
        </w:rPr>
        <w:t>Replacement therapy in adult and paediatric patients for:</w:t>
      </w:r>
    </w:p>
    <w:p w14:paraId="6D6C3C17" w14:textId="77777777" w:rsidR="002768D4" w:rsidRPr="00DC2110" w:rsidRDefault="002768D4" w:rsidP="00DC2110">
      <w:pPr>
        <w:pStyle w:val="ListBullet"/>
        <w:ind w:left="714" w:hanging="357"/>
        <w:rPr>
          <w:i/>
          <w:iCs/>
          <w:lang w:eastAsia="en-AU"/>
        </w:rPr>
      </w:pPr>
      <w:r w:rsidRPr="00DC2110">
        <w:rPr>
          <w:i/>
          <w:iCs/>
          <w:lang w:eastAsia="en-AU"/>
        </w:rPr>
        <w:t>Primary immunodeficiency diseases (PID)</w:t>
      </w:r>
    </w:p>
    <w:p w14:paraId="6C4A277A" w14:textId="2DBC72FA" w:rsidR="002768D4" w:rsidRPr="00C47F6F" w:rsidRDefault="002768D4" w:rsidP="00DC2110">
      <w:pPr>
        <w:pStyle w:val="ListBullet"/>
        <w:ind w:left="714" w:hanging="357"/>
        <w:rPr>
          <w:lang w:eastAsia="en-AU"/>
        </w:rPr>
      </w:pPr>
      <w:r w:rsidRPr="00DC2110">
        <w:rPr>
          <w:i/>
          <w:iCs/>
          <w:lang w:eastAsia="en-AU"/>
        </w:rPr>
        <w:t xml:space="preserve">Symptomatic </w:t>
      </w:r>
      <w:proofErr w:type="spellStart"/>
      <w:r w:rsidRPr="00DC2110">
        <w:rPr>
          <w:i/>
          <w:iCs/>
          <w:lang w:eastAsia="en-AU"/>
        </w:rPr>
        <w:t>hypogammaglobulinaemia</w:t>
      </w:r>
      <w:proofErr w:type="spellEnd"/>
      <w:r w:rsidRPr="00DC2110">
        <w:rPr>
          <w:i/>
          <w:iCs/>
          <w:lang w:eastAsia="en-AU"/>
        </w:rPr>
        <w:t xml:space="preserve"> secondary to underlying disease or treatment.</w:t>
      </w:r>
    </w:p>
    <w:p w14:paraId="491E29A5" w14:textId="6DB3BB6F" w:rsidR="00D23139" w:rsidRDefault="00D23139" w:rsidP="00D212F3">
      <w:pPr>
        <w:pStyle w:val="Heading3"/>
      </w:pPr>
      <w:bookmarkStart w:id="67" w:name="_Toc125365367"/>
      <w:r w:rsidRPr="00D23139">
        <w:t>Specific conditions of registration applying to these goods</w:t>
      </w:r>
      <w:bookmarkEnd w:id="67"/>
    </w:p>
    <w:p w14:paraId="232A870A" w14:textId="7658F774" w:rsidR="0051131C" w:rsidRDefault="0051131C" w:rsidP="0051131C">
      <w:pPr>
        <w:pStyle w:val="ListBullet"/>
      </w:pPr>
      <w:r w:rsidRPr="0051131C">
        <w:t xml:space="preserve">Xembify (human normal immunoglobulin) is to be included in the Black Triangle Scheme. The PI and CMI for Xembify must include the black triangle symbol and </w:t>
      </w:r>
      <w:r w:rsidRPr="0051131C">
        <w:lastRenderedPageBreak/>
        <w:t>mandatory accompanying text for five years, which starts from the date that the sponsor notifies the TGA of supply of the product.</w:t>
      </w:r>
    </w:p>
    <w:p w14:paraId="2BFAA861" w14:textId="6B29D280" w:rsidR="0051131C" w:rsidRPr="0051131C" w:rsidRDefault="0051131C" w:rsidP="0051131C">
      <w:pPr>
        <w:pStyle w:val="ListBullet"/>
      </w:pPr>
      <w:r w:rsidRPr="0051131C">
        <w:t>The Xembify EU-RMP (version 2.0, dated 24 November 2020, data lock point 31 May 2020), with</w:t>
      </w:r>
      <w:r w:rsidR="000E0BD1">
        <w:t xml:space="preserve"> ASA</w:t>
      </w:r>
      <w:r w:rsidRPr="0051131C">
        <w:t xml:space="preserve"> (version 2.0, dated 13 December 2021), included with submission PM-2020-06238-1-2, and any subsequent revisions, as agreed with the TGA will be implemented in Australia.</w:t>
      </w:r>
    </w:p>
    <w:p w14:paraId="70D5C398" w14:textId="2539D645" w:rsidR="0051131C" w:rsidRPr="0051131C" w:rsidRDefault="0051131C" w:rsidP="0051131C">
      <w:pPr>
        <w:pStyle w:val="ListBullet"/>
        <w:numPr>
          <w:ilvl w:val="0"/>
          <w:numId w:val="0"/>
        </w:numPr>
        <w:ind w:left="360"/>
      </w:pPr>
      <w:r w:rsidRPr="0051131C">
        <w:t>An obligatory component of risk management plans is routine pharmacovigilance. Routine pharmacovigilance includes the submission of periodic safety update reports (PSURs).</w:t>
      </w:r>
    </w:p>
    <w:p w14:paraId="53BD8432" w14:textId="5CE33FC6" w:rsidR="0051131C" w:rsidRPr="0051131C" w:rsidRDefault="0051131C" w:rsidP="0051131C">
      <w:pPr>
        <w:pStyle w:val="ListBullet"/>
        <w:numPr>
          <w:ilvl w:val="0"/>
          <w:numId w:val="0"/>
        </w:numPr>
        <w:ind w:left="360"/>
      </w:pPr>
      <w:r w:rsidRPr="0051131C">
        <w:t xml:space="preserve">Reports are to be provided in line with the current published list of EU reference dates and frequency of submission of PSURs until the period covered by such reports is not less than three years from the date of </w:t>
      </w:r>
      <w:r w:rsidR="00C40CAA" w:rsidRPr="0051131C">
        <w:t>th</w:t>
      </w:r>
      <w:r w:rsidR="00C40CAA">
        <w:t>e</w:t>
      </w:r>
      <w:r w:rsidR="00C40CAA" w:rsidRPr="0051131C">
        <w:t xml:space="preserve"> </w:t>
      </w:r>
      <w:r w:rsidRPr="0051131C">
        <w:t xml:space="preserve">approval letter. </w:t>
      </w:r>
    </w:p>
    <w:p w14:paraId="1DFDC5D0" w14:textId="234D5C97" w:rsidR="0051131C" w:rsidRDefault="0051131C" w:rsidP="0051131C">
      <w:pPr>
        <w:pStyle w:val="ListBullet"/>
        <w:numPr>
          <w:ilvl w:val="0"/>
          <w:numId w:val="0"/>
        </w:numPr>
        <w:ind w:left="360"/>
      </w:pPr>
      <w:r w:rsidRPr="0051131C">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69E5D888" w14:textId="775194CE" w:rsidR="00C40CAA" w:rsidRPr="0051131C" w:rsidRDefault="00C40CAA" w:rsidP="00C1148F">
      <w:r w:rsidRPr="00C40CAA">
        <w:t>Batch Release Testing &amp; Compliance with Certified Product Details (CPD)</w:t>
      </w:r>
    </w:p>
    <w:p w14:paraId="0DC56DD1" w14:textId="6BABF97E" w:rsidR="0051131C" w:rsidRPr="0051131C" w:rsidRDefault="0051131C" w:rsidP="0051131C">
      <w:pPr>
        <w:pStyle w:val="ListBullet"/>
      </w:pPr>
      <w:r w:rsidRPr="0051131C">
        <w:t>All batches of X</w:t>
      </w:r>
      <w:r w:rsidR="00C1148F">
        <w:t xml:space="preserve">embify </w:t>
      </w:r>
      <w:r w:rsidRPr="0051131C">
        <w:t>normal immunoglobulin (Human) 20% solution for subcutaneous injection supplied in Australia must comply with the product details and specifications approved during evaluation and detailed in the Certified Product Details (CPD).</w:t>
      </w:r>
    </w:p>
    <w:p w14:paraId="6A12A824" w14:textId="23F86299" w:rsidR="0051131C" w:rsidRPr="0051131C" w:rsidRDefault="0051131C" w:rsidP="0051131C">
      <w:pPr>
        <w:pStyle w:val="ListBullet"/>
      </w:pPr>
      <w:r w:rsidRPr="0051131C">
        <w:t xml:space="preserve">When requested by the TGA, the </w:t>
      </w:r>
      <w:r w:rsidR="00C40CAA">
        <w:t>s</w:t>
      </w:r>
      <w:r w:rsidRPr="0051131C">
        <w:t xml:space="preserve">ponsor should be prepared to provide product samples, specified reference materials and documentary evidence to enable the TGA to conduct laboratory testing on the Product. Outcomes of laboratory testing are published biannually in the TGA Database of Laboratory Testing Results </w:t>
      </w:r>
      <w:hyperlink r:id="rId29" w:history="1">
        <w:r w:rsidRPr="0051131C">
          <w:rPr>
            <w:rStyle w:val="Hyperlink"/>
          </w:rPr>
          <w:t>http://www.tga.gov.au/ws-labs-index</w:t>
        </w:r>
      </w:hyperlink>
      <w:r w:rsidRPr="0051131C">
        <w:t xml:space="preserve"> and periodically in testing reports on the TGA website</w:t>
      </w:r>
      <w:r w:rsidR="00C1148F">
        <w:t>.</w:t>
      </w:r>
    </w:p>
    <w:p w14:paraId="7E7CBE37" w14:textId="77777777" w:rsidR="008E7846" w:rsidRDefault="00A80B5B" w:rsidP="00D23139">
      <w:pPr>
        <w:pStyle w:val="Heading2"/>
      </w:pPr>
      <w:bookmarkStart w:id="68" w:name="_Toc125365368"/>
      <w:r>
        <w:t xml:space="preserve">Attachment 1. </w:t>
      </w:r>
      <w:r w:rsidR="008E7846">
        <w:t xml:space="preserve">Product </w:t>
      </w:r>
      <w:r w:rsidR="00AA0ED0">
        <w:t>I</w:t>
      </w:r>
      <w:r w:rsidR="008E7846">
        <w:t>nformation</w:t>
      </w:r>
      <w:bookmarkEnd w:id="65"/>
      <w:bookmarkEnd w:id="66"/>
      <w:bookmarkEnd w:id="68"/>
    </w:p>
    <w:p w14:paraId="41BB21E4" w14:textId="76B19DE3" w:rsidR="005A79F5" w:rsidRPr="008A4484" w:rsidRDefault="006136D7" w:rsidP="00C80137">
      <w:r w:rsidRPr="002B3624">
        <w:t xml:space="preserve">The </w:t>
      </w:r>
      <w:r>
        <w:t>PI</w:t>
      </w:r>
      <w:r w:rsidRPr="002B3624">
        <w:t xml:space="preserve"> for </w:t>
      </w:r>
      <w:r w:rsidR="0051131C">
        <w:t>Xembify</w:t>
      </w:r>
      <w:r w:rsidR="0074163C">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30" w:history="1">
        <w:r w:rsidR="0074163C" w:rsidRPr="008A698E">
          <w:rPr>
            <w:rStyle w:val="Hyperlink"/>
          </w:rPr>
          <w:t>PI/CMI search facility</w:t>
        </w:r>
        <w:r w:rsidR="0074163C" w:rsidRPr="00EB36D6">
          <w:rPr>
            <w:rStyle w:val="Hyperlink"/>
            <w:color w:val="auto"/>
            <w:u w:val="none"/>
          </w:rPr>
          <w:t>.</w:t>
        </w:r>
      </w:hyperlink>
    </w:p>
    <w:p w14:paraId="3AFC5F2A" w14:textId="748474D7" w:rsidR="00744121" w:rsidRDefault="008E7846" w:rsidP="00744121">
      <w:r w:rsidRPr="00C80137">
        <w:br w:type="page"/>
      </w:r>
    </w:p>
    <w:p w14:paraId="7EDBA612" w14:textId="77777777" w:rsidR="00C80137" w:rsidRPr="001D043B" w:rsidRDefault="00C80137" w:rsidP="003A7F6C">
      <w:pPr>
        <w:pStyle w:val="TableTitle"/>
        <w:sectPr w:rsidR="00C80137" w:rsidRPr="001D043B" w:rsidSect="00B452CE">
          <w:headerReference w:type="even" r:id="rId31"/>
          <w:headerReference w:type="default" r:id="rId32"/>
          <w:headerReference w:type="first" r:id="rId33"/>
          <w:footerReference w:type="first" r:id="rId3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19FD287" w14:textId="77777777" w:rsidTr="00A05FA4">
        <w:trPr>
          <w:trHeight w:hRule="exact" w:val="704"/>
        </w:trPr>
        <w:tc>
          <w:tcPr>
            <w:tcW w:w="9175" w:type="dxa"/>
          </w:tcPr>
          <w:p w14:paraId="4B7EFC3F" w14:textId="77777777" w:rsidR="001C32CD" w:rsidRPr="00487162" w:rsidRDefault="001C32CD" w:rsidP="00A05FA4">
            <w:pPr>
              <w:pStyle w:val="TGASignoff"/>
            </w:pPr>
            <w:r w:rsidRPr="00487162">
              <w:lastRenderedPageBreak/>
              <w:t>Therapeutic Goods Administration</w:t>
            </w:r>
          </w:p>
        </w:tc>
      </w:tr>
      <w:tr w:rsidR="001C32CD" w:rsidRPr="004C239D" w14:paraId="544855E2" w14:textId="77777777" w:rsidTr="00A05FA4">
        <w:trPr>
          <w:trHeight w:val="1221"/>
        </w:trPr>
        <w:tc>
          <w:tcPr>
            <w:tcW w:w="9175" w:type="dxa"/>
            <w:tcMar>
              <w:top w:w="28" w:type="dxa"/>
            </w:tcMar>
          </w:tcPr>
          <w:p w14:paraId="4B5C767C" w14:textId="77777777" w:rsidR="001C32CD" w:rsidRPr="00487162" w:rsidRDefault="001C32CD" w:rsidP="00A05FA4">
            <w:pPr>
              <w:pStyle w:val="Address"/>
            </w:pPr>
            <w:r w:rsidRPr="00487162">
              <w:t>PO Box 100 Woden ACT 2606 Australia</w:t>
            </w:r>
          </w:p>
          <w:p w14:paraId="353A4D09" w14:textId="1536F8FB" w:rsidR="001C32CD" w:rsidRPr="00487162" w:rsidRDefault="001C32CD" w:rsidP="00A05FA4">
            <w:pPr>
              <w:pStyle w:val="Address"/>
            </w:pPr>
            <w:r w:rsidRPr="00487162">
              <w:t xml:space="preserve">Email: </w:t>
            </w:r>
            <w:hyperlink r:id="rId35" w:history="1">
              <w:r w:rsidRPr="004C239D">
                <w:rPr>
                  <w:rStyle w:val="Hyperlink"/>
                </w:rPr>
                <w:t>info@tga.gov.au</w:t>
              </w:r>
            </w:hyperlink>
            <w:r w:rsidR="00C1148F">
              <w:t xml:space="preserve"> </w:t>
            </w:r>
            <w:r w:rsidRPr="00487162">
              <w:t>Phone: 1800 020 653</w:t>
            </w:r>
            <w:r w:rsidR="00C1148F">
              <w:t xml:space="preserve"> </w:t>
            </w:r>
            <w:r w:rsidRPr="00487162">
              <w:t>Fax: 02 6232 8605</w:t>
            </w:r>
          </w:p>
          <w:p w14:paraId="18AA31E1" w14:textId="77777777" w:rsidR="001C32CD" w:rsidRPr="004C239D" w:rsidRDefault="00FB6AD8" w:rsidP="00A05FA4">
            <w:pPr>
              <w:pStyle w:val="Address"/>
              <w:spacing w:line="260" w:lineRule="atLeast"/>
              <w:rPr>
                <w:b/>
                <w:color w:val="0000FF"/>
                <w:u w:val="single"/>
              </w:rPr>
            </w:pPr>
            <w:hyperlink r:id="rId36" w:history="1">
              <w:r w:rsidR="007C6B9B" w:rsidRPr="007C6B9B">
                <w:rPr>
                  <w:rStyle w:val="Hyperlink"/>
                  <w:b/>
                </w:rPr>
                <w:t>https://www.tga.gov.au</w:t>
              </w:r>
            </w:hyperlink>
          </w:p>
        </w:tc>
      </w:tr>
    </w:tbl>
    <w:p w14:paraId="7613B470" w14:textId="77777777" w:rsidR="00774E1D" w:rsidRPr="008A5E0B" w:rsidRDefault="00774E1D" w:rsidP="004C239D"/>
    <w:sectPr w:rsidR="00774E1D" w:rsidRPr="008A5E0B" w:rsidSect="001C32CD">
      <w:headerReference w:type="even" r:id="rId37"/>
      <w:headerReference w:type="default" r:id="rId38"/>
      <w:footerReference w:type="default" r:id="rId39"/>
      <w:headerReference w:type="first" r:id="rId40"/>
      <w:footerReference w:type="first" r:id="rId4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6662C" w14:textId="77777777" w:rsidR="00A864A7" w:rsidRDefault="00A864A7" w:rsidP="00C40A36">
      <w:pPr>
        <w:spacing w:after="0"/>
      </w:pPr>
      <w:r>
        <w:separator/>
      </w:r>
    </w:p>
  </w:endnote>
  <w:endnote w:type="continuationSeparator" w:id="0">
    <w:p w14:paraId="15429FBE" w14:textId="77777777" w:rsidR="00A864A7" w:rsidRDefault="00A864A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IDFont+F1">
    <w:altName w:val="MS Gothic"/>
    <w:panose1 w:val="00000000000000000000"/>
    <w:charset w:val="00"/>
    <w:family w:val="auto"/>
    <w:notTrueType/>
    <w:pitch w:val="default"/>
    <w:sig w:usb0="00000003" w:usb1="00000000" w:usb2="00000000" w:usb3="00000000" w:csb0="00000001" w:csb1="00000000"/>
  </w:font>
  <w:font w:name="CIDFont+F15">
    <w:altName w:val="Times New Roman"/>
    <w:panose1 w:val="00000000000000000000"/>
    <w:charset w:val="EE"/>
    <w:family w:val="auto"/>
    <w:notTrueType/>
    <w:pitch w:val="default"/>
    <w:sig w:usb0="00000005" w:usb1="00000000" w:usb2="00000000" w:usb3="00000000" w:csb0="00000002" w:csb1="00000000"/>
  </w:font>
  <w:font w:name="CIDFont+F16">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auto"/>
    <w:notTrueType/>
    <w:pitch w:val="default"/>
    <w:sig w:usb0="00000003" w:usb1="08070000" w:usb2="00000010" w:usb3="00000000" w:csb0="00020001" w:csb1="00000000"/>
  </w:font>
  <w:font w:name="Comic Sans MS">
    <w:panose1 w:val="030F0702030302020204"/>
    <w:charset w:val="00"/>
    <w:family w:val="script"/>
    <w:pitch w:val="variable"/>
    <w:sig w:usb0="00000287" w:usb1="00000013"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E0E47" w:rsidRPr="00487162" w14:paraId="4B53B1C8" w14:textId="77777777" w:rsidTr="00DB750B">
      <w:trPr>
        <w:trHeight w:val="269"/>
      </w:trPr>
      <w:tc>
        <w:tcPr>
          <w:tcW w:w="7371" w:type="dxa"/>
          <w:tcMar>
            <w:top w:w="142" w:type="dxa"/>
            <w:bottom w:w="0" w:type="dxa"/>
          </w:tcMar>
        </w:tcPr>
        <w:p w14:paraId="753206E4" w14:textId="1D1FA43C" w:rsidR="001E0E47" w:rsidRDefault="001E0E47" w:rsidP="00460036">
          <w:pPr>
            <w:pStyle w:val="Footer"/>
          </w:pPr>
          <w:proofErr w:type="spellStart"/>
          <w:r w:rsidRPr="00487162">
            <w:t>AusPA</w:t>
          </w:r>
          <w:r>
            <w:t>R</w:t>
          </w:r>
          <w:proofErr w:type="spellEnd"/>
          <w:r>
            <w:t xml:space="preserve"> - </w:t>
          </w:r>
          <w:proofErr w:type="spellStart"/>
          <w:r>
            <w:t>Xembify</w:t>
          </w:r>
          <w:proofErr w:type="spellEnd"/>
          <w:r>
            <w:t xml:space="preserve"> </w:t>
          </w:r>
          <w:r w:rsidRPr="00460036">
            <w:t xml:space="preserve">– </w:t>
          </w:r>
          <w:r w:rsidRPr="007455BA">
            <w:t>Human Normal Immunoglobulin</w:t>
          </w:r>
          <w:r>
            <w:t xml:space="preserve"> - </w:t>
          </w:r>
          <w:r w:rsidRPr="007455BA">
            <w:t>Grifols Australia Pty Ltd PM-2020-06238-1-2</w:t>
          </w:r>
        </w:p>
        <w:p w14:paraId="4A3CA2E0" w14:textId="57652D58" w:rsidR="001E0E47" w:rsidRPr="00487162" w:rsidRDefault="00F733D4" w:rsidP="00460036">
          <w:pPr>
            <w:pStyle w:val="Footer"/>
          </w:pPr>
          <w:r>
            <w:t>Final</w:t>
          </w:r>
          <w:r w:rsidR="001E0E47" w:rsidRPr="00487162">
            <w:t xml:space="preserve"> </w:t>
          </w:r>
          <w:r>
            <w:t>23</w:t>
          </w:r>
          <w:r w:rsidR="001E0E47">
            <w:t xml:space="preserve"> </w:t>
          </w:r>
          <w:r>
            <w:t>January</w:t>
          </w:r>
          <w:r w:rsidR="001E0E47">
            <w:t xml:space="preserve"> 202</w:t>
          </w:r>
          <w:r>
            <w:t>3</w:t>
          </w:r>
        </w:p>
      </w:tc>
      <w:tc>
        <w:tcPr>
          <w:tcW w:w="1490" w:type="dxa"/>
          <w:tcMar>
            <w:top w:w="142" w:type="dxa"/>
            <w:bottom w:w="0" w:type="dxa"/>
          </w:tcMar>
        </w:tcPr>
        <w:p w14:paraId="13414DD5" w14:textId="1DD5F4CE" w:rsidR="001E0E47" w:rsidRPr="00487162" w:rsidRDefault="001E0E47" w:rsidP="00DB750B">
          <w:pPr>
            <w:pStyle w:val="Footer"/>
            <w:jc w:val="right"/>
          </w:pPr>
          <w:r w:rsidRPr="00487162">
            <w:t xml:space="preserve">Page </w:t>
          </w:r>
          <w:r>
            <w:fldChar w:fldCharType="begin"/>
          </w:r>
          <w:r>
            <w:instrText xml:space="preserve"> PAGE  \* Arabic </w:instrText>
          </w:r>
          <w:r>
            <w:fldChar w:fldCharType="separate"/>
          </w:r>
          <w:r w:rsidR="00334F4F">
            <w:rPr>
              <w:noProof/>
            </w:rPr>
            <w:t>22</w:t>
          </w:r>
          <w:r>
            <w:fldChar w:fldCharType="end"/>
          </w:r>
          <w:r w:rsidRPr="00487162">
            <w:t xml:space="preserve"> of </w:t>
          </w:r>
          <w:fldSimple w:instr=" NUMPAGES  \* Arabic ">
            <w:r w:rsidR="00334F4F">
              <w:rPr>
                <w:noProof/>
              </w:rPr>
              <w:t>40</w:t>
            </w:r>
          </w:fldSimple>
        </w:p>
      </w:tc>
    </w:tr>
  </w:tbl>
  <w:p w14:paraId="64D8117B" w14:textId="77777777" w:rsidR="001E0E47" w:rsidRDefault="001E0E47"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E0E47" w:rsidRPr="00487162" w14:paraId="5E2115DC" w14:textId="77777777" w:rsidTr="00E45619">
      <w:trPr>
        <w:trHeight w:val="269"/>
      </w:trPr>
      <w:tc>
        <w:tcPr>
          <w:tcW w:w="4519" w:type="dxa"/>
          <w:tcBorders>
            <w:top w:val="single" w:sz="4" w:space="0" w:color="auto"/>
          </w:tcBorders>
          <w:tcMar>
            <w:top w:w="142" w:type="dxa"/>
            <w:bottom w:w="0" w:type="dxa"/>
          </w:tcMar>
        </w:tcPr>
        <w:p w14:paraId="59675B61" w14:textId="77777777" w:rsidR="001E0E47" w:rsidRPr="00487162" w:rsidRDefault="001E0E47" w:rsidP="00FE1DEE">
          <w:pPr>
            <w:pStyle w:val="Footer"/>
          </w:pPr>
          <w:r w:rsidRPr="00487162">
            <w:t>Document title, Part #, Section # - Section title</w:t>
          </w:r>
        </w:p>
        <w:p w14:paraId="6D2985DB" w14:textId="77777777" w:rsidR="001E0E47" w:rsidRPr="00487162" w:rsidRDefault="001E0E47" w:rsidP="00FE1DEE">
          <w:pPr>
            <w:pStyle w:val="Footer"/>
          </w:pPr>
          <w:r w:rsidRPr="00487162">
            <w:t>V1.0 October 2010</w:t>
          </w:r>
        </w:p>
      </w:tc>
      <w:tc>
        <w:tcPr>
          <w:tcW w:w="4342" w:type="dxa"/>
          <w:tcBorders>
            <w:top w:val="single" w:sz="4" w:space="0" w:color="auto"/>
          </w:tcBorders>
          <w:tcMar>
            <w:top w:w="142" w:type="dxa"/>
            <w:bottom w:w="0" w:type="dxa"/>
          </w:tcMar>
        </w:tcPr>
        <w:p w14:paraId="6D0118CB" w14:textId="77777777" w:rsidR="001E0E47" w:rsidRPr="00487162" w:rsidRDefault="001E0E4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36508B57" w14:textId="77777777" w:rsidR="001E0E47" w:rsidRDefault="001E0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DFF4" w14:textId="77777777" w:rsidR="001E0E47" w:rsidRPr="001C32CD" w:rsidRDefault="001E0E47"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E0E47" w14:paraId="5C8A5B4B" w14:textId="77777777" w:rsidTr="0010601F">
      <w:trPr>
        <w:trHeight w:val="108"/>
      </w:trPr>
      <w:tc>
        <w:tcPr>
          <w:tcW w:w="8875" w:type="dxa"/>
          <w:gridSpan w:val="2"/>
          <w:tcBorders>
            <w:bottom w:val="single" w:sz="4" w:space="0" w:color="auto"/>
          </w:tcBorders>
          <w:tcMar>
            <w:right w:w="284" w:type="dxa"/>
          </w:tcMar>
        </w:tcPr>
        <w:p w14:paraId="35512EAB" w14:textId="77777777" w:rsidR="001E0E47" w:rsidRDefault="001E0E47" w:rsidP="006E08B3">
          <w:pPr>
            <w:pStyle w:val="Heading3"/>
          </w:pPr>
          <w:r>
            <w:t>Copyright</w:t>
          </w:r>
        </w:p>
        <w:p w14:paraId="25AFA28F" w14:textId="77777777" w:rsidR="001E0E47" w:rsidRDefault="001E0E47" w:rsidP="006E08B3">
          <w:r>
            <w:rPr>
              <w:rFonts w:cs="Arial"/>
            </w:rPr>
            <w:t>©</w:t>
          </w:r>
          <w:r>
            <w:t xml:space="preserve"> Commonwealth of Australia [add year]</w:t>
          </w:r>
        </w:p>
        <w:p w14:paraId="285F0575" w14:textId="77777777" w:rsidR="001E0E47" w:rsidRDefault="001E0E4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6A1174B" w14:textId="5DFC052A" w:rsidR="001E0E47" w:rsidRDefault="001E0E47" w:rsidP="006E08B3">
          <w:pPr>
            <w:pStyle w:val="Heading3"/>
          </w:pPr>
          <w:r>
            <w:t>Confidentiality</w:t>
          </w:r>
        </w:p>
        <w:p w14:paraId="0C1E0718" w14:textId="77777777" w:rsidR="001E0E47" w:rsidRDefault="001E0E4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14BBEC1" w14:textId="77777777" w:rsidR="001E0E47" w:rsidRDefault="001E0E47" w:rsidP="006E08B3">
          <w:r>
            <w:t>For submission made by individuals, all personal details, other than your name, will be removed from your submission before it is published on the TGA’s Internet site.</w:t>
          </w:r>
        </w:p>
        <w:p w14:paraId="7EDF6DF5" w14:textId="7702CBA7" w:rsidR="001E0E47" w:rsidRDefault="001E0E47" w:rsidP="006E08B3">
          <w:r>
            <w:t>In addition, a list of parties making submissions will be published. If you do not wish to be identified with your submission you must specifically request this in the space provided in the submission coversheet.</w:t>
          </w:r>
        </w:p>
      </w:tc>
    </w:tr>
    <w:tr w:rsidR="001E0E47" w14:paraId="44EDEFC8" w14:textId="77777777" w:rsidTr="0010601F">
      <w:trPr>
        <w:trHeight w:val="417"/>
      </w:trPr>
      <w:tc>
        <w:tcPr>
          <w:tcW w:w="4519" w:type="dxa"/>
          <w:tcBorders>
            <w:top w:val="single" w:sz="4" w:space="0" w:color="auto"/>
          </w:tcBorders>
          <w:tcMar>
            <w:top w:w="142" w:type="dxa"/>
            <w:bottom w:w="0" w:type="dxa"/>
          </w:tcMar>
        </w:tcPr>
        <w:p w14:paraId="42DD3FDC" w14:textId="77777777" w:rsidR="001E0E47" w:rsidRDefault="001E0E47" w:rsidP="006E08B3">
          <w:r>
            <w:t>Document title, Part #, Section # - Section title</w:t>
          </w:r>
        </w:p>
        <w:p w14:paraId="3CE7BF2D" w14:textId="77777777" w:rsidR="001E0E47" w:rsidRDefault="001E0E47" w:rsidP="006E08B3">
          <w:r>
            <w:t>V1.0 October 2010</w:t>
          </w:r>
        </w:p>
      </w:tc>
      <w:tc>
        <w:tcPr>
          <w:tcW w:w="4356" w:type="dxa"/>
          <w:tcBorders>
            <w:top w:val="single" w:sz="4" w:space="0" w:color="auto"/>
          </w:tcBorders>
          <w:tcMar>
            <w:top w:w="142" w:type="dxa"/>
            <w:bottom w:w="0" w:type="dxa"/>
          </w:tcMar>
        </w:tcPr>
        <w:p w14:paraId="219DFC8A" w14:textId="34FE89C7" w:rsidR="001E0E47" w:rsidRDefault="001E0E4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7714A797" w14:textId="77777777" w:rsidR="001E0E47" w:rsidRDefault="001E0E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591E" w14:textId="77777777" w:rsidR="00A864A7" w:rsidRDefault="00A864A7" w:rsidP="00C40A36">
      <w:pPr>
        <w:spacing w:after="0"/>
      </w:pPr>
      <w:r>
        <w:separator/>
      </w:r>
    </w:p>
  </w:footnote>
  <w:footnote w:type="continuationSeparator" w:id="0">
    <w:p w14:paraId="5C27D1B5" w14:textId="77777777" w:rsidR="00A864A7" w:rsidRDefault="00A864A7" w:rsidP="00C40A36">
      <w:pPr>
        <w:spacing w:after="0"/>
      </w:pPr>
      <w:r>
        <w:continuationSeparator/>
      </w:r>
    </w:p>
  </w:footnote>
  <w:footnote w:id="1">
    <w:p w14:paraId="4B46CA76" w14:textId="6EC359C4" w:rsidR="001E0E47" w:rsidRPr="00942FF1" w:rsidRDefault="001E0E47" w:rsidP="00942FF1">
      <w:pPr>
        <w:pStyle w:val="FootnoteText"/>
        <w:rPr>
          <w:szCs w:val="18"/>
        </w:rPr>
      </w:pPr>
      <w:r w:rsidRPr="00942FF1">
        <w:rPr>
          <w:rStyle w:val="FootnoteReference"/>
          <w:szCs w:val="18"/>
        </w:rPr>
        <w:footnoteRef/>
      </w:r>
      <w:r w:rsidRPr="00942FF1">
        <w:rPr>
          <w:szCs w:val="18"/>
        </w:rPr>
        <w:t xml:space="preserve"> </w:t>
      </w:r>
      <w:r w:rsidRPr="00942FF1">
        <w:rPr>
          <w:rFonts w:asciiTheme="minorHAnsi" w:eastAsia="CIDFont+F1" w:hAnsiTheme="minorHAnsi" w:cs="CIDFont+F1"/>
          <w:szCs w:val="18"/>
        </w:rPr>
        <w:t xml:space="preserve">Duncan J, </w:t>
      </w:r>
      <w:r>
        <w:rPr>
          <w:rFonts w:asciiTheme="minorHAnsi" w:eastAsia="CIDFont+F1" w:hAnsiTheme="minorHAnsi" w:cs="CIDFont+F1"/>
          <w:szCs w:val="18"/>
        </w:rPr>
        <w:t>et al.</w:t>
      </w:r>
      <w:r w:rsidRPr="00942FF1">
        <w:rPr>
          <w:rFonts w:asciiTheme="minorHAnsi" w:eastAsia="CIDFont+F1" w:hAnsiTheme="minorHAnsi" w:cs="CIDFont+F1"/>
          <w:szCs w:val="18"/>
        </w:rPr>
        <w:t xml:space="preserve"> Immunoglobulin (Ig) for Primary Immunodeficiency Diseases (PID). </w:t>
      </w:r>
      <w:r>
        <w:rPr>
          <w:rFonts w:asciiTheme="minorHAnsi" w:eastAsia="CIDFont+F1" w:hAnsiTheme="minorHAnsi" w:cs="CIDFont+F1"/>
          <w:szCs w:val="18"/>
        </w:rPr>
        <w:t xml:space="preserve">2020. </w:t>
      </w:r>
      <w:r w:rsidRPr="00942FF1">
        <w:rPr>
          <w:rFonts w:asciiTheme="minorHAnsi" w:eastAsia="CIDFont+F1" w:hAnsiTheme="minorHAnsi" w:cs="CIDFont+F1"/>
          <w:szCs w:val="18"/>
        </w:rPr>
        <w:t>MSAC Application 1592, Assessment Report. Commonwealth of Australia, Canberra, ACT.</w:t>
      </w:r>
    </w:p>
  </w:footnote>
  <w:footnote w:id="2">
    <w:p w14:paraId="203668E0" w14:textId="364DFA8A" w:rsidR="001E0E47" w:rsidRDefault="001E0E47" w:rsidP="00D6190F">
      <w:pPr>
        <w:pStyle w:val="FootnoteText"/>
      </w:pPr>
      <w:r>
        <w:rPr>
          <w:rStyle w:val="FootnoteReference"/>
        </w:rPr>
        <w:footnoteRef/>
      </w:r>
      <w:r>
        <w:t xml:space="preserve"> Medical Services Advisory Committee (MSAC): Review of Immunoglobulin (Ig) for Primary Immunodeficiency Disease (PID) with Antibody Deficiency. MSAC CA 1592; 2020. </w:t>
      </w:r>
      <w:r>
        <w:rPr>
          <w:i/>
        </w:rPr>
        <w:t>Medical Services Advisory Committee</w:t>
      </w:r>
      <w:r>
        <w:t xml:space="preserve">. Available from </w:t>
      </w:r>
      <w:hyperlink r:id="rId1" w:history="1">
        <w:r>
          <w:rPr>
            <w:rStyle w:val="Hyperlink"/>
          </w:rPr>
          <w:t>msac.gov.au</w:t>
        </w:r>
      </w:hyperlink>
      <w:r>
        <w:t>.</w:t>
      </w:r>
    </w:p>
  </w:footnote>
  <w:footnote w:id="3">
    <w:p w14:paraId="5B23B983" w14:textId="345CC953" w:rsidR="001E0E47" w:rsidRPr="00A745C1" w:rsidRDefault="001E0E47">
      <w:pPr>
        <w:pStyle w:val="FootnoteText"/>
      </w:pPr>
      <w:r>
        <w:rPr>
          <w:rStyle w:val="FootnoteReference"/>
        </w:rPr>
        <w:footnoteRef/>
      </w:r>
      <w:r>
        <w:t xml:space="preserve"> </w:t>
      </w:r>
      <w:r w:rsidRPr="00EA67E6">
        <w:t xml:space="preserve">National Blood Authority (NBA): 2017-18 National Report on the Issue and Use of Immunoglobulin (Ig); 2018. </w:t>
      </w:r>
      <w:r w:rsidRPr="00EA67E6">
        <w:rPr>
          <w:i/>
        </w:rPr>
        <w:t>National Blood Authority Australia</w:t>
      </w:r>
      <w:r w:rsidRPr="00EA67E6">
        <w:t xml:space="preserve">. Available from: </w:t>
      </w:r>
      <w:hyperlink r:id="rId2" w:history="1">
        <w:r w:rsidRPr="00EA67E6">
          <w:rPr>
            <w:rStyle w:val="Hyperlink"/>
          </w:rPr>
          <w:t>blood.gov.au</w:t>
        </w:r>
      </w:hyperlink>
      <w:r w:rsidRPr="00EA67E6">
        <w:t>.</w:t>
      </w:r>
    </w:p>
  </w:footnote>
  <w:footnote w:id="4">
    <w:p w14:paraId="6E4A52E9" w14:textId="437A8378" w:rsidR="001E0E47" w:rsidRDefault="001E0E47">
      <w:pPr>
        <w:pStyle w:val="FootnoteText"/>
      </w:pPr>
      <w:r>
        <w:rPr>
          <w:rStyle w:val="FootnoteReference"/>
        </w:rPr>
        <w:footnoteRef/>
      </w:r>
      <w:r>
        <w:t xml:space="preserve"> National Blood Authority Australia, Criteria for the clinical use of immunoglobulin in Australia. Available from </w:t>
      </w:r>
      <w:hyperlink r:id="rId3" w:history="1">
        <w:r w:rsidRPr="004141DE">
          <w:rPr>
            <w:rStyle w:val="Hyperlink"/>
          </w:rPr>
          <w:t>blood.gov.au</w:t>
        </w:r>
      </w:hyperlink>
      <w:r>
        <w:t>.</w:t>
      </w:r>
    </w:p>
  </w:footnote>
  <w:footnote w:id="5">
    <w:p w14:paraId="6F873439" w14:textId="5DEDB0E9" w:rsidR="001E0E47" w:rsidRPr="00942FF1" w:rsidRDefault="001E0E47" w:rsidP="00C42CA3">
      <w:pPr>
        <w:autoSpaceDE w:val="0"/>
        <w:autoSpaceDN w:val="0"/>
        <w:adjustRightInd w:val="0"/>
        <w:spacing w:before="0" w:after="0"/>
        <w:rPr>
          <w:rFonts w:asciiTheme="minorHAnsi" w:eastAsiaTheme="minorHAnsi" w:hAnsiTheme="minorHAnsi" w:cs="CIDFont+F15"/>
          <w:sz w:val="18"/>
          <w:szCs w:val="18"/>
        </w:rPr>
      </w:pPr>
      <w:r w:rsidRPr="00942FF1">
        <w:rPr>
          <w:rStyle w:val="FootnoteReference"/>
          <w:sz w:val="18"/>
          <w:szCs w:val="18"/>
        </w:rPr>
        <w:footnoteRef/>
      </w:r>
      <w:r w:rsidRPr="00942FF1">
        <w:rPr>
          <w:sz w:val="18"/>
          <w:szCs w:val="18"/>
        </w:rPr>
        <w:t xml:space="preserve"> </w:t>
      </w:r>
      <w:proofErr w:type="spellStart"/>
      <w:r w:rsidRPr="001432DA">
        <w:rPr>
          <w:rFonts w:asciiTheme="minorHAnsi" w:eastAsiaTheme="minorHAnsi" w:hAnsiTheme="minorHAnsi" w:cs="CIDFont+F15"/>
          <w:sz w:val="18"/>
          <w:szCs w:val="18"/>
        </w:rPr>
        <w:t>Palabrica</w:t>
      </w:r>
      <w:proofErr w:type="spellEnd"/>
      <w:r w:rsidRPr="001432DA">
        <w:rPr>
          <w:rFonts w:asciiTheme="minorHAnsi" w:eastAsiaTheme="minorHAnsi" w:hAnsiTheme="minorHAnsi" w:cs="CIDFont+F15"/>
          <w:sz w:val="18"/>
          <w:szCs w:val="18"/>
        </w:rPr>
        <w:t xml:space="preserve">, F. R. R, et al. Adverse events of intravenous immunoglobulin infusions: a ten-year retrospective study, </w:t>
      </w:r>
      <w:r w:rsidRPr="001432DA">
        <w:rPr>
          <w:rFonts w:asciiTheme="minorHAnsi" w:eastAsiaTheme="minorHAnsi" w:hAnsiTheme="minorHAnsi" w:cs="CIDFont+F15"/>
          <w:i/>
          <w:iCs/>
          <w:sz w:val="18"/>
          <w:szCs w:val="18"/>
        </w:rPr>
        <w:t>Asia Pacific allergy</w:t>
      </w:r>
      <w:r w:rsidRPr="001432DA">
        <w:rPr>
          <w:rFonts w:asciiTheme="minorHAnsi" w:eastAsiaTheme="minorHAnsi" w:hAnsiTheme="minorHAnsi" w:cs="CIDFont+F15"/>
          <w:sz w:val="18"/>
          <w:szCs w:val="18"/>
        </w:rPr>
        <w:t>, 2013; 3</w:t>
      </w:r>
      <w:r w:rsidRPr="001432DA">
        <w:rPr>
          <w:rFonts w:asciiTheme="minorHAnsi" w:eastAsiaTheme="minorHAnsi" w:hAnsiTheme="minorHAnsi" w:cs="CIDFont+F16"/>
          <w:sz w:val="18"/>
          <w:szCs w:val="18"/>
        </w:rPr>
        <w:t xml:space="preserve">: </w:t>
      </w:r>
      <w:r w:rsidRPr="001432DA">
        <w:rPr>
          <w:rFonts w:asciiTheme="minorHAnsi" w:eastAsiaTheme="minorHAnsi" w:hAnsiTheme="minorHAnsi" w:cs="CIDFont+F15"/>
          <w:sz w:val="18"/>
          <w:szCs w:val="18"/>
        </w:rPr>
        <w:t>249-256.</w:t>
      </w:r>
      <w:bookmarkStart w:id="16" w:name="ref"/>
      <w:bookmarkEnd w:id="16"/>
    </w:p>
  </w:footnote>
  <w:footnote w:id="6">
    <w:p w14:paraId="006649F6" w14:textId="1D78C57E" w:rsidR="001E0E47" w:rsidRPr="00942FF1" w:rsidRDefault="001E0E47" w:rsidP="00C42CA3">
      <w:pPr>
        <w:autoSpaceDE w:val="0"/>
        <w:autoSpaceDN w:val="0"/>
        <w:adjustRightInd w:val="0"/>
        <w:spacing w:before="0" w:after="0"/>
        <w:rPr>
          <w:rFonts w:asciiTheme="minorHAnsi" w:eastAsiaTheme="minorHAnsi" w:hAnsiTheme="minorHAnsi" w:cs="CIDFont+F15"/>
          <w:sz w:val="18"/>
          <w:szCs w:val="18"/>
        </w:rPr>
      </w:pPr>
      <w:r w:rsidRPr="00942FF1">
        <w:rPr>
          <w:rStyle w:val="FootnoteReference"/>
          <w:sz w:val="18"/>
          <w:szCs w:val="18"/>
        </w:rPr>
        <w:footnoteRef/>
      </w:r>
      <w:r w:rsidRPr="00942FF1">
        <w:rPr>
          <w:sz w:val="18"/>
          <w:szCs w:val="18"/>
        </w:rPr>
        <w:t xml:space="preserve"> </w:t>
      </w:r>
      <w:r w:rsidRPr="001432DA">
        <w:rPr>
          <w:rFonts w:asciiTheme="minorHAnsi" w:eastAsiaTheme="minorHAnsi" w:hAnsiTheme="minorHAnsi" w:cs="CIDFont+F15"/>
          <w:sz w:val="18"/>
          <w:szCs w:val="18"/>
        </w:rPr>
        <w:t xml:space="preserve">Ness, S. Differentiating characteristics and evaluating intravenous and subcutaneous immunoglobulin, </w:t>
      </w:r>
      <w:r w:rsidRPr="001432DA">
        <w:rPr>
          <w:rFonts w:asciiTheme="minorHAnsi" w:eastAsiaTheme="minorHAnsi" w:hAnsiTheme="minorHAnsi" w:cs="CIDFont+F15"/>
          <w:i/>
          <w:iCs/>
          <w:sz w:val="18"/>
          <w:szCs w:val="18"/>
        </w:rPr>
        <w:t xml:space="preserve">Am J </w:t>
      </w:r>
      <w:proofErr w:type="spellStart"/>
      <w:r w:rsidRPr="001432DA">
        <w:rPr>
          <w:rFonts w:asciiTheme="minorHAnsi" w:eastAsiaTheme="minorHAnsi" w:hAnsiTheme="minorHAnsi" w:cs="CIDFont+F15"/>
          <w:i/>
          <w:iCs/>
          <w:sz w:val="18"/>
          <w:szCs w:val="18"/>
        </w:rPr>
        <w:t>Manag</w:t>
      </w:r>
      <w:proofErr w:type="spellEnd"/>
      <w:r w:rsidRPr="001432DA">
        <w:rPr>
          <w:rFonts w:asciiTheme="minorHAnsi" w:eastAsiaTheme="minorHAnsi" w:hAnsiTheme="minorHAnsi" w:cs="CIDFont+F15"/>
          <w:i/>
          <w:iCs/>
          <w:sz w:val="18"/>
          <w:szCs w:val="18"/>
        </w:rPr>
        <w:t xml:space="preserve"> Care</w:t>
      </w:r>
      <w:r w:rsidRPr="001432DA">
        <w:rPr>
          <w:rFonts w:asciiTheme="minorHAnsi" w:eastAsiaTheme="minorHAnsi" w:hAnsiTheme="minorHAnsi" w:cs="CIDFont+F15"/>
          <w:sz w:val="18"/>
          <w:szCs w:val="18"/>
        </w:rPr>
        <w:t>, 2019; 25</w:t>
      </w:r>
      <w:r w:rsidRPr="001432DA">
        <w:rPr>
          <w:rFonts w:asciiTheme="minorHAnsi" w:eastAsiaTheme="minorHAnsi" w:hAnsiTheme="minorHAnsi" w:cs="CIDFont+F16"/>
          <w:sz w:val="18"/>
          <w:szCs w:val="18"/>
        </w:rPr>
        <w:t xml:space="preserve">: </w:t>
      </w:r>
      <w:r w:rsidRPr="001432DA">
        <w:rPr>
          <w:rFonts w:asciiTheme="minorHAnsi" w:eastAsiaTheme="minorHAnsi" w:hAnsiTheme="minorHAnsi" w:cs="CIDFont+F15"/>
          <w:sz w:val="18"/>
          <w:szCs w:val="18"/>
        </w:rPr>
        <w:t>S98-S104.</w:t>
      </w:r>
    </w:p>
  </w:footnote>
  <w:footnote w:id="7">
    <w:p w14:paraId="066122AC" w14:textId="1E337E1F" w:rsidR="001E0E47" w:rsidRDefault="001E0E47" w:rsidP="009B31D5">
      <w:pPr>
        <w:pStyle w:val="FootnoteText"/>
      </w:pPr>
      <w:r>
        <w:rPr>
          <w:rStyle w:val="FootnoteReference"/>
        </w:rPr>
        <w:footnoteRef/>
      </w:r>
      <w:r>
        <w:t xml:space="preserve"> </w:t>
      </w:r>
      <w:r w:rsidRPr="00B9097D">
        <w:t>European Medicines Agency (EMA)</w:t>
      </w:r>
      <w:r>
        <w:t>:</w:t>
      </w:r>
      <w:r w:rsidRPr="00B9097D">
        <w:t xml:space="preserve"> Committee for Medicinal Products for Human Use (CHMP), Guideline on the clinical investigation of human normal immunoglobulin for subcutaneous and/or intramuscular administration (SCIg/</w:t>
      </w:r>
      <w:proofErr w:type="spellStart"/>
      <w:r w:rsidRPr="00B9097D">
        <w:t>IMIg</w:t>
      </w:r>
      <w:proofErr w:type="spellEnd"/>
      <w:r w:rsidRPr="00B9097D">
        <w:t xml:space="preserve">), </w:t>
      </w:r>
      <w:hyperlink r:id="rId4" w:history="1">
        <w:r w:rsidRPr="006F347D">
          <w:rPr>
            <w:rStyle w:val="Hyperlink"/>
          </w:rPr>
          <w:t>EMA/CHMP/BPWP/410415/2011 rev 1</w:t>
        </w:r>
      </w:hyperlink>
      <w:r w:rsidRPr="00B9097D">
        <w:t>, 1 February 2016.</w:t>
      </w:r>
    </w:p>
  </w:footnote>
  <w:footnote w:id="8">
    <w:p w14:paraId="2D308640" w14:textId="77777777" w:rsidR="001E0E47" w:rsidRDefault="001E0E47" w:rsidP="00516990">
      <w:pPr>
        <w:pStyle w:val="FootnoteText"/>
      </w:pPr>
      <w:r>
        <w:rPr>
          <w:rStyle w:val="FootnoteReference"/>
        </w:rPr>
        <w:footnoteRef/>
      </w:r>
      <w:r>
        <w:t xml:space="preserve"> </w:t>
      </w:r>
      <w:proofErr w:type="spellStart"/>
      <w:r>
        <w:t>Gamunex</w:t>
      </w:r>
      <w:proofErr w:type="spellEnd"/>
      <w:r>
        <w:t xml:space="preserve"> was first registered in Australia on 5 </w:t>
      </w:r>
      <w:proofErr w:type="gramStart"/>
      <w:r>
        <w:t>may</w:t>
      </w:r>
      <w:proofErr w:type="gramEnd"/>
      <w:r>
        <w:t xml:space="preserve"> 2006. ARTG number: 116689.</w:t>
      </w:r>
    </w:p>
  </w:footnote>
  <w:footnote w:id="9">
    <w:p w14:paraId="530FAB3F" w14:textId="31B4F0B1" w:rsidR="001E0E47" w:rsidRDefault="001E0E47">
      <w:pPr>
        <w:pStyle w:val="FootnoteText"/>
      </w:pPr>
      <w:r>
        <w:rPr>
          <w:rStyle w:val="FootnoteReference"/>
        </w:rPr>
        <w:footnoteRef/>
      </w:r>
      <w:r>
        <w:t xml:space="preserve"> Cuvitru</w:t>
      </w:r>
      <w:r w:rsidRPr="00EB734E">
        <w:t xml:space="preserve"> was first registered in Australia on 5 </w:t>
      </w:r>
      <w:r>
        <w:t>October</w:t>
      </w:r>
      <w:r w:rsidRPr="00EB734E">
        <w:t xml:space="preserve"> 20</w:t>
      </w:r>
      <w:r>
        <w:t>17</w:t>
      </w:r>
      <w:r w:rsidRPr="00EB734E">
        <w:t xml:space="preserve">. ARTG number: </w:t>
      </w:r>
      <w:r>
        <w:t>282579</w:t>
      </w:r>
      <w:r w:rsidRPr="00EB734E">
        <w:t>.</w:t>
      </w:r>
    </w:p>
  </w:footnote>
  <w:footnote w:id="10">
    <w:p w14:paraId="15589B7B" w14:textId="2BBA3A98" w:rsidR="001E0E47" w:rsidRDefault="001E0E47">
      <w:pPr>
        <w:pStyle w:val="FootnoteText"/>
      </w:pPr>
      <w:r>
        <w:rPr>
          <w:rStyle w:val="FootnoteReference"/>
        </w:rPr>
        <w:footnoteRef/>
      </w:r>
      <w:r>
        <w:t xml:space="preserve"> </w:t>
      </w:r>
      <w:proofErr w:type="spellStart"/>
      <w:r>
        <w:t>Hizentra</w:t>
      </w:r>
      <w:proofErr w:type="spellEnd"/>
      <w:r w:rsidRPr="00EB734E">
        <w:t xml:space="preserve"> was first registered in Australia on </w:t>
      </w:r>
      <w:r>
        <w:t>8</w:t>
      </w:r>
      <w:r w:rsidRPr="00EB734E">
        <w:t xml:space="preserve"> </w:t>
      </w:r>
      <w:r>
        <w:t>M</w:t>
      </w:r>
      <w:r w:rsidRPr="00EB734E">
        <w:t>ay 20</w:t>
      </w:r>
      <w:r>
        <w:t>14</w:t>
      </w:r>
      <w:r w:rsidRPr="00EB734E">
        <w:t xml:space="preserve">. ARTG number: </w:t>
      </w:r>
      <w:r>
        <w:t>207383</w:t>
      </w:r>
      <w:r w:rsidRPr="00EB734E">
        <w:t>.</w:t>
      </w:r>
    </w:p>
  </w:footnote>
  <w:footnote w:id="11">
    <w:p w14:paraId="2DC4D14B" w14:textId="1CED88A0" w:rsidR="001E0E47" w:rsidRPr="004F0AA5" w:rsidRDefault="001E0E47">
      <w:pPr>
        <w:pStyle w:val="FootnoteText"/>
        <w:rPr>
          <w:lang w:val="en-GB"/>
        </w:rPr>
      </w:pPr>
      <w:r>
        <w:rPr>
          <w:rStyle w:val="FootnoteReference"/>
        </w:rPr>
        <w:footnoteRef/>
      </w:r>
      <w:r>
        <w:t xml:space="preserve"> </w:t>
      </w:r>
      <w:proofErr w:type="spellStart"/>
      <w:r>
        <w:rPr>
          <w:lang w:val="en-GB"/>
        </w:rPr>
        <w:t>Hizentra</w:t>
      </w:r>
      <w:proofErr w:type="spellEnd"/>
      <w:r>
        <w:rPr>
          <w:lang w:val="en-GB"/>
        </w:rPr>
        <w:t xml:space="preserve"> </w:t>
      </w:r>
      <w:r w:rsidRPr="001E0E47">
        <w:rPr>
          <w:lang w:val="en-GB"/>
        </w:rPr>
        <w:t>human normal immunoglobulin 20% solution for subcutaneous injection</w:t>
      </w:r>
      <w:r>
        <w:rPr>
          <w:lang w:val="en-GB"/>
        </w:rPr>
        <w:t xml:space="preserve">; ARTG R: </w:t>
      </w:r>
      <w:r>
        <w:t xml:space="preserve">285344 (5 mL syringe); 285345 (10 mL syringe); 207386 (5 mL vial); 207385 (10 mL vial); 207383 (20 mL vial); 207384 (50 mL vial); </w:t>
      </w:r>
      <w:r w:rsidRPr="001E0E47">
        <w:t>CSL Behring Australia Pty Ltd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4B2F" w14:textId="77777777" w:rsidR="001E0E47" w:rsidRDefault="001E0E47"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B10A" w14:textId="77777777" w:rsidR="001E0E47" w:rsidRDefault="001E0E47">
    <w:pPr>
      <w:rPr>
        <w:noProof/>
        <w:lang w:eastAsia="en-AU"/>
      </w:rPr>
    </w:pPr>
    <w:r w:rsidRPr="00347824">
      <w:rPr>
        <w:noProof/>
        <w:lang w:val="en-GB" w:eastAsia="en-GB"/>
      </w:rPr>
      <w:drawing>
        <wp:anchor distT="0" distB="0" distL="114300" distR="114300" simplePos="0" relativeHeight="251659264" behindDoc="1" locked="0" layoutInCell="1" allowOverlap="1" wp14:anchorId="02EB3494" wp14:editId="144CC65E">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173A" w14:textId="77777777" w:rsidR="001E0E47" w:rsidRDefault="001E0E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E402" w14:textId="77777777" w:rsidR="001E0E47" w:rsidRDefault="001E0E47">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0F7E" w14:textId="77777777" w:rsidR="001E0E47" w:rsidRDefault="001E0E47">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4B1F" w14:textId="77777777" w:rsidR="001E0E47" w:rsidRDefault="001E0E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65ED" w14:textId="77777777" w:rsidR="001E0E47" w:rsidRDefault="001E0E47"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8B5D" w14:textId="77777777" w:rsidR="001E0E47" w:rsidRDefault="001E0E47" w:rsidP="006E08B3">
    <w:r>
      <w:t>Therapeutic Goods Administration</w:t>
    </w:r>
  </w:p>
  <w:p w14:paraId="56825E03" w14:textId="1E2F007D" w:rsidR="001E0E47" w:rsidRDefault="001E0E47"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3C12DEA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80C273F"/>
    <w:multiLevelType w:val="hybridMultilevel"/>
    <w:tmpl w:val="AF4EF1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C62166"/>
    <w:multiLevelType w:val="hybridMultilevel"/>
    <w:tmpl w:val="7FF2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3B"/>
    <w:multiLevelType w:val="hybridMultilevel"/>
    <w:tmpl w:val="B432759C"/>
    <w:lvl w:ilvl="0" w:tplc="81D40E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28419F"/>
    <w:multiLevelType w:val="hybridMultilevel"/>
    <w:tmpl w:val="660AE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9036C6B"/>
    <w:multiLevelType w:val="hybridMultilevel"/>
    <w:tmpl w:val="AA921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5473C1"/>
    <w:multiLevelType w:val="hybridMultilevel"/>
    <w:tmpl w:val="CAA6CF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7"/>
  </w:num>
  <w:num w:numId="29">
    <w:abstractNumId w:val="6"/>
  </w:num>
  <w:num w:numId="30">
    <w:abstractNumId w:val="12"/>
  </w:num>
  <w:num w:numId="31">
    <w:abstractNumId w:val="4"/>
  </w:num>
  <w:num w:numId="32">
    <w:abstractNumId w:val="14"/>
  </w:num>
  <w:num w:numId="33">
    <w:abstractNumId w:val="15"/>
  </w:num>
  <w:num w:numId="34">
    <w:abstractNumId w:val="16"/>
  </w:num>
  <w:num w:numId="35">
    <w:abstractNumId w:val="9"/>
  </w:num>
  <w:num w:numId="36">
    <w:abstractNumId w:val="10"/>
  </w:num>
  <w:num w:numId="37">
    <w:abstractNumId w:val="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8D"/>
    <w:rsid w:val="00002031"/>
    <w:rsid w:val="00004734"/>
    <w:rsid w:val="00006B22"/>
    <w:rsid w:val="00006FAB"/>
    <w:rsid w:val="0001276A"/>
    <w:rsid w:val="000246AE"/>
    <w:rsid w:val="00025C67"/>
    <w:rsid w:val="00025C69"/>
    <w:rsid w:val="00034A14"/>
    <w:rsid w:val="00041462"/>
    <w:rsid w:val="00044772"/>
    <w:rsid w:val="0004541C"/>
    <w:rsid w:val="00050FC4"/>
    <w:rsid w:val="0005559E"/>
    <w:rsid w:val="00056C07"/>
    <w:rsid w:val="00056F02"/>
    <w:rsid w:val="000571CC"/>
    <w:rsid w:val="000604D6"/>
    <w:rsid w:val="000625BC"/>
    <w:rsid w:val="000734D8"/>
    <w:rsid w:val="000767F4"/>
    <w:rsid w:val="00077775"/>
    <w:rsid w:val="00090471"/>
    <w:rsid w:val="00096AA7"/>
    <w:rsid w:val="00096D52"/>
    <w:rsid w:val="000A3AED"/>
    <w:rsid w:val="000A5A0B"/>
    <w:rsid w:val="000B32D5"/>
    <w:rsid w:val="000B3532"/>
    <w:rsid w:val="000B3A75"/>
    <w:rsid w:val="000C00C2"/>
    <w:rsid w:val="000C2404"/>
    <w:rsid w:val="000C3BE6"/>
    <w:rsid w:val="000C690F"/>
    <w:rsid w:val="000D00CE"/>
    <w:rsid w:val="000D1295"/>
    <w:rsid w:val="000D391B"/>
    <w:rsid w:val="000D3D6D"/>
    <w:rsid w:val="000D4FC7"/>
    <w:rsid w:val="000E0BD1"/>
    <w:rsid w:val="000E561B"/>
    <w:rsid w:val="000E6196"/>
    <w:rsid w:val="000F1318"/>
    <w:rsid w:val="000F4869"/>
    <w:rsid w:val="000F5B42"/>
    <w:rsid w:val="000F6B6C"/>
    <w:rsid w:val="000F6E6F"/>
    <w:rsid w:val="0010601F"/>
    <w:rsid w:val="0010788A"/>
    <w:rsid w:val="00107A31"/>
    <w:rsid w:val="00110D47"/>
    <w:rsid w:val="00110EA5"/>
    <w:rsid w:val="001116CC"/>
    <w:rsid w:val="00112F56"/>
    <w:rsid w:val="00116DDC"/>
    <w:rsid w:val="00117C1F"/>
    <w:rsid w:val="00121A61"/>
    <w:rsid w:val="00122C2E"/>
    <w:rsid w:val="00124ACD"/>
    <w:rsid w:val="00125318"/>
    <w:rsid w:val="001305A2"/>
    <w:rsid w:val="00133238"/>
    <w:rsid w:val="001332D4"/>
    <w:rsid w:val="00133A1B"/>
    <w:rsid w:val="001412E5"/>
    <w:rsid w:val="0014197B"/>
    <w:rsid w:val="001432DA"/>
    <w:rsid w:val="001447CD"/>
    <w:rsid w:val="001516B1"/>
    <w:rsid w:val="00154EBB"/>
    <w:rsid w:val="00156316"/>
    <w:rsid w:val="00157CF8"/>
    <w:rsid w:val="00161181"/>
    <w:rsid w:val="00161A3B"/>
    <w:rsid w:val="00161D56"/>
    <w:rsid w:val="00162D14"/>
    <w:rsid w:val="00163780"/>
    <w:rsid w:val="00165389"/>
    <w:rsid w:val="0016612A"/>
    <w:rsid w:val="00170B8D"/>
    <w:rsid w:val="0017693F"/>
    <w:rsid w:val="00177477"/>
    <w:rsid w:val="0018110E"/>
    <w:rsid w:val="001814D5"/>
    <w:rsid w:val="00181684"/>
    <w:rsid w:val="001843C6"/>
    <w:rsid w:val="001850E0"/>
    <w:rsid w:val="00185407"/>
    <w:rsid w:val="001862B6"/>
    <w:rsid w:val="001926B6"/>
    <w:rsid w:val="001A03AF"/>
    <w:rsid w:val="001A0DA1"/>
    <w:rsid w:val="001A2158"/>
    <w:rsid w:val="001A3FC4"/>
    <w:rsid w:val="001A525F"/>
    <w:rsid w:val="001A5A00"/>
    <w:rsid w:val="001A66B8"/>
    <w:rsid w:val="001A7EEF"/>
    <w:rsid w:val="001B09F9"/>
    <w:rsid w:val="001B1DA4"/>
    <w:rsid w:val="001B5C90"/>
    <w:rsid w:val="001B6448"/>
    <w:rsid w:val="001C32CD"/>
    <w:rsid w:val="001D2984"/>
    <w:rsid w:val="001D7EC9"/>
    <w:rsid w:val="001E07CF"/>
    <w:rsid w:val="001E0E47"/>
    <w:rsid w:val="001E359E"/>
    <w:rsid w:val="001E59F1"/>
    <w:rsid w:val="001F2CEE"/>
    <w:rsid w:val="001F49EB"/>
    <w:rsid w:val="001F6CBA"/>
    <w:rsid w:val="001F77DB"/>
    <w:rsid w:val="00201D4E"/>
    <w:rsid w:val="002076C9"/>
    <w:rsid w:val="00213CC2"/>
    <w:rsid w:val="00220B8A"/>
    <w:rsid w:val="002210AA"/>
    <w:rsid w:val="002257F3"/>
    <w:rsid w:val="002314EA"/>
    <w:rsid w:val="00233456"/>
    <w:rsid w:val="002339A5"/>
    <w:rsid w:val="00233E13"/>
    <w:rsid w:val="00245EC4"/>
    <w:rsid w:val="00246E31"/>
    <w:rsid w:val="00250271"/>
    <w:rsid w:val="00250F35"/>
    <w:rsid w:val="00257848"/>
    <w:rsid w:val="002578E8"/>
    <w:rsid w:val="00261045"/>
    <w:rsid w:val="0027084A"/>
    <w:rsid w:val="00271E85"/>
    <w:rsid w:val="002768D4"/>
    <w:rsid w:val="00280265"/>
    <w:rsid w:val="002827DD"/>
    <w:rsid w:val="00286434"/>
    <w:rsid w:val="00286C59"/>
    <w:rsid w:val="00291957"/>
    <w:rsid w:val="002925DB"/>
    <w:rsid w:val="002942D1"/>
    <w:rsid w:val="0029501A"/>
    <w:rsid w:val="002A2615"/>
    <w:rsid w:val="002A3721"/>
    <w:rsid w:val="002B1638"/>
    <w:rsid w:val="002B3624"/>
    <w:rsid w:val="002C3B8B"/>
    <w:rsid w:val="002C46B8"/>
    <w:rsid w:val="002C4D05"/>
    <w:rsid w:val="002C6AFB"/>
    <w:rsid w:val="002D0952"/>
    <w:rsid w:val="002D71BA"/>
    <w:rsid w:val="002E1C46"/>
    <w:rsid w:val="002E40B3"/>
    <w:rsid w:val="002E4C9A"/>
    <w:rsid w:val="002E6EEA"/>
    <w:rsid w:val="002F11F8"/>
    <w:rsid w:val="002F3F56"/>
    <w:rsid w:val="002F44B5"/>
    <w:rsid w:val="002F5122"/>
    <w:rsid w:val="00307C6C"/>
    <w:rsid w:val="00311AC0"/>
    <w:rsid w:val="00316546"/>
    <w:rsid w:val="003176FC"/>
    <w:rsid w:val="00324E45"/>
    <w:rsid w:val="0032583B"/>
    <w:rsid w:val="00327883"/>
    <w:rsid w:val="00332715"/>
    <w:rsid w:val="00334F4F"/>
    <w:rsid w:val="00335504"/>
    <w:rsid w:val="00340C18"/>
    <w:rsid w:val="00341317"/>
    <w:rsid w:val="003442FD"/>
    <w:rsid w:val="00347824"/>
    <w:rsid w:val="00350567"/>
    <w:rsid w:val="003521E8"/>
    <w:rsid w:val="00366542"/>
    <w:rsid w:val="00370CE3"/>
    <w:rsid w:val="003728F3"/>
    <w:rsid w:val="003732B9"/>
    <w:rsid w:val="003735BC"/>
    <w:rsid w:val="0037496E"/>
    <w:rsid w:val="00383221"/>
    <w:rsid w:val="00383771"/>
    <w:rsid w:val="00386150"/>
    <w:rsid w:val="003874CE"/>
    <w:rsid w:val="00390900"/>
    <w:rsid w:val="00393927"/>
    <w:rsid w:val="003A1394"/>
    <w:rsid w:val="003A22DF"/>
    <w:rsid w:val="003A6F14"/>
    <w:rsid w:val="003A7F6C"/>
    <w:rsid w:val="003B4D60"/>
    <w:rsid w:val="003B7E39"/>
    <w:rsid w:val="003C1D50"/>
    <w:rsid w:val="003C58DC"/>
    <w:rsid w:val="003D1E62"/>
    <w:rsid w:val="003D3BE2"/>
    <w:rsid w:val="003D7F26"/>
    <w:rsid w:val="003E0B99"/>
    <w:rsid w:val="003E2486"/>
    <w:rsid w:val="003E3208"/>
    <w:rsid w:val="003F0B04"/>
    <w:rsid w:val="003F72E1"/>
    <w:rsid w:val="003F72E7"/>
    <w:rsid w:val="0040134E"/>
    <w:rsid w:val="00404C98"/>
    <w:rsid w:val="004059B6"/>
    <w:rsid w:val="004141DE"/>
    <w:rsid w:val="004151A2"/>
    <w:rsid w:val="00420D47"/>
    <w:rsid w:val="00423C6A"/>
    <w:rsid w:val="0043304A"/>
    <w:rsid w:val="004334C7"/>
    <w:rsid w:val="00433FEB"/>
    <w:rsid w:val="00440A2D"/>
    <w:rsid w:val="00441C3F"/>
    <w:rsid w:val="0044217E"/>
    <w:rsid w:val="00444D1A"/>
    <w:rsid w:val="0045186A"/>
    <w:rsid w:val="00454BDC"/>
    <w:rsid w:val="004564A7"/>
    <w:rsid w:val="00456765"/>
    <w:rsid w:val="00460036"/>
    <w:rsid w:val="004617BF"/>
    <w:rsid w:val="00463658"/>
    <w:rsid w:val="004637A0"/>
    <w:rsid w:val="00471858"/>
    <w:rsid w:val="004722CC"/>
    <w:rsid w:val="00483EB3"/>
    <w:rsid w:val="00487CC1"/>
    <w:rsid w:val="00490483"/>
    <w:rsid w:val="004926F2"/>
    <w:rsid w:val="004936E4"/>
    <w:rsid w:val="00494E60"/>
    <w:rsid w:val="00495588"/>
    <w:rsid w:val="00496F8D"/>
    <w:rsid w:val="00497487"/>
    <w:rsid w:val="004A13BD"/>
    <w:rsid w:val="004A2771"/>
    <w:rsid w:val="004A2F6A"/>
    <w:rsid w:val="004A6189"/>
    <w:rsid w:val="004A7390"/>
    <w:rsid w:val="004B0F89"/>
    <w:rsid w:val="004B5766"/>
    <w:rsid w:val="004B63B9"/>
    <w:rsid w:val="004B7B76"/>
    <w:rsid w:val="004C239D"/>
    <w:rsid w:val="004C2B1B"/>
    <w:rsid w:val="004C2DCA"/>
    <w:rsid w:val="004C4FBE"/>
    <w:rsid w:val="004C61D2"/>
    <w:rsid w:val="004D2195"/>
    <w:rsid w:val="004E1B19"/>
    <w:rsid w:val="004E6634"/>
    <w:rsid w:val="004F0AA5"/>
    <w:rsid w:val="004F0C4A"/>
    <w:rsid w:val="004F0F38"/>
    <w:rsid w:val="004F47D6"/>
    <w:rsid w:val="004F58ED"/>
    <w:rsid w:val="00500337"/>
    <w:rsid w:val="00501921"/>
    <w:rsid w:val="005046D0"/>
    <w:rsid w:val="00505417"/>
    <w:rsid w:val="0051131C"/>
    <w:rsid w:val="00516990"/>
    <w:rsid w:val="0052149B"/>
    <w:rsid w:val="00523A21"/>
    <w:rsid w:val="0052537C"/>
    <w:rsid w:val="00530354"/>
    <w:rsid w:val="0053625B"/>
    <w:rsid w:val="005434C6"/>
    <w:rsid w:val="00543B39"/>
    <w:rsid w:val="00545CDB"/>
    <w:rsid w:val="00546154"/>
    <w:rsid w:val="00550096"/>
    <w:rsid w:val="00555280"/>
    <w:rsid w:val="00557FF9"/>
    <w:rsid w:val="00562327"/>
    <w:rsid w:val="005711D5"/>
    <w:rsid w:val="00571FA7"/>
    <w:rsid w:val="00574A15"/>
    <w:rsid w:val="00575FEC"/>
    <w:rsid w:val="00576378"/>
    <w:rsid w:val="00577130"/>
    <w:rsid w:val="005773DC"/>
    <w:rsid w:val="00577945"/>
    <w:rsid w:val="00577E38"/>
    <w:rsid w:val="005806FC"/>
    <w:rsid w:val="00585322"/>
    <w:rsid w:val="005857C6"/>
    <w:rsid w:val="00592F6E"/>
    <w:rsid w:val="00593AD1"/>
    <w:rsid w:val="005950F7"/>
    <w:rsid w:val="005A68B6"/>
    <w:rsid w:val="005A79F5"/>
    <w:rsid w:val="005B1155"/>
    <w:rsid w:val="005B70AA"/>
    <w:rsid w:val="005C0026"/>
    <w:rsid w:val="005C494B"/>
    <w:rsid w:val="005C5570"/>
    <w:rsid w:val="005C5726"/>
    <w:rsid w:val="005C5B66"/>
    <w:rsid w:val="005C79A4"/>
    <w:rsid w:val="005D407A"/>
    <w:rsid w:val="005D5442"/>
    <w:rsid w:val="005E335D"/>
    <w:rsid w:val="005E3872"/>
    <w:rsid w:val="005E586C"/>
    <w:rsid w:val="005F0533"/>
    <w:rsid w:val="00603F32"/>
    <w:rsid w:val="00605AD4"/>
    <w:rsid w:val="0061366E"/>
    <w:rsid w:val="006136D7"/>
    <w:rsid w:val="0062162C"/>
    <w:rsid w:val="00625A6E"/>
    <w:rsid w:val="00632398"/>
    <w:rsid w:val="00633AE3"/>
    <w:rsid w:val="00634B85"/>
    <w:rsid w:val="006370CD"/>
    <w:rsid w:val="00640FC3"/>
    <w:rsid w:val="00642020"/>
    <w:rsid w:val="006430EE"/>
    <w:rsid w:val="00643CE5"/>
    <w:rsid w:val="00644FE3"/>
    <w:rsid w:val="0065337B"/>
    <w:rsid w:val="0065419D"/>
    <w:rsid w:val="006603BC"/>
    <w:rsid w:val="006604D8"/>
    <w:rsid w:val="00664A5B"/>
    <w:rsid w:val="0066735C"/>
    <w:rsid w:val="006716FE"/>
    <w:rsid w:val="0067397A"/>
    <w:rsid w:val="006763D2"/>
    <w:rsid w:val="00680C08"/>
    <w:rsid w:val="006901BA"/>
    <w:rsid w:val="006916A0"/>
    <w:rsid w:val="006931B1"/>
    <w:rsid w:val="006A15C0"/>
    <w:rsid w:val="006A58A8"/>
    <w:rsid w:val="006B1F8E"/>
    <w:rsid w:val="006C3E2A"/>
    <w:rsid w:val="006C642F"/>
    <w:rsid w:val="006D03E5"/>
    <w:rsid w:val="006D0E76"/>
    <w:rsid w:val="006D57CA"/>
    <w:rsid w:val="006D5D3E"/>
    <w:rsid w:val="006D7C3F"/>
    <w:rsid w:val="006E08B3"/>
    <w:rsid w:val="006E4A35"/>
    <w:rsid w:val="006E7D4A"/>
    <w:rsid w:val="006F17AC"/>
    <w:rsid w:val="006F25B8"/>
    <w:rsid w:val="006F347D"/>
    <w:rsid w:val="006F572E"/>
    <w:rsid w:val="00700E07"/>
    <w:rsid w:val="007046D6"/>
    <w:rsid w:val="00705DB0"/>
    <w:rsid w:val="00706111"/>
    <w:rsid w:val="00714203"/>
    <w:rsid w:val="00716A19"/>
    <w:rsid w:val="00720608"/>
    <w:rsid w:val="0072292E"/>
    <w:rsid w:val="00722B57"/>
    <w:rsid w:val="0072757C"/>
    <w:rsid w:val="00730F8A"/>
    <w:rsid w:val="00735A8C"/>
    <w:rsid w:val="0074163C"/>
    <w:rsid w:val="0074253D"/>
    <w:rsid w:val="00744121"/>
    <w:rsid w:val="0074429B"/>
    <w:rsid w:val="00744A82"/>
    <w:rsid w:val="007455BA"/>
    <w:rsid w:val="007478A6"/>
    <w:rsid w:val="00757854"/>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86678"/>
    <w:rsid w:val="00790960"/>
    <w:rsid w:val="00792337"/>
    <w:rsid w:val="00793A59"/>
    <w:rsid w:val="00796E37"/>
    <w:rsid w:val="00797942"/>
    <w:rsid w:val="007A024C"/>
    <w:rsid w:val="007A0959"/>
    <w:rsid w:val="007A46F5"/>
    <w:rsid w:val="007A6505"/>
    <w:rsid w:val="007B6132"/>
    <w:rsid w:val="007B63B0"/>
    <w:rsid w:val="007B6692"/>
    <w:rsid w:val="007B6E9F"/>
    <w:rsid w:val="007C1216"/>
    <w:rsid w:val="007C1AF7"/>
    <w:rsid w:val="007C5043"/>
    <w:rsid w:val="007C6B9B"/>
    <w:rsid w:val="007D39DC"/>
    <w:rsid w:val="007D53B6"/>
    <w:rsid w:val="007F0985"/>
    <w:rsid w:val="007F1570"/>
    <w:rsid w:val="007F5B54"/>
    <w:rsid w:val="00802560"/>
    <w:rsid w:val="00804D99"/>
    <w:rsid w:val="00805D27"/>
    <w:rsid w:val="00806DCB"/>
    <w:rsid w:val="00810843"/>
    <w:rsid w:val="008110BC"/>
    <w:rsid w:val="00817EF1"/>
    <w:rsid w:val="00821776"/>
    <w:rsid w:val="008321F5"/>
    <w:rsid w:val="00832369"/>
    <w:rsid w:val="00833381"/>
    <w:rsid w:val="00833ED8"/>
    <w:rsid w:val="00834660"/>
    <w:rsid w:val="00836BC2"/>
    <w:rsid w:val="0084660C"/>
    <w:rsid w:val="0085105E"/>
    <w:rsid w:val="0085156D"/>
    <w:rsid w:val="00852B28"/>
    <w:rsid w:val="0085641B"/>
    <w:rsid w:val="00857136"/>
    <w:rsid w:val="008575F3"/>
    <w:rsid w:val="00862E3B"/>
    <w:rsid w:val="00865B03"/>
    <w:rsid w:val="00875A6B"/>
    <w:rsid w:val="00881DDF"/>
    <w:rsid w:val="00883ACF"/>
    <w:rsid w:val="00885B11"/>
    <w:rsid w:val="00886D15"/>
    <w:rsid w:val="00887DD8"/>
    <w:rsid w:val="00891BA9"/>
    <w:rsid w:val="00891DCA"/>
    <w:rsid w:val="00891E13"/>
    <w:rsid w:val="008940F3"/>
    <w:rsid w:val="00895C09"/>
    <w:rsid w:val="00896018"/>
    <w:rsid w:val="008960DD"/>
    <w:rsid w:val="0089635C"/>
    <w:rsid w:val="008A2B9D"/>
    <w:rsid w:val="008A3D9F"/>
    <w:rsid w:val="008A4484"/>
    <w:rsid w:val="008A5E0B"/>
    <w:rsid w:val="008A6D59"/>
    <w:rsid w:val="008B4B03"/>
    <w:rsid w:val="008B596F"/>
    <w:rsid w:val="008C0848"/>
    <w:rsid w:val="008C159F"/>
    <w:rsid w:val="008C1623"/>
    <w:rsid w:val="008C1850"/>
    <w:rsid w:val="008C4169"/>
    <w:rsid w:val="008C51A9"/>
    <w:rsid w:val="008E14EF"/>
    <w:rsid w:val="008E4C38"/>
    <w:rsid w:val="008E7846"/>
    <w:rsid w:val="008F02E5"/>
    <w:rsid w:val="008F1CCC"/>
    <w:rsid w:val="008F2967"/>
    <w:rsid w:val="008F65CF"/>
    <w:rsid w:val="008F6943"/>
    <w:rsid w:val="00902A21"/>
    <w:rsid w:val="00903456"/>
    <w:rsid w:val="0091523F"/>
    <w:rsid w:val="00920330"/>
    <w:rsid w:val="009209C2"/>
    <w:rsid w:val="009219D7"/>
    <w:rsid w:val="00922D53"/>
    <w:rsid w:val="00923B70"/>
    <w:rsid w:val="00924482"/>
    <w:rsid w:val="00930237"/>
    <w:rsid w:val="009352AB"/>
    <w:rsid w:val="00937C17"/>
    <w:rsid w:val="00940A89"/>
    <w:rsid w:val="00941F77"/>
    <w:rsid w:val="009422A4"/>
    <w:rsid w:val="00942FF1"/>
    <w:rsid w:val="00946EA5"/>
    <w:rsid w:val="0095023C"/>
    <w:rsid w:val="009556D7"/>
    <w:rsid w:val="00960520"/>
    <w:rsid w:val="00963C08"/>
    <w:rsid w:val="00972094"/>
    <w:rsid w:val="009752A5"/>
    <w:rsid w:val="0098334E"/>
    <w:rsid w:val="00983682"/>
    <w:rsid w:val="009849AC"/>
    <w:rsid w:val="0098585A"/>
    <w:rsid w:val="00985A8C"/>
    <w:rsid w:val="0099443F"/>
    <w:rsid w:val="009950CA"/>
    <w:rsid w:val="009959E7"/>
    <w:rsid w:val="009A4791"/>
    <w:rsid w:val="009A4CED"/>
    <w:rsid w:val="009A690D"/>
    <w:rsid w:val="009B10D5"/>
    <w:rsid w:val="009B1D12"/>
    <w:rsid w:val="009B31D5"/>
    <w:rsid w:val="009B416B"/>
    <w:rsid w:val="009C0441"/>
    <w:rsid w:val="009C0874"/>
    <w:rsid w:val="009C1D04"/>
    <w:rsid w:val="009C2B13"/>
    <w:rsid w:val="009C353F"/>
    <w:rsid w:val="009C4BD5"/>
    <w:rsid w:val="009C6BD3"/>
    <w:rsid w:val="009C6DEB"/>
    <w:rsid w:val="009D13C3"/>
    <w:rsid w:val="009D4EE8"/>
    <w:rsid w:val="009D7B77"/>
    <w:rsid w:val="009E007E"/>
    <w:rsid w:val="009E0BB0"/>
    <w:rsid w:val="009E3FBB"/>
    <w:rsid w:val="009E5A87"/>
    <w:rsid w:val="009F2673"/>
    <w:rsid w:val="009F7353"/>
    <w:rsid w:val="00A04F85"/>
    <w:rsid w:val="00A05E96"/>
    <w:rsid w:val="00A05FA4"/>
    <w:rsid w:val="00A0626D"/>
    <w:rsid w:val="00A102E4"/>
    <w:rsid w:val="00A1219C"/>
    <w:rsid w:val="00A12C42"/>
    <w:rsid w:val="00A14DF7"/>
    <w:rsid w:val="00A162E1"/>
    <w:rsid w:val="00A22D57"/>
    <w:rsid w:val="00A3246D"/>
    <w:rsid w:val="00A36FA7"/>
    <w:rsid w:val="00A37242"/>
    <w:rsid w:val="00A41CCB"/>
    <w:rsid w:val="00A44057"/>
    <w:rsid w:val="00A44DDB"/>
    <w:rsid w:val="00A475B7"/>
    <w:rsid w:val="00A47AF7"/>
    <w:rsid w:val="00A47C3E"/>
    <w:rsid w:val="00A50226"/>
    <w:rsid w:val="00A60BAD"/>
    <w:rsid w:val="00A678A3"/>
    <w:rsid w:val="00A74034"/>
    <w:rsid w:val="00A745C1"/>
    <w:rsid w:val="00A77F87"/>
    <w:rsid w:val="00A80B5B"/>
    <w:rsid w:val="00A84E36"/>
    <w:rsid w:val="00A864A7"/>
    <w:rsid w:val="00A86744"/>
    <w:rsid w:val="00A94172"/>
    <w:rsid w:val="00A964D1"/>
    <w:rsid w:val="00AA0ED0"/>
    <w:rsid w:val="00AC2B40"/>
    <w:rsid w:val="00AC2BB2"/>
    <w:rsid w:val="00AC2C3C"/>
    <w:rsid w:val="00AC512D"/>
    <w:rsid w:val="00AC6D79"/>
    <w:rsid w:val="00AD0083"/>
    <w:rsid w:val="00AD31DA"/>
    <w:rsid w:val="00AD3935"/>
    <w:rsid w:val="00AE38C3"/>
    <w:rsid w:val="00AE65EB"/>
    <w:rsid w:val="00AE67A7"/>
    <w:rsid w:val="00AF1D94"/>
    <w:rsid w:val="00AF2313"/>
    <w:rsid w:val="00AF5A39"/>
    <w:rsid w:val="00AF60C5"/>
    <w:rsid w:val="00B009C6"/>
    <w:rsid w:val="00B01548"/>
    <w:rsid w:val="00B03ACE"/>
    <w:rsid w:val="00B103E1"/>
    <w:rsid w:val="00B130C5"/>
    <w:rsid w:val="00B13EBD"/>
    <w:rsid w:val="00B1406F"/>
    <w:rsid w:val="00B1494C"/>
    <w:rsid w:val="00B21D29"/>
    <w:rsid w:val="00B25034"/>
    <w:rsid w:val="00B30DB0"/>
    <w:rsid w:val="00B33588"/>
    <w:rsid w:val="00B33863"/>
    <w:rsid w:val="00B37D17"/>
    <w:rsid w:val="00B40C00"/>
    <w:rsid w:val="00B4175E"/>
    <w:rsid w:val="00B41C85"/>
    <w:rsid w:val="00B452CE"/>
    <w:rsid w:val="00B45D48"/>
    <w:rsid w:val="00B54C25"/>
    <w:rsid w:val="00B65652"/>
    <w:rsid w:val="00B7548E"/>
    <w:rsid w:val="00B76B91"/>
    <w:rsid w:val="00B771F0"/>
    <w:rsid w:val="00B77EB1"/>
    <w:rsid w:val="00B811C6"/>
    <w:rsid w:val="00B811FF"/>
    <w:rsid w:val="00B855B0"/>
    <w:rsid w:val="00B9097D"/>
    <w:rsid w:val="00B92E08"/>
    <w:rsid w:val="00BB0B78"/>
    <w:rsid w:val="00BB5D8D"/>
    <w:rsid w:val="00BB606A"/>
    <w:rsid w:val="00BB75D6"/>
    <w:rsid w:val="00BC622A"/>
    <w:rsid w:val="00BE0A78"/>
    <w:rsid w:val="00BE1940"/>
    <w:rsid w:val="00BE6542"/>
    <w:rsid w:val="00BE79F0"/>
    <w:rsid w:val="00BF046D"/>
    <w:rsid w:val="00BF1190"/>
    <w:rsid w:val="00BF3774"/>
    <w:rsid w:val="00BF5D04"/>
    <w:rsid w:val="00BF7063"/>
    <w:rsid w:val="00BF7BA4"/>
    <w:rsid w:val="00C009AA"/>
    <w:rsid w:val="00C03812"/>
    <w:rsid w:val="00C065C0"/>
    <w:rsid w:val="00C10788"/>
    <w:rsid w:val="00C1148F"/>
    <w:rsid w:val="00C1164D"/>
    <w:rsid w:val="00C155E0"/>
    <w:rsid w:val="00C16861"/>
    <w:rsid w:val="00C273B3"/>
    <w:rsid w:val="00C34133"/>
    <w:rsid w:val="00C346AB"/>
    <w:rsid w:val="00C404A6"/>
    <w:rsid w:val="00C40A36"/>
    <w:rsid w:val="00C40CAA"/>
    <w:rsid w:val="00C420CC"/>
    <w:rsid w:val="00C42CA3"/>
    <w:rsid w:val="00C44419"/>
    <w:rsid w:val="00C45E7B"/>
    <w:rsid w:val="00C471B1"/>
    <w:rsid w:val="00C501B7"/>
    <w:rsid w:val="00C525A2"/>
    <w:rsid w:val="00C52E24"/>
    <w:rsid w:val="00C53C08"/>
    <w:rsid w:val="00C60D0E"/>
    <w:rsid w:val="00C6316B"/>
    <w:rsid w:val="00C634A9"/>
    <w:rsid w:val="00C64586"/>
    <w:rsid w:val="00C70A36"/>
    <w:rsid w:val="00C70D53"/>
    <w:rsid w:val="00C73D0B"/>
    <w:rsid w:val="00C74F5C"/>
    <w:rsid w:val="00C772FF"/>
    <w:rsid w:val="00C80137"/>
    <w:rsid w:val="00C801AF"/>
    <w:rsid w:val="00C80256"/>
    <w:rsid w:val="00C81592"/>
    <w:rsid w:val="00C86A0A"/>
    <w:rsid w:val="00C9047D"/>
    <w:rsid w:val="00C9192A"/>
    <w:rsid w:val="00C94CD4"/>
    <w:rsid w:val="00C969CA"/>
    <w:rsid w:val="00C9747E"/>
    <w:rsid w:val="00CA2706"/>
    <w:rsid w:val="00CA6D4C"/>
    <w:rsid w:val="00CB101E"/>
    <w:rsid w:val="00CB6BC0"/>
    <w:rsid w:val="00CC110B"/>
    <w:rsid w:val="00CC1B7C"/>
    <w:rsid w:val="00CC32DB"/>
    <w:rsid w:val="00CC5044"/>
    <w:rsid w:val="00CC727F"/>
    <w:rsid w:val="00CE1073"/>
    <w:rsid w:val="00CE26D2"/>
    <w:rsid w:val="00CF15C3"/>
    <w:rsid w:val="00CF2B6F"/>
    <w:rsid w:val="00CF2F3E"/>
    <w:rsid w:val="00CF58B6"/>
    <w:rsid w:val="00CF5DAD"/>
    <w:rsid w:val="00CF6E0E"/>
    <w:rsid w:val="00D0062D"/>
    <w:rsid w:val="00D017ED"/>
    <w:rsid w:val="00D040D3"/>
    <w:rsid w:val="00D04C65"/>
    <w:rsid w:val="00D04F4B"/>
    <w:rsid w:val="00D13AD6"/>
    <w:rsid w:val="00D153D8"/>
    <w:rsid w:val="00D201D2"/>
    <w:rsid w:val="00D212F3"/>
    <w:rsid w:val="00D224FE"/>
    <w:rsid w:val="00D23139"/>
    <w:rsid w:val="00D27291"/>
    <w:rsid w:val="00D344CC"/>
    <w:rsid w:val="00D425BB"/>
    <w:rsid w:val="00D453FA"/>
    <w:rsid w:val="00D56348"/>
    <w:rsid w:val="00D60705"/>
    <w:rsid w:val="00D6190F"/>
    <w:rsid w:val="00D6493E"/>
    <w:rsid w:val="00D7195D"/>
    <w:rsid w:val="00D72CBA"/>
    <w:rsid w:val="00D7301E"/>
    <w:rsid w:val="00D8020B"/>
    <w:rsid w:val="00D82149"/>
    <w:rsid w:val="00D83AE1"/>
    <w:rsid w:val="00D854AC"/>
    <w:rsid w:val="00D855D4"/>
    <w:rsid w:val="00D85CD6"/>
    <w:rsid w:val="00D902C9"/>
    <w:rsid w:val="00D92E34"/>
    <w:rsid w:val="00D93466"/>
    <w:rsid w:val="00DA1124"/>
    <w:rsid w:val="00DA19FA"/>
    <w:rsid w:val="00DA64CB"/>
    <w:rsid w:val="00DB06B8"/>
    <w:rsid w:val="00DB0D42"/>
    <w:rsid w:val="00DB6124"/>
    <w:rsid w:val="00DB750B"/>
    <w:rsid w:val="00DB75B7"/>
    <w:rsid w:val="00DC0A2F"/>
    <w:rsid w:val="00DC1112"/>
    <w:rsid w:val="00DC1948"/>
    <w:rsid w:val="00DC2110"/>
    <w:rsid w:val="00DC60CB"/>
    <w:rsid w:val="00DC6E02"/>
    <w:rsid w:val="00DD2857"/>
    <w:rsid w:val="00DD28CD"/>
    <w:rsid w:val="00DD6293"/>
    <w:rsid w:val="00DE02AE"/>
    <w:rsid w:val="00DE39D1"/>
    <w:rsid w:val="00DE529E"/>
    <w:rsid w:val="00DE7813"/>
    <w:rsid w:val="00DF1D7F"/>
    <w:rsid w:val="00DF4BE4"/>
    <w:rsid w:val="00DF7C6F"/>
    <w:rsid w:val="00E00276"/>
    <w:rsid w:val="00E02382"/>
    <w:rsid w:val="00E02FB4"/>
    <w:rsid w:val="00E0797C"/>
    <w:rsid w:val="00E13FC7"/>
    <w:rsid w:val="00E20571"/>
    <w:rsid w:val="00E235F7"/>
    <w:rsid w:val="00E23659"/>
    <w:rsid w:val="00E239D4"/>
    <w:rsid w:val="00E26130"/>
    <w:rsid w:val="00E33D42"/>
    <w:rsid w:val="00E36FEA"/>
    <w:rsid w:val="00E40B22"/>
    <w:rsid w:val="00E44ED1"/>
    <w:rsid w:val="00E45619"/>
    <w:rsid w:val="00E4588F"/>
    <w:rsid w:val="00E45A69"/>
    <w:rsid w:val="00E46DA3"/>
    <w:rsid w:val="00E47035"/>
    <w:rsid w:val="00E51BB1"/>
    <w:rsid w:val="00E55CB0"/>
    <w:rsid w:val="00E567F7"/>
    <w:rsid w:val="00E576ED"/>
    <w:rsid w:val="00E624A5"/>
    <w:rsid w:val="00E64BA4"/>
    <w:rsid w:val="00E7344E"/>
    <w:rsid w:val="00E734EA"/>
    <w:rsid w:val="00E82665"/>
    <w:rsid w:val="00E85072"/>
    <w:rsid w:val="00E912DF"/>
    <w:rsid w:val="00EA2C0E"/>
    <w:rsid w:val="00EA67E6"/>
    <w:rsid w:val="00EB0798"/>
    <w:rsid w:val="00EB36D6"/>
    <w:rsid w:val="00EB398D"/>
    <w:rsid w:val="00EB40AD"/>
    <w:rsid w:val="00EB586E"/>
    <w:rsid w:val="00EB5FC8"/>
    <w:rsid w:val="00EB734E"/>
    <w:rsid w:val="00EC128F"/>
    <w:rsid w:val="00EC3A88"/>
    <w:rsid w:val="00EC463D"/>
    <w:rsid w:val="00EC7A85"/>
    <w:rsid w:val="00ED2922"/>
    <w:rsid w:val="00ED3CAD"/>
    <w:rsid w:val="00ED5A41"/>
    <w:rsid w:val="00EE1DE8"/>
    <w:rsid w:val="00EE27C2"/>
    <w:rsid w:val="00EF1577"/>
    <w:rsid w:val="00EF4BAD"/>
    <w:rsid w:val="00EF59DC"/>
    <w:rsid w:val="00F004EC"/>
    <w:rsid w:val="00F00F32"/>
    <w:rsid w:val="00F033EC"/>
    <w:rsid w:val="00F04F68"/>
    <w:rsid w:val="00F12670"/>
    <w:rsid w:val="00F14B27"/>
    <w:rsid w:val="00F17F48"/>
    <w:rsid w:val="00F20E26"/>
    <w:rsid w:val="00F24C6B"/>
    <w:rsid w:val="00F3148D"/>
    <w:rsid w:val="00F325C5"/>
    <w:rsid w:val="00F32776"/>
    <w:rsid w:val="00F32FE0"/>
    <w:rsid w:val="00F35298"/>
    <w:rsid w:val="00F37884"/>
    <w:rsid w:val="00F47333"/>
    <w:rsid w:val="00F47E37"/>
    <w:rsid w:val="00F53C07"/>
    <w:rsid w:val="00F53DB3"/>
    <w:rsid w:val="00F54B65"/>
    <w:rsid w:val="00F625C1"/>
    <w:rsid w:val="00F63DBF"/>
    <w:rsid w:val="00F640B6"/>
    <w:rsid w:val="00F66DF2"/>
    <w:rsid w:val="00F733D4"/>
    <w:rsid w:val="00F80410"/>
    <w:rsid w:val="00F80E40"/>
    <w:rsid w:val="00F848D9"/>
    <w:rsid w:val="00F8749C"/>
    <w:rsid w:val="00F91070"/>
    <w:rsid w:val="00F931CE"/>
    <w:rsid w:val="00F976B8"/>
    <w:rsid w:val="00FA4BBA"/>
    <w:rsid w:val="00FA5069"/>
    <w:rsid w:val="00FA5B82"/>
    <w:rsid w:val="00FA639E"/>
    <w:rsid w:val="00FB6AD8"/>
    <w:rsid w:val="00FC131F"/>
    <w:rsid w:val="00FC1FCA"/>
    <w:rsid w:val="00FC25E4"/>
    <w:rsid w:val="00FC4EF7"/>
    <w:rsid w:val="00FD0824"/>
    <w:rsid w:val="00FD119B"/>
    <w:rsid w:val="00FD1EDC"/>
    <w:rsid w:val="00FE1DEE"/>
    <w:rsid w:val="00FE31F2"/>
    <w:rsid w:val="00FE5000"/>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C7BEB"/>
  <w15:docId w15:val="{222392C5-C0A2-4B02-9639-4BFA420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styleId="ListParagraph">
    <w:name w:val="List Paragraph"/>
    <w:basedOn w:val="Normal"/>
    <w:uiPriority w:val="34"/>
    <w:qFormat/>
    <w:rsid w:val="00E576ED"/>
    <w:pPr>
      <w:adjustRightInd w:val="0"/>
      <w:snapToGrid w:val="0"/>
      <w:spacing w:before="0" w:after="0"/>
      <w:ind w:left="720"/>
      <w:contextualSpacing/>
    </w:pPr>
    <w:rPr>
      <w:rFonts w:eastAsia="MS Mincho"/>
      <w:szCs w:val="20"/>
      <w:lang w:eastAsia="ja-JP"/>
    </w:rPr>
  </w:style>
  <w:style w:type="character" w:customStyle="1" w:styleId="TabletextChar">
    <w:name w:val="Table text Char"/>
    <w:basedOn w:val="DefaultParagraphFont"/>
    <w:link w:val="Tabletext"/>
    <w:rsid w:val="009849AC"/>
    <w:rPr>
      <w:rFonts w:ascii="Cambria" w:eastAsia="Cambria" w:hAnsi="Cambria"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335112339">
      <w:bodyDiv w:val="1"/>
      <w:marLeft w:val="0"/>
      <w:marRight w:val="0"/>
      <w:marTop w:val="0"/>
      <w:marBottom w:val="0"/>
      <w:divBdr>
        <w:top w:val="none" w:sz="0" w:space="0" w:color="auto"/>
        <w:left w:val="none" w:sz="0" w:space="0" w:color="auto"/>
        <w:bottom w:val="none" w:sz="0" w:space="0" w:color="auto"/>
        <w:right w:val="none" w:sz="0" w:space="0" w:color="auto"/>
      </w:divBdr>
    </w:div>
    <w:div w:id="635530359">
      <w:bodyDiv w:val="1"/>
      <w:marLeft w:val="0"/>
      <w:marRight w:val="0"/>
      <w:marTop w:val="0"/>
      <w:marBottom w:val="0"/>
      <w:divBdr>
        <w:top w:val="none" w:sz="0" w:space="0" w:color="auto"/>
        <w:left w:val="none" w:sz="0" w:space="0" w:color="auto"/>
        <w:bottom w:val="none" w:sz="0" w:space="0" w:color="auto"/>
        <w:right w:val="none" w:sz="0" w:space="0" w:color="auto"/>
      </w:divBdr>
    </w:div>
    <w:div w:id="815492666">
      <w:bodyDiv w:val="1"/>
      <w:marLeft w:val="0"/>
      <w:marRight w:val="0"/>
      <w:marTop w:val="0"/>
      <w:marBottom w:val="0"/>
      <w:divBdr>
        <w:top w:val="none" w:sz="0" w:space="0" w:color="auto"/>
        <w:left w:val="none" w:sz="0" w:space="0" w:color="auto"/>
        <w:bottom w:val="none" w:sz="0" w:space="0" w:color="auto"/>
        <w:right w:val="none" w:sz="0" w:space="0" w:color="auto"/>
      </w:divBdr>
    </w:div>
    <w:div w:id="1823427051">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 w:id="21276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hyperlink" Target="https://www.tga.gov.au/picmi-search-facility" TargetMode="External"/><Relationship Id="rId26" Type="http://schemas.openxmlformats.org/officeDocument/2006/relationships/hyperlink" Target="https://www.tga.gov.au/tgas-risk-management-approach"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blood.gov.au/system/files/Report-on-the-Issues-and-Use-of-Ig-2017-18%20FINAL.pdf" TargetMode="External"/><Relationship Id="rId25" Type="http://schemas.openxmlformats.org/officeDocument/2006/relationships/hyperlink" Target="https://www.tga.gov.au/publication/risk-management-plans-medicines-and-biologicals" TargetMode="External"/><Relationship Id="rId33" Type="http://schemas.openxmlformats.org/officeDocument/2006/relationships/header" Target="header5.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msac.gov.au/internet/msac/publishing.nsf/Content/2167292B1B5142CDCA25845F0017A84B/$File/1592%20Assessment%20Report.docx" TargetMode="External"/><Relationship Id="rId20" Type="http://schemas.openxmlformats.org/officeDocument/2006/relationships/image" Target="media/image4.emf"/><Relationship Id="rId29" Type="http://schemas.openxmlformats.org/officeDocument/2006/relationships/hyperlink" Target="http://www.tga.gov.au/ws-labs-index"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emf"/><Relationship Id="rId28" Type="http://schemas.openxmlformats.org/officeDocument/2006/relationships/hyperlink" Target="https://www.tga.gov.au/about-tga/advisory-bodies-and-committees/advisory-committee-medicines-acm" TargetMode="External"/><Relationship Id="rId36"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3.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image" Target="media/image6.png"/><Relationship Id="rId27" Type="http://schemas.openxmlformats.org/officeDocument/2006/relationships/hyperlink" Target="https://www.tga.gov.au/about-tga/advisory-bodies-and-committees/advisory-committee-medicines-acm" TargetMode="External"/><Relationship Id="rId30" Type="http://schemas.openxmlformats.org/officeDocument/2006/relationships/hyperlink" Target="https://www.tga.gov.au/picmi-search-facility" TargetMode="External"/><Relationship Id="rId35" Type="http://schemas.openxmlformats.org/officeDocument/2006/relationships/hyperlink" Target="mailto:info@tga.gov.au"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ood.gov.au/ig-criteria" TargetMode="External"/><Relationship Id="rId2" Type="http://schemas.openxmlformats.org/officeDocument/2006/relationships/hyperlink" Target="https://www.blood.gov.au/system/files/Report-on-the-Issues-and-Use-of-Ig-2017-18%20FINAL.pdf" TargetMode="External"/><Relationship Id="rId1" Type="http://schemas.openxmlformats.org/officeDocument/2006/relationships/hyperlink" Target="http://www.msac.gov.au/internet/msac/publishing.nsf/Content/2167292B1B5142CDCA25845F0017A84B/$File/1592%20Assessment%20Report.docx" TargetMode="External"/><Relationship Id="rId4" Type="http://schemas.openxmlformats.org/officeDocument/2006/relationships/hyperlink" Target="https://www.tga.gov.au/resources/resource/international-scientific-guidelines/international-scientific-guideline-guideline-clinical-investigation-human-normal-immunoglobulin-subcutaneous-andor-intramuscular-administration-scigimi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UMMV\AppData\Local\Hewlett-Packard\HP%20TRIM\TEMP\HPTRIM.14720\D22-5542303%20%20AusPAR%20template(3).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41A6-0E33-4D80-ACDB-5045E9A6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D22-5542303  AusPAR template(3).DOTX</Template>
  <TotalTime>92</TotalTime>
  <Pages>38</Pages>
  <Words>14365</Words>
  <Characters>81884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96057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Xembify</dc:title>
  <dc:subject>prescription medicine regulation</dc:subject>
  <dc:creator>Therapeutic Goods Administration</dc:creator>
  <cp:keywords/>
  <cp:lastModifiedBy>PITKIN, Brendan</cp:lastModifiedBy>
  <cp:revision>5</cp:revision>
  <cp:lastPrinted>2019-08-14T04:30:00Z</cp:lastPrinted>
  <dcterms:created xsi:type="dcterms:W3CDTF">2023-01-22T23:18:00Z</dcterms:created>
  <dcterms:modified xsi:type="dcterms:W3CDTF">2023-01-30T03:49:00Z</dcterms:modified>
  <cp:category/>
</cp:coreProperties>
</file>