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6235336" w14:textId="77777777" w:rsidTr="00BF1190">
        <w:trPr>
          <w:trHeight w:val="1863"/>
        </w:trPr>
        <w:tc>
          <w:tcPr>
            <w:tcW w:w="3652" w:type="dxa"/>
            <w:tcBorders>
              <w:top w:val="nil"/>
              <w:left w:val="nil"/>
              <w:bottom w:val="nil"/>
              <w:right w:val="nil"/>
            </w:tcBorders>
          </w:tcPr>
          <w:p w14:paraId="304E47C0" w14:textId="039B7EDE" w:rsidR="008E7846" w:rsidRPr="00096AA7" w:rsidRDefault="006D3715" w:rsidP="00E66A3C">
            <w:pPr>
              <w:pStyle w:val="Date"/>
              <w:framePr w:hSpace="0" w:wrap="auto" w:vAnchor="margin" w:hAnchor="text" w:yAlign="inline"/>
              <w:suppressOverlap w:val="0"/>
            </w:pPr>
            <w:r>
              <w:t>January</w:t>
            </w:r>
            <w:r w:rsidR="00C346AB">
              <w:t xml:space="preserve"> </w:t>
            </w:r>
            <w:r w:rsidR="00C55710">
              <w:t>202</w:t>
            </w:r>
            <w:r>
              <w:t>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12CAA8C" w14:textId="77777777" w:rsidTr="0032583B">
        <w:trPr>
          <w:trHeight w:val="868"/>
        </w:trPr>
        <w:tc>
          <w:tcPr>
            <w:tcW w:w="9079" w:type="dxa"/>
          </w:tcPr>
          <w:p w14:paraId="543C1CE0" w14:textId="6167970D" w:rsidR="0032583B" w:rsidRPr="00A964D1" w:rsidRDefault="0032583B" w:rsidP="00F931CE">
            <w:pPr>
              <w:pStyle w:val="Title"/>
              <w:framePr w:hSpace="0" w:wrap="auto" w:vAnchor="margin" w:yAlign="inline"/>
            </w:pPr>
            <w:r w:rsidRPr="00A964D1">
              <w:t>Australian Public Assessment Report for</w:t>
            </w:r>
            <w:r w:rsidR="00AF2313">
              <w:t xml:space="preserve"> </w:t>
            </w:r>
            <w:r w:rsidR="006D5BD0">
              <w:t>E</w:t>
            </w:r>
            <w:r w:rsidR="00C55710">
              <w:t>vusheld</w:t>
            </w:r>
          </w:p>
        </w:tc>
      </w:tr>
      <w:tr w:rsidR="0032583B" w:rsidRPr="00B64760" w14:paraId="557A99D9" w14:textId="77777777" w:rsidTr="0032583B">
        <w:tc>
          <w:tcPr>
            <w:tcW w:w="9079" w:type="dxa"/>
          </w:tcPr>
          <w:p w14:paraId="49978949" w14:textId="54A81E79" w:rsidR="0032583B" w:rsidRPr="008E7846" w:rsidRDefault="00BB75D6" w:rsidP="00F931CE">
            <w:pPr>
              <w:pStyle w:val="Subtitle"/>
              <w:framePr w:hSpace="0" w:wrap="auto" w:vAnchor="margin" w:yAlign="inline"/>
            </w:pPr>
            <w:r>
              <w:t>Active ingredients</w:t>
            </w:r>
            <w:r w:rsidR="0032583B" w:rsidRPr="008E7846">
              <w:t xml:space="preserve">: </w:t>
            </w:r>
            <w:r w:rsidR="00C55710">
              <w:t>T</w:t>
            </w:r>
            <w:r w:rsidR="00C55710" w:rsidRPr="00C55710">
              <w:t>ixagevimab and cilgavimab</w:t>
            </w:r>
          </w:p>
        </w:tc>
      </w:tr>
      <w:tr w:rsidR="0032583B" w:rsidRPr="00B64760" w14:paraId="7F0BF0CC" w14:textId="77777777" w:rsidTr="0032583B">
        <w:trPr>
          <w:trHeight w:val="486"/>
        </w:trPr>
        <w:tc>
          <w:tcPr>
            <w:tcW w:w="9079" w:type="dxa"/>
          </w:tcPr>
          <w:p w14:paraId="5B6CFBFD" w14:textId="744ED71D" w:rsidR="0032583B" w:rsidRPr="008E7846" w:rsidRDefault="00460036" w:rsidP="009556D7">
            <w:pPr>
              <w:pStyle w:val="Subtitle"/>
              <w:framePr w:hSpace="0" w:wrap="auto" w:vAnchor="margin" w:yAlign="inline"/>
            </w:pPr>
            <w:r>
              <w:t>Sponsor:</w:t>
            </w:r>
            <w:r w:rsidR="00C55710">
              <w:t xml:space="preserve"> </w:t>
            </w:r>
            <w:r w:rsidR="00C55710" w:rsidRPr="00C55710">
              <w:t>AstraZeneca Pty Ltd</w:t>
            </w:r>
          </w:p>
        </w:tc>
      </w:tr>
    </w:tbl>
    <w:p w14:paraId="0821C4CA" w14:textId="77777777" w:rsidR="008E7846" w:rsidRPr="0085156D" w:rsidRDefault="008E7846" w:rsidP="0085156D">
      <w:r w:rsidRPr="0085156D">
        <w:br w:type="page"/>
      </w:r>
    </w:p>
    <w:p w14:paraId="12872478" w14:textId="77777777" w:rsidR="008E7846" w:rsidRPr="001F6CBA" w:rsidRDefault="008E7846" w:rsidP="008E7846">
      <w:pPr>
        <w:pStyle w:val="NonTOCHeading2"/>
      </w:pPr>
      <w:r w:rsidRPr="001F6CBA">
        <w:lastRenderedPageBreak/>
        <w:t>About the Therapeutic Goods Administration (TGA)</w:t>
      </w:r>
    </w:p>
    <w:p w14:paraId="658ED414"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336ADDDB"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25CDE530"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66DE38FA"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63CC727" w14:textId="02C0AFC3"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13" w:history="1">
        <w:r w:rsidRPr="000F15B4">
          <w:rPr>
            <w:rStyle w:val="Hyperlink"/>
          </w:rPr>
          <w:t>TGA website</w:t>
        </w:r>
      </w:hyperlink>
      <w:r w:rsidRPr="003C6D1F">
        <w:t>.</w:t>
      </w:r>
    </w:p>
    <w:p w14:paraId="14B1186F" w14:textId="77777777" w:rsidR="008E7846" w:rsidRDefault="008E7846" w:rsidP="00875A6B">
      <w:pPr>
        <w:pStyle w:val="NonTOCHeading2"/>
      </w:pPr>
      <w:r>
        <w:t xml:space="preserve">About </w:t>
      </w:r>
      <w:proofErr w:type="spellStart"/>
      <w:r>
        <w:t>AusPARs</w:t>
      </w:r>
      <w:proofErr w:type="spellEnd"/>
    </w:p>
    <w:p w14:paraId="69031823" w14:textId="35236C49"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4"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36C1F14C"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4952D0BE"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091EE497"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013426FD" w14:textId="77777777" w:rsidR="00924482" w:rsidRPr="00DF1D7F" w:rsidRDefault="00924482" w:rsidP="00F54B65">
      <w:pPr>
        <w:pStyle w:val="LegalSubheading"/>
        <w:spacing w:before="3120"/>
      </w:pPr>
      <w:r w:rsidRPr="00DF1D7F">
        <w:t>Copyright</w:t>
      </w:r>
    </w:p>
    <w:p w14:paraId="48C858E1" w14:textId="6F68FD89"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6D3715">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5" w:history="1">
        <w:r w:rsidRPr="00191B3B">
          <w:rPr>
            <w:rStyle w:val="Hyperlink"/>
            <w:rFonts w:cs="Arial"/>
            <w:lang w:val="en-GB"/>
          </w:rPr>
          <w:t>tga.copyright@tga.gov.au</w:t>
        </w:r>
      </w:hyperlink>
      <w:r w:rsidRPr="00191B3B">
        <w:rPr>
          <w:rFonts w:cs="Arial"/>
        </w:rPr>
        <w:t>&gt;.</w:t>
      </w:r>
    </w:p>
    <w:p w14:paraId="49068695" w14:textId="77777777"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1A65D514" w14:textId="77777777" w:rsidR="0089635C" w:rsidRPr="0089635C" w:rsidRDefault="0089635C" w:rsidP="0010788A">
          <w:pPr>
            <w:pStyle w:val="Contents"/>
          </w:pPr>
          <w:r w:rsidRPr="0010788A">
            <w:t>Contents</w:t>
          </w:r>
        </w:p>
        <w:p w14:paraId="663741CD" w14:textId="0A436145" w:rsidR="008D61A2"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2596070" w:history="1">
            <w:r w:rsidR="008D61A2" w:rsidRPr="008868FC">
              <w:rPr>
                <w:rStyle w:val="Hyperlink"/>
                <w:noProof/>
              </w:rPr>
              <w:t>List of abbreviations</w:t>
            </w:r>
            <w:r w:rsidR="008D61A2">
              <w:rPr>
                <w:noProof/>
                <w:webHidden/>
              </w:rPr>
              <w:tab/>
            </w:r>
            <w:r w:rsidR="008D61A2">
              <w:rPr>
                <w:noProof/>
                <w:webHidden/>
              </w:rPr>
              <w:fldChar w:fldCharType="begin"/>
            </w:r>
            <w:r w:rsidR="008D61A2">
              <w:rPr>
                <w:noProof/>
                <w:webHidden/>
              </w:rPr>
              <w:instrText xml:space="preserve"> PAGEREF _Toc122596070 \h </w:instrText>
            </w:r>
            <w:r w:rsidR="008D61A2">
              <w:rPr>
                <w:noProof/>
                <w:webHidden/>
              </w:rPr>
            </w:r>
            <w:r w:rsidR="008D61A2">
              <w:rPr>
                <w:noProof/>
                <w:webHidden/>
              </w:rPr>
              <w:fldChar w:fldCharType="separate"/>
            </w:r>
            <w:r w:rsidR="005E1B9B">
              <w:rPr>
                <w:noProof/>
                <w:webHidden/>
              </w:rPr>
              <w:t>4</w:t>
            </w:r>
            <w:r w:rsidR="008D61A2">
              <w:rPr>
                <w:noProof/>
                <w:webHidden/>
              </w:rPr>
              <w:fldChar w:fldCharType="end"/>
            </w:r>
          </w:hyperlink>
        </w:p>
        <w:p w14:paraId="70E43E12" w14:textId="0829EA9C" w:rsidR="008D61A2" w:rsidRDefault="005E1B9B">
          <w:pPr>
            <w:pStyle w:val="TOC1"/>
            <w:rPr>
              <w:rFonts w:asciiTheme="minorHAnsi" w:eastAsiaTheme="minorEastAsia" w:hAnsiTheme="minorHAnsi" w:cstheme="minorBidi"/>
              <w:b w:val="0"/>
              <w:noProof/>
              <w:sz w:val="22"/>
              <w:lang w:eastAsia="en-AU"/>
            </w:rPr>
          </w:pPr>
          <w:hyperlink w:anchor="_Toc122596071" w:history="1">
            <w:r w:rsidR="008D61A2" w:rsidRPr="008868FC">
              <w:rPr>
                <w:rStyle w:val="Hyperlink"/>
                <w:noProof/>
              </w:rPr>
              <w:t>Product submission</w:t>
            </w:r>
            <w:r w:rsidR="008D61A2">
              <w:rPr>
                <w:noProof/>
                <w:webHidden/>
              </w:rPr>
              <w:tab/>
            </w:r>
            <w:r w:rsidR="008D61A2">
              <w:rPr>
                <w:noProof/>
                <w:webHidden/>
              </w:rPr>
              <w:fldChar w:fldCharType="begin"/>
            </w:r>
            <w:r w:rsidR="008D61A2">
              <w:rPr>
                <w:noProof/>
                <w:webHidden/>
              </w:rPr>
              <w:instrText xml:space="preserve"> PAGEREF _Toc122596071 \h </w:instrText>
            </w:r>
            <w:r w:rsidR="008D61A2">
              <w:rPr>
                <w:noProof/>
                <w:webHidden/>
              </w:rPr>
            </w:r>
            <w:r w:rsidR="008D61A2">
              <w:rPr>
                <w:noProof/>
                <w:webHidden/>
              </w:rPr>
              <w:fldChar w:fldCharType="separate"/>
            </w:r>
            <w:r>
              <w:rPr>
                <w:noProof/>
                <w:webHidden/>
              </w:rPr>
              <w:t>6</w:t>
            </w:r>
            <w:r w:rsidR="008D61A2">
              <w:rPr>
                <w:noProof/>
                <w:webHidden/>
              </w:rPr>
              <w:fldChar w:fldCharType="end"/>
            </w:r>
          </w:hyperlink>
        </w:p>
        <w:p w14:paraId="7F2E2841" w14:textId="49A7BEA4" w:rsidR="008D61A2" w:rsidRDefault="005E1B9B">
          <w:pPr>
            <w:pStyle w:val="TOC2"/>
            <w:rPr>
              <w:rFonts w:asciiTheme="minorHAnsi" w:eastAsiaTheme="minorEastAsia" w:hAnsiTheme="minorHAnsi" w:cstheme="minorBidi"/>
              <w:b w:val="0"/>
              <w:noProof/>
              <w:sz w:val="22"/>
              <w:lang w:eastAsia="en-AU"/>
            </w:rPr>
          </w:pPr>
          <w:hyperlink w:anchor="_Toc122596072" w:history="1">
            <w:r w:rsidR="008D61A2" w:rsidRPr="008868FC">
              <w:rPr>
                <w:rStyle w:val="Hyperlink"/>
                <w:noProof/>
                <w:lang w:eastAsia="en-AU"/>
              </w:rPr>
              <w:t>Submission details</w:t>
            </w:r>
            <w:r w:rsidR="008D61A2">
              <w:rPr>
                <w:noProof/>
                <w:webHidden/>
              </w:rPr>
              <w:tab/>
            </w:r>
            <w:r w:rsidR="008D61A2">
              <w:rPr>
                <w:noProof/>
                <w:webHidden/>
              </w:rPr>
              <w:fldChar w:fldCharType="begin"/>
            </w:r>
            <w:r w:rsidR="008D61A2">
              <w:rPr>
                <w:noProof/>
                <w:webHidden/>
              </w:rPr>
              <w:instrText xml:space="preserve"> PAGEREF _Toc122596072 \h </w:instrText>
            </w:r>
            <w:r w:rsidR="008D61A2">
              <w:rPr>
                <w:noProof/>
                <w:webHidden/>
              </w:rPr>
            </w:r>
            <w:r w:rsidR="008D61A2">
              <w:rPr>
                <w:noProof/>
                <w:webHidden/>
              </w:rPr>
              <w:fldChar w:fldCharType="separate"/>
            </w:r>
            <w:r>
              <w:rPr>
                <w:noProof/>
                <w:webHidden/>
              </w:rPr>
              <w:t>6</w:t>
            </w:r>
            <w:r w:rsidR="008D61A2">
              <w:rPr>
                <w:noProof/>
                <w:webHidden/>
              </w:rPr>
              <w:fldChar w:fldCharType="end"/>
            </w:r>
          </w:hyperlink>
        </w:p>
        <w:p w14:paraId="28CB3F39" w14:textId="06743D76" w:rsidR="008D61A2" w:rsidRDefault="005E1B9B">
          <w:pPr>
            <w:pStyle w:val="TOC2"/>
            <w:rPr>
              <w:rFonts w:asciiTheme="minorHAnsi" w:eastAsiaTheme="minorEastAsia" w:hAnsiTheme="minorHAnsi" w:cstheme="minorBidi"/>
              <w:b w:val="0"/>
              <w:noProof/>
              <w:sz w:val="22"/>
              <w:lang w:eastAsia="en-AU"/>
            </w:rPr>
          </w:pPr>
          <w:hyperlink w:anchor="_Toc122596073" w:history="1">
            <w:r w:rsidR="008D61A2" w:rsidRPr="008868FC">
              <w:rPr>
                <w:rStyle w:val="Hyperlink"/>
                <w:noProof/>
              </w:rPr>
              <w:t>Product background</w:t>
            </w:r>
            <w:r w:rsidR="008D61A2">
              <w:rPr>
                <w:noProof/>
                <w:webHidden/>
              </w:rPr>
              <w:tab/>
            </w:r>
            <w:r w:rsidR="008D61A2">
              <w:rPr>
                <w:noProof/>
                <w:webHidden/>
              </w:rPr>
              <w:fldChar w:fldCharType="begin"/>
            </w:r>
            <w:r w:rsidR="008D61A2">
              <w:rPr>
                <w:noProof/>
                <w:webHidden/>
              </w:rPr>
              <w:instrText xml:space="preserve"> PAGEREF _Toc122596073 \h </w:instrText>
            </w:r>
            <w:r w:rsidR="008D61A2">
              <w:rPr>
                <w:noProof/>
                <w:webHidden/>
              </w:rPr>
            </w:r>
            <w:r w:rsidR="008D61A2">
              <w:rPr>
                <w:noProof/>
                <w:webHidden/>
              </w:rPr>
              <w:fldChar w:fldCharType="separate"/>
            </w:r>
            <w:r>
              <w:rPr>
                <w:noProof/>
                <w:webHidden/>
              </w:rPr>
              <w:t>8</w:t>
            </w:r>
            <w:r w:rsidR="008D61A2">
              <w:rPr>
                <w:noProof/>
                <w:webHidden/>
              </w:rPr>
              <w:fldChar w:fldCharType="end"/>
            </w:r>
          </w:hyperlink>
        </w:p>
        <w:p w14:paraId="1845400E" w14:textId="136A069F" w:rsidR="008D61A2" w:rsidRDefault="005E1B9B">
          <w:pPr>
            <w:pStyle w:val="TOC2"/>
            <w:rPr>
              <w:rFonts w:asciiTheme="minorHAnsi" w:eastAsiaTheme="minorEastAsia" w:hAnsiTheme="minorHAnsi" w:cstheme="minorBidi"/>
              <w:b w:val="0"/>
              <w:noProof/>
              <w:sz w:val="22"/>
              <w:lang w:eastAsia="en-AU"/>
            </w:rPr>
          </w:pPr>
          <w:hyperlink w:anchor="_Toc122596074" w:history="1">
            <w:r w:rsidR="008D61A2" w:rsidRPr="008868FC">
              <w:rPr>
                <w:rStyle w:val="Hyperlink"/>
                <w:noProof/>
              </w:rPr>
              <w:t>Regulatory status</w:t>
            </w:r>
            <w:r w:rsidR="008D61A2">
              <w:rPr>
                <w:noProof/>
                <w:webHidden/>
              </w:rPr>
              <w:tab/>
            </w:r>
            <w:r w:rsidR="008D61A2">
              <w:rPr>
                <w:noProof/>
                <w:webHidden/>
              </w:rPr>
              <w:fldChar w:fldCharType="begin"/>
            </w:r>
            <w:r w:rsidR="008D61A2">
              <w:rPr>
                <w:noProof/>
                <w:webHidden/>
              </w:rPr>
              <w:instrText xml:space="preserve"> PAGEREF _Toc122596074 \h </w:instrText>
            </w:r>
            <w:r w:rsidR="008D61A2">
              <w:rPr>
                <w:noProof/>
                <w:webHidden/>
              </w:rPr>
            </w:r>
            <w:r w:rsidR="008D61A2">
              <w:rPr>
                <w:noProof/>
                <w:webHidden/>
              </w:rPr>
              <w:fldChar w:fldCharType="separate"/>
            </w:r>
            <w:r>
              <w:rPr>
                <w:noProof/>
                <w:webHidden/>
              </w:rPr>
              <w:t>12</w:t>
            </w:r>
            <w:r w:rsidR="008D61A2">
              <w:rPr>
                <w:noProof/>
                <w:webHidden/>
              </w:rPr>
              <w:fldChar w:fldCharType="end"/>
            </w:r>
          </w:hyperlink>
        </w:p>
        <w:p w14:paraId="33B72477" w14:textId="3D57D600" w:rsidR="008D61A2" w:rsidRDefault="005E1B9B">
          <w:pPr>
            <w:pStyle w:val="TOC2"/>
            <w:rPr>
              <w:rFonts w:asciiTheme="minorHAnsi" w:eastAsiaTheme="minorEastAsia" w:hAnsiTheme="minorHAnsi" w:cstheme="minorBidi"/>
              <w:b w:val="0"/>
              <w:noProof/>
              <w:sz w:val="22"/>
              <w:lang w:eastAsia="en-AU"/>
            </w:rPr>
          </w:pPr>
          <w:hyperlink w:anchor="_Toc122596075" w:history="1">
            <w:r w:rsidR="008D61A2" w:rsidRPr="008868FC">
              <w:rPr>
                <w:rStyle w:val="Hyperlink"/>
                <w:noProof/>
              </w:rPr>
              <w:t>Product Information</w:t>
            </w:r>
            <w:r w:rsidR="008D61A2">
              <w:rPr>
                <w:noProof/>
                <w:webHidden/>
              </w:rPr>
              <w:tab/>
            </w:r>
            <w:r w:rsidR="008D61A2">
              <w:rPr>
                <w:noProof/>
                <w:webHidden/>
              </w:rPr>
              <w:fldChar w:fldCharType="begin"/>
            </w:r>
            <w:r w:rsidR="008D61A2">
              <w:rPr>
                <w:noProof/>
                <w:webHidden/>
              </w:rPr>
              <w:instrText xml:space="preserve"> PAGEREF _Toc122596075 \h </w:instrText>
            </w:r>
            <w:r w:rsidR="008D61A2">
              <w:rPr>
                <w:noProof/>
                <w:webHidden/>
              </w:rPr>
            </w:r>
            <w:r w:rsidR="008D61A2">
              <w:rPr>
                <w:noProof/>
                <w:webHidden/>
              </w:rPr>
              <w:fldChar w:fldCharType="separate"/>
            </w:r>
            <w:r>
              <w:rPr>
                <w:noProof/>
                <w:webHidden/>
              </w:rPr>
              <w:t>14</w:t>
            </w:r>
            <w:r w:rsidR="008D61A2">
              <w:rPr>
                <w:noProof/>
                <w:webHidden/>
              </w:rPr>
              <w:fldChar w:fldCharType="end"/>
            </w:r>
          </w:hyperlink>
        </w:p>
        <w:p w14:paraId="13FEB8BB" w14:textId="29D8EAF3" w:rsidR="008D61A2" w:rsidRDefault="005E1B9B">
          <w:pPr>
            <w:pStyle w:val="TOC1"/>
            <w:rPr>
              <w:rFonts w:asciiTheme="minorHAnsi" w:eastAsiaTheme="minorEastAsia" w:hAnsiTheme="minorHAnsi" w:cstheme="minorBidi"/>
              <w:b w:val="0"/>
              <w:noProof/>
              <w:sz w:val="22"/>
              <w:lang w:eastAsia="en-AU"/>
            </w:rPr>
          </w:pPr>
          <w:hyperlink w:anchor="_Toc122596076" w:history="1">
            <w:r w:rsidR="008D61A2" w:rsidRPr="008868FC">
              <w:rPr>
                <w:rStyle w:val="Hyperlink"/>
                <w:noProof/>
              </w:rPr>
              <w:t>Registration timeline</w:t>
            </w:r>
            <w:r w:rsidR="008D61A2">
              <w:rPr>
                <w:noProof/>
                <w:webHidden/>
              </w:rPr>
              <w:tab/>
            </w:r>
            <w:r w:rsidR="008D61A2">
              <w:rPr>
                <w:noProof/>
                <w:webHidden/>
              </w:rPr>
              <w:fldChar w:fldCharType="begin"/>
            </w:r>
            <w:r w:rsidR="008D61A2">
              <w:rPr>
                <w:noProof/>
                <w:webHidden/>
              </w:rPr>
              <w:instrText xml:space="preserve"> PAGEREF _Toc122596076 \h </w:instrText>
            </w:r>
            <w:r w:rsidR="008D61A2">
              <w:rPr>
                <w:noProof/>
                <w:webHidden/>
              </w:rPr>
            </w:r>
            <w:r w:rsidR="008D61A2">
              <w:rPr>
                <w:noProof/>
                <w:webHidden/>
              </w:rPr>
              <w:fldChar w:fldCharType="separate"/>
            </w:r>
            <w:r>
              <w:rPr>
                <w:noProof/>
                <w:webHidden/>
              </w:rPr>
              <w:t>14</w:t>
            </w:r>
            <w:r w:rsidR="008D61A2">
              <w:rPr>
                <w:noProof/>
                <w:webHidden/>
              </w:rPr>
              <w:fldChar w:fldCharType="end"/>
            </w:r>
          </w:hyperlink>
        </w:p>
        <w:p w14:paraId="2E01AD0F" w14:textId="6E1276CE" w:rsidR="008D61A2" w:rsidRDefault="005E1B9B">
          <w:pPr>
            <w:pStyle w:val="TOC1"/>
            <w:rPr>
              <w:rFonts w:asciiTheme="minorHAnsi" w:eastAsiaTheme="minorEastAsia" w:hAnsiTheme="minorHAnsi" w:cstheme="minorBidi"/>
              <w:b w:val="0"/>
              <w:noProof/>
              <w:sz w:val="22"/>
              <w:lang w:eastAsia="en-AU"/>
            </w:rPr>
          </w:pPr>
          <w:hyperlink w:anchor="_Toc122596077" w:history="1">
            <w:r w:rsidR="008D61A2" w:rsidRPr="008868FC">
              <w:rPr>
                <w:rStyle w:val="Hyperlink"/>
                <w:noProof/>
              </w:rPr>
              <w:t>Submission overview and risk/benefit assessment</w:t>
            </w:r>
            <w:r w:rsidR="008D61A2">
              <w:rPr>
                <w:noProof/>
                <w:webHidden/>
              </w:rPr>
              <w:tab/>
            </w:r>
            <w:r w:rsidR="008D61A2">
              <w:rPr>
                <w:noProof/>
                <w:webHidden/>
              </w:rPr>
              <w:fldChar w:fldCharType="begin"/>
            </w:r>
            <w:r w:rsidR="008D61A2">
              <w:rPr>
                <w:noProof/>
                <w:webHidden/>
              </w:rPr>
              <w:instrText xml:space="preserve"> PAGEREF _Toc122596077 \h </w:instrText>
            </w:r>
            <w:r w:rsidR="008D61A2">
              <w:rPr>
                <w:noProof/>
                <w:webHidden/>
              </w:rPr>
            </w:r>
            <w:r w:rsidR="008D61A2">
              <w:rPr>
                <w:noProof/>
                <w:webHidden/>
              </w:rPr>
              <w:fldChar w:fldCharType="separate"/>
            </w:r>
            <w:r>
              <w:rPr>
                <w:noProof/>
                <w:webHidden/>
              </w:rPr>
              <w:t>15</w:t>
            </w:r>
            <w:r w:rsidR="008D61A2">
              <w:rPr>
                <w:noProof/>
                <w:webHidden/>
              </w:rPr>
              <w:fldChar w:fldCharType="end"/>
            </w:r>
          </w:hyperlink>
        </w:p>
        <w:p w14:paraId="1158EB19" w14:textId="378C5796" w:rsidR="008D61A2" w:rsidRDefault="005E1B9B">
          <w:pPr>
            <w:pStyle w:val="TOC2"/>
            <w:rPr>
              <w:rFonts w:asciiTheme="minorHAnsi" w:eastAsiaTheme="minorEastAsia" w:hAnsiTheme="minorHAnsi" w:cstheme="minorBidi"/>
              <w:b w:val="0"/>
              <w:noProof/>
              <w:sz w:val="22"/>
              <w:lang w:eastAsia="en-AU"/>
            </w:rPr>
          </w:pPr>
          <w:hyperlink w:anchor="_Toc122596078" w:history="1">
            <w:r w:rsidR="008D61A2" w:rsidRPr="008868FC">
              <w:rPr>
                <w:rStyle w:val="Hyperlink"/>
                <w:noProof/>
              </w:rPr>
              <w:t>Quality</w:t>
            </w:r>
            <w:r w:rsidR="008D61A2">
              <w:rPr>
                <w:noProof/>
                <w:webHidden/>
              </w:rPr>
              <w:tab/>
            </w:r>
            <w:r w:rsidR="008D61A2">
              <w:rPr>
                <w:noProof/>
                <w:webHidden/>
              </w:rPr>
              <w:fldChar w:fldCharType="begin"/>
            </w:r>
            <w:r w:rsidR="008D61A2">
              <w:rPr>
                <w:noProof/>
                <w:webHidden/>
              </w:rPr>
              <w:instrText xml:space="preserve"> PAGEREF _Toc122596078 \h </w:instrText>
            </w:r>
            <w:r w:rsidR="008D61A2">
              <w:rPr>
                <w:noProof/>
                <w:webHidden/>
              </w:rPr>
            </w:r>
            <w:r w:rsidR="008D61A2">
              <w:rPr>
                <w:noProof/>
                <w:webHidden/>
              </w:rPr>
              <w:fldChar w:fldCharType="separate"/>
            </w:r>
            <w:r>
              <w:rPr>
                <w:noProof/>
                <w:webHidden/>
              </w:rPr>
              <w:t>15</w:t>
            </w:r>
            <w:r w:rsidR="008D61A2">
              <w:rPr>
                <w:noProof/>
                <w:webHidden/>
              </w:rPr>
              <w:fldChar w:fldCharType="end"/>
            </w:r>
          </w:hyperlink>
        </w:p>
        <w:p w14:paraId="1B3FDEF9" w14:textId="0D9C3E96" w:rsidR="008D61A2" w:rsidRDefault="005E1B9B">
          <w:pPr>
            <w:pStyle w:val="TOC2"/>
            <w:rPr>
              <w:rFonts w:asciiTheme="minorHAnsi" w:eastAsiaTheme="minorEastAsia" w:hAnsiTheme="minorHAnsi" w:cstheme="minorBidi"/>
              <w:b w:val="0"/>
              <w:noProof/>
              <w:sz w:val="22"/>
              <w:lang w:eastAsia="en-AU"/>
            </w:rPr>
          </w:pPr>
          <w:hyperlink w:anchor="_Toc122596079" w:history="1">
            <w:r w:rsidR="008D61A2" w:rsidRPr="008868FC">
              <w:rPr>
                <w:rStyle w:val="Hyperlink"/>
                <w:noProof/>
              </w:rPr>
              <w:t>Nonclinical</w:t>
            </w:r>
            <w:r w:rsidR="008D61A2">
              <w:rPr>
                <w:noProof/>
                <w:webHidden/>
              </w:rPr>
              <w:tab/>
            </w:r>
            <w:r w:rsidR="008D61A2">
              <w:rPr>
                <w:noProof/>
                <w:webHidden/>
              </w:rPr>
              <w:fldChar w:fldCharType="begin"/>
            </w:r>
            <w:r w:rsidR="008D61A2">
              <w:rPr>
                <w:noProof/>
                <w:webHidden/>
              </w:rPr>
              <w:instrText xml:space="preserve"> PAGEREF _Toc122596079 \h </w:instrText>
            </w:r>
            <w:r w:rsidR="008D61A2">
              <w:rPr>
                <w:noProof/>
                <w:webHidden/>
              </w:rPr>
            </w:r>
            <w:r w:rsidR="008D61A2">
              <w:rPr>
                <w:noProof/>
                <w:webHidden/>
              </w:rPr>
              <w:fldChar w:fldCharType="separate"/>
            </w:r>
            <w:r>
              <w:rPr>
                <w:noProof/>
                <w:webHidden/>
              </w:rPr>
              <w:t>15</w:t>
            </w:r>
            <w:r w:rsidR="008D61A2">
              <w:rPr>
                <w:noProof/>
                <w:webHidden/>
              </w:rPr>
              <w:fldChar w:fldCharType="end"/>
            </w:r>
          </w:hyperlink>
        </w:p>
        <w:p w14:paraId="7C59B578" w14:textId="7E89F864" w:rsidR="008D61A2" w:rsidRDefault="005E1B9B">
          <w:pPr>
            <w:pStyle w:val="TOC2"/>
            <w:rPr>
              <w:rFonts w:asciiTheme="minorHAnsi" w:eastAsiaTheme="minorEastAsia" w:hAnsiTheme="minorHAnsi" w:cstheme="minorBidi"/>
              <w:b w:val="0"/>
              <w:noProof/>
              <w:sz w:val="22"/>
              <w:lang w:eastAsia="en-AU"/>
            </w:rPr>
          </w:pPr>
          <w:hyperlink w:anchor="_Toc122596080" w:history="1">
            <w:r w:rsidR="008D61A2" w:rsidRPr="008868FC">
              <w:rPr>
                <w:rStyle w:val="Hyperlink"/>
                <w:noProof/>
              </w:rPr>
              <w:t>Clinical</w:t>
            </w:r>
            <w:r w:rsidR="008D61A2">
              <w:rPr>
                <w:noProof/>
                <w:webHidden/>
              </w:rPr>
              <w:tab/>
            </w:r>
            <w:r w:rsidR="008D61A2">
              <w:rPr>
                <w:noProof/>
                <w:webHidden/>
              </w:rPr>
              <w:fldChar w:fldCharType="begin"/>
            </w:r>
            <w:r w:rsidR="008D61A2">
              <w:rPr>
                <w:noProof/>
                <w:webHidden/>
              </w:rPr>
              <w:instrText xml:space="preserve"> PAGEREF _Toc122596080 \h </w:instrText>
            </w:r>
            <w:r w:rsidR="008D61A2">
              <w:rPr>
                <w:noProof/>
                <w:webHidden/>
              </w:rPr>
            </w:r>
            <w:r w:rsidR="008D61A2">
              <w:rPr>
                <w:noProof/>
                <w:webHidden/>
              </w:rPr>
              <w:fldChar w:fldCharType="separate"/>
            </w:r>
            <w:r>
              <w:rPr>
                <w:noProof/>
                <w:webHidden/>
              </w:rPr>
              <w:t>17</w:t>
            </w:r>
            <w:r w:rsidR="008D61A2">
              <w:rPr>
                <w:noProof/>
                <w:webHidden/>
              </w:rPr>
              <w:fldChar w:fldCharType="end"/>
            </w:r>
          </w:hyperlink>
        </w:p>
        <w:p w14:paraId="1893B395" w14:textId="3BDA2B74" w:rsidR="008D61A2" w:rsidRDefault="005E1B9B">
          <w:pPr>
            <w:pStyle w:val="TOC2"/>
            <w:rPr>
              <w:rFonts w:asciiTheme="minorHAnsi" w:eastAsiaTheme="minorEastAsia" w:hAnsiTheme="minorHAnsi" w:cstheme="minorBidi"/>
              <w:b w:val="0"/>
              <w:noProof/>
              <w:sz w:val="22"/>
              <w:lang w:eastAsia="en-AU"/>
            </w:rPr>
          </w:pPr>
          <w:hyperlink w:anchor="_Toc122596081" w:history="1">
            <w:r w:rsidR="008D61A2" w:rsidRPr="008868FC">
              <w:rPr>
                <w:rStyle w:val="Hyperlink"/>
                <w:noProof/>
                <w:lang w:eastAsia="en-AU"/>
              </w:rPr>
              <w:t>Risk management plan</w:t>
            </w:r>
            <w:r w:rsidR="008D61A2">
              <w:rPr>
                <w:noProof/>
                <w:webHidden/>
              </w:rPr>
              <w:tab/>
            </w:r>
            <w:r w:rsidR="008D61A2">
              <w:rPr>
                <w:noProof/>
                <w:webHidden/>
              </w:rPr>
              <w:fldChar w:fldCharType="begin"/>
            </w:r>
            <w:r w:rsidR="008D61A2">
              <w:rPr>
                <w:noProof/>
                <w:webHidden/>
              </w:rPr>
              <w:instrText xml:space="preserve"> PAGEREF _Toc122596081 \h </w:instrText>
            </w:r>
            <w:r w:rsidR="008D61A2">
              <w:rPr>
                <w:noProof/>
                <w:webHidden/>
              </w:rPr>
            </w:r>
            <w:r w:rsidR="008D61A2">
              <w:rPr>
                <w:noProof/>
                <w:webHidden/>
              </w:rPr>
              <w:fldChar w:fldCharType="separate"/>
            </w:r>
            <w:r>
              <w:rPr>
                <w:noProof/>
                <w:webHidden/>
              </w:rPr>
              <w:t>44</w:t>
            </w:r>
            <w:r w:rsidR="008D61A2">
              <w:rPr>
                <w:noProof/>
                <w:webHidden/>
              </w:rPr>
              <w:fldChar w:fldCharType="end"/>
            </w:r>
          </w:hyperlink>
        </w:p>
        <w:p w14:paraId="755D1FAF" w14:textId="6F1E5D99" w:rsidR="008D61A2" w:rsidRDefault="005E1B9B">
          <w:pPr>
            <w:pStyle w:val="TOC2"/>
            <w:rPr>
              <w:rFonts w:asciiTheme="minorHAnsi" w:eastAsiaTheme="minorEastAsia" w:hAnsiTheme="minorHAnsi" w:cstheme="minorBidi"/>
              <w:b w:val="0"/>
              <w:noProof/>
              <w:sz w:val="22"/>
              <w:lang w:eastAsia="en-AU"/>
            </w:rPr>
          </w:pPr>
          <w:hyperlink w:anchor="_Toc122596082" w:history="1">
            <w:r w:rsidR="008D61A2" w:rsidRPr="008868FC">
              <w:rPr>
                <w:rStyle w:val="Hyperlink"/>
                <w:noProof/>
              </w:rPr>
              <w:t>Risk-benefit analysis</w:t>
            </w:r>
            <w:r w:rsidR="008D61A2">
              <w:rPr>
                <w:noProof/>
                <w:webHidden/>
              </w:rPr>
              <w:tab/>
            </w:r>
            <w:r w:rsidR="008D61A2">
              <w:rPr>
                <w:noProof/>
                <w:webHidden/>
              </w:rPr>
              <w:fldChar w:fldCharType="begin"/>
            </w:r>
            <w:r w:rsidR="008D61A2">
              <w:rPr>
                <w:noProof/>
                <w:webHidden/>
              </w:rPr>
              <w:instrText xml:space="preserve"> PAGEREF _Toc122596082 \h </w:instrText>
            </w:r>
            <w:r w:rsidR="008D61A2">
              <w:rPr>
                <w:noProof/>
                <w:webHidden/>
              </w:rPr>
            </w:r>
            <w:r w:rsidR="008D61A2">
              <w:rPr>
                <w:noProof/>
                <w:webHidden/>
              </w:rPr>
              <w:fldChar w:fldCharType="separate"/>
            </w:r>
            <w:r>
              <w:rPr>
                <w:noProof/>
                <w:webHidden/>
              </w:rPr>
              <w:t>45</w:t>
            </w:r>
            <w:r w:rsidR="008D61A2">
              <w:rPr>
                <w:noProof/>
                <w:webHidden/>
              </w:rPr>
              <w:fldChar w:fldCharType="end"/>
            </w:r>
          </w:hyperlink>
        </w:p>
        <w:p w14:paraId="1095847F" w14:textId="38BCBDBB" w:rsidR="008D61A2" w:rsidRDefault="005E1B9B">
          <w:pPr>
            <w:pStyle w:val="TOC1"/>
            <w:rPr>
              <w:rFonts w:asciiTheme="minorHAnsi" w:eastAsiaTheme="minorEastAsia" w:hAnsiTheme="minorHAnsi" w:cstheme="minorBidi"/>
              <w:b w:val="0"/>
              <w:noProof/>
              <w:sz w:val="22"/>
              <w:lang w:eastAsia="en-AU"/>
            </w:rPr>
          </w:pPr>
          <w:hyperlink w:anchor="_Toc122596083" w:history="1">
            <w:r w:rsidR="008D61A2" w:rsidRPr="008868FC">
              <w:rPr>
                <w:rStyle w:val="Hyperlink"/>
                <w:noProof/>
              </w:rPr>
              <w:t>Outcome</w:t>
            </w:r>
            <w:r w:rsidR="008D61A2">
              <w:rPr>
                <w:noProof/>
                <w:webHidden/>
              </w:rPr>
              <w:tab/>
            </w:r>
            <w:r w:rsidR="008D61A2">
              <w:rPr>
                <w:noProof/>
                <w:webHidden/>
              </w:rPr>
              <w:fldChar w:fldCharType="begin"/>
            </w:r>
            <w:r w:rsidR="008D61A2">
              <w:rPr>
                <w:noProof/>
                <w:webHidden/>
              </w:rPr>
              <w:instrText xml:space="preserve"> PAGEREF _Toc122596083 \h </w:instrText>
            </w:r>
            <w:r w:rsidR="008D61A2">
              <w:rPr>
                <w:noProof/>
                <w:webHidden/>
              </w:rPr>
            </w:r>
            <w:r w:rsidR="008D61A2">
              <w:rPr>
                <w:noProof/>
                <w:webHidden/>
              </w:rPr>
              <w:fldChar w:fldCharType="separate"/>
            </w:r>
            <w:r>
              <w:rPr>
                <w:noProof/>
                <w:webHidden/>
              </w:rPr>
              <w:t>51</w:t>
            </w:r>
            <w:r w:rsidR="008D61A2">
              <w:rPr>
                <w:noProof/>
                <w:webHidden/>
              </w:rPr>
              <w:fldChar w:fldCharType="end"/>
            </w:r>
          </w:hyperlink>
        </w:p>
        <w:p w14:paraId="5308C2CB" w14:textId="69E9FA4F" w:rsidR="008D61A2" w:rsidRDefault="005E1B9B">
          <w:pPr>
            <w:pStyle w:val="TOC2"/>
            <w:rPr>
              <w:rFonts w:asciiTheme="minorHAnsi" w:eastAsiaTheme="minorEastAsia" w:hAnsiTheme="minorHAnsi" w:cstheme="minorBidi"/>
              <w:b w:val="0"/>
              <w:noProof/>
              <w:sz w:val="22"/>
              <w:lang w:eastAsia="en-AU"/>
            </w:rPr>
          </w:pPr>
          <w:hyperlink w:anchor="_Toc122596084" w:history="1">
            <w:r w:rsidR="008D61A2" w:rsidRPr="008868FC">
              <w:rPr>
                <w:rStyle w:val="Hyperlink"/>
                <w:noProof/>
              </w:rPr>
              <w:t>Specific conditions of registration applying to these goods</w:t>
            </w:r>
            <w:r w:rsidR="008D61A2">
              <w:rPr>
                <w:noProof/>
                <w:webHidden/>
              </w:rPr>
              <w:tab/>
            </w:r>
            <w:r w:rsidR="008D61A2">
              <w:rPr>
                <w:noProof/>
                <w:webHidden/>
              </w:rPr>
              <w:fldChar w:fldCharType="begin"/>
            </w:r>
            <w:r w:rsidR="008D61A2">
              <w:rPr>
                <w:noProof/>
                <w:webHidden/>
              </w:rPr>
              <w:instrText xml:space="preserve"> PAGEREF _Toc122596084 \h </w:instrText>
            </w:r>
            <w:r w:rsidR="008D61A2">
              <w:rPr>
                <w:noProof/>
                <w:webHidden/>
              </w:rPr>
            </w:r>
            <w:r w:rsidR="008D61A2">
              <w:rPr>
                <w:noProof/>
                <w:webHidden/>
              </w:rPr>
              <w:fldChar w:fldCharType="separate"/>
            </w:r>
            <w:r>
              <w:rPr>
                <w:noProof/>
                <w:webHidden/>
              </w:rPr>
              <w:t>51</w:t>
            </w:r>
            <w:r w:rsidR="008D61A2">
              <w:rPr>
                <w:noProof/>
                <w:webHidden/>
              </w:rPr>
              <w:fldChar w:fldCharType="end"/>
            </w:r>
          </w:hyperlink>
        </w:p>
        <w:p w14:paraId="1225CA9A" w14:textId="21D0741E" w:rsidR="008D61A2" w:rsidRDefault="005E1B9B">
          <w:pPr>
            <w:pStyle w:val="TOC1"/>
            <w:rPr>
              <w:rFonts w:asciiTheme="minorHAnsi" w:eastAsiaTheme="minorEastAsia" w:hAnsiTheme="minorHAnsi" w:cstheme="minorBidi"/>
              <w:b w:val="0"/>
              <w:noProof/>
              <w:sz w:val="22"/>
              <w:lang w:eastAsia="en-AU"/>
            </w:rPr>
          </w:pPr>
          <w:hyperlink w:anchor="_Toc122596085" w:history="1">
            <w:r w:rsidR="008D61A2" w:rsidRPr="008868FC">
              <w:rPr>
                <w:rStyle w:val="Hyperlink"/>
                <w:noProof/>
              </w:rPr>
              <w:t>Attachment 1. Product Information</w:t>
            </w:r>
            <w:r w:rsidR="008D61A2">
              <w:rPr>
                <w:noProof/>
                <w:webHidden/>
              </w:rPr>
              <w:tab/>
            </w:r>
            <w:r w:rsidR="008D61A2">
              <w:rPr>
                <w:noProof/>
                <w:webHidden/>
              </w:rPr>
              <w:fldChar w:fldCharType="begin"/>
            </w:r>
            <w:r w:rsidR="008D61A2">
              <w:rPr>
                <w:noProof/>
                <w:webHidden/>
              </w:rPr>
              <w:instrText xml:space="preserve"> PAGEREF _Toc122596085 \h </w:instrText>
            </w:r>
            <w:r w:rsidR="008D61A2">
              <w:rPr>
                <w:noProof/>
                <w:webHidden/>
              </w:rPr>
            </w:r>
            <w:r w:rsidR="008D61A2">
              <w:rPr>
                <w:noProof/>
                <w:webHidden/>
              </w:rPr>
              <w:fldChar w:fldCharType="separate"/>
            </w:r>
            <w:r>
              <w:rPr>
                <w:noProof/>
                <w:webHidden/>
              </w:rPr>
              <w:t>52</w:t>
            </w:r>
            <w:r w:rsidR="008D61A2">
              <w:rPr>
                <w:noProof/>
                <w:webHidden/>
              </w:rPr>
              <w:fldChar w:fldCharType="end"/>
            </w:r>
          </w:hyperlink>
        </w:p>
        <w:p w14:paraId="16DBC5A9" w14:textId="4EDA3C27" w:rsidR="003A7F6C" w:rsidRPr="00B811C6" w:rsidRDefault="00C525A2" w:rsidP="00EB36D6">
          <w:r>
            <w:fldChar w:fldCharType="end"/>
          </w:r>
        </w:p>
      </w:sdtContent>
    </w:sdt>
    <w:bookmarkStart w:id="2" w:name="_Toc314842482" w:displacedByCustomXml="prev"/>
    <w:p w14:paraId="083AA463" w14:textId="77777777" w:rsidR="00FD119B" w:rsidRDefault="00FD119B">
      <w:pPr>
        <w:spacing w:before="0" w:after="200" w:line="0" w:lineRule="auto"/>
      </w:pPr>
      <w:r>
        <w:br w:type="page"/>
      </w:r>
    </w:p>
    <w:p w14:paraId="395641DC" w14:textId="486E12C0" w:rsidR="00833ED8" w:rsidRDefault="00AF2313" w:rsidP="00C55710">
      <w:pPr>
        <w:pStyle w:val="Heading2"/>
      </w:pPr>
      <w:bookmarkStart w:id="3" w:name="_Toc98931917"/>
      <w:bookmarkStart w:id="4" w:name="_Toc122596070"/>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434D3" w14:paraId="6698A732" w14:textId="77777777" w:rsidTr="005367A8">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36C61533" w14:textId="77777777" w:rsidR="00A434D3" w:rsidRDefault="00A434D3" w:rsidP="005367A8">
            <w:pPr>
              <w:rPr>
                <w:color w:val="FFFFFF"/>
              </w:rPr>
            </w:pPr>
            <w:r>
              <w:t>Abbreviation</w:t>
            </w:r>
          </w:p>
        </w:tc>
        <w:tc>
          <w:tcPr>
            <w:tcW w:w="3282" w:type="pct"/>
            <w:hideMark/>
          </w:tcPr>
          <w:p w14:paraId="68282176" w14:textId="77777777" w:rsidR="00A434D3" w:rsidRDefault="00A434D3" w:rsidP="005367A8">
            <w:r>
              <w:t>Meaning</w:t>
            </w:r>
          </w:p>
        </w:tc>
      </w:tr>
      <w:tr w:rsidR="00BF2A06" w14:paraId="4E89EB9C"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31346AE1" w14:textId="61BC905E" w:rsidR="00BF2A06" w:rsidRDefault="00BF2A06" w:rsidP="005367A8">
            <w:r>
              <w:t>ACE-2</w:t>
            </w:r>
          </w:p>
        </w:tc>
        <w:tc>
          <w:tcPr>
            <w:tcW w:w="3987" w:type="pct"/>
            <w:gridSpan w:val="2"/>
            <w:tcBorders>
              <w:top w:val="single" w:sz="8" w:space="0" w:color="002C47"/>
              <w:left w:val="single" w:sz="8" w:space="0" w:color="002C47"/>
              <w:bottom w:val="single" w:sz="8" w:space="0" w:color="002C47"/>
              <w:right w:val="single" w:sz="8" w:space="0" w:color="002C47"/>
            </w:tcBorders>
          </w:tcPr>
          <w:p w14:paraId="42F51095" w14:textId="12FD2E1A" w:rsidR="00BF2A06" w:rsidRDefault="00BF2A06" w:rsidP="005367A8">
            <w:r>
              <w:t xml:space="preserve">Angiotensin </w:t>
            </w:r>
            <w:r w:rsidR="00FA5D36">
              <w:t xml:space="preserve">converting </w:t>
            </w:r>
            <w:proofErr w:type="gramStart"/>
            <w:r w:rsidR="00FA5D36">
              <w:t>enzyme-2</w:t>
            </w:r>
            <w:proofErr w:type="gramEnd"/>
          </w:p>
        </w:tc>
      </w:tr>
      <w:tr w:rsidR="00A434D3" w14:paraId="720C4AC5"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953289F" w14:textId="77777777" w:rsidR="00A434D3" w:rsidRDefault="00A434D3" w:rsidP="005367A8">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64A0E1D" w14:textId="77777777" w:rsidR="00A434D3" w:rsidRDefault="00A434D3" w:rsidP="005367A8">
            <w:r>
              <w:t>Advisory Committee on Medicines</w:t>
            </w:r>
          </w:p>
        </w:tc>
      </w:tr>
      <w:tr w:rsidR="00A434D3" w14:paraId="39A56BB5"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5C9D5868" w14:textId="77777777" w:rsidR="00A434D3" w:rsidRDefault="00A434D3" w:rsidP="005367A8">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1B557CE7" w14:textId="77777777" w:rsidR="00A434D3" w:rsidRDefault="00A434D3" w:rsidP="005367A8">
            <w:pPr>
              <w:rPr>
                <w:color w:val="000000"/>
              </w:rPr>
            </w:pPr>
            <w:r>
              <w:rPr>
                <w:color w:val="000000"/>
              </w:rPr>
              <w:t>Adverse event</w:t>
            </w:r>
          </w:p>
        </w:tc>
      </w:tr>
      <w:tr w:rsidR="00A434D3" w14:paraId="538DCD4D"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1A21C4AA" w14:textId="77777777" w:rsidR="00A434D3" w:rsidRDefault="00A434D3" w:rsidP="005367A8">
            <w:pPr>
              <w:rPr>
                <w:color w:val="000000"/>
              </w:rPr>
            </w:pPr>
            <w:r>
              <w:rPr>
                <w:color w:val="000000"/>
              </w:rP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1C82734B" w14:textId="5F955278" w:rsidR="00A434D3" w:rsidRDefault="00A434D3" w:rsidP="005367A8">
            <w:pPr>
              <w:rPr>
                <w:color w:val="000000"/>
              </w:rPr>
            </w:pPr>
            <w:r>
              <w:t>Adverse event of special interest</w:t>
            </w:r>
          </w:p>
        </w:tc>
      </w:tr>
      <w:tr w:rsidR="00A434D3" w14:paraId="7ECF949C"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209E0A3" w14:textId="77777777" w:rsidR="00A434D3" w:rsidRDefault="00A434D3" w:rsidP="005367A8">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FFB82A3" w14:textId="77777777" w:rsidR="00A434D3" w:rsidRDefault="00A434D3" w:rsidP="005367A8">
            <w:r>
              <w:t>Australian Register of Therapeutic Goods</w:t>
            </w:r>
          </w:p>
        </w:tc>
      </w:tr>
      <w:tr w:rsidR="00A434D3" w14:paraId="0EDC320C"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C851D01" w14:textId="77777777" w:rsidR="00A434D3" w:rsidRDefault="00A434D3" w:rsidP="005367A8">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9B6A4C7" w14:textId="77777777" w:rsidR="00A434D3" w:rsidRDefault="00A434D3" w:rsidP="005367A8">
            <w:r>
              <w:t>Australia specific annex</w:t>
            </w:r>
          </w:p>
        </w:tc>
      </w:tr>
      <w:tr w:rsidR="00A434D3" w14:paraId="19DDCE88"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47142F16" w14:textId="77777777" w:rsidR="00A434D3" w:rsidRDefault="00A434D3" w:rsidP="005367A8">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6C5F2A11" w14:textId="77777777" w:rsidR="00A434D3" w:rsidRDefault="00A434D3" w:rsidP="005367A8">
            <w:pPr>
              <w:rPr>
                <w:color w:val="000000"/>
              </w:rPr>
            </w:pPr>
            <w:r>
              <w:rPr>
                <w:color w:val="000000"/>
              </w:rPr>
              <w:t>Coronavirus disease 2019</w:t>
            </w:r>
          </w:p>
        </w:tc>
      </w:tr>
      <w:tr w:rsidR="00A434D3" w14:paraId="3B9015CB"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D48F0B9" w14:textId="77777777" w:rsidR="00A434D3" w:rsidRDefault="00A434D3" w:rsidP="005367A8">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247E7B0" w14:textId="77777777" w:rsidR="00A434D3" w:rsidRDefault="00A434D3" w:rsidP="005367A8">
            <w:r>
              <w:t>Data lock point</w:t>
            </w:r>
          </w:p>
        </w:tc>
      </w:tr>
      <w:tr w:rsidR="00A434D3" w14:paraId="2D1FC2EF"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21A0D1D5" w14:textId="77777777" w:rsidR="00A434D3" w:rsidRDefault="00A434D3" w:rsidP="005367A8">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319E9DFD" w14:textId="77777777" w:rsidR="00A434D3" w:rsidRDefault="00A434D3" w:rsidP="005367A8">
            <w:pPr>
              <w:rPr>
                <w:color w:val="000000"/>
              </w:rPr>
            </w:pPr>
            <w:r>
              <w:rPr>
                <w:color w:val="000000"/>
              </w:rPr>
              <w:t>European Union</w:t>
            </w:r>
          </w:p>
        </w:tc>
      </w:tr>
      <w:tr w:rsidR="00A434D3" w14:paraId="21F530CA"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3686245D" w14:textId="77777777" w:rsidR="00A434D3" w:rsidRDefault="00A434D3" w:rsidP="005367A8">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532DDFF2" w14:textId="17F99F4F" w:rsidR="00A434D3" w:rsidRDefault="00A434D3" w:rsidP="005367A8">
            <w:pPr>
              <w:rPr>
                <w:color w:val="000000"/>
              </w:rPr>
            </w:pPr>
            <w:r>
              <w:t>Food and Drug Administration, United States</w:t>
            </w:r>
            <w:r w:rsidR="00BB7206">
              <w:t xml:space="preserve"> of America</w:t>
            </w:r>
          </w:p>
        </w:tc>
      </w:tr>
      <w:tr w:rsidR="00A434D3" w14:paraId="4E6BB2C3"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565D821C" w14:textId="77777777" w:rsidR="00A434D3" w:rsidRDefault="00A434D3" w:rsidP="005367A8">
            <w:pPr>
              <w:rPr>
                <w:color w:val="000000"/>
              </w:rPr>
            </w:pPr>
            <w:r>
              <w:rPr>
                <w:color w:val="000000"/>
              </w:rPr>
              <w:t>GM</w:t>
            </w:r>
          </w:p>
        </w:tc>
        <w:tc>
          <w:tcPr>
            <w:tcW w:w="3987" w:type="pct"/>
            <w:gridSpan w:val="2"/>
            <w:tcBorders>
              <w:top w:val="single" w:sz="8" w:space="0" w:color="002C47"/>
              <w:left w:val="single" w:sz="8" w:space="0" w:color="002C47"/>
              <w:bottom w:val="single" w:sz="8" w:space="0" w:color="002C47"/>
              <w:right w:val="single" w:sz="8" w:space="0" w:color="002C47"/>
            </w:tcBorders>
          </w:tcPr>
          <w:p w14:paraId="5C554602" w14:textId="77777777" w:rsidR="00A434D3" w:rsidRDefault="00A434D3" w:rsidP="005367A8">
            <w:pPr>
              <w:rPr>
                <w:color w:val="000000"/>
              </w:rPr>
            </w:pPr>
            <w:r>
              <w:t>Geometric mean</w:t>
            </w:r>
          </w:p>
        </w:tc>
      </w:tr>
      <w:tr w:rsidR="00A434D3" w14:paraId="5AFDAC25"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14B5BC3B" w14:textId="77777777" w:rsidR="00A434D3" w:rsidRDefault="00A434D3" w:rsidP="005367A8">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1B02F1A9" w14:textId="7E89C112" w:rsidR="00A434D3" w:rsidRDefault="00A434D3" w:rsidP="005367A8">
            <w:pPr>
              <w:rPr>
                <w:color w:val="000000"/>
              </w:rPr>
            </w:pPr>
            <w:r>
              <w:t>G</w:t>
            </w:r>
            <w:r w:rsidRPr="0069084F">
              <w:t>eometric mean tit</w:t>
            </w:r>
            <w:r>
              <w:t>re</w:t>
            </w:r>
          </w:p>
        </w:tc>
      </w:tr>
      <w:tr w:rsidR="00A434D3" w14:paraId="3A09D8A7"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50C1F9C8" w14:textId="77777777" w:rsidR="00A434D3" w:rsidRDefault="00A434D3" w:rsidP="005367A8">
            <w:pPr>
              <w:rPr>
                <w:color w:val="000000"/>
              </w:rPr>
            </w:pPr>
            <w:r>
              <w:rPr>
                <w:color w:val="000000"/>
              </w:rPr>
              <w:t>IC</w:t>
            </w:r>
            <w:r w:rsidRPr="00A77DC5">
              <w:rPr>
                <w:color w:val="000000"/>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3C984E8A" w14:textId="3E46ECFB" w:rsidR="00A434D3" w:rsidRDefault="00A434D3" w:rsidP="005367A8">
            <w:pPr>
              <w:rPr>
                <w:color w:val="000000"/>
              </w:rPr>
            </w:pPr>
            <w:r>
              <w:t>50%</w:t>
            </w:r>
            <w:r w:rsidRPr="00E6060F">
              <w:t xml:space="preserve"> </w:t>
            </w:r>
            <w:r w:rsidR="00BB7206">
              <w:t xml:space="preserve">(half-maximal) </w:t>
            </w:r>
            <w:r w:rsidRPr="00E6060F">
              <w:t>inhibitory concentration</w:t>
            </w:r>
          </w:p>
        </w:tc>
      </w:tr>
      <w:tr w:rsidR="00A434D3" w14:paraId="63D9DB11"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26C95450" w14:textId="77777777" w:rsidR="00A434D3" w:rsidRDefault="00A434D3" w:rsidP="005367A8">
            <w:pPr>
              <w:rPr>
                <w:color w:val="000000"/>
              </w:rPr>
            </w:pPr>
            <w:r>
              <w:rPr>
                <w:color w:val="000000"/>
              </w:rPr>
              <w:t>IC</w:t>
            </w:r>
            <w:r w:rsidRPr="00A77DC5">
              <w:rPr>
                <w:color w:val="000000"/>
                <w:vertAlign w:val="subscript"/>
              </w:rPr>
              <w:t>80</w:t>
            </w:r>
          </w:p>
        </w:tc>
        <w:tc>
          <w:tcPr>
            <w:tcW w:w="3987" w:type="pct"/>
            <w:gridSpan w:val="2"/>
            <w:tcBorders>
              <w:top w:val="single" w:sz="8" w:space="0" w:color="002C47"/>
              <w:left w:val="single" w:sz="8" w:space="0" w:color="002C47"/>
              <w:bottom w:val="single" w:sz="8" w:space="0" w:color="002C47"/>
              <w:right w:val="single" w:sz="8" w:space="0" w:color="002C47"/>
            </w:tcBorders>
          </w:tcPr>
          <w:p w14:paraId="14B44C25" w14:textId="77777777" w:rsidR="00A434D3" w:rsidRDefault="00A434D3" w:rsidP="005367A8">
            <w:pPr>
              <w:rPr>
                <w:color w:val="000000"/>
              </w:rPr>
            </w:pPr>
            <w:r w:rsidRPr="001B3DF5">
              <w:t>80% inhibitory concentration</w:t>
            </w:r>
          </w:p>
        </w:tc>
      </w:tr>
      <w:tr w:rsidR="00A434D3" w14:paraId="76BFBA98"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37B5FAC9" w14:textId="77777777" w:rsidR="00A434D3" w:rsidRDefault="00A434D3" w:rsidP="005367A8">
            <w:pPr>
              <w:rPr>
                <w:color w:val="000000"/>
              </w:rPr>
            </w:pPr>
            <w:r>
              <w:rPr>
                <w:color w:val="000000"/>
              </w:rPr>
              <w:t>IQR</w:t>
            </w:r>
          </w:p>
        </w:tc>
        <w:tc>
          <w:tcPr>
            <w:tcW w:w="3987" w:type="pct"/>
            <w:gridSpan w:val="2"/>
            <w:tcBorders>
              <w:top w:val="single" w:sz="8" w:space="0" w:color="002C47"/>
              <w:left w:val="single" w:sz="8" w:space="0" w:color="002C47"/>
              <w:bottom w:val="single" w:sz="8" w:space="0" w:color="002C47"/>
              <w:right w:val="single" w:sz="8" w:space="0" w:color="002C47"/>
            </w:tcBorders>
          </w:tcPr>
          <w:p w14:paraId="5B62C22A" w14:textId="77777777" w:rsidR="00A434D3" w:rsidRDefault="00A434D3" w:rsidP="005367A8">
            <w:pPr>
              <w:rPr>
                <w:color w:val="000000"/>
              </w:rPr>
            </w:pPr>
            <w:r>
              <w:t>I</w:t>
            </w:r>
            <w:r w:rsidRPr="00E10DF2">
              <w:t>nterquartile range</w:t>
            </w:r>
          </w:p>
        </w:tc>
      </w:tr>
      <w:tr w:rsidR="00A434D3" w14:paraId="643BB95F"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3466444B" w14:textId="77777777" w:rsidR="00A434D3" w:rsidRDefault="00A434D3" w:rsidP="005367A8">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5256BA73" w14:textId="77777777" w:rsidR="00A434D3" w:rsidRDefault="00A434D3" w:rsidP="005367A8">
            <w:pPr>
              <w:rPr>
                <w:color w:val="000000"/>
              </w:rPr>
            </w:pPr>
            <w:r>
              <w:rPr>
                <w:color w:val="000000"/>
              </w:rPr>
              <w:t>Product Information</w:t>
            </w:r>
          </w:p>
        </w:tc>
      </w:tr>
      <w:tr w:rsidR="00A434D3" w14:paraId="032B31BF"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62436B6B" w14:textId="77777777" w:rsidR="00A434D3" w:rsidRDefault="00A434D3" w:rsidP="005367A8">
            <w:pPr>
              <w:rPr>
                <w:color w:val="000000"/>
              </w:rPr>
            </w:pPr>
            <w:r>
              <w:rPr>
                <w:color w:val="000000"/>
              </w:rPr>
              <w:t>PK</w:t>
            </w:r>
          </w:p>
        </w:tc>
        <w:tc>
          <w:tcPr>
            <w:tcW w:w="3987" w:type="pct"/>
            <w:gridSpan w:val="2"/>
            <w:tcBorders>
              <w:top w:val="single" w:sz="8" w:space="0" w:color="002C47"/>
              <w:left w:val="single" w:sz="8" w:space="0" w:color="002C47"/>
              <w:bottom w:val="single" w:sz="8" w:space="0" w:color="002C47"/>
              <w:right w:val="single" w:sz="8" w:space="0" w:color="002C47"/>
            </w:tcBorders>
          </w:tcPr>
          <w:p w14:paraId="4F7CD604" w14:textId="77777777" w:rsidR="00A434D3" w:rsidRDefault="00A434D3" w:rsidP="005367A8">
            <w:pPr>
              <w:rPr>
                <w:color w:val="000000"/>
              </w:rPr>
            </w:pPr>
            <w:r>
              <w:rPr>
                <w:color w:val="000000"/>
              </w:rPr>
              <w:t>Pharmacokinetic(s)</w:t>
            </w:r>
          </w:p>
        </w:tc>
      </w:tr>
      <w:tr w:rsidR="00B46084" w14:paraId="10A5BE32"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389EF38B" w14:textId="7722531D" w:rsidR="00B46084" w:rsidRDefault="00B46084" w:rsidP="005367A8">
            <w:pPr>
              <w:rPr>
                <w:color w:val="000000"/>
              </w:rPr>
            </w:pPr>
            <w:proofErr w:type="spellStart"/>
            <w:r>
              <w:rPr>
                <w:color w:val="000000"/>
              </w:rPr>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4F1F08A" w14:textId="4D3AF2F8" w:rsidR="00B46084" w:rsidRDefault="00B46084" w:rsidP="005367A8">
            <w:pPr>
              <w:rPr>
                <w:color w:val="000000"/>
              </w:rPr>
            </w:pPr>
            <w:r>
              <w:rPr>
                <w:color w:val="000000"/>
              </w:rPr>
              <w:t>Population pharmacokinetics</w:t>
            </w:r>
          </w:p>
        </w:tc>
      </w:tr>
      <w:tr w:rsidR="00A434D3" w14:paraId="5D22C248"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2B201B25" w14:textId="77777777" w:rsidR="00A434D3" w:rsidRDefault="00A434D3" w:rsidP="005367A8">
            <w:pPr>
              <w:rPr>
                <w:color w:val="000000"/>
              </w:rPr>
            </w:pPr>
            <w:r>
              <w:rPr>
                <w:color w:val="000000"/>
              </w:rP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09BE1B1C" w14:textId="77777777" w:rsidR="00A434D3" w:rsidRDefault="00A434D3" w:rsidP="005367A8">
            <w:pPr>
              <w:rPr>
                <w:color w:val="000000"/>
              </w:rPr>
            </w:pPr>
            <w:r>
              <w:rPr>
                <w:color w:val="000000"/>
              </w:rPr>
              <w:t>Preferred Term</w:t>
            </w:r>
          </w:p>
        </w:tc>
      </w:tr>
      <w:tr w:rsidR="00A434D3" w14:paraId="4A0F77BF"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19843E71" w14:textId="77777777" w:rsidR="00A434D3" w:rsidRDefault="00A434D3" w:rsidP="005367A8">
            <w:pPr>
              <w:rPr>
                <w:color w:val="000000"/>
              </w:rPr>
            </w:pPr>
            <w:r>
              <w:rPr>
                <w:color w:val="000000"/>
              </w:rPr>
              <w:t>RBD</w:t>
            </w:r>
          </w:p>
        </w:tc>
        <w:tc>
          <w:tcPr>
            <w:tcW w:w="3987" w:type="pct"/>
            <w:gridSpan w:val="2"/>
            <w:tcBorders>
              <w:top w:val="single" w:sz="8" w:space="0" w:color="002C47"/>
              <w:left w:val="single" w:sz="8" w:space="0" w:color="002C47"/>
              <w:bottom w:val="single" w:sz="8" w:space="0" w:color="002C47"/>
              <w:right w:val="single" w:sz="8" w:space="0" w:color="002C47"/>
            </w:tcBorders>
          </w:tcPr>
          <w:p w14:paraId="015C3951" w14:textId="77777777" w:rsidR="00A434D3" w:rsidRDefault="00A434D3" w:rsidP="005367A8">
            <w:pPr>
              <w:rPr>
                <w:color w:val="000000"/>
              </w:rPr>
            </w:pPr>
            <w:r>
              <w:rPr>
                <w:color w:val="000000"/>
              </w:rPr>
              <w:t>Receptor binding domain</w:t>
            </w:r>
          </w:p>
        </w:tc>
      </w:tr>
      <w:tr w:rsidR="00A434D3" w14:paraId="1BB3F4C9"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E71B161" w14:textId="77777777" w:rsidR="00A434D3" w:rsidRDefault="00A434D3" w:rsidP="005367A8">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AAEB71E" w14:textId="77777777" w:rsidR="00A434D3" w:rsidRDefault="00A434D3" w:rsidP="005367A8">
            <w:r>
              <w:t>Risk management plan</w:t>
            </w:r>
          </w:p>
        </w:tc>
      </w:tr>
      <w:tr w:rsidR="00A434D3" w14:paraId="6D592FB6"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61C2724C" w14:textId="77777777" w:rsidR="00A434D3" w:rsidRDefault="00A434D3" w:rsidP="005367A8">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7BA7BF0C" w14:textId="77777777" w:rsidR="00A434D3" w:rsidRDefault="00A434D3" w:rsidP="005367A8">
            <w:pPr>
              <w:rPr>
                <w:color w:val="000000"/>
              </w:rPr>
            </w:pPr>
            <w:r>
              <w:rPr>
                <w:color w:val="000000"/>
              </w:rPr>
              <w:t>Serious adverse event</w:t>
            </w:r>
          </w:p>
        </w:tc>
      </w:tr>
      <w:tr w:rsidR="00A434D3" w14:paraId="0EA59395"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118838CE" w14:textId="77777777" w:rsidR="00A434D3" w:rsidRDefault="00A434D3" w:rsidP="005367A8">
            <w:pPr>
              <w:rPr>
                <w:color w:val="000000"/>
              </w:rPr>
            </w:pPr>
            <w:r>
              <w:rPr>
                <w:color w:val="000000"/>
              </w:rPr>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31F7E8AA" w14:textId="77777777" w:rsidR="00A434D3" w:rsidRDefault="00A434D3" w:rsidP="005367A8">
            <w:pPr>
              <w:rPr>
                <w:color w:val="000000"/>
              </w:rPr>
            </w:pPr>
            <w:r>
              <w:t>S</w:t>
            </w:r>
            <w:r w:rsidRPr="00F328E8">
              <w:t>evere acute respiratory syndrome coronavirus 2</w:t>
            </w:r>
          </w:p>
        </w:tc>
      </w:tr>
      <w:tr w:rsidR="00A434D3" w14:paraId="0B2E47E6"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011B7C19" w14:textId="77777777" w:rsidR="00A434D3" w:rsidRDefault="00A434D3" w:rsidP="005367A8">
            <w:pPr>
              <w:rPr>
                <w:color w:val="000000"/>
              </w:rPr>
            </w:pPr>
            <w:r>
              <w:rPr>
                <w:color w:val="000000"/>
              </w:rP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16746AB4" w14:textId="77777777" w:rsidR="00A434D3" w:rsidRDefault="00A434D3" w:rsidP="005367A8">
            <w:pPr>
              <w:rPr>
                <w:color w:val="000000"/>
              </w:rPr>
            </w:pPr>
            <w:r>
              <w:rPr>
                <w:color w:val="000000"/>
              </w:rPr>
              <w:t>System Organ Class</w:t>
            </w:r>
          </w:p>
        </w:tc>
      </w:tr>
      <w:tr w:rsidR="00A434D3" w14:paraId="1874B7E1"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988ECA1" w14:textId="77777777" w:rsidR="00A434D3" w:rsidRDefault="00A434D3" w:rsidP="005367A8">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4EAA2CE" w14:textId="77777777" w:rsidR="00A434D3" w:rsidRDefault="00A434D3" w:rsidP="005367A8">
            <w:r>
              <w:t>Therapeutic Goods Administration</w:t>
            </w:r>
          </w:p>
        </w:tc>
      </w:tr>
      <w:tr w:rsidR="00A434D3" w14:paraId="520098B5"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50BEF845" w14:textId="77777777" w:rsidR="00A434D3" w:rsidRDefault="00A434D3" w:rsidP="005367A8">
            <w:pPr>
              <w:rPr>
                <w:color w:val="000000"/>
              </w:rPr>
            </w:pPr>
            <w:r>
              <w:rPr>
                <w:color w:val="000000"/>
              </w:rPr>
              <w:lastRenderedPageBreak/>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49475E7C" w14:textId="77777777" w:rsidR="00A434D3" w:rsidRDefault="00A434D3" w:rsidP="005367A8">
            <w:pPr>
              <w:rPr>
                <w:color w:val="000000"/>
              </w:rPr>
            </w:pPr>
            <w:r>
              <w:rPr>
                <w:color w:val="000000"/>
              </w:rPr>
              <w:t>United States (of America)</w:t>
            </w:r>
          </w:p>
        </w:tc>
      </w:tr>
      <w:tr w:rsidR="00A434D3" w14:paraId="67CE765F" w14:textId="77777777" w:rsidTr="005367A8">
        <w:trPr>
          <w:cantSplit/>
        </w:trPr>
        <w:tc>
          <w:tcPr>
            <w:tcW w:w="1013" w:type="pct"/>
            <w:tcBorders>
              <w:top w:val="single" w:sz="8" w:space="0" w:color="002C47"/>
              <w:left w:val="single" w:sz="8" w:space="0" w:color="002C47"/>
              <w:bottom w:val="single" w:sz="8" w:space="0" w:color="002C47"/>
              <w:right w:val="single" w:sz="8" w:space="0" w:color="002C47"/>
            </w:tcBorders>
          </w:tcPr>
          <w:p w14:paraId="7BEF338A" w14:textId="77777777" w:rsidR="00A434D3" w:rsidRDefault="00A434D3" w:rsidP="005367A8">
            <w:pPr>
              <w:rPr>
                <w:color w:val="000000"/>
              </w:rPr>
            </w:pPr>
            <w:r>
              <w:rPr>
                <w:color w:val="000000"/>
              </w:rPr>
              <w:t>VOC</w:t>
            </w:r>
          </w:p>
        </w:tc>
        <w:tc>
          <w:tcPr>
            <w:tcW w:w="3987" w:type="pct"/>
            <w:gridSpan w:val="2"/>
            <w:tcBorders>
              <w:top w:val="single" w:sz="8" w:space="0" w:color="002C47"/>
              <w:left w:val="single" w:sz="8" w:space="0" w:color="002C47"/>
              <w:bottom w:val="single" w:sz="8" w:space="0" w:color="002C47"/>
              <w:right w:val="single" w:sz="8" w:space="0" w:color="002C47"/>
            </w:tcBorders>
          </w:tcPr>
          <w:p w14:paraId="22992288" w14:textId="77777777" w:rsidR="00A434D3" w:rsidRDefault="00A434D3" w:rsidP="005367A8">
            <w:pPr>
              <w:rPr>
                <w:color w:val="000000"/>
              </w:rPr>
            </w:pPr>
            <w:r>
              <w:rPr>
                <w:color w:val="000000"/>
              </w:rPr>
              <w:t>Variant of concern</w:t>
            </w:r>
          </w:p>
        </w:tc>
      </w:tr>
    </w:tbl>
    <w:p w14:paraId="30A0634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ECCF888" w14:textId="77777777" w:rsidR="008E7846" w:rsidRDefault="009F2673" w:rsidP="008E7846">
      <w:pPr>
        <w:pStyle w:val="Heading2"/>
      </w:pPr>
      <w:bookmarkStart w:id="5" w:name="_Toc122596071"/>
      <w:r>
        <w:lastRenderedPageBreak/>
        <w:t>Pr</w:t>
      </w:r>
      <w:r w:rsidR="008E7846">
        <w:t>oduct submission</w:t>
      </w:r>
      <w:bookmarkEnd w:id="5"/>
      <w:bookmarkEnd w:id="2"/>
      <w:bookmarkEnd w:id="0"/>
    </w:p>
    <w:p w14:paraId="31BA497D" w14:textId="77777777" w:rsidR="008E7846" w:rsidRDefault="008E7846" w:rsidP="009E5A87">
      <w:pPr>
        <w:pStyle w:val="Heading3"/>
        <w:rPr>
          <w:lang w:eastAsia="en-AU"/>
        </w:rPr>
      </w:pPr>
      <w:bookmarkStart w:id="6" w:name="_Toc247691502"/>
      <w:bookmarkStart w:id="7" w:name="_Toc314842483"/>
      <w:bookmarkStart w:id="8" w:name="_Toc122596072"/>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36EB156D" w14:textId="77777777" w:rsidTr="00C55710">
        <w:tc>
          <w:tcPr>
            <w:tcW w:w="1577" w:type="pct"/>
          </w:tcPr>
          <w:p w14:paraId="52A2015F" w14:textId="77777777" w:rsidR="009F2673" w:rsidRPr="003D1E62" w:rsidRDefault="009F2673" w:rsidP="009E5A87">
            <w:pPr>
              <w:rPr>
                <w:i/>
              </w:rPr>
            </w:pPr>
            <w:bookmarkStart w:id="9" w:name="_Hlk121726559"/>
            <w:r>
              <w:rPr>
                <w:i/>
              </w:rPr>
              <w:t>Type of s</w:t>
            </w:r>
            <w:r w:rsidRPr="003D1E62">
              <w:rPr>
                <w:i/>
              </w:rPr>
              <w:t>ubmission</w:t>
            </w:r>
            <w:r>
              <w:rPr>
                <w:i/>
              </w:rPr>
              <w:t>:</w:t>
            </w:r>
          </w:p>
        </w:tc>
        <w:tc>
          <w:tcPr>
            <w:tcW w:w="3423" w:type="pct"/>
          </w:tcPr>
          <w:p w14:paraId="2C1B85DC" w14:textId="293F106E" w:rsidR="009F2673" w:rsidRPr="003D1E62" w:rsidRDefault="00711445" w:rsidP="009E5A87">
            <w:r>
              <w:t>New biological entity and c</w:t>
            </w:r>
            <w:r w:rsidR="00C55710">
              <w:t xml:space="preserve">hange in dosage and </w:t>
            </w:r>
            <w:bookmarkStart w:id="10" w:name="_Hlk121726414"/>
            <w:r w:rsidR="00C55710">
              <w:t>change to Product Information requiring evaluation of new data</w:t>
            </w:r>
            <w:bookmarkEnd w:id="10"/>
          </w:p>
        </w:tc>
      </w:tr>
      <w:bookmarkEnd w:id="9"/>
      <w:tr w:rsidR="009F2673" w:rsidRPr="003D1E62" w14:paraId="1B967D65" w14:textId="77777777" w:rsidTr="00C55710">
        <w:tc>
          <w:tcPr>
            <w:tcW w:w="1577" w:type="pct"/>
          </w:tcPr>
          <w:p w14:paraId="73A1BB87" w14:textId="49A308FE" w:rsidR="009F2673" w:rsidRPr="003D1E62" w:rsidRDefault="009F2673" w:rsidP="009E5A87">
            <w:pPr>
              <w:rPr>
                <w:i/>
              </w:rPr>
            </w:pPr>
            <w:r w:rsidRPr="00460036">
              <w:rPr>
                <w:i/>
              </w:rPr>
              <w:t>Product name:</w:t>
            </w:r>
          </w:p>
        </w:tc>
        <w:tc>
          <w:tcPr>
            <w:tcW w:w="3423" w:type="pct"/>
          </w:tcPr>
          <w:p w14:paraId="1EA42E72" w14:textId="6C59853A" w:rsidR="009F2673" w:rsidRPr="003D1E62" w:rsidRDefault="00C55710" w:rsidP="009E5A87">
            <w:r>
              <w:t>Evusheld</w:t>
            </w:r>
          </w:p>
        </w:tc>
      </w:tr>
      <w:tr w:rsidR="009F2673" w:rsidRPr="003D1E62" w14:paraId="77359212" w14:textId="77777777" w:rsidTr="00C55710">
        <w:tc>
          <w:tcPr>
            <w:tcW w:w="1577" w:type="pct"/>
          </w:tcPr>
          <w:p w14:paraId="77554515" w14:textId="0EE7071C" w:rsidR="009F2673" w:rsidRPr="003D1E62" w:rsidRDefault="009F2673" w:rsidP="009E5A87">
            <w:pPr>
              <w:rPr>
                <w:i/>
              </w:rPr>
            </w:pPr>
            <w:r w:rsidRPr="00460036">
              <w:rPr>
                <w:i/>
              </w:rPr>
              <w:t>Active ingredients:</w:t>
            </w:r>
          </w:p>
        </w:tc>
        <w:tc>
          <w:tcPr>
            <w:tcW w:w="3423" w:type="pct"/>
          </w:tcPr>
          <w:p w14:paraId="1D483C14" w14:textId="6D5F2DA1" w:rsidR="009F2673" w:rsidRPr="003D1E62" w:rsidRDefault="00C55710" w:rsidP="009E5A87">
            <w:r>
              <w:t>T</w:t>
            </w:r>
            <w:r w:rsidRPr="00C55710">
              <w:t>ixagevimab and cilgavimab</w:t>
            </w:r>
          </w:p>
        </w:tc>
      </w:tr>
      <w:tr w:rsidR="009F2673" w:rsidRPr="003D1E62" w14:paraId="26BFF9A0" w14:textId="77777777" w:rsidTr="00C55710">
        <w:tc>
          <w:tcPr>
            <w:tcW w:w="1577" w:type="pct"/>
          </w:tcPr>
          <w:p w14:paraId="5D31AF54" w14:textId="77777777" w:rsidR="009F2673" w:rsidRPr="001F4E40" w:rsidRDefault="009F2673" w:rsidP="009E5A87">
            <w:pPr>
              <w:rPr>
                <w:i/>
              </w:rPr>
            </w:pPr>
            <w:r w:rsidRPr="001F4E40">
              <w:rPr>
                <w:i/>
              </w:rPr>
              <w:t>Decision:</w:t>
            </w:r>
          </w:p>
        </w:tc>
        <w:tc>
          <w:tcPr>
            <w:tcW w:w="3423" w:type="pct"/>
          </w:tcPr>
          <w:p w14:paraId="56200DD8" w14:textId="35A81500" w:rsidR="009F2673" w:rsidRPr="001F4E40" w:rsidRDefault="009F2673" w:rsidP="009E5A87">
            <w:r w:rsidRPr="001F4E40">
              <w:t>Approved for provisional registration</w:t>
            </w:r>
          </w:p>
        </w:tc>
      </w:tr>
      <w:tr w:rsidR="009F2673" w:rsidRPr="003D1E62" w14:paraId="12A670A7" w14:textId="77777777" w:rsidTr="00C55710">
        <w:tc>
          <w:tcPr>
            <w:tcW w:w="1577" w:type="pct"/>
          </w:tcPr>
          <w:p w14:paraId="2DD84704" w14:textId="77777777" w:rsidR="009F2673" w:rsidRPr="001F4E40" w:rsidRDefault="009F2673" w:rsidP="009E5A87">
            <w:pPr>
              <w:rPr>
                <w:i/>
              </w:rPr>
            </w:pPr>
            <w:r w:rsidRPr="001F4E40">
              <w:rPr>
                <w:i/>
              </w:rPr>
              <w:t>Date of decision:</w:t>
            </w:r>
          </w:p>
        </w:tc>
        <w:tc>
          <w:tcPr>
            <w:tcW w:w="3423" w:type="pct"/>
          </w:tcPr>
          <w:p w14:paraId="5D2940C3" w14:textId="1E93E9A2" w:rsidR="009F2673" w:rsidRPr="001F4E40" w:rsidRDefault="006B28E9" w:rsidP="009E5A87">
            <w:r>
              <w:t>12</w:t>
            </w:r>
            <w:r w:rsidR="001F4E40" w:rsidRPr="001F4E40">
              <w:t xml:space="preserve"> December 2022</w:t>
            </w:r>
          </w:p>
        </w:tc>
      </w:tr>
      <w:tr w:rsidR="009F2673" w:rsidRPr="003D1E62" w14:paraId="18AC1A1C" w14:textId="77777777" w:rsidTr="00C55710">
        <w:tc>
          <w:tcPr>
            <w:tcW w:w="1577" w:type="pct"/>
          </w:tcPr>
          <w:p w14:paraId="163C7B28" w14:textId="77777777" w:rsidR="009F2673" w:rsidRPr="00D62D4A" w:rsidRDefault="009F2673" w:rsidP="009E5A87">
            <w:pPr>
              <w:rPr>
                <w:i/>
              </w:rPr>
            </w:pPr>
            <w:r w:rsidRPr="00D62D4A">
              <w:rPr>
                <w:i/>
              </w:rPr>
              <w:t>Date of entry onto ARTG:</w:t>
            </w:r>
          </w:p>
        </w:tc>
        <w:tc>
          <w:tcPr>
            <w:tcW w:w="3423" w:type="pct"/>
          </w:tcPr>
          <w:p w14:paraId="294D61C2" w14:textId="5D01A743" w:rsidR="009F2673" w:rsidRPr="00D62D4A" w:rsidRDefault="00D62D4A" w:rsidP="009E5A87">
            <w:r w:rsidRPr="00FF69E1">
              <w:t>13 December 2022</w:t>
            </w:r>
          </w:p>
        </w:tc>
      </w:tr>
      <w:tr w:rsidR="009F2673" w:rsidRPr="003D1E62" w14:paraId="0E10B906" w14:textId="77777777" w:rsidTr="00C55710">
        <w:tc>
          <w:tcPr>
            <w:tcW w:w="1577" w:type="pct"/>
          </w:tcPr>
          <w:p w14:paraId="1D72545A" w14:textId="1AFF19E5" w:rsidR="009F2673" w:rsidRPr="00441C3F" w:rsidRDefault="009F2673" w:rsidP="009E5A87">
            <w:pPr>
              <w:rPr>
                <w:i/>
              </w:rPr>
            </w:pPr>
            <w:r>
              <w:rPr>
                <w:i/>
              </w:rPr>
              <w:t>ARTG number:</w:t>
            </w:r>
          </w:p>
        </w:tc>
        <w:tc>
          <w:tcPr>
            <w:tcW w:w="3423" w:type="pct"/>
          </w:tcPr>
          <w:p w14:paraId="461AD2AB" w14:textId="0C01F4FE" w:rsidR="009F2673" w:rsidRPr="00441C3F" w:rsidRDefault="001F4E40" w:rsidP="009E5A87">
            <w:r>
              <w:t>378245</w:t>
            </w:r>
          </w:p>
        </w:tc>
      </w:tr>
      <w:tr w:rsidR="009F2673" w:rsidRPr="003D1E62" w14:paraId="4FA674B8" w14:textId="77777777" w:rsidTr="00C55710">
        <w:tc>
          <w:tcPr>
            <w:tcW w:w="1577" w:type="pct"/>
          </w:tcPr>
          <w:p w14:paraId="3296D8EC" w14:textId="17BA6C17" w:rsidR="009F2673" w:rsidRDefault="001B1DA4" w:rsidP="009E5A87">
            <w:pPr>
              <w:rPr>
                <w:i/>
              </w:rPr>
            </w:pPr>
            <w:r>
              <w:rPr>
                <w:rFonts w:ascii="Wingdings 3" w:hAnsi="Wingdings 3"/>
                <w:sz w:val="34"/>
                <w:szCs w:val="34"/>
                <w:lang w:eastAsia="en-AU"/>
              </w:rPr>
              <w:t></w:t>
            </w:r>
            <w:hyperlink r:id="rId19" w:history="1">
              <w:r w:rsidR="009F2673" w:rsidRPr="009F2673">
                <w:rPr>
                  <w:rStyle w:val="Hyperlink"/>
                  <w:i/>
                </w:rPr>
                <w:t>Black Triangle Scheme</w:t>
              </w:r>
            </w:hyperlink>
            <w:r w:rsidR="009F2673">
              <w:rPr>
                <w:i/>
              </w:rPr>
              <w:t>:</w:t>
            </w:r>
          </w:p>
        </w:tc>
        <w:tc>
          <w:tcPr>
            <w:tcW w:w="3423" w:type="pct"/>
          </w:tcPr>
          <w:p w14:paraId="600CA2FC" w14:textId="353A7932" w:rsidR="00C55710" w:rsidRDefault="009F2673" w:rsidP="00C55710">
            <w:r>
              <w:t>Yes</w:t>
            </w:r>
          </w:p>
          <w:p w14:paraId="0FABDF69" w14:textId="34E9C060" w:rsidR="009F2673" w:rsidRPr="00487162" w:rsidRDefault="009F2673" w:rsidP="009E5A87">
            <w:r>
              <w:t>As a provisionally registered product, this medicine will remain in the Black Triangle Scheme for the duration of its provisional registration</w:t>
            </w:r>
          </w:p>
        </w:tc>
      </w:tr>
      <w:tr w:rsidR="009F2673" w:rsidRPr="003D1E62" w14:paraId="375F7662" w14:textId="77777777" w:rsidTr="00C55710">
        <w:tc>
          <w:tcPr>
            <w:tcW w:w="1577" w:type="pct"/>
          </w:tcPr>
          <w:p w14:paraId="3FD88BD0"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EF4FFFA" w14:textId="77777777" w:rsidR="00C55710" w:rsidRDefault="00C55710" w:rsidP="00C55710">
            <w:r>
              <w:t>AstraZeneca Pty Ltd</w:t>
            </w:r>
          </w:p>
          <w:p w14:paraId="780D0FAE" w14:textId="77777777" w:rsidR="00C55710" w:rsidRDefault="00C55710" w:rsidP="00C55710">
            <w:r>
              <w:t>66 Talavera Road</w:t>
            </w:r>
          </w:p>
          <w:p w14:paraId="717883A6" w14:textId="281F7BB3" w:rsidR="009F2673" w:rsidRDefault="00C55710" w:rsidP="00C55710">
            <w:r>
              <w:t>Macquarie Park, NSW 2113</w:t>
            </w:r>
          </w:p>
        </w:tc>
      </w:tr>
      <w:tr w:rsidR="009F2673" w:rsidRPr="003D1E62" w14:paraId="67156E18" w14:textId="77777777" w:rsidTr="00C55710">
        <w:tc>
          <w:tcPr>
            <w:tcW w:w="1577" w:type="pct"/>
          </w:tcPr>
          <w:p w14:paraId="644D69D6" w14:textId="1D45A0BF" w:rsidR="009F2673" w:rsidRPr="00487162" w:rsidRDefault="009F2673" w:rsidP="009E5A87">
            <w:pPr>
              <w:rPr>
                <w:i/>
              </w:rPr>
            </w:pPr>
            <w:r>
              <w:rPr>
                <w:i/>
              </w:rPr>
              <w:t>Dose form:</w:t>
            </w:r>
          </w:p>
        </w:tc>
        <w:tc>
          <w:tcPr>
            <w:tcW w:w="3423" w:type="pct"/>
          </w:tcPr>
          <w:p w14:paraId="08E22796" w14:textId="38431FBE" w:rsidR="009F2673" w:rsidRDefault="00C55710" w:rsidP="009E5A87">
            <w:r>
              <w:t>Solution for injection</w:t>
            </w:r>
          </w:p>
        </w:tc>
      </w:tr>
      <w:tr w:rsidR="009F2673" w:rsidRPr="003D1E62" w14:paraId="1D9211A0" w14:textId="77777777" w:rsidTr="00C55710">
        <w:tc>
          <w:tcPr>
            <w:tcW w:w="1577" w:type="pct"/>
          </w:tcPr>
          <w:p w14:paraId="3C2D8F4C" w14:textId="47CDC236" w:rsidR="009F2673" w:rsidRPr="00487162" w:rsidRDefault="009F2673" w:rsidP="009E5A87">
            <w:pPr>
              <w:rPr>
                <w:i/>
              </w:rPr>
            </w:pPr>
            <w:r w:rsidRPr="00487162">
              <w:rPr>
                <w:i/>
              </w:rPr>
              <w:t>Strengt</w:t>
            </w:r>
            <w:r w:rsidR="00C55710">
              <w:rPr>
                <w:i/>
              </w:rPr>
              <w:t>h</w:t>
            </w:r>
            <w:r w:rsidRPr="00487162">
              <w:rPr>
                <w:i/>
              </w:rPr>
              <w:t>:</w:t>
            </w:r>
          </w:p>
        </w:tc>
        <w:tc>
          <w:tcPr>
            <w:tcW w:w="3423" w:type="pct"/>
          </w:tcPr>
          <w:p w14:paraId="3ADF24C3" w14:textId="7CF9A39E" w:rsidR="009F2673" w:rsidRDefault="001F4E40" w:rsidP="001F4E40">
            <w:r>
              <w:t>100 mg/mL of tixagevimab and 100 mg/mL of cilgavimab</w:t>
            </w:r>
          </w:p>
        </w:tc>
      </w:tr>
      <w:tr w:rsidR="009F2673" w:rsidRPr="003D1E62" w14:paraId="02E5E406" w14:textId="77777777" w:rsidTr="00C55710">
        <w:tc>
          <w:tcPr>
            <w:tcW w:w="1577" w:type="pct"/>
          </w:tcPr>
          <w:p w14:paraId="07BAF73A" w14:textId="149269CA" w:rsidR="009F2673" w:rsidRPr="00487162" w:rsidRDefault="009F2673" w:rsidP="009E5A87">
            <w:pPr>
              <w:rPr>
                <w:i/>
              </w:rPr>
            </w:pPr>
            <w:r w:rsidRPr="00487162">
              <w:rPr>
                <w:i/>
              </w:rPr>
              <w:t>Container:</w:t>
            </w:r>
          </w:p>
        </w:tc>
        <w:tc>
          <w:tcPr>
            <w:tcW w:w="3423" w:type="pct"/>
          </w:tcPr>
          <w:p w14:paraId="2AAB2637" w14:textId="7D88BDCD" w:rsidR="009F2673" w:rsidRDefault="00C55710" w:rsidP="009E5A87">
            <w:r>
              <w:t>Vial</w:t>
            </w:r>
          </w:p>
        </w:tc>
      </w:tr>
      <w:tr w:rsidR="009F2673" w:rsidRPr="003D1E62" w14:paraId="75255AD6" w14:textId="77777777" w:rsidTr="001F4E40">
        <w:trPr>
          <w:trHeight w:val="1086"/>
        </w:trPr>
        <w:tc>
          <w:tcPr>
            <w:tcW w:w="1577" w:type="pct"/>
          </w:tcPr>
          <w:p w14:paraId="48697E11" w14:textId="069100AB" w:rsidR="009F2673" w:rsidRPr="001F4E40" w:rsidRDefault="009F2673" w:rsidP="009E5A87">
            <w:pPr>
              <w:rPr>
                <w:i/>
              </w:rPr>
            </w:pPr>
            <w:r w:rsidRPr="001F4E40">
              <w:rPr>
                <w:i/>
              </w:rPr>
              <w:t>Pack size:</w:t>
            </w:r>
          </w:p>
        </w:tc>
        <w:tc>
          <w:tcPr>
            <w:tcW w:w="3423" w:type="pct"/>
          </w:tcPr>
          <w:p w14:paraId="41C54376" w14:textId="177313B3" w:rsidR="00C55710" w:rsidRPr="001F4E40" w:rsidRDefault="00C55710" w:rsidP="00C55710">
            <w:r w:rsidRPr="001F4E40">
              <w:t>Each carton</w:t>
            </w:r>
            <w:r w:rsidR="0021674F">
              <w:t xml:space="preserve"> (composite pack)</w:t>
            </w:r>
            <w:r w:rsidRPr="001F4E40">
              <w:t xml:space="preserve"> of Evusheld contains two vials:</w:t>
            </w:r>
          </w:p>
          <w:p w14:paraId="47B9D06C" w14:textId="1B43FC17" w:rsidR="00C55710" w:rsidRPr="001F4E40" w:rsidRDefault="001F4E40" w:rsidP="00C55710">
            <w:pPr>
              <w:pStyle w:val="ListBullet"/>
              <w:numPr>
                <w:ilvl w:val="0"/>
                <w:numId w:val="3"/>
              </w:numPr>
            </w:pPr>
            <w:r w:rsidRPr="001F4E40">
              <w:t xml:space="preserve">150 </w:t>
            </w:r>
            <w:r w:rsidR="00C55710" w:rsidRPr="001F4E40">
              <w:t xml:space="preserve">mg of tixagevimab in </w:t>
            </w:r>
            <w:r w:rsidRPr="001F4E40">
              <w:t>1.5</w:t>
            </w:r>
            <w:r w:rsidR="00C55710" w:rsidRPr="001F4E40">
              <w:t xml:space="preserve"> mL </w:t>
            </w:r>
            <w:r w:rsidR="00BB7206">
              <w:t xml:space="preserve">solution </w:t>
            </w:r>
            <w:r w:rsidR="00C55710" w:rsidRPr="001F4E40">
              <w:t>(100 mg/mL)</w:t>
            </w:r>
          </w:p>
          <w:p w14:paraId="12161B63" w14:textId="0BF53F51" w:rsidR="009F2673" w:rsidRPr="001F4E40" w:rsidRDefault="001F4E40" w:rsidP="00C55710">
            <w:pPr>
              <w:pStyle w:val="ListBullet"/>
            </w:pPr>
            <w:r w:rsidRPr="001F4E40">
              <w:t>150</w:t>
            </w:r>
            <w:r w:rsidR="00C55710" w:rsidRPr="001F4E40">
              <w:t xml:space="preserve"> mg of cilgavimab in </w:t>
            </w:r>
            <w:r w:rsidRPr="001F4E40">
              <w:t>1.5</w:t>
            </w:r>
            <w:r w:rsidR="00C55710" w:rsidRPr="001F4E40">
              <w:t xml:space="preserve"> mL </w:t>
            </w:r>
            <w:r w:rsidR="00BB7206">
              <w:t xml:space="preserve">solution </w:t>
            </w:r>
            <w:r w:rsidR="00C55710" w:rsidRPr="001F4E40">
              <w:t>(100 mg/mL)</w:t>
            </w:r>
          </w:p>
        </w:tc>
      </w:tr>
      <w:tr w:rsidR="009F2673" w:rsidRPr="003D1E62" w14:paraId="67B30409" w14:textId="77777777" w:rsidTr="00C55710">
        <w:tc>
          <w:tcPr>
            <w:tcW w:w="1577" w:type="pct"/>
          </w:tcPr>
          <w:p w14:paraId="351AB496" w14:textId="77777777" w:rsidR="009F2673" w:rsidRPr="001F4E40" w:rsidRDefault="009F2673" w:rsidP="009E5A87">
            <w:pPr>
              <w:rPr>
                <w:i/>
              </w:rPr>
            </w:pPr>
            <w:r w:rsidRPr="001F4E40">
              <w:rPr>
                <w:i/>
              </w:rPr>
              <w:t>Approved therapeutic use:</w:t>
            </w:r>
          </w:p>
        </w:tc>
        <w:tc>
          <w:tcPr>
            <w:tcW w:w="3423" w:type="pct"/>
          </w:tcPr>
          <w:p w14:paraId="24094E2C" w14:textId="282AAD4D" w:rsidR="001F4E40" w:rsidRPr="007352B4" w:rsidRDefault="001F4E40" w:rsidP="001F4E40">
            <w:pPr>
              <w:rPr>
                <w:i/>
                <w:iCs/>
              </w:rPr>
            </w:pPr>
            <w:r w:rsidRPr="007352B4">
              <w:rPr>
                <w:i/>
                <w:iCs/>
              </w:rPr>
              <w:t>E</w:t>
            </w:r>
            <w:r w:rsidR="00501083" w:rsidRPr="007352B4">
              <w:rPr>
                <w:i/>
                <w:iCs/>
              </w:rPr>
              <w:t xml:space="preserve">vusheld </w:t>
            </w:r>
            <w:r w:rsidRPr="007352B4">
              <w:rPr>
                <w:i/>
                <w:iCs/>
              </w:rPr>
              <w:t xml:space="preserve">has </w:t>
            </w:r>
            <w:r w:rsidRPr="007352B4">
              <w:rPr>
                <w:b/>
                <w:bCs/>
                <w:i/>
                <w:iCs/>
              </w:rPr>
              <w:t>provisional approval</w:t>
            </w:r>
            <w:r w:rsidRPr="007352B4">
              <w:rPr>
                <w:i/>
                <w:iCs/>
              </w:rPr>
              <w:t xml:space="preserve"> for the treatment of adults with COVID-19, who do not require supplemental oxygen and who are at increased risk of progressing to severe COVID-19. See Section 4.2 Dose and method of administration and Section 5.2 Pharmacokinetic properties.</w:t>
            </w:r>
          </w:p>
          <w:p w14:paraId="5C8EA73F" w14:textId="1408A43C" w:rsidR="009F2673" w:rsidRPr="001F4E40" w:rsidRDefault="001F4E40" w:rsidP="001F4E40">
            <w:r w:rsidRPr="007352B4">
              <w:rPr>
                <w:i/>
                <w:iCs/>
              </w:rPr>
              <w:t xml:space="preserve">This decision has been made </w:t>
            </w:r>
            <w:proofErr w:type="gramStart"/>
            <w:r w:rsidRPr="007352B4">
              <w:rPr>
                <w:i/>
                <w:iCs/>
              </w:rPr>
              <w:t>on the basis of</w:t>
            </w:r>
            <w:proofErr w:type="gramEnd"/>
            <w:r w:rsidRPr="007352B4">
              <w:rPr>
                <w:i/>
                <w:iCs/>
              </w:rPr>
              <w:t xml:space="preserve"> short-term efficacy and safety data. Continued approval depends on the evidence of longer-term efficacy and safety data from ongoing clinical trial.</w:t>
            </w:r>
          </w:p>
        </w:tc>
      </w:tr>
      <w:tr w:rsidR="009F2673" w:rsidRPr="003D1E62" w14:paraId="62E32EF6" w14:textId="77777777" w:rsidTr="00C55710">
        <w:tc>
          <w:tcPr>
            <w:tcW w:w="1577" w:type="pct"/>
          </w:tcPr>
          <w:p w14:paraId="59AEB98A" w14:textId="23BD1848" w:rsidR="009F2673" w:rsidRPr="00487162" w:rsidRDefault="009F2673" w:rsidP="009E5A87">
            <w:pPr>
              <w:rPr>
                <w:i/>
              </w:rPr>
            </w:pPr>
            <w:r w:rsidRPr="00487162">
              <w:rPr>
                <w:i/>
              </w:rPr>
              <w:t>Route of administration:</w:t>
            </w:r>
          </w:p>
        </w:tc>
        <w:tc>
          <w:tcPr>
            <w:tcW w:w="3423" w:type="pct"/>
          </w:tcPr>
          <w:p w14:paraId="1F10CF08" w14:textId="7E9723B1" w:rsidR="00BB7206" w:rsidRPr="00487162" w:rsidRDefault="00C05C0E" w:rsidP="009E5A87">
            <w:r w:rsidRPr="00B047F6">
              <w:t>Intramuscular injection</w:t>
            </w:r>
          </w:p>
        </w:tc>
      </w:tr>
      <w:tr w:rsidR="009F2673" w:rsidRPr="003D1E62" w14:paraId="3D24BFFA" w14:textId="77777777" w:rsidTr="00C55710">
        <w:tc>
          <w:tcPr>
            <w:tcW w:w="1577" w:type="pct"/>
          </w:tcPr>
          <w:p w14:paraId="408D7107" w14:textId="77777777" w:rsidR="009F2673" w:rsidRPr="00E44492" w:rsidRDefault="009F2673" w:rsidP="009E5A87">
            <w:pPr>
              <w:rPr>
                <w:i/>
              </w:rPr>
            </w:pPr>
            <w:r w:rsidRPr="00E44492">
              <w:rPr>
                <w:i/>
              </w:rPr>
              <w:lastRenderedPageBreak/>
              <w:t>Dosage:</w:t>
            </w:r>
          </w:p>
        </w:tc>
        <w:tc>
          <w:tcPr>
            <w:tcW w:w="3423" w:type="pct"/>
          </w:tcPr>
          <w:p w14:paraId="39A980D5" w14:textId="761A7D71" w:rsidR="001F4E40" w:rsidRPr="00E44492" w:rsidRDefault="00A267A1" w:rsidP="001F4E40">
            <w:pPr>
              <w:rPr>
                <w:b/>
                <w:bCs/>
              </w:rPr>
            </w:pPr>
            <w:r w:rsidRPr="00E44492">
              <w:rPr>
                <w:b/>
                <w:bCs/>
              </w:rPr>
              <w:t xml:space="preserve">Indication: </w:t>
            </w:r>
            <w:r w:rsidR="001F4E40" w:rsidRPr="00E44492">
              <w:rPr>
                <w:b/>
                <w:bCs/>
              </w:rPr>
              <w:t>Pre-exposure prophylaxis</w:t>
            </w:r>
            <w:r w:rsidRPr="00E44492">
              <w:rPr>
                <w:b/>
                <w:bCs/>
              </w:rPr>
              <w:t xml:space="preserve"> for COVID-19</w:t>
            </w:r>
          </w:p>
          <w:p w14:paraId="36C03E40" w14:textId="52E86702" w:rsidR="001F4E40" w:rsidRPr="00E44492" w:rsidRDefault="001F4E40" w:rsidP="001F4E40">
            <w:r w:rsidRPr="00E44492">
              <w:t xml:space="preserve">The recommended dose is 600 mg of Evusheld, administered as two separate 3 mL, sequential injections </w:t>
            </w:r>
            <w:r w:rsidR="00BB7206" w:rsidRPr="00E44492">
              <w:t>containing</w:t>
            </w:r>
            <w:r w:rsidRPr="00E44492">
              <w:t>:</w:t>
            </w:r>
          </w:p>
          <w:p w14:paraId="0820F30C" w14:textId="56BF52A4" w:rsidR="001F4E40" w:rsidRPr="00E44492" w:rsidRDefault="001F4E40" w:rsidP="001F4E40">
            <w:pPr>
              <w:pStyle w:val="ListBullet"/>
            </w:pPr>
            <w:r w:rsidRPr="00E44492">
              <w:t>300 mg of tixagevimab</w:t>
            </w:r>
            <w:r w:rsidR="00BB7206" w:rsidRPr="00E44492">
              <w:t>, and</w:t>
            </w:r>
          </w:p>
          <w:p w14:paraId="7318C602" w14:textId="258E7BA0" w:rsidR="001F4E40" w:rsidRPr="00E44492" w:rsidRDefault="001F4E40" w:rsidP="001F4E40">
            <w:pPr>
              <w:pStyle w:val="ListBullet"/>
            </w:pPr>
            <w:r w:rsidRPr="00E44492">
              <w:t>300 mg of cilgavimab</w:t>
            </w:r>
          </w:p>
          <w:p w14:paraId="559E207F" w14:textId="699547E3" w:rsidR="0021674F" w:rsidRPr="00E44492" w:rsidRDefault="001F4E40" w:rsidP="0021674F">
            <w:r w:rsidRPr="00E44492">
              <w:t xml:space="preserve">Repeat doses of 600 mg of Evusheld (300 mg of tixagevimab and 300 mg of cilgavimab) </w:t>
            </w:r>
            <w:r w:rsidR="003400B0" w:rsidRPr="00E44492">
              <w:t>is</w:t>
            </w:r>
            <w:r w:rsidRPr="00E44492">
              <w:t xml:space="preserve"> optional and</w:t>
            </w:r>
            <w:r w:rsidR="00BB7206" w:rsidRPr="00E44492">
              <w:t xml:space="preserve"> </w:t>
            </w:r>
            <w:r w:rsidRPr="00E44492">
              <w:t>may be given once every 6 months at the discretion of the treating health care professional. The decision for whom to implement repeat dosing should be based on the available evidence and patient circumstances. Repeat-dosing should only be considered if the treatment benefit outweighs the associated risks.</w:t>
            </w:r>
          </w:p>
          <w:p w14:paraId="3A88155F" w14:textId="2A373B48" w:rsidR="0021674F" w:rsidRPr="00E44492" w:rsidRDefault="0021674F" w:rsidP="001F4E40">
            <w:r w:rsidRPr="00E44492">
              <w:t xml:space="preserve">The dose recommendations for prophylaxis at the 600mg dose of </w:t>
            </w:r>
            <w:r w:rsidR="003400B0" w:rsidRPr="00E44492">
              <w:t xml:space="preserve">Evusheld </w:t>
            </w:r>
            <w:r w:rsidRPr="00E44492">
              <w:t>are based on the totality of the available data including clinical pharmacology, pharmacokinetics (PK), antiviral activity, and clinical trial data (see Section 4.8 Adver</w:t>
            </w:r>
            <w:r w:rsidR="003400B0" w:rsidRPr="00E44492">
              <w:t>se effects (Undesirable effects);</w:t>
            </w:r>
            <w:r w:rsidRPr="00E44492">
              <w:t xml:space="preserve"> Section 5.1 Pharmacodynamic properties</w:t>
            </w:r>
            <w:r w:rsidR="003400B0" w:rsidRPr="00E44492">
              <w:t>;</w:t>
            </w:r>
            <w:r w:rsidRPr="00E44492">
              <w:t xml:space="preserve"> and Section 5.2 Pharmacokinetic properties</w:t>
            </w:r>
            <w:r w:rsidR="003400B0" w:rsidRPr="00E44492">
              <w:t xml:space="preserve"> of the Product Information</w:t>
            </w:r>
            <w:r w:rsidRPr="00E44492">
              <w:t xml:space="preserve">). </w:t>
            </w:r>
            <w:r w:rsidR="003400B0" w:rsidRPr="00E44492">
              <w:t xml:space="preserve">Evusheld </w:t>
            </w:r>
            <w:r w:rsidRPr="00E44492">
              <w:t xml:space="preserve">has only been studied at the 300 mg dose in clinical studies for the prophylaxis of COVID-19.  The clinical safety of a 600 mg </w:t>
            </w:r>
            <w:r w:rsidR="003400B0" w:rsidRPr="00E44492">
              <w:t xml:space="preserve">Evusheld </w:t>
            </w:r>
            <w:r w:rsidRPr="00E44492">
              <w:t xml:space="preserve">dose is supported by safety data from </w:t>
            </w:r>
            <w:r w:rsidR="003400B0" w:rsidRPr="00E44492">
              <w:t xml:space="preserve">the </w:t>
            </w:r>
            <w:r w:rsidRPr="00E44492">
              <w:t xml:space="preserve">TACKLE </w:t>
            </w:r>
            <w:r w:rsidR="003400B0" w:rsidRPr="00E44492">
              <w:t xml:space="preserve">trial </w:t>
            </w:r>
            <w:r w:rsidRPr="00E44492">
              <w:t>in adult patients with mild to moderate COVID-19 (see Section 4.8 Adverse effects (Undesirable effects)</w:t>
            </w:r>
            <w:r w:rsidR="003400B0" w:rsidRPr="00E44492">
              <w:t xml:space="preserve"> for further information</w:t>
            </w:r>
            <w:r w:rsidRPr="00E44492">
              <w:t>).</w:t>
            </w:r>
          </w:p>
          <w:p w14:paraId="48345F52" w14:textId="7D3CC60D" w:rsidR="001F4E40" w:rsidRPr="00E44492" w:rsidRDefault="00A267A1" w:rsidP="001F4E40">
            <w:pPr>
              <w:rPr>
                <w:b/>
                <w:bCs/>
              </w:rPr>
            </w:pPr>
            <w:r w:rsidRPr="00E44492">
              <w:rPr>
                <w:b/>
                <w:bCs/>
              </w:rPr>
              <w:t xml:space="preserve">Indication: </w:t>
            </w:r>
            <w:r w:rsidR="001F4E40" w:rsidRPr="00E44492">
              <w:rPr>
                <w:b/>
                <w:bCs/>
              </w:rPr>
              <w:t>Treatment</w:t>
            </w:r>
            <w:r w:rsidR="003400B0" w:rsidRPr="00E44492">
              <w:rPr>
                <w:b/>
                <w:bCs/>
              </w:rPr>
              <w:t xml:space="preserve"> </w:t>
            </w:r>
            <w:r w:rsidRPr="00E44492">
              <w:rPr>
                <w:b/>
                <w:bCs/>
              </w:rPr>
              <w:t>of COVID-19</w:t>
            </w:r>
          </w:p>
          <w:p w14:paraId="1C39B338" w14:textId="67B0AF85" w:rsidR="001F4E40" w:rsidRPr="00E44492" w:rsidRDefault="001F4E40" w:rsidP="001F4E40">
            <w:r w:rsidRPr="00E44492">
              <w:t>The recommended dose is 600 mg of Evusheld, administered as two separate 3 mL, sequential injections of:</w:t>
            </w:r>
          </w:p>
          <w:p w14:paraId="6C9D2A6E" w14:textId="5B17101A" w:rsidR="001F4E40" w:rsidRPr="00E44492" w:rsidRDefault="001F4E40" w:rsidP="001F4E40">
            <w:pPr>
              <w:pStyle w:val="ListBullet"/>
            </w:pPr>
            <w:r w:rsidRPr="00E44492">
              <w:t>300 mg of tixagevimab</w:t>
            </w:r>
          </w:p>
          <w:p w14:paraId="6471BBEA" w14:textId="6AD6F9A5" w:rsidR="001F4E40" w:rsidRPr="00E44492" w:rsidRDefault="001F4E40" w:rsidP="001F4E40">
            <w:pPr>
              <w:pStyle w:val="ListBullet"/>
            </w:pPr>
            <w:r w:rsidRPr="00E44492">
              <w:t>300 mg of cilgavimab</w:t>
            </w:r>
          </w:p>
          <w:p w14:paraId="5E976230" w14:textId="5C465C14" w:rsidR="00540FB4" w:rsidRPr="00E44492" w:rsidRDefault="001F4E40" w:rsidP="003400B0">
            <w:pPr>
              <w:rPr>
                <w:lang w:val="en-GB"/>
              </w:rPr>
            </w:pPr>
            <w:r w:rsidRPr="00E44492">
              <w:t>Evusheld should be given as soon as possible after a positive viral test for SARS-CoV-2 and within 7 days after the onset of symptoms of COVID-19 (see Section 5.1 Pharmacodynamic properties).</w:t>
            </w:r>
          </w:p>
          <w:p w14:paraId="6A1184E9" w14:textId="73A05500" w:rsidR="009F2673" w:rsidRPr="00E44492" w:rsidRDefault="009F2673" w:rsidP="001F4E40">
            <w:r w:rsidRPr="00E44492">
              <w:t>For further information regarding dosage, refer to the Product Information.</w:t>
            </w:r>
          </w:p>
        </w:tc>
      </w:tr>
      <w:tr w:rsidR="009F2673" w:rsidRPr="003D1E62" w14:paraId="1F011FE4" w14:textId="77777777" w:rsidTr="00C55710">
        <w:tc>
          <w:tcPr>
            <w:tcW w:w="1577" w:type="pct"/>
          </w:tcPr>
          <w:p w14:paraId="45E5B1C9" w14:textId="77777777" w:rsidR="009F2673" w:rsidRPr="00487162" w:rsidRDefault="009F2673" w:rsidP="009E5A87">
            <w:pPr>
              <w:rPr>
                <w:i/>
              </w:rPr>
            </w:pPr>
            <w:r w:rsidRPr="00460036">
              <w:rPr>
                <w:i/>
              </w:rPr>
              <w:t>Pregnancy category</w:t>
            </w:r>
            <w:r>
              <w:rPr>
                <w:i/>
              </w:rPr>
              <w:t>:</w:t>
            </w:r>
          </w:p>
        </w:tc>
        <w:tc>
          <w:tcPr>
            <w:tcW w:w="3423" w:type="pct"/>
          </w:tcPr>
          <w:p w14:paraId="6AD3A424" w14:textId="77777777" w:rsidR="00C05C0E" w:rsidRDefault="00C05C0E" w:rsidP="00C05C0E">
            <w:r>
              <w:t>B2</w:t>
            </w:r>
          </w:p>
          <w:p w14:paraId="544CE37A" w14:textId="77777777" w:rsidR="00C05C0E" w:rsidRDefault="00C05C0E" w:rsidP="00C05C0E">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24BF9677" w14:textId="77777777" w:rsidR="00C05C0E" w:rsidRDefault="00C05C0E" w:rsidP="00C05C0E">
            <w:r>
              <w:lastRenderedPageBreak/>
              <w:t xml:space="preserve">Studies in animals are inadequate or may be lacking, but available data show no evidence of an increased occurrence of </w:t>
            </w:r>
            <w:proofErr w:type="spellStart"/>
            <w:r>
              <w:t>fetal</w:t>
            </w:r>
            <w:proofErr w:type="spellEnd"/>
            <w:r>
              <w:t xml:space="preserve"> damage.</w:t>
            </w:r>
          </w:p>
          <w:p w14:paraId="36D4DBCD" w14:textId="64FC1038" w:rsidR="009F2673" w:rsidRPr="00487162" w:rsidRDefault="00C05C0E" w:rsidP="00C05C0E">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9312E32" w14:textId="77777777" w:rsidR="008E7846" w:rsidRDefault="008E7846" w:rsidP="008E7846">
      <w:pPr>
        <w:pStyle w:val="Heading3"/>
      </w:pPr>
      <w:bookmarkStart w:id="11" w:name="_Toc247691503"/>
      <w:bookmarkStart w:id="12" w:name="_Toc314842484"/>
      <w:bookmarkStart w:id="13" w:name="_Toc122596073"/>
      <w:r>
        <w:lastRenderedPageBreak/>
        <w:t>Product background</w:t>
      </w:r>
      <w:bookmarkEnd w:id="11"/>
      <w:bookmarkEnd w:id="12"/>
      <w:bookmarkEnd w:id="13"/>
    </w:p>
    <w:p w14:paraId="245ADE41" w14:textId="5D385B9B" w:rsidR="003B0BED"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FB43E0" w:rsidRPr="00C55710">
        <w:t>AstraZeneca Pty Ltd</w:t>
      </w:r>
      <w:r w:rsidRPr="000A4A42">
        <w:t xml:space="preserve"> (the sponsor) to register </w:t>
      </w:r>
      <w:r w:rsidR="00FB43E0" w:rsidRPr="00C55710">
        <w:t>E</w:t>
      </w:r>
      <w:r w:rsidR="00FB43E0">
        <w:t>vusheld</w:t>
      </w:r>
      <w:r w:rsidR="00FB43E0" w:rsidRPr="00C55710">
        <w:t xml:space="preserve"> </w:t>
      </w:r>
      <w:r w:rsidR="00FB43E0">
        <w:t>(</w:t>
      </w:r>
      <w:r w:rsidR="00FB43E0" w:rsidRPr="00C55710">
        <w:t>tixagevimab and cilgavimab</w:t>
      </w:r>
      <w:r w:rsidRPr="000A4A42">
        <w:t xml:space="preserve">) </w:t>
      </w:r>
      <w:r w:rsidR="007352B4" w:rsidRPr="007352B4">
        <w:t>100 mg/mL of tixagevimab and 100 mg/mL of cilgavimab</w:t>
      </w:r>
      <w:r w:rsidRPr="007352B4">
        <w:t xml:space="preserve">, </w:t>
      </w:r>
      <w:r w:rsidR="00FB43E0" w:rsidRPr="007352B4">
        <w:t>solut</w:t>
      </w:r>
      <w:r w:rsidR="00FB43E0">
        <w:t>ion for injection</w:t>
      </w:r>
      <w:r w:rsidR="00BF2A06">
        <w:t xml:space="preserve">, </w:t>
      </w:r>
      <w:r w:rsidRPr="000A4A42">
        <w:t xml:space="preserve">for the following </w:t>
      </w:r>
      <w:r w:rsidR="007352B4">
        <w:t xml:space="preserve">indication and </w:t>
      </w:r>
      <w:r w:rsidRPr="000A4A42">
        <w:t xml:space="preserve">proposed </w:t>
      </w:r>
      <w:r>
        <w:t>change in dose regime</w:t>
      </w:r>
      <w:r w:rsidR="00FB43E0">
        <w:t xml:space="preserve"> and updates to the Product Information (PI)</w:t>
      </w:r>
      <w:r w:rsidRPr="000A4A42">
        <w:t>:</w:t>
      </w:r>
    </w:p>
    <w:p w14:paraId="3EC5E8C4" w14:textId="4D0D350F" w:rsidR="009F2673" w:rsidRPr="00FF69E1" w:rsidRDefault="007352B4" w:rsidP="003B0BED">
      <w:pPr>
        <w:ind w:firstLine="720"/>
        <w:rPr>
          <w:b/>
        </w:rPr>
      </w:pPr>
      <w:r w:rsidRPr="00FF69E1">
        <w:rPr>
          <w:b/>
        </w:rPr>
        <w:t>Treatment indication</w:t>
      </w:r>
    </w:p>
    <w:p w14:paraId="54AAF828" w14:textId="1C1EBCB6" w:rsidR="003B0BED" w:rsidRPr="00534D52" w:rsidRDefault="003B0BED" w:rsidP="003B0BED">
      <w:pPr>
        <w:ind w:left="720"/>
        <w:rPr>
          <w:i/>
        </w:rPr>
      </w:pPr>
      <w:r w:rsidRPr="00BF2A06">
        <w:rPr>
          <w:i/>
        </w:rPr>
        <w:t>Evusheld has provisional approval for the treatment of mild to moderate COVID-19 in adults and adolescents aged 12 years an</w:t>
      </w:r>
      <w:r w:rsidRPr="00534D52">
        <w:rPr>
          <w:i/>
        </w:rPr>
        <w:t>d older weighing at least 40 kg, see Section 4.2 Dose and method of administration and Section 5.2 Pharmacokinetic properties</w:t>
      </w:r>
      <w:r w:rsidR="005367A8" w:rsidRPr="00534D52">
        <w:rPr>
          <w:i/>
        </w:rPr>
        <w:t xml:space="preserve">. </w:t>
      </w:r>
      <w:r w:rsidRPr="00534D52">
        <w:rPr>
          <w:i/>
        </w:rPr>
        <w:t xml:space="preserve">The decision has been made on the basis of </w:t>
      </w:r>
      <w:proofErr w:type="gramStart"/>
      <w:r w:rsidRPr="00534D52">
        <w:rPr>
          <w:i/>
        </w:rPr>
        <w:t>short term</w:t>
      </w:r>
      <w:proofErr w:type="gramEnd"/>
      <w:r w:rsidRPr="00534D52">
        <w:rPr>
          <w:i/>
        </w:rPr>
        <w:t xml:space="preserve"> efficacy and safety data. Continued approval depends on the evidence of </w:t>
      </w:r>
      <w:proofErr w:type="gramStart"/>
      <w:r w:rsidRPr="00534D52">
        <w:rPr>
          <w:i/>
        </w:rPr>
        <w:t>longer term</w:t>
      </w:r>
      <w:proofErr w:type="gramEnd"/>
      <w:r w:rsidRPr="00534D52">
        <w:rPr>
          <w:i/>
        </w:rPr>
        <w:t xml:space="preserve"> efficacy and safety data from ongoing clinical trials.</w:t>
      </w:r>
    </w:p>
    <w:p w14:paraId="7A561D32" w14:textId="51BDB389" w:rsidR="003B0BED" w:rsidRPr="00FF69E1" w:rsidRDefault="003B0BED" w:rsidP="00FB43E0">
      <w:pPr>
        <w:ind w:left="720"/>
        <w:rPr>
          <w:b/>
        </w:rPr>
      </w:pPr>
      <w:r w:rsidRPr="00FF69E1">
        <w:rPr>
          <w:b/>
        </w:rPr>
        <w:t>Proposed changes in dose regime</w:t>
      </w:r>
      <w:r w:rsidR="002B2D81" w:rsidRPr="00FF69E1">
        <w:rPr>
          <w:b/>
        </w:rPr>
        <w:t>n for the pre-exposure prophylaxis indication</w:t>
      </w:r>
      <w:r w:rsidRPr="00FF69E1">
        <w:rPr>
          <w:b/>
        </w:rPr>
        <w:t xml:space="preserve"> and updates to </w:t>
      </w:r>
      <w:r w:rsidR="002F1988">
        <w:rPr>
          <w:b/>
        </w:rPr>
        <w:t>the Product Information</w:t>
      </w:r>
    </w:p>
    <w:p w14:paraId="582F2CBB" w14:textId="759D720C" w:rsidR="00FB43E0" w:rsidRPr="00FF69E1" w:rsidRDefault="00FB43E0" w:rsidP="00FB43E0">
      <w:pPr>
        <w:ind w:left="720"/>
        <w:rPr>
          <w:iCs/>
        </w:rPr>
      </w:pPr>
      <w:r w:rsidRPr="00FF69E1">
        <w:rPr>
          <w:iCs/>
        </w:rPr>
        <w:t xml:space="preserve">The recommended dose </w:t>
      </w:r>
      <w:r w:rsidR="002B2D81" w:rsidRPr="00FF69E1">
        <w:rPr>
          <w:iCs/>
        </w:rPr>
        <w:t xml:space="preserve">for the pre-exposure prophylaxis of COVID-19 </w:t>
      </w:r>
      <w:r w:rsidRPr="00FF69E1">
        <w:rPr>
          <w:iCs/>
        </w:rPr>
        <w:t xml:space="preserve">is proposed to be increased from 300 mg to 600 mg </w:t>
      </w:r>
      <w:r w:rsidR="00FA5D36">
        <w:rPr>
          <w:iCs/>
        </w:rPr>
        <w:t xml:space="preserve">via </w:t>
      </w:r>
      <w:r w:rsidRPr="00FF69E1">
        <w:rPr>
          <w:iCs/>
        </w:rPr>
        <w:t>intramuscular (IM)</w:t>
      </w:r>
      <w:r w:rsidR="00FA5D36">
        <w:rPr>
          <w:iCs/>
        </w:rPr>
        <w:t xml:space="preserve"> injection</w:t>
      </w:r>
      <w:r w:rsidRPr="00FF69E1">
        <w:rPr>
          <w:iCs/>
        </w:rPr>
        <w:t xml:space="preserve"> and it is proposed to introduce a repeat dosing recommendation of 600 mg IM every 6</w:t>
      </w:r>
      <w:r w:rsidR="00FA5D36">
        <w:rPr>
          <w:iCs/>
        </w:rPr>
        <w:t> </w:t>
      </w:r>
      <w:r w:rsidRPr="00FF69E1">
        <w:rPr>
          <w:iCs/>
        </w:rPr>
        <w:t>months to provide ongoing protection.</w:t>
      </w:r>
    </w:p>
    <w:p w14:paraId="5F10852F" w14:textId="342D2A0D" w:rsidR="00FB43E0" w:rsidRPr="00FA5D36" w:rsidRDefault="00FB43E0" w:rsidP="00FB43E0">
      <w:pPr>
        <w:ind w:left="720"/>
      </w:pPr>
      <w:r w:rsidRPr="00FF69E1">
        <w:rPr>
          <w:iCs/>
        </w:rPr>
        <w:t xml:space="preserve">The proposed updates to the posology and other sections of the PI are based on emerging in vitro neutralisation data for new variants of concern and clinical data presented in a PROVENT </w:t>
      </w:r>
      <w:r w:rsidR="00FA5D36">
        <w:rPr>
          <w:iCs/>
        </w:rPr>
        <w:t xml:space="preserve">clinical trial </w:t>
      </w:r>
      <w:r w:rsidRPr="00FF69E1">
        <w:rPr>
          <w:iCs/>
        </w:rPr>
        <w:t>12-month update report based on a data-cut off of April 2022, a PROVENT</w:t>
      </w:r>
      <w:r w:rsidR="00FA5D36">
        <w:rPr>
          <w:iCs/>
        </w:rPr>
        <w:t xml:space="preserve"> trial</w:t>
      </w:r>
      <w:r w:rsidRPr="00FF69E1">
        <w:rPr>
          <w:iCs/>
        </w:rPr>
        <w:t xml:space="preserve"> anti-drug antibodies (ADA) update report (Day</w:t>
      </w:r>
      <w:r w:rsidR="002F1988">
        <w:rPr>
          <w:iCs/>
        </w:rPr>
        <w:t> </w:t>
      </w:r>
      <w:r w:rsidRPr="00FF69E1">
        <w:rPr>
          <w:iCs/>
        </w:rPr>
        <w:t xml:space="preserve">183), a PROVENT </w:t>
      </w:r>
      <w:r w:rsidR="00FA5D36">
        <w:rPr>
          <w:iCs/>
        </w:rPr>
        <w:t xml:space="preserve">trial </w:t>
      </w:r>
      <w:r w:rsidRPr="00FF69E1">
        <w:rPr>
          <w:iCs/>
        </w:rPr>
        <w:t xml:space="preserve">repeat dose </w:t>
      </w:r>
      <w:proofErr w:type="spellStart"/>
      <w:r w:rsidRPr="00FF69E1">
        <w:rPr>
          <w:iCs/>
        </w:rPr>
        <w:t>substudy</w:t>
      </w:r>
      <w:proofErr w:type="spellEnd"/>
      <w:r w:rsidRPr="00FF69E1">
        <w:rPr>
          <w:iCs/>
        </w:rPr>
        <w:t xml:space="preserve"> interim analysis report, safety data from a Phase III study in treatment of mild to moderate COVID-19 (TACKLE</w:t>
      </w:r>
      <w:r w:rsidR="00FA5D36">
        <w:rPr>
          <w:iCs/>
        </w:rPr>
        <w:t xml:space="preserve"> trial</w:t>
      </w:r>
      <w:r w:rsidRPr="00FF69E1">
        <w:rPr>
          <w:iCs/>
        </w:rPr>
        <w:t>), and available post-authorisation/marketing safety and real world effectiveness data.</w:t>
      </w:r>
    </w:p>
    <w:p w14:paraId="422B4408" w14:textId="441DA032" w:rsidR="00FA5D36" w:rsidRDefault="00FB43E0" w:rsidP="004D43A5">
      <w:bookmarkStart w:id="14" w:name="_Toc314842485"/>
      <w:bookmarkStart w:id="15" w:name="_Toc247691504"/>
      <w:r>
        <w:t>E</w:t>
      </w:r>
      <w:r w:rsidR="004D43A5">
        <w:t>vusheld</w:t>
      </w:r>
      <w:r>
        <w:t xml:space="preserve"> is a combination of two</w:t>
      </w:r>
      <w:r w:rsidR="00FA5D36">
        <w:t xml:space="preserve"> human</w:t>
      </w:r>
      <w:r>
        <w:t xml:space="preserve"> </w:t>
      </w:r>
      <w:r w:rsidR="00FA5D36">
        <w:t xml:space="preserve">monoclonal antibodies (tixagevimab and cilgavimab) </w:t>
      </w:r>
      <w:r w:rsidR="00AC3EE1">
        <w:t>specific to</w:t>
      </w:r>
      <w:r w:rsidR="00FA5D36">
        <w:t xml:space="preserve"> </w:t>
      </w:r>
      <w:r w:rsidR="004D43A5">
        <w:t>s</w:t>
      </w:r>
      <w:r w:rsidR="004D43A5" w:rsidRPr="00F328E8">
        <w:t>evere acute respiratory syndrome coronavirus 2</w:t>
      </w:r>
      <w:r w:rsidR="004D43A5">
        <w:t xml:space="preserve"> (</w:t>
      </w:r>
      <w:r>
        <w:t>SARS</w:t>
      </w:r>
      <w:r w:rsidR="00AC3EE1">
        <w:noBreakHyphen/>
      </w:r>
      <w:r>
        <w:t>CoV</w:t>
      </w:r>
      <w:r w:rsidR="00AC3EE1">
        <w:noBreakHyphen/>
      </w:r>
      <w:r>
        <w:t>2</w:t>
      </w:r>
      <w:r w:rsidR="004D43A5">
        <w:t>)</w:t>
      </w:r>
      <w:r w:rsidR="00AC3EE1">
        <w:t>, the virus responsible for causing COVID-19 disease.</w:t>
      </w:r>
      <w:r w:rsidR="00FA5D36">
        <w:t xml:space="preserve"> </w:t>
      </w:r>
    </w:p>
    <w:p w14:paraId="7150146A" w14:textId="21428A7D" w:rsidR="00F037F4" w:rsidRDefault="00AC3EE1" w:rsidP="004D43A5">
      <w:r>
        <w:t xml:space="preserve">The two different </w:t>
      </w:r>
      <w:r w:rsidR="00FA5D36" w:rsidRPr="00FA5D36">
        <w:t>monoclonal antibodies bind to</w:t>
      </w:r>
      <w:r>
        <w:t xml:space="preserve"> two</w:t>
      </w:r>
      <w:r w:rsidR="00FA5D36" w:rsidRPr="00FA5D36">
        <w:t xml:space="preserve"> distinct parts </w:t>
      </w:r>
      <w:r>
        <w:t xml:space="preserve">(two non-overlapping epitopes) </w:t>
      </w:r>
      <w:r w:rsidR="00FA5D36" w:rsidRPr="00FA5D36">
        <w:t>of the receptor-binding domains located o</w:t>
      </w:r>
      <w:r>
        <w:t xml:space="preserve">n the SARS-CoV-2 spike protein. As a result, the combination of monoclonal antibodies </w:t>
      </w:r>
      <w:proofErr w:type="gramStart"/>
      <w:r>
        <w:t>block</w:t>
      </w:r>
      <w:proofErr w:type="gramEnd"/>
      <w:r>
        <w:t xml:space="preserve"> the interaction between the SARS</w:t>
      </w:r>
      <w:r>
        <w:noBreakHyphen/>
        <w:t xml:space="preserve">CoV-2 virus and the </w:t>
      </w:r>
      <w:r>
        <w:rPr>
          <w:color w:val="000000"/>
        </w:rPr>
        <w:t>human a</w:t>
      </w:r>
      <w:r w:rsidRPr="00A77DC5">
        <w:rPr>
          <w:color w:val="000000"/>
        </w:rPr>
        <w:t>ngiotensin</w:t>
      </w:r>
      <w:r>
        <w:rPr>
          <w:color w:val="000000"/>
        </w:rPr>
        <w:t xml:space="preserve"> </w:t>
      </w:r>
      <w:r w:rsidRPr="00A77DC5">
        <w:rPr>
          <w:color w:val="000000"/>
        </w:rPr>
        <w:t>converting enzyme 2</w:t>
      </w:r>
      <w:r>
        <w:t xml:space="preserve"> (ACE-2) host cellular receptor</w:t>
      </w:r>
      <w:r w:rsidR="00F037F4">
        <w:t xml:space="preserve">, resulting in a blockade of virus entry, effectively neutralising the SARS-CoV-2 virus </w:t>
      </w:r>
      <w:r w:rsidR="00FB43E0">
        <w:t>effectively neutrali</w:t>
      </w:r>
      <w:r w:rsidR="004D43A5">
        <w:t>s</w:t>
      </w:r>
      <w:r w:rsidR="00FB43E0">
        <w:t>ing the SARS-CoV-2 virus</w:t>
      </w:r>
      <w:r w:rsidR="00F037F4">
        <w:t xml:space="preserve"> and the virus’ capacity to infect healthy cells</w:t>
      </w:r>
      <w:r w:rsidR="00FB43E0">
        <w:t>.</w:t>
      </w:r>
    </w:p>
    <w:p w14:paraId="506393F1" w14:textId="416705B1" w:rsidR="004D43A5" w:rsidRDefault="00FB43E0" w:rsidP="004D43A5">
      <w:r>
        <w:lastRenderedPageBreak/>
        <w:t>Evusheld</w:t>
      </w:r>
      <w:r w:rsidR="00F037F4">
        <w:t xml:space="preserve"> (tixagevimab and cilgavimab)</w:t>
      </w:r>
      <w:r>
        <w:t xml:space="preserve"> </w:t>
      </w:r>
      <w:r w:rsidR="00F037F4">
        <w:t>was first listed on the Australian Register of Therapeutic Goods (ARTG) on 26 February 2022;</w:t>
      </w:r>
      <w:bookmarkStart w:id="16" w:name="_Ref122511272"/>
      <w:r w:rsidR="00F037F4">
        <w:rPr>
          <w:rStyle w:val="FootnoteReference"/>
        </w:rPr>
        <w:footnoteReference w:id="2"/>
      </w:r>
      <w:bookmarkEnd w:id="16"/>
      <w:r w:rsidR="00F037F4">
        <w:t xml:space="preserve"> and at the time of this submission, was</w:t>
      </w:r>
      <w:r>
        <w:t xml:space="preserve"> currently approved for the indication:</w:t>
      </w:r>
    </w:p>
    <w:p w14:paraId="1042280F" w14:textId="28523A22" w:rsidR="00FB43E0" w:rsidRPr="004D43A5" w:rsidRDefault="00FB43E0" w:rsidP="003B0BED">
      <w:pPr>
        <w:ind w:left="720"/>
        <w:rPr>
          <w:i/>
          <w:iCs/>
        </w:rPr>
      </w:pPr>
      <w:r w:rsidRPr="004D43A5">
        <w:rPr>
          <w:i/>
          <w:iCs/>
        </w:rPr>
        <w:t>E</w:t>
      </w:r>
      <w:r w:rsidR="004D43A5">
        <w:rPr>
          <w:i/>
          <w:iCs/>
        </w:rPr>
        <w:t>vusheld</w:t>
      </w:r>
      <w:r w:rsidRPr="004D43A5">
        <w:rPr>
          <w:i/>
          <w:iCs/>
        </w:rPr>
        <w:t xml:space="preserve"> (tixagevimab and cilgavimab) has provisional approval for the pre</w:t>
      </w:r>
      <w:r w:rsidR="00F037F4">
        <w:rPr>
          <w:i/>
          <w:iCs/>
        </w:rPr>
        <w:noBreakHyphen/>
      </w:r>
      <w:r w:rsidRPr="004D43A5">
        <w:rPr>
          <w:i/>
          <w:iCs/>
        </w:rPr>
        <w:t xml:space="preserve">exposure prophylaxis of COVID-19 in adults and adolescents aged 12 years and older weighing at least 40 kg, </w:t>
      </w:r>
    </w:p>
    <w:p w14:paraId="550772C2" w14:textId="77777777" w:rsidR="00FB43E0" w:rsidRPr="004D43A5" w:rsidRDefault="00FB43E0" w:rsidP="004D43A5">
      <w:pPr>
        <w:ind w:left="720"/>
        <w:rPr>
          <w:i/>
          <w:iCs/>
        </w:rPr>
      </w:pPr>
      <w:r w:rsidRPr="004D43A5">
        <w:rPr>
          <w:i/>
          <w:iCs/>
        </w:rPr>
        <w:t xml:space="preserve">- Who have moderate to severe immune compromise due to a medical condition or receipt of immunosuppressive medications or treatments that make it likely that they will not mount an adequate immune response to COVID‐19 vaccination or </w:t>
      </w:r>
    </w:p>
    <w:p w14:paraId="19CA55DE" w14:textId="758CF43A" w:rsidR="00FB43E0" w:rsidRDefault="00FB43E0" w:rsidP="004D43A5">
      <w:pPr>
        <w:ind w:left="720"/>
      </w:pPr>
      <w:r w:rsidRPr="004D43A5">
        <w:rPr>
          <w:i/>
          <w:iCs/>
        </w:rPr>
        <w:t>- For whom vaccination with any approved COVID‐19 vaccine is not recommended due to a history of severe adverse reaction (e.g., severe allergic reaction) to a COVID</w:t>
      </w:r>
      <w:r w:rsidR="00F037F4">
        <w:rPr>
          <w:i/>
          <w:iCs/>
        </w:rPr>
        <w:noBreakHyphen/>
      </w:r>
      <w:r w:rsidRPr="004D43A5">
        <w:rPr>
          <w:i/>
          <w:iCs/>
        </w:rPr>
        <w:t>19 vaccine(s) and/or COVID‐19 vaccine component(s).</w:t>
      </w:r>
    </w:p>
    <w:p w14:paraId="27B643EB" w14:textId="3B825905" w:rsidR="009D637F" w:rsidRDefault="00FB43E0" w:rsidP="00FB43E0">
      <w:r w:rsidRPr="00FB43E0">
        <w:t xml:space="preserve">The </w:t>
      </w:r>
      <w:r>
        <w:t>s</w:t>
      </w:r>
      <w:r w:rsidRPr="00FB43E0">
        <w:t xml:space="preserve">ponsor has proposed to extend the use of Evusheld </w:t>
      </w:r>
      <w:r w:rsidR="009D637F">
        <w:t xml:space="preserve">beyond the pre-exposure prophylaxis of COVID-19 </w:t>
      </w:r>
      <w:proofErr w:type="gramStart"/>
      <w:r w:rsidR="009D637F">
        <w:t>indication, and</w:t>
      </w:r>
      <w:proofErr w:type="gramEnd"/>
      <w:r w:rsidR="009D637F">
        <w:t xml:space="preserve"> include a treatment indication </w:t>
      </w:r>
      <w:r w:rsidRPr="00FB43E0">
        <w:t>of mild to moderate COVID-19 in adults</w:t>
      </w:r>
      <w:r w:rsidR="00510D26">
        <w:t xml:space="preserve"> and </w:t>
      </w:r>
      <w:r w:rsidR="00510D26" w:rsidRPr="00510D26">
        <w:t>adolescents aged 12 years and older weighing at least 40 kg</w:t>
      </w:r>
      <w:r w:rsidRPr="00FB43E0">
        <w:t>.</w:t>
      </w:r>
    </w:p>
    <w:p w14:paraId="3BAF8D34" w14:textId="19AB928A" w:rsidR="009D637F" w:rsidRDefault="00FB43E0" w:rsidP="00FB43E0">
      <w:r w:rsidRPr="00FB43E0">
        <w:t xml:space="preserve">The indication for treatment of </w:t>
      </w:r>
      <w:r w:rsidR="009D637F">
        <w:t>COVID</w:t>
      </w:r>
      <w:r w:rsidRPr="00FB43E0">
        <w:t xml:space="preserve">-19 was previously discussed at an </w:t>
      </w:r>
      <w:hyperlink r:id="rId20" w:history="1">
        <w:r w:rsidRPr="009D637F">
          <w:rPr>
            <w:rStyle w:val="Hyperlink"/>
          </w:rPr>
          <w:t>Advisory Committee on Medicine</w:t>
        </w:r>
      </w:hyperlink>
      <w:r>
        <w:t xml:space="preserve"> (</w:t>
      </w:r>
      <w:r w:rsidRPr="00FB43E0">
        <w:t>ACM</w:t>
      </w:r>
      <w:r>
        <w:t>)</w:t>
      </w:r>
      <w:r w:rsidRPr="00FB43E0">
        <w:t xml:space="preserve"> </w:t>
      </w:r>
      <w:r w:rsidR="009D637F">
        <w:t xml:space="preserve">meeting </w:t>
      </w:r>
      <w:r w:rsidRPr="00FB43E0">
        <w:t>in February 2022</w:t>
      </w:r>
      <w:r w:rsidR="009D637F">
        <w:t>, where Evusheld was also considered for the prophylactic indication that was subsequently approved</w:t>
      </w:r>
      <w:r w:rsidRPr="00FB43E0">
        <w:t>.</w:t>
      </w:r>
      <w:r w:rsidR="009D637F" w:rsidRPr="00FF69E1">
        <w:rPr>
          <w:vertAlign w:val="superscript"/>
        </w:rPr>
        <w:fldChar w:fldCharType="begin"/>
      </w:r>
      <w:r w:rsidR="009D637F" w:rsidRPr="00FF69E1">
        <w:rPr>
          <w:vertAlign w:val="superscript"/>
        </w:rPr>
        <w:instrText xml:space="preserve"> NOTEREF _Ref122511272 \h </w:instrText>
      </w:r>
      <w:r w:rsidR="009D637F">
        <w:rPr>
          <w:vertAlign w:val="superscript"/>
        </w:rPr>
        <w:instrText xml:space="preserve"> \* MERGEFORMAT </w:instrText>
      </w:r>
      <w:r w:rsidR="009D637F" w:rsidRPr="00FF69E1">
        <w:rPr>
          <w:vertAlign w:val="superscript"/>
        </w:rPr>
      </w:r>
      <w:r w:rsidR="009D637F" w:rsidRPr="00FF69E1">
        <w:rPr>
          <w:vertAlign w:val="superscript"/>
        </w:rPr>
        <w:fldChar w:fldCharType="separate"/>
      </w:r>
      <w:r w:rsidR="008D61A2">
        <w:rPr>
          <w:vertAlign w:val="superscript"/>
        </w:rPr>
        <w:t>1</w:t>
      </w:r>
      <w:r w:rsidR="009D637F" w:rsidRPr="00FF69E1">
        <w:rPr>
          <w:vertAlign w:val="superscript"/>
        </w:rPr>
        <w:fldChar w:fldCharType="end"/>
      </w:r>
    </w:p>
    <w:p w14:paraId="30F4FDA8" w14:textId="312358D0" w:rsidR="00FB43E0" w:rsidRDefault="009D637F" w:rsidP="00FB43E0">
      <w:r>
        <w:t>At that time, i</w:t>
      </w:r>
      <w:r w:rsidR="00FB43E0" w:rsidRPr="00FB43E0">
        <w:t xml:space="preserve">t was considered that additional </w:t>
      </w:r>
      <w:proofErr w:type="gramStart"/>
      <w:r w:rsidR="00FB43E0" w:rsidRPr="00FB43E0">
        <w:t>long</w:t>
      </w:r>
      <w:r w:rsidR="00FB43E0">
        <w:t xml:space="preserve"> </w:t>
      </w:r>
      <w:r w:rsidR="00FB43E0" w:rsidRPr="00FB43E0">
        <w:t>term</w:t>
      </w:r>
      <w:proofErr w:type="gramEnd"/>
      <w:r w:rsidR="00FB43E0" w:rsidRPr="00FB43E0">
        <w:t xml:space="preserve"> data was required to make a conclusion with regards to the efficacy and safety of Evusheld for </w:t>
      </w:r>
      <w:r>
        <w:t xml:space="preserve">the </w:t>
      </w:r>
      <w:r w:rsidR="00FB43E0" w:rsidRPr="00FB43E0">
        <w:t xml:space="preserve">treatment of </w:t>
      </w:r>
      <w:r w:rsidR="00FB43E0">
        <w:t>COVID</w:t>
      </w:r>
      <w:r>
        <w:noBreakHyphen/>
      </w:r>
      <w:r w:rsidR="00FB43E0">
        <w:t>19</w:t>
      </w:r>
      <w:r>
        <w:t xml:space="preserve"> disease</w:t>
      </w:r>
      <w:r w:rsidR="00FB43E0" w:rsidRPr="00FB43E0">
        <w:t xml:space="preserve">. The </w:t>
      </w:r>
      <w:r w:rsidR="00FB43E0">
        <w:t>s</w:t>
      </w:r>
      <w:r w:rsidR="00FB43E0" w:rsidRPr="00FB43E0">
        <w:t>ponsor has now included additional data to support the proposed treatment indication.</w:t>
      </w:r>
    </w:p>
    <w:p w14:paraId="5FF5D982" w14:textId="77777777" w:rsidR="00DA2432" w:rsidRDefault="009D637F" w:rsidP="00FB43E0">
      <w:r>
        <w:t xml:space="preserve">In addition to the new proposed COVID-19 treatment indication, </w:t>
      </w:r>
      <w:r w:rsidR="00265C49">
        <w:t xml:space="preserve">with this submission </w:t>
      </w:r>
      <w:r>
        <w:t>the sponsor has proposed</w:t>
      </w:r>
      <w:r w:rsidR="00265C49">
        <w:t xml:space="preserve"> a change in the </w:t>
      </w:r>
      <w:r>
        <w:t xml:space="preserve">dosage </w:t>
      </w:r>
      <w:r w:rsidR="00DA2432">
        <w:t xml:space="preserve">regimen </w:t>
      </w:r>
      <w:r w:rsidR="00265C49">
        <w:t>of Evusheld for pre-exposure prophylaxis</w:t>
      </w:r>
      <w:r w:rsidR="00DA2432">
        <w:t>.</w:t>
      </w:r>
    </w:p>
    <w:p w14:paraId="5D932129" w14:textId="59109C76" w:rsidR="00DA2432" w:rsidRDefault="00265C49" w:rsidP="00FB43E0">
      <w:r>
        <w:t xml:space="preserve">The currently </w:t>
      </w:r>
      <w:r w:rsidR="00DA2432">
        <w:t>approved dosage</w:t>
      </w:r>
      <w:r>
        <w:t xml:space="preserve"> regimen for pre-exposure prophylaxis is </w:t>
      </w:r>
      <w:r w:rsidR="00DA2432">
        <w:t xml:space="preserve">single, one-time only dose of </w:t>
      </w:r>
      <w:r>
        <w:t xml:space="preserve">300 mg Evusheld </w:t>
      </w:r>
      <w:r w:rsidR="00DA2432">
        <w:t>in the form of two separate, sequential 1.5 mL injections, one containing 150 mg tixagevimab, and the other containing cilgavimab.</w:t>
      </w:r>
    </w:p>
    <w:p w14:paraId="2ABF73CC" w14:textId="1CB5DCA6" w:rsidR="00265C49" w:rsidRDefault="00265C49" w:rsidP="00FB43E0">
      <w:r>
        <w:t xml:space="preserve">The sponsor proposes that the </w:t>
      </w:r>
      <w:r w:rsidR="00DA2432">
        <w:t xml:space="preserve">Evusheld dosage regimen for pre-exposure prophylaxis be </w:t>
      </w:r>
      <w:r>
        <w:t xml:space="preserve">changed from the current </w:t>
      </w:r>
      <w:r w:rsidR="00DA2432">
        <w:t xml:space="preserve">dose </w:t>
      </w:r>
      <w:r>
        <w:t>to a new dose of 600 mg Evusheld (that is, 300 mg tixagevimab and 300 mg cilgavimab</w:t>
      </w:r>
      <w:r w:rsidR="00DA2432">
        <w:t xml:space="preserve">), and that administration of Evusheld can be repeated at </w:t>
      </w:r>
      <w:proofErr w:type="gramStart"/>
      <w:r w:rsidR="00DA2432">
        <w:t>6 month</w:t>
      </w:r>
      <w:proofErr w:type="gramEnd"/>
      <w:r w:rsidR="00DA2432">
        <w:t xml:space="preserve"> intervals.</w:t>
      </w:r>
    </w:p>
    <w:p w14:paraId="37A3EBFD" w14:textId="0618A4AC" w:rsidR="00FB43E0" w:rsidRDefault="00FB43E0" w:rsidP="00FB43E0">
      <w:r w:rsidRPr="00FB43E0">
        <w:t xml:space="preserve">The rationale for the increased dose from </w:t>
      </w:r>
      <w:r w:rsidR="00DA2432">
        <w:t xml:space="preserve">the current </w:t>
      </w:r>
      <w:r w:rsidRPr="00FB43E0">
        <w:t>300</w:t>
      </w:r>
      <w:r>
        <w:t xml:space="preserve"> </w:t>
      </w:r>
      <w:r w:rsidRPr="00FB43E0">
        <w:t xml:space="preserve">mg </w:t>
      </w:r>
      <w:r w:rsidR="00DA2432">
        <w:t>dose</w:t>
      </w:r>
      <w:r w:rsidRPr="00FB43E0">
        <w:t xml:space="preserve"> to 600</w:t>
      </w:r>
      <w:r>
        <w:t xml:space="preserve"> </w:t>
      </w:r>
      <w:r w:rsidRPr="00FB43E0">
        <w:t>mg</w:t>
      </w:r>
      <w:r w:rsidR="00510D26">
        <w:t xml:space="preserve"> for the pre</w:t>
      </w:r>
      <w:r w:rsidR="00DA2432">
        <w:noBreakHyphen/>
      </w:r>
      <w:r w:rsidR="00510D26">
        <w:t>exposure prophylaxis indication</w:t>
      </w:r>
      <w:r w:rsidRPr="00FB43E0">
        <w:t xml:space="preserve"> and</w:t>
      </w:r>
      <w:r w:rsidR="00DA2432">
        <w:t xml:space="preserve"> the provision of repeat administration of Evusheld on a </w:t>
      </w:r>
      <w:proofErr w:type="gramStart"/>
      <w:r w:rsidR="00DA2432">
        <w:t>6 month</w:t>
      </w:r>
      <w:proofErr w:type="gramEnd"/>
      <w:r w:rsidR="00DA2432">
        <w:t xml:space="preserve"> basis</w:t>
      </w:r>
      <w:r w:rsidRPr="00FB43E0">
        <w:t xml:space="preserve"> is based on the rationale that a higher dose may enable greater neutralisation activity for Evusheld against the Omicron </w:t>
      </w:r>
      <w:r w:rsidR="004D43A5">
        <w:t>variants of concern (</w:t>
      </w:r>
      <w:r w:rsidRPr="00FB43E0">
        <w:t>VOCs</w:t>
      </w:r>
      <w:r w:rsidR="004D43A5">
        <w:t>)</w:t>
      </w:r>
      <w:r w:rsidRPr="00FB43E0">
        <w:t>, compared to 300</w:t>
      </w:r>
      <w:r>
        <w:t> </w:t>
      </w:r>
      <w:r w:rsidRPr="00FB43E0">
        <w:t xml:space="preserve">mg. The </w:t>
      </w:r>
      <w:r w:rsidR="004D43A5">
        <w:t>pharmacokinetics (</w:t>
      </w:r>
      <w:r w:rsidRPr="00FB43E0">
        <w:t>PK</w:t>
      </w:r>
      <w:r w:rsidR="004D43A5">
        <w:t>)</w:t>
      </w:r>
      <w:r w:rsidRPr="00FB43E0">
        <w:t xml:space="preserve"> modelling to support this change in dosage is based on the </w:t>
      </w:r>
      <w:r w:rsidRPr="00FB43E0">
        <w:rPr>
          <w:i/>
          <w:iCs/>
        </w:rPr>
        <w:t xml:space="preserve">in vitro </w:t>
      </w:r>
      <w:r w:rsidRPr="00FB43E0">
        <w:t>findings. At this stage, no clinical data is available to support the efficacy and safety of the 600</w:t>
      </w:r>
      <w:r>
        <w:t xml:space="preserve"> </w:t>
      </w:r>
      <w:r w:rsidRPr="00FB43E0">
        <w:t xml:space="preserve">mg dose </w:t>
      </w:r>
      <w:r w:rsidR="00F303AC">
        <w:t xml:space="preserve">being </w:t>
      </w:r>
      <w:r w:rsidRPr="00FB43E0">
        <w:t>repeated at 6 months</w:t>
      </w:r>
      <w:r w:rsidR="00F303AC">
        <w:t xml:space="preserve"> intervals</w:t>
      </w:r>
      <w:r w:rsidRPr="00FB43E0">
        <w:t>.</w:t>
      </w:r>
    </w:p>
    <w:p w14:paraId="6926EAAE" w14:textId="4734C505" w:rsidR="007738F0" w:rsidRDefault="007738F0" w:rsidP="007738F0">
      <w:pPr>
        <w:pStyle w:val="Heading4"/>
      </w:pPr>
      <w:r>
        <w:t>Current</w:t>
      </w:r>
      <w:r w:rsidR="00F303AC">
        <w:t>ly approved</w:t>
      </w:r>
      <w:r>
        <w:t xml:space="preserve"> </w:t>
      </w:r>
      <w:r w:rsidR="00F303AC">
        <w:t xml:space="preserve">COVID-19 </w:t>
      </w:r>
      <w:r>
        <w:t>treatment</w:t>
      </w:r>
      <w:r w:rsidR="00F303AC">
        <w:t>s</w:t>
      </w:r>
    </w:p>
    <w:p w14:paraId="7DC1A4EF" w14:textId="6632C305" w:rsidR="00FB43E0" w:rsidRDefault="00F303AC" w:rsidP="00FB43E0">
      <w:r>
        <w:t xml:space="preserve">Multiple treatments for COVID-19 disease have received provisional approval in Australia, although Evusheld (tixagevimab and cilgavimab) is the only approved non-vaccine </w:t>
      </w:r>
      <w:r>
        <w:lastRenderedPageBreak/>
        <w:t xml:space="preserve">product for pre-exposure prophylaxis for COVID-19. </w:t>
      </w:r>
      <w:r w:rsidR="00FB43E0">
        <w:fldChar w:fldCharType="begin"/>
      </w:r>
      <w:r w:rsidR="00FB43E0">
        <w:instrText xml:space="preserve"> REF _Ref118809701 \h </w:instrText>
      </w:r>
      <w:r w:rsidR="00FB43E0">
        <w:fldChar w:fldCharType="separate"/>
      </w:r>
      <w:r w:rsidR="008D61A2" w:rsidRPr="00FB43E0">
        <w:t xml:space="preserve">Table </w:t>
      </w:r>
      <w:r w:rsidR="008D61A2">
        <w:rPr>
          <w:noProof/>
        </w:rPr>
        <w:t>1</w:t>
      </w:r>
      <w:r w:rsidR="00FB43E0">
        <w:fldChar w:fldCharType="end"/>
      </w:r>
      <w:r w:rsidR="00FB43E0">
        <w:t xml:space="preserve"> summarises the COVID-19</w:t>
      </w:r>
      <w:r>
        <w:t xml:space="preserve"> </w:t>
      </w:r>
      <w:r w:rsidR="00FB43E0">
        <w:t>treatments and prophylactic medicines provisionally approved in Australia at the time that this submission was considered for approval.</w:t>
      </w:r>
    </w:p>
    <w:p w14:paraId="64F243DC" w14:textId="14103E11" w:rsidR="00FB43E0" w:rsidRDefault="00FB43E0" w:rsidP="00FB43E0">
      <w:r>
        <w:t xml:space="preserve">Further information on an approval can be found in the associated </w:t>
      </w:r>
      <w:proofErr w:type="spellStart"/>
      <w:r>
        <w:t>AusPAR</w:t>
      </w:r>
      <w:proofErr w:type="spellEnd"/>
      <w:r>
        <w:t>.</w:t>
      </w:r>
    </w:p>
    <w:p w14:paraId="4E29BED5" w14:textId="3EDFC4A0" w:rsidR="00F303AC" w:rsidRDefault="00F303AC">
      <w:pPr>
        <w:spacing w:before="0" w:after="200" w:line="0" w:lineRule="auto"/>
      </w:pPr>
      <w:r>
        <w:br w:type="page"/>
      </w:r>
    </w:p>
    <w:p w14:paraId="445F899D" w14:textId="5817B406" w:rsidR="00FB43E0" w:rsidRDefault="00FB43E0" w:rsidP="00FB43E0">
      <w:pPr>
        <w:pStyle w:val="TableTitle"/>
      </w:pPr>
      <w:bookmarkStart w:id="17" w:name="_Ref118809701"/>
      <w:r w:rsidRPr="00FB43E0">
        <w:lastRenderedPageBreak/>
        <w:t xml:space="preserve">Table </w:t>
      </w:r>
      <w:r w:rsidR="005E1B9B">
        <w:fldChar w:fldCharType="begin"/>
      </w:r>
      <w:r w:rsidR="005E1B9B">
        <w:instrText xml:space="preserve"> SEQ Table \* ARABIC </w:instrText>
      </w:r>
      <w:r w:rsidR="005E1B9B">
        <w:fldChar w:fldCharType="separate"/>
      </w:r>
      <w:r w:rsidR="008D61A2">
        <w:rPr>
          <w:noProof/>
        </w:rPr>
        <w:t>1</w:t>
      </w:r>
      <w:r w:rsidR="005E1B9B">
        <w:rPr>
          <w:noProof/>
        </w:rPr>
        <w:fldChar w:fldCharType="end"/>
      </w:r>
      <w:bookmarkEnd w:id="17"/>
      <w:r>
        <w:t xml:space="preserve">: </w:t>
      </w:r>
      <w:r w:rsidRPr="00FB43E0">
        <w:t>Provisional approvals for COVID-19 treatments and prophylactics in Australia</w:t>
      </w:r>
    </w:p>
    <w:tbl>
      <w:tblPr>
        <w:tblStyle w:val="TableTGAblue"/>
        <w:tblW w:w="8928" w:type="dxa"/>
        <w:tblLook w:val="04A0" w:firstRow="1" w:lastRow="0" w:firstColumn="1" w:lastColumn="0" w:noHBand="0" w:noVBand="1"/>
      </w:tblPr>
      <w:tblGrid>
        <w:gridCol w:w="2419"/>
        <w:gridCol w:w="6509"/>
      </w:tblGrid>
      <w:tr w:rsidR="007738F0" w:rsidRPr="00CF18A4" w14:paraId="31AF6512" w14:textId="77777777" w:rsidTr="005367A8">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1EDD7A74" w14:textId="09AAF0B8" w:rsidR="007738F0" w:rsidRPr="00CF18A4" w:rsidRDefault="007738F0" w:rsidP="005367A8">
            <w:r>
              <w:t>COVID-19 treatments and prophylactics provisionally approved in Australia</w:t>
            </w:r>
          </w:p>
        </w:tc>
      </w:tr>
      <w:tr w:rsidR="007738F0" w:rsidRPr="00CF18A4" w14:paraId="36A50ACB" w14:textId="77777777" w:rsidTr="005367A8">
        <w:tc>
          <w:tcPr>
            <w:tcW w:w="8928" w:type="dxa"/>
            <w:gridSpan w:val="2"/>
          </w:tcPr>
          <w:p w14:paraId="30C52E78" w14:textId="77777777" w:rsidR="007738F0" w:rsidRPr="00CF18A4" w:rsidRDefault="007738F0" w:rsidP="005367A8">
            <w:proofErr w:type="spellStart"/>
            <w:r w:rsidRPr="00CF18A4">
              <w:rPr>
                <w:b/>
              </w:rPr>
              <w:t>Veklury</w:t>
            </w:r>
            <w:proofErr w:type="spellEnd"/>
            <w:r w:rsidRPr="00CF18A4">
              <w:rPr>
                <w:b/>
              </w:rPr>
              <w:t xml:space="preserve"> </w:t>
            </w:r>
            <w:r w:rsidRPr="00CF18A4">
              <w:t>(remdesivir); Gilead Sciences Pty Ltd</w:t>
            </w:r>
          </w:p>
          <w:p w14:paraId="17947DA6" w14:textId="77777777" w:rsidR="007738F0" w:rsidRPr="00CF18A4" w:rsidRDefault="007738F0" w:rsidP="005367A8">
            <w:r w:rsidRPr="00CF18A4">
              <w:t>ARTG numbers: 338419, 338420</w:t>
            </w:r>
          </w:p>
        </w:tc>
      </w:tr>
      <w:tr w:rsidR="007738F0" w:rsidRPr="00CF18A4" w14:paraId="6E79016C" w14:textId="77777777" w:rsidTr="005367A8">
        <w:tc>
          <w:tcPr>
            <w:tcW w:w="2419" w:type="dxa"/>
          </w:tcPr>
          <w:p w14:paraId="749BDE24" w14:textId="77777777" w:rsidR="007738F0" w:rsidRPr="00CF18A4" w:rsidRDefault="007738F0" w:rsidP="005367A8">
            <w:pPr>
              <w:ind w:left="173"/>
            </w:pPr>
            <w:r w:rsidRPr="00CF18A4">
              <w:t xml:space="preserve">10 July 2020 </w:t>
            </w:r>
            <w:r w:rsidRPr="00CF18A4">
              <w:rPr>
                <w:sz w:val="20"/>
              </w:rPr>
              <w:t>(</w:t>
            </w:r>
            <w:r w:rsidRPr="00CF18A4">
              <w:t>initial registration</w:t>
            </w:r>
            <w:r w:rsidRPr="00CF18A4">
              <w:rPr>
                <w:sz w:val="20"/>
              </w:rPr>
              <w:t>)</w:t>
            </w:r>
          </w:p>
        </w:tc>
        <w:tc>
          <w:tcPr>
            <w:tcW w:w="6509" w:type="dxa"/>
          </w:tcPr>
          <w:p w14:paraId="1AA60776" w14:textId="0F92BFE5" w:rsidR="007738F0" w:rsidRPr="00CF18A4" w:rsidRDefault="007738F0" w:rsidP="005367A8">
            <w:r w:rsidRPr="00CF18A4">
              <w:t>Treatment: adults and adolescents (≥ 12 years and ≥ 40 kg) with pneumonia, requiring supplemental oxygen (</w:t>
            </w:r>
            <w:proofErr w:type="spellStart"/>
            <w:r w:rsidR="009151D4">
              <w:rPr>
                <w:color w:val="auto"/>
              </w:rPr>
              <w:fldChar w:fldCharType="begin"/>
            </w:r>
            <w:r w:rsidR="009151D4">
              <w:instrText xml:space="preserve"> HYPERLINK "https://www.tga.gov.au/resources/auspar/auspar-remdesivir"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2B685467" w14:textId="77777777" w:rsidTr="005367A8">
        <w:tc>
          <w:tcPr>
            <w:tcW w:w="2419" w:type="dxa"/>
          </w:tcPr>
          <w:p w14:paraId="333877FB" w14:textId="77777777" w:rsidR="007738F0" w:rsidRPr="00CF18A4" w:rsidRDefault="007738F0" w:rsidP="005367A8">
            <w:r w:rsidRPr="00CF18A4">
              <w:t>6 May 2022</w:t>
            </w:r>
          </w:p>
        </w:tc>
        <w:tc>
          <w:tcPr>
            <w:tcW w:w="6509" w:type="dxa"/>
          </w:tcPr>
          <w:p w14:paraId="185FB9D1" w14:textId="0BD87E60" w:rsidR="007738F0" w:rsidRPr="00CF18A4" w:rsidRDefault="007738F0" w:rsidP="005367A8">
            <w:r w:rsidRPr="00CF18A4">
              <w:t>Treatment: adults and paediatric patients (≥ 4 weeks of age and ≥ 3 kg) with pneumonia due to SARS-CoV-2, requiring supplemental oxygen; and, adults and paediatric patients (≥</w:t>
            </w:r>
            <w:r>
              <w:t> </w:t>
            </w:r>
            <w:r w:rsidRPr="00CF18A4">
              <w:t>40 kg) who do not require supplemental oxygen and who are at high risk of progressing to severe COVID-19 (</w:t>
            </w:r>
            <w:proofErr w:type="spellStart"/>
            <w:r w:rsidR="009151D4">
              <w:rPr>
                <w:color w:val="auto"/>
              </w:rPr>
              <w:fldChar w:fldCharType="begin"/>
            </w:r>
            <w:r w:rsidR="009151D4">
              <w:instrText xml:space="preserve"> HYPERLINK "https://www.tga.gov.au/resources/auspar/auspar-remdesivir-0"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0C2C8DFA" w14:textId="77777777" w:rsidTr="005367A8">
        <w:tc>
          <w:tcPr>
            <w:tcW w:w="8928" w:type="dxa"/>
            <w:gridSpan w:val="2"/>
          </w:tcPr>
          <w:p w14:paraId="5C7AC636" w14:textId="77777777" w:rsidR="007738F0" w:rsidRPr="00CF18A4" w:rsidRDefault="007738F0" w:rsidP="005367A8">
            <w:proofErr w:type="spellStart"/>
            <w:r w:rsidRPr="00CF18A4">
              <w:rPr>
                <w:b/>
              </w:rPr>
              <w:t>Xevudy</w:t>
            </w:r>
            <w:proofErr w:type="spellEnd"/>
            <w:r w:rsidRPr="00CF18A4">
              <w:t xml:space="preserve"> (</w:t>
            </w:r>
            <w:proofErr w:type="spellStart"/>
            <w:r w:rsidRPr="00CF18A4">
              <w:t>sotrovimab</w:t>
            </w:r>
            <w:proofErr w:type="spellEnd"/>
            <w:r w:rsidRPr="00CF18A4">
              <w:t>); GlaxoSmithKline Australia Pty Ltd</w:t>
            </w:r>
          </w:p>
          <w:p w14:paraId="6D12FACD" w14:textId="77777777" w:rsidR="007738F0" w:rsidRPr="00CF18A4" w:rsidRDefault="007738F0" w:rsidP="005367A8">
            <w:r w:rsidRPr="00CF18A4">
              <w:t>ARTG number: 364110</w:t>
            </w:r>
          </w:p>
        </w:tc>
      </w:tr>
      <w:tr w:rsidR="007738F0" w:rsidRPr="00CF18A4" w14:paraId="475E4BCB" w14:textId="77777777" w:rsidTr="005367A8">
        <w:tc>
          <w:tcPr>
            <w:tcW w:w="2419" w:type="dxa"/>
          </w:tcPr>
          <w:p w14:paraId="244F5AE8" w14:textId="77777777" w:rsidR="007738F0" w:rsidRPr="00CF18A4" w:rsidRDefault="007738F0" w:rsidP="005367A8">
            <w:r w:rsidRPr="00CF18A4">
              <w:t>20 August 2021</w:t>
            </w:r>
          </w:p>
        </w:tc>
        <w:tc>
          <w:tcPr>
            <w:tcW w:w="6509" w:type="dxa"/>
          </w:tcPr>
          <w:p w14:paraId="135F3AC5" w14:textId="0B74D59C" w:rsidR="007738F0" w:rsidRPr="00CF18A4" w:rsidRDefault="007738F0" w:rsidP="005367A8">
            <w:r w:rsidRPr="00CF18A4">
              <w:t>Treatment: Adults and adolescents (≥ 12 years and ≥ 40 kg) with COVID-19 who do not require initiation of oxygen due to COVID-19 and who are at increased risk of progression to hospitalisation or death (</w:t>
            </w:r>
            <w:proofErr w:type="spellStart"/>
            <w:r w:rsidR="009151D4">
              <w:rPr>
                <w:color w:val="auto"/>
              </w:rPr>
              <w:fldChar w:fldCharType="begin"/>
            </w:r>
            <w:r w:rsidR="009151D4">
              <w:instrText xml:space="preserve"> HYPERLINK "file:///C:\\Users\\HEYYIN\\AppData\\Local\\Microsoft\\Windows\\INetCache\\Content.Outlook\\DOG6YE36\\364110"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64B16CD7" w14:textId="77777777" w:rsidTr="005367A8">
        <w:tc>
          <w:tcPr>
            <w:tcW w:w="8928" w:type="dxa"/>
            <w:gridSpan w:val="2"/>
          </w:tcPr>
          <w:p w14:paraId="078E7561" w14:textId="77777777" w:rsidR="007738F0" w:rsidRPr="00CF18A4" w:rsidRDefault="007738F0" w:rsidP="005367A8">
            <w:proofErr w:type="spellStart"/>
            <w:r w:rsidRPr="00CF18A4">
              <w:rPr>
                <w:b/>
              </w:rPr>
              <w:t>Ronapreve</w:t>
            </w:r>
            <w:proofErr w:type="spellEnd"/>
            <w:r w:rsidRPr="00CF18A4">
              <w:t xml:space="preserve"> (</w:t>
            </w:r>
            <w:proofErr w:type="spellStart"/>
            <w:r w:rsidRPr="00CF18A4">
              <w:t>casirivimab</w:t>
            </w:r>
            <w:proofErr w:type="spellEnd"/>
            <w:r w:rsidRPr="00CF18A4">
              <w:t xml:space="preserve"> + </w:t>
            </w:r>
            <w:proofErr w:type="spellStart"/>
            <w:r w:rsidRPr="00CF18A4">
              <w:t>imdevimab</w:t>
            </w:r>
            <w:proofErr w:type="spellEnd"/>
            <w:r w:rsidRPr="00CF18A4">
              <w:t>); Roche Products Pty Ltd</w:t>
            </w:r>
          </w:p>
          <w:p w14:paraId="7F39BA6A" w14:textId="77777777" w:rsidR="007738F0" w:rsidRPr="00CF18A4" w:rsidRDefault="007738F0" w:rsidP="005367A8">
            <w:r w:rsidRPr="00CF18A4">
              <w:t>ARTG numbers: 373839 and 374310</w:t>
            </w:r>
          </w:p>
        </w:tc>
      </w:tr>
      <w:tr w:rsidR="007738F0" w:rsidRPr="00CF18A4" w14:paraId="4C5EE70F" w14:textId="77777777" w:rsidTr="005367A8">
        <w:tc>
          <w:tcPr>
            <w:tcW w:w="2419" w:type="dxa"/>
          </w:tcPr>
          <w:p w14:paraId="05A96986" w14:textId="77777777" w:rsidR="007738F0" w:rsidRPr="00CF18A4" w:rsidRDefault="007738F0" w:rsidP="005367A8">
            <w:r w:rsidRPr="00CF18A4">
              <w:t>15 October 2021</w:t>
            </w:r>
          </w:p>
        </w:tc>
        <w:tc>
          <w:tcPr>
            <w:tcW w:w="6509" w:type="dxa"/>
          </w:tcPr>
          <w:p w14:paraId="4F41DEFE" w14:textId="77777777" w:rsidR="007738F0" w:rsidRPr="00CF18A4" w:rsidRDefault="007738F0" w:rsidP="005367A8">
            <w:r w:rsidRPr="00CF18A4">
              <w:t>In patients ≥ 12 years and ≥ 40 kg:</w:t>
            </w:r>
          </w:p>
          <w:p w14:paraId="2D14A1A6" w14:textId="77777777" w:rsidR="007738F0" w:rsidRPr="00CF18A4" w:rsidRDefault="007738F0" w:rsidP="005367A8">
            <w:r w:rsidRPr="00CF18A4">
              <w:t>Treatment: In patients not requiring supplemental oxygen for COVID-19, with increased risk of severe COVID-19.</w:t>
            </w:r>
          </w:p>
          <w:p w14:paraId="0B8A1BF3" w14:textId="1C338602" w:rsidR="007738F0" w:rsidRPr="00CF18A4" w:rsidRDefault="007738F0" w:rsidP="005367A8">
            <w:r w:rsidRPr="00CF18A4">
              <w:t>Prevention: of COVID-19 in those exposed to SARS-CoV-2 and unlikely to respond to or be protected by vaccination due to illness, or</w:t>
            </w:r>
            <w:r>
              <w:t xml:space="preserve"> who</w:t>
            </w:r>
            <w:r w:rsidRPr="00CF18A4">
              <w:t xml:space="preserve"> are not vaccinated against COVID-19. (</w:t>
            </w:r>
            <w:proofErr w:type="spellStart"/>
            <w:r w:rsidR="009151D4">
              <w:rPr>
                <w:color w:val="auto"/>
              </w:rPr>
              <w:fldChar w:fldCharType="begin"/>
            </w:r>
            <w:r w:rsidR="009151D4">
              <w:instrText xml:space="preserve"> HYPERLINK "https://www.tga.gov.au/resources/auspar/auspar-casirivimabimdevimab"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3169D409" w14:textId="77777777" w:rsidTr="005367A8">
        <w:tc>
          <w:tcPr>
            <w:tcW w:w="8928" w:type="dxa"/>
            <w:gridSpan w:val="2"/>
          </w:tcPr>
          <w:p w14:paraId="6FD3039C" w14:textId="77777777" w:rsidR="007738F0" w:rsidRPr="00CF18A4" w:rsidRDefault="007738F0" w:rsidP="005367A8">
            <w:r w:rsidRPr="00CF18A4">
              <w:rPr>
                <w:b/>
              </w:rPr>
              <w:t>Actemra</w:t>
            </w:r>
            <w:r w:rsidRPr="00CF18A4">
              <w:t xml:space="preserve"> (tocilizumab); Roche Products Pty Ltd</w:t>
            </w:r>
          </w:p>
          <w:p w14:paraId="0D3E7DB9" w14:textId="77777777" w:rsidR="007738F0" w:rsidRPr="00CF18A4" w:rsidRDefault="007738F0" w:rsidP="005367A8">
            <w:r w:rsidRPr="00CF18A4">
              <w:t>ARTG numbers: 149402, 149403, and 149404</w:t>
            </w:r>
          </w:p>
        </w:tc>
      </w:tr>
      <w:tr w:rsidR="007738F0" w:rsidRPr="00CF18A4" w14:paraId="06DD3B90" w14:textId="77777777" w:rsidTr="005367A8">
        <w:tc>
          <w:tcPr>
            <w:tcW w:w="2419" w:type="dxa"/>
          </w:tcPr>
          <w:p w14:paraId="43F82F17" w14:textId="77777777" w:rsidR="007738F0" w:rsidRPr="00CF18A4" w:rsidRDefault="007738F0" w:rsidP="005367A8">
            <w:r w:rsidRPr="00CF18A4">
              <w:t>2 December 2021</w:t>
            </w:r>
          </w:p>
        </w:tc>
        <w:tc>
          <w:tcPr>
            <w:tcW w:w="6509" w:type="dxa"/>
          </w:tcPr>
          <w:p w14:paraId="23336CAF" w14:textId="7FA8C760" w:rsidR="007738F0" w:rsidRPr="00CF18A4" w:rsidRDefault="007738F0" w:rsidP="005367A8">
            <w:r w:rsidRPr="00CF18A4">
              <w:t>Treatment: of COVID-19 in hospitalised adults who are receiving systemic corticosteroids and require supplemental oxygen or mechanical ventilation (</w:t>
            </w:r>
            <w:proofErr w:type="spellStart"/>
            <w:r w:rsidR="009151D4">
              <w:rPr>
                <w:color w:val="auto"/>
              </w:rPr>
              <w:fldChar w:fldCharType="begin"/>
            </w:r>
            <w:r w:rsidR="009151D4">
              <w:instrText xml:space="preserve"> HYPERLINK "https://www.tga.gov.au/resources/auspar/auspar-tocilizumab-rch-3"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60E992F0" w14:textId="77777777" w:rsidTr="005367A8">
        <w:tc>
          <w:tcPr>
            <w:tcW w:w="8928" w:type="dxa"/>
            <w:gridSpan w:val="2"/>
          </w:tcPr>
          <w:p w14:paraId="7042A973" w14:textId="77777777" w:rsidR="007738F0" w:rsidRPr="00CF18A4" w:rsidRDefault="007738F0" w:rsidP="005367A8">
            <w:proofErr w:type="spellStart"/>
            <w:r w:rsidRPr="00CF18A4">
              <w:rPr>
                <w:b/>
              </w:rPr>
              <w:t>Regkirona</w:t>
            </w:r>
            <w:proofErr w:type="spellEnd"/>
            <w:r w:rsidRPr="00CF18A4">
              <w:t xml:space="preserve"> (</w:t>
            </w:r>
            <w:proofErr w:type="spellStart"/>
            <w:r w:rsidRPr="00CF18A4">
              <w:t>regdanvimab</w:t>
            </w:r>
            <w:proofErr w:type="spellEnd"/>
            <w:r w:rsidRPr="00CF18A4">
              <w:t xml:space="preserve">); </w:t>
            </w:r>
            <w:proofErr w:type="spellStart"/>
            <w:r w:rsidRPr="00CF18A4">
              <w:t>Celltrion</w:t>
            </w:r>
            <w:proofErr w:type="spellEnd"/>
            <w:r w:rsidRPr="00CF18A4">
              <w:t xml:space="preserve"> Healthcare Australia Pty Ltd</w:t>
            </w:r>
          </w:p>
          <w:p w14:paraId="486B8C13" w14:textId="77777777" w:rsidR="007738F0" w:rsidRPr="00CF18A4" w:rsidRDefault="007738F0" w:rsidP="005367A8">
            <w:r w:rsidRPr="00CF18A4">
              <w:t>ARTG number: 374190</w:t>
            </w:r>
          </w:p>
        </w:tc>
      </w:tr>
      <w:tr w:rsidR="007738F0" w:rsidRPr="00CF18A4" w14:paraId="798D00BD" w14:textId="77777777" w:rsidTr="005367A8">
        <w:tc>
          <w:tcPr>
            <w:tcW w:w="2419" w:type="dxa"/>
          </w:tcPr>
          <w:p w14:paraId="7BB6D973" w14:textId="77777777" w:rsidR="007738F0" w:rsidRPr="00CF18A4" w:rsidRDefault="007738F0" w:rsidP="005367A8">
            <w:r w:rsidRPr="00CF18A4">
              <w:t>6 December 2021</w:t>
            </w:r>
          </w:p>
        </w:tc>
        <w:tc>
          <w:tcPr>
            <w:tcW w:w="6509" w:type="dxa"/>
          </w:tcPr>
          <w:p w14:paraId="30C10FEF" w14:textId="08F5A71D" w:rsidR="007738F0" w:rsidRPr="00CF18A4" w:rsidRDefault="007738F0" w:rsidP="005367A8">
            <w:r w:rsidRPr="00CF18A4">
              <w:t>Treatment: of adults with COVID-19 who do not require supplemental oxygen and are at increased risk of progressing to severe COVID-19 (</w:t>
            </w:r>
            <w:proofErr w:type="spellStart"/>
            <w:r w:rsidR="009151D4">
              <w:rPr>
                <w:color w:val="auto"/>
              </w:rPr>
              <w:fldChar w:fldCharType="begin"/>
            </w:r>
            <w:r w:rsidR="009151D4">
              <w:instrText xml:space="preserve"> HYPERLINK "https://www.tga.gov.au/resources/auspar/auspar-regdanvimab"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6728B1A7" w14:textId="77777777" w:rsidTr="005367A8">
        <w:trPr>
          <w:cantSplit/>
        </w:trPr>
        <w:tc>
          <w:tcPr>
            <w:tcW w:w="8928" w:type="dxa"/>
            <w:gridSpan w:val="2"/>
          </w:tcPr>
          <w:p w14:paraId="3162465A" w14:textId="77777777" w:rsidR="007738F0" w:rsidRPr="00CF18A4" w:rsidRDefault="007738F0" w:rsidP="005367A8">
            <w:proofErr w:type="spellStart"/>
            <w:r w:rsidRPr="00CF18A4">
              <w:rPr>
                <w:b/>
              </w:rPr>
              <w:lastRenderedPageBreak/>
              <w:t>Paxlovid</w:t>
            </w:r>
            <w:proofErr w:type="spellEnd"/>
            <w:r w:rsidRPr="00CF18A4">
              <w:t xml:space="preserve"> (</w:t>
            </w:r>
            <w:proofErr w:type="spellStart"/>
            <w:r w:rsidRPr="00CF18A4">
              <w:t>nirmatrelvir</w:t>
            </w:r>
            <w:proofErr w:type="spellEnd"/>
            <w:r w:rsidRPr="00CF18A4">
              <w:t xml:space="preserve"> + ritonavir); Pfizer Australia Pty Ltd</w:t>
            </w:r>
          </w:p>
          <w:p w14:paraId="2231AF8E" w14:textId="77777777" w:rsidR="007738F0" w:rsidRPr="00CF18A4" w:rsidRDefault="007738F0" w:rsidP="005367A8">
            <w:r w:rsidRPr="00CF18A4">
              <w:t>ARTG number: 377572</w:t>
            </w:r>
          </w:p>
        </w:tc>
      </w:tr>
      <w:tr w:rsidR="007738F0" w:rsidRPr="00CF18A4" w14:paraId="7EBD5239" w14:textId="77777777" w:rsidTr="005367A8">
        <w:tc>
          <w:tcPr>
            <w:tcW w:w="2419" w:type="dxa"/>
          </w:tcPr>
          <w:p w14:paraId="1F34300F" w14:textId="77777777" w:rsidR="007738F0" w:rsidRPr="00CF18A4" w:rsidRDefault="007738F0" w:rsidP="005367A8">
            <w:r w:rsidRPr="00CF18A4">
              <w:t>18 January 2022</w:t>
            </w:r>
          </w:p>
        </w:tc>
        <w:tc>
          <w:tcPr>
            <w:tcW w:w="6509" w:type="dxa"/>
          </w:tcPr>
          <w:p w14:paraId="30246181" w14:textId="5318B31D" w:rsidR="007738F0" w:rsidRPr="00CF18A4" w:rsidRDefault="007738F0" w:rsidP="005367A8">
            <w:r w:rsidRPr="00CF18A4">
              <w:t>Treatment: of COVID-19 in adults ≥ 18 years of age, who do not require initiation of supplemental oxygen due to COVID-19 and are at increased risk of progression to hospitalisation or death (</w:t>
            </w:r>
            <w:proofErr w:type="spellStart"/>
            <w:r w:rsidR="009151D4">
              <w:rPr>
                <w:color w:val="auto"/>
              </w:rPr>
              <w:fldChar w:fldCharType="begin"/>
            </w:r>
            <w:r w:rsidR="009151D4">
              <w:instrText xml:space="preserve"> HYPERLINK "https://www.tga.gov.au/resources/auspar/auspar-nirmatrelvirritonavir"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200C30EB" w14:textId="77777777" w:rsidTr="005367A8">
        <w:tc>
          <w:tcPr>
            <w:tcW w:w="8928" w:type="dxa"/>
            <w:gridSpan w:val="2"/>
          </w:tcPr>
          <w:p w14:paraId="40085609" w14:textId="77777777" w:rsidR="007738F0" w:rsidRPr="00CF18A4" w:rsidRDefault="007738F0" w:rsidP="005367A8">
            <w:proofErr w:type="spellStart"/>
            <w:r w:rsidRPr="00CF18A4">
              <w:rPr>
                <w:b/>
              </w:rPr>
              <w:t>Lagevrio</w:t>
            </w:r>
            <w:proofErr w:type="spellEnd"/>
            <w:r w:rsidRPr="00CF18A4">
              <w:t xml:space="preserve"> (</w:t>
            </w:r>
            <w:proofErr w:type="spellStart"/>
            <w:r w:rsidRPr="00CF18A4">
              <w:t>molnupiravir</w:t>
            </w:r>
            <w:proofErr w:type="spellEnd"/>
            <w:r w:rsidRPr="00CF18A4">
              <w:t>); Merck Sharp &amp; Dohme (Australia) Pty Ltd</w:t>
            </w:r>
          </w:p>
          <w:p w14:paraId="1AD95E87" w14:textId="77777777" w:rsidR="007738F0" w:rsidRPr="00CF18A4" w:rsidRDefault="007738F0" w:rsidP="005367A8">
            <w:r w:rsidRPr="00CF18A4">
              <w:t>ARTG number: 372650</w:t>
            </w:r>
          </w:p>
        </w:tc>
      </w:tr>
      <w:tr w:rsidR="007738F0" w:rsidRPr="00CF18A4" w14:paraId="6E0B470B" w14:textId="77777777" w:rsidTr="005367A8">
        <w:tc>
          <w:tcPr>
            <w:tcW w:w="2419" w:type="dxa"/>
          </w:tcPr>
          <w:p w14:paraId="0EBD72FA" w14:textId="77777777" w:rsidR="007738F0" w:rsidRPr="00CF18A4" w:rsidRDefault="007738F0" w:rsidP="005367A8">
            <w:r w:rsidRPr="00CF18A4">
              <w:t>18 January 2022</w:t>
            </w:r>
          </w:p>
        </w:tc>
        <w:tc>
          <w:tcPr>
            <w:tcW w:w="6509" w:type="dxa"/>
          </w:tcPr>
          <w:p w14:paraId="14F09EDD" w14:textId="759C467C" w:rsidR="007738F0" w:rsidRPr="00CF18A4" w:rsidRDefault="007738F0" w:rsidP="005367A8">
            <w:r w:rsidRPr="00CF18A4">
              <w:t>Treatment: of adults with COVID 19 who do not require initiation of oxygen due to COVID-19 and who are at increased risk for hospitalisation or death (</w:t>
            </w:r>
            <w:proofErr w:type="spellStart"/>
            <w:r w:rsidR="009151D4">
              <w:rPr>
                <w:color w:val="auto"/>
              </w:rPr>
              <w:fldChar w:fldCharType="begin"/>
            </w:r>
            <w:r w:rsidR="009151D4">
              <w:instrText xml:space="preserve"> HYPERLINK "https://www.tga.gov.au/resources/auspar/auspar-molnupiravir"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r w:rsidR="007738F0" w:rsidRPr="00CF18A4" w14:paraId="7A845383" w14:textId="77777777" w:rsidTr="005367A8">
        <w:tc>
          <w:tcPr>
            <w:tcW w:w="8928" w:type="dxa"/>
            <w:gridSpan w:val="2"/>
          </w:tcPr>
          <w:p w14:paraId="41B16B21" w14:textId="77777777" w:rsidR="007738F0" w:rsidRPr="00CF18A4" w:rsidRDefault="007738F0" w:rsidP="005367A8">
            <w:r w:rsidRPr="00CF18A4">
              <w:rPr>
                <w:b/>
              </w:rPr>
              <w:t>Evusheld</w:t>
            </w:r>
            <w:r w:rsidRPr="00CF18A4">
              <w:t xml:space="preserve"> (tixagevimab/cilgavimab); AstraZeneca Pty Ltd</w:t>
            </w:r>
          </w:p>
          <w:p w14:paraId="4E67ADD3" w14:textId="77777777" w:rsidR="007738F0" w:rsidRPr="00CF18A4" w:rsidRDefault="007738F0" w:rsidP="005367A8">
            <w:r w:rsidRPr="00CF18A4">
              <w:t>ARTG number: 378245</w:t>
            </w:r>
          </w:p>
        </w:tc>
      </w:tr>
      <w:tr w:rsidR="007738F0" w:rsidRPr="00CF18A4" w14:paraId="06569869" w14:textId="77777777" w:rsidTr="005367A8">
        <w:tc>
          <w:tcPr>
            <w:tcW w:w="2419" w:type="dxa"/>
          </w:tcPr>
          <w:p w14:paraId="4184BCF4" w14:textId="77777777" w:rsidR="007738F0" w:rsidRPr="00CF18A4" w:rsidRDefault="007738F0" w:rsidP="005367A8">
            <w:r w:rsidRPr="00CF18A4">
              <w:t>24 February 2022</w:t>
            </w:r>
          </w:p>
        </w:tc>
        <w:tc>
          <w:tcPr>
            <w:tcW w:w="6509" w:type="dxa"/>
          </w:tcPr>
          <w:p w14:paraId="1C51B9EE" w14:textId="0748F2EB" w:rsidR="007738F0" w:rsidRPr="00CF18A4" w:rsidRDefault="007738F0" w:rsidP="005367A8">
            <w:r w:rsidRPr="00CF18A4">
              <w:t>Pre-exposure prophylaxis of COVID-19 in adults and adolescents aged 12 years and older weighing at least 40 kg and at high risk or vaccination is contraindicated (</w:t>
            </w:r>
            <w:proofErr w:type="spellStart"/>
            <w:r w:rsidR="009151D4">
              <w:rPr>
                <w:color w:val="auto"/>
              </w:rPr>
              <w:fldChar w:fldCharType="begin"/>
            </w:r>
            <w:r w:rsidR="009151D4">
              <w:instrText xml:space="preserve"> HYPERLINK "https://www.tga.gov.au/resources/auspar/auspar-tixagevimab-and-cilgavimab" </w:instrText>
            </w:r>
            <w:r w:rsidR="009151D4">
              <w:rPr>
                <w:color w:val="auto"/>
              </w:rPr>
              <w:fldChar w:fldCharType="separate"/>
            </w:r>
            <w:r w:rsidRPr="00CF18A4">
              <w:rPr>
                <w:color w:val="0000FF"/>
                <w:u w:val="single"/>
              </w:rPr>
              <w:t>AusPAR</w:t>
            </w:r>
            <w:proofErr w:type="spellEnd"/>
            <w:r w:rsidR="009151D4">
              <w:rPr>
                <w:color w:val="0000FF"/>
                <w:u w:val="single"/>
              </w:rPr>
              <w:fldChar w:fldCharType="end"/>
            </w:r>
            <w:r w:rsidRPr="00CF18A4">
              <w:t>)</w:t>
            </w:r>
          </w:p>
        </w:tc>
      </w:tr>
    </w:tbl>
    <w:p w14:paraId="41034658" w14:textId="67CCA579" w:rsidR="008E7846" w:rsidRPr="003F31A2" w:rsidRDefault="00386150" w:rsidP="00FB43E0">
      <w:pPr>
        <w:pStyle w:val="Heading3"/>
      </w:pPr>
      <w:bookmarkStart w:id="18" w:name="_Toc122596074"/>
      <w:r>
        <w:t>Regulatory s</w:t>
      </w:r>
      <w:r w:rsidR="008E7846">
        <w:t>tatus</w:t>
      </w:r>
      <w:bookmarkEnd w:id="14"/>
      <w:bookmarkEnd w:id="15"/>
      <w:bookmarkEnd w:id="18"/>
    </w:p>
    <w:p w14:paraId="2EAF44FB" w14:textId="1891B6F9" w:rsidR="00332715" w:rsidRDefault="00332715" w:rsidP="00332715">
      <w:bookmarkStart w:id="19" w:name="_Toc247691505"/>
      <w:bookmarkStart w:id="20" w:name="_Toc314842486"/>
      <w:r>
        <w:t xml:space="preserve">The product received initial registration on the Australian Register of Therapeutic Goods (ARTG) </w:t>
      </w:r>
      <w:r w:rsidR="007738F0">
        <w:t>on 26 February 2022 for pre-exposure prophylaxis of COVID-19.</w:t>
      </w:r>
    </w:p>
    <w:p w14:paraId="219ABFBE" w14:textId="77777777" w:rsidR="00F303AC" w:rsidRDefault="007738F0" w:rsidP="00E52E26">
      <w:pPr>
        <w:ind w:left="720"/>
        <w:rPr>
          <w:i/>
          <w:iCs/>
        </w:rPr>
      </w:pPr>
      <w:r w:rsidRPr="005E3688">
        <w:rPr>
          <w:i/>
          <w:iCs/>
        </w:rPr>
        <w:t xml:space="preserve">Evusheld (tixagevimab and cilgavimab) has </w:t>
      </w:r>
      <w:r w:rsidRPr="005E3688">
        <w:rPr>
          <w:b/>
          <w:bCs/>
          <w:i/>
          <w:iCs/>
        </w:rPr>
        <w:t>provisional approval</w:t>
      </w:r>
      <w:r w:rsidRPr="005E3688">
        <w:rPr>
          <w:i/>
          <w:iCs/>
        </w:rPr>
        <w:t xml:space="preserve"> for the </w:t>
      </w:r>
      <w:r w:rsidRPr="005E3688">
        <w:rPr>
          <w:b/>
          <w:bCs/>
          <w:i/>
          <w:iCs/>
        </w:rPr>
        <w:t>pre-exposure prophylaxis</w:t>
      </w:r>
      <w:r w:rsidRPr="005E3688">
        <w:rPr>
          <w:i/>
          <w:iCs/>
        </w:rPr>
        <w:t xml:space="preserve"> of COVID-19 in adults and adolescents aged 12 years and older weighing at least 40 kg</w:t>
      </w:r>
    </w:p>
    <w:p w14:paraId="24177661" w14:textId="186BF04E" w:rsidR="00F303AC" w:rsidRDefault="00F303AC" w:rsidP="00FF69E1">
      <w:pPr>
        <w:ind w:left="1440"/>
        <w:rPr>
          <w:i/>
          <w:iCs/>
        </w:rPr>
      </w:pPr>
      <w:r>
        <w:rPr>
          <w:i/>
          <w:iCs/>
        </w:rPr>
        <w:t xml:space="preserve">- </w:t>
      </w:r>
      <w:r w:rsidR="00E52E26">
        <w:rPr>
          <w:i/>
          <w:iCs/>
        </w:rPr>
        <w:t>w</w:t>
      </w:r>
      <w:r w:rsidR="007738F0" w:rsidRPr="005E3688">
        <w:rPr>
          <w:i/>
          <w:iCs/>
        </w:rPr>
        <w:t>ho have moderate to severe immune compromise due to a medical condition or receipt of immunosuppressive medications or treatments that make it likely that they will not mount an adequate immune response to COVID-19 vaccination</w:t>
      </w:r>
      <w:r>
        <w:rPr>
          <w:i/>
          <w:iCs/>
        </w:rPr>
        <w:t>,</w:t>
      </w:r>
      <w:r w:rsidR="007738F0" w:rsidRPr="005E3688">
        <w:rPr>
          <w:i/>
          <w:iCs/>
        </w:rPr>
        <w:t xml:space="preserve"> or</w:t>
      </w:r>
    </w:p>
    <w:p w14:paraId="774611C6" w14:textId="7FEEA33E" w:rsidR="007738F0" w:rsidRPr="005E3688" w:rsidRDefault="00F303AC" w:rsidP="00FF69E1">
      <w:pPr>
        <w:ind w:left="1440"/>
        <w:rPr>
          <w:i/>
          <w:iCs/>
        </w:rPr>
      </w:pPr>
      <w:r>
        <w:rPr>
          <w:i/>
          <w:iCs/>
        </w:rPr>
        <w:t xml:space="preserve">- for </w:t>
      </w:r>
      <w:r w:rsidR="007738F0" w:rsidRPr="005E3688">
        <w:rPr>
          <w:i/>
          <w:iCs/>
        </w:rPr>
        <w:t>whom vaccination with any approved COVID-19 vaccine is not recommended due to a history of severe adverse reaction (for example., severe allergic reaction) to a COVID-19 vaccine(s) and/or COVID‐19 vaccine component(s).</w:t>
      </w:r>
      <w:r w:rsidR="00E52E26">
        <w:rPr>
          <w:i/>
          <w:iCs/>
        </w:rPr>
        <w:t xml:space="preserve"> </w:t>
      </w:r>
      <w:r w:rsidR="007738F0" w:rsidRPr="005E3688">
        <w:rPr>
          <w:i/>
          <w:iCs/>
        </w:rPr>
        <w:t>See Section 4.2 Dose and method of administration and Section 5.2 Pharmacokinetic properties.</w:t>
      </w:r>
    </w:p>
    <w:p w14:paraId="5624BEC2" w14:textId="77777777" w:rsidR="007738F0" w:rsidRPr="005E3688" w:rsidRDefault="007738F0" w:rsidP="007738F0">
      <w:pPr>
        <w:ind w:left="720"/>
        <w:rPr>
          <w:b/>
          <w:bCs/>
          <w:i/>
          <w:iCs/>
        </w:rPr>
      </w:pPr>
      <w:r w:rsidRPr="005E3688">
        <w:rPr>
          <w:b/>
          <w:bCs/>
          <w:i/>
          <w:iCs/>
        </w:rPr>
        <w:t>Evusheld is not recommended as a substitute for vaccination in individuals for whom COVID-19 vaccination is recommended.</w:t>
      </w:r>
    </w:p>
    <w:p w14:paraId="341A23F1" w14:textId="5AB6EC9F" w:rsidR="007738F0" w:rsidRDefault="007738F0" w:rsidP="007738F0">
      <w:pPr>
        <w:ind w:left="720"/>
      </w:pPr>
      <w:r w:rsidRPr="005E3688">
        <w:rPr>
          <w:i/>
          <w:iCs/>
        </w:rPr>
        <w:t xml:space="preserve">This decision has been made </w:t>
      </w:r>
      <w:proofErr w:type="gramStart"/>
      <w:r w:rsidRPr="005E3688">
        <w:rPr>
          <w:i/>
          <w:iCs/>
        </w:rPr>
        <w:t>on the basis of</w:t>
      </w:r>
      <w:proofErr w:type="gramEnd"/>
      <w:r w:rsidRPr="005E3688">
        <w:rPr>
          <w:i/>
          <w:iCs/>
        </w:rPr>
        <w:t xml:space="preserve"> short-term efficacy and safety data. Continued approval depends on the evidence of longer-term efficacy and safety data from ongoing clinical trials.</w:t>
      </w:r>
    </w:p>
    <w:p w14:paraId="3E820908" w14:textId="72A9057C" w:rsidR="00332715" w:rsidRDefault="00332715" w:rsidP="00332715">
      <w:r>
        <w:t xml:space="preserve">At the time the TGA considered this </w:t>
      </w:r>
      <w:r w:rsidR="00BB0B78">
        <w:t>submission</w:t>
      </w:r>
      <w:r>
        <w:t xml:space="preserve">, similar </w:t>
      </w:r>
      <w:r w:rsidR="00BB0B78">
        <w:t>submission</w:t>
      </w:r>
      <w:r w:rsidR="009C6DA2">
        <w:t>s f</w:t>
      </w:r>
      <w:r w:rsidR="00C87DD7">
        <w:t xml:space="preserve">or the new </w:t>
      </w:r>
      <w:r w:rsidR="00C87DD7" w:rsidRPr="00FF69E1">
        <w:rPr>
          <w:i/>
        </w:rPr>
        <w:t>treatment indication</w:t>
      </w:r>
      <w:r w:rsidR="00C87DD7">
        <w:t xml:space="preserve">, had been approved in Canada (18 October 2022), and the European </w:t>
      </w:r>
      <w:r w:rsidR="00C87DD7">
        <w:lastRenderedPageBreak/>
        <w:t>Union (</w:t>
      </w:r>
      <w:r w:rsidR="009C6DA2">
        <w:t>16 September 2022). Similar submissions for a treatment indication</w:t>
      </w:r>
      <w:r>
        <w:t xml:space="preserve"> w</w:t>
      </w:r>
      <w:r w:rsidR="009C6DA2">
        <w:t>ere</w:t>
      </w:r>
      <w:r>
        <w:t xml:space="preserve"> under consideration in </w:t>
      </w:r>
      <w:r w:rsidR="009C6DA2">
        <w:t xml:space="preserve">the USA, </w:t>
      </w:r>
      <w:r w:rsidR="007738F0">
        <w:t>New Zealand</w:t>
      </w:r>
      <w:r w:rsidR="009C6DA2">
        <w:t xml:space="preserve">, </w:t>
      </w:r>
      <w:proofErr w:type="gramStart"/>
      <w:r w:rsidR="007738F0">
        <w:t>Singapore</w:t>
      </w:r>
      <w:proofErr w:type="gramEnd"/>
      <w:r w:rsidR="009C6DA2">
        <w:t xml:space="preserve"> and Switzerland</w:t>
      </w:r>
      <w:r w:rsidR="007738F0">
        <w:t>.</w:t>
      </w:r>
    </w:p>
    <w:p w14:paraId="4EE1340B" w14:textId="60F7EDB9" w:rsidR="00332715" w:rsidRDefault="009C6DA2" w:rsidP="00332715">
      <w:r>
        <w:fldChar w:fldCharType="begin"/>
      </w:r>
      <w:r>
        <w:instrText xml:space="preserve"> REF _Ref122515466 \h </w:instrText>
      </w:r>
      <w:r>
        <w:fldChar w:fldCharType="separate"/>
      </w:r>
      <w:r w:rsidR="008D61A2">
        <w:t xml:space="preserve">Table </w:t>
      </w:r>
      <w:r w:rsidR="008D61A2">
        <w:rPr>
          <w:noProof/>
        </w:rPr>
        <w:t>2</w:t>
      </w:r>
      <w:r>
        <w:fldChar w:fldCharType="end"/>
      </w:r>
      <w:r>
        <w:t xml:space="preserve">, shown below, </w:t>
      </w:r>
      <w:r w:rsidR="00332715">
        <w:t>summarises th</w:t>
      </w:r>
      <w:r>
        <w:t xml:space="preserve">ese </w:t>
      </w:r>
      <w:r w:rsidR="00BB0B78">
        <w:t>submissions</w:t>
      </w:r>
      <w:r w:rsidR="00332715">
        <w:t xml:space="preserve"> </w:t>
      </w:r>
      <w:r>
        <w:t xml:space="preserve">for a similar treatment indication </w:t>
      </w:r>
      <w:r w:rsidR="00332715">
        <w:t>and provides the indications where approved.</w:t>
      </w:r>
    </w:p>
    <w:p w14:paraId="069692CC" w14:textId="6783A877" w:rsidR="000F7BF3" w:rsidRDefault="000F7BF3" w:rsidP="00FF69E1">
      <w:pPr>
        <w:pStyle w:val="Tabletitle0"/>
      </w:pPr>
      <w:bookmarkStart w:id="21" w:name="_Ref122515466"/>
      <w:r>
        <w:t xml:space="preserve">Table </w:t>
      </w:r>
      <w:r w:rsidR="005E1B9B">
        <w:fldChar w:fldCharType="begin"/>
      </w:r>
      <w:r w:rsidR="005E1B9B">
        <w:instrText xml:space="preserve"> SEQ Table \* ARABIC </w:instrText>
      </w:r>
      <w:r w:rsidR="005E1B9B">
        <w:fldChar w:fldCharType="separate"/>
      </w:r>
      <w:r w:rsidR="008D61A2">
        <w:rPr>
          <w:noProof/>
        </w:rPr>
        <w:t>2</w:t>
      </w:r>
      <w:r w:rsidR="005E1B9B">
        <w:rPr>
          <w:noProof/>
        </w:rPr>
        <w:fldChar w:fldCharType="end"/>
      </w:r>
      <w:bookmarkEnd w:id="21"/>
      <w:r>
        <w:t>: International regulatory status (new treatment indication)</w:t>
      </w:r>
    </w:p>
    <w:tbl>
      <w:tblPr>
        <w:tblStyle w:val="TableTGAblue"/>
        <w:tblW w:w="8815" w:type="dxa"/>
        <w:tblLook w:val="04A0" w:firstRow="1" w:lastRow="0" w:firstColumn="1" w:lastColumn="0" w:noHBand="0" w:noVBand="1"/>
      </w:tblPr>
      <w:tblGrid>
        <w:gridCol w:w="1705"/>
        <w:gridCol w:w="2160"/>
        <w:gridCol w:w="2070"/>
        <w:gridCol w:w="2880"/>
      </w:tblGrid>
      <w:tr w:rsidR="00534D52" w14:paraId="728296AC" w14:textId="77777777" w:rsidTr="00FF69E1">
        <w:trPr>
          <w:cnfStyle w:val="100000000000" w:firstRow="1" w:lastRow="0" w:firstColumn="0" w:lastColumn="0" w:oddVBand="0" w:evenVBand="0" w:oddHBand="0" w:evenHBand="0" w:firstRowFirstColumn="0" w:firstRowLastColumn="0" w:lastRowFirstColumn="0" w:lastRowLastColumn="0"/>
        </w:trPr>
        <w:tc>
          <w:tcPr>
            <w:tcW w:w="1705" w:type="dxa"/>
            <w:tcBorders>
              <w:top w:val="single" w:sz="4" w:space="0" w:color="auto"/>
              <w:left w:val="single" w:sz="4" w:space="0" w:color="auto"/>
              <w:bottom w:val="single" w:sz="4" w:space="0" w:color="auto"/>
              <w:right w:val="single" w:sz="4" w:space="0" w:color="auto"/>
            </w:tcBorders>
          </w:tcPr>
          <w:p w14:paraId="789218F0" w14:textId="77777777" w:rsidR="000F7BF3" w:rsidRDefault="000F7BF3" w:rsidP="00E467D7">
            <w:pPr>
              <w:ind w:left="0" w:right="0"/>
            </w:pPr>
            <w:r>
              <w:t>Region</w:t>
            </w:r>
          </w:p>
        </w:tc>
        <w:tc>
          <w:tcPr>
            <w:tcW w:w="2160" w:type="dxa"/>
            <w:tcBorders>
              <w:top w:val="single" w:sz="4" w:space="0" w:color="auto"/>
              <w:left w:val="single" w:sz="4" w:space="0" w:color="auto"/>
              <w:bottom w:val="single" w:sz="4" w:space="0" w:color="auto"/>
              <w:right w:val="single" w:sz="4" w:space="0" w:color="auto"/>
            </w:tcBorders>
          </w:tcPr>
          <w:p w14:paraId="17D3B337" w14:textId="77777777" w:rsidR="000F7BF3" w:rsidRDefault="000F7BF3" w:rsidP="00E467D7">
            <w:pPr>
              <w:ind w:left="0" w:right="0"/>
            </w:pPr>
            <w:r>
              <w:t>Submission date</w:t>
            </w:r>
          </w:p>
        </w:tc>
        <w:tc>
          <w:tcPr>
            <w:tcW w:w="2070" w:type="dxa"/>
            <w:tcBorders>
              <w:top w:val="single" w:sz="4" w:space="0" w:color="auto"/>
              <w:left w:val="single" w:sz="4" w:space="0" w:color="auto"/>
              <w:bottom w:val="single" w:sz="4" w:space="0" w:color="auto"/>
              <w:right w:val="single" w:sz="4" w:space="0" w:color="auto"/>
            </w:tcBorders>
          </w:tcPr>
          <w:p w14:paraId="2F8EFA8E" w14:textId="77777777" w:rsidR="000F7BF3" w:rsidRDefault="000F7BF3" w:rsidP="00E467D7">
            <w:pPr>
              <w:ind w:left="0" w:right="0"/>
            </w:pPr>
            <w:r>
              <w:t>Status</w:t>
            </w:r>
          </w:p>
        </w:tc>
        <w:tc>
          <w:tcPr>
            <w:tcW w:w="2880" w:type="dxa"/>
            <w:tcBorders>
              <w:top w:val="single" w:sz="4" w:space="0" w:color="auto"/>
              <w:left w:val="single" w:sz="4" w:space="0" w:color="auto"/>
              <w:bottom w:val="single" w:sz="4" w:space="0" w:color="auto"/>
              <w:right w:val="single" w:sz="4" w:space="0" w:color="auto"/>
            </w:tcBorders>
          </w:tcPr>
          <w:p w14:paraId="1B2EEE8F" w14:textId="77777777" w:rsidR="000F7BF3" w:rsidRDefault="000F7BF3" w:rsidP="00E467D7">
            <w:pPr>
              <w:ind w:left="0" w:right="0"/>
            </w:pPr>
            <w:r>
              <w:t>Approved indications</w:t>
            </w:r>
          </w:p>
        </w:tc>
      </w:tr>
      <w:tr w:rsidR="00534D52" w14:paraId="0C935398" w14:textId="77777777" w:rsidTr="00FF69E1">
        <w:tc>
          <w:tcPr>
            <w:tcW w:w="1705" w:type="dxa"/>
            <w:tcBorders>
              <w:top w:val="single" w:sz="4" w:space="0" w:color="auto"/>
            </w:tcBorders>
          </w:tcPr>
          <w:p w14:paraId="16DB4391" w14:textId="77777777" w:rsidR="000F7BF3" w:rsidRDefault="000F7BF3" w:rsidP="00E467D7">
            <w:pPr>
              <w:ind w:left="0" w:right="0"/>
            </w:pPr>
            <w:r>
              <w:t>Canada</w:t>
            </w:r>
          </w:p>
        </w:tc>
        <w:tc>
          <w:tcPr>
            <w:tcW w:w="2160" w:type="dxa"/>
            <w:tcBorders>
              <w:top w:val="single" w:sz="4" w:space="0" w:color="auto"/>
            </w:tcBorders>
          </w:tcPr>
          <w:p w14:paraId="74BBC78C" w14:textId="7EC680CB" w:rsidR="000F7BF3" w:rsidRDefault="000F7BF3" w:rsidP="00E467D7">
            <w:pPr>
              <w:ind w:left="0" w:right="0"/>
            </w:pPr>
            <w:r>
              <w:t>22 June 2022</w:t>
            </w:r>
          </w:p>
        </w:tc>
        <w:tc>
          <w:tcPr>
            <w:tcW w:w="2070" w:type="dxa"/>
            <w:tcBorders>
              <w:top w:val="single" w:sz="4" w:space="0" w:color="auto"/>
            </w:tcBorders>
          </w:tcPr>
          <w:p w14:paraId="62E336B3" w14:textId="6EC08A99" w:rsidR="000F7BF3" w:rsidRDefault="000F7BF3" w:rsidP="00E467D7">
            <w:pPr>
              <w:ind w:left="0" w:right="0"/>
            </w:pPr>
            <w:r>
              <w:t>18 October 2022</w:t>
            </w:r>
          </w:p>
        </w:tc>
        <w:tc>
          <w:tcPr>
            <w:tcW w:w="2880" w:type="dxa"/>
            <w:tcBorders>
              <w:top w:val="single" w:sz="4" w:space="0" w:color="auto"/>
            </w:tcBorders>
          </w:tcPr>
          <w:p w14:paraId="41B66025" w14:textId="14EF515E" w:rsidR="000F7BF3" w:rsidRPr="00FF69E1" w:rsidRDefault="00534D52" w:rsidP="00FF69E1">
            <w:pPr>
              <w:ind w:left="0"/>
              <w:rPr>
                <w:i/>
              </w:rPr>
            </w:pPr>
            <w:r w:rsidRPr="00FF69E1">
              <w:rPr>
                <w:i/>
              </w:rPr>
              <w:t>T</w:t>
            </w:r>
            <w:r w:rsidR="00C87DD7" w:rsidRPr="00FF69E1">
              <w:rPr>
                <w:i/>
              </w:rPr>
              <w:t>reatment of mild to moderate COVID-19 in adults and adolescents (≥</w:t>
            </w:r>
            <w:r w:rsidRPr="00FF69E1">
              <w:rPr>
                <w:i/>
              </w:rPr>
              <w:t> </w:t>
            </w:r>
            <w:r w:rsidR="00C87DD7" w:rsidRPr="00FF69E1">
              <w:rPr>
                <w:i/>
              </w:rPr>
              <w:t>12 years of age weighing at least 40 kg).</w:t>
            </w:r>
          </w:p>
        </w:tc>
      </w:tr>
      <w:tr w:rsidR="00534D52" w14:paraId="0BCFE3CB" w14:textId="77777777" w:rsidTr="00FF69E1">
        <w:tc>
          <w:tcPr>
            <w:tcW w:w="1705" w:type="dxa"/>
          </w:tcPr>
          <w:p w14:paraId="0AFAB421" w14:textId="77777777" w:rsidR="000F7BF3" w:rsidRDefault="000F7BF3" w:rsidP="00E467D7">
            <w:pPr>
              <w:ind w:left="0" w:right="0"/>
            </w:pPr>
            <w:r>
              <w:t>European Union</w:t>
            </w:r>
          </w:p>
        </w:tc>
        <w:tc>
          <w:tcPr>
            <w:tcW w:w="2160" w:type="dxa"/>
          </w:tcPr>
          <w:p w14:paraId="4EDD1B85" w14:textId="4ED12855" w:rsidR="000F7BF3" w:rsidRDefault="00C87DD7" w:rsidP="00E467D7">
            <w:pPr>
              <w:ind w:left="0" w:right="0"/>
            </w:pPr>
            <w:r>
              <w:t>14 April</w:t>
            </w:r>
            <w:r w:rsidR="000F7BF3">
              <w:t xml:space="preserve"> 2022</w:t>
            </w:r>
          </w:p>
        </w:tc>
        <w:tc>
          <w:tcPr>
            <w:tcW w:w="2070" w:type="dxa"/>
          </w:tcPr>
          <w:p w14:paraId="1375ACBD" w14:textId="6C047193" w:rsidR="000F7BF3" w:rsidRDefault="00C87DD7" w:rsidP="00E467D7">
            <w:pPr>
              <w:ind w:left="0" w:right="0"/>
            </w:pPr>
            <w:r>
              <w:t>16 September 2022</w:t>
            </w:r>
          </w:p>
        </w:tc>
        <w:tc>
          <w:tcPr>
            <w:tcW w:w="2880" w:type="dxa"/>
          </w:tcPr>
          <w:p w14:paraId="247085F6" w14:textId="4C62719D" w:rsidR="000F7BF3" w:rsidRPr="00FF69E1" w:rsidRDefault="00C87DD7" w:rsidP="00FF69E1">
            <w:pPr>
              <w:ind w:left="0"/>
              <w:rPr>
                <w:i/>
              </w:rPr>
            </w:pPr>
            <w:r w:rsidRPr="00FF69E1">
              <w:rPr>
                <w:i/>
              </w:rPr>
              <w:t>Evusheld is indicated for the treatment of adults and adole</w:t>
            </w:r>
            <w:r w:rsidR="00534D52" w:rsidRPr="00534D52">
              <w:rPr>
                <w:i/>
              </w:rPr>
              <w:t>scents (aged 12 </w:t>
            </w:r>
            <w:r w:rsidRPr="00FF69E1">
              <w:rPr>
                <w:i/>
              </w:rPr>
              <w:t>years and older weighing at least 40 kg) with COVID-19, who do not require supplemental oxygen and who are at increased risk of progressing to severe COVID-19.</w:t>
            </w:r>
          </w:p>
        </w:tc>
      </w:tr>
      <w:tr w:rsidR="00534D52" w14:paraId="29DD810B" w14:textId="77777777" w:rsidTr="00FF69E1">
        <w:tc>
          <w:tcPr>
            <w:tcW w:w="1705" w:type="dxa"/>
          </w:tcPr>
          <w:p w14:paraId="4162A9C7" w14:textId="77777777" w:rsidR="000F7BF3" w:rsidRDefault="000F7BF3" w:rsidP="00E467D7">
            <w:pPr>
              <w:ind w:left="0"/>
            </w:pPr>
            <w:r>
              <w:t>New Zealand</w:t>
            </w:r>
          </w:p>
        </w:tc>
        <w:tc>
          <w:tcPr>
            <w:tcW w:w="2160" w:type="dxa"/>
          </w:tcPr>
          <w:p w14:paraId="011818A1" w14:textId="1282BBE7" w:rsidR="000F7BF3" w:rsidRDefault="00C87DD7" w:rsidP="00E467D7">
            <w:pPr>
              <w:ind w:left="0"/>
            </w:pPr>
            <w:r>
              <w:t>19</w:t>
            </w:r>
            <w:r w:rsidR="000F7BF3">
              <w:t xml:space="preserve"> August 2022</w:t>
            </w:r>
          </w:p>
        </w:tc>
        <w:tc>
          <w:tcPr>
            <w:tcW w:w="2070" w:type="dxa"/>
          </w:tcPr>
          <w:p w14:paraId="14758A18" w14:textId="77777777" w:rsidR="000F7BF3" w:rsidRPr="00006FAB" w:rsidRDefault="000F7BF3" w:rsidP="00E467D7">
            <w:pPr>
              <w:ind w:left="0"/>
            </w:pPr>
            <w:r w:rsidRPr="00006FAB">
              <w:t>Under consideration</w:t>
            </w:r>
          </w:p>
        </w:tc>
        <w:tc>
          <w:tcPr>
            <w:tcW w:w="2880" w:type="dxa"/>
          </w:tcPr>
          <w:p w14:paraId="7C3F77A2" w14:textId="462B6350" w:rsidR="000F7BF3" w:rsidRPr="00B82936" w:rsidRDefault="000F7BF3" w:rsidP="00E467D7">
            <w:pPr>
              <w:ind w:left="0"/>
            </w:pPr>
          </w:p>
        </w:tc>
      </w:tr>
      <w:tr w:rsidR="00534D52" w14:paraId="705F8869" w14:textId="77777777" w:rsidTr="00FF69E1">
        <w:tc>
          <w:tcPr>
            <w:tcW w:w="1705" w:type="dxa"/>
          </w:tcPr>
          <w:p w14:paraId="31AC568B" w14:textId="77777777" w:rsidR="000F7BF3" w:rsidRDefault="000F7BF3" w:rsidP="00E467D7">
            <w:pPr>
              <w:ind w:left="0"/>
            </w:pPr>
            <w:r>
              <w:t>Singapore</w:t>
            </w:r>
          </w:p>
        </w:tc>
        <w:tc>
          <w:tcPr>
            <w:tcW w:w="2160" w:type="dxa"/>
          </w:tcPr>
          <w:p w14:paraId="3B80DA47" w14:textId="19F72B4F" w:rsidR="000F7BF3" w:rsidRDefault="00C87DD7" w:rsidP="00E467D7">
            <w:pPr>
              <w:ind w:left="0"/>
            </w:pPr>
            <w:r>
              <w:t xml:space="preserve">28 September </w:t>
            </w:r>
            <w:r w:rsidR="000F7BF3">
              <w:t>2022</w:t>
            </w:r>
          </w:p>
        </w:tc>
        <w:tc>
          <w:tcPr>
            <w:tcW w:w="2070" w:type="dxa"/>
          </w:tcPr>
          <w:p w14:paraId="5942B015" w14:textId="77777777" w:rsidR="000F7BF3" w:rsidRPr="00006FAB" w:rsidRDefault="000F7BF3" w:rsidP="00E467D7">
            <w:pPr>
              <w:ind w:left="0"/>
            </w:pPr>
            <w:r w:rsidRPr="00006FAB">
              <w:t>Under consideration</w:t>
            </w:r>
          </w:p>
        </w:tc>
        <w:tc>
          <w:tcPr>
            <w:tcW w:w="2880" w:type="dxa"/>
          </w:tcPr>
          <w:p w14:paraId="6E69EABF" w14:textId="416EAFF2" w:rsidR="000F7BF3" w:rsidRPr="00B82936" w:rsidRDefault="000F7BF3" w:rsidP="00E467D7">
            <w:pPr>
              <w:ind w:left="0"/>
            </w:pPr>
          </w:p>
        </w:tc>
      </w:tr>
      <w:tr w:rsidR="00C87DD7" w14:paraId="2F68EB73" w14:textId="77777777" w:rsidTr="00FF69E1">
        <w:tc>
          <w:tcPr>
            <w:tcW w:w="1705" w:type="dxa"/>
          </w:tcPr>
          <w:p w14:paraId="2FE413AE" w14:textId="64F5AB77" w:rsidR="00C87DD7" w:rsidRDefault="00C87DD7" w:rsidP="00FF69E1">
            <w:pPr>
              <w:ind w:left="0"/>
            </w:pPr>
            <w:r>
              <w:t>Switzerland</w:t>
            </w:r>
          </w:p>
        </w:tc>
        <w:tc>
          <w:tcPr>
            <w:tcW w:w="2160" w:type="dxa"/>
          </w:tcPr>
          <w:p w14:paraId="5BD3C3A4" w14:textId="2C875A9D" w:rsidR="00C87DD7" w:rsidRDefault="00C87DD7" w:rsidP="00FF69E1">
            <w:pPr>
              <w:ind w:left="0"/>
            </w:pPr>
            <w:r>
              <w:t>28 June 2022</w:t>
            </w:r>
          </w:p>
        </w:tc>
        <w:tc>
          <w:tcPr>
            <w:tcW w:w="2070" w:type="dxa"/>
          </w:tcPr>
          <w:p w14:paraId="660544B7" w14:textId="1A2E6CEE" w:rsidR="00C87DD7" w:rsidRPr="00006FAB" w:rsidRDefault="00C87DD7" w:rsidP="00FF69E1">
            <w:pPr>
              <w:ind w:left="0"/>
            </w:pPr>
            <w:r>
              <w:t>Under consideration</w:t>
            </w:r>
          </w:p>
        </w:tc>
        <w:tc>
          <w:tcPr>
            <w:tcW w:w="2880" w:type="dxa"/>
          </w:tcPr>
          <w:p w14:paraId="732A0E06" w14:textId="77777777" w:rsidR="00C87DD7" w:rsidRPr="00B82936" w:rsidRDefault="00C87DD7" w:rsidP="00E467D7"/>
        </w:tc>
      </w:tr>
      <w:tr w:rsidR="00534D52" w14:paraId="1A7E4C23" w14:textId="77777777" w:rsidTr="00FF69E1">
        <w:tc>
          <w:tcPr>
            <w:tcW w:w="1705" w:type="dxa"/>
          </w:tcPr>
          <w:p w14:paraId="1C011B0F" w14:textId="77777777" w:rsidR="000F7BF3" w:rsidRDefault="000F7BF3" w:rsidP="00E467D7">
            <w:pPr>
              <w:ind w:left="0"/>
            </w:pPr>
            <w:r>
              <w:t>United States of America</w:t>
            </w:r>
          </w:p>
        </w:tc>
        <w:tc>
          <w:tcPr>
            <w:tcW w:w="2160" w:type="dxa"/>
          </w:tcPr>
          <w:p w14:paraId="7177CC1D" w14:textId="1A48E941" w:rsidR="000F7BF3" w:rsidRDefault="00C87DD7" w:rsidP="00E467D7">
            <w:pPr>
              <w:ind w:left="0"/>
            </w:pPr>
            <w:r>
              <w:t>28 February 2022</w:t>
            </w:r>
          </w:p>
        </w:tc>
        <w:tc>
          <w:tcPr>
            <w:tcW w:w="2070" w:type="dxa"/>
          </w:tcPr>
          <w:p w14:paraId="403F3A27" w14:textId="26C9A0CD" w:rsidR="000F7BF3" w:rsidRPr="00006FAB" w:rsidRDefault="00C87DD7" w:rsidP="00E467D7">
            <w:pPr>
              <w:ind w:left="0"/>
            </w:pPr>
            <w:r>
              <w:t>Under consideration</w:t>
            </w:r>
          </w:p>
        </w:tc>
        <w:tc>
          <w:tcPr>
            <w:tcW w:w="2880" w:type="dxa"/>
          </w:tcPr>
          <w:p w14:paraId="54A6B518" w14:textId="77777777" w:rsidR="000F7BF3" w:rsidRPr="00006FAB" w:rsidRDefault="000F7BF3" w:rsidP="00E467D7">
            <w:pPr>
              <w:ind w:left="0"/>
            </w:pPr>
          </w:p>
        </w:tc>
      </w:tr>
    </w:tbl>
    <w:p w14:paraId="4FA76D37" w14:textId="5906412D" w:rsidR="00534D52" w:rsidRDefault="00534D52" w:rsidP="000F7BF3"/>
    <w:p w14:paraId="5FFF460B" w14:textId="77777777" w:rsidR="00534D52" w:rsidRDefault="00534D52">
      <w:pPr>
        <w:spacing w:before="0" w:after="200" w:line="0" w:lineRule="auto"/>
      </w:pPr>
      <w:r>
        <w:br w:type="page"/>
      </w:r>
    </w:p>
    <w:p w14:paraId="413B7424" w14:textId="53296364" w:rsidR="000F7BF3" w:rsidRPr="00E44492" w:rsidRDefault="009C6DA2" w:rsidP="00534D52">
      <w:r w:rsidRPr="00E44492">
        <w:lastRenderedPageBreak/>
        <w:t xml:space="preserve">For the proposed change in dosage regimen for the </w:t>
      </w:r>
      <w:r w:rsidRPr="00E44492">
        <w:rPr>
          <w:i/>
        </w:rPr>
        <w:t xml:space="preserve">pre-exposure prophylaxis of COVID-19 </w:t>
      </w:r>
      <w:r w:rsidRPr="00E44492">
        <w:t xml:space="preserve">indication, at the time the TGA considered this submission similar submissions were under consideration in Canada, the European Union, New </w:t>
      </w:r>
      <w:proofErr w:type="gramStart"/>
      <w:r w:rsidRPr="00E44492">
        <w:t>Zealand</w:t>
      </w:r>
      <w:proofErr w:type="gramEnd"/>
      <w:r w:rsidRPr="00E44492">
        <w:t xml:space="preserve"> and Singapore. A similar submission had been approved (via an Emergency Use Authorization) in the United States of America (USA) on 24 February 2022.</w:t>
      </w:r>
    </w:p>
    <w:p w14:paraId="64AFA613" w14:textId="7A6FDEE9" w:rsidR="009C6DA2" w:rsidRPr="00E44492" w:rsidRDefault="009C6DA2" w:rsidP="00534D52">
      <w:r w:rsidRPr="00E44492">
        <w:fldChar w:fldCharType="begin"/>
      </w:r>
      <w:r w:rsidRPr="00E44492">
        <w:instrText xml:space="preserve"> REF _Ref122515867 \h </w:instrText>
      </w:r>
      <w:r w:rsidR="008D61A2" w:rsidRPr="00E44492">
        <w:instrText xml:space="preserve"> \* MERGEFORMAT </w:instrText>
      </w:r>
      <w:r w:rsidRPr="00E44492">
        <w:fldChar w:fldCharType="separate"/>
      </w:r>
      <w:r w:rsidR="008D61A2" w:rsidRPr="00E44492">
        <w:t xml:space="preserve">Table </w:t>
      </w:r>
      <w:r w:rsidR="008D61A2" w:rsidRPr="00E44492">
        <w:rPr>
          <w:noProof/>
        </w:rPr>
        <w:t>3</w:t>
      </w:r>
      <w:r w:rsidRPr="00E44492">
        <w:fldChar w:fldCharType="end"/>
      </w:r>
      <w:r w:rsidRPr="00E44492">
        <w:t>, shown below, summarises similar submissions overseas for an increased dose for the pre-exposure prophylaxis indication.</w:t>
      </w:r>
    </w:p>
    <w:p w14:paraId="41872A9B" w14:textId="7E107174" w:rsidR="00C87DD7" w:rsidRPr="00E44492" w:rsidRDefault="00C87DD7" w:rsidP="00FF69E1">
      <w:pPr>
        <w:pStyle w:val="Tabletitle0"/>
      </w:pPr>
      <w:bookmarkStart w:id="22" w:name="_Ref122515867"/>
      <w:r w:rsidRPr="00E44492">
        <w:t xml:space="preserve">Table </w:t>
      </w:r>
      <w:r w:rsidR="005E1B9B">
        <w:fldChar w:fldCharType="begin"/>
      </w:r>
      <w:r w:rsidR="005E1B9B">
        <w:instrText xml:space="preserve"> SEQ Table \* ARABIC </w:instrText>
      </w:r>
      <w:r w:rsidR="005E1B9B">
        <w:fldChar w:fldCharType="separate"/>
      </w:r>
      <w:r w:rsidR="008D61A2" w:rsidRPr="00E44492">
        <w:rPr>
          <w:noProof/>
        </w:rPr>
        <w:t>3</w:t>
      </w:r>
      <w:r w:rsidR="005E1B9B">
        <w:rPr>
          <w:noProof/>
        </w:rPr>
        <w:fldChar w:fldCharType="end"/>
      </w:r>
      <w:bookmarkEnd w:id="22"/>
      <w:r w:rsidRPr="00E44492">
        <w:t>: International regulatory status (increased dose in pre-exposure prophylaxis indication)</w:t>
      </w:r>
    </w:p>
    <w:tbl>
      <w:tblPr>
        <w:tblStyle w:val="TableTGAblue"/>
        <w:tblW w:w="0" w:type="auto"/>
        <w:tblLook w:val="04A0" w:firstRow="1" w:lastRow="0" w:firstColumn="1" w:lastColumn="0" w:noHBand="0" w:noVBand="1"/>
      </w:tblPr>
      <w:tblGrid>
        <w:gridCol w:w="2096"/>
        <w:gridCol w:w="2102"/>
        <w:gridCol w:w="2148"/>
        <w:gridCol w:w="2148"/>
      </w:tblGrid>
      <w:tr w:rsidR="000F7BF3" w:rsidRPr="00E44492" w14:paraId="7889B6AB" w14:textId="77777777" w:rsidTr="00E467D7">
        <w:trPr>
          <w:cnfStyle w:val="100000000000" w:firstRow="1" w:lastRow="0" w:firstColumn="0" w:lastColumn="0" w:oddVBand="0" w:evenVBand="0" w:oddHBand="0" w:evenHBand="0" w:firstRowFirstColumn="0" w:firstRowLastColumn="0" w:lastRowFirstColumn="0" w:lastRowLastColumn="0"/>
        </w:trPr>
        <w:tc>
          <w:tcPr>
            <w:tcW w:w="2096" w:type="dxa"/>
            <w:tcBorders>
              <w:top w:val="single" w:sz="4" w:space="0" w:color="auto"/>
              <w:left w:val="single" w:sz="4" w:space="0" w:color="auto"/>
              <w:bottom w:val="single" w:sz="4" w:space="0" w:color="auto"/>
              <w:right w:val="single" w:sz="4" w:space="0" w:color="auto"/>
            </w:tcBorders>
          </w:tcPr>
          <w:p w14:paraId="29EF7D09" w14:textId="77777777" w:rsidR="000F7BF3" w:rsidRPr="00E44492" w:rsidRDefault="000F7BF3" w:rsidP="00E467D7">
            <w:pPr>
              <w:ind w:left="0" w:right="0"/>
            </w:pPr>
            <w:r w:rsidRPr="00E44492">
              <w:t>Region</w:t>
            </w:r>
          </w:p>
        </w:tc>
        <w:tc>
          <w:tcPr>
            <w:tcW w:w="2102" w:type="dxa"/>
            <w:tcBorders>
              <w:top w:val="single" w:sz="4" w:space="0" w:color="auto"/>
              <w:left w:val="single" w:sz="4" w:space="0" w:color="auto"/>
              <w:bottom w:val="single" w:sz="4" w:space="0" w:color="auto"/>
              <w:right w:val="single" w:sz="4" w:space="0" w:color="auto"/>
            </w:tcBorders>
          </w:tcPr>
          <w:p w14:paraId="639C89D3" w14:textId="77777777" w:rsidR="000F7BF3" w:rsidRPr="00E44492" w:rsidRDefault="000F7BF3" w:rsidP="00E467D7">
            <w:pPr>
              <w:ind w:left="0" w:right="0"/>
            </w:pPr>
            <w:r w:rsidRPr="00E44492">
              <w:t>Submission date</w:t>
            </w:r>
          </w:p>
        </w:tc>
        <w:tc>
          <w:tcPr>
            <w:tcW w:w="2148" w:type="dxa"/>
            <w:tcBorders>
              <w:top w:val="single" w:sz="4" w:space="0" w:color="auto"/>
              <w:left w:val="single" w:sz="4" w:space="0" w:color="auto"/>
              <w:bottom w:val="single" w:sz="4" w:space="0" w:color="auto"/>
              <w:right w:val="single" w:sz="4" w:space="0" w:color="auto"/>
            </w:tcBorders>
          </w:tcPr>
          <w:p w14:paraId="07604F67" w14:textId="77777777" w:rsidR="000F7BF3" w:rsidRPr="00E44492" w:rsidRDefault="000F7BF3" w:rsidP="00E467D7">
            <w:pPr>
              <w:ind w:left="0" w:right="0"/>
            </w:pPr>
            <w:r w:rsidRPr="00E44492">
              <w:t>Status</w:t>
            </w:r>
          </w:p>
        </w:tc>
        <w:tc>
          <w:tcPr>
            <w:tcW w:w="2148" w:type="dxa"/>
            <w:tcBorders>
              <w:top w:val="single" w:sz="4" w:space="0" w:color="auto"/>
              <w:left w:val="single" w:sz="4" w:space="0" w:color="auto"/>
              <w:bottom w:val="single" w:sz="4" w:space="0" w:color="auto"/>
              <w:right w:val="single" w:sz="4" w:space="0" w:color="auto"/>
            </w:tcBorders>
          </w:tcPr>
          <w:p w14:paraId="14D2DD8A" w14:textId="77777777" w:rsidR="000F7BF3" w:rsidRPr="00E44492" w:rsidRDefault="000F7BF3" w:rsidP="00E467D7">
            <w:pPr>
              <w:ind w:left="0" w:right="0"/>
            </w:pPr>
            <w:r w:rsidRPr="00E44492">
              <w:t>Approved indications</w:t>
            </w:r>
          </w:p>
        </w:tc>
      </w:tr>
      <w:tr w:rsidR="000F7BF3" w:rsidRPr="00E44492" w14:paraId="2BBDDB91" w14:textId="77777777" w:rsidTr="00E467D7">
        <w:tc>
          <w:tcPr>
            <w:tcW w:w="2096" w:type="dxa"/>
            <w:tcBorders>
              <w:top w:val="single" w:sz="4" w:space="0" w:color="auto"/>
            </w:tcBorders>
          </w:tcPr>
          <w:p w14:paraId="5631BF85" w14:textId="77777777" w:rsidR="000F7BF3" w:rsidRPr="00E44492" w:rsidRDefault="000F7BF3" w:rsidP="00E467D7">
            <w:pPr>
              <w:ind w:left="0" w:right="0"/>
            </w:pPr>
            <w:r w:rsidRPr="00E44492">
              <w:t>Canada</w:t>
            </w:r>
          </w:p>
        </w:tc>
        <w:tc>
          <w:tcPr>
            <w:tcW w:w="2102" w:type="dxa"/>
            <w:tcBorders>
              <w:top w:val="single" w:sz="4" w:space="0" w:color="auto"/>
            </w:tcBorders>
          </w:tcPr>
          <w:p w14:paraId="4D8D45D4" w14:textId="77777777" w:rsidR="000F7BF3" w:rsidRPr="00E44492" w:rsidRDefault="000F7BF3" w:rsidP="00E467D7">
            <w:pPr>
              <w:ind w:left="0" w:right="0"/>
            </w:pPr>
            <w:r w:rsidRPr="00E44492">
              <w:t>28 July 2022</w:t>
            </w:r>
          </w:p>
        </w:tc>
        <w:tc>
          <w:tcPr>
            <w:tcW w:w="2148" w:type="dxa"/>
            <w:tcBorders>
              <w:top w:val="single" w:sz="4" w:space="0" w:color="auto"/>
            </w:tcBorders>
          </w:tcPr>
          <w:p w14:paraId="3FBCC12A" w14:textId="77777777" w:rsidR="000F7BF3" w:rsidRPr="00E44492" w:rsidRDefault="000F7BF3" w:rsidP="00E467D7">
            <w:pPr>
              <w:ind w:left="0" w:right="0"/>
            </w:pPr>
            <w:r w:rsidRPr="00E44492">
              <w:t>Under consideration</w:t>
            </w:r>
          </w:p>
        </w:tc>
        <w:tc>
          <w:tcPr>
            <w:tcW w:w="2148" w:type="dxa"/>
            <w:tcBorders>
              <w:top w:val="single" w:sz="4" w:space="0" w:color="auto"/>
            </w:tcBorders>
          </w:tcPr>
          <w:p w14:paraId="474B385B" w14:textId="77777777" w:rsidR="000F7BF3" w:rsidRPr="00E44492" w:rsidRDefault="000F7BF3" w:rsidP="00E467D7">
            <w:pPr>
              <w:ind w:left="0" w:right="0"/>
            </w:pPr>
            <w:r w:rsidRPr="00E44492">
              <w:t>Under consideration</w:t>
            </w:r>
          </w:p>
        </w:tc>
      </w:tr>
      <w:tr w:rsidR="000F7BF3" w:rsidRPr="00E44492" w14:paraId="0A5446FF" w14:textId="77777777" w:rsidTr="00E467D7">
        <w:tc>
          <w:tcPr>
            <w:tcW w:w="2096" w:type="dxa"/>
          </w:tcPr>
          <w:p w14:paraId="2D9D21B8" w14:textId="77777777" w:rsidR="000F7BF3" w:rsidRPr="00E44492" w:rsidRDefault="000F7BF3" w:rsidP="00E467D7">
            <w:pPr>
              <w:ind w:left="0" w:right="0"/>
            </w:pPr>
            <w:r w:rsidRPr="00E44492">
              <w:t>European Union</w:t>
            </w:r>
          </w:p>
        </w:tc>
        <w:tc>
          <w:tcPr>
            <w:tcW w:w="2102" w:type="dxa"/>
          </w:tcPr>
          <w:p w14:paraId="002353BC" w14:textId="77777777" w:rsidR="000F7BF3" w:rsidRPr="00E44492" w:rsidRDefault="000F7BF3" w:rsidP="00E467D7">
            <w:pPr>
              <w:ind w:left="0" w:right="0"/>
            </w:pPr>
            <w:r w:rsidRPr="00E44492">
              <w:t>15 July 2022</w:t>
            </w:r>
          </w:p>
        </w:tc>
        <w:tc>
          <w:tcPr>
            <w:tcW w:w="2148" w:type="dxa"/>
          </w:tcPr>
          <w:p w14:paraId="664FF623" w14:textId="77777777" w:rsidR="000F7BF3" w:rsidRPr="00E44492" w:rsidRDefault="000F7BF3" w:rsidP="00E467D7">
            <w:pPr>
              <w:ind w:left="0" w:right="0"/>
            </w:pPr>
            <w:r w:rsidRPr="00E44492">
              <w:t>Under consideration</w:t>
            </w:r>
          </w:p>
        </w:tc>
        <w:tc>
          <w:tcPr>
            <w:tcW w:w="2148" w:type="dxa"/>
          </w:tcPr>
          <w:p w14:paraId="24A28851" w14:textId="77777777" w:rsidR="000F7BF3" w:rsidRPr="00E44492" w:rsidRDefault="000F7BF3" w:rsidP="00E467D7">
            <w:pPr>
              <w:ind w:left="0" w:right="0"/>
            </w:pPr>
            <w:r w:rsidRPr="00E44492">
              <w:t>Under consideration</w:t>
            </w:r>
          </w:p>
        </w:tc>
      </w:tr>
      <w:tr w:rsidR="000F7BF3" w:rsidRPr="00E44492" w14:paraId="3EB20ED5" w14:textId="77777777" w:rsidTr="00E467D7">
        <w:tc>
          <w:tcPr>
            <w:tcW w:w="2096" w:type="dxa"/>
          </w:tcPr>
          <w:p w14:paraId="5E34679F" w14:textId="77777777" w:rsidR="000F7BF3" w:rsidRPr="00E44492" w:rsidRDefault="000F7BF3" w:rsidP="00E467D7">
            <w:pPr>
              <w:ind w:left="0"/>
            </w:pPr>
            <w:r w:rsidRPr="00E44492">
              <w:t>New Zealand</w:t>
            </w:r>
          </w:p>
        </w:tc>
        <w:tc>
          <w:tcPr>
            <w:tcW w:w="2102" w:type="dxa"/>
          </w:tcPr>
          <w:p w14:paraId="1B782770" w14:textId="77777777" w:rsidR="000F7BF3" w:rsidRPr="00E44492" w:rsidRDefault="000F7BF3" w:rsidP="00E467D7">
            <w:pPr>
              <w:ind w:left="0"/>
            </w:pPr>
            <w:r w:rsidRPr="00E44492">
              <w:t>12 August 2022</w:t>
            </w:r>
          </w:p>
        </w:tc>
        <w:tc>
          <w:tcPr>
            <w:tcW w:w="2148" w:type="dxa"/>
          </w:tcPr>
          <w:p w14:paraId="6B8DC402" w14:textId="77777777" w:rsidR="000F7BF3" w:rsidRPr="00E44492" w:rsidRDefault="000F7BF3" w:rsidP="00E467D7">
            <w:pPr>
              <w:ind w:left="0"/>
            </w:pPr>
            <w:r w:rsidRPr="00E44492">
              <w:t>Under consideration</w:t>
            </w:r>
          </w:p>
        </w:tc>
        <w:tc>
          <w:tcPr>
            <w:tcW w:w="2148" w:type="dxa"/>
          </w:tcPr>
          <w:p w14:paraId="38A57624" w14:textId="77777777" w:rsidR="000F7BF3" w:rsidRPr="00E44492" w:rsidRDefault="000F7BF3" w:rsidP="00E467D7">
            <w:pPr>
              <w:ind w:left="0"/>
            </w:pPr>
            <w:r w:rsidRPr="00E44492">
              <w:t>Under consideration</w:t>
            </w:r>
          </w:p>
        </w:tc>
      </w:tr>
      <w:tr w:rsidR="000F7BF3" w:rsidRPr="00E44492" w14:paraId="5D1E2C27" w14:textId="77777777" w:rsidTr="00E467D7">
        <w:tc>
          <w:tcPr>
            <w:tcW w:w="2096" w:type="dxa"/>
          </w:tcPr>
          <w:p w14:paraId="4FEFCD5B" w14:textId="77777777" w:rsidR="000F7BF3" w:rsidRPr="00E44492" w:rsidRDefault="000F7BF3" w:rsidP="00E467D7">
            <w:pPr>
              <w:ind w:left="0"/>
            </w:pPr>
            <w:r w:rsidRPr="00E44492">
              <w:t>Singapore</w:t>
            </w:r>
          </w:p>
        </w:tc>
        <w:tc>
          <w:tcPr>
            <w:tcW w:w="2102" w:type="dxa"/>
          </w:tcPr>
          <w:p w14:paraId="3DA5FCF1" w14:textId="77777777" w:rsidR="000F7BF3" w:rsidRPr="00E44492" w:rsidRDefault="000F7BF3" w:rsidP="00E467D7">
            <w:pPr>
              <w:ind w:left="0"/>
            </w:pPr>
            <w:r w:rsidRPr="00E44492">
              <w:t>1 August 2022</w:t>
            </w:r>
          </w:p>
        </w:tc>
        <w:tc>
          <w:tcPr>
            <w:tcW w:w="2148" w:type="dxa"/>
          </w:tcPr>
          <w:p w14:paraId="23E57E12" w14:textId="77777777" w:rsidR="000F7BF3" w:rsidRPr="00E44492" w:rsidRDefault="000F7BF3" w:rsidP="00E467D7">
            <w:pPr>
              <w:ind w:left="0"/>
            </w:pPr>
            <w:r w:rsidRPr="00E44492">
              <w:t>Under consideration</w:t>
            </w:r>
          </w:p>
        </w:tc>
        <w:tc>
          <w:tcPr>
            <w:tcW w:w="2148" w:type="dxa"/>
          </w:tcPr>
          <w:p w14:paraId="36224E2F" w14:textId="77777777" w:rsidR="000F7BF3" w:rsidRPr="00E44492" w:rsidRDefault="000F7BF3" w:rsidP="00E467D7">
            <w:pPr>
              <w:ind w:left="0"/>
            </w:pPr>
            <w:r w:rsidRPr="00E44492">
              <w:t>Under consideration</w:t>
            </w:r>
          </w:p>
        </w:tc>
      </w:tr>
      <w:tr w:rsidR="000F7BF3" w:rsidRPr="00E44492" w14:paraId="74CE1690" w14:textId="77777777" w:rsidTr="00E467D7">
        <w:tc>
          <w:tcPr>
            <w:tcW w:w="2096" w:type="dxa"/>
          </w:tcPr>
          <w:p w14:paraId="6990AE28" w14:textId="77777777" w:rsidR="000F7BF3" w:rsidRPr="00E44492" w:rsidRDefault="000F7BF3" w:rsidP="00E467D7">
            <w:pPr>
              <w:ind w:left="0"/>
            </w:pPr>
            <w:r w:rsidRPr="00E44492">
              <w:t>United States of America</w:t>
            </w:r>
          </w:p>
        </w:tc>
        <w:tc>
          <w:tcPr>
            <w:tcW w:w="2102" w:type="dxa"/>
          </w:tcPr>
          <w:p w14:paraId="6E761423" w14:textId="77777777" w:rsidR="000F7BF3" w:rsidRPr="00E44492" w:rsidRDefault="000F7BF3" w:rsidP="00E467D7">
            <w:pPr>
              <w:ind w:left="0"/>
            </w:pPr>
          </w:p>
        </w:tc>
        <w:tc>
          <w:tcPr>
            <w:tcW w:w="2148" w:type="dxa"/>
          </w:tcPr>
          <w:p w14:paraId="42EF7A3A" w14:textId="77777777" w:rsidR="000F7BF3" w:rsidRPr="00E44492" w:rsidRDefault="000F7BF3" w:rsidP="00E467D7">
            <w:pPr>
              <w:ind w:left="0"/>
            </w:pPr>
            <w:r w:rsidRPr="00E44492">
              <w:t>Emergency Use Authorization</w:t>
            </w:r>
          </w:p>
          <w:p w14:paraId="7830D21E" w14:textId="1E203477" w:rsidR="000F7BF3" w:rsidRPr="00E44492" w:rsidRDefault="00C87DD7" w:rsidP="00E467D7">
            <w:pPr>
              <w:ind w:left="0"/>
            </w:pPr>
            <w:r w:rsidRPr="00E44492">
              <w:t>600 mg dosage: 24 </w:t>
            </w:r>
            <w:r w:rsidR="000F7BF3" w:rsidRPr="00E44492">
              <w:t>February 2022</w:t>
            </w:r>
          </w:p>
          <w:p w14:paraId="1E8574B6" w14:textId="6DAB60C7" w:rsidR="000F7BF3" w:rsidRPr="00E44492" w:rsidRDefault="000F7BF3" w:rsidP="00E467D7">
            <w:pPr>
              <w:ind w:left="0"/>
            </w:pPr>
            <w:r w:rsidRPr="00E44492">
              <w:t>Repeat do</w:t>
            </w:r>
            <w:r w:rsidR="00C87DD7" w:rsidRPr="00E44492">
              <w:t>sing: 29 </w:t>
            </w:r>
            <w:r w:rsidRPr="00E44492">
              <w:t>June 2022</w:t>
            </w:r>
          </w:p>
        </w:tc>
        <w:tc>
          <w:tcPr>
            <w:tcW w:w="2148" w:type="dxa"/>
          </w:tcPr>
          <w:p w14:paraId="00DB36B3" w14:textId="77777777" w:rsidR="000F7BF3" w:rsidRPr="00E44492" w:rsidRDefault="000F7BF3" w:rsidP="00E467D7">
            <w:pPr>
              <w:ind w:left="0"/>
            </w:pPr>
          </w:p>
        </w:tc>
      </w:tr>
    </w:tbl>
    <w:p w14:paraId="2D804578" w14:textId="77777777" w:rsidR="008E7846" w:rsidRDefault="008E7846" w:rsidP="00940A89">
      <w:pPr>
        <w:pStyle w:val="Heading3"/>
      </w:pPr>
      <w:bookmarkStart w:id="23" w:name="_Toc122596075"/>
      <w:r w:rsidRPr="00E44492">
        <w:t>Product Information</w:t>
      </w:r>
      <w:bookmarkEnd w:id="19"/>
      <w:bookmarkEnd w:id="20"/>
      <w:bookmarkEnd w:id="23"/>
    </w:p>
    <w:p w14:paraId="2CF5D74C" w14:textId="5C7C3450" w:rsidR="00332715" w:rsidRDefault="00332715" w:rsidP="00332715">
      <w:bookmarkStart w:id="24" w:name="_Toc504480011"/>
      <w:bookmarkStart w:id="25" w:name="_Toc247691506"/>
      <w:bookmarkStart w:id="26"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21" w:history="1">
        <w:r>
          <w:rPr>
            <w:rStyle w:val="Hyperlink"/>
          </w:rPr>
          <w:t>PI/CMI search facility</w:t>
        </w:r>
        <w:r w:rsidRPr="009556D7">
          <w:rPr>
            <w:rStyle w:val="Hyperlink"/>
            <w:color w:val="auto"/>
            <w:u w:val="none"/>
          </w:rPr>
          <w:t>.</w:t>
        </w:r>
      </w:hyperlink>
    </w:p>
    <w:p w14:paraId="4247DF1D" w14:textId="77777777" w:rsidR="00500337" w:rsidRDefault="00500337" w:rsidP="00500337">
      <w:pPr>
        <w:pStyle w:val="Heading2"/>
      </w:pPr>
      <w:bookmarkStart w:id="27" w:name="_Toc122596076"/>
      <w:r>
        <w:t>Registration timeline</w:t>
      </w:r>
      <w:bookmarkEnd w:id="24"/>
      <w:bookmarkEnd w:id="27"/>
    </w:p>
    <w:p w14:paraId="5A472AE2" w14:textId="34A71870" w:rsidR="0074163C" w:rsidRPr="00C93EC1" w:rsidRDefault="00BB5E34" w:rsidP="0074163C">
      <w:r>
        <w:fldChar w:fldCharType="begin"/>
      </w:r>
      <w:r>
        <w:instrText xml:space="preserve"> REF _Ref122516629 \h </w:instrText>
      </w:r>
      <w:r>
        <w:fldChar w:fldCharType="separate"/>
      </w:r>
      <w:r w:rsidR="008D61A2">
        <w:t xml:space="preserve">Table </w:t>
      </w:r>
      <w:r w:rsidR="008D61A2">
        <w:rPr>
          <w:noProof/>
        </w:rPr>
        <w:t>4</w:t>
      </w:r>
      <w:r>
        <w:fldChar w:fldCharType="end"/>
      </w:r>
      <w:r>
        <w:t xml:space="preserve">, shown below, </w:t>
      </w:r>
      <w:r w:rsidR="0074163C" w:rsidRPr="00C93EC1">
        <w:t xml:space="preserve">captures the key steps and dates for this </w:t>
      </w:r>
      <w:r w:rsidR="00804D99">
        <w:t>submission</w:t>
      </w:r>
      <w:r w:rsidR="0074163C" w:rsidRPr="00C93EC1">
        <w:t>.</w:t>
      </w:r>
    </w:p>
    <w:p w14:paraId="7260FCDF" w14:textId="7783B471" w:rsidR="0074163C" w:rsidRDefault="0074163C" w:rsidP="0074163C">
      <w:r w:rsidRPr="00C93EC1">
        <w:t>Data</w:t>
      </w:r>
      <w:r>
        <w:t xml:space="preserve"> were</w:t>
      </w:r>
      <w:r w:rsidRPr="00C93EC1">
        <w:t xml:space="preserv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rsidR="0072292E">
        <w:t>be</w:t>
      </w:r>
      <w:r w:rsidRPr="00C93EC1">
        <w:t xml:space="preserve">comes </w:t>
      </w:r>
      <w:r w:rsidR="0072292E">
        <w:t>available</w:t>
      </w:r>
      <w:r w:rsidRPr="00C93EC1">
        <w:t>.</w:t>
      </w:r>
    </w:p>
    <w:p w14:paraId="12AE452B" w14:textId="6CE62E9D" w:rsidR="00534D52" w:rsidRPr="00C93EC1" w:rsidRDefault="00534D52" w:rsidP="00FF69E1">
      <w:pPr>
        <w:pStyle w:val="TableTitle"/>
      </w:pPr>
      <w:bookmarkStart w:id="28" w:name="_Ref122516629"/>
      <w:r>
        <w:lastRenderedPageBreak/>
        <w:t xml:space="preserve">Table </w:t>
      </w:r>
      <w:r w:rsidR="005E1B9B">
        <w:fldChar w:fldCharType="begin"/>
      </w:r>
      <w:r w:rsidR="005E1B9B">
        <w:instrText xml:space="preserve"> SEQ Table \* ARABIC </w:instrText>
      </w:r>
      <w:r w:rsidR="005E1B9B">
        <w:fldChar w:fldCharType="separate"/>
      </w:r>
      <w:r w:rsidR="008D61A2">
        <w:rPr>
          <w:noProof/>
        </w:rPr>
        <w:t>4</w:t>
      </w:r>
      <w:r w:rsidR="005E1B9B">
        <w:rPr>
          <w:noProof/>
        </w:rPr>
        <w:fldChar w:fldCharType="end"/>
      </w:r>
      <w:bookmarkEnd w:id="28"/>
      <w:r>
        <w:t>:</w:t>
      </w:r>
      <w:r w:rsidRPr="006A58A8">
        <w:t xml:space="preserve"> Timeline for Submission PM-20</w:t>
      </w:r>
      <w:r>
        <w:t>22</w:t>
      </w:r>
      <w:r w:rsidRPr="006A58A8">
        <w:t>-</w:t>
      </w:r>
      <w:r>
        <w:t>03097</w:t>
      </w:r>
      <w:r w:rsidRPr="006A58A8">
        <w:t>-1-</w:t>
      </w:r>
      <w:r>
        <w:t>2</w:t>
      </w:r>
    </w:p>
    <w:tbl>
      <w:tblPr>
        <w:tblStyle w:val="TableTGAblue"/>
        <w:tblW w:w="0" w:type="auto"/>
        <w:tblLook w:val="04A0" w:firstRow="1" w:lastRow="0" w:firstColumn="1" w:lastColumn="0" w:noHBand="0" w:noVBand="1"/>
      </w:tblPr>
      <w:tblGrid>
        <w:gridCol w:w="4255"/>
        <w:gridCol w:w="4239"/>
      </w:tblGrid>
      <w:tr w:rsidR="0074163C" w14:paraId="4814B3D8" w14:textId="77777777" w:rsidTr="001560D0">
        <w:trPr>
          <w:cnfStyle w:val="100000000000" w:firstRow="1" w:lastRow="0" w:firstColumn="0" w:lastColumn="0" w:oddVBand="0" w:evenVBand="0" w:oddHBand="0" w:evenHBand="0" w:firstRowFirstColumn="0" w:firstRowLastColumn="0" w:lastRowFirstColumn="0" w:lastRowLastColumn="0"/>
        </w:trPr>
        <w:tc>
          <w:tcPr>
            <w:tcW w:w="4255" w:type="dxa"/>
            <w:tcBorders>
              <w:top w:val="single" w:sz="4" w:space="0" w:color="auto"/>
              <w:left w:val="single" w:sz="4" w:space="0" w:color="auto"/>
              <w:bottom w:val="single" w:sz="4" w:space="0" w:color="auto"/>
              <w:right w:val="single" w:sz="4" w:space="0" w:color="auto"/>
            </w:tcBorders>
          </w:tcPr>
          <w:p w14:paraId="0DD1F472" w14:textId="77777777" w:rsidR="0074163C" w:rsidRDefault="0074163C" w:rsidP="009E5A87">
            <w:r>
              <w:t>Description</w:t>
            </w:r>
          </w:p>
        </w:tc>
        <w:tc>
          <w:tcPr>
            <w:tcW w:w="4239" w:type="dxa"/>
            <w:tcBorders>
              <w:top w:val="single" w:sz="4" w:space="0" w:color="auto"/>
              <w:left w:val="single" w:sz="4" w:space="0" w:color="auto"/>
              <w:bottom w:val="single" w:sz="4" w:space="0" w:color="auto"/>
              <w:right w:val="single" w:sz="4" w:space="0" w:color="auto"/>
            </w:tcBorders>
          </w:tcPr>
          <w:p w14:paraId="4A9B6F96" w14:textId="77777777" w:rsidR="0074163C" w:rsidRDefault="0074163C" w:rsidP="009E5A87">
            <w:r>
              <w:t>Date</w:t>
            </w:r>
          </w:p>
        </w:tc>
      </w:tr>
      <w:tr w:rsidR="0074163C" w14:paraId="73848914" w14:textId="77777777" w:rsidTr="001560D0">
        <w:tc>
          <w:tcPr>
            <w:tcW w:w="4255" w:type="dxa"/>
          </w:tcPr>
          <w:p w14:paraId="28909CB7" w14:textId="77777777" w:rsidR="0074163C" w:rsidRDefault="0074163C" w:rsidP="009E5A87">
            <w:r>
              <w:t>Submission dossier accepted and first round evaluation commenced</w:t>
            </w:r>
          </w:p>
        </w:tc>
        <w:tc>
          <w:tcPr>
            <w:tcW w:w="4239" w:type="dxa"/>
          </w:tcPr>
          <w:p w14:paraId="4ED8F039" w14:textId="4E8DEDA8" w:rsidR="0074163C" w:rsidRDefault="003B1817" w:rsidP="009E5A87">
            <w:r>
              <w:t>4 August 2022</w:t>
            </w:r>
          </w:p>
        </w:tc>
      </w:tr>
      <w:tr w:rsidR="0074163C" w14:paraId="329C732F" w14:textId="77777777" w:rsidTr="001560D0">
        <w:tc>
          <w:tcPr>
            <w:tcW w:w="4255" w:type="dxa"/>
          </w:tcPr>
          <w:p w14:paraId="3E8BC452" w14:textId="77777777" w:rsidR="0074163C" w:rsidRDefault="0074163C" w:rsidP="009E5A87">
            <w:r>
              <w:t>Evaluation completed</w:t>
            </w:r>
          </w:p>
        </w:tc>
        <w:tc>
          <w:tcPr>
            <w:tcW w:w="4239" w:type="dxa"/>
          </w:tcPr>
          <w:p w14:paraId="12F7419A" w14:textId="390BC888" w:rsidR="0074163C" w:rsidRDefault="003B1817" w:rsidP="009E5A87">
            <w:r>
              <w:t>17 October 2022</w:t>
            </w:r>
          </w:p>
        </w:tc>
      </w:tr>
      <w:tr w:rsidR="0074163C" w14:paraId="606D49A7" w14:textId="77777777" w:rsidTr="001560D0">
        <w:tc>
          <w:tcPr>
            <w:tcW w:w="4255" w:type="dxa"/>
          </w:tcPr>
          <w:p w14:paraId="36FB9B6E" w14:textId="561F877A" w:rsidR="0074163C" w:rsidRDefault="0074163C" w:rsidP="009E5A87">
            <w:r w:rsidRPr="00FB43E0">
              <w:rPr>
                <w:color w:val="auto"/>
              </w:rPr>
              <w:t>Delegate’s Overall benefit-risk assessment and request for Advisory Committee advice</w:t>
            </w:r>
          </w:p>
        </w:tc>
        <w:tc>
          <w:tcPr>
            <w:tcW w:w="4239" w:type="dxa"/>
          </w:tcPr>
          <w:p w14:paraId="6D869E21" w14:textId="60336A95" w:rsidR="0074163C" w:rsidRDefault="001560D0" w:rsidP="009E5A87">
            <w:r>
              <w:t>17 October 2022</w:t>
            </w:r>
          </w:p>
        </w:tc>
      </w:tr>
      <w:tr w:rsidR="0074163C" w14:paraId="100ADF1D" w14:textId="77777777" w:rsidTr="001560D0">
        <w:tc>
          <w:tcPr>
            <w:tcW w:w="4255" w:type="dxa"/>
          </w:tcPr>
          <w:p w14:paraId="5BAF7AA3" w14:textId="77777777" w:rsidR="0074163C" w:rsidRDefault="0074163C" w:rsidP="009E5A87">
            <w:r>
              <w:t>Sponsor’s pre-Advisory Committee response</w:t>
            </w:r>
          </w:p>
        </w:tc>
        <w:tc>
          <w:tcPr>
            <w:tcW w:w="4239" w:type="dxa"/>
          </w:tcPr>
          <w:p w14:paraId="7600996D" w14:textId="67E991AA" w:rsidR="0074163C" w:rsidRDefault="00FB43E0" w:rsidP="009E5A87">
            <w:r>
              <w:t>28 October 2022</w:t>
            </w:r>
          </w:p>
        </w:tc>
      </w:tr>
      <w:tr w:rsidR="0074163C" w14:paraId="3C9083DD" w14:textId="77777777" w:rsidTr="001560D0">
        <w:tc>
          <w:tcPr>
            <w:tcW w:w="4255" w:type="dxa"/>
          </w:tcPr>
          <w:p w14:paraId="0C1E2066" w14:textId="77777777" w:rsidR="0074163C" w:rsidRDefault="0074163C" w:rsidP="009E5A87">
            <w:r>
              <w:t>Advisory Committee meeting</w:t>
            </w:r>
          </w:p>
        </w:tc>
        <w:tc>
          <w:tcPr>
            <w:tcW w:w="4239" w:type="dxa"/>
          </w:tcPr>
          <w:p w14:paraId="7ACD99C1" w14:textId="64D161F5" w:rsidR="0074163C" w:rsidRDefault="00FB43E0" w:rsidP="009E5A87">
            <w:r>
              <w:t>10 November 2022</w:t>
            </w:r>
          </w:p>
        </w:tc>
      </w:tr>
      <w:tr w:rsidR="0074163C" w14:paraId="2A331AF8" w14:textId="77777777" w:rsidTr="001560D0">
        <w:tc>
          <w:tcPr>
            <w:tcW w:w="4255" w:type="dxa"/>
          </w:tcPr>
          <w:p w14:paraId="0F1F8DC7" w14:textId="77777777" w:rsidR="0074163C" w:rsidRDefault="0074163C" w:rsidP="009E5A87">
            <w:r>
              <w:t>Registration decision (Outcome)</w:t>
            </w:r>
          </w:p>
        </w:tc>
        <w:tc>
          <w:tcPr>
            <w:tcW w:w="4239" w:type="dxa"/>
          </w:tcPr>
          <w:p w14:paraId="488ED2A0" w14:textId="21269334" w:rsidR="00515821" w:rsidRDefault="00515821" w:rsidP="00515821">
            <w:r>
              <w:t>12 December 2022</w:t>
            </w:r>
          </w:p>
        </w:tc>
      </w:tr>
      <w:tr w:rsidR="0074163C" w14:paraId="5B3E4150" w14:textId="77777777" w:rsidTr="001560D0">
        <w:tc>
          <w:tcPr>
            <w:tcW w:w="4255" w:type="dxa"/>
          </w:tcPr>
          <w:p w14:paraId="059E6394" w14:textId="77777777" w:rsidR="0074163C" w:rsidRDefault="0074163C" w:rsidP="009E5A87">
            <w:r>
              <w:t>Completion of administrative activities and registration on the ARTG</w:t>
            </w:r>
          </w:p>
        </w:tc>
        <w:tc>
          <w:tcPr>
            <w:tcW w:w="4239" w:type="dxa"/>
          </w:tcPr>
          <w:p w14:paraId="285EE32F" w14:textId="20E6BA61" w:rsidR="0074163C" w:rsidRDefault="00D62D4A" w:rsidP="009E5A87">
            <w:r>
              <w:rPr>
                <w:color w:val="auto"/>
              </w:rPr>
              <w:t>13 December 2022</w:t>
            </w:r>
          </w:p>
        </w:tc>
      </w:tr>
      <w:tr w:rsidR="0074163C" w14:paraId="7D3E9F56" w14:textId="77777777" w:rsidTr="001560D0">
        <w:tc>
          <w:tcPr>
            <w:tcW w:w="4255" w:type="dxa"/>
          </w:tcPr>
          <w:p w14:paraId="7E5C7F96" w14:textId="77777777" w:rsidR="0074163C" w:rsidRDefault="0074163C" w:rsidP="009E5A87">
            <w:r>
              <w:t>Number of working days from submission dossier acceptance to registration decision*</w:t>
            </w:r>
          </w:p>
        </w:tc>
        <w:tc>
          <w:tcPr>
            <w:tcW w:w="4239" w:type="dxa"/>
          </w:tcPr>
          <w:p w14:paraId="3D97A26A" w14:textId="40A049D1" w:rsidR="0074163C" w:rsidRDefault="003B1817" w:rsidP="009E5A87">
            <w:r>
              <w:t>91</w:t>
            </w:r>
          </w:p>
        </w:tc>
      </w:tr>
    </w:tbl>
    <w:p w14:paraId="6673967C" w14:textId="1619A00A"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43211620" w14:textId="77115C41" w:rsidR="00BB5E34" w:rsidRDefault="00730951" w:rsidP="005C242A">
      <w:r>
        <w:t xml:space="preserve">The treatment indication was a continuation of the original new biological entity application, </w:t>
      </w:r>
      <w:r w:rsidR="00BB5E34">
        <w:t xml:space="preserve">submission </w:t>
      </w:r>
      <w:r>
        <w:t>PM-2021-05375-1-2</w:t>
      </w:r>
      <w:r w:rsidR="00BB5E34">
        <w:t>, in which Evusheld was granted provisional approval for pre-exposure prophylaxis for COVID-19. A summary of this initial submission is available on the TGA website.</w:t>
      </w:r>
      <w:r w:rsidR="00BB5E34" w:rsidRPr="00FF69E1">
        <w:rPr>
          <w:vertAlign w:val="superscript"/>
        </w:rPr>
        <w:fldChar w:fldCharType="begin"/>
      </w:r>
      <w:r w:rsidR="00BB5E34" w:rsidRPr="00FF69E1">
        <w:rPr>
          <w:vertAlign w:val="superscript"/>
        </w:rPr>
        <w:instrText xml:space="preserve"> NOTEREF _Ref122511272 \h </w:instrText>
      </w:r>
      <w:r w:rsidR="00BB5E34">
        <w:rPr>
          <w:vertAlign w:val="superscript"/>
        </w:rPr>
        <w:instrText xml:space="preserve"> \* MERGEFORMAT </w:instrText>
      </w:r>
      <w:r w:rsidR="00BB5E34" w:rsidRPr="00FF69E1">
        <w:rPr>
          <w:vertAlign w:val="superscript"/>
        </w:rPr>
      </w:r>
      <w:r w:rsidR="00BB5E34" w:rsidRPr="00FF69E1">
        <w:rPr>
          <w:vertAlign w:val="superscript"/>
        </w:rPr>
        <w:fldChar w:fldCharType="separate"/>
      </w:r>
      <w:r w:rsidR="008D61A2">
        <w:rPr>
          <w:vertAlign w:val="superscript"/>
        </w:rPr>
        <w:t>1</w:t>
      </w:r>
      <w:r w:rsidR="00BB5E34" w:rsidRPr="00FF69E1">
        <w:rPr>
          <w:vertAlign w:val="superscript"/>
        </w:rPr>
        <w:fldChar w:fldCharType="end"/>
      </w:r>
    </w:p>
    <w:p w14:paraId="701D4DA3" w14:textId="5B604889" w:rsidR="005C242A" w:rsidRDefault="00BB5E34" w:rsidP="005C242A">
      <w:r>
        <w:t>T</w:t>
      </w:r>
      <w:r w:rsidR="00730951">
        <w:t xml:space="preserve">he treatment indication </w:t>
      </w:r>
      <w:r>
        <w:t xml:space="preserve">was </w:t>
      </w:r>
      <w:r w:rsidR="00730951">
        <w:t>approved on 12 December 2022.</w:t>
      </w:r>
    </w:p>
    <w:p w14:paraId="7B60F0C7" w14:textId="7BD45DE3" w:rsidR="008E7846" w:rsidRPr="00792A32" w:rsidRDefault="00006FAB" w:rsidP="008E7846">
      <w:pPr>
        <w:pStyle w:val="Heading2"/>
      </w:pPr>
      <w:bookmarkStart w:id="29" w:name="_Toc196046504"/>
      <w:bookmarkStart w:id="30" w:name="_Toc247691527"/>
      <w:bookmarkStart w:id="31" w:name="_Toc314842510"/>
      <w:bookmarkStart w:id="32" w:name="_Toc122596077"/>
      <w:bookmarkStart w:id="33" w:name="_Toc163441390"/>
      <w:bookmarkEnd w:id="25"/>
      <w:bookmarkEnd w:id="26"/>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2"/>
    </w:p>
    <w:p w14:paraId="51020B69" w14:textId="77777777" w:rsidR="005A79F5" w:rsidRDefault="005A79F5" w:rsidP="0074163C">
      <w:pPr>
        <w:pStyle w:val="Instructions"/>
        <w:rPr>
          <w:i w:val="0"/>
          <w:color w:val="auto"/>
        </w:rPr>
      </w:pPr>
      <w:bookmarkStart w:id="34" w:name="_Toc247691528"/>
      <w:bookmarkStart w:id="35" w:name="_Toc314842511"/>
      <w:r w:rsidRPr="005A79F5">
        <w:rPr>
          <w:i w:val="0"/>
          <w:color w:val="auto"/>
        </w:rPr>
        <w:t>A summary of the TGA’s assessment for this submission is provided below</w:t>
      </w:r>
      <w:r>
        <w:rPr>
          <w:i w:val="0"/>
          <w:color w:val="auto"/>
        </w:rPr>
        <w:t>.</w:t>
      </w:r>
    </w:p>
    <w:p w14:paraId="0ED27523" w14:textId="73AA0C29" w:rsidR="008E7846" w:rsidRDefault="008E7846" w:rsidP="008E7846">
      <w:pPr>
        <w:pStyle w:val="Heading3"/>
      </w:pPr>
      <w:bookmarkStart w:id="36" w:name="_Toc122596078"/>
      <w:r>
        <w:t>Quality</w:t>
      </w:r>
      <w:bookmarkEnd w:id="34"/>
      <w:bookmarkEnd w:id="35"/>
      <w:bookmarkEnd w:id="36"/>
    </w:p>
    <w:p w14:paraId="38B1E0E8" w14:textId="43BC6C17" w:rsidR="0074163C" w:rsidRDefault="0074163C" w:rsidP="0074163C">
      <w:r>
        <w:t>A full quality evaluation was conducted at the time this product received initial registration.</w:t>
      </w:r>
      <w:bookmarkStart w:id="37" w:name="_Ref118889058"/>
      <w:r w:rsidR="00BB5E34">
        <w:t xml:space="preserve"> Further information can be found in the relevant AusPAR.</w:t>
      </w:r>
      <w:r w:rsidR="00BB5E34" w:rsidRPr="00FF69E1">
        <w:rPr>
          <w:vertAlign w:val="superscript"/>
        </w:rPr>
        <w:fldChar w:fldCharType="begin"/>
      </w:r>
      <w:r w:rsidR="00BB5E34" w:rsidRPr="00FF69E1">
        <w:rPr>
          <w:vertAlign w:val="superscript"/>
        </w:rPr>
        <w:instrText xml:space="preserve"> NOTEREF _Ref122511272 \h </w:instrText>
      </w:r>
      <w:r w:rsidR="00BB5E34">
        <w:rPr>
          <w:vertAlign w:val="superscript"/>
        </w:rPr>
        <w:instrText xml:space="preserve"> \* MERGEFORMAT </w:instrText>
      </w:r>
      <w:r w:rsidR="00BB5E34" w:rsidRPr="00FF69E1">
        <w:rPr>
          <w:vertAlign w:val="superscript"/>
        </w:rPr>
      </w:r>
      <w:r w:rsidR="00BB5E34" w:rsidRPr="00FF69E1">
        <w:rPr>
          <w:vertAlign w:val="superscript"/>
        </w:rPr>
        <w:fldChar w:fldCharType="separate"/>
      </w:r>
      <w:r w:rsidR="008D61A2">
        <w:rPr>
          <w:vertAlign w:val="superscript"/>
        </w:rPr>
        <w:t>1</w:t>
      </w:r>
      <w:r w:rsidR="00BB5E34" w:rsidRPr="00FF69E1">
        <w:rPr>
          <w:vertAlign w:val="superscript"/>
        </w:rPr>
        <w:fldChar w:fldCharType="end"/>
      </w:r>
      <w:bookmarkEnd w:id="37"/>
    </w:p>
    <w:p w14:paraId="1B0DEA6B" w14:textId="77777777" w:rsidR="008E7846" w:rsidRDefault="008E7846" w:rsidP="008E7846">
      <w:pPr>
        <w:pStyle w:val="Heading3"/>
      </w:pPr>
      <w:bookmarkStart w:id="38" w:name="_Toc314842512"/>
      <w:bookmarkStart w:id="39" w:name="_Toc122596079"/>
      <w:r>
        <w:t>Nonclinical</w:t>
      </w:r>
      <w:bookmarkEnd w:id="38"/>
      <w:bookmarkEnd w:id="39"/>
    </w:p>
    <w:p w14:paraId="3FC803C6" w14:textId="2FA293FD" w:rsidR="00E6060F" w:rsidRPr="00E6060F" w:rsidRDefault="00E6060F" w:rsidP="00E6060F">
      <w:r w:rsidRPr="00E6060F">
        <w:t xml:space="preserve">The nonclinical evaluator has no objections </w:t>
      </w:r>
      <w:r w:rsidR="00BB5E34">
        <w:t>to</w:t>
      </w:r>
      <w:r w:rsidR="00BB5E34" w:rsidRPr="00E6060F">
        <w:t xml:space="preserve"> </w:t>
      </w:r>
      <w:r w:rsidRPr="00E6060F">
        <w:t xml:space="preserve">the approval of </w:t>
      </w:r>
      <w:r w:rsidR="00BB5E34">
        <w:t xml:space="preserve">the </w:t>
      </w:r>
      <w:r w:rsidRPr="00E6060F">
        <w:t xml:space="preserve">treatment </w:t>
      </w:r>
      <w:r w:rsidR="00BB5E34">
        <w:t xml:space="preserve">indication; </w:t>
      </w:r>
      <w:r w:rsidRPr="00E6060F">
        <w:t xml:space="preserve">or </w:t>
      </w:r>
      <w:r w:rsidR="00BB5E34">
        <w:t xml:space="preserve">the pre-exposure </w:t>
      </w:r>
      <w:r w:rsidRPr="00E6060F">
        <w:t>prophylaxis of COVID</w:t>
      </w:r>
      <w:r w:rsidR="00663266">
        <w:t>-19</w:t>
      </w:r>
      <w:r w:rsidRPr="00E6060F">
        <w:t xml:space="preserve"> </w:t>
      </w:r>
      <w:r w:rsidR="00BB5E34">
        <w:t xml:space="preserve">indication </w:t>
      </w:r>
      <w:r w:rsidRPr="00E6060F">
        <w:t xml:space="preserve">with a single </w:t>
      </w:r>
      <w:r>
        <w:t>i</w:t>
      </w:r>
      <w:r w:rsidRPr="00B047F6">
        <w:t>ntramuscular</w:t>
      </w:r>
      <w:r w:rsidRPr="00E6060F">
        <w:t xml:space="preserve"> dose of 600 mg </w:t>
      </w:r>
      <w:r>
        <w:t xml:space="preserve">of </w:t>
      </w:r>
      <w:r w:rsidRPr="00E6060F">
        <w:t>Evusheld.</w:t>
      </w:r>
    </w:p>
    <w:p w14:paraId="77458E9B" w14:textId="2E269249" w:rsidR="00E6060F" w:rsidRPr="00E6060F" w:rsidRDefault="00E6060F" w:rsidP="00E6060F">
      <w:r>
        <w:t xml:space="preserve">The nonclinical </w:t>
      </w:r>
      <w:r w:rsidR="00BB5E34">
        <w:t xml:space="preserve">data supplied by the sponsor </w:t>
      </w:r>
      <w:r w:rsidRPr="00E6060F">
        <w:t xml:space="preserve">comprised </w:t>
      </w:r>
      <w:r w:rsidRPr="00E6060F">
        <w:rPr>
          <w:i/>
          <w:iCs/>
        </w:rPr>
        <w:t>in vitro</w:t>
      </w:r>
      <w:r w:rsidRPr="00E6060F">
        <w:t xml:space="preserve"> neutralisation data against </w:t>
      </w:r>
      <w:r w:rsidR="003A0A6F">
        <w:t xml:space="preserve">the SARS-CoV-2 </w:t>
      </w:r>
      <w:r w:rsidRPr="00E6060F">
        <w:t xml:space="preserve">Omicron BA.1, BA.1.1, BA.2, BA.3 and BA.4/5 </w:t>
      </w:r>
      <w:r w:rsidR="003A0A6F">
        <w:t xml:space="preserve">subvariants </w:t>
      </w:r>
      <w:r w:rsidRPr="00E6060F">
        <w:t xml:space="preserve">for </w:t>
      </w:r>
      <w:r w:rsidRPr="00E6060F">
        <w:lastRenderedPageBreak/>
        <w:t>tixagevimab</w:t>
      </w:r>
      <w:r w:rsidR="003A0A6F">
        <w:t xml:space="preserve"> alone</w:t>
      </w:r>
      <w:r w:rsidRPr="00E6060F">
        <w:t>, cilgavimab</w:t>
      </w:r>
      <w:r w:rsidR="003A0A6F">
        <w:t xml:space="preserve"> alone,</w:t>
      </w:r>
      <w:r w:rsidRPr="00E6060F">
        <w:t xml:space="preserve"> and </w:t>
      </w:r>
      <w:r w:rsidR="006C495A">
        <w:t>Evusheld</w:t>
      </w:r>
      <w:r w:rsidR="003A0A6F">
        <w:t xml:space="preserve"> (</w:t>
      </w:r>
      <w:r w:rsidRPr="00E6060F">
        <w:t>the combination</w:t>
      </w:r>
      <w:r>
        <w:t xml:space="preserve"> of </w:t>
      </w:r>
      <w:r w:rsidRPr="00E6060F">
        <w:t>tixagevimab</w:t>
      </w:r>
      <w:r>
        <w:t xml:space="preserve"> and</w:t>
      </w:r>
      <w:r w:rsidRPr="00E6060F">
        <w:t xml:space="preserve"> cilgavimab</w:t>
      </w:r>
      <w:r w:rsidR="003A0A6F">
        <w:t>)</w:t>
      </w:r>
      <w:r>
        <w:t>.</w:t>
      </w:r>
    </w:p>
    <w:p w14:paraId="4638E74A" w14:textId="7EDBCE71" w:rsidR="00E6060F" w:rsidRPr="00E6060F" w:rsidRDefault="00E6060F" w:rsidP="00E6060F">
      <w:r w:rsidRPr="00E6060F">
        <w:t>E</w:t>
      </w:r>
      <w:r>
        <w:t>v</w:t>
      </w:r>
      <w:r w:rsidR="00663266">
        <w:t>u</w:t>
      </w:r>
      <w:r>
        <w:t>sheld</w:t>
      </w:r>
      <w:r w:rsidRPr="00E6060F">
        <w:t xml:space="preserve"> showed reduction in neutrali</w:t>
      </w:r>
      <w:r>
        <w:t>s</w:t>
      </w:r>
      <w:r w:rsidRPr="00E6060F">
        <w:t xml:space="preserve">ation activity against Omicron </w:t>
      </w:r>
      <w:r w:rsidR="003A0A6F">
        <w:t>sub</w:t>
      </w:r>
      <w:r w:rsidRPr="00E6060F">
        <w:t>variants BA.1 (26</w:t>
      </w:r>
      <w:r w:rsidR="003A0A6F">
        <w:t xml:space="preserve">- </w:t>
      </w:r>
      <w:r>
        <w:t xml:space="preserve">to </w:t>
      </w:r>
      <w:r w:rsidRPr="00E6060F">
        <w:t>232</w:t>
      </w:r>
      <w:r w:rsidR="003A0A6F">
        <w:t>-</w:t>
      </w:r>
      <w:r w:rsidRPr="00E6060F">
        <w:t>fold), BA.1.1 (176</w:t>
      </w:r>
      <w:r w:rsidR="003A0A6F">
        <w:t>-</w:t>
      </w:r>
      <w:r w:rsidRPr="00E6060F">
        <w:t>fold), BA.2 (5.4</w:t>
      </w:r>
      <w:r w:rsidR="003A0A6F">
        <w:t>-</w:t>
      </w:r>
      <w:r>
        <w:t xml:space="preserve"> to </w:t>
      </w:r>
      <w:r w:rsidRPr="00E6060F">
        <w:t>8</w:t>
      </w:r>
      <w:r w:rsidR="003A0A6F">
        <w:t>-</w:t>
      </w:r>
      <w:r w:rsidRPr="00E6060F">
        <w:t>fold), BA.3 (65</w:t>
      </w:r>
      <w:r w:rsidR="003A0A6F">
        <w:t>-</w:t>
      </w:r>
      <w:r w:rsidRPr="00E6060F">
        <w:t>fold) and BA.4/5 (14</w:t>
      </w:r>
      <w:r w:rsidR="003A0A6F">
        <w:t>-</w:t>
      </w:r>
      <w:r>
        <w:t xml:space="preserve"> to </w:t>
      </w:r>
      <w:r w:rsidRPr="00E6060F">
        <w:t>65</w:t>
      </w:r>
      <w:r w:rsidR="003A0A6F">
        <w:t>-f</w:t>
      </w:r>
      <w:r w:rsidRPr="00E6060F">
        <w:t>old) compared with inhibition against the ancestral</w:t>
      </w:r>
      <w:r w:rsidR="003A0A6F">
        <w:t xml:space="preserve"> (wild-type)</w:t>
      </w:r>
      <w:r w:rsidRPr="00E6060F">
        <w:t xml:space="preserve"> </w:t>
      </w:r>
      <w:r w:rsidR="003A0A6F">
        <w:t xml:space="preserve">SARS-CoV-2 </w:t>
      </w:r>
      <w:r w:rsidRPr="00E6060F">
        <w:t xml:space="preserve">strain. Fold reduction in activity was not significantly different between authentic virus and </w:t>
      </w:r>
      <w:proofErr w:type="spellStart"/>
      <w:r w:rsidRPr="00E6060F">
        <w:t>pseudovirus</w:t>
      </w:r>
      <w:proofErr w:type="spellEnd"/>
      <w:r w:rsidRPr="00E6060F">
        <w:t xml:space="preserve"> assays. The published neutralisation data are generally in line with the neutralisation data used by the sponsor in their modelling of clinical efficacy summarised </w:t>
      </w:r>
      <w:r w:rsidR="003A0A6F">
        <w:t xml:space="preserve">during the clinical evaluation of this submission. </w:t>
      </w:r>
      <w:r w:rsidRPr="00E6060F">
        <w:t>Based on the summary results, Evusheld is unlikely to be active against the Omicron BA.4</w:t>
      </w:r>
      <w:r w:rsidR="00663266">
        <w:t>/5</w:t>
      </w:r>
      <w:r w:rsidRPr="00E6060F">
        <w:t xml:space="preserve"> variant.</w:t>
      </w:r>
    </w:p>
    <w:p w14:paraId="7EE3F7AD" w14:textId="63F535BC" w:rsidR="00E6060F" w:rsidRPr="00E6060F" w:rsidRDefault="00E6060F" w:rsidP="00E6060F">
      <w:r w:rsidRPr="00E6060F">
        <w:t>Tixagevimab and cilgavimab have differing activities against Omicron variants.</w:t>
      </w:r>
      <w:r>
        <w:t xml:space="preserve"> </w:t>
      </w:r>
      <w:r w:rsidRPr="00E6060F">
        <w:t xml:space="preserve">All Omicron </w:t>
      </w:r>
      <w:proofErr w:type="spellStart"/>
      <w:r w:rsidRPr="00E6060F">
        <w:t>sublineages</w:t>
      </w:r>
      <w:proofErr w:type="spellEnd"/>
      <w:r w:rsidRPr="00E6060F">
        <w:t xml:space="preserve"> are highly resistant to </w:t>
      </w:r>
      <w:r w:rsidR="005B77F1" w:rsidRPr="00E6060F">
        <w:t>tixagevimab</w:t>
      </w:r>
      <w:r w:rsidRPr="00E6060F">
        <w:t xml:space="preserve"> with </w:t>
      </w:r>
      <w:r w:rsidRPr="00E6060F">
        <w:rPr>
          <w:i/>
          <w:iCs/>
        </w:rPr>
        <w:t>in vitro</w:t>
      </w:r>
      <w:r w:rsidRPr="00E6060F">
        <w:t xml:space="preserve"> neutralisation</w:t>
      </w:r>
      <w:r>
        <w:t xml:space="preserve"> </w:t>
      </w:r>
      <w:r w:rsidR="00663266">
        <w:t>50%</w:t>
      </w:r>
      <w:r w:rsidR="003A0A6F">
        <w:t> </w:t>
      </w:r>
      <w:r w:rsidRPr="00E6060F">
        <w:t xml:space="preserve">inhibitory concentration </w:t>
      </w:r>
      <w:r>
        <w:t>(</w:t>
      </w:r>
      <w:r w:rsidRPr="00E6060F">
        <w:t>IC</w:t>
      </w:r>
      <w:r w:rsidRPr="00E6060F">
        <w:rPr>
          <w:vertAlign w:val="subscript"/>
        </w:rPr>
        <w:t>50</w:t>
      </w:r>
      <w:r>
        <w:t xml:space="preserve">) </w:t>
      </w:r>
      <w:r w:rsidRPr="00E6060F">
        <w:t>values increased by 2</w:t>
      </w:r>
      <w:r>
        <w:t xml:space="preserve"> to </w:t>
      </w:r>
      <w:r w:rsidRPr="00E6060F">
        <w:t xml:space="preserve">3 magnitudes for </w:t>
      </w:r>
      <w:r w:rsidR="00663266">
        <w:t xml:space="preserve">Omicron </w:t>
      </w:r>
      <w:r w:rsidRPr="00E6060F">
        <w:t xml:space="preserve">BA.1 and BA.2 and complete resistance for </w:t>
      </w:r>
      <w:r w:rsidR="00663266">
        <w:t>Omicron</w:t>
      </w:r>
      <w:r w:rsidR="003A0A6F">
        <w:t xml:space="preserve"> </w:t>
      </w:r>
      <w:r w:rsidRPr="00E6060F">
        <w:t xml:space="preserve">BA.3 and </w:t>
      </w:r>
      <w:r w:rsidR="003A0A6F">
        <w:t xml:space="preserve">Omicron </w:t>
      </w:r>
      <w:r w:rsidRPr="00E6060F">
        <w:t>BA.4/5 (IC</w:t>
      </w:r>
      <w:r w:rsidRPr="00E6060F">
        <w:rPr>
          <w:vertAlign w:val="subscript"/>
        </w:rPr>
        <w:t>50</w:t>
      </w:r>
      <w:r w:rsidR="00663266">
        <w:t> </w:t>
      </w:r>
      <w:r w:rsidRPr="00E6060F">
        <w:t>&gt;</w:t>
      </w:r>
      <w:r w:rsidR="00663266">
        <w:t> </w:t>
      </w:r>
      <w:r w:rsidRPr="00E6060F">
        <w:t xml:space="preserve">10,000 ng/mL). The loss of activity against </w:t>
      </w:r>
      <w:r w:rsidR="00663266">
        <w:t xml:space="preserve">Omicron </w:t>
      </w:r>
      <w:r w:rsidRPr="00E6060F">
        <w:t xml:space="preserve">BA.4/5 was largely due to the mutation at </w:t>
      </w:r>
      <w:r w:rsidR="00E02746">
        <w:t xml:space="preserve">the </w:t>
      </w:r>
      <w:r w:rsidRPr="00FF69E1">
        <w:rPr>
          <w:iCs/>
        </w:rPr>
        <w:t>F486</w:t>
      </w:r>
      <w:r w:rsidR="00E02746">
        <w:rPr>
          <w:iCs/>
        </w:rPr>
        <w:t xml:space="preserve"> region</w:t>
      </w:r>
      <w:r w:rsidRPr="00E6060F">
        <w:t xml:space="preserve">, which is at the critical </w:t>
      </w:r>
      <w:r w:rsidR="00E02746">
        <w:t xml:space="preserve">receptor </w:t>
      </w:r>
      <w:r w:rsidRPr="00E6060F">
        <w:t>binding site of tixagevimab,</w:t>
      </w:r>
      <w:r>
        <w:rPr>
          <w:rStyle w:val="FootnoteReference"/>
        </w:rPr>
        <w:footnoteReference w:id="3"/>
      </w:r>
      <w:r w:rsidRPr="00E6060F">
        <w:t xml:space="preserve"> although other mutations which are common to Omicron variants may also contribute to reduced susceptibility.</w:t>
      </w:r>
    </w:p>
    <w:p w14:paraId="77A761CF" w14:textId="7CDB1B27" w:rsidR="00E6060F" w:rsidRPr="00E6060F" w:rsidRDefault="00E6060F" w:rsidP="00E6060F">
      <w:r w:rsidRPr="00E6060F">
        <w:t xml:space="preserve">Cilgavimab retains activity against </w:t>
      </w:r>
      <w:r w:rsidR="000B256F">
        <w:t xml:space="preserve">Omicron </w:t>
      </w:r>
      <w:r w:rsidR="00E02746">
        <w:t xml:space="preserve">subvariants </w:t>
      </w:r>
      <w:r w:rsidRPr="00E6060F">
        <w:t>BA.2, BA.3 and BA.4/5 (</w:t>
      </w:r>
      <w:r w:rsidR="00E02746">
        <w:t xml:space="preserve">a </w:t>
      </w:r>
      <w:r w:rsidRPr="00E6060F">
        <w:t>1</w:t>
      </w:r>
      <w:r w:rsidR="00E02746">
        <w:t>-</w:t>
      </w:r>
      <w:r w:rsidR="000B256F">
        <w:t xml:space="preserve"> to </w:t>
      </w:r>
      <w:r w:rsidRPr="00E6060F">
        <w:t>10</w:t>
      </w:r>
      <w:r w:rsidR="00E02746">
        <w:noBreakHyphen/>
      </w:r>
      <w:r w:rsidRPr="00E6060F">
        <w:t>fold reduction in susceptibility relative to the ancestral strain), but exhibits reduced activity against</w:t>
      </w:r>
      <w:r w:rsidR="000B256F">
        <w:t xml:space="preserve"> Omicron</w:t>
      </w:r>
      <w:r w:rsidRPr="00E6060F">
        <w:t xml:space="preserve"> BA.1 (≥</w:t>
      </w:r>
      <w:r w:rsidR="000B256F">
        <w:t xml:space="preserve"> </w:t>
      </w:r>
      <w:r w:rsidRPr="00E6060F">
        <w:t xml:space="preserve">16 fold reduction in susceptibility) and a complete loss of activity against </w:t>
      </w:r>
      <w:r w:rsidR="00663266">
        <w:t xml:space="preserve">Omicron </w:t>
      </w:r>
      <w:r w:rsidRPr="00E6060F">
        <w:t>BA.1.1 (IC</w:t>
      </w:r>
      <w:r w:rsidRPr="000B256F">
        <w:rPr>
          <w:vertAlign w:val="subscript"/>
        </w:rPr>
        <w:t>50</w:t>
      </w:r>
      <w:r w:rsidRPr="00E6060F">
        <w:t xml:space="preserve"> &gt; 50,000 ng/mL), most likely due to the </w:t>
      </w:r>
      <w:r w:rsidRPr="00FF69E1">
        <w:rPr>
          <w:iCs/>
        </w:rPr>
        <w:t>R346K</w:t>
      </w:r>
      <w:r w:rsidRPr="00E02746">
        <w:t xml:space="preserve"> </w:t>
      </w:r>
      <w:r w:rsidRPr="00E6060F">
        <w:t>mutation of</w:t>
      </w:r>
      <w:r w:rsidR="000B256F">
        <w:t xml:space="preserve"> Omicron</w:t>
      </w:r>
      <w:r w:rsidRPr="00E6060F">
        <w:t xml:space="preserve"> BA.1.1 at the critical</w:t>
      </w:r>
      <w:r w:rsidR="00E02746">
        <w:t xml:space="preserve"> receptor</w:t>
      </w:r>
      <w:r w:rsidRPr="00E6060F">
        <w:t xml:space="preserve"> binding site for cilgavimab</w:t>
      </w:r>
      <w:r w:rsidR="000B256F">
        <w:t>.</w:t>
      </w:r>
      <w:r w:rsidR="00DC2615">
        <w:rPr>
          <w:rStyle w:val="FootnoteReference"/>
        </w:rPr>
        <w:footnoteReference w:id="4"/>
      </w:r>
      <w:r w:rsidR="000B256F">
        <w:t xml:space="preserve"> </w:t>
      </w:r>
      <w:r w:rsidRPr="00E6060F">
        <w:t>However, because of the different binding sites for the two m</w:t>
      </w:r>
      <w:r w:rsidR="000B256F">
        <w:t>onoclonal antibodies</w:t>
      </w:r>
      <w:r w:rsidRPr="00E6060F">
        <w:t>, the combination of tixagevimab and cilgavimab retained activity against all Omicron variants, with reduced activity by 26</w:t>
      </w:r>
      <w:r w:rsidR="00E02746">
        <w:t>-</w:t>
      </w:r>
      <w:r w:rsidR="000B256F">
        <w:t xml:space="preserve"> to </w:t>
      </w:r>
      <w:r w:rsidRPr="00E6060F">
        <w:t>232</w:t>
      </w:r>
      <w:r w:rsidR="00E02746">
        <w:t>-</w:t>
      </w:r>
      <w:r w:rsidRPr="00E6060F">
        <w:t xml:space="preserve">fold against </w:t>
      </w:r>
      <w:r w:rsidR="00E02746">
        <w:t xml:space="preserve">the </w:t>
      </w:r>
      <w:r w:rsidR="000B256F">
        <w:t xml:space="preserve">Omicron </w:t>
      </w:r>
      <w:r w:rsidRPr="00E6060F">
        <w:t>BA.1, 176</w:t>
      </w:r>
      <w:r w:rsidR="00E02746">
        <w:t>-</w:t>
      </w:r>
      <w:r w:rsidRPr="00E6060F">
        <w:t xml:space="preserve">fold against </w:t>
      </w:r>
      <w:r w:rsidR="00E02746">
        <w:t xml:space="preserve">the </w:t>
      </w:r>
      <w:r w:rsidR="000B256F">
        <w:t xml:space="preserve">Omicron </w:t>
      </w:r>
      <w:r w:rsidRPr="00E6060F">
        <w:t>BA1.1, 5.4</w:t>
      </w:r>
      <w:r w:rsidR="00E02746">
        <w:t>-</w:t>
      </w:r>
      <w:r w:rsidR="000B256F">
        <w:t xml:space="preserve"> to </w:t>
      </w:r>
      <w:r w:rsidRPr="00E6060F">
        <w:t>8</w:t>
      </w:r>
      <w:r w:rsidR="00E02746">
        <w:t>-</w:t>
      </w:r>
      <w:r w:rsidRPr="00E6060F">
        <w:t xml:space="preserve">fold against </w:t>
      </w:r>
      <w:r w:rsidR="00E02746">
        <w:t xml:space="preserve">the </w:t>
      </w:r>
      <w:r w:rsidR="000B256F">
        <w:t xml:space="preserve">Omicron </w:t>
      </w:r>
      <w:r w:rsidRPr="00E6060F">
        <w:t>BA.2, 65</w:t>
      </w:r>
      <w:r w:rsidR="00E02746">
        <w:t>-</w:t>
      </w:r>
      <w:r w:rsidRPr="00E6060F">
        <w:t xml:space="preserve">fold against </w:t>
      </w:r>
      <w:r w:rsidR="00E02746">
        <w:t xml:space="preserve">the </w:t>
      </w:r>
      <w:r w:rsidR="000B256F">
        <w:t xml:space="preserve">Omicron </w:t>
      </w:r>
      <w:r w:rsidRPr="00E6060F">
        <w:t>BA.3 and 14</w:t>
      </w:r>
      <w:r w:rsidR="00E02746">
        <w:t xml:space="preserve">- </w:t>
      </w:r>
      <w:r w:rsidR="000B256F">
        <w:t xml:space="preserve">to </w:t>
      </w:r>
      <w:r w:rsidRPr="00E6060F">
        <w:t>65</w:t>
      </w:r>
      <w:r w:rsidR="00E02746">
        <w:t>-</w:t>
      </w:r>
      <w:r w:rsidRPr="00E6060F">
        <w:t xml:space="preserve">fold against </w:t>
      </w:r>
      <w:r w:rsidR="00E02746">
        <w:t xml:space="preserve">the </w:t>
      </w:r>
      <w:r w:rsidR="000B256F">
        <w:t xml:space="preserve">Omicron </w:t>
      </w:r>
      <w:r w:rsidRPr="00E6060F">
        <w:t>BA.4/5</w:t>
      </w:r>
      <w:r w:rsidR="00E02746">
        <w:t xml:space="preserve"> subvariant</w:t>
      </w:r>
      <w:r w:rsidR="00DC2615">
        <w:t>s</w:t>
      </w:r>
      <w:r w:rsidRPr="00E6060F">
        <w:t>.</w:t>
      </w:r>
    </w:p>
    <w:p w14:paraId="6B602CBF" w14:textId="4233A9F9" w:rsidR="00E6060F" w:rsidRPr="00E6060F" w:rsidRDefault="00E6060F" w:rsidP="00E6060F">
      <w:r w:rsidRPr="00E6060F">
        <w:t xml:space="preserve">Summary results of neutralisation activity against </w:t>
      </w:r>
      <w:r w:rsidR="000B256F">
        <w:t xml:space="preserve">Omicron </w:t>
      </w:r>
      <w:r w:rsidRPr="00E6060F">
        <w:t xml:space="preserve">BA.4.6 in studies conducted by the Oxford University and Monogram Biosciences in conjunction with </w:t>
      </w:r>
      <w:r w:rsidR="000B256F">
        <w:t>Food and Drug Administration (</w:t>
      </w:r>
      <w:r w:rsidR="000B256F" w:rsidRPr="00E6060F">
        <w:t>FDA</w:t>
      </w:r>
      <w:r w:rsidR="000B256F">
        <w:t>) United States</w:t>
      </w:r>
      <w:r w:rsidRPr="00E6060F">
        <w:t xml:space="preserve"> indicate that </w:t>
      </w:r>
      <w:r w:rsidR="000B256F">
        <w:t xml:space="preserve">Omicron </w:t>
      </w:r>
      <w:r w:rsidRPr="00E6060F">
        <w:t xml:space="preserve">BA.4.6 is completely resistant to Evusheld, most likely due to the substitutions at both </w:t>
      </w:r>
      <w:r w:rsidRPr="00FF69E1">
        <w:rPr>
          <w:iCs/>
        </w:rPr>
        <w:t>R346</w:t>
      </w:r>
      <w:r w:rsidRPr="00E6060F">
        <w:t xml:space="preserve"> (conferring resistance to cilgavimab) and </w:t>
      </w:r>
      <w:r w:rsidRPr="00FF69E1">
        <w:rPr>
          <w:iCs/>
        </w:rPr>
        <w:t>F486</w:t>
      </w:r>
      <w:r w:rsidRPr="00E6060F">
        <w:t xml:space="preserve"> (conferring resistance to tixagevimab).</w:t>
      </w:r>
    </w:p>
    <w:p w14:paraId="45CFF029" w14:textId="0EDCD9A4" w:rsidR="00E6060F" w:rsidRPr="00E6060F" w:rsidRDefault="00E6060F" w:rsidP="00E6060F">
      <w:r w:rsidRPr="00E6060F">
        <w:t xml:space="preserve">No toxicity was observed in a single dose study in monkeys at </w:t>
      </w:r>
      <w:r w:rsidR="000B256F">
        <w:t>intravenous</w:t>
      </w:r>
      <w:r w:rsidRPr="00E6060F">
        <w:t xml:space="preserve"> or </w:t>
      </w:r>
      <w:r w:rsidR="000B256F">
        <w:t>intramuscular</w:t>
      </w:r>
      <w:r w:rsidRPr="00E6060F">
        <w:t xml:space="preserve"> doses 50 and 12.5 times the proposed clinical dose of 600 mg. No repeat</w:t>
      </w:r>
      <w:r w:rsidR="000B256F">
        <w:t xml:space="preserve"> </w:t>
      </w:r>
      <w:r w:rsidRPr="00E6060F">
        <w:t>dose toxicity studies have been conducted to support the proposed repeated dosing in humans. This is considered a major deficiency of the nonclinical data.</w:t>
      </w:r>
    </w:p>
    <w:p w14:paraId="78A55890" w14:textId="0238579B" w:rsidR="00E6060F" w:rsidRPr="00E6060F" w:rsidRDefault="00E6060F" w:rsidP="00E6060F">
      <w:r w:rsidRPr="00E6060F">
        <w:t>There are no nonclinical objections to the provisional approval of treatment or prophylaxis of COVID</w:t>
      </w:r>
      <w:r w:rsidR="00E467D7">
        <w:t>-19</w:t>
      </w:r>
      <w:r w:rsidRPr="00E6060F">
        <w:t xml:space="preserve"> with a single </w:t>
      </w:r>
      <w:r w:rsidR="000B256F">
        <w:t>intramuscular</w:t>
      </w:r>
      <w:r w:rsidRPr="00E6060F">
        <w:t xml:space="preserve"> dose of 600 mg Evusheld. However, there are no repeat dose toxicity studies supporting repeated dosing in humans.</w:t>
      </w:r>
    </w:p>
    <w:p w14:paraId="4427BCB4" w14:textId="1F6CEA69" w:rsidR="008E7846" w:rsidRDefault="008E7846" w:rsidP="008E7846">
      <w:pPr>
        <w:pStyle w:val="Heading3"/>
      </w:pPr>
      <w:bookmarkStart w:id="40" w:name="_Toc247691530"/>
      <w:bookmarkStart w:id="41" w:name="_Toc314842513"/>
      <w:bookmarkStart w:id="42" w:name="_Toc122596080"/>
      <w:r>
        <w:lastRenderedPageBreak/>
        <w:t>Clinical</w:t>
      </w:r>
      <w:bookmarkEnd w:id="40"/>
      <w:bookmarkEnd w:id="41"/>
      <w:bookmarkEnd w:id="42"/>
    </w:p>
    <w:p w14:paraId="09AE1C73" w14:textId="33907914" w:rsidR="000B256F" w:rsidRPr="00E44492" w:rsidRDefault="000B256F" w:rsidP="004F2549">
      <w:pPr>
        <w:pStyle w:val="Heading4"/>
      </w:pPr>
      <w:r w:rsidRPr="00E44492">
        <w:t>PROVENT trial</w:t>
      </w:r>
      <w:r w:rsidR="00B10A10" w:rsidRPr="00E44492">
        <w:t xml:space="preserve"> </w:t>
      </w:r>
      <w:proofErr w:type="spellStart"/>
      <w:r w:rsidR="006210EB" w:rsidRPr="00E44492">
        <w:t>Subs</w:t>
      </w:r>
      <w:r w:rsidR="00E467D7" w:rsidRPr="00E44492">
        <w:t>tudy</w:t>
      </w:r>
      <w:proofErr w:type="spellEnd"/>
      <w:r w:rsidR="00E467D7" w:rsidRPr="00E44492">
        <w:t xml:space="preserve"> D8850C002A01</w:t>
      </w:r>
    </w:p>
    <w:p w14:paraId="3A8CBBBC" w14:textId="3953BF14" w:rsidR="006210EB" w:rsidRPr="00E44492" w:rsidRDefault="006210EB" w:rsidP="006402BA">
      <w:r w:rsidRPr="00E44492">
        <w:t xml:space="preserve">Taken as an excerpt of the </w:t>
      </w:r>
      <w:proofErr w:type="spellStart"/>
      <w:r w:rsidRPr="00E44492">
        <w:t>AusPAR</w:t>
      </w:r>
      <w:proofErr w:type="spellEnd"/>
      <w:r w:rsidRPr="00E44492">
        <w:t xml:space="preserve"> for the initial provisional approval for Evusheld;</w:t>
      </w:r>
      <w:r w:rsidRPr="00E44492">
        <w:rPr>
          <w:vertAlign w:val="superscript"/>
        </w:rPr>
        <w:fldChar w:fldCharType="begin"/>
      </w:r>
      <w:r w:rsidRPr="00E44492">
        <w:rPr>
          <w:vertAlign w:val="superscript"/>
        </w:rPr>
        <w:instrText xml:space="preserve"> NOTEREF _Ref122511272 \h  \* MERGEFORMAT </w:instrText>
      </w:r>
      <w:r w:rsidRPr="00E44492">
        <w:rPr>
          <w:vertAlign w:val="superscript"/>
        </w:rPr>
      </w:r>
      <w:r w:rsidRPr="00E44492">
        <w:rPr>
          <w:vertAlign w:val="superscript"/>
        </w:rPr>
        <w:fldChar w:fldCharType="separate"/>
      </w:r>
      <w:r w:rsidR="008D61A2" w:rsidRPr="00E44492">
        <w:rPr>
          <w:vertAlign w:val="superscript"/>
        </w:rPr>
        <w:t>1</w:t>
      </w:r>
      <w:r w:rsidRPr="00E44492">
        <w:rPr>
          <w:vertAlign w:val="superscript"/>
        </w:rPr>
        <w:fldChar w:fldCharType="end"/>
      </w:r>
      <w:r w:rsidRPr="00E44492">
        <w:t xml:space="preserve"> </w:t>
      </w:r>
      <w:r w:rsidR="00B10A10" w:rsidRPr="00E44492">
        <w:t>Study </w:t>
      </w:r>
      <w:r w:rsidRPr="00E44492">
        <w:t>D8850C00002 (</w:t>
      </w:r>
      <w:r w:rsidR="00B10A10" w:rsidRPr="00E44492">
        <w:t xml:space="preserve">the </w:t>
      </w:r>
      <w:r w:rsidRPr="00E44492">
        <w:t>PROVENT trial) is a Phase III randomised control trial to assess the safety and efficacy of a single intramuscular dose of Evusheld compared to placebo for the prevention of COVID-19 in adults:</w:t>
      </w:r>
    </w:p>
    <w:p w14:paraId="33DD4843" w14:textId="77777777" w:rsidR="006210EB" w:rsidRPr="00E44492" w:rsidRDefault="006210EB" w:rsidP="006402BA">
      <w:pPr>
        <w:pStyle w:val="ListBullet"/>
      </w:pPr>
      <w:r w:rsidRPr="00E44492">
        <w:t xml:space="preserve">having an increased risk for inadequate response to active immunisation (predicted poor responders to vaccines </w:t>
      </w:r>
      <w:r w:rsidRPr="00E44492">
        <w:rPr>
          <w:i/>
        </w:rPr>
        <w:t>or</w:t>
      </w:r>
      <w:r w:rsidRPr="00E44492">
        <w:t xml:space="preserve"> intolerant of vaccine); or</w:t>
      </w:r>
    </w:p>
    <w:p w14:paraId="2C6E72EA" w14:textId="2D47BAFD" w:rsidR="006210EB" w:rsidRPr="00E44492" w:rsidRDefault="006210EB" w:rsidP="006402BA">
      <w:pPr>
        <w:pStyle w:val="ListBullet"/>
      </w:pPr>
      <w:r w:rsidRPr="00E44492">
        <w:t>having an increased risk for SARS-CoV-2 infection, defined as those whose locations or circumstances put them at appreciable risk of exposure to SARS-CoV-2 and COVID-19.</w:t>
      </w:r>
    </w:p>
    <w:p w14:paraId="7DEF8BFF" w14:textId="75F88D64" w:rsidR="006210EB" w:rsidRPr="00E44492" w:rsidRDefault="006210EB" w:rsidP="006402BA">
      <w:r w:rsidRPr="00E44492">
        <w:t xml:space="preserve">The PROVENT trial </w:t>
      </w:r>
      <w:proofErr w:type="spellStart"/>
      <w:r w:rsidRPr="00E44492">
        <w:t>Substudy</w:t>
      </w:r>
      <w:proofErr w:type="spellEnd"/>
      <w:r w:rsidRPr="00E44492">
        <w:t xml:space="preserve"> D8850C002A01 was designed to investigate whether an additional dose of Evusheld has an acceptable safety profile and whether repeat dosing can maintain serum levels associated with protection against COVID-19.</w:t>
      </w:r>
    </w:p>
    <w:p w14:paraId="77862717" w14:textId="2BF825AB" w:rsidR="000B256F" w:rsidRPr="000B256F" w:rsidRDefault="000B256F" w:rsidP="000B256F">
      <w:r w:rsidRPr="00E44492">
        <w:t>Data for repeat dosing of the 300 mg E</w:t>
      </w:r>
      <w:r w:rsidR="00C21311" w:rsidRPr="00E44492">
        <w:t>vusheld</w:t>
      </w:r>
      <w:r w:rsidRPr="00E44492">
        <w:t xml:space="preserve"> dosage derived from </w:t>
      </w:r>
      <w:proofErr w:type="spellStart"/>
      <w:r w:rsidR="006210EB" w:rsidRPr="00E44492">
        <w:t>Subs</w:t>
      </w:r>
      <w:r w:rsidRPr="00E44492">
        <w:t>tudy</w:t>
      </w:r>
      <w:proofErr w:type="spellEnd"/>
      <w:r w:rsidR="00B10A10" w:rsidRPr="00E44492">
        <w:t> </w:t>
      </w:r>
      <w:r w:rsidRPr="00E44492">
        <w:t>D8850C002A01 (</w:t>
      </w:r>
      <w:r w:rsidR="00C21311" w:rsidRPr="00E44492">
        <w:t>r</w:t>
      </w:r>
      <w:r w:rsidRPr="00E44492">
        <w:t>epeat</w:t>
      </w:r>
      <w:r w:rsidR="00B10A10" w:rsidRPr="00E44492">
        <w:t>-</w:t>
      </w:r>
      <w:r w:rsidR="00C21311" w:rsidRPr="00E44492">
        <w:t>d</w:t>
      </w:r>
      <w:r w:rsidRPr="00E44492">
        <w:t>ose</w:t>
      </w:r>
      <w:r w:rsidR="00C21311" w:rsidRPr="00E44492">
        <w:t xml:space="preserve"> </w:t>
      </w:r>
      <w:proofErr w:type="spellStart"/>
      <w:r w:rsidR="00C21311" w:rsidRPr="00E44492">
        <w:t>s</w:t>
      </w:r>
      <w:r w:rsidRPr="00E44492">
        <w:t>ubstudy</w:t>
      </w:r>
      <w:proofErr w:type="spellEnd"/>
      <w:r w:rsidR="00663266" w:rsidRPr="00E44492">
        <w:t xml:space="preserve">, </w:t>
      </w:r>
      <w:r w:rsidR="00C21311" w:rsidRPr="00E44492">
        <w:t>i</w:t>
      </w:r>
      <w:r w:rsidRPr="00E44492">
        <w:t xml:space="preserve">nterim </w:t>
      </w:r>
      <w:r w:rsidR="00C21311" w:rsidRPr="00E44492">
        <w:t>a</w:t>
      </w:r>
      <w:r w:rsidRPr="00E44492">
        <w:t xml:space="preserve">nalysis) </w:t>
      </w:r>
      <w:r w:rsidR="00B10A10" w:rsidRPr="00E44492">
        <w:t>is described below.</w:t>
      </w:r>
    </w:p>
    <w:p w14:paraId="2EC7DE2F" w14:textId="77777777" w:rsidR="00B10A10" w:rsidRDefault="000B256F" w:rsidP="006402BA">
      <w:pPr>
        <w:pStyle w:val="Heading5"/>
      </w:pPr>
      <w:r w:rsidRPr="000B256F">
        <w:t>Objectives</w:t>
      </w:r>
    </w:p>
    <w:p w14:paraId="12A8BAAB" w14:textId="56705CB4" w:rsidR="00C21311" w:rsidRDefault="00B10A10" w:rsidP="006402BA">
      <w:r>
        <w:t xml:space="preserve">The objectives for </w:t>
      </w:r>
      <w:proofErr w:type="spellStart"/>
      <w:r>
        <w:t>Substudy</w:t>
      </w:r>
      <w:proofErr w:type="spellEnd"/>
      <w:r>
        <w:t xml:space="preserve"> D8850C002A01 were:</w:t>
      </w:r>
    </w:p>
    <w:p w14:paraId="107415F8" w14:textId="5C3D31DD" w:rsidR="00C21311" w:rsidRDefault="000B256F" w:rsidP="006402BA">
      <w:pPr>
        <w:pStyle w:val="Numberbullet0"/>
      </w:pPr>
      <w:r w:rsidRPr="000B256F">
        <w:t>To investigate whether an additional dose of E</w:t>
      </w:r>
      <w:r w:rsidR="00C21311">
        <w:t>vusheld</w:t>
      </w:r>
      <w:r w:rsidRPr="000B256F">
        <w:t xml:space="preserve"> has an acceptable safety profile (</w:t>
      </w:r>
      <w:r w:rsidR="00C21311">
        <w:t>that is</w:t>
      </w:r>
      <w:r w:rsidRPr="000B256F">
        <w:t xml:space="preserve"> all primary endpoints are safety endpoints)</w:t>
      </w:r>
      <w:r w:rsidR="00B10A10">
        <w:t>.</w:t>
      </w:r>
    </w:p>
    <w:p w14:paraId="709689D9" w14:textId="5AAC31B4" w:rsidR="000B256F" w:rsidRDefault="000B256F" w:rsidP="006402BA">
      <w:pPr>
        <w:pStyle w:val="Numberbullet0"/>
      </w:pPr>
      <w:r w:rsidRPr="000B256F">
        <w:t xml:space="preserve">To determine whether repeat dosing can maintain serum levels associated with protection against COVID-19, by evaluating serum concentrations and determining the effect (if any) of </w:t>
      </w:r>
      <w:r w:rsidR="00C21311">
        <w:t>anti</w:t>
      </w:r>
      <w:r w:rsidR="002B149A">
        <w:t>-</w:t>
      </w:r>
      <w:r w:rsidR="00C21311">
        <w:t>drug antibody</w:t>
      </w:r>
      <w:r w:rsidRPr="000B256F">
        <w:t xml:space="preserve"> on serum concentrations.</w:t>
      </w:r>
    </w:p>
    <w:p w14:paraId="1AFBACAC" w14:textId="774B3A4C" w:rsidR="00B10A10" w:rsidRPr="00B10A10" w:rsidRDefault="00B10A10" w:rsidP="006402BA">
      <w:pPr>
        <w:pStyle w:val="Heading5"/>
      </w:pPr>
      <w:r>
        <w:t xml:space="preserve">Study </w:t>
      </w:r>
      <w:r w:rsidR="007A5DCB">
        <w:t xml:space="preserve">overview and </w:t>
      </w:r>
      <w:r>
        <w:t>design</w:t>
      </w:r>
    </w:p>
    <w:p w14:paraId="5A334AA2" w14:textId="30819F33" w:rsidR="000B256F" w:rsidRPr="000B256F" w:rsidRDefault="000B256F" w:rsidP="006402BA">
      <w:r w:rsidRPr="000B256F">
        <w:t xml:space="preserve">Enrolled participants from Group 1 of </w:t>
      </w:r>
      <w:r w:rsidR="00B10A10">
        <w:t xml:space="preserve">the </w:t>
      </w:r>
      <w:r w:rsidRPr="000B256F">
        <w:t>PROVENT</w:t>
      </w:r>
      <w:r w:rsidR="00C21311">
        <w:t xml:space="preserve"> trial</w:t>
      </w:r>
      <w:r w:rsidRPr="000B256F">
        <w:t xml:space="preserve"> (</w:t>
      </w:r>
      <w:r w:rsidR="00C21311">
        <w:t>that is,</w:t>
      </w:r>
      <w:r w:rsidRPr="000B256F">
        <w:t xml:space="preserve"> </w:t>
      </w:r>
      <w:r w:rsidR="00B10A10">
        <w:t xml:space="preserve">those participants who </w:t>
      </w:r>
      <w:r w:rsidRPr="000B256F">
        <w:t xml:space="preserve">received active </w:t>
      </w:r>
      <w:r w:rsidR="00C21311">
        <w:t>i</w:t>
      </w:r>
      <w:r w:rsidR="00C21311" w:rsidRPr="00C21311">
        <w:t>ntra</w:t>
      </w:r>
      <w:r w:rsidR="00C376D1">
        <w:t>muscular</w:t>
      </w:r>
      <w:r w:rsidR="00C21311" w:rsidRPr="00C21311">
        <w:t xml:space="preserve"> injection</w:t>
      </w:r>
      <w:r w:rsidRPr="000B256F">
        <w:t xml:space="preserve"> during the parent study) </w:t>
      </w:r>
      <w:r w:rsidR="00B10A10">
        <w:t xml:space="preserve">were </w:t>
      </w:r>
      <w:r w:rsidRPr="000B256F">
        <w:t>to receive a second dose of E</w:t>
      </w:r>
      <w:r w:rsidR="00C21311">
        <w:t>vusheld</w:t>
      </w:r>
      <w:r w:rsidRPr="000B256F">
        <w:t xml:space="preserve"> 300 mg </w:t>
      </w:r>
      <w:r w:rsidR="00C21311">
        <w:t xml:space="preserve">intramuscular </w:t>
      </w:r>
      <w:r w:rsidRPr="000B256F">
        <w:t xml:space="preserve">at 12 </w:t>
      </w:r>
      <w:r w:rsidR="00B10A10">
        <w:t>(±</w:t>
      </w:r>
      <w:r w:rsidRPr="000B256F">
        <w:t>2</w:t>
      </w:r>
      <w:r w:rsidR="00B10A10">
        <w:t>)</w:t>
      </w:r>
      <w:r w:rsidRPr="000B256F">
        <w:t xml:space="preserve"> months (Day 1</w:t>
      </w:r>
      <w:r w:rsidR="00B10A10">
        <w:t xml:space="preserve"> of </w:t>
      </w:r>
      <w:proofErr w:type="spellStart"/>
      <w:r w:rsidR="00B10A10">
        <w:t>substudy</w:t>
      </w:r>
      <w:proofErr w:type="spellEnd"/>
      <w:r w:rsidRPr="000B256F">
        <w:t>), with follow</w:t>
      </w:r>
      <w:r w:rsidR="00C21311">
        <w:t xml:space="preserve"> </w:t>
      </w:r>
      <w:r w:rsidRPr="000B256F">
        <w:t>up at Day 29.</w:t>
      </w:r>
    </w:p>
    <w:p w14:paraId="15657AB2" w14:textId="77777777" w:rsidR="000025BB" w:rsidRDefault="000B256F" w:rsidP="006402BA">
      <w:r w:rsidRPr="000B256F">
        <w:t xml:space="preserve">Included enrolees at potentially increased benefit from repeat dosing </w:t>
      </w:r>
      <w:proofErr w:type="gramStart"/>
      <w:r w:rsidRPr="000B256F">
        <w:t>on the basis of</w:t>
      </w:r>
      <w:proofErr w:type="gramEnd"/>
      <w:r w:rsidRPr="000B256F">
        <w:t>:</w:t>
      </w:r>
    </w:p>
    <w:p w14:paraId="731280E9" w14:textId="3222751C" w:rsidR="000025BB" w:rsidRDefault="000B256F" w:rsidP="006402BA">
      <w:pPr>
        <w:pStyle w:val="ListBullet"/>
      </w:pPr>
      <w:r w:rsidRPr="000B256F">
        <w:t>immunocompromise and/or at increased risk of inadequate response to COVID</w:t>
      </w:r>
      <w:r w:rsidR="000025BB">
        <w:noBreakHyphen/>
      </w:r>
      <w:r w:rsidRPr="000B256F">
        <w:t>19 vaccination, or</w:t>
      </w:r>
    </w:p>
    <w:p w14:paraId="7CC30BFA" w14:textId="7D6674A4" w:rsidR="000B256F" w:rsidRPr="000B256F" w:rsidRDefault="000025BB" w:rsidP="006402BA">
      <w:pPr>
        <w:pStyle w:val="ListBullet"/>
      </w:pPr>
      <w:r>
        <w:t>a</w:t>
      </w:r>
      <w:r w:rsidR="000B256F" w:rsidRPr="000B256F">
        <w:t>t increased risk of severe COVID-19.</w:t>
      </w:r>
    </w:p>
    <w:p w14:paraId="66CB41A1" w14:textId="0FADC6C2" w:rsidR="000B256F" w:rsidRDefault="000B256F" w:rsidP="006402BA">
      <w:r w:rsidRPr="000B256F">
        <w:t xml:space="preserve">The target sample size for the </w:t>
      </w:r>
      <w:proofErr w:type="spellStart"/>
      <w:r w:rsidRPr="000B256F">
        <w:t>substudy</w:t>
      </w:r>
      <w:proofErr w:type="spellEnd"/>
      <w:r w:rsidRPr="000B256F">
        <w:t xml:space="preserve"> is </w:t>
      </w:r>
      <w:r w:rsidR="000025BB">
        <w:t xml:space="preserve">about </w:t>
      </w:r>
      <w:r w:rsidRPr="000B256F">
        <w:t xml:space="preserve">500 participants, which would allow a probability of </w:t>
      </w:r>
      <w:r w:rsidR="000025BB">
        <w:t xml:space="preserve">greater than </w:t>
      </w:r>
      <w:r w:rsidRPr="000B256F">
        <w:t xml:space="preserve">99% to detect at least one </w:t>
      </w:r>
      <w:r w:rsidR="000025BB">
        <w:t>adverse event (</w:t>
      </w:r>
      <w:r w:rsidRPr="000B256F">
        <w:t>AE</w:t>
      </w:r>
      <w:r w:rsidR="000025BB">
        <w:t>)</w:t>
      </w:r>
      <w:r w:rsidRPr="000B256F">
        <w:t xml:space="preserve"> with a true event rate of 1%. This interim analysis was planned once </w:t>
      </w:r>
      <w:r w:rsidR="000025BB">
        <w:t>greater or equal to</w:t>
      </w:r>
      <w:r w:rsidRPr="000B256F">
        <w:t xml:space="preserve"> 50 participants had completed Day 29 follow</w:t>
      </w:r>
      <w:r w:rsidR="00663266">
        <w:t xml:space="preserve"> </w:t>
      </w:r>
      <w:r w:rsidRPr="000B256F">
        <w:t>up (</w:t>
      </w:r>
      <w:r w:rsidR="00663266">
        <w:t>data cut</w:t>
      </w:r>
      <w:r w:rsidR="00B10A10">
        <w:t>-</w:t>
      </w:r>
      <w:r w:rsidR="00663266">
        <w:t>off</w:t>
      </w:r>
      <w:r w:rsidRPr="000B256F">
        <w:t xml:space="preserve"> </w:t>
      </w:r>
      <w:r w:rsidR="00B10A10">
        <w:t xml:space="preserve">date of </w:t>
      </w:r>
      <w:r w:rsidRPr="000B256F">
        <w:t>25</w:t>
      </w:r>
      <w:r w:rsidR="00663266">
        <w:t xml:space="preserve"> February </w:t>
      </w:r>
      <w:r w:rsidRPr="000B256F">
        <w:t>2022).</w:t>
      </w:r>
    </w:p>
    <w:p w14:paraId="16426AC8" w14:textId="5A2B2088" w:rsidR="000025BB" w:rsidRDefault="000025BB" w:rsidP="000025BB">
      <w:pPr>
        <w:pStyle w:val="FigureTitle"/>
      </w:pPr>
      <w:r w:rsidRPr="000025BB">
        <w:lastRenderedPageBreak/>
        <w:t xml:space="preserve">Figure </w:t>
      </w:r>
      <w:r w:rsidR="005E1B9B">
        <w:fldChar w:fldCharType="begin"/>
      </w:r>
      <w:r w:rsidR="005E1B9B">
        <w:instrText xml:space="preserve"> SEQ Figure \* ARABIC </w:instrText>
      </w:r>
      <w:r w:rsidR="005E1B9B">
        <w:fldChar w:fldCharType="separate"/>
      </w:r>
      <w:r w:rsidR="008D61A2">
        <w:rPr>
          <w:noProof/>
        </w:rPr>
        <w:t>1</w:t>
      </w:r>
      <w:r w:rsidR="005E1B9B">
        <w:rPr>
          <w:noProof/>
        </w:rPr>
        <w:fldChar w:fldCharType="end"/>
      </w:r>
      <w:r>
        <w:t xml:space="preserve">: </w:t>
      </w:r>
      <w:r w:rsidRPr="000025BB">
        <w:t>PROVENT</w:t>
      </w:r>
      <w:r>
        <w:t xml:space="preserve"> trial</w:t>
      </w:r>
      <w:r w:rsidR="001A32A3">
        <w:t xml:space="preserve"> </w:t>
      </w:r>
      <w:proofErr w:type="spellStart"/>
      <w:r w:rsidR="00B10A10">
        <w:t>Substudy</w:t>
      </w:r>
      <w:proofErr w:type="spellEnd"/>
      <w:r w:rsidR="00B10A10">
        <w:t xml:space="preserve"> D8850C002A01 Study d</w:t>
      </w:r>
      <w:r w:rsidR="001A32A3" w:rsidRPr="000025BB">
        <w:t xml:space="preserve">esign </w:t>
      </w:r>
      <w:r w:rsidR="001A32A3">
        <w:t xml:space="preserve">for </w:t>
      </w:r>
      <w:r w:rsidRPr="000025BB">
        <w:t>300</w:t>
      </w:r>
      <w:r>
        <w:t xml:space="preserve"> </w:t>
      </w:r>
      <w:r w:rsidRPr="000025BB">
        <w:t>mg repeat</w:t>
      </w:r>
      <w:r w:rsidR="00B10A10">
        <w:noBreakHyphen/>
      </w:r>
      <w:r w:rsidRPr="000025BB">
        <w:t>dose</w:t>
      </w:r>
      <w:r w:rsidR="00B10A10">
        <w:t xml:space="preserve"> cohort</w:t>
      </w:r>
    </w:p>
    <w:p w14:paraId="387B2A3A" w14:textId="026E8FCB" w:rsidR="000025BB" w:rsidRDefault="000025BB" w:rsidP="000025BB">
      <w:r w:rsidRPr="00FB4CD0">
        <w:rPr>
          <w:noProof/>
          <w:lang w:val="en-GB" w:eastAsia="en-GB"/>
        </w:rPr>
        <w:drawing>
          <wp:inline distT="0" distB="0" distL="0" distR="0" wp14:anchorId="4065E1A1" wp14:editId="03E4DFF9">
            <wp:extent cx="5276099" cy="1399429"/>
            <wp:effectExtent l="0" t="0" r="1270" b="0"/>
            <wp:docPr id="29" name="Picture 29" descr="PROVENT trial design for 300 mg repeat dose.&#10;Target population from PROVENT trial was separated into two arms. In the safety analysis set, Group 1 received first dose of Evusheld while Group 2 received placebo. Group 1 received their second dose of Evusheld in the substudy, while Group 2 received their first dose of Evusheld. No participant in Group 2 received their second dose at time of data cutoff. All participants would be followed up for 456 days after their second dose of Evus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OVENT trial design for 300 mg repeat dose.&#10;Target population from PROVENT trial was separated into two arms. In the safety analysis set, Group 1 received first dose of Evusheld while Group 2 received placebo. Group 1 received their second dose of Evusheld in the substudy, while Group 2 received their first dose of Evusheld. No participant in Group 2 received their second dose at time of data cutoff. All participants would be followed up for 456 days after their second dose of Evusheld."/>
                    <pic:cNvPicPr/>
                  </pic:nvPicPr>
                  <pic:blipFill rotWithShape="1">
                    <a:blip r:embed="rId22"/>
                    <a:srcRect l="3535" t="3439" r="2891"/>
                    <a:stretch/>
                  </pic:blipFill>
                  <pic:spPr bwMode="auto">
                    <a:xfrm>
                      <a:off x="0" y="0"/>
                      <a:ext cx="5292554" cy="1403794"/>
                    </a:xfrm>
                    <a:prstGeom prst="rect">
                      <a:avLst/>
                    </a:prstGeom>
                    <a:ln>
                      <a:noFill/>
                    </a:ln>
                    <a:extLst>
                      <a:ext uri="{53640926-AAD7-44D8-BBD7-CCE9431645EC}">
                        <a14:shadowObscured xmlns:a14="http://schemas.microsoft.com/office/drawing/2010/main"/>
                      </a:ext>
                    </a:extLst>
                  </pic:spPr>
                </pic:pic>
              </a:graphicData>
            </a:graphic>
          </wp:inline>
        </w:drawing>
      </w:r>
    </w:p>
    <w:p w14:paraId="2D80E75A" w14:textId="7D46A068" w:rsidR="007A5DCB" w:rsidRDefault="001A32A3" w:rsidP="006402BA">
      <w:pPr>
        <w:pStyle w:val="FigureDescription"/>
      </w:pPr>
      <w:r>
        <w:t>Abbreviation</w:t>
      </w:r>
      <w:r w:rsidR="007A5DCB">
        <w:t>s:</w:t>
      </w:r>
      <w:r>
        <w:t xml:space="preserve"> AZD7442 = </w:t>
      </w:r>
      <w:r w:rsidRPr="00C55710">
        <w:t xml:space="preserve">tixagevimab and </w:t>
      </w:r>
      <w:proofErr w:type="spellStart"/>
      <w:r w:rsidRPr="00C55710">
        <w:t>cilgavimab</w:t>
      </w:r>
      <w:proofErr w:type="spellEnd"/>
      <w:r w:rsidR="007A5DCB">
        <w:t xml:space="preserve">; SS-D = </w:t>
      </w:r>
      <w:proofErr w:type="spellStart"/>
      <w:r w:rsidR="007A5DCB">
        <w:t>substudy</w:t>
      </w:r>
      <w:proofErr w:type="spellEnd"/>
      <w:r w:rsidR="007A5DCB">
        <w:t xml:space="preserve"> day</w:t>
      </w:r>
    </w:p>
    <w:p w14:paraId="453824D6" w14:textId="73801F3F" w:rsidR="007A5DCB" w:rsidRDefault="007A5DCB" w:rsidP="006402BA">
      <w:pPr>
        <w:pStyle w:val="FigureDescription"/>
      </w:pPr>
      <w:r w:rsidRPr="007A5DCB">
        <w:t>a.</w:t>
      </w:r>
      <w:r>
        <w:t xml:space="preserve"> Participants from PROVENT parent study who may benefit from a repeat dose of Evusheld.</w:t>
      </w:r>
    </w:p>
    <w:p w14:paraId="15EA07FA" w14:textId="3FF6D2C3" w:rsidR="007A5DCB" w:rsidRDefault="007A5DCB" w:rsidP="006402BA">
      <w:pPr>
        <w:pStyle w:val="FigureDescription"/>
      </w:pPr>
      <w:r>
        <w:t>b. Based on randomisation in the parent study.</w:t>
      </w:r>
    </w:p>
    <w:p w14:paraId="4E40BA51" w14:textId="6DA1754C" w:rsidR="007A5DCB" w:rsidRDefault="007A5DCB" w:rsidP="006402BA">
      <w:pPr>
        <w:pStyle w:val="FigureDescription"/>
      </w:pPr>
      <w:r>
        <w:t xml:space="preserve">c. Participants were eligible for the </w:t>
      </w:r>
      <w:proofErr w:type="spellStart"/>
      <w:r>
        <w:t>substudy</w:t>
      </w:r>
      <w:proofErr w:type="spellEnd"/>
      <w:r>
        <w:t xml:space="preserve"> once they reached 12 ± 2 months post-dose in the double-blind parent study. Therefore, in Group 1, the dosing interval between Dose 1 (parent study) and Dose 2 (SS-D1) is approximately 12 months.</w:t>
      </w:r>
    </w:p>
    <w:p w14:paraId="24388D9E" w14:textId="6EBF9E7B" w:rsidR="007A5DCB" w:rsidRDefault="007A5DCB" w:rsidP="006402BA">
      <w:pPr>
        <w:pStyle w:val="FigureDescription"/>
      </w:pPr>
      <w:r>
        <w:t>d. For participants who have not undergone a Day 366 visit in the parent study, the Day 366 assessments were performed at SS-D1.</w:t>
      </w:r>
    </w:p>
    <w:p w14:paraId="74F018CD" w14:textId="4EAF0F84" w:rsidR="000025BB" w:rsidRDefault="000025BB" w:rsidP="000025BB">
      <w:r>
        <w:t xml:space="preserve">The Delegate noted a protocol amendment, at 6 months following the first dose of </w:t>
      </w:r>
      <w:proofErr w:type="spellStart"/>
      <w:r>
        <w:t>Ev</w:t>
      </w:r>
      <w:r w:rsidR="007A5DCB">
        <w:t>u</w:t>
      </w:r>
      <w:r>
        <w:t>sheld</w:t>
      </w:r>
      <w:proofErr w:type="spellEnd"/>
      <w:r>
        <w:t xml:space="preserve"> in the </w:t>
      </w:r>
      <w:proofErr w:type="spellStart"/>
      <w:r>
        <w:t>substudy</w:t>
      </w:r>
      <w:proofErr w:type="spellEnd"/>
      <w:r w:rsidR="007A5DCB">
        <w:t>:</w:t>
      </w:r>
      <w:r>
        <w:t xml:space="preserve"> a subset of participants from US sites in Group 1 and Group 2 (evenly distributed between groups) will be assigned to a new arm (Group 3) and will receive 600 mg Evusheld every 6 months until end of study.</w:t>
      </w:r>
    </w:p>
    <w:p w14:paraId="39F47459" w14:textId="23A8FAD0" w:rsidR="000025BB" w:rsidRDefault="000025BB" w:rsidP="000025BB">
      <w:r>
        <w:t xml:space="preserve">The primary objective of the </w:t>
      </w:r>
      <w:proofErr w:type="spellStart"/>
      <w:r>
        <w:t>substudy</w:t>
      </w:r>
      <w:proofErr w:type="spellEnd"/>
      <w:r>
        <w:t xml:space="preserve"> was to evaluate the safety and tolerability of repeat doses of Evusheld 300 mg intramuscularly.</w:t>
      </w:r>
    </w:p>
    <w:p w14:paraId="5B7E0259" w14:textId="36B65C36" w:rsidR="000025BB" w:rsidRDefault="000025BB" w:rsidP="000025BB">
      <w:r>
        <w:t>The secondary objectives were to evaluate the PK</w:t>
      </w:r>
      <w:r w:rsidR="00663266">
        <w:t>,</w:t>
      </w:r>
      <w:r>
        <w:t xml:space="preserve"> </w:t>
      </w:r>
      <w:r w:rsidR="002B149A">
        <w:t>anti-drug antibody</w:t>
      </w:r>
      <w:r>
        <w:t xml:space="preserve"> responses and neutralising levels following repeat doses of Evusheld 300 mg </w:t>
      </w:r>
      <w:r w:rsidR="007A5DCB">
        <w:t xml:space="preserve">given </w:t>
      </w:r>
      <w:r>
        <w:t>intramuscularly.</w:t>
      </w:r>
    </w:p>
    <w:p w14:paraId="3328DFC2" w14:textId="5CA36035" w:rsidR="000025BB" w:rsidRDefault="000025BB" w:rsidP="000025BB">
      <w:r>
        <w:t xml:space="preserve">In the safety analysis set, the 305 participants in the Group 1 received their first dose of Evusheld 300 mg intramuscularly in the PROVENT trial and their second dose of Evusheld 300 mg intramuscularly in the </w:t>
      </w:r>
      <w:proofErr w:type="spellStart"/>
      <w:r>
        <w:t>substudy</w:t>
      </w:r>
      <w:proofErr w:type="spellEnd"/>
      <w:r>
        <w:t>.</w:t>
      </w:r>
    </w:p>
    <w:p w14:paraId="421CF35D" w14:textId="19040ACB" w:rsidR="000025BB" w:rsidRDefault="000025BB" w:rsidP="000025BB">
      <w:r>
        <w:t xml:space="preserve">The 138 participants in Group 2 received placebo in the PROVENT trial and their first dose of Evusheld 300 mg intramuscularly in the </w:t>
      </w:r>
      <w:proofErr w:type="spellStart"/>
      <w:r>
        <w:t>substudy</w:t>
      </w:r>
      <w:proofErr w:type="spellEnd"/>
      <w:r>
        <w:t>.</w:t>
      </w:r>
    </w:p>
    <w:p w14:paraId="46071DEC" w14:textId="457B2BA9" w:rsidR="000025BB" w:rsidRDefault="000025BB" w:rsidP="000025BB">
      <w:r>
        <w:t>No participant in Group 2 had received a second dose at the time of the data cut</w:t>
      </w:r>
      <w:r w:rsidR="007A5DCB">
        <w:t>-</w:t>
      </w:r>
      <w:r>
        <w:t>off for this analysis.</w:t>
      </w:r>
    </w:p>
    <w:p w14:paraId="37E76BF9" w14:textId="7E0F7945" w:rsidR="000025BB" w:rsidRPr="000025BB" w:rsidRDefault="004F2549" w:rsidP="000025BB">
      <w:pPr>
        <w:pStyle w:val="Heading4"/>
      </w:pPr>
      <w:r>
        <w:t>Pharmacology</w:t>
      </w:r>
    </w:p>
    <w:p w14:paraId="43FD9D45" w14:textId="4033A63C" w:rsidR="001E5F69" w:rsidRDefault="001E5F69" w:rsidP="006402BA">
      <w:pPr>
        <w:pStyle w:val="Heading5"/>
      </w:pPr>
      <w:r>
        <w:t>TACKLE trial (Study D8550C00003)</w:t>
      </w:r>
    </w:p>
    <w:p w14:paraId="70E9E489" w14:textId="69FBF3D0" w:rsidR="001E5F69" w:rsidRPr="00E44492" w:rsidRDefault="001E5F69" w:rsidP="001E5F69">
      <w:r w:rsidRPr="00E44492">
        <w:t>The TACKLE trial was first evaluated at the time the TGA granted provisional approval to Evusheld, for use as pre-exposure prophylaxis in COVID-19.</w:t>
      </w:r>
      <w:r w:rsidRPr="00E44492">
        <w:rPr>
          <w:vertAlign w:val="superscript"/>
        </w:rPr>
        <w:fldChar w:fldCharType="begin"/>
      </w:r>
      <w:r w:rsidRPr="00E44492">
        <w:rPr>
          <w:vertAlign w:val="superscript"/>
        </w:rPr>
        <w:instrText xml:space="preserve"> NOTEREF _Ref122511272 \h  \* MERGEFORMAT </w:instrText>
      </w:r>
      <w:r w:rsidRPr="00E44492">
        <w:rPr>
          <w:vertAlign w:val="superscript"/>
        </w:rPr>
      </w:r>
      <w:r w:rsidRPr="00E44492">
        <w:rPr>
          <w:vertAlign w:val="superscript"/>
        </w:rPr>
        <w:fldChar w:fldCharType="separate"/>
      </w:r>
      <w:r w:rsidR="008D61A2" w:rsidRPr="00E44492">
        <w:rPr>
          <w:vertAlign w:val="superscript"/>
        </w:rPr>
        <w:t>1</w:t>
      </w:r>
      <w:r w:rsidRPr="00E44492">
        <w:rPr>
          <w:vertAlign w:val="superscript"/>
        </w:rPr>
        <w:fldChar w:fldCharType="end"/>
      </w:r>
      <w:r w:rsidRPr="00E44492">
        <w:t xml:space="preserve"> For the submission described in this current </w:t>
      </w:r>
      <w:proofErr w:type="spellStart"/>
      <w:r w:rsidRPr="00E44492">
        <w:t>AusPAR</w:t>
      </w:r>
      <w:proofErr w:type="spellEnd"/>
      <w:r w:rsidRPr="00E44492">
        <w:t>, the sponsor has included longer term efficacy and safety data for TACKLE trial.</w:t>
      </w:r>
    </w:p>
    <w:p w14:paraId="1EEF3A5E" w14:textId="32C512A4" w:rsidR="001E5F69" w:rsidRPr="00E44492" w:rsidRDefault="004F0AB9" w:rsidP="001E5F69">
      <w:r w:rsidRPr="00E44492">
        <w:t xml:space="preserve">The data supplied with the initial submission was for the primary data cut-off date of 21 August 2021; </w:t>
      </w:r>
      <w:r w:rsidR="001E5F69" w:rsidRPr="00E44492">
        <w:t xml:space="preserve">For the updated, </w:t>
      </w:r>
      <w:proofErr w:type="gramStart"/>
      <w:r w:rsidR="001E5F69" w:rsidRPr="00E44492">
        <w:t>longer term</w:t>
      </w:r>
      <w:proofErr w:type="gramEnd"/>
      <w:r w:rsidR="001E5F69" w:rsidRPr="00E44492">
        <w:t xml:space="preserve"> efficacy and safety data from the TACKLE trial, the median duration of follow up at the primary data cut-off (21 August 2021) was 84 days and at the key secondary data cut-off (14 January 2022) was 170 days. The study provided intensive follow up for first 28 days.</w:t>
      </w:r>
    </w:p>
    <w:p w14:paraId="7F6A347F" w14:textId="3A5EEC1B" w:rsidR="001E5F69" w:rsidRPr="00E44492" w:rsidRDefault="001E5F69" w:rsidP="001E5F69">
      <w:proofErr w:type="gramStart"/>
      <w:r w:rsidRPr="00E44492">
        <w:t>A brief summary</w:t>
      </w:r>
      <w:proofErr w:type="gramEnd"/>
      <w:r w:rsidRPr="00E44492">
        <w:t xml:space="preserve"> of the TACKLE trial study design and objectives is given below.</w:t>
      </w:r>
    </w:p>
    <w:p w14:paraId="62791A47" w14:textId="098F2CD2" w:rsidR="001E5F69" w:rsidRPr="00E44492" w:rsidRDefault="004F0AB9" w:rsidP="006402BA">
      <w:pPr>
        <w:pStyle w:val="Heading6"/>
      </w:pPr>
      <w:r w:rsidRPr="00E44492">
        <w:lastRenderedPageBreak/>
        <w:t>TACKLE trial (Study D8550C00003) Summary</w:t>
      </w:r>
    </w:p>
    <w:p w14:paraId="7840D516" w14:textId="24B80DFE" w:rsidR="007A5DCB" w:rsidRPr="00E44492" w:rsidRDefault="007A5DCB" w:rsidP="007A5DCB">
      <w:r w:rsidRPr="00E44492">
        <w:t>The TACKLE trial (Study D8550C00003) is a Phase III randomised, double-blind, placebo-controlled, multicentre study to determine the safety and efficacy of a single 600 mg intramuscular dose of Evusheld for the treatment of COVID</w:t>
      </w:r>
      <w:r w:rsidRPr="00E44492">
        <w:noBreakHyphen/>
        <w:t xml:space="preserve">19 in </w:t>
      </w:r>
      <w:r w:rsidRPr="00E44492">
        <w:rPr>
          <w:i/>
        </w:rPr>
        <w:t>non-hospitalised adults</w:t>
      </w:r>
      <w:r w:rsidRPr="00E44492">
        <w:t>.</w:t>
      </w:r>
    </w:p>
    <w:p w14:paraId="6A3BA76C" w14:textId="77777777" w:rsidR="007A5DCB" w:rsidRPr="00E44492" w:rsidRDefault="007A5DCB" w:rsidP="007A5DCB">
      <w:r w:rsidRPr="00E44492">
        <w:t>At the time of the primary analysis data cut-off date (21 August 2021), 1014 participants had been enrolled, 910 participants had been randomised (Evusheld: 456; placebo: 454), and 452 participants received treatment with Evusheld.</w:t>
      </w:r>
    </w:p>
    <w:p w14:paraId="2E06F398" w14:textId="661686D3" w:rsidR="007A5DCB" w:rsidRPr="00E44492" w:rsidRDefault="007A5DCB" w:rsidP="006402BA">
      <w:r w:rsidRPr="00E44492">
        <w:t>Adults with a documented positive SARS-CoV-2 test (from a sample collected ≤ 3 days prior to the study entry) who were within 7 days of symptom onset were randomised in a 1:1 ratio to receive a single dose (of 2 x intramuscular injections) of Evusheld 600 mg or placebo on Day 1, with planned follow up to Day 457 (15 months).</w:t>
      </w:r>
    </w:p>
    <w:p w14:paraId="33498A4E" w14:textId="2A8A65CE" w:rsidR="007A5DCB" w:rsidRPr="00E44492" w:rsidRDefault="007A5DCB" w:rsidP="006402BA">
      <w:pPr>
        <w:pStyle w:val="FigureTitle"/>
      </w:pPr>
      <w:r w:rsidRPr="00E44492">
        <w:t xml:space="preserve">Figure </w:t>
      </w:r>
      <w:r w:rsidR="005E1B9B">
        <w:fldChar w:fldCharType="begin"/>
      </w:r>
      <w:r w:rsidR="005E1B9B">
        <w:instrText xml:space="preserve"> SEQ Figure \* ARABIC </w:instrText>
      </w:r>
      <w:r w:rsidR="005E1B9B">
        <w:fldChar w:fldCharType="separate"/>
      </w:r>
      <w:r w:rsidR="008D61A2" w:rsidRPr="00E44492">
        <w:rPr>
          <w:noProof/>
        </w:rPr>
        <w:t>2</w:t>
      </w:r>
      <w:r w:rsidR="005E1B9B">
        <w:rPr>
          <w:noProof/>
        </w:rPr>
        <w:fldChar w:fldCharType="end"/>
      </w:r>
      <w:r w:rsidRPr="00E44492">
        <w:t xml:space="preserve">: Study </w:t>
      </w:r>
      <w:r w:rsidRPr="00E44492">
        <w:rPr>
          <w:bCs/>
        </w:rPr>
        <w:t>D8550C00003</w:t>
      </w:r>
      <w:r w:rsidRPr="00E44492">
        <w:t xml:space="preserve"> (TACKLE trial) Study schema</w:t>
      </w:r>
    </w:p>
    <w:p w14:paraId="5BBBCEE1" w14:textId="77777777" w:rsidR="007A5DCB" w:rsidRPr="00E44492" w:rsidRDefault="007A5DCB" w:rsidP="007A5DCB">
      <w:r w:rsidRPr="00E44492">
        <w:rPr>
          <w:noProof/>
          <w:lang w:val="en-GB" w:eastAsia="en-GB"/>
        </w:rPr>
        <w:drawing>
          <wp:inline distT="0" distB="0" distL="0" distR="0" wp14:anchorId="0BA216CA" wp14:editId="3BE827D7">
            <wp:extent cx="4959985" cy="2157730"/>
            <wp:effectExtent l="0" t="0" r="0" b="0"/>
            <wp:docPr id="48" name="Picture 48" descr="Figure 2: Study D8550C00003 (TACKLE trial)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 Study D8550C00003 (TACKLE trial) Study sche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985" cy="2157730"/>
                    </a:xfrm>
                    <a:prstGeom prst="rect">
                      <a:avLst/>
                    </a:prstGeom>
                    <a:noFill/>
                    <a:ln>
                      <a:noFill/>
                    </a:ln>
                  </pic:spPr>
                </pic:pic>
              </a:graphicData>
            </a:graphic>
          </wp:inline>
        </w:drawing>
      </w:r>
    </w:p>
    <w:p w14:paraId="4EFC8493" w14:textId="77777777" w:rsidR="007A5DCB" w:rsidRPr="00E44492" w:rsidRDefault="007A5DCB" w:rsidP="007A5DCB">
      <w:r w:rsidRPr="00E44492">
        <w:t>At least 60% of participants were anticipated to meet the protocol definition of being at high risk of progression to severe COVID-19 as defined by any of the following:</w:t>
      </w:r>
    </w:p>
    <w:p w14:paraId="4876D863" w14:textId="77777777" w:rsidR="007A5DCB" w:rsidRPr="00E44492" w:rsidRDefault="007A5DCB" w:rsidP="007A5DCB">
      <w:pPr>
        <w:pStyle w:val="ListBullet"/>
      </w:pPr>
      <w:r w:rsidRPr="00E44492">
        <w:t>persons aged 65 years and older at randomisation</w:t>
      </w:r>
    </w:p>
    <w:p w14:paraId="3445E6B4" w14:textId="2ABD3166" w:rsidR="007A5DCB" w:rsidRPr="00E44492" w:rsidRDefault="007A5DCB" w:rsidP="006402BA">
      <w:pPr>
        <w:pStyle w:val="ListBullet"/>
      </w:pPr>
      <w:r w:rsidRPr="00E44492">
        <w:t>persons aged &lt; 65 years and having at least one of the following conditions: cancer</w:t>
      </w:r>
      <w:r w:rsidR="001E5F69" w:rsidRPr="00E44492">
        <w:t>;</w:t>
      </w:r>
      <w:r w:rsidRPr="00E44492">
        <w:t xml:space="preserve"> chronic lung disease or moderate to severe asthma</w:t>
      </w:r>
      <w:r w:rsidR="001E5F69" w:rsidRPr="00E44492">
        <w:t xml:space="preserve">; </w:t>
      </w:r>
      <w:r w:rsidRPr="00E44492">
        <w:t xml:space="preserve">obesity </w:t>
      </w:r>
      <w:r w:rsidR="001E5F69" w:rsidRPr="00E44492">
        <w:t xml:space="preserve">; </w:t>
      </w:r>
      <w:r w:rsidRPr="00E44492">
        <w:t>hypertension</w:t>
      </w:r>
      <w:r w:rsidR="001E5F69" w:rsidRPr="00E44492">
        <w:t xml:space="preserve">; </w:t>
      </w:r>
      <w:r w:rsidRPr="00E44492">
        <w:t>cardiovascular disease (including history of stroke)</w:t>
      </w:r>
      <w:r w:rsidR="001E5F69" w:rsidRPr="00E44492">
        <w:t xml:space="preserve">; </w:t>
      </w:r>
      <w:r w:rsidRPr="00E44492">
        <w:t>diabetes</w:t>
      </w:r>
      <w:r w:rsidR="001E5F69" w:rsidRPr="00E44492">
        <w:t xml:space="preserve">; </w:t>
      </w:r>
      <w:r w:rsidRPr="00E44492">
        <w:t>chronic kidney disease</w:t>
      </w:r>
      <w:r w:rsidR="001E5F69" w:rsidRPr="00E44492">
        <w:t xml:space="preserve">; </w:t>
      </w:r>
      <w:r w:rsidRPr="00E44492">
        <w:t>chronic liver disease</w:t>
      </w:r>
      <w:r w:rsidR="001E5F69" w:rsidRPr="00E44492">
        <w:t xml:space="preserve">; </w:t>
      </w:r>
      <w:r w:rsidRPr="00E44492">
        <w:t>immunocompromised state from solid organ transplant, blood or bone marrow transplant, immune deficiencies, HIV, use of corticosteroids, or use of other immunosuppressive medicines; sickle cell disease; or smoking (current or former).</w:t>
      </w:r>
    </w:p>
    <w:p w14:paraId="78B058E9" w14:textId="77777777" w:rsidR="007A5DCB" w:rsidRPr="00E44492" w:rsidRDefault="007A5DCB" w:rsidP="007A5DCB">
      <w:r w:rsidRPr="00E44492">
        <w:t>Randomisation was stratified by:</w:t>
      </w:r>
    </w:p>
    <w:p w14:paraId="204FD476" w14:textId="77777777" w:rsidR="007A5DCB" w:rsidRPr="00E44492" w:rsidRDefault="007A5DCB" w:rsidP="007A5DCB">
      <w:pPr>
        <w:pStyle w:val="Numberbullet0"/>
        <w:numPr>
          <w:ilvl w:val="0"/>
          <w:numId w:val="34"/>
        </w:numPr>
      </w:pPr>
      <w:r w:rsidRPr="00E44492">
        <w:t>Time from symptom onset (≤ 5 days versus &gt; 5 days)</w:t>
      </w:r>
    </w:p>
    <w:p w14:paraId="31968969" w14:textId="77777777" w:rsidR="007A5DCB" w:rsidRPr="00E44492" w:rsidRDefault="007A5DCB" w:rsidP="007A5DCB">
      <w:pPr>
        <w:pStyle w:val="Numberbullet0"/>
        <w:numPr>
          <w:ilvl w:val="0"/>
          <w:numId w:val="34"/>
        </w:numPr>
      </w:pPr>
      <w:r w:rsidRPr="00E44492">
        <w:t>High-risk versus low-risk of progression to severe COVID-19 (high-risk is defined above)</w:t>
      </w:r>
    </w:p>
    <w:p w14:paraId="7722531D" w14:textId="77272562" w:rsidR="007A5DCB" w:rsidRPr="00E44492" w:rsidRDefault="007A5DCB" w:rsidP="007A5DCB">
      <w:r w:rsidRPr="00E44492">
        <w:t xml:space="preserve">Participants were enrolled </w:t>
      </w:r>
      <w:r w:rsidR="001E5F69" w:rsidRPr="00E44492">
        <w:t>into one of two</w:t>
      </w:r>
      <w:r w:rsidRPr="00E44492">
        <w:t xml:space="preserve"> independent cohorts:</w:t>
      </w:r>
    </w:p>
    <w:p w14:paraId="60C75BF7" w14:textId="5992EBFA" w:rsidR="00052F83" w:rsidRPr="00052F83" w:rsidRDefault="007A5DCB" w:rsidP="00052F83">
      <w:pPr>
        <w:pStyle w:val="Numberbullet0"/>
        <w:numPr>
          <w:ilvl w:val="0"/>
          <w:numId w:val="45"/>
        </w:numPr>
      </w:pPr>
      <w:proofErr w:type="gramStart"/>
      <w:r w:rsidRPr="00E44492">
        <w:t>Cohort 1,</w:t>
      </w:r>
      <w:proofErr w:type="gramEnd"/>
      <w:r w:rsidRPr="00E44492">
        <w:t xml:space="preserve"> underwent more </w:t>
      </w:r>
      <w:r w:rsidR="001E5F69" w:rsidRPr="00E44492">
        <w:t>intensive testing to characteris</w:t>
      </w:r>
      <w:r w:rsidRPr="00E44492">
        <w:t>e their virological and</w:t>
      </w:r>
      <w:r w:rsidR="00052F83">
        <w:t xml:space="preserve"> </w:t>
      </w:r>
      <w:r w:rsidRPr="00052F83">
        <w:t>immunological status, and to correlate that status with clinical outcomes.</w:t>
      </w:r>
    </w:p>
    <w:p w14:paraId="501C9A4A" w14:textId="1E41E3A8" w:rsidR="007A5DCB" w:rsidRPr="00052F83" w:rsidRDefault="007A5DCB" w:rsidP="00052F83">
      <w:pPr>
        <w:pStyle w:val="Numberbullet0"/>
        <w:numPr>
          <w:ilvl w:val="0"/>
          <w:numId w:val="45"/>
        </w:numPr>
      </w:pPr>
      <w:r w:rsidRPr="00052F83">
        <w:t>Cohort 2, was followed for clinical outcomes</w:t>
      </w:r>
    </w:p>
    <w:p w14:paraId="69CCEE72" w14:textId="77777777" w:rsidR="007A5DCB" w:rsidRPr="00E44492" w:rsidRDefault="007A5DCB" w:rsidP="007A5DCB">
      <w:r w:rsidRPr="00E44492">
        <w:t>Key inclusion criteria were:</w:t>
      </w:r>
    </w:p>
    <w:p w14:paraId="75E48937" w14:textId="77777777" w:rsidR="007A5DCB" w:rsidRPr="00E44492" w:rsidRDefault="007A5DCB" w:rsidP="007A5DCB">
      <w:pPr>
        <w:pStyle w:val="ListBullet"/>
      </w:pPr>
      <w:r w:rsidRPr="00E44492">
        <w:t>adults with laboratory-confirmed SARS-CoV-2 infection from a sample collected ≤ 3 days prior to Day 1</w:t>
      </w:r>
    </w:p>
    <w:p w14:paraId="5B710235" w14:textId="77777777" w:rsidR="007A5DCB" w:rsidRPr="00E44492" w:rsidRDefault="007A5DCB" w:rsidP="007A5DCB">
      <w:pPr>
        <w:pStyle w:val="ListBullet"/>
      </w:pPr>
      <w:r w:rsidRPr="00E44492">
        <w:lastRenderedPageBreak/>
        <w:t>no more than 7 days from COVID-19 symptom onset</w:t>
      </w:r>
    </w:p>
    <w:p w14:paraId="196E9594" w14:textId="77777777" w:rsidR="007A5DCB" w:rsidRPr="00E44492" w:rsidRDefault="007A5DCB" w:rsidP="007A5DCB">
      <w:pPr>
        <w:pStyle w:val="ListBullet"/>
      </w:pPr>
      <w:r w:rsidRPr="00E44492">
        <w:t>oxygen saturation ≥ 92% at rest (unless regularly receives oxygen for pre-existing chronic lung condition)</w:t>
      </w:r>
    </w:p>
    <w:p w14:paraId="426D1EF0" w14:textId="77777777" w:rsidR="007A5DCB" w:rsidRPr="00E44492" w:rsidRDefault="007A5DCB" w:rsidP="007A5DCB">
      <w:r w:rsidRPr="00E44492">
        <w:t>The trial planned to enrol at least 60% of patients at high risk of progression to severe COVID-19 (based on age over 65 years or the presence of comorbidity).</w:t>
      </w:r>
    </w:p>
    <w:p w14:paraId="6F48C4A9" w14:textId="77777777" w:rsidR="007A5DCB" w:rsidRPr="00E44492" w:rsidRDefault="007A5DCB" w:rsidP="007A5DCB">
      <w:r w:rsidRPr="00E44492">
        <w:t>Key exclusion criteria were:</w:t>
      </w:r>
    </w:p>
    <w:p w14:paraId="55AD81AD" w14:textId="77777777" w:rsidR="007A5DCB" w:rsidRPr="00E44492" w:rsidRDefault="007A5DCB" w:rsidP="007A5DCB">
      <w:pPr>
        <w:pStyle w:val="ListBullet"/>
      </w:pPr>
      <w:r w:rsidRPr="00E44492">
        <w:t>hospitalisation for COVID-19</w:t>
      </w:r>
    </w:p>
    <w:p w14:paraId="7C54B478" w14:textId="77777777" w:rsidR="007A5DCB" w:rsidRPr="00E44492" w:rsidRDefault="007A5DCB" w:rsidP="007A5DCB">
      <w:pPr>
        <w:pStyle w:val="ListBullet"/>
      </w:pPr>
      <w:r w:rsidRPr="00E44492">
        <w:t>any prior receipt of COVID-19 vaccine or other monoclonal antibody/biologic indicated for SARS-CoV-2 (or expected administration immediately after enrolment).</w:t>
      </w:r>
    </w:p>
    <w:p w14:paraId="589C4BA4" w14:textId="2090C37E" w:rsidR="007A5DCB" w:rsidRPr="00E44492" w:rsidRDefault="001E5F69" w:rsidP="006402BA">
      <w:r w:rsidRPr="00E44492">
        <w:t>Study endpoints:</w:t>
      </w:r>
    </w:p>
    <w:p w14:paraId="7F0EA9B7" w14:textId="77777777" w:rsidR="007A5DCB" w:rsidRPr="00E44492" w:rsidRDefault="007A5DCB" w:rsidP="007A5DCB">
      <w:r w:rsidRPr="00E44492">
        <w:t>The primary endpoint was a composite of either severe COVID-19 or death from any cause through Day 29 (binary outcome).</w:t>
      </w:r>
    </w:p>
    <w:p w14:paraId="5AD0AB36" w14:textId="72A9D519" w:rsidR="007A5DCB" w:rsidRDefault="007A5DCB" w:rsidP="000025BB">
      <w:r w:rsidRPr="00E44492">
        <w:t>A key secondary endpoint was composite of either death from any cause or hospitalisation for COVID-19 complications or sequelae during the 168-day post-dose period (binary outcome; not part of the primary analysis as it falls outside the data cut-off date period).</w:t>
      </w:r>
    </w:p>
    <w:p w14:paraId="569035D4" w14:textId="048FCF51" w:rsidR="000025BB" w:rsidRPr="004F2549" w:rsidRDefault="000025BB" w:rsidP="004F2549">
      <w:pPr>
        <w:pStyle w:val="Heading5"/>
      </w:pPr>
      <w:r w:rsidRPr="004F2549">
        <w:t>Population pharmacokinetics data</w:t>
      </w:r>
    </w:p>
    <w:p w14:paraId="756DE5FF" w14:textId="0D32152A" w:rsidR="000025BB" w:rsidRPr="000025BB" w:rsidRDefault="000025BB" w:rsidP="000025BB">
      <w:r w:rsidRPr="000025BB">
        <w:t>The PK addendum was similar in structure and content to the previous PK addendum (</w:t>
      </w:r>
      <w:r w:rsidR="001B3DF5">
        <w:t>a</w:t>
      </w:r>
      <w:r w:rsidRPr="000025BB">
        <w:t xml:space="preserve">ddendum to </w:t>
      </w:r>
      <w:r w:rsidR="001B3DF5">
        <w:t>p</w:t>
      </w:r>
      <w:r w:rsidRPr="000025BB">
        <w:t xml:space="preserve">ooled </w:t>
      </w:r>
      <w:r w:rsidR="001B3DF5">
        <w:t>p</w:t>
      </w:r>
      <w:r w:rsidRPr="000025BB">
        <w:t xml:space="preserve">opulation </w:t>
      </w:r>
      <w:r w:rsidR="001B3DF5">
        <w:t xml:space="preserve">pharmacokinetics </w:t>
      </w:r>
      <w:r w:rsidRPr="000025BB">
        <w:t>report, dated 20 December 2021</w:t>
      </w:r>
      <w:r w:rsidR="001B3DF5">
        <w:t>,</w:t>
      </w:r>
      <w:r w:rsidRPr="000025BB">
        <w:t>) and included the same subjects and observations.</w:t>
      </w:r>
    </w:p>
    <w:p w14:paraId="141D5BA1" w14:textId="63AF8626" w:rsidR="000025BB" w:rsidRPr="000025BB" w:rsidRDefault="000025BB" w:rsidP="000025BB">
      <w:r w:rsidRPr="000025BB">
        <w:t xml:space="preserve">Subjects were from the TACKLE </w:t>
      </w:r>
      <w:r w:rsidR="001B3DF5">
        <w:t>trial</w:t>
      </w:r>
      <w:r w:rsidRPr="000025BB">
        <w:t xml:space="preserve"> (Study D8851C00001</w:t>
      </w:r>
      <w:r w:rsidR="004F0AB9">
        <w:t>; design summarised above)</w:t>
      </w:r>
      <w:r w:rsidRPr="000025BB">
        <w:t xml:space="preserve"> in which subjects received 600 mg E</w:t>
      </w:r>
      <w:r w:rsidR="001B3DF5">
        <w:t>vusheld</w:t>
      </w:r>
      <w:r w:rsidRPr="000025BB">
        <w:t xml:space="preserve"> by intramuscular injection. The structural population PK model was </w:t>
      </w:r>
      <w:proofErr w:type="gramStart"/>
      <w:r w:rsidRPr="000025BB">
        <w:t>unchanged</w:t>
      </w:r>
      <w:proofErr w:type="gramEnd"/>
      <w:r w:rsidRPr="000025BB">
        <w:t xml:space="preserve"> and the covariates were similar to those reported previously.</w:t>
      </w:r>
    </w:p>
    <w:p w14:paraId="4550E9DC" w14:textId="1B783CE4" w:rsidR="000025BB" w:rsidRPr="000025BB" w:rsidRDefault="001B3DF5" w:rsidP="000025BB">
      <w:r>
        <w:t>T</w:t>
      </w:r>
      <w:r w:rsidRPr="00C55710">
        <w:t>ixagevimab and cilgavimab</w:t>
      </w:r>
      <w:r w:rsidR="000025BB" w:rsidRPr="000025BB">
        <w:t xml:space="preserve"> </w:t>
      </w:r>
      <w:r w:rsidR="00CA5E90">
        <w:t>serum</w:t>
      </w:r>
      <w:r w:rsidR="00CA5E90" w:rsidRPr="000025BB">
        <w:t xml:space="preserve"> </w:t>
      </w:r>
      <w:r w:rsidR="000025BB" w:rsidRPr="000025BB">
        <w:t>concentration profiles following 600 mg E</w:t>
      </w:r>
      <w:r>
        <w:t>vusheld</w:t>
      </w:r>
      <w:r w:rsidR="000025BB" w:rsidRPr="000025BB">
        <w:t xml:space="preserve"> every 6 months was simulated using the population PK model.</w:t>
      </w:r>
    </w:p>
    <w:p w14:paraId="4C286381" w14:textId="0C7D4418" w:rsidR="000025BB" w:rsidRPr="000025BB" w:rsidRDefault="000025BB" w:rsidP="000025BB">
      <w:r w:rsidRPr="000025BB">
        <w:t>P</w:t>
      </w:r>
      <w:r w:rsidR="001B3DF5">
        <w:t>harmacokinetics</w:t>
      </w:r>
      <w:r w:rsidRPr="000025BB">
        <w:t xml:space="preserve"> modelling, based on </w:t>
      </w:r>
      <w:r w:rsidRPr="001B3DF5">
        <w:rPr>
          <w:i/>
          <w:iCs/>
        </w:rPr>
        <w:t>in vitro</w:t>
      </w:r>
      <w:r w:rsidRPr="000025BB">
        <w:t xml:space="preserve"> neutrali</w:t>
      </w:r>
      <w:r w:rsidR="00663266">
        <w:t>s</w:t>
      </w:r>
      <w:r w:rsidRPr="000025BB">
        <w:t>ation, of predicted E</w:t>
      </w:r>
      <w:r w:rsidR="001B3DF5">
        <w:t>vusheld</w:t>
      </w:r>
      <w:r w:rsidRPr="000025BB">
        <w:t xml:space="preserve"> concentrations in </w:t>
      </w:r>
      <w:r w:rsidR="001B3DF5" w:rsidRPr="001B3DF5">
        <w:t>nasal lining fluid</w:t>
      </w:r>
      <w:r w:rsidRPr="000025BB">
        <w:t xml:space="preserve">, using </w:t>
      </w:r>
      <w:r w:rsidR="001B3DF5" w:rsidRPr="001B3DF5">
        <w:t xml:space="preserve">80% inhibitory concentration </w:t>
      </w:r>
      <w:r w:rsidR="001B3DF5">
        <w:t>(</w:t>
      </w:r>
      <w:r w:rsidRPr="000025BB">
        <w:t>IC</w:t>
      </w:r>
      <w:r w:rsidRPr="001B3DF5">
        <w:rPr>
          <w:vertAlign w:val="subscript"/>
        </w:rPr>
        <w:t>80</w:t>
      </w:r>
      <w:r w:rsidR="001B3DF5">
        <w:t xml:space="preserve">) </w:t>
      </w:r>
      <w:r w:rsidRPr="000025BB">
        <w:t>(IC</w:t>
      </w:r>
      <w:r w:rsidRPr="001B3DF5">
        <w:rPr>
          <w:vertAlign w:val="subscript"/>
        </w:rPr>
        <w:t>50</w:t>
      </w:r>
      <w:r w:rsidRPr="000025BB">
        <w:t xml:space="preserve"> × 4) as a target and a 1.8% partition ratio, show that a dose of 300 mg </w:t>
      </w:r>
      <w:r w:rsidR="001B3DF5" w:rsidRPr="000025BB">
        <w:t>intramuscular injection</w:t>
      </w:r>
      <w:r w:rsidRPr="000025BB">
        <w:t xml:space="preserve"> only exceeds the </w:t>
      </w:r>
      <w:r w:rsidR="001B3DF5">
        <w:t>m</w:t>
      </w:r>
      <w:r w:rsidR="001B3DF5" w:rsidRPr="001B3DF5">
        <w:t>inimum protective concentration</w:t>
      </w:r>
      <w:r w:rsidRPr="000025BB">
        <w:t xml:space="preserve"> for Omicron BA.4 or BA.5 for approximately the first </w:t>
      </w:r>
      <w:r w:rsidR="00176E9D">
        <w:t>three</w:t>
      </w:r>
      <w:r w:rsidRPr="000025BB">
        <w:t xml:space="preserve"> months post-dosing.</w:t>
      </w:r>
    </w:p>
    <w:p w14:paraId="59A206B0" w14:textId="71225D44" w:rsidR="000025BB" w:rsidRDefault="001B3DF5" w:rsidP="001B3DF5">
      <w:pPr>
        <w:pStyle w:val="FigureTitle"/>
      </w:pPr>
      <w:r w:rsidRPr="001B3DF5">
        <w:lastRenderedPageBreak/>
        <w:t xml:space="preserve">Figure </w:t>
      </w:r>
      <w:r w:rsidR="005E1B9B">
        <w:fldChar w:fldCharType="begin"/>
      </w:r>
      <w:r w:rsidR="005E1B9B">
        <w:instrText xml:space="preserve"> SEQ Figure \* ARABIC </w:instrText>
      </w:r>
      <w:r w:rsidR="005E1B9B">
        <w:fldChar w:fldCharType="separate"/>
      </w:r>
      <w:r w:rsidR="008D61A2">
        <w:rPr>
          <w:noProof/>
        </w:rPr>
        <w:t>3</w:t>
      </w:r>
      <w:r w:rsidR="005E1B9B">
        <w:rPr>
          <w:noProof/>
        </w:rPr>
        <w:fldChar w:fldCharType="end"/>
      </w:r>
      <w:r>
        <w:t xml:space="preserve">: </w:t>
      </w:r>
      <w:proofErr w:type="spellStart"/>
      <w:r w:rsidR="004F0AB9">
        <w:t>PopPK</w:t>
      </w:r>
      <w:proofErr w:type="spellEnd"/>
      <w:r w:rsidR="004F0AB9">
        <w:t xml:space="preserve"> report; </w:t>
      </w:r>
      <w:proofErr w:type="spellStart"/>
      <w:r w:rsidRPr="001B3DF5">
        <w:t>E</w:t>
      </w:r>
      <w:r w:rsidR="00176E9D">
        <w:t>vusheld</w:t>
      </w:r>
      <w:proofErr w:type="spellEnd"/>
      <w:r w:rsidRPr="001B3DF5">
        <w:t xml:space="preserve"> concentrations in </w:t>
      </w:r>
      <w:r w:rsidR="004F0AB9">
        <w:t>s</w:t>
      </w:r>
      <w:r w:rsidR="00D04902">
        <w:t xml:space="preserve">erum </w:t>
      </w:r>
      <w:r w:rsidRPr="001B3DF5">
        <w:t xml:space="preserve">with 300 mg dose and duration of protection against </w:t>
      </w:r>
      <w:r>
        <w:t>variant</w:t>
      </w:r>
      <w:r w:rsidR="00663266">
        <w:t>s</w:t>
      </w:r>
      <w:r>
        <w:t xml:space="preserve"> of concern</w:t>
      </w:r>
    </w:p>
    <w:p w14:paraId="14AFF58B" w14:textId="61AFF626" w:rsidR="001B3DF5" w:rsidRDefault="001B3DF5" w:rsidP="001B3DF5">
      <w:r w:rsidRPr="005F1C3A">
        <w:rPr>
          <w:noProof/>
          <w:lang w:val="en-GB" w:eastAsia="en-GB"/>
        </w:rPr>
        <w:drawing>
          <wp:inline distT="0" distB="0" distL="0" distR="0" wp14:anchorId="4B8E6FBB" wp14:editId="353F08DD">
            <wp:extent cx="3783193" cy="2673752"/>
            <wp:effectExtent l="0" t="0" r="8255" b="0"/>
            <wp:docPr id="20" name="Picture 20" descr="Evusheld concentrations in nasal lining fluid with 300 mg dose and duration of protection against variant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vusheld concentrations in nasal lining fluid with 300 mg dose and duration of protection against variants of concern"/>
                    <pic:cNvPicPr/>
                  </pic:nvPicPr>
                  <pic:blipFill>
                    <a:blip r:embed="rId24"/>
                    <a:stretch>
                      <a:fillRect/>
                    </a:stretch>
                  </pic:blipFill>
                  <pic:spPr>
                    <a:xfrm>
                      <a:off x="0" y="0"/>
                      <a:ext cx="3795561" cy="2682493"/>
                    </a:xfrm>
                    <a:prstGeom prst="rect">
                      <a:avLst/>
                    </a:prstGeom>
                  </pic:spPr>
                </pic:pic>
              </a:graphicData>
            </a:graphic>
          </wp:inline>
        </w:drawing>
      </w:r>
    </w:p>
    <w:p w14:paraId="5AFEF7A0" w14:textId="77777777" w:rsidR="001A32A3" w:rsidRDefault="001A32A3" w:rsidP="001A32A3">
      <w:pPr>
        <w:pStyle w:val="FigureDescription"/>
      </w:pPr>
      <w:r>
        <w:t xml:space="preserve">Abbreviation, AZD7442 = </w:t>
      </w:r>
      <w:r w:rsidRPr="00C55710">
        <w:t>tixagevimab and cilgavimab</w:t>
      </w:r>
      <w:r>
        <w:t>.</w:t>
      </w:r>
    </w:p>
    <w:p w14:paraId="3682F077" w14:textId="010650C0" w:rsidR="00176E9D" w:rsidRDefault="00176E9D" w:rsidP="00176E9D">
      <w:pPr>
        <w:pStyle w:val="FigureDescription"/>
      </w:pPr>
      <w:r>
        <w:t>Solid line = median PK, ribbon = 20% to 80% prediction interval of PK; dashed horizontal lines: serum target corresponding to respective IC80 values of VOCs; dashed vertical lines PK at 6, 9 and 12 months. Abbreviation: IC</w:t>
      </w:r>
      <w:r w:rsidRPr="00176E9D">
        <w:rPr>
          <w:vertAlign w:val="subscript"/>
        </w:rPr>
        <w:t>80</w:t>
      </w:r>
      <w:r>
        <w:t>, 80% maximal inhibitory concentration; NLF, nasal lining fluid; PK, Pharmacokinetics; VOC, variant of concern.</w:t>
      </w:r>
    </w:p>
    <w:p w14:paraId="6A548088" w14:textId="3281D2F5" w:rsidR="00176E9D" w:rsidRDefault="00176E9D" w:rsidP="00176E9D">
      <w:r>
        <w:t xml:space="preserve">At a dose of 600 mg intramuscularly, the percent of individuals at or above the </w:t>
      </w:r>
      <w:r w:rsidR="00663266">
        <w:t>modelled</w:t>
      </w:r>
      <w:r>
        <w:t xml:space="preserve"> m</w:t>
      </w:r>
      <w:r w:rsidRPr="001B3DF5">
        <w:t>inimum protective concentration</w:t>
      </w:r>
      <w:r>
        <w:t xml:space="preserve"> for Omicron BA4/5 at 3, 6, 12 months is projected to be 97%, 61%, and 86% respectively.</w:t>
      </w:r>
    </w:p>
    <w:p w14:paraId="7A8791B3" w14:textId="58AFFE40" w:rsidR="00176E9D" w:rsidRDefault="00176E9D" w:rsidP="00176E9D">
      <w:pPr>
        <w:pStyle w:val="FigureTitle"/>
      </w:pPr>
      <w:r w:rsidRPr="00176E9D">
        <w:t xml:space="preserve">Figure </w:t>
      </w:r>
      <w:r w:rsidR="005E1B9B">
        <w:fldChar w:fldCharType="begin"/>
      </w:r>
      <w:r w:rsidR="005E1B9B">
        <w:instrText xml:space="preserve"> SEQ Figure \* ARABIC </w:instrText>
      </w:r>
      <w:r w:rsidR="005E1B9B">
        <w:fldChar w:fldCharType="separate"/>
      </w:r>
      <w:r w:rsidR="008D61A2">
        <w:rPr>
          <w:noProof/>
        </w:rPr>
        <w:t>4</w:t>
      </w:r>
      <w:r w:rsidR="005E1B9B">
        <w:rPr>
          <w:noProof/>
        </w:rPr>
        <w:fldChar w:fldCharType="end"/>
      </w:r>
      <w:r>
        <w:t xml:space="preserve">: </w:t>
      </w:r>
      <w:proofErr w:type="spellStart"/>
      <w:r w:rsidR="004F0AB9">
        <w:t>PopPK</w:t>
      </w:r>
      <w:proofErr w:type="spellEnd"/>
      <w:r w:rsidR="004F0AB9">
        <w:t xml:space="preserve"> report; </w:t>
      </w:r>
      <w:proofErr w:type="spellStart"/>
      <w:r w:rsidRPr="00176E9D">
        <w:t>E</w:t>
      </w:r>
      <w:r>
        <w:t>vusheld</w:t>
      </w:r>
      <w:proofErr w:type="spellEnd"/>
      <w:r w:rsidRPr="00176E9D">
        <w:t xml:space="preserve"> concentrations in </w:t>
      </w:r>
      <w:r w:rsidR="00001584">
        <w:t>serum</w:t>
      </w:r>
      <w:r w:rsidRPr="00176E9D">
        <w:t xml:space="preserve"> with 600 mg dose and duration of protection against </w:t>
      </w:r>
      <w:r>
        <w:t>variant</w:t>
      </w:r>
      <w:r w:rsidR="00663266">
        <w:t>s</w:t>
      </w:r>
      <w:r>
        <w:t xml:space="preserve"> of concern</w:t>
      </w:r>
    </w:p>
    <w:p w14:paraId="2C92CC67" w14:textId="34479772" w:rsidR="00176E9D" w:rsidRDefault="00176E9D" w:rsidP="00176E9D">
      <w:r w:rsidRPr="007716E3">
        <w:rPr>
          <w:noProof/>
          <w:lang w:val="en-GB" w:eastAsia="en-GB"/>
        </w:rPr>
        <w:drawing>
          <wp:inline distT="0" distB="0" distL="0" distR="0" wp14:anchorId="79ADEF4A" wp14:editId="1EAB8DA9">
            <wp:extent cx="3871732" cy="2106218"/>
            <wp:effectExtent l="0" t="0" r="0" b="8890"/>
            <wp:docPr id="2" name="Picture 2" descr="Evusheld concentrations in nasal lining fluid with 600 mg dose and duration of protection against variant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vusheld concentrations in nasal lining fluid with 600 mg dose and duration of protection against variants of concern"/>
                    <pic:cNvPicPr/>
                  </pic:nvPicPr>
                  <pic:blipFill rotWithShape="1">
                    <a:blip r:embed="rId25"/>
                    <a:srcRect l="13722" r="14559" b="31991"/>
                    <a:stretch/>
                  </pic:blipFill>
                  <pic:spPr bwMode="auto">
                    <a:xfrm>
                      <a:off x="0" y="0"/>
                      <a:ext cx="3872852" cy="2106827"/>
                    </a:xfrm>
                    <a:prstGeom prst="rect">
                      <a:avLst/>
                    </a:prstGeom>
                    <a:ln>
                      <a:noFill/>
                    </a:ln>
                    <a:extLst>
                      <a:ext uri="{53640926-AAD7-44D8-BBD7-CCE9431645EC}">
                        <a14:shadowObscured xmlns:a14="http://schemas.microsoft.com/office/drawing/2010/main"/>
                      </a:ext>
                    </a:extLst>
                  </pic:spPr>
                </pic:pic>
              </a:graphicData>
            </a:graphic>
          </wp:inline>
        </w:drawing>
      </w:r>
    </w:p>
    <w:p w14:paraId="3989B8CC" w14:textId="0ABEF663" w:rsidR="001A32A3" w:rsidRDefault="001A32A3" w:rsidP="001A32A3">
      <w:pPr>
        <w:pStyle w:val="FigureDescription"/>
      </w:pPr>
      <w:r>
        <w:t xml:space="preserve">Abbreviation, AZD7442 = </w:t>
      </w:r>
      <w:r w:rsidRPr="00C55710">
        <w:t>tixagevimab and cilgavimab</w:t>
      </w:r>
      <w:r>
        <w:t>.</w:t>
      </w:r>
    </w:p>
    <w:p w14:paraId="0CE1BD6D" w14:textId="685FD73E" w:rsidR="00176E9D" w:rsidRPr="00176E9D" w:rsidRDefault="00176E9D" w:rsidP="00176E9D">
      <w:pPr>
        <w:pStyle w:val="FigureDescription"/>
      </w:pPr>
      <w:r w:rsidRPr="00176E9D">
        <w:t>Solid line = median PK, ribbon = 20% to 80% prediction interval of PK; dashed horizontal lines: serum target</w:t>
      </w:r>
      <w:r>
        <w:t xml:space="preserve"> </w:t>
      </w:r>
      <w:r w:rsidRPr="00176E9D">
        <w:t xml:space="preserve">concentration for BA.2, BA.3 and BA.4/5 calculated using IC80 from </w:t>
      </w:r>
      <w:proofErr w:type="spellStart"/>
      <w:r w:rsidRPr="00176E9D">
        <w:t>pseudotyped</w:t>
      </w:r>
      <w:proofErr w:type="spellEnd"/>
      <w:r w:rsidRPr="00176E9D">
        <w:t xml:space="preserve"> VLP assay and NLF partition</w:t>
      </w:r>
      <w:r>
        <w:t xml:space="preserve"> </w:t>
      </w:r>
      <w:r w:rsidRPr="00176E9D">
        <w:t>ratio of 1.8%</w:t>
      </w:r>
    </w:p>
    <w:p w14:paraId="57EC67EF" w14:textId="609CE82A" w:rsidR="00176E9D" w:rsidRDefault="00176E9D" w:rsidP="00176E9D">
      <w:pPr>
        <w:pStyle w:val="FigureDescription"/>
      </w:pPr>
      <w:r>
        <w:t xml:space="preserve">Abbreviation: </w:t>
      </w:r>
      <w:r w:rsidRPr="00176E9D">
        <w:t>IC</w:t>
      </w:r>
      <w:r w:rsidRPr="00176E9D">
        <w:rPr>
          <w:vertAlign w:val="subscript"/>
        </w:rPr>
        <w:t>80</w:t>
      </w:r>
      <w:r w:rsidRPr="00176E9D">
        <w:t>, 80% maximal inhibitory concentration; NLF, basal lining fluid; PK, Pharmacokinetics; VLP, virus like</w:t>
      </w:r>
      <w:r>
        <w:t xml:space="preserve"> </w:t>
      </w:r>
      <w:r w:rsidRPr="00176E9D">
        <w:t>particle; VOC, variant of concern.</w:t>
      </w:r>
    </w:p>
    <w:p w14:paraId="21BFB4FA" w14:textId="2D6AE63D" w:rsidR="00176E9D" w:rsidRPr="00176E9D" w:rsidRDefault="00176E9D" w:rsidP="00176E9D">
      <w:r w:rsidRPr="00176E9D">
        <w:t xml:space="preserve">In the model, the sponsor </w:t>
      </w:r>
      <w:proofErr w:type="gramStart"/>
      <w:r w:rsidRPr="00176E9D">
        <w:t>made an assumption</w:t>
      </w:r>
      <w:proofErr w:type="gramEnd"/>
      <w:r w:rsidRPr="00176E9D">
        <w:t xml:space="preserve"> of 6.5% penetration ratio for lower respiratory tract distribution. Based on this assumption, a dosage regimen of 600 mg </w:t>
      </w:r>
      <w:r>
        <w:lastRenderedPageBreak/>
        <w:t>intramuscularly</w:t>
      </w:r>
      <w:r w:rsidRPr="00176E9D">
        <w:t xml:space="preserve"> every 6 months results in 61% of subjects above the modelled </w:t>
      </w:r>
      <w:r>
        <w:t>m</w:t>
      </w:r>
      <w:r w:rsidRPr="001B3DF5">
        <w:t>inimum protective concentration</w:t>
      </w:r>
      <w:r w:rsidRPr="00176E9D">
        <w:t xml:space="preserve"> at 6 months, 86% at 12 months and 100% at 15 months.</w:t>
      </w:r>
    </w:p>
    <w:p w14:paraId="7E838D76" w14:textId="5AC304B9" w:rsidR="00176E9D" w:rsidRDefault="00176E9D" w:rsidP="00176E9D">
      <w:pPr>
        <w:pStyle w:val="FigureTitle"/>
      </w:pPr>
      <w:r w:rsidRPr="00176E9D">
        <w:t xml:space="preserve">Figure </w:t>
      </w:r>
      <w:r w:rsidR="005E1B9B">
        <w:fldChar w:fldCharType="begin"/>
      </w:r>
      <w:r w:rsidR="005E1B9B">
        <w:instrText xml:space="preserve"> SEQ Figure \* ARABIC </w:instrText>
      </w:r>
      <w:r w:rsidR="005E1B9B">
        <w:fldChar w:fldCharType="separate"/>
      </w:r>
      <w:r w:rsidR="008D61A2">
        <w:rPr>
          <w:noProof/>
        </w:rPr>
        <w:t>5</w:t>
      </w:r>
      <w:r w:rsidR="005E1B9B">
        <w:rPr>
          <w:noProof/>
        </w:rPr>
        <w:fldChar w:fldCharType="end"/>
      </w:r>
      <w:r>
        <w:t xml:space="preserve">: </w:t>
      </w:r>
      <w:proofErr w:type="spellStart"/>
      <w:r w:rsidR="00B46084">
        <w:t>PopPK</w:t>
      </w:r>
      <w:proofErr w:type="spellEnd"/>
      <w:r w:rsidR="00B46084">
        <w:t xml:space="preserve"> model; </w:t>
      </w:r>
      <w:r w:rsidRPr="00176E9D">
        <w:t>Predicted serum E</w:t>
      </w:r>
      <w:r>
        <w:t>vusheld</w:t>
      </w:r>
      <w:r w:rsidRPr="00176E9D">
        <w:t xml:space="preserve"> concentration over time for the 600 mg </w:t>
      </w:r>
      <w:r>
        <w:t>i</w:t>
      </w:r>
      <w:r w:rsidRPr="00176E9D">
        <w:t xml:space="preserve">nitial </w:t>
      </w:r>
      <w:r>
        <w:t>d</w:t>
      </w:r>
      <w:r w:rsidRPr="00176E9D">
        <w:t xml:space="preserve">ose and 600 mg </w:t>
      </w:r>
      <w:r>
        <w:t>intramuscularly</w:t>
      </w:r>
      <w:r w:rsidRPr="00176E9D">
        <w:t xml:space="preserve"> </w:t>
      </w:r>
      <w:r>
        <w:t>m</w:t>
      </w:r>
      <w:r w:rsidRPr="00176E9D">
        <w:t xml:space="preserve">aintenance </w:t>
      </w:r>
      <w:r>
        <w:t>d</w:t>
      </w:r>
      <w:r w:rsidRPr="00176E9D">
        <w:t xml:space="preserve">ose </w:t>
      </w:r>
      <w:r>
        <w:t>e</w:t>
      </w:r>
      <w:r w:rsidRPr="00176E9D">
        <w:t xml:space="preserve">very 6 months for </w:t>
      </w:r>
      <w:r>
        <w:t xml:space="preserve">Omicron </w:t>
      </w:r>
      <w:r w:rsidRPr="00176E9D">
        <w:t xml:space="preserve">BA.4 and BA.5 </w:t>
      </w:r>
      <w:r w:rsidR="00B46084">
        <w:t>sub</w:t>
      </w:r>
      <w:r>
        <w:t>v</w:t>
      </w:r>
      <w:r w:rsidRPr="00176E9D">
        <w:t>ariants</w:t>
      </w:r>
    </w:p>
    <w:p w14:paraId="5110B98F" w14:textId="7AE9411C" w:rsidR="00176E9D" w:rsidRDefault="00176E9D" w:rsidP="00176E9D">
      <w:r w:rsidRPr="00176E9D">
        <w:rPr>
          <w:noProof/>
          <w:lang w:val="en-GB" w:eastAsia="en-GB"/>
        </w:rPr>
        <w:drawing>
          <wp:inline distT="0" distB="0" distL="0" distR="0" wp14:anchorId="7FDCF767" wp14:editId="7C9EFBF0">
            <wp:extent cx="5332780" cy="2579176"/>
            <wp:effectExtent l="0" t="0" r="1270" b="0"/>
            <wp:docPr id="1" name="Picture 1" descr="Predicted serum Evusheld concentration over time for the 600 mg initial dose and 600 mg intramuscularly maintenance dose every 6 months for Omicron BA.4 and BA.5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edicted serum Evusheld concentration over time for the 600 mg initial dose and 600 mg intramuscularly maintenance dose every 6 months for Omicron BA.4 and BA.5 variants"/>
                    <pic:cNvPicPr/>
                  </pic:nvPicPr>
                  <pic:blipFill rotWithShape="1">
                    <a:blip r:embed="rId26"/>
                    <a:srcRect t="5646"/>
                    <a:stretch/>
                  </pic:blipFill>
                  <pic:spPr bwMode="auto">
                    <a:xfrm>
                      <a:off x="0" y="0"/>
                      <a:ext cx="5349593" cy="2587307"/>
                    </a:xfrm>
                    <a:prstGeom prst="rect">
                      <a:avLst/>
                    </a:prstGeom>
                    <a:ln>
                      <a:noFill/>
                    </a:ln>
                    <a:extLst>
                      <a:ext uri="{53640926-AAD7-44D8-BBD7-CCE9431645EC}">
                        <a14:shadowObscured xmlns:a14="http://schemas.microsoft.com/office/drawing/2010/main"/>
                      </a:ext>
                    </a:extLst>
                  </pic:spPr>
                </pic:pic>
              </a:graphicData>
            </a:graphic>
          </wp:inline>
        </w:drawing>
      </w:r>
    </w:p>
    <w:p w14:paraId="6173B78C" w14:textId="770795E3" w:rsidR="001A32A3" w:rsidRDefault="001A32A3" w:rsidP="001A32A3">
      <w:pPr>
        <w:pStyle w:val="FigureDescription"/>
      </w:pPr>
      <w:r>
        <w:t xml:space="preserve">Abbreviation, AZD7442 = </w:t>
      </w:r>
      <w:r w:rsidRPr="00C55710">
        <w:t>tixagevimab and cilgavimab</w:t>
      </w:r>
      <w:r>
        <w:t>.</w:t>
      </w:r>
    </w:p>
    <w:p w14:paraId="24D08073" w14:textId="6944FE26" w:rsidR="00AF214A" w:rsidRDefault="00AF214A" w:rsidP="00AF214A">
      <w:pPr>
        <w:pStyle w:val="FigureDescription"/>
      </w:pPr>
      <w:r>
        <w:t xml:space="preserve">% </w:t>
      </w:r>
      <w:proofErr w:type="gramStart"/>
      <w:r>
        <w:t>number</w:t>
      </w:r>
      <w:proofErr w:type="gramEnd"/>
      <w:r>
        <w:t xml:space="preserve"> next to blue dashed line represent % subjects predicted to be above serum target level 14.4 µg/mL (using 1.8% penetration ratio) for Omicron BA.4 and BA.5, assuming upper respiratory tract distribution.</w:t>
      </w:r>
    </w:p>
    <w:p w14:paraId="2F32C14C" w14:textId="419FB77C" w:rsidR="00176E9D" w:rsidRDefault="00AF214A" w:rsidP="00AF214A">
      <w:pPr>
        <w:pStyle w:val="FigureDescription"/>
      </w:pPr>
      <w:r>
        <w:t xml:space="preserve">% </w:t>
      </w:r>
      <w:proofErr w:type="gramStart"/>
      <w:r>
        <w:t>number</w:t>
      </w:r>
      <w:proofErr w:type="gramEnd"/>
      <w:r>
        <w:t xml:space="preserve"> next to purple dashed line represent % subjects predicted to be above serum target level 4 µg/ml (using 6.5% penetration ratio) for Omicron BA.4 and BA.5, assuming lower respiratory tract distribution.</w:t>
      </w:r>
    </w:p>
    <w:p w14:paraId="3A767EB1" w14:textId="61621A6A" w:rsidR="00AF214A" w:rsidRDefault="00AF214A" w:rsidP="00AF214A">
      <w:r>
        <w:t>M</w:t>
      </w:r>
      <w:r w:rsidRPr="001B3DF5">
        <w:t>inimum protective concentration</w:t>
      </w:r>
      <w:r>
        <w:rPr>
          <w:rFonts w:cs="Arial"/>
          <w:color w:val="000000"/>
        </w:rPr>
        <w:t xml:space="preserve"> values were verified, in the assumption that the tissue penetration values are appropriate.</w:t>
      </w:r>
    </w:p>
    <w:p w14:paraId="6EE7102F" w14:textId="4342B64C" w:rsidR="00AF214A" w:rsidRDefault="00AF214A" w:rsidP="00AF214A">
      <w:pPr>
        <w:rPr>
          <w:rFonts w:cs="Arial"/>
          <w:i/>
          <w:iCs/>
          <w:color w:val="000000"/>
        </w:rPr>
      </w:pPr>
      <w:r>
        <w:rPr>
          <w:rFonts w:cs="Arial"/>
          <w:color w:val="000000"/>
        </w:rPr>
        <w:t>The PK evaluat</w:t>
      </w:r>
      <w:r w:rsidR="00B46084">
        <w:rPr>
          <w:rFonts w:cs="Arial"/>
          <w:color w:val="000000"/>
        </w:rPr>
        <w:t>ion</w:t>
      </w:r>
      <w:r>
        <w:rPr>
          <w:rFonts w:cs="Arial"/>
          <w:color w:val="000000"/>
        </w:rPr>
        <w:t xml:space="preserve"> concluded that ‘</w:t>
      </w:r>
      <w:r w:rsidRPr="00547AB4">
        <w:rPr>
          <w:rFonts w:cs="Arial"/>
          <w:i/>
          <w:iCs/>
          <w:color w:val="000000"/>
        </w:rPr>
        <w:t xml:space="preserve">It is noted that while the simulations were extrapolated beyond the range of the actual data and these results remain to be verified, the </w:t>
      </w:r>
      <w:proofErr w:type="gramStart"/>
      <w:r w:rsidRPr="00547AB4">
        <w:rPr>
          <w:rFonts w:cs="Arial"/>
          <w:i/>
          <w:iCs/>
          <w:color w:val="000000"/>
        </w:rPr>
        <w:t>6 month</w:t>
      </w:r>
      <w:proofErr w:type="gramEnd"/>
      <w:r w:rsidRPr="00547AB4">
        <w:rPr>
          <w:rFonts w:cs="Arial"/>
          <w:i/>
          <w:iCs/>
          <w:color w:val="000000"/>
        </w:rPr>
        <w:t xml:space="preserve"> </w:t>
      </w:r>
      <w:proofErr w:type="spellStart"/>
      <w:r w:rsidRPr="00547AB4">
        <w:rPr>
          <w:rFonts w:cs="Arial"/>
          <w:i/>
          <w:iCs/>
          <w:color w:val="000000"/>
        </w:rPr>
        <w:t>interdose</w:t>
      </w:r>
      <w:proofErr w:type="spellEnd"/>
      <w:r w:rsidRPr="00547AB4">
        <w:rPr>
          <w:rFonts w:cs="Arial"/>
          <w:i/>
          <w:iCs/>
          <w:color w:val="000000"/>
        </w:rPr>
        <w:t xml:space="preserve"> interval is consistent with results presented from the PROVENT study</w:t>
      </w:r>
      <w:r>
        <w:rPr>
          <w:rFonts w:cs="Arial"/>
          <w:i/>
          <w:iCs/>
          <w:color w:val="000000"/>
        </w:rPr>
        <w:t>.’</w:t>
      </w:r>
    </w:p>
    <w:p w14:paraId="3164CAA5" w14:textId="345584AD" w:rsidR="00AF214A" w:rsidRDefault="00AF214A" w:rsidP="00AF214A">
      <w:pPr>
        <w:rPr>
          <w:rFonts w:cs="Arial"/>
          <w:color w:val="000000"/>
        </w:rPr>
      </w:pPr>
      <w:r>
        <w:rPr>
          <w:rFonts w:cs="Arial"/>
          <w:color w:val="000000"/>
        </w:rPr>
        <w:t xml:space="preserve">The </w:t>
      </w:r>
      <w:r w:rsidRPr="00F269A3">
        <w:rPr>
          <w:rFonts w:cs="Arial"/>
          <w:color w:val="000000"/>
        </w:rPr>
        <w:t xml:space="preserve">population </w:t>
      </w:r>
      <w:r w:rsidR="00F21444">
        <w:rPr>
          <w:rFonts w:cs="Arial"/>
          <w:color w:val="000000"/>
        </w:rPr>
        <w:t>pharmacokinetics</w:t>
      </w:r>
      <w:r w:rsidRPr="00F269A3">
        <w:rPr>
          <w:rFonts w:cs="Arial"/>
          <w:color w:val="000000"/>
        </w:rPr>
        <w:t xml:space="preserve"> model predictions </w:t>
      </w:r>
      <w:r>
        <w:rPr>
          <w:rFonts w:cs="Arial"/>
          <w:color w:val="000000"/>
        </w:rPr>
        <w:t xml:space="preserve">were </w:t>
      </w:r>
      <w:r w:rsidRPr="00F269A3">
        <w:rPr>
          <w:rFonts w:cs="Arial"/>
          <w:color w:val="000000"/>
        </w:rPr>
        <w:t xml:space="preserve">overlaid on PK data collected up to 6 months after dose administration in </w:t>
      </w:r>
      <w:r w:rsidR="004F0AB9">
        <w:rPr>
          <w:rFonts w:cs="Arial"/>
          <w:color w:val="000000"/>
        </w:rPr>
        <w:t xml:space="preserve">the </w:t>
      </w:r>
      <w:r w:rsidRPr="00F269A3">
        <w:rPr>
          <w:rFonts w:cs="Arial"/>
          <w:color w:val="000000"/>
        </w:rPr>
        <w:t>S</w:t>
      </w:r>
      <w:r>
        <w:rPr>
          <w:rFonts w:cs="Arial"/>
          <w:color w:val="000000"/>
        </w:rPr>
        <w:t xml:space="preserve">TORM CHASER trial </w:t>
      </w:r>
      <w:r w:rsidRPr="00F269A3">
        <w:rPr>
          <w:rFonts w:cs="Arial"/>
          <w:color w:val="000000"/>
        </w:rPr>
        <w:t xml:space="preserve">and </w:t>
      </w:r>
      <w:r w:rsidR="004F0AB9">
        <w:rPr>
          <w:rFonts w:cs="Arial"/>
          <w:color w:val="000000"/>
        </w:rPr>
        <w:t xml:space="preserve">the </w:t>
      </w:r>
      <w:r w:rsidRPr="00F269A3">
        <w:rPr>
          <w:rFonts w:cs="Arial"/>
          <w:color w:val="000000"/>
        </w:rPr>
        <w:t>T</w:t>
      </w:r>
      <w:r>
        <w:rPr>
          <w:rFonts w:cs="Arial"/>
          <w:color w:val="000000"/>
        </w:rPr>
        <w:t xml:space="preserve">ACKLE trial </w:t>
      </w:r>
      <w:r w:rsidRPr="00F269A3">
        <w:rPr>
          <w:rFonts w:cs="Arial"/>
          <w:color w:val="000000"/>
        </w:rPr>
        <w:t xml:space="preserve">studies and up to 12 months after dose administration in </w:t>
      </w:r>
      <w:r w:rsidR="004F0AB9">
        <w:rPr>
          <w:rFonts w:cs="Arial"/>
          <w:color w:val="000000"/>
        </w:rPr>
        <w:t xml:space="preserve">the </w:t>
      </w:r>
      <w:r w:rsidRPr="00F269A3">
        <w:rPr>
          <w:rFonts w:cs="Arial"/>
          <w:color w:val="000000"/>
        </w:rPr>
        <w:t>P</w:t>
      </w:r>
      <w:r>
        <w:rPr>
          <w:rFonts w:cs="Arial"/>
          <w:color w:val="000000"/>
        </w:rPr>
        <w:t>ROVENT trial</w:t>
      </w:r>
      <w:r w:rsidRPr="00F269A3">
        <w:rPr>
          <w:rFonts w:cs="Arial"/>
          <w:color w:val="000000"/>
        </w:rPr>
        <w:t xml:space="preserve">. The error bars at the </w:t>
      </w:r>
      <w:proofErr w:type="gramStart"/>
      <w:r w:rsidRPr="00F269A3">
        <w:rPr>
          <w:rFonts w:cs="Arial"/>
          <w:color w:val="000000"/>
        </w:rPr>
        <w:t>6 and 12 month</w:t>
      </w:r>
      <w:proofErr w:type="gramEnd"/>
      <w:r w:rsidRPr="00F269A3">
        <w:rPr>
          <w:rFonts w:cs="Arial"/>
          <w:color w:val="000000"/>
        </w:rPr>
        <w:t xml:space="preserve"> timepoints generally extended lower than the modelled lower 90% prediction interval, suggesting greater variability at 6 and 12 months than predicted by the model.</w:t>
      </w:r>
      <w:r>
        <w:rPr>
          <w:rFonts w:cs="Arial"/>
          <w:color w:val="000000"/>
        </w:rPr>
        <w:t xml:space="preserve"> </w:t>
      </w:r>
      <w:r w:rsidRPr="00F269A3">
        <w:rPr>
          <w:rFonts w:cs="Arial"/>
          <w:color w:val="000000"/>
        </w:rPr>
        <w:t xml:space="preserve">There was </w:t>
      </w:r>
      <w:r>
        <w:rPr>
          <w:rFonts w:cs="Arial"/>
          <w:color w:val="000000"/>
        </w:rPr>
        <w:t>a reasonable correlation</w:t>
      </w:r>
      <w:r w:rsidRPr="00F269A3">
        <w:rPr>
          <w:rFonts w:cs="Arial"/>
          <w:color w:val="000000"/>
        </w:rPr>
        <w:t xml:space="preserve"> between observed and model</w:t>
      </w:r>
      <w:r w:rsidR="00F21444">
        <w:rPr>
          <w:rFonts w:cs="Arial"/>
          <w:color w:val="000000"/>
        </w:rPr>
        <w:t xml:space="preserve"> </w:t>
      </w:r>
      <w:r w:rsidRPr="00F269A3">
        <w:rPr>
          <w:rFonts w:cs="Arial"/>
          <w:color w:val="000000"/>
        </w:rPr>
        <w:t>predicted median Evusheld concentrations at these extended time points</w:t>
      </w:r>
      <w:r w:rsidR="004F0AB9">
        <w:rPr>
          <w:rFonts w:cs="Arial"/>
          <w:color w:val="000000"/>
        </w:rPr>
        <w:t>.</w:t>
      </w:r>
    </w:p>
    <w:p w14:paraId="013A6CB6" w14:textId="0300935C" w:rsidR="004F0AB9" w:rsidRPr="00F269A3" w:rsidRDefault="004F0AB9" w:rsidP="006402BA">
      <w:pPr>
        <w:spacing w:before="0" w:after="200" w:line="0" w:lineRule="auto"/>
        <w:rPr>
          <w:rFonts w:cs="Arial"/>
          <w:color w:val="000000"/>
        </w:rPr>
      </w:pPr>
      <w:r>
        <w:rPr>
          <w:rFonts w:cs="Arial"/>
          <w:color w:val="000000"/>
        </w:rPr>
        <w:br w:type="page"/>
      </w:r>
    </w:p>
    <w:p w14:paraId="274EEA43" w14:textId="3260D260" w:rsidR="00AF214A" w:rsidRDefault="00AF214A" w:rsidP="00AF214A">
      <w:pPr>
        <w:pStyle w:val="FigureTitle"/>
      </w:pPr>
      <w:r w:rsidRPr="00AF214A">
        <w:lastRenderedPageBreak/>
        <w:t xml:space="preserve">Figure </w:t>
      </w:r>
      <w:r w:rsidR="005E1B9B">
        <w:fldChar w:fldCharType="begin"/>
      </w:r>
      <w:r w:rsidR="005E1B9B">
        <w:instrText xml:space="preserve"> SEQ Figure \* ARABIC </w:instrText>
      </w:r>
      <w:r w:rsidR="005E1B9B">
        <w:fldChar w:fldCharType="separate"/>
      </w:r>
      <w:r w:rsidR="008D61A2">
        <w:rPr>
          <w:noProof/>
        </w:rPr>
        <w:t>6</w:t>
      </w:r>
      <w:r w:rsidR="005E1B9B">
        <w:rPr>
          <w:noProof/>
        </w:rPr>
        <w:fldChar w:fldCharType="end"/>
      </w:r>
      <w:r>
        <w:t xml:space="preserve">: </w:t>
      </w:r>
      <w:proofErr w:type="spellStart"/>
      <w:r w:rsidR="00B46084">
        <w:t>PopPK</w:t>
      </w:r>
      <w:proofErr w:type="spellEnd"/>
      <w:r>
        <w:t xml:space="preserve"> m</w:t>
      </w:r>
      <w:r w:rsidRPr="00AF214A">
        <w:t>odel</w:t>
      </w:r>
      <w:r w:rsidR="00B46084">
        <w:t>; P</w:t>
      </w:r>
      <w:r w:rsidRPr="00AF214A">
        <w:t xml:space="preserve">redicted </w:t>
      </w:r>
      <w:r>
        <w:t>m</w:t>
      </w:r>
      <w:r w:rsidRPr="00AF214A">
        <w:t xml:space="preserve">edian (90% </w:t>
      </w:r>
      <w:r>
        <w:t>p</w:t>
      </w:r>
      <w:r w:rsidRPr="00AF214A">
        <w:t xml:space="preserve">rediction </w:t>
      </w:r>
      <w:r>
        <w:t>i</w:t>
      </w:r>
      <w:r w:rsidRPr="00AF214A">
        <w:t xml:space="preserve">ntervals) and </w:t>
      </w:r>
      <w:r>
        <w:t>o</w:t>
      </w:r>
      <w:r w:rsidRPr="00AF214A">
        <w:t xml:space="preserve">bserved </w:t>
      </w:r>
      <w:r>
        <w:t>s</w:t>
      </w:r>
      <w:r w:rsidRPr="00AF214A">
        <w:t xml:space="preserve">erum </w:t>
      </w:r>
      <w:r w:rsidRPr="00C55710">
        <w:t>tixagevimab and cilgavimab</w:t>
      </w:r>
      <w:r w:rsidRPr="00AF214A">
        <w:t xml:space="preserve"> </w:t>
      </w:r>
      <w:r>
        <w:t>c</w:t>
      </w:r>
      <w:r w:rsidRPr="00AF214A">
        <w:t xml:space="preserve">oncentration </w:t>
      </w:r>
      <w:r>
        <w:t>f</w:t>
      </w:r>
      <w:r w:rsidRPr="00AF214A">
        <w:t xml:space="preserve">ollowing </w:t>
      </w:r>
      <w:r>
        <w:t>a</w:t>
      </w:r>
      <w:r w:rsidRPr="00AF214A">
        <w:t>dministration of E</w:t>
      </w:r>
      <w:r>
        <w:t xml:space="preserve">vusheld </w:t>
      </w:r>
      <w:r w:rsidRPr="00AF214A">
        <w:t xml:space="preserve">300 mg or 600 mg </w:t>
      </w:r>
      <w:r>
        <w:t xml:space="preserve">intramuscularly </w:t>
      </w:r>
      <w:r w:rsidRPr="00AF214A">
        <w:t>(Phase I and Phase III Studies)</w:t>
      </w:r>
    </w:p>
    <w:p w14:paraId="04D6536C" w14:textId="529D54DC" w:rsidR="00AF214A" w:rsidRDefault="00AF214A" w:rsidP="00AF214A">
      <w:r w:rsidRPr="00F269A3">
        <w:rPr>
          <w:rFonts w:cs="Arial"/>
          <w:i/>
          <w:iCs/>
          <w:noProof/>
          <w:color w:val="000000"/>
          <w:lang w:val="en-GB" w:eastAsia="en-GB"/>
        </w:rPr>
        <w:drawing>
          <wp:inline distT="0" distB="0" distL="0" distR="0" wp14:anchorId="4CC4693A" wp14:editId="1CF79105">
            <wp:extent cx="4987925" cy="3156432"/>
            <wp:effectExtent l="0" t="0" r="3175" b="6350"/>
            <wp:docPr id="16" name="Picture 16" descr="Population pharmacokinetics model predicted median (90% prediction intervals) and observed serum tixagevimab and cilgavimab concentration following administration of Evusheld 300 mg or 600 mg intramuscularly (Phase I an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pulation pharmacokinetics model predicted median (90% prediction intervals) and observed serum tixagevimab and cilgavimab concentration following administration of Evusheld 300 mg or 600 mg intramuscularly (Phase I and Phase III Studies)"/>
                    <pic:cNvPicPr/>
                  </pic:nvPicPr>
                  <pic:blipFill rotWithShape="1">
                    <a:blip r:embed="rId27"/>
                    <a:srcRect l="4200" t="2265" r="3400"/>
                    <a:stretch/>
                  </pic:blipFill>
                  <pic:spPr bwMode="auto">
                    <a:xfrm>
                      <a:off x="0" y="0"/>
                      <a:ext cx="4989634" cy="3157513"/>
                    </a:xfrm>
                    <a:prstGeom prst="rect">
                      <a:avLst/>
                    </a:prstGeom>
                    <a:ln>
                      <a:noFill/>
                    </a:ln>
                    <a:extLst>
                      <a:ext uri="{53640926-AAD7-44D8-BBD7-CCE9431645EC}">
                        <a14:shadowObscured xmlns:a14="http://schemas.microsoft.com/office/drawing/2010/main"/>
                      </a:ext>
                    </a:extLst>
                  </pic:spPr>
                </pic:pic>
              </a:graphicData>
            </a:graphic>
          </wp:inline>
        </w:drawing>
      </w:r>
    </w:p>
    <w:p w14:paraId="36CEFB85" w14:textId="75D257F8" w:rsidR="00AF214A" w:rsidRDefault="00AF214A" w:rsidP="001A32A3">
      <w:pPr>
        <w:pStyle w:val="FigureDescription"/>
      </w:pPr>
      <w:r>
        <w:t xml:space="preserve">Abbreviation, AZD7442 = </w:t>
      </w:r>
      <w:r w:rsidRPr="00C55710">
        <w:t>tixagevimab and cilgavimab</w:t>
      </w:r>
      <w:r>
        <w:t>.</w:t>
      </w:r>
      <w:r w:rsidR="00B4458A">
        <w:t xml:space="preserve"> Arrows corresponds </w:t>
      </w:r>
      <w:r w:rsidR="00E71B81">
        <w:t xml:space="preserve">to </w:t>
      </w:r>
      <w:r w:rsidR="00952E8F">
        <w:t xml:space="preserve">observed </w:t>
      </w:r>
      <w:r w:rsidR="00E71B81">
        <w:t xml:space="preserve">data </w:t>
      </w:r>
      <w:r w:rsidR="00952E8F">
        <w:t xml:space="preserve">that was </w:t>
      </w:r>
      <w:r w:rsidR="00555B13">
        <w:t xml:space="preserve">not part of </w:t>
      </w:r>
      <w:r w:rsidR="00952E8F">
        <w:t xml:space="preserve">pop-pk model. </w:t>
      </w:r>
    </w:p>
    <w:p w14:paraId="34D3E0AD" w14:textId="69C08D4D" w:rsidR="00AF214A" w:rsidRDefault="00AF214A" w:rsidP="00AF214A">
      <w:r>
        <w:t>Overall, a good agreement between observed and model</w:t>
      </w:r>
      <w:r w:rsidR="00F21444">
        <w:t xml:space="preserve"> </w:t>
      </w:r>
      <w:r>
        <w:t xml:space="preserve">predicted median Evusheld concentrations at Day 183 was noted. However, the </w:t>
      </w:r>
      <w:r w:rsidR="00F21444">
        <w:t xml:space="preserve">clinical </w:t>
      </w:r>
      <w:r>
        <w:t>evaluator commented that the observed variability was substantially greater than that predicted by the model</w:t>
      </w:r>
      <w:r w:rsidR="00F21444">
        <w:t>.</w:t>
      </w:r>
    </w:p>
    <w:p w14:paraId="47F5E205" w14:textId="0839D13E" w:rsidR="00AF214A" w:rsidRDefault="00AF214A" w:rsidP="00AF214A">
      <w:r>
        <w:t>The clinical evaluat</w:t>
      </w:r>
      <w:r w:rsidR="00B46084">
        <w:t>ion</w:t>
      </w:r>
      <w:r>
        <w:t xml:space="preserve"> considered that ‘</w:t>
      </w:r>
      <w:r w:rsidRPr="00AF214A">
        <w:rPr>
          <w:i/>
          <w:iCs/>
        </w:rPr>
        <w:t xml:space="preserve">the implication of this finding is the proportion of subjects estimated to have an Evusheld concentration higher than the minimum protective concentration for BA4/5 (Clinical Overview Addendum, 12 </w:t>
      </w:r>
      <w:proofErr w:type="gramStart"/>
      <w:r w:rsidRPr="00AF214A">
        <w:rPr>
          <w:i/>
          <w:iCs/>
        </w:rPr>
        <w:t>July,</w:t>
      </w:r>
      <w:proofErr w:type="gramEnd"/>
      <w:r w:rsidRPr="00AF214A">
        <w:rPr>
          <w:i/>
          <w:iCs/>
        </w:rPr>
        <w:t xml:space="preserve"> 2022) at 6 months and at 12 months may have been overestimated</w:t>
      </w:r>
      <w:r>
        <w:t>.’</w:t>
      </w:r>
    </w:p>
    <w:p w14:paraId="2556C46A" w14:textId="5CE4C1B5" w:rsidR="00370B53" w:rsidRDefault="00370B53" w:rsidP="00370B53">
      <w:pPr>
        <w:pStyle w:val="TableTitle"/>
      </w:pPr>
      <w:r w:rsidRPr="00370B53">
        <w:t xml:space="preserve">Table </w:t>
      </w:r>
      <w:r w:rsidR="005E1B9B">
        <w:fldChar w:fldCharType="begin"/>
      </w:r>
      <w:r w:rsidR="005E1B9B">
        <w:instrText xml:space="preserve"> SEQ Table \* ARABIC </w:instrText>
      </w:r>
      <w:r w:rsidR="005E1B9B">
        <w:fldChar w:fldCharType="separate"/>
      </w:r>
      <w:r w:rsidR="008D61A2">
        <w:rPr>
          <w:noProof/>
        </w:rPr>
        <w:t>5</w:t>
      </w:r>
      <w:r w:rsidR="005E1B9B">
        <w:rPr>
          <w:noProof/>
        </w:rPr>
        <w:fldChar w:fldCharType="end"/>
      </w:r>
      <w:r>
        <w:t xml:space="preserve">: </w:t>
      </w:r>
      <w:r w:rsidR="00B46084">
        <w:t xml:space="preserve">Phase III trials and </w:t>
      </w:r>
      <w:proofErr w:type="spellStart"/>
      <w:r w:rsidR="00B46084">
        <w:t>PopPK</w:t>
      </w:r>
      <w:proofErr w:type="spellEnd"/>
      <w:r w:rsidR="00B46084">
        <w:t xml:space="preserve"> model; </w:t>
      </w:r>
      <w:r>
        <w:t>Pre</w:t>
      </w:r>
      <w:r w:rsidR="00B46084">
        <w:t>-</w:t>
      </w:r>
      <w:r>
        <w:t>dose pharmacokinetics parameters</w:t>
      </w:r>
      <w:r w:rsidR="00F21444">
        <w:t xml:space="preserve">, trough serum concentration </w:t>
      </w:r>
      <w:r>
        <w:t>after Evusheld 300 or 600 mg prior to repeat dose at 6 months</w:t>
      </w:r>
    </w:p>
    <w:p w14:paraId="3BB57F31" w14:textId="428767FF" w:rsidR="00370B53" w:rsidRDefault="00370B53" w:rsidP="00370B53">
      <w:r w:rsidRPr="00616979">
        <w:rPr>
          <w:rFonts w:cs="Arial"/>
          <w:i/>
          <w:iCs/>
          <w:noProof/>
          <w:color w:val="000000"/>
          <w:lang w:val="en-GB" w:eastAsia="en-GB"/>
        </w:rPr>
        <w:drawing>
          <wp:inline distT="0" distB="0" distL="0" distR="0" wp14:anchorId="31A709BB" wp14:editId="15831E51">
            <wp:extent cx="5081286" cy="1203758"/>
            <wp:effectExtent l="0" t="0" r="5080" b="0"/>
            <wp:docPr id="19" name="Picture 19" descr="Predose pharmacokinetics parameters, trough serum concentration after Evusheld 300 or 600 mg prior to repeat dose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edose pharmacokinetics parameters, trough serum concentration after Evusheld 300 or 600 mg prior to repeat dose at 6 months"/>
                    <pic:cNvPicPr/>
                  </pic:nvPicPr>
                  <pic:blipFill rotWithShape="1">
                    <a:blip r:embed="rId28"/>
                    <a:srcRect r="906" b="12190"/>
                    <a:stretch/>
                  </pic:blipFill>
                  <pic:spPr bwMode="auto">
                    <a:xfrm>
                      <a:off x="0" y="0"/>
                      <a:ext cx="5093692" cy="1206697"/>
                    </a:xfrm>
                    <a:prstGeom prst="rect">
                      <a:avLst/>
                    </a:prstGeom>
                    <a:ln>
                      <a:noFill/>
                    </a:ln>
                    <a:extLst>
                      <a:ext uri="{53640926-AAD7-44D8-BBD7-CCE9431645EC}">
                        <a14:shadowObscured xmlns:a14="http://schemas.microsoft.com/office/drawing/2010/main"/>
                      </a:ext>
                    </a:extLst>
                  </pic:spPr>
                </pic:pic>
              </a:graphicData>
            </a:graphic>
          </wp:inline>
        </w:drawing>
      </w:r>
    </w:p>
    <w:p w14:paraId="5FAD8763" w14:textId="7F7D2B0E" w:rsidR="00370B53" w:rsidRDefault="00370B53" w:rsidP="00370B53">
      <w:pPr>
        <w:pStyle w:val="TableDescription"/>
      </w:pPr>
      <w:r>
        <w:t xml:space="preserve">Abbreviation: CI = confidence interval; </w:t>
      </w:r>
      <w:proofErr w:type="spellStart"/>
      <w:r>
        <w:t>C</w:t>
      </w:r>
      <w:r w:rsidRPr="00370B53">
        <w:rPr>
          <w:vertAlign w:val="subscript"/>
        </w:rPr>
        <w:t>trough</w:t>
      </w:r>
      <w:proofErr w:type="spellEnd"/>
      <w:r>
        <w:t xml:space="preserve"> = trough serum concentration; IM = intramuscular; PI = prediction interval.</w:t>
      </w:r>
    </w:p>
    <w:p w14:paraId="1830291A" w14:textId="1B93A713" w:rsidR="00370B53" w:rsidRPr="00370B53" w:rsidRDefault="00370B53" w:rsidP="00370B53">
      <w:pPr>
        <w:rPr>
          <w:i/>
          <w:iCs/>
        </w:rPr>
      </w:pPr>
      <w:r w:rsidRPr="00370B53">
        <w:t>In terms of the safety implications, the PK evaluator concluded that</w:t>
      </w:r>
      <w:r>
        <w:rPr>
          <w:rFonts w:cs="Arial"/>
          <w:color w:val="000000"/>
        </w:rPr>
        <w:t xml:space="preserve"> ‘</w:t>
      </w:r>
      <w:r w:rsidRPr="00370B53">
        <w:rPr>
          <w:i/>
          <w:iCs/>
        </w:rPr>
        <w:t>the influence of underestimated PK variability on exposure distributions is moot since exposure-safety modelling was not performed due to few safety events in the Phase III studies.</w:t>
      </w:r>
      <w:r>
        <w:rPr>
          <w:i/>
          <w:iCs/>
        </w:rPr>
        <w:t>’</w:t>
      </w:r>
    </w:p>
    <w:p w14:paraId="38FA9B8B" w14:textId="3E90CCC6" w:rsidR="00370B53" w:rsidRPr="004F2549" w:rsidRDefault="00370B53" w:rsidP="004F2549">
      <w:pPr>
        <w:pStyle w:val="Heading5"/>
      </w:pPr>
      <w:r w:rsidRPr="004F2549">
        <w:lastRenderedPageBreak/>
        <w:t>Pharmacodynamics of 600 mg Evusheld dosage</w:t>
      </w:r>
    </w:p>
    <w:p w14:paraId="012DF3D3" w14:textId="29BAF683" w:rsidR="00370B53" w:rsidRPr="004F2549" w:rsidRDefault="00370B53" w:rsidP="004F2549">
      <w:pPr>
        <w:pStyle w:val="Heading5"/>
      </w:pPr>
      <w:r w:rsidRPr="004F2549">
        <w:t>SARS-CoV-2 neutralising antibodies</w:t>
      </w:r>
    </w:p>
    <w:p w14:paraId="5AEF8E56" w14:textId="22242059" w:rsidR="00370B53" w:rsidRPr="00370B53" w:rsidRDefault="00370B53" w:rsidP="00370B53">
      <w:r w:rsidRPr="00370B53">
        <w:t xml:space="preserve">Neutralising </w:t>
      </w:r>
      <w:r>
        <w:t>antibody</w:t>
      </w:r>
      <w:r w:rsidRPr="00370B53">
        <w:t xml:space="preserve"> responses were measured using a validated assay at </w:t>
      </w:r>
      <w:r>
        <w:t>B</w:t>
      </w:r>
      <w:r w:rsidRPr="00370B53">
        <w:t>aseline and on study Days 6, 15, 29, 85, 169 and 366 in both the E</w:t>
      </w:r>
      <w:r>
        <w:t xml:space="preserve">vusheld </w:t>
      </w:r>
      <w:r w:rsidRPr="00370B53">
        <w:t xml:space="preserve">600 mg </w:t>
      </w:r>
      <w:r>
        <w:t xml:space="preserve">intramuscularly </w:t>
      </w:r>
      <w:r w:rsidRPr="00370B53">
        <w:t>and placebo study groups</w:t>
      </w:r>
      <w:r>
        <w:t>.</w:t>
      </w:r>
    </w:p>
    <w:p w14:paraId="33346B49" w14:textId="3887984F" w:rsidR="00370B53" w:rsidRPr="00370B53" w:rsidRDefault="00370B53" w:rsidP="00370B53">
      <w:r w:rsidRPr="00370B53">
        <w:t xml:space="preserve">In the placebo group, there was a 3.8-fold rise in </w:t>
      </w:r>
      <w:r w:rsidR="0069084F" w:rsidRPr="0069084F">
        <w:t>geometric mean tit</w:t>
      </w:r>
      <w:r w:rsidR="0069084F">
        <w:t>res</w:t>
      </w:r>
      <w:r w:rsidR="0069084F" w:rsidRPr="0069084F">
        <w:t xml:space="preserve"> </w:t>
      </w:r>
      <w:r w:rsidR="0069084F">
        <w:t>(</w:t>
      </w:r>
      <w:r w:rsidRPr="00370B53">
        <w:t>GMTs</w:t>
      </w:r>
      <w:r w:rsidR="0069084F">
        <w:t>)</w:t>
      </w:r>
      <w:r w:rsidRPr="00370B53">
        <w:t xml:space="preserve"> relative to baseline on Day 6 and 2.6-fold rise on Day 15, reflecting the natural immune response to SARS-CoV-2 infection. The corresponding increases in the E</w:t>
      </w:r>
      <w:r w:rsidR="0069084F">
        <w:t xml:space="preserve">vusheld </w:t>
      </w:r>
      <w:r w:rsidRPr="00370B53">
        <w:t xml:space="preserve">group at Day 6 and 15 </w:t>
      </w:r>
      <w:proofErr w:type="gramStart"/>
      <w:r w:rsidRPr="00370B53">
        <w:t>relative</w:t>
      </w:r>
      <w:proofErr w:type="gramEnd"/>
      <w:r w:rsidRPr="00370B53">
        <w:t xml:space="preserve"> to baseline were 59.4-fold and 36.3-fold respectively. In the E</w:t>
      </w:r>
      <w:r w:rsidR="0069084F">
        <w:t>vusheld</w:t>
      </w:r>
      <w:r w:rsidRPr="00370B53">
        <w:t xml:space="preserve"> group, GMTs were 16-fold, 14-fold, 22-fold, 18-</w:t>
      </w:r>
      <w:proofErr w:type="gramStart"/>
      <w:r w:rsidRPr="00370B53">
        <w:t>fold</w:t>
      </w:r>
      <w:proofErr w:type="gramEnd"/>
      <w:r w:rsidRPr="00370B53">
        <w:t xml:space="preserve"> and 5-fold over placebo responses at Day 6, 15, 29, 85 and 169 respectively.</w:t>
      </w:r>
    </w:p>
    <w:p w14:paraId="7D049FFD" w14:textId="39B231D1" w:rsidR="00370B53" w:rsidRPr="00370B53" w:rsidRDefault="00681823" w:rsidP="00370B53">
      <w:r>
        <w:t xml:space="preserve">The </w:t>
      </w:r>
      <w:r w:rsidR="00370B53" w:rsidRPr="00370B53">
        <w:t>Delegate</w:t>
      </w:r>
      <w:r>
        <w:t xml:space="preserve"> </w:t>
      </w:r>
      <w:r w:rsidR="00370B53" w:rsidRPr="00370B53">
        <w:t>comment</w:t>
      </w:r>
      <w:r>
        <w:t>ed that t</w:t>
      </w:r>
      <w:r w:rsidR="00370B53" w:rsidRPr="00370B53">
        <w:t xml:space="preserve">hese data are proposed for inclusion in </w:t>
      </w:r>
      <w:r w:rsidR="001A32A3">
        <w:t>S</w:t>
      </w:r>
      <w:r w:rsidR="00370B53" w:rsidRPr="00370B53">
        <w:t>ection 5.1 of the PI</w:t>
      </w:r>
      <w:r>
        <w:t>.</w:t>
      </w:r>
    </w:p>
    <w:p w14:paraId="357AB043" w14:textId="2DE528B8" w:rsidR="00370B53" w:rsidRPr="00370B53" w:rsidRDefault="00370B53" w:rsidP="00681823">
      <w:pPr>
        <w:pStyle w:val="Heading4"/>
      </w:pPr>
      <w:bookmarkStart w:id="43" w:name="_Hlk110782811"/>
      <w:r w:rsidRPr="00370B53">
        <w:t>PROVENT trial</w:t>
      </w:r>
      <w:r w:rsidR="00867014">
        <w:t xml:space="preserve">, </w:t>
      </w:r>
      <w:r w:rsidRPr="00370B53">
        <w:t>first dose parent study</w:t>
      </w:r>
    </w:p>
    <w:bookmarkEnd w:id="43"/>
    <w:p w14:paraId="3EC8BDDA" w14:textId="5E1735C3" w:rsidR="00370B53" w:rsidRPr="00370B53" w:rsidRDefault="00370B53" w:rsidP="00370B53">
      <w:r w:rsidRPr="00370B53">
        <w:t xml:space="preserve">New text is proposed for the PI about the immunogenicity of first dosing and for repeat dosing in the PROVENT trial in </w:t>
      </w:r>
      <w:r w:rsidR="001A32A3">
        <w:t>S</w:t>
      </w:r>
      <w:r w:rsidRPr="00370B53">
        <w:t>ectio</w:t>
      </w:r>
      <w:r w:rsidR="00F21444">
        <w:t>n 5.1 Pharmacodynamic properties</w:t>
      </w:r>
      <w:r w:rsidR="001A32A3">
        <w:t xml:space="preserve"> of the PI</w:t>
      </w:r>
      <w:r w:rsidR="00F21444">
        <w:t>.</w:t>
      </w:r>
      <w:r w:rsidR="00B46084">
        <w:t xml:space="preserve"> This data is summarised and discussed below.</w:t>
      </w:r>
    </w:p>
    <w:p w14:paraId="362820EC" w14:textId="2099C690" w:rsidR="00370B53" w:rsidRPr="00A543F1" w:rsidRDefault="00370B53" w:rsidP="00A543F1">
      <w:pPr>
        <w:pStyle w:val="Heading5"/>
      </w:pPr>
      <w:bookmarkStart w:id="44" w:name="_Ref110785543"/>
      <w:r w:rsidRPr="00A543F1">
        <w:rPr>
          <w:rFonts w:eastAsia="Cambria"/>
        </w:rPr>
        <w:t>Anti-drug antibody results</w:t>
      </w:r>
      <w:bookmarkEnd w:id="44"/>
    </w:p>
    <w:p w14:paraId="3C83D793" w14:textId="3525B95D" w:rsidR="00370B53" w:rsidRPr="00370B53" w:rsidRDefault="00370B53" w:rsidP="00370B53">
      <w:r w:rsidRPr="00370B53">
        <w:t>The prevalence (</w:t>
      </w:r>
      <w:r w:rsidR="00D843F7">
        <w:t>that is</w:t>
      </w:r>
      <w:r w:rsidRPr="00370B53">
        <w:t xml:space="preserve"> present at </w:t>
      </w:r>
      <w:r w:rsidR="00D843F7">
        <w:t>B</w:t>
      </w:r>
      <w:r w:rsidRPr="00370B53">
        <w:t xml:space="preserve">aseline and/or through the </w:t>
      </w:r>
      <w:proofErr w:type="spellStart"/>
      <w:r w:rsidRPr="00370B53">
        <w:t>substudy</w:t>
      </w:r>
      <w:proofErr w:type="spellEnd"/>
      <w:r w:rsidRPr="00370B53">
        <w:t>) and treatment</w:t>
      </w:r>
      <w:r w:rsidR="007B71BF">
        <w:t xml:space="preserve"> </w:t>
      </w:r>
      <w:r w:rsidRPr="00370B53">
        <w:t>emergent incidence (</w:t>
      </w:r>
      <w:r w:rsidR="00D843F7">
        <w:t>that is</w:t>
      </w:r>
      <w:r w:rsidRPr="00370B53">
        <w:t xml:space="preserve"> newly apparent or boosted baseline response) of </w:t>
      </w:r>
      <w:r w:rsidR="002B149A">
        <w:t>anti-drug antibody</w:t>
      </w:r>
      <w:r w:rsidRPr="00370B53">
        <w:t xml:space="preserve"> up to Day 183 of the PROVENT trial is shown i</w:t>
      </w:r>
      <w:r w:rsidR="00D843F7">
        <w:t xml:space="preserve">n </w:t>
      </w:r>
      <w:r w:rsidR="00D843F7">
        <w:fldChar w:fldCharType="begin"/>
      </w:r>
      <w:r w:rsidR="00D843F7">
        <w:instrText xml:space="preserve"> REF _Ref118895477 \h </w:instrText>
      </w:r>
      <w:r w:rsidR="00D843F7">
        <w:fldChar w:fldCharType="separate"/>
      </w:r>
      <w:r w:rsidR="008D61A2" w:rsidRPr="00D843F7">
        <w:t xml:space="preserve">Table </w:t>
      </w:r>
      <w:r w:rsidR="008D61A2">
        <w:rPr>
          <w:noProof/>
        </w:rPr>
        <w:t>6</w:t>
      </w:r>
      <w:r w:rsidR="00D843F7">
        <w:fldChar w:fldCharType="end"/>
      </w:r>
      <w:r w:rsidR="00D843F7">
        <w:t>.</w:t>
      </w:r>
    </w:p>
    <w:p w14:paraId="28F1F413" w14:textId="248472AA" w:rsidR="00370B53" w:rsidRDefault="00370B53" w:rsidP="00370B53">
      <w:proofErr w:type="gramStart"/>
      <w:r w:rsidRPr="00370B53">
        <w:t>The majority of</w:t>
      </w:r>
      <w:proofErr w:type="gramEnd"/>
      <w:r w:rsidRPr="00370B53">
        <w:t xml:space="preserve"> participants had </w:t>
      </w:r>
      <w:r w:rsidR="002B149A">
        <w:t>anti-drug antibody</w:t>
      </w:r>
      <w:r w:rsidRPr="00370B53">
        <w:t xml:space="preserve"> observable at </w:t>
      </w:r>
      <w:r w:rsidR="00D843F7">
        <w:t>B</w:t>
      </w:r>
      <w:r w:rsidRPr="00370B53">
        <w:t>aseline, with a lesser proportion developing treatment</w:t>
      </w:r>
      <w:r w:rsidR="00D843F7">
        <w:t xml:space="preserve"> </w:t>
      </w:r>
      <w:r w:rsidRPr="00370B53">
        <w:t xml:space="preserve">emergent </w:t>
      </w:r>
      <w:r w:rsidR="002B149A">
        <w:t>anti-drug antibody</w:t>
      </w:r>
      <w:r w:rsidRPr="00370B53">
        <w:t xml:space="preserve"> (for E</w:t>
      </w:r>
      <w:r w:rsidR="00D843F7">
        <w:t>vusheld</w:t>
      </w:r>
      <w:r w:rsidRPr="00370B53">
        <w:t>, overall prevalence = 13.6% and treatment</w:t>
      </w:r>
      <w:r w:rsidR="00D843F7">
        <w:t xml:space="preserve"> </w:t>
      </w:r>
      <w:r w:rsidRPr="00370B53">
        <w:t xml:space="preserve">emergent incidence = 4.9%). Day 183 median titres in </w:t>
      </w:r>
      <w:r w:rsidR="00D843F7" w:rsidRPr="00370B53">
        <w:t>treatment</w:t>
      </w:r>
      <w:r w:rsidR="00D843F7">
        <w:t xml:space="preserve"> </w:t>
      </w:r>
      <w:r w:rsidR="00D843F7" w:rsidRPr="00370B53">
        <w:t xml:space="preserve">emergent </w:t>
      </w:r>
      <w:r w:rsidR="002B149A">
        <w:t>anti-drug antibody plus</w:t>
      </w:r>
      <w:r w:rsidRPr="00370B53">
        <w:t xml:space="preserve"> participants were close to baseline and were no higher in the </w:t>
      </w:r>
      <w:r w:rsidR="005B77F1" w:rsidRPr="00370B53">
        <w:t>E</w:t>
      </w:r>
      <w:r w:rsidR="005B77F1">
        <w:t>vusheld</w:t>
      </w:r>
      <w:r w:rsidRPr="00370B53">
        <w:t xml:space="preserve"> group than in the placebo group (the same was true for the tixagevimab and </w:t>
      </w:r>
      <w:proofErr w:type="spellStart"/>
      <w:r w:rsidRPr="00370B53">
        <w:t>cilgavimab</w:t>
      </w:r>
      <w:proofErr w:type="spellEnd"/>
      <w:r w:rsidRPr="00370B53">
        <w:t xml:space="preserve"> components) (</w:t>
      </w:r>
      <w:r w:rsidR="00D843F7">
        <w:fldChar w:fldCharType="begin"/>
      </w:r>
      <w:r w:rsidR="00D843F7">
        <w:instrText xml:space="preserve"> REF _Ref118895477 \h </w:instrText>
      </w:r>
      <w:r w:rsidR="00D843F7">
        <w:fldChar w:fldCharType="separate"/>
      </w:r>
      <w:r w:rsidR="008D61A2" w:rsidRPr="00D843F7">
        <w:t xml:space="preserve">Table </w:t>
      </w:r>
      <w:r w:rsidR="008D61A2">
        <w:rPr>
          <w:noProof/>
        </w:rPr>
        <w:t>6</w:t>
      </w:r>
      <w:r w:rsidR="00D843F7">
        <w:fldChar w:fldCharType="end"/>
      </w:r>
      <w:r w:rsidRPr="00370B53">
        <w:t xml:space="preserve">). Earlier analyses at Day 29 and Day 58 showed similar percentages of </w:t>
      </w:r>
      <w:r w:rsidR="002B149A">
        <w:t>anti-drug antibody</w:t>
      </w:r>
      <w:r w:rsidR="00D843F7">
        <w:t xml:space="preserve"> plus</w:t>
      </w:r>
      <w:r w:rsidRPr="00370B53">
        <w:t xml:space="preserve"> participants as were present at </w:t>
      </w:r>
      <w:r w:rsidR="00D843F7">
        <w:t>B</w:t>
      </w:r>
      <w:r w:rsidRPr="00370B53">
        <w:t>aseline</w:t>
      </w:r>
      <w:r w:rsidR="00F21444">
        <w:t xml:space="preserve"> </w:t>
      </w:r>
      <w:r w:rsidRPr="00370B53">
        <w:t>(shown longitudinally</w:t>
      </w:r>
      <w:r w:rsidR="00D843F7">
        <w:t xml:space="preserve"> in </w:t>
      </w:r>
      <w:r w:rsidR="00D843F7">
        <w:fldChar w:fldCharType="begin"/>
      </w:r>
      <w:r w:rsidR="00D843F7">
        <w:instrText xml:space="preserve"> REF _Ref118895742 \h </w:instrText>
      </w:r>
      <w:r w:rsidR="00D843F7">
        <w:fldChar w:fldCharType="separate"/>
      </w:r>
      <w:r w:rsidR="008D61A2" w:rsidRPr="007B71BF">
        <w:t xml:space="preserve">Figure </w:t>
      </w:r>
      <w:r w:rsidR="008D61A2">
        <w:rPr>
          <w:noProof/>
        </w:rPr>
        <w:t>7</w:t>
      </w:r>
      <w:r w:rsidR="00D843F7">
        <w:fldChar w:fldCharType="end"/>
      </w:r>
      <w:r w:rsidRPr="00370B53">
        <w:t>).</w:t>
      </w:r>
    </w:p>
    <w:p w14:paraId="44CF0717" w14:textId="545A9A0D" w:rsidR="00B46084" w:rsidRPr="00370B53" w:rsidRDefault="00B46084" w:rsidP="006402BA">
      <w:pPr>
        <w:spacing w:before="0" w:after="200" w:line="0" w:lineRule="auto"/>
      </w:pPr>
      <w:r>
        <w:br w:type="page"/>
      </w:r>
    </w:p>
    <w:p w14:paraId="7FE9A34E" w14:textId="619BDACC" w:rsidR="00370B53" w:rsidRDefault="00D843F7" w:rsidP="00D843F7">
      <w:pPr>
        <w:pStyle w:val="TableTitle"/>
      </w:pPr>
      <w:bookmarkStart w:id="45" w:name="_Ref118895477"/>
      <w:r w:rsidRPr="00D843F7">
        <w:lastRenderedPageBreak/>
        <w:t xml:space="preserve">Table </w:t>
      </w:r>
      <w:r w:rsidR="005E1B9B">
        <w:fldChar w:fldCharType="begin"/>
      </w:r>
      <w:r w:rsidR="005E1B9B">
        <w:instrText xml:space="preserve"> SEQ Table \* ARABIC </w:instrText>
      </w:r>
      <w:r w:rsidR="005E1B9B">
        <w:fldChar w:fldCharType="separate"/>
      </w:r>
      <w:r w:rsidR="008D61A2">
        <w:rPr>
          <w:noProof/>
        </w:rPr>
        <w:t>6</w:t>
      </w:r>
      <w:r w:rsidR="005E1B9B">
        <w:rPr>
          <w:noProof/>
        </w:rPr>
        <w:fldChar w:fldCharType="end"/>
      </w:r>
      <w:bookmarkEnd w:id="45"/>
      <w:r>
        <w:t xml:space="preserve">: </w:t>
      </w:r>
      <w:r w:rsidR="00B46084">
        <w:t xml:space="preserve">PROVENT trial; </w:t>
      </w:r>
      <w:r w:rsidRPr="00D843F7">
        <w:t xml:space="preserve">Summary of </w:t>
      </w:r>
      <w:r>
        <w:t>antidrug antibody</w:t>
      </w:r>
      <w:r w:rsidRPr="00D843F7">
        <w:t xml:space="preserve"> </w:t>
      </w:r>
      <w:r>
        <w:t>r</w:t>
      </w:r>
      <w:r w:rsidRPr="00D843F7">
        <w:t xml:space="preserve">esponses to </w:t>
      </w:r>
      <w:r w:rsidRPr="00C55710">
        <w:t>tixagevimab</w:t>
      </w:r>
      <w:r w:rsidR="007B71BF">
        <w:t xml:space="preserve">, </w:t>
      </w:r>
      <w:r w:rsidRPr="00C55710">
        <w:t xml:space="preserve">cilgavimab </w:t>
      </w:r>
      <w:r>
        <w:t>f</w:t>
      </w:r>
      <w:r w:rsidRPr="00D843F7">
        <w:t xml:space="preserve">ollowing </w:t>
      </w:r>
      <w:r>
        <w:t>a</w:t>
      </w:r>
      <w:r w:rsidRPr="00D843F7">
        <w:t xml:space="preserve">dministration of 300 mg </w:t>
      </w:r>
      <w:r w:rsidR="00B46084">
        <w:t>intramuscular Evusheld o</w:t>
      </w:r>
      <w:r w:rsidRPr="00D843F7">
        <w:t>ver 183</w:t>
      </w:r>
      <w:r w:rsidR="00B46084">
        <w:t> </w:t>
      </w:r>
      <w:r w:rsidRPr="00D843F7">
        <w:t>Days</w:t>
      </w:r>
      <w:r w:rsidR="00B46084">
        <w:t xml:space="preserve"> </w:t>
      </w:r>
      <w:r w:rsidRPr="00D843F7">
        <w:t>(</w:t>
      </w:r>
      <w:r w:rsidR="007B71BF">
        <w:t>antidrug antibody</w:t>
      </w:r>
      <w:r w:rsidRPr="00D843F7">
        <w:t xml:space="preserve"> </w:t>
      </w:r>
      <w:r w:rsidR="007B71BF">
        <w:t>e</w:t>
      </w:r>
      <w:r w:rsidRPr="00D843F7">
        <w:t xml:space="preserve">valuable </w:t>
      </w:r>
      <w:r w:rsidR="007B71BF">
        <w:t>a</w:t>
      </w:r>
      <w:r w:rsidRPr="00D843F7">
        <w:t xml:space="preserve">nalysis </w:t>
      </w:r>
      <w:r w:rsidR="007B71BF">
        <w:t>s</w:t>
      </w:r>
      <w:r w:rsidRPr="00D843F7">
        <w:t>et)</w:t>
      </w:r>
    </w:p>
    <w:p w14:paraId="6CA4CBB4" w14:textId="6F5EABD7" w:rsidR="00D843F7" w:rsidRDefault="00D843F7" w:rsidP="00D843F7">
      <w:r>
        <w:rPr>
          <w:noProof/>
          <w:lang w:val="en-GB" w:eastAsia="en-GB"/>
        </w:rPr>
        <w:drawing>
          <wp:inline distT="0" distB="0" distL="0" distR="0" wp14:anchorId="537435E1" wp14:editId="510D9F85">
            <wp:extent cx="5400040" cy="2067044"/>
            <wp:effectExtent l="0" t="0" r="0" b="9525"/>
            <wp:docPr id="23" name="Picture 23" descr="Summary of antidrug antibody responses to tixagevimab, cilgavimab following administration of 300 mg intramuscularly Evusheld Over 183 Days, PROVENT trial (antidrug antibody evaluabl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ummary of antidrug antibody responses to tixagevimab, cilgavimab following administration of 300 mg intramuscularly Evusheld Over 183 Days, PROVENT trial (antidrug antibody evaluable analysis set)"/>
                    <pic:cNvPicPr/>
                  </pic:nvPicPr>
                  <pic:blipFill>
                    <a:blip r:embed="rId29"/>
                    <a:stretch>
                      <a:fillRect/>
                    </a:stretch>
                  </pic:blipFill>
                  <pic:spPr>
                    <a:xfrm>
                      <a:off x="0" y="0"/>
                      <a:ext cx="5400040" cy="2067044"/>
                    </a:xfrm>
                    <a:prstGeom prst="rect">
                      <a:avLst/>
                    </a:prstGeom>
                  </pic:spPr>
                </pic:pic>
              </a:graphicData>
            </a:graphic>
          </wp:inline>
        </w:drawing>
      </w:r>
    </w:p>
    <w:p w14:paraId="1DAE404E" w14:textId="73948C9F" w:rsidR="00F21444" w:rsidRDefault="00F21444" w:rsidP="007B71BF">
      <w:pPr>
        <w:pStyle w:val="TableDescription"/>
      </w:pPr>
      <w:r>
        <w:t>Abbreviation</w:t>
      </w:r>
      <w:r w:rsidR="00B46084">
        <w:t>s</w:t>
      </w:r>
      <w:r>
        <w:t xml:space="preserve">: </w:t>
      </w:r>
      <w:r w:rsidRPr="001751CF">
        <w:t>ADA, antidrug antibody;</w:t>
      </w:r>
      <w:r w:rsidRPr="00F21444">
        <w:t xml:space="preserve"> </w:t>
      </w:r>
      <w:r w:rsidRPr="001751CF">
        <w:t xml:space="preserve">AZD8895 = tixagevimab; AZD1061 = cilgavimab; AZD7442 = </w:t>
      </w:r>
      <w:proofErr w:type="spellStart"/>
      <w:r w:rsidRPr="001751CF">
        <w:t>E</w:t>
      </w:r>
      <w:r>
        <w:t>vusheld</w:t>
      </w:r>
      <w:proofErr w:type="spellEnd"/>
      <w:r>
        <w:t>;</w:t>
      </w:r>
      <w:r w:rsidRPr="001751CF">
        <w:t xml:space="preserve"> IM, intramuscular; </w:t>
      </w:r>
      <w:proofErr w:type="spellStart"/>
      <w:r w:rsidRPr="001751CF">
        <w:t>mAb</w:t>
      </w:r>
      <w:proofErr w:type="spellEnd"/>
      <w:r w:rsidRPr="001751CF">
        <w:t>, monoclonal antibody; max, maximum; min, minimum; N, number of ADA-evaluable participants; n, number of participants with a positive result at the specific visit; TE-ADA, treatment</w:t>
      </w:r>
      <w:r>
        <w:t xml:space="preserve"> </w:t>
      </w:r>
      <w:r w:rsidRPr="001751CF">
        <w:t>emergent ADA.</w:t>
      </w:r>
    </w:p>
    <w:p w14:paraId="1DF35450" w14:textId="5E9F1F53" w:rsidR="007B71BF" w:rsidRDefault="007B71BF" w:rsidP="007B71BF">
      <w:pPr>
        <w:pStyle w:val="TableDescription"/>
      </w:pPr>
      <w:r w:rsidRPr="001751CF">
        <w:rPr>
          <w:vertAlign w:val="superscript"/>
        </w:rPr>
        <w:t>a</w:t>
      </w:r>
      <w:r w:rsidRPr="001751CF">
        <w:t xml:space="preserve"> Lowest reportable titre = 80 </w:t>
      </w:r>
      <w:r w:rsidRPr="001751CF">
        <w:rPr>
          <w:vertAlign w:val="superscript"/>
        </w:rPr>
        <w:t>b</w:t>
      </w:r>
      <w:r w:rsidRPr="001751CF">
        <w:t xml:space="preserve"> Lowest reportable titre = 40. </w:t>
      </w:r>
      <w:r w:rsidRPr="001751CF">
        <w:rPr>
          <w:vertAlign w:val="superscript"/>
        </w:rPr>
        <w:t>c</w:t>
      </w:r>
      <w:r w:rsidRPr="001751CF">
        <w:t xml:space="preserve"> ADA positive to AZD7442 is defined as ADA positive to AZD8895 and/or AZD1061; TE-ADA positive to AZD7442 is defined as TE-ADA positive to AZD8895 and/or AZD1061. </w:t>
      </w:r>
      <w:r w:rsidRPr="001751CF">
        <w:rPr>
          <w:vertAlign w:val="superscript"/>
        </w:rPr>
        <w:t>d</w:t>
      </w:r>
      <w:r w:rsidRPr="001751CF">
        <w:t xml:space="preserve"> Either ADA negative at baseline and ADA positive at ≥ 1 post-baseline assessments with ADA titre ≥ 2 times the lowest reportable titre of the respective </w:t>
      </w:r>
      <w:proofErr w:type="spellStart"/>
      <w:r w:rsidRPr="001751CF">
        <w:t>mAb</w:t>
      </w:r>
      <w:proofErr w:type="spellEnd"/>
      <w:r w:rsidRPr="001751CF">
        <w:t>, or baseline positive ADA titre that was boosted to ≥ 4-fold during the study period.</w:t>
      </w:r>
    </w:p>
    <w:p w14:paraId="441AE51E" w14:textId="1DB6239E" w:rsidR="00D843F7" w:rsidRDefault="00D843F7" w:rsidP="007B71BF">
      <w:pPr>
        <w:pStyle w:val="FigureTitle"/>
      </w:pPr>
      <w:bookmarkStart w:id="46" w:name="_Ref118895742"/>
      <w:r w:rsidRPr="007B71BF">
        <w:t xml:space="preserve">Figure </w:t>
      </w:r>
      <w:r w:rsidR="005E1B9B">
        <w:fldChar w:fldCharType="begin"/>
      </w:r>
      <w:r w:rsidR="005E1B9B">
        <w:instrText xml:space="preserve"> SEQ Figure \* ARABIC </w:instrText>
      </w:r>
      <w:r w:rsidR="005E1B9B">
        <w:fldChar w:fldCharType="separate"/>
      </w:r>
      <w:r w:rsidR="008D61A2">
        <w:rPr>
          <w:noProof/>
        </w:rPr>
        <w:t>7</w:t>
      </w:r>
      <w:r w:rsidR="005E1B9B">
        <w:rPr>
          <w:noProof/>
        </w:rPr>
        <w:fldChar w:fldCharType="end"/>
      </w:r>
      <w:bookmarkEnd w:id="46"/>
      <w:r w:rsidRPr="007B71BF">
        <w:t>:</w:t>
      </w:r>
      <w:r>
        <w:t xml:space="preserve"> </w:t>
      </w:r>
      <w:r w:rsidR="00B46084">
        <w:t xml:space="preserve">PROVENT trial; </w:t>
      </w:r>
      <w:r>
        <w:t xml:space="preserve">Percentage of </w:t>
      </w:r>
      <w:r w:rsidR="007B71BF" w:rsidRPr="00C55710">
        <w:t>tixagevimab</w:t>
      </w:r>
      <w:r w:rsidR="007B71BF">
        <w:t xml:space="preserve">, </w:t>
      </w:r>
      <w:r w:rsidR="007B71BF" w:rsidRPr="00C55710">
        <w:t>cilgavimab</w:t>
      </w:r>
      <w:r>
        <w:t xml:space="preserve">, and </w:t>
      </w:r>
      <w:r w:rsidR="007B71BF">
        <w:t>Evusheld antidrug antibody plus</w:t>
      </w:r>
      <w:r>
        <w:t xml:space="preserve"> </w:t>
      </w:r>
      <w:r w:rsidR="007B71BF">
        <w:t>p</w:t>
      </w:r>
      <w:r>
        <w:t xml:space="preserve">articipants by </w:t>
      </w:r>
      <w:r w:rsidR="007B71BF">
        <w:t>t</w:t>
      </w:r>
      <w:r>
        <w:t xml:space="preserve">imepoint and </w:t>
      </w:r>
      <w:r w:rsidR="007B71BF">
        <w:t>s</w:t>
      </w:r>
      <w:r>
        <w:t xml:space="preserve">tudy </w:t>
      </w:r>
      <w:r w:rsidR="007B71BF">
        <w:t>g</w:t>
      </w:r>
      <w:r>
        <w:t>roup up to Day 183 (</w:t>
      </w:r>
      <w:r w:rsidR="007B71BF">
        <w:t>antidrug antibody e</w:t>
      </w:r>
      <w:r>
        <w:t>v</w:t>
      </w:r>
      <w:r w:rsidR="007B71BF">
        <w:t>a</w:t>
      </w:r>
      <w:r>
        <w:t xml:space="preserve">luable </w:t>
      </w:r>
      <w:r w:rsidR="007B71BF">
        <w:t>a</w:t>
      </w:r>
      <w:r>
        <w:t>nalysis set)</w:t>
      </w:r>
    </w:p>
    <w:p w14:paraId="590FCF34" w14:textId="330B8E31" w:rsidR="00D843F7" w:rsidRDefault="00D843F7" w:rsidP="00876706">
      <w:r w:rsidRPr="00D843F7">
        <w:rPr>
          <w:noProof/>
          <w:lang w:val="en-GB" w:eastAsia="en-GB"/>
        </w:rPr>
        <w:drawing>
          <wp:inline distT="0" distB="0" distL="0" distR="0" wp14:anchorId="3BA72500" wp14:editId="6A36D7CA">
            <wp:extent cx="5142585" cy="2957250"/>
            <wp:effectExtent l="0" t="0" r="1270" b="0"/>
            <wp:docPr id="3" name="Picture 3" descr="Percentage of tixagevimab, cilgavimab, and Evusheld antidrug antibody plus participants by timepoint and study group in PROVENT trial up to Day 183 (antidrug antibody evaluabl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centage of tixagevimab, cilgavimab, and Evusheld antidrug antibody plus participants by timepoint and study group in PROVENT trial up to Day 183 (antidrug antibody evaluable analysis set)"/>
                    <pic:cNvPicPr/>
                  </pic:nvPicPr>
                  <pic:blipFill>
                    <a:blip r:embed="rId30"/>
                    <a:stretch>
                      <a:fillRect/>
                    </a:stretch>
                  </pic:blipFill>
                  <pic:spPr>
                    <a:xfrm>
                      <a:off x="0" y="0"/>
                      <a:ext cx="5205069" cy="2993182"/>
                    </a:xfrm>
                    <a:prstGeom prst="rect">
                      <a:avLst/>
                    </a:prstGeom>
                  </pic:spPr>
                </pic:pic>
              </a:graphicData>
            </a:graphic>
          </wp:inline>
        </w:drawing>
      </w:r>
    </w:p>
    <w:p w14:paraId="044C5B04" w14:textId="77777777" w:rsidR="00D843F7" w:rsidRDefault="00D843F7" w:rsidP="00D843F7">
      <w:pPr>
        <w:pStyle w:val="FigureDescription"/>
      </w:pPr>
      <w:r>
        <w:t>Time points are in days.</w:t>
      </w:r>
    </w:p>
    <w:p w14:paraId="5D5ABD13" w14:textId="0DD45943" w:rsidR="00D843F7" w:rsidRDefault="00F21444" w:rsidP="00D843F7">
      <w:pPr>
        <w:pStyle w:val="FigureDescription"/>
      </w:pPr>
      <w:r>
        <w:t>Abbreviation</w:t>
      </w:r>
      <w:r w:rsidR="00B46084">
        <w:t>s</w:t>
      </w:r>
      <w:r>
        <w:t xml:space="preserve">: </w:t>
      </w:r>
      <w:r w:rsidR="00D843F7">
        <w:t>ADA, antidrug antibodies; ADA8895, AZD8895 antibody; ADA1061, AZD1061 antibody; ADA7442, AZD7442 antibody (positive to AZD8895 and/or AZD1061); BS, baseline; DCO, data cut-off.</w:t>
      </w:r>
    </w:p>
    <w:p w14:paraId="12BCC3BB" w14:textId="3A1C67D5" w:rsidR="007B71BF" w:rsidRDefault="007B71BF" w:rsidP="00A543F1">
      <w:pPr>
        <w:pStyle w:val="Heading5"/>
      </w:pPr>
      <w:r>
        <w:t>Anti-drug antibody effect on pharmacokinetics</w:t>
      </w:r>
    </w:p>
    <w:p w14:paraId="6EADA683" w14:textId="06F67A49" w:rsidR="007B71BF" w:rsidRDefault="007B71BF" w:rsidP="007B71BF">
      <w:r>
        <w:t xml:space="preserve">The geometric mean serum concentrations of Evusheld at Day 183 were 26.3% lower in </w:t>
      </w:r>
      <w:r w:rsidRPr="00370B53">
        <w:t>treatment</w:t>
      </w:r>
      <w:r>
        <w:t xml:space="preserve"> </w:t>
      </w:r>
      <w:r w:rsidRPr="00370B53">
        <w:t xml:space="preserve">emergent </w:t>
      </w:r>
      <w:r w:rsidR="002B149A">
        <w:t>anti-drug antibody</w:t>
      </w:r>
      <w:r>
        <w:t xml:space="preserve"> plus participants (</w:t>
      </w:r>
      <w:r w:rsidR="00E10DF2">
        <w:t xml:space="preserve">geometric mean </w:t>
      </w:r>
      <w:r w:rsidR="00B46084">
        <w:t>(</w:t>
      </w:r>
      <w:r w:rsidR="00E10DF2">
        <w:t>GM</w:t>
      </w:r>
      <w:r w:rsidR="00B46084">
        <w:t>)</w:t>
      </w:r>
      <w:r w:rsidR="00E10DF2">
        <w:t xml:space="preserve"> of</w:t>
      </w:r>
      <w:r>
        <w:t xml:space="preserve"> </w:t>
      </w:r>
      <w:r>
        <w:lastRenderedPageBreak/>
        <w:t>4.229</w:t>
      </w:r>
      <w:r w:rsidR="00F21444">
        <w:t> </w:t>
      </w:r>
      <w:r>
        <w:t xml:space="preserve">µg/mL) compared to </w:t>
      </w:r>
      <w:r w:rsidR="002B149A">
        <w:t xml:space="preserve">anti-drug antibody </w:t>
      </w:r>
      <w:r>
        <w:t>negative participants (5.736 µg/mL</w:t>
      </w:r>
      <w:r w:rsidR="00E10DF2">
        <w:t>)</w:t>
      </w:r>
      <w:r>
        <w:t xml:space="preserve">. For tixagevimab, they were 28.7% lower and for cilgavimab they were 17.9% lower respectively. This is represented visually by clustering of the Day 183 serum concentrations from </w:t>
      </w:r>
      <w:r w:rsidR="00E10DF2" w:rsidRPr="00370B53">
        <w:t>treatment</w:t>
      </w:r>
      <w:r w:rsidR="00E10DF2">
        <w:t xml:space="preserve"> </w:t>
      </w:r>
      <w:r w:rsidR="00E10DF2" w:rsidRPr="00370B53">
        <w:t xml:space="preserve">emergent </w:t>
      </w:r>
      <w:r w:rsidR="002B149A">
        <w:t>anti-drug antibody</w:t>
      </w:r>
      <w:r w:rsidR="00E10DF2">
        <w:t xml:space="preserve"> plus</w:t>
      </w:r>
      <w:r>
        <w:t xml:space="preserve"> participants (with a titre of </w:t>
      </w:r>
      <w:r w:rsidR="00E10DF2">
        <w:t>greater or equal to</w:t>
      </w:r>
      <w:r>
        <w:t xml:space="preserve"> 1280) below the median of serum concentrations seen in </w:t>
      </w:r>
      <w:r w:rsidR="002B149A">
        <w:t>anti-drug antibody</w:t>
      </w:r>
      <w:r w:rsidR="00E10DF2">
        <w:t xml:space="preserve"> </w:t>
      </w:r>
      <w:r>
        <w:t>negative participants</w:t>
      </w:r>
      <w:r w:rsidR="00E10DF2">
        <w:t xml:space="preserve"> (</w:t>
      </w:r>
      <w:r w:rsidR="00B46084">
        <w:t xml:space="preserve">see </w:t>
      </w:r>
      <w:r w:rsidR="00E10DF2">
        <w:fldChar w:fldCharType="begin"/>
      </w:r>
      <w:r w:rsidR="00E10DF2">
        <w:instrText xml:space="preserve"> REF _Ref118961127 \h </w:instrText>
      </w:r>
      <w:r w:rsidR="00E10DF2">
        <w:fldChar w:fldCharType="separate"/>
      </w:r>
      <w:r w:rsidR="008D61A2" w:rsidRPr="00E10DF2">
        <w:t xml:space="preserve">Figure </w:t>
      </w:r>
      <w:r w:rsidR="008D61A2">
        <w:rPr>
          <w:noProof/>
        </w:rPr>
        <w:t>8</w:t>
      </w:r>
      <w:r w:rsidR="00E10DF2">
        <w:fldChar w:fldCharType="end"/>
      </w:r>
      <w:r w:rsidR="00E10DF2">
        <w:t>).</w:t>
      </w:r>
    </w:p>
    <w:p w14:paraId="16D9D7AB" w14:textId="585CA97B" w:rsidR="007B71BF" w:rsidRPr="00AA1EAB" w:rsidRDefault="007B71BF" w:rsidP="007B71BF">
      <w:r>
        <w:t xml:space="preserve">The </w:t>
      </w:r>
      <w:r w:rsidR="00E10DF2">
        <w:t>s</w:t>
      </w:r>
      <w:r>
        <w:t xml:space="preserve">ponsor states that GM serum concentration in </w:t>
      </w:r>
      <w:r w:rsidR="00E10DF2" w:rsidRPr="00370B53">
        <w:t>treatment</w:t>
      </w:r>
      <w:r w:rsidR="00E10DF2">
        <w:t xml:space="preserve"> </w:t>
      </w:r>
      <w:r w:rsidR="00E10DF2" w:rsidRPr="00370B53">
        <w:t xml:space="preserve">emergent </w:t>
      </w:r>
      <w:r w:rsidR="002B149A">
        <w:t>anti-drug antibody</w:t>
      </w:r>
      <w:r w:rsidR="00E10DF2">
        <w:t xml:space="preserve"> plus </w:t>
      </w:r>
      <w:r>
        <w:t>participants of 4.229 µg/mL was still above the minimum protection level for the original SARS-CoV-2 strain (</w:t>
      </w:r>
      <w:r w:rsidR="00E10DF2">
        <w:t>greater than</w:t>
      </w:r>
      <w:r>
        <w:t xml:space="preserve"> 2.2 µg/mL, </w:t>
      </w:r>
      <w:r w:rsidR="00E10DF2">
        <w:t>i</w:t>
      </w:r>
      <w:r w:rsidR="00E10DF2" w:rsidRPr="00E10DF2">
        <w:t>nterquartile range</w:t>
      </w:r>
      <w:r w:rsidR="00E10DF2">
        <w:t xml:space="preserve"> </w:t>
      </w:r>
      <w:r w:rsidR="00B46084">
        <w:t>(</w:t>
      </w:r>
      <w:r w:rsidR="00E10DF2">
        <w:t>IQR</w:t>
      </w:r>
      <w:r w:rsidR="00B46084">
        <w:t>) of</w:t>
      </w:r>
      <w:r>
        <w:t xml:space="preserve"> 1.1 to 5.0 µg/mL) for prophylaxis of symptomatic COVID-19</w:t>
      </w:r>
      <w:r w:rsidR="0077635B">
        <w:t xml:space="preserve"> disease</w:t>
      </w:r>
      <w:r>
        <w:t xml:space="preserve">. </w:t>
      </w:r>
      <w:r w:rsidR="00E10DF2">
        <w:t>The sponsor</w:t>
      </w:r>
      <w:r>
        <w:t xml:space="preserve"> state</w:t>
      </w:r>
      <w:r w:rsidR="00E10DF2">
        <w:t>s</w:t>
      </w:r>
      <w:r>
        <w:t xml:space="preserve"> the minimum protection level for Omicron BA.2 subvariant is also in the range of the </w:t>
      </w:r>
      <w:r w:rsidR="0077635B">
        <w:t xml:space="preserve">ancestral (wild-type) </w:t>
      </w:r>
      <w:r>
        <w:t xml:space="preserve">SARS-CoV-2 strain. They conclude that, </w:t>
      </w:r>
      <w:r w:rsidRPr="00E10DF2">
        <w:rPr>
          <w:i/>
          <w:iCs/>
        </w:rPr>
        <w:t xml:space="preserve">‘Overall, there was no apparent effect of </w:t>
      </w:r>
      <w:r w:rsidR="002B149A">
        <w:rPr>
          <w:i/>
          <w:iCs/>
        </w:rPr>
        <w:t>anti-drug antibody</w:t>
      </w:r>
      <w:r w:rsidRPr="00E10DF2">
        <w:rPr>
          <w:i/>
          <w:iCs/>
        </w:rPr>
        <w:t xml:space="preserve"> on the PK of AZD7442 [E</w:t>
      </w:r>
      <w:r w:rsidR="00E10DF2">
        <w:rPr>
          <w:i/>
          <w:iCs/>
        </w:rPr>
        <w:t>vusheld</w:t>
      </w:r>
      <w:r w:rsidRPr="00E10DF2">
        <w:rPr>
          <w:i/>
          <w:iCs/>
        </w:rPr>
        <w:t>]</w:t>
      </w:r>
      <w:r>
        <w:t>’ and ‘</w:t>
      </w:r>
      <w:r w:rsidRPr="00E10DF2">
        <w:rPr>
          <w:i/>
          <w:iCs/>
        </w:rPr>
        <w:t xml:space="preserve">As such, the presence of </w:t>
      </w:r>
      <w:r w:rsidR="002B149A">
        <w:rPr>
          <w:i/>
          <w:iCs/>
        </w:rPr>
        <w:t>anti-drug antibody</w:t>
      </w:r>
      <w:r w:rsidRPr="00E10DF2">
        <w:rPr>
          <w:i/>
          <w:iCs/>
        </w:rPr>
        <w:t xml:space="preserve"> is not expected to result in loss of efficacy</w:t>
      </w:r>
      <w:r>
        <w:t>.’</w:t>
      </w:r>
    </w:p>
    <w:p w14:paraId="40BC5EE4" w14:textId="79955E81" w:rsidR="00E10DF2" w:rsidRDefault="00E10DF2" w:rsidP="00E10DF2">
      <w:pPr>
        <w:pStyle w:val="FigureTitle"/>
      </w:pPr>
      <w:bookmarkStart w:id="47" w:name="_Ref118961127"/>
      <w:r w:rsidRPr="00E10DF2">
        <w:t xml:space="preserve">Figure </w:t>
      </w:r>
      <w:r w:rsidR="005E1B9B">
        <w:fldChar w:fldCharType="begin"/>
      </w:r>
      <w:r w:rsidR="005E1B9B">
        <w:instrText xml:space="preserve"> SEQ Figure \* ARABIC </w:instrText>
      </w:r>
      <w:r w:rsidR="005E1B9B">
        <w:fldChar w:fldCharType="separate"/>
      </w:r>
      <w:r w:rsidR="008D61A2">
        <w:rPr>
          <w:noProof/>
        </w:rPr>
        <w:t>8</w:t>
      </w:r>
      <w:r w:rsidR="005E1B9B">
        <w:rPr>
          <w:noProof/>
        </w:rPr>
        <w:fldChar w:fldCharType="end"/>
      </w:r>
      <w:bookmarkEnd w:id="47"/>
      <w:r>
        <w:t xml:space="preserve">: </w:t>
      </w:r>
      <w:r w:rsidR="0077635B">
        <w:t xml:space="preserve">PROVENT trial; </w:t>
      </w:r>
      <w:r w:rsidRPr="00E10DF2">
        <w:t xml:space="preserve">Individual </w:t>
      </w:r>
      <w:r w:rsidR="0021663D">
        <w:t>Evusheld</w:t>
      </w:r>
      <w:r w:rsidRPr="00E10DF2">
        <w:t xml:space="preserve"> </w:t>
      </w:r>
      <w:r w:rsidR="0021663D">
        <w:t>s</w:t>
      </w:r>
      <w:r w:rsidRPr="00E10DF2">
        <w:t xml:space="preserve">erum </w:t>
      </w:r>
      <w:r w:rsidR="0021663D">
        <w:t>d</w:t>
      </w:r>
      <w:r w:rsidRPr="00E10DF2">
        <w:t xml:space="preserve">rug </w:t>
      </w:r>
      <w:r w:rsidR="0021663D">
        <w:t>c</w:t>
      </w:r>
      <w:r w:rsidRPr="00E10DF2">
        <w:t xml:space="preserve">oncentrations (μg/mL) versus </w:t>
      </w:r>
      <w:r w:rsidR="0021663D">
        <w:t>t</w:t>
      </w:r>
      <w:r w:rsidRPr="00E10DF2">
        <w:t xml:space="preserve">ime, by </w:t>
      </w:r>
      <w:r w:rsidR="0021663D">
        <w:t>antidrug antibody</w:t>
      </w:r>
      <w:r w:rsidRPr="00E10DF2">
        <w:t xml:space="preserve"> </w:t>
      </w:r>
      <w:r w:rsidR="0021663D">
        <w:t>s</w:t>
      </w:r>
      <w:r w:rsidRPr="00E10DF2">
        <w:t>tatus (</w:t>
      </w:r>
      <w:r w:rsidR="0021663D">
        <w:t>pharmacokinetics</w:t>
      </w:r>
      <w:r w:rsidRPr="00E10DF2">
        <w:t xml:space="preserve"> </w:t>
      </w:r>
      <w:r w:rsidR="0021663D">
        <w:t>a</w:t>
      </w:r>
      <w:r w:rsidRPr="00E10DF2">
        <w:t xml:space="preserve">nalysis </w:t>
      </w:r>
      <w:r w:rsidR="0021663D">
        <w:t>s</w:t>
      </w:r>
      <w:r w:rsidRPr="00E10DF2">
        <w:t>et)</w:t>
      </w:r>
    </w:p>
    <w:p w14:paraId="2591F2F5" w14:textId="4CF8B019" w:rsidR="00E10DF2" w:rsidRDefault="00E10DF2" w:rsidP="00E10DF2">
      <w:r>
        <w:rPr>
          <w:noProof/>
          <w:lang w:val="en-GB" w:eastAsia="en-GB"/>
        </w:rPr>
        <w:drawing>
          <wp:inline distT="0" distB="0" distL="0" distR="0" wp14:anchorId="03726719" wp14:editId="4391EFE3">
            <wp:extent cx="4757775" cy="3651352"/>
            <wp:effectExtent l="19050" t="19050" r="24130" b="25400"/>
            <wp:docPr id="24" name="Picture 24" descr="Individual Evusheld serum drug concentrations (μg/mL) versus time, by antidrug antibody status (pharmacokinetics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vidual Evusheld serum drug concentrations (μg/mL) versus time, by antidrug antibody status (pharmacokinetics analysis set)"/>
                    <pic:cNvPicPr/>
                  </pic:nvPicPr>
                  <pic:blipFill>
                    <a:blip r:embed="rId31"/>
                    <a:stretch>
                      <a:fillRect/>
                    </a:stretch>
                  </pic:blipFill>
                  <pic:spPr>
                    <a:xfrm>
                      <a:off x="0" y="0"/>
                      <a:ext cx="4813760" cy="3694318"/>
                    </a:xfrm>
                    <a:prstGeom prst="rect">
                      <a:avLst/>
                    </a:prstGeom>
                    <a:ln>
                      <a:solidFill>
                        <a:schemeClr val="accent1"/>
                      </a:solidFill>
                    </a:ln>
                  </pic:spPr>
                </pic:pic>
              </a:graphicData>
            </a:graphic>
          </wp:inline>
        </w:drawing>
      </w:r>
    </w:p>
    <w:p w14:paraId="0D1A0BCB" w14:textId="3E25E42E" w:rsidR="0021663D" w:rsidRDefault="0077635B" w:rsidP="00E10DF2">
      <w:pPr>
        <w:pStyle w:val="FigureDescription"/>
      </w:pPr>
      <w:r>
        <w:t>Abbreviations</w:t>
      </w:r>
      <w:r w:rsidR="0021663D">
        <w:t xml:space="preserve">: </w:t>
      </w:r>
      <w:r w:rsidR="00E10DF2" w:rsidRPr="00AA1EAB">
        <w:t>AZD7442 = E</w:t>
      </w:r>
      <w:r w:rsidR="0021663D">
        <w:t>vusheld</w:t>
      </w:r>
      <w:r>
        <w:t>;</w:t>
      </w:r>
      <w:r w:rsidR="00E10DF2" w:rsidRPr="00AA1EAB">
        <w:t xml:space="preserve"> </w:t>
      </w:r>
      <w:r w:rsidR="0021663D" w:rsidRPr="0021663D">
        <w:t>AZD8895 = tixagevimab; AZD1061 = cilgavimab</w:t>
      </w:r>
      <w:r w:rsidR="0021663D">
        <w:t>,</w:t>
      </w:r>
      <w:r w:rsidR="0021663D" w:rsidRPr="0021663D">
        <w:t xml:space="preserve"> </w:t>
      </w:r>
      <w:r w:rsidR="0021663D" w:rsidRPr="00AA1EAB">
        <w:t xml:space="preserve">ADA, antidrug antibodies; LLOQ, lower limit of quantification; n, number of subjects in the ADA category, TE, </w:t>
      </w:r>
      <w:proofErr w:type="gramStart"/>
      <w:r w:rsidR="0021663D" w:rsidRPr="00AA1EAB">
        <w:t>treatment-emergent</w:t>
      </w:r>
      <w:proofErr w:type="gramEnd"/>
      <w:r w:rsidR="0021663D" w:rsidRPr="00AA1EAB">
        <w:t>.</w:t>
      </w:r>
    </w:p>
    <w:p w14:paraId="5A390AE0" w14:textId="1FAC8EA7" w:rsidR="00E10DF2" w:rsidRPr="00AA1EAB" w:rsidRDefault="00E10DF2" w:rsidP="00E10DF2">
      <w:pPr>
        <w:pStyle w:val="FigureDescription"/>
      </w:pPr>
      <w:r w:rsidRPr="00AA1EAB">
        <w:t xml:space="preserve">TE-ADA+ to AZD7442 is defined as TE-ADA+ to AZD8895 and/or AZD1061. Non-TE-ADA+ is defined as ADA+ but not fulfilling the conditions for TE-ADA+. ADA negative is defined as ADA negative at all assessments, including baseline and post-baseline. Horizontal dotted line denotes the lower limit of quantification of the PK assay (0.3 μg/mL). TE-ADA+ only shows participants with </w:t>
      </w:r>
      <w:r w:rsidR="0077635B" w:rsidRPr="00AA1EAB">
        <w:t>titre</w:t>
      </w:r>
      <w:r w:rsidRPr="00AA1EAB">
        <w:t xml:space="preserve"> of ≥ 1280 for either ADA8895 and/or ADA1061. ADA-negative group, the median (black line with open circles) and the 5th and 95th percentiles (shaded areas) are presented.</w:t>
      </w:r>
    </w:p>
    <w:p w14:paraId="7B887F7A" w14:textId="6A5C7B16" w:rsidR="00E10DF2" w:rsidRDefault="00552425" w:rsidP="0021663D">
      <w:r w:rsidRPr="00B52DF6">
        <w:t xml:space="preserve">The Delegate noted that as seen in the </w:t>
      </w:r>
      <w:r w:rsidR="00B52DF6" w:rsidRPr="00B52DF6">
        <w:fldChar w:fldCharType="begin"/>
      </w:r>
      <w:r w:rsidR="00B52DF6" w:rsidRPr="00B52DF6">
        <w:instrText xml:space="preserve"> REF _Ref119407539 \h </w:instrText>
      </w:r>
      <w:r w:rsidR="00B52DF6">
        <w:instrText xml:space="preserve"> \* MERGEFORMAT </w:instrText>
      </w:r>
      <w:r w:rsidR="00B52DF6" w:rsidRPr="00B52DF6">
        <w:fldChar w:fldCharType="separate"/>
      </w:r>
      <w:r w:rsidR="008D61A2">
        <w:t>TACKLE trial</w:t>
      </w:r>
      <w:r w:rsidR="00B52DF6" w:rsidRPr="00B52DF6">
        <w:fldChar w:fldCharType="end"/>
      </w:r>
      <w:r w:rsidR="00B52DF6" w:rsidRPr="00B52DF6">
        <w:t xml:space="preserve"> </w:t>
      </w:r>
      <w:r w:rsidRPr="00B52DF6">
        <w:t>(</w:t>
      </w:r>
      <w:r w:rsidR="00B52DF6">
        <w:t xml:space="preserve">see </w:t>
      </w:r>
      <w:r w:rsidR="0077635B">
        <w:t xml:space="preserve">section: </w:t>
      </w:r>
      <w:r w:rsidR="00B52DF6" w:rsidRPr="00B52DF6">
        <w:fldChar w:fldCharType="begin"/>
      </w:r>
      <w:r w:rsidR="00B52DF6" w:rsidRPr="00B52DF6">
        <w:instrText xml:space="preserve"> REF _Ref110783180 \h </w:instrText>
      </w:r>
      <w:r w:rsidR="00B52DF6">
        <w:instrText xml:space="preserve"> \* MERGEFORMAT </w:instrText>
      </w:r>
      <w:r w:rsidR="00B52DF6" w:rsidRPr="00B52DF6">
        <w:fldChar w:fldCharType="separate"/>
      </w:r>
      <w:r w:rsidR="008D61A2">
        <w:t>Anti-drug antibody effect on pharmacokinetics</w:t>
      </w:r>
      <w:r w:rsidR="00B52DF6" w:rsidRPr="00B52DF6">
        <w:fldChar w:fldCharType="end"/>
      </w:r>
      <w:r w:rsidRPr="00B52DF6">
        <w:t xml:space="preserve">, </w:t>
      </w:r>
      <w:r w:rsidR="0077635B">
        <w:t xml:space="preserve">below) </w:t>
      </w:r>
      <w:r w:rsidRPr="00B52DF6">
        <w:t xml:space="preserve">the emergence of </w:t>
      </w:r>
      <w:r w:rsidR="002B149A" w:rsidRPr="00B52DF6">
        <w:t>anti-drug antibody</w:t>
      </w:r>
      <w:r w:rsidRPr="00B52DF6">
        <w:t xml:space="preserve"> following treatment is associated with measurably lower GM serum drug concentrations at about 6 months of approximately 25% compared to </w:t>
      </w:r>
      <w:r w:rsidR="002B149A" w:rsidRPr="00B52DF6">
        <w:t>anti-drug antibody</w:t>
      </w:r>
      <w:r w:rsidRPr="00B52DF6">
        <w:t xml:space="preserve"> negative participants (more </w:t>
      </w:r>
      <w:r w:rsidRPr="00B52DF6">
        <w:lastRenderedPageBreak/>
        <w:t>pronounced for tixagevimab then cilgavimab). This was of a similar pattern and order of magnitude to what was seen on Day 169 following the 600 mg Evusheld dosage in the</w:t>
      </w:r>
      <w:r w:rsidRPr="00552425">
        <w:t xml:space="preserve"> </w:t>
      </w:r>
      <w:r w:rsidR="0077635B">
        <w:t>TACKLE trial.</w:t>
      </w:r>
    </w:p>
    <w:p w14:paraId="2AAF60A5" w14:textId="0D7480EE" w:rsidR="00552425" w:rsidRDefault="00552425" w:rsidP="00867014">
      <w:pPr>
        <w:pStyle w:val="Heading5"/>
      </w:pPr>
      <w:r>
        <w:t>Anti-drug antibody effect on safety</w:t>
      </w:r>
    </w:p>
    <w:p w14:paraId="251B5D01" w14:textId="64748980" w:rsidR="00552425" w:rsidRDefault="00552425" w:rsidP="00552425">
      <w:r>
        <w:t xml:space="preserve">The </w:t>
      </w:r>
      <w:r w:rsidR="00671485">
        <w:t>s</w:t>
      </w:r>
      <w:r>
        <w:t xml:space="preserve">ponsor stated that in the </w:t>
      </w:r>
      <w:proofErr w:type="gramStart"/>
      <w:r>
        <w:t>13</w:t>
      </w:r>
      <w:r w:rsidR="00867014" w:rsidRPr="001751CF">
        <w:t xml:space="preserve"> treatment</w:t>
      </w:r>
      <w:proofErr w:type="gramEnd"/>
      <w:r w:rsidR="00867014">
        <w:t xml:space="preserve"> </w:t>
      </w:r>
      <w:r w:rsidR="00867014" w:rsidRPr="001751CF">
        <w:t xml:space="preserve">emergent </w:t>
      </w:r>
      <w:r w:rsidR="00867014">
        <w:t xml:space="preserve">antidrug antibodies plus </w:t>
      </w:r>
      <w:r>
        <w:t xml:space="preserve">participants with a titre </w:t>
      </w:r>
      <w:r w:rsidR="00671485">
        <w:t>greater or equal to</w:t>
      </w:r>
      <w:r>
        <w:t xml:space="preserve"> 1280, there were no reported </w:t>
      </w:r>
      <w:r w:rsidR="0077635B">
        <w:t xml:space="preserve">adverse events </w:t>
      </w:r>
      <w:r>
        <w:t>of hypersensitivity or anaphylaxis, injection site reactions, or cardiac disorders.</w:t>
      </w:r>
    </w:p>
    <w:p w14:paraId="25CBB8A5" w14:textId="2063B59C" w:rsidR="00552425" w:rsidRPr="004852B0" w:rsidRDefault="00867014" w:rsidP="00552425">
      <w:r>
        <w:t>The Delegate commented that the study above</w:t>
      </w:r>
      <w:r w:rsidR="00552425">
        <w:t xml:space="preserve"> represents a very focused analysis of safety restricted to some specified </w:t>
      </w:r>
      <w:r w:rsidR="0077635B">
        <w:t>adverse event P</w:t>
      </w:r>
      <w:r w:rsidR="00552425">
        <w:t xml:space="preserve">referred </w:t>
      </w:r>
      <w:r w:rsidR="0077635B">
        <w:t>T</w:t>
      </w:r>
      <w:r w:rsidR="00552425">
        <w:t xml:space="preserve">erms and only to participants with the highest level of observable </w:t>
      </w:r>
      <w:r w:rsidRPr="001751CF">
        <w:t>treatment</w:t>
      </w:r>
      <w:r>
        <w:t xml:space="preserve"> </w:t>
      </w:r>
      <w:r w:rsidRPr="001751CF">
        <w:t xml:space="preserve">emergent </w:t>
      </w:r>
      <w:r>
        <w:t>antidrug antibodies</w:t>
      </w:r>
      <w:r w:rsidR="00552425">
        <w:t xml:space="preserve">. This is a different approach to the analyses of safety in the </w:t>
      </w:r>
      <w:r w:rsidR="0077635B">
        <w:t xml:space="preserve">PROVENT trial (see section: </w:t>
      </w:r>
      <w:r>
        <w:fldChar w:fldCharType="begin"/>
      </w:r>
      <w:r>
        <w:instrText xml:space="preserve"> REF _Ref119308496 \h </w:instrText>
      </w:r>
      <w:r>
        <w:fldChar w:fldCharType="separate"/>
      </w:r>
      <w:r w:rsidR="008D61A2">
        <w:t xml:space="preserve">PROVENT trial, repeat dosing </w:t>
      </w:r>
      <w:proofErr w:type="spellStart"/>
      <w:r w:rsidR="008D61A2">
        <w:t>substudy</w:t>
      </w:r>
      <w:proofErr w:type="spellEnd"/>
      <w:r w:rsidR="008D61A2">
        <w:t xml:space="preserve"> (</w:t>
      </w:r>
      <w:proofErr w:type="spellStart"/>
      <w:r w:rsidR="008D61A2">
        <w:t>Substudy</w:t>
      </w:r>
      <w:proofErr w:type="spellEnd"/>
      <w:r>
        <w:fldChar w:fldCharType="end"/>
      </w:r>
      <w:r w:rsidR="0077635B">
        <w:t>, below)</w:t>
      </w:r>
      <w:r>
        <w:t xml:space="preserve"> </w:t>
      </w:r>
      <w:r w:rsidR="00552425">
        <w:t xml:space="preserve">and </w:t>
      </w:r>
      <w:r w:rsidR="00B52DF6" w:rsidRPr="00B52DF6">
        <w:fldChar w:fldCharType="begin"/>
      </w:r>
      <w:r w:rsidR="00B52DF6" w:rsidRPr="00B52DF6">
        <w:instrText xml:space="preserve"> REF _Ref119407539 \h </w:instrText>
      </w:r>
      <w:r w:rsidR="00B52DF6">
        <w:instrText xml:space="preserve"> \* MERGEFORMAT </w:instrText>
      </w:r>
      <w:r w:rsidR="00B52DF6" w:rsidRPr="00B52DF6">
        <w:fldChar w:fldCharType="separate"/>
      </w:r>
      <w:r w:rsidR="008D61A2">
        <w:t>TACKLE trial</w:t>
      </w:r>
      <w:r w:rsidR="00B52DF6" w:rsidRPr="00B52DF6">
        <w:fldChar w:fldCharType="end"/>
      </w:r>
      <w:r w:rsidR="00B52DF6" w:rsidRPr="00B52DF6">
        <w:t xml:space="preserve"> </w:t>
      </w:r>
      <w:r w:rsidR="00552425" w:rsidRPr="00B52DF6">
        <w:t>(</w:t>
      </w:r>
      <w:r w:rsidR="00B52DF6" w:rsidRPr="00B52DF6">
        <w:t>see</w:t>
      </w:r>
      <w:r w:rsidR="0077635B">
        <w:t xml:space="preserve"> section:</w:t>
      </w:r>
      <w:r w:rsidR="00B52DF6" w:rsidRPr="00B52DF6">
        <w:t xml:space="preserve"> </w:t>
      </w:r>
      <w:r w:rsidR="00671485">
        <w:t xml:space="preserve">TACKLE trial </w:t>
      </w:r>
      <w:r w:rsidR="00552425" w:rsidRPr="00B52DF6">
        <w:fldChar w:fldCharType="begin"/>
      </w:r>
      <w:r w:rsidR="00552425" w:rsidRPr="00B52DF6">
        <w:instrText xml:space="preserve"> REF _Ref110785331 \p \h </w:instrText>
      </w:r>
      <w:r w:rsidRPr="00B52DF6">
        <w:instrText xml:space="preserve"> \* MERGEFORMAT </w:instrText>
      </w:r>
      <w:r w:rsidR="00552425" w:rsidRPr="00B52DF6">
        <w:fldChar w:fldCharType="separate"/>
      </w:r>
      <w:r w:rsidR="008D61A2">
        <w:t>below</w:t>
      </w:r>
      <w:r w:rsidR="00552425" w:rsidRPr="00B52DF6">
        <w:fldChar w:fldCharType="end"/>
      </w:r>
      <w:r w:rsidR="00552425" w:rsidRPr="00B52DF6">
        <w:t>). No conclusions</w:t>
      </w:r>
      <w:r w:rsidR="00552425">
        <w:t xml:space="preserve"> about the overall relationship between </w:t>
      </w:r>
      <w:r>
        <w:t>anti-drug antibody</w:t>
      </w:r>
      <w:r w:rsidR="00552425">
        <w:t xml:space="preserve"> and safety should be drawn from this and this uncertainty should be reflected in the PI.</w:t>
      </w:r>
    </w:p>
    <w:p w14:paraId="13775E26" w14:textId="00683BB3" w:rsidR="00552425" w:rsidRDefault="00552425" w:rsidP="00A543F1">
      <w:pPr>
        <w:pStyle w:val="Heading4"/>
      </w:pPr>
      <w:bookmarkStart w:id="48" w:name="_Ref119308496"/>
      <w:r>
        <w:t>PROVENT trial</w:t>
      </w:r>
      <w:r w:rsidR="00867014">
        <w:t xml:space="preserve">, </w:t>
      </w:r>
      <w:r>
        <w:t xml:space="preserve">repeat dosing </w:t>
      </w:r>
      <w:proofErr w:type="spellStart"/>
      <w:r w:rsidR="0077635B">
        <w:t>substudy</w:t>
      </w:r>
      <w:proofErr w:type="spellEnd"/>
      <w:r w:rsidR="0077635B">
        <w:t xml:space="preserve"> (</w:t>
      </w:r>
      <w:proofErr w:type="spellStart"/>
      <w:r w:rsidR="0077635B">
        <w:t>S</w:t>
      </w:r>
      <w:r>
        <w:t>ubstudy</w:t>
      </w:r>
      <w:bookmarkEnd w:id="48"/>
      <w:proofErr w:type="spellEnd"/>
      <w:r w:rsidR="0077635B">
        <w:t xml:space="preserve"> D8850C002A01)</w:t>
      </w:r>
    </w:p>
    <w:p w14:paraId="656380DD" w14:textId="49DC5E15" w:rsidR="00552425" w:rsidRDefault="00867014" w:rsidP="00A543F1">
      <w:pPr>
        <w:pStyle w:val="Heading5"/>
      </w:pPr>
      <w:r>
        <w:t>A</w:t>
      </w:r>
      <w:r w:rsidR="00552425">
        <w:t>nti</w:t>
      </w:r>
      <w:r>
        <w:t>-</w:t>
      </w:r>
      <w:r w:rsidR="00552425">
        <w:t>drug antibody results</w:t>
      </w:r>
    </w:p>
    <w:p w14:paraId="0DA518F3" w14:textId="79D6DFBA" w:rsidR="00552425" w:rsidRDefault="00552425" w:rsidP="00552425">
      <w:r>
        <w:t xml:space="preserve">There were 54 participants from Group 1 of the PROVENT </w:t>
      </w:r>
      <w:r w:rsidR="00A543F1">
        <w:t>trial</w:t>
      </w:r>
      <w:r>
        <w:t xml:space="preserve"> in whom at least one sample was collected for an </w:t>
      </w:r>
      <w:r w:rsidR="002B149A">
        <w:t>anti-drug antibody</w:t>
      </w:r>
      <w:r>
        <w:t xml:space="preserve"> assessment, but repeat sampling was only available for </w:t>
      </w:r>
      <w:r w:rsidR="00867014">
        <w:t>anti-drug antibody</w:t>
      </w:r>
      <w:r>
        <w:t xml:space="preserve"> assessment in 48 (tixagevimab), 49 (cilgavimab) and 49 (E</w:t>
      </w:r>
      <w:r w:rsidR="00A543F1">
        <w:t>vusheld</w:t>
      </w:r>
      <w:r>
        <w:t>) participants. The prevalence (</w:t>
      </w:r>
      <w:r w:rsidR="00A543F1">
        <w:t>that is</w:t>
      </w:r>
      <w:r>
        <w:t xml:space="preserve"> present at </w:t>
      </w:r>
      <w:r w:rsidR="00F40974">
        <w:t>B</w:t>
      </w:r>
      <w:r>
        <w:t xml:space="preserve">aseline and/or through the </w:t>
      </w:r>
      <w:proofErr w:type="spellStart"/>
      <w:r>
        <w:t>substudy</w:t>
      </w:r>
      <w:proofErr w:type="spellEnd"/>
      <w:r>
        <w:t>) and treatment</w:t>
      </w:r>
      <w:r w:rsidR="00A543F1">
        <w:t xml:space="preserve"> </w:t>
      </w:r>
      <w:r>
        <w:t>emergent incidence (</w:t>
      </w:r>
      <w:r w:rsidR="00A543F1">
        <w:t>that is</w:t>
      </w:r>
      <w:r>
        <w:t xml:space="preserve"> newly apparent or boosted baseline response) of </w:t>
      </w:r>
      <w:r w:rsidR="00867014">
        <w:t>anti-drug antibody</w:t>
      </w:r>
      <w:r>
        <w:t xml:space="preserve"> up to Day 29 of the </w:t>
      </w:r>
      <w:proofErr w:type="spellStart"/>
      <w:r w:rsidR="00867014">
        <w:t>s</w:t>
      </w:r>
      <w:r>
        <w:t>ubstudy</w:t>
      </w:r>
      <w:proofErr w:type="spellEnd"/>
      <w:r>
        <w:t xml:space="preserve"> (</w:t>
      </w:r>
      <w:r w:rsidR="00A543F1">
        <w:t>note well in</w:t>
      </w:r>
      <w:r>
        <w:t xml:space="preserve"> repeat dosing happened on ‘Day 1’) is shown in</w:t>
      </w:r>
      <w:r w:rsidR="00A543F1">
        <w:t xml:space="preserve"> </w:t>
      </w:r>
      <w:r w:rsidR="00A543F1">
        <w:fldChar w:fldCharType="begin"/>
      </w:r>
      <w:r w:rsidR="00A543F1">
        <w:instrText xml:space="preserve"> REF _Ref119307917 \h </w:instrText>
      </w:r>
      <w:r w:rsidR="00A543F1">
        <w:fldChar w:fldCharType="separate"/>
      </w:r>
      <w:r w:rsidR="008D61A2" w:rsidRPr="00A543F1">
        <w:t xml:space="preserve">Table </w:t>
      </w:r>
      <w:r w:rsidR="008D61A2">
        <w:rPr>
          <w:noProof/>
        </w:rPr>
        <w:t>7</w:t>
      </w:r>
      <w:r w:rsidR="00A543F1">
        <w:fldChar w:fldCharType="end"/>
      </w:r>
      <w:r w:rsidR="00A543F1">
        <w:t xml:space="preserve">. </w:t>
      </w:r>
      <w:r w:rsidR="00A543F1" w:rsidRPr="00A543F1">
        <w:t xml:space="preserve">The medians of the maximum </w:t>
      </w:r>
      <w:r w:rsidR="00867014">
        <w:t xml:space="preserve">anti-drug antibody </w:t>
      </w:r>
      <w:r w:rsidR="00A543F1" w:rsidRPr="00A543F1">
        <w:t>titres were low and close to the level of detection for the respective assays. These levels were no higher than those seen at Day 29 following the first E</w:t>
      </w:r>
      <w:r w:rsidR="00A543F1">
        <w:t>vusheld</w:t>
      </w:r>
      <w:r w:rsidR="00A543F1" w:rsidRPr="00A543F1">
        <w:t xml:space="preserve"> dose.</w:t>
      </w:r>
    </w:p>
    <w:p w14:paraId="0FFF3535" w14:textId="1873AF0D" w:rsidR="00F40974" w:rsidRDefault="00F40974" w:rsidP="006402BA">
      <w:pPr>
        <w:spacing w:before="0" w:after="200" w:line="0" w:lineRule="auto"/>
      </w:pPr>
      <w:r>
        <w:br w:type="page"/>
      </w:r>
    </w:p>
    <w:p w14:paraId="7A28A6B1" w14:textId="29195CCB" w:rsidR="00A543F1" w:rsidRDefault="00A543F1" w:rsidP="00A543F1">
      <w:pPr>
        <w:pStyle w:val="TableTitle"/>
      </w:pPr>
      <w:bookmarkStart w:id="49" w:name="_Ref119307917"/>
      <w:r w:rsidRPr="00A543F1">
        <w:lastRenderedPageBreak/>
        <w:t xml:space="preserve">Table </w:t>
      </w:r>
      <w:r w:rsidR="005E1B9B">
        <w:fldChar w:fldCharType="begin"/>
      </w:r>
      <w:r w:rsidR="005E1B9B">
        <w:instrText xml:space="preserve"> SEQ Table \* ARABIC </w:instrText>
      </w:r>
      <w:r w:rsidR="005E1B9B">
        <w:fldChar w:fldCharType="separate"/>
      </w:r>
      <w:r w:rsidR="008D61A2">
        <w:rPr>
          <w:noProof/>
        </w:rPr>
        <w:t>7</w:t>
      </w:r>
      <w:r w:rsidR="005E1B9B">
        <w:rPr>
          <w:noProof/>
        </w:rPr>
        <w:fldChar w:fldCharType="end"/>
      </w:r>
      <w:bookmarkEnd w:id="49"/>
      <w:r>
        <w:t xml:space="preserve">: </w:t>
      </w:r>
      <w:r w:rsidR="0077635B">
        <w:t>PROVENT trial (</w:t>
      </w:r>
      <w:proofErr w:type="spellStart"/>
      <w:r w:rsidR="0077635B">
        <w:t>Substudy</w:t>
      </w:r>
      <w:proofErr w:type="spellEnd"/>
      <w:r w:rsidR="0077635B">
        <w:t xml:space="preserve"> D8850C002A01) </w:t>
      </w:r>
      <w:r w:rsidRPr="00A543F1">
        <w:t xml:space="preserve">Summary of </w:t>
      </w:r>
      <w:r>
        <w:t>anti</w:t>
      </w:r>
      <w:r w:rsidR="00867014">
        <w:t>-</w:t>
      </w:r>
      <w:r>
        <w:t>drug antibody</w:t>
      </w:r>
      <w:r w:rsidRPr="00A543F1">
        <w:t xml:space="preserve"> </w:t>
      </w:r>
      <w:r>
        <w:t>r</w:t>
      </w:r>
      <w:r w:rsidRPr="00A543F1">
        <w:t xml:space="preserve">esponses to </w:t>
      </w:r>
      <w:r w:rsidRPr="00137A41">
        <w:t>tixagevimab</w:t>
      </w:r>
      <w:r w:rsidRPr="00A543F1">
        <w:t xml:space="preserve">, </w:t>
      </w:r>
      <w:r w:rsidRPr="00137A41">
        <w:t>cilgavimab</w:t>
      </w:r>
      <w:r w:rsidRPr="00A543F1">
        <w:t xml:space="preserve">, and </w:t>
      </w:r>
      <w:r>
        <w:t>Evusheld</w:t>
      </w:r>
      <w:r w:rsidRPr="00A543F1">
        <w:t xml:space="preserve"> </w:t>
      </w:r>
      <w:r>
        <w:t>d</w:t>
      </w:r>
      <w:r w:rsidRPr="00A543F1">
        <w:t xml:space="preserve">uring the </w:t>
      </w:r>
      <w:r>
        <w:t>s</w:t>
      </w:r>
      <w:r w:rsidRPr="00A543F1">
        <w:t>tudy (</w:t>
      </w:r>
      <w:r>
        <w:t>anti</w:t>
      </w:r>
      <w:r w:rsidR="00867014">
        <w:t>-</w:t>
      </w:r>
      <w:r>
        <w:t>drug antibody</w:t>
      </w:r>
      <w:r w:rsidRPr="00A543F1">
        <w:t xml:space="preserve"> </w:t>
      </w:r>
      <w:r>
        <w:t>e</w:t>
      </w:r>
      <w:r w:rsidRPr="00A543F1">
        <w:t xml:space="preserve">valuable </w:t>
      </w:r>
      <w:r>
        <w:t>a</w:t>
      </w:r>
      <w:r w:rsidRPr="00A543F1">
        <w:t xml:space="preserve">nalysis </w:t>
      </w:r>
      <w:r>
        <w:t>s</w:t>
      </w:r>
      <w:r w:rsidRPr="00A543F1">
        <w:t>et)</w:t>
      </w:r>
    </w:p>
    <w:p w14:paraId="2882BC5E" w14:textId="2849BB3D" w:rsidR="00A543F1" w:rsidRDefault="00A543F1" w:rsidP="00A543F1">
      <w:r>
        <w:rPr>
          <w:noProof/>
          <w:lang w:val="en-GB" w:eastAsia="en-GB"/>
        </w:rPr>
        <w:drawing>
          <wp:inline distT="0" distB="0" distL="0" distR="0" wp14:anchorId="07AB4FD5" wp14:editId="3E5EAF36">
            <wp:extent cx="5400040" cy="2269261"/>
            <wp:effectExtent l="0" t="0" r="0" b="0"/>
            <wp:docPr id="9" name="Picture 9" descr="Summary of anti-drug antibody responses to tixagevimab, cilgavimab, and Evusheld during the study (anti-drug antibody evaluabl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anti-drug antibody responses to tixagevimab, cilgavimab, and Evusheld during the study (anti-drug antibody evaluable analysis set)"/>
                    <pic:cNvPicPr/>
                  </pic:nvPicPr>
                  <pic:blipFill>
                    <a:blip r:embed="rId32"/>
                    <a:stretch>
                      <a:fillRect/>
                    </a:stretch>
                  </pic:blipFill>
                  <pic:spPr>
                    <a:xfrm>
                      <a:off x="0" y="0"/>
                      <a:ext cx="5400040" cy="2269261"/>
                    </a:xfrm>
                    <a:prstGeom prst="rect">
                      <a:avLst/>
                    </a:prstGeom>
                  </pic:spPr>
                </pic:pic>
              </a:graphicData>
            </a:graphic>
          </wp:inline>
        </w:drawing>
      </w:r>
    </w:p>
    <w:p w14:paraId="61DAC72E" w14:textId="09465D17" w:rsidR="00A543F1" w:rsidRDefault="00A543F1" w:rsidP="00A543F1">
      <w:pPr>
        <w:pStyle w:val="TableDescription"/>
      </w:pPr>
      <w:r>
        <w:t>Abbreviation</w:t>
      </w:r>
      <w:r w:rsidR="00F40974">
        <w:t>s</w:t>
      </w:r>
      <w:r>
        <w:t xml:space="preserve">: </w:t>
      </w:r>
      <w:r w:rsidR="00671485" w:rsidRPr="00137A41">
        <w:t>ADA, antidrug antibody;</w:t>
      </w:r>
      <w:r w:rsidR="00671485">
        <w:t xml:space="preserve"> </w:t>
      </w:r>
      <w:r w:rsidRPr="00137A41">
        <w:t>AZD8895 = tixagevimab; AZD1061 = cilgavimab; AZD7442 = E</w:t>
      </w:r>
      <w:r>
        <w:t>vusheld</w:t>
      </w:r>
      <w:r w:rsidR="00867014">
        <w:t xml:space="preserve">; </w:t>
      </w:r>
      <w:r w:rsidR="00867014" w:rsidRPr="00137A41">
        <w:t>DCO, data cut-off; Min, Minimum; Max, Maximum; N, number of participants in the analysis set; n, number of participants; NA, not applicable; TE-ADA, treatment-emergent ADA.</w:t>
      </w:r>
    </w:p>
    <w:p w14:paraId="43062B3B" w14:textId="77777777" w:rsidR="00867014" w:rsidRDefault="00A543F1" w:rsidP="00A543F1">
      <w:pPr>
        <w:pStyle w:val="TableDescription"/>
      </w:pPr>
      <w:proofErr w:type="gramStart"/>
      <w:r w:rsidRPr="00137A41">
        <w:rPr>
          <w:vertAlign w:val="superscript"/>
        </w:rPr>
        <w:t>a</w:t>
      </w:r>
      <w:proofErr w:type="gramEnd"/>
      <w:r>
        <w:rPr>
          <w:vertAlign w:val="superscript"/>
        </w:rPr>
        <w:t> </w:t>
      </w:r>
      <w:r w:rsidRPr="00137A41">
        <w:t>ADA prevalence is the proportion of ADA-positive participants (positive ADA result at any time, baseline or post-baseline) in the AZD8895 ADA-evaluable population, AZD1061 ADA-evaluable population, or AZD7442 ADA-evaluable population, respectively. Either AZD8895 ADA positive or AZD1061 ADA positive is considered AZD7442 ADA positive.</w:t>
      </w:r>
    </w:p>
    <w:p w14:paraId="7608521D" w14:textId="77777777" w:rsidR="00867014" w:rsidRDefault="00A543F1" w:rsidP="00A543F1">
      <w:pPr>
        <w:pStyle w:val="TableDescription"/>
      </w:pPr>
      <w:r w:rsidRPr="00137A41">
        <w:rPr>
          <w:vertAlign w:val="superscript"/>
        </w:rPr>
        <w:t>b</w:t>
      </w:r>
      <w:r>
        <w:rPr>
          <w:vertAlign w:val="superscript"/>
        </w:rPr>
        <w:t> </w:t>
      </w:r>
      <w:r w:rsidRPr="00137A41">
        <w:t>ADA incidence is the proportion of treatment-emergent participants (either treatment-induced ADA or treatment-boosted ADA) in the AZD8895 ADA-evaluable population, AZD1061 ADA-evaluable population, or AZD7442 ADA-evaluable population, respectively</w:t>
      </w:r>
      <w:r>
        <w:t>.</w:t>
      </w:r>
    </w:p>
    <w:p w14:paraId="139CDA65" w14:textId="5DFE26BB" w:rsidR="00867014" w:rsidRDefault="00A543F1" w:rsidP="00A543F1">
      <w:pPr>
        <w:pStyle w:val="TableDescription"/>
      </w:pPr>
      <w:r w:rsidRPr="00137A41">
        <w:rPr>
          <w:vertAlign w:val="superscript"/>
        </w:rPr>
        <w:t>c</w:t>
      </w:r>
      <w:r>
        <w:t> </w:t>
      </w:r>
      <w:r w:rsidRPr="00137A41">
        <w:t xml:space="preserve">Lowest reportable </w:t>
      </w:r>
      <w:r>
        <w:t>titre</w:t>
      </w:r>
      <w:r w:rsidRPr="00137A41">
        <w:t xml:space="preserve"> (lower limit of detection) = 80.</w:t>
      </w:r>
    </w:p>
    <w:p w14:paraId="6AF36825" w14:textId="73EA720D" w:rsidR="00867014" w:rsidRDefault="00A543F1" w:rsidP="00A543F1">
      <w:pPr>
        <w:pStyle w:val="TableDescription"/>
      </w:pPr>
      <w:r w:rsidRPr="00137A41">
        <w:rPr>
          <w:vertAlign w:val="superscript"/>
        </w:rPr>
        <w:t>d</w:t>
      </w:r>
      <w:r>
        <w:rPr>
          <w:vertAlign w:val="superscript"/>
        </w:rPr>
        <w:t> </w:t>
      </w:r>
      <w:r w:rsidRPr="00137A41">
        <w:t xml:space="preserve">Lowest reportable </w:t>
      </w:r>
      <w:r>
        <w:t>titre</w:t>
      </w:r>
      <w:r w:rsidRPr="00137A41">
        <w:t xml:space="preserve"> (lower limit of detection) = 4</w:t>
      </w:r>
      <w:r w:rsidR="00867014">
        <w:t>0</w:t>
      </w:r>
      <w:r w:rsidRPr="00137A41">
        <w:t>.</w:t>
      </w:r>
    </w:p>
    <w:p w14:paraId="2FA0E728" w14:textId="04264AF2" w:rsidR="00A543F1" w:rsidRDefault="00A543F1" w:rsidP="00A543F1">
      <w:pPr>
        <w:pStyle w:val="TableDescription"/>
      </w:pPr>
      <w:r w:rsidRPr="00137A41">
        <w:t xml:space="preserve">Group 1 = AZD7442 participants from the parent study; Group 2 = Placebo participants from the parent study. The first AZD8895 dose for Group 1 participants occurred in the parent study, and the first AZD8895 dose for Group 2 participants occurred in the </w:t>
      </w:r>
      <w:proofErr w:type="spellStart"/>
      <w:r w:rsidRPr="00137A41">
        <w:t>substudy</w:t>
      </w:r>
      <w:proofErr w:type="spellEnd"/>
      <w:r w:rsidRPr="00137A41">
        <w:t xml:space="preserve">. Baseline is defined as the last non-missing measurement taken prior to the first dose of AZD7442 (including unscheduled measurements, if any). If a participant has more than one </w:t>
      </w:r>
      <w:r>
        <w:t>titre</w:t>
      </w:r>
      <w:r w:rsidRPr="00137A41">
        <w:t xml:space="preserve"> result, the maximum </w:t>
      </w:r>
      <w:r>
        <w:t>titre</w:t>
      </w:r>
      <w:r w:rsidRPr="00137A41">
        <w:t xml:space="preserve"> result is used whether it is baseline or post-baseline. For any specific sample, higher </w:t>
      </w:r>
      <w:r>
        <w:t>titre</w:t>
      </w:r>
      <w:r w:rsidRPr="00137A41">
        <w:t xml:space="preserve"> between AZD8895 and AZD1061 is considered for AZD7442 </w:t>
      </w:r>
      <w:r>
        <w:t>titre</w:t>
      </w:r>
      <w:r w:rsidRPr="00137A41">
        <w:t>. The AZD8895 ADA-evaluable set consists of all participants in the Safety Analysis Set who have a non-missing baseline AZD8895 ADA and at least one non-missing post-baseline AZD8895 ADA result. The AZD1061 ADA-evaluable set consists of all participants in the Safety Analysis Set who have a non-missing baseline AZD1061 ADA and at least one non-missing post-baseline AZD1061 ADA result. The ADZ7442 ADA-evaluable set consists of all participants in the Safety Analysis Set who are AZD8895 ADA-evaluable or AZD1061 ADA-evaluable. The denominator is the number of AZD8895 ADA-evaluable participants, AZD1061 ADA-evaluable participants, or AZD7442 ADA-evaluable participants in the treatment group. Denominators are denoted as N in the treatment group.</w:t>
      </w:r>
    </w:p>
    <w:p w14:paraId="515C9182" w14:textId="35EBC978" w:rsidR="00867014" w:rsidRDefault="006E617D" w:rsidP="00867014">
      <w:r>
        <w:t>The Delegate commented that t</w:t>
      </w:r>
      <w:r w:rsidR="00867014">
        <w:t xml:space="preserve">he kinetics of </w:t>
      </w:r>
      <w:r>
        <w:t>anti-drug antibody</w:t>
      </w:r>
      <w:r w:rsidR="00867014">
        <w:t xml:space="preserve"> following </w:t>
      </w:r>
      <w:r>
        <w:t>D</w:t>
      </w:r>
      <w:r w:rsidR="00867014">
        <w:t>ose 2 v</w:t>
      </w:r>
      <w:r>
        <w:t>ersus</w:t>
      </w:r>
      <w:r w:rsidR="00867014">
        <w:t xml:space="preserve"> </w:t>
      </w:r>
      <w:r>
        <w:t>D</w:t>
      </w:r>
      <w:r w:rsidR="00867014">
        <w:t>ose 1 of E</w:t>
      </w:r>
      <w:r>
        <w:t>vusheld</w:t>
      </w:r>
      <w:r w:rsidR="00867014">
        <w:t xml:space="preserve"> may be different and are unknown to the </w:t>
      </w:r>
      <w:r>
        <w:t>clinical evaluator</w:t>
      </w:r>
      <w:r w:rsidR="00867014">
        <w:t>; however, in the parent study (</w:t>
      </w:r>
      <w:r w:rsidR="00867014">
        <w:fldChar w:fldCharType="begin"/>
      </w:r>
      <w:r w:rsidR="00867014">
        <w:instrText xml:space="preserve"> REF _Ref110785543 \p \h </w:instrText>
      </w:r>
      <w:r w:rsidR="00867014">
        <w:fldChar w:fldCharType="separate"/>
      </w:r>
      <w:r w:rsidR="008D61A2">
        <w:t>above</w:t>
      </w:r>
      <w:r w:rsidR="00867014">
        <w:fldChar w:fldCharType="end"/>
      </w:r>
      <w:r w:rsidR="00867014">
        <w:t>), treatment</w:t>
      </w:r>
      <w:r>
        <w:t xml:space="preserve"> </w:t>
      </w:r>
      <w:r w:rsidR="00867014">
        <w:t xml:space="preserve">emergent </w:t>
      </w:r>
      <w:r>
        <w:t>anti-drug antibody</w:t>
      </w:r>
      <w:r w:rsidR="00867014">
        <w:t xml:space="preserve"> did</w:t>
      </w:r>
      <w:r>
        <w:t xml:space="preserve"> not</w:t>
      </w:r>
      <w:r w:rsidR="00867014">
        <w:t xml:space="preserve"> become evident until sometime between Day 58 and Day 183. </w:t>
      </w:r>
      <w:bookmarkStart w:id="50" w:name="_Hlk115861657"/>
      <w:r w:rsidR="00867014">
        <w:t xml:space="preserve">The available Day 29 data was noted; however, this may be too early to observe </w:t>
      </w:r>
      <w:r>
        <w:t>anti-drug antibody</w:t>
      </w:r>
      <w:r w:rsidR="00867014">
        <w:t xml:space="preserve"> following the repeat dose</w:t>
      </w:r>
      <w:r w:rsidR="00867014" w:rsidRPr="009E53E7">
        <w:t xml:space="preserve">. In response to the </w:t>
      </w:r>
      <w:r w:rsidR="009E53E7" w:rsidRPr="009E53E7">
        <w:t>TGA’s</w:t>
      </w:r>
      <w:r w:rsidR="00867014" w:rsidRPr="009E53E7">
        <w:t xml:space="preserve"> question, the </w:t>
      </w:r>
      <w:r w:rsidRPr="009E53E7">
        <w:t>s</w:t>
      </w:r>
      <w:r w:rsidR="00867014" w:rsidRPr="009E53E7">
        <w:t>ponsor provided response</w:t>
      </w:r>
      <w:r w:rsidR="00AD4224">
        <w:t>.</w:t>
      </w:r>
      <w:r w:rsidR="00867014" w:rsidRPr="009E53E7">
        <w:t xml:space="preserve"> The response is considered as acceptable</w:t>
      </w:r>
      <w:r w:rsidR="009E53E7" w:rsidRPr="009E53E7">
        <w:t xml:space="preserve"> by Delegate.</w:t>
      </w:r>
    </w:p>
    <w:bookmarkEnd w:id="50"/>
    <w:p w14:paraId="6746FCAB" w14:textId="0E7F1CAA" w:rsidR="00867014" w:rsidRDefault="00867014" w:rsidP="006E617D">
      <w:pPr>
        <w:pStyle w:val="Heading5"/>
      </w:pPr>
      <w:r>
        <w:t>Anti-drug antibody effect on pharmacokinetics</w:t>
      </w:r>
    </w:p>
    <w:p w14:paraId="2B66F216" w14:textId="5D78D983" w:rsidR="00821B34" w:rsidRDefault="00821B34" w:rsidP="00821B34">
      <w:r>
        <w:t xml:space="preserve">The </w:t>
      </w:r>
      <w:r w:rsidR="00867014">
        <w:t>Day 29 serum concentrations of E</w:t>
      </w:r>
      <w:r w:rsidR="006E617D">
        <w:t>vusheld</w:t>
      </w:r>
      <w:r w:rsidR="00867014">
        <w:t xml:space="preserve"> in the </w:t>
      </w:r>
      <w:proofErr w:type="gramStart"/>
      <w:r w:rsidR="006E617D">
        <w:t>five</w:t>
      </w:r>
      <w:r w:rsidR="00867014">
        <w:t xml:space="preserve"> </w:t>
      </w:r>
      <w:r w:rsidRPr="00137A41">
        <w:t>treatment</w:t>
      </w:r>
      <w:proofErr w:type="gramEnd"/>
      <w:r>
        <w:t xml:space="preserve"> </w:t>
      </w:r>
      <w:r w:rsidRPr="00137A41">
        <w:t xml:space="preserve">emergent </w:t>
      </w:r>
      <w:r>
        <w:t>anti-drug antibody plus</w:t>
      </w:r>
      <w:r w:rsidR="00867014">
        <w:t xml:space="preserve"> participants and the </w:t>
      </w:r>
      <w:r w:rsidR="00671485">
        <w:t>six</w:t>
      </w:r>
      <w:r w:rsidR="00867014">
        <w:t xml:space="preserve"> non</w:t>
      </w:r>
      <w:r>
        <w:t>-</w:t>
      </w:r>
      <w:r w:rsidRPr="00137A41">
        <w:t>treatment</w:t>
      </w:r>
      <w:r>
        <w:t xml:space="preserve"> </w:t>
      </w:r>
      <w:r w:rsidRPr="00137A41">
        <w:t xml:space="preserve">emergent </w:t>
      </w:r>
      <w:r>
        <w:t>anti-drug antibody plus</w:t>
      </w:r>
      <w:r w:rsidR="00867014">
        <w:t xml:space="preserve"> </w:t>
      </w:r>
      <w:r w:rsidR="00867014">
        <w:lastRenderedPageBreak/>
        <w:t>participants were encompassed within the range of serum concentrations of the 37</w:t>
      </w:r>
      <w:r w:rsidR="00F40974">
        <w:t> </w:t>
      </w:r>
      <w:r>
        <w:t>anti</w:t>
      </w:r>
      <w:r>
        <w:noBreakHyphen/>
        <w:t xml:space="preserve">drug antibody </w:t>
      </w:r>
      <w:r w:rsidR="00867014">
        <w:t>negative participants (</w:t>
      </w:r>
      <w:r w:rsidR="00F40974">
        <w:t xml:space="preserve">see </w:t>
      </w:r>
      <w:r>
        <w:fldChar w:fldCharType="begin"/>
      </w:r>
      <w:r>
        <w:instrText xml:space="preserve"> REF _Ref119313170 \h </w:instrText>
      </w:r>
      <w:r>
        <w:fldChar w:fldCharType="separate"/>
      </w:r>
      <w:r w:rsidR="008D61A2" w:rsidRPr="00821B34">
        <w:t xml:space="preserve">Figure </w:t>
      </w:r>
      <w:r w:rsidR="008D61A2">
        <w:rPr>
          <w:noProof/>
        </w:rPr>
        <w:t>9</w:t>
      </w:r>
      <w:r>
        <w:fldChar w:fldCharType="end"/>
      </w:r>
      <w:r w:rsidR="00867014">
        <w:t>). The same was true for the component tixagevimab and cilgavimab serum concentrations.</w:t>
      </w:r>
      <w:r>
        <w:t xml:space="preserve"> Due to the small numbers, the sponsor stated that, ‘</w:t>
      </w:r>
      <w:r w:rsidRPr="00821B34">
        <w:rPr>
          <w:i/>
          <w:iCs/>
        </w:rPr>
        <w:t xml:space="preserve">As such, it was not possible to formally assess the potential impact of </w:t>
      </w:r>
      <w:r>
        <w:rPr>
          <w:i/>
          <w:iCs/>
        </w:rPr>
        <w:t>anti-drug antibody</w:t>
      </w:r>
      <w:r w:rsidRPr="00821B34">
        <w:rPr>
          <w:i/>
          <w:iCs/>
        </w:rPr>
        <w:t xml:space="preserve"> on </w:t>
      </w:r>
      <w:r>
        <w:rPr>
          <w:i/>
          <w:iCs/>
        </w:rPr>
        <w:t>pharmacokinetics</w:t>
      </w:r>
      <w:r w:rsidRPr="00821B34">
        <w:rPr>
          <w:i/>
          <w:iCs/>
        </w:rPr>
        <w:t>.</w:t>
      </w:r>
      <w:r w:rsidR="00671485">
        <w:rPr>
          <w:i/>
          <w:iCs/>
        </w:rPr>
        <w:t xml:space="preserve">]’. </w:t>
      </w:r>
      <w:r w:rsidR="00671485" w:rsidRPr="00671485">
        <w:t>H</w:t>
      </w:r>
      <w:r w:rsidRPr="00821B34">
        <w:t xml:space="preserve">owever, </w:t>
      </w:r>
      <w:r w:rsidR="00671485">
        <w:t xml:space="preserve">the sponsor </w:t>
      </w:r>
      <w:r w:rsidRPr="00821B34">
        <w:t>also concluded that</w:t>
      </w:r>
      <w:r>
        <w:t>,</w:t>
      </w:r>
      <w:r w:rsidRPr="00821B34">
        <w:rPr>
          <w:i/>
          <w:iCs/>
        </w:rPr>
        <w:t xml:space="preserve"> ‘Overall, there was no apparent effect of </w:t>
      </w:r>
      <w:r w:rsidR="00B91BF1">
        <w:rPr>
          <w:i/>
          <w:iCs/>
        </w:rPr>
        <w:t>anti-drug antibody</w:t>
      </w:r>
      <w:r w:rsidRPr="00821B34">
        <w:rPr>
          <w:i/>
          <w:iCs/>
        </w:rPr>
        <w:t xml:space="preserve"> on the </w:t>
      </w:r>
      <w:r w:rsidR="00B91BF1">
        <w:rPr>
          <w:i/>
          <w:iCs/>
        </w:rPr>
        <w:t>pharmacokinetics</w:t>
      </w:r>
      <w:r w:rsidRPr="00821B34">
        <w:rPr>
          <w:i/>
          <w:iCs/>
        </w:rPr>
        <w:t xml:space="preserve"> of AZD7442 [E</w:t>
      </w:r>
      <w:r>
        <w:rPr>
          <w:i/>
          <w:iCs/>
        </w:rPr>
        <w:t>vusheld</w:t>
      </w:r>
      <w:r w:rsidRPr="00821B34">
        <w:rPr>
          <w:i/>
          <w:iCs/>
        </w:rPr>
        <w:t>].</w:t>
      </w:r>
      <w:r>
        <w:t>’</w:t>
      </w:r>
    </w:p>
    <w:p w14:paraId="29582129" w14:textId="24D0C637" w:rsidR="00867014" w:rsidRDefault="00671485" w:rsidP="00821B34">
      <w:r>
        <w:t>The</w:t>
      </w:r>
      <w:r w:rsidR="00B91BF1">
        <w:t xml:space="preserve"> </w:t>
      </w:r>
      <w:r w:rsidR="00821B34">
        <w:t>Delegate</w:t>
      </w:r>
      <w:r w:rsidR="00B91BF1">
        <w:t xml:space="preserve"> </w:t>
      </w:r>
      <w:r>
        <w:t>is of view</w:t>
      </w:r>
      <w:r w:rsidR="00B91BF1">
        <w:t xml:space="preserve"> that t</w:t>
      </w:r>
      <w:r w:rsidR="00821B34">
        <w:t xml:space="preserve">he levels were taken too early and the number of participants too small to make any reliable conclusions regarding the effect of </w:t>
      </w:r>
      <w:r w:rsidR="00B91BF1">
        <w:t>anti-drug antibody</w:t>
      </w:r>
      <w:r w:rsidR="00821B34">
        <w:t xml:space="preserve"> on </w:t>
      </w:r>
      <w:r w:rsidR="00B91BF1">
        <w:t>pharmacokinetics</w:t>
      </w:r>
      <w:r w:rsidR="00821B34">
        <w:t xml:space="preserve"> following repeat dosing.</w:t>
      </w:r>
    </w:p>
    <w:p w14:paraId="4C15E0E2" w14:textId="09D02EDE" w:rsidR="00867014" w:rsidRDefault="00821B34" w:rsidP="00821B34">
      <w:pPr>
        <w:pStyle w:val="FigureTitle"/>
      </w:pPr>
      <w:bookmarkStart w:id="51" w:name="_Ref119313170"/>
      <w:r w:rsidRPr="00821B34">
        <w:t xml:space="preserve">Figure </w:t>
      </w:r>
      <w:r w:rsidR="005E1B9B">
        <w:fldChar w:fldCharType="begin"/>
      </w:r>
      <w:r w:rsidR="005E1B9B">
        <w:instrText xml:space="preserve"> SEQ Figure \* ARABIC </w:instrText>
      </w:r>
      <w:r w:rsidR="005E1B9B">
        <w:fldChar w:fldCharType="separate"/>
      </w:r>
      <w:r w:rsidR="008D61A2">
        <w:rPr>
          <w:noProof/>
        </w:rPr>
        <w:t>9</w:t>
      </w:r>
      <w:r w:rsidR="005E1B9B">
        <w:rPr>
          <w:noProof/>
        </w:rPr>
        <w:fldChar w:fldCharType="end"/>
      </w:r>
      <w:bookmarkEnd w:id="51"/>
      <w:r>
        <w:t xml:space="preserve">: </w:t>
      </w:r>
      <w:r w:rsidR="00F40974">
        <w:t>PROVENT trial (</w:t>
      </w:r>
      <w:proofErr w:type="spellStart"/>
      <w:r w:rsidR="00F40974">
        <w:t>Substudy</w:t>
      </w:r>
      <w:proofErr w:type="spellEnd"/>
      <w:r w:rsidR="00F40974">
        <w:t xml:space="preserve"> D8850C002A01) </w:t>
      </w:r>
      <w:r>
        <w:t>Individual serum drug concentrations (μg/mL) versus time, by anti-drug antibody status and monoclonal antibody components (Pharmacokinetics analysis set)</w:t>
      </w:r>
    </w:p>
    <w:p w14:paraId="4F635764" w14:textId="3FEBB415" w:rsidR="00821B34" w:rsidRDefault="00821B34" w:rsidP="00821B34">
      <w:r w:rsidRPr="00821B34">
        <w:rPr>
          <w:noProof/>
          <w:lang w:val="en-GB" w:eastAsia="en-GB"/>
        </w:rPr>
        <w:drawing>
          <wp:inline distT="0" distB="0" distL="0" distR="0" wp14:anchorId="6CACC320" wp14:editId="76077F29">
            <wp:extent cx="4404742" cy="3064234"/>
            <wp:effectExtent l="0" t="0" r="0" b="3175"/>
            <wp:docPr id="4" name="Picture 4" descr="Individual serum drug concentrations (μg/mL) versus time, by anti-drug antibody status and monoclonal antibody components (Pharmacokinetics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ividual serum drug concentrations (μg/mL) versus time, by anti-drug antibody status and monoclonal antibody components (Pharmacokinetics analysis set)"/>
                    <pic:cNvPicPr/>
                  </pic:nvPicPr>
                  <pic:blipFill rotWithShape="1">
                    <a:blip r:embed="rId33"/>
                    <a:srcRect t="4934"/>
                    <a:stretch/>
                  </pic:blipFill>
                  <pic:spPr bwMode="auto">
                    <a:xfrm>
                      <a:off x="0" y="0"/>
                      <a:ext cx="4411020" cy="3068601"/>
                    </a:xfrm>
                    <a:prstGeom prst="rect">
                      <a:avLst/>
                    </a:prstGeom>
                    <a:ln>
                      <a:noFill/>
                    </a:ln>
                    <a:extLst>
                      <a:ext uri="{53640926-AAD7-44D8-BBD7-CCE9431645EC}">
                        <a14:shadowObscured xmlns:a14="http://schemas.microsoft.com/office/drawing/2010/main"/>
                      </a:ext>
                    </a:extLst>
                  </pic:spPr>
                </pic:pic>
              </a:graphicData>
            </a:graphic>
          </wp:inline>
        </w:drawing>
      </w:r>
    </w:p>
    <w:p w14:paraId="32DBAA31" w14:textId="4747BA55" w:rsidR="00821B34" w:rsidRPr="007C6E56" w:rsidRDefault="007C6E56" w:rsidP="00876706">
      <w:pPr>
        <w:pStyle w:val="FigureDescription"/>
      </w:pPr>
      <w:r w:rsidRPr="007C6E56">
        <w:t>Abbreviation</w:t>
      </w:r>
      <w:r w:rsidR="00F40974">
        <w:t>s</w:t>
      </w:r>
      <w:r w:rsidR="00821B34" w:rsidRPr="007C6E56">
        <w:t xml:space="preserve">: ADA, anti-drug antibodies; </w:t>
      </w:r>
      <w:r w:rsidR="00DA4BA7" w:rsidRPr="007C6E56">
        <w:t xml:space="preserve">AZD8895 = tixagevimab; AZD1061 = cilgavimab; AZD7442 = Evusheld; </w:t>
      </w:r>
      <w:r w:rsidR="00821B34" w:rsidRPr="007C6E56">
        <w:t xml:space="preserve">BS, baseline; LLOQ, lower limit of quantification; </w:t>
      </w:r>
      <w:proofErr w:type="spellStart"/>
      <w:r w:rsidR="00821B34" w:rsidRPr="007C6E56">
        <w:t>mAb</w:t>
      </w:r>
      <w:proofErr w:type="spellEnd"/>
      <w:r w:rsidR="00821B34" w:rsidRPr="007C6E56">
        <w:t>, monoclonal antibody; n, number of subjects in the ADA category; TE-ADA, treatment-emergent ADA.</w:t>
      </w:r>
    </w:p>
    <w:p w14:paraId="704EB5B8" w14:textId="77777777" w:rsidR="00821B34" w:rsidRPr="007C6E56" w:rsidRDefault="00821B34" w:rsidP="00876706">
      <w:pPr>
        <w:pStyle w:val="FigureDescription"/>
      </w:pPr>
      <w:r w:rsidRPr="007C6E56">
        <w:t>Group 1 = AZD7442 participants from the parent study; Group 2 = Placebo participants from the parent study.</w:t>
      </w:r>
    </w:p>
    <w:p w14:paraId="3BA36C89" w14:textId="03EB89A0" w:rsidR="00821B34" w:rsidRPr="007C6E56" w:rsidRDefault="00821B34" w:rsidP="00876706">
      <w:pPr>
        <w:pStyle w:val="FigureDescription"/>
      </w:pPr>
      <w:r w:rsidRPr="007C6E56">
        <w:t xml:space="preserve">TE-ADA positive is defined as either treatment-induced ADA positive (ADA negative at Baseline and post-baseline ADA positive) or treatment-boosted ADA positive (ADA positive at baseline and the baseline </w:t>
      </w:r>
      <w:proofErr w:type="spellStart"/>
      <w:r w:rsidRPr="007C6E56">
        <w:t>titer</w:t>
      </w:r>
      <w:proofErr w:type="spellEnd"/>
      <w:r w:rsidRPr="007C6E56">
        <w:t xml:space="preserve"> is boosted </w:t>
      </w:r>
      <w:proofErr w:type="gramStart"/>
      <w:r w:rsidRPr="007C6E56">
        <w:t>4 fold</w:t>
      </w:r>
      <w:proofErr w:type="gramEnd"/>
      <w:r w:rsidRPr="007C6E56">
        <w:t xml:space="preserve"> or higher post-baseline during the study period). Baseline is defined as the last non-missing measurement taken prior to the first dose of AZD8895, AZD1061 (including unscheduled measurements, if any). The first AZD8895/AZD1061 dose for Group 1 participants occurred in the parent study, and the first AZD8895/AZD1061 dose for Group 2 participants occurred in the </w:t>
      </w:r>
      <w:proofErr w:type="spellStart"/>
      <w:r w:rsidRPr="007C6E56">
        <w:t>substudy</w:t>
      </w:r>
      <w:proofErr w:type="spellEnd"/>
      <w:r w:rsidRPr="007C6E56">
        <w:t>.</w:t>
      </w:r>
    </w:p>
    <w:p w14:paraId="078791D9" w14:textId="77777777" w:rsidR="00821B34" w:rsidRPr="007C6E56" w:rsidRDefault="00821B34" w:rsidP="00876706">
      <w:pPr>
        <w:pStyle w:val="FigureDescription"/>
      </w:pPr>
      <w:r w:rsidRPr="007C6E56">
        <w:t>Non-TE-ADA positive is defined as subjects who are ADA positive but not fulfilling the conditions for TEADA+.</w:t>
      </w:r>
    </w:p>
    <w:p w14:paraId="50686411" w14:textId="6751AA1F" w:rsidR="00821B34" w:rsidRPr="007C6E56" w:rsidRDefault="00821B34" w:rsidP="00876706">
      <w:pPr>
        <w:pStyle w:val="FigureDescription"/>
      </w:pPr>
      <w:r w:rsidRPr="007C6E56">
        <w:t>ADA negative is defined as subjects who are ADA negative at all assessments, including baseline and postbaseline.</w:t>
      </w:r>
    </w:p>
    <w:p w14:paraId="42F8661E" w14:textId="1AEB0CD9" w:rsidR="00821B34" w:rsidRPr="007C6E56" w:rsidRDefault="00821B34" w:rsidP="00876706">
      <w:pPr>
        <w:pStyle w:val="FigureDescription"/>
      </w:pPr>
      <w:r w:rsidRPr="007C6E56">
        <w:t>Data cut</w:t>
      </w:r>
      <w:r w:rsidR="00F40974">
        <w:t>-</w:t>
      </w:r>
      <w:r w:rsidRPr="007C6E56">
        <w:t>off</w:t>
      </w:r>
      <w:r w:rsidR="00F40974">
        <w:t xml:space="preserve"> date</w:t>
      </w:r>
      <w:r w:rsidRPr="007C6E56">
        <w:t>: 25 February 2022</w:t>
      </w:r>
    </w:p>
    <w:p w14:paraId="011CEFF5" w14:textId="77777777" w:rsidR="00B91BF1" w:rsidRDefault="00B91BF1" w:rsidP="00B91BF1">
      <w:pPr>
        <w:pStyle w:val="Heading5"/>
      </w:pPr>
      <w:r>
        <w:lastRenderedPageBreak/>
        <w:t>Anti-drug antibody effect on safety</w:t>
      </w:r>
    </w:p>
    <w:p w14:paraId="4E2E3E4E" w14:textId="77777777" w:rsidR="00B91BF1" w:rsidRDefault="00B91BF1" w:rsidP="00B91BF1">
      <w:r>
        <w:t xml:space="preserve">None of the participants who were anti-drug antibody positive during the </w:t>
      </w:r>
      <w:proofErr w:type="spellStart"/>
      <w:r>
        <w:t>substudy</w:t>
      </w:r>
      <w:proofErr w:type="spellEnd"/>
      <w:r>
        <w:t xml:space="preserve"> reported AEs. This observation is limited by the low number of subjects. The Delegate considers that there is inadequate data to make any conclusions regarding the effect of anti-drug antibody on safety and pharmacokinetics of Evusheld.</w:t>
      </w:r>
    </w:p>
    <w:p w14:paraId="4BBE85ED" w14:textId="38131BAB" w:rsidR="00B91BF1" w:rsidRDefault="00B91BF1" w:rsidP="00B91BF1">
      <w:pPr>
        <w:pStyle w:val="Heading4"/>
      </w:pPr>
      <w:bookmarkStart w:id="52" w:name="_Ref119407539"/>
      <w:r>
        <w:t>TACKLE trial</w:t>
      </w:r>
      <w:bookmarkEnd w:id="52"/>
    </w:p>
    <w:p w14:paraId="6724B3BB" w14:textId="54B50265" w:rsidR="00B91BF1" w:rsidRDefault="00B91BF1" w:rsidP="00B91BF1">
      <w:r>
        <w:t>New text is proposed for the PI about the immunogenicity of 600 mg Evusheld dosing in the TACKLE trial in section 5.1 P</w:t>
      </w:r>
      <w:r w:rsidR="00EA5A86">
        <w:t xml:space="preserve">harmacodynamic properties </w:t>
      </w:r>
      <w:r>
        <w:t>of the PI.</w:t>
      </w:r>
    </w:p>
    <w:p w14:paraId="060FF696" w14:textId="06BB4C7E" w:rsidR="00B91BF1" w:rsidRDefault="00B91BF1" w:rsidP="00B91BF1">
      <w:pPr>
        <w:pStyle w:val="Heading5"/>
      </w:pPr>
      <w:r>
        <w:t>Anti-drug antibody results</w:t>
      </w:r>
    </w:p>
    <w:p w14:paraId="2D739051" w14:textId="24990FDD" w:rsidR="00B91BF1" w:rsidRDefault="00C122CB" w:rsidP="00F40974">
      <w:r>
        <w:t xml:space="preserve">Anti-drug antibody responses over 168 days post-dose are shown in </w:t>
      </w:r>
      <w:r>
        <w:fldChar w:fldCharType="begin"/>
      </w:r>
      <w:r>
        <w:instrText xml:space="preserve"> REF _Ref123726381 \h </w:instrText>
      </w:r>
      <w:r>
        <w:fldChar w:fldCharType="separate"/>
      </w:r>
      <w:r w:rsidRPr="006A2A6E">
        <w:t xml:space="preserve">Table </w:t>
      </w:r>
      <w:r>
        <w:rPr>
          <w:noProof/>
        </w:rPr>
        <w:t>8</w:t>
      </w:r>
      <w:r>
        <w:fldChar w:fldCharType="end"/>
      </w:r>
      <w:r>
        <w:t xml:space="preserve"> </w:t>
      </w:r>
      <w:r w:rsidR="00B91BF1">
        <w:t xml:space="preserve">for </w:t>
      </w:r>
      <w:proofErr w:type="spellStart"/>
      <w:r w:rsidR="00B91BF1">
        <w:t>tixagevimab</w:t>
      </w:r>
      <w:proofErr w:type="spellEnd"/>
      <w:r w:rsidR="00B91BF1">
        <w:t xml:space="preserve">, </w:t>
      </w:r>
      <w:proofErr w:type="spellStart"/>
      <w:r w:rsidR="00B91BF1">
        <w:t>cilgavimab</w:t>
      </w:r>
      <w:proofErr w:type="spellEnd"/>
      <w:r w:rsidR="00B91BF1">
        <w:t xml:space="preserve"> or </w:t>
      </w:r>
      <w:proofErr w:type="gramStart"/>
      <w:r w:rsidR="00B91BF1">
        <w:t>either component</w:t>
      </w:r>
      <w:proofErr w:type="gramEnd"/>
      <w:r w:rsidR="00B91BF1">
        <w:t xml:space="preserve"> of Evusheld. The incidence of treatment emergent antidrug antibody was 5.2% ,10.7% and 10.7% for each of these compounds respectively. Maximum titres were generally low level (close to the limits of detection) and </w:t>
      </w:r>
      <w:proofErr w:type="gramStart"/>
      <w:r w:rsidR="00B91BF1">
        <w:t>similar to</w:t>
      </w:r>
      <w:proofErr w:type="gramEnd"/>
      <w:r w:rsidR="00B91BF1">
        <w:t xml:space="preserve"> the maximum titres emergent in placebo recipients (albeit at lower incidence). These incidences were </w:t>
      </w:r>
      <w:r w:rsidR="00EA5A86">
        <w:t>less than</w:t>
      </w:r>
      <w:r w:rsidR="00B91BF1">
        <w:t xml:space="preserve"> 50% of the prevalence of </w:t>
      </w:r>
      <w:r w:rsidR="006A2A6E">
        <w:t>anti-drug antibody</w:t>
      </w:r>
      <w:r w:rsidR="00B91BF1">
        <w:t xml:space="preserve"> in each instance.</w:t>
      </w:r>
    </w:p>
    <w:p w14:paraId="153E91E4" w14:textId="785877E7" w:rsidR="00821B34" w:rsidRDefault="00B91BF1" w:rsidP="00B91BF1">
      <w:r>
        <w:t xml:space="preserve">Longitudinal examination of </w:t>
      </w:r>
      <w:r w:rsidR="006A2A6E">
        <w:t>anti-drug antibody</w:t>
      </w:r>
      <w:r>
        <w:t xml:space="preserve"> showed similar titres for positive results at </w:t>
      </w:r>
      <w:r w:rsidR="006A2A6E">
        <w:t>B</w:t>
      </w:r>
      <w:r>
        <w:t xml:space="preserve">aseline, Day 29, Day </w:t>
      </w:r>
      <w:proofErr w:type="gramStart"/>
      <w:r>
        <w:t>85</w:t>
      </w:r>
      <w:proofErr w:type="gramEnd"/>
      <w:r>
        <w:t xml:space="preserve"> and Day 169 respectively in both the Evusheld and placebo groups (</w:t>
      </w:r>
      <w:r w:rsidR="00F40974">
        <w:t xml:space="preserve">see </w:t>
      </w:r>
      <w:r w:rsidR="00DA4BA7">
        <w:fldChar w:fldCharType="begin"/>
      </w:r>
      <w:r w:rsidR="00DA4BA7">
        <w:instrText xml:space="preserve"> REF _Ref119314811 \h </w:instrText>
      </w:r>
      <w:r w:rsidR="00DA4BA7">
        <w:fldChar w:fldCharType="separate"/>
      </w:r>
      <w:r w:rsidR="008D61A2">
        <w:t xml:space="preserve">Figure </w:t>
      </w:r>
      <w:r w:rsidR="008D61A2">
        <w:rPr>
          <w:noProof/>
        </w:rPr>
        <w:t>10</w:t>
      </w:r>
      <w:r w:rsidR="00DA4BA7">
        <w:fldChar w:fldCharType="end"/>
      </w:r>
      <w:r>
        <w:t xml:space="preserve">), suggesting no maturation of </w:t>
      </w:r>
      <w:r w:rsidR="00DA4BA7">
        <w:t>anti-drug antibody</w:t>
      </w:r>
      <w:r>
        <w:t xml:space="preserve"> against E</w:t>
      </w:r>
      <w:r w:rsidR="00DA4BA7">
        <w:t>vusheld</w:t>
      </w:r>
      <w:r>
        <w:t xml:space="preserve"> over time. </w:t>
      </w:r>
      <w:r w:rsidR="00DA4BA7">
        <w:t>Despite,</w:t>
      </w:r>
      <w:r>
        <w:t xml:space="preserve"> the prevalence of participants with </w:t>
      </w:r>
      <w:r w:rsidR="00DA4BA7">
        <w:t xml:space="preserve">anti-drug antibody </w:t>
      </w:r>
      <w:r>
        <w:t>increased over time, the large majority had levels close to the low level of detection, without evident maturation. The potential impact of repeat dose on this observation in unclear.</w:t>
      </w:r>
    </w:p>
    <w:p w14:paraId="7FD5C068" w14:textId="6F81958F" w:rsidR="006A2A6E" w:rsidRDefault="006A2A6E" w:rsidP="00DA4BA7">
      <w:pPr>
        <w:pStyle w:val="FigureTitle"/>
      </w:pPr>
      <w:bookmarkStart w:id="53" w:name="_Ref119314811"/>
      <w:r>
        <w:t xml:space="preserve">Figure </w:t>
      </w:r>
      <w:r w:rsidR="005E1B9B">
        <w:fldChar w:fldCharType="begin"/>
      </w:r>
      <w:r w:rsidR="005E1B9B">
        <w:instrText xml:space="preserve"> SEQ Fi</w:instrText>
      </w:r>
      <w:r w:rsidR="005E1B9B">
        <w:instrText xml:space="preserve">gure \* ARABIC </w:instrText>
      </w:r>
      <w:r w:rsidR="005E1B9B">
        <w:fldChar w:fldCharType="separate"/>
      </w:r>
      <w:r w:rsidR="008D61A2">
        <w:rPr>
          <w:noProof/>
        </w:rPr>
        <w:t>10</w:t>
      </w:r>
      <w:r w:rsidR="005E1B9B">
        <w:rPr>
          <w:noProof/>
        </w:rPr>
        <w:fldChar w:fldCharType="end"/>
      </w:r>
      <w:bookmarkEnd w:id="53"/>
      <w:r>
        <w:t xml:space="preserve">: </w:t>
      </w:r>
      <w:r w:rsidR="00F40974">
        <w:t xml:space="preserve">TACKLE trial; </w:t>
      </w:r>
      <w:r w:rsidRPr="006A2A6E">
        <w:t xml:space="preserve">Anti-drug </w:t>
      </w:r>
      <w:r>
        <w:t>a</w:t>
      </w:r>
      <w:r w:rsidRPr="006A2A6E">
        <w:t xml:space="preserve">ntibody </w:t>
      </w:r>
      <w:r>
        <w:t>t</w:t>
      </w:r>
      <w:r w:rsidRPr="006A2A6E">
        <w:t>it</w:t>
      </w:r>
      <w:r>
        <w:t>re</w:t>
      </w:r>
      <w:r w:rsidRPr="006A2A6E">
        <w:t xml:space="preserve">s by </w:t>
      </w:r>
      <w:r>
        <w:t>t</w:t>
      </w:r>
      <w:r w:rsidRPr="006A2A6E">
        <w:t xml:space="preserve">ime </w:t>
      </w:r>
      <w:r>
        <w:t>p</w:t>
      </w:r>
      <w:r w:rsidRPr="006A2A6E">
        <w:t>oint</w:t>
      </w:r>
      <w:r>
        <w:t>, l</w:t>
      </w:r>
      <w:r w:rsidRPr="006A2A6E">
        <w:t xml:space="preserve">ine </w:t>
      </w:r>
      <w:r>
        <w:t>p</w:t>
      </w:r>
      <w:r w:rsidRPr="006A2A6E">
        <w:t>lot (</w:t>
      </w:r>
      <w:r>
        <w:t>anti-drug antibody</w:t>
      </w:r>
      <w:r w:rsidRPr="006A2A6E">
        <w:t xml:space="preserve"> </w:t>
      </w:r>
      <w:r>
        <w:t>e</w:t>
      </w:r>
      <w:r w:rsidRPr="006A2A6E">
        <w:t xml:space="preserve">valuable </w:t>
      </w:r>
      <w:r>
        <w:t>a</w:t>
      </w:r>
      <w:r w:rsidRPr="006A2A6E">
        <w:t xml:space="preserve">nalysis </w:t>
      </w:r>
      <w:r>
        <w:t>s</w:t>
      </w:r>
      <w:r w:rsidRPr="006A2A6E">
        <w:t>et)</w:t>
      </w:r>
    </w:p>
    <w:p w14:paraId="471E5437" w14:textId="219169F3" w:rsidR="006A2A6E" w:rsidRDefault="006A2A6E" w:rsidP="006A2A6E">
      <w:r w:rsidRPr="006A2A6E">
        <w:rPr>
          <w:noProof/>
          <w:lang w:val="en-GB" w:eastAsia="en-GB"/>
        </w:rPr>
        <w:drawing>
          <wp:inline distT="0" distB="0" distL="0" distR="0" wp14:anchorId="63AF1DE2" wp14:editId="105EE3F6">
            <wp:extent cx="5262609" cy="2765146"/>
            <wp:effectExtent l="0" t="0" r="0" b="0"/>
            <wp:docPr id="6" name="Picture 6" descr="Anti-drug antibody titres by time point, line plot (anti-drug antibody evaluabl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ti-drug antibody titres by time point, line plot (anti-drug antibody evaluable analysis set)"/>
                    <pic:cNvPicPr/>
                  </pic:nvPicPr>
                  <pic:blipFill>
                    <a:blip r:embed="rId34"/>
                    <a:stretch>
                      <a:fillRect/>
                    </a:stretch>
                  </pic:blipFill>
                  <pic:spPr>
                    <a:xfrm>
                      <a:off x="0" y="0"/>
                      <a:ext cx="5281550" cy="2775098"/>
                    </a:xfrm>
                    <a:prstGeom prst="rect">
                      <a:avLst/>
                    </a:prstGeom>
                  </pic:spPr>
                </pic:pic>
              </a:graphicData>
            </a:graphic>
          </wp:inline>
        </w:drawing>
      </w:r>
    </w:p>
    <w:p w14:paraId="4F8E780E" w14:textId="67289E4C" w:rsidR="006A2A6E" w:rsidRDefault="00EA5A86" w:rsidP="007C6E56">
      <w:pPr>
        <w:pStyle w:val="FigureDescription"/>
      </w:pPr>
      <w:r>
        <w:t xml:space="preserve">Abbreviation: </w:t>
      </w:r>
      <w:r w:rsidR="006A2A6E">
        <w:t>ADA</w:t>
      </w:r>
      <w:r>
        <w:t xml:space="preserve"> =</w:t>
      </w:r>
      <w:r w:rsidR="006A2A6E">
        <w:t xml:space="preserve"> anti-drug antibodies; </w:t>
      </w:r>
      <w:r w:rsidR="00DA4BA7" w:rsidRPr="00137A41">
        <w:t>AZD8895 = tixagevimab; AZD1061 = cilgavimab; AZD7442 = E</w:t>
      </w:r>
      <w:r w:rsidR="00DA4BA7">
        <w:t xml:space="preserve">vusheld Note: </w:t>
      </w:r>
      <w:r w:rsidR="006A2A6E">
        <w:t>AZD7442 antibody (positive to AZD8895 and/or AZD1061).</w:t>
      </w:r>
    </w:p>
    <w:p w14:paraId="629A4D17" w14:textId="1417DBAF" w:rsidR="006A2A6E" w:rsidRDefault="006A2A6E" w:rsidP="007C6E56">
      <w:pPr>
        <w:pStyle w:val="FigureDescription"/>
      </w:pPr>
      <w:r>
        <w:t>Error bars represent the 25th and 75th percentiles</w:t>
      </w:r>
    </w:p>
    <w:p w14:paraId="3C55F19D" w14:textId="3E7AFB6A" w:rsidR="00135802" w:rsidRPr="006A2A6E" w:rsidRDefault="00135802" w:rsidP="00135802">
      <w:pPr>
        <w:spacing w:before="0" w:after="200" w:line="0" w:lineRule="auto"/>
      </w:pPr>
      <w:r>
        <w:br w:type="page"/>
      </w:r>
    </w:p>
    <w:p w14:paraId="4CE9313D" w14:textId="2FE922E7" w:rsidR="00B91BF1" w:rsidRDefault="00B91BF1" w:rsidP="006A2A6E">
      <w:pPr>
        <w:pStyle w:val="TableTitle"/>
      </w:pPr>
      <w:bookmarkStart w:id="54" w:name="_Ref119315017"/>
      <w:bookmarkStart w:id="55" w:name="_Ref123726381"/>
      <w:r w:rsidRPr="006A2A6E">
        <w:lastRenderedPageBreak/>
        <w:t xml:space="preserve">Table </w:t>
      </w:r>
      <w:r w:rsidR="005E1B9B">
        <w:fldChar w:fldCharType="begin"/>
      </w:r>
      <w:r w:rsidR="005E1B9B">
        <w:instrText xml:space="preserve"> SEQ Table \* ARABIC </w:instrText>
      </w:r>
      <w:r w:rsidR="005E1B9B">
        <w:fldChar w:fldCharType="separate"/>
      </w:r>
      <w:r w:rsidR="008D61A2">
        <w:rPr>
          <w:noProof/>
        </w:rPr>
        <w:t>8</w:t>
      </w:r>
      <w:r w:rsidR="005E1B9B">
        <w:rPr>
          <w:noProof/>
        </w:rPr>
        <w:fldChar w:fldCharType="end"/>
      </w:r>
      <w:bookmarkEnd w:id="54"/>
      <w:bookmarkEnd w:id="55"/>
      <w:r>
        <w:t xml:space="preserve">: </w:t>
      </w:r>
      <w:r w:rsidR="00F40974">
        <w:t xml:space="preserve">TACKLE trial; </w:t>
      </w:r>
      <w:r w:rsidR="006A2A6E" w:rsidRPr="006A2A6E">
        <w:t xml:space="preserve">Summary of </w:t>
      </w:r>
      <w:r w:rsidR="006A2A6E">
        <w:t>anti-drug antibody</w:t>
      </w:r>
      <w:r w:rsidR="006A2A6E" w:rsidRPr="006A2A6E">
        <w:t xml:space="preserve"> </w:t>
      </w:r>
      <w:r w:rsidR="006A2A6E">
        <w:t>r</w:t>
      </w:r>
      <w:r w:rsidR="006A2A6E" w:rsidRPr="006A2A6E">
        <w:t xml:space="preserve">esponses to </w:t>
      </w:r>
      <w:r w:rsidR="006A2A6E" w:rsidRPr="00137A41">
        <w:t>tixagevimab</w:t>
      </w:r>
      <w:r w:rsidR="006A2A6E" w:rsidRPr="00A543F1">
        <w:t xml:space="preserve">, </w:t>
      </w:r>
      <w:r w:rsidR="006A2A6E" w:rsidRPr="00137A41">
        <w:t>cilgavimab</w:t>
      </w:r>
      <w:r w:rsidR="006A2A6E" w:rsidRPr="00A543F1">
        <w:t xml:space="preserve">, and </w:t>
      </w:r>
      <w:r w:rsidR="006A2A6E">
        <w:t>Evusheld</w:t>
      </w:r>
      <w:r w:rsidR="006A2A6E" w:rsidRPr="006A2A6E">
        <w:t xml:space="preserve"> </w:t>
      </w:r>
      <w:r w:rsidR="006A2A6E">
        <w:t>f</w:t>
      </w:r>
      <w:r w:rsidR="006A2A6E" w:rsidRPr="006A2A6E">
        <w:t xml:space="preserve">ollowing </w:t>
      </w:r>
      <w:r w:rsidR="006A2A6E">
        <w:t>a</w:t>
      </w:r>
      <w:r w:rsidR="006A2A6E" w:rsidRPr="006A2A6E">
        <w:t xml:space="preserve">dministration of 600 mg </w:t>
      </w:r>
      <w:r w:rsidR="006A2A6E">
        <w:t>intramuscular</w:t>
      </w:r>
      <w:r w:rsidR="00F40974">
        <w:t xml:space="preserve"> </w:t>
      </w:r>
      <w:r w:rsidR="006A2A6E">
        <w:t>Evusheld</w:t>
      </w:r>
      <w:r w:rsidR="006A2A6E" w:rsidRPr="006A2A6E">
        <w:t xml:space="preserve"> </w:t>
      </w:r>
      <w:r w:rsidR="00EA5A86">
        <w:t>o</w:t>
      </w:r>
      <w:r w:rsidR="006A2A6E" w:rsidRPr="006A2A6E">
        <w:t xml:space="preserve">ver 168 </w:t>
      </w:r>
      <w:r w:rsidR="006A2A6E">
        <w:t>d</w:t>
      </w:r>
      <w:r w:rsidR="006A2A6E" w:rsidRPr="006A2A6E">
        <w:t xml:space="preserve">ays </w:t>
      </w:r>
      <w:r w:rsidR="006A2A6E">
        <w:t>p</w:t>
      </w:r>
      <w:r w:rsidR="006A2A6E" w:rsidRPr="006A2A6E">
        <w:t>ost-dose (</w:t>
      </w:r>
      <w:r w:rsidR="006A2A6E">
        <w:t>anti-drug antibody</w:t>
      </w:r>
      <w:r w:rsidR="006A2A6E" w:rsidRPr="006A2A6E">
        <w:t xml:space="preserve"> </w:t>
      </w:r>
      <w:r w:rsidR="006A2A6E">
        <w:t>e</w:t>
      </w:r>
      <w:r w:rsidR="006A2A6E" w:rsidRPr="006A2A6E">
        <w:t xml:space="preserve">valuable </w:t>
      </w:r>
      <w:r w:rsidR="006A2A6E">
        <w:t>a</w:t>
      </w:r>
      <w:r w:rsidR="006A2A6E" w:rsidRPr="006A2A6E">
        <w:t xml:space="preserve">nalysis </w:t>
      </w:r>
      <w:r w:rsidR="006A2A6E">
        <w:t>s</w:t>
      </w:r>
      <w:r w:rsidR="006A2A6E" w:rsidRPr="006A2A6E">
        <w:t xml:space="preserve">ets for </w:t>
      </w:r>
      <w:r w:rsidR="006A2A6E" w:rsidRPr="00137A41">
        <w:t>tixagevimab</w:t>
      </w:r>
      <w:r w:rsidR="006A2A6E" w:rsidRPr="00A543F1">
        <w:t xml:space="preserve">, </w:t>
      </w:r>
      <w:r w:rsidR="006A2A6E" w:rsidRPr="00137A41">
        <w:t>cilgavimab</w:t>
      </w:r>
      <w:r w:rsidR="006A2A6E" w:rsidRPr="00A543F1">
        <w:t xml:space="preserve">, and </w:t>
      </w:r>
      <w:r w:rsidR="006A2A6E">
        <w:t>Evusheld</w:t>
      </w:r>
      <w:r w:rsidR="006A2A6E" w:rsidRPr="006A2A6E">
        <w:t>)</w:t>
      </w:r>
    </w:p>
    <w:p w14:paraId="5ED65EFF" w14:textId="2BC262D4" w:rsidR="00B91BF1" w:rsidRDefault="006A2A6E" w:rsidP="00B91BF1">
      <w:r>
        <w:rPr>
          <w:noProof/>
          <w:lang w:val="en-GB" w:eastAsia="en-GB"/>
        </w:rPr>
        <w:drawing>
          <wp:inline distT="0" distB="0" distL="0" distR="0" wp14:anchorId="0C41B97D" wp14:editId="7EED561E">
            <wp:extent cx="5160397" cy="2342932"/>
            <wp:effectExtent l="0" t="0" r="2540" b="635"/>
            <wp:docPr id="5" name="Picture 5" descr="Summary of anti-drug antibody responses to tixagevimab, cilgavimab, and Evusheld following administration of 600 mg intramusculary Evusheld over 168 days post-dose (anti-drug antibody evaluable analysis sets for tixagevimab, cilgavimab, and Evus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mmary of anti-drug antibody responses to tixagevimab, cilgavimab, and Evusheld following administration of 600 mg intramusculary Evusheld over 168 days post-dose (anti-drug antibody evaluable analysis sets for tixagevimab, cilgavimab, and Evusheld)"/>
                    <pic:cNvPicPr/>
                  </pic:nvPicPr>
                  <pic:blipFill>
                    <a:blip r:embed="rId35"/>
                    <a:stretch>
                      <a:fillRect/>
                    </a:stretch>
                  </pic:blipFill>
                  <pic:spPr>
                    <a:xfrm>
                      <a:off x="0" y="0"/>
                      <a:ext cx="5163071" cy="2344146"/>
                    </a:xfrm>
                    <a:prstGeom prst="rect">
                      <a:avLst/>
                    </a:prstGeom>
                  </pic:spPr>
                </pic:pic>
              </a:graphicData>
            </a:graphic>
          </wp:inline>
        </w:drawing>
      </w:r>
    </w:p>
    <w:p w14:paraId="28818C36" w14:textId="55B490CC" w:rsidR="006A2A6E" w:rsidRDefault="006A2A6E" w:rsidP="007C6E56">
      <w:pPr>
        <w:pStyle w:val="TableDescription"/>
      </w:pPr>
      <w:r>
        <w:t xml:space="preserve">Abbreviation: </w:t>
      </w:r>
      <w:r w:rsidR="00EA5A86" w:rsidRPr="00BB178F">
        <w:t xml:space="preserve">ADA, anti-drug antibody; </w:t>
      </w:r>
      <w:r>
        <w:t xml:space="preserve">AZD8895 = tixagevimab; AZD1061 = cilgavimab; AZD7442 = </w:t>
      </w:r>
      <w:proofErr w:type="spellStart"/>
      <w:r>
        <w:t>Evusheld</w:t>
      </w:r>
      <w:proofErr w:type="spellEnd"/>
      <w:r w:rsidR="00EA5A86">
        <w:t xml:space="preserve">; </w:t>
      </w:r>
      <w:r w:rsidRPr="00BB178F">
        <w:t xml:space="preserve">IM, intramuscular; </w:t>
      </w:r>
      <w:proofErr w:type="spellStart"/>
      <w:r w:rsidRPr="00BB178F">
        <w:t>mAb</w:t>
      </w:r>
      <w:proofErr w:type="spellEnd"/>
      <w:r w:rsidRPr="00BB178F">
        <w:t>, monoclonal antibody; min, minimum; max, maximum; N, number of participants in treatment group; n, number of participants included in analysis; TE-ADA, treatment-emergent ADA.</w:t>
      </w:r>
    </w:p>
    <w:p w14:paraId="5B562E70" w14:textId="7D111683" w:rsidR="006A2A6E" w:rsidRDefault="006A2A6E" w:rsidP="00C122CB">
      <w:pPr>
        <w:pStyle w:val="TableDescription"/>
      </w:pPr>
      <w:r w:rsidRPr="00BB178F">
        <w:rPr>
          <w:vertAlign w:val="superscript"/>
        </w:rPr>
        <w:t>a</w:t>
      </w:r>
      <w:r w:rsidRPr="00BB178F">
        <w:t xml:space="preserve"> Limit of detection = 80</w:t>
      </w:r>
      <w:r>
        <w:t>,</w:t>
      </w:r>
      <w:r w:rsidRPr="00BB178F">
        <w:t xml:space="preserve"> </w:t>
      </w:r>
      <w:r w:rsidRPr="00BB178F">
        <w:rPr>
          <w:vertAlign w:val="superscript"/>
        </w:rPr>
        <w:t>b</w:t>
      </w:r>
      <w:r w:rsidRPr="00BB178F">
        <w:t xml:space="preserve"> Limit of detection = 40</w:t>
      </w:r>
      <w:r>
        <w:t>,</w:t>
      </w:r>
      <w:r w:rsidRPr="00BB178F">
        <w:t xml:space="preserve"> </w:t>
      </w:r>
      <w:r w:rsidRPr="00BB178F">
        <w:rPr>
          <w:vertAlign w:val="superscript"/>
        </w:rPr>
        <w:t>c</w:t>
      </w:r>
      <w:r w:rsidRPr="00BB178F">
        <w:t xml:space="preserve"> ADA positive to AZD7442 is defined as ADA positive to AZD8895 and/or AZD1061; TE-ADA positive to AZD7442 is defined as TE-ADA positive to AZD8895 and/or AZD1061. </w:t>
      </w:r>
      <w:r w:rsidRPr="00BB178F">
        <w:rPr>
          <w:vertAlign w:val="superscript"/>
        </w:rPr>
        <w:t>d</w:t>
      </w:r>
      <w:r w:rsidRPr="00BB178F">
        <w:t xml:space="preserve"> Either ADA negative at </w:t>
      </w:r>
      <w:r w:rsidR="002B149A">
        <w:t>B</w:t>
      </w:r>
      <w:r w:rsidRPr="00BB178F">
        <w:t xml:space="preserve">aseline and ADA positive at ≥ 1 post-baseline assessments with ADA </w:t>
      </w:r>
      <w:proofErr w:type="spellStart"/>
      <w:r w:rsidRPr="00BB178F">
        <w:t>titer</w:t>
      </w:r>
      <w:proofErr w:type="spellEnd"/>
      <w:r w:rsidRPr="00BB178F">
        <w:t xml:space="preserve"> ≥ 160 for AZD8895 or ≥ 80 for AZD1061 or baseline positive ADA </w:t>
      </w:r>
      <w:proofErr w:type="spellStart"/>
      <w:r w:rsidRPr="00BB178F">
        <w:t>titer</w:t>
      </w:r>
      <w:proofErr w:type="spellEnd"/>
      <w:r w:rsidRPr="00BB178F">
        <w:t xml:space="preserve"> that was boosted to ≥ 4-fold during the study period. </w:t>
      </w:r>
      <w:r w:rsidRPr="00BB178F">
        <w:rPr>
          <w:vertAlign w:val="superscript"/>
        </w:rPr>
        <w:t>e</w:t>
      </w:r>
      <w:r w:rsidRPr="00BB178F">
        <w:t xml:space="preserve"> AZD7442 </w:t>
      </w:r>
      <w:proofErr w:type="spellStart"/>
      <w:r w:rsidRPr="00BB178F">
        <w:t>titer</w:t>
      </w:r>
      <w:proofErr w:type="spellEnd"/>
      <w:r w:rsidRPr="00BB178F">
        <w:t xml:space="preserve"> is defined as the higher of the 2 </w:t>
      </w:r>
      <w:proofErr w:type="spellStart"/>
      <w:r w:rsidRPr="00BB178F">
        <w:t>titers</w:t>
      </w:r>
      <w:proofErr w:type="spellEnd"/>
      <w:r w:rsidRPr="00BB178F">
        <w:t xml:space="preserve"> to the individual </w:t>
      </w:r>
      <w:proofErr w:type="spellStart"/>
      <w:r w:rsidRPr="00BB178F">
        <w:t>mAbs</w:t>
      </w:r>
      <w:proofErr w:type="spellEnd"/>
      <w:r w:rsidRPr="00BB178F">
        <w:t>.</w:t>
      </w:r>
    </w:p>
    <w:p w14:paraId="1399A4E4" w14:textId="29C4841E" w:rsidR="00C122CB" w:rsidRDefault="00C122CB" w:rsidP="00C122CB">
      <w:r>
        <w:t xml:space="preserve">The </w:t>
      </w:r>
      <w:r w:rsidRPr="006A2A6E">
        <w:t>Delegate</w:t>
      </w:r>
      <w:r>
        <w:t xml:space="preserve"> noted that </w:t>
      </w:r>
      <w:r w:rsidRPr="00137A41">
        <w:t>treatment</w:t>
      </w:r>
      <w:r>
        <w:t xml:space="preserve"> </w:t>
      </w:r>
      <w:r w:rsidRPr="00137A41">
        <w:t xml:space="preserve">emergent </w:t>
      </w:r>
      <w:r>
        <w:t>anti-drug antibody</w:t>
      </w:r>
      <w:r w:rsidRPr="006A2A6E">
        <w:t xml:space="preserve"> became evident over time and was maintained at generally low titres, as seen in the PROVENT</w:t>
      </w:r>
      <w:r>
        <w:t xml:space="preserve"> parent trial</w:t>
      </w:r>
      <w:r w:rsidRPr="006A2A6E">
        <w:t>.</w:t>
      </w:r>
      <w:r>
        <w:t xml:space="preserve"> </w:t>
      </w:r>
      <w:r w:rsidRPr="006A2A6E">
        <w:t xml:space="preserve">Similarly, a higher proportion of participants at </w:t>
      </w:r>
      <w:r>
        <w:t>anti-drug antibody</w:t>
      </w:r>
      <w:r w:rsidRPr="006A2A6E">
        <w:t xml:space="preserve"> observable at </w:t>
      </w:r>
      <w:r>
        <w:t>B</w:t>
      </w:r>
      <w:r w:rsidRPr="006A2A6E">
        <w:t xml:space="preserve">aseline than the incidence of </w:t>
      </w:r>
      <w:r w:rsidRPr="00137A41">
        <w:t>treatment</w:t>
      </w:r>
      <w:r>
        <w:t xml:space="preserve"> </w:t>
      </w:r>
      <w:r w:rsidRPr="00137A41">
        <w:t xml:space="preserve">emergent </w:t>
      </w:r>
      <w:r>
        <w:t>anti-drug antibody</w:t>
      </w:r>
      <w:r w:rsidRPr="006A2A6E">
        <w:t xml:space="preserve"> over the </w:t>
      </w:r>
      <w:r>
        <w:t>approximately</w:t>
      </w:r>
      <w:r w:rsidRPr="006A2A6E">
        <w:t xml:space="preserve"> 6 months following dosing</w:t>
      </w:r>
      <w:r>
        <w:t xml:space="preserve"> (</w:t>
      </w:r>
      <w:r>
        <w:fldChar w:fldCharType="begin"/>
      </w:r>
      <w:r>
        <w:instrText xml:space="preserve"> REF _Ref119315017 \h </w:instrText>
      </w:r>
      <w:r>
        <w:fldChar w:fldCharType="separate"/>
      </w:r>
      <w:r w:rsidRPr="006A2A6E">
        <w:t xml:space="preserve">Table </w:t>
      </w:r>
      <w:r>
        <w:rPr>
          <w:noProof/>
        </w:rPr>
        <w:t>8</w:t>
      </w:r>
      <w:r>
        <w:fldChar w:fldCharType="end"/>
      </w:r>
      <w:r>
        <w:t>).</w:t>
      </w:r>
    </w:p>
    <w:p w14:paraId="3D68E0A2" w14:textId="714E2130" w:rsidR="00DA4BA7" w:rsidRDefault="00DA4BA7" w:rsidP="00590CF3">
      <w:pPr>
        <w:pStyle w:val="Heading5"/>
      </w:pPr>
      <w:bookmarkStart w:id="56" w:name="_Ref110783180"/>
      <w:bookmarkStart w:id="57" w:name="_Hlk110774117"/>
      <w:r>
        <w:t>Anti-drug antibody effect on pharmacokinetics</w:t>
      </w:r>
      <w:bookmarkEnd w:id="56"/>
    </w:p>
    <w:bookmarkEnd w:id="57"/>
    <w:p w14:paraId="375A3FFE" w14:textId="24BBA8B9" w:rsidR="001C0E92" w:rsidRDefault="00DA4BA7" w:rsidP="00DA4BA7">
      <w:r>
        <w:t xml:space="preserve">Participants with </w:t>
      </w:r>
      <w:r w:rsidR="001C0E92" w:rsidRPr="00137A41">
        <w:t>treatment</w:t>
      </w:r>
      <w:r w:rsidR="001C0E92">
        <w:t xml:space="preserve"> </w:t>
      </w:r>
      <w:r w:rsidR="001C0E92" w:rsidRPr="00137A41">
        <w:t xml:space="preserve">emergent </w:t>
      </w:r>
      <w:r w:rsidR="001C0E92">
        <w:t>anti-drug antibody</w:t>
      </w:r>
      <w:r>
        <w:t xml:space="preserve"> had lower geometric serum concentrations of E</w:t>
      </w:r>
      <w:r w:rsidR="001C0E92">
        <w:t>vusheld</w:t>
      </w:r>
      <w:r>
        <w:t xml:space="preserve"> than </w:t>
      </w:r>
      <w:r w:rsidR="001C0E92">
        <w:t xml:space="preserve">anti-drug antibody </w:t>
      </w:r>
      <w:r>
        <w:t xml:space="preserve">negative participants at all scheduled post-baseline </w:t>
      </w:r>
      <w:r w:rsidR="001C0E92">
        <w:t>anti-drug antibody</w:t>
      </w:r>
      <w:r>
        <w:t xml:space="preserve"> time points</w:t>
      </w:r>
      <w:r w:rsidR="007C6E56">
        <w:t xml:space="preserve"> (</w:t>
      </w:r>
      <w:r w:rsidR="00F40974">
        <w:t xml:space="preserve">see </w:t>
      </w:r>
      <w:r w:rsidR="007C6E56">
        <w:fldChar w:fldCharType="begin"/>
      </w:r>
      <w:r w:rsidR="007C6E56">
        <w:instrText xml:space="preserve"> REF _Ref119325400 \h </w:instrText>
      </w:r>
      <w:r w:rsidR="007C6E56">
        <w:fldChar w:fldCharType="separate"/>
      </w:r>
      <w:r w:rsidR="008D61A2" w:rsidRPr="007C6E56">
        <w:t xml:space="preserve">Table </w:t>
      </w:r>
      <w:r w:rsidR="008D61A2">
        <w:rPr>
          <w:noProof/>
        </w:rPr>
        <w:t>9</w:t>
      </w:r>
      <w:r w:rsidR="007C6E56">
        <w:fldChar w:fldCharType="end"/>
      </w:r>
      <w:r w:rsidR="007C6E56">
        <w:t>)</w:t>
      </w:r>
      <w:r>
        <w:t>. ‘</w:t>
      </w:r>
      <w:r w:rsidRPr="001C0E92">
        <w:rPr>
          <w:i/>
          <w:iCs/>
        </w:rPr>
        <w:t xml:space="preserve">The percent difference (n of </w:t>
      </w:r>
      <w:r w:rsidR="002B149A">
        <w:rPr>
          <w:i/>
          <w:iCs/>
        </w:rPr>
        <w:t xml:space="preserve">treatment emergent anti-drug antibody </w:t>
      </w:r>
      <w:r w:rsidRPr="001C0E92">
        <w:rPr>
          <w:i/>
          <w:iCs/>
        </w:rPr>
        <w:t xml:space="preserve">+) in drug concentration between </w:t>
      </w:r>
      <w:r w:rsidR="002B149A">
        <w:rPr>
          <w:i/>
          <w:iCs/>
        </w:rPr>
        <w:t xml:space="preserve">treatment emergent anti-drug antibody </w:t>
      </w:r>
      <w:r w:rsidRPr="001C0E92">
        <w:rPr>
          <w:i/>
          <w:iCs/>
        </w:rPr>
        <w:t xml:space="preserve">+ and </w:t>
      </w:r>
      <w:r w:rsidR="002B149A">
        <w:rPr>
          <w:i/>
          <w:iCs/>
        </w:rPr>
        <w:t xml:space="preserve">anti-drug antibody </w:t>
      </w:r>
      <w:r w:rsidRPr="001C0E92">
        <w:rPr>
          <w:i/>
          <w:iCs/>
        </w:rPr>
        <w:t>negative participants were -22.3% (37), -24.3% (29), and -30.0% (28) at Day 29, Day 85, and Day 169, respectively.</w:t>
      </w:r>
      <w:r>
        <w:t>’</w:t>
      </w:r>
    </w:p>
    <w:p w14:paraId="100B521C" w14:textId="7EB1A72E" w:rsidR="007C6E56" w:rsidRDefault="007C6E56" w:rsidP="007C6E56">
      <w:pPr>
        <w:pStyle w:val="TableTitle"/>
      </w:pPr>
      <w:bookmarkStart w:id="58" w:name="_Ref119325400"/>
      <w:r w:rsidRPr="007C6E56">
        <w:lastRenderedPageBreak/>
        <w:t xml:space="preserve">Table </w:t>
      </w:r>
      <w:r w:rsidR="005E1B9B">
        <w:fldChar w:fldCharType="begin"/>
      </w:r>
      <w:r w:rsidR="005E1B9B">
        <w:instrText xml:space="preserve"> SEQ Table \* ARABIC </w:instrText>
      </w:r>
      <w:r w:rsidR="005E1B9B">
        <w:fldChar w:fldCharType="separate"/>
      </w:r>
      <w:r w:rsidR="008D61A2">
        <w:rPr>
          <w:noProof/>
        </w:rPr>
        <w:t>9</w:t>
      </w:r>
      <w:r w:rsidR="005E1B9B">
        <w:rPr>
          <w:noProof/>
        </w:rPr>
        <w:fldChar w:fldCharType="end"/>
      </w:r>
      <w:bookmarkEnd w:id="58"/>
      <w:r w:rsidRPr="007C6E56">
        <w:t>:</w:t>
      </w:r>
      <w:r>
        <w:t xml:space="preserve"> </w:t>
      </w:r>
      <w:r w:rsidR="00F40974">
        <w:t xml:space="preserve">TACKLE trial; </w:t>
      </w:r>
      <w:r>
        <w:t xml:space="preserve">Summary of serum </w:t>
      </w:r>
      <w:r w:rsidRPr="00137A41">
        <w:t>tixagevimab</w:t>
      </w:r>
      <w:r w:rsidRPr="00A543F1">
        <w:t xml:space="preserve">, </w:t>
      </w:r>
      <w:r w:rsidRPr="00137A41">
        <w:t>cilgavimab</w:t>
      </w:r>
      <w:r w:rsidRPr="00A543F1">
        <w:t xml:space="preserve">, and </w:t>
      </w:r>
      <w:r>
        <w:t>Evusheld concentration by visit and anti-drug antibody category (</w:t>
      </w:r>
      <w:r w:rsidR="00EA5A86">
        <w:t>p</w:t>
      </w:r>
      <w:r>
        <w:t>harmacokinetics analysis set)</w:t>
      </w:r>
    </w:p>
    <w:p w14:paraId="13F91D64" w14:textId="01883EBA" w:rsidR="007C6E56" w:rsidRDefault="007C6E56" w:rsidP="007C6E56">
      <w:r w:rsidRPr="007C6E56">
        <w:rPr>
          <w:noProof/>
          <w:lang w:val="en-GB" w:eastAsia="en-GB"/>
        </w:rPr>
        <w:drawing>
          <wp:inline distT="0" distB="0" distL="0" distR="0" wp14:anchorId="6A02C92D" wp14:editId="1DFA6E63">
            <wp:extent cx="5311472" cy="2932427"/>
            <wp:effectExtent l="0" t="0" r="3810" b="1905"/>
            <wp:docPr id="8" name="Picture 8" descr="Summary of serum tixagevimab, cilgavimab, and Evusheld concentration by visit and anti-drug antibody category (pharmacokinetics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mmary of serum tixagevimab, cilgavimab, and Evusheld concentration by visit and anti-drug antibody category (pharmacokinetics analysis set)"/>
                    <pic:cNvPicPr/>
                  </pic:nvPicPr>
                  <pic:blipFill>
                    <a:blip r:embed="rId36"/>
                    <a:stretch>
                      <a:fillRect/>
                    </a:stretch>
                  </pic:blipFill>
                  <pic:spPr>
                    <a:xfrm>
                      <a:off x="0" y="0"/>
                      <a:ext cx="5314403" cy="2934045"/>
                    </a:xfrm>
                    <a:prstGeom prst="rect">
                      <a:avLst/>
                    </a:prstGeom>
                  </pic:spPr>
                </pic:pic>
              </a:graphicData>
            </a:graphic>
          </wp:inline>
        </w:drawing>
      </w:r>
    </w:p>
    <w:p w14:paraId="62DB1D04" w14:textId="14BDD77E" w:rsidR="007C6E56" w:rsidRPr="007C6E56" w:rsidRDefault="00EA5A86" w:rsidP="007C6E56">
      <w:pPr>
        <w:pStyle w:val="TableDescription"/>
      </w:pPr>
      <w:r>
        <w:t>Abbreviation</w:t>
      </w:r>
      <w:r w:rsidR="00F40974">
        <w:t>s</w:t>
      </w:r>
      <w:r>
        <w:t xml:space="preserve">: </w:t>
      </w:r>
      <w:r w:rsidR="007C6E56" w:rsidRPr="007C6E56">
        <w:t>ADA</w:t>
      </w:r>
      <w:r>
        <w:t xml:space="preserve"> =</w:t>
      </w:r>
      <w:r w:rsidR="007C6E56" w:rsidRPr="007C6E56">
        <w:t xml:space="preserve"> anti-drug antibody; AZD8895 = tixagevimab; AZD1061 = cilgavimab; AZD7442 = Evusheld; CV</w:t>
      </w:r>
      <w:r>
        <w:t xml:space="preserve"> =</w:t>
      </w:r>
      <w:r w:rsidR="007C6E56" w:rsidRPr="007C6E56">
        <w:t xml:space="preserve"> coefficient of variation; LLOQ</w:t>
      </w:r>
      <w:r>
        <w:t xml:space="preserve"> =</w:t>
      </w:r>
      <w:r w:rsidR="007C6E56" w:rsidRPr="007C6E56">
        <w:t xml:space="preserve"> lower limit of quantification; N</w:t>
      </w:r>
      <w:r>
        <w:t xml:space="preserve"> =</w:t>
      </w:r>
      <w:r w:rsidR="007C6E56" w:rsidRPr="007C6E56">
        <w:t xml:space="preserve"> number of participants in treatment group; n</w:t>
      </w:r>
      <w:r>
        <w:t xml:space="preserve"> =</w:t>
      </w:r>
      <w:r w:rsidR="007C6E56" w:rsidRPr="007C6E56">
        <w:t xml:space="preserve"> number of participants included in analysis; NC</w:t>
      </w:r>
      <w:r>
        <w:t xml:space="preserve"> =</w:t>
      </w:r>
      <w:r w:rsidR="007C6E56" w:rsidRPr="007C6E56">
        <w:t xml:space="preserve"> not calculated; NQ</w:t>
      </w:r>
      <w:r>
        <w:t xml:space="preserve"> =</w:t>
      </w:r>
      <w:r w:rsidR="007C6E56" w:rsidRPr="007C6E56">
        <w:t xml:space="preserve"> not quantifiable; PK</w:t>
      </w:r>
      <w:r>
        <w:t xml:space="preserve"> =</w:t>
      </w:r>
      <w:r w:rsidR="007C6E56" w:rsidRPr="007C6E56">
        <w:t xml:space="preserve"> pharmacokinetic; TE</w:t>
      </w:r>
      <w:r>
        <w:t xml:space="preserve"> =</w:t>
      </w:r>
      <w:r w:rsidR="007C6E56" w:rsidRPr="007C6E56">
        <w:t xml:space="preserve"> treatment emergent</w:t>
      </w:r>
    </w:p>
    <w:p w14:paraId="3E1C037C" w14:textId="38EBB3AB" w:rsidR="00DA4BA7" w:rsidRDefault="00DA4BA7" w:rsidP="00DA4BA7">
      <w:r>
        <w:t>Visual inspection of the individual E</w:t>
      </w:r>
      <w:r w:rsidR="001C0E92">
        <w:t>vusheld</w:t>
      </w:r>
      <w:r w:rsidR="00590CF3">
        <w:t xml:space="preserve"> plus</w:t>
      </w:r>
      <w:r>
        <w:t xml:space="preserve"> serum concentration</w:t>
      </w:r>
      <w:r w:rsidR="00EA5A86">
        <w:t xml:space="preserve"> </w:t>
      </w:r>
      <w:r>
        <w:t>time profiles of E</w:t>
      </w:r>
      <w:r w:rsidR="00590CF3">
        <w:t xml:space="preserve">vusheld </w:t>
      </w:r>
      <w:r w:rsidR="00590CF3" w:rsidRPr="00590CF3">
        <w:t xml:space="preserve">treatment emergent anti-drug antibody </w:t>
      </w:r>
      <w:r w:rsidR="00590CF3">
        <w:t>plus</w:t>
      </w:r>
      <w:r>
        <w:t xml:space="preserve"> participants </w:t>
      </w:r>
      <w:r w:rsidR="00590CF3">
        <w:t>is shown</w:t>
      </w:r>
      <w:r>
        <w:t xml:space="preserve"> in</w:t>
      </w:r>
      <w:r w:rsidR="00590CF3">
        <w:t xml:space="preserve"> </w:t>
      </w:r>
      <w:r w:rsidR="00590CF3">
        <w:fldChar w:fldCharType="begin"/>
      </w:r>
      <w:r w:rsidR="00590CF3">
        <w:instrText xml:space="preserve"> REF _Ref119325867 \h </w:instrText>
      </w:r>
      <w:r w:rsidR="00590CF3">
        <w:fldChar w:fldCharType="separate"/>
      </w:r>
      <w:r w:rsidR="008D61A2" w:rsidRPr="007C6E56">
        <w:t xml:space="preserve">Figure </w:t>
      </w:r>
      <w:r w:rsidR="008D61A2">
        <w:rPr>
          <w:noProof/>
        </w:rPr>
        <w:t>11</w:t>
      </w:r>
      <w:r w:rsidR="00590CF3">
        <w:fldChar w:fldCharType="end"/>
      </w:r>
      <w:r>
        <w:t xml:space="preserve">. The </w:t>
      </w:r>
      <w:r w:rsidR="00590CF3">
        <w:t>s</w:t>
      </w:r>
      <w:r>
        <w:t>ponsor interpreted that as showing responses ‘…</w:t>
      </w:r>
      <w:r w:rsidRPr="00590CF3">
        <w:rPr>
          <w:i/>
          <w:iCs/>
        </w:rPr>
        <w:t>generally within the range of those in</w:t>
      </w:r>
      <w:r w:rsidR="00590CF3" w:rsidRPr="00590CF3">
        <w:rPr>
          <w:i/>
          <w:iCs/>
        </w:rPr>
        <w:t xml:space="preserve"> antidrug antibody </w:t>
      </w:r>
      <w:r w:rsidRPr="00590CF3">
        <w:rPr>
          <w:i/>
          <w:iCs/>
        </w:rPr>
        <w:t>negative participants…</w:t>
      </w:r>
      <w:r>
        <w:t xml:space="preserve">’ Overall, the </w:t>
      </w:r>
      <w:r w:rsidR="00590CF3">
        <w:t>s</w:t>
      </w:r>
      <w:r>
        <w:t xml:space="preserve">ponsor concluded that </w:t>
      </w:r>
      <w:r w:rsidRPr="00590CF3">
        <w:rPr>
          <w:i/>
          <w:iCs/>
        </w:rPr>
        <w:t>‘…</w:t>
      </w:r>
      <w:r w:rsidR="002B149A">
        <w:rPr>
          <w:i/>
          <w:iCs/>
        </w:rPr>
        <w:t>anti-drug antibody</w:t>
      </w:r>
      <w:r w:rsidRPr="00590CF3">
        <w:rPr>
          <w:i/>
          <w:iCs/>
        </w:rPr>
        <w:t xml:space="preserve"> had no clear clinically relevant effect on AZD7442 [E</w:t>
      </w:r>
      <w:r w:rsidR="00590CF3">
        <w:rPr>
          <w:i/>
          <w:iCs/>
        </w:rPr>
        <w:t>vusheld</w:t>
      </w:r>
      <w:r w:rsidRPr="00590CF3">
        <w:rPr>
          <w:i/>
          <w:iCs/>
        </w:rPr>
        <w:t xml:space="preserve">] PK. As such, the presence of </w:t>
      </w:r>
      <w:r w:rsidR="002B149A">
        <w:rPr>
          <w:i/>
          <w:iCs/>
        </w:rPr>
        <w:t>anti-drug antibody</w:t>
      </w:r>
      <w:r w:rsidRPr="00590CF3">
        <w:rPr>
          <w:i/>
          <w:iCs/>
        </w:rPr>
        <w:t xml:space="preserve"> is not expected to result in loss of efficacy</w:t>
      </w:r>
      <w:r>
        <w:t>.’</w:t>
      </w:r>
    </w:p>
    <w:p w14:paraId="7CA3589C" w14:textId="7F6C3F17" w:rsidR="007C6E56" w:rsidRDefault="007C6E56" w:rsidP="007C6E56">
      <w:pPr>
        <w:pStyle w:val="FigureTitle"/>
      </w:pPr>
      <w:bookmarkStart w:id="59" w:name="_Ref119325867"/>
      <w:r w:rsidRPr="007C6E56">
        <w:t xml:space="preserve">Figure </w:t>
      </w:r>
      <w:r w:rsidR="005E1B9B">
        <w:fldChar w:fldCharType="begin"/>
      </w:r>
      <w:r w:rsidR="005E1B9B">
        <w:instrText xml:space="preserve"> SEQ Figure \* ARABIC </w:instrText>
      </w:r>
      <w:r w:rsidR="005E1B9B">
        <w:fldChar w:fldCharType="separate"/>
      </w:r>
      <w:r w:rsidR="008D61A2">
        <w:rPr>
          <w:noProof/>
        </w:rPr>
        <w:t>11</w:t>
      </w:r>
      <w:r w:rsidR="005E1B9B">
        <w:rPr>
          <w:noProof/>
        </w:rPr>
        <w:fldChar w:fldCharType="end"/>
      </w:r>
      <w:bookmarkEnd w:id="59"/>
      <w:r>
        <w:t xml:space="preserve">: </w:t>
      </w:r>
      <w:r w:rsidR="00F40974">
        <w:t xml:space="preserve">TACKLE trial; </w:t>
      </w:r>
      <w:r w:rsidRPr="007C6E56">
        <w:t>Individual</w:t>
      </w:r>
      <w:r>
        <w:t xml:space="preserve"> s</w:t>
      </w:r>
      <w:r w:rsidRPr="007C6E56">
        <w:t xml:space="preserve">erum </w:t>
      </w:r>
      <w:r>
        <w:t>c</w:t>
      </w:r>
      <w:r w:rsidRPr="007C6E56">
        <w:t xml:space="preserve">oncentrations versus </w:t>
      </w:r>
      <w:r>
        <w:t>t</w:t>
      </w:r>
      <w:r w:rsidRPr="007C6E56">
        <w:t xml:space="preserve">ime, by </w:t>
      </w:r>
      <w:r>
        <w:t>anti-drug antibody</w:t>
      </w:r>
      <w:r w:rsidRPr="007C6E56">
        <w:t xml:space="preserve"> </w:t>
      </w:r>
      <w:r>
        <w:t>s</w:t>
      </w:r>
      <w:r w:rsidRPr="007C6E56">
        <w:t xml:space="preserve">tatus and </w:t>
      </w:r>
      <w:r>
        <w:t>monoclonal antibody</w:t>
      </w:r>
      <w:r w:rsidRPr="007C6E56">
        <w:t xml:space="preserve"> </w:t>
      </w:r>
      <w:r>
        <w:t>c</w:t>
      </w:r>
      <w:r w:rsidRPr="007C6E56">
        <w:t>omponents (</w:t>
      </w:r>
      <w:r>
        <w:t>pharmacokinetics a</w:t>
      </w:r>
      <w:r w:rsidRPr="007C6E56">
        <w:t xml:space="preserve">nalysis </w:t>
      </w:r>
      <w:r>
        <w:t>s</w:t>
      </w:r>
      <w:r w:rsidRPr="007C6E56">
        <w:t>et)</w:t>
      </w:r>
    </w:p>
    <w:p w14:paraId="15DD8BBD" w14:textId="7CC70BEF" w:rsidR="007C6E56" w:rsidRDefault="007C6E56" w:rsidP="007C6E56">
      <w:r w:rsidRPr="007C6E56">
        <w:rPr>
          <w:noProof/>
          <w:lang w:val="en-GB" w:eastAsia="en-GB"/>
        </w:rPr>
        <w:drawing>
          <wp:inline distT="0" distB="0" distL="0" distR="0" wp14:anchorId="2B4D14BD" wp14:editId="15F3F8B1">
            <wp:extent cx="5347411" cy="2088282"/>
            <wp:effectExtent l="0" t="0" r="5715" b="7620"/>
            <wp:docPr id="10" name="Picture 10" descr="Individual serum concentrations versus time, by anti-drug antibody status and monoclonal antibody components (pharmacokinetics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dividual serum concentrations versus time, by anti-drug antibody status and monoclonal antibody components (pharmacokinetics analysis set)"/>
                    <pic:cNvPicPr/>
                  </pic:nvPicPr>
                  <pic:blipFill>
                    <a:blip r:embed="rId37"/>
                    <a:stretch>
                      <a:fillRect/>
                    </a:stretch>
                  </pic:blipFill>
                  <pic:spPr>
                    <a:xfrm>
                      <a:off x="0" y="0"/>
                      <a:ext cx="5351301" cy="2089801"/>
                    </a:xfrm>
                    <a:prstGeom prst="rect">
                      <a:avLst/>
                    </a:prstGeom>
                  </pic:spPr>
                </pic:pic>
              </a:graphicData>
            </a:graphic>
          </wp:inline>
        </w:drawing>
      </w:r>
    </w:p>
    <w:p w14:paraId="31C9DF25" w14:textId="1A039E8D" w:rsidR="00590CF3" w:rsidRDefault="00EA5A86" w:rsidP="007C6E56">
      <w:pPr>
        <w:pStyle w:val="FigureDescription"/>
      </w:pPr>
      <w:r>
        <w:t xml:space="preserve">Abbreviation: </w:t>
      </w:r>
      <w:r w:rsidR="007C6E56" w:rsidRPr="007C6E56">
        <w:t>ADA</w:t>
      </w:r>
      <w:r>
        <w:t xml:space="preserve"> =</w:t>
      </w:r>
      <w:r w:rsidR="007C6E56" w:rsidRPr="007C6E56">
        <w:t xml:space="preserve"> anti-drug antibody; AZD8895 = tixagevimab; AZD1061 = cilgavimab; LLOQ</w:t>
      </w:r>
      <w:r>
        <w:t xml:space="preserve"> = </w:t>
      </w:r>
      <w:r w:rsidR="007C6E56" w:rsidRPr="007C6E56">
        <w:t>lower limit of quantificatio</w:t>
      </w:r>
      <w:r w:rsidR="007C6E56">
        <w:t>n</w:t>
      </w:r>
      <w:r w:rsidR="007C6E56" w:rsidRPr="007C6E56">
        <w:t>; PK</w:t>
      </w:r>
      <w:r>
        <w:t xml:space="preserve"> =</w:t>
      </w:r>
      <w:r w:rsidR="007C6E56" w:rsidRPr="007C6E56">
        <w:t xml:space="preserve"> pharmacokinetic; TE</w:t>
      </w:r>
      <w:r w:rsidR="00590CF3">
        <w:t xml:space="preserve"> ADA</w:t>
      </w:r>
      <w:r>
        <w:t xml:space="preserve"> =</w:t>
      </w:r>
      <w:r w:rsidR="007C6E56" w:rsidRPr="007C6E56">
        <w:t xml:space="preserve"> treatment emergent</w:t>
      </w:r>
      <w:r w:rsidR="00590CF3">
        <w:t xml:space="preserve"> anti-drug antibody.</w:t>
      </w:r>
    </w:p>
    <w:p w14:paraId="78F6AE84" w14:textId="7394E2B3" w:rsidR="007C6E56" w:rsidRPr="007C6E56" w:rsidRDefault="007C6E56" w:rsidP="007C6E56">
      <w:pPr>
        <w:pStyle w:val="FigureDescription"/>
      </w:pPr>
      <w:r w:rsidRPr="007C6E56">
        <w:t>Note: TE-ADA positive is defined as either treatment-induced ADA positive (ADA negative at baseline and post-baseline ADA</w:t>
      </w:r>
      <w:r>
        <w:t xml:space="preserve"> </w:t>
      </w:r>
      <w:r w:rsidRPr="007C6E56">
        <w:t>positive) or treatment-boosted</w:t>
      </w:r>
    </w:p>
    <w:p w14:paraId="3E4E9097" w14:textId="21A75A1A" w:rsidR="007C6E56" w:rsidRPr="007C6E56" w:rsidRDefault="007C6E56" w:rsidP="007C6E56">
      <w:pPr>
        <w:pStyle w:val="FigureDescription"/>
      </w:pPr>
      <w:r w:rsidRPr="007C6E56">
        <w:lastRenderedPageBreak/>
        <w:t xml:space="preserve">Note: ADA positive (ADA positive at baseline and the baseline titre is boosted </w:t>
      </w:r>
      <w:proofErr w:type="gramStart"/>
      <w:r w:rsidRPr="007C6E56">
        <w:t>4 fold</w:t>
      </w:r>
      <w:proofErr w:type="gramEnd"/>
      <w:r w:rsidRPr="007C6E56">
        <w:t xml:space="preserve"> or higher post-baseline during the</w:t>
      </w:r>
      <w:r>
        <w:t xml:space="preserve"> </w:t>
      </w:r>
      <w:r w:rsidRPr="007C6E56">
        <w:t>study period).</w:t>
      </w:r>
    </w:p>
    <w:p w14:paraId="670DB556" w14:textId="77777777" w:rsidR="007C6E56" w:rsidRPr="007C6E56" w:rsidRDefault="007C6E56" w:rsidP="007C6E56">
      <w:pPr>
        <w:pStyle w:val="FigureDescription"/>
      </w:pPr>
      <w:r w:rsidRPr="007C6E56">
        <w:t xml:space="preserve">Note: </w:t>
      </w:r>
      <w:proofErr w:type="gramStart"/>
      <w:r w:rsidRPr="007C6E56">
        <w:t>Non TE</w:t>
      </w:r>
      <w:proofErr w:type="gramEnd"/>
      <w:r w:rsidRPr="007C6E56">
        <w:t>-ADA positive is defined as subjects who are ADA positive but not fulfilling the conditions for TE-ADA (+).</w:t>
      </w:r>
    </w:p>
    <w:p w14:paraId="13F2A532" w14:textId="77777777" w:rsidR="007C6E56" w:rsidRPr="007C6E56" w:rsidRDefault="007C6E56" w:rsidP="007C6E56">
      <w:pPr>
        <w:pStyle w:val="FigureDescription"/>
      </w:pPr>
      <w:r w:rsidRPr="007C6E56">
        <w:t>Note: ADA negative is defined as subjects who are ADA negative at all assessments, including baseline and post-baseline.</w:t>
      </w:r>
    </w:p>
    <w:p w14:paraId="7B21C023" w14:textId="431ED775" w:rsidR="007C6E56" w:rsidRPr="007C6E56" w:rsidRDefault="007C6E56" w:rsidP="007C6E56">
      <w:pPr>
        <w:pStyle w:val="FigureDescription"/>
      </w:pPr>
      <w:r w:rsidRPr="007C6E56">
        <w:t>Note: ADA = Anti-drug antibodies. n = Number of subjects in the ADA category. PK = Pharmacokinetic(s). LLOQ = Lower limit of quantification.</w:t>
      </w:r>
    </w:p>
    <w:p w14:paraId="53BE74A7" w14:textId="6A971781" w:rsidR="00DA4BA7" w:rsidRPr="00707F89" w:rsidRDefault="00590CF3" w:rsidP="00DA4BA7">
      <w:pPr>
        <w:rPr>
          <w:u w:val="single"/>
        </w:rPr>
      </w:pPr>
      <w:r w:rsidRPr="00590CF3">
        <w:t>The Delegate commented that</w:t>
      </w:r>
      <w:r>
        <w:t xml:space="preserve"> </w:t>
      </w:r>
      <w:r>
        <w:fldChar w:fldCharType="begin"/>
      </w:r>
      <w:r>
        <w:instrText xml:space="preserve"> REF _Ref119325400 \h </w:instrText>
      </w:r>
      <w:r>
        <w:fldChar w:fldCharType="separate"/>
      </w:r>
      <w:r w:rsidR="008D61A2" w:rsidRPr="007C6E56">
        <w:t xml:space="preserve">Table </w:t>
      </w:r>
      <w:r w:rsidR="008D61A2">
        <w:rPr>
          <w:noProof/>
        </w:rPr>
        <w:t>9</w:t>
      </w:r>
      <w:r>
        <w:fldChar w:fldCharType="end"/>
      </w:r>
      <w:r w:rsidRPr="00590CF3">
        <w:t xml:space="preserve"> </w:t>
      </w:r>
      <w:r w:rsidR="00DA4BA7" w:rsidRPr="00590CF3">
        <w:t>shows geometric serum concentrations to be 22.3</w:t>
      </w:r>
      <w:r w:rsidR="00F40974">
        <w:t> </w:t>
      </w:r>
      <w:r>
        <w:t xml:space="preserve">to </w:t>
      </w:r>
      <w:r w:rsidR="00DA4BA7" w:rsidRPr="00590CF3">
        <w:t xml:space="preserve">30% lower between Days 29 and 169 in </w:t>
      </w:r>
      <w:r w:rsidRPr="00590CF3">
        <w:t xml:space="preserve">treatment emergent anti-drug antibody </w:t>
      </w:r>
      <w:r>
        <w:t>plus</w:t>
      </w:r>
      <w:r w:rsidR="00DA4BA7" w:rsidRPr="00590CF3">
        <w:t xml:space="preserve"> participants than </w:t>
      </w:r>
      <w:r>
        <w:t xml:space="preserve">antidrug antibody </w:t>
      </w:r>
      <w:r w:rsidR="00DA4BA7" w:rsidRPr="00590CF3">
        <w:t xml:space="preserve">negative participants and visual inspection of </w:t>
      </w:r>
      <w:r>
        <w:fldChar w:fldCharType="begin"/>
      </w:r>
      <w:r>
        <w:instrText xml:space="preserve"> REF _Ref119325867 \h </w:instrText>
      </w:r>
      <w:r>
        <w:fldChar w:fldCharType="separate"/>
      </w:r>
      <w:r w:rsidR="008D61A2" w:rsidRPr="007C6E56">
        <w:t xml:space="preserve">Figure </w:t>
      </w:r>
      <w:r w:rsidR="008D61A2">
        <w:rPr>
          <w:noProof/>
        </w:rPr>
        <w:t>11</w:t>
      </w:r>
      <w:r>
        <w:fldChar w:fldCharType="end"/>
      </w:r>
      <w:r w:rsidR="00DA4BA7">
        <w:t xml:space="preserve"> suggests responses to be proportionately lower in those with </w:t>
      </w:r>
      <w:r>
        <w:t>antidrug antibody</w:t>
      </w:r>
      <w:r w:rsidR="00DA4BA7">
        <w:t xml:space="preserve"> to tixagevimab relative to cilgavimab. </w:t>
      </w:r>
      <w:r w:rsidRPr="00590CF3">
        <w:t xml:space="preserve">The Delegate commented that </w:t>
      </w:r>
      <w:r w:rsidR="00DA4BA7" w:rsidRPr="00590CF3">
        <w:t xml:space="preserve">in the PROVENT parent </w:t>
      </w:r>
      <w:r w:rsidRPr="00590CF3">
        <w:t>trial</w:t>
      </w:r>
      <w:r w:rsidR="00DA4BA7" w:rsidRPr="00590CF3">
        <w:t xml:space="preserve">, </w:t>
      </w:r>
      <w:r w:rsidRPr="00590CF3">
        <w:t xml:space="preserve">treatment emergent anti-drug antibody </w:t>
      </w:r>
      <w:r w:rsidR="00DA4BA7" w:rsidRPr="00590CF3">
        <w:t>appears to have a consistent effect on lowering serum concentrations of E</w:t>
      </w:r>
      <w:r w:rsidRPr="00590CF3">
        <w:t>vusheld</w:t>
      </w:r>
      <w:r w:rsidR="00DA4BA7" w:rsidRPr="00590CF3">
        <w:t xml:space="preserve">; however, the significance of this is uncertain. </w:t>
      </w:r>
      <w:r w:rsidR="00EA5A86">
        <w:t>The Delegate is of view that the</w:t>
      </w:r>
      <w:r w:rsidR="00DA4BA7" w:rsidRPr="00590CF3">
        <w:t xml:space="preserve"> uncertainty should be reflected in the PI.</w:t>
      </w:r>
    </w:p>
    <w:p w14:paraId="4C8E04E2" w14:textId="7FFBAAF6" w:rsidR="00DA4BA7" w:rsidRDefault="00DA4BA7" w:rsidP="00590CF3">
      <w:pPr>
        <w:pStyle w:val="Heading5"/>
      </w:pPr>
      <w:bookmarkStart w:id="60" w:name="_Ref110785331"/>
      <w:r>
        <w:t>Anti-drug antibody effect on safety and efficacy</w:t>
      </w:r>
      <w:bookmarkEnd w:id="60"/>
    </w:p>
    <w:p w14:paraId="7F5E2040" w14:textId="2E0B1F97" w:rsidR="00C122CB" w:rsidRPr="00F40974" w:rsidRDefault="00DA4BA7" w:rsidP="00C122CB">
      <w:r>
        <w:t xml:space="preserve">The </w:t>
      </w:r>
      <w:r w:rsidR="00590CF3">
        <w:t>four</w:t>
      </w:r>
      <w:r>
        <w:t xml:space="preserve"> participants in the E</w:t>
      </w:r>
      <w:r w:rsidR="00590CF3">
        <w:t>vusheld</w:t>
      </w:r>
      <w:r>
        <w:t xml:space="preserve"> group with cardiac or thromboembolic </w:t>
      </w:r>
      <w:r w:rsidR="00590CF3">
        <w:t>serious adverse events (</w:t>
      </w:r>
      <w:r>
        <w:t>SAE</w:t>
      </w:r>
      <w:r w:rsidR="00590CF3" w:rsidRPr="002B149A">
        <w:t>)</w:t>
      </w:r>
      <w:r w:rsidRPr="002B149A">
        <w:t xml:space="preserve"> (</w:t>
      </w:r>
      <w:r w:rsidR="00590CF3" w:rsidRPr="002B149A">
        <w:t>see</w:t>
      </w:r>
      <w:r w:rsidR="002B149A">
        <w:t xml:space="preserve"> </w:t>
      </w:r>
      <w:r w:rsidR="00F40974">
        <w:t xml:space="preserve">section: </w:t>
      </w:r>
      <w:r w:rsidR="002B149A">
        <w:rPr>
          <w:highlight w:val="yellow"/>
        </w:rPr>
        <w:fldChar w:fldCharType="begin"/>
      </w:r>
      <w:r w:rsidR="002B149A">
        <w:instrText xml:space="preserve"> REF _Ref119400700 \h </w:instrText>
      </w:r>
      <w:r w:rsidR="002B149A">
        <w:rPr>
          <w:highlight w:val="yellow"/>
        </w:rPr>
      </w:r>
      <w:r w:rsidR="002B149A">
        <w:rPr>
          <w:highlight w:val="yellow"/>
        </w:rPr>
        <w:fldChar w:fldCharType="separate"/>
      </w:r>
      <w:r w:rsidR="008D61A2">
        <w:t>Safety</w:t>
      </w:r>
      <w:r w:rsidR="002B149A">
        <w:rPr>
          <w:highlight w:val="yellow"/>
        </w:rPr>
        <w:fldChar w:fldCharType="end"/>
      </w:r>
      <w:r w:rsidR="00F40974">
        <w:t>, below</w:t>
      </w:r>
      <w:r>
        <w:t xml:space="preserve">) were </w:t>
      </w:r>
      <w:r w:rsidR="00590CF3">
        <w:t xml:space="preserve">anti-drug antibody </w:t>
      </w:r>
      <w:r>
        <w:t>negative, hence</w:t>
      </w:r>
      <w:r w:rsidR="00C122CB">
        <w:t xml:space="preserve"> </w:t>
      </w:r>
      <w:r w:rsidR="00C122CB" w:rsidRPr="00C122CB">
        <w:t xml:space="preserve">those </w:t>
      </w:r>
      <w:proofErr w:type="gramStart"/>
      <w:r w:rsidR="00C122CB" w:rsidRPr="00C122CB">
        <w:t>particular SAEs</w:t>
      </w:r>
      <w:proofErr w:type="gramEnd"/>
      <w:r w:rsidR="00C122CB" w:rsidRPr="00C122CB">
        <w:t xml:space="preserve"> were not related to anti-drug antibody.</w:t>
      </w:r>
    </w:p>
    <w:p w14:paraId="192F949C" w14:textId="6D3FFD7A" w:rsidR="00C122CB" w:rsidRDefault="00C122CB" w:rsidP="00DA4BA7">
      <w:r w:rsidRPr="00C122CB">
        <w:t xml:space="preserve">There were 18 participants in the Evusheld 600 mg intramuscularly group with a primary event of either severe COVID-19 or death at the key secondary data </w:t>
      </w:r>
      <w:proofErr w:type="spellStart"/>
      <w:r w:rsidRPr="00C122CB">
        <w:t>cutoff</w:t>
      </w:r>
      <w:proofErr w:type="spellEnd"/>
      <w:r w:rsidRPr="00C122CB">
        <w:t xml:space="preserve"> and 12 were evaluable for anti-drug antibody, of whom seven (58%) were anti-drug antibody negative, two (17%) were non-treatment emergent anti-drug antibody positive and three (25%) were treatment emergent anti-drug antibody plus (note that, the incidence of treatment emergent anti-drug antibody plus through 168 days was 10.7%,</w:t>
      </w:r>
      <w:r>
        <w:fldChar w:fldCharType="begin"/>
      </w:r>
      <w:r>
        <w:instrText xml:space="preserve"> REF _Ref119315017 \h </w:instrText>
      </w:r>
      <w:r>
        <w:fldChar w:fldCharType="separate"/>
      </w:r>
      <w:r w:rsidRPr="006A2A6E">
        <w:t xml:space="preserve">Table </w:t>
      </w:r>
      <w:r>
        <w:rPr>
          <w:noProof/>
        </w:rPr>
        <w:t>8</w:t>
      </w:r>
      <w:r>
        <w:fldChar w:fldCharType="end"/>
      </w:r>
      <w:r w:rsidRPr="00C122CB">
        <w:t>). Two of the three treatment emergent anti-drug antibody plus participants first tested positive following the event. The third was anti-drug antibody plus at Baseline and on Day 29, which bracketed the event.</w:t>
      </w:r>
    </w:p>
    <w:p w14:paraId="281C734E" w14:textId="53A5C2D0" w:rsidR="00DA4BA7" w:rsidRPr="00590CF3" w:rsidRDefault="00590CF3" w:rsidP="00DA4BA7">
      <w:r>
        <w:t>The Delegate noted that the a</w:t>
      </w:r>
      <w:r w:rsidR="00DA4BA7" w:rsidRPr="00AD3EA3">
        <w:t xml:space="preserve">vailable data reflect very small numbers and are insufficient to reach a conclusion about potential loss of efficacy in </w:t>
      </w:r>
      <w:r>
        <w:t>anti-drug antibody plus</w:t>
      </w:r>
      <w:r w:rsidR="00DA4BA7" w:rsidRPr="00AD3EA3">
        <w:t xml:space="preserve"> participants. </w:t>
      </w:r>
      <w:r w:rsidR="00DA4BA7" w:rsidRPr="00590CF3">
        <w:t xml:space="preserve">The </w:t>
      </w:r>
      <w:r w:rsidRPr="00590CF3">
        <w:t>s</w:t>
      </w:r>
      <w:r w:rsidR="00DA4BA7" w:rsidRPr="00590CF3">
        <w:t xml:space="preserve">ponsor has not presented an analysis of safety data comparing </w:t>
      </w:r>
      <w:r w:rsidR="004F2549">
        <w:t xml:space="preserve">anti-drug antibody </w:t>
      </w:r>
      <w:r w:rsidR="00DA4BA7" w:rsidRPr="00590CF3">
        <w:t>positive and</w:t>
      </w:r>
      <w:r w:rsidR="004F2549">
        <w:t xml:space="preserve"> antidrug antibody </w:t>
      </w:r>
      <w:r w:rsidR="00DA4BA7" w:rsidRPr="00590CF3">
        <w:t xml:space="preserve">negative participants beyond the sentence in the </w:t>
      </w:r>
      <w:r w:rsidR="004F2549">
        <w:t>clinical study report</w:t>
      </w:r>
      <w:r w:rsidR="00DA4BA7" w:rsidRPr="00590CF3">
        <w:t xml:space="preserve"> about cardiac disorders and thromboembolic events, hence this lack of evidence does not assuage any potential safety concerns. </w:t>
      </w:r>
      <w:r w:rsidR="004F2549">
        <w:t>The Delegate commented that t</w:t>
      </w:r>
      <w:r w:rsidR="00DA4BA7" w:rsidRPr="00590CF3">
        <w:t>his uncertainty should be reflected in the PI.</w:t>
      </w:r>
    </w:p>
    <w:p w14:paraId="1FF72014" w14:textId="77777777" w:rsidR="004F2549" w:rsidRPr="006402BA" w:rsidRDefault="004F2549" w:rsidP="004F2549">
      <w:pPr>
        <w:pStyle w:val="Heading4"/>
        <w:rPr>
          <w:i/>
        </w:rPr>
      </w:pPr>
      <w:r w:rsidRPr="006402BA">
        <w:rPr>
          <w:i/>
        </w:rPr>
        <w:t>I</w:t>
      </w:r>
      <w:r w:rsidRPr="00F40974">
        <w:rPr>
          <w:i/>
          <w:iCs/>
        </w:rPr>
        <w:t>n vitro</w:t>
      </w:r>
      <w:r w:rsidRPr="006402BA">
        <w:rPr>
          <w:i/>
        </w:rPr>
        <w:t xml:space="preserve"> </w:t>
      </w:r>
      <w:r w:rsidRPr="00F40974">
        <w:t>neutralisation data for new variants of concern</w:t>
      </w:r>
    </w:p>
    <w:p w14:paraId="66966C71" w14:textId="1CC6D899" w:rsidR="004F2549" w:rsidRDefault="004F2549" w:rsidP="004F2549">
      <w:r>
        <w:t xml:space="preserve">The nonclinical review of data will be considered to assess whether the data supports proposed neutralisation changes to Table 6 in section 5.1 of the PI, </w:t>
      </w:r>
      <w:proofErr w:type="gramStart"/>
      <w:r>
        <w:t>and also</w:t>
      </w:r>
      <w:proofErr w:type="gramEnd"/>
      <w:r>
        <w:t xml:space="preserve"> deletion of some text there.</w:t>
      </w:r>
    </w:p>
    <w:p w14:paraId="33CB0856" w14:textId="77777777" w:rsidR="004F2549" w:rsidRDefault="004F2549" w:rsidP="004F2549">
      <w:pPr>
        <w:pStyle w:val="Heading4"/>
      </w:pPr>
      <w:r>
        <w:t>Efficacy</w:t>
      </w:r>
    </w:p>
    <w:p w14:paraId="0F0BAA8E" w14:textId="158FD974" w:rsidR="004F2549" w:rsidRDefault="004F2549" w:rsidP="004F2549">
      <w:r>
        <w:t>No new clinical data was submitted that demonstrates the efficacy of the proposed 600</w:t>
      </w:r>
      <w:r w:rsidR="00EA5A86">
        <w:t> </w:t>
      </w:r>
      <w:r>
        <w:t>mg Evusheld administered 6 monthly as a pre-exposure prophylaxis.</w:t>
      </w:r>
    </w:p>
    <w:p w14:paraId="3771BBD0" w14:textId="5EA36740" w:rsidR="004F2549" w:rsidRDefault="00CD61DA" w:rsidP="004F2549">
      <w:r>
        <w:t xml:space="preserve">For </w:t>
      </w:r>
      <w:r w:rsidR="00F40974">
        <w:t xml:space="preserve">the </w:t>
      </w:r>
      <w:r w:rsidR="004F2549">
        <w:t xml:space="preserve">TACKLE </w:t>
      </w:r>
      <w:r>
        <w:t>trial, a</w:t>
      </w:r>
      <w:r w:rsidR="004F2549">
        <w:t xml:space="preserve">dditional clinical data was submitted following repeated analyses for primary and secondary endpoints at the </w:t>
      </w:r>
      <w:r>
        <w:t>k</w:t>
      </w:r>
      <w:r w:rsidR="004F2549">
        <w:t xml:space="preserve">ey secondary </w:t>
      </w:r>
      <w:r>
        <w:t>data cut</w:t>
      </w:r>
      <w:r w:rsidR="00F40974">
        <w:t>-</w:t>
      </w:r>
      <w:r>
        <w:t>off</w:t>
      </w:r>
      <w:r w:rsidR="00F40974">
        <w:t xml:space="preserve"> (dated</w:t>
      </w:r>
      <w:r w:rsidR="004F2549">
        <w:t xml:space="preserve"> 14 January 2022</w:t>
      </w:r>
      <w:r w:rsidR="00F40974">
        <w:t>)</w:t>
      </w:r>
      <w:r w:rsidR="004F2549">
        <w:t>.</w:t>
      </w:r>
    </w:p>
    <w:p w14:paraId="211E50A0" w14:textId="4729851A" w:rsidR="00DA4BA7" w:rsidRDefault="004F2549" w:rsidP="004F2549">
      <w:r>
        <w:lastRenderedPageBreak/>
        <w:t>Overall, the magnitude of treatment benefit appears to be consistent across the primary and secondary</w:t>
      </w:r>
      <w:r w:rsidR="00CD61DA">
        <w:t xml:space="preserve"> data </w:t>
      </w:r>
      <w:proofErr w:type="spellStart"/>
      <w:r w:rsidR="00CD61DA">
        <w:t>cutoff</w:t>
      </w:r>
      <w:proofErr w:type="spellEnd"/>
      <w:r>
        <w:t xml:space="preserve"> analyses.</w:t>
      </w:r>
    </w:p>
    <w:p w14:paraId="1EE40A84" w14:textId="1A9A091B" w:rsidR="00CD61DA" w:rsidRDefault="00CD61DA" w:rsidP="00CD61DA">
      <w:pPr>
        <w:pStyle w:val="TableTitle"/>
      </w:pPr>
      <w:r w:rsidRPr="00CD61DA">
        <w:t xml:space="preserve">Table </w:t>
      </w:r>
      <w:r w:rsidR="005E1B9B">
        <w:fldChar w:fldCharType="begin"/>
      </w:r>
      <w:r w:rsidR="005E1B9B">
        <w:instrText xml:space="preserve"> SEQ Table \* ARABIC </w:instrText>
      </w:r>
      <w:r w:rsidR="005E1B9B">
        <w:fldChar w:fldCharType="separate"/>
      </w:r>
      <w:r w:rsidR="008D61A2">
        <w:rPr>
          <w:noProof/>
        </w:rPr>
        <w:t>10</w:t>
      </w:r>
      <w:r w:rsidR="005E1B9B">
        <w:rPr>
          <w:noProof/>
        </w:rPr>
        <w:fldChar w:fldCharType="end"/>
      </w:r>
      <w:r w:rsidRPr="00CD61DA">
        <w:t>:</w:t>
      </w:r>
      <w:r>
        <w:t xml:space="preserve"> </w:t>
      </w:r>
      <w:r w:rsidRPr="00CD61DA">
        <w:t xml:space="preserve">Overview of </w:t>
      </w:r>
      <w:r>
        <w:t>a</w:t>
      </w:r>
      <w:r w:rsidRPr="00CD61DA">
        <w:t xml:space="preserve">nalysis </w:t>
      </w:r>
      <w:r>
        <w:t>h</w:t>
      </w:r>
      <w:r w:rsidRPr="00CD61DA">
        <w:t xml:space="preserve">ierarchy for </w:t>
      </w:r>
      <w:r>
        <w:t>p</w:t>
      </w:r>
      <w:r w:rsidRPr="00CD61DA">
        <w:t xml:space="preserve">rimary and </w:t>
      </w:r>
      <w:r>
        <w:t>k</w:t>
      </w:r>
      <w:r w:rsidRPr="00CD61DA">
        <w:t xml:space="preserve">ey </w:t>
      </w:r>
      <w:r>
        <w:t>s</w:t>
      </w:r>
      <w:r w:rsidRPr="00CD61DA">
        <w:t xml:space="preserve">econdary </w:t>
      </w:r>
      <w:r>
        <w:t>data cut</w:t>
      </w:r>
      <w:r w:rsidR="00F40974">
        <w:noBreakHyphen/>
      </w:r>
      <w:r>
        <w:t>offs</w:t>
      </w:r>
    </w:p>
    <w:p w14:paraId="21CB37FE" w14:textId="6217245C" w:rsidR="00CD61DA" w:rsidRDefault="00CD61DA" w:rsidP="00CD61DA">
      <w:r w:rsidRPr="007859BC">
        <w:rPr>
          <w:noProof/>
          <w:lang w:val="en-GB" w:eastAsia="en-GB"/>
        </w:rPr>
        <w:drawing>
          <wp:inline distT="0" distB="0" distL="0" distR="0" wp14:anchorId="09E90C38" wp14:editId="1670CB4B">
            <wp:extent cx="5224007" cy="3475355"/>
            <wp:effectExtent l="0" t="0" r="0" b="0"/>
            <wp:docPr id="26" name="Picture 26" descr="Overview of analysis hierarchy for primary and key secondary data cuto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verview of analysis hierarchy for primary and key secondary data cutoffs"/>
                    <pic:cNvPicPr/>
                  </pic:nvPicPr>
                  <pic:blipFill rotWithShape="1">
                    <a:blip r:embed="rId38"/>
                    <a:srcRect r="3242"/>
                    <a:stretch/>
                  </pic:blipFill>
                  <pic:spPr bwMode="auto">
                    <a:xfrm>
                      <a:off x="0" y="0"/>
                      <a:ext cx="5224952" cy="3475984"/>
                    </a:xfrm>
                    <a:prstGeom prst="rect">
                      <a:avLst/>
                    </a:prstGeom>
                    <a:ln>
                      <a:noFill/>
                    </a:ln>
                    <a:extLst>
                      <a:ext uri="{53640926-AAD7-44D8-BBD7-CCE9431645EC}">
                        <a14:shadowObscured xmlns:a14="http://schemas.microsoft.com/office/drawing/2010/main"/>
                      </a:ext>
                    </a:extLst>
                  </pic:spPr>
                </pic:pic>
              </a:graphicData>
            </a:graphic>
          </wp:inline>
        </w:drawing>
      </w:r>
    </w:p>
    <w:p w14:paraId="27F76B50" w14:textId="04CBA04D" w:rsidR="00EA5A86" w:rsidRPr="00707F89" w:rsidRDefault="00EA5A86" w:rsidP="00EA5A86">
      <w:pPr>
        <w:pStyle w:val="TableDescription"/>
      </w:pPr>
      <w:r>
        <w:t>Abbreviation</w:t>
      </w:r>
      <w:r w:rsidR="00C2028A">
        <w:t>s</w:t>
      </w:r>
      <w:r>
        <w:t xml:space="preserve">: AZD7442 = Evusheld; DCO = data </w:t>
      </w:r>
      <w:proofErr w:type="spellStart"/>
      <w:r>
        <w:t>cutoff</w:t>
      </w:r>
      <w:proofErr w:type="spellEnd"/>
      <w:r>
        <w:t>.</w:t>
      </w:r>
    </w:p>
    <w:p w14:paraId="2E18CEB0" w14:textId="338308D7" w:rsidR="00CD61DA" w:rsidRDefault="00CD61DA" w:rsidP="00CD61DA">
      <w:pPr>
        <w:pStyle w:val="TableDescription"/>
      </w:pPr>
      <w:r w:rsidRPr="00707F89">
        <w:t xml:space="preserve">Text in bold indicates change from the </w:t>
      </w:r>
      <w:r>
        <w:t>p</w:t>
      </w:r>
      <w:r w:rsidRPr="00707F89">
        <w:t xml:space="preserve">rimary </w:t>
      </w:r>
      <w:r>
        <w:t xml:space="preserve">data </w:t>
      </w:r>
      <w:proofErr w:type="spellStart"/>
      <w:r>
        <w:t>cutoff</w:t>
      </w:r>
      <w:proofErr w:type="spellEnd"/>
      <w:r w:rsidRPr="00707F89">
        <w:t xml:space="preserve"> to </w:t>
      </w:r>
      <w:r>
        <w:t>k</w:t>
      </w:r>
      <w:r w:rsidRPr="00707F89">
        <w:t xml:space="preserve">ey </w:t>
      </w:r>
      <w:r>
        <w:t>s</w:t>
      </w:r>
      <w:r w:rsidRPr="00707F89">
        <w:t xml:space="preserve">econdary </w:t>
      </w:r>
      <w:r>
        <w:t xml:space="preserve">data </w:t>
      </w:r>
      <w:proofErr w:type="spellStart"/>
      <w:r>
        <w:t>cutoff</w:t>
      </w:r>
      <w:proofErr w:type="spellEnd"/>
      <w:r>
        <w:t>.</w:t>
      </w:r>
    </w:p>
    <w:p w14:paraId="08BDF9AD" w14:textId="77777777" w:rsidR="00CD61DA" w:rsidRDefault="00CD61DA" w:rsidP="00CD61DA">
      <w:r>
        <w:t>It was also noted that in participants who received treatment ≤ 5 days or ≤ 3 days from symptom onset, Evusheld reduced the risk of developing severe COVID-19 or death versus placebo by 66.93% (95% CI: 31.11, 84.12) and 88.01% (95% CI: 9.40, 98.41), respectively.</w:t>
      </w:r>
    </w:p>
    <w:p w14:paraId="7B201D1D" w14:textId="1197F7C8" w:rsidR="00CD61DA" w:rsidRDefault="00CD61DA" w:rsidP="00CD61DA">
      <w:r>
        <w:t>At the key secondary data cut</w:t>
      </w:r>
      <w:r w:rsidR="00C2028A">
        <w:t>-</w:t>
      </w:r>
      <w:r>
        <w:t xml:space="preserve">off, the number of participants hospitalised for the disease under study (including COVID-19 complications) through Day 29 and through Day 169, was numerically fewer in the Evusheld group (17 </w:t>
      </w:r>
      <w:r w:rsidR="00C2028A">
        <w:t>(</w:t>
      </w:r>
      <w:r>
        <w:t>4.1%</w:t>
      </w:r>
      <w:r w:rsidR="00C2028A">
        <w:t>)</w:t>
      </w:r>
      <w:r>
        <w:t xml:space="preserve">) compared with the placebo group (40 </w:t>
      </w:r>
      <w:r w:rsidR="00C2028A">
        <w:t>(</w:t>
      </w:r>
      <w:r>
        <w:t>9.5%</w:t>
      </w:r>
      <w:r w:rsidR="00C2028A">
        <w:t>)</w:t>
      </w:r>
      <w:r>
        <w:t xml:space="preserve">). Of these hospitalised participants, fewer were admitted to the intensive care unit (ICU) in the Evusheld group (3 </w:t>
      </w:r>
      <w:r w:rsidR="00C2028A">
        <w:t>(</w:t>
      </w:r>
      <w:r>
        <w:t>0.7%</w:t>
      </w:r>
      <w:r w:rsidR="00C2028A">
        <w:t>)</w:t>
      </w:r>
      <w:r>
        <w:t xml:space="preserve">) compared to placebo (11 </w:t>
      </w:r>
      <w:r w:rsidR="00C2028A">
        <w:t>(</w:t>
      </w:r>
      <w:r>
        <w:t>2.6%</w:t>
      </w:r>
      <w:r w:rsidR="00C2028A">
        <w:t>)</w:t>
      </w:r>
      <w:r>
        <w:t>).</w:t>
      </w:r>
    </w:p>
    <w:p w14:paraId="1A09D560" w14:textId="59DCAAD0" w:rsidR="00CD61DA" w:rsidRPr="009C7307" w:rsidRDefault="00CD61DA" w:rsidP="00CD61DA">
      <w:r>
        <w:t>Overall, the treatment benefit appears to be consistent and achieved statistical significance for the Evusheld group, compared to placebo.</w:t>
      </w:r>
    </w:p>
    <w:p w14:paraId="66A6E029" w14:textId="77777777" w:rsidR="00CD61DA" w:rsidRDefault="00CD61DA" w:rsidP="00CD61DA">
      <w:pPr>
        <w:pStyle w:val="Heading4"/>
      </w:pPr>
      <w:bookmarkStart w:id="61" w:name="_Ref119400700"/>
      <w:r>
        <w:t>Safety</w:t>
      </w:r>
      <w:bookmarkEnd w:id="61"/>
    </w:p>
    <w:p w14:paraId="2AF2833A" w14:textId="0484CE62" w:rsidR="00CD61DA" w:rsidRDefault="00CD61DA" w:rsidP="00CD61DA">
      <w:pPr>
        <w:pStyle w:val="Heading5"/>
      </w:pPr>
      <w:r>
        <w:t>Safety of repeat dosing of 300 mg Evusheld</w:t>
      </w:r>
    </w:p>
    <w:p w14:paraId="34A104FD" w14:textId="4F8FED38" w:rsidR="00CD61DA" w:rsidRDefault="00CD61DA" w:rsidP="00CD61DA">
      <w:r>
        <w:t xml:space="preserve">The PROVENT trial </w:t>
      </w:r>
      <w:proofErr w:type="spellStart"/>
      <w:r>
        <w:t>substudy</w:t>
      </w:r>
      <w:proofErr w:type="spellEnd"/>
      <w:r>
        <w:t xml:space="preserve"> (</w:t>
      </w:r>
      <w:proofErr w:type="spellStart"/>
      <w:r w:rsidR="00C2028A">
        <w:t>Subs</w:t>
      </w:r>
      <w:r>
        <w:t>tudy</w:t>
      </w:r>
      <w:proofErr w:type="spellEnd"/>
      <w:r>
        <w:t xml:space="preserve"> D8850C002A01) was designed to investigate whether an additional dose of Evusheld has an acceptable safety profile and whether repeat dosing can maintain serum levels associated with protection against COVID-19.</w:t>
      </w:r>
    </w:p>
    <w:p w14:paraId="20492B3D" w14:textId="6F85C5FC" w:rsidR="00CD61DA" w:rsidRDefault="00CD61DA" w:rsidP="00CD61DA">
      <w:r>
        <w:t xml:space="preserve">This interim report summarizes the </w:t>
      </w:r>
      <w:proofErr w:type="spellStart"/>
      <w:r>
        <w:t>substudy</w:t>
      </w:r>
      <w:proofErr w:type="spellEnd"/>
      <w:r>
        <w:t xml:space="preserve"> primary endpoint (safety and tolerability data) for all 443 participants who received </w:t>
      </w:r>
      <w:r w:rsidR="00A31BEF">
        <w:t>Evusheld</w:t>
      </w:r>
      <w:r>
        <w:t xml:space="preserve"> and available secondary endpoint results (</w:t>
      </w:r>
      <w:r w:rsidR="00A31BEF">
        <w:t>pharmacokinetics</w:t>
      </w:r>
      <w:r>
        <w:t xml:space="preserve"> and </w:t>
      </w:r>
      <w:r w:rsidR="00A31BEF">
        <w:t>anti-drug antibody</w:t>
      </w:r>
      <w:r>
        <w:t xml:space="preserve"> data) for the approximately 50 participants in Group 1 who had reached the Day 29 visit. None of the subjects in </w:t>
      </w:r>
      <w:r w:rsidR="00A31BEF">
        <w:t>G</w:t>
      </w:r>
      <w:r>
        <w:t>roup 2 had received a repeat dose at the time of this interim analysis.</w:t>
      </w:r>
    </w:p>
    <w:p w14:paraId="320C8805" w14:textId="77777777" w:rsidR="00CD61DA" w:rsidRDefault="00CD61DA" w:rsidP="00CD61DA">
      <w:r>
        <w:lastRenderedPageBreak/>
        <w:t>Participants who could benefit from a repeat dose included those that: (a) were immunocompromised and/or may be at increased risk for an inadequate response to a COVID-19 vaccination, or (b) were at increased risk of severe COVID-19.</w:t>
      </w:r>
    </w:p>
    <w:p w14:paraId="25CAFEE3" w14:textId="0191C3BC" w:rsidR="00CD61DA" w:rsidRDefault="00CD61DA" w:rsidP="00CD61DA">
      <w:r>
        <w:t>Group 1 (</w:t>
      </w:r>
      <w:r w:rsidR="00A31BEF">
        <w:t>approximately</w:t>
      </w:r>
      <w:r>
        <w:t xml:space="preserve"> 12</w:t>
      </w:r>
      <w:r w:rsidR="00A31BEF">
        <w:t xml:space="preserve"> </w:t>
      </w:r>
      <w:proofErr w:type="gramStart"/>
      <w:r>
        <w:t>month</w:t>
      </w:r>
      <w:proofErr w:type="gramEnd"/>
      <w:r>
        <w:t xml:space="preserve"> repeat dose interval): Participants who received </w:t>
      </w:r>
      <w:r w:rsidR="00A31BEF">
        <w:t>Evusheld</w:t>
      </w:r>
      <w:r>
        <w:t xml:space="preserve"> 300 mg </w:t>
      </w:r>
      <w:r w:rsidR="00A31BEF">
        <w:t>intramuscularly</w:t>
      </w:r>
      <w:r>
        <w:t xml:space="preserve"> on Day 1 of the parent study receive their second dose of </w:t>
      </w:r>
      <w:r w:rsidR="00A31BEF">
        <w:t>Evusheld</w:t>
      </w:r>
      <w:r>
        <w:t xml:space="preserve"> 300 mg </w:t>
      </w:r>
      <w:r w:rsidR="00A31BEF">
        <w:t>intramuscularly</w:t>
      </w:r>
      <w:r>
        <w:t xml:space="preserve"> on </w:t>
      </w:r>
      <w:proofErr w:type="spellStart"/>
      <w:r>
        <w:t>substudy</w:t>
      </w:r>
      <w:proofErr w:type="spellEnd"/>
      <w:r>
        <w:t xml:space="preserve"> Day 1.</w:t>
      </w:r>
    </w:p>
    <w:p w14:paraId="2CDAD5FC" w14:textId="500EB26D" w:rsidR="00CD61DA" w:rsidRDefault="00CD61DA" w:rsidP="00CD61DA">
      <w:r>
        <w:t>Group 2 (</w:t>
      </w:r>
      <w:r w:rsidR="00A31BEF">
        <w:t>approximately</w:t>
      </w:r>
      <w:r>
        <w:t xml:space="preserve"> 6</w:t>
      </w:r>
      <w:r w:rsidR="00A31BEF">
        <w:t xml:space="preserve"> </w:t>
      </w:r>
      <w:proofErr w:type="gramStart"/>
      <w:r>
        <w:t>month</w:t>
      </w:r>
      <w:proofErr w:type="gramEnd"/>
      <w:r>
        <w:t xml:space="preserve"> repeat dose interval): Participants who received placebo on Day 1 in the parent study receive their first dose of </w:t>
      </w:r>
      <w:r w:rsidR="00A31BEF">
        <w:t>Evusheld</w:t>
      </w:r>
      <w:r>
        <w:t xml:space="preserve"> 300 mg </w:t>
      </w:r>
      <w:r w:rsidR="00A31BEF">
        <w:t>intramuscularly</w:t>
      </w:r>
      <w:r>
        <w:t xml:space="preserve"> on sub-study Day 1 followed by a second dose on </w:t>
      </w:r>
      <w:proofErr w:type="spellStart"/>
      <w:r>
        <w:t>substudy</w:t>
      </w:r>
      <w:proofErr w:type="spellEnd"/>
      <w:r>
        <w:t xml:space="preserve"> Day 183.</w:t>
      </w:r>
    </w:p>
    <w:p w14:paraId="07BB5240" w14:textId="175BDC4F" w:rsidR="00A31BEF" w:rsidRDefault="00A31BEF" w:rsidP="00A31BEF">
      <w:pPr>
        <w:pStyle w:val="FigureTitle"/>
      </w:pPr>
      <w:r w:rsidRPr="00A31BEF">
        <w:t xml:space="preserve">Figure </w:t>
      </w:r>
      <w:r w:rsidR="005E1B9B">
        <w:fldChar w:fldCharType="begin"/>
      </w:r>
      <w:r w:rsidR="005E1B9B">
        <w:instrText xml:space="preserve"> SEQ Figure \* ARABIC </w:instrText>
      </w:r>
      <w:r w:rsidR="005E1B9B">
        <w:fldChar w:fldCharType="separate"/>
      </w:r>
      <w:r w:rsidR="008D61A2">
        <w:rPr>
          <w:noProof/>
        </w:rPr>
        <w:t>12</w:t>
      </w:r>
      <w:r w:rsidR="005E1B9B">
        <w:rPr>
          <w:noProof/>
        </w:rPr>
        <w:fldChar w:fldCharType="end"/>
      </w:r>
      <w:r w:rsidRPr="00A31BEF">
        <w:t>:</w:t>
      </w:r>
      <w:r>
        <w:t xml:space="preserve"> </w:t>
      </w:r>
      <w:r w:rsidR="00C2028A">
        <w:t>PROVENT trial (</w:t>
      </w:r>
      <w:proofErr w:type="spellStart"/>
      <w:r w:rsidR="00C2028A">
        <w:t>Substudy</w:t>
      </w:r>
      <w:proofErr w:type="spellEnd"/>
      <w:r w:rsidR="00C2028A">
        <w:t xml:space="preserve"> D8850C002A01) </w:t>
      </w:r>
      <w:r>
        <w:t>design</w:t>
      </w:r>
    </w:p>
    <w:p w14:paraId="2433F44D" w14:textId="0F91C4CF" w:rsidR="00A31BEF" w:rsidRDefault="00A31BEF" w:rsidP="00A31BEF">
      <w:r w:rsidRPr="005135AB">
        <w:rPr>
          <w:noProof/>
          <w:lang w:val="en-GB" w:eastAsia="en-GB"/>
        </w:rPr>
        <w:drawing>
          <wp:inline distT="0" distB="0" distL="0" distR="0" wp14:anchorId="63C87DD4" wp14:editId="2BE63BDE">
            <wp:extent cx="5057030" cy="2382091"/>
            <wp:effectExtent l="0" t="0" r="0" b="0"/>
            <wp:docPr id="11" name="Picture 11" descr="PROVENT trial Sub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VENT trial Substudy design"/>
                    <pic:cNvPicPr/>
                  </pic:nvPicPr>
                  <pic:blipFill rotWithShape="1">
                    <a:blip r:embed="rId39"/>
                    <a:srcRect l="2133" t="-335" r="6011" b="5491"/>
                    <a:stretch/>
                  </pic:blipFill>
                  <pic:spPr bwMode="auto">
                    <a:xfrm>
                      <a:off x="0" y="0"/>
                      <a:ext cx="5070689" cy="2388525"/>
                    </a:xfrm>
                    <a:prstGeom prst="rect">
                      <a:avLst/>
                    </a:prstGeom>
                    <a:ln>
                      <a:noFill/>
                    </a:ln>
                    <a:extLst>
                      <a:ext uri="{53640926-AAD7-44D8-BBD7-CCE9431645EC}">
                        <a14:shadowObscured xmlns:a14="http://schemas.microsoft.com/office/drawing/2010/main"/>
                      </a:ext>
                    </a:extLst>
                  </pic:spPr>
                </pic:pic>
              </a:graphicData>
            </a:graphic>
          </wp:inline>
        </w:drawing>
      </w:r>
    </w:p>
    <w:p w14:paraId="673B7E37" w14:textId="0313CF51" w:rsidR="00A31BEF" w:rsidRDefault="00A31BEF" w:rsidP="00A31BEF">
      <w:r>
        <w:t>At the time of interim analysis, there were 305 subjects enrolled in Group 1 and 138</w:t>
      </w:r>
      <w:r w:rsidR="00C2028A">
        <w:t> </w:t>
      </w:r>
      <w:r>
        <w:t xml:space="preserve">subjects enrolled in Group 2. Mean age was around 60 years. Around 94% of subjects </w:t>
      </w:r>
      <w:proofErr w:type="gramStart"/>
      <w:r>
        <w:t>had  a</w:t>
      </w:r>
      <w:proofErr w:type="gramEnd"/>
      <w:r>
        <w:t xml:space="preserve"> negative SARS-CoV-2 </w:t>
      </w:r>
      <w:r w:rsidR="00EA5A86">
        <w:t>r</w:t>
      </w:r>
      <w:r w:rsidR="00EA5A86" w:rsidRPr="00EA5A86">
        <w:t xml:space="preserve">everse transcription polymerase chain reaction </w:t>
      </w:r>
      <w:r>
        <w:t xml:space="preserve">status at </w:t>
      </w:r>
      <w:r w:rsidR="00EA5A86">
        <w:t>B</w:t>
      </w:r>
      <w:r>
        <w:t xml:space="preserve">aseline. Around 93 % of subjects in </w:t>
      </w:r>
      <w:r w:rsidR="00EA5A86">
        <w:t>G</w:t>
      </w:r>
      <w:r>
        <w:t xml:space="preserve">roup 2 and 88% of subjects in </w:t>
      </w:r>
      <w:r w:rsidR="00EA5A86">
        <w:t>G</w:t>
      </w:r>
      <w:r>
        <w:t>roup 1 were at high risk for C</w:t>
      </w:r>
      <w:r w:rsidR="00EA5A86">
        <w:t>OVID</w:t>
      </w:r>
      <w:r>
        <w:t>-19.</w:t>
      </w:r>
    </w:p>
    <w:p w14:paraId="7065F75E" w14:textId="77777777" w:rsidR="00A31BEF" w:rsidRDefault="00A31BEF" w:rsidP="00422689">
      <w:pPr>
        <w:pStyle w:val="Heading6"/>
      </w:pPr>
      <w:r>
        <w:t>Exposure</w:t>
      </w:r>
    </w:p>
    <w:p w14:paraId="12CFC6DD" w14:textId="572990B5" w:rsidR="00A31BEF" w:rsidRDefault="00A31BEF" w:rsidP="00A31BEF">
      <w:r>
        <w:t>Up to the data cut</w:t>
      </w:r>
      <w:r w:rsidR="00C2028A">
        <w:t>-</w:t>
      </w:r>
      <w:r>
        <w:t xml:space="preserve">off </w:t>
      </w:r>
      <w:r w:rsidR="00C2028A">
        <w:t xml:space="preserve">date </w:t>
      </w:r>
      <w:r>
        <w:t xml:space="preserve">of 25 February 2022, the median (minimum, maximum) durations of </w:t>
      </w:r>
      <w:proofErr w:type="spellStart"/>
      <w:r>
        <w:t>followup</w:t>
      </w:r>
      <w:proofErr w:type="spellEnd"/>
      <w:r>
        <w:t xml:space="preserve"> in the </w:t>
      </w:r>
      <w:proofErr w:type="spellStart"/>
      <w:r>
        <w:t>substudy</w:t>
      </w:r>
      <w:proofErr w:type="spellEnd"/>
      <w:r>
        <w:t xml:space="preserve"> were similar in Group 1 and Group 2: 17 days (1, 36) and 17.5 days (1, 36), respectively (</w:t>
      </w:r>
      <w:r w:rsidR="00C2028A">
        <w:t xml:space="preserve">see </w:t>
      </w:r>
      <w:r>
        <w:fldChar w:fldCharType="begin"/>
      </w:r>
      <w:r>
        <w:instrText xml:space="preserve"> REF _Ref119328218 \h </w:instrText>
      </w:r>
      <w:r>
        <w:fldChar w:fldCharType="separate"/>
      </w:r>
      <w:r w:rsidR="008D61A2" w:rsidRPr="00A31BEF">
        <w:t xml:space="preserve">Table </w:t>
      </w:r>
      <w:r w:rsidR="008D61A2">
        <w:rPr>
          <w:noProof/>
        </w:rPr>
        <w:t>11</w:t>
      </w:r>
      <w:r>
        <w:fldChar w:fldCharType="end"/>
      </w:r>
      <w:r>
        <w:t>). The median duration from first dose to last assessment was longer in Group 1 than Group 2 (8 versus 2 days).</w:t>
      </w:r>
    </w:p>
    <w:p w14:paraId="6637F152" w14:textId="6AF69703" w:rsidR="00A31BEF" w:rsidRDefault="00A31BEF" w:rsidP="00A31BEF">
      <w:pPr>
        <w:pStyle w:val="TableTitle"/>
      </w:pPr>
      <w:bookmarkStart w:id="62" w:name="_Ref119328218"/>
      <w:r w:rsidRPr="00A31BEF">
        <w:t xml:space="preserve">Table </w:t>
      </w:r>
      <w:r w:rsidR="005E1B9B">
        <w:fldChar w:fldCharType="begin"/>
      </w:r>
      <w:r w:rsidR="005E1B9B">
        <w:instrText xml:space="preserve"> SEQ Table \* ARABIC </w:instrText>
      </w:r>
      <w:r w:rsidR="005E1B9B">
        <w:fldChar w:fldCharType="separate"/>
      </w:r>
      <w:r w:rsidR="008D61A2">
        <w:rPr>
          <w:noProof/>
        </w:rPr>
        <w:t>11</w:t>
      </w:r>
      <w:r w:rsidR="005E1B9B">
        <w:rPr>
          <w:noProof/>
        </w:rPr>
        <w:fldChar w:fldCharType="end"/>
      </w:r>
      <w:bookmarkEnd w:id="62"/>
      <w:r>
        <w:t xml:space="preserve">: </w:t>
      </w:r>
      <w:r w:rsidR="00C2028A">
        <w:t>PROVENT trial (</w:t>
      </w:r>
      <w:proofErr w:type="spellStart"/>
      <w:r w:rsidR="00C2028A">
        <w:t>Substudy</w:t>
      </w:r>
      <w:proofErr w:type="spellEnd"/>
      <w:r w:rsidR="00C2028A">
        <w:t xml:space="preserve"> D8850C002A01) </w:t>
      </w:r>
      <w:r>
        <w:t>Duration of assessment</w:t>
      </w:r>
    </w:p>
    <w:p w14:paraId="12DECFD0" w14:textId="653A9102" w:rsidR="00A31BEF" w:rsidRDefault="00A31BEF" w:rsidP="00A31BEF">
      <w:r w:rsidRPr="0036748A">
        <w:rPr>
          <w:noProof/>
          <w:lang w:val="en-GB" w:eastAsia="en-GB"/>
        </w:rPr>
        <w:drawing>
          <wp:inline distT="0" distB="0" distL="0" distR="0" wp14:anchorId="1978563F" wp14:editId="2027EE45">
            <wp:extent cx="4778375" cy="1789043"/>
            <wp:effectExtent l="0" t="0" r="3175" b="1905"/>
            <wp:docPr id="15" name="Picture 15" descr="Duration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ration of assessment"/>
                    <pic:cNvPicPr/>
                  </pic:nvPicPr>
                  <pic:blipFill rotWithShape="1">
                    <a:blip r:embed="rId40"/>
                    <a:srcRect r="1045" b="2673"/>
                    <a:stretch/>
                  </pic:blipFill>
                  <pic:spPr bwMode="auto">
                    <a:xfrm>
                      <a:off x="0" y="0"/>
                      <a:ext cx="4778734" cy="1789177"/>
                    </a:xfrm>
                    <a:prstGeom prst="rect">
                      <a:avLst/>
                    </a:prstGeom>
                    <a:ln>
                      <a:noFill/>
                    </a:ln>
                    <a:extLst>
                      <a:ext uri="{53640926-AAD7-44D8-BBD7-CCE9431645EC}">
                        <a14:shadowObscured xmlns:a14="http://schemas.microsoft.com/office/drawing/2010/main"/>
                      </a:ext>
                    </a:extLst>
                  </pic:spPr>
                </pic:pic>
              </a:graphicData>
            </a:graphic>
          </wp:inline>
        </w:drawing>
      </w:r>
    </w:p>
    <w:p w14:paraId="2F879400" w14:textId="79D6B01A" w:rsidR="00A31BEF" w:rsidRDefault="00A31BEF" w:rsidP="00422689">
      <w:pPr>
        <w:pStyle w:val="Heading6"/>
      </w:pPr>
      <w:r>
        <w:lastRenderedPageBreak/>
        <w:t>Adverse events</w:t>
      </w:r>
    </w:p>
    <w:p w14:paraId="7F45851C" w14:textId="405E89AB" w:rsidR="00A31BEF" w:rsidRDefault="00A31BEF" w:rsidP="00A31BEF">
      <w:r>
        <w:t xml:space="preserve">14.4% of subjects in Group 1 and 8.7% of subjects in Group 2 experienced </w:t>
      </w:r>
      <w:r w:rsidR="00C2028A">
        <w:t>adverse events (</w:t>
      </w:r>
      <w:r w:rsidR="00EA5A86">
        <w:t>AEs</w:t>
      </w:r>
      <w:r w:rsidR="00C2028A">
        <w:t>)</w:t>
      </w:r>
      <w:r>
        <w:t xml:space="preserve">. 0.3% of subjects in </w:t>
      </w:r>
      <w:r w:rsidR="00422689">
        <w:t>G</w:t>
      </w:r>
      <w:r>
        <w:t xml:space="preserve">roup 1 and 1.4% of subjects in </w:t>
      </w:r>
      <w:r w:rsidR="00422689">
        <w:t>G</w:t>
      </w:r>
      <w:r>
        <w:t xml:space="preserve">roup 2 experienced </w:t>
      </w:r>
      <w:r w:rsidR="00C2028A">
        <w:t>serious adverse events (</w:t>
      </w:r>
      <w:r>
        <w:t>SAEs</w:t>
      </w:r>
      <w:r w:rsidR="00C2028A">
        <w:t>)</w:t>
      </w:r>
      <w:r>
        <w:t>. None of the AEs or SAEs led to treatment discontinuation.</w:t>
      </w:r>
    </w:p>
    <w:p w14:paraId="29107D75" w14:textId="7380EF06" w:rsidR="00A31BEF" w:rsidRDefault="00A31BEF" w:rsidP="00A31BEF">
      <w:r>
        <w:t xml:space="preserve">Overall, the most common adverse events by were headache (2.5%), fatigue (2.3%), asymptomatic COVID-19 (1.8%), COVID-19 (1.8%), cough (1.6%), oropharyngeal pain (1.4%), dyspnoea (1.1%), and pain (1.1%). The most common AEs in the sub-study up to 25 February 2022 were generally consistent with those observed in the PROVENT parent </w:t>
      </w:r>
      <w:r w:rsidR="00422689">
        <w:t>trial</w:t>
      </w:r>
      <w:r>
        <w:t xml:space="preserve"> primary analysis.</w:t>
      </w:r>
    </w:p>
    <w:p w14:paraId="78A9B5C3" w14:textId="71A5D3CE" w:rsidR="00A31BEF" w:rsidRPr="007068E4" w:rsidRDefault="00A31BEF" w:rsidP="00A31BEF">
      <w:r>
        <w:t xml:space="preserve">Nil major changes from </w:t>
      </w:r>
      <w:r w:rsidR="00422689">
        <w:t>B</w:t>
      </w:r>
      <w:r>
        <w:t>aseline for cardiac biomarkers (D-Dimer, P-Selectin, S-Thrombin antithrombin complex) were reported</w:t>
      </w:r>
      <w:r w:rsidR="00422689">
        <w:t xml:space="preserve"> </w:t>
      </w:r>
      <w:r w:rsidRPr="007068E4">
        <w:t xml:space="preserve">up to the </w:t>
      </w:r>
      <w:r w:rsidR="00422689">
        <w:t xml:space="preserve">data </w:t>
      </w:r>
      <w:proofErr w:type="spellStart"/>
      <w:r w:rsidR="00422689">
        <w:t>cutoff</w:t>
      </w:r>
      <w:proofErr w:type="spellEnd"/>
      <w:r w:rsidRPr="007068E4">
        <w:t xml:space="preserve"> of 25 of February 2022, no participant experienced</w:t>
      </w:r>
      <w:r>
        <w:rPr>
          <w:b/>
          <w:bCs/>
          <w:i/>
        </w:rPr>
        <w:t xml:space="preserve"> </w:t>
      </w:r>
      <w:r w:rsidRPr="007068E4">
        <w:t>cardiac ischemia, cardiac failure, or a thrombotic event.</w:t>
      </w:r>
    </w:p>
    <w:p w14:paraId="21AEE5E3" w14:textId="16BC0522" w:rsidR="00A31BEF" w:rsidRDefault="00A31BEF" w:rsidP="00A31BEF">
      <w:pPr>
        <w:pStyle w:val="Heading5"/>
      </w:pPr>
      <w:r>
        <w:t>Safety of 600 mg E</w:t>
      </w:r>
      <w:r w:rsidR="00422689">
        <w:t>vusheld</w:t>
      </w:r>
      <w:r>
        <w:t xml:space="preserve"> dosage</w:t>
      </w:r>
    </w:p>
    <w:p w14:paraId="4DB60C9B" w14:textId="0FB9D4F0" w:rsidR="00A31BEF" w:rsidRPr="00707F89" w:rsidRDefault="00A31BEF" w:rsidP="00A31BEF">
      <w:r>
        <w:t xml:space="preserve">The </w:t>
      </w:r>
      <w:r w:rsidR="00422689">
        <w:t>s</w:t>
      </w:r>
      <w:r>
        <w:t xml:space="preserve">ponsor proposes adding a paragraph to </w:t>
      </w:r>
      <w:r w:rsidRPr="00707F89">
        <w:t>the ‘</w:t>
      </w:r>
      <w:r w:rsidRPr="00422689">
        <w:rPr>
          <w:i/>
          <w:iCs/>
        </w:rPr>
        <w:t>Summary of the Safety Profile</w:t>
      </w:r>
      <w:r w:rsidRPr="00707F89">
        <w:t>’ in section 4.8 of the PI to the effect that the overall safety profile for 600 mg E</w:t>
      </w:r>
      <w:r w:rsidR="00422689">
        <w:t>vusheld</w:t>
      </w:r>
      <w:r w:rsidRPr="00707F89">
        <w:t xml:space="preserve"> used for treatment of mild to moderate COVID-19 was </w:t>
      </w:r>
      <w:proofErr w:type="gramStart"/>
      <w:r w:rsidRPr="00707F89">
        <w:t>similar to</w:t>
      </w:r>
      <w:proofErr w:type="gramEnd"/>
      <w:r w:rsidRPr="00707F89">
        <w:t xml:space="preserve"> the 300 mg dosage used in prophylaxis studies, with an additional footnote to the ‘</w:t>
      </w:r>
      <w:r w:rsidRPr="00422689">
        <w:rPr>
          <w:i/>
          <w:iCs/>
        </w:rPr>
        <w:t>Adverse reactions</w:t>
      </w:r>
      <w:r w:rsidRPr="00707F89">
        <w:t>’ table on the frequency of hypersensitivity, injection related reactions and injection site reactio</w:t>
      </w:r>
      <w:r>
        <w:t>n</w:t>
      </w:r>
      <w:r w:rsidRPr="00707F89">
        <w:t>.</w:t>
      </w:r>
    </w:p>
    <w:p w14:paraId="5C0E79AA" w14:textId="77777777" w:rsidR="00A31BEF" w:rsidRPr="00422689" w:rsidRDefault="00A31BEF" w:rsidP="00422689">
      <w:pPr>
        <w:pStyle w:val="Heading6"/>
      </w:pPr>
      <w:r w:rsidRPr="00422689">
        <w:t>Extent of exposure</w:t>
      </w:r>
    </w:p>
    <w:p w14:paraId="325E430E" w14:textId="563CD105" w:rsidR="00A31BEF" w:rsidRPr="00707F89" w:rsidRDefault="00A31BEF" w:rsidP="00A31BEF">
      <w:bookmarkStart w:id="63" w:name="_Hlk110522454"/>
      <w:r w:rsidRPr="00707F89">
        <w:t>Safety data for the 600 mg E</w:t>
      </w:r>
      <w:r w:rsidR="002B149A">
        <w:t>vusheld</w:t>
      </w:r>
      <w:r w:rsidRPr="00707F89">
        <w:t xml:space="preserve"> dosage </w:t>
      </w:r>
      <w:r>
        <w:t xml:space="preserve">was </w:t>
      </w:r>
      <w:r w:rsidRPr="00707F89">
        <w:t xml:space="preserve">derived from Study D8851C00001 (TACKLE trial). </w:t>
      </w:r>
      <w:bookmarkEnd w:id="63"/>
      <w:r w:rsidRPr="00707F89">
        <w:t xml:space="preserve">The </w:t>
      </w:r>
      <w:r w:rsidR="002B149A">
        <w:t>s</w:t>
      </w:r>
      <w:r w:rsidRPr="00707F89">
        <w:t xml:space="preserve">afety </w:t>
      </w:r>
      <w:r w:rsidR="002B149A">
        <w:t>a</w:t>
      </w:r>
      <w:r w:rsidRPr="00707F89">
        <w:t xml:space="preserve">nalysis </w:t>
      </w:r>
      <w:r w:rsidR="002B149A">
        <w:t>s</w:t>
      </w:r>
      <w:r w:rsidRPr="00707F89">
        <w:t xml:space="preserve">et was identical to the </w:t>
      </w:r>
      <w:r w:rsidR="002B149A">
        <w:t>f</w:t>
      </w:r>
      <w:r w:rsidRPr="00707F89">
        <w:t xml:space="preserve">ull </w:t>
      </w:r>
      <w:r w:rsidR="002B149A">
        <w:t>a</w:t>
      </w:r>
      <w:r w:rsidRPr="00707F89">
        <w:t xml:space="preserve">nalysis </w:t>
      </w:r>
      <w:r w:rsidR="002B149A">
        <w:t>s</w:t>
      </w:r>
      <w:r w:rsidRPr="00707F89">
        <w:t>et and comprised 903 participants (452 E</w:t>
      </w:r>
      <w:r w:rsidR="002B149A">
        <w:t>vusheld</w:t>
      </w:r>
      <w:r w:rsidRPr="00707F89">
        <w:t xml:space="preserve"> and 451 placebo recipients). Median </w:t>
      </w:r>
      <w:proofErr w:type="spellStart"/>
      <w:r w:rsidRPr="00707F89">
        <w:t>followup</w:t>
      </w:r>
      <w:proofErr w:type="spellEnd"/>
      <w:r w:rsidRPr="00707F89">
        <w:t xml:space="preserve"> at the primary </w:t>
      </w:r>
      <w:r w:rsidR="002B149A">
        <w:t xml:space="preserve">data </w:t>
      </w:r>
      <w:proofErr w:type="spellStart"/>
      <w:r w:rsidR="002B149A">
        <w:t>cutoff</w:t>
      </w:r>
      <w:proofErr w:type="spellEnd"/>
      <w:r w:rsidRPr="00707F89">
        <w:t xml:space="preserve"> was 84 days in both groups (minimum 1 day </w:t>
      </w:r>
      <w:r w:rsidR="00C2028A">
        <w:t>(</w:t>
      </w:r>
      <w:r w:rsidRPr="00707F89">
        <w:t>both groups</w:t>
      </w:r>
      <w:r w:rsidR="00C2028A">
        <w:t>)</w:t>
      </w:r>
      <w:r w:rsidRPr="00707F89">
        <w:t xml:space="preserve">, maximum 177 days </w:t>
      </w:r>
      <w:r w:rsidR="00C2028A">
        <w:t>(</w:t>
      </w:r>
      <w:r w:rsidRPr="00707F89">
        <w:t>E</w:t>
      </w:r>
      <w:r w:rsidR="002B149A">
        <w:t>vusheld</w:t>
      </w:r>
      <w:r w:rsidR="00C2028A">
        <w:t>)</w:t>
      </w:r>
      <w:r w:rsidRPr="00707F89">
        <w:t xml:space="preserve"> and 183 days </w:t>
      </w:r>
      <w:r w:rsidR="00C2028A">
        <w:t>(</w:t>
      </w:r>
      <w:r w:rsidRPr="00707F89">
        <w:t>placebo</w:t>
      </w:r>
      <w:r w:rsidR="00C2028A">
        <w:t>)</w:t>
      </w:r>
      <w:r w:rsidRPr="00707F89">
        <w:t>). Median follow</w:t>
      </w:r>
      <w:r w:rsidR="00C2028A">
        <w:t>-</w:t>
      </w:r>
      <w:r w:rsidRPr="00707F89">
        <w:t xml:space="preserve">up at the key secondary </w:t>
      </w:r>
      <w:r w:rsidR="002B149A">
        <w:t>data cut</w:t>
      </w:r>
      <w:r w:rsidR="00C2028A">
        <w:t>-</w:t>
      </w:r>
      <w:r w:rsidR="002B149A">
        <w:t>off</w:t>
      </w:r>
      <w:r w:rsidRPr="00707F89">
        <w:t xml:space="preserve"> was 170 days in both groups (minimum 1 day </w:t>
      </w:r>
      <w:r w:rsidR="00C2028A">
        <w:t>(</w:t>
      </w:r>
      <w:r w:rsidRPr="00707F89">
        <w:t>both groups</w:t>
      </w:r>
      <w:r w:rsidR="00C2028A">
        <w:t>)</w:t>
      </w:r>
      <w:r w:rsidRPr="00707F89">
        <w:t xml:space="preserve">, maximum 330 days </w:t>
      </w:r>
      <w:r w:rsidR="00C2028A">
        <w:t>(</w:t>
      </w:r>
      <w:r w:rsidRPr="00707F89">
        <w:t>E</w:t>
      </w:r>
      <w:r w:rsidR="002B149A">
        <w:t>vusheld</w:t>
      </w:r>
      <w:r w:rsidR="00C2028A">
        <w:t>)</w:t>
      </w:r>
      <w:r w:rsidRPr="00707F89">
        <w:t xml:space="preserve"> and 326 days </w:t>
      </w:r>
      <w:r w:rsidR="00C2028A">
        <w:t>(</w:t>
      </w:r>
      <w:r w:rsidRPr="00707F89">
        <w:t>placebo</w:t>
      </w:r>
      <w:r w:rsidR="00C2028A">
        <w:t>)</w:t>
      </w:r>
      <w:r w:rsidRPr="00707F89">
        <w:t>).</w:t>
      </w:r>
    </w:p>
    <w:p w14:paraId="653F30D2" w14:textId="4F0C74B4" w:rsidR="00A31BEF" w:rsidRPr="00422689" w:rsidRDefault="00A31BEF" w:rsidP="00422689">
      <w:pPr>
        <w:pStyle w:val="Heading6"/>
      </w:pPr>
      <w:r w:rsidRPr="00422689">
        <w:t>Adverse events</w:t>
      </w:r>
    </w:p>
    <w:p w14:paraId="4440E618" w14:textId="5DF04833" w:rsidR="00A31BEF" w:rsidRDefault="00422689" w:rsidP="00A31BEF">
      <w:r>
        <w:t>Adverse events</w:t>
      </w:r>
      <w:r w:rsidR="00A55400">
        <w:t xml:space="preserve"> </w:t>
      </w:r>
      <w:r w:rsidR="00A31BEF">
        <w:t>are summarised i</w:t>
      </w:r>
      <w:r>
        <w:t xml:space="preserve">n </w:t>
      </w:r>
      <w:r>
        <w:fldChar w:fldCharType="begin"/>
      </w:r>
      <w:r>
        <w:instrText xml:space="preserve"> REF _Ref119328509 \h </w:instrText>
      </w:r>
      <w:r>
        <w:fldChar w:fldCharType="separate"/>
      </w:r>
      <w:r w:rsidR="008D61A2" w:rsidRPr="00422689">
        <w:t xml:space="preserve">Table </w:t>
      </w:r>
      <w:r w:rsidR="008D61A2">
        <w:rPr>
          <w:noProof/>
        </w:rPr>
        <w:t>12</w:t>
      </w:r>
      <w:r>
        <w:fldChar w:fldCharType="end"/>
      </w:r>
      <w:r w:rsidR="00A31BEF">
        <w:t xml:space="preserve">. There were no apparent imbalances in </w:t>
      </w:r>
      <w:r>
        <w:t>adverse events</w:t>
      </w:r>
      <w:r w:rsidR="00A31BEF">
        <w:t xml:space="preserve"> with a frequency of </w:t>
      </w:r>
      <w:r w:rsidR="007E296B">
        <w:t>greater or equal to</w:t>
      </w:r>
      <w:r w:rsidR="00A31BEF">
        <w:t xml:space="preserve"> 1% in either study group by </w:t>
      </w:r>
      <w:r>
        <w:t>Prefer</w:t>
      </w:r>
      <w:r w:rsidR="007E296B">
        <w:t>red</w:t>
      </w:r>
      <w:r>
        <w:t xml:space="preserve"> Term (</w:t>
      </w:r>
      <w:r w:rsidR="00A31BEF">
        <w:t>PT</w:t>
      </w:r>
      <w:r>
        <w:t>)</w:t>
      </w:r>
      <w:r w:rsidR="00A31BEF">
        <w:t xml:space="preserve"> other than for COVID-19 pneumonia (5.8% E</w:t>
      </w:r>
      <w:r>
        <w:t>vusheld</w:t>
      </w:r>
      <w:r w:rsidR="00A31BEF">
        <w:t xml:space="preserve"> v</w:t>
      </w:r>
      <w:r>
        <w:t>ersu</w:t>
      </w:r>
      <w:r w:rsidR="00A31BEF">
        <w:t>s 10.9% placebo) and COVID-19 (1.5% E</w:t>
      </w:r>
      <w:r>
        <w:t>vusheld</w:t>
      </w:r>
      <w:r w:rsidR="00A31BEF">
        <w:t xml:space="preserve"> v</w:t>
      </w:r>
      <w:r>
        <w:t>ersu</w:t>
      </w:r>
      <w:r w:rsidR="00A31BEF">
        <w:t>s 3.3% placebo)</w:t>
      </w:r>
      <w:r>
        <w:t>.</w:t>
      </w:r>
    </w:p>
    <w:p w14:paraId="12D9D55E" w14:textId="65068501" w:rsidR="00A31BEF" w:rsidRPr="00422689" w:rsidRDefault="00422689" w:rsidP="00422689">
      <w:pPr>
        <w:pStyle w:val="TableTitle"/>
      </w:pPr>
      <w:bookmarkStart w:id="64" w:name="_Ref119328509"/>
      <w:r w:rsidRPr="00422689">
        <w:t xml:space="preserve">Table </w:t>
      </w:r>
      <w:r w:rsidR="005E1B9B">
        <w:fldChar w:fldCharType="begin"/>
      </w:r>
      <w:r w:rsidR="005E1B9B">
        <w:instrText xml:space="preserve"> SEQ Table \* ARABIC </w:instrText>
      </w:r>
      <w:r w:rsidR="005E1B9B">
        <w:fldChar w:fldCharType="separate"/>
      </w:r>
      <w:r w:rsidR="008D61A2">
        <w:rPr>
          <w:noProof/>
        </w:rPr>
        <w:t>12</w:t>
      </w:r>
      <w:r w:rsidR="005E1B9B">
        <w:rPr>
          <w:noProof/>
        </w:rPr>
        <w:fldChar w:fldCharType="end"/>
      </w:r>
      <w:bookmarkEnd w:id="64"/>
      <w:r w:rsidRPr="00422689">
        <w:t xml:space="preserve">: Number of </w:t>
      </w:r>
      <w:r>
        <w:t>p</w:t>
      </w:r>
      <w:r w:rsidRPr="00422689">
        <w:t xml:space="preserve">articipants with </w:t>
      </w:r>
      <w:r>
        <w:t>a</w:t>
      </w:r>
      <w:r w:rsidRPr="00422689">
        <w:t xml:space="preserve">dverse </w:t>
      </w:r>
      <w:r>
        <w:t>e</w:t>
      </w:r>
      <w:r w:rsidRPr="00422689">
        <w:t xml:space="preserve">vents in any </w:t>
      </w:r>
      <w:r>
        <w:t>c</w:t>
      </w:r>
      <w:r w:rsidRPr="00422689">
        <w:t>ategory (</w:t>
      </w:r>
      <w:r>
        <w:t>s</w:t>
      </w:r>
      <w:r w:rsidRPr="00422689">
        <w:t xml:space="preserve">afety </w:t>
      </w:r>
      <w:r>
        <w:t>a</w:t>
      </w:r>
      <w:r w:rsidRPr="00422689">
        <w:t xml:space="preserve">nalysis </w:t>
      </w:r>
      <w:r>
        <w:t>s</w:t>
      </w:r>
      <w:r w:rsidRPr="00422689">
        <w:t>et)</w:t>
      </w:r>
    </w:p>
    <w:p w14:paraId="38476C9E" w14:textId="01DA276C" w:rsidR="00422689" w:rsidRDefault="00422689" w:rsidP="00422689">
      <w:r>
        <w:rPr>
          <w:noProof/>
          <w:lang w:val="en-GB" w:eastAsia="en-GB"/>
        </w:rPr>
        <w:drawing>
          <wp:inline distT="0" distB="0" distL="0" distR="0" wp14:anchorId="512F3CEE" wp14:editId="46703E34">
            <wp:extent cx="5399843" cy="2429510"/>
            <wp:effectExtent l="0" t="0" r="0" b="8890"/>
            <wp:docPr id="12" name="Picture 12" descr="Number of participants with adverse events in any catego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umber of participants with adverse events in any category (safety analysis set)"/>
                    <pic:cNvPicPr/>
                  </pic:nvPicPr>
                  <pic:blipFill>
                    <a:blip r:embed="rId41"/>
                    <a:stretch>
                      <a:fillRect/>
                    </a:stretch>
                  </pic:blipFill>
                  <pic:spPr>
                    <a:xfrm>
                      <a:off x="0" y="0"/>
                      <a:ext cx="5403892" cy="2431332"/>
                    </a:xfrm>
                    <a:prstGeom prst="rect">
                      <a:avLst/>
                    </a:prstGeom>
                  </pic:spPr>
                </pic:pic>
              </a:graphicData>
            </a:graphic>
          </wp:inline>
        </w:drawing>
      </w:r>
    </w:p>
    <w:p w14:paraId="2927052C" w14:textId="6310DA4B" w:rsidR="00422689" w:rsidRDefault="007E296B" w:rsidP="00422689">
      <w:pPr>
        <w:pStyle w:val="TableDescription"/>
      </w:pPr>
      <w:r>
        <w:lastRenderedPageBreak/>
        <w:t xml:space="preserve">Abbreviation: </w:t>
      </w:r>
      <w:r w:rsidR="00422689" w:rsidRPr="00422689">
        <w:t>AE, adverse event; AESI, adverse events of special interest; DCO, data cut-off; MedDRA, Medical Dictionary for Regulatory Activities; N, numbers of participants in the treatment group; SAE, serious AE.</w:t>
      </w:r>
    </w:p>
    <w:p w14:paraId="35BD3295" w14:textId="77777777" w:rsidR="00422689" w:rsidRDefault="00422689" w:rsidP="00422689">
      <w:pPr>
        <w:pStyle w:val="TableDescription"/>
      </w:pPr>
      <w:r w:rsidRPr="00422689">
        <w:rPr>
          <w:vertAlign w:val="superscript"/>
        </w:rPr>
        <w:t>a</w:t>
      </w:r>
      <w:r w:rsidRPr="00422689">
        <w:t xml:space="preserve"> Participants with multiple events in the same category are counted only once in that category. Participants with events in more than one category are counted once in each of those categories.</w:t>
      </w:r>
    </w:p>
    <w:p w14:paraId="298720DE" w14:textId="2E06B261" w:rsidR="00422689" w:rsidRDefault="00422689" w:rsidP="00422689">
      <w:pPr>
        <w:pStyle w:val="TableDescription"/>
      </w:pPr>
      <w:r w:rsidRPr="00422689">
        <w:rPr>
          <w:vertAlign w:val="superscript"/>
        </w:rPr>
        <w:t>b</w:t>
      </w:r>
      <w:r w:rsidRPr="00422689">
        <w:t xml:space="preserve"> Possibly related, as assessed by the Investigator. Text in bold indicates change from the </w:t>
      </w:r>
      <w:r>
        <w:t>p</w:t>
      </w:r>
      <w:r w:rsidRPr="00422689">
        <w:t xml:space="preserve">rimary </w:t>
      </w:r>
      <w:r>
        <w:t xml:space="preserve">data </w:t>
      </w:r>
      <w:proofErr w:type="spellStart"/>
      <w:r>
        <w:t>cutoff</w:t>
      </w:r>
      <w:proofErr w:type="spellEnd"/>
      <w:r w:rsidRPr="00422689">
        <w:t xml:space="preserve"> to </w:t>
      </w:r>
      <w:r>
        <w:t>k</w:t>
      </w:r>
      <w:r w:rsidRPr="00422689">
        <w:t xml:space="preserve">ey </w:t>
      </w:r>
      <w:r>
        <w:t>s</w:t>
      </w:r>
      <w:r w:rsidRPr="00422689">
        <w:t xml:space="preserve">econdary </w:t>
      </w:r>
      <w:r>
        <w:t xml:space="preserve">data </w:t>
      </w:r>
      <w:proofErr w:type="spellStart"/>
      <w:r>
        <w:t>cutoff</w:t>
      </w:r>
      <w:proofErr w:type="spellEnd"/>
      <w:r w:rsidRPr="00422689">
        <w:t>.</w:t>
      </w:r>
    </w:p>
    <w:p w14:paraId="0CE39060" w14:textId="4975FD93" w:rsidR="00422689" w:rsidRDefault="00422689" w:rsidP="00422689">
      <w:r>
        <w:t xml:space="preserve">Related adverse events were well balanced between groups with no increase in frequency between the primary and key secondary </w:t>
      </w:r>
      <w:r w:rsidR="00D1198A">
        <w:t>data cut</w:t>
      </w:r>
      <w:r w:rsidR="00C2028A">
        <w:t>-</w:t>
      </w:r>
      <w:r w:rsidR="00D1198A">
        <w:t>off</w:t>
      </w:r>
      <w:r>
        <w:t xml:space="preserve"> (</w:t>
      </w:r>
      <w:r w:rsidR="00C2028A">
        <w:t xml:space="preserve">see </w:t>
      </w:r>
      <w:r w:rsidR="00D1198A">
        <w:fldChar w:fldCharType="begin"/>
      </w:r>
      <w:r w:rsidR="00D1198A">
        <w:instrText xml:space="preserve"> REF _Ref119330259 \h </w:instrText>
      </w:r>
      <w:r w:rsidR="00D1198A">
        <w:fldChar w:fldCharType="separate"/>
      </w:r>
      <w:r w:rsidR="008D61A2" w:rsidRPr="00D1198A">
        <w:t xml:space="preserve">Table </w:t>
      </w:r>
      <w:r w:rsidR="008D61A2">
        <w:rPr>
          <w:noProof/>
        </w:rPr>
        <w:t>13</w:t>
      </w:r>
      <w:r w:rsidR="00D1198A">
        <w:fldChar w:fldCharType="end"/>
      </w:r>
      <w:r>
        <w:t>). ‘Injection site pain’ was the commonest related AE, occurring in 1.8% E</w:t>
      </w:r>
      <w:r w:rsidR="007550B6">
        <w:t>vusheld</w:t>
      </w:r>
      <w:r>
        <w:t xml:space="preserve"> and 2.5% placebo recipients.</w:t>
      </w:r>
    </w:p>
    <w:p w14:paraId="10A216B4" w14:textId="3BD57948" w:rsidR="00422689" w:rsidRDefault="00D1198A" w:rsidP="00D1198A">
      <w:pPr>
        <w:pStyle w:val="TableTitle"/>
      </w:pPr>
      <w:bookmarkStart w:id="65" w:name="_Ref119330259"/>
      <w:r w:rsidRPr="00D1198A">
        <w:t xml:space="preserve">Table </w:t>
      </w:r>
      <w:r w:rsidR="005E1B9B">
        <w:fldChar w:fldCharType="begin"/>
      </w:r>
      <w:r w:rsidR="005E1B9B">
        <w:instrText xml:space="preserve"> SEQ Table \* ARABIC </w:instrText>
      </w:r>
      <w:r w:rsidR="005E1B9B">
        <w:fldChar w:fldCharType="separate"/>
      </w:r>
      <w:r w:rsidR="008D61A2">
        <w:rPr>
          <w:noProof/>
        </w:rPr>
        <w:t>13</w:t>
      </w:r>
      <w:r w:rsidR="005E1B9B">
        <w:rPr>
          <w:noProof/>
        </w:rPr>
        <w:fldChar w:fldCharType="end"/>
      </w:r>
      <w:bookmarkEnd w:id="65"/>
      <w:r>
        <w:t xml:space="preserve">: Number of participants with adverse events, assessed by investigator as possibly related to </w:t>
      </w:r>
      <w:r w:rsidR="00C2028A">
        <w:t>intervention</w:t>
      </w:r>
      <w:r>
        <w:t>, by System Organ Class (safety analysis set), key secondary data cut</w:t>
      </w:r>
      <w:r w:rsidR="00C2028A">
        <w:t>-</w:t>
      </w:r>
      <w:r>
        <w:t>off</w:t>
      </w:r>
    </w:p>
    <w:p w14:paraId="638FD37C" w14:textId="3CB1A090" w:rsidR="00D1198A" w:rsidRPr="00D1198A" w:rsidRDefault="00D1198A" w:rsidP="00D1198A">
      <w:r w:rsidRPr="00D1198A">
        <w:rPr>
          <w:noProof/>
          <w:lang w:val="en-GB" w:eastAsia="en-GB"/>
        </w:rPr>
        <w:drawing>
          <wp:inline distT="0" distB="0" distL="0" distR="0" wp14:anchorId="05697E1F" wp14:editId="32E3FD99">
            <wp:extent cx="5400040" cy="2653665"/>
            <wp:effectExtent l="0" t="0" r="0" b="0"/>
            <wp:docPr id="13" name="Picture 13" descr="Number of participants with adverse events, assessed by investigator as possibly related to IMP, by System Organ Class (safety analysis set), key secondary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of participants with adverse events, assessed by investigator as possibly related to IMP, by System Organ Class (safety analysis set), key secondary data cutoff"/>
                    <pic:cNvPicPr/>
                  </pic:nvPicPr>
                  <pic:blipFill>
                    <a:blip r:embed="rId42"/>
                    <a:stretch>
                      <a:fillRect/>
                    </a:stretch>
                  </pic:blipFill>
                  <pic:spPr>
                    <a:xfrm>
                      <a:off x="0" y="0"/>
                      <a:ext cx="5400040" cy="2653665"/>
                    </a:xfrm>
                    <a:prstGeom prst="rect">
                      <a:avLst/>
                    </a:prstGeom>
                  </pic:spPr>
                </pic:pic>
              </a:graphicData>
            </a:graphic>
          </wp:inline>
        </w:drawing>
      </w:r>
    </w:p>
    <w:p w14:paraId="11267CE8" w14:textId="772DB8B0" w:rsidR="00422689" w:rsidRDefault="00422689" w:rsidP="00422689">
      <w:r>
        <w:t>There were fewer Grade 3 (severe) or Grade 4 (life</w:t>
      </w:r>
      <w:r w:rsidR="007E296B">
        <w:t xml:space="preserve"> </w:t>
      </w:r>
      <w:r>
        <w:t>threatening) AEs in the E</w:t>
      </w:r>
      <w:r w:rsidR="00F51196">
        <w:t>vusheld</w:t>
      </w:r>
      <w:r>
        <w:t xml:space="preserve"> than placebo group, which largely reflected differences in the occurrence of COVID-19</w:t>
      </w:r>
      <w:r w:rsidR="00F51196">
        <w:t xml:space="preserve"> </w:t>
      </w:r>
      <w:r>
        <w:t>pneumonia (4.2% v</w:t>
      </w:r>
      <w:r w:rsidR="00F51196">
        <w:t>ersu</w:t>
      </w:r>
      <w:r>
        <w:t>s</w:t>
      </w:r>
      <w:r w:rsidR="00F51196">
        <w:t xml:space="preserve"> </w:t>
      </w:r>
      <w:r>
        <w:t>6.4% respectively) and COVID-19 (0% v</w:t>
      </w:r>
      <w:r w:rsidR="00F51196">
        <w:t>ersus</w:t>
      </w:r>
      <w:r>
        <w:t xml:space="preserve"> 1.8% respectively</w:t>
      </w:r>
      <w:r w:rsidR="00F51196">
        <w:t>)</w:t>
      </w:r>
      <w:r w:rsidR="00987978">
        <w:t xml:space="preserve"> (</w:t>
      </w:r>
      <w:r w:rsidR="00C2028A">
        <w:t xml:space="preserve">see </w:t>
      </w:r>
      <w:r w:rsidR="00987978">
        <w:fldChar w:fldCharType="begin"/>
      </w:r>
      <w:r w:rsidR="00987978">
        <w:instrText xml:space="preserve"> REF _Ref119401863 \h </w:instrText>
      </w:r>
      <w:r w:rsidR="00987978">
        <w:fldChar w:fldCharType="separate"/>
      </w:r>
      <w:r w:rsidR="008D61A2" w:rsidRPr="00987978">
        <w:t xml:space="preserve">Table </w:t>
      </w:r>
      <w:r w:rsidR="008D61A2">
        <w:rPr>
          <w:noProof/>
        </w:rPr>
        <w:t>14</w:t>
      </w:r>
      <w:r w:rsidR="00987978">
        <w:fldChar w:fldCharType="end"/>
      </w:r>
      <w:r w:rsidR="00987978">
        <w:t>)</w:t>
      </w:r>
      <w:r w:rsidR="00F51196">
        <w:t>.</w:t>
      </w:r>
    </w:p>
    <w:p w14:paraId="43360AD3" w14:textId="1719144A" w:rsidR="00987978" w:rsidRDefault="00987978" w:rsidP="00987978">
      <w:pPr>
        <w:pStyle w:val="TableTitle"/>
      </w:pPr>
      <w:bookmarkStart w:id="66" w:name="_Ref119401863"/>
      <w:r w:rsidRPr="00987978">
        <w:lastRenderedPageBreak/>
        <w:t xml:space="preserve">Table </w:t>
      </w:r>
      <w:r w:rsidR="005E1B9B">
        <w:fldChar w:fldCharType="begin"/>
      </w:r>
      <w:r w:rsidR="005E1B9B">
        <w:instrText xml:space="preserve"> SEQ Table \* ARABIC </w:instrText>
      </w:r>
      <w:r w:rsidR="005E1B9B">
        <w:fldChar w:fldCharType="separate"/>
      </w:r>
      <w:r w:rsidR="008D61A2">
        <w:rPr>
          <w:noProof/>
        </w:rPr>
        <w:t>14</w:t>
      </w:r>
      <w:r w:rsidR="005E1B9B">
        <w:rPr>
          <w:noProof/>
        </w:rPr>
        <w:fldChar w:fldCharType="end"/>
      </w:r>
      <w:bookmarkEnd w:id="66"/>
      <w:r>
        <w:t>: Number of participants with Grade 3 or 4 adverse events, by System Organ Class and Preferred Term (safety analysis set), key secondary data cut</w:t>
      </w:r>
      <w:r w:rsidR="00214F76">
        <w:t>-</w:t>
      </w:r>
      <w:r>
        <w:t>off</w:t>
      </w:r>
    </w:p>
    <w:p w14:paraId="67D45833" w14:textId="60051244" w:rsidR="00987978" w:rsidRDefault="00987978" w:rsidP="00987978">
      <w:r w:rsidRPr="00987978">
        <w:rPr>
          <w:noProof/>
          <w:lang w:val="en-GB" w:eastAsia="en-GB"/>
        </w:rPr>
        <w:drawing>
          <wp:inline distT="0" distB="0" distL="0" distR="0" wp14:anchorId="6A91B8CB" wp14:editId="45871D00">
            <wp:extent cx="5287618" cy="7823717"/>
            <wp:effectExtent l="0" t="0" r="8890" b="6350"/>
            <wp:docPr id="14" name="Picture 14" descr="Number of participants with Grade 3 or 4 adverse events, by System Organ Class and Preferred Term (safety analysis set), key secondary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umber of participants with Grade 3 or 4 adverse events, by System Organ Class and Preferred Term (safety analysis set), key secondary data cutoff"/>
                    <pic:cNvPicPr/>
                  </pic:nvPicPr>
                  <pic:blipFill>
                    <a:blip r:embed="rId43"/>
                    <a:stretch>
                      <a:fillRect/>
                    </a:stretch>
                  </pic:blipFill>
                  <pic:spPr>
                    <a:xfrm>
                      <a:off x="0" y="0"/>
                      <a:ext cx="5291080" cy="7828840"/>
                    </a:xfrm>
                    <a:prstGeom prst="rect">
                      <a:avLst/>
                    </a:prstGeom>
                  </pic:spPr>
                </pic:pic>
              </a:graphicData>
            </a:graphic>
          </wp:inline>
        </w:drawing>
      </w:r>
    </w:p>
    <w:p w14:paraId="3D9AB61C" w14:textId="1228576B" w:rsidR="00987978" w:rsidRDefault="00987978" w:rsidP="00987978">
      <w:pPr>
        <w:pStyle w:val="TableTitle"/>
      </w:pPr>
      <w:r w:rsidRPr="00987978">
        <w:lastRenderedPageBreak/>
        <w:t>Table 1</w:t>
      </w:r>
      <w:r w:rsidR="008D61A2">
        <w:t>4</w:t>
      </w:r>
      <w:r w:rsidR="00C2028A">
        <w:t xml:space="preserve"> (continued)</w:t>
      </w:r>
      <w:r w:rsidRPr="00987978">
        <w:t>: Number of participants with Grade 3 or 4 adverse events, by System Organ Class and Preferred Term (safety analysis set), key secondary data cut</w:t>
      </w:r>
      <w:r w:rsidR="00C2028A">
        <w:t>-</w:t>
      </w:r>
      <w:r w:rsidRPr="00987978">
        <w:t>off</w:t>
      </w:r>
    </w:p>
    <w:p w14:paraId="04B996A5" w14:textId="38B35848" w:rsidR="00987978" w:rsidRDefault="00987978" w:rsidP="00987978">
      <w:r w:rsidRPr="00987978">
        <w:rPr>
          <w:noProof/>
          <w:lang w:val="en-GB" w:eastAsia="en-GB"/>
        </w:rPr>
        <w:drawing>
          <wp:inline distT="0" distB="0" distL="0" distR="0" wp14:anchorId="315185ED" wp14:editId="2CBC6F87">
            <wp:extent cx="5307639" cy="4079019"/>
            <wp:effectExtent l="0" t="0" r="7620" b="0"/>
            <wp:docPr id="17" name="Picture 17" descr="Table 1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14 (continued)"/>
                    <pic:cNvPicPr/>
                  </pic:nvPicPr>
                  <pic:blipFill>
                    <a:blip r:embed="rId44"/>
                    <a:stretch>
                      <a:fillRect/>
                    </a:stretch>
                  </pic:blipFill>
                  <pic:spPr>
                    <a:xfrm>
                      <a:off x="0" y="0"/>
                      <a:ext cx="5316424" cy="4085771"/>
                    </a:xfrm>
                    <a:prstGeom prst="rect">
                      <a:avLst/>
                    </a:prstGeom>
                  </pic:spPr>
                </pic:pic>
              </a:graphicData>
            </a:graphic>
          </wp:inline>
        </w:drawing>
      </w:r>
    </w:p>
    <w:p w14:paraId="2AE135D5" w14:textId="3462E48F" w:rsidR="0013134F" w:rsidRPr="00987978" w:rsidRDefault="0013134F" w:rsidP="0013134F">
      <w:pPr>
        <w:pStyle w:val="TableDescription"/>
      </w:pPr>
      <w:r>
        <w:t>Abbreviation</w:t>
      </w:r>
      <w:r w:rsidR="00C2028A">
        <w:t>s</w:t>
      </w:r>
      <w:r>
        <w:t xml:space="preserve">: AE, adverse event; COVID-19; coronavirus disease 2019; DCO, data cut-off; MedDRA, Medical Dictionary for Regulatory Activities; N, number of participants in treatment group; PT, preferred term; SAE, serious adverse event; SOC, </w:t>
      </w:r>
      <w:r w:rsidR="00214F76">
        <w:t>S</w:t>
      </w:r>
      <w:r>
        <w:t xml:space="preserve">ystem </w:t>
      </w:r>
      <w:r w:rsidR="00214F76">
        <w:t>O</w:t>
      </w:r>
      <w:r>
        <w:t xml:space="preserve">rgan </w:t>
      </w:r>
      <w:r w:rsidR="00214F76">
        <w:t>C</w:t>
      </w:r>
      <w:r>
        <w:t>lass.</w:t>
      </w:r>
    </w:p>
    <w:p w14:paraId="7DDC5793" w14:textId="785EC6D3" w:rsidR="0013134F" w:rsidRDefault="0013134F" w:rsidP="0013134F">
      <w:pPr>
        <w:pStyle w:val="TableDescription"/>
      </w:pPr>
      <w:r>
        <w:rPr>
          <w:sz w:val="13"/>
          <w:szCs w:val="13"/>
        </w:rPr>
        <w:t xml:space="preserve">a </w:t>
      </w:r>
      <w:r>
        <w:t>Number (%) of participants with a Grade 3 or 4 AE, sorted alphabetically by SOC, and within each SOC, PTs sorted by decreasing order of total frequency.</w:t>
      </w:r>
    </w:p>
    <w:p w14:paraId="0DEFAAFE" w14:textId="5A8710CC" w:rsidR="0013134F" w:rsidRDefault="0013134F" w:rsidP="0013134F">
      <w:pPr>
        <w:pStyle w:val="TableDescription"/>
      </w:pPr>
      <w:r>
        <w:rPr>
          <w:sz w:val="13"/>
          <w:szCs w:val="13"/>
        </w:rPr>
        <w:t xml:space="preserve">b </w:t>
      </w:r>
      <w:proofErr w:type="gramStart"/>
      <w:r>
        <w:t>For</w:t>
      </w:r>
      <w:proofErr w:type="gramEnd"/>
      <w:r>
        <w:t xml:space="preserve"> further details on Cardiac disorders and participant narratives see section on SAEs (below)</w:t>
      </w:r>
    </w:p>
    <w:p w14:paraId="345784E7" w14:textId="784BCF9A" w:rsidR="0013134F" w:rsidRDefault="0013134F" w:rsidP="0013134F">
      <w:pPr>
        <w:pStyle w:val="TableDescription"/>
      </w:pPr>
      <w:r>
        <w:t>Participants with multiple events of the same preferred term are counted only once in that preferred term. Participants with events in more than one preferred term within the same SOC were counted only once in that SOC row. Includes adverse events that occurred through the Key Secondary DCO.</w:t>
      </w:r>
    </w:p>
    <w:p w14:paraId="39595659" w14:textId="76056F66" w:rsidR="0013134F" w:rsidRDefault="0013134F" w:rsidP="0013134F">
      <w:pPr>
        <w:pStyle w:val="TableDescription"/>
      </w:pPr>
      <w:r>
        <w:t xml:space="preserve">Note: AE severity ratings are defined in protocol (beyond scope of this </w:t>
      </w:r>
      <w:proofErr w:type="spellStart"/>
      <w:r>
        <w:t>AusPAR</w:t>
      </w:r>
      <w:proofErr w:type="spellEnd"/>
      <w:r>
        <w:t>), COVID-19 AEs represent a deterioration of pre-existing COVID-19 disease.</w:t>
      </w:r>
    </w:p>
    <w:p w14:paraId="0C929572" w14:textId="233DC1EC" w:rsidR="00422689" w:rsidRDefault="00422689" w:rsidP="00422689">
      <w:r>
        <w:t xml:space="preserve">Grade 3 or 4 AEs in the </w:t>
      </w:r>
      <w:r w:rsidR="00987978">
        <w:t>System Organ Class (</w:t>
      </w:r>
      <w:r>
        <w:t>SOC</w:t>
      </w:r>
      <w:r w:rsidR="00987978">
        <w:t>)</w:t>
      </w:r>
      <w:r>
        <w:t xml:space="preserve"> ‘Cardiac disorders’ were seen in </w:t>
      </w:r>
      <w:r w:rsidR="00987978">
        <w:t>two</w:t>
      </w:r>
      <w:r>
        <w:t xml:space="preserve"> participants (0.4%) in the E</w:t>
      </w:r>
      <w:r w:rsidR="00987978">
        <w:t>vusheld</w:t>
      </w:r>
      <w:r>
        <w:t xml:space="preserve"> group (one each for ‘Acute myocardial infarction’ and ‘Angina pectoris’) and </w:t>
      </w:r>
      <w:r w:rsidR="00987978">
        <w:t>three</w:t>
      </w:r>
      <w:r>
        <w:t xml:space="preserve"> participants (0.7%) in the placebo group (</w:t>
      </w:r>
      <w:r w:rsidR="00987978">
        <w:t>two</w:t>
      </w:r>
      <w:r>
        <w:t xml:space="preserve"> of ‘Arrhythmia’ and </w:t>
      </w:r>
      <w:r w:rsidR="00987978">
        <w:t>one</w:t>
      </w:r>
      <w:r>
        <w:t xml:space="preserve"> of ‘Cardiac failure’)</w:t>
      </w:r>
      <w:r w:rsidR="00987978">
        <w:t xml:space="preserve"> (</w:t>
      </w:r>
      <w:r w:rsidR="00987978">
        <w:fldChar w:fldCharType="begin"/>
      </w:r>
      <w:r w:rsidR="00987978">
        <w:instrText xml:space="preserve"> REF _Ref119401863 \h </w:instrText>
      </w:r>
      <w:r w:rsidR="00987978">
        <w:fldChar w:fldCharType="separate"/>
      </w:r>
      <w:r w:rsidR="008D61A2" w:rsidRPr="00987978">
        <w:t xml:space="preserve">Table </w:t>
      </w:r>
      <w:r w:rsidR="008D61A2">
        <w:rPr>
          <w:noProof/>
        </w:rPr>
        <w:t>14</w:t>
      </w:r>
      <w:r w:rsidR="00987978">
        <w:fldChar w:fldCharType="end"/>
      </w:r>
      <w:r w:rsidR="00987978">
        <w:t>)</w:t>
      </w:r>
      <w:r>
        <w:t xml:space="preserve">. Only </w:t>
      </w:r>
      <w:r w:rsidR="00987978">
        <w:t>one</w:t>
      </w:r>
      <w:r>
        <w:t xml:space="preserve"> of the </w:t>
      </w:r>
      <w:r w:rsidR="00987978">
        <w:t>five</w:t>
      </w:r>
      <w:r>
        <w:t xml:space="preserve"> events was a non-SAE</w:t>
      </w:r>
      <w:r w:rsidR="00987978">
        <w:t>,</w:t>
      </w:r>
      <w:r>
        <w:t xml:space="preserve"> the case of Grade 3 angina pectoris occurring in a </w:t>
      </w:r>
      <w:proofErr w:type="gramStart"/>
      <w:r>
        <w:t>54 year old</w:t>
      </w:r>
      <w:proofErr w:type="gramEnd"/>
      <w:r>
        <w:t xml:space="preserve"> White male on Day 66 with risk factors of prior smoking, diabetes, hypertension and obesity. The rest of the events are </w:t>
      </w:r>
      <w:r w:rsidRPr="0013134F">
        <w:t>considered below</w:t>
      </w:r>
      <w:r w:rsidR="0013134F" w:rsidRPr="0013134F">
        <w:t xml:space="preserve"> in</w:t>
      </w:r>
      <w:r w:rsidR="0013134F">
        <w:t xml:space="preserve"> </w:t>
      </w:r>
      <w:r w:rsidR="0013134F">
        <w:fldChar w:fldCharType="begin"/>
      </w:r>
      <w:r w:rsidR="0013134F">
        <w:instrText xml:space="preserve"> REF _Ref119402846 \h </w:instrText>
      </w:r>
      <w:r w:rsidR="0013134F">
        <w:fldChar w:fldCharType="separate"/>
      </w:r>
      <w:r w:rsidR="008D61A2" w:rsidRPr="0013134F">
        <w:t>Serious adverse events</w:t>
      </w:r>
      <w:r w:rsidR="0013134F">
        <w:fldChar w:fldCharType="end"/>
      </w:r>
    </w:p>
    <w:p w14:paraId="51F60E5A" w14:textId="5BA9836F" w:rsidR="00422689" w:rsidRDefault="00422689" w:rsidP="00422689">
      <w:r>
        <w:t>Two Grade 3 or 4 thromboembolic events were reported in the E</w:t>
      </w:r>
      <w:r w:rsidR="00987978">
        <w:t>vusheld</w:t>
      </w:r>
      <w:r>
        <w:t xml:space="preserve"> </w:t>
      </w:r>
      <w:r w:rsidR="00987978">
        <w:t>G</w:t>
      </w:r>
      <w:r>
        <w:t xml:space="preserve">roup, 1 (0.2%) each of ‘Pulmonary embolism’ and ‘Peripheral artery thrombosis’. Another </w:t>
      </w:r>
      <w:r w:rsidR="00987978">
        <w:t>two</w:t>
      </w:r>
      <w:r>
        <w:t xml:space="preserve"> were reported in the placebo group, </w:t>
      </w:r>
      <w:r w:rsidR="00987978">
        <w:t>one</w:t>
      </w:r>
      <w:r>
        <w:t xml:space="preserve"> (0.2%) each of ‘Portal vein thrombosis’ and ‘Superior sagittal vein thrombosis’</w:t>
      </w:r>
      <w:r w:rsidR="00987978">
        <w:t xml:space="preserve"> (</w:t>
      </w:r>
      <w:r w:rsidR="00214F76">
        <w:t xml:space="preserve">see </w:t>
      </w:r>
      <w:r w:rsidR="00987978">
        <w:fldChar w:fldCharType="begin"/>
      </w:r>
      <w:r w:rsidR="00987978">
        <w:instrText xml:space="preserve"> REF _Ref119401863 \h </w:instrText>
      </w:r>
      <w:r w:rsidR="00987978">
        <w:fldChar w:fldCharType="separate"/>
      </w:r>
      <w:r w:rsidR="008D61A2" w:rsidRPr="00987978">
        <w:t xml:space="preserve">Table </w:t>
      </w:r>
      <w:r w:rsidR="008D61A2">
        <w:rPr>
          <w:noProof/>
        </w:rPr>
        <w:t>14</w:t>
      </w:r>
      <w:r w:rsidR="00987978">
        <w:fldChar w:fldCharType="end"/>
      </w:r>
      <w:r w:rsidR="00987978">
        <w:t>)</w:t>
      </w:r>
      <w:r>
        <w:t xml:space="preserve">. All </w:t>
      </w:r>
      <w:r w:rsidR="00987978">
        <w:t>four</w:t>
      </w:r>
      <w:r>
        <w:t xml:space="preserve"> events were considered </w:t>
      </w:r>
      <w:r w:rsidRPr="0013134F">
        <w:t>SAEs (</w:t>
      </w:r>
      <w:r w:rsidR="0013134F" w:rsidRPr="0013134F">
        <w:t>see</w:t>
      </w:r>
      <w:r w:rsidR="00214F76">
        <w:t xml:space="preserve"> section:</w:t>
      </w:r>
      <w:r w:rsidR="0013134F" w:rsidRPr="0013134F">
        <w:t xml:space="preserve"> </w:t>
      </w:r>
      <w:r w:rsidR="0013134F" w:rsidRPr="0013134F">
        <w:fldChar w:fldCharType="begin"/>
      </w:r>
      <w:r w:rsidR="0013134F" w:rsidRPr="0013134F">
        <w:instrText xml:space="preserve"> REF _Ref119402846 \h </w:instrText>
      </w:r>
      <w:r w:rsidR="0013134F">
        <w:instrText xml:space="preserve"> \* MERGEFORMAT </w:instrText>
      </w:r>
      <w:r w:rsidR="0013134F" w:rsidRPr="0013134F">
        <w:fldChar w:fldCharType="separate"/>
      </w:r>
      <w:r w:rsidR="008D61A2" w:rsidRPr="0013134F">
        <w:t>Serious adverse events</w:t>
      </w:r>
      <w:r w:rsidR="0013134F" w:rsidRPr="0013134F">
        <w:fldChar w:fldCharType="end"/>
      </w:r>
      <w:r w:rsidR="00214F76">
        <w:t xml:space="preserve">, </w:t>
      </w:r>
      <w:r w:rsidRPr="0013134F">
        <w:t>below).</w:t>
      </w:r>
    </w:p>
    <w:p w14:paraId="07E13610" w14:textId="70FC8784" w:rsidR="00987978" w:rsidRPr="00987978" w:rsidRDefault="00987978" w:rsidP="00987978">
      <w:pPr>
        <w:pStyle w:val="Heading6"/>
      </w:pPr>
      <w:r w:rsidRPr="00987978">
        <w:lastRenderedPageBreak/>
        <w:t>Deaths</w:t>
      </w:r>
    </w:p>
    <w:p w14:paraId="65E3B32A" w14:textId="771639D4" w:rsidR="00987978" w:rsidRPr="0013134F" w:rsidRDefault="00987978" w:rsidP="0013134F">
      <w:r w:rsidRPr="0013134F">
        <w:t>There were seven deaths in the Evusheld group and six deaths in the placebo group from the TACKLE trial, none of which were deemed treatment</w:t>
      </w:r>
      <w:r w:rsidR="007E296B">
        <w:t xml:space="preserve"> </w:t>
      </w:r>
      <w:r w:rsidRPr="0013134F">
        <w:t>related by the investigator. Causes of death in the E</w:t>
      </w:r>
      <w:r w:rsidR="0013134F" w:rsidRPr="0013134F">
        <w:t>vusheld</w:t>
      </w:r>
      <w:r w:rsidRPr="0013134F">
        <w:t xml:space="preserve"> group (by PT) were: </w:t>
      </w:r>
      <w:r w:rsidR="00214F76">
        <w:t>A</w:t>
      </w:r>
      <w:r w:rsidRPr="0013134F">
        <w:t>cute left ventricular failure; Sudden cardiac death; COVID-19 pneumonia (n = 2); COVID-19; Colorectal cancer metastatic; Gastric cancer. Causes of death in the placebo group (by PT) were: COVID-19 pneumonia (n = 4); COVID-19; Septic shock.</w:t>
      </w:r>
    </w:p>
    <w:p w14:paraId="6B5D4AAA" w14:textId="425434DE" w:rsidR="00987978" w:rsidRPr="0013134F" w:rsidRDefault="00987978" w:rsidP="0013134F">
      <w:r w:rsidRPr="0013134F">
        <w:t xml:space="preserve">The </w:t>
      </w:r>
      <w:r w:rsidR="0013134F" w:rsidRPr="0013134F">
        <w:t>two</w:t>
      </w:r>
      <w:r w:rsidRPr="0013134F">
        <w:t xml:space="preserve"> cardiac deaths (both in E</w:t>
      </w:r>
      <w:r w:rsidR="0013134F" w:rsidRPr="0013134F">
        <w:t>vusheld</w:t>
      </w:r>
      <w:r w:rsidRPr="0013134F">
        <w:t xml:space="preserve"> recipients) occurred in participants with prior risk factors.</w:t>
      </w:r>
    </w:p>
    <w:p w14:paraId="750657FC" w14:textId="6D761283" w:rsidR="00987978" w:rsidRPr="0013134F" w:rsidRDefault="0013134F" w:rsidP="0013134F">
      <w:r w:rsidRPr="0013134F">
        <w:t>One participant [</w:t>
      </w:r>
      <w:r w:rsidR="00214F76">
        <w:t>identifying i</w:t>
      </w:r>
      <w:r w:rsidRPr="0013134F">
        <w:t>nformation redacted]</w:t>
      </w:r>
      <w:r w:rsidR="00987978" w:rsidRPr="0013134F">
        <w:t xml:space="preserve"> was an </w:t>
      </w:r>
      <w:proofErr w:type="gramStart"/>
      <w:r w:rsidR="00987978" w:rsidRPr="0013134F">
        <w:t>83 year old</w:t>
      </w:r>
      <w:proofErr w:type="gramEnd"/>
      <w:r w:rsidR="00987978" w:rsidRPr="0013134F">
        <w:t xml:space="preserve"> white male who experienced an SAE of Grade 3 </w:t>
      </w:r>
      <w:r w:rsidRPr="0013134F">
        <w:t>acute myocardial infarction</w:t>
      </w:r>
      <w:r w:rsidR="00987978" w:rsidRPr="0013134F">
        <w:t xml:space="preserve"> on Day 8 in the setting of prior </w:t>
      </w:r>
      <w:r w:rsidRPr="0013134F">
        <w:t>acute myocardial infarction</w:t>
      </w:r>
      <w:r w:rsidR="00987978" w:rsidRPr="0013134F">
        <w:t xml:space="preserve"> (13 months earlier), </w:t>
      </w:r>
      <w:r w:rsidRPr="0013134F">
        <w:t>congestive heart failure</w:t>
      </w:r>
      <w:r w:rsidR="00987978" w:rsidRPr="0013134F">
        <w:t xml:space="preserve">, hypertension, arteriosclerosis and chronic kidney disease. He was hospitalised on the day of the </w:t>
      </w:r>
      <w:r w:rsidRPr="0013134F">
        <w:t>acute myocardial infarction</w:t>
      </w:r>
      <w:r w:rsidR="00987978" w:rsidRPr="0013134F">
        <w:t xml:space="preserve"> and died from acute </w:t>
      </w:r>
      <w:r w:rsidRPr="0013134F">
        <w:t>left ventricular failure</w:t>
      </w:r>
      <w:r w:rsidR="00987978" w:rsidRPr="0013134F">
        <w:t xml:space="preserve"> 5 days later.</w:t>
      </w:r>
    </w:p>
    <w:p w14:paraId="0F6A650C" w14:textId="3543C1D1" w:rsidR="00987978" w:rsidRPr="00987978" w:rsidRDefault="0013134F" w:rsidP="00987978">
      <w:r>
        <w:t>One p</w:t>
      </w:r>
      <w:r w:rsidR="00987978" w:rsidRPr="00987978">
        <w:t>articipan</w:t>
      </w:r>
      <w:r>
        <w:t>t [</w:t>
      </w:r>
      <w:r w:rsidR="00214F76">
        <w:t>identifying i</w:t>
      </w:r>
      <w:r>
        <w:t xml:space="preserve">nformation redacted] </w:t>
      </w:r>
      <w:r w:rsidR="00987978" w:rsidRPr="00987978">
        <w:t xml:space="preserve">was a </w:t>
      </w:r>
      <w:proofErr w:type="gramStart"/>
      <w:r w:rsidR="00987978" w:rsidRPr="00987978">
        <w:t>78 year old</w:t>
      </w:r>
      <w:proofErr w:type="gramEnd"/>
      <w:r w:rsidR="00987978" w:rsidRPr="00987978">
        <w:t xml:space="preserve"> white male who experienced sudden cardiac death on Day 20 in the setting of prior coronary artery disease and hypertension. He died suddenly at home without preceding symptoms and an autopsy was refused by the family.</w:t>
      </w:r>
    </w:p>
    <w:p w14:paraId="7FB332A1" w14:textId="5E4D2B37" w:rsidR="00987978" w:rsidRPr="0013134F" w:rsidRDefault="00987978" w:rsidP="0013134F">
      <w:pPr>
        <w:pStyle w:val="Heading6"/>
      </w:pPr>
      <w:bookmarkStart w:id="67" w:name="_Ref119402846"/>
      <w:r w:rsidRPr="0013134F">
        <w:t>Serious adverse events</w:t>
      </w:r>
      <w:bookmarkEnd w:id="67"/>
    </w:p>
    <w:p w14:paraId="18AA5050" w14:textId="0BDA1E6D" w:rsidR="00987978" w:rsidRDefault="00987978" w:rsidP="0013134F">
      <w:r w:rsidRPr="0013134F">
        <w:t>S</w:t>
      </w:r>
      <w:r w:rsidR="0013134F">
        <w:t xml:space="preserve">erious adverse events </w:t>
      </w:r>
      <w:r w:rsidR="00214F76">
        <w:t xml:space="preserve">(SAEs) </w:t>
      </w:r>
      <w:r w:rsidR="0013134F">
        <w:t xml:space="preserve">from </w:t>
      </w:r>
      <w:r w:rsidR="00214F76">
        <w:t xml:space="preserve">the </w:t>
      </w:r>
      <w:r w:rsidR="0013134F">
        <w:t>TACKLE trial</w:t>
      </w:r>
      <w:r w:rsidRPr="0013134F">
        <w:t xml:space="preserve"> </w:t>
      </w:r>
      <w:r w:rsidR="00214F76">
        <w:t>are</w:t>
      </w:r>
      <w:r w:rsidR="00214F76" w:rsidRPr="0013134F">
        <w:t xml:space="preserve"> </w:t>
      </w:r>
      <w:r w:rsidRPr="0013134F">
        <w:t>summarised</w:t>
      </w:r>
      <w:r w:rsidR="000A1A5A">
        <w:t xml:space="preserve"> </w:t>
      </w:r>
      <w:r w:rsidR="000A1A5A">
        <w:fldChar w:fldCharType="begin"/>
      </w:r>
      <w:r w:rsidR="000A1A5A">
        <w:instrText xml:space="preserve"> REF _Ref119403874 \h </w:instrText>
      </w:r>
      <w:r w:rsidR="000A1A5A">
        <w:fldChar w:fldCharType="separate"/>
      </w:r>
      <w:r w:rsidR="008D61A2" w:rsidRPr="001E223F">
        <w:t xml:space="preserve">Table </w:t>
      </w:r>
      <w:r w:rsidR="008D61A2">
        <w:rPr>
          <w:noProof/>
        </w:rPr>
        <w:t>15</w:t>
      </w:r>
      <w:r w:rsidR="000A1A5A">
        <w:fldChar w:fldCharType="end"/>
      </w:r>
      <w:r w:rsidRPr="0013134F">
        <w:t>. There was imbalance in the frequency of ‘Any SAE’ between study groups (8.8% E</w:t>
      </w:r>
      <w:r w:rsidR="000A1A5A">
        <w:t>vusheld</w:t>
      </w:r>
      <w:r w:rsidRPr="0013134F">
        <w:t xml:space="preserve"> v</w:t>
      </w:r>
      <w:r w:rsidR="000A1A5A">
        <w:t>ersus</w:t>
      </w:r>
      <w:r w:rsidRPr="0013134F">
        <w:t xml:space="preserve"> 13.5% placebo), which reflected imbalance in the frequency of ‘COVID-19 pneumonia’ and/or ‘COVID-19’. Otherwise, SAEs were balanced by </w:t>
      </w:r>
      <w:r w:rsidR="00214F76">
        <w:t>System Organ Class (</w:t>
      </w:r>
      <w:r w:rsidRPr="0013134F">
        <w:t>SOC</w:t>
      </w:r>
      <w:r w:rsidR="00214F76">
        <w:t>)</w:t>
      </w:r>
      <w:r w:rsidRPr="0013134F">
        <w:t xml:space="preserve"> and </w:t>
      </w:r>
      <w:r w:rsidR="00214F76">
        <w:t>Preferred Term (</w:t>
      </w:r>
      <w:r w:rsidRPr="0013134F">
        <w:t>PT</w:t>
      </w:r>
      <w:r w:rsidR="00214F76">
        <w:t>)</w:t>
      </w:r>
      <w:r w:rsidRPr="0013134F">
        <w:t xml:space="preserve"> and none of the SAEs were deemed treatment related by the </w:t>
      </w:r>
      <w:r w:rsidR="000A1A5A">
        <w:t>i</w:t>
      </w:r>
      <w:r w:rsidRPr="0013134F">
        <w:t>nvestigator.</w:t>
      </w:r>
    </w:p>
    <w:p w14:paraId="5C98EE22" w14:textId="45B5BC87" w:rsidR="001E223F" w:rsidRDefault="001E223F" w:rsidP="001E223F">
      <w:pPr>
        <w:pStyle w:val="TableTitle"/>
      </w:pPr>
      <w:bookmarkStart w:id="68" w:name="_Ref119403874"/>
      <w:r w:rsidRPr="001E223F">
        <w:lastRenderedPageBreak/>
        <w:t xml:space="preserve">Table </w:t>
      </w:r>
      <w:r w:rsidR="005E1B9B">
        <w:fldChar w:fldCharType="begin"/>
      </w:r>
      <w:r w:rsidR="005E1B9B">
        <w:instrText xml:space="preserve"> SEQ Table \* ARABIC </w:instrText>
      </w:r>
      <w:r w:rsidR="005E1B9B">
        <w:fldChar w:fldCharType="separate"/>
      </w:r>
      <w:r w:rsidR="008D61A2">
        <w:rPr>
          <w:noProof/>
        </w:rPr>
        <w:t>15</w:t>
      </w:r>
      <w:r w:rsidR="005E1B9B">
        <w:rPr>
          <w:noProof/>
        </w:rPr>
        <w:fldChar w:fldCharType="end"/>
      </w:r>
      <w:bookmarkEnd w:id="68"/>
      <w:r>
        <w:t>: Number of participants with serious adverse events, by System Organ Class and Preferred Term (safety analysis set), key secondary data cut</w:t>
      </w:r>
      <w:r w:rsidR="00214F76">
        <w:t>-</w:t>
      </w:r>
      <w:r>
        <w:t>off</w:t>
      </w:r>
    </w:p>
    <w:p w14:paraId="08C5E80C" w14:textId="304653C6" w:rsidR="001E223F" w:rsidRDefault="001E223F" w:rsidP="001E223F">
      <w:r w:rsidRPr="001E223F">
        <w:rPr>
          <w:noProof/>
          <w:lang w:val="en-GB" w:eastAsia="en-GB"/>
        </w:rPr>
        <w:drawing>
          <wp:inline distT="0" distB="0" distL="0" distR="0" wp14:anchorId="04D67627" wp14:editId="7413D14D">
            <wp:extent cx="5144218" cy="7401958"/>
            <wp:effectExtent l="0" t="0" r="0" b="8890"/>
            <wp:docPr id="18" name="Picture 18" descr="Number of participants with serious adverse events, by System Organ Class and Preferred Term (safety analysis set), key secondary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umber of participants with serious adverse events, by System Organ Class and Preferred Term (safety analysis set), key secondary data cutoff"/>
                    <pic:cNvPicPr/>
                  </pic:nvPicPr>
                  <pic:blipFill>
                    <a:blip r:embed="rId45"/>
                    <a:stretch>
                      <a:fillRect/>
                    </a:stretch>
                  </pic:blipFill>
                  <pic:spPr>
                    <a:xfrm>
                      <a:off x="0" y="0"/>
                      <a:ext cx="5144218" cy="7401958"/>
                    </a:xfrm>
                    <a:prstGeom prst="rect">
                      <a:avLst/>
                    </a:prstGeom>
                  </pic:spPr>
                </pic:pic>
              </a:graphicData>
            </a:graphic>
          </wp:inline>
        </w:drawing>
      </w:r>
    </w:p>
    <w:p w14:paraId="1508A760" w14:textId="5FD00BF6" w:rsidR="001E223F" w:rsidRDefault="001E223F">
      <w:pPr>
        <w:spacing w:before="0" w:after="200" w:line="0" w:lineRule="auto"/>
      </w:pPr>
      <w:r>
        <w:br w:type="page"/>
      </w:r>
    </w:p>
    <w:p w14:paraId="68494C96" w14:textId="2ED1FB0B" w:rsidR="001E223F" w:rsidRDefault="001E223F" w:rsidP="001E223F">
      <w:pPr>
        <w:pStyle w:val="TableTitle"/>
      </w:pPr>
      <w:r w:rsidRPr="001E223F">
        <w:lastRenderedPageBreak/>
        <w:t>Table 1</w:t>
      </w:r>
      <w:r w:rsidR="008D61A2">
        <w:t>5</w:t>
      </w:r>
      <w:r w:rsidR="00214F76">
        <w:t xml:space="preserve"> (continued)</w:t>
      </w:r>
      <w:r w:rsidRPr="001E223F">
        <w:t>: Number of participants with serious adverse events, by System Organ Class and Preferred Term (safety analysis set), key secondary data cut</w:t>
      </w:r>
      <w:r w:rsidR="00214F76">
        <w:t>-</w:t>
      </w:r>
      <w:r w:rsidRPr="001E223F">
        <w:t>off</w:t>
      </w:r>
    </w:p>
    <w:p w14:paraId="12248721" w14:textId="53357C43" w:rsidR="001E223F" w:rsidRDefault="001E223F" w:rsidP="001E223F">
      <w:r w:rsidRPr="001E223F">
        <w:rPr>
          <w:noProof/>
          <w:lang w:val="en-GB" w:eastAsia="en-GB"/>
        </w:rPr>
        <w:drawing>
          <wp:inline distT="0" distB="0" distL="0" distR="0" wp14:anchorId="05ED7D4F" wp14:editId="24818E53">
            <wp:extent cx="5144218" cy="7573432"/>
            <wp:effectExtent l="0" t="0" r="0" b="8890"/>
            <wp:docPr id="21" name="Picture 21" descr="Table 1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15 (continued)"/>
                    <pic:cNvPicPr/>
                  </pic:nvPicPr>
                  <pic:blipFill>
                    <a:blip r:embed="rId46"/>
                    <a:stretch>
                      <a:fillRect/>
                    </a:stretch>
                  </pic:blipFill>
                  <pic:spPr>
                    <a:xfrm>
                      <a:off x="0" y="0"/>
                      <a:ext cx="5144218" cy="7573432"/>
                    </a:xfrm>
                    <a:prstGeom prst="rect">
                      <a:avLst/>
                    </a:prstGeom>
                  </pic:spPr>
                </pic:pic>
              </a:graphicData>
            </a:graphic>
          </wp:inline>
        </w:drawing>
      </w:r>
    </w:p>
    <w:p w14:paraId="2466A9C6" w14:textId="3879AE58" w:rsidR="000A1A5A" w:rsidRPr="001E223F" w:rsidRDefault="000A1A5A" w:rsidP="000A1A5A">
      <w:pPr>
        <w:pStyle w:val="TableDescription"/>
      </w:pPr>
      <w:r>
        <w:t>Abbreviation</w:t>
      </w:r>
      <w:r w:rsidR="00214F76">
        <w:t>s</w:t>
      </w:r>
      <w:r>
        <w:t>: COVID-19, coronavirus disease 2019; DCO, data cut-off; MedDRA, Medical Dictionary for Regulatory Activities; PT, preferred term; SAE, serious adverse event; SOC, system organ class.</w:t>
      </w:r>
    </w:p>
    <w:p w14:paraId="3CD52281" w14:textId="6002FDDE" w:rsidR="001E223F" w:rsidRDefault="001E223F" w:rsidP="001E223F">
      <w:pPr>
        <w:pStyle w:val="TableDescription"/>
      </w:pPr>
      <w:r>
        <w:t>a Number (%) of Participants with an SAE, sorted alphabetically by SOC, and within each SOC, PTs sorted</w:t>
      </w:r>
      <w:r w:rsidR="000A1A5A">
        <w:t xml:space="preserve"> </w:t>
      </w:r>
      <w:r>
        <w:t>by decreasing order of total frequency.</w:t>
      </w:r>
    </w:p>
    <w:p w14:paraId="6F603D53" w14:textId="753A95C2" w:rsidR="001E223F" w:rsidRDefault="001E223F" w:rsidP="001E223F">
      <w:pPr>
        <w:pStyle w:val="TableDescription"/>
      </w:pPr>
      <w:r>
        <w:lastRenderedPageBreak/>
        <w:t>Participants with multiple events of the same preferred term are counted only once in that preferred term.</w:t>
      </w:r>
      <w:r w:rsidR="000A1A5A">
        <w:t xml:space="preserve"> </w:t>
      </w:r>
      <w:r>
        <w:t>Participants with events in more than one preferred term within the same SOC were counted only once in that</w:t>
      </w:r>
      <w:r w:rsidR="000A1A5A">
        <w:t xml:space="preserve"> </w:t>
      </w:r>
      <w:r>
        <w:t>SOC row.</w:t>
      </w:r>
      <w:r w:rsidR="000A1A5A">
        <w:t xml:space="preserve"> </w:t>
      </w:r>
      <w:r>
        <w:t xml:space="preserve">Includes adverse events that occurred through the </w:t>
      </w:r>
      <w:r w:rsidR="000A1A5A">
        <w:t>k</w:t>
      </w:r>
      <w:r>
        <w:t xml:space="preserve">ey </w:t>
      </w:r>
      <w:r w:rsidR="000A1A5A">
        <w:t>s</w:t>
      </w:r>
      <w:r>
        <w:t>econdary DCO.</w:t>
      </w:r>
    </w:p>
    <w:p w14:paraId="58D7D06C" w14:textId="77777777" w:rsidR="00987978" w:rsidRPr="0013134F" w:rsidRDefault="00987978" w:rsidP="0013134F">
      <w:r w:rsidRPr="0013134F">
        <w:t>Cardiac and thromboembolic events:</w:t>
      </w:r>
    </w:p>
    <w:p w14:paraId="6A63A463" w14:textId="6F5051F4" w:rsidR="00987978" w:rsidRPr="000A1A5A" w:rsidRDefault="000A1A5A" w:rsidP="000A1A5A">
      <w:pPr>
        <w:pStyle w:val="ListBullet"/>
      </w:pPr>
      <w:r w:rsidRPr="000A1A5A">
        <w:t>Participant [</w:t>
      </w:r>
      <w:r w:rsidR="00214F76">
        <w:t>identifying i</w:t>
      </w:r>
      <w:r w:rsidRPr="000A1A5A">
        <w:t xml:space="preserve">nformation redacted] </w:t>
      </w:r>
      <w:r w:rsidR="00987978" w:rsidRPr="000A1A5A">
        <w:t xml:space="preserve">was a </w:t>
      </w:r>
      <w:proofErr w:type="gramStart"/>
      <w:r w:rsidR="00987978" w:rsidRPr="000A1A5A">
        <w:t>67 year old</w:t>
      </w:r>
      <w:proofErr w:type="gramEnd"/>
      <w:r w:rsidR="00987978" w:rsidRPr="000A1A5A">
        <w:t xml:space="preserve"> white, Hispanic or Latino male who experienced a Grade 2 SAE of ‘Acute myocardial infarction’ </w:t>
      </w:r>
      <w:r w:rsidR="001B5E26">
        <w:t>Ten</w:t>
      </w:r>
      <w:r w:rsidR="00987978" w:rsidRPr="000A1A5A">
        <w:t xml:space="preserve"> days after receiving 600 mg E</w:t>
      </w:r>
      <w:r>
        <w:t>vusheld</w:t>
      </w:r>
      <w:r w:rsidR="00987978" w:rsidRPr="000A1A5A">
        <w:t>. This occurred in the setting of prior smoking (since ceased</w:t>
      </w:r>
      <w:r w:rsidR="0030341B">
        <w:t>]</w:t>
      </w:r>
      <w:r w:rsidR="00987978" w:rsidRPr="000A1A5A">
        <w:t xml:space="preserve">, chronic kidney disease, systemic vasculitis, hypertension, myocardial </w:t>
      </w:r>
      <w:proofErr w:type="spellStart"/>
      <w:r w:rsidR="00987978" w:rsidRPr="000A1A5A">
        <w:t>ischaemia</w:t>
      </w:r>
      <w:proofErr w:type="spellEnd"/>
      <w:r w:rsidR="00987978" w:rsidRPr="000A1A5A">
        <w:t xml:space="preserve">, and nephrogenic anaemia. The </w:t>
      </w:r>
      <w:r w:rsidRPr="0013134F">
        <w:t>acute myocardial infarction</w:t>
      </w:r>
      <w:r w:rsidR="00987978" w:rsidRPr="000A1A5A">
        <w:t xml:space="preserve"> was managed with angioplasty. A concurrent SAE was Grade 2 worsening of ‘</w:t>
      </w:r>
      <w:proofErr w:type="gramStart"/>
      <w:r w:rsidR="00987978" w:rsidRPr="000A1A5A">
        <w:t>Chronic kidney disease</w:t>
      </w:r>
      <w:proofErr w:type="gramEnd"/>
      <w:r w:rsidR="00987978" w:rsidRPr="000A1A5A">
        <w:t>’, managed with haemodialysis. He recovered and was discharged from hospital on study Day 31.</w:t>
      </w:r>
    </w:p>
    <w:p w14:paraId="4AB64339" w14:textId="6C71C3F8" w:rsidR="000A1A5A" w:rsidRDefault="00987978" w:rsidP="000A1A5A">
      <w:pPr>
        <w:pStyle w:val="ListBullet"/>
      </w:pPr>
      <w:r w:rsidRPr="000A1A5A">
        <w:t>Participant</w:t>
      </w:r>
      <w:r w:rsidR="000A1A5A">
        <w:t xml:space="preserve"> [</w:t>
      </w:r>
      <w:r w:rsidR="00214F76">
        <w:t>identifying i</w:t>
      </w:r>
      <w:r w:rsidR="000A1A5A">
        <w:t xml:space="preserve">nformation redacted] </w:t>
      </w:r>
      <w:r w:rsidRPr="000A1A5A">
        <w:t xml:space="preserve">was a </w:t>
      </w:r>
      <w:proofErr w:type="gramStart"/>
      <w:r w:rsidRPr="000A1A5A">
        <w:t>46 year old</w:t>
      </w:r>
      <w:proofErr w:type="gramEnd"/>
      <w:r w:rsidRPr="000A1A5A">
        <w:t xml:space="preserve"> white female who experienced a Grade 3 SAE of ‘Pulmonary embolism’ 28 days after receiving 600 mg E</w:t>
      </w:r>
      <w:r w:rsidR="000A1A5A">
        <w:t>vusheld</w:t>
      </w:r>
      <w:r w:rsidRPr="000A1A5A">
        <w:t>. There was no significant prior medical history other than obesity. She had an earlier</w:t>
      </w:r>
      <w:r w:rsidR="000A1A5A">
        <w:t xml:space="preserve"> Grade 3 SAE of ‘COVID-19 pneumonia’ requiring 14 days hospital admission, which began on the day of </w:t>
      </w:r>
      <w:r w:rsidR="00A722E1">
        <w:t>investigational product</w:t>
      </w:r>
      <w:r w:rsidR="000A1A5A">
        <w:t xml:space="preserve"> administration. The </w:t>
      </w:r>
      <w:r w:rsidR="001B5E26">
        <w:t>i</w:t>
      </w:r>
      <w:r w:rsidR="000A1A5A">
        <w:t xml:space="preserve">nvestigator ascribed causation of the </w:t>
      </w:r>
      <w:r w:rsidR="001B5E26">
        <w:t>pulmonary embolism</w:t>
      </w:r>
      <w:r w:rsidR="000A1A5A">
        <w:t xml:space="preserve"> to COVID-19. The participant recovered.</w:t>
      </w:r>
    </w:p>
    <w:p w14:paraId="4DEA25B0" w14:textId="7700D8BE" w:rsidR="00987978" w:rsidRDefault="000A1A5A" w:rsidP="000A1A5A">
      <w:pPr>
        <w:pStyle w:val="ListBullet"/>
      </w:pPr>
      <w:r>
        <w:t>Participant</w:t>
      </w:r>
      <w:r w:rsidR="007E296B">
        <w:t xml:space="preserve"> </w:t>
      </w:r>
      <w:r w:rsidR="001B5E26">
        <w:t>[</w:t>
      </w:r>
      <w:r w:rsidR="00214F76">
        <w:t>identifying i</w:t>
      </w:r>
      <w:r w:rsidR="001B5E26">
        <w:t xml:space="preserve">nformation </w:t>
      </w:r>
      <w:r w:rsidR="007E296B">
        <w:t>redacted</w:t>
      </w:r>
      <w:r w:rsidR="001B5E26">
        <w:t>]</w:t>
      </w:r>
      <w:r>
        <w:t xml:space="preserve"> was a </w:t>
      </w:r>
      <w:proofErr w:type="gramStart"/>
      <w:r>
        <w:t>69 year old</w:t>
      </w:r>
      <w:proofErr w:type="gramEnd"/>
      <w:r>
        <w:t xml:space="preserve"> white male who experienced a Grade 3 SAE of ‘Peripheral artery thrombosis’ (An arterial thrombosis in the left axillary and brachial arteries) 13 days after receiving 600 mg E</w:t>
      </w:r>
      <w:r w:rsidR="001B5E26">
        <w:t>vusheld</w:t>
      </w:r>
      <w:r>
        <w:t xml:space="preserve">. There was a prior history of </w:t>
      </w:r>
      <w:r w:rsidR="001B5E26">
        <w:t>a</w:t>
      </w:r>
      <w:r w:rsidR="001B5E26" w:rsidRPr="000A1A5A">
        <w:t>cute myocardial infarction</w:t>
      </w:r>
      <w:r>
        <w:t xml:space="preserve">, atrial fibrillation, coronary artery disease, </w:t>
      </w:r>
      <w:proofErr w:type="gramStart"/>
      <w:r>
        <w:t>hypertension</w:t>
      </w:r>
      <w:proofErr w:type="gramEnd"/>
      <w:r>
        <w:t xml:space="preserve"> and myocardial fibrosis. The participant recovered.</w:t>
      </w:r>
    </w:p>
    <w:p w14:paraId="46F43A77" w14:textId="349E2B6F" w:rsidR="001B5E26" w:rsidRPr="001B5E26" w:rsidRDefault="001B5E26" w:rsidP="001B5E26">
      <w:pPr>
        <w:pStyle w:val="Heading6"/>
      </w:pPr>
      <w:r w:rsidRPr="001B5E26">
        <w:t>Discontinuation due to adverse events</w:t>
      </w:r>
    </w:p>
    <w:p w14:paraId="2273B3CF" w14:textId="0EBCFDAC" w:rsidR="001B5E26" w:rsidRPr="001B5E26" w:rsidRDefault="001B5E26" w:rsidP="001B5E26">
      <w:r w:rsidRPr="001B5E26">
        <w:t xml:space="preserve">Most discontinuations </w:t>
      </w:r>
      <w:r>
        <w:t xml:space="preserve">due to AEs from TACKLE trial </w:t>
      </w:r>
      <w:r w:rsidRPr="001B5E26">
        <w:t>reflected deaths and there were no additional E</w:t>
      </w:r>
      <w:r>
        <w:t>vusheld</w:t>
      </w:r>
      <w:r w:rsidRPr="001B5E26">
        <w:t xml:space="preserve"> recipients who withdrew because of AEs.</w:t>
      </w:r>
    </w:p>
    <w:p w14:paraId="4BC5D81A" w14:textId="7A6FE249" w:rsidR="001B5E26" w:rsidRPr="00EC5D31" w:rsidRDefault="001B5E26" w:rsidP="00EC5D31">
      <w:pPr>
        <w:pStyle w:val="Heading6"/>
      </w:pPr>
      <w:r w:rsidRPr="00EC5D31">
        <w:t>Adverse events of special interest and other adverse events</w:t>
      </w:r>
    </w:p>
    <w:p w14:paraId="0000375D" w14:textId="57484C9F" w:rsidR="001B5E26" w:rsidRPr="00EC5D31" w:rsidRDefault="001B5E26" w:rsidP="00EC5D31">
      <w:r w:rsidRPr="00EC5D31">
        <w:t>Protocol</w:t>
      </w:r>
      <w:r w:rsidR="007E296B">
        <w:t xml:space="preserve"> </w:t>
      </w:r>
      <w:r w:rsidRPr="00EC5D31">
        <w:t xml:space="preserve">defined </w:t>
      </w:r>
      <w:r w:rsidR="00EC5D31">
        <w:t>adverse events of special interest (</w:t>
      </w:r>
      <w:r w:rsidRPr="00EC5D31">
        <w:t>AESIs</w:t>
      </w:r>
      <w:r w:rsidR="00EC5D31">
        <w:t>)</w:t>
      </w:r>
      <w:r w:rsidRPr="00EC5D31">
        <w:t xml:space="preserve"> for E</w:t>
      </w:r>
      <w:r w:rsidR="00EC5D31" w:rsidRPr="00EC5D31">
        <w:t>vusheld</w:t>
      </w:r>
      <w:r w:rsidRPr="00EC5D31">
        <w:t xml:space="preserve"> were anaphylaxis, other serious hypersensitivity reactions (including immune complex disease) and injection site reactions. AESIs </w:t>
      </w:r>
      <w:r w:rsidR="00EC5D31" w:rsidRPr="00EC5D31">
        <w:t xml:space="preserve">from TACKLE trial </w:t>
      </w:r>
      <w:r w:rsidRPr="00EC5D31">
        <w:t xml:space="preserve">were balanced between groups (n = 15 </w:t>
      </w:r>
      <w:r w:rsidR="00FE3D6F">
        <w:t>(</w:t>
      </w:r>
      <w:r w:rsidRPr="00EC5D31">
        <w:t>3.3%</w:t>
      </w:r>
      <w:r w:rsidR="00FE3D6F">
        <w:t>)</w:t>
      </w:r>
      <w:r w:rsidRPr="00EC5D31">
        <w:t xml:space="preserve"> in each) and 27 of the 30 AESIs represented injection site reactions; the only additional AESI in the E</w:t>
      </w:r>
      <w:r w:rsidR="00EC5D31">
        <w:t>vusheld</w:t>
      </w:r>
      <w:r w:rsidRPr="00EC5D31">
        <w:t xml:space="preserve"> group was an event of Grade 2 skin erythema</w:t>
      </w:r>
      <w:r w:rsidR="00FE3D6F">
        <w:t>.</w:t>
      </w:r>
    </w:p>
    <w:p w14:paraId="23589D10" w14:textId="531A321A" w:rsidR="001B5E26" w:rsidRPr="00EC5D31" w:rsidRDefault="001B5E26" w:rsidP="00EC5D31">
      <w:r w:rsidRPr="00EC5D31">
        <w:t>Three pregnancies occurred during the TACKLE trial in one E</w:t>
      </w:r>
      <w:r w:rsidR="00EC5D31">
        <w:t xml:space="preserve">vusheld </w:t>
      </w:r>
      <w:r w:rsidRPr="00EC5D31">
        <w:t xml:space="preserve">recipient and </w:t>
      </w:r>
      <w:r w:rsidR="00EC5D31">
        <w:t>two</w:t>
      </w:r>
      <w:r w:rsidRPr="00EC5D31">
        <w:t xml:space="preserve"> placebo recipients. One of the placebo recipients’ pregnancies ended in spontaneous abortion, whereas the outcome of the other </w:t>
      </w:r>
      <w:r w:rsidR="00EC5D31">
        <w:t>two</w:t>
      </w:r>
      <w:r w:rsidRPr="00EC5D31">
        <w:t xml:space="preserve"> pregnancies was unknown at the key secondary </w:t>
      </w:r>
      <w:r w:rsidR="00EC5D31">
        <w:t>data cut</w:t>
      </w:r>
      <w:r w:rsidR="00FE3D6F">
        <w:t>-</w:t>
      </w:r>
      <w:r w:rsidR="00EC5D31">
        <w:t>off</w:t>
      </w:r>
      <w:r w:rsidRPr="00EC5D31">
        <w:t>.</w:t>
      </w:r>
    </w:p>
    <w:p w14:paraId="198E4416" w14:textId="048D384A" w:rsidR="001B5E26" w:rsidRPr="00EC5D31" w:rsidRDefault="001B5E26" w:rsidP="00EC5D31">
      <w:pPr>
        <w:pStyle w:val="Heading6"/>
      </w:pPr>
      <w:r w:rsidRPr="00EC5D31">
        <w:t xml:space="preserve">Clinical laboratory evaluations, vital </w:t>
      </w:r>
      <w:proofErr w:type="gramStart"/>
      <w:r w:rsidRPr="00EC5D31">
        <w:t>signs</w:t>
      </w:r>
      <w:proofErr w:type="gramEnd"/>
      <w:r w:rsidRPr="00EC5D31">
        <w:t xml:space="preserve"> and electrocardiograms</w:t>
      </w:r>
    </w:p>
    <w:p w14:paraId="01D6B605" w14:textId="24C7CBCD" w:rsidR="001B5E26" w:rsidRPr="00EC5D31" w:rsidRDefault="001B5E26" w:rsidP="00EC5D31">
      <w:r w:rsidRPr="00EC5D31">
        <w:t>There were no clinical differences noted between study groups for any of these parameters</w:t>
      </w:r>
      <w:r w:rsidR="00EC5D31">
        <w:t xml:space="preserve"> in TACKLE trial.</w:t>
      </w:r>
    </w:p>
    <w:p w14:paraId="25118FDF" w14:textId="33EBC4A6" w:rsidR="001B5E26" w:rsidRPr="00EC5D31" w:rsidRDefault="001B5E26" w:rsidP="00EC5D31">
      <w:r w:rsidRPr="00EC5D31">
        <w:t xml:space="preserve">Clinically significant </w:t>
      </w:r>
      <w:r w:rsidR="00EC5D31" w:rsidRPr="00EC5D31">
        <w:t>electrocardiogram</w:t>
      </w:r>
      <w:r w:rsidRPr="00EC5D31">
        <w:t xml:space="preserve"> abnormalities were reported in </w:t>
      </w:r>
      <w:r w:rsidR="00EC5D31" w:rsidRPr="00EC5D31">
        <w:t>five</w:t>
      </w:r>
      <w:r w:rsidRPr="00EC5D31">
        <w:t xml:space="preserve"> E</w:t>
      </w:r>
      <w:r w:rsidR="00EC5D31" w:rsidRPr="00EC5D31">
        <w:t>vusheld</w:t>
      </w:r>
      <w:r w:rsidRPr="00EC5D31">
        <w:t xml:space="preserve"> recipients and </w:t>
      </w:r>
      <w:r w:rsidR="00EC5D31" w:rsidRPr="00EC5D31">
        <w:t>two</w:t>
      </w:r>
      <w:r w:rsidRPr="00EC5D31">
        <w:t xml:space="preserve"> placebo </w:t>
      </w:r>
      <w:proofErr w:type="gramStart"/>
      <w:r w:rsidRPr="00EC5D31">
        <w:t>recipient</w:t>
      </w:r>
      <w:proofErr w:type="gramEnd"/>
      <w:r w:rsidRPr="00EC5D31">
        <w:t xml:space="preserve">, but in only </w:t>
      </w:r>
      <w:r w:rsidR="00EC5D31" w:rsidRPr="00EC5D31">
        <w:t>one</w:t>
      </w:r>
      <w:r w:rsidRPr="00EC5D31">
        <w:t xml:space="preserve"> participant (E</w:t>
      </w:r>
      <w:r w:rsidR="00EC5D31" w:rsidRPr="00EC5D31">
        <w:t>vusheld</w:t>
      </w:r>
      <w:r w:rsidRPr="00EC5D31">
        <w:t xml:space="preserve"> group) were they reported as AEs. </w:t>
      </w:r>
      <w:r w:rsidR="00EC5D31" w:rsidRPr="00EC5D31">
        <w:t>One p</w:t>
      </w:r>
      <w:r w:rsidRPr="00EC5D31">
        <w:t>articipant</w:t>
      </w:r>
      <w:r w:rsidR="00EC5D31" w:rsidRPr="00EC5D31">
        <w:t xml:space="preserve"> [</w:t>
      </w:r>
      <w:r w:rsidR="00FE3D6F">
        <w:t>identifying i</w:t>
      </w:r>
      <w:r w:rsidR="00EC5D31" w:rsidRPr="00EC5D31">
        <w:t>nformation redacted] w</w:t>
      </w:r>
      <w:r w:rsidRPr="00EC5D31">
        <w:t xml:space="preserve">as a </w:t>
      </w:r>
      <w:proofErr w:type="gramStart"/>
      <w:r w:rsidRPr="00EC5D31">
        <w:t>38 year old</w:t>
      </w:r>
      <w:proofErr w:type="gramEnd"/>
      <w:r w:rsidRPr="00EC5D31">
        <w:t xml:space="preserve"> Asian man with no prior identified risk factors who experienced mild AEs (non-SAEs) of ‘Atrioventricular block first degree’ and ‘Nodal rhythm’ on study Day 29. These were deemed not related to </w:t>
      </w:r>
      <w:r w:rsidR="00A722E1">
        <w:t>investigational product</w:t>
      </w:r>
      <w:r w:rsidRPr="00EC5D31">
        <w:t xml:space="preserve"> by the </w:t>
      </w:r>
      <w:r w:rsidR="00A722E1">
        <w:t>i</w:t>
      </w:r>
      <w:r w:rsidRPr="00EC5D31">
        <w:t>nvestigator and with an outcome of ‘Not recovered / not resolved’.</w:t>
      </w:r>
    </w:p>
    <w:p w14:paraId="2DC91E61" w14:textId="290B2F46" w:rsidR="001B5E26" w:rsidRPr="00EC5D31" w:rsidRDefault="004C27CB" w:rsidP="004C27CB">
      <w:pPr>
        <w:pStyle w:val="Heading5"/>
      </w:pPr>
      <w:r>
        <w:lastRenderedPageBreak/>
        <w:t xml:space="preserve">Conclusion on </w:t>
      </w:r>
      <w:r w:rsidR="001B5E26" w:rsidRPr="00EC5D31">
        <w:t>safety</w:t>
      </w:r>
    </w:p>
    <w:p w14:paraId="179F3AD8" w14:textId="2FBBBA20" w:rsidR="001B5E26" w:rsidRPr="00EC5D31" w:rsidRDefault="004C27CB" w:rsidP="00EC5D31">
      <w:r>
        <w:t>The Delegate noted that i</w:t>
      </w:r>
      <w:r w:rsidR="001B5E26" w:rsidRPr="00EC5D31">
        <w:t>n the existing PI under ‘PROVENT/</w:t>
      </w:r>
      <w:r>
        <w:t>C</w:t>
      </w:r>
      <w:r w:rsidR="001B5E26" w:rsidRPr="00EC5D31">
        <w:t>ardiac Serious Adverse Events’ (section 4.8</w:t>
      </w:r>
      <w:r>
        <w:t xml:space="preserve"> in PI</w:t>
      </w:r>
      <w:r w:rsidR="001B5E26" w:rsidRPr="00EC5D31">
        <w:t xml:space="preserve">) there is a summary of ‘Cardiac </w:t>
      </w:r>
      <w:proofErr w:type="spellStart"/>
      <w:r w:rsidR="001B5E26" w:rsidRPr="00EC5D31">
        <w:t>SAEs’</w:t>
      </w:r>
      <w:proofErr w:type="spellEnd"/>
      <w:r w:rsidR="001B5E26" w:rsidRPr="00EC5D31">
        <w:t xml:space="preserve"> from the PROVENT trial (utilising 300 mg E</w:t>
      </w:r>
      <w:r>
        <w:t>vusheld</w:t>
      </w:r>
      <w:r w:rsidR="001B5E26" w:rsidRPr="00EC5D31">
        <w:t xml:space="preserve"> </w:t>
      </w:r>
      <w:r>
        <w:t>intramuscularly</w:t>
      </w:r>
      <w:r w:rsidR="001B5E26" w:rsidRPr="00EC5D31">
        <w:t>) by PT (Table 4 of the PI</w:t>
      </w:r>
      <w:r>
        <w:t xml:space="preserve">, beyond scope of this </w:t>
      </w:r>
      <w:proofErr w:type="spellStart"/>
      <w:r>
        <w:t>AusPAR</w:t>
      </w:r>
      <w:proofErr w:type="spellEnd"/>
      <w:r w:rsidR="001B5E26" w:rsidRPr="00EC5D31">
        <w:t xml:space="preserve">). This shows all relevant cardiac SAEs, not just those deemed treatment related. In the text it is noted that ‘All subjects who experienced cardiac SAEs had cardiac risk factors and/or a prior history of cardiovascular disease at </w:t>
      </w:r>
      <w:r>
        <w:t>B</w:t>
      </w:r>
      <w:r w:rsidR="001B5E26" w:rsidRPr="00EC5D31">
        <w:t>aseline.’ and that one SAE resulted in death.</w:t>
      </w:r>
    </w:p>
    <w:p w14:paraId="52A12E82" w14:textId="1B2A7770" w:rsidR="001B5E26" w:rsidRPr="00EC5D31" w:rsidRDefault="001B5E26" w:rsidP="00EC5D31">
      <w:r w:rsidRPr="00EC5D31">
        <w:t>Similarly, under ‘PROVENT/Thromboembolic Serious Adverse Events’ there is a summary of thromboembolic events by PT (Table 5 of the PI</w:t>
      </w:r>
      <w:r w:rsidR="004C27CB">
        <w:t xml:space="preserve">, beyond scope of this </w:t>
      </w:r>
      <w:proofErr w:type="spellStart"/>
      <w:r w:rsidR="004C27CB">
        <w:t>AusPAR</w:t>
      </w:r>
      <w:proofErr w:type="spellEnd"/>
      <w:r w:rsidRPr="00EC5D31">
        <w:t>) that shows all relevant AEs, not just those deemed treatment related.</w:t>
      </w:r>
    </w:p>
    <w:p w14:paraId="1F2DAD83" w14:textId="0C05D5C2" w:rsidR="001B5E26" w:rsidRPr="00EC5D31" w:rsidRDefault="001B5E26" w:rsidP="00EC5D31">
      <w:r w:rsidRPr="00EC5D31">
        <w:t>The data on cardiac SAEs (including cardiac deaths) and thromboembolic SAEs from the TACKLE trial (discussed above</w:t>
      </w:r>
      <w:r w:rsidR="004C27CB">
        <w:t xml:space="preserve">, see </w:t>
      </w:r>
      <w:r w:rsidR="004C27CB">
        <w:fldChar w:fldCharType="begin"/>
      </w:r>
      <w:r w:rsidR="004C27CB">
        <w:instrText xml:space="preserve"> REF _Ref119402846 \h </w:instrText>
      </w:r>
      <w:r w:rsidR="004C27CB">
        <w:fldChar w:fldCharType="separate"/>
      </w:r>
      <w:r w:rsidR="008D61A2" w:rsidRPr="0013134F">
        <w:t>Serious adverse events</w:t>
      </w:r>
      <w:r w:rsidR="004C27CB">
        <w:fldChar w:fldCharType="end"/>
      </w:r>
      <w:r w:rsidRPr="00EC5D31">
        <w:t>) complement those existing data from PROVENT</w:t>
      </w:r>
      <w:r w:rsidR="004C27CB">
        <w:t xml:space="preserve"> trial</w:t>
      </w:r>
      <w:r w:rsidRPr="00EC5D31">
        <w:t xml:space="preserve"> and are the only </w:t>
      </w:r>
      <w:r w:rsidR="004C27CB">
        <w:t>s</w:t>
      </w:r>
      <w:r w:rsidRPr="00EC5D31">
        <w:t>ponsor</w:t>
      </w:r>
      <w:r w:rsidR="004C27CB">
        <w:t xml:space="preserve"> </w:t>
      </w:r>
      <w:r w:rsidRPr="00EC5D31">
        <w:t>generated safety data for this SOC for the 600 mg E</w:t>
      </w:r>
      <w:r w:rsidR="004C27CB">
        <w:t>vusheld</w:t>
      </w:r>
      <w:r w:rsidRPr="00EC5D31">
        <w:t xml:space="preserve"> dosage. </w:t>
      </w:r>
      <w:r w:rsidR="004C27CB">
        <w:t>The Delegate is of view that t</w:t>
      </w:r>
      <w:r w:rsidRPr="00EC5D31">
        <w:t xml:space="preserve">hose SAEs from the TACKLE trial should also be presented in the PI, with reference to the number, </w:t>
      </w:r>
      <w:proofErr w:type="gramStart"/>
      <w:r w:rsidRPr="00EC5D31">
        <w:t>frequency</w:t>
      </w:r>
      <w:proofErr w:type="gramEnd"/>
      <w:r w:rsidRPr="00EC5D31">
        <w:t xml:space="preserve"> and type (by PT) of events, including mention of the </w:t>
      </w:r>
      <w:r w:rsidR="004C27CB">
        <w:t>two</w:t>
      </w:r>
      <w:r w:rsidRPr="00EC5D31">
        <w:t xml:space="preserve"> cardiac deaths. The Delegate suggests this be presented in a new section headed ‘TACKLE’ between the sections on ‘PROVENT’ and the newly proposed ‘Repeat dosing’ section</w:t>
      </w:r>
      <w:r w:rsidR="004C27CB">
        <w:t xml:space="preserve"> in the PI.</w:t>
      </w:r>
    </w:p>
    <w:p w14:paraId="01770831" w14:textId="77777777" w:rsidR="008E7846" w:rsidRDefault="39298A11" w:rsidP="007B6132">
      <w:pPr>
        <w:pStyle w:val="Heading3"/>
        <w:rPr>
          <w:lang w:eastAsia="en-AU"/>
        </w:rPr>
      </w:pPr>
      <w:bookmarkStart w:id="69" w:name="_Toc314842514"/>
      <w:bookmarkStart w:id="70" w:name="_Toc122596081"/>
      <w:r w:rsidRPr="342306DD">
        <w:rPr>
          <w:lang w:eastAsia="en-AU"/>
        </w:rPr>
        <w:t>Risk m</w:t>
      </w:r>
      <w:r w:rsidR="686C7047" w:rsidRPr="342306DD">
        <w:rPr>
          <w:lang w:eastAsia="en-AU"/>
        </w:rPr>
        <w:t xml:space="preserve">anagement </w:t>
      </w:r>
      <w:r w:rsidRPr="342306DD">
        <w:rPr>
          <w:lang w:eastAsia="en-AU"/>
        </w:rPr>
        <w:t>p</w:t>
      </w:r>
      <w:r w:rsidR="686C7047" w:rsidRPr="342306DD">
        <w:rPr>
          <w:lang w:eastAsia="en-AU"/>
        </w:rPr>
        <w:t>lan</w:t>
      </w:r>
      <w:bookmarkEnd w:id="69"/>
      <w:bookmarkEnd w:id="70"/>
    </w:p>
    <w:p w14:paraId="6C73329E" w14:textId="01EF918F" w:rsidR="003F2BE4" w:rsidRDefault="003F2BE4" w:rsidP="003F2BE4">
      <w:bookmarkStart w:id="71" w:name="_Toc247691531"/>
      <w:bookmarkStart w:id="72" w:name="_Toc314842515"/>
      <w:bookmarkStart w:id="73" w:name="_Toc196046505"/>
      <w:bookmarkStart w:id="74" w:name="_Toc196046949"/>
      <w:r>
        <w:t>The most recently evaluated Core-risk management plan (RMP) was version 1 (dated 2</w:t>
      </w:r>
      <w:r w:rsidR="00FE3D6F">
        <w:t> </w:t>
      </w:r>
      <w:r>
        <w:t>February 2022; data lock point (DLP) 21 August 2021) and Australia specific annex (ASA) version 1.0 succession 2 (dated 19 January 2022) during submission PM</w:t>
      </w:r>
      <w:r w:rsidR="00FE3D6F">
        <w:noBreakHyphen/>
      </w:r>
      <w:r>
        <w:t>2021</w:t>
      </w:r>
      <w:r w:rsidR="00FE3D6F">
        <w:noBreakHyphen/>
      </w:r>
      <w:r>
        <w:t>05375-1-2. The sponsor provided EU-RMP version 1 succession 4 (dated 11</w:t>
      </w:r>
      <w:r w:rsidR="00FE3D6F">
        <w:t> </w:t>
      </w:r>
      <w:r>
        <w:t>April 2022; DLP 29 June 2021) and ASA version 2 succession 1 (dated 12 May 2022) to the TGA as RMP update. In support of the current submission, the sponsor has provided EU</w:t>
      </w:r>
      <w:r w:rsidR="00FE3D6F">
        <w:noBreakHyphen/>
      </w:r>
      <w:r>
        <w:t>RMP version 2 succession 2 (dated 12 July 2022; DLP 30 June 2022) and ASA version 4 succession 1 (19 July 2022). For clarity, all changes since the previous submission, PM</w:t>
      </w:r>
      <w:r w:rsidR="00FE3D6F">
        <w:noBreakHyphen/>
      </w:r>
      <w:r>
        <w:t>2021-05375-1-2, will be highlighted in this report.</w:t>
      </w:r>
    </w:p>
    <w:p w14:paraId="578F32E2" w14:textId="77AA006E" w:rsidR="003F2BE4" w:rsidRDefault="25B8651C" w:rsidP="003F2BE4">
      <w:pPr>
        <w:rPr>
          <w:highlight w:val="yellow"/>
        </w:rPr>
      </w:pPr>
      <w:r>
        <w:t>It is noted that EU-RMP version 2 succession 1 (dated 7 April 2022; DLP 28 February 2022) and ASA version 3 succession 1 (dated 8 June 2022) have been provided as part of supplementary information for submission PM-2021-05375-1-2 to extend the indication. As such, these documents are out of scope of this report.</w:t>
      </w:r>
    </w:p>
    <w:p w14:paraId="6B0574F6" w14:textId="2A1401B3" w:rsidR="0074163C" w:rsidRDefault="0074163C" w:rsidP="0074163C">
      <w:r w:rsidRPr="003F2BE4">
        <w:t xml:space="preserve">The summary of safety concerns and their associated risk monitoring and mitigation strategies are summarised in </w:t>
      </w:r>
      <w:r w:rsidR="003F2BE4" w:rsidRPr="003F2BE4">
        <w:fldChar w:fldCharType="begin"/>
      </w:r>
      <w:r w:rsidR="003F2BE4" w:rsidRPr="003F2BE4">
        <w:instrText xml:space="preserve"> REF _Ref97629131 \h </w:instrText>
      </w:r>
      <w:r w:rsidR="003F2BE4">
        <w:instrText xml:space="preserve"> \* MERGEFORMAT </w:instrText>
      </w:r>
      <w:r w:rsidR="003F2BE4" w:rsidRPr="003F2BE4">
        <w:fldChar w:fldCharType="separate"/>
      </w:r>
      <w:r w:rsidR="008D61A2" w:rsidRPr="003F2BE4">
        <w:t xml:space="preserve">Table </w:t>
      </w:r>
      <w:r w:rsidR="008D61A2">
        <w:rPr>
          <w:noProof/>
        </w:rPr>
        <w:t>16</w:t>
      </w:r>
      <w:r w:rsidR="003F2BE4" w:rsidRPr="003F2BE4">
        <w:fldChar w:fldCharType="end"/>
      </w:r>
      <w:r w:rsidRPr="003F2BE4">
        <w:t xml:space="preserve">. Further information regarding </w:t>
      </w:r>
      <w:r w:rsidR="00CC5044" w:rsidRPr="003F2BE4">
        <w:t>the TGA</w:t>
      </w:r>
      <w:r w:rsidR="00BF7063" w:rsidRPr="003F2BE4">
        <w:t>’</w:t>
      </w:r>
      <w:r w:rsidR="00CC5044" w:rsidRPr="003F2BE4">
        <w:t>s r</w:t>
      </w:r>
      <w:r w:rsidRPr="003F2BE4">
        <w:t xml:space="preserve">isk management approach can be found in </w:t>
      </w:r>
      <w:hyperlink r:id="rId47" w:history="1">
        <w:r w:rsidRPr="003F2BE4">
          <w:rPr>
            <w:rStyle w:val="Hyperlink"/>
          </w:rPr>
          <w:t>risk management plans for medicines and biologicals</w:t>
        </w:r>
      </w:hyperlink>
      <w:r w:rsidRPr="003F2BE4">
        <w:t xml:space="preserve"> and </w:t>
      </w:r>
      <w:hyperlink r:id="rId48" w:history="1">
        <w:r w:rsidRPr="003F2BE4">
          <w:rPr>
            <w:rStyle w:val="Hyperlink"/>
          </w:rPr>
          <w:t>the TGA's risk management approach</w:t>
        </w:r>
      </w:hyperlink>
      <w:r w:rsidRPr="003F2BE4">
        <w:t>.</w:t>
      </w:r>
    </w:p>
    <w:p w14:paraId="7E645CE3" w14:textId="7803BCBF" w:rsidR="00FE3D6F" w:rsidRPr="003F2BE4" w:rsidRDefault="00FE3D6F" w:rsidP="0074163C">
      <w:r>
        <w:br w:type="page"/>
      </w:r>
    </w:p>
    <w:p w14:paraId="4B6503BE" w14:textId="669825B8" w:rsidR="0074163C" w:rsidRDefault="0074163C" w:rsidP="0074163C">
      <w:pPr>
        <w:pStyle w:val="TableTitle"/>
      </w:pPr>
      <w:bookmarkStart w:id="75" w:name="_Ref97629131"/>
      <w:r w:rsidRPr="003F2BE4">
        <w:lastRenderedPageBreak/>
        <w:t xml:space="preserve">Table </w:t>
      </w:r>
      <w:r w:rsidR="005E1B9B">
        <w:fldChar w:fldCharType="begin"/>
      </w:r>
      <w:r w:rsidR="005E1B9B">
        <w:instrText xml:space="preserve"> SEQ Table \* ARABIC </w:instrText>
      </w:r>
      <w:r w:rsidR="005E1B9B">
        <w:fldChar w:fldCharType="separate"/>
      </w:r>
      <w:r w:rsidR="008D61A2">
        <w:rPr>
          <w:noProof/>
        </w:rPr>
        <w:t>16</w:t>
      </w:r>
      <w:r w:rsidR="005E1B9B">
        <w:rPr>
          <w:noProof/>
        </w:rPr>
        <w:fldChar w:fldCharType="end"/>
      </w:r>
      <w:bookmarkEnd w:id="75"/>
      <w:r w:rsidRPr="003F2BE4">
        <w:t>: Summary of safety concerns</w:t>
      </w:r>
    </w:p>
    <w:tbl>
      <w:tblPr>
        <w:tblStyle w:val="TableTGAblue"/>
        <w:tblW w:w="5136" w:type="pct"/>
        <w:tblLayout w:type="fixed"/>
        <w:tblLook w:val="04A0" w:firstRow="1" w:lastRow="0" w:firstColumn="1" w:lastColumn="0" w:noHBand="0" w:noVBand="1"/>
      </w:tblPr>
      <w:tblGrid>
        <w:gridCol w:w="1525"/>
        <w:gridCol w:w="2340"/>
        <w:gridCol w:w="1080"/>
        <w:gridCol w:w="1351"/>
        <w:gridCol w:w="1078"/>
        <w:gridCol w:w="1351"/>
      </w:tblGrid>
      <w:tr w:rsidR="00A91B04" w:rsidRPr="00FE3D6F" w14:paraId="35851823" w14:textId="77777777" w:rsidTr="00342791">
        <w:trPr>
          <w:cnfStyle w:val="100000000000" w:firstRow="1" w:lastRow="0" w:firstColumn="0" w:lastColumn="0" w:oddVBand="0" w:evenVBand="0" w:oddHBand="0" w:evenHBand="0" w:firstRowFirstColumn="0" w:firstRowLastColumn="0" w:lastRowFirstColumn="0" w:lastRowLastColumn="0"/>
          <w:trHeight w:val="131"/>
        </w:trPr>
        <w:tc>
          <w:tcPr>
            <w:tcW w:w="2215" w:type="pct"/>
            <w:gridSpan w:val="2"/>
            <w:vMerge w:val="restart"/>
            <w:tcBorders>
              <w:top w:val="single" w:sz="4" w:space="0" w:color="auto"/>
              <w:left w:val="single" w:sz="4" w:space="0" w:color="auto"/>
              <w:bottom w:val="single" w:sz="4" w:space="0" w:color="auto"/>
              <w:right w:val="single" w:sz="4" w:space="0" w:color="auto"/>
            </w:tcBorders>
          </w:tcPr>
          <w:p w14:paraId="25E6C628" w14:textId="77777777" w:rsidR="003F2BE4" w:rsidRPr="00342791" w:rsidRDefault="003F2BE4" w:rsidP="005367A8">
            <w:pPr>
              <w:pStyle w:val="Tabletext"/>
              <w:rPr>
                <w:b w:val="0"/>
                <w:sz w:val="20"/>
                <w:szCs w:val="20"/>
              </w:rPr>
            </w:pPr>
            <w:r w:rsidRPr="00342791">
              <w:rPr>
                <w:sz w:val="20"/>
                <w:szCs w:val="20"/>
              </w:rPr>
              <w:t>Summary of safety concerns</w:t>
            </w:r>
          </w:p>
        </w:tc>
        <w:tc>
          <w:tcPr>
            <w:tcW w:w="1393" w:type="pct"/>
            <w:gridSpan w:val="2"/>
            <w:tcBorders>
              <w:top w:val="single" w:sz="4" w:space="0" w:color="auto"/>
              <w:left w:val="single" w:sz="4" w:space="0" w:color="auto"/>
              <w:bottom w:val="single" w:sz="4" w:space="0" w:color="auto"/>
              <w:right w:val="single" w:sz="4" w:space="0" w:color="auto"/>
            </w:tcBorders>
          </w:tcPr>
          <w:p w14:paraId="214CA5B4" w14:textId="77777777" w:rsidR="003F2BE4" w:rsidRPr="00342791" w:rsidRDefault="003F2BE4" w:rsidP="003F2BE4">
            <w:pPr>
              <w:pStyle w:val="Tabletext"/>
              <w:ind w:left="0"/>
              <w:rPr>
                <w:b w:val="0"/>
                <w:sz w:val="20"/>
                <w:szCs w:val="20"/>
              </w:rPr>
            </w:pPr>
            <w:r w:rsidRPr="00342791">
              <w:rPr>
                <w:sz w:val="20"/>
                <w:szCs w:val="20"/>
              </w:rPr>
              <w:t>Pharmacovigilance</w:t>
            </w:r>
          </w:p>
        </w:tc>
        <w:tc>
          <w:tcPr>
            <w:tcW w:w="1392" w:type="pct"/>
            <w:gridSpan w:val="2"/>
            <w:tcBorders>
              <w:top w:val="single" w:sz="4" w:space="0" w:color="auto"/>
              <w:left w:val="single" w:sz="4" w:space="0" w:color="auto"/>
              <w:bottom w:val="single" w:sz="4" w:space="0" w:color="auto"/>
              <w:right w:val="single" w:sz="4" w:space="0" w:color="auto"/>
            </w:tcBorders>
          </w:tcPr>
          <w:p w14:paraId="147DB493" w14:textId="77777777" w:rsidR="003F2BE4" w:rsidRPr="00342791" w:rsidRDefault="003F2BE4" w:rsidP="003F2BE4">
            <w:pPr>
              <w:pStyle w:val="Tabletext"/>
              <w:ind w:left="0"/>
              <w:rPr>
                <w:b w:val="0"/>
                <w:sz w:val="20"/>
                <w:szCs w:val="20"/>
              </w:rPr>
            </w:pPr>
            <w:r w:rsidRPr="00342791">
              <w:rPr>
                <w:sz w:val="20"/>
                <w:szCs w:val="20"/>
              </w:rPr>
              <w:t>Risk Minimisation</w:t>
            </w:r>
          </w:p>
        </w:tc>
      </w:tr>
      <w:tr w:rsidR="00342791" w:rsidRPr="00FE3D6F" w14:paraId="20834E52" w14:textId="77777777" w:rsidTr="00342791">
        <w:trPr>
          <w:trHeight w:val="150"/>
        </w:trPr>
        <w:tc>
          <w:tcPr>
            <w:tcW w:w="2215" w:type="pct"/>
            <w:gridSpan w:val="2"/>
            <w:vMerge/>
            <w:tcBorders>
              <w:top w:val="single" w:sz="4" w:space="0" w:color="auto"/>
              <w:left w:val="single" w:sz="4" w:space="0" w:color="auto"/>
              <w:bottom w:val="single" w:sz="4" w:space="0" w:color="auto"/>
              <w:right w:val="single" w:sz="4" w:space="0" w:color="auto"/>
            </w:tcBorders>
            <w:shd w:val="clear" w:color="auto" w:fill="006DA7"/>
          </w:tcPr>
          <w:p w14:paraId="4DFBBB0D" w14:textId="77777777" w:rsidR="003F2BE4" w:rsidRPr="00342791" w:rsidRDefault="003F2BE4" w:rsidP="005367A8">
            <w:pPr>
              <w:pStyle w:val="Tabletext"/>
              <w:rPr>
                <w:b/>
                <w:color w:val="FFFFFF" w:themeColor="background1"/>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006DA7"/>
          </w:tcPr>
          <w:p w14:paraId="4D43AE60" w14:textId="77777777" w:rsidR="003F2BE4" w:rsidRPr="00342791" w:rsidRDefault="003F2BE4" w:rsidP="003F2BE4">
            <w:pPr>
              <w:pStyle w:val="Tabletext"/>
              <w:ind w:left="0"/>
              <w:rPr>
                <w:color w:val="FFFFFF" w:themeColor="background1"/>
                <w:sz w:val="20"/>
                <w:szCs w:val="20"/>
              </w:rPr>
            </w:pPr>
            <w:r w:rsidRPr="00342791">
              <w:rPr>
                <w:color w:val="FFFFFF" w:themeColor="background1"/>
                <w:sz w:val="20"/>
                <w:szCs w:val="20"/>
              </w:rPr>
              <w:t>Routine</w:t>
            </w:r>
          </w:p>
        </w:tc>
        <w:tc>
          <w:tcPr>
            <w:tcW w:w="774" w:type="pct"/>
            <w:tcBorders>
              <w:top w:val="single" w:sz="4" w:space="0" w:color="auto"/>
              <w:left w:val="single" w:sz="4" w:space="0" w:color="auto"/>
              <w:bottom w:val="single" w:sz="4" w:space="0" w:color="auto"/>
              <w:right w:val="single" w:sz="4" w:space="0" w:color="auto"/>
            </w:tcBorders>
            <w:shd w:val="clear" w:color="auto" w:fill="006DA7"/>
          </w:tcPr>
          <w:p w14:paraId="38856BBF" w14:textId="77777777" w:rsidR="003F2BE4" w:rsidRPr="00342791" w:rsidRDefault="003F2BE4" w:rsidP="003F2BE4">
            <w:pPr>
              <w:pStyle w:val="Tabletext"/>
              <w:ind w:left="0"/>
              <w:rPr>
                <w:color w:val="FFFFFF" w:themeColor="background1"/>
                <w:sz w:val="20"/>
                <w:szCs w:val="20"/>
              </w:rPr>
            </w:pPr>
            <w:r w:rsidRPr="00342791">
              <w:rPr>
                <w:color w:val="FFFFFF" w:themeColor="background1"/>
                <w:sz w:val="20"/>
                <w:szCs w:val="20"/>
              </w:rPr>
              <w:t>Additional</w:t>
            </w:r>
          </w:p>
        </w:tc>
        <w:tc>
          <w:tcPr>
            <w:tcW w:w="618" w:type="pct"/>
            <w:tcBorders>
              <w:top w:val="single" w:sz="4" w:space="0" w:color="auto"/>
              <w:left w:val="single" w:sz="4" w:space="0" w:color="auto"/>
              <w:bottom w:val="single" w:sz="4" w:space="0" w:color="auto"/>
              <w:right w:val="single" w:sz="4" w:space="0" w:color="auto"/>
            </w:tcBorders>
            <w:shd w:val="clear" w:color="auto" w:fill="006DA7"/>
          </w:tcPr>
          <w:p w14:paraId="7183542D" w14:textId="77777777" w:rsidR="003F2BE4" w:rsidRPr="00342791" w:rsidRDefault="003F2BE4" w:rsidP="003F2BE4">
            <w:pPr>
              <w:pStyle w:val="Tabletext"/>
              <w:ind w:left="0"/>
              <w:rPr>
                <w:color w:val="FFFFFF" w:themeColor="background1"/>
                <w:sz w:val="20"/>
                <w:szCs w:val="20"/>
              </w:rPr>
            </w:pPr>
            <w:r w:rsidRPr="00342791">
              <w:rPr>
                <w:color w:val="FFFFFF" w:themeColor="background1"/>
                <w:sz w:val="20"/>
                <w:szCs w:val="20"/>
              </w:rPr>
              <w:t>Routine</w:t>
            </w:r>
          </w:p>
        </w:tc>
        <w:tc>
          <w:tcPr>
            <w:tcW w:w="774" w:type="pct"/>
            <w:tcBorders>
              <w:top w:val="single" w:sz="4" w:space="0" w:color="auto"/>
              <w:left w:val="single" w:sz="4" w:space="0" w:color="auto"/>
              <w:bottom w:val="single" w:sz="4" w:space="0" w:color="auto"/>
              <w:right w:val="single" w:sz="4" w:space="0" w:color="auto"/>
            </w:tcBorders>
            <w:shd w:val="clear" w:color="auto" w:fill="006DA7"/>
          </w:tcPr>
          <w:p w14:paraId="564141BA" w14:textId="77777777" w:rsidR="003F2BE4" w:rsidRPr="00342791" w:rsidRDefault="003F2BE4" w:rsidP="003F2BE4">
            <w:pPr>
              <w:pStyle w:val="Tabletext"/>
              <w:ind w:left="0"/>
              <w:rPr>
                <w:color w:val="FFFFFF" w:themeColor="background1"/>
                <w:sz w:val="20"/>
                <w:szCs w:val="20"/>
              </w:rPr>
            </w:pPr>
            <w:r w:rsidRPr="00342791">
              <w:rPr>
                <w:color w:val="FFFFFF" w:themeColor="background1"/>
                <w:sz w:val="20"/>
                <w:szCs w:val="20"/>
              </w:rPr>
              <w:t>Additional</w:t>
            </w:r>
          </w:p>
        </w:tc>
      </w:tr>
      <w:tr w:rsidR="00FE3D6F" w:rsidRPr="00FE3D6F" w14:paraId="6743B752" w14:textId="77777777" w:rsidTr="00FE3D6F">
        <w:trPr>
          <w:trHeight w:val="137"/>
        </w:trPr>
        <w:tc>
          <w:tcPr>
            <w:tcW w:w="874" w:type="pct"/>
            <w:tcBorders>
              <w:top w:val="single" w:sz="4" w:space="0" w:color="auto"/>
            </w:tcBorders>
          </w:tcPr>
          <w:p w14:paraId="686059C8" w14:textId="77777777" w:rsidR="003F2BE4" w:rsidRPr="00342791" w:rsidRDefault="003F2BE4" w:rsidP="00B52DF6">
            <w:pPr>
              <w:pStyle w:val="Tabletext"/>
              <w:ind w:left="0"/>
              <w:rPr>
                <w:b/>
                <w:sz w:val="20"/>
                <w:szCs w:val="20"/>
              </w:rPr>
            </w:pPr>
            <w:r w:rsidRPr="00342791">
              <w:rPr>
                <w:b/>
                <w:sz w:val="20"/>
                <w:szCs w:val="20"/>
              </w:rPr>
              <w:t>Important identified risks</w:t>
            </w:r>
          </w:p>
        </w:tc>
        <w:tc>
          <w:tcPr>
            <w:tcW w:w="1341" w:type="pct"/>
            <w:tcBorders>
              <w:top w:val="single" w:sz="4" w:space="0" w:color="auto"/>
            </w:tcBorders>
          </w:tcPr>
          <w:p w14:paraId="53613E1F" w14:textId="77777777" w:rsidR="003F2BE4" w:rsidRPr="00342791" w:rsidRDefault="003F2BE4" w:rsidP="00B52DF6">
            <w:pPr>
              <w:pStyle w:val="Tabletext"/>
              <w:ind w:left="0"/>
              <w:rPr>
                <w:sz w:val="20"/>
                <w:szCs w:val="20"/>
              </w:rPr>
            </w:pPr>
            <w:r w:rsidRPr="00342791">
              <w:rPr>
                <w:sz w:val="20"/>
                <w:szCs w:val="20"/>
              </w:rPr>
              <w:t>None</w:t>
            </w:r>
          </w:p>
        </w:tc>
        <w:tc>
          <w:tcPr>
            <w:tcW w:w="619" w:type="pct"/>
            <w:tcBorders>
              <w:top w:val="single" w:sz="4" w:space="0" w:color="auto"/>
            </w:tcBorders>
          </w:tcPr>
          <w:p w14:paraId="54991DC0" w14:textId="77777777" w:rsidR="003F2BE4" w:rsidRPr="00342791" w:rsidRDefault="003F2BE4" w:rsidP="005367A8">
            <w:pPr>
              <w:pStyle w:val="Tabletext"/>
              <w:jc w:val="center"/>
              <w:rPr>
                <w:sz w:val="20"/>
                <w:szCs w:val="20"/>
              </w:rPr>
            </w:pPr>
            <w:r w:rsidRPr="00342791">
              <w:rPr>
                <w:sz w:val="20"/>
                <w:szCs w:val="20"/>
              </w:rPr>
              <w:t>–</w:t>
            </w:r>
          </w:p>
        </w:tc>
        <w:tc>
          <w:tcPr>
            <w:tcW w:w="774" w:type="pct"/>
            <w:tcBorders>
              <w:top w:val="single" w:sz="4" w:space="0" w:color="auto"/>
            </w:tcBorders>
          </w:tcPr>
          <w:p w14:paraId="11173D92" w14:textId="77777777" w:rsidR="003F2BE4" w:rsidRPr="00342791" w:rsidRDefault="003F2BE4" w:rsidP="005367A8">
            <w:pPr>
              <w:pStyle w:val="Tabletext"/>
              <w:jc w:val="center"/>
              <w:rPr>
                <w:sz w:val="20"/>
                <w:szCs w:val="20"/>
              </w:rPr>
            </w:pPr>
            <w:r w:rsidRPr="00342791">
              <w:rPr>
                <w:sz w:val="20"/>
                <w:szCs w:val="20"/>
              </w:rPr>
              <w:t>–</w:t>
            </w:r>
          </w:p>
        </w:tc>
        <w:tc>
          <w:tcPr>
            <w:tcW w:w="618" w:type="pct"/>
            <w:tcBorders>
              <w:top w:val="single" w:sz="4" w:space="0" w:color="auto"/>
            </w:tcBorders>
          </w:tcPr>
          <w:p w14:paraId="43A1D651" w14:textId="77777777" w:rsidR="003F2BE4" w:rsidRPr="00342791" w:rsidRDefault="003F2BE4" w:rsidP="005367A8">
            <w:pPr>
              <w:pStyle w:val="Tabletext"/>
              <w:jc w:val="center"/>
              <w:rPr>
                <w:sz w:val="20"/>
                <w:szCs w:val="20"/>
              </w:rPr>
            </w:pPr>
            <w:r w:rsidRPr="00342791">
              <w:rPr>
                <w:sz w:val="20"/>
                <w:szCs w:val="20"/>
              </w:rPr>
              <w:t>–</w:t>
            </w:r>
          </w:p>
        </w:tc>
        <w:tc>
          <w:tcPr>
            <w:tcW w:w="774" w:type="pct"/>
            <w:tcBorders>
              <w:top w:val="single" w:sz="4" w:space="0" w:color="auto"/>
            </w:tcBorders>
          </w:tcPr>
          <w:p w14:paraId="32A7B7D2" w14:textId="77777777" w:rsidR="003F2BE4" w:rsidRPr="00342791" w:rsidRDefault="003F2BE4" w:rsidP="005367A8">
            <w:pPr>
              <w:pStyle w:val="Tabletext"/>
              <w:jc w:val="center"/>
              <w:rPr>
                <w:sz w:val="20"/>
                <w:szCs w:val="20"/>
              </w:rPr>
            </w:pPr>
            <w:r w:rsidRPr="00342791">
              <w:rPr>
                <w:sz w:val="20"/>
                <w:szCs w:val="20"/>
              </w:rPr>
              <w:t>–</w:t>
            </w:r>
          </w:p>
        </w:tc>
      </w:tr>
      <w:tr w:rsidR="00FE3D6F" w:rsidRPr="00FE3D6F" w14:paraId="457E7F5C" w14:textId="77777777" w:rsidTr="00FE3D6F">
        <w:trPr>
          <w:trHeight w:val="159"/>
        </w:trPr>
        <w:tc>
          <w:tcPr>
            <w:tcW w:w="874" w:type="pct"/>
            <w:vMerge w:val="restart"/>
          </w:tcPr>
          <w:p w14:paraId="2BDCC24C" w14:textId="77777777" w:rsidR="003F2BE4" w:rsidRPr="00342791" w:rsidRDefault="003F2BE4" w:rsidP="00B52DF6">
            <w:pPr>
              <w:pStyle w:val="Tabletext"/>
              <w:ind w:left="0"/>
              <w:rPr>
                <w:b/>
                <w:sz w:val="20"/>
                <w:szCs w:val="20"/>
              </w:rPr>
            </w:pPr>
            <w:r w:rsidRPr="00342791">
              <w:rPr>
                <w:b/>
                <w:sz w:val="20"/>
                <w:szCs w:val="20"/>
              </w:rPr>
              <w:t>Important potential risks</w:t>
            </w:r>
          </w:p>
        </w:tc>
        <w:tc>
          <w:tcPr>
            <w:tcW w:w="1341" w:type="pct"/>
          </w:tcPr>
          <w:p w14:paraId="4F169A9A" w14:textId="445F758B" w:rsidR="003F2BE4" w:rsidRPr="00342791" w:rsidRDefault="003F2BE4" w:rsidP="00B52DF6">
            <w:pPr>
              <w:pStyle w:val="Tabletext"/>
              <w:ind w:left="0"/>
              <w:rPr>
                <w:sz w:val="20"/>
                <w:szCs w:val="20"/>
              </w:rPr>
            </w:pPr>
            <w:r w:rsidRPr="00342791">
              <w:rPr>
                <w:sz w:val="20"/>
                <w:szCs w:val="20"/>
              </w:rPr>
              <w:t>Cardiac serious adverse events^</w:t>
            </w:r>
          </w:p>
        </w:tc>
        <w:tc>
          <w:tcPr>
            <w:tcW w:w="619" w:type="pct"/>
          </w:tcPr>
          <w:p w14:paraId="3135DA3E" w14:textId="77777777"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r w:rsidRPr="00342791">
              <w:rPr>
                <w:sz w:val="20"/>
                <w:szCs w:val="20"/>
                <w:vertAlign w:val="superscript"/>
              </w:rPr>
              <w:t>1</w:t>
            </w:r>
          </w:p>
        </w:tc>
        <w:tc>
          <w:tcPr>
            <w:tcW w:w="774" w:type="pct"/>
          </w:tcPr>
          <w:p w14:paraId="7A023D42" w14:textId="77777777" w:rsidR="003F2BE4" w:rsidRPr="00342791" w:rsidRDefault="003F2BE4" w:rsidP="005367A8">
            <w:pPr>
              <w:pStyle w:val="Tabletext"/>
              <w:jc w:val="center"/>
              <w:rPr>
                <w:sz w:val="20"/>
                <w:szCs w:val="20"/>
              </w:rPr>
            </w:pPr>
            <w:r w:rsidRPr="00342791">
              <w:rPr>
                <w:sz w:val="20"/>
                <w:szCs w:val="20"/>
              </w:rPr>
              <w:t>–</w:t>
            </w:r>
          </w:p>
        </w:tc>
        <w:tc>
          <w:tcPr>
            <w:tcW w:w="618" w:type="pct"/>
          </w:tcPr>
          <w:p w14:paraId="42F50AC8" w14:textId="77777777"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p>
        </w:tc>
        <w:tc>
          <w:tcPr>
            <w:tcW w:w="774" w:type="pct"/>
          </w:tcPr>
          <w:p w14:paraId="4DAB7398" w14:textId="77777777" w:rsidR="003F2BE4" w:rsidRPr="00342791" w:rsidRDefault="003F2BE4" w:rsidP="005367A8">
            <w:pPr>
              <w:pStyle w:val="Tabletext"/>
              <w:jc w:val="center"/>
              <w:rPr>
                <w:sz w:val="20"/>
                <w:szCs w:val="20"/>
              </w:rPr>
            </w:pPr>
            <w:r w:rsidRPr="00342791">
              <w:rPr>
                <w:sz w:val="20"/>
                <w:szCs w:val="20"/>
              </w:rPr>
              <w:t>–</w:t>
            </w:r>
          </w:p>
        </w:tc>
      </w:tr>
      <w:tr w:rsidR="00FE3D6F" w:rsidRPr="00FE3D6F" w14:paraId="6801A963" w14:textId="77777777" w:rsidTr="00FE3D6F">
        <w:trPr>
          <w:trHeight w:val="159"/>
        </w:trPr>
        <w:tc>
          <w:tcPr>
            <w:tcW w:w="874" w:type="pct"/>
            <w:vMerge/>
          </w:tcPr>
          <w:p w14:paraId="20E8D0E7" w14:textId="77777777" w:rsidR="003F2BE4" w:rsidRPr="00342791" w:rsidRDefault="003F2BE4" w:rsidP="005367A8">
            <w:pPr>
              <w:pStyle w:val="Tabletext"/>
              <w:rPr>
                <w:b/>
                <w:sz w:val="20"/>
                <w:szCs w:val="20"/>
              </w:rPr>
            </w:pPr>
          </w:p>
        </w:tc>
        <w:tc>
          <w:tcPr>
            <w:tcW w:w="1341" w:type="pct"/>
          </w:tcPr>
          <w:p w14:paraId="6D036AF3" w14:textId="28E3CB73" w:rsidR="003F2BE4" w:rsidRPr="00342791" w:rsidRDefault="003F2BE4" w:rsidP="00B52DF6">
            <w:pPr>
              <w:pStyle w:val="Tabletext"/>
              <w:ind w:left="0"/>
              <w:rPr>
                <w:sz w:val="20"/>
                <w:szCs w:val="20"/>
              </w:rPr>
            </w:pPr>
            <w:r w:rsidRPr="00342791">
              <w:rPr>
                <w:sz w:val="20"/>
                <w:szCs w:val="20"/>
              </w:rPr>
              <w:t>Antiviral resistance due to</w:t>
            </w:r>
            <w:r w:rsidR="00B52DF6" w:rsidRPr="00342791">
              <w:rPr>
                <w:sz w:val="20"/>
                <w:szCs w:val="20"/>
              </w:rPr>
              <w:t xml:space="preserve"> </w:t>
            </w:r>
            <w:r w:rsidRPr="00342791">
              <w:rPr>
                <w:sz w:val="20"/>
                <w:szCs w:val="20"/>
              </w:rPr>
              <w:t>emerging viral</w:t>
            </w:r>
            <w:r w:rsidR="00B52DF6" w:rsidRPr="00342791">
              <w:rPr>
                <w:sz w:val="20"/>
                <w:szCs w:val="20"/>
              </w:rPr>
              <w:t xml:space="preserve"> </w:t>
            </w:r>
            <w:r w:rsidRPr="00342791">
              <w:rPr>
                <w:sz w:val="20"/>
                <w:szCs w:val="20"/>
              </w:rPr>
              <w:t>variants^</w:t>
            </w:r>
          </w:p>
        </w:tc>
        <w:tc>
          <w:tcPr>
            <w:tcW w:w="619" w:type="pct"/>
          </w:tcPr>
          <w:p w14:paraId="372AEFB4" w14:textId="77777777" w:rsidR="003F2BE4" w:rsidRPr="00342791" w:rsidRDefault="003F2BE4" w:rsidP="005367A8">
            <w:pPr>
              <w:pStyle w:val="Tabletext"/>
              <w:jc w:val="center"/>
              <w:rPr>
                <w:sz w:val="20"/>
                <w:szCs w:val="20"/>
                <w:vertAlign w:val="superscript"/>
              </w:rPr>
            </w:pPr>
            <w:r w:rsidRPr="00342791">
              <w:rPr>
                <w:rFonts w:ascii="Wingdings" w:eastAsia="Wingdings" w:hAnsi="Wingdings" w:cs="Wingdings"/>
                <w:sz w:val="20"/>
                <w:szCs w:val="20"/>
              </w:rPr>
              <w:t></w:t>
            </w:r>
            <w:r w:rsidRPr="00342791">
              <w:rPr>
                <w:sz w:val="20"/>
                <w:szCs w:val="20"/>
                <w:vertAlign w:val="superscript"/>
              </w:rPr>
              <w:t>1</w:t>
            </w:r>
          </w:p>
        </w:tc>
        <w:tc>
          <w:tcPr>
            <w:tcW w:w="774" w:type="pct"/>
          </w:tcPr>
          <w:p w14:paraId="053A96F3" w14:textId="77777777" w:rsidR="003F2BE4" w:rsidRPr="00342791" w:rsidRDefault="003F2BE4" w:rsidP="005367A8">
            <w:pPr>
              <w:pStyle w:val="Tabletext"/>
              <w:jc w:val="center"/>
              <w:rPr>
                <w:sz w:val="20"/>
                <w:szCs w:val="20"/>
              </w:rPr>
            </w:pPr>
            <w:r w:rsidRPr="00342791">
              <w:rPr>
                <w:sz w:val="20"/>
                <w:szCs w:val="20"/>
              </w:rPr>
              <w:t>–</w:t>
            </w:r>
          </w:p>
        </w:tc>
        <w:tc>
          <w:tcPr>
            <w:tcW w:w="618" w:type="pct"/>
          </w:tcPr>
          <w:p w14:paraId="33BD917D" w14:textId="77777777"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p>
        </w:tc>
        <w:tc>
          <w:tcPr>
            <w:tcW w:w="774" w:type="pct"/>
          </w:tcPr>
          <w:p w14:paraId="0A833E82" w14:textId="77777777" w:rsidR="003F2BE4" w:rsidRPr="00342791" w:rsidRDefault="003F2BE4" w:rsidP="005367A8">
            <w:pPr>
              <w:pStyle w:val="Tabletext"/>
              <w:jc w:val="center"/>
              <w:rPr>
                <w:sz w:val="20"/>
                <w:szCs w:val="20"/>
              </w:rPr>
            </w:pPr>
            <w:r w:rsidRPr="00342791">
              <w:rPr>
                <w:sz w:val="20"/>
                <w:szCs w:val="20"/>
              </w:rPr>
              <w:t>–</w:t>
            </w:r>
          </w:p>
        </w:tc>
      </w:tr>
      <w:tr w:rsidR="00FE3D6F" w:rsidRPr="00FE3D6F" w14:paraId="075DBE3C" w14:textId="77777777" w:rsidTr="00FE3D6F">
        <w:trPr>
          <w:trHeight w:val="178"/>
        </w:trPr>
        <w:tc>
          <w:tcPr>
            <w:tcW w:w="874" w:type="pct"/>
            <w:vMerge w:val="restart"/>
          </w:tcPr>
          <w:p w14:paraId="22CC2298" w14:textId="77777777" w:rsidR="003F2BE4" w:rsidRPr="00342791" w:rsidRDefault="003F2BE4" w:rsidP="00B52DF6">
            <w:pPr>
              <w:pStyle w:val="Tabletext"/>
              <w:ind w:left="0"/>
              <w:rPr>
                <w:b/>
                <w:sz w:val="20"/>
                <w:szCs w:val="20"/>
              </w:rPr>
            </w:pPr>
            <w:r w:rsidRPr="00342791">
              <w:rPr>
                <w:b/>
                <w:sz w:val="20"/>
                <w:szCs w:val="20"/>
              </w:rPr>
              <w:t>Missing information</w:t>
            </w:r>
          </w:p>
        </w:tc>
        <w:tc>
          <w:tcPr>
            <w:tcW w:w="1341" w:type="pct"/>
          </w:tcPr>
          <w:p w14:paraId="21BB1480" w14:textId="57C3BF6A" w:rsidR="003F2BE4" w:rsidRPr="00342791" w:rsidRDefault="003F2BE4" w:rsidP="00B52DF6">
            <w:pPr>
              <w:pStyle w:val="Tabletext"/>
              <w:ind w:left="0"/>
              <w:rPr>
                <w:sz w:val="20"/>
                <w:szCs w:val="20"/>
              </w:rPr>
            </w:pPr>
            <w:r w:rsidRPr="00342791">
              <w:rPr>
                <w:sz w:val="20"/>
                <w:szCs w:val="20"/>
              </w:rPr>
              <w:t>Immunocompromised/immunosuppressed</w:t>
            </w:r>
            <w:r w:rsidR="00B52DF6" w:rsidRPr="00342791">
              <w:rPr>
                <w:sz w:val="20"/>
                <w:szCs w:val="20"/>
              </w:rPr>
              <w:t xml:space="preserve"> </w:t>
            </w:r>
            <w:r w:rsidRPr="00342791">
              <w:rPr>
                <w:sz w:val="20"/>
                <w:szCs w:val="20"/>
              </w:rPr>
              <w:t>patients^</w:t>
            </w:r>
          </w:p>
        </w:tc>
        <w:tc>
          <w:tcPr>
            <w:tcW w:w="619" w:type="pct"/>
          </w:tcPr>
          <w:p w14:paraId="210E38EF" w14:textId="77777777"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p>
        </w:tc>
        <w:tc>
          <w:tcPr>
            <w:tcW w:w="774" w:type="pct"/>
          </w:tcPr>
          <w:p w14:paraId="39AAF8C6" w14:textId="77777777" w:rsidR="003F2BE4" w:rsidRPr="00342791" w:rsidRDefault="003F2BE4" w:rsidP="005367A8">
            <w:pPr>
              <w:pStyle w:val="Tabletext"/>
              <w:jc w:val="center"/>
              <w:rPr>
                <w:sz w:val="20"/>
                <w:szCs w:val="20"/>
              </w:rPr>
            </w:pPr>
            <w:r w:rsidRPr="00342791">
              <w:rPr>
                <w:sz w:val="20"/>
                <w:szCs w:val="20"/>
              </w:rPr>
              <w:t>–</w:t>
            </w:r>
          </w:p>
        </w:tc>
        <w:tc>
          <w:tcPr>
            <w:tcW w:w="618" w:type="pct"/>
          </w:tcPr>
          <w:p w14:paraId="6F169680" w14:textId="77777777" w:rsidR="003F2BE4" w:rsidRPr="00342791" w:rsidRDefault="003F2BE4" w:rsidP="005367A8">
            <w:pPr>
              <w:pStyle w:val="Tabletext"/>
              <w:jc w:val="center"/>
              <w:rPr>
                <w:sz w:val="20"/>
                <w:szCs w:val="20"/>
              </w:rPr>
            </w:pPr>
            <w:r w:rsidRPr="00342791">
              <w:rPr>
                <w:sz w:val="20"/>
                <w:szCs w:val="20"/>
              </w:rPr>
              <w:t>–</w:t>
            </w:r>
          </w:p>
        </w:tc>
        <w:tc>
          <w:tcPr>
            <w:tcW w:w="774" w:type="pct"/>
          </w:tcPr>
          <w:p w14:paraId="50988CC8" w14:textId="77777777" w:rsidR="003F2BE4" w:rsidRPr="00342791" w:rsidRDefault="003F2BE4" w:rsidP="005367A8">
            <w:pPr>
              <w:pStyle w:val="Tabletext"/>
              <w:jc w:val="center"/>
              <w:rPr>
                <w:sz w:val="20"/>
                <w:szCs w:val="20"/>
              </w:rPr>
            </w:pPr>
            <w:r w:rsidRPr="00342791">
              <w:rPr>
                <w:sz w:val="20"/>
                <w:szCs w:val="20"/>
              </w:rPr>
              <w:t>–</w:t>
            </w:r>
          </w:p>
        </w:tc>
      </w:tr>
      <w:tr w:rsidR="00FE3D6F" w:rsidRPr="00FE3D6F" w14:paraId="06D488AE" w14:textId="77777777" w:rsidTr="00FE3D6F">
        <w:trPr>
          <w:trHeight w:val="178"/>
        </w:trPr>
        <w:tc>
          <w:tcPr>
            <w:tcW w:w="874" w:type="pct"/>
            <w:vMerge/>
          </w:tcPr>
          <w:p w14:paraId="3257B4A7" w14:textId="77777777" w:rsidR="003F2BE4" w:rsidRPr="00342791" w:rsidRDefault="003F2BE4" w:rsidP="005367A8">
            <w:pPr>
              <w:pStyle w:val="Tabletext"/>
              <w:rPr>
                <w:b/>
                <w:sz w:val="20"/>
                <w:szCs w:val="20"/>
              </w:rPr>
            </w:pPr>
          </w:p>
        </w:tc>
        <w:tc>
          <w:tcPr>
            <w:tcW w:w="1341" w:type="pct"/>
          </w:tcPr>
          <w:p w14:paraId="69BA2EA0" w14:textId="77777777" w:rsidR="003F2BE4" w:rsidRPr="00342791" w:rsidRDefault="003F2BE4" w:rsidP="00B52DF6">
            <w:pPr>
              <w:pStyle w:val="Tabletext"/>
              <w:ind w:left="0"/>
              <w:rPr>
                <w:sz w:val="20"/>
                <w:szCs w:val="20"/>
              </w:rPr>
            </w:pPr>
            <w:r w:rsidRPr="00342791">
              <w:rPr>
                <w:sz w:val="20"/>
                <w:szCs w:val="20"/>
              </w:rPr>
              <w:t>Use in pregnant women</w:t>
            </w:r>
          </w:p>
        </w:tc>
        <w:tc>
          <w:tcPr>
            <w:tcW w:w="619" w:type="pct"/>
          </w:tcPr>
          <w:p w14:paraId="269BA6AA" w14:textId="77777777"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p>
        </w:tc>
        <w:tc>
          <w:tcPr>
            <w:tcW w:w="774" w:type="pct"/>
          </w:tcPr>
          <w:p w14:paraId="3C5588DF" w14:textId="77777777" w:rsidR="003F2BE4" w:rsidRPr="00342791" w:rsidRDefault="003F2BE4" w:rsidP="005367A8">
            <w:pPr>
              <w:pStyle w:val="Tabletext"/>
              <w:jc w:val="center"/>
              <w:rPr>
                <w:sz w:val="20"/>
                <w:szCs w:val="20"/>
                <w:vertAlign w:val="superscript"/>
              </w:rPr>
            </w:pPr>
            <w:r w:rsidRPr="00342791">
              <w:rPr>
                <w:rFonts w:ascii="Wingdings" w:eastAsia="Wingdings" w:hAnsi="Wingdings" w:cs="Wingdings"/>
                <w:sz w:val="20"/>
                <w:szCs w:val="20"/>
              </w:rPr>
              <w:t></w:t>
            </w:r>
            <w:r w:rsidRPr="00342791">
              <w:rPr>
                <w:sz w:val="20"/>
                <w:szCs w:val="20"/>
                <w:vertAlign w:val="superscript"/>
              </w:rPr>
              <w:t>2</w:t>
            </w:r>
          </w:p>
        </w:tc>
        <w:tc>
          <w:tcPr>
            <w:tcW w:w="618" w:type="pct"/>
          </w:tcPr>
          <w:p w14:paraId="3870A6EF" w14:textId="17BDAC5A" w:rsidR="003F2BE4" w:rsidRPr="00342791" w:rsidRDefault="003F2BE4" w:rsidP="005367A8">
            <w:pPr>
              <w:pStyle w:val="Tabletext"/>
              <w:jc w:val="center"/>
              <w:rPr>
                <w:sz w:val="20"/>
                <w:szCs w:val="20"/>
              </w:rPr>
            </w:pPr>
            <w:r w:rsidRPr="00342791">
              <w:rPr>
                <w:rFonts w:ascii="Wingdings" w:eastAsia="Wingdings" w:hAnsi="Wingdings" w:cs="Wingdings"/>
                <w:sz w:val="20"/>
                <w:szCs w:val="20"/>
              </w:rPr>
              <w:t></w:t>
            </w:r>
          </w:p>
        </w:tc>
        <w:tc>
          <w:tcPr>
            <w:tcW w:w="774" w:type="pct"/>
          </w:tcPr>
          <w:p w14:paraId="54C0E315" w14:textId="77777777" w:rsidR="003F2BE4" w:rsidRPr="00342791" w:rsidRDefault="003F2BE4" w:rsidP="005367A8">
            <w:pPr>
              <w:pStyle w:val="Tabletext"/>
              <w:jc w:val="center"/>
              <w:rPr>
                <w:sz w:val="20"/>
                <w:szCs w:val="20"/>
              </w:rPr>
            </w:pPr>
            <w:r w:rsidRPr="00342791">
              <w:rPr>
                <w:sz w:val="20"/>
                <w:szCs w:val="20"/>
              </w:rPr>
              <w:t>–</w:t>
            </w:r>
          </w:p>
        </w:tc>
      </w:tr>
    </w:tbl>
    <w:p w14:paraId="45051885" w14:textId="77777777" w:rsidR="00FE3D6F" w:rsidRDefault="00B52DF6" w:rsidP="00FE3D6F">
      <w:pPr>
        <w:pStyle w:val="TableDescription"/>
      </w:pPr>
      <w:r w:rsidRPr="00FE3D6F">
        <w:t>^Australia-specific safety concern</w:t>
      </w:r>
    </w:p>
    <w:p w14:paraId="610A9324" w14:textId="552D39A4" w:rsidR="00FE3D6F" w:rsidRDefault="00FE3D6F" w:rsidP="00FE3D6F">
      <w:pPr>
        <w:pStyle w:val="TableDescription"/>
      </w:pPr>
      <w:r w:rsidRPr="00FE3D6F">
        <w:t>1.</w:t>
      </w:r>
      <w:r>
        <w:t xml:space="preserve"> </w:t>
      </w:r>
      <w:r w:rsidR="00B52DF6" w:rsidRPr="00FE3D6F">
        <w:t xml:space="preserve">Follow-up questionnaire </w:t>
      </w:r>
    </w:p>
    <w:p w14:paraId="652BA26D" w14:textId="0B8C5CBA" w:rsidR="003F2BE4" w:rsidRPr="00FE3D6F" w:rsidRDefault="00B52DF6" w:rsidP="00FE3D6F">
      <w:pPr>
        <w:pStyle w:val="TableDescription"/>
      </w:pPr>
      <w:r w:rsidRPr="00342791">
        <w:t>2</w:t>
      </w:r>
      <w:r w:rsidR="00FE3D6F">
        <w:t xml:space="preserve">. </w:t>
      </w:r>
      <w:r w:rsidRPr="00FE3D6F">
        <w:t>Study D8850R00006 - Post-authorisation observational study of women exposed to Evusheld during pregnancy</w:t>
      </w:r>
    </w:p>
    <w:p w14:paraId="3A6DA4BA" w14:textId="7A6B55AE" w:rsidR="00B52DF6" w:rsidRDefault="00B52DF6" w:rsidP="00B52DF6">
      <w:r>
        <w:t>The summary of safety concerns has been updated to change missing information ‘use in pregnant and breast-feeding women’ to ‘use in pregnant women’ to align with EU-RMP. This is acceptable from an RMP perspective.</w:t>
      </w:r>
    </w:p>
    <w:p w14:paraId="1B553669" w14:textId="2F6B57BE" w:rsidR="00B52DF6" w:rsidRDefault="00B52DF6" w:rsidP="00B52DF6">
      <w:r>
        <w:t>The sponsor has updated the pharmacovigilance plan, since the previous submission, to include targeted follow</w:t>
      </w:r>
      <w:r w:rsidR="00A91B04">
        <w:t xml:space="preserve"> </w:t>
      </w:r>
      <w:r>
        <w:t xml:space="preserve">up form for the </w:t>
      </w:r>
      <w:r w:rsidR="00EF7FDB">
        <w:t xml:space="preserve">potential </w:t>
      </w:r>
      <w:r>
        <w:t xml:space="preserve">risk of antiviral resistance due to emerging viral variants. This is considered acceptable from an RMP perspective. The acceptability of the clinical study plan will be assessed by the </w:t>
      </w:r>
      <w:r w:rsidR="007E296B">
        <w:t>D</w:t>
      </w:r>
      <w:r>
        <w:t>elegate.</w:t>
      </w:r>
    </w:p>
    <w:p w14:paraId="58C9DC87" w14:textId="65A0BA0F" w:rsidR="00B52DF6" w:rsidRPr="003F2BE4" w:rsidRDefault="00B52DF6" w:rsidP="00B52DF6">
      <w:r>
        <w:t>Only routine risk minimisation measures are proposed by the sponsor. This approach was deemed acceptable during the previous evaluation. The changes proposed by the current submission are not expected to require additional risk minimisation measures as part of the RMP.</w:t>
      </w:r>
    </w:p>
    <w:p w14:paraId="3CEA7A56" w14:textId="77777777" w:rsidR="008E7846" w:rsidRDefault="00AA0ED0" w:rsidP="008E7846">
      <w:pPr>
        <w:pStyle w:val="Heading3"/>
      </w:pPr>
      <w:bookmarkStart w:id="76" w:name="_Toc122596082"/>
      <w:r>
        <w:t>Risk-benefit a</w:t>
      </w:r>
      <w:r w:rsidR="008E7846">
        <w:t>nalysis</w:t>
      </w:r>
      <w:bookmarkEnd w:id="71"/>
      <w:bookmarkEnd w:id="72"/>
      <w:bookmarkEnd w:id="76"/>
    </w:p>
    <w:p w14:paraId="0A64093E" w14:textId="77777777" w:rsidR="0074163C" w:rsidRDefault="0074163C" w:rsidP="0074163C">
      <w:pPr>
        <w:pStyle w:val="Heading4"/>
      </w:pPr>
      <w:bookmarkStart w:id="77" w:name="_Toc98931932"/>
      <w:r>
        <w:t>Delegate’s considerations</w:t>
      </w:r>
      <w:bookmarkEnd w:id="77"/>
    </w:p>
    <w:p w14:paraId="7FCD560F" w14:textId="121F3C90" w:rsidR="00A722E1" w:rsidRPr="00A722E1" w:rsidRDefault="00A722E1" w:rsidP="00A722E1">
      <w:r w:rsidRPr="00A722E1">
        <w:t xml:space="preserve">The </w:t>
      </w:r>
      <w:r w:rsidR="008920AD">
        <w:t>s</w:t>
      </w:r>
      <w:r w:rsidRPr="00A722E1">
        <w:t xml:space="preserve">ponsor’s proposed modified dosing regimen relies on </w:t>
      </w:r>
      <w:r w:rsidRPr="008920AD">
        <w:rPr>
          <w:i/>
          <w:iCs/>
        </w:rPr>
        <w:t>in</w:t>
      </w:r>
      <w:r w:rsidR="008920AD" w:rsidRPr="008920AD">
        <w:rPr>
          <w:i/>
          <w:iCs/>
        </w:rPr>
        <w:t xml:space="preserve"> </w:t>
      </w:r>
      <w:r w:rsidRPr="008920AD">
        <w:rPr>
          <w:i/>
          <w:iCs/>
        </w:rPr>
        <w:t>vitro</w:t>
      </w:r>
      <w:r w:rsidRPr="00A722E1">
        <w:t xml:space="preserve"> neutralisation data and PK modelling based on that data. The </w:t>
      </w:r>
      <w:r w:rsidR="008920AD">
        <w:t>s</w:t>
      </w:r>
      <w:r w:rsidRPr="00A722E1">
        <w:t xml:space="preserve">ponsor’s rationale for doubling the dose and the </w:t>
      </w:r>
      <w:proofErr w:type="gramStart"/>
      <w:r w:rsidRPr="00A722E1">
        <w:t>six monthly</w:t>
      </w:r>
      <w:proofErr w:type="gramEnd"/>
      <w:r w:rsidRPr="00A722E1">
        <w:t xml:space="preserve"> repeated administration is that the increased dose will enable Evusheld to achieve the required capability to neutralise the Omicron </w:t>
      </w:r>
      <w:r w:rsidR="008920AD">
        <w:t>variant of concerns</w:t>
      </w:r>
      <w:r w:rsidRPr="00A722E1">
        <w:t xml:space="preserve"> in Australia. Based on the </w:t>
      </w:r>
      <w:r w:rsidRPr="008920AD">
        <w:rPr>
          <w:i/>
          <w:iCs/>
        </w:rPr>
        <w:t>in</w:t>
      </w:r>
      <w:r w:rsidR="008920AD" w:rsidRPr="008920AD">
        <w:rPr>
          <w:i/>
          <w:iCs/>
        </w:rPr>
        <w:t xml:space="preserve"> </w:t>
      </w:r>
      <w:r w:rsidRPr="008920AD">
        <w:rPr>
          <w:i/>
          <w:iCs/>
        </w:rPr>
        <w:t>vitro</w:t>
      </w:r>
      <w:r w:rsidRPr="00A722E1">
        <w:t xml:space="preserve"> neutralisation data, it appears that there is a greater heterogeneity in the magnitude of </w:t>
      </w:r>
      <w:r w:rsidRPr="008920AD">
        <w:rPr>
          <w:i/>
          <w:iCs/>
        </w:rPr>
        <w:t>in</w:t>
      </w:r>
      <w:r w:rsidR="008920AD" w:rsidRPr="008920AD">
        <w:rPr>
          <w:i/>
          <w:iCs/>
        </w:rPr>
        <w:t xml:space="preserve"> </w:t>
      </w:r>
      <w:r w:rsidRPr="008920AD">
        <w:rPr>
          <w:i/>
          <w:iCs/>
        </w:rPr>
        <w:t>vitro</w:t>
      </w:r>
      <w:r w:rsidRPr="00A722E1">
        <w:t xml:space="preserve"> neutralisation for tixagevimab and cilgavimab against the Omicron variants. A loss activity for tixagevimab is apparent for all Omicron </w:t>
      </w:r>
      <w:r w:rsidR="00FA6B66">
        <w:t>sub</w:t>
      </w:r>
      <w:r w:rsidRPr="00A722E1">
        <w:t xml:space="preserve">variants, particularly the </w:t>
      </w:r>
      <w:r w:rsidR="008920AD">
        <w:t xml:space="preserve">Omicron </w:t>
      </w:r>
      <w:r w:rsidRPr="00A722E1">
        <w:t>BA.3 and BA.4/5</w:t>
      </w:r>
      <w:r w:rsidR="008920AD">
        <w:t xml:space="preserve"> </w:t>
      </w:r>
      <w:r w:rsidR="00FA6B66">
        <w:t>sub</w:t>
      </w:r>
      <w:r w:rsidR="008920AD">
        <w:t>variants</w:t>
      </w:r>
      <w:r w:rsidRPr="00A722E1">
        <w:t xml:space="preserve">. It should be noted that, at </w:t>
      </w:r>
      <w:r w:rsidR="00FA6B66">
        <w:t>the time this submission was considered</w:t>
      </w:r>
      <w:r w:rsidRPr="00A722E1">
        <w:t xml:space="preserve">, </w:t>
      </w:r>
      <w:r w:rsidR="00FA6B66">
        <w:t xml:space="preserve">the </w:t>
      </w:r>
      <w:r w:rsidR="008920AD">
        <w:t xml:space="preserve">Omicron </w:t>
      </w:r>
      <w:r w:rsidRPr="00A722E1">
        <w:t>BA</w:t>
      </w:r>
      <w:r w:rsidR="00FA6B66">
        <w:t>.</w:t>
      </w:r>
      <w:r w:rsidRPr="00A722E1">
        <w:t xml:space="preserve">4/5 </w:t>
      </w:r>
      <w:r w:rsidR="00FA6B66">
        <w:t>sub</w:t>
      </w:r>
      <w:r w:rsidR="008920AD">
        <w:t xml:space="preserve">variants </w:t>
      </w:r>
      <w:r w:rsidRPr="00A722E1">
        <w:t xml:space="preserve">are the most prevalent </w:t>
      </w:r>
      <w:r w:rsidRPr="00A722E1">
        <w:lastRenderedPageBreak/>
        <w:t xml:space="preserve">variants in Australia. The mechanistic basis of resistance for tixagevimab appears to be due to a mutation at </w:t>
      </w:r>
      <w:r w:rsidR="00FA6B66">
        <w:t xml:space="preserve">the </w:t>
      </w:r>
      <w:r w:rsidRPr="00342791">
        <w:rPr>
          <w:iCs/>
        </w:rPr>
        <w:t>F486</w:t>
      </w:r>
      <w:r w:rsidR="00FA6B66">
        <w:rPr>
          <w:iCs/>
        </w:rPr>
        <w:t xml:space="preserve"> region</w:t>
      </w:r>
      <w:r w:rsidRPr="00A722E1">
        <w:t xml:space="preserve">, which is at the critical binding site of tixagevimab. Based on this mechanism, it is unlikely for an increase in dose to provide benefit with an increase in the neutralisation activity of tixagevimab against the Omicron BA.4/5 </w:t>
      </w:r>
      <w:r w:rsidR="00FA6B66">
        <w:t>sub</w:t>
      </w:r>
      <w:r w:rsidRPr="00A722E1">
        <w:t>variants. Although to a reduced magnitude (around 7.5</w:t>
      </w:r>
      <w:r w:rsidR="00FA6B66">
        <w:t>-</w:t>
      </w:r>
      <w:r w:rsidRPr="00A722E1">
        <w:t xml:space="preserve">fold reduction), the preserved neutralisation activity of cilgavimab against </w:t>
      </w:r>
      <w:r w:rsidR="00FA6B66">
        <w:t xml:space="preserve">the Omicron </w:t>
      </w:r>
      <w:r w:rsidRPr="00A722E1">
        <w:t xml:space="preserve">BA.4/5 </w:t>
      </w:r>
      <w:r w:rsidR="00FA6B66">
        <w:t xml:space="preserve">subvariant </w:t>
      </w:r>
      <w:r w:rsidRPr="00A722E1">
        <w:t xml:space="preserve">was noted. This will be the sole source of neutralisation activity of Evusheld against the Omicron </w:t>
      </w:r>
      <w:r w:rsidR="00FA6B66">
        <w:t>sub</w:t>
      </w:r>
      <w:r w:rsidRPr="00A722E1">
        <w:t>variant</w:t>
      </w:r>
      <w:r w:rsidR="00FA6B66">
        <w:t>s</w:t>
      </w:r>
      <w:r w:rsidRPr="00A722E1">
        <w:t xml:space="preserve">, when given as a </w:t>
      </w:r>
      <w:r w:rsidR="008920AD">
        <w:t>‘</w:t>
      </w:r>
      <w:r w:rsidRPr="00A722E1">
        <w:t>combination therapy</w:t>
      </w:r>
      <w:r w:rsidR="008920AD">
        <w:t>’</w:t>
      </w:r>
      <w:r w:rsidRPr="00A722E1">
        <w:t xml:space="preserve">. The single source of neutralisation activity relates this therapy to a monotherapy, rather than a combination therapy. It is accepted that </w:t>
      </w:r>
      <w:r w:rsidR="008920AD">
        <w:t xml:space="preserve">monoclonal antibody </w:t>
      </w:r>
      <w:r w:rsidRPr="00A722E1">
        <w:t xml:space="preserve">therapy </w:t>
      </w:r>
      <w:proofErr w:type="gramStart"/>
      <w:r w:rsidRPr="00A722E1">
        <w:t>by definition targets</w:t>
      </w:r>
      <w:proofErr w:type="gramEnd"/>
      <w:r w:rsidRPr="00A722E1">
        <w:t xml:space="preserve"> only a single epitope within the receptor</w:t>
      </w:r>
      <w:r w:rsidR="007E296B">
        <w:t xml:space="preserve"> </w:t>
      </w:r>
      <w:r w:rsidRPr="00A722E1">
        <w:t>binding</w:t>
      </w:r>
      <w:r w:rsidR="007E296B">
        <w:t xml:space="preserve"> </w:t>
      </w:r>
      <w:r w:rsidRPr="00A722E1">
        <w:t xml:space="preserve">domain (RBD). Escape mutations that were observed after </w:t>
      </w:r>
      <w:r w:rsidRPr="008920AD">
        <w:rPr>
          <w:i/>
          <w:iCs/>
        </w:rPr>
        <w:t>in vitro</w:t>
      </w:r>
      <w:r w:rsidRPr="00A722E1">
        <w:t xml:space="preserve"> and </w:t>
      </w:r>
      <w:r w:rsidRPr="008920AD">
        <w:rPr>
          <w:i/>
          <w:iCs/>
        </w:rPr>
        <w:t>in vivo</w:t>
      </w:r>
      <w:r w:rsidRPr="00A722E1">
        <w:t xml:space="preserve"> selection by the </w:t>
      </w:r>
      <w:r w:rsidR="008920AD">
        <w:t>monoclonal antibodies</w:t>
      </w:r>
      <w:r w:rsidRPr="00A722E1">
        <w:t xml:space="preserve"> were single amino acid substitutions localised almost exclusively to the RBDs. These escape mutations were largely observed from </w:t>
      </w:r>
      <w:r w:rsidRPr="008920AD">
        <w:rPr>
          <w:i/>
          <w:iCs/>
        </w:rPr>
        <w:t>in vitro</w:t>
      </w:r>
      <w:r w:rsidRPr="00A722E1">
        <w:t xml:space="preserve"> studies with single </w:t>
      </w:r>
      <w:r w:rsidR="008920AD">
        <w:t>monoclonal antibody</w:t>
      </w:r>
      <w:r w:rsidRPr="00A722E1">
        <w:t xml:space="preserve">. These mutations were largely prevented by non-overlapping </w:t>
      </w:r>
      <w:r w:rsidR="0039734F">
        <w:t xml:space="preserve">monoclonal antibody </w:t>
      </w:r>
      <w:r w:rsidRPr="00A722E1">
        <w:t xml:space="preserve">cocktails and from a clinical perspective, that is the rationale to prefer a cocktail (fixed dose combination) </w:t>
      </w:r>
      <w:r w:rsidR="0039734F">
        <w:t>monoclonal antibody</w:t>
      </w:r>
      <w:r w:rsidRPr="00A722E1">
        <w:t xml:space="preserve">, over a monotherapy. The potential for the development of escape mutations due to the sole neutralising activity from cilgavimab when Evusheld will be administered to immunocompromised individuals exposed to </w:t>
      </w:r>
      <w:r w:rsidR="0039734F">
        <w:t xml:space="preserve">Omicron </w:t>
      </w:r>
      <w:r w:rsidRPr="00A722E1">
        <w:t xml:space="preserve">BA.4/5 </w:t>
      </w:r>
      <w:r w:rsidR="00FA6B66">
        <w:t xml:space="preserve">subvariants </w:t>
      </w:r>
      <w:r w:rsidRPr="00A722E1">
        <w:t xml:space="preserve">should be considered. It should also be considered that patients will be subjected to an additional </w:t>
      </w:r>
      <w:r w:rsidR="0039734F">
        <w:t>intramuscular</w:t>
      </w:r>
      <w:r w:rsidRPr="00A722E1">
        <w:t xml:space="preserve"> injection (</w:t>
      </w:r>
      <w:r w:rsidR="0039734F">
        <w:t>t</w:t>
      </w:r>
      <w:r w:rsidRPr="00A722E1">
        <w:t>ixagevimab) as part of the treatment with Evusheld, without expected benefits.</w:t>
      </w:r>
    </w:p>
    <w:p w14:paraId="036B7171" w14:textId="46E8FF43" w:rsidR="00A722E1" w:rsidRPr="00A722E1" w:rsidRDefault="00A722E1" w:rsidP="00A722E1">
      <w:r w:rsidRPr="00A722E1">
        <w:t>The PK modelling for repeated dose of 600</w:t>
      </w:r>
      <w:r w:rsidR="007E296B">
        <w:t> </w:t>
      </w:r>
      <w:r w:rsidRPr="00A722E1">
        <w:t xml:space="preserve">mg indicates that Evusheld would maintain a targeted serum concentration for </w:t>
      </w:r>
      <w:r w:rsidR="00FA6B66">
        <w:t xml:space="preserve">the </w:t>
      </w:r>
      <w:r w:rsidR="0039734F">
        <w:t xml:space="preserve">Omicron </w:t>
      </w:r>
      <w:r w:rsidRPr="00A722E1">
        <w:t>BA.4/5</w:t>
      </w:r>
      <w:r w:rsidR="00FA6B66">
        <w:t xml:space="preserve"> subvariants</w:t>
      </w:r>
      <w:r w:rsidRPr="00A722E1">
        <w:t xml:space="preserve">. This </w:t>
      </w:r>
      <w:proofErr w:type="gramStart"/>
      <w:r w:rsidRPr="00A722E1">
        <w:t>is based on the assumption</w:t>
      </w:r>
      <w:proofErr w:type="gramEnd"/>
      <w:r w:rsidRPr="00A722E1">
        <w:t xml:space="preserve"> that both tixagevimab and cilgavimab have a comparable neutralisation activity against </w:t>
      </w:r>
      <w:r w:rsidR="00FA6B66">
        <w:t xml:space="preserve">the </w:t>
      </w:r>
      <w:r w:rsidR="0039734F">
        <w:t xml:space="preserve">Omicron </w:t>
      </w:r>
      <w:r w:rsidRPr="00A722E1">
        <w:t>BA.4/5</w:t>
      </w:r>
      <w:r w:rsidR="00FA6B66">
        <w:t xml:space="preserve"> subvariants</w:t>
      </w:r>
      <w:r w:rsidRPr="00A722E1">
        <w:t>, which is not the case. Hence the Delegate is not convinced about the ability to translate the PK modelling data and the related assumptions to efficacy of Evusheld in a clinical setting. The half-life of Evusheld is around 90 days. Complete clearance of Evusheld will be at around 360</w:t>
      </w:r>
      <w:r w:rsidR="0039734F">
        <w:t xml:space="preserve"> to </w:t>
      </w:r>
      <w:r w:rsidRPr="00A722E1">
        <w:t>450 days. The proposed repeated dose is at 6 months (180 days) following the first dose, when around 25% of the medicine from the previous administration remains in the system. The repeated dose at this timepoint and further timepoints could potentially lead to cumulative effects. Clinical and/or toxicology data to examine any potential negative (safety) effects due to repeated dosing of 600</w:t>
      </w:r>
      <w:r w:rsidR="0039734F">
        <w:t xml:space="preserve"> </w:t>
      </w:r>
      <w:r w:rsidRPr="00A722E1">
        <w:t>mg Evusheld is lacking. This is particularly important, considering the following safety events that were reported with 300</w:t>
      </w:r>
      <w:r w:rsidR="0039734F">
        <w:t xml:space="preserve"> </w:t>
      </w:r>
      <w:r w:rsidRPr="00A722E1">
        <w:t>mg of Evusheld:</w:t>
      </w:r>
    </w:p>
    <w:p w14:paraId="4BEBB66B" w14:textId="77777777" w:rsidR="00A722E1" w:rsidRPr="00A722E1" w:rsidRDefault="00A722E1" w:rsidP="00A722E1">
      <w:pPr>
        <w:pStyle w:val="ListBullet"/>
      </w:pPr>
      <w:r w:rsidRPr="00A722E1">
        <w:t xml:space="preserve">Temporal relationship between Evusheld and cardiac events (increased incidence of cardiac events within 14 days after administration of Evusheld). </w:t>
      </w:r>
    </w:p>
    <w:p w14:paraId="2CC213D1" w14:textId="495CFA51" w:rsidR="00A722E1" w:rsidRPr="00A722E1" w:rsidRDefault="00A722E1" w:rsidP="00A722E1">
      <w:pPr>
        <w:pStyle w:val="ListBullet"/>
      </w:pPr>
      <w:r w:rsidRPr="00A722E1">
        <w:t xml:space="preserve">Numerically high and </w:t>
      </w:r>
      <w:r w:rsidR="0039734F">
        <w:t xml:space="preserve">greater than </w:t>
      </w:r>
      <w:r w:rsidRPr="00A722E1">
        <w:t>2 times the proportion of subjects in the E</w:t>
      </w:r>
      <w:r w:rsidR="0039734F">
        <w:t xml:space="preserve">vusheld </w:t>
      </w:r>
      <w:r w:rsidRPr="00A722E1">
        <w:t>arm experienced cardiovascular SAEs, compared to placebo.</w:t>
      </w:r>
    </w:p>
    <w:p w14:paraId="229AF3E5" w14:textId="0614D769" w:rsidR="00A722E1" w:rsidRPr="00A722E1" w:rsidRDefault="00A722E1" w:rsidP="00A722E1">
      <w:pPr>
        <w:pStyle w:val="ListBullet"/>
      </w:pPr>
      <w:r w:rsidRPr="00A722E1">
        <w:t>Greater number of cardiac deaths in Evusheld arm, compared to placebo (4 v</w:t>
      </w:r>
      <w:r w:rsidR="0039734F">
        <w:t>ersus</w:t>
      </w:r>
      <w:r w:rsidRPr="00A722E1">
        <w:t xml:space="preserve"> 0)</w:t>
      </w:r>
    </w:p>
    <w:p w14:paraId="2D8B52DD" w14:textId="7559A033" w:rsidR="00A722E1" w:rsidRPr="00A722E1" w:rsidRDefault="00A722E1" w:rsidP="00A722E1">
      <w:r w:rsidRPr="00A722E1">
        <w:t>The systemic exposure from a dose of 300</w:t>
      </w:r>
      <w:r w:rsidR="0039734F">
        <w:t xml:space="preserve"> </w:t>
      </w:r>
      <w:r w:rsidRPr="00A722E1">
        <w:t>mg of Evusheld administered at 12</w:t>
      </w:r>
      <w:r w:rsidR="0039734F">
        <w:t xml:space="preserve"> months </w:t>
      </w:r>
      <w:r w:rsidR="00C02FD1">
        <w:t>(</w:t>
      </w:r>
      <w:r w:rsidR="00FA6B66">
        <w:t>±</w:t>
      </w:r>
      <w:r w:rsidR="00C02FD1">
        <w:t> </w:t>
      </w:r>
      <w:r w:rsidRPr="00A722E1">
        <w:t>2</w:t>
      </w:r>
      <w:r w:rsidR="00C02FD1">
        <w:t> </w:t>
      </w:r>
      <w:r w:rsidRPr="00A722E1">
        <w:t>months</w:t>
      </w:r>
      <w:r w:rsidR="00C02FD1">
        <w:t>)</w:t>
      </w:r>
      <w:r w:rsidRPr="00A722E1">
        <w:t xml:space="preserve"> in the </w:t>
      </w:r>
      <w:r w:rsidR="00C02FD1">
        <w:t xml:space="preserve">repeat-dose </w:t>
      </w:r>
      <w:proofErr w:type="spellStart"/>
      <w:r w:rsidR="00C02FD1">
        <w:t>substudy</w:t>
      </w:r>
      <w:proofErr w:type="spellEnd"/>
      <w:r w:rsidR="00C02FD1">
        <w:t xml:space="preserve"> of the PROVENT trial (</w:t>
      </w:r>
      <w:proofErr w:type="spellStart"/>
      <w:r w:rsidR="00C02FD1">
        <w:t>Substudy</w:t>
      </w:r>
      <w:proofErr w:type="spellEnd"/>
      <w:r w:rsidR="00C02FD1">
        <w:t xml:space="preserve"> D8850C002A01) </w:t>
      </w:r>
      <w:r w:rsidRPr="00A722E1">
        <w:t>is not comparable to the proposed 600</w:t>
      </w:r>
      <w:r w:rsidR="0039734F">
        <w:t xml:space="preserve"> </w:t>
      </w:r>
      <w:r w:rsidRPr="00A722E1">
        <w:t xml:space="preserve">mg of Evusheld administered at </w:t>
      </w:r>
      <w:r w:rsidR="0039734F">
        <w:t>six</w:t>
      </w:r>
      <w:r w:rsidRPr="00A722E1">
        <w:t xml:space="preserve"> months and hence the </w:t>
      </w:r>
      <w:proofErr w:type="spellStart"/>
      <w:r w:rsidRPr="00A722E1">
        <w:t>substudy</w:t>
      </w:r>
      <w:proofErr w:type="spellEnd"/>
      <w:r w:rsidRPr="00A722E1">
        <w:t xml:space="preserve"> results are not considered as contributing to the evidence to support the efficacy and safety of the proposed dosage regimen.</w:t>
      </w:r>
    </w:p>
    <w:p w14:paraId="54F6A460" w14:textId="74DFAADC" w:rsidR="00A722E1" w:rsidRPr="00A722E1" w:rsidRDefault="00A722E1" w:rsidP="00A722E1">
      <w:r w:rsidRPr="00A722E1">
        <w:t xml:space="preserve">The TACKLE </w:t>
      </w:r>
      <w:r w:rsidR="0039734F">
        <w:t>trial</w:t>
      </w:r>
      <w:r w:rsidR="003F2BE4">
        <w:t xml:space="preserve"> </w:t>
      </w:r>
      <w:r w:rsidRPr="00A722E1">
        <w:t>was performed among outpatient adults (</w:t>
      </w:r>
      <w:r w:rsidR="0039734F">
        <w:t>greater or equal to</w:t>
      </w:r>
      <w:r w:rsidRPr="00A722E1">
        <w:t xml:space="preserve"> 18 years</w:t>
      </w:r>
      <w:r w:rsidR="0039734F">
        <w:t xml:space="preserve"> of age</w:t>
      </w:r>
      <w:r w:rsidRPr="00A722E1">
        <w:t>) at a high risk of progression to severe C</w:t>
      </w:r>
      <w:r w:rsidR="0039734F">
        <w:t>OVID</w:t>
      </w:r>
      <w:r w:rsidRPr="00A722E1">
        <w:t xml:space="preserve">-19 with a positive </w:t>
      </w:r>
      <w:r w:rsidR="0039734F">
        <w:t>polymerase chain reaction (</w:t>
      </w:r>
      <w:r w:rsidRPr="00A722E1">
        <w:t>PCR</w:t>
      </w:r>
      <w:r w:rsidR="0039734F">
        <w:t>)</w:t>
      </w:r>
      <w:r w:rsidRPr="00A722E1">
        <w:t xml:space="preserve"> test performed </w:t>
      </w:r>
      <w:r w:rsidR="0039734F">
        <w:t>less than or equal to</w:t>
      </w:r>
      <w:r w:rsidRPr="00A722E1">
        <w:t xml:space="preserve"> 3 days prior to study entry and with </w:t>
      </w:r>
      <w:r w:rsidR="0039734F">
        <w:t>less than or equal</w:t>
      </w:r>
      <w:r w:rsidRPr="00A722E1">
        <w:t xml:space="preserve"> 7 days of symptoms of COVID-19 at study entry. Treatment commenced </w:t>
      </w:r>
      <w:r w:rsidR="0039734F">
        <w:t>less than or equal</w:t>
      </w:r>
      <w:r w:rsidRPr="00A722E1">
        <w:t xml:space="preserve"> 5 days of the onset of symptoms resulted in a greater treatment benefit, compared to </w:t>
      </w:r>
      <w:r w:rsidR="0039734F">
        <w:t xml:space="preserve">greater than </w:t>
      </w:r>
      <w:r w:rsidRPr="00A722E1">
        <w:t xml:space="preserve">5 days. The magnitude of treatment benefits for patients with </w:t>
      </w:r>
      <w:r w:rsidRPr="00A722E1">
        <w:lastRenderedPageBreak/>
        <w:t xml:space="preserve">appears to be persistent at Day 169 of the TACKLE </w:t>
      </w:r>
      <w:r w:rsidR="0039734F">
        <w:t>trial</w:t>
      </w:r>
      <w:r w:rsidRPr="00A722E1">
        <w:t>, with around 50% risk reduction in terms of developing severe COVID-19 or death from any cause in non-hospitali</w:t>
      </w:r>
      <w:r w:rsidR="0039734F">
        <w:t>s</w:t>
      </w:r>
      <w:r w:rsidRPr="00A722E1">
        <w:t>ed adults who had been symptomatic for 7 days or less. The treatment difference was statistically significant, compared to placebo. The secondary efficacy outcomes were generally consistent at D</w:t>
      </w:r>
      <w:r w:rsidR="0039734F">
        <w:t xml:space="preserve">ay </w:t>
      </w:r>
      <w:r w:rsidRPr="00A722E1">
        <w:t xml:space="preserve">169 and supportive. Treatment benefits in patients affected with </w:t>
      </w:r>
      <w:r w:rsidR="0039734F">
        <w:t>O</w:t>
      </w:r>
      <w:r w:rsidRPr="00A722E1">
        <w:t xml:space="preserve">micron BA.4/5 </w:t>
      </w:r>
      <w:r w:rsidR="00C02FD1">
        <w:t xml:space="preserve">subvariants </w:t>
      </w:r>
      <w:r w:rsidRPr="00A722E1">
        <w:t>is unknown.</w:t>
      </w:r>
    </w:p>
    <w:p w14:paraId="150CEAA4" w14:textId="6940679B" w:rsidR="00A722E1" w:rsidRPr="00A722E1" w:rsidRDefault="00A722E1" w:rsidP="00A722E1">
      <w:r w:rsidRPr="00A722E1">
        <w:t>The extent of reported exposure to single dose Evusheld 600</w:t>
      </w:r>
      <w:r w:rsidR="0039734F">
        <w:t xml:space="preserve"> </w:t>
      </w:r>
      <w:r w:rsidRPr="00A722E1">
        <w:t>mg comprises 452</w:t>
      </w:r>
      <w:r w:rsidR="00C02FD1">
        <w:t> </w:t>
      </w:r>
      <w:r w:rsidRPr="00A722E1">
        <w:t>participants in the TACKLE trial followed up for a median of 170 of the intended 457</w:t>
      </w:r>
      <w:r w:rsidR="00C02FD1">
        <w:t> </w:t>
      </w:r>
      <w:r w:rsidRPr="00A722E1">
        <w:t>days, so the likelihood of detecting rare events is limited. However, overall, AEs were generally balanced between E</w:t>
      </w:r>
      <w:r w:rsidR="0039734F">
        <w:t>vusheld</w:t>
      </w:r>
      <w:r w:rsidRPr="00A722E1">
        <w:t xml:space="preserve"> and placebo recipients with notable differences due to excess COVID-19 and COVID-19 pneumonia in the placebo group.</w:t>
      </w:r>
    </w:p>
    <w:p w14:paraId="2B926168" w14:textId="695D158B" w:rsidR="00A722E1" w:rsidRPr="00A722E1" w:rsidRDefault="00A722E1" w:rsidP="00A722E1">
      <w:r w:rsidRPr="00A722E1">
        <w:t>S</w:t>
      </w:r>
      <w:r w:rsidR="0039734F">
        <w:t xml:space="preserve">erious adverse events </w:t>
      </w:r>
      <w:r w:rsidRPr="00A722E1">
        <w:t xml:space="preserve">were observed due to cardiac and thromboembolic disorders in both study groups, with both deaths due to cardiac events occurring in the Evusheld group. Affected participants generally had pre-existing risk factors and none of the severe AEs or SAEs in those categories were deemed treatment related by the </w:t>
      </w:r>
      <w:r w:rsidR="0039734F">
        <w:t>i</w:t>
      </w:r>
      <w:r w:rsidRPr="00A722E1">
        <w:t xml:space="preserve">nvestigator. Notably though, treatment attribution of AEs can be uncertain for therapeutics with a long half-life that may potentially exacerbate underlying conditions. Precautionary statements to highlight the risks associated with treatment with Evusheld in patients with cardiovascular risks are recommended to be highlighted in the PI. The safety events that occurred in TACKLE </w:t>
      </w:r>
      <w:r w:rsidR="0039734F">
        <w:t>trial</w:t>
      </w:r>
      <w:r w:rsidRPr="00A722E1">
        <w:t xml:space="preserve"> should also be mentioned in the PI.</w:t>
      </w:r>
    </w:p>
    <w:p w14:paraId="55B44524" w14:textId="3F1BAEBB" w:rsidR="00A722E1" w:rsidRPr="00A722E1" w:rsidRDefault="00A722E1" w:rsidP="00A722E1">
      <w:r w:rsidRPr="00A722E1">
        <w:t xml:space="preserve">Overall, the incidence and type of safety adverse events from the primary </w:t>
      </w:r>
      <w:r w:rsidR="0039734F">
        <w:t>data cut</w:t>
      </w:r>
      <w:r w:rsidR="00C02FD1">
        <w:t>-</w:t>
      </w:r>
      <w:r w:rsidR="0039734F">
        <w:t xml:space="preserve">off </w:t>
      </w:r>
      <w:r w:rsidRPr="00A722E1">
        <w:t xml:space="preserve">to secondary </w:t>
      </w:r>
      <w:r w:rsidR="0039734F">
        <w:t>data cut</w:t>
      </w:r>
      <w:r w:rsidR="00C02FD1">
        <w:t>-</w:t>
      </w:r>
      <w:r w:rsidR="0039734F">
        <w:t xml:space="preserve">off </w:t>
      </w:r>
      <w:r w:rsidRPr="00A722E1">
        <w:t xml:space="preserve">appears to be consistent. </w:t>
      </w:r>
    </w:p>
    <w:p w14:paraId="6DBDA1E3" w14:textId="77777777" w:rsidR="0074163C" w:rsidRDefault="0074163C" w:rsidP="0074163C">
      <w:pPr>
        <w:pStyle w:val="Heading4"/>
      </w:pPr>
      <w:bookmarkStart w:id="78" w:name="_Toc98931933"/>
      <w:r w:rsidRPr="00D23139">
        <w:t>Proposed action</w:t>
      </w:r>
      <w:bookmarkEnd w:id="78"/>
    </w:p>
    <w:p w14:paraId="433BE21C" w14:textId="3E9125CC" w:rsidR="00A722E1" w:rsidRPr="00A722E1" w:rsidRDefault="00A722E1" w:rsidP="00A722E1">
      <w:r w:rsidRPr="00A722E1">
        <w:t xml:space="preserve">Heterogeneity in the neutralisation activity between tixagevimab and cilgavimab limits the ability to translate the assumptions based on PK modelling to treatment benefits against Omicron </w:t>
      </w:r>
      <w:r w:rsidR="00C02FD1">
        <w:t>sub</w:t>
      </w:r>
      <w:r w:rsidR="0039734F">
        <w:t>variants of concerns</w:t>
      </w:r>
      <w:r w:rsidRPr="00A722E1">
        <w:t xml:space="preserve"> in Australia in a clinical setting.</w:t>
      </w:r>
    </w:p>
    <w:p w14:paraId="6B5E1E97" w14:textId="2E8F660C" w:rsidR="00A722E1" w:rsidRPr="00A722E1" w:rsidRDefault="00A722E1" w:rsidP="00A722E1">
      <w:r w:rsidRPr="00A722E1">
        <w:t xml:space="preserve">The Delegate seeks </w:t>
      </w:r>
      <w:r w:rsidR="00C02FD1">
        <w:t>the Advisory Committee on Medicine’s (</w:t>
      </w:r>
      <w:r w:rsidRPr="00A722E1">
        <w:t>ACM’</w:t>
      </w:r>
      <w:r w:rsidR="00C02FD1">
        <w:t>s)</w:t>
      </w:r>
      <w:r w:rsidRPr="00A722E1">
        <w:t xml:space="preserve"> advice regarding whether there is enough evidence to support treatment benefits with the double dose and </w:t>
      </w:r>
      <w:proofErr w:type="gramStart"/>
      <w:r w:rsidRPr="00A722E1">
        <w:t>six</w:t>
      </w:r>
      <w:r w:rsidR="0039734F">
        <w:t xml:space="preserve"> </w:t>
      </w:r>
      <w:r w:rsidRPr="00A722E1">
        <w:t>monthly</w:t>
      </w:r>
      <w:proofErr w:type="gramEnd"/>
      <w:r w:rsidRPr="00A722E1">
        <w:t xml:space="preserve"> regimen for immunocompromised individuals affected with Omicron BA.4/5</w:t>
      </w:r>
      <w:r w:rsidR="00C02FD1">
        <w:t xml:space="preserve"> subvariants. </w:t>
      </w:r>
      <w:r w:rsidRPr="00A722E1">
        <w:t xml:space="preserve">The Delegate also seeks </w:t>
      </w:r>
      <w:r w:rsidR="00C02FD1">
        <w:t xml:space="preserve">the </w:t>
      </w:r>
      <w:r w:rsidRPr="00A722E1">
        <w:t>ACM’s advice on the potential risks associated with treatment effects from a single agent (cilgavimab) and whether those risks outweigh the treatment benefits, particularly in the absence of clinical data.</w:t>
      </w:r>
    </w:p>
    <w:p w14:paraId="14C87F91" w14:textId="6043B7E3" w:rsidR="00A722E1" w:rsidRPr="00A722E1" w:rsidRDefault="00A722E1" w:rsidP="00A722E1">
      <w:r w:rsidRPr="00A722E1">
        <w:t>There is lack of clinical and nonclinical safety data to assess any potential impact of the cumulative exposure due to the proposed repeated doses.</w:t>
      </w:r>
    </w:p>
    <w:p w14:paraId="126EE460" w14:textId="1A999594" w:rsidR="00A722E1" w:rsidRPr="00A722E1" w:rsidRDefault="00A722E1" w:rsidP="00A722E1">
      <w:r w:rsidRPr="00A722E1">
        <w:t xml:space="preserve">Additional efficacy and safety data from TACKLE </w:t>
      </w:r>
      <w:r w:rsidR="0039734F">
        <w:t>trial</w:t>
      </w:r>
      <w:r w:rsidRPr="00A722E1">
        <w:t xml:space="preserve"> is consistent with the previously submitted data. Treatment benefits in patients affected with </w:t>
      </w:r>
      <w:r w:rsidR="0039734F">
        <w:t>O</w:t>
      </w:r>
      <w:r w:rsidRPr="00A722E1">
        <w:t xml:space="preserve">micron BA.4/5 </w:t>
      </w:r>
      <w:r w:rsidR="00C02FD1">
        <w:t xml:space="preserve">subvariants </w:t>
      </w:r>
      <w:r w:rsidRPr="00A722E1">
        <w:t>is unknown.</w:t>
      </w:r>
    </w:p>
    <w:p w14:paraId="57F62ADA" w14:textId="77777777" w:rsidR="0074163C" w:rsidRPr="00F73346" w:rsidRDefault="0074163C" w:rsidP="0074163C">
      <w:pPr>
        <w:pStyle w:val="Heading4"/>
      </w:pPr>
      <w:bookmarkStart w:id="79" w:name="_Toc98931936"/>
      <w:bookmarkStart w:id="80" w:name="_Toc247691532"/>
      <w:bookmarkStart w:id="81" w:name="_Toc314842516"/>
      <w:bookmarkEnd w:id="33"/>
      <w:bookmarkEnd w:id="73"/>
      <w:bookmarkEnd w:id="74"/>
      <w:r w:rsidRPr="00F73346">
        <w:t>Advisory Committee considerations</w:t>
      </w:r>
      <w:bookmarkEnd w:id="79"/>
    </w:p>
    <w:p w14:paraId="19D6DFFD" w14:textId="6F66197E" w:rsidR="0074163C" w:rsidRDefault="0074163C" w:rsidP="0074163C">
      <w:pPr>
        <w:rPr>
          <w:bCs/>
        </w:rPr>
      </w:pPr>
      <w:r w:rsidRPr="00456765">
        <w:rPr>
          <w:bCs/>
        </w:rPr>
        <w:t xml:space="preserve">The </w:t>
      </w:r>
      <w:hyperlink r:id="rId49"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635BAAE0" w14:textId="77777777" w:rsidR="0074163C" w:rsidRPr="00F73346" w:rsidRDefault="0074163C" w:rsidP="0074163C">
      <w:pPr>
        <w:pStyle w:val="Heading5"/>
      </w:pPr>
      <w:bookmarkStart w:id="82" w:name="_Hlk118981263"/>
      <w:r w:rsidRPr="00F73346">
        <w:t>Specific advice to the Delegate</w:t>
      </w:r>
    </w:p>
    <w:p w14:paraId="75352662" w14:textId="5A0BB0FC" w:rsidR="000265AA" w:rsidRPr="009F1ED8" w:rsidRDefault="000265AA" w:rsidP="000265AA">
      <w:pPr>
        <w:pStyle w:val="Numberbullet0"/>
        <w:numPr>
          <w:ilvl w:val="0"/>
          <w:numId w:val="36"/>
        </w:numPr>
        <w:rPr>
          <w:b/>
          <w:bCs/>
          <w:i/>
          <w:iCs/>
        </w:rPr>
      </w:pPr>
      <w:r w:rsidRPr="009F1ED8">
        <w:rPr>
          <w:b/>
          <w:bCs/>
          <w:i/>
          <w:iCs/>
        </w:rPr>
        <w:t>Please comment on the adequacy of PK modelling and the non-clinical data to support the proposed modified dosing regimen.</w:t>
      </w:r>
    </w:p>
    <w:p w14:paraId="525E492A" w14:textId="77777777" w:rsidR="00C00B87" w:rsidRDefault="00C00B87" w:rsidP="00C00B87">
      <w:r>
        <w:t>The ACM was of the view that the pharmacokinetic (PK) modelling and non-clinical data adequately supports the proposed modified dosing regimen.</w:t>
      </w:r>
    </w:p>
    <w:p w14:paraId="0629A994" w14:textId="77777777" w:rsidR="00C00B87" w:rsidRDefault="00C00B87" w:rsidP="00C00B87">
      <w:r>
        <w:lastRenderedPageBreak/>
        <w:t>The ACM noted that the PK modelling is justifiable, and the results are consistent with the available PK sampling. The PK modelling and simulation are informed by Phase I (included doses up to 3000 mg) and PROVENT prophylaxis, STORM CHASER 'post-prophylaxis' (used 300 mg doses) and the TACKLE Phase III treatment study (used 600 mg doses). The simulated median doses within the model appeared well matched to the observed data from the actual doses used.</w:t>
      </w:r>
    </w:p>
    <w:p w14:paraId="075B4AAA" w14:textId="77777777" w:rsidR="00C00B87" w:rsidRDefault="00C00B87" w:rsidP="00C00B87">
      <w:r>
        <w:t>The ACM discussed the appropriateness of pharmacodynamic equivalence as the basis of bridging and the extrapolation of pharmacodynamic relationships to prior demonstrated efficacy metrics in a non-static disease state and queried whether the stable disease state assumption implicitly utilised in the modelling is appropriate given transmission and virulence of COVID-19 has modified since the PROVENT prophylaxis study for reasons additional to immune escape.</w:t>
      </w:r>
    </w:p>
    <w:p w14:paraId="0D918B11" w14:textId="544C2290" w:rsidR="000265AA" w:rsidRPr="000265AA" w:rsidRDefault="00C00B87" w:rsidP="00C00B87">
      <w:r>
        <w:t>The ACM commented that the methodology of dose selection is not novel, however not testing the dose in a clinical trial is novel. The ACM noted that this is a challenge within the infectious diseases space where there is often high mutation potential.</w:t>
      </w:r>
    </w:p>
    <w:p w14:paraId="4A195777" w14:textId="4959BEDD" w:rsidR="00C02FD1" w:rsidRDefault="000265AA" w:rsidP="000265AA">
      <w:pPr>
        <w:pStyle w:val="Numberbullet0"/>
        <w:rPr>
          <w:b/>
          <w:bCs/>
          <w:i/>
          <w:iCs/>
        </w:rPr>
      </w:pPr>
      <w:r w:rsidRPr="009F1ED8">
        <w:rPr>
          <w:b/>
          <w:bCs/>
          <w:i/>
          <w:iCs/>
        </w:rPr>
        <w:t>Does the committee have any concerns regarding the loss activity of tixagevimab against Omicron BA.3 and BA.4/5</w:t>
      </w:r>
      <w:r w:rsidR="00C02FD1">
        <w:rPr>
          <w:b/>
          <w:bCs/>
          <w:i/>
          <w:iCs/>
        </w:rPr>
        <w:t xml:space="preserve"> sub</w:t>
      </w:r>
      <w:r w:rsidRPr="009F1ED8">
        <w:rPr>
          <w:b/>
          <w:bCs/>
          <w:i/>
          <w:iCs/>
        </w:rPr>
        <w:t xml:space="preserve">variants and the loss of activity of Evusheld against </w:t>
      </w:r>
      <w:r w:rsidR="00C02FD1">
        <w:rPr>
          <w:b/>
          <w:bCs/>
          <w:i/>
          <w:iCs/>
        </w:rPr>
        <w:t xml:space="preserve">the </w:t>
      </w:r>
      <w:r w:rsidRPr="009F1ED8">
        <w:rPr>
          <w:b/>
          <w:bCs/>
          <w:i/>
          <w:iCs/>
        </w:rPr>
        <w:t xml:space="preserve">Omicron BA.4.6 </w:t>
      </w:r>
      <w:r w:rsidR="00C02FD1">
        <w:rPr>
          <w:b/>
          <w:bCs/>
          <w:i/>
          <w:iCs/>
        </w:rPr>
        <w:t>sub</w:t>
      </w:r>
      <w:r w:rsidRPr="009F1ED8">
        <w:rPr>
          <w:b/>
          <w:bCs/>
          <w:i/>
          <w:iCs/>
        </w:rPr>
        <w:t>variant</w:t>
      </w:r>
      <w:r w:rsidR="00C02FD1">
        <w:rPr>
          <w:b/>
          <w:bCs/>
          <w:i/>
          <w:iCs/>
        </w:rPr>
        <w:t>?</w:t>
      </w:r>
    </w:p>
    <w:p w14:paraId="130E6395" w14:textId="401403BC" w:rsidR="000265AA" w:rsidRPr="009F1ED8" w:rsidRDefault="000265AA" w:rsidP="00342791">
      <w:pPr>
        <w:pStyle w:val="Numberbullet0"/>
        <w:numPr>
          <w:ilvl w:val="0"/>
          <w:numId w:val="0"/>
        </w:numPr>
        <w:ind w:left="425"/>
        <w:rPr>
          <w:b/>
          <w:bCs/>
          <w:i/>
          <w:iCs/>
        </w:rPr>
      </w:pPr>
      <w:r w:rsidRPr="009F1ED8">
        <w:rPr>
          <w:b/>
          <w:bCs/>
          <w:i/>
          <w:iCs/>
        </w:rPr>
        <w:t>If so, please comment on its potential implications.</w:t>
      </w:r>
    </w:p>
    <w:p w14:paraId="27636803" w14:textId="6B00DEBE" w:rsidR="00C00B87" w:rsidRDefault="00C00B87" w:rsidP="00C00B87">
      <w:r>
        <w:t>The ACM discussed the potential for resistance to either tixagevimab or cilgavimab or both towards the current or future variants and noted that a loss of activity of Evusheld is of significance. The ACM noted the emergence of Omicron BA.4/5</w:t>
      </w:r>
      <w:r w:rsidR="00C02FD1">
        <w:t xml:space="preserve"> subvariants</w:t>
      </w:r>
      <w:r>
        <w:t xml:space="preserve"> and </w:t>
      </w:r>
      <w:proofErr w:type="spellStart"/>
      <w:r>
        <w:t>sublineages</w:t>
      </w:r>
      <w:proofErr w:type="spellEnd"/>
      <w:r>
        <w:t xml:space="preserve"> as almost completely non-responsive to tixagevimab. Further noting that a subsequent loss of activity of cilgavimab would result in overall loss of activity of Evusheld.</w:t>
      </w:r>
    </w:p>
    <w:p w14:paraId="2B9A08A4" w14:textId="77777777" w:rsidR="00C00B87" w:rsidRDefault="00C00B87" w:rsidP="00C00B87">
      <w:r>
        <w:t xml:space="preserve">The ACM agreed that it is important to monitor resistance profiles however highlighted that current resistance does not preclude the later re-emergence of activity with newer </w:t>
      </w:r>
      <w:proofErr w:type="spellStart"/>
      <w:r>
        <w:t>sublineages</w:t>
      </w:r>
      <w:proofErr w:type="spellEnd"/>
      <w:r>
        <w:t>.</w:t>
      </w:r>
    </w:p>
    <w:p w14:paraId="4F4A5557" w14:textId="0206401D" w:rsidR="00C00B87" w:rsidRDefault="00C00B87" w:rsidP="00C00B87">
      <w:r>
        <w:t>On balance</w:t>
      </w:r>
      <w:r w:rsidR="00C02FD1">
        <w:t>,</w:t>
      </w:r>
      <w:r>
        <w:t xml:space="preserve"> </w:t>
      </w:r>
      <w:r w:rsidR="00C02FD1">
        <w:t xml:space="preserve">the </w:t>
      </w:r>
      <w:r>
        <w:t xml:space="preserve">ACM agreed that it is important that the PI appropriately outline the potential for loss of activity, however, was of the view that this concern should not preclude provisional registration noting that the current resistance profiles may not persist with the emergence of new </w:t>
      </w:r>
      <w:r w:rsidR="00C02FD1">
        <w:t>v</w:t>
      </w:r>
      <w:r>
        <w:t xml:space="preserve">ariants of </w:t>
      </w:r>
      <w:r w:rsidR="00C02FD1">
        <w:t>c</w:t>
      </w:r>
      <w:r>
        <w:t>oncern.</w:t>
      </w:r>
    </w:p>
    <w:p w14:paraId="03D4D3FF" w14:textId="500D5AF3" w:rsidR="000265AA" w:rsidRPr="000265AA" w:rsidRDefault="00C00B87" w:rsidP="00C00B87">
      <w:r>
        <w:t>The magnitude of benefit with doubling the dose was discussed. The mechanism of resistance of BA</w:t>
      </w:r>
      <w:r w:rsidR="00C02FD1">
        <w:t>.</w:t>
      </w:r>
      <w:r>
        <w:t xml:space="preserve">4/5 </w:t>
      </w:r>
      <w:r w:rsidR="00C02FD1">
        <w:t>sub</w:t>
      </w:r>
      <w:r>
        <w:t>variants to tixagevimab and cilgavimab was noted as the mutations at the respective binding sites. In view of the above, the ACM noted treatment with a double dose of Evusheld may still provide some benefits due to the mixed population of the COVID-19 virus that may consist of variants against which Evusheld still retains neutralisation activity. It was also considered that there is a potential for these mutations to change in the same variant (dynamic nature) and in subsequent variants. For these reasons, doubling the dose of Evusheld was considered to provide some treatment benefit. However, the risks associated at the higher dose will also need to be considered.</w:t>
      </w:r>
    </w:p>
    <w:p w14:paraId="4ABBCE93" w14:textId="2FECE381" w:rsidR="00C02FD1" w:rsidRDefault="000265AA" w:rsidP="000265AA">
      <w:pPr>
        <w:pStyle w:val="Numberbullet0"/>
        <w:rPr>
          <w:b/>
          <w:bCs/>
          <w:i/>
          <w:iCs/>
        </w:rPr>
      </w:pPr>
      <w:r w:rsidRPr="009F1ED8">
        <w:rPr>
          <w:b/>
          <w:bCs/>
          <w:i/>
          <w:iCs/>
        </w:rPr>
        <w:t xml:space="preserve">Does the committee agree that the </w:t>
      </w:r>
      <w:r w:rsidR="00D60E91">
        <w:rPr>
          <w:b/>
          <w:bCs/>
          <w:i/>
          <w:iCs/>
        </w:rPr>
        <w:t>s</w:t>
      </w:r>
      <w:r w:rsidRPr="009F1ED8">
        <w:rPr>
          <w:b/>
          <w:bCs/>
          <w:i/>
          <w:iCs/>
        </w:rPr>
        <w:t xml:space="preserve">ponsor has adequately demonstrated that doubling the dose and 6 monthly </w:t>
      </w:r>
      <w:proofErr w:type="gramStart"/>
      <w:r w:rsidRPr="009F1ED8">
        <w:rPr>
          <w:b/>
          <w:bCs/>
          <w:i/>
          <w:iCs/>
        </w:rPr>
        <w:t>administration</w:t>
      </w:r>
      <w:proofErr w:type="gramEnd"/>
      <w:r w:rsidRPr="009F1ED8">
        <w:rPr>
          <w:b/>
          <w:bCs/>
          <w:i/>
          <w:iCs/>
        </w:rPr>
        <w:t xml:space="preserve"> has increased the efficacy of Evusheld 600</w:t>
      </w:r>
      <w:r w:rsidR="00D60E91">
        <w:rPr>
          <w:b/>
          <w:bCs/>
          <w:i/>
          <w:iCs/>
        </w:rPr>
        <w:t> </w:t>
      </w:r>
      <w:r w:rsidRPr="009F1ED8">
        <w:rPr>
          <w:b/>
          <w:bCs/>
          <w:i/>
          <w:iCs/>
        </w:rPr>
        <w:t>mg, compared to 300</w:t>
      </w:r>
      <w:r w:rsidR="00D60E91">
        <w:rPr>
          <w:b/>
          <w:bCs/>
          <w:i/>
          <w:iCs/>
        </w:rPr>
        <w:t> </w:t>
      </w:r>
      <w:r w:rsidRPr="009F1ED8">
        <w:rPr>
          <w:b/>
          <w:bCs/>
          <w:i/>
          <w:iCs/>
        </w:rPr>
        <w:t xml:space="preserve">mg against Omicron </w:t>
      </w:r>
      <w:r w:rsidR="00C02FD1">
        <w:rPr>
          <w:b/>
          <w:bCs/>
          <w:i/>
          <w:iCs/>
        </w:rPr>
        <w:t>variants of concern</w:t>
      </w:r>
      <w:r w:rsidR="00C02FD1" w:rsidRPr="009F1ED8">
        <w:rPr>
          <w:b/>
          <w:bCs/>
          <w:i/>
          <w:iCs/>
        </w:rPr>
        <w:t xml:space="preserve"> </w:t>
      </w:r>
      <w:r w:rsidRPr="009F1ED8">
        <w:rPr>
          <w:b/>
          <w:bCs/>
          <w:i/>
          <w:iCs/>
        </w:rPr>
        <w:t>in Australia</w:t>
      </w:r>
      <w:r w:rsidR="00C02FD1">
        <w:rPr>
          <w:b/>
          <w:bCs/>
          <w:i/>
          <w:iCs/>
        </w:rPr>
        <w:t>?</w:t>
      </w:r>
    </w:p>
    <w:p w14:paraId="48D8738F" w14:textId="21EAE313" w:rsidR="000265AA" w:rsidRPr="009F1ED8" w:rsidRDefault="00C02FD1" w:rsidP="00342791">
      <w:pPr>
        <w:pStyle w:val="Numberbullet0"/>
        <w:numPr>
          <w:ilvl w:val="0"/>
          <w:numId w:val="0"/>
        </w:numPr>
        <w:ind w:left="425"/>
        <w:rPr>
          <w:b/>
          <w:bCs/>
          <w:i/>
          <w:iCs/>
        </w:rPr>
      </w:pPr>
      <w:r>
        <w:rPr>
          <w:b/>
          <w:bCs/>
          <w:i/>
          <w:iCs/>
        </w:rPr>
        <w:t>W</w:t>
      </w:r>
      <w:r w:rsidR="000265AA" w:rsidRPr="009F1ED8">
        <w:rPr>
          <w:b/>
          <w:bCs/>
          <w:i/>
          <w:iCs/>
        </w:rPr>
        <w:t xml:space="preserve">ill </w:t>
      </w:r>
      <w:r>
        <w:rPr>
          <w:b/>
          <w:bCs/>
          <w:i/>
          <w:iCs/>
        </w:rPr>
        <w:t xml:space="preserve">it </w:t>
      </w:r>
      <w:r w:rsidR="000265AA" w:rsidRPr="009F1ED8">
        <w:rPr>
          <w:b/>
          <w:bCs/>
          <w:i/>
          <w:iCs/>
        </w:rPr>
        <w:t xml:space="preserve">provide greater protection for the indicated population against the Omicron </w:t>
      </w:r>
      <w:r>
        <w:rPr>
          <w:b/>
          <w:bCs/>
          <w:i/>
          <w:iCs/>
        </w:rPr>
        <w:t>subvariants of concern</w:t>
      </w:r>
      <w:r w:rsidRPr="009F1ED8">
        <w:rPr>
          <w:b/>
          <w:bCs/>
          <w:i/>
          <w:iCs/>
        </w:rPr>
        <w:t xml:space="preserve"> </w:t>
      </w:r>
      <w:r w:rsidR="000265AA" w:rsidRPr="009F1ED8">
        <w:rPr>
          <w:b/>
          <w:bCs/>
          <w:i/>
          <w:iCs/>
        </w:rPr>
        <w:t>in Australia</w:t>
      </w:r>
      <w:r>
        <w:rPr>
          <w:b/>
          <w:bCs/>
          <w:i/>
          <w:iCs/>
        </w:rPr>
        <w:t>?</w:t>
      </w:r>
    </w:p>
    <w:p w14:paraId="1C717D16" w14:textId="029DE94F" w:rsidR="000265AA" w:rsidRPr="000265AA" w:rsidRDefault="00C00B87" w:rsidP="00C00B87">
      <w:r w:rsidRPr="00C00B87">
        <w:t>The ACM was of the view that the 600 mg dose will provide greater protection than the 300</w:t>
      </w:r>
      <w:r w:rsidR="00D60E91">
        <w:t> </w:t>
      </w:r>
      <w:r w:rsidRPr="00C00B87">
        <w:t xml:space="preserve">mg however noted that this is realised predominately as a longer duration of </w:t>
      </w:r>
      <w:r w:rsidRPr="00C00B87">
        <w:lastRenderedPageBreak/>
        <w:t xml:space="preserve">protection. The ACM therefore noted that the magnitude (and meaningfulness) of this greater protection is not certain and will diminish over time. The ACM also noted the lack of clinical data to demonstrate the greater clinical efficacy of 600 mg </w:t>
      </w:r>
      <w:r w:rsidR="00C02FD1">
        <w:t>intramuscular</w:t>
      </w:r>
      <w:r w:rsidR="00C02FD1" w:rsidRPr="00C00B87">
        <w:t xml:space="preserve"> </w:t>
      </w:r>
      <w:r w:rsidRPr="00C00B87">
        <w:t>Evusheld.</w:t>
      </w:r>
    </w:p>
    <w:p w14:paraId="0F7D2BE9" w14:textId="693C7B6B" w:rsidR="000265AA" w:rsidRPr="009F1ED8" w:rsidRDefault="000265AA" w:rsidP="000265AA">
      <w:pPr>
        <w:pStyle w:val="Numberbullet0"/>
        <w:rPr>
          <w:b/>
          <w:bCs/>
          <w:i/>
          <w:iCs/>
        </w:rPr>
      </w:pPr>
      <w:r w:rsidRPr="009F1ED8">
        <w:rPr>
          <w:b/>
          <w:bCs/>
          <w:i/>
          <w:iCs/>
        </w:rPr>
        <w:t>Is the committee satisfied that the safety profile of the proposed modified dosing regimen has been adequately demonstrated?</w:t>
      </w:r>
    </w:p>
    <w:p w14:paraId="0055E4C8" w14:textId="7F0C231C" w:rsidR="00C00B87" w:rsidRDefault="00C00B87" w:rsidP="00C00B87">
      <w:r>
        <w:t>The ACM noted that the modified dosing regimen does not appear to have increased the rate of adverse events. The ACM noted that this is demonstrated by the lack of an adverse event dose response relationship in Phase I</w:t>
      </w:r>
      <w:r w:rsidR="00C02FD1">
        <w:t>/</w:t>
      </w:r>
      <w:r>
        <w:t xml:space="preserve">II, Phase III treatment and real-world post-marketing evidence from </w:t>
      </w:r>
      <w:r w:rsidR="00C02FD1">
        <w:t xml:space="preserve">the </w:t>
      </w:r>
      <w:r>
        <w:t>US</w:t>
      </w:r>
      <w:r w:rsidR="00C02FD1">
        <w:t>A</w:t>
      </w:r>
      <w:r>
        <w:t>.</w:t>
      </w:r>
    </w:p>
    <w:p w14:paraId="7A366B60" w14:textId="77777777" w:rsidR="00C00B87" w:rsidRDefault="00C00B87" w:rsidP="00C00B87">
      <w:r>
        <w:t>The ACM however highlighted that the repeat dose safety data are limited, and most of the data are related to 300 mg and not the proposed 600 mg of Evusheld. The ACM concluded that continued monitoring would be required to ensure the safety of repeat dosing.</w:t>
      </w:r>
    </w:p>
    <w:p w14:paraId="14C22DDA" w14:textId="4E844ED0" w:rsidR="00C00B87" w:rsidRDefault="00C00B87" w:rsidP="00C00B87">
      <w:r>
        <w:t xml:space="preserve">With regards to the TACKLE </w:t>
      </w:r>
      <w:r w:rsidR="00C02FD1">
        <w:t xml:space="preserve">trial </w:t>
      </w:r>
      <w:r>
        <w:t xml:space="preserve">and the treatment indication, the ACM discussed cardiac complications and reiterated the views expressed at the February 2022 ACM meeting. The ACM noted the higher rates of adverse cardiac events in the treatment population in the TACKLE </w:t>
      </w:r>
      <w:r w:rsidR="00C02FD1">
        <w:t>trial</w:t>
      </w:r>
      <w:r>
        <w:t xml:space="preserve">, compared to placebo. The ACM noted that </w:t>
      </w:r>
      <w:proofErr w:type="gramStart"/>
      <w:r>
        <w:t>all of</w:t>
      </w:r>
      <w:proofErr w:type="gramEnd"/>
      <w:r>
        <w:t xml:space="preserve"> the reported cardiac deaths were in the Evusheld arm and none in the placebo.</w:t>
      </w:r>
    </w:p>
    <w:p w14:paraId="7E9E06F0" w14:textId="7865BC50" w:rsidR="000265AA" w:rsidRPr="000265AA" w:rsidRDefault="00C00B87" w:rsidP="00C00B87">
      <w:r>
        <w:t>The ACM was of the view that there is a real signal for cardiac events, noting that the mechanism is not currently identified. The ACM agreed the cardiac signal is highly relevant and important and emphasised that it must be highlighted in the PI. The ACM further noted that it would be helpful to include the table comparing the death rates between the Evusheld and placebo groups within the PI.</w:t>
      </w:r>
    </w:p>
    <w:p w14:paraId="1CBA8E1B" w14:textId="2922B7B3" w:rsidR="000265AA" w:rsidRPr="009F1ED8" w:rsidRDefault="000265AA" w:rsidP="000265AA">
      <w:pPr>
        <w:pStyle w:val="Numberbullet0"/>
        <w:rPr>
          <w:b/>
          <w:bCs/>
          <w:i/>
          <w:iCs/>
        </w:rPr>
      </w:pPr>
      <w:r w:rsidRPr="009F1ED8">
        <w:rPr>
          <w:b/>
          <w:bCs/>
          <w:i/>
          <w:iCs/>
        </w:rPr>
        <w:t>Please comment whether the proposed PI changes adequately reflect the non-clinical data and the efficacy and safety profile of Evusheld.</w:t>
      </w:r>
    </w:p>
    <w:p w14:paraId="759DB95C" w14:textId="77777777" w:rsidR="00C00B87" w:rsidRDefault="00C00B87" w:rsidP="00C00B87">
      <w:r>
        <w:t>The ACM was of the view that it is important to highlight resistance and breakthrough infection within the PI and was supportive of the inclusion of the ‘Breakthrough infection or treatment failure due to antiviral resistance’ wording proposed in Section 4.4 of the PI. The ACM did advise that prophylaxis should be included in the final paragraph, stating:</w:t>
      </w:r>
    </w:p>
    <w:p w14:paraId="3EDCFD34" w14:textId="065E7D78" w:rsidR="00C00B87" w:rsidRDefault="00C00B87" w:rsidP="00342791">
      <w:pPr>
        <w:ind w:left="720"/>
      </w:pPr>
      <w:r>
        <w:t>Decisions regarding the use of E</w:t>
      </w:r>
      <w:r w:rsidR="00D60E91">
        <w:t>vusheld</w:t>
      </w:r>
      <w:r>
        <w:t xml:space="preserve"> for the prophylaxis or treatment of COVID-19 should take into consideration what is known about the characteristics of the circulating SARS-CoV-2 viral variants, including geographical prevalence and local guidelines.</w:t>
      </w:r>
    </w:p>
    <w:p w14:paraId="3EEA7FCB" w14:textId="03F0A550" w:rsidR="00C00B87" w:rsidRDefault="00C00B87" w:rsidP="00C00B87">
      <w:r>
        <w:t xml:space="preserve">The ACM noted the </w:t>
      </w:r>
      <w:r w:rsidR="00C02FD1">
        <w:t>US Food and Drug Administration (</w:t>
      </w:r>
      <w:r>
        <w:t>FDA</w:t>
      </w:r>
      <w:r w:rsidR="00C02FD1">
        <w:t>)</w:t>
      </w:r>
      <w:r>
        <w:t xml:space="preserve"> updates on variants not neutralised by Evusheld and agreed that similar statements should be included in the PI, as it was considered important that prescribers are aware of this type of information.</w:t>
      </w:r>
    </w:p>
    <w:p w14:paraId="4B2D1CE6" w14:textId="453568A9" w:rsidR="000265AA" w:rsidRPr="000265AA" w:rsidRDefault="00C00B87" w:rsidP="00C00B87">
      <w:r>
        <w:t>The ACM commented that it is difficult to present the resistance information however agreed that the table included in the PI is sufficient for the purpose.</w:t>
      </w:r>
    </w:p>
    <w:p w14:paraId="4AC9189E" w14:textId="44D05721" w:rsidR="000265AA" w:rsidRPr="009F1ED8" w:rsidRDefault="000265AA" w:rsidP="000265AA">
      <w:pPr>
        <w:pStyle w:val="Numberbullet0"/>
        <w:rPr>
          <w:b/>
          <w:bCs/>
          <w:i/>
          <w:iCs/>
        </w:rPr>
      </w:pPr>
      <w:r w:rsidRPr="009F1ED8">
        <w:rPr>
          <w:b/>
          <w:bCs/>
          <w:i/>
          <w:iCs/>
        </w:rPr>
        <w:t>Does ACM support the provisional registration of E</w:t>
      </w:r>
      <w:r w:rsidR="00D60E91">
        <w:rPr>
          <w:b/>
          <w:bCs/>
          <w:i/>
          <w:iCs/>
        </w:rPr>
        <w:t>vusheld</w:t>
      </w:r>
      <w:r w:rsidRPr="009F1ED8">
        <w:rPr>
          <w:b/>
          <w:bCs/>
          <w:i/>
          <w:iCs/>
        </w:rPr>
        <w:t xml:space="preserve"> with the modified dosing regimen</w:t>
      </w:r>
      <w:r w:rsidR="00C02FD1">
        <w:rPr>
          <w:b/>
          <w:bCs/>
          <w:i/>
          <w:iCs/>
        </w:rPr>
        <w:t>?</w:t>
      </w:r>
    </w:p>
    <w:bookmarkEnd w:id="82"/>
    <w:p w14:paraId="5E646636" w14:textId="5753DC93" w:rsidR="00C00B87" w:rsidRDefault="00C00B87" w:rsidP="00C00B87">
      <w:r>
        <w:t>The ACM was</w:t>
      </w:r>
      <w:r w:rsidR="00C02FD1">
        <w:t>,</w:t>
      </w:r>
      <w:r>
        <w:t xml:space="preserve"> on balance</w:t>
      </w:r>
      <w:r w:rsidR="00C02FD1">
        <w:t>,</w:t>
      </w:r>
      <w:r>
        <w:t xml:space="preserve"> supportive of the provisional registration of the modified dosing regimen for Evusheld associated with the pre-exposure prophylaxis indication. The ACM commented on the favourable drug interactions profile and the potential benefits of this intramuscular injection formulation for adherence.</w:t>
      </w:r>
    </w:p>
    <w:p w14:paraId="4CB1FCE9" w14:textId="60C057B5" w:rsidR="00C00B87" w:rsidRDefault="00C00B87" w:rsidP="00C00B87">
      <w:r>
        <w:t xml:space="preserve">The ACM noted that the data provided in support of the proposed modified dosing regimen for prophylaxis is a hybrid bridging type application, primarily based on pharmacodynamic equivalence from modelling/simulation and in-vitro results, </w:t>
      </w:r>
      <w:proofErr w:type="gramStart"/>
      <w:r>
        <w:t>and also</w:t>
      </w:r>
      <w:proofErr w:type="gramEnd"/>
      <w:r>
        <w:t xml:space="preserve"> </w:t>
      </w:r>
      <w:r>
        <w:lastRenderedPageBreak/>
        <w:t xml:space="preserve">included a range of Phase </w:t>
      </w:r>
      <w:r w:rsidR="00D60E91">
        <w:t>I</w:t>
      </w:r>
      <w:r>
        <w:t xml:space="preserve"> and Phase </w:t>
      </w:r>
      <w:r w:rsidR="00D60E91">
        <w:t>II</w:t>
      </w:r>
      <w:r>
        <w:t xml:space="preserve"> data, a randomised controlled trial and real-word evidence to support safety or efficacy.</w:t>
      </w:r>
    </w:p>
    <w:p w14:paraId="63404D09" w14:textId="77777777" w:rsidR="00C00B87" w:rsidRDefault="00C00B87" w:rsidP="00C00B87">
      <w:r>
        <w:t>The ACM noted that the currently approved pre-exposure prophylaxis indication limits usage to those who are unlikely to mount an adequate immune response to COVID-19 vaccination or for whom vaccination is not recommended. In the Australian context this is generally immunocompromised individuals. While the ACM highlighted that there is limited data within this population, the 600 mg dose is likely to provide greater protection than the current 300 mg dose in this population with a need for protection.</w:t>
      </w:r>
    </w:p>
    <w:p w14:paraId="5270C1D6" w14:textId="343DAA5A" w:rsidR="000265AA" w:rsidRDefault="00C00B87" w:rsidP="00C00B87">
      <w:pPr>
        <w:pStyle w:val="Numberbullet0"/>
        <w:numPr>
          <w:ilvl w:val="0"/>
          <w:numId w:val="0"/>
        </w:numPr>
      </w:pPr>
      <w:r>
        <w:t xml:space="preserve">The ACM discussed the value of a repeat dose at 6 months and noted that the use of a second dose is dependent on patient circumstances (that is disease progression and/or treatment options) and the COVID-19 landscape at the time. Based on these factors the ACM agreed that it would be appropriate for the repeat dosing at </w:t>
      </w:r>
      <w:proofErr w:type="gramStart"/>
      <w:r>
        <w:t>6 month</w:t>
      </w:r>
      <w:proofErr w:type="gramEnd"/>
      <w:r>
        <w:t xml:space="preserve"> intervals to be optional. The ACM agreed that statements to this effect should be included in the PI and that the limited repeat dose data be highlighted. The ACM agreed that the 6 monthly dosing should be at the treating physician’s discretion and based on the available evidence and public health priorities at the time. The ACM noted that this information should be highlighted in the dose and administration section of the PI.</w:t>
      </w:r>
    </w:p>
    <w:p w14:paraId="3D1854CE" w14:textId="479031E2" w:rsidR="00C00B87" w:rsidRPr="00AB0BEB" w:rsidRDefault="00C00B87" w:rsidP="00C00B87">
      <w:pPr>
        <w:pStyle w:val="Numberbullet0"/>
        <w:numPr>
          <w:ilvl w:val="0"/>
          <w:numId w:val="8"/>
        </w:numPr>
        <w:rPr>
          <w:b/>
          <w:bCs/>
          <w:i/>
          <w:iCs/>
        </w:rPr>
      </w:pPr>
      <w:r w:rsidRPr="00AB0BEB">
        <w:rPr>
          <w:b/>
          <w:bCs/>
          <w:i/>
          <w:iCs/>
        </w:rPr>
        <w:t>Does ACM support the provisional registration of E</w:t>
      </w:r>
      <w:r w:rsidR="007A763B">
        <w:rPr>
          <w:b/>
          <w:bCs/>
          <w:i/>
          <w:iCs/>
        </w:rPr>
        <w:t>vusheld</w:t>
      </w:r>
      <w:r w:rsidRPr="00AB0BEB">
        <w:rPr>
          <w:b/>
          <w:bCs/>
          <w:i/>
          <w:iCs/>
        </w:rPr>
        <w:t xml:space="preserve"> for the treatment indication?</w:t>
      </w:r>
    </w:p>
    <w:p w14:paraId="697A3448" w14:textId="4741D51C" w:rsidR="00C00B87" w:rsidRDefault="00C00B87" w:rsidP="00C00B87">
      <w:r>
        <w:t xml:space="preserve">The ACM was on balance supportive of the provisional registration of Evusheld for a treatment indication with the recommended dosage of 600 </w:t>
      </w:r>
      <w:proofErr w:type="gramStart"/>
      <w:r>
        <w:t>mg</w:t>
      </w:r>
      <w:r w:rsidR="00041873">
        <w:t>;</w:t>
      </w:r>
      <w:proofErr w:type="gramEnd"/>
      <w:r w:rsidR="00041873">
        <w:t xml:space="preserve"> additionally</w:t>
      </w:r>
    </w:p>
    <w:p w14:paraId="10349902" w14:textId="6F28E712" w:rsidR="00C00B87" w:rsidRDefault="00041873" w:rsidP="00342791">
      <w:pPr>
        <w:pStyle w:val="ListBullet"/>
      </w:pPr>
      <w:r>
        <w:t>t</w:t>
      </w:r>
      <w:r w:rsidR="00C00B87">
        <w:t xml:space="preserve">he ACM agreed that the indication should be limited to use in adults, noting that this aligns with the clinical trial population and the safety risks are uncertain for a younger age </w:t>
      </w:r>
      <w:proofErr w:type="gramStart"/>
      <w:r w:rsidR="00C00B87">
        <w:t>group</w:t>
      </w:r>
      <w:r>
        <w:t>;</w:t>
      </w:r>
      <w:proofErr w:type="gramEnd"/>
    </w:p>
    <w:p w14:paraId="4CDE95F3" w14:textId="15592623" w:rsidR="00C00B87" w:rsidRDefault="00041873" w:rsidP="00342791">
      <w:pPr>
        <w:pStyle w:val="ListBullet"/>
      </w:pPr>
      <w:r>
        <w:t>t</w:t>
      </w:r>
      <w:r w:rsidR="00C00B87">
        <w:t xml:space="preserve">he ACM reiterated that the cardiac signal must be clearly highlighted in the </w:t>
      </w:r>
      <w:proofErr w:type="gramStart"/>
      <w:r w:rsidR="00C00B87">
        <w:t>PI</w:t>
      </w:r>
      <w:r>
        <w:t>;</w:t>
      </w:r>
      <w:proofErr w:type="gramEnd"/>
    </w:p>
    <w:p w14:paraId="122B7C46" w14:textId="0B01AD6A" w:rsidR="00C00B87" w:rsidRDefault="00041873" w:rsidP="00342791">
      <w:pPr>
        <w:pStyle w:val="ListBullet"/>
      </w:pPr>
      <w:r>
        <w:t>t</w:t>
      </w:r>
      <w:r w:rsidR="00C00B87">
        <w:t xml:space="preserve">he ACM also advised that the initiation of therapy criteria utilised in the clinical trial should be included within the clinical trials and/or administration section of the </w:t>
      </w:r>
      <w:proofErr w:type="gramStart"/>
      <w:r w:rsidR="00C00B87">
        <w:t>PI</w:t>
      </w:r>
      <w:r>
        <w:t>;</w:t>
      </w:r>
      <w:proofErr w:type="gramEnd"/>
    </w:p>
    <w:p w14:paraId="294B399C" w14:textId="24E2408F" w:rsidR="00C00B87" w:rsidRDefault="00041873" w:rsidP="00342791">
      <w:pPr>
        <w:pStyle w:val="ListBullet"/>
      </w:pPr>
      <w:r>
        <w:t>t</w:t>
      </w:r>
      <w:r w:rsidR="00C00B87">
        <w:t xml:space="preserve">he ACM discussed the potential for variant resistance and emphasised the public health advice and the current circulating virus needs to be considered when prescribing </w:t>
      </w:r>
      <w:proofErr w:type="gramStart"/>
      <w:r w:rsidR="00C00B87">
        <w:t>Evusheld</w:t>
      </w:r>
      <w:r>
        <w:t>;</w:t>
      </w:r>
      <w:proofErr w:type="gramEnd"/>
    </w:p>
    <w:p w14:paraId="3CBD1696" w14:textId="16D37CC7" w:rsidR="00C00B87" w:rsidRPr="000265AA" w:rsidRDefault="00041873" w:rsidP="00342791">
      <w:pPr>
        <w:pStyle w:val="ListBullet"/>
      </w:pPr>
      <w:r>
        <w:t>t</w:t>
      </w:r>
      <w:r w:rsidR="00C00B87">
        <w:t>he ACM commented on the challenges associated with having COVID-19 positive patients entering standard GP clinics to receive the injections and queried its place in therapy.</w:t>
      </w:r>
    </w:p>
    <w:p w14:paraId="658D7A4C" w14:textId="06C4FD75" w:rsidR="0074163C" w:rsidRDefault="0074163C" w:rsidP="0074163C">
      <w:pPr>
        <w:pStyle w:val="Heading5"/>
      </w:pPr>
      <w:r w:rsidRPr="00F73346">
        <w:t>Conclusion</w:t>
      </w:r>
    </w:p>
    <w:p w14:paraId="76CD870C" w14:textId="77777777" w:rsidR="00C00B87" w:rsidRPr="00C00B87" w:rsidRDefault="00C00B87" w:rsidP="00C00B87">
      <w:r w:rsidRPr="00C00B87">
        <w:t>The ACM emphasised that this therapy is not an alternative or substitute for vaccination. The ACM reiterated its view that vaccination is the preferred and primary option to prevent COVID-19.</w:t>
      </w:r>
    </w:p>
    <w:p w14:paraId="45C2D371" w14:textId="77777777" w:rsidR="00C00B87" w:rsidRDefault="00C00B87" w:rsidP="00C00B87">
      <w:r w:rsidRPr="007E73DB">
        <w:t xml:space="preserve">The </w:t>
      </w:r>
      <w:r w:rsidRPr="00C12AE4">
        <w:t>ACM considered this product to have a</w:t>
      </w:r>
      <w:r>
        <w:t xml:space="preserve"> provisionally</w:t>
      </w:r>
      <w:r w:rsidRPr="001E4AEE">
        <w:t xml:space="preserve"> positive</w:t>
      </w:r>
      <w:r w:rsidRPr="00C12AE4">
        <w:t xml:space="preserve"> benefit-risk profile</w:t>
      </w:r>
      <w:r>
        <w:t xml:space="preserve"> for the indication:</w:t>
      </w:r>
    </w:p>
    <w:p w14:paraId="5E366819" w14:textId="408D8DB8" w:rsidR="00C00B87" w:rsidRPr="00F86BE1" w:rsidRDefault="00C00B87" w:rsidP="00C00B87">
      <w:pPr>
        <w:ind w:left="720"/>
        <w:rPr>
          <w:i/>
          <w:iCs/>
        </w:rPr>
      </w:pPr>
      <w:r w:rsidRPr="00F86BE1">
        <w:rPr>
          <w:i/>
          <w:iCs/>
        </w:rPr>
        <w:t>E</w:t>
      </w:r>
      <w:r>
        <w:rPr>
          <w:i/>
          <w:iCs/>
        </w:rPr>
        <w:t>vusheld</w:t>
      </w:r>
      <w:r w:rsidRPr="00F86BE1">
        <w:rPr>
          <w:i/>
          <w:iCs/>
        </w:rPr>
        <w:t xml:space="preserve"> has provisional approval for the treatment of adults with COVID-19, who do not require supplemental oxygen and who are at increased risk of progressing to severe COVID-19.</w:t>
      </w:r>
    </w:p>
    <w:p w14:paraId="68445CF3" w14:textId="77777777" w:rsidR="00C00B87" w:rsidRDefault="00C00B87" w:rsidP="00C00B87">
      <w:pPr>
        <w:ind w:left="720"/>
        <w:rPr>
          <w:i/>
          <w:iCs/>
        </w:rPr>
      </w:pPr>
      <w:r w:rsidRPr="00F86BE1">
        <w:rPr>
          <w:i/>
          <w:iCs/>
        </w:rPr>
        <w:t xml:space="preserve">This decision has been made </w:t>
      </w:r>
      <w:proofErr w:type="gramStart"/>
      <w:r w:rsidRPr="00F86BE1">
        <w:rPr>
          <w:i/>
          <w:iCs/>
        </w:rPr>
        <w:t>on the basis of</w:t>
      </w:r>
      <w:proofErr w:type="gramEnd"/>
      <w:r w:rsidRPr="00F86BE1">
        <w:rPr>
          <w:i/>
          <w:iCs/>
        </w:rPr>
        <w:t xml:space="preserve"> short-term safety data. Continued approval depends on the evidence of longer-term safety data from ongoing clinical trial</w:t>
      </w:r>
    </w:p>
    <w:p w14:paraId="4692F5F7" w14:textId="5275FC14" w:rsidR="00C00B87" w:rsidRPr="00C00B87" w:rsidRDefault="00C00B87" w:rsidP="00C00B87">
      <w:pPr>
        <w:ind w:left="720"/>
        <w:rPr>
          <w:b/>
          <w:bCs/>
          <w:i/>
          <w:iCs/>
        </w:rPr>
      </w:pPr>
      <w:r w:rsidRPr="009434E4">
        <w:rPr>
          <w:b/>
          <w:bCs/>
          <w:i/>
          <w:iCs/>
        </w:rPr>
        <w:t>E</w:t>
      </w:r>
      <w:r>
        <w:rPr>
          <w:b/>
          <w:bCs/>
          <w:i/>
          <w:iCs/>
        </w:rPr>
        <w:t>vusheld</w:t>
      </w:r>
      <w:r w:rsidRPr="009434E4">
        <w:rPr>
          <w:b/>
          <w:bCs/>
          <w:i/>
          <w:iCs/>
        </w:rPr>
        <w:t xml:space="preserve"> is not intended to be used as a substitute for vaccination against COVID‐19.</w:t>
      </w:r>
    </w:p>
    <w:p w14:paraId="4E3C3517" w14:textId="47263C85" w:rsidR="00C00B87" w:rsidRPr="00C00B87" w:rsidRDefault="00C00B87" w:rsidP="00C00B87">
      <w:pPr>
        <w:autoSpaceDE w:val="0"/>
        <w:autoSpaceDN w:val="0"/>
        <w:adjustRightInd w:val="0"/>
        <w:spacing w:after="0"/>
        <w:rPr>
          <w:b/>
        </w:rPr>
      </w:pPr>
      <w:r>
        <w:lastRenderedPageBreak/>
        <w:t>The ACM also considered the modified dosing regimen to have a positive benefit-risk profile within the context of a provisional registration, however agreed that the repeat 6</w:t>
      </w:r>
      <w:r w:rsidR="00041873">
        <w:noBreakHyphen/>
      </w:r>
      <w:r>
        <w:t>month dosing for pre-exposure prophylaxis should be optional.</w:t>
      </w:r>
    </w:p>
    <w:p w14:paraId="58E11768" w14:textId="77777777" w:rsidR="008E7846" w:rsidRPr="002E238E" w:rsidRDefault="008E7846" w:rsidP="00D212F3">
      <w:pPr>
        <w:pStyle w:val="Heading2"/>
      </w:pPr>
      <w:bookmarkStart w:id="83" w:name="_Toc122596083"/>
      <w:r>
        <w:t>Outcome</w:t>
      </w:r>
      <w:bookmarkEnd w:id="80"/>
      <w:bookmarkEnd w:id="81"/>
      <w:bookmarkEnd w:id="83"/>
    </w:p>
    <w:p w14:paraId="4F832696" w14:textId="69890F24" w:rsidR="0074163C" w:rsidRDefault="0074163C" w:rsidP="0074163C">
      <w:bookmarkStart w:id="84" w:name="_Toc247691533"/>
      <w:bookmarkStart w:id="85" w:name="_Toc314842517"/>
      <w:r>
        <w:t xml:space="preserve">Based on a review of quality, </w:t>
      </w:r>
      <w:r w:rsidR="00CC5044">
        <w:t>safety,</w:t>
      </w:r>
      <w:r>
        <w:t xml:space="preserve"> and efficacy, the TGA approved the registration of </w:t>
      </w:r>
      <w:r w:rsidR="00947168" w:rsidRPr="00C55710">
        <w:t>E</w:t>
      </w:r>
      <w:r w:rsidR="00947168">
        <w:t>vusheld</w:t>
      </w:r>
      <w:r w:rsidR="00947168" w:rsidRPr="00C55710">
        <w:t xml:space="preserve"> </w:t>
      </w:r>
      <w:r w:rsidR="00947168">
        <w:t>(</w:t>
      </w:r>
      <w:r w:rsidR="00947168" w:rsidRPr="00C55710">
        <w:t>tixagevimab and cilgavimab</w:t>
      </w:r>
      <w:r w:rsidR="00947168" w:rsidRPr="000A4A42">
        <w:t xml:space="preserve">) </w:t>
      </w:r>
      <w:r w:rsidR="00947168" w:rsidRPr="007352B4">
        <w:t>100 mg/mL of tixagevimab and 100 mg/mL of cilgavimab, solut</w:t>
      </w:r>
      <w:r w:rsidR="00947168">
        <w:t>ion for injection, vial</w:t>
      </w:r>
      <w:r>
        <w:t xml:space="preserve">, indicated for </w:t>
      </w:r>
      <w:r w:rsidR="00947168">
        <w:t xml:space="preserve">and </w:t>
      </w:r>
      <w:r>
        <w:t>change in dose regime:</w:t>
      </w:r>
    </w:p>
    <w:p w14:paraId="48CD55BA" w14:textId="3DE43C79" w:rsidR="00947168" w:rsidRPr="00947168" w:rsidRDefault="00947168" w:rsidP="00947168">
      <w:pPr>
        <w:ind w:left="720"/>
        <w:rPr>
          <w:i/>
          <w:iCs/>
        </w:rPr>
      </w:pPr>
      <w:r w:rsidRPr="00947168">
        <w:rPr>
          <w:i/>
          <w:iCs/>
        </w:rPr>
        <w:t xml:space="preserve">Evusheld has provisional approval for the treatment of adults with COVID-19, who do not require supplemental oxygen and who are at increased risk of progressing to severe COVID-19. See Section 4.2 Dose and method of administration and Section 5.2 Pharmacokinetic properties. </w:t>
      </w:r>
    </w:p>
    <w:p w14:paraId="74EC9452" w14:textId="14229630" w:rsidR="00947168" w:rsidRDefault="00947168" w:rsidP="00947168">
      <w:pPr>
        <w:ind w:left="720"/>
        <w:rPr>
          <w:i/>
          <w:iCs/>
        </w:rPr>
      </w:pPr>
      <w:r w:rsidRPr="00947168">
        <w:rPr>
          <w:i/>
          <w:iCs/>
        </w:rPr>
        <w:t xml:space="preserve">This decision has been made </w:t>
      </w:r>
      <w:proofErr w:type="gramStart"/>
      <w:r w:rsidRPr="00947168">
        <w:rPr>
          <w:i/>
          <w:iCs/>
        </w:rPr>
        <w:t>on the basis of</w:t>
      </w:r>
      <w:proofErr w:type="gramEnd"/>
      <w:r w:rsidRPr="00947168">
        <w:rPr>
          <w:i/>
          <w:iCs/>
        </w:rPr>
        <w:t xml:space="preserve"> short-term efficacy and safety data. Continued approval depends on the evidence of longer-term efficacy and safety data from ongoing clinical trial.</w:t>
      </w:r>
    </w:p>
    <w:p w14:paraId="67002C02" w14:textId="3A8AF9C8" w:rsidR="00436504" w:rsidRDefault="00436504" w:rsidP="00436504">
      <w:r>
        <w:t>Changes in dose regime</w:t>
      </w:r>
      <w:r w:rsidR="00041873">
        <w:t xml:space="preserve"> (as per Product Information)</w:t>
      </w:r>
    </w:p>
    <w:p w14:paraId="0DE864F1" w14:textId="71408F81" w:rsidR="00436504" w:rsidRPr="00436504" w:rsidRDefault="00436504" w:rsidP="00436504">
      <w:pPr>
        <w:ind w:left="720"/>
        <w:rPr>
          <w:i/>
        </w:rPr>
      </w:pPr>
      <w:r w:rsidRPr="00436504">
        <w:rPr>
          <w:i/>
        </w:rPr>
        <w:t>The recommended dose to be increased from 300 mg to 600 mg intramuscular (IM) and repeat doses of 600 mg of Evusheld (300 mg of tixagevimab and 300 mg of cilgavimab) is optional and may be given once every 6 months at the discretion of the treating health care professional for pre-exposure prophylaxis indication.</w:t>
      </w:r>
    </w:p>
    <w:p w14:paraId="70551065" w14:textId="77777777" w:rsidR="00D23139" w:rsidRPr="00D23139" w:rsidRDefault="00D23139" w:rsidP="00D212F3">
      <w:pPr>
        <w:pStyle w:val="Heading3"/>
      </w:pPr>
      <w:bookmarkStart w:id="86" w:name="_Toc122596084"/>
      <w:r w:rsidRPr="00D23139">
        <w:t>Specific conditions of registration applying to these goods</w:t>
      </w:r>
      <w:bookmarkEnd w:id="86"/>
    </w:p>
    <w:p w14:paraId="6814B4B0" w14:textId="666B4373" w:rsidR="00E60DB2" w:rsidRPr="00E60DB2" w:rsidRDefault="00E60DB2" w:rsidP="005461D0">
      <w:pPr>
        <w:pStyle w:val="ListBullet"/>
      </w:pPr>
      <w:r w:rsidRPr="00E60DB2">
        <w:t>The E</w:t>
      </w:r>
      <w:r w:rsidR="005461D0">
        <w:t xml:space="preserve">vusheld </w:t>
      </w:r>
      <w:r w:rsidRPr="00E60DB2">
        <w:t xml:space="preserve">EU-RMP (version 2.2, dated 12 July 2022, data lock point 30 June 2022), with </w:t>
      </w:r>
      <w:r w:rsidR="005461D0">
        <w:t>ASA</w:t>
      </w:r>
      <w:r w:rsidRPr="00E60DB2">
        <w:t xml:space="preserve"> (version 4.1, dated 19 July 2022), included with submission PM-2022-03097-1-2, and any subsequent revisions, as agreed with the TGA will be implemented in Australia. </w:t>
      </w:r>
    </w:p>
    <w:p w14:paraId="7D64B500" w14:textId="3C077DDA" w:rsidR="00E60DB2" w:rsidRPr="00E60DB2" w:rsidRDefault="00E60DB2" w:rsidP="005461D0">
      <w:pPr>
        <w:pStyle w:val="ListBullet"/>
        <w:numPr>
          <w:ilvl w:val="0"/>
          <w:numId w:val="0"/>
        </w:numPr>
        <w:ind w:left="360"/>
      </w:pPr>
      <w:r w:rsidRPr="00E60DB2">
        <w:t>An obligatory component of risk management plans is routine pharmacovigilance. Routine pharmacovigilance includes the submission of periodic safety update reports (PSURs).</w:t>
      </w:r>
    </w:p>
    <w:p w14:paraId="178A476C" w14:textId="3A2E40A0" w:rsidR="00E60DB2" w:rsidRDefault="00E60DB2" w:rsidP="005461D0">
      <w:pPr>
        <w:pStyle w:val="ListBullet"/>
        <w:numPr>
          <w:ilvl w:val="0"/>
          <w:numId w:val="0"/>
        </w:numPr>
        <w:ind w:left="360"/>
      </w:pPr>
      <w:r w:rsidRPr="00E60DB2">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33F7D953" w14:textId="6D05A2E8" w:rsidR="005461D0" w:rsidRPr="005461D0" w:rsidRDefault="005461D0" w:rsidP="005461D0">
      <w:pPr>
        <w:pStyle w:val="ListBullet"/>
        <w:numPr>
          <w:ilvl w:val="0"/>
          <w:numId w:val="0"/>
        </w:numPr>
        <w:ind w:left="360"/>
      </w:pPr>
      <w:r w:rsidRPr="005461D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8165B16" w14:textId="0B3F973B" w:rsidR="005461D0" w:rsidRPr="005461D0" w:rsidRDefault="005461D0" w:rsidP="005461D0">
      <w:pPr>
        <w:pStyle w:val="ListBullet"/>
      </w:pPr>
      <w:r w:rsidRPr="005461D0">
        <w:t>The final study reports for the following study will have to be submitted before a</w:t>
      </w:r>
      <w:r>
        <w:t xml:space="preserve"> </w:t>
      </w:r>
      <w:r w:rsidRPr="005461D0">
        <w:t>definitive authorisation can be considered: TACKLE</w:t>
      </w:r>
      <w:r>
        <w:t xml:space="preserve"> trial.</w:t>
      </w:r>
    </w:p>
    <w:p w14:paraId="1B71FFA9" w14:textId="63110B4C" w:rsidR="005461D0" w:rsidRPr="00E60DB2" w:rsidRDefault="005461D0" w:rsidP="005461D0">
      <w:pPr>
        <w:pStyle w:val="ListBullet"/>
      </w:pPr>
      <w:r w:rsidRPr="005461D0">
        <w:t>All relevant conditions imposed under the original decision dated 24 February 2022 still apply.</w:t>
      </w:r>
    </w:p>
    <w:p w14:paraId="144E0EEC" w14:textId="77777777" w:rsidR="008E7846" w:rsidRDefault="00A80B5B" w:rsidP="00D23139">
      <w:pPr>
        <w:pStyle w:val="Heading2"/>
      </w:pPr>
      <w:bookmarkStart w:id="87" w:name="_Toc122596085"/>
      <w:r>
        <w:lastRenderedPageBreak/>
        <w:t xml:space="preserve">Attachment 1. </w:t>
      </w:r>
      <w:r w:rsidR="008E7846">
        <w:t xml:space="preserve">Product </w:t>
      </w:r>
      <w:r w:rsidR="00AA0ED0">
        <w:t>I</w:t>
      </w:r>
      <w:r w:rsidR="008E7846">
        <w:t>nformation</w:t>
      </w:r>
      <w:bookmarkEnd w:id="84"/>
      <w:bookmarkEnd w:id="85"/>
      <w:bookmarkEnd w:id="87"/>
    </w:p>
    <w:p w14:paraId="119F1E4C" w14:textId="5DF7EB18" w:rsidR="00523A21" w:rsidRDefault="006136D7" w:rsidP="00C80137">
      <w:r w:rsidRPr="002B3624">
        <w:t xml:space="preserve">The </w:t>
      </w:r>
      <w:r>
        <w:t>PI</w:t>
      </w:r>
      <w:r w:rsidRPr="002B3624">
        <w:t xml:space="preserve"> for</w:t>
      </w:r>
      <w:r w:rsidR="00A722E1">
        <w:t xml:space="preserve"> Evusheld</w:t>
      </w:r>
      <w:r w:rsidRPr="002B3624">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50" w:history="1">
        <w:r w:rsidR="0074163C" w:rsidRPr="008A698E">
          <w:rPr>
            <w:rStyle w:val="Hyperlink"/>
          </w:rPr>
          <w:t>PI/CMI search facility</w:t>
        </w:r>
        <w:r w:rsidR="0074163C" w:rsidRPr="00EB36D6">
          <w:rPr>
            <w:rStyle w:val="Hyperlink"/>
            <w:color w:val="auto"/>
            <w:u w:val="none"/>
          </w:rPr>
          <w:t>.</w:t>
        </w:r>
      </w:hyperlink>
    </w:p>
    <w:p w14:paraId="1194990A" w14:textId="342F653E" w:rsidR="00291957" w:rsidRDefault="008E7846" w:rsidP="00C55710">
      <w:pPr>
        <w:rPr>
          <w:lang w:eastAsia="ja-JP"/>
        </w:rPr>
      </w:pPr>
      <w:r w:rsidRPr="00C80137">
        <w:br w:type="page"/>
      </w:r>
    </w:p>
    <w:p w14:paraId="3815C1AF" w14:textId="77777777" w:rsidR="00C80137" w:rsidRPr="001D043B" w:rsidRDefault="00C80137" w:rsidP="003A7F6C">
      <w:pPr>
        <w:pStyle w:val="TableTitle"/>
        <w:sectPr w:rsidR="00C80137" w:rsidRPr="001D043B" w:rsidSect="00B452CE">
          <w:headerReference w:type="even" r:id="rId51"/>
          <w:headerReference w:type="default" r:id="rId52"/>
          <w:headerReference w:type="first" r:id="rId53"/>
          <w:footerReference w:type="first" r:id="rId5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C84263F" w14:textId="77777777" w:rsidTr="00A05FA4">
        <w:trPr>
          <w:trHeight w:hRule="exact" w:val="704"/>
        </w:trPr>
        <w:tc>
          <w:tcPr>
            <w:tcW w:w="9175" w:type="dxa"/>
          </w:tcPr>
          <w:p w14:paraId="35B42F37" w14:textId="77777777" w:rsidR="001C32CD" w:rsidRPr="00487162" w:rsidRDefault="001C32CD" w:rsidP="00A05FA4">
            <w:pPr>
              <w:pStyle w:val="TGASignoff"/>
            </w:pPr>
            <w:r w:rsidRPr="00487162">
              <w:lastRenderedPageBreak/>
              <w:t>Therapeutic Goods Administration</w:t>
            </w:r>
          </w:p>
        </w:tc>
      </w:tr>
      <w:tr w:rsidR="001C32CD" w:rsidRPr="004C239D" w14:paraId="346270A3" w14:textId="77777777" w:rsidTr="00A05FA4">
        <w:trPr>
          <w:trHeight w:val="1221"/>
        </w:trPr>
        <w:tc>
          <w:tcPr>
            <w:tcW w:w="9175" w:type="dxa"/>
            <w:tcMar>
              <w:top w:w="28" w:type="dxa"/>
            </w:tcMar>
          </w:tcPr>
          <w:p w14:paraId="54BC33D9" w14:textId="77777777" w:rsidR="001C32CD" w:rsidRPr="00487162" w:rsidRDefault="001C32CD" w:rsidP="00A05FA4">
            <w:pPr>
              <w:pStyle w:val="Address"/>
            </w:pPr>
            <w:r w:rsidRPr="00487162">
              <w:t>PO Box 100 Woden ACT 2606 Australia</w:t>
            </w:r>
          </w:p>
          <w:p w14:paraId="531DFA6D" w14:textId="0B02E438" w:rsidR="001C32CD" w:rsidRPr="00487162" w:rsidRDefault="001C32CD" w:rsidP="00A05FA4">
            <w:pPr>
              <w:pStyle w:val="Address"/>
            </w:pPr>
            <w:r w:rsidRPr="00487162">
              <w:t xml:space="preserve">Email: </w:t>
            </w:r>
            <w:hyperlink r:id="rId55"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01D0555" w14:textId="08F9EC6C" w:rsidR="001C32CD" w:rsidRPr="004C239D" w:rsidRDefault="005E1B9B" w:rsidP="00A05FA4">
            <w:pPr>
              <w:pStyle w:val="Address"/>
              <w:spacing w:line="260" w:lineRule="atLeast"/>
              <w:rPr>
                <w:b/>
                <w:color w:val="0000FF"/>
                <w:u w:val="single"/>
              </w:rPr>
            </w:pPr>
            <w:hyperlink r:id="rId56" w:history="1">
              <w:r w:rsidR="007C6B9B" w:rsidRPr="007C6B9B">
                <w:rPr>
                  <w:rStyle w:val="Hyperlink"/>
                  <w:b/>
                </w:rPr>
                <w:t>https://www.tga.gov.au</w:t>
              </w:r>
            </w:hyperlink>
          </w:p>
        </w:tc>
      </w:tr>
    </w:tbl>
    <w:p w14:paraId="3F87E020" w14:textId="77777777" w:rsidR="00774E1D" w:rsidRPr="008A5E0B" w:rsidRDefault="00774E1D" w:rsidP="004C239D"/>
    <w:sectPr w:rsidR="00774E1D" w:rsidRPr="008A5E0B" w:rsidSect="001C32CD">
      <w:headerReference w:type="even" r:id="rId57"/>
      <w:headerReference w:type="default" r:id="rId58"/>
      <w:footerReference w:type="default" r:id="rId59"/>
      <w:headerReference w:type="first" r:id="rId60"/>
      <w:footerReference w:type="first" r:id="rId6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A473" w14:textId="77777777" w:rsidR="000449A9" w:rsidRDefault="000449A9" w:rsidP="00C40A36">
      <w:pPr>
        <w:spacing w:after="0"/>
      </w:pPr>
      <w:r>
        <w:separator/>
      </w:r>
    </w:p>
  </w:endnote>
  <w:endnote w:type="continuationSeparator" w:id="0">
    <w:p w14:paraId="29567B5A" w14:textId="77777777" w:rsidR="000449A9" w:rsidRDefault="000449A9" w:rsidP="00C40A36">
      <w:pPr>
        <w:spacing w:after="0"/>
      </w:pPr>
      <w:r>
        <w:continuationSeparator/>
      </w:r>
    </w:p>
  </w:endnote>
  <w:endnote w:type="continuationNotice" w:id="1">
    <w:p w14:paraId="6B499730" w14:textId="77777777" w:rsidR="000449A9" w:rsidRDefault="000449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14F76" w:rsidRPr="00487162" w14:paraId="671DCEDD" w14:textId="77777777" w:rsidTr="00DB750B">
      <w:trPr>
        <w:trHeight w:val="269"/>
      </w:trPr>
      <w:tc>
        <w:tcPr>
          <w:tcW w:w="7371" w:type="dxa"/>
          <w:tcMar>
            <w:top w:w="142" w:type="dxa"/>
            <w:bottom w:w="0" w:type="dxa"/>
          </w:tcMar>
        </w:tcPr>
        <w:p w14:paraId="1D5EC4C0" w14:textId="463E996F" w:rsidR="00214F76" w:rsidRPr="00487162" w:rsidRDefault="00214F76" w:rsidP="00460036">
          <w:pPr>
            <w:pStyle w:val="Footer"/>
          </w:pPr>
          <w:r w:rsidRPr="00487162">
            <w:t>AusPA</w:t>
          </w:r>
          <w:r>
            <w:t xml:space="preserve">R – </w:t>
          </w:r>
          <w:r w:rsidRPr="00C55710">
            <w:t>E</w:t>
          </w:r>
          <w:r>
            <w:t>vusheld</w:t>
          </w:r>
          <w:r w:rsidRPr="00C55710">
            <w:t xml:space="preserve"> - tixagevimab and cilgavimab - AstraZeneca Pty Ltd </w:t>
          </w:r>
          <w:r>
            <w:t>–</w:t>
          </w:r>
          <w:r w:rsidRPr="00C55710">
            <w:t xml:space="preserve"> </w:t>
          </w:r>
          <w:r>
            <w:t xml:space="preserve">PM-2021-05375-1-2 and </w:t>
          </w:r>
          <w:r w:rsidRPr="00C55710">
            <w:t>PM-2022-03097-1-2</w:t>
          </w:r>
          <w:r>
            <w:br/>
          </w:r>
          <w:r w:rsidR="006D3715">
            <w:t>FINAL</w:t>
          </w:r>
          <w:r w:rsidRPr="00487162">
            <w:t xml:space="preserve"> </w:t>
          </w:r>
          <w:r w:rsidR="006D3715">
            <w:t>4 January</w:t>
          </w:r>
          <w:r>
            <w:t xml:space="preserve"> 202</w:t>
          </w:r>
          <w:r w:rsidR="006D3715">
            <w:t>3</w:t>
          </w:r>
        </w:p>
      </w:tc>
      <w:tc>
        <w:tcPr>
          <w:tcW w:w="1490" w:type="dxa"/>
          <w:tcMar>
            <w:top w:w="142" w:type="dxa"/>
            <w:bottom w:w="0" w:type="dxa"/>
          </w:tcMar>
        </w:tcPr>
        <w:p w14:paraId="57AEC73A" w14:textId="6C416177" w:rsidR="00214F76" w:rsidRPr="00487162" w:rsidRDefault="00214F76" w:rsidP="00DB750B">
          <w:pPr>
            <w:pStyle w:val="Footer"/>
            <w:jc w:val="right"/>
          </w:pPr>
          <w:r w:rsidRPr="00487162">
            <w:t xml:space="preserve">Page </w:t>
          </w:r>
          <w:r>
            <w:fldChar w:fldCharType="begin"/>
          </w:r>
          <w:r>
            <w:instrText xml:space="preserve"> PAGE  \* Arabic </w:instrText>
          </w:r>
          <w:r>
            <w:fldChar w:fldCharType="separate"/>
          </w:r>
          <w:r w:rsidR="002F1988">
            <w:rPr>
              <w:noProof/>
            </w:rPr>
            <w:t>10</w:t>
          </w:r>
          <w:r>
            <w:fldChar w:fldCharType="end"/>
          </w:r>
          <w:r w:rsidRPr="00487162">
            <w:t xml:space="preserve"> of </w:t>
          </w:r>
          <w:r w:rsidR="005E1B9B">
            <w:fldChar w:fldCharType="begin"/>
          </w:r>
          <w:r w:rsidR="005E1B9B">
            <w:instrText xml:space="preserve"> NUMPAGES  \* Arabic </w:instrText>
          </w:r>
          <w:r w:rsidR="005E1B9B">
            <w:fldChar w:fldCharType="separate"/>
          </w:r>
          <w:r w:rsidR="002F1988">
            <w:rPr>
              <w:noProof/>
            </w:rPr>
            <w:t>53</w:t>
          </w:r>
          <w:r w:rsidR="005E1B9B">
            <w:rPr>
              <w:noProof/>
            </w:rPr>
            <w:fldChar w:fldCharType="end"/>
          </w:r>
        </w:p>
      </w:tc>
    </w:tr>
  </w:tbl>
  <w:p w14:paraId="7D95E978" w14:textId="77777777" w:rsidR="00214F76" w:rsidRDefault="00214F7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14F76" w:rsidRPr="00487162" w14:paraId="582B9928" w14:textId="77777777" w:rsidTr="00E45619">
      <w:trPr>
        <w:trHeight w:val="269"/>
      </w:trPr>
      <w:tc>
        <w:tcPr>
          <w:tcW w:w="4519" w:type="dxa"/>
          <w:tcBorders>
            <w:top w:val="single" w:sz="4" w:space="0" w:color="auto"/>
          </w:tcBorders>
          <w:tcMar>
            <w:top w:w="142" w:type="dxa"/>
            <w:bottom w:w="0" w:type="dxa"/>
          </w:tcMar>
        </w:tcPr>
        <w:p w14:paraId="39A7ADDD" w14:textId="77777777" w:rsidR="00214F76" w:rsidRPr="00487162" w:rsidRDefault="00214F76" w:rsidP="00FE1DEE">
          <w:pPr>
            <w:pStyle w:val="Footer"/>
          </w:pPr>
          <w:r w:rsidRPr="00487162">
            <w:t>Document title, Part #, Section # - Section title</w:t>
          </w:r>
        </w:p>
        <w:p w14:paraId="70C5D7DD" w14:textId="77777777" w:rsidR="00214F76" w:rsidRPr="00487162" w:rsidRDefault="00214F76" w:rsidP="00FE1DEE">
          <w:pPr>
            <w:pStyle w:val="Footer"/>
          </w:pPr>
          <w:r w:rsidRPr="00487162">
            <w:t>V1.0 October 2010</w:t>
          </w:r>
        </w:p>
      </w:tc>
      <w:tc>
        <w:tcPr>
          <w:tcW w:w="4342" w:type="dxa"/>
          <w:tcBorders>
            <w:top w:val="single" w:sz="4" w:space="0" w:color="auto"/>
          </w:tcBorders>
          <w:tcMar>
            <w:top w:w="142" w:type="dxa"/>
            <w:bottom w:w="0" w:type="dxa"/>
          </w:tcMar>
        </w:tcPr>
        <w:p w14:paraId="70F73EA8" w14:textId="77777777" w:rsidR="00214F76" w:rsidRPr="00487162" w:rsidRDefault="00214F7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E1B9B">
            <w:fldChar w:fldCharType="begin"/>
          </w:r>
          <w:r w:rsidR="005E1B9B">
            <w:instrText xml:space="preserve"> NUMPAGES  </w:instrText>
          </w:r>
          <w:r w:rsidR="005E1B9B">
            <w:fldChar w:fldCharType="separate"/>
          </w:r>
          <w:r>
            <w:rPr>
              <w:noProof/>
            </w:rPr>
            <w:t>21</w:t>
          </w:r>
          <w:r w:rsidR="005E1B9B">
            <w:rPr>
              <w:noProof/>
            </w:rPr>
            <w:fldChar w:fldCharType="end"/>
          </w:r>
        </w:p>
      </w:tc>
    </w:tr>
  </w:tbl>
  <w:p w14:paraId="1B9F838D" w14:textId="77777777" w:rsidR="00214F76" w:rsidRDefault="00214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143E" w14:textId="77777777" w:rsidR="00214F76" w:rsidRPr="001C32CD" w:rsidRDefault="00214F7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14F76" w14:paraId="42923B44" w14:textId="77777777" w:rsidTr="0010601F">
      <w:trPr>
        <w:trHeight w:val="108"/>
      </w:trPr>
      <w:tc>
        <w:tcPr>
          <w:tcW w:w="8875" w:type="dxa"/>
          <w:gridSpan w:val="2"/>
          <w:tcBorders>
            <w:bottom w:val="single" w:sz="4" w:space="0" w:color="auto"/>
          </w:tcBorders>
          <w:tcMar>
            <w:right w:w="284" w:type="dxa"/>
          </w:tcMar>
        </w:tcPr>
        <w:p w14:paraId="23C4D323" w14:textId="77777777" w:rsidR="00214F76" w:rsidRDefault="00214F76" w:rsidP="006E08B3">
          <w:pPr>
            <w:pStyle w:val="Heading3"/>
          </w:pPr>
          <w:r>
            <w:t>Copyright</w:t>
          </w:r>
        </w:p>
        <w:p w14:paraId="50E4AFA2" w14:textId="77777777" w:rsidR="00214F76" w:rsidRDefault="00214F76" w:rsidP="006E08B3">
          <w:r>
            <w:rPr>
              <w:rFonts w:cs="Arial"/>
            </w:rPr>
            <w:t>©</w:t>
          </w:r>
          <w:r>
            <w:t xml:space="preserve"> Commonwealth of Australia [add year]</w:t>
          </w:r>
        </w:p>
        <w:p w14:paraId="7032A7BD" w14:textId="77777777" w:rsidR="00214F76" w:rsidRDefault="00214F76" w:rsidP="006E08B3"/>
        <w:p w14:paraId="6259E390" w14:textId="77777777" w:rsidR="00214F76" w:rsidRDefault="00214F7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D7BE65A" w14:textId="77777777" w:rsidR="00214F76" w:rsidRDefault="00214F76" w:rsidP="006E08B3"/>
        <w:p w14:paraId="0540D8C6" w14:textId="77777777" w:rsidR="00214F76" w:rsidRDefault="00214F76" w:rsidP="006E08B3">
          <w:pPr>
            <w:pStyle w:val="Heading3"/>
          </w:pPr>
          <w:r>
            <w:t>Confidentiality</w:t>
          </w:r>
        </w:p>
        <w:p w14:paraId="23C8E1BF" w14:textId="77777777" w:rsidR="00214F76" w:rsidRDefault="00214F7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C89309B" w14:textId="77777777" w:rsidR="00214F76" w:rsidRDefault="00214F76" w:rsidP="006E08B3"/>
        <w:p w14:paraId="661A8A71" w14:textId="77777777" w:rsidR="00214F76" w:rsidRDefault="00214F76" w:rsidP="006E08B3">
          <w:r>
            <w:t>For submission made by individuals, all personal details, other than your name, will be removed from your submission before it is published on the TGA’s Internet site.</w:t>
          </w:r>
        </w:p>
        <w:p w14:paraId="233DECB1" w14:textId="77777777" w:rsidR="00214F76" w:rsidRDefault="00214F76" w:rsidP="006E08B3"/>
        <w:p w14:paraId="19ADFB66" w14:textId="77777777" w:rsidR="00214F76" w:rsidRDefault="00214F76" w:rsidP="006E08B3">
          <w:r>
            <w:t>In addition, a list of parties making submissions will be published. If you do not wish to be identified with your submission you must specifically request this in the space provided in the submission coversheet.</w:t>
          </w:r>
        </w:p>
      </w:tc>
    </w:tr>
    <w:tr w:rsidR="00214F76" w14:paraId="2E211C17" w14:textId="77777777" w:rsidTr="0010601F">
      <w:trPr>
        <w:trHeight w:val="417"/>
      </w:trPr>
      <w:tc>
        <w:tcPr>
          <w:tcW w:w="4519" w:type="dxa"/>
          <w:tcBorders>
            <w:top w:val="single" w:sz="4" w:space="0" w:color="auto"/>
          </w:tcBorders>
          <w:tcMar>
            <w:top w:w="142" w:type="dxa"/>
            <w:bottom w:w="0" w:type="dxa"/>
          </w:tcMar>
        </w:tcPr>
        <w:p w14:paraId="7EF876EB" w14:textId="77777777" w:rsidR="00214F76" w:rsidRDefault="00214F76" w:rsidP="006E08B3">
          <w:r>
            <w:t>Document title, Part #, Section # - Section title</w:t>
          </w:r>
        </w:p>
        <w:p w14:paraId="1CF6FFB2" w14:textId="77777777" w:rsidR="00214F76" w:rsidRDefault="00214F76" w:rsidP="006E08B3">
          <w:r>
            <w:t>V1.0 October 2010</w:t>
          </w:r>
        </w:p>
      </w:tc>
      <w:tc>
        <w:tcPr>
          <w:tcW w:w="4356" w:type="dxa"/>
          <w:tcBorders>
            <w:top w:val="single" w:sz="4" w:space="0" w:color="auto"/>
          </w:tcBorders>
          <w:tcMar>
            <w:top w:w="142" w:type="dxa"/>
            <w:bottom w:w="0" w:type="dxa"/>
          </w:tcMar>
        </w:tcPr>
        <w:p w14:paraId="4ABC1FE9" w14:textId="77777777" w:rsidR="00214F76" w:rsidRDefault="00214F7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E1B9B">
            <w:fldChar w:fldCharType="begin"/>
          </w:r>
          <w:r w:rsidR="005E1B9B">
            <w:instrText xml:space="preserve"> NUMPAGES  \* Arabic </w:instrText>
          </w:r>
          <w:r w:rsidR="005E1B9B">
            <w:fldChar w:fldCharType="separate"/>
          </w:r>
          <w:r>
            <w:rPr>
              <w:noProof/>
            </w:rPr>
            <w:t>21</w:t>
          </w:r>
          <w:r w:rsidR="005E1B9B">
            <w:rPr>
              <w:noProof/>
            </w:rPr>
            <w:fldChar w:fldCharType="end"/>
          </w:r>
          <w:r>
            <w:t xml:space="preserve">  </w:t>
          </w:r>
        </w:p>
      </w:tc>
    </w:tr>
  </w:tbl>
  <w:p w14:paraId="473F6E27" w14:textId="77777777" w:rsidR="00214F76" w:rsidRDefault="00214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8C7E" w14:textId="77777777" w:rsidR="000449A9" w:rsidRDefault="000449A9" w:rsidP="00C40A36">
      <w:pPr>
        <w:spacing w:after="0"/>
      </w:pPr>
      <w:r>
        <w:separator/>
      </w:r>
    </w:p>
  </w:footnote>
  <w:footnote w:type="continuationSeparator" w:id="0">
    <w:p w14:paraId="340FB20B" w14:textId="77777777" w:rsidR="000449A9" w:rsidRDefault="000449A9" w:rsidP="00C40A36">
      <w:pPr>
        <w:spacing w:after="0"/>
      </w:pPr>
      <w:r>
        <w:continuationSeparator/>
      </w:r>
    </w:p>
  </w:footnote>
  <w:footnote w:type="continuationNotice" w:id="1">
    <w:p w14:paraId="59AED7EF" w14:textId="77777777" w:rsidR="000449A9" w:rsidRDefault="000449A9">
      <w:pPr>
        <w:spacing w:before="0" w:after="0" w:line="240" w:lineRule="auto"/>
      </w:pPr>
    </w:p>
  </w:footnote>
  <w:footnote w:id="2">
    <w:p w14:paraId="42D93DDE" w14:textId="6EB262DE" w:rsidR="00214F76" w:rsidRPr="00342791" w:rsidRDefault="00214F76">
      <w:pPr>
        <w:pStyle w:val="FootnoteText"/>
        <w:rPr>
          <w:lang w:val="en-GB"/>
        </w:rPr>
      </w:pPr>
      <w:r>
        <w:rPr>
          <w:rStyle w:val="FootnoteReference"/>
        </w:rPr>
        <w:footnoteRef/>
      </w:r>
      <w:r>
        <w:t xml:space="preserve"> AusPAR for Evusheld (tixagevimab and cilgavimab), AstraZeneca Pty Ltd; submission PM-2021-05375-1-2. Published 11 March 2022; provisional and initial approval of Evusheld, indicated for the pre-exposure prophylaxis of COVID-19. Available online at: </w:t>
      </w:r>
      <w:hyperlink r:id="rId1" w:history="1">
        <w:r>
          <w:rPr>
            <w:rStyle w:val="Hyperlink"/>
          </w:rPr>
          <w:t>AusPAR: Tixagevimab and cilgavimab | Therapeutic Goods Administration (TGA)</w:t>
        </w:r>
      </w:hyperlink>
    </w:p>
  </w:footnote>
  <w:footnote w:id="3">
    <w:p w14:paraId="798B6C0C" w14:textId="77777777" w:rsidR="00214F76" w:rsidRPr="00E6060F" w:rsidRDefault="00214F76" w:rsidP="00E6060F">
      <w:pPr>
        <w:pStyle w:val="FootnoteText"/>
      </w:pPr>
      <w:r>
        <w:rPr>
          <w:rStyle w:val="FootnoteReference"/>
        </w:rPr>
        <w:footnoteRef/>
      </w:r>
      <w:r>
        <w:t xml:space="preserve"> </w:t>
      </w:r>
      <w:r w:rsidRPr="00E6060F">
        <w:t>Tuekprakhon et al. Antibody escape of SARS-CoV-2 Omicron BA.4 and BA.5 from vaccine and BA.1 serum,</w:t>
      </w:r>
    </w:p>
    <w:p w14:paraId="6EFB5A5C" w14:textId="6251121D" w:rsidR="00214F76" w:rsidRDefault="00214F76" w:rsidP="00E6060F">
      <w:pPr>
        <w:pStyle w:val="FootnoteText"/>
      </w:pPr>
      <w:r w:rsidRPr="000B256F">
        <w:rPr>
          <w:i/>
          <w:iCs/>
        </w:rPr>
        <w:t>Cell</w:t>
      </w:r>
      <w:r w:rsidRPr="00E6060F">
        <w:t>,</w:t>
      </w:r>
      <w:r>
        <w:t xml:space="preserve"> 2022. </w:t>
      </w:r>
      <w:r w:rsidRPr="00E6060F">
        <w:t>185,14</w:t>
      </w:r>
      <w:r>
        <w:t xml:space="preserve"> :</w:t>
      </w:r>
      <w:r w:rsidRPr="00E6060F">
        <w:t>2422-2433.</w:t>
      </w:r>
    </w:p>
  </w:footnote>
  <w:footnote w:id="4">
    <w:p w14:paraId="1E0BA7F4" w14:textId="4DC0A046" w:rsidR="00214F76" w:rsidRPr="008D61A2" w:rsidRDefault="00214F76">
      <w:pPr>
        <w:pStyle w:val="FootnoteText"/>
        <w:rPr>
          <w:lang w:val="en-GB"/>
        </w:rPr>
      </w:pPr>
      <w:r>
        <w:rPr>
          <w:rStyle w:val="FootnoteReference"/>
        </w:rPr>
        <w:footnoteRef/>
      </w:r>
      <w:r>
        <w:t xml:space="preserve"> Case J, Mackin S, Errico J</w:t>
      </w:r>
      <w:r w:rsidRPr="00DC2615">
        <w:t xml:space="preserve"> et al (2022) Resilience of S309 and AZD7442 monoclonal antibody treatments against 2 infections by SARS-CoV-2 Omicron lineage strains. </w:t>
      </w:r>
      <w:r w:rsidRPr="00342791">
        <w:rPr>
          <w:i/>
        </w:rPr>
        <w:t>Nature Communications</w:t>
      </w:r>
      <w:r w:rsidRPr="00DC2615">
        <w:t xml:space="preserve"> 13, 3824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D6A9" w14:textId="77777777" w:rsidR="00214F76" w:rsidRDefault="00214F7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FE2B" w14:textId="77777777" w:rsidR="00214F76" w:rsidRDefault="00214F76">
    <w:pPr>
      <w:rPr>
        <w:noProof/>
        <w:lang w:eastAsia="en-AU"/>
      </w:rPr>
    </w:pPr>
    <w:r w:rsidRPr="00347824">
      <w:rPr>
        <w:noProof/>
        <w:lang w:val="en-GB" w:eastAsia="en-GB"/>
      </w:rPr>
      <w:drawing>
        <wp:anchor distT="0" distB="0" distL="114300" distR="114300" simplePos="0" relativeHeight="251658240" behindDoc="1" locked="0" layoutInCell="1" allowOverlap="1" wp14:anchorId="7F95A967" wp14:editId="2B90D213">
          <wp:simplePos x="0" y="0"/>
          <wp:positionH relativeFrom="column">
            <wp:posOffset>-1089660</wp:posOffset>
          </wp:positionH>
          <wp:positionV relativeFrom="paragraph">
            <wp:posOffset>-585470</wp:posOffset>
          </wp:positionV>
          <wp:extent cx="7572375" cy="10706100"/>
          <wp:effectExtent l="19050" t="0" r="0" b="0"/>
          <wp:wrapNone/>
          <wp:docPr id="2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0910" w14:textId="77777777" w:rsidR="00214F76" w:rsidRDefault="00214F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AE39" w14:textId="77777777" w:rsidR="00214F76" w:rsidRDefault="00214F7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35BD" w14:textId="77777777" w:rsidR="00214F76" w:rsidRDefault="00214F7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FF1A" w14:textId="77777777" w:rsidR="00214F76" w:rsidRDefault="00214F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D77B" w14:textId="77777777" w:rsidR="00214F76" w:rsidRDefault="00214F7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6955" w14:textId="77777777" w:rsidR="00214F76" w:rsidRDefault="00214F76" w:rsidP="006E08B3">
    <w:r>
      <w:t>Therapeutic Goods Administration</w:t>
    </w:r>
  </w:p>
  <w:p w14:paraId="2B6090C9" w14:textId="77777777" w:rsidR="00214F76" w:rsidRDefault="00214F7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7E4586"/>
    <w:multiLevelType w:val="hybridMultilevel"/>
    <w:tmpl w:val="DCF41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81C0EF3"/>
    <w:multiLevelType w:val="hybridMultilevel"/>
    <w:tmpl w:val="4F921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177180"/>
    <w:multiLevelType w:val="hybridMultilevel"/>
    <w:tmpl w:val="7F00A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A73C65"/>
    <w:multiLevelType w:val="hybridMultilevel"/>
    <w:tmpl w:val="D062F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EF0780"/>
    <w:multiLevelType w:val="hybridMultilevel"/>
    <w:tmpl w:val="4A18C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161A18"/>
    <w:multiLevelType w:val="hybridMultilevel"/>
    <w:tmpl w:val="8D464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F87339"/>
    <w:multiLevelType w:val="hybridMultilevel"/>
    <w:tmpl w:val="19A64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342D5F"/>
    <w:multiLevelType w:val="hybridMultilevel"/>
    <w:tmpl w:val="8CFC2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20"/>
  </w:num>
  <w:num w:numId="29">
    <w:abstractNumId w:val="7"/>
  </w:num>
  <w:num w:numId="30">
    <w:abstractNumId w:val="11"/>
  </w:num>
  <w:num w:numId="31">
    <w:abstractNumId w:val="4"/>
  </w:num>
  <w:num w:numId="32">
    <w:abstractNumId w:val="14"/>
  </w:num>
  <w:num w:numId="33">
    <w:abstractNumId w:val="6"/>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9"/>
  </w:num>
  <w:num w:numId="39">
    <w:abstractNumId w:val="12"/>
  </w:num>
  <w:num w:numId="40">
    <w:abstractNumId w:val="16"/>
  </w:num>
  <w:num w:numId="41">
    <w:abstractNumId w:val="18"/>
  </w:num>
  <w:num w:numId="42">
    <w:abstractNumId w:val="9"/>
  </w:num>
  <w:num w:numId="43">
    <w:abstractNumId w:val="1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BD0"/>
    <w:rsid w:val="00001584"/>
    <w:rsid w:val="00002031"/>
    <w:rsid w:val="000025BB"/>
    <w:rsid w:val="000025CE"/>
    <w:rsid w:val="00004734"/>
    <w:rsid w:val="00006B22"/>
    <w:rsid w:val="00006FAB"/>
    <w:rsid w:val="00010389"/>
    <w:rsid w:val="00010A02"/>
    <w:rsid w:val="0001276A"/>
    <w:rsid w:val="000246AE"/>
    <w:rsid w:val="00025C67"/>
    <w:rsid w:val="000265AA"/>
    <w:rsid w:val="00041873"/>
    <w:rsid w:val="00044772"/>
    <w:rsid w:val="000449A9"/>
    <w:rsid w:val="0004541C"/>
    <w:rsid w:val="000456D7"/>
    <w:rsid w:val="00052F83"/>
    <w:rsid w:val="0005559E"/>
    <w:rsid w:val="000604D6"/>
    <w:rsid w:val="00065F24"/>
    <w:rsid w:val="00067240"/>
    <w:rsid w:val="000734D8"/>
    <w:rsid w:val="00077775"/>
    <w:rsid w:val="00090471"/>
    <w:rsid w:val="00092A28"/>
    <w:rsid w:val="00093032"/>
    <w:rsid w:val="00096AA7"/>
    <w:rsid w:val="000A1A5A"/>
    <w:rsid w:val="000A1F18"/>
    <w:rsid w:val="000A3AED"/>
    <w:rsid w:val="000B256F"/>
    <w:rsid w:val="000B3532"/>
    <w:rsid w:val="000B3A75"/>
    <w:rsid w:val="000C00C2"/>
    <w:rsid w:val="000C690F"/>
    <w:rsid w:val="000D1295"/>
    <w:rsid w:val="000D391B"/>
    <w:rsid w:val="000D3D6D"/>
    <w:rsid w:val="000D4FC7"/>
    <w:rsid w:val="000E6196"/>
    <w:rsid w:val="000F4869"/>
    <w:rsid w:val="000F512E"/>
    <w:rsid w:val="000F5B42"/>
    <w:rsid w:val="000F6E6F"/>
    <w:rsid w:val="000F7BF3"/>
    <w:rsid w:val="00101581"/>
    <w:rsid w:val="0010601F"/>
    <w:rsid w:val="0010788A"/>
    <w:rsid w:val="00107A31"/>
    <w:rsid w:val="00110EA5"/>
    <w:rsid w:val="00112F56"/>
    <w:rsid w:val="00117C1F"/>
    <w:rsid w:val="00120C4C"/>
    <w:rsid w:val="00122C2E"/>
    <w:rsid w:val="00124ACD"/>
    <w:rsid w:val="00125318"/>
    <w:rsid w:val="001305A2"/>
    <w:rsid w:val="0013134F"/>
    <w:rsid w:val="00133238"/>
    <w:rsid w:val="00133A1B"/>
    <w:rsid w:val="00135802"/>
    <w:rsid w:val="001379CC"/>
    <w:rsid w:val="0014197B"/>
    <w:rsid w:val="001447CD"/>
    <w:rsid w:val="001516B1"/>
    <w:rsid w:val="00154EBB"/>
    <w:rsid w:val="001560D0"/>
    <w:rsid w:val="00156316"/>
    <w:rsid w:val="00161181"/>
    <w:rsid w:val="00161D56"/>
    <w:rsid w:val="00162D14"/>
    <w:rsid w:val="00163780"/>
    <w:rsid w:val="00165389"/>
    <w:rsid w:val="001654A8"/>
    <w:rsid w:val="00170FE1"/>
    <w:rsid w:val="00172A48"/>
    <w:rsid w:val="0017693F"/>
    <w:rsid w:val="00176E9D"/>
    <w:rsid w:val="0018110E"/>
    <w:rsid w:val="00181684"/>
    <w:rsid w:val="001843C6"/>
    <w:rsid w:val="001850E0"/>
    <w:rsid w:val="00185407"/>
    <w:rsid w:val="00193561"/>
    <w:rsid w:val="001A03AF"/>
    <w:rsid w:val="001A193F"/>
    <w:rsid w:val="001A2158"/>
    <w:rsid w:val="001A32A3"/>
    <w:rsid w:val="001A525F"/>
    <w:rsid w:val="001A5A00"/>
    <w:rsid w:val="001A66B8"/>
    <w:rsid w:val="001B09F9"/>
    <w:rsid w:val="001B1DA4"/>
    <w:rsid w:val="001B3DF5"/>
    <w:rsid w:val="001B5C90"/>
    <w:rsid w:val="001B5E26"/>
    <w:rsid w:val="001B6448"/>
    <w:rsid w:val="001C0E92"/>
    <w:rsid w:val="001C32CD"/>
    <w:rsid w:val="001D2984"/>
    <w:rsid w:val="001E07CF"/>
    <w:rsid w:val="001E223F"/>
    <w:rsid w:val="001E359E"/>
    <w:rsid w:val="001E59F1"/>
    <w:rsid w:val="001E5F69"/>
    <w:rsid w:val="001F04FB"/>
    <w:rsid w:val="001F11DB"/>
    <w:rsid w:val="001F2CEE"/>
    <w:rsid w:val="001F49EB"/>
    <w:rsid w:val="001F4E40"/>
    <w:rsid w:val="001F6CBA"/>
    <w:rsid w:val="00201D4E"/>
    <w:rsid w:val="00203CE1"/>
    <w:rsid w:val="002076C9"/>
    <w:rsid w:val="00214F76"/>
    <w:rsid w:val="0021663D"/>
    <w:rsid w:val="0021674F"/>
    <w:rsid w:val="0022072D"/>
    <w:rsid w:val="00220B8A"/>
    <w:rsid w:val="00224AD8"/>
    <w:rsid w:val="002257F3"/>
    <w:rsid w:val="002314EA"/>
    <w:rsid w:val="00233456"/>
    <w:rsid w:val="002339A5"/>
    <w:rsid w:val="00241A39"/>
    <w:rsid w:val="00250271"/>
    <w:rsid w:val="00250F35"/>
    <w:rsid w:val="00256624"/>
    <w:rsid w:val="00257848"/>
    <w:rsid w:val="002578E8"/>
    <w:rsid w:val="00265C49"/>
    <w:rsid w:val="0027084A"/>
    <w:rsid w:val="00271E85"/>
    <w:rsid w:val="00280265"/>
    <w:rsid w:val="00286434"/>
    <w:rsid w:val="00286C59"/>
    <w:rsid w:val="00291957"/>
    <w:rsid w:val="002942D1"/>
    <w:rsid w:val="0029501A"/>
    <w:rsid w:val="002A19CF"/>
    <w:rsid w:val="002A3721"/>
    <w:rsid w:val="002B0A38"/>
    <w:rsid w:val="002B149A"/>
    <w:rsid w:val="002B1638"/>
    <w:rsid w:val="002B23EC"/>
    <w:rsid w:val="002B2D81"/>
    <w:rsid w:val="002B3624"/>
    <w:rsid w:val="002D0952"/>
    <w:rsid w:val="002D5546"/>
    <w:rsid w:val="002D6027"/>
    <w:rsid w:val="002E40B3"/>
    <w:rsid w:val="002E4C9A"/>
    <w:rsid w:val="002E6765"/>
    <w:rsid w:val="002E7901"/>
    <w:rsid w:val="002F11F8"/>
    <w:rsid w:val="002F1988"/>
    <w:rsid w:val="002F3F56"/>
    <w:rsid w:val="002F44B5"/>
    <w:rsid w:val="002F5122"/>
    <w:rsid w:val="0030341B"/>
    <w:rsid w:val="00311AC0"/>
    <w:rsid w:val="003176FC"/>
    <w:rsid w:val="00324E45"/>
    <w:rsid w:val="0032583B"/>
    <w:rsid w:val="00327883"/>
    <w:rsid w:val="00332715"/>
    <w:rsid w:val="00335504"/>
    <w:rsid w:val="00337B61"/>
    <w:rsid w:val="003400B0"/>
    <w:rsid w:val="00340C18"/>
    <w:rsid w:val="00342791"/>
    <w:rsid w:val="003442FD"/>
    <w:rsid w:val="00347824"/>
    <w:rsid w:val="00350567"/>
    <w:rsid w:val="003521E8"/>
    <w:rsid w:val="00352D90"/>
    <w:rsid w:val="00370B53"/>
    <w:rsid w:val="00370CE3"/>
    <w:rsid w:val="003728F3"/>
    <w:rsid w:val="003735BC"/>
    <w:rsid w:val="0037496E"/>
    <w:rsid w:val="00383221"/>
    <w:rsid w:val="00386150"/>
    <w:rsid w:val="00387439"/>
    <w:rsid w:val="003874CE"/>
    <w:rsid w:val="00390900"/>
    <w:rsid w:val="0039734F"/>
    <w:rsid w:val="003A0A6F"/>
    <w:rsid w:val="003A7F6C"/>
    <w:rsid w:val="003B0BED"/>
    <w:rsid w:val="003B1817"/>
    <w:rsid w:val="003B4D60"/>
    <w:rsid w:val="003B7E39"/>
    <w:rsid w:val="003B7E56"/>
    <w:rsid w:val="003C58DC"/>
    <w:rsid w:val="003D1E62"/>
    <w:rsid w:val="003D61DC"/>
    <w:rsid w:val="003E0B99"/>
    <w:rsid w:val="003E2486"/>
    <w:rsid w:val="003E3208"/>
    <w:rsid w:val="003F0B04"/>
    <w:rsid w:val="003F2BE4"/>
    <w:rsid w:val="0040134E"/>
    <w:rsid w:val="004030F4"/>
    <w:rsid w:val="00422689"/>
    <w:rsid w:val="004334C7"/>
    <w:rsid w:val="00436504"/>
    <w:rsid w:val="00440A2D"/>
    <w:rsid w:val="00441C3F"/>
    <w:rsid w:val="00444D1A"/>
    <w:rsid w:val="0045186A"/>
    <w:rsid w:val="00454BDC"/>
    <w:rsid w:val="004564A7"/>
    <w:rsid w:val="00456765"/>
    <w:rsid w:val="00460036"/>
    <w:rsid w:val="004617BF"/>
    <w:rsid w:val="00462C47"/>
    <w:rsid w:val="00463658"/>
    <w:rsid w:val="004637A0"/>
    <w:rsid w:val="00470BF7"/>
    <w:rsid w:val="004722CC"/>
    <w:rsid w:val="00486A32"/>
    <w:rsid w:val="00490483"/>
    <w:rsid w:val="00492D95"/>
    <w:rsid w:val="004936E4"/>
    <w:rsid w:val="00494E60"/>
    <w:rsid w:val="00497487"/>
    <w:rsid w:val="004A2771"/>
    <w:rsid w:val="004A6189"/>
    <w:rsid w:val="004A7390"/>
    <w:rsid w:val="004B417C"/>
    <w:rsid w:val="004B7B76"/>
    <w:rsid w:val="004C239D"/>
    <w:rsid w:val="004C27CB"/>
    <w:rsid w:val="004C2B1B"/>
    <w:rsid w:val="004C2DCA"/>
    <w:rsid w:val="004C4FBE"/>
    <w:rsid w:val="004C61D2"/>
    <w:rsid w:val="004D0DB2"/>
    <w:rsid w:val="004D43A5"/>
    <w:rsid w:val="004E1676"/>
    <w:rsid w:val="004E46A6"/>
    <w:rsid w:val="004F0AB9"/>
    <w:rsid w:val="004F0C4A"/>
    <w:rsid w:val="004F0F38"/>
    <w:rsid w:val="004F2549"/>
    <w:rsid w:val="004F47D6"/>
    <w:rsid w:val="00500337"/>
    <w:rsid w:val="00501083"/>
    <w:rsid w:val="00501921"/>
    <w:rsid w:val="005026C7"/>
    <w:rsid w:val="00505417"/>
    <w:rsid w:val="00510D26"/>
    <w:rsid w:val="00515821"/>
    <w:rsid w:val="0052149B"/>
    <w:rsid w:val="00523A21"/>
    <w:rsid w:val="00527C01"/>
    <w:rsid w:val="00530354"/>
    <w:rsid w:val="00530F92"/>
    <w:rsid w:val="00534D52"/>
    <w:rsid w:val="0053625B"/>
    <w:rsid w:val="005367A8"/>
    <w:rsid w:val="00540ABA"/>
    <w:rsid w:val="00540FB4"/>
    <w:rsid w:val="005434C6"/>
    <w:rsid w:val="00543B39"/>
    <w:rsid w:val="00545CDB"/>
    <w:rsid w:val="00546154"/>
    <w:rsid w:val="005461D0"/>
    <w:rsid w:val="00550096"/>
    <w:rsid w:val="00552425"/>
    <w:rsid w:val="00555280"/>
    <w:rsid w:val="00555B13"/>
    <w:rsid w:val="0055704F"/>
    <w:rsid w:val="00557FF9"/>
    <w:rsid w:val="0056054E"/>
    <w:rsid w:val="00562327"/>
    <w:rsid w:val="005711D5"/>
    <w:rsid w:val="00576378"/>
    <w:rsid w:val="00577130"/>
    <w:rsid w:val="00577945"/>
    <w:rsid w:val="00577E38"/>
    <w:rsid w:val="00585322"/>
    <w:rsid w:val="005857C6"/>
    <w:rsid w:val="0058632F"/>
    <w:rsid w:val="00587FBA"/>
    <w:rsid w:val="00590CF3"/>
    <w:rsid w:val="00592F6E"/>
    <w:rsid w:val="00593AD1"/>
    <w:rsid w:val="005A68B6"/>
    <w:rsid w:val="005A78A3"/>
    <w:rsid w:val="005A79F5"/>
    <w:rsid w:val="005B77F1"/>
    <w:rsid w:val="005C242A"/>
    <w:rsid w:val="005C494B"/>
    <w:rsid w:val="005C5570"/>
    <w:rsid w:val="005C5B66"/>
    <w:rsid w:val="005C79A4"/>
    <w:rsid w:val="005D4392"/>
    <w:rsid w:val="005D5442"/>
    <w:rsid w:val="005E1B9B"/>
    <w:rsid w:val="005E3EF5"/>
    <w:rsid w:val="00603F32"/>
    <w:rsid w:val="00605AD4"/>
    <w:rsid w:val="00606793"/>
    <w:rsid w:val="006136D7"/>
    <w:rsid w:val="006142A3"/>
    <w:rsid w:val="006210EB"/>
    <w:rsid w:val="0062172E"/>
    <w:rsid w:val="00625A6E"/>
    <w:rsid w:val="00630126"/>
    <w:rsid w:val="00632398"/>
    <w:rsid w:val="006402BA"/>
    <w:rsid w:val="00640FA9"/>
    <w:rsid w:val="00640FC3"/>
    <w:rsid w:val="00642020"/>
    <w:rsid w:val="006430EE"/>
    <w:rsid w:val="00643CE5"/>
    <w:rsid w:val="00645815"/>
    <w:rsid w:val="0065156D"/>
    <w:rsid w:val="0065337B"/>
    <w:rsid w:val="0065419D"/>
    <w:rsid w:val="006603BC"/>
    <w:rsid w:val="006604D8"/>
    <w:rsid w:val="00663266"/>
    <w:rsid w:val="00664A5B"/>
    <w:rsid w:val="0066525A"/>
    <w:rsid w:val="0066735C"/>
    <w:rsid w:val="00671485"/>
    <w:rsid w:val="006763D2"/>
    <w:rsid w:val="00680C08"/>
    <w:rsid w:val="00681823"/>
    <w:rsid w:val="006901BA"/>
    <w:rsid w:val="0069084F"/>
    <w:rsid w:val="006916A0"/>
    <w:rsid w:val="006918AE"/>
    <w:rsid w:val="006931B1"/>
    <w:rsid w:val="00696A4A"/>
    <w:rsid w:val="006A0DEB"/>
    <w:rsid w:val="006A15C0"/>
    <w:rsid w:val="006A2A6E"/>
    <w:rsid w:val="006A58A8"/>
    <w:rsid w:val="006B28E9"/>
    <w:rsid w:val="006B7B14"/>
    <w:rsid w:val="006C3E2A"/>
    <w:rsid w:val="006C495A"/>
    <w:rsid w:val="006C642F"/>
    <w:rsid w:val="006D03E5"/>
    <w:rsid w:val="006D3715"/>
    <w:rsid w:val="006D5BD0"/>
    <w:rsid w:val="006D5D3E"/>
    <w:rsid w:val="006E08B3"/>
    <w:rsid w:val="006E617D"/>
    <w:rsid w:val="006E7D4A"/>
    <w:rsid w:val="006F17AC"/>
    <w:rsid w:val="006F25B8"/>
    <w:rsid w:val="006F4D07"/>
    <w:rsid w:val="006F572E"/>
    <w:rsid w:val="006F5939"/>
    <w:rsid w:val="007046D6"/>
    <w:rsid w:val="00705DB0"/>
    <w:rsid w:val="00711445"/>
    <w:rsid w:val="00712D65"/>
    <w:rsid w:val="007204D0"/>
    <w:rsid w:val="0072292E"/>
    <w:rsid w:val="00722B57"/>
    <w:rsid w:val="00730951"/>
    <w:rsid w:val="00730D62"/>
    <w:rsid w:val="00730F8A"/>
    <w:rsid w:val="0073251D"/>
    <w:rsid w:val="00733061"/>
    <w:rsid w:val="007352B4"/>
    <w:rsid w:val="00735A8C"/>
    <w:rsid w:val="0074163C"/>
    <w:rsid w:val="0074253D"/>
    <w:rsid w:val="00744121"/>
    <w:rsid w:val="0074429B"/>
    <w:rsid w:val="00744876"/>
    <w:rsid w:val="007550B6"/>
    <w:rsid w:val="00755972"/>
    <w:rsid w:val="00757475"/>
    <w:rsid w:val="007615BC"/>
    <w:rsid w:val="00762F05"/>
    <w:rsid w:val="007652FF"/>
    <w:rsid w:val="007703EF"/>
    <w:rsid w:val="00770CAC"/>
    <w:rsid w:val="00770EF1"/>
    <w:rsid w:val="0077131A"/>
    <w:rsid w:val="007738F0"/>
    <w:rsid w:val="00773EF7"/>
    <w:rsid w:val="00774C00"/>
    <w:rsid w:val="00774E1D"/>
    <w:rsid w:val="0077635B"/>
    <w:rsid w:val="007765D8"/>
    <w:rsid w:val="0077675A"/>
    <w:rsid w:val="00780355"/>
    <w:rsid w:val="007819FD"/>
    <w:rsid w:val="00785717"/>
    <w:rsid w:val="00785721"/>
    <w:rsid w:val="007917B9"/>
    <w:rsid w:val="00793A59"/>
    <w:rsid w:val="00796231"/>
    <w:rsid w:val="007A46F5"/>
    <w:rsid w:val="007A5DCB"/>
    <w:rsid w:val="007A6505"/>
    <w:rsid w:val="007A763B"/>
    <w:rsid w:val="007B430E"/>
    <w:rsid w:val="007B6132"/>
    <w:rsid w:val="007B6E9F"/>
    <w:rsid w:val="007B71BF"/>
    <w:rsid w:val="007C1216"/>
    <w:rsid w:val="007C1AF7"/>
    <w:rsid w:val="007C5443"/>
    <w:rsid w:val="007C6B9B"/>
    <w:rsid w:val="007C6E56"/>
    <w:rsid w:val="007D53B6"/>
    <w:rsid w:val="007E296B"/>
    <w:rsid w:val="007F4311"/>
    <w:rsid w:val="007F50F6"/>
    <w:rsid w:val="00801288"/>
    <w:rsid w:val="00804D99"/>
    <w:rsid w:val="00805D27"/>
    <w:rsid w:val="00806DCB"/>
    <w:rsid w:val="008110BC"/>
    <w:rsid w:val="00821776"/>
    <w:rsid w:val="00821B34"/>
    <w:rsid w:val="0082389E"/>
    <w:rsid w:val="008321F5"/>
    <w:rsid w:val="00832369"/>
    <w:rsid w:val="00833ED8"/>
    <w:rsid w:val="00834660"/>
    <w:rsid w:val="00836BC2"/>
    <w:rsid w:val="0085156D"/>
    <w:rsid w:val="00852B28"/>
    <w:rsid w:val="0085641B"/>
    <w:rsid w:val="00857136"/>
    <w:rsid w:val="008600B6"/>
    <w:rsid w:val="00865B03"/>
    <w:rsid w:val="00867014"/>
    <w:rsid w:val="00870FC0"/>
    <w:rsid w:val="00875A6B"/>
    <w:rsid w:val="00876706"/>
    <w:rsid w:val="00885605"/>
    <w:rsid w:val="00885B11"/>
    <w:rsid w:val="00886D15"/>
    <w:rsid w:val="00887DD8"/>
    <w:rsid w:val="00891BA9"/>
    <w:rsid w:val="008920AD"/>
    <w:rsid w:val="00894386"/>
    <w:rsid w:val="00896018"/>
    <w:rsid w:val="008960DD"/>
    <w:rsid w:val="0089635C"/>
    <w:rsid w:val="008A2B9D"/>
    <w:rsid w:val="008A3D9F"/>
    <w:rsid w:val="008A5E0B"/>
    <w:rsid w:val="008A6D59"/>
    <w:rsid w:val="008B1853"/>
    <w:rsid w:val="008B4B03"/>
    <w:rsid w:val="008B596F"/>
    <w:rsid w:val="008C159F"/>
    <w:rsid w:val="008C1623"/>
    <w:rsid w:val="008C1850"/>
    <w:rsid w:val="008C51A9"/>
    <w:rsid w:val="008C711C"/>
    <w:rsid w:val="008D61A2"/>
    <w:rsid w:val="008E60CB"/>
    <w:rsid w:val="008E7389"/>
    <w:rsid w:val="008E7846"/>
    <w:rsid w:val="008F02E5"/>
    <w:rsid w:val="008F1CCC"/>
    <w:rsid w:val="008F2967"/>
    <w:rsid w:val="008F6943"/>
    <w:rsid w:val="00902A21"/>
    <w:rsid w:val="009151D4"/>
    <w:rsid w:val="0091523F"/>
    <w:rsid w:val="00920330"/>
    <w:rsid w:val="009219D7"/>
    <w:rsid w:val="00922D53"/>
    <w:rsid w:val="00923B70"/>
    <w:rsid w:val="00924482"/>
    <w:rsid w:val="00930237"/>
    <w:rsid w:val="00937C17"/>
    <w:rsid w:val="00940A89"/>
    <w:rsid w:val="00941F77"/>
    <w:rsid w:val="00946EA5"/>
    <w:rsid w:val="00947168"/>
    <w:rsid w:val="00952E8F"/>
    <w:rsid w:val="009556D7"/>
    <w:rsid w:val="00960520"/>
    <w:rsid w:val="00963C08"/>
    <w:rsid w:val="009752A5"/>
    <w:rsid w:val="0098585A"/>
    <w:rsid w:val="00986896"/>
    <w:rsid w:val="00987978"/>
    <w:rsid w:val="009A19D6"/>
    <w:rsid w:val="009A4906"/>
    <w:rsid w:val="009A4CED"/>
    <w:rsid w:val="009A690D"/>
    <w:rsid w:val="009B1D12"/>
    <w:rsid w:val="009B416B"/>
    <w:rsid w:val="009C4BD5"/>
    <w:rsid w:val="009C6DA2"/>
    <w:rsid w:val="009D556B"/>
    <w:rsid w:val="009D637F"/>
    <w:rsid w:val="009D7B77"/>
    <w:rsid w:val="009E0BB0"/>
    <w:rsid w:val="009E3FBB"/>
    <w:rsid w:val="009E53E7"/>
    <w:rsid w:val="009E5A87"/>
    <w:rsid w:val="009E7B18"/>
    <w:rsid w:val="009F1ED8"/>
    <w:rsid w:val="009F2673"/>
    <w:rsid w:val="009F7353"/>
    <w:rsid w:val="00A01575"/>
    <w:rsid w:val="00A04F85"/>
    <w:rsid w:val="00A05FA4"/>
    <w:rsid w:val="00A102E4"/>
    <w:rsid w:val="00A10BB8"/>
    <w:rsid w:val="00A1219C"/>
    <w:rsid w:val="00A12C42"/>
    <w:rsid w:val="00A14DF7"/>
    <w:rsid w:val="00A22D57"/>
    <w:rsid w:val="00A267A1"/>
    <w:rsid w:val="00A31BEF"/>
    <w:rsid w:val="00A3246D"/>
    <w:rsid w:val="00A36FA7"/>
    <w:rsid w:val="00A434D3"/>
    <w:rsid w:val="00A44DDB"/>
    <w:rsid w:val="00A475B7"/>
    <w:rsid w:val="00A47AF7"/>
    <w:rsid w:val="00A47C3E"/>
    <w:rsid w:val="00A500AE"/>
    <w:rsid w:val="00A50226"/>
    <w:rsid w:val="00A543F1"/>
    <w:rsid w:val="00A55400"/>
    <w:rsid w:val="00A564C7"/>
    <w:rsid w:val="00A60BAD"/>
    <w:rsid w:val="00A62E5A"/>
    <w:rsid w:val="00A632D7"/>
    <w:rsid w:val="00A71B42"/>
    <w:rsid w:val="00A722E1"/>
    <w:rsid w:val="00A72E31"/>
    <w:rsid w:val="00A77F87"/>
    <w:rsid w:val="00A80577"/>
    <w:rsid w:val="00A80B5B"/>
    <w:rsid w:val="00A84E36"/>
    <w:rsid w:val="00A8571B"/>
    <w:rsid w:val="00A86662"/>
    <w:rsid w:val="00A91B04"/>
    <w:rsid w:val="00A964D1"/>
    <w:rsid w:val="00AA0ED0"/>
    <w:rsid w:val="00AB6B1D"/>
    <w:rsid w:val="00AC2B40"/>
    <w:rsid w:val="00AC2BB2"/>
    <w:rsid w:val="00AC2C3C"/>
    <w:rsid w:val="00AC3E64"/>
    <w:rsid w:val="00AC3EE1"/>
    <w:rsid w:val="00AC512D"/>
    <w:rsid w:val="00AC69AD"/>
    <w:rsid w:val="00AD0083"/>
    <w:rsid w:val="00AD3935"/>
    <w:rsid w:val="00AD4224"/>
    <w:rsid w:val="00AE2E75"/>
    <w:rsid w:val="00AE4E29"/>
    <w:rsid w:val="00AE65EB"/>
    <w:rsid w:val="00AE67A7"/>
    <w:rsid w:val="00AF1D94"/>
    <w:rsid w:val="00AF214A"/>
    <w:rsid w:val="00AF2313"/>
    <w:rsid w:val="00AF5CD7"/>
    <w:rsid w:val="00AF60C5"/>
    <w:rsid w:val="00B009C6"/>
    <w:rsid w:val="00B01548"/>
    <w:rsid w:val="00B10A10"/>
    <w:rsid w:val="00B130C5"/>
    <w:rsid w:val="00B13EBD"/>
    <w:rsid w:val="00B1406F"/>
    <w:rsid w:val="00B21D29"/>
    <w:rsid w:val="00B24751"/>
    <w:rsid w:val="00B25034"/>
    <w:rsid w:val="00B2756E"/>
    <w:rsid w:val="00B30E2F"/>
    <w:rsid w:val="00B33588"/>
    <w:rsid w:val="00B33863"/>
    <w:rsid w:val="00B37D17"/>
    <w:rsid w:val="00B4175E"/>
    <w:rsid w:val="00B41C85"/>
    <w:rsid w:val="00B4458A"/>
    <w:rsid w:val="00B452CE"/>
    <w:rsid w:val="00B46084"/>
    <w:rsid w:val="00B52DF6"/>
    <w:rsid w:val="00B5313B"/>
    <w:rsid w:val="00B54C25"/>
    <w:rsid w:val="00B640E1"/>
    <w:rsid w:val="00B752EF"/>
    <w:rsid w:val="00B76B91"/>
    <w:rsid w:val="00B77EB1"/>
    <w:rsid w:val="00B811C6"/>
    <w:rsid w:val="00B82936"/>
    <w:rsid w:val="00B83080"/>
    <w:rsid w:val="00B855B0"/>
    <w:rsid w:val="00B91BF1"/>
    <w:rsid w:val="00B92E08"/>
    <w:rsid w:val="00BB0B78"/>
    <w:rsid w:val="00BB4E62"/>
    <w:rsid w:val="00BB5E34"/>
    <w:rsid w:val="00BB7206"/>
    <w:rsid w:val="00BB75D6"/>
    <w:rsid w:val="00BC0D4A"/>
    <w:rsid w:val="00BC622A"/>
    <w:rsid w:val="00BD416B"/>
    <w:rsid w:val="00BE0A78"/>
    <w:rsid w:val="00BE6542"/>
    <w:rsid w:val="00BE79F0"/>
    <w:rsid w:val="00BF046D"/>
    <w:rsid w:val="00BF1190"/>
    <w:rsid w:val="00BF2646"/>
    <w:rsid w:val="00BF2A06"/>
    <w:rsid w:val="00BF3774"/>
    <w:rsid w:val="00BF5D04"/>
    <w:rsid w:val="00BF7063"/>
    <w:rsid w:val="00C009AA"/>
    <w:rsid w:val="00C00B87"/>
    <w:rsid w:val="00C02FD1"/>
    <w:rsid w:val="00C05C0E"/>
    <w:rsid w:val="00C1108E"/>
    <w:rsid w:val="00C1164D"/>
    <w:rsid w:val="00C122CB"/>
    <w:rsid w:val="00C16861"/>
    <w:rsid w:val="00C169BC"/>
    <w:rsid w:val="00C2028A"/>
    <w:rsid w:val="00C21311"/>
    <w:rsid w:val="00C23B6A"/>
    <w:rsid w:val="00C27DCE"/>
    <w:rsid w:val="00C34133"/>
    <w:rsid w:val="00C346AB"/>
    <w:rsid w:val="00C376D1"/>
    <w:rsid w:val="00C404A6"/>
    <w:rsid w:val="00C40A36"/>
    <w:rsid w:val="00C44419"/>
    <w:rsid w:val="00C45E7B"/>
    <w:rsid w:val="00C471B1"/>
    <w:rsid w:val="00C525A2"/>
    <w:rsid w:val="00C52E24"/>
    <w:rsid w:val="00C55710"/>
    <w:rsid w:val="00C628B8"/>
    <w:rsid w:val="00C6316B"/>
    <w:rsid w:val="00C634A9"/>
    <w:rsid w:val="00C64586"/>
    <w:rsid w:val="00C70A36"/>
    <w:rsid w:val="00C70D53"/>
    <w:rsid w:val="00C73D0B"/>
    <w:rsid w:val="00C74F5C"/>
    <w:rsid w:val="00C772FF"/>
    <w:rsid w:val="00C80137"/>
    <w:rsid w:val="00C801AF"/>
    <w:rsid w:val="00C80256"/>
    <w:rsid w:val="00C84811"/>
    <w:rsid w:val="00C87DD7"/>
    <w:rsid w:val="00C94CD4"/>
    <w:rsid w:val="00C95BE6"/>
    <w:rsid w:val="00C9747E"/>
    <w:rsid w:val="00CA5E90"/>
    <w:rsid w:val="00CB6BC0"/>
    <w:rsid w:val="00CC1B7C"/>
    <w:rsid w:val="00CC5044"/>
    <w:rsid w:val="00CC727F"/>
    <w:rsid w:val="00CD60FB"/>
    <w:rsid w:val="00CD61DA"/>
    <w:rsid w:val="00CF15C3"/>
    <w:rsid w:val="00CF2B6F"/>
    <w:rsid w:val="00CF2F3E"/>
    <w:rsid w:val="00CF58B6"/>
    <w:rsid w:val="00CF5DAD"/>
    <w:rsid w:val="00D00529"/>
    <w:rsid w:val="00D0062D"/>
    <w:rsid w:val="00D017ED"/>
    <w:rsid w:val="00D035D6"/>
    <w:rsid w:val="00D040D3"/>
    <w:rsid w:val="00D04902"/>
    <w:rsid w:val="00D04C65"/>
    <w:rsid w:val="00D1198A"/>
    <w:rsid w:val="00D153D8"/>
    <w:rsid w:val="00D201D2"/>
    <w:rsid w:val="00D212F3"/>
    <w:rsid w:val="00D224FE"/>
    <w:rsid w:val="00D23139"/>
    <w:rsid w:val="00D27E5D"/>
    <w:rsid w:val="00D34486"/>
    <w:rsid w:val="00D425BB"/>
    <w:rsid w:val="00D453FA"/>
    <w:rsid w:val="00D56348"/>
    <w:rsid w:val="00D60E91"/>
    <w:rsid w:val="00D61A1B"/>
    <w:rsid w:val="00D62D4A"/>
    <w:rsid w:val="00D6493E"/>
    <w:rsid w:val="00D65F9B"/>
    <w:rsid w:val="00D7195D"/>
    <w:rsid w:val="00D72CBA"/>
    <w:rsid w:val="00D7301E"/>
    <w:rsid w:val="00D83AE1"/>
    <w:rsid w:val="00D843F7"/>
    <w:rsid w:val="00D854AC"/>
    <w:rsid w:val="00D855D4"/>
    <w:rsid w:val="00D902C9"/>
    <w:rsid w:val="00D93466"/>
    <w:rsid w:val="00DA1124"/>
    <w:rsid w:val="00DA2432"/>
    <w:rsid w:val="00DA4BA7"/>
    <w:rsid w:val="00DA64CB"/>
    <w:rsid w:val="00DB06B8"/>
    <w:rsid w:val="00DB6124"/>
    <w:rsid w:val="00DB750B"/>
    <w:rsid w:val="00DB75B7"/>
    <w:rsid w:val="00DC0A2F"/>
    <w:rsid w:val="00DC1948"/>
    <w:rsid w:val="00DC2615"/>
    <w:rsid w:val="00DC6E02"/>
    <w:rsid w:val="00DD28CD"/>
    <w:rsid w:val="00DD5A07"/>
    <w:rsid w:val="00DE02AE"/>
    <w:rsid w:val="00DE39D1"/>
    <w:rsid w:val="00DE5BD5"/>
    <w:rsid w:val="00DF1D7F"/>
    <w:rsid w:val="00DF4BE4"/>
    <w:rsid w:val="00DF7C6F"/>
    <w:rsid w:val="00E02382"/>
    <w:rsid w:val="00E02746"/>
    <w:rsid w:val="00E02FB4"/>
    <w:rsid w:val="00E0553D"/>
    <w:rsid w:val="00E10DF2"/>
    <w:rsid w:val="00E13FC7"/>
    <w:rsid w:val="00E20571"/>
    <w:rsid w:val="00E235F7"/>
    <w:rsid w:val="00E23659"/>
    <w:rsid w:val="00E239D4"/>
    <w:rsid w:val="00E26130"/>
    <w:rsid w:val="00E33D42"/>
    <w:rsid w:val="00E40B22"/>
    <w:rsid w:val="00E44492"/>
    <w:rsid w:val="00E44ED1"/>
    <w:rsid w:val="00E45619"/>
    <w:rsid w:val="00E4588F"/>
    <w:rsid w:val="00E467D7"/>
    <w:rsid w:val="00E46DA3"/>
    <w:rsid w:val="00E51BB1"/>
    <w:rsid w:val="00E52E26"/>
    <w:rsid w:val="00E55CB0"/>
    <w:rsid w:val="00E6060F"/>
    <w:rsid w:val="00E60DB2"/>
    <w:rsid w:val="00E624A5"/>
    <w:rsid w:val="00E63CD8"/>
    <w:rsid w:val="00E64BA4"/>
    <w:rsid w:val="00E65827"/>
    <w:rsid w:val="00E66A3C"/>
    <w:rsid w:val="00E71B81"/>
    <w:rsid w:val="00E7344E"/>
    <w:rsid w:val="00E807A6"/>
    <w:rsid w:val="00E82665"/>
    <w:rsid w:val="00E90DCD"/>
    <w:rsid w:val="00EA0AFE"/>
    <w:rsid w:val="00EA5A86"/>
    <w:rsid w:val="00EB0798"/>
    <w:rsid w:val="00EB36A8"/>
    <w:rsid w:val="00EB36CB"/>
    <w:rsid w:val="00EB36D6"/>
    <w:rsid w:val="00EB40AD"/>
    <w:rsid w:val="00EB586E"/>
    <w:rsid w:val="00EB5FC8"/>
    <w:rsid w:val="00EC463D"/>
    <w:rsid w:val="00EC5D31"/>
    <w:rsid w:val="00EC7A85"/>
    <w:rsid w:val="00ED13CE"/>
    <w:rsid w:val="00ED2922"/>
    <w:rsid w:val="00ED3CAD"/>
    <w:rsid w:val="00ED5A41"/>
    <w:rsid w:val="00EE1DE8"/>
    <w:rsid w:val="00EE27C2"/>
    <w:rsid w:val="00EF4BAD"/>
    <w:rsid w:val="00EF59DC"/>
    <w:rsid w:val="00EF680C"/>
    <w:rsid w:val="00EF7FDB"/>
    <w:rsid w:val="00F033EC"/>
    <w:rsid w:val="00F037F4"/>
    <w:rsid w:val="00F04F68"/>
    <w:rsid w:val="00F10BE9"/>
    <w:rsid w:val="00F12670"/>
    <w:rsid w:val="00F14B27"/>
    <w:rsid w:val="00F21444"/>
    <w:rsid w:val="00F303AC"/>
    <w:rsid w:val="00F3148D"/>
    <w:rsid w:val="00F325C5"/>
    <w:rsid w:val="00F32FE0"/>
    <w:rsid w:val="00F35298"/>
    <w:rsid w:val="00F40974"/>
    <w:rsid w:val="00F47146"/>
    <w:rsid w:val="00F47333"/>
    <w:rsid w:val="00F47E37"/>
    <w:rsid w:val="00F51196"/>
    <w:rsid w:val="00F53C07"/>
    <w:rsid w:val="00F54B65"/>
    <w:rsid w:val="00F57D18"/>
    <w:rsid w:val="00F63DBF"/>
    <w:rsid w:val="00F640B6"/>
    <w:rsid w:val="00F66DF2"/>
    <w:rsid w:val="00F7718C"/>
    <w:rsid w:val="00F80E40"/>
    <w:rsid w:val="00F83FA0"/>
    <w:rsid w:val="00F848D9"/>
    <w:rsid w:val="00F931CE"/>
    <w:rsid w:val="00FA4BBA"/>
    <w:rsid w:val="00FA5069"/>
    <w:rsid w:val="00FA5B82"/>
    <w:rsid w:val="00FA5D36"/>
    <w:rsid w:val="00FA639E"/>
    <w:rsid w:val="00FA6B66"/>
    <w:rsid w:val="00FB2179"/>
    <w:rsid w:val="00FB43E0"/>
    <w:rsid w:val="00FC1FCA"/>
    <w:rsid w:val="00FC25E4"/>
    <w:rsid w:val="00FC4EF7"/>
    <w:rsid w:val="00FD0824"/>
    <w:rsid w:val="00FD119B"/>
    <w:rsid w:val="00FD1EDC"/>
    <w:rsid w:val="00FE1DEE"/>
    <w:rsid w:val="00FE36BB"/>
    <w:rsid w:val="00FE3D6F"/>
    <w:rsid w:val="00FF2126"/>
    <w:rsid w:val="00FF5755"/>
    <w:rsid w:val="00FF69BE"/>
    <w:rsid w:val="00FF69E1"/>
    <w:rsid w:val="00FF7B93"/>
    <w:rsid w:val="0C48CF96"/>
    <w:rsid w:val="1AF58765"/>
    <w:rsid w:val="25B8651C"/>
    <w:rsid w:val="29848658"/>
    <w:rsid w:val="342306DD"/>
    <w:rsid w:val="39298A11"/>
    <w:rsid w:val="3D4D3392"/>
    <w:rsid w:val="686C7047"/>
    <w:rsid w:val="6E9014C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CEB04E"/>
  <w15:docId w15:val="{A7C960C3-15D5-452E-A77A-7B8E041B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C6DA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FB43E0"/>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0265AA"/>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3F2BE4"/>
    <w:rPr>
      <w:rFonts w:ascii="Cambria" w:eastAsia="Cambria" w:hAnsi="Cambria" w:cs="Times New Roman"/>
      <w:sz w:val="19"/>
    </w:rPr>
  </w:style>
  <w:style w:type="paragraph" w:customStyle="1" w:styleId="Standard">
    <w:name w:val="Standard"/>
    <w:basedOn w:val="Normal"/>
    <w:link w:val="StandardChar"/>
    <w:qFormat/>
    <w:rsid w:val="00B52DF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52DF6"/>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tga.gov.au/picmi-search-facility"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tga.gov.au/publication/risk-management-plans-medicines-and-biologicals" TargetMode="External"/><Relationship Id="rId50" Type="http://schemas.openxmlformats.org/officeDocument/2006/relationships/hyperlink" Target="https://www.tga.gov.au/picmi-search-facility" TargetMode="External"/><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tga.gov.au/about-tga/advisory-bodies-and-committees/advisory-committee-medicines-acm"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tga.gov.au/committee/advisory-committee-medicines-acm" TargetMode="External"/><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tga.gov.au/black-triangle-scheme"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4.xml"/><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tga.gov.au/australian-public-assessment-report-auspar-guidanc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tga.gov.au/tgas-risk-management-approach" TargetMode="External"/><Relationship Id="rId56" Type="http://schemas.openxmlformats.org/officeDocument/2006/relationships/hyperlink" Target="https://www.tga.gov.au"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tixagevimab-and-cilgavima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3484\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D5E5A046A2E9A4788BF61013A8A941E" ma:contentTypeVersion="11" ma:contentTypeDescription="Create a new document." ma:contentTypeScope="" ma:versionID="6599eef44a71ec3f3744fd135f049916">
  <xsd:schema xmlns:xsd="http://www.w3.org/2001/XMLSchema" xmlns:xs="http://www.w3.org/2001/XMLSchema" xmlns:p="http://schemas.microsoft.com/office/2006/metadata/properties" xmlns:ns2="44a56295-c29e-4898-8136-a54736c65b82" xmlns:ns3="c22e142d-f1b9-4b95-ad5b-c65a62beb9d1" xmlns:ns4="2ed59429-34c8-4c22-a169-432d07664f2a" xmlns:ns5="b00c2015-aaf6-4827-951d-b3732742b6ff" targetNamespace="http://schemas.microsoft.com/office/2006/metadata/properties" ma:root="true" ma:fieldsID="e63aacb9c43ccbdba503a446a9f8778f" ns2:_="" ns3:_="" ns4:_="" ns5:_="">
    <xsd:import namespace="44a56295-c29e-4898-8136-a54736c65b82"/>
    <xsd:import namespace="c22e142d-f1b9-4b95-ad5b-c65a62beb9d1"/>
    <xsd:import namespace="2ed59429-34c8-4c22-a169-432d07664f2a"/>
    <xsd:import namespace="b00c2015-aaf6-4827-951d-b3732742b6ff"/>
    <xsd:element name="properties">
      <xsd:complexType>
        <xsd:sequence>
          <xsd:element name="documentManagement">
            <xsd:complexType>
              <xsd:all>
                <xsd:element ref="ns2:Descriptions" minOccurs="0"/>
                <xsd:element ref="ns2:Keyword" minOccurs="0"/>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lcf76f155ced4ddcb4097134ff3c332f" minOccurs="0"/>
                <xsd:element ref="ns2:TaxCatchAll"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1" nillable="true" ma:displayName="Taxonomy Catch All Column" ma:hidden="true" ma:list="{9481FF4D-D03D-4CF7-A31F-6371350A6955}" ma:internalName="TaxCatchAll" ma:showField="CatchAllData" ma:web="{c22e142d-f1b9-4b95-ad5b-c65a62beb9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2e142d-f1b9-4b95-ad5b-c65a62beb9d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d59429-34c8-4c22-a169-432d07664f2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lcf76f155ced4ddcb4097134ff3c332f xmlns="2ed59429-34c8-4c22-a169-432d07664f2a">
      <Terms xmlns="http://schemas.microsoft.com/office/infopath/2007/PartnerControls"/>
    </lcf76f155ced4ddcb4097134ff3c332f>
    <TaxCatchAll xmlns="44a56295-c29e-4898-8136-a54736c65b82" xsi:nil="true"/>
    <Descriptions xmlns="44a56295-c29e-4898-8136-a54736c65b82" xsi:nil="true"/>
    <_dlc_DocId xmlns="c22e142d-f1b9-4b95-ad5b-c65a62beb9d1">XQFUHNXNWZXX-1484909261-5873</_dlc_DocId>
    <_dlc_DocIdUrl xmlns="c22e142d-f1b9-4b95-ad5b-c65a62beb9d1">
      <Url>https://azcollaboration.sharepoint.com/sites/CUS063/_layouts/15/DocIdRedir.aspx?ID=XQFUHNXNWZXX-1484909261-5873</Url>
      <Description>XQFUHNXNWZXX-1484909261-5873</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6C2FC-0F23-42E5-ADA6-8A38484ADD29}">
  <ds:schemaRefs>
    <ds:schemaRef ds:uri="http://schemas.microsoft.com/sharepoint/v3/contenttype/forms"/>
  </ds:schemaRefs>
</ds:datastoreItem>
</file>

<file path=customXml/itemProps2.xml><?xml version="1.0" encoding="utf-8"?>
<ds:datastoreItem xmlns:ds="http://schemas.openxmlformats.org/officeDocument/2006/customXml" ds:itemID="{189639AE-D280-4B1E-A6E8-D12FCD083E57}">
  <ds:schemaRefs>
    <ds:schemaRef ds:uri="http://schemas.microsoft.com/sharepoint/events"/>
  </ds:schemaRefs>
</ds:datastoreItem>
</file>

<file path=customXml/itemProps3.xml><?xml version="1.0" encoding="utf-8"?>
<ds:datastoreItem xmlns:ds="http://schemas.openxmlformats.org/officeDocument/2006/customXml" ds:itemID="{C05D01F6-54FE-46EA-8697-94C2F9E75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c22e142d-f1b9-4b95-ad5b-c65a62beb9d1"/>
    <ds:schemaRef ds:uri="2ed59429-34c8-4c22-a169-432d07664f2a"/>
    <ds:schemaRef ds:uri="b00c2015-aaf6-4827-951d-b3732742b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A5171-32E0-40F5-80C2-ADF736B6FBDA}">
  <ds:schemaRefs>
    <ds:schemaRef ds:uri="Microsoft.SharePoint.Taxonomy.ContentTypeSync"/>
  </ds:schemaRefs>
</ds:datastoreItem>
</file>

<file path=customXml/itemProps5.xml><?xml version="1.0" encoding="utf-8"?>
<ds:datastoreItem xmlns:ds="http://schemas.openxmlformats.org/officeDocument/2006/customXml" ds:itemID="{F368325B-A670-42A4-90EF-7FB9239546BE}">
  <ds:schemaRefs>
    <ds:schemaRef ds:uri="http://schemas.microsoft.com/office/2006/metadata/properties"/>
    <ds:schemaRef ds:uri="http://schemas.microsoft.com/office/infopath/2007/PartnerControls"/>
    <ds:schemaRef ds:uri="44a56295-c29e-4898-8136-a54736c65b82"/>
    <ds:schemaRef ds:uri="2ed59429-34c8-4c22-a169-432d07664f2a"/>
    <ds:schemaRef ds:uri="c22e142d-f1b9-4b95-ad5b-c65a62beb9d1"/>
  </ds:schemaRefs>
</ds:datastoreItem>
</file>

<file path=customXml/itemProps6.xml><?xml version="1.0" encoding="utf-8"?>
<ds:datastoreItem xmlns:ds="http://schemas.openxmlformats.org/officeDocument/2006/customXml" ds:itemID="{0BA2477B-7ED4-4710-A770-8C066517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64</TotalTime>
  <Pages>53</Pages>
  <Words>16213</Words>
  <Characters>92419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108416</CharactersWithSpaces>
  <SharedDoc>false</SharedDoc>
  <HLinks>
    <vt:vector size="216" baseType="variant">
      <vt:variant>
        <vt:i4>3473445</vt:i4>
      </vt:variant>
      <vt:variant>
        <vt:i4>342</vt:i4>
      </vt:variant>
      <vt:variant>
        <vt:i4>0</vt:i4>
      </vt:variant>
      <vt:variant>
        <vt:i4>5</vt:i4>
      </vt:variant>
      <vt:variant>
        <vt:lpwstr>https://www.tga.gov.au/</vt:lpwstr>
      </vt:variant>
      <vt:variant>
        <vt:lpwstr/>
      </vt:variant>
      <vt:variant>
        <vt:i4>5242926</vt:i4>
      </vt:variant>
      <vt:variant>
        <vt:i4>339</vt:i4>
      </vt:variant>
      <vt:variant>
        <vt:i4>0</vt:i4>
      </vt:variant>
      <vt:variant>
        <vt:i4>5</vt:i4>
      </vt:variant>
      <vt:variant>
        <vt:lpwstr>mailto:info@tga.gov.au</vt:lpwstr>
      </vt:variant>
      <vt:variant>
        <vt:lpwstr/>
      </vt:variant>
      <vt:variant>
        <vt:i4>720961</vt:i4>
      </vt:variant>
      <vt:variant>
        <vt:i4>336</vt:i4>
      </vt:variant>
      <vt:variant>
        <vt:i4>0</vt:i4>
      </vt:variant>
      <vt:variant>
        <vt:i4>5</vt:i4>
      </vt:variant>
      <vt:variant>
        <vt:lpwstr>https://www.tga.gov.au/picmi-search-facility</vt:lpwstr>
      </vt:variant>
      <vt:variant>
        <vt:lpwstr/>
      </vt:variant>
      <vt:variant>
        <vt:i4>524365</vt:i4>
      </vt:variant>
      <vt:variant>
        <vt:i4>333</vt:i4>
      </vt:variant>
      <vt:variant>
        <vt:i4>0</vt:i4>
      </vt:variant>
      <vt:variant>
        <vt:i4>5</vt:i4>
      </vt:variant>
      <vt:variant>
        <vt:lpwstr>https://www.tga.gov.au/committee/advisory-committee-medicines-acm</vt:lpwstr>
      </vt:variant>
      <vt:variant>
        <vt:lpwstr/>
      </vt:variant>
      <vt:variant>
        <vt:i4>5111899</vt:i4>
      </vt:variant>
      <vt:variant>
        <vt:i4>327</vt:i4>
      </vt:variant>
      <vt:variant>
        <vt:i4>0</vt:i4>
      </vt:variant>
      <vt:variant>
        <vt:i4>5</vt:i4>
      </vt:variant>
      <vt:variant>
        <vt:lpwstr>https://www.tga.gov.au/tgas-risk-management-approach</vt:lpwstr>
      </vt:variant>
      <vt:variant>
        <vt:lpwstr/>
      </vt:variant>
      <vt:variant>
        <vt:i4>7929888</vt:i4>
      </vt:variant>
      <vt:variant>
        <vt:i4>324</vt:i4>
      </vt:variant>
      <vt:variant>
        <vt:i4>0</vt:i4>
      </vt:variant>
      <vt:variant>
        <vt:i4>5</vt:i4>
      </vt:variant>
      <vt:variant>
        <vt:lpwstr>https://www.tga.gov.au/publication/risk-management-plans-medicines-and-biologicals</vt:lpwstr>
      </vt:variant>
      <vt:variant>
        <vt:lpwstr/>
      </vt:variant>
      <vt:variant>
        <vt:i4>720961</vt:i4>
      </vt:variant>
      <vt:variant>
        <vt:i4>147</vt:i4>
      </vt:variant>
      <vt:variant>
        <vt:i4>0</vt:i4>
      </vt:variant>
      <vt:variant>
        <vt:i4>5</vt:i4>
      </vt:variant>
      <vt:variant>
        <vt:lpwstr>https://www.tga.gov.au/picmi-search-facility</vt:lpwstr>
      </vt:variant>
      <vt:variant>
        <vt:lpwstr/>
      </vt:variant>
      <vt:variant>
        <vt:i4>720911</vt:i4>
      </vt:variant>
      <vt:variant>
        <vt:i4>141</vt:i4>
      </vt:variant>
      <vt:variant>
        <vt:i4>0</vt:i4>
      </vt:variant>
      <vt:variant>
        <vt:i4>5</vt:i4>
      </vt:variant>
      <vt:variant>
        <vt:lpwstr>https://www.tga.gov.au/resources/auspar/auspar-tixagevimab-and-cilgavimab</vt:lpwstr>
      </vt:variant>
      <vt:variant>
        <vt:lpwstr/>
      </vt:variant>
      <vt:variant>
        <vt:i4>7274596</vt:i4>
      </vt:variant>
      <vt:variant>
        <vt:i4>138</vt:i4>
      </vt:variant>
      <vt:variant>
        <vt:i4>0</vt:i4>
      </vt:variant>
      <vt:variant>
        <vt:i4>5</vt:i4>
      </vt:variant>
      <vt:variant>
        <vt:lpwstr>https://www.tga.gov.au/resources/auspar/auspar-molnupiravir</vt:lpwstr>
      </vt:variant>
      <vt:variant>
        <vt:lpwstr/>
      </vt:variant>
      <vt:variant>
        <vt:i4>1835022</vt:i4>
      </vt:variant>
      <vt:variant>
        <vt:i4>135</vt:i4>
      </vt:variant>
      <vt:variant>
        <vt:i4>0</vt:i4>
      </vt:variant>
      <vt:variant>
        <vt:i4>5</vt:i4>
      </vt:variant>
      <vt:variant>
        <vt:lpwstr>https://www.tga.gov.au/resources/auspar/auspar-nirmatrelvirritonavir</vt:lpwstr>
      </vt:variant>
      <vt:variant>
        <vt:lpwstr/>
      </vt:variant>
      <vt:variant>
        <vt:i4>7798902</vt:i4>
      </vt:variant>
      <vt:variant>
        <vt:i4>132</vt:i4>
      </vt:variant>
      <vt:variant>
        <vt:i4>0</vt:i4>
      </vt:variant>
      <vt:variant>
        <vt:i4>5</vt:i4>
      </vt:variant>
      <vt:variant>
        <vt:lpwstr>https://www.tga.gov.au/resources/auspar/auspar-regdanvimab</vt:lpwstr>
      </vt:variant>
      <vt:variant>
        <vt:lpwstr/>
      </vt:variant>
      <vt:variant>
        <vt:i4>6094857</vt:i4>
      </vt:variant>
      <vt:variant>
        <vt:i4>129</vt:i4>
      </vt:variant>
      <vt:variant>
        <vt:i4>0</vt:i4>
      </vt:variant>
      <vt:variant>
        <vt:i4>5</vt:i4>
      </vt:variant>
      <vt:variant>
        <vt:lpwstr>https://www.tga.gov.au/resources/auspar/auspar-tocilizumab-rch-3</vt:lpwstr>
      </vt:variant>
      <vt:variant>
        <vt:lpwstr/>
      </vt:variant>
      <vt:variant>
        <vt:i4>6357102</vt:i4>
      </vt:variant>
      <vt:variant>
        <vt:i4>126</vt:i4>
      </vt:variant>
      <vt:variant>
        <vt:i4>0</vt:i4>
      </vt:variant>
      <vt:variant>
        <vt:i4>5</vt:i4>
      </vt:variant>
      <vt:variant>
        <vt:lpwstr>https://www.tga.gov.au/resources/auspar/auspar-casirivimabimdevimab</vt:lpwstr>
      </vt:variant>
      <vt:variant>
        <vt:lpwstr/>
      </vt:variant>
      <vt:variant>
        <vt:i4>6619237</vt:i4>
      </vt:variant>
      <vt:variant>
        <vt:i4>123</vt:i4>
      </vt:variant>
      <vt:variant>
        <vt:i4>0</vt:i4>
      </vt:variant>
      <vt:variant>
        <vt:i4>5</vt:i4>
      </vt:variant>
      <vt:variant>
        <vt:lpwstr>C:\Users\HEYYIN\AppData\Local\Microsoft\Windows\INetCache\Content.Outlook\DOG6YE36\364110</vt:lpwstr>
      </vt:variant>
      <vt:variant>
        <vt:lpwstr/>
      </vt:variant>
      <vt:variant>
        <vt:i4>2949223</vt:i4>
      </vt:variant>
      <vt:variant>
        <vt:i4>120</vt:i4>
      </vt:variant>
      <vt:variant>
        <vt:i4>0</vt:i4>
      </vt:variant>
      <vt:variant>
        <vt:i4>5</vt:i4>
      </vt:variant>
      <vt:variant>
        <vt:lpwstr>https://www.tga.gov.au/resources/auspar/auspar-remdesivir-0</vt:lpwstr>
      </vt:variant>
      <vt:variant>
        <vt:lpwstr/>
      </vt:variant>
      <vt:variant>
        <vt:i4>21</vt:i4>
      </vt:variant>
      <vt:variant>
        <vt:i4>117</vt:i4>
      </vt:variant>
      <vt:variant>
        <vt:i4>0</vt:i4>
      </vt:variant>
      <vt:variant>
        <vt:i4>5</vt:i4>
      </vt:variant>
      <vt:variant>
        <vt:lpwstr>https://www.tga.gov.au/resources/auspar/auspar-remdesivir</vt:lpwstr>
      </vt:variant>
      <vt:variant>
        <vt:lpwstr/>
      </vt:variant>
      <vt:variant>
        <vt:i4>786511</vt:i4>
      </vt:variant>
      <vt:variant>
        <vt:i4>108</vt:i4>
      </vt:variant>
      <vt:variant>
        <vt:i4>0</vt:i4>
      </vt:variant>
      <vt:variant>
        <vt:i4>5</vt:i4>
      </vt:variant>
      <vt:variant>
        <vt:lpwstr>https://www.tga.gov.au/black-triangle-scheme</vt:lpwstr>
      </vt:variant>
      <vt:variant>
        <vt:lpwstr/>
      </vt:variant>
      <vt:variant>
        <vt:i4>1048629</vt:i4>
      </vt:variant>
      <vt:variant>
        <vt:i4>101</vt:i4>
      </vt:variant>
      <vt:variant>
        <vt:i4>0</vt:i4>
      </vt:variant>
      <vt:variant>
        <vt:i4>5</vt:i4>
      </vt:variant>
      <vt:variant>
        <vt:lpwstr/>
      </vt:variant>
      <vt:variant>
        <vt:lpwstr>_Toc119485571</vt:lpwstr>
      </vt:variant>
      <vt:variant>
        <vt:i4>1048629</vt:i4>
      </vt:variant>
      <vt:variant>
        <vt:i4>95</vt:i4>
      </vt:variant>
      <vt:variant>
        <vt:i4>0</vt:i4>
      </vt:variant>
      <vt:variant>
        <vt:i4>5</vt:i4>
      </vt:variant>
      <vt:variant>
        <vt:lpwstr/>
      </vt:variant>
      <vt:variant>
        <vt:lpwstr>_Toc119485570</vt:lpwstr>
      </vt:variant>
      <vt:variant>
        <vt:i4>1114165</vt:i4>
      </vt:variant>
      <vt:variant>
        <vt:i4>89</vt:i4>
      </vt:variant>
      <vt:variant>
        <vt:i4>0</vt:i4>
      </vt:variant>
      <vt:variant>
        <vt:i4>5</vt:i4>
      </vt:variant>
      <vt:variant>
        <vt:lpwstr/>
      </vt:variant>
      <vt:variant>
        <vt:lpwstr>_Toc119485569</vt:lpwstr>
      </vt:variant>
      <vt:variant>
        <vt:i4>1114165</vt:i4>
      </vt:variant>
      <vt:variant>
        <vt:i4>83</vt:i4>
      </vt:variant>
      <vt:variant>
        <vt:i4>0</vt:i4>
      </vt:variant>
      <vt:variant>
        <vt:i4>5</vt:i4>
      </vt:variant>
      <vt:variant>
        <vt:lpwstr/>
      </vt:variant>
      <vt:variant>
        <vt:lpwstr>_Toc119485568</vt:lpwstr>
      </vt:variant>
      <vt:variant>
        <vt:i4>1114165</vt:i4>
      </vt:variant>
      <vt:variant>
        <vt:i4>77</vt:i4>
      </vt:variant>
      <vt:variant>
        <vt:i4>0</vt:i4>
      </vt:variant>
      <vt:variant>
        <vt:i4>5</vt:i4>
      </vt:variant>
      <vt:variant>
        <vt:lpwstr/>
      </vt:variant>
      <vt:variant>
        <vt:lpwstr>_Toc119485567</vt:lpwstr>
      </vt:variant>
      <vt:variant>
        <vt:i4>1114165</vt:i4>
      </vt:variant>
      <vt:variant>
        <vt:i4>71</vt:i4>
      </vt:variant>
      <vt:variant>
        <vt:i4>0</vt:i4>
      </vt:variant>
      <vt:variant>
        <vt:i4>5</vt:i4>
      </vt:variant>
      <vt:variant>
        <vt:lpwstr/>
      </vt:variant>
      <vt:variant>
        <vt:lpwstr>_Toc119485566</vt:lpwstr>
      </vt:variant>
      <vt:variant>
        <vt:i4>1114165</vt:i4>
      </vt:variant>
      <vt:variant>
        <vt:i4>65</vt:i4>
      </vt:variant>
      <vt:variant>
        <vt:i4>0</vt:i4>
      </vt:variant>
      <vt:variant>
        <vt:i4>5</vt:i4>
      </vt:variant>
      <vt:variant>
        <vt:lpwstr/>
      </vt:variant>
      <vt:variant>
        <vt:lpwstr>_Toc119485565</vt:lpwstr>
      </vt:variant>
      <vt:variant>
        <vt:i4>1114165</vt:i4>
      </vt:variant>
      <vt:variant>
        <vt:i4>59</vt:i4>
      </vt:variant>
      <vt:variant>
        <vt:i4>0</vt:i4>
      </vt:variant>
      <vt:variant>
        <vt:i4>5</vt:i4>
      </vt:variant>
      <vt:variant>
        <vt:lpwstr/>
      </vt:variant>
      <vt:variant>
        <vt:lpwstr>_Toc119485564</vt:lpwstr>
      </vt:variant>
      <vt:variant>
        <vt:i4>1114165</vt:i4>
      </vt:variant>
      <vt:variant>
        <vt:i4>53</vt:i4>
      </vt:variant>
      <vt:variant>
        <vt:i4>0</vt:i4>
      </vt:variant>
      <vt:variant>
        <vt:i4>5</vt:i4>
      </vt:variant>
      <vt:variant>
        <vt:lpwstr/>
      </vt:variant>
      <vt:variant>
        <vt:lpwstr>_Toc119485563</vt:lpwstr>
      </vt:variant>
      <vt:variant>
        <vt:i4>1114165</vt:i4>
      </vt:variant>
      <vt:variant>
        <vt:i4>47</vt:i4>
      </vt:variant>
      <vt:variant>
        <vt:i4>0</vt:i4>
      </vt:variant>
      <vt:variant>
        <vt:i4>5</vt:i4>
      </vt:variant>
      <vt:variant>
        <vt:lpwstr/>
      </vt:variant>
      <vt:variant>
        <vt:lpwstr>_Toc119485562</vt:lpwstr>
      </vt:variant>
      <vt:variant>
        <vt:i4>1114165</vt:i4>
      </vt:variant>
      <vt:variant>
        <vt:i4>41</vt:i4>
      </vt:variant>
      <vt:variant>
        <vt:i4>0</vt:i4>
      </vt:variant>
      <vt:variant>
        <vt:i4>5</vt:i4>
      </vt:variant>
      <vt:variant>
        <vt:lpwstr/>
      </vt:variant>
      <vt:variant>
        <vt:lpwstr>_Toc119485561</vt:lpwstr>
      </vt:variant>
      <vt:variant>
        <vt:i4>1114165</vt:i4>
      </vt:variant>
      <vt:variant>
        <vt:i4>35</vt:i4>
      </vt:variant>
      <vt:variant>
        <vt:i4>0</vt:i4>
      </vt:variant>
      <vt:variant>
        <vt:i4>5</vt:i4>
      </vt:variant>
      <vt:variant>
        <vt:lpwstr/>
      </vt:variant>
      <vt:variant>
        <vt:lpwstr>_Toc119485560</vt:lpwstr>
      </vt:variant>
      <vt:variant>
        <vt:i4>1179701</vt:i4>
      </vt:variant>
      <vt:variant>
        <vt:i4>29</vt:i4>
      </vt:variant>
      <vt:variant>
        <vt:i4>0</vt:i4>
      </vt:variant>
      <vt:variant>
        <vt:i4>5</vt:i4>
      </vt:variant>
      <vt:variant>
        <vt:lpwstr/>
      </vt:variant>
      <vt:variant>
        <vt:lpwstr>_Toc119485559</vt:lpwstr>
      </vt:variant>
      <vt:variant>
        <vt:i4>1179701</vt:i4>
      </vt:variant>
      <vt:variant>
        <vt:i4>23</vt:i4>
      </vt:variant>
      <vt:variant>
        <vt:i4>0</vt:i4>
      </vt:variant>
      <vt:variant>
        <vt:i4>5</vt:i4>
      </vt:variant>
      <vt:variant>
        <vt:lpwstr/>
      </vt:variant>
      <vt:variant>
        <vt:lpwstr>_Toc119485558</vt:lpwstr>
      </vt:variant>
      <vt:variant>
        <vt:i4>1179701</vt:i4>
      </vt:variant>
      <vt:variant>
        <vt:i4>17</vt:i4>
      </vt:variant>
      <vt:variant>
        <vt:i4>0</vt:i4>
      </vt:variant>
      <vt:variant>
        <vt:i4>5</vt:i4>
      </vt:variant>
      <vt:variant>
        <vt:lpwstr/>
      </vt:variant>
      <vt:variant>
        <vt:lpwstr>_Toc119485557</vt:lpwstr>
      </vt:variant>
      <vt:variant>
        <vt:i4>1179701</vt:i4>
      </vt:variant>
      <vt:variant>
        <vt:i4>11</vt:i4>
      </vt:variant>
      <vt:variant>
        <vt:i4>0</vt:i4>
      </vt:variant>
      <vt:variant>
        <vt:i4>5</vt:i4>
      </vt:variant>
      <vt:variant>
        <vt:lpwstr/>
      </vt:variant>
      <vt:variant>
        <vt:lpwstr>_Toc119485556</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Evusheld</dc:title>
  <dc:subject>prescription medicine regulation</dc:subject>
  <dc:creator>Therapeutic Goods Administration</dc:creator>
  <cp:keywords/>
  <cp:lastModifiedBy>PITKIN, Brendan</cp:lastModifiedBy>
  <cp:revision>10</cp:revision>
  <cp:lastPrinted>2019-08-15T12:30:00Z</cp:lastPrinted>
  <dcterms:created xsi:type="dcterms:W3CDTF">2023-01-03T23:28:00Z</dcterms:created>
  <dcterms:modified xsi:type="dcterms:W3CDTF">2023-01-05T03:55:00Z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0x010100FD5E5A046A2E9A4788BF61013A8A941E</vt:lpwstr>
  </property>
  <property fmtid="{D5CDD505-2E9C-101B-9397-08002B2CF9AE}" pid="3" name="_dlc_DocIdItemGuid">
    <vt:lpwstr>543ca299-4ad7-462d-bfa5-f1b37d02bc90</vt:lpwstr>
  </property>
  <property fmtid="{D5CDD505-2E9C-101B-9397-08002B2CF9AE}" pid="4" name="MediaServiceImageTags">
    <vt:lpwstr/>
  </property>
</Properties>
</file>