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8D1A55" w14:paraId="57F9A66F" w14:textId="77777777" w:rsidTr="00BF1190">
        <w:trPr>
          <w:trHeight w:val="1863"/>
        </w:trPr>
        <w:tc>
          <w:tcPr>
            <w:tcW w:w="3652" w:type="dxa"/>
            <w:tcBorders>
              <w:top w:val="nil"/>
              <w:left w:val="nil"/>
              <w:bottom w:val="nil"/>
              <w:right w:val="nil"/>
            </w:tcBorders>
          </w:tcPr>
          <w:p w14:paraId="7A883F84" w14:textId="579B4F91" w:rsidR="008E7846" w:rsidRPr="008D1A55" w:rsidRDefault="00AD1D0A" w:rsidP="00F931CE">
            <w:pPr>
              <w:pStyle w:val="Date"/>
              <w:framePr w:hSpace="0" w:wrap="auto" w:vAnchor="margin" w:hAnchor="text" w:yAlign="inline"/>
              <w:suppressOverlap w:val="0"/>
            </w:pPr>
            <w:r>
              <w:t>December</w:t>
            </w:r>
            <w:r w:rsidRPr="008D1A55">
              <w:t xml:space="preserve"> </w:t>
            </w:r>
            <w:r w:rsidR="00FD6E62" w:rsidRPr="008D1A55">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8D1A55" w14:paraId="15771441" w14:textId="77777777" w:rsidTr="0032583B">
        <w:trPr>
          <w:trHeight w:val="868"/>
        </w:trPr>
        <w:tc>
          <w:tcPr>
            <w:tcW w:w="9079" w:type="dxa"/>
          </w:tcPr>
          <w:p w14:paraId="1F72E2E4" w14:textId="41A0ED46" w:rsidR="0032583B" w:rsidRPr="008D1A55" w:rsidRDefault="0032583B" w:rsidP="00F931CE">
            <w:pPr>
              <w:pStyle w:val="Title"/>
              <w:framePr w:hSpace="0" w:wrap="auto" w:vAnchor="margin" w:yAlign="inline"/>
            </w:pPr>
            <w:r w:rsidRPr="008D1A55">
              <w:t>Australian Public Assessment Report for</w:t>
            </w:r>
            <w:r w:rsidR="00AF2313" w:rsidRPr="008D1A55">
              <w:t xml:space="preserve"> </w:t>
            </w:r>
            <w:proofErr w:type="spellStart"/>
            <w:r w:rsidR="00FD6E62" w:rsidRPr="008D1A55">
              <w:t>Saphnelo</w:t>
            </w:r>
            <w:proofErr w:type="spellEnd"/>
          </w:p>
        </w:tc>
      </w:tr>
      <w:tr w:rsidR="0032583B" w:rsidRPr="008D1A55" w14:paraId="7A596155" w14:textId="77777777" w:rsidTr="0032583B">
        <w:tc>
          <w:tcPr>
            <w:tcW w:w="9079" w:type="dxa"/>
          </w:tcPr>
          <w:p w14:paraId="1450C9C6" w14:textId="7A7A88AA" w:rsidR="0032583B" w:rsidRPr="008D1A55" w:rsidRDefault="00BB75D6" w:rsidP="00F931CE">
            <w:pPr>
              <w:pStyle w:val="Subtitle"/>
              <w:framePr w:hSpace="0" w:wrap="auto" w:vAnchor="margin" w:yAlign="inline"/>
            </w:pPr>
            <w:r w:rsidRPr="008D1A55">
              <w:t>Active ingredient</w:t>
            </w:r>
            <w:r w:rsidR="0032583B" w:rsidRPr="008D1A55">
              <w:t xml:space="preserve">: </w:t>
            </w:r>
            <w:proofErr w:type="spellStart"/>
            <w:r w:rsidR="00FD6E62" w:rsidRPr="008D1A55">
              <w:t>Anifrolumab</w:t>
            </w:r>
            <w:proofErr w:type="spellEnd"/>
          </w:p>
        </w:tc>
      </w:tr>
      <w:tr w:rsidR="0032583B" w:rsidRPr="008D1A55" w14:paraId="2D763517" w14:textId="77777777" w:rsidTr="0032583B">
        <w:trPr>
          <w:trHeight w:val="486"/>
        </w:trPr>
        <w:tc>
          <w:tcPr>
            <w:tcW w:w="9079" w:type="dxa"/>
          </w:tcPr>
          <w:p w14:paraId="51F7E0C1" w14:textId="535FD691" w:rsidR="0032583B" w:rsidRPr="008D1A55" w:rsidRDefault="00460036" w:rsidP="009556D7">
            <w:pPr>
              <w:pStyle w:val="Subtitle"/>
              <w:framePr w:hSpace="0" w:wrap="auto" w:vAnchor="margin" w:yAlign="inline"/>
            </w:pPr>
            <w:r w:rsidRPr="008D1A55">
              <w:t xml:space="preserve">Sponsor: </w:t>
            </w:r>
            <w:r w:rsidR="00FD6E62" w:rsidRPr="008D1A55">
              <w:t>AstraZeneca Pty Ltd</w:t>
            </w:r>
          </w:p>
        </w:tc>
      </w:tr>
    </w:tbl>
    <w:p w14:paraId="2ADF7931" w14:textId="77777777" w:rsidR="008E7846" w:rsidRPr="008D1A55" w:rsidRDefault="008E7846" w:rsidP="0085156D">
      <w:r w:rsidRPr="008D1A55">
        <w:br w:type="page"/>
      </w:r>
    </w:p>
    <w:p w14:paraId="5A390B5D" w14:textId="77777777" w:rsidR="008E7846" w:rsidRPr="008D1A55" w:rsidRDefault="008E7846" w:rsidP="008E7846">
      <w:pPr>
        <w:pStyle w:val="NonTOCHeading2"/>
      </w:pPr>
      <w:r w:rsidRPr="008D1A55">
        <w:lastRenderedPageBreak/>
        <w:t>About the Therapeutic Goods Administration (TGA)</w:t>
      </w:r>
    </w:p>
    <w:p w14:paraId="5975E253" w14:textId="77777777" w:rsidR="00AF2313" w:rsidRPr="008D1A55" w:rsidRDefault="00AF2313" w:rsidP="00AF2313">
      <w:pPr>
        <w:pStyle w:val="ListBullet"/>
      </w:pPr>
      <w:r w:rsidRPr="008D1A55">
        <w:t>The Therapeutic Goods Administration (TGA) is part of the Australian Government Department of Health and is responsible for regulating therapeutic goods, including medicines, medical devices, and biologicals.</w:t>
      </w:r>
    </w:p>
    <w:p w14:paraId="1A786771" w14:textId="77777777" w:rsidR="00AF2313" w:rsidRPr="008D1A55" w:rsidRDefault="00AF2313" w:rsidP="00AF2313">
      <w:pPr>
        <w:pStyle w:val="ListBullet"/>
      </w:pPr>
      <w:r w:rsidRPr="008D1A55">
        <w:t xml:space="preserve">The TGA administers the </w:t>
      </w:r>
      <w:r w:rsidRPr="008D1A55">
        <w:rPr>
          <w:i/>
          <w:iCs/>
        </w:rPr>
        <w:t>Therapeutic Goods Act 1989</w:t>
      </w:r>
      <w:r w:rsidRPr="008D1A55">
        <w:t xml:space="preserve"> (the Act), applying a risk management approach designed to ensure therapeutic goods supplied in Australia meet acceptable standards of quality, </w:t>
      </w:r>
      <w:r w:rsidR="00CC5044" w:rsidRPr="008D1A55">
        <w:t>safety,</w:t>
      </w:r>
      <w:r w:rsidRPr="008D1A55">
        <w:t xml:space="preserve"> and efficacy.</w:t>
      </w:r>
    </w:p>
    <w:p w14:paraId="18251300" w14:textId="77777777" w:rsidR="00AF2313" w:rsidRPr="008D1A55" w:rsidRDefault="00AF2313" w:rsidP="00AF2313">
      <w:pPr>
        <w:pStyle w:val="ListBullet"/>
      </w:pPr>
      <w:r w:rsidRPr="008D1A55">
        <w:t>The work of the TGA is based on applying scientific and clinical expertise to decision-making, to ensure that the benefits to the Australian public outweigh any risks associated with the use of therapeutic goods.</w:t>
      </w:r>
    </w:p>
    <w:p w14:paraId="61569C46" w14:textId="77777777" w:rsidR="00AF2313" w:rsidRPr="008D1A55" w:rsidRDefault="00AF2313" w:rsidP="00AF2313">
      <w:pPr>
        <w:pStyle w:val="ListBullet"/>
      </w:pPr>
      <w:r w:rsidRPr="008D1A55">
        <w:t>The TGA relies on the public, healthcare professionals and industry to report problems with therapeutic goods. The TGA investigates reports received to determine any necessary regulatory action.</w:t>
      </w:r>
    </w:p>
    <w:p w14:paraId="52B608E3" w14:textId="6C87F34C" w:rsidR="00AF2313" w:rsidRPr="008D1A55" w:rsidRDefault="00AF2313" w:rsidP="00AF2313">
      <w:pPr>
        <w:pStyle w:val="ListBullet"/>
      </w:pPr>
      <w:r w:rsidRPr="008D1A55">
        <w:t xml:space="preserve">To report a problem with a therapeutic good, please see the information on the </w:t>
      </w:r>
      <w:hyperlink r:id="rId8" w:history="1">
        <w:r w:rsidRPr="008D1A55">
          <w:rPr>
            <w:rStyle w:val="Hyperlink"/>
          </w:rPr>
          <w:t>TGA website</w:t>
        </w:r>
      </w:hyperlink>
      <w:r w:rsidRPr="008D1A55">
        <w:t>.</w:t>
      </w:r>
    </w:p>
    <w:p w14:paraId="2C7FD60A" w14:textId="77777777" w:rsidR="008E7846" w:rsidRPr="008D1A55" w:rsidRDefault="008E7846" w:rsidP="00875A6B">
      <w:pPr>
        <w:pStyle w:val="NonTOCHeading2"/>
      </w:pPr>
      <w:r w:rsidRPr="008D1A55">
        <w:t xml:space="preserve">About </w:t>
      </w:r>
      <w:proofErr w:type="spellStart"/>
      <w:r w:rsidRPr="008D1A55">
        <w:t>AusPARs</w:t>
      </w:r>
      <w:proofErr w:type="spellEnd"/>
    </w:p>
    <w:p w14:paraId="3F4314DA" w14:textId="368D8F64" w:rsidR="00AF2313" w:rsidRPr="008D1A55" w:rsidRDefault="00AF2313" w:rsidP="00AF2313">
      <w:pPr>
        <w:pStyle w:val="ListBullet"/>
      </w:pPr>
      <w:r w:rsidRPr="008D1A55">
        <w:t>The Australian Public Assessment Report (</w:t>
      </w:r>
      <w:proofErr w:type="spellStart"/>
      <w:r w:rsidRPr="008D1A55">
        <w:t>AusPAR</w:t>
      </w:r>
      <w:proofErr w:type="spellEnd"/>
      <w:r w:rsidRPr="008D1A55">
        <w:t xml:space="preserve">) provides information about the evaluation of a prescription medicine and the considerations that led the TGA to approve or not approve a prescription medicine submission. Further information can be found in </w:t>
      </w:r>
      <w:hyperlink r:id="rId9" w:history="1">
        <w:r w:rsidRPr="008D1A55">
          <w:rPr>
            <w:rStyle w:val="Hyperlink"/>
          </w:rPr>
          <w:t>Australian Public Assessment Report (</w:t>
        </w:r>
        <w:proofErr w:type="spellStart"/>
        <w:r w:rsidRPr="008D1A55">
          <w:rPr>
            <w:rStyle w:val="Hyperlink"/>
          </w:rPr>
          <w:t>AusPAR</w:t>
        </w:r>
        <w:proofErr w:type="spellEnd"/>
        <w:r w:rsidRPr="008D1A55">
          <w:rPr>
            <w:rStyle w:val="Hyperlink"/>
          </w:rPr>
          <w:t>) guidance</w:t>
        </w:r>
      </w:hyperlink>
      <w:r w:rsidRPr="008D1A55">
        <w:t>.</w:t>
      </w:r>
    </w:p>
    <w:p w14:paraId="0B83B329" w14:textId="77777777" w:rsidR="00AF2313" w:rsidRPr="008D1A55" w:rsidRDefault="00AF2313" w:rsidP="00AF2313">
      <w:pPr>
        <w:pStyle w:val="ListBullet"/>
      </w:pPr>
      <w:proofErr w:type="spellStart"/>
      <w:r w:rsidRPr="008D1A55">
        <w:t>AusPARs</w:t>
      </w:r>
      <w:proofErr w:type="spellEnd"/>
      <w:r w:rsidRPr="008D1A55">
        <w:t xml:space="preserve"> are prepared and published by the TGA.</w:t>
      </w:r>
    </w:p>
    <w:p w14:paraId="567CD5B4" w14:textId="77777777" w:rsidR="00AF2313" w:rsidRPr="008D1A55" w:rsidRDefault="00AF2313" w:rsidP="00AF2313">
      <w:pPr>
        <w:pStyle w:val="ListBullet"/>
      </w:pPr>
      <w:proofErr w:type="spellStart"/>
      <w:r w:rsidRPr="008D1A55">
        <w:t>AusPARs</w:t>
      </w:r>
      <w:proofErr w:type="spellEnd"/>
      <w:r w:rsidRPr="008D1A55">
        <w:t xml:space="preserve"> are static documents that provide information that relates to a submission at a particular point in time.</w:t>
      </w:r>
      <w:r w:rsidR="008110BC" w:rsidRPr="008D1A55">
        <w:t xml:space="preserve"> The publication of an </w:t>
      </w:r>
      <w:proofErr w:type="spellStart"/>
      <w:r w:rsidR="008110BC" w:rsidRPr="008D1A55">
        <w:t>AusPAR</w:t>
      </w:r>
      <w:proofErr w:type="spellEnd"/>
      <w:r w:rsidR="008110BC" w:rsidRPr="008D1A55">
        <w:t xml:space="preserve"> is an important part of the transparency of the TGA’s decision-making process.</w:t>
      </w:r>
    </w:p>
    <w:p w14:paraId="0E1F41DF" w14:textId="77777777" w:rsidR="00AF2313" w:rsidRPr="008D1A55" w:rsidRDefault="00AF2313" w:rsidP="00AF2313">
      <w:pPr>
        <w:pStyle w:val="ListBullet"/>
      </w:pPr>
      <w:r w:rsidRPr="008D1A55">
        <w:t xml:space="preserve">A new </w:t>
      </w:r>
      <w:proofErr w:type="spellStart"/>
      <w:r w:rsidRPr="008D1A55">
        <w:t>AusPAR</w:t>
      </w:r>
      <w:proofErr w:type="spellEnd"/>
      <w:r w:rsidRPr="008D1A55">
        <w:t xml:space="preserve"> may be provided to reflect changes to indications or major variations to a prescription medicine subject to evaluation by the TGA.</w:t>
      </w:r>
    </w:p>
    <w:p w14:paraId="602EB591" w14:textId="77777777" w:rsidR="00924482" w:rsidRPr="008D1A55" w:rsidRDefault="00924482" w:rsidP="00F54B65">
      <w:pPr>
        <w:pStyle w:val="LegalSubheading"/>
        <w:spacing w:before="3120"/>
      </w:pPr>
      <w:r w:rsidRPr="008D1A55">
        <w:t>Copyright</w:t>
      </w:r>
    </w:p>
    <w:p w14:paraId="7AF8664C" w14:textId="6FC2AEA4" w:rsidR="00924482" w:rsidRPr="008D1A55" w:rsidRDefault="00924482" w:rsidP="00924482">
      <w:pPr>
        <w:pStyle w:val="LegalCopy"/>
      </w:pPr>
      <w:r w:rsidRPr="008D1A55">
        <w:rPr>
          <w:rFonts w:cs="Arial"/>
          <w:lang w:val="en-GB"/>
        </w:rPr>
        <w:t>© Commonwealth of Australia 20</w:t>
      </w:r>
      <w:r w:rsidR="00460036" w:rsidRPr="008D1A55">
        <w:rPr>
          <w:rFonts w:cs="Arial"/>
          <w:lang w:val="en-GB"/>
        </w:rPr>
        <w:t>2</w:t>
      </w:r>
      <w:r w:rsidR="00AF2313" w:rsidRPr="008D1A55">
        <w:rPr>
          <w:rFonts w:cs="Arial"/>
          <w:lang w:val="en-GB"/>
        </w:rPr>
        <w:t>2</w:t>
      </w:r>
      <w:r w:rsidRPr="008D1A55">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8D1A55">
        <w:rPr>
          <w:rFonts w:cs="Arial"/>
          <w:i/>
          <w:lang w:val="en-GB"/>
        </w:rPr>
        <w:t>Copyright Act 1968</w:t>
      </w:r>
      <w:r w:rsidRPr="008D1A55">
        <w:rPr>
          <w:rFonts w:cs="Arial"/>
          <w:lang w:val="en-GB"/>
        </w:rPr>
        <w:t xml:space="preserve"> or allowed by this copyright notice, all other rights are </w:t>
      </w:r>
      <w:r w:rsidR="00EB36D6" w:rsidRPr="008D1A55">
        <w:rPr>
          <w:rFonts w:cs="Arial"/>
          <w:lang w:val="en-GB"/>
        </w:rPr>
        <w:t>reserved,</w:t>
      </w:r>
      <w:r w:rsidRPr="008D1A55">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8D1A55">
        <w:rPr>
          <w:rFonts w:cs="Arial"/>
          <w:lang w:val="en-GB"/>
        </w:rPr>
        <w:t>Woden</w:t>
      </w:r>
      <w:proofErr w:type="spellEnd"/>
      <w:r w:rsidRPr="008D1A55">
        <w:rPr>
          <w:rFonts w:cs="Arial"/>
          <w:lang w:val="en-GB"/>
        </w:rPr>
        <w:t xml:space="preserve"> ACT 2606 or emailed to &lt;</w:t>
      </w:r>
      <w:hyperlink r:id="rId10" w:history="1">
        <w:r w:rsidRPr="008D1A55">
          <w:rPr>
            <w:rStyle w:val="Hyperlink"/>
            <w:rFonts w:cs="Arial"/>
            <w:lang w:val="en-GB"/>
          </w:rPr>
          <w:t>tga.copyright@tga.gov.au</w:t>
        </w:r>
      </w:hyperlink>
      <w:r w:rsidRPr="008D1A55">
        <w:rPr>
          <w:rFonts w:cs="Arial"/>
        </w:rPr>
        <w:t>&gt;.</w:t>
      </w:r>
    </w:p>
    <w:p w14:paraId="26795DA8" w14:textId="77777777" w:rsidR="00924482" w:rsidRPr="008D1A55" w:rsidRDefault="00924482" w:rsidP="00924482">
      <w:pPr>
        <w:pStyle w:val="LegalCopy"/>
        <w:sectPr w:rsidR="00924482" w:rsidRPr="008D1A55"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190ACD2D" w14:textId="77777777" w:rsidR="0089635C" w:rsidRPr="008D1A55" w:rsidRDefault="0089635C" w:rsidP="0010788A">
          <w:pPr>
            <w:pStyle w:val="Contents"/>
          </w:pPr>
          <w:r w:rsidRPr="008D1A55">
            <w:t>Contents</w:t>
          </w:r>
        </w:p>
        <w:p w14:paraId="09E2F3E2" w14:textId="0B8C9D42" w:rsidR="00D8723A" w:rsidRDefault="00C525A2">
          <w:pPr>
            <w:pStyle w:val="TOC1"/>
            <w:rPr>
              <w:rFonts w:asciiTheme="minorHAnsi" w:eastAsiaTheme="minorEastAsia" w:hAnsiTheme="minorHAnsi" w:cstheme="minorBidi"/>
              <w:b w:val="0"/>
              <w:noProof/>
              <w:sz w:val="22"/>
              <w:lang w:eastAsia="en-AU"/>
            </w:rPr>
          </w:pPr>
          <w:r w:rsidRPr="008D1A55">
            <w:fldChar w:fldCharType="begin"/>
          </w:r>
          <w:r w:rsidRPr="008D1A55">
            <w:instrText xml:space="preserve"> TOC \h \z \t "Heading 2,1,Heading 3,2" </w:instrText>
          </w:r>
          <w:r w:rsidRPr="008D1A55">
            <w:fldChar w:fldCharType="separate"/>
          </w:r>
          <w:hyperlink w:anchor="_Toc117166171" w:history="1">
            <w:r w:rsidR="00D8723A" w:rsidRPr="000D55C0">
              <w:rPr>
                <w:rStyle w:val="Hyperlink"/>
                <w:noProof/>
              </w:rPr>
              <w:t>List of abbreviations</w:t>
            </w:r>
            <w:r w:rsidR="00D8723A">
              <w:rPr>
                <w:noProof/>
                <w:webHidden/>
              </w:rPr>
              <w:tab/>
            </w:r>
            <w:r w:rsidR="00D8723A">
              <w:rPr>
                <w:noProof/>
                <w:webHidden/>
              </w:rPr>
              <w:fldChar w:fldCharType="begin"/>
            </w:r>
            <w:r w:rsidR="00D8723A">
              <w:rPr>
                <w:noProof/>
                <w:webHidden/>
              </w:rPr>
              <w:instrText xml:space="preserve"> PAGEREF _Toc117166171 \h </w:instrText>
            </w:r>
            <w:r w:rsidR="00D8723A">
              <w:rPr>
                <w:noProof/>
                <w:webHidden/>
              </w:rPr>
            </w:r>
            <w:r w:rsidR="00D8723A">
              <w:rPr>
                <w:noProof/>
                <w:webHidden/>
              </w:rPr>
              <w:fldChar w:fldCharType="separate"/>
            </w:r>
            <w:r w:rsidR="005675A0">
              <w:rPr>
                <w:noProof/>
                <w:webHidden/>
              </w:rPr>
              <w:t>4</w:t>
            </w:r>
            <w:r w:rsidR="00D8723A">
              <w:rPr>
                <w:noProof/>
                <w:webHidden/>
              </w:rPr>
              <w:fldChar w:fldCharType="end"/>
            </w:r>
          </w:hyperlink>
        </w:p>
        <w:p w14:paraId="62B2D1E8" w14:textId="0D48125C" w:rsidR="00D8723A" w:rsidRDefault="005675A0">
          <w:pPr>
            <w:pStyle w:val="TOC1"/>
            <w:rPr>
              <w:rFonts w:asciiTheme="minorHAnsi" w:eastAsiaTheme="minorEastAsia" w:hAnsiTheme="minorHAnsi" w:cstheme="minorBidi"/>
              <w:b w:val="0"/>
              <w:noProof/>
              <w:sz w:val="22"/>
              <w:lang w:eastAsia="en-AU"/>
            </w:rPr>
          </w:pPr>
          <w:hyperlink w:anchor="_Toc117166172" w:history="1">
            <w:r w:rsidR="00D8723A" w:rsidRPr="000D55C0">
              <w:rPr>
                <w:rStyle w:val="Hyperlink"/>
                <w:noProof/>
              </w:rPr>
              <w:t>Product submission</w:t>
            </w:r>
            <w:r w:rsidR="00D8723A">
              <w:rPr>
                <w:noProof/>
                <w:webHidden/>
              </w:rPr>
              <w:tab/>
            </w:r>
            <w:r w:rsidR="00D8723A">
              <w:rPr>
                <w:noProof/>
                <w:webHidden/>
              </w:rPr>
              <w:fldChar w:fldCharType="begin"/>
            </w:r>
            <w:r w:rsidR="00D8723A">
              <w:rPr>
                <w:noProof/>
                <w:webHidden/>
              </w:rPr>
              <w:instrText xml:space="preserve"> PAGEREF _Toc117166172 \h </w:instrText>
            </w:r>
            <w:r w:rsidR="00D8723A">
              <w:rPr>
                <w:noProof/>
                <w:webHidden/>
              </w:rPr>
            </w:r>
            <w:r w:rsidR="00D8723A">
              <w:rPr>
                <w:noProof/>
                <w:webHidden/>
              </w:rPr>
              <w:fldChar w:fldCharType="separate"/>
            </w:r>
            <w:r>
              <w:rPr>
                <w:noProof/>
                <w:webHidden/>
              </w:rPr>
              <w:t>6</w:t>
            </w:r>
            <w:r w:rsidR="00D8723A">
              <w:rPr>
                <w:noProof/>
                <w:webHidden/>
              </w:rPr>
              <w:fldChar w:fldCharType="end"/>
            </w:r>
          </w:hyperlink>
        </w:p>
        <w:p w14:paraId="012BA2F4" w14:textId="25D8F075" w:rsidR="00D8723A" w:rsidRDefault="005675A0">
          <w:pPr>
            <w:pStyle w:val="TOC2"/>
            <w:rPr>
              <w:rFonts w:asciiTheme="minorHAnsi" w:eastAsiaTheme="minorEastAsia" w:hAnsiTheme="minorHAnsi" w:cstheme="minorBidi"/>
              <w:b w:val="0"/>
              <w:noProof/>
              <w:sz w:val="22"/>
              <w:lang w:eastAsia="en-AU"/>
            </w:rPr>
          </w:pPr>
          <w:hyperlink w:anchor="_Toc117166173" w:history="1">
            <w:r w:rsidR="00D8723A" w:rsidRPr="000D55C0">
              <w:rPr>
                <w:rStyle w:val="Hyperlink"/>
                <w:noProof/>
                <w:lang w:eastAsia="en-AU"/>
              </w:rPr>
              <w:t>Submission details</w:t>
            </w:r>
            <w:r w:rsidR="00D8723A">
              <w:rPr>
                <w:noProof/>
                <w:webHidden/>
              </w:rPr>
              <w:tab/>
            </w:r>
            <w:r w:rsidR="00D8723A">
              <w:rPr>
                <w:noProof/>
                <w:webHidden/>
              </w:rPr>
              <w:fldChar w:fldCharType="begin"/>
            </w:r>
            <w:r w:rsidR="00D8723A">
              <w:rPr>
                <w:noProof/>
                <w:webHidden/>
              </w:rPr>
              <w:instrText xml:space="preserve"> PAGEREF _Toc117166173 \h </w:instrText>
            </w:r>
            <w:r w:rsidR="00D8723A">
              <w:rPr>
                <w:noProof/>
                <w:webHidden/>
              </w:rPr>
            </w:r>
            <w:r w:rsidR="00D8723A">
              <w:rPr>
                <w:noProof/>
                <w:webHidden/>
              </w:rPr>
              <w:fldChar w:fldCharType="separate"/>
            </w:r>
            <w:r>
              <w:rPr>
                <w:noProof/>
                <w:webHidden/>
              </w:rPr>
              <w:t>6</w:t>
            </w:r>
            <w:r w:rsidR="00D8723A">
              <w:rPr>
                <w:noProof/>
                <w:webHidden/>
              </w:rPr>
              <w:fldChar w:fldCharType="end"/>
            </w:r>
          </w:hyperlink>
        </w:p>
        <w:p w14:paraId="02170CD0" w14:textId="4242CDD3" w:rsidR="00D8723A" w:rsidRDefault="005675A0">
          <w:pPr>
            <w:pStyle w:val="TOC2"/>
            <w:rPr>
              <w:rFonts w:asciiTheme="minorHAnsi" w:eastAsiaTheme="minorEastAsia" w:hAnsiTheme="minorHAnsi" w:cstheme="minorBidi"/>
              <w:b w:val="0"/>
              <w:noProof/>
              <w:sz w:val="22"/>
              <w:lang w:eastAsia="en-AU"/>
            </w:rPr>
          </w:pPr>
          <w:hyperlink w:anchor="_Toc117166174" w:history="1">
            <w:r w:rsidR="00D8723A" w:rsidRPr="000D55C0">
              <w:rPr>
                <w:rStyle w:val="Hyperlink"/>
                <w:noProof/>
              </w:rPr>
              <w:t>Product background</w:t>
            </w:r>
            <w:r w:rsidR="00D8723A">
              <w:rPr>
                <w:noProof/>
                <w:webHidden/>
              </w:rPr>
              <w:tab/>
            </w:r>
            <w:r w:rsidR="00D8723A">
              <w:rPr>
                <w:noProof/>
                <w:webHidden/>
              </w:rPr>
              <w:fldChar w:fldCharType="begin"/>
            </w:r>
            <w:r w:rsidR="00D8723A">
              <w:rPr>
                <w:noProof/>
                <w:webHidden/>
              </w:rPr>
              <w:instrText xml:space="preserve"> PAGEREF _Toc117166174 \h </w:instrText>
            </w:r>
            <w:r w:rsidR="00D8723A">
              <w:rPr>
                <w:noProof/>
                <w:webHidden/>
              </w:rPr>
            </w:r>
            <w:r w:rsidR="00D8723A">
              <w:rPr>
                <w:noProof/>
                <w:webHidden/>
              </w:rPr>
              <w:fldChar w:fldCharType="separate"/>
            </w:r>
            <w:r>
              <w:rPr>
                <w:noProof/>
                <w:webHidden/>
              </w:rPr>
              <w:t>7</w:t>
            </w:r>
            <w:r w:rsidR="00D8723A">
              <w:rPr>
                <w:noProof/>
                <w:webHidden/>
              </w:rPr>
              <w:fldChar w:fldCharType="end"/>
            </w:r>
          </w:hyperlink>
        </w:p>
        <w:p w14:paraId="49533472" w14:textId="278DE323" w:rsidR="00D8723A" w:rsidRDefault="005675A0">
          <w:pPr>
            <w:pStyle w:val="TOC2"/>
            <w:rPr>
              <w:rFonts w:asciiTheme="minorHAnsi" w:eastAsiaTheme="minorEastAsia" w:hAnsiTheme="minorHAnsi" w:cstheme="minorBidi"/>
              <w:b w:val="0"/>
              <w:noProof/>
              <w:sz w:val="22"/>
              <w:lang w:eastAsia="en-AU"/>
            </w:rPr>
          </w:pPr>
          <w:hyperlink w:anchor="_Toc117166175" w:history="1">
            <w:r w:rsidR="00D8723A" w:rsidRPr="000D55C0">
              <w:rPr>
                <w:rStyle w:val="Hyperlink"/>
                <w:noProof/>
              </w:rPr>
              <w:t>Regulatory status</w:t>
            </w:r>
            <w:r w:rsidR="00D8723A">
              <w:rPr>
                <w:noProof/>
                <w:webHidden/>
              </w:rPr>
              <w:tab/>
            </w:r>
            <w:r w:rsidR="00D8723A">
              <w:rPr>
                <w:noProof/>
                <w:webHidden/>
              </w:rPr>
              <w:fldChar w:fldCharType="begin"/>
            </w:r>
            <w:r w:rsidR="00D8723A">
              <w:rPr>
                <w:noProof/>
                <w:webHidden/>
              </w:rPr>
              <w:instrText xml:space="preserve"> PAGEREF _Toc117166175 \h </w:instrText>
            </w:r>
            <w:r w:rsidR="00D8723A">
              <w:rPr>
                <w:noProof/>
                <w:webHidden/>
              </w:rPr>
            </w:r>
            <w:r w:rsidR="00D8723A">
              <w:rPr>
                <w:noProof/>
                <w:webHidden/>
              </w:rPr>
              <w:fldChar w:fldCharType="separate"/>
            </w:r>
            <w:r>
              <w:rPr>
                <w:noProof/>
                <w:webHidden/>
              </w:rPr>
              <w:t>9</w:t>
            </w:r>
            <w:r w:rsidR="00D8723A">
              <w:rPr>
                <w:noProof/>
                <w:webHidden/>
              </w:rPr>
              <w:fldChar w:fldCharType="end"/>
            </w:r>
          </w:hyperlink>
        </w:p>
        <w:p w14:paraId="180FD730" w14:textId="2BACB9F6" w:rsidR="00D8723A" w:rsidRDefault="005675A0">
          <w:pPr>
            <w:pStyle w:val="TOC2"/>
            <w:rPr>
              <w:rFonts w:asciiTheme="minorHAnsi" w:eastAsiaTheme="minorEastAsia" w:hAnsiTheme="minorHAnsi" w:cstheme="minorBidi"/>
              <w:b w:val="0"/>
              <w:noProof/>
              <w:sz w:val="22"/>
              <w:lang w:eastAsia="en-AU"/>
            </w:rPr>
          </w:pPr>
          <w:hyperlink w:anchor="_Toc117166176" w:history="1">
            <w:r w:rsidR="00D8723A" w:rsidRPr="000D55C0">
              <w:rPr>
                <w:rStyle w:val="Hyperlink"/>
                <w:noProof/>
              </w:rPr>
              <w:t>Product Information</w:t>
            </w:r>
            <w:r w:rsidR="00D8723A">
              <w:rPr>
                <w:noProof/>
                <w:webHidden/>
              </w:rPr>
              <w:tab/>
            </w:r>
            <w:r w:rsidR="00D8723A">
              <w:rPr>
                <w:noProof/>
                <w:webHidden/>
              </w:rPr>
              <w:fldChar w:fldCharType="begin"/>
            </w:r>
            <w:r w:rsidR="00D8723A">
              <w:rPr>
                <w:noProof/>
                <w:webHidden/>
              </w:rPr>
              <w:instrText xml:space="preserve"> PAGEREF _Toc117166176 \h </w:instrText>
            </w:r>
            <w:r w:rsidR="00D8723A">
              <w:rPr>
                <w:noProof/>
                <w:webHidden/>
              </w:rPr>
            </w:r>
            <w:r w:rsidR="00D8723A">
              <w:rPr>
                <w:noProof/>
                <w:webHidden/>
              </w:rPr>
              <w:fldChar w:fldCharType="separate"/>
            </w:r>
            <w:r>
              <w:rPr>
                <w:noProof/>
                <w:webHidden/>
              </w:rPr>
              <w:t>10</w:t>
            </w:r>
            <w:r w:rsidR="00D8723A">
              <w:rPr>
                <w:noProof/>
                <w:webHidden/>
              </w:rPr>
              <w:fldChar w:fldCharType="end"/>
            </w:r>
          </w:hyperlink>
        </w:p>
        <w:p w14:paraId="32BF0888" w14:textId="292D2966" w:rsidR="00D8723A" w:rsidRDefault="005675A0">
          <w:pPr>
            <w:pStyle w:val="TOC1"/>
            <w:rPr>
              <w:rFonts w:asciiTheme="minorHAnsi" w:eastAsiaTheme="minorEastAsia" w:hAnsiTheme="minorHAnsi" w:cstheme="minorBidi"/>
              <w:b w:val="0"/>
              <w:noProof/>
              <w:sz w:val="22"/>
              <w:lang w:eastAsia="en-AU"/>
            </w:rPr>
          </w:pPr>
          <w:hyperlink w:anchor="_Toc117166177" w:history="1">
            <w:r w:rsidR="00D8723A" w:rsidRPr="000D55C0">
              <w:rPr>
                <w:rStyle w:val="Hyperlink"/>
                <w:noProof/>
              </w:rPr>
              <w:t>Registration timeline</w:t>
            </w:r>
            <w:r w:rsidR="00D8723A">
              <w:rPr>
                <w:noProof/>
                <w:webHidden/>
              </w:rPr>
              <w:tab/>
            </w:r>
            <w:r w:rsidR="00D8723A">
              <w:rPr>
                <w:noProof/>
                <w:webHidden/>
              </w:rPr>
              <w:fldChar w:fldCharType="begin"/>
            </w:r>
            <w:r w:rsidR="00D8723A">
              <w:rPr>
                <w:noProof/>
                <w:webHidden/>
              </w:rPr>
              <w:instrText xml:space="preserve"> PAGEREF _Toc117166177 \h </w:instrText>
            </w:r>
            <w:r w:rsidR="00D8723A">
              <w:rPr>
                <w:noProof/>
                <w:webHidden/>
              </w:rPr>
            </w:r>
            <w:r w:rsidR="00D8723A">
              <w:rPr>
                <w:noProof/>
                <w:webHidden/>
              </w:rPr>
              <w:fldChar w:fldCharType="separate"/>
            </w:r>
            <w:r>
              <w:rPr>
                <w:noProof/>
                <w:webHidden/>
              </w:rPr>
              <w:t>10</w:t>
            </w:r>
            <w:r w:rsidR="00D8723A">
              <w:rPr>
                <w:noProof/>
                <w:webHidden/>
              </w:rPr>
              <w:fldChar w:fldCharType="end"/>
            </w:r>
          </w:hyperlink>
        </w:p>
        <w:p w14:paraId="65B716CE" w14:textId="05542939" w:rsidR="00D8723A" w:rsidRDefault="005675A0">
          <w:pPr>
            <w:pStyle w:val="TOC1"/>
            <w:rPr>
              <w:rFonts w:asciiTheme="minorHAnsi" w:eastAsiaTheme="minorEastAsia" w:hAnsiTheme="minorHAnsi" w:cstheme="minorBidi"/>
              <w:b w:val="0"/>
              <w:noProof/>
              <w:sz w:val="22"/>
              <w:lang w:eastAsia="en-AU"/>
            </w:rPr>
          </w:pPr>
          <w:hyperlink w:anchor="_Toc117166178" w:history="1">
            <w:r w:rsidR="00D8723A" w:rsidRPr="000D55C0">
              <w:rPr>
                <w:rStyle w:val="Hyperlink"/>
                <w:noProof/>
              </w:rPr>
              <w:t>Submission overview and risk/benefit assessment</w:t>
            </w:r>
            <w:r w:rsidR="00D8723A">
              <w:rPr>
                <w:noProof/>
                <w:webHidden/>
              </w:rPr>
              <w:tab/>
            </w:r>
            <w:r w:rsidR="00D8723A">
              <w:rPr>
                <w:noProof/>
                <w:webHidden/>
              </w:rPr>
              <w:fldChar w:fldCharType="begin"/>
            </w:r>
            <w:r w:rsidR="00D8723A">
              <w:rPr>
                <w:noProof/>
                <w:webHidden/>
              </w:rPr>
              <w:instrText xml:space="preserve"> PAGEREF _Toc117166178 \h </w:instrText>
            </w:r>
            <w:r w:rsidR="00D8723A">
              <w:rPr>
                <w:noProof/>
                <w:webHidden/>
              </w:rPr>
            </w:r>
            <w:r w:rsidR="00D8723A">
              <w:rPr>
                <w:noProof/>
                <w:webHidden/>
              </w:rPr>
              <w:fldChar w:fldCharType="separate"/>
            </w:r>
            <w:r>
              <w:rPr>
                <w:noProof/>
                <w:webHidden/>
              </w:rPr>
              <w:t>11</w:t>
            </w:r>
            <w:r w:rsidR="00D8723A">
              <w:rPr>
                <w:noProof/>
                <w:webHidden/>
              </w:rPr>
              <w:fldChar w:fldCharType="end"/>
            </w:r>
          </w:hyperlink>
        </w:p>
        <w:p w14:paraId="3BF2CF07" w14:textId="6F0B658C" w:rsidR="00D8723A" w:rsidRDefault="005675A0">
          <w:pPr>
            <w:pStyle w:val="TOC2"/>
            <w:rPr>
              <w:rFonts w:asciiTheme="minorHAnsi" w:eastAsiaTheme="minorEastAsia" w:hAnsiTheme="minorHAnsi" w:cstheme="minorBidi"/>
              <w:b w:val="0"/>
              <w:noProof/>
              <w:sz w:val="22"/>
              <w:lang w:eastAsia="en-AU"/>
            </w:rPr>
          </w:pPr>
          <w:hyperlink w:anchor="_Toc117166179" w:history="1">
            <w:r w:rsidR="00D8723A" w:rsidRPr="000D55C0">
              <w:rPr>
                <w:rStyle w:val="Hyperlink"/>
                <w:noProof/>
              </w:rPr>
              <w:t>Quality</w:t>
            </w:r>
            <w:r w:rsidR="00D8723A">
              <w:rPr>
                <w:noProof/>
                <w:webHidden/>
              </w:rPr>
              <w:tab/>
            </w:r>
            <w:r w:rsidR="00D8723A">
              <w:rPr>
                <w:noProof/>
                <w:webHidden/>
              </w:rPr>
              <w:fldChar w:fldCharType="begin"/>
            </w:r>
            <w:r w:rsidR="00D8723A">
              <w:rPr>
                <w:noProof/>
                <w:webHidden/>
              </w:rPr>
              <w:instrText xml:space="preserve"> PAGEREF _Toc117166179 \h </w:instrText>
            </w:r>
            <w:r w:rsidR="00D8723A">
              <w:rPr>
                <w:noProof/>
                <w:webHidden/>
              </w:rPr>
            </w:r>
            <w:r w:rsidR="00D8723A">
              <w:rPr>
                <w:noProof/>
                <w:webHidden/>
              </w:rPr>
              <w:fldChar w:fldCharType="separate"/>
            </w:r>
            <w:r>
              <w:rPr>
                <w:noProof/>
                <w:webHidden/>
              </w:rPr>
              <w:t>11</w:t>
            </w:r>
            <w:r w:rsidR="00D8723A">
              <w:rPr>
                <w:noProof/>
                <w:webHidden/>
              </w:rPr>
              <w:fldChar w:fldCharType="end"/>
            </w:r>
          </w:hyperlink>
        </w:p>
        <w:p w14:paraId="6CFD127C" w14:textId="42144514" w:rsidR="00D8723A" w:rsidRDefault="005675A0">
          <w:pPr>
            <w:pStyle w:val="TOC2"/>
            <w:rPr>
              <w:rFonts w:asciiTheme="minorHAnsi" w:eastAsiaTheme="minorEastAsia" w:hAnsiTheme="minorHAnsi" w:cstheme="minorBidi"/>
              <w:b w:val="0"/>
              <w:noProof/>
              <w:sz w:val="22"/>
              <w:lang w:eastAsia="en-AU"/>
            </w:rPr>
          </w:pPr>
          <w:hyperlink w:anchor="_Toc117166180" w:history="1">
            <w:r w:rsidR="00D8723A" w:rsidRPr="000D55C0">
              <w:rPr>
                <w:rStyle w:val="Hyperlink"/>
                <w:noProof/>
              </w:rPr>
              <w:t>Nonclinical</w:t>
            </w:r>
            <w:r w:rsidR="00D8723A">
              <w:rPr>
                <w:noProof/>
                <w:webHidden/>
              </w:rPr>
              <w:tab/>
            </w:r>
            <w:r w:rsidR="00D8723A">
              <w:rPr>
                <w:noProof/>
                <w:webHidden/>
              </w:rPr>
              <w:fldChar w:fldCharType="begin"/>
            </w:r>
            <w:r w:rsidR="00D8723A">
              <w:rPr>
                <w:noProof/>
                <w:webHidden/>
              </w:rPr>
              <w:instrText xml:space="preserve"> PAGEREF _Toc117166180 \h </w:instrText>
            </w:r>
            <w:r w:rsidR="00D8723A">
              <w:rPr>
                <w:noProof/>
                <w:webHidden/>
              </w:rPr>
            </w:r>
            <w:r w:rsidR="00D8723A">
              <w:rPr>
                <w:noProof/>
                <w:webHidden/>
              </w:rPr>
              <w:fldChar w:fldCharType="separate"/>
            </w:r>
            <w:r>
              <w:rPr>
                <w:noProof/>
                <w:webHidden/>
              </w:rPr>
              <w:t>12</w:t>
            </w:r>
            <w:r w:rsidR="00D8723A">
              <w:rPr>
                <w:noProof/>
                <w:webHidden/>
              </w:rPr>
              <w:fldChar w:fldCharType="end"/>
            </w:r>
          </w:hyperlink>
        </w:p>
        <w:p w14:paraId="43BB222C" w14:textId="696874F3" w:rsidR="00D8723A" w:rsidRDefault="005675A0">
          <w:pPr>
            <w:pStyle w:val="TOC2"/>
            <w:rPr>
              <w:rFonts w:asciiTheme="minorHAnsi" w:eastAsiaTheme="minorEastAsia" w:hAnsiTheme="minorHAnsi" w:cstheme="minorBidi"/>
              <w:b w:val="0"/>
              <w:noProof/>
              <w:sz w:val="22"/>
              <w:lang w:eastAsia="en-AU"/>
            </w:rPr>
          </w:pPr>
          <w:hyperlink w:anchor="_Toc117166181" w:history="1">
            <w:r w:rsidR="00D8723A" w:rsidRPr="000D55C0">
              <w:rPr>
                <w:rStyle w:val="Hyperlink"/>
                <w:noProof/>
              </w:rPr>
              <w:t>Clinical</w:t>
            </w:r>
            <w:r w:rsidR="00D8723A">
              <w:rPr>
                <w:noProof/>
                <w:webHidden/>
              </w:rPr>
              <w:tab/>
            </w:r>
            <w:r w:rsidR="00D8723A">
              <w:rPr>
                <w:noProof/>
                <w:webHidden/>
              </w:rPr>
              <w:fldChar w:fldCharType="begin"/>
            </w:r>
            <w:r w:rsidR="00D8723A">
              <w:rPr>
                <w:noProof/>
                <w:webHidden/>
              </w:rPr>
              <w:instrText xml:space="preserve"> PAGEREF _Toc117166181 \h </w:instrText>
            </w:r>
            <w:r w:rsidR="00D8723A">
              <w:rPr>
                <w:noProof/>
                <w:webHidden/>
              </w:rPr>
            </w:r>
            <w:r w:rsidR="00D8723A">
              <w:rPr>
                <w:noProof/>
                <w:webHidden/>
              </w:rPr>
              <w:fldChar w:fldCharType="separate"/>
            </w:r>
            <w:r>
              <w:rPr>
                <w:noProof/>
                <w:webHidden/>
              </w:rPr>
              <w:t>14</w:t>
            </w:r>
            <w:r w:rsidR="00D8723A">
              <w:rPr>
                <w:noProof/>
                <w:webHidden/>
              </w:rPr>
              <w:fldChar w:fldCharType="end"/>
            </w:r>
          </w:hyperlink>
        </w:p>
        <w:p w14:paraId="7D1AC706" w14:textId="153B26C4" w:rsidR="00D8723A" w:rsidRDefault="005675A0">
          <w:pPr>
            <w:pStyle w:val="TOC2"/>
            <w:rPr>
              <w:rFonts w:asciiTheme="minorHAnsi" w:eastAsiaTheme="minorEastAsia" w:hAnsiTheme="minorHAnsi" w:cstheme="minorBidi"/>
              <w:b w:val="0"/>
              <w:noProof/>
              <w:sz w:val="22"/>
              <w:lang w:eastAsia="en-AU"/>
            </w:rPr>
          </w:pPr>
          <w:hyperlink w:anchor="_Toc117166182" w:history="1">
            <w:r w:rsidR="00D8723A" w:rsidRPr="000D55C0">
              <w:rPr>
                <w:rStyle w:val="Hyperlink"/>
                <w:noProof/>
                <w:lang w:eastAsia="en-AU"/>
              </w:rPr>
              <w:t>Risk management plan</w:t>
            </w:r>
            <w:r w:rsidR="00D8723A">
              <w:rPr>
                <w:noProof/>
                <w:webHidden/>
              </w:rPr>
              <w:tab/>
            </w:r>
            <w:r w:rsidR="00D8723A">
              <w:rPr>
                <w:noProof/>
                <w:webHidden/>
              </w:rPr>
              <w:fldChar w:fldCharType="begin"/>
            </w:r>
            <w:r w:rsidR="00D8723A">
              <w:rPr>
                <w:noProof/>
                <w:webHidden/>
              </w:rPr>
              <w:instrText xml:space="preserve"> PAGEREF _Toc117166182 \h </w:instrText>
            </w:r>
            <w:r w:rsidR="00D8723A">
              <w:rPr>
                <w:noProof/>
                <w:webHidden/>
              </w:rPr>
            </w:r>
            <w:r w:rsidR="00D8723A">
              <w:rPr>
                <w:noProof/>
                <w:webHidden/>
              </w:rPr>
              <w:fldChar w:fldCharType="separate"/>
            </w:r>
            <w:r>
              <w:rPr>
                <w:noProof/>
                <w:webHidden/>
              </w:rPr>
              <w:t>41</w:t>
            </w:r>
            <w:r w:rsidR="00D8723A">
              <w:rPr>
                <w:noProof/>
                <w:webHidden/>
              </w:rPr>
              <w:fldChar w:fldCharType="end"/>
            </w:r>
          </w:hyperlink>
        </w:p>
        <w:p w14:paraId="0752379B" w14:textId="69C40C15" w:rsidR="00D8723A" w:rsidRDefault="005675A0">
          <w:pPr>
            <w:pStyle w:val="TOC2"/>
            <w:rPr>
              <w:rFonts w:asciiTheme="minorHAnsi" w:eastAsiaTheme="minorEastAsia" w:hAnsiTheme="minorHAnsi" w:cstheme="minorBidi"/>
              <w:b w:val="0"/>
              <w:noProof/>
              <w:sz w:val="22"/>
              <w:lang w:eastAsia="en-AU"/>
            </w:rPr>
          </w:pPr>
          <w:hyperlink w:anchor="_Toc117166183" w:history="1">
            <w:r w:rsidR="00D8723A" w:rsidRPr="000D55C0">
              <w:rPr>
                <w:rStyle w:val="Hyperlink"/>
                <w:noProof/>
              </w:rPr>
              <w:t>Risk-benefit analysis</w:t>
            </w:r>
            <w:r w:rsidR="00D8723A">
              <w:rPr>
                <w:noProof/>
                <w:webHidden/>
              </w:rPr>
              <w:tab/>
            </w:r>
            <w:r w:rsidR="00D8723A">
              <w:rPr>
                <w:noProof/>
                <w:webHidden/>
              </w:rPr>
              <w:fldChar w:fldCharType="begin"/>
            </w:r>
            <w:r w:rsidR="00D8723A">
              <w:rPr>
                <w:noProof/>
                <w:webHidden/>
              </w:rPr>
              <w:instrText xml:space="preserve"> PAGEREF _Toc117166183 \h </w:instrText>
            </w:r>
            <w:r w:rsidR="00D8723A">
              <w:rPr>
                <w:noProof/>
                <w:webHidden/>
              </w:rPr>
            </w:r>
            <w:r w:rsidR="00D8723A">
              <w:rPr>
                <w:noProof/>
                <w:webHidden/>
              </w:rPr>
              <w:fldChar w:fldCharType="separate"/>
            </w:r>
            <w:r>
              <w:rPr>
                <w:noProof/>
                <w:webHidden/>
              </w:rPr>
              <w:t>43</w:t>
            </w:r>
            <w:r w:rsidR="00D8723A">
              <w:rPr>
                <w:noProof/>
                <w:webHidden/>
              </w:rPr>
              <w:fldChar w:fldCharType="end"/>
            </w:r>
          </w:hyperlink>
        </w:p>
        <w:p w14:paraId="782BE3B0" w14:textId="482AC405" w:rsidR="00D8723A" w:rsidRDefault="005675A0">
          <w:pPr>
            <w:pStyle w:val="TOC1"/>
            <w:rPr>
              <w:rFonts w:asciiTheme="minorHAnsi" w:eastAsiaTheme="minorEastAsia" w:hAnsiTheme="minorHAnsi" w:cstheme="minorBidi"/>
              <w:b w:val="0"/>
              <w:noProof/>
              <w:sz w:val="22"/>
              <w:lang w:eastAsia="en-AU"/>
            </w:rPr>
          </w:pPr>
          <w:hyperlink w:anchor="_Toc117166184" w:history="1">
            <w:r w:rsidR="00D8723A" w:rsidRPr="000D55C0">
              <w:rPr>
                <w:rStyle w:val="Hyperlink"/>
                <w:noProof/>
              </w:rPr>
              <w:t>Outcome</w:t>
            </w:r>
            <w:r w:rsidR="00D8723A">
              <w:rPr>
                <w:noProof/>
                <w:webHidden/>
              </w:rPr>
              <w:tab/>
            </w:r>
            <w:r w:rsidR="00D8723A">
              <w:rPr>
                <w:noProof/>
                <w:webHidden/>
              </w:rPr>
              <w:fldChar w:fldCharType="begin"/>
            </w:r>
            <w:r w:rsidR="00D8723A">
              <w:rPr>
                <w:noProof/>
                <w:webHidden/>
              </w:rPr>
              <w:instrText xml:space="preserve"> PAGEREF _Toc117166184 \h </w:instrText>
            </w:r>
            <w:r w:rsidR="00D8723A">
              <w:rPr>
                <w:noProof/>
                <w:webHidden/>
              </w:rPr>
            </w:r>
            <w:r w:rsidR="00D8723A">
              <w:rPr>
                <w:noProof/>
                <w:webHidden/>
              </w:rPr>
              <w:fldChar w:fldCharType="separate"/>
            </w:r>
            <w:r>
              <w:rPr>
                <w:noProof/>
                <w:webHidden/>
              </w:rPr>
              <w:t>48</w:t>
            </w:r>
            <w:r w:rsidR="00D8723A">
              <w:rPr>
                <w:noProof/>
                <w:webHidden/>
              </w:rPr>
              <w:fldChar w:fldCharType="end"/>
            </w:r>
          </w:hyperlink>
        </w:p>
        <w:p w14:paraId="46CAC17C" w14:textId="32F52E59" w:rsidR="00D8723A" w:rsidRDefault="005675A0">
          <w:pPr>
            <w:pStyle w:val="TOC2"/>
            <w:rPr>
              <w:rFonts w:asciiTheme="minorHAnsi" w:eastAsiaTheme="minorEastAsia" w:hAnsiTheme="minorHAnsi" w:cstheme="minorBidi"/>
              <w:b w:val="0"/>
              <w:noProof/>
              <w:sz w:val="22"/>
              <w:lang w:eastAsia="en-AU"/>
            </w:rPr>
          </w:pPr>
          <w:hyperlink w:anchor="_Toc117166185" w:history="1">
            <w:r w:rsidR="00D8723A" w:rsidRPr="000D55C0">
              <w:rPr>
                <w:rStyle w:val="Hyperlink"/>
                <w:noProof/>
              </w:rPr>
              <w:t>Specific conditions of registration applying to these goods</w:t>
            </w:r>
            <w:r w:rsidR="00D8723A">
              <w:rPr>
                <w:noProof/>
                <w:webHidden/>
              </w:rPr>
              <w:tab/>
            </w:r>
            <w:r w:rsidR="00D8723A">
              <w:rPr>
                <w:noProof/>
                <w:webHidden/>
              </w:rPr>
              <w:fldChar w:fldCharType="begin"/>
            </w:r>
            <w:r w:rsidR="00D8723A">
              <w:rPr>
                <w:noProof/>
                <w:webHidden/>
              </w:rPr>
              <w:instrText xml:space="preserve"> PAGEREF _Toc117166185 \h </w:instrText>
            </w:r>
            <w:r w:rsidR="00D8723A">
              <w:rPr>
                <w:noProof/>
                <w:webHidden/>
              </w:rPr>
            </w:r>
            <w:r w:rsidR="00D8723A">
              <w:rPr>
                <w:noProof/>
                <w:webHidden/>
              </w:rPr>
              <w:fldChar w:fldCharType="separate"/>
            </w:r>
            <w:r>
              <w:rPr>
                <w:noProof/>
                <w:webHidden/>
              </w:rPr>
              <w:t>49</w:t>
            </w:r>
            <w:r w:rsidR="00D8723A">
              <w:rPr>
                <w:noProof/>
                <w:webHidden/>
              </w:rPr>
              <w:fldChar w:fldCharType="end"/>
            </w:r>
          </w:hyperlink>
        </w:p>
        <w:p w14:paraId="6B6D9746" w14:textId="46D7E911" w:rsidR="00D8723A" w:rsidRDefault="005675A0">
          <w:pPr>
            <w:pStyle w:val="TOC1"/>
            <w:rPr>
              <w:rFonts w:asciiTheme="minorHAnsi" w:eastAsiaTheme="minorEastAsia" w:hAnsiTheme="minorHAnsi" w:cstheme="minorBidi"/>
              <w:b w:val="0"/>
              <w:noProof/>
              <w:sz w:val="22"/>
              <w:lang w:eastAsia="en-AU"/>
            </w:rPr>
          </w:pPr>
          <w:hyperlink w:anchor="_Toc117166186" w:history="1">
            <w:r w:rsidR="00D8723A" w:rsidRPr="000D55C0">
              <w:rPr>
                <w:rStyle w:val="Hyperlink"/>
                <w:noProof/>
              </w:rPr>
              <w:t>Attachment 1. Product Information</w:t>
            </w:r>
            <w:r w:rsidR="00D8723A">
              <w:rPr>
                <w:noProof/>
                <w:webHidden/>
              </w:rPr>
              <w:tab/>
            </w:r>
            <w:r w:rsidR="00D8723A">
              <w:rPr>
                <w:noProof/>
                <w:webHidden/>
              </w:rPr>
              <w:fldChar w:fldCharType="begin"/>
            </w:r>
            <w:r w:rsidR="00D8723A">
              <w:rPr>
                <w:noProof/>
                <w:webHidden/>
              </w:rPr>
              <w:instrText xml:space="preserve"> PAGEREF _Toc117166186 \h </w:instrText>
            </w:r>
            <w:r w:rsidR="00D8723A">
              <w:rPr>
                <w:noProof/>
                <w:webHidden/>
              </w:rPr>
            </w:r>
            <w:r w:rsidR="00D8723A">
              <w:rPr>
                <w:noProof/>
                <w:webHidden/>
              </w:rPr>
              <w:fldChar w:fldCharType="separate"/>
            </w:r>
            <w:r>
              <w:rPr>
                <w:noProof/>
                <w:webHidden/>
              </w:rPr>
              <w:t>49</w:t>
            </w:r>
            <w:r w:rsidR="00D8723A">
              <w:rPr>
                <w:noProof/>
                <w:webHidden/>
              </w:rPr>
              <w:fldChar w:fldCharType="end"/>
            </w:r>
          </w:hyperlink>
        </w:p>
        <w:p w14:paraId="6D20A3C9" w14:textId="6651417A" w:rsidR="003A7F6C" w:rsidRPr="008D1A55" w:rsidRDefault="00C525A2" w:rsidP="00EB36D6">
          <w:r w:rsidRPr="008D1A55">
            <w:fldChar w:fldCharType="end"/>
          </w:r>
        </w:p>
      </w:sdtContent>
    </w:sdt>
    <w:bookmarkStart w:id="2" w:name="_Toc314842482" w:displacedByCustomXml="prev"/>
    <w:p w14:paraId="183840CC" w14:textId="77777777" w:rsidR="00FD119B" w:rsidRPr="008D1A55" w:rsidRDefault="00FD119B">
      <w:pPr>
        <w:spacing w:before="0" w:after="200" w:line="0" w:lineRule="auto"/>
      </w:pPr>
      <w:r w:rsidRPr="008D1A55">
        <w:br w:type="page"/>
      </w:r>
    </w:p>
    <w:p w14:paraId="411A7F71" w14:textId="77777777" w:rsidR="00AF2313" w:rsidRPr="008D1A55" w:rsidRDefault="00AF2313" w:rsidP="00AF2313">
      <w:pPr>
        <w:pStyle w:val="Heading2"/>
      </w:pPr>
      <w:bookmarkStart w:id="3" w:name="_Toc98931917"/>
      <w:bookmarkStart w:id="4" w:name="_Toc117166171"/>
      <w:r w:rsidRPr="008D1A55">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AF2313" w:rsidRPr="008D1A55" w14:paraId="0EED1FF0" w14:textId="77777777" w:rsidTr="00AF2313">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26510905" w14:textId="77777777" w:rsidR="00AF2313" w:rsidRPr="008D1A55" w:rsidRDefault="00AF2313">
            <w:pPr>
              <w:rPr>
                <w:color w:val="FFFFFF"/>
              </w:rPr>
            </w:pPr>
            <w:bookmarkStart w:id="5" w:name="_Hlk116927988"/>
            <w:r w:rsidRPr="008D1A55">
              <w:t>Abbreviation</w:t>
            </w:r>
          </w:p>
        </w:tc>
        <w:tc>
          <w:tcPr>
            <w:tcW w:w="3282" w:type="pct"/>
            <w:hideMark/>
          </w:tcPr>
          <w:p w14:paraId="0DD3BC57" w14:textId="77777777" w:rsidR="00AF2313" w:rsidRPr="008D1A55" w:rsidRDefault="00AF2313">
            <w:r w:rsidRPr="008D1A55">
              <w:t>Meaning</w:t>
            </w:r>
          </w:p>
        </w:tc>
      </w:tr>
      <w:tr w:rsidR="0035180C" w:rsidRPr="008D1A55" w14:paraId="1EC2544B"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0EAFFD7" w14:textId="1E381ECD" w:rsidR="0035180C" w:rsidRPr="008D1A55" w:rsidRDefault="0035180C" w:rsidP="0035180C">
            <w:r w:rsidRPr="008D1A55">
              <w:t>ACM</w:t>
            </w:r>
          </w:p>
        </w:tc>
        <w:tc>
          <w:tcPr>
            <w:tcW w:w="3987" w:type="pct"/>
            <w:gridSpan w:val="2"/>
            <w:tcBorders>
              <w:top w:val="single" w:sz="8" w:space="0" w:color="002C47"/>
              <w:left w:val="single" w:sz="8" w:space="0" w:color="002C47"/>
              <w:bottom w:val="single" w:sz="8" w:space="0" w:color="002C47"/>
              <w:right w:val="single" w:sz="8" w:space="0" w:color="002C47"/>
            </w:tcBorders>
          </w:tcPr>
          <w:p w14:paraId="52659999" w14:textId="6A025757" w:rsidR="0035180C" w:rsidRPr="008D1A55" w:rsidRDefault="0035180C" w:rsidP="0035180C">
            <w:bookmarkStart w:id="6" w:name="_Hlk116932533"/>
            <w:r w:rsidRPr="008D1A55">
              <w:t>Advisory Committee on Medicines</w:t>
            </w:r>
            <w:bookmarkEnd w:id="6"/>
          </w:p>
        </w:tc>
      </w:tr>
      <w:tr w:rsidR="0035180C" w:rsidRPr="008D1A55" w14:paraId="580BA438"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202873FA" w14:textId="76DD9FA2" w:rsidR="0035180C" w:rsidRPr="008D1A55" w:rsidRDefault="0035180C" w:rsidP="0035180C">
            <w:r w:rsidRPr="008D1A55">
              <w:t>ACR</w:t>
            </w:r>
          </w:p>
        </w:tc>
        <w:tc>
          <w:tcPr>
            <w:tcW w:w="3987" w:type="pct"/>
            <w:gridSpan w:val="2"/>
            <w:tcBorders>
              <w:top w:val="single" w:sz="8" w:space="0" w:color="002C47"/>
              <w:left w:val="single" w:sz="8" w:space="0" w:color="002C47"/>
              <w:bottom w:val="single" w:sz="8" w:space="0" w:color="002C47"/>
              <w:right w:val="single" w:sz="8" w:space="0" w:color="002C47"/>
            </w:tcBorders>
          </w:tcPr>
          <w:p w14:paraId="4AF5F02C" w14:textId="2F4213CC" w:rsidR="0035180C" w:rsidRPr="008D1A55" w:rsidRDefault="0035180C" w:rsidP="0035180C">
            <w:r w:rsidRPr="008D1A55">
              <w:t>American College of Rheumatology</w:t>
            </w:r>
          </w:p>
        </w:tc>
      </w:tr>
      <w:tr w:rsidR="0035180C" w:rsidRPr="008D1A55" w14:paraId="53474335"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51A7E92F" w14:textId="14FE3C06" w:rsidR="0035180C" w:rsidRPr="008D1A55" w:rsidRDefault="0035180C" w:rsidP="0035180C">
            <w:r w:rsidRPr="008D1A55">
              <w:t>ADA</w:t>
            </w:r>
          </w:p>
        </w:tc>
        <w:tc>
          <w:tcPr>
            <w:tcW w:w="3987" w:type="pct"/>
            <w:gridSpan w:val="2"/>
            <w:tcBorders>
              <w:top w:val="single" w:sz="8" w:space="0" w:color="002C47"/>
              <w:left w:val="single" w:sz="8" w:space="0" w:color="002C47"/>
              <w:bottom w:val="single" w:sz="8" w:space="0" w:color="002C47"/>
              <w:right w:val="single" w:sz="8" w:space="0" w:color="002C47"/>
            </w:tcBorders>
          </w:tcPr>
          <w:p w14:paraId="31A99F0B" w14:textId="78516D85" w:rsidR="0035180C" w:rsidRPr="008D1A55" w:rsidRDefault="0035180C" w:rsidP="0035180C">
            <w:r w:rsidRPr="008D1A55">
              <w:t>Antidrug antibody</w:t>
            </w:r>
          </w:p>
        </w:tc>
      </w:tr>
      <w:tr w:rsidR="0035180C" w:rsidRPr="008D1A55" w14:paraId="01C2AEE5"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267BACAB" w14:textId="66E3821F" w:rsidR="0035180C" w:rsidRPr="008D1A55" w:rsidRDefault="0035180C" w:rsidP="0035180C">
            <w:r w:rsidRPr="008D1A55">
              <w:t>AE</w:t>
            </w:r>
          </w:p>
        </w:tc>
        <w:tc>
          <w:tcPr>
            <w:tcW w:w="3987" w:type="pct"/>
            <w:gridSpan w:val="2"/>
            <w:tcBorders>
              <w:top w:val="single" w:sz="8" w:space="0" w:color="002C47"/>
              <w:left w:val="single" w:sz="8" w:space="0" w:color="002C47"/>
              <w:bottom w:val="single" w:sz="8" w:space="0" w:color="002C47"/>
              <w:right w:val="single" w:sz="8" w:space="0" w:color="002C47"/>
            </w:tcBorders>
          </w:tcPr>
          <w:p w14:paraId="719BD18B" w14:textId="4103D460" w:rsidR="0035180C" w:rsidRPr="008D1A55" w:rsidRDefault="0035180C" w:rsidP="0035180C">
            <w:r w:rsidRPr="008D1A55">
              <w:t>Adverse event</w:t>
            </w:r>
          </w:p>
        </w:tc>
      </w:tr>
      <w:tr w:rsidR="0035180C" w:rsidRPr="008D1A55" w14:paraId="24D08C19"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7CCC32E9" w14:textId="6F9B53E0" w:rsidR="0035180C" w:rsidRPr="008D1A55" w:rsidRDefault="0035180C" w:rsidP="0035180C">
            <w:r w:rsidRPr="008D1A55">
              <w:t>ANA</w:t>
            </w:r>
          </w:p>
        </w:tc>
        <w:tc>
          <w:tcPr>
            <w:tcW w:w="3987" w:type="pct"/>
            <w:gridSpan w:val="2"/>
            <w:tcBorders>
              <w:top w:val="single" w:sz="8" w:space="0" w:color="002C47"/>
              <w:left w:val="single" w:sz="8" w:space="0" w:color="002C47"/>
              <w:bottom w:val="single" w:sz="8" w:space="0" w:color="002C47"/>
              <w:right w:val="single" w:sz="8" w:space="0" w:color="002C47"/>
            </w:tcBorders>
          </w:tcPr>
          <w:p w14:paraId="40CA1D3D" w14:textId="34EDAC71" w:rsidR="0035180C" w:rsidRPr="008D1A55" w:rsidRDefault="0035180C" w:rsidP="0035180C">
            <w:r w:rsidRPr="008D1A55">
              <w:t>Anti-nuclear antibody</w:t>
            </w:r>
          </w:p>
        </w:tc>
      </w:tr>
      <w:tr w:rsidR="0035180C" w:rsidRPr="008D1A55" w14:paraId="2F7F068C"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00FD1F8A" w14:textId="372B0416" w:rsidR="0035180C" w:rsidRPr="008D1A55" w:rsidRDefault="0035180C" w:rsidP="0035180C">
            <w:r w:rsidRPr="008D1A55">
              <w:t>ARTG</w:t>
            </w:r>
          </w:p>
        </w:tc>
        <w:tc>
          <w:tcPr>
            <w:tcW w:w="3987" w:type="pct"/>
            <w:gridSpan w:val="2"/>
            <w:tcBorders>
              <w:top w:val="single" w:sz="8" w:space="0" w:color="002C47"/>
              <w:left w:val="single" w:sz="8" w:space="0" w:color="002C47"/>
              <w:bottom w:val="single" w:sz="8" w:space="0" w:color="002C47"/>
              <w:right w:val="single" w:sz="8" w:space="0" w:color="002C47"/>
            </w:tcBorders>
          </w:tcPr>
          <w:p w14:paraId="09AF91F4" w14:textId="08488C4F" w:rsidR="0035180C" w:rsidRPr="008D1A55" w:rsidRDefault="0035180C" w:rsidP="0035180C">
            <w:r w:rsidRPr="008D1A55">
              <w:t>Australian Register of Therapeutic Goods</w:t>
            </w:r>
          </w:p>
        </w:tc>
      </w:tr>
      <w:tr w:rsidR="0035180C" w:rsidRPr="008D1A55" w14:paraId="74870A44"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222A4D1C" w14:textId="7BA1C39E" w:rsidR="0035180C" w:rsidRPr="008D1A55" w:rsidRDefault="0035180C" w:rsidP="0035180C">
            <w:r w:rsidRPr="008D1A55">
              <w:t>ASA</w:t>
            </w:r>
          </w:p>
        </w:tc>
        <w:tc>
          <w:tcPr>
            <w:tcW w:w="3987" w:type="pct"/>
            <w:gridSpan w:val="2"/>
            <w:tcBorders>
              <w:top w:val="single" w:sz="8" w:space="0" w:color="002C47"/>
              <w:left w:val="single" w:sz="8" w:space="0" w:color="002C47"/>
              <w:bottom w:val="single" w:sz="8" w:space="0" w:color="002C47"/>
              <w:right w:val="single" w:sz="8" w:space="0" w:color="002C47"/>
            </w:tcBorders>
          </w:tcPr>
          <w:p w14:paraId="4BDCE697" w14:textId="07DA7A6A" w:rsidR="0035180C" w:rsidRPr="008D1A55" w:rsidRDefault="0035180C" w:rsidP="0035180C">
            <w:r w:rsidRPr="008D1A55">
              <w:t>Australian specific annex</w:t>
            </w:r>
          </w:p>
        </w:tc>
      </w:tr>
      <w:tr w:rsidR="0035180C" w:rsidRPr="008D1A55" w14:paraId="67031BAA"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65B3F0EC" w14:textId="7D49492E" w:rsidR="0035180C" w:rsidRPr="008D1A55" w:rsidRDefault="0035180C" w:rsidP="0035180C">
            <w:r w:rsidRPr="008D1A55">
              <w:t>AUC</w:t>
            </w:r>
          </w:p>
        </w:tc>
        <w:tc>
          <w:tcPr>
            <w:tcW w:w="3987" w:type="pct"/>
            <w:gridSpan w:val="2"/>
            <w:tcBorders>
              <w:top w:val="single" w:sz="8" w:space="0" w:color="002C47"/>
              <w:left w:val="single" w:sz="8" w:space="0" w:color="002C47"/>
              <w:bottom w:val="single" w:sz="8" w:space="0" w:color="002C47"/>
              <w:right w:val="single" w:sz="8" w:space="0" w:color="002C47"/>
            </w:tcBorders>
          </w:tcPr>
          <w:p w14:paraId="432E6C72" w14:textId="7F8976A6" w:rsidR="0035180C" w:rsidRPr="008D1A55" w:rsidRDefault="0035180C" w:rsidP="0035180C">
            <w:bookmarkStart w:id="7" w:name="_Hlk116931477"/>
            <w:r w:rsidRPr="008D1A55">
              <w:t>Area under the concentration time curve</w:t>
            </w:r>
            <w:bookmarkEnd w:id="7"/>
          </w:p>
        </w:tc>
      </w:tr>
      <w:tr w:rsidR="0035180C" w:rsidRPr="008D1A55" w14:paraId="5E3C704D"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116FA968" w14:textId="4FAD34A1" w:rsidR="0035180C" w:rsidRPr="008D1A55" w:rsidRDefault="0035180C" w:rsidP="0035180C">
            <w:r w:rsidRPr="008D1A55">
              <w:t>BICLA</w:t>
            </w:r>
          </w:p>
        </w:tc>
        <w:tc>
          <w:tcPr>
            <w:tcW w:w="3987" w:type="pct"/>
            <w:gridSpan w:val="2"/>
            <w:tcBorders>
              <w:top w:val="single" w:sz="8" w:space="0" w:color="002C47"/>
              <w:left w:val="single" w:sz="8" w:space="0" w:color="002C47"/>
              <w:bottom w:val="single" w:sz="8" w:space="0" w:color="002C47"/>
              <w:right w:val="single" w:sz="8" w:space="0" w:color="002C47"/>
            </w:tcBorders>
          </w:tcPr>
          <w:p w14:paraId="03C2AB90" w14:textId="42C8EB97" w:rsidR="0035180C" w:rsidRPr="008D1A55" w:rsidRDefault="0035180C" w:rsidP="0035180C">
            <w:r w:rsidRPr="008D1A55">
              <w:t>British Isles Lupus Assessment Group-based Combined Lupus Assessment</w:t>
            </w:r>
          </w:p>
        </w:tc>
      </w:tr>
      <w:tr w:rsidR="0035180C" w:rsidRPr="008D1A55" w14:paraId="3463BB36"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08CAA722" w14:textId="7111D9C9" w:rsidR="0035180C" w:rsidRPr="008D1A55" w:rsidRDefault="0035180C" w:rsidP="0035180C">
            <w:bookmarkStart w:id="8" w:name="_Hlk116931877"/>
            <w:r w:rsidRPr="008D1A55">
              <w:t>BILAG</w:t>
            </w:r>
            <w:bookmarkEnd w:id="8"/>
          </w:p>
        </w:tc>
        <w:tc>
          <w:tcPr>
            <w:tcW w:w="3987" w:type="pct"/>
            <w:gridSpan w:val="2"/>
            <w:tcBorders>
              <w:top w:val="single" w:sz="8" w:space="0" w:color="002C47"/>
              <w:left w:val="single" w:sz="8" w:space="0" w:color="002C47"/>
              <w:bottom w:val="single" w:sz="8" w:space="0" w:color="002C47"/>
              <w:right w:val="single" w:sz="8" w:space="0" w:color="002C47"/>
            </w:tcBorders>
          </w:tcPr>
          <w:p w14:paraId="617A8596" w14:textId="12C858CB" w:rsidR="0035180C" w:rsidRPr="008D1A55" w:rsidRDefault="0035180C" w:rsidP="0035180C">
            <w:bookmarkStart w:id="9" w:name="_Hlk116931918"/>
            <w:r w:rsidRPr="008D1A55">
              <w:t>British Isles Lupus Assessment Group</w:t>
            </w:r>
            <w:bookmarkEnd w:id="9"/>
            <w:r w:rsidR="0098403F">
              <w:t xml:space="preserve"> (United Kingdom/Republic of Ireland)</w:t>
            </w:r>
          </w:p>
        </w:tc>
      </w:tr>
      <w:tr w:rsidR="0035180C" w:rsidRPr="008D1A55" w14:paraId="52240D4C"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02B72B45" w14:textId="4C1EEDC2" w:rsidR="0035180C" w:rsidRPr="008D1A55" w:rsidRDefault="0035180C" w:rsidP="0035180C">
            <w:r w:rsidRPr="008D1A55">
              <w:t>BMI</w:t>
            </w:r>
          </w:p>
        </w:tc>
        <w:tc>
          <w:tcPr>
            <w:tcW w:w="3987" w:type="pct"/>
            <w:gridSpan w:val="2"/>
            <w:tcBorders>
              <w:top w:val="single" w:sz="8" w:space="0" w:color="002C47"/>
              <w:left w:val="single" w:sz="8" w:space="0" w:color="002C47"/>
              <w:bottom w:val="single" w:sz="8" w:space="0" w:color="002C47"/>
              <w:right w:val="single" w:sz="8" w:space="0" w:color="002C47"/>
            </w:tcBorders>
          </w:tcPr>
          <w:p w14:paraId="4803BADA" w14:textId="5993FA73" w:rsidR="0035180C" w:rsidRPr="008D1A55" w:rsidRDefault="0035180C" w:rsidP="0035180C">
            <w:r w:rsidRPr="008D1A55">
              <w:t>Body mass index</w:t>
            </w:r>
          </w:p>
        </w:tc>
      </w:tr>
      <w:tr w:rsidR="0035180C" w:rsidRPr="008D1A55" w14:paraId="7F2E308D"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7D0BA97B" w14:textId="2A099F23" w:rsidR="0035180C" w:rsidRPr="008D1A55" w:rsidRDefault="0035180C" w:rsidP="0035180C">
            <w:r w:rsidRPr="008D1A55">
              <w:t>CMI</w:t>
            </w:r>
          </w:p>
        </w:tc>
        <w:tc>
          <w:tcPr>
            <w:tcW w:w="3987" w:type="pct"/>
            <w:gridSpan w:val="2"/>
            <w:tcBorders>
              <w:top w:val="single" w:sz="8" w:space="0" w:color="002C47"/>
              <w:left w:val="single" w:sz="8" w:space="0" w:color="002C47"/>
              <w:bottom w:val="single" w:sz="8" w:space="0" w:color="002C47"/>
              <w:right w:val="single" w:sz="8" w:space="0" w:color="002C47"/>
            </w:tcBorders>
          </w:tcPr>
          <w:p w14:paraId="4371C8B9" w14:textId="4E2ADCC1" w:rsidR="0035180C" w:rsidRPr="008D1A55" w:rsidRDefault="0035180C" w:rsidP="0035180C">
            <w:r w:rsidRPr="008D1A55">
              <w:t>Consumer Medicines Information</w:t>
            </w:r>
          </w:p>
        </w:tc>
      </w:tr>
      <w:tr w:rsidR="0035180C" w:rsidRPr="008D1A55" w14:paraId="032DADF9"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2B59789F" w14:textId="0A77DB96" w:rsidR="0035180C" w:rsidRPr="008D1A55" w:rsidRDefault="0035180C" w:rsidP="0035180C">
            <w:r w:rsidRPr="008D1A55">
              <w:t>CPD</w:t>
            </w:r>
          </w:p>
        </w:tc>
        <w:tc>
          <w:tcPr>
            <w:tcW w:w="3987" w:type="pct"/>
            <w:gridSpan w:val="2"/>
            <w:tcBorders>
              <w:top w:val="single" w:sz="8" w:space="0" w:color="002C47"/>
              <w:left w:val="single" w:sz="8" w:space="0" w:color="002C47"/>
              <w:bottom w:val="single" w:sz="8" w:space="0" w:color="002C47"/>
              <w:right w:val="single" w:sz="8" w:space="0" w:color="002C47"/>
            </w:tcBorders>
          </w:tcPr>
          <w:p w14:paraId="22752589" w14:textId="332FD0D4" w:rsidR="0035180C" w:rsidRPr="008D1A55" w:rsidRDefault="0035180C" w:rsidP="0035180C">
            <w:r w:rsidRPr="008D1A55">
              <w:t>Certified Product Details</w:t>
            </w:r>
          </w:p>
        </w:tc>
      </w:tr>
      <w:tr w:rsidR="0035180C" w:rsidRPr="008D1A55" w14:paraId="5513C93F"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1CCD3D53" w14:textId="731C4C20" w:rsidR="0035180C" w:rsidRPr="008D1A55" w:rsidRDefault="0035180C" w:rsidP="0035180C">
            <w:r w:rsidRPr="008D1A55">
              <w:t>DLP</w:t>
            </w:r>
          </w:p>
        </w:tc>
        <w:tc>
          <w:tcPr>
            <w:tcW w:w="3987" w:type="pct"/>
            <w:gridSpan w:val="2"/>
            <w:tcBorders>
              <w:top w:val="single" w:sz="8" w:space="0" w:color="002C47"/>
              <w:left w:val="single" w:sz="8" w:space="0" w:color="002C47"/>
              <w:bottom w:val="single" w:sz="8" w:space="0" w:color="002C47"/>
              <w:right w:val="single" w:sz="8" w:space="0" w:color="002C47"/>
            </w:tcBorders>
          </w:tcPr>
          <w:p w14:paraId="08B64F7B" w14:textId="1FA16A74" w:rsidR="0035180C" w:rsidRPr="008D1A55" w:rsidRDefault="0035180C" w:rsidP="0035180C">
            <w:bookmarkStart w:id="10" w:name="_Hlk116932754"/>
            <w:r w:rsidRPr="008D1A55">
              <w:t>Data lock point</w:t>
            </w:r>
            <w:bookmarkEnd w:id="10"/>
          </w:p>
        </w:tc>
      </w:tr>
      <w:tr w:rsidR="0035180C" w:rsidRPr="008D1A55" w14:paraId="075D98BD"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6129AD9E" w14:textId="2CB9372B" w:rsidR="0035180C" w:rsidRPr="008D1A55" w:rsidRDefault="0035180C" w:rsidP="0035180C">
            <w:r w:rsidRPr="008D1A55">
              <w:t>dsDNA</w:t>
            </w:r>
          </w:p>
        </w:tc>
        <w:tc>
          <w:tcPr>
            <w:tcW w:w="3987" w:type="pct"/>
            <w:gridSpan w:val="2"/>
            <w:tcBorders>
              <w:top w:val="single" w:sz="8" w:space="0" w:color="002C47"/>
              <w:left w:val="single" w:sz="8" w:space="0" w:color="002C47"/>
              <w:bottom w:val="single" w:sz="8" w:space="0" w:color="002C47"/>
              <w:right w:val="single" w:sz="8" w:space="0" w:color="002C47"/>
            </w:tcBorders>
          </w:tcPr>
          <w:p w14:paraId="16F67119" w14:textId="66AA6359" w:rsidR="0035180C" w:rsidRPr="008D1A55" w:rsidRDefault="00946897" w:rsidP="0035180C">
            <w:r w:rsidRPr="008D1A55">
              <w:t xml:space="preserve">Double </w:t>
            </w:r>
            <w:r w:rsidR="0035180C" w:rsidRPr="008D1A55">
              <w:t>stranded deoxyribonucleic acid</w:t>
            </w:r>
          </w:p>
        </w:tc>
      </w:tr>
      <w:tr w:rsidR="0035180C" w:rsidRPr="008D1A55" w14:paraId="6F1D4101"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4A446956" w14:textId="5053AE96" w:rsidR="0035180C" w:rsidRPr="008D1A55" w:rsidRDefault="0035180C" w:rsidP="0035180C">
            <w:r w:rsidRPr="008D1A55">
              <w:t>EU</w:t>
            </w:r>
          </w:p>
        </w:tc>
        <w:tc>
          <w:tcPr>
            <w:tcW w:w="3987" w:type="pct"/>
            <w:gridSpan w:val="2"/>
            <w:tcBorders>
              <w:top w:val="single" w:sz="8" w:space="0" w:color="002C47"/>
              <w:left w:val="single" w:sz="8" w:space="0" w:color="002C47"/>
              <w:bottom w:val="single" w:sz="8" w:space="0" w:color="002C47"/>
              <w:right w:val="single" w:sz="8" w:space="0" w:color="002C47"/>
            </w:tcBorders>
          </w:tcPr>
          <w:p w14:paraId="3D89EB86" w14:textId="355D87A3" w:rsidR="0035180C" w:rsidRPr="008D1A55" w:rsidRDefault="0035180C" w:rsidP="0035180C">
            <w:r w:rsidRPr="008D1A55">
              <w:t>European Union</w:t>
            </w:r>
          </w:p>
        </w:tc>
      </w:tr>
      <w:tr w:rsidR="00867DE2" w:rsidRPr="008D1A55" w14:paraId="6716A022"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383D686E" w14:textId="1E0BDA65" w:rsidR="00867DE2" w:rsidRPr="008D1A55" w:rsidRDefault="00867DE2" w:rsidP="0035180C">
            <w:r w:rsidRPr="008D1A55">
              <w:t>FDA</w:t>
            </w:r>
          </w:p>
        </w:tc>
        <w:tc>
          <w:tcPr>
            <w:tcW w:w="3987" w:type="pct"/>
            <w:gridSpan w:val="2"/>
            <w:tcBorders>
              <w:top w:val="single" w:sz="8" w:space="0" w:color="002C47"/>
              <w:left w:val="single" w:sz="8" w:space="0" w:color="002C47"/>
              <w:bottom w:val="single" w:sz="8" w:space="0" w:color="002C47"/>
              <w:right w:val="single" w:sz="8" w:space="0" w:color="002C47"/>
            </w:tcBorders>
          </w:tcPr>
          <w:p w14:paraId="26DC28D1" w14:textId="0C844C27" w:rsidR="00867DE2" w:rsidRPr="008D1A55" w:rsidRDefault="00867DE2" w:rsidP="0035180C">
            <w:r w:rsidRPr="008D1A55">
              <w:t>Food and Drug Administration (United States of America)</w:t>
            </w:r>
          </w:p>
        </w:tc>
      </w:tr>
      <w:tr w:rsidR="0035180C" w:rsidRPr="008D1A55" w14:paraId="62F00923"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7E670FF5" w14:textId="2D9B74DC" w:rsidR="0035180C" w:rsidRPr="008D1A55" w:rsidRDefault="0035180C" w:rsidP="0035180C">
            <w:r w:rsidRPr="008D1A55">
              <w:t>GVP</w:t>
            </w:r>
          </w:p>
        </w:tc>
        <w:tc>
          <w:tcPr>
            <w:tcW w:w="3987" w:type="pct"/>
            <w:gridSpan w:val="2"/>
            <w:tcBorders>
              <w:top w:val="single" w:sz="8" w:space="0" w:color="002C47"/>
              <w:left w:val="single" w:sz="8" w:space="0" w:color="002C47"/>
              <w:bottom w:val="single" w:sz="8" w:space="0" w:color="002C47"/>
              <w:right w:val="single" w:sz="8" w:space="0" w:color="002C47"/>
            </w:tcBorders>
          </w:tcPr>
          <w:p w14:paraId="52DC27CF" w14:textId="3FDEDA0A" w:rsidR="0035180C" w:rsidRPr="008D1A55" w:rsidRDefault="0035180C" w:rsidP="0035180C">
            <w:r w:rsidRPr="008D1A55">
              <w:t>Good Pharmacovigilance Practices</w:t>
            </w:r>
          </w:p>
        </w:tc>
      </w:tr>
      <w:tr w:rsidR="0035180C" w:rsidRPr="008D1A55" w14:paraId="24FDFB27"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34F57563" w14:textId="3E98BF24" w:rsidR="0035180C" w:rsidRPr="008D1A55" w:rsidRDefault="0035180C" w:rsidP="0035180C">
            <w:r w:rsidRPr="008D1A55">
              <w:t>HbA1c</w:t>
            </w:r>
          </w:p>
        </w:tc>
        <w:tc>
          <w:tcPr>
            <w:tcW w:w="3987" w:type="pct"/>
            <w:gridSpan w:val="2"/>
            <w:tcBorders>
              <w:top w:val="single" w:sz="8" w:space="0" w:color="002C47"/>
              <w:left w:val="single" w:sz="8" w:space="0" w:color="002C47"/>
              <w:bottom w:val="single" w:sz="8" w:space="0" w:color="002C47"/>
              <w:right w:val="single" w:sz="8" w:space="0" w:color="002C47"/>
            </w:tcBorders>
          </w:tcPr>
          <w:p w14:paraId="47A5215E" w14:textId="7C4849C2" w:rsidR="0035180C" w:rsidRPr="008D1A55" w:rsidRDefault="0035180C" w:rsidP="0035180C">
            <w:r w:rsidRPr="008D1A55">
              <w:t>Glycated haemoglobin</w:t>
            </w:r>
          </w:p>
        </w:tc>
      </w:tr>
      <w:tr w:rsidR="00A624B5" w:rsidRPr="008D1A55" w14:paraId="16460970"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7B53A5F7" w14:textId="384FC5F9" w:rsidR="00A624B5" w:rsidRPr="008D1A55" w:rsidRDefault="00A624B5" w:rsidP="0035180C">
            <w:r w:rsidRPr="008D1A55">
              <w:t>IFNAR1</w:t>
            </w:r>
          </w:p>
        </w:tc>
        <w:tc>
          <w:tcPr>
            <w:tcW w:w="3987" w:type="pct"/>
            <w:gridSpan w:val="2"/>
            <w:tcBorders>
              <w:top w:val="single" w:sz="8" w:space="0" w:color="002C47"/>
              <w:left w:val="single" w:sz="8" w:space="0" w:color="002C47"/>
              <w:bottom w:val="single" w:sz="8" w:space="0" w:color="002C47"/>
              <w:right w:val="single" w:sz="8" w:space="0" w:color="002C47"/>
            </w:tcBorders>
          </w:tcPr>
          <w:p w14:paraId="5312E0C7" w14:textId="1C4F389B" w:rsidR="00A624B5" w:rsidRPr="008D1A55" w:rsidRDefault="00A624B5" w:rsidP="0035180C">
            <w:r w:rsidRPr="008D1A55">
              <w:t>Interferon alpha receptor 1</w:t>
            </w:r>
          </w:p>
        </w:tc>
      </w:tr>
      <w:tr w:rsidR="0035180C" w:rsidRPr="008D1A55" w14:paraId="2CF95BA1"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5AEF8C8B" w14:textId="753CEF53" w:rsidR="0035180C" w:rsidRPr="008D1A55" w:rsidRDefault="0035180C" w:rsidP="0035180C">
            <w:r w:rsidRPr="008D1A55">
              <w:t>IP</w:t>
            </w:r>
          </w:p>
        </w:tc>
        <w:tc>
          <w:tcPr>
            <w:tcW w:w="3987" w:type="pct"/>
            <w:gridSpan w:val="2"/>
            <w:tcBorders>
              <w:top w:val="single" w:sz="8" w:space="0" w:color="002C47"/>
              <w:left w:val="single" w:sz="8" w:space="0" w:color="002C47"/>
              <w:bottom w:val="single" w:sz="8" w:space="0" w:color="002C47"/>
              <w:right w:val="single" w:sz="8" w:space="0" w:color="002C47"/>
            </w:tcBorders>
          </w:tcPr>
          <w:p w14:paraId="32EF9A25" w14:textId="3DB63A10" w:rsidR="0035180C" w:rsidRPr="008D1A55" w:rsidRDefault="0035180C" w:rsidP="0035180C">
            <w:r w:rsidRPr="008D1A55">
              <w:t>Investigational product</w:t>
            </w:r>
          </w:p>
        </w:tc>
      </w:tr>
      <w:tr w:rsidR="0035180C" w:rsidRPr="008D1A55" w14:paraId="30847318"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0CAC3521" w14:textId="644025C6" w:rsidR="0035180C" w:rsidRPr="008D1A55" w:rsidRDefault="0035180C" w:rsidP="0035180C">
            <w:r w:rsidRPr="008D1A55">
              <w:t>PD</w:t>
            </w:r>
          </w:p>
        </w:tc>
        <w:tc>
          <w:tcPr>
            <w:tcW w:w="3987" w:type="pct"/>
            <w:gridSpan w:val="2"/>
            <w:tcBorders>
              <w:top w:val="single" w:sz="8" w:space="0" w:color="002C47"/>
              <w:left w:val="single" w:sz="8" w:space="0" w:color="002C47"/>
              <w:bottom w:val="single" w:sz="8" w:space="0" w:color="002C47"/>
              <w:right w:val="single" w:sz="8" w:space="0" w:color="002C47"/>
            </w:tcBorders>
          </w:tcPr>
          <w:p w14:paraId="457EE783" w14:textId="0BF616C4" w:rsidR="0035180C" w:rsidRPr="008D1A55" w:rsidRDefault="0035180C" w:rsidP="0035180C">
            <w:r w:rsidRPr="008D1A55">
              <w:t>Pharmacodynamic(s)</w:t>
            </w:r>
          </w:p>
        </w:tc>
      </w:tr>
      <w:tr w:rsidR="0035180C" w:rsidRPr="008D1A55" w14:paraId="12C1AE70"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5B6DBC07" w14:textId="2B4DB370" w:rsidR="0035180C" w:rsidRPr="008D1A55" w:rsidRDefault="0035180C" w:rsidP="0035180C">
            <w:r w:rsidRPr="008D1A55">
              <w:t>PGA</w:t>
            </w:r>
          </w:p>
        </w:tc>
        <w:tc>
          <w:tcPr>
            <w:tcW w:w="3987" w:type="pct"/>
            <w:gridSpan w:val="2"/>
            <w:tcBorders>
              <w:top w:val="single" w:sz="8" w:space="0" w:color="002C47"/>
              <w:left w:val="single" w:sz="8" w:space="0" w:color="002C47"/>
              <w:bottom w:val="single" w:sz="8" w:space="0" w:color="002C47"/>
              <w:right w:val="single" w:sz="8" w:space="0" w:color="002C47"/>
            </w:tcBorders>
          </w:tcPr>
          <w:p w14:paraId="1BD34318" w14:textId="40C7F0AE" w:rsidR="0035180C" w:rsidRPr="008D1A55" w:rsidRDefault="0035180C" w:rsidP="0035180C">
            <w:bookmarkStart w:id="11" w:name="_Hlk116933179"/>
            <w:r w:rsidRPr="008D1A55">
              <w:t xml:space="preserve">Physician’s </w:t>
            </w:r>
            <w:r w:rsidR="00D0742A" w:rsidRPr="008D1A55">
              <w:t>Global Assessment</w:t>
            </w:r>
            <w:bookmarkEnd w:id="11"/>
          </w:p>
        </w:tc>
      </w:tr>
      <w:tr w:rsidR="0035180C" w:rsidRPr="008D1A55" w14:paraId="3B5E510C"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785FF642" w14:textId="2C581C6B" w:rsidR="0035180C" w:rsidRPr="008D1A55" w:rsidRDefault="0035180C" w:rsidP="0035180C">
            <w:r w:rsidRPr="008D1A55">
              <w:t>PI</w:t>
            </w:r>
          </w:p>
        </w:tc>
        <w:tc>
          <w:tcPr>
            <w:tcW w:w="3987" w:type="pct"/>
            <w:gridSpan w:val="2"/>
            <w:tcBorders>
              <w:top w:val="single" w:sz="8" w:space="0" w:color="002C47"/>
              <w:left w:val="single" w:sz="8" w:space="0" w:color="002C47"/>
              <w:bottom w:val="single" w:sz="8" w:space="0" w:color="002C47"/>
              <w:right w:val="single" w:sz="8" w:space="0" w:color="002C47"/>
            </w:tcBorders>
          </w:tcPr>
          <w:p w14:paraId="14772F4D" w14:textId="4B46ED4B" w:rsidR="0035180C" w:rsidRPr="008D1A55" w:rsidRDefault="0035180C" w:rsidP="0035180C">
            <w:r w:rsidRPr="008D1A55">
              <w:t>Product Information</w:t>
            </w:r>
          </w:p>
        </w:tc>
      </w:tr>
      <w:tr w:rsidR="0035180C" w:rsidRPr="008D1A55" w14:paraId="3EC4151E"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3B1CFACC" w14:textId="036AE357" w:rsidR="0035180C" w:rsidRPr="008D1A55" w:rsidRDefault="0035180C" w:rsidP="0035180C">
            <w:r w:rsidRPr="008D1A55">
              <w:lastRenderedPageBreak/>
              <w:t>PK</w:t>
            </w:r>
          </w:p>
        </w:tc>
        <w:tc>
          <w:tcPr>
            <w:tcW w:w="3987" w:type="pct"/>
            <w:gridSpan w:val="2"/>
            <w:tcBorders>
              <w:top w:val="single" w:sz="8" w:space="0" w:color="002C47"/>
              <w:left w:val="single" w:sz="8" w:space="0" w:color="002C47"/>
              <w:bottom w:val="single" w:sz="8" w:space="0" w:color="002C47"/>
              <w:right w:val="single" w:sz="8" w:space="0" w:color="002C47"/>
            </w:tcBorders>
          </w:tcPr>
          <w:p w14:paraId="61CE3495" w14:textId="36A02000" w:rsidR="0035180C" w:rsidRPr="008D1A55" w:rsidRDefault="0035180C" w:rsidP="0035180C">
            <w:r w:rsidRPr="008D1A55">
              <w:t>Pharmacokinetic(s)</w:t>
            </w:r>
          </w:p>
        </w:tc>
      </w:tr>
      <w:tr w:rsidR="0035180C" w:rsidRPr="008D1A55" w14:paraId="06238D86"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0569B1AC" w14:textId="1CF904E8" w:rsidR="0035180C" w:rsidRPr="008D1A55" w:rsidRDefault="0035180C" w:rsidP="0035180C">
            <w:proofErr w:type="spellStart"/>
            <w:r w:rsidRPr="008D1A55">
              <w:t>PopPK</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42D1CFF4" w14:textId="4C3D8F88" w:rsidR="0035180C" w:rsidRPr="008D1A55" w:rsidRDefault="00946897" w:rsidP="0035180C">
            <w:r w:rsidRPr="008D1A55">
              <w:t>Population pharmacokinetic(s)</w:t>
            </w:r>
          </w:p>
        </w:tc>
      </w:tr>
      <w:tr w:rsidR="0035180C" w:rsidRPr="008D1A55" w14:paraId="21E4785C"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68D12B84" w14:textId="54EA2CE0" w:rsidR="0035180C" w:rsidRPr="008D1A55" w:rsidRDefault="0035180C" w:rsidP="0035180C">
            <w:r w:rsidRPr="008D1A55">
              <w:t>PSUR</w:t>
            </w:r>
          </w:p>
        </w:tc>
        <w:tc>
          <w:tcPr>
            <w:tcW w:w="3987" w:type="pct"/>
            <w:gridSpan w:val="2"/>
            <w:tcBorders>
              <w:top w:val="single" w:sz="8" w:space="0" w:color="002C47"/>
              <w:left w:val="single" w:sz="8" w:space="0" w:color="002C47"/>
              <w:bottom w:val="single" w:sz="8" w:space="0" w:color="002C47"/>
              <w:right w:val="single" w:sz="8" w:space="0" w:color="002C47"/>
            </w:tcBorders>
          </w:tcPr>
          <w:p w14:paraId="3B7F68CE" w14:textId="4292C154" w:rsidR="0035180C" w:rsidRPr="008D1A55" w:rsidRDefault="00946897" w:rsidP="0035180C">
            <w:r w:rsidRPr="008D1A55">
              <w:t xml:space="preserve">Periodic </w:t>
            </w:r>
            <w:r w:rsidR="0035180C" w:rsidRPr="008D1A55">
              <w:t>safety update reports</w:t>
            </w:r>
          </w:p>
        </w:tc>
      </w:tr>
      <w:tr w:rsidR="0035180C" w:rsidRPr="008D1A55" w14:paraId="251831CA"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0AA51E8E" w14:textId="2C3AE63B" w:rsidR="0035180C" w:rsidRPr="008D1A55" w:rsidRDefault="0035180C" w:rsidP="0035180C">
            <w:r w:rsidRPr="008D1A55">
              <w:t>RMP</w:t>
            </w:r>
          </w:p>
        </w:tc>
        <w:tc>
          <w:tcPr>
            <w:tcW w:w="3987" w:type="pct"/>
            <w:gridSpan w:val="2"/>
            <w:tcBorders>
              <w:top w:val="single" w:sz="8" w:space="0" w:color="002C47"/>
              <w:left w:val="single" w:sz="8" w:space="0" w:color="002C47"/>
              <w:bottom w:val="single" w:sz="8" w:space="0" w:color="002C47"/>
              <w:right w:val="single" w:sz="8" w:space="0" w:color="002C47"/>
            </w:tcBorders>
          </w:tcPr>
          <w:p w14:paraId="7B91D7FE" w14:textId="6A9F22B9" w:rsidR="0035180C" w:rsidRPr="008D1A55" w:rsidRDefault="0035180C" w:rsidP="0035180C">
            <w:bookmarkStart w:id="12" w:name="_Hlk116932732"/>
            <w:r w:rsidRPr="008D1A55">
              <w:t>Risk management plan</w:t>
            </w:r>
            <w:bookmarkEnd w:id="12"/>
          </w:p>
        </w:tc>
      </w:tr>
      <w:tr w:rsidR="0035180C" w:rsidRPr="008D1A55" w14:paraId="0CA35D75"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5AD6CAB6" w14:textId="72451B4E" w:rsidR="0035180C" w:rsidRPr="008D1A55" w:rsidRDefault="0035180C" w:rsidP="0035180C">
            <w:r w:rsidRPr="008D1A55">
              <w:t>SAE</w:t>
            </w:r>
          </w:p>
        </w:tc>
        <w:tc>
          <w:tcPr>
            <w:tcW w:w="3987" w:type="pct"/>
            <w:gridSpan w:val="2"/>
            <w:tcBorders>
              <w:top w:val="single" w:sz="8" w:space="0" w:color="002C47"/>
              <w:left w:val="single" w:sz="8" w:space="0" w:color="002C47"/>
              <w:bottom w:val="single" w:sz="8" w:space="0" w:color="002C47"/>
              <w:right w:val="single" w:sz="8" w:space="0" w:color="002C47"/>
            </w:tcBorders>
          </w:tcPr>
          <w:p w14:paraId="7D2B9941" w14:textId="60357C51" w:rsidR="0035180C" w:rsidRPr="008D1A55" w:rsidRDefault="0035180C" w:rsidP="0035180C">
            <w:r w:rsidRPr="008D1A55">
              <w:t>Serious adverse event</w:t>
            </w:r>
          </w:p>
        </w:tc>
      </w:tr>
      <w:tr w:rsidR="0035180C" w:rsidRPr="008D1A55" w14:paraId="25B7F692"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0BC910BB" w14:textId="1D7AF67D" w:rsidR="0035180C" w:rsidRPr="008D1A55" w:rsidRDefault="0035180C" w:rsidP="0035180C">
            <w:r w:rsidRPr="008D1A55">
              <w:t>SDI</w:t>
            </w:r>
          </w:p>
        </w:tc>
        <w:tc>
          <w:tcPr>
            <w:tcW w:w="3987" w:type="pct"/>
            <w:gridSpan w:val="2"/>
            <w:tcBorders>
              <w:top w:val="single" w:sz="8" w:space="0" w:color="002C47"/>
              <w:left w:val="single" w:sz="8" w:space="0" w:color="002C47"/>
              <w:bottom w:val="single" w:sz="8" w:space="0" w:color="002C47"/>
              <w:right w:val="single" w:sz="8" w:space="0" w:color="002C47"/>
            </w:tcBorders>
          </w:tcPr>
          <w:p w14:paraId="3B93873D" w14:textId="45E03E2A" w:rsidR="0035180C" w:rsidRPr="008D1A55" w:rsidRDefault="0035180C" w:rsidP="0035180C">
            <w:r w:rsidRPr="008D1A55">
              <w:t xml:space="preserve">Systemic </w:t>
            </w:r>
            <w:r w:rsidR="00B86B4E" w:rsidRPr="008D1A55">
              <w:t xml:space="preserve">Lupus International Collaborating Clinics / </w:t>
            </w:r>
            <w:r w:rsidRPr="008D1A55">
              <w:t xml:space="preserve">American College </w:t>
            </w:r>
            <w:r w:rsidR="00B86B4E">
              <w:t>o</w:t>
            </w:r>
            <w:r w:rsidR="00B86B4E" w:rsidRPr="008D1A55">
              <w:t xml:space="preserve">f </w:t>
            </w:r>
            <w:r w:rsidRPr="008D1A55">
              <w:t xml:space="preserve">Rheumatology Damage </w:t>
            </w:r>
            <w:r w:rsidR="00B86B4E" w:rsidRPr="008D1A55">
              <w:t>Index</w:t>
            </w:r>
          </w:p>
        </w:tc>
      </w:tr>
      <w:tr w:rsidR="0035180C" w:rsidRPr="008D1A55" w14:paraId="1BBFBF66"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7B13FF04" w14:textId="261E7B08" w:rsidR="0035180C" w:rsidRPr="008D1A55" w:rsidRDefault="0035180C" w:rsidP="0035180C">
            <w:r w:rsidRPr="008D1A55">
              <w:t>SF-36-v2</w:t>
            </w:r>
          </w:p>
        </w:tc>
        <w:tc>
          <w:tcPr>
            <w:tcW w:w="3987" w:type="pct"/>
            <w:gridSpan w:val="2"/>
            <w:tcBorders>
              <w:top w:val="single" w:sz="8" w:space="0" w:color="002C47"/>
              <w:left w:val="single" w:sz="8" w:space="0" w:color="002C47"/>
              <w:bottom w:val="single" w:sz="8" w:space="0" w:color="002C47"/>
              <w:right w:val="single" w:sz="8" w:space="0" w:color="002C47"/>
            </w:tcBorders>
          </w:tcPr>
          <w:p w14:paraId="492B4340" w14:textId="7A62A69D" w:rsidR="0035180C" w:rsidRPr="008D1A55" w:rsidRDefault="0035180C" w:rsidP="0035180C">
            <w:r w:rsidRPr="008D1A55">
              <w:t>36-Item Short Form Health Survey version 2</w:t>
            </w:r>
          </w:p>
        </w:tc>
      </w:tr>
      <w:tr w:rsidR="0035180C" w:rsidRPr="008D1A55" w14:paraId="06D0554B"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6D24C526" w14:textId="0164C237" w:rsidR="0035180C" w:rsidRPr="008D1A55" w:rsidRDefault="0035180C" w:rsidP="0035180C">
            <w:r w:rsidRPr="008D1A55">
              <w:t>SLE</w:t>
            </w:r>
          </w:p>
        </w:tc>
        <w:tc>
          <w:tcPr>
            <w:tcW w:w="3987" w:type="pct"/>
            <w:gridSpan w:val="2"/>
            <w:tcBorders>
              <w:top w:val="single" w:sz="8" w:space="0" w:color="002C47"/>
              <w:left w:val="single" w:sz="8" w:space="0" w:color="002C47"/>
              <w:bottom w:val="single" w:sz="8" w:space="0" w:color="002C47"/>
              <w:right w:val="single" w:sz="8" w:space="0" w:color="002C47"/>
            </w:tcBorders>
          </w:tcPr>
          <w:p w14:paraId="36AC3093" w14:textId="117B72A7" w:rsidR="0035180C" w:rsidRPr="008D1A55" w:rsidRDefault="0035180C" w:rsidP="0035180C">
            <w:r w:rsidRPr="008D1A55">
              <w:t>Systemic lupus erythematosus</w:t>
            </w:r>
          </w:p>
        </w:tc>
      </w:tr>
      <w:tr w:rsidR="0035180C" w:rsidRPr="008D1A55" w14:paraId="05CCBF6A"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65500C89" w14:textId="1AD7F0BE" w:rsidR="0035180C" w:rsidRPr="008D1A55" w:rsidRDefault="0035180C" w:rsidP="0035180C">
            <w:r w:rsidRPr="008D1A55">
              <w:t>SLEDAI-2K</w:t>
            </w:r>
          </w:p>
        </w:tc>
        <w:tc>
          <w:tcPr>
            <w:tcW w:w="3987" w:type="pct"/>
            <w:gridSpan w:val="2"/>
            <w:tcBorders>
              <w:top w:val="single" w:sz="8" w:space="0" w:color="002C47"/>
              <w:left w:val="single" w:sz="8" w:space="0" w:color="002C47"/>
              <w:bottom w:val="single" w:sz="8" w:space="0" w:color="002C47"/>
              <w:right w:val="single" w:sz="8" w:space="0" w:color="002C47"/>
            </w:tcBorders>
          </w:tcPr>
          <w:p w14:paraId="4AFDCDCB" w14:textId="693B7B71" w:rsidR="0035180C" w:rsidRPr="008D1A55" w:rsidRDefault="0035180C" w:rsidP="0035180C">
            <w:bookmarkStart w:id="13" w:name="_Hlk116932198"/>
            <w:r w:rsidRPr="008D1A55">
              <w:t>Systemic Lupus Erythematosus Disease Activity Index 2000</w:t>
            </w:r>
            <w:bookmarkEnd w:id="13"/>
          </w:p>
        </w:tc>
      </w:tr>
      <w:tr w:rsidR="0035180C" w:rsidRPr="008D1A55" w14:paraId="0D3887DE"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54376DD7" w14:textId="4CC1109C" w:rsidR="0035180C" w:rsidRPr="008D1A55" w:rsidRDefault="0035180C" w:rsidP="0035180C">
            <w:r w:rsidRPr="008D1A55">
              <w:t>SRI</w:t>
            </w:r>
          </w:p>
        </w:tc>
        <w:tc>
          <w:tcPr>
            <w:tcW w:w="3987" w:type="pct"/>
            <w:gridSpan w:val="2"/>
            <w:tcBorders>
              <w:top w:val="single" w:sz="8" w:space="0" w:color="002C47"/>
              <w:left w:val="single" w:sz="8" w:space="0" w:color="002C47"/>
              <w:bottom w:val="single" w:sz="8" w:space="0" w:color="002C47"/>
              <w:right w:val="single" w:sz="8" w:space="0" w:color="002C47"/>
            </w:tcBorders>
          </w:tcPr>
          <w:p w14:paraId="6D7DC697" w14:textId="231D903D" w:rsidR="0035180C" w:rsidRPr="008D1A55" w:rsidRDefault="0035180C">
            <w:r w:rsidRPr="008D1A55">
              <w:t>Systemic Lupus Erythematosus Responder Index</w:t>
            </w:r>
          </w:p>
        </w:tc>
      </w:tr>
      <w:tr w:rsidR="0035180C" w:rsidRPr="008D1A55" w14:paraId="276D722D"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0F412A3F" w14:textId="2CC1E531" w:rsidR="0035180C" w:rsidRPr="008D1A55" w:rsidRDefault="0035180C" w:rsidP="0035180C">
            <w:r w:rsidRPr="008D1A55">
              <w:t>TGA</w:t>
            </w:r>
          </w:p>
        </w:tc>
        <w:tc>
          <w:tcPr>
            <w:tcW w:w="3987" w:type="pct"/>
            <w:gridSpan w:val="2"/>
            <w:tcBorders>
              <w:top w:val="single" w:sz="8" w:space="0" w:color="002C47"/>
              <w:left w:val="single" w:sz="8" w:space="0" w:color="002C47"/>
              <w:bottom w:val="single" w:sz="8" w:space="0" w:color="002C47"/>
              <w:right w:val="single" w:sz="8" w:space="0" w:color="002C47"/>
            </w:tcBorders>
          </w:tcPr>
          <w:p w14:paraId="51FE64CA" w14:textId="25824F29" w:rsidR="0035180C" w:rsidRPr="008D1A55" w:rsidRDefault="0035180C" w:rsidP="0035180C">
            <w:r w:rsidRPr="008D1A55">
              <w:t>Therapeutic Goods Administration</w:t>
            </w:r>
          </w:p>
        </w:tc>
      </w:tr>
      <w:tr w:rsidR="0035180C" w:rsidRPr="008D1A55" w14:paraId="7F1DC328"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1273D416" w14:textId="33D4C21B" w:rsidR="0035180C" w:rsidRPr="008D1A55" w:rsidRDefault="0035180C" w:rsidP="0035180C">
            <w:r w:rsidRPr="008D1A55">
              <w:t>ULN</w:t>
            </w:r>
          </w:p>
        </w:tc>
        <w:tc>
          <w:tcPr>
            <w:tcW w:w="3987" w:type="pct"/>
            <w:gridSpan w:val="2"/>
            <w:tcBorders>
              <w:top w:val="single" w:sz="8" w:space="0" w:color="002C47"/>
              <w:left w:val="single" w:sz="8" w:space="0" w:color="002C47"/>
              <w:bottom w:val="single" w:sz="8" w:space="0" w:color="002C47"/>
              <w:right w:val="single" w:sz="8" w:space="0" w:color="002C47"/>
            </w:tcBorders>
          </w:tcPr>
          <w:p w14:paraId="009C16A7" w14:textId="04274C78" w:rsidR="0035180C" w:rsidRPr="008D1A55" w:rsidRDefault="0035180C" w:rsidP="0035180C">
            <w:r w:rsidRPr="008D1A55">
              <w:t>Upper limit of normal</w:t>
            </w:r>
          </w:p>
        </w:tc>
      </w:tr>
      <w:tr w:rsidR="0035180C" w:rsidRPr="008D1A55" w14:paraId="50E7CB79"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7F2D9601" w14:textId="6775B1E1" w:rsidR="0035180C" w:rsidRPr="008D1A55" w:rsidRDefault="0035180C" w:rsidP="0035180C">
            <w:r w:rsidRPr="008D1A55">
              <w:t>US(A)</w:t>
            </w:r>
          </w:p>
        </w:tc>
        <w:tc>
          <w:tcPr>
            <w:tcW w:w="3987" w:type="pct"/>
            <w:gridSpan w:val="2"/>
            <w:tcBorders>
              <w:top w:val="single" w:sz="8" w:space="0" w:color="002C47"/>
              <w:left w:val="single" w:sz="8" w:space="0" w:color="002C47"/>
              <w:bottom w:val="single" w:sz="8" w:space="0" w:color="002C47"/>
              <w:right w:val="single" w:sz="8" w:space="0" w:color="002C47"/>
            </w:tcBorders>
          </w:tcPr>
          <w:p w14:paraId="12E0B0B5" w14:textId="2935E52C" w:rsidR="0035180C" w:rsidRPr="008D1A55" w:rsidRDefault="0035180C" w:rsidP="0035180C">
            <w:r w:rsidRPr="008D1A55">
              <w:t>United States (of America)</w:t>
            </w:r>
          </w:p>
        </w:tc>
      </w:tr>
      <w:tr w:rsidR="0035180C" w:rsidRPr="008D1A55" w14:paraId="536EB3C9" w14:textId="77777777" w:rsidTr="00FD6E62">
        <w:trPr>
          <w:cantSplit/>
        </w:trPr>
        <w:tc>
          <w:tcPr>
            <w:tcW w:w="1013" w:type="pct"/>
            <w:tcBorders>
              <w:top w:val="single" w:sz="8" w:space="0" w:color="002C47"/>
              <w:left w:val="single" w:sz="8" w:space="0" w:color="002C47"/>
              <w:bottom w:val="single" w:sz="8" w:space="0" w:color="002C47"/>
              <w:right w:val="single" w:sz="8" w:space="0" w:color="002C47"/>
            </w:tcBorders>
          </w:tcPr>
          <w:p w14:paraId="4055C656" w14:textId="58F4124A" w:rsidR="0035180C" w:rsidRPr="008D1A55" w:rsidRDefault="0035180C" w:rsidP="0035180C">
            <w:r w:rsidRPr="008D1A55">
              <w:t>VAS</w:t>
            </w:r>
          </w:p>
        </w:tc>
        <w:tc>
          <w:tcPr>
            <w:tcW w:w="3987" w:type="pct"/>
            <w:gridSpan w:val="2"/>
            <w:tcBorders>
              <w:top w:val="single" w:sz="8" w:space="0" w:color="002C47"/>
              <w:left w:val="single" w:sz="8" w:space="0" w:color="002C47"/>
              <w:bottom w:val="single" w:sz="8" w:space="0" w:color="002C47"/>
              <w:right w:val="single" w:sz="8" w:space="0" w:color="002C47"/>
            </w:tcBorders>
          </w:tcPr>
          <w:p w14:paraId="35A69A00" w14:textId="266E8CC8" w:rsidR="0035180C" w:rsidRPr="008D1A55" w:rsidRDefault="0035180C" w:rsidP="0035180C">
            <w:r w:rsidRPr="008D1A55">
              <w:t xml:space="preserve">Visual </w:t>
            </w:r>
            <w:proofErr w:type="spellStart"/>
            <w:r w:rsidRPr="008D1A55">
              <w:t>analog</w:t>
            </w:r>
            <w:proofErr w:type="spellEnd"/>
            <w:r w:rsidRPr="008D1A55">
              <w:t xml:space="preserve"> scale</w:t>
            </w:r>
          </w:p>
        </w:tc>
      </w:tr>
      <w:bookmarkEnd w:id="5"/>
    </w:tbl>
    <w:p w14:paraId="6FEA3CC4" w14:textId="77777777" w:rsidR="00FD119B" w:rsidRPr="008D1A55" w:rsidRDefault="00FD119B" w:rsidP="00FD119B">
      <w:pPr>
        <w:spacing w:before="0" w:after="200" w:line="0" w:lineRule="auto"/>
        <w:rPr>
          <w:b/>
          <w:i/>
          <w:sz w:val="24"/>
          <w:szCs w:val="24"/>
        </w:rPr>
      </w:pPr>
      <w:r w:rsidRPr="008D1A55">
        <w:rPr>
          <w:b/>
          <w:i/>
          <w:sz w:val="24"/>
          <w:szCs w:val="24"/>
        </w:rPr>
        <w:br w:type="page"/>
      </w:r>
    </w:p>
    <w:p w14:paraId="404FEDFF" w14:textId="77777777" w:rsidR="008E7846" w:rsidRPr="008D1A55" w:rsidRDefault="009F2673" w:rsidP="008E7846">
      <w:pPr>
        <w:pStyle w:val="Heading2"/>
      </w:pPr>
      <w:bookmarkStart w:id="14" w:name="_Toc117166172"/>
      <w:r w:rsidRPr="008D1A55">
        <w:lastRenderedPageBreak/>
        <w:t>Pr</w:t>
      </w:r>
      <w:r w:rsidR="008E7846" w:rsidRPr="008D1A55">
        <w:t>oduct submission</w:t>
      </w:r>
      <w:bookmarkEnd w:id="14"/>
      <w:bookmarkEnd w:id="0"/>
      <w:bookmarkEnd w:id="2"/>
    </w:p>
    <w:p w14:paraId="6344D052" w14:textId="77777777" w:rsidR="008E7846" w:rsidRPr="008D1A55" w:rsidRDefault="008E7846" w:rsidP="009E5A87">
      <w:pPr>
        <w:pStyle w:val="Heading3"/>
        <w:rPr>
          <w:lang w:eastAsia="en-AU"/>
        </w:rPr>
      </w:pPr>
      <w:bookmarkStart w:id="15" w:name="_Toc247691502"/>
      <w:bookmarkStart w:id="16" w:name="_Toc314842483"/>
      <w:bookmarkStart w:id="17" w:name="_Toc117166173"/>
      <w:r w:rsidRPr="008D1A55">
        <w:rPr>
          <w:lang w:eastAsia="en-AU"/>
        </w:rPr>
        <w:t>Submission details</w:t>
      </w:r>
      <w:bookmarkEnd w:id="15"/>
      <w:bookmarkEnd w:id="16"/>
      <w:bookmarkEnd w:id="17"/>
    </w:p>
    <w:tbl>
      <w:tblPr>
        <w:tblW w:w="5000" w:type="pct"/>
        <w:tblLook w:val="01E0" w:firstRow="1" w:lastRow="1" w:firstColumn="1" w:lastColumn="1" w:noHBand="0" w:noVBand="0"/>
      </w:tblPr>
      <w:tblGrid>
        <w:gridCol w:w="2682"/>
        <w:gridCol w:w="5822"/>
      </w:tblGrid>
      <w:tr w:rsidR="009F2673" w:rsidRPr="008D1A55" w14:paraId="76BF85DA" w14:textId="77777777" w:rsidTr="00FD6E62">
        <w:tc>
          <w:tcPr>
            <w:tcW w:w="1577" w:type="pct"/>
          </w:tcPr>
          <w:p w14:paraId="61F8C250" w14:textId="77777777" w:rsidR="009F2673" w:rsidRPr="008D1A55" w:rsidRDefault="009F2673" w:rsidP="009E5A87">
            <w:pPr>
              <w:rPr>
                <w:i/>
              </w:rPr>
            </w:pPr>
            <w:r w:rsidRPr="008D1A55">
              <w:rPr>
                <w:i/>
              </w:rPr>
              <w:t>Type of submission:</w:t>
            </w:r>
          </w:p>
        </w:tc>
        <w:tc>
          <w:tcPr>
            <w:tcW w:w="3423" w:type="pct"/>
          </w:tcPr>
          <w:p w14:paraId="1F435FD1" w14:textId="0F5F3B66" w:rsidR="009F2673" w:rsidRPr="008D1A55" w:rsidRDefault="00B209DA" w:rsidP="009E5A87">
            <w:r w:rsidRPr="008D1A55">
              <w:t>New biological entity</w:t>
            </w:r>
          </w:p>
        </w:tc>
      </w:tr>
      <w:tr w:rsidR="009F2673" w:rsidRPr="008D1A55" w14:paraId="1B3DB6B8" w14:textId="77777777" w:rsidTr="00FD6E62">
        <w:tc>
          <w:tcPr>
            <w:tcW w:w="1577" w:type="pct"/>
          </w:tcPr>
          <w:p w14:paraId="2C7EED7D" w14:textId="09552CC9" w:rsidR="009F2673" w:rsidRPr="008D1A55" w:rsidRDefault="009F2673" w:rsidP="009E5A87">
            <w:pPr>
              <w:rPr>
                <w:i/>
              </w:rPr>
            </w:pPr>
            <w:r w:rsidRPr="008D1A55">
              <w:rPr>
                <w:i/>
              </w:rPr>
              <w:t>Product name:</w:t>
            </w:r>
          </w:p>
        </w:tc>
        <w:tc>
          <w:tcPr>
            <w:tcW w:w="3423" w:type="pct"/>
          </w:tcPr>
          <w:p w14:paraId="1C69A077" w14:textId="31D480C7" w:rsidR="009F2673" w:rsidRPr="008D1A55" w:rsidRDefault="00FD6E62" w:rsidP="009E5A87">
            <w:proofErr w:type="spellStart"/>
            <w:r w:rsidRPr="008D1A55">
              <w:t>Saphnelo</w:t>
            </w:r>
            <w:proofErr w:type="spellEnd"/>
          </w:p>
        </w:tc>
      </w:tr>
      <w:tr w:rsidR="009F2673" w:rsidRPr="008D1A55" w14:paraId="7C1C850D" w14:textId="77777777" w:rsidTr="00FD6E62">
        <w:tc>
          <w:tcPr>
            <w:tcW w:w="1577" w:type="pct"/>
          </w:tcPr>
          <w:p w14:paraId="2997813E" w14:textId="22E307A5" w:rsidR="009F2673" w:rsidRPr="008D1A55" w:rsidRDefault="009F2673" w:rsidP="009E5A87">
            <w:pPr>
              <w:rPr>
                <w:i/>
              </w:rPr>
            </w:pPr>
            <w:r w:rsidRPr="008D1A55">
              <w:rPr>
                <w:i/>
              </w:rPr>
              <w:t>Active ingredient:</w:t>
            </w:r>
          </w:p>
        </w:tc>
        <w:tc>
          <w:tcPr>
            <w:tcW w:w="3423" w:type="pct"/>
          </w:tcPr>
          <w:p w14:paraId="3445FD8B" w14:textId="2BB320C2" w:rsidR="009F2673" w:rsidRPr="008D1A55" w:rsidRDefault="00FD6E62" w:rsidP="009E5A87">
            <w:proofErr w:type="spellStart"/>
            <w:r w:rsidRPr="008D1A55">
              <w:t>Anifrolumab</w:t>
            </w:r>
            <w:proofErr w:type="spellEnd"/>
          </w:p>
        </w:tc>
      </w:tr>
      <w:tr w:rsidR="009F2673" w:rsidRPr="008D1A55" w14:paraId="3822AE9F" w14:textId="77777777" w:rsidTr="00FD6E62">
        <w:tc>
          <w:tcPr>
            <w:tcW w:w="1577" w:type="pct"/>
          </w:tcPr>
          <w:p w14:paraId="6D292F78" w14:textId="77777777" w:rsidR="009F2673" w:rsidRPr="008D1A55" w:rsidRDefault="009F2673" w:rsidP="009E5A87">
            <w:pPr>
              <w:rPr>
                <w:i/>
              </w:rPr>
            </w:pPr>
            <w:r w:rsidRPr="008D1A55">
              <w:rPr>
                <w:i/>
              </w:rPr>
              <w:t>Decision:</w:t>
            </w:r>
          </w:p>
        </w:tc>
        <w:tc>
          <w:tcPr>
            <w:tcW w:w="3423" w:type="pct"/>
          </w:tcPr>
          <w:p w14:paraId="600EF039" w14:textId="055A8438" w:rsidR="009F2673" w:rsidRPr="008D1A55" w:rsidRDefault="009F2673" w:rsidP="009E5A87">
            <w:r w:rsidRPr="008D1A55">
              <w:t>Approved</w:t>
            </w:r>
          </w:p>
        </w:tc>
      </w:tr>
      <w:tr w:rsidR="009F2673" w:rsidRPr="008D1A55" w14:paraId="6E0888E5" w14:textId="77777777" w:rsidTr="00FD6E62">
        <w:tc>
          <w:tcPr>
            <w:tcW w:w="1577" w:type="pct"/>
          </w:tcPr>
          <w:p w14:paraId="2591E387" w14:textId="77777777" w:rsidR="009F2673" w:rsidRPr="008D1A55" w:rsidRDefault="009F2673" w:rsidP="009E5A87">
            <w:pPr>
              <w:rPr>
                <w:i/>
              </w:rPr>
            </w:pPr>
            <w:r w:rsidRPr="008D1A55">
              <w:rPr>
                <w:i/>
              </w:rPr>
              <w:t>Date of decision:</w:t>
            </w:r>
          </w:p>
        </w:tc>
        <w:tc>
          <w:tcPr>
            <w:tcW w:w="3423" w:type="pct"/>
          </w:tcPr>
          <w:p w14:paraId="68D27CBF" w14:textId="0C7EA1FE" w:rsidR="009F2673" w:rsidRPr="008D1A55" w:rsidRDefault="002F5AFB" w:rsidP="009E5A87">
            <w:r w:rsidRPr="008D1A55">
              <w:t>24 March 2022</w:t>
            </w:r>
          </w:p>
        </w:tc>
      </w:tr>
      <w:tr w:rsidR="009F2673" w:rsidRPr="008D1A55" w14:paraId="4CD95F8A" w14:textId="77777777" w:rsidTr="00FD6E62">
        <w:tc>
          <w:tcPr>
            <w:tcW w:w="1577" w:type="pct"/>
          </w:tcPr>
          <w:p w14:paraId="5878AD67" w14:textId="77777777" w:rsidR="009F2673" w:rsidRPr="008D1A55" w:rsidRDefault="009F2673" w:rsidP="009E5A87">
            <w:pPr>
              <w:rPr>
                <w:i/>
              </w:rPr>
            </w:pPr>
            <w:r w:rsidRPr="008D1A55">
              <w:rPr>
                <w:i/>
              </w:rPr>
              <w:t>Date of entry onto ARTG:</w:t>
            </w:r>
          </w:p>
        </w:tc>
        <w:tc>
          <w:tcPr>
            <w:tcW w:w="3423" w:type="pct"/>
          </w:tcPr>
          <w:p w14:paraId="28A13E22" w14:textId="4D1DC6CE" w:rsidR="009F2673" w:rsidRPr="008D1A55" w:rsidRDefault="002F5AFB" w:rsidP="009E5A87">
            <w:r w:rsidRPr="008D1A55">
              <w:t>29 March 2022</w:t>
            </w:r>
          </w:p>
        </w:tc>
      </w:tr>
      <w:tr w:rsidR="009F2673" w:rsidRPr="008D1A55" w14:paraId="5BA2C9D8" w14:textId="77777777" w:rsidTr="00FD6E62">
        <w:tc>
          <w:tcPr>
            <w:tcW w:w="1577" w:type="pct"/>
          </w:tcPr>
          <w:p w14:paraId="4A330C05" w14:textId="24B0D6ED" w:rsidR="009F2673" w:rsidRPr="008D1A55" w:rsidRDefault="009F2673" w:rsidP="009E5A87">
            <w:pPr>
              <w:rPr>
                <w:i/>
              </w:rPr>
            </w:pPr>
            <w:r w:rsidRPr="008D1A55">
              <w:rPr>
                <w:i/>
              </w:rPr>
              <w:t>ARTG number:</w:t>
            </w:r>
          </w:p>
        </w:tc>
        <w:tc>
          <w:tcPr>
            <w:tcW w:w="3423" w:type="pct"/>
          </w:tcPr>
          <w:p w14:paraId="23610252" w14:textId="03F9A658" w:rsidR="009F2673" w:rsidRPr="008D1A55" w:rsidRDefault="002F5AFB" w:rsidP="009E5A87">
            <w:r w:rsidRPr="008D1A55">
              <w:t>350930</w:t>
            </w:r>
          </w:p>
        </w:tc>
      </w:tr>
      <w:tr w:rsidR="009F2673" w:rsidRPr="008D1A55" w14:paraId="760C5430" w14:textId="77777777" w:rsidTr="00FD6E62">
        <w:tc>
          <w:tcPr>
            <w:tcW w:w="1577" w:type="pct"/>
          </w:tcPr>
          <w:p w14:paraId="0F265D4E" w14:textId="04F067B8" w:rsidR="009F2673" w:rsidRPr="008D1A55" w:rsidRDefault="001B1DA4" w:rsidP="009E5A87">
            <w:pPr>
              <w:rPr>
                <w:i/>
              </w:rPr>
            </w:pPr>
            <w:r w:rsidRPr="008D1A55">
              <w:rPr>
                <w:rFonts w:ascii="Wingdings 3" w:hAnsi="Wingdings 3"/>
                <w:sz w:val="34"/>
                <w:szCs w:val="34"/>
                <w:lang w:eastAsia="en-AU"/>
              </w:rPr>
              <w:t></w:t>
            </w:r>
            <w:hyperlink r:id="rId14" w:history="1">
              <w:r w:rsidR="009F2673" w:rsidRPr="008D1A55">
                <w:rPr>
                  <w:rStyle w:val="Hyperlink"/>
                  <w:i/>
                </w:rPr>
                <w:t>Black Triangle Scheme</w:t>
              </w:r>
            </w:hyperlink>
            <w:r w:rsidR="009F2673" w:rsidRPr="008D1A55">
              <w:rPr>
                <w:i/>
              </w:rPr>
              <w:t>:</w:t>
            </w:r>
          </w:p>
        </w:tc>
        <w:tc>
          <w:tcPr>
            <w:tcW w:w="3423" w:type="pct"/>
          </w:tcPr>
          <w:p w14:paraId="4DD63A26" w14:textId="7F25ECA2" w:rsidR="009F2673" w:rsidRPr="008D1A55" w:rsidRDefault="009F2673" w:rsidP="009E5A87">
            <w:r w:rsidRPr="008D1A55">
              <w:t>Yes</w:t>
            </w:r>
            <w:r w:rsidR="002F5AFB" w:rsidRPr="008D1A55">
              <w:t>.</w:t>
            </w:r>
          </w:p>
          <w:p w14:paraId="28DE5FC2" w14:textId="46DE6104" w:rsidR="009F2673" w:rsidRPr="008D1A55" w:rsidRDefault="009F2673" w:rsidP="009E5A87">
            <w:r w:rsidRPr="008D1A55">
              <w:t>This product will remain in the scheme for 5 years, starting on the date the product is first supplied in Australia</w:t>
            </w:r>
            <w:r w:rsidR="002F5AFB" w:rsidRPr="008D1A55">
              <w:t>.</w:t>
            </w:r>
          </w:p>
        </w:tc>
      </w:tr>
      <w:tr w:rsidR="009F2673" w:rsidRPr="008D1A55" w14:paraId="3D3C46C8" w14:textId="77777777" w:rsidTr="00FD6E62">
        <w:tc>
          <w:tcPr>
            <w:tcW w:w="1577" w:type="pct"/>
          </w:tcPr>
          <w:p w14:paraId="5206B6EA" w14:textId="77777777" w:rsidR="009F2673" w:rsidRPr="008D1A55" w:rsidRDefault="009F2673" w:rsidP="009E5A87">
            <w:pPr>
              <w:rPr>
                <w:i/>
              </w:rPr>
            </w:pPr>
            <w:r w:rsidRPr="008D1A55">
              <w:rPr>
                <w:i/>
              </w:rPr>
              <w:t>Sponsor’s name and address:</w:t>
            </w:r>
          </w:p>
        </w:tc>
        <w:tc>
          <w:tcPr>
            <w:tcW w:w="3423" w:type="pct"/>
          </w:tcPr>
          <w:p w14:paraId="52B21517" w14:textId="77777777" w:rsidR="009F2673" w:rsidRPr="008D1A55" w:rsidRDefault="00FD6E62" w:rsidP="009E5A87">
            <w:r w:rsidRPr="008D1A55">
              <w:t>AstraZeneca Pty Ltd</w:t>
            </w:r>
          </w:p>
          <w:p w14:paraId="6E4B0207" w14:textId="77777777" w:rsidR="00FD6E62" w:rsidRPr="008D1A55" w:rsidRDefault="00FD6E62" w:rsidP="009E5A87">
            <w:r w:rsidRPr="008D1A55">
              <w:t>66 Talavera Road</w:t>
            </w:r>
          </w:p>
          <w:p w14:paraId="66A4040D" w14:textId="1A3E979C" w:rsidR="00FD6E62" w:rsidRPr="008D1A55" w:rsidRDefault="00FD6E62" w:rsidP="009E5A87">
            <w:r w:rsidRPr="008D1A55">
              <w:t>Macquarie Park NSW 2113</w:t>
            </w:r>
          </w:p>
        </w:tc>
      </w:tr>
      <w:tr w:rsidR="009F2673" w:rsidRPr="008D1A55" w14:paraId="2338FF3F" w14:textId="77777777" w:rsidTr="00FD6E62">
        <w:tc>
          <w:tcPr>
            <w:tcW w:w="1577" w:type="pct"/>
          </w:tcPr>
          <w:p w14:paraId="4C743B40" w14:textId="44D7B663" w:rsidR="009F2673" w:rsidRPr="008D1A55" w:rsidRDefault="009F2673" w:rsidP="009E5A87">
            <w:pPr>
              <w:rPr>
                <w:i/>
              </w:rPr>
            </w:pPr>
            <w:r w:rsidRPr="008D1A55">
              <w:rPr>
                <w:i/>
              </w:rPr>
              <w:t>Dose form:</w:t>
            </w:r>
          </w:p>
        </w:tc>
        <w:tc>
          <w:tcPr>
            <w:tcW w:w="3423" w:type="pct"/>
          </w:tcPr>
          <w:p w14:paraId="2211E2DD" w14:textId="1A107321" w:rsidR="009F2673" w:rsidRPr="008D1A55" w:rsidRDefault="002F5AFB" w:rsidP="009E5A87">
            <w:r w:rsidRPr="008D1A55">
              <w:t>Concentrate for solution for infusion</w:t>
            </w:r>
          </w:p>
        </w:tc>
      </w:tr>
      <w:tr w:rsidR="009F2673" w:rsidRPr="008D1A55" w14:paraId="4DB4A321" w14:textId="77777777" w:rsidTr="00FD6E62">
        <w:tc>
          <w:tcPr>
            <w:tcW w:w="1577" w:type="pct"/>
          </w:tcPr>
          <w:p w14:paraId="5CA4C7E3" w14:textId="37338C8B" w:rsidR="009F2673" w:rsidRPr="008D1A55" w:rsidRDefault="009F2673" w:rsidP="009E5A87">
            <w:pPr>
              <w:rPr>
                <w:i/>
              </w:rPr>
            </w:pPr>
            <w:r w:rsidRPr="008D1A55">
              <w:rPr>
                <w:i/>
              </w:rPr>
              <w:t>Strength:</w:t>
            </w:r>
          </w:p>
        </w:tc>
        <w:tc>
          <w:tcPr>
            <w:tcW w:w="3423" w:type="pct"/>
          </w:tcPr>
          <w:p w14:paraId="38952B8D" w14:textId="009F9AB2" w:rsidR="009F2673" w:rsidRPr="008D1A55" w:rsidRDefault="002F5AFB" w:rsidP="009E5A87">
            <w:r w:rsidRPr="008D1A55">
              <w:t>300 mg/2 mL</w:t>
            </w:r>
          </w:p>
        </w:tc>
      </w:tr>
      <w:tr w:rsidR="009F2673" w:rsidRPr="008D1A55" w14:paraId="3D52A673" w14:textId="77777777" w:rsidTr="00FD6E62">
        <w:tc>
          <w:tcPr>
            <w:tcW w:w="1577" w:type="pct"/>
          </w:tcPr>
          <w:p w14:paraId="25E2F9D6" w14:textId="4460651E" w:rsidR="009F2673" w:rsidRPr="008D1A55" w:rsidRDefault="009F2673" w:rsidP="009E5A87">
            <w:pPr>
              <w:rPr>
                <w:i/>
              </w:rPr>
            </w:pPr>
            <w:r w:rsidRPr="008D1A55">
              <w:rPr>
                <w:i/>
              </w:rPr>
              <w:t>Container:</w:t>
            </w:r>
          </w:p>
        </w:tc>
        <w:tc>
          <w:tcPr>
            <w:tcW w:w="3423" w:type="pct"/>
          </w:tcPr>
          <w:p w14:paraId="0F976036" w14:textId="204F798D" w:rsidR="009F2673" w:rsidRPr="008D1A55" w:rsidRDefault="002F5AFB" w:rsidP="009E5A87">
            <w:r w:rsidRPr="008D1A55">
              <w:t>Vial</w:t>
            </w:r>
          </w:p>
        </w:tc>
      </w:tr>
      <w:tr w:rsidR="009F2673" w:rsidRPr="008D1A55" w14:paraId="76C1E67F" w14:textId="77777777" w:rsidTr="00FD6E62">
        <w:tc>
          <w:tcPr>
            <w:tcW w:w="1577" w:type="pct"/>
          </w:tcPr>
          <w:p w14:paraId="26C85169" w14:textId="79B1078E" w:rsidR="009F2673" w:rsidRPr="008D1A55" w:rsidRDefault="009F2673" w:rsidP="009E5A87">
            <w:pPr>
              <w:rPr>
                <w:i/>
              </w:rPr>
            </w:pPr>
            <w:r w:rsidRPr="008D1A55">
              <w:rPr>
                <w:i/>
              </w:rPr>
              <w:t>Pack size:</w:t>
            </w:r>
          </w:p>
        </w:tc>
        <w:tc>
          <w:tcPr>
            <w:tcW w:w="3423" w:type="pct"/>
          </w:tcPr>
          <w:p w14:paraId="6DE7F57E" w14:textId="0B5F2891" w:rsidR="009F2673" w:rsidRPr="008D1A55" w:rsidRDefault="002F5AFB" w:rsidP="009E5A87">
            <w:r w:rsidRPr="008D1A55">
              <w:t>One</w:t>
            </w:r>
          </w:p>
        </w:tc>
      </w:tr>
      <w:tr w:rsidR="009F2673" w:rsidRPr="008D1A55" w14:paraId="64EA67AA" w14:textId="77777777" w:rsidTr="00FD6E62">
        <w:tc>
          <w:tcPr>
            <w:tcW w:w="1577" w:type="pct"/>
          </w:tcPr>
          <w:p w14:paraId="07B47C91" w14:textId="77777777" w:rsidR="009F2673" w:rsidRPr="008D1A55" w:rsidRDefault="009F2673" w:rsidP="009E5A87">
            <w:pPr>
              <w:rPr>
                <w:i/>
              </w:rPr>
            </w:pPr>
            <w:r w:rsidRPr="008D1A55">
              <w:rPr>
                <w:i/>
              </w:rPr>
              <w:t>Approved therapeutic use:</w:t>
            </w:r>
          </w:p>
        </w:tc>
        <w:tc>
          <w:tcPr>
            <w:tcW w:w="3423" w:type="pct"/>
          </w:tcPr>
          <w:p w14:paraId="4AB27159" w14:textId="38984FCC" w:rsidR="00B209DA" w:rsidRPr="008D1A55" w:rsidRDefault="00D670EF" w:rsidP="00B209DA">
            <w:pPr>
              <w:rPr>
                <w:i/>
                <w:iCs/>
              </w:rPr>
            </w:pPr>
            <w:proofErr w:type="spellStart"/>
            <w:r w:rsidRPr="008D1A55">
              <w:rPr>
                <w:i/>
                <w:iCs/>
              </w:rPr>
              <w:t>Saphnelo</w:t>
            </w:r>
            <w:proofErr w:type="spellEnd"/>
            <w:r w:rsidR="00B209DA" w:rsidRPr="008D1A55">
              <w:rPr>
                <w:i/>
                <w:iCs/>
              </w:rPr>
              <w:t xml:space="preserve"> (</w:t>
            </w:r>
            <w:proofErr w:type="spellStart"/>
            <w:r w:rsidR="00B209DA" w:rsidRPr="008D1A55">
              <w:rPr>
                <w:i/>
                <w:iCs/>
              </w:rPr>
              <w:t>anifrolumab</w:t>
            </w:r>
            <w:proofErr w:type="spellEnd"/>
            <w:r w:rsidR="00B209DA" w:rsidRPr="008D1A55">
              <w:rPr>
                <w:i/>
                <w:iCs/>
              </w:rPr>
              <w:t>) is indicated as add on treatment of adult patients with moderate to severe, active systemic lupus erythematosus (SLE), despite standard therapy.</w:t>
            </w:r>
          </w:p>
          <w:p w14:paraId="321B85D7" w14:textId="0A813DC2" w:rsidR="00B209DA" w:rsidRPr="008D1A55" w:rsidRDefault="00B209DA" w:rsidP="00B209DA">
            <w:r w:rsidRPr="008D1A55">
              <w:rPr>
                <w:i/>
                <w:iCs/>
              </w:rPr>
              <w:t xml:space="preserve">The safety and efficacy of </w:t>
            </w:r>
            <w:proofErr w:type="spellStart"/>
            <w:r w:rsidR="00D670EF" w:rsidRPr="008D1A55">
              <w:rPr>
                <w:i/>
                <w:iCs/>
              </w:rPr>
              <w:t>Saphnelo</w:t>
            </w:r>
            <w:proofErr w:type="spellEnd"/>
            <w:r w:rsidRPr="008D1A55">
              <w:rPr>
                <w:i/>
                <w:iCs/>
              </w:rPr>
              <w:t xml:space="preserve"> have not been evaluated in patients with severe active lupus nephritis or severe active central nervous system lupus.</w:t>
            </w:r>
          </w:p>
        </w:tc>
      </w:tr>
      <w:tr w:rsidR="009F2673" w:rsidRPr="008D1A55" w14:paraId="214BF71A" w14:textId="77777777" w:rsidTr="00FD6E62">
        <w:tc>
          <w:tcPr>
            <w:tcW w:w="1577" w:type="pct"/>
          </w:tcPr>
          <w:p w14:paraId="0F97C771" w14:textId="083FA768" w:rsidR="009F2673" w:rsidRPr="008D1A55" w:rsidRDefault="009F2673" w:rsidP="009E5A87">
            <w:pPr>
              <w:rPr>
                <w:i/>
              </w:rPr>
            </w:pPr>
            <w:r w:rsidRPr="008D1A55">
              <w:rPr>
                <w:i/>
              </w:rPr>
              <w:t>Route of administration:</w:t>
            </w:r>
          </w:p>
        </w:tc>
        <w:tc>
          <w:tcPr>
            <w:tcW w:w="3423" w:type="pct"/>
          </w:tcPr>
          <w:p w14:paraId="4CCAF5FE" w14:textId="2EC76459" w:rsidR="009F2673" w:rsidRPr="008D1A55" w:rsidRDefault="002F5AFB" w:rsidP="009E5A87">
            <w:r w:rsidRPr="008D1A55">
              <w:t>Intravenous</w:t>
            </w:r>
          </w:p>
        </w:tc>
      </w:tr>
      <w:tr w:rsidR="009F2673" w:rsidRPr="008D1A55" w14:paraId="2991675C" w14:textId="77777777" w:rsidTr="00FD6E62">
        <w:tc>
          <w:tcPr>
            <w:tcW w:w="1577" w:type="pct"/>
          </w:tcPr>
          <w:p w14:paraId="7A537483" w14:textId="77777777" w:rsidR="009F2673" w:rsidRPr="008D1A55" w:rsidRDefault="009F2673" w:rsidP="009E5A87">
            <w:pPr>
              <w:rPr>
                <w:i/>
              </w:rPr>
            </w:pPr>
            <w:r w:rsidRPr="008D1A55">
              <w:rPr>
                <w:i/>
              </w:rPr>
              <w:t>Dosage:</w:t>
            </w:r>
          </w:p>
        </w:tc>
        <w:tc>
          <w:tcPr>
            <w:tcW w:w="3423" w:type="pct"/>
          </w:tcPr>
          <w:p w14:paraId="2AD0E384" w14:textId="0AC55B4C" w:rsidR="00AD1D0A" w:rsidRDefault="002F5AFB" w:rsidP="002F5AFB">
            <w:r w:rsidRPr="008D1A55">
              <w:t xml:space="preserve">The recommended dose of </w:t>
            </w:r>
            <w:proofErr w:type="spellStart"/>
            <w:r w:rsidRPr="008D1A55">
              <w:t>Saphnelo</w:t>
            </w:r>
            <w:proofErr w:type="spellEnd"/>
            <w:r w:rsidRPr="008D1A55">
              <w:t xml:space="preserve"> is 300 mg</w:t>
            </w:r>
            <w:r w:rsidR="00410507">
              <w:t xml:space="preserve"> </w:t>
            </w:r>
            <w:r w:rsidRPr="008D1A55">
              <w:t>every 4 weeks</w:t>
            </w:r>
            <w:r w:rsidR="00AD1D0A">
              <w:t xml:space="preserve"> via intravenous infusion</w:t>
            </w:r>
            <w:r w:rsidRPr="008D1A55">
              <w:t>.</w:t>
            </w:r>
          </w:p>
          <w:p w14:paraId="6EB93D29" w14:textId="05C80885" w:rsidR="00410507" w:rsidRPr="008D1A55" w:rsidRDefault="00AD1D0A" w:rsidP="002F5AFB">
            <w:r w:rsidRPr="008D1A55">
              <w:t>Treatment should be initiated and supervised by a physician experienced in the treatment of systemic lupus erythematosus.</w:t>
            </w:r>
          </w:p>
          <w:p w14:paraId="0DCE4FF0" w14:textId="504C18F9" w:rsidR="0098403F" w:rsidRDefault="00410507" w:rsidP="002F5AFB">
            <w:proofErr w:type="spellStart"/>
            <w:r>
              <w:t>Saphnelo</w:t>
            </w:r>
            <w:proofErr w:type="spellEnd"/>
            <w:r>
              <w:t xml:space="preserve"> is administered as an intravenous infusion over a 30</w:t>
            </w:r>
            <w:r>
              <w:noBreakHyphen/>
              <w:t>minute period.</w:t>
            </w:r>
            <w:r w:rsidRPr="008D1A55" w:rsidDel="00913EFF">
              <w:t xml:space="preserve"> </w:t>
            </w:r>
            <w:r w:rsidR="0098403F">
              <w:t>Following dilution with sodium chlorid</w:t>
            </w:r>
            <w:r>
              <w:t>e (0.9%) solution for injection</w:t>
            </w:r>
            <w:r w:rsidR="0098403F">
              <w:t>. Do not administer as an intra</w:t>
            </w:r>
            <w:r w:rsidR="007949C0">
              <w:t xml:space="preserve">venous push or bolus injection. </w:t>
            </w:r>
            <w:r w:rsidR="0098403F">
              <w:t xml:space="preserve">The infusion rate may </w:t>
            </w:r>
            <w:r w:rsidR="0098403F">
              <w:lastRenderedPageBreak/>
              <w:t>be slowed or interrupted if the patient develops an infusion reaction.</w:t>
            </w:r>
          </w:p>
          <w:p w14:paraId="0DD6286D" w14:textId="480592CE" w:rsidR="0084112A" w:rsidRDefault="0084112A" w:rsidP="002F5AFB">
            <w:r>
              <w:t>See Section 4.4 Special warnings and precautions of the Product Information for specific information regarding hypersensitivity reaction, infection, immunisations and use with other biologic therapies, including B</w:t>
            </w:r>
            <w:r>
              <w:noBreakHyphen/>
              <w:t>cell-targeted therapies.</w:t>
            </w:r>
          </w:p>
          <w:p w14:paraId="00F09BB0" w14:textId="77777777" w:rsidR="009F2673" w:rsidRPr="008D1A55" w:rsidRDefault="009F2673">
            <w:r w:rsidRPr="008D1A55">
              <w:t>For further information regarding dosage, refer to the Product Information.</w:t>
            </w:r>
          </w:p>
        </w:tc>
      </w:tr>
      <w:tr w:rsidR="009F2673" w:rsidRPr="008D1A55" w14:paraId="15E814DA" w14:textId="77777777" w:rsidTr="00FD6E62">
        <w:tc>
          <w:tcPr>
            <w:tcW w:w="1577" w:type="pct"/>
          </w:tcPr>
          <w:p w14:paraId="4A3705A5" w14:textId="77777777" w:rsidR="009F2673" w:rsidRPr="008D1A55" w:rsidRDefault="009F2673" w:rsidP="009E5A87">
            <w:pPr>
              <w:rPr>
                <w:i/>
              </w:rPr>
            </w:pPr>
            <w:r w:rsidRPr="008D1A55">
              <w:rPr>
                <w:i/>
              </w:rPr>
              <w:lastRenderedPageBreak/>
              <w:t>Pregnancy category:</w:t>
            </w:r>
          </w:p>
        </w:tc>
        <w:tc>
          <w:tcPr>
            <w:tcW w:w="3423" w:type="pct"/>
          </w:tcPr>
          <w:p w14:paraId="778BAA7F" w14:textId="0661F9FE" w:rsidR="002F5AFB" w:rsidRPr="008D1A55" w:rsidRDefault="002F5AFB" w:rsidP="002F5AFB">
            <w:r w:rsidRPr="008D1A55">
              <w:t>C</w:t>
            </w:r>
          </w:p>
          <w:p w14:paraId="38363CA0" w14:textId="4418CC4A" w:rsidR="002F5AFB" w:rsidRPr="008D1A55" w:rsidRDefault="002F5AFB" w:rsidP="002F5AFB">
            <w:r w:rsidRPr="008D1A55">
              <w:t xml:space="preserve">Drugs which, owing to their pharmacological effects, have </w:t>
            </w:r>
            <w:proofErr w:type="gramStart"/>
            <w:r w:rsidRPr="008D1A55">
              <w:t>caused</w:t>
            </w:r>
            <w:proofErr w:type="gramEnd"/>
            <w:r w:rsidRPr="008D1A55">
              <w:t xml:space="preserve"> or may be suspected of causing, harmful effects on the human </w:t>
            </w:r>
            <w:proofErr w:type="spellStart"/>
            <w:r w:rsidRPr="008D1A55">
              <w:t>fetus</w:t>
            </w:r>
            <w:proofErr w:type="spellEnd"/>
            <w:r w:rsidRPr="008D1A55">
              <w:t xml:space="preserve"> or neonate without causing malformations. These effects may be reversible. Accompanying texts should be consulted for further details.</w:t>
            </w:r>
          </w:p>
          <w:p w14:paraId="6A7E9A08" w14:textId="2678B677" w:rsidR="009F2673" w:rsidRPr="008D1A55" w:rsidRDefault="009F2673" w:rsidP="009E5A87">
            <w:r w:rsidRPr="008D1A55">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0374B0E9" w14:textId="77777777" w:rsidR="008E7846" w:rsidRPr="008D1A55" w:rsidRDefault="008E7846" w:rsidP="008E7846">
      <w:pPr>
        <w:pStyle w:val="Heading3"/>
      </w:pPr>
      <w:bookmarkStart w:id="18" w:name="_Toc247691503"/>
      <w:bookmarkStart w:id="19" w:name="_Toc314842484"/>
      <w:bookmarkStart w:id="20" w:name="_Toc117166174"/>
      <w:r w:rsidRPr="008D1A55">
        <w:t>Product background</w:t>
      </w:r>
      <w:bookmarkEnd w:id="18"/>
      <w:bookmarkEnd w:id="19"/>
      <w:bookmarkEnd w:id="20"/>
    </w:p>
    <w:p w14:paraId="2EB39996" w14:textId="4B908EB7" w:rsidR="009F2673" w:rsidRPr="008D1A55" w:rsidRDefault="009F2673" w:rsidP="00B209DA">
      <w:r w:rsidRPr="008D1A55">
        <w:t xml:space="preserve">This </w:t>
      </w:r>
      <w:proofErr w:type="spellStart"/>
      <w:r w:rsidRPr="008D1A55">
        <w:t>AusPAR</w:t>
      </w:r>
      <w:proofErr w:type="spellEnd"/>
      <w:r w:rsidRPr="008D1A55">
        <w:t xml:space="preserve"> describes the </w:t>
      </w:r>
      <w:r w:rsidR="001E359E" w:rsidRPr="008D1A55">
        <w:t>submission</w:t>
      </w:r>
      <w:r w:rsidRPr="008D1A55">
        <w:t xml:space="preserve"> by </w:t>
      </w:r>
      <w:r w:rsidR="00FD6E62" w:rsidRPr="008D1A55">
        <w:t>AstraZeneca Pty Ltd</w:t>
      </w:r>
      <w:r w:rsidRPr="008D1A55">
        <w:t xml:space="preserve"> (the sponsor) to register </w:t>
      </w:r>
      <w:proofErr w:type="spellStart"/>
      <w:r w:rsidR="00FD6E62" w:rsidRPr="008D1A55">
        <w:t>Saphnelo</w:t>
      </w:r>
      <w:proofErr w:type="spellEnd"/>
      <w:r w:rsidR="00FD6E62" w:rsidRPr="008D1A55">
        <w:t xml:space="preserve"> </w:t>
      </w:r>
      <w:r w:rsidRPr="008D1A55">
        <w:t>(</w:t>
      </w:r>
      <w:proofErr w:type="spellStart"/>
      <w:r w:rsidR="00FD6E62" w:rsidRPr="008D1A55">
        <w:t>anifrolumab</w:t>
      </w:r>
      <w:proofErr w:type="spellEnd"/>
      <w:r w:rsidRPr="008D1A55">
        <w:t xml:space="preserve">) </w:t>
      </w:r>
      <w:r w:rsidR="00497C1A" w:rsidRPr="008D1A55">
        <w:t>300 mg/2 mL</w:t>
      </w:r>
      <w:r w:rsidRPr="008D1A55">
        <w:t xml:space="preserve">, </w:t>
      </w:r>
      <w:r w:rsidR="00497C1A" w:rsidRPr="008D1A55">
        <w:t>concentrate for solution for infusion</w:t>
      </w:r>
      <w:r w:rsidRPr="008D1A55">
        <w:t xml:space="preserve"> for the following proposed indication:</w:t>
      </w:r>
    </w:p>
    <w:p w14:paraId="0ED4A762" w14:textId="6278A5BA" w:rsidR="00B209DA" w:rsidRPr="008D1A55" w:rsidRDefault="002F5AFB" w:rsidP="002F5AFB">
      <w:pPr>
        <w:ind w:left="720"/>
        <w:rPr>
          <w:i/>
          <w:iCs/>
        </w:rPr>
      </w:pPr>
      <w:proofErr w:type="spellStart"/>
      <w:r w:rsidRPr="008D1A55">
        <w:rPr>
          <w:i/>
          <w:iCs/>
        </w:rPr>
        <w:t>Saphnelo</w:t>
      </w:r>
      <w:proofErr w:type="spellEnd"/>
      <w:r w:rsidRPr="008D1A55">
        <w:rPr>
          <w:i/>
          <w:iCs/>
        </w:rPr>
        <w:t xml:space="preserve"> (</w:t>
      </w:r>
      <w:proofErr w:type="spellStart"/>
      <w:r w:rsidRPr="008D1A55">
        <w:rPr>
          <w:i/>
          <w:iCs/>
        </w:rPr>
        <w:t>anifrolumab</w:t>
      </w:r>
      <w:proofErr w:type="spellEnd"/>
      <w:r w:rsidRPr="008D1A55">
        <w:rPr>
          <w:i/>
          <w:iCs/>
        </w:rPr>
        <w:t>) is indicated as add on for the treatment of adult patients with moderate to severe systemic lupus erythematosus (SLE) despite standard therapy.</w:t>
      </w:r>
    </w:p>
    <w:p w14:paraId="512CE73D" w14:textId="13D31028" w:rsidR="00B209DA" w:rsidRPr="008D1A55" w:rsidRDefault="00B209DA" w:rsidP="00B209DA">
      <w:bookmarkStart w:id="21" w:name="_Toc314842485"/>
      <w:bookmarkStart w:id="22" w:name="_Toc247691504"/>
      <w:r w:rsidRPr="008D1A55">
        <w:t>Systemic lupus erythematosus (SLE) is a complex, chronic, multi</w:t>
      </w:r>
      <w:r w:rsidR="00740C4D" w:rsidRPr="008D1A55">
        <w:t>-</w:t>
      </w:r>
      <w:r w:rsidRPr="008D1A55">
        <w:t xml:space="preserve">system, disabling autoimmune rheumatic disease that can affect any organ system. Because every organ can be a target of attack by the immune system, patients present with a variety of clinical manifestations, including constitutional symptoms, </w:t>
      </w:r>
      <w:proofErr w:type="gramStart"/>
      <w:r w:rsidRPr="008D1A55">
        <w:t>alopecia</w:t>
      </w:r>
      <w:proofErr w:type="gramEnd"/>
      <w:r w:rsidRPr="008D1A55">
        <w:t xml:space="preserve"> and rashes, serositis, inflammatory arthritis, renal disease, systemic vasculitis, lymphadenopathy, splenomegaly, haemolytic anaemia, cognitive dysfunction, and other </w:t>
      </w:r>
      <w:r w:rsidR="00740C4D" w:rsidRPr="008D1A55">
        <w:t>central nervous system</w:t>
      </w:r>
      <w:r w:rsidRPr="008D1A55">
        <w:t xml:space="preserve"> involvement. These clinical manifestations are devastating for patients and can lead to reduced physical function, loss of employment, a major impact on health</w:t>
      </w:r>
      <w:r w:rsidR="00B14DC3">
        <w:t>-</w:t>
      </w:r>
      <w:r w:rsidRPr="008D1A55">
        <w:t>related quality of life, frequent hospitalisations, and cumulative and irreversible organ damage.</w:t>
      </w:r>
    </w:p>
    <w:p w14:paraId="42AFEB19" w14:textId="1FB3BE85" w:rsidR="00B209DA" w:rsidRPr="008D1A55" w:rsidRDefault="00B209DA" w:rsidP="00B209DA">
      <w:r w:rsidRPr="008D1A55">
        <w:t xml:space="preserve">The manifestations and progression of SLE are unpredictable and include periods of chronic activity, clinically inactive periods, and phases with heightened disease activity (disease flares). As well as the impact caused by their unpredictable nature, flares have </w:t>
      </w:r>
      <w:r w:rsidRPr="008D1A55">
        <w:lastRenderedPageBreak/>
        <w:t>been directly associated with an increased risk of damage accrual,</w:t>
      </w:r>
      <w:r w:rsidR="00740C4D" w:rsidRPr="008D1A55">
        <w:rPr>
          <w:rStyle w:val="FootnoteReference"/>
        </w:rPr>
        <w:footnoteReference w:id="1"/>
      </w:r>
      <w:r w:rsidRPr="008D1A55">
        <w:t xml:space="preserve"> and studies have shown a direct association between disease damage and survival in patients with SLE.</w:t>
      </w:r>
      <w:bookmarkStart w:id="23" w:name="_Ref116999071"/>
      <w:r w:rsidR="00740C4D" w:rsidRPr="008D1A55">
        <w:rPr>
          <w:rStyle w:val="FootnoteReference"/>
        </w:rPr>
        <w:footnoteReference w:id="2"/>
      </w:r>
      <w:bookmarkEnd w:id="23"/>
      <w:r w:rsidR="00740C4D" w:rsidRPr="008D1A55">
        <w:rPr>
          <w:vertAlign w:val="superscript"/>
        </w:rPr>
        <w:t>,</w:t>
      </w:r>
      <w:bookmarkStart w:id="24" w:name="_Ref116999129"/>
      <w:r w:rsidR="00740C4D" w:rsidRPr="008D1A55">
        <w:rPr>
          <w:rStyle w:val="FootnoteReference"/>
        </w:rPr>
        <w:footnoteReference w:id="3"/>
      </w:r>
      <w:bookmarkEnd w:id="24"/>
    </w:p>
    <w:p w14:paraId="71DAF30C" w14:textId="58B7E5B2" w:rsidR="00B209DA" w:rsidRDefault="00B209DA" w:rsidP="00B209DA">
      <w:r w:rsidRPr="008D1A55">
        <w:t xml:space="preserve">In addition to the clinical manifestations of the disease itself, patients with SLE are at increased risk of developing serious comorbidities, including cardiovascular disease, stroke, osteoporosis, </w:t>
      </w:r>
      <w:proofErr w:type="gramStart"/>
      <w:r w:rsidRPr="008D1A55">
        <w:t>infection</w:t>
      </w:r>
      <w:proofErr w:type="gramEnd"/>
      <w:r w:rsidRPr="008D1A55">
        <w:t xml:space="preserve"> and malignancies.</w:t>
      </w:r>
    </w:p>
    <w:p w14:paraId="21F3B1D0" w14:textId="5498532D" w:rsidR="00CB23BF" w:rsidRPr="008D1A55" w:rsidRDefault="00CB23BF" w:rsidP="00AD12BF">
      <w:r>
        <w:t>In the Australian context,</w:t>
      </w:r>
      <w:r w:rsidRPr="00CB23BF">
        <w:t xml:space="preserve"> </w:t>
      </w:r>
      <w:r>
        <w:t>the</w:t>
      </w:r>
      <w:r w:rsidRPr="00CB23BF">
        <w:t xml:space="preserve"> prevalence of SLE </w:t>
      </w:r>
      <w:r>
        <w:t>ranges from 19 per 100,</w:t>
      </w:r>
      <w:r w:rsidRPr="00CB23BF">
        <w:t xml:space="preserve">000 in </w:t>
      </w:r>
      <w:r>
        <w:t>Australians</w:t>
      </w:r>
      <w:r w:rsidRPr="00CB23BF">
        <w:t xml:space="preserve"> of </w:t>
      </w:r>
      <w:r w:rsidR="00AD12BF">
        <w:t>European ancestry to 92 per 100,</w:t>
      </w:r>
      <w:r w:rsidRPr="00CB23BF">
        <w:t>000 in Indigenous Australians</w:t>
      </w:r>
      <w:r>
        <w:t>.</w:t>
      </w:r>
      <w:r>
        <w:rPr>
          <w:rStyle w:val="FootnoteReference"/>
        </w:rPr>
        <w:footnoteReference w:id="4"/>
      </w:r>
      <w:r w:rsidR="00AD12BF">
        <w:t xml:space="preserve"> SLE is nine times more common in females than males and the onset of disease usually occurs between 15 and 45 years of age.</w:t>
      </w:r>
      <w:r w:rsidR="00AD12BF">
        <w:rPr>
          <w:rStyle w:val="FootnoteReference"/>
        </w:rPr>
        <w:footnoteReference w:id="5"/>
      </w:r>
    </w:p>
    <w:p w14:paraId="77AB12CF" w14:textId="30938EC2" w:rsidR="00B209DA" w:rsidRPr="008D1A55" w:rsidRDefault="00B209DA" w:rsidP="00B209DA">
      <w:r w:rsidRPr="008D1A55">
        <w:t>Compared to the general population, the overall mortality in SLE remains high, with a standardised mortality ratio (defined as the ratio of the number of deaths observed to deaths expected) of 2.4, in a large international cohort of 9,457 subjects followed for over 70,000 subject</w:t>
      </w:r>
      <w:r w:rsidR="00740C4D" w:rsidRPr="008D1A55">
        <w:t xml:space="preserve"> </w:t>
      </w:r>
      <w:r w:rsidRPr="008D1A55">
        <w:t>years.</w:t>
      </w:r>
      <w:r w:rsidR="00740C4D" w:rsidRPr="008D1A55">
        <w:rPr>
          <w:rStyle w:val="FootnoteReference"/>
        </w:rPr>
        <w:footnoteReference w:id="6"/>
      </w:r>
    </w:p>
    <w:p w14:paraId="324AF5FA" w14:textId="0A30E750" w:rsidR="00B209DA" w:rsidRPr="008D1A55" w:rsidRDefault="00B209DA" w:rsidP="00B209DA">
      <w:r w:rsidRPr="008D1A55">
        <w:t>Most of the current therapies for SLE are nonspecific and inhibit broad inflammatory pathways leading to significant toxicity and organ damage.</w:t>
      </w:r>
      <w:r w:rsidR="00A259E4" w:rsidRPr="008D1A55">
        <w:rPr>
          <w:rStyle w:val="FootnoteReference"/>
        </w:rPr>
        <w:footnoteReference w:id="7"/>
      </w:r>
      <w:r w:rsidRPr="008D1A55">
        <w:t xml:space="preserve"> For mild disease, first line treatments include antimalarials (hydroxychloroquine) and oral corticosteroids such as prednisone. Long-term use of hydroxychloroquine can cause retinopathy and poor adherence to treatment remains an issue with this drug.</w:t>
      </w:r>
      <w:r w:rsidR="009B1AD8" w:rsidRPr="008D1A55">
        <w:rPr>
          <w:rStyle w:val="FootnoteReference"/>
        </w:rPr>
        <w:footnoteReference w:id="8"/>
      </w:r>
      <w:r w:rsidRPr="008D1A55">
        <w:t xml:space="preserve"> </w:t>
      </w:r>
      <w:proofErr w:type="gramStart"/>
      <w:r w:rsidR="00B14DC3">
        <w:t>N</w:t>
      </w:r>
      <w:r w:rsidR="00B14DC3" w:rsidRPr="008D1A55">
        <w:t>on-steroidal</w:t>
      </w:r>
      <w:proofErr w:type="gramEnd"/>
      <w:r w:rsidR="00014FA9" w:rsidRPr="008D1A55">
        <w:t xml:space="preserve"> anti-inflammatory drugs </w:t>
      </w:r>
      <w:r w:rsidRPr="008D1A55">
        <w:t>are used for temporary symptom control, but in contrast to glucocorticoids and immunosuppressants, have no impact in disease progression.</w:t>
      </w:r>
    </w:p>
    <w:p w14:paraId="00CB453A" w14:textId="48E9BAE2" w:rsidR="00B209DA" w:rsidRPr="008D1A55" w:rsidRDefault="00B209DA" w:rsidP="00B209DA">
      <w:r w:rsidRPr="008D1A55">
        <w:t>Steroids remain a mainstay of treatment for mild to severe disease and although they provide benefits in SLE, over time, organ damage from steroid use increases. Chronic steroid use is a contributing factor in long-term morbidity and early cardiovascular mortality in patients with SLE.</w:t>
      </w:r>
      <w:r w:rsidR="00027FFE" w:rsidRPr="008D1A55">
        <w:rPr>
          <w:vertAlign w:val="superscript"/>
        </w:rPr>
        <w:fldChar w:fldCharType="begin"/>
      </w:r>
      <w:r w:rsidR="00027FFE" w:rsidRPr="008D1A55">
        <w:rPr>
          <w:vertAlign w:val="superscript"/>
        </w:rPr>
        <w:instrText xml:space="preserve"> NOTEREF _Ref116999071 \h  \* MERGEFORMAT </w:instrText>
      </w:r>
      <w:r w:rsidR="00027FFE" w:rsidRPr="008D1A55">
        <w:rPr>
          <w:vertAlign w:val="superscript"/>
        </w:rPr>
      </w:r>
      <w:r w:rsidR="00027FFE" w:rsidRPr="008D1A55">
        <w:rPr>
          <w:vertAlign w:val="superscript"/>
        </w:rPr>
        <w:fldChar w:fldCharType="separate"/>
      </w:r>
      <w:r w:rsidR="00D8723A">
        <w:rPr>
          <w:vertAlign w:val="superscript"/>
        </w:rPr>
        <w:t>2</w:t>
      </w:r>
      <w:r w:rsidR="00027FFE" w:rsidRPr="008D1A55">
        <w:rPr>
          <w:vertAlign w:val="superscript"/>
        </w:rPr>
        <w:fldChar w:fldCharType="end"/>
      </w:r>
      <w:r w:rsidR="00027FFE" w:rsidRPr="008D1A55">
        <w:rPr>
          <w:vertAlign w:val="superscript"/>
        </w:rPr>
        <w:t>,</w:t>
      </w:r>
      <w:r w:rsidR="00027FFE" w:rsidRPr="008D1A55">
        <w:rPr>
          <w:vertAlign w:val="superscript"/>
        </w:rPr>
        <w:fldChar w:fldCharType="begin"/>
      </w:r>
      <w:r w:rsidR="00027FFE" w:rsidRPr="008D1A55">
        <w:rPr>
          <w:vertAlign w:val="superscript"/>
        </w:rPr>
        <w:instrText xml:space="preserve"> NOTEREF _Ref116999129 \h  \* MERGEFORMAT </w:instrText>
      </w:r>
      <w:r w:rsidR="00027FFE" w:rsidRPr="008D1A55">
        <w:rPr>
          <w:vertAlign w:val="superscript"/>
        </w:rPr>
      </w:r>
      <w:r w:rsidR="00027FFE" w:rsidRPr="008D1A55">
        <w:rPr>
          <w:vertAlign w:val="superscript"/>
        </w:rPr>
        <w:fldChar w:fldCharType="separate"/>
      </w:r>
      <w:r w:rsidR="00D8723A">
        <w:rPr>
          <w:vertAlign w:val="superscript"/>
        </w:rPr>
        <w:t>3</w:t>
      </w:r>
      <w:r w:rsidR="00027FFE" w:rsidRPr="008D1A55">
        <w:rPr>
          <w:vertAlign w:val="superscript"/>
        </w:rPr>
        <w:fldChar w:fldCharType="end"/>
      </w:r>
      <w:r w:rsidR="00027FFE" w:rsidRPr="008D1A55">
        <w:rPr>
          <w:vertAlign w:val="superscript"/>
        </w:rPr>
        <w:t>,</w:t>
      </w:r>
      <w:r w:rsidR="009B1AD8" w:rsidRPr="008D1A55">
        <w:rPr>
          <w:rStyle w:val="FootnoteReference"/>
        </w:rPr>
        <w:footnoteReference w:id="9"/>
      </w:r>
    </w:p>
    <w:p w14:paraId="112B678A" w14:textId="77777777" w:rsidR="00B209DA" w:rsidRPr="008D1A55" w:rsidRDefault="00B209DA" w:rsidP="00B209DA">
      <w:r w:rsidRPr="008D1A55">
        <w:t>Additional treatment options for moderate to severe disease include immunosuppressants, such as methotrexate, azathioprine, and mycophenolate mofetil. The use of immunosuppressants is associated with an increased risk of infection, malignancy, cardiovascular disease, and bone marrow suppression, and are not effective in all patients for all manifestations of SLE.</w:t>
      </w:r>
    </w:p>
    <w:p w14:paraId="492FC5B7" w14:textId="72677F75" w:rsidR="00B209DA" w:rsidRPr="008D1A55" w:rsidRDefault="00B209DA" w:rsidP="00B209DA">
      <w:r w:rsidRPr="008D1A55">
        <w:t>Only one targeted therapy has been approved for SLE in the last 60 years. Belimumab</w:t>
      </w:r>
      <w:r w:rsidR="00014FA9" w:rsidRPr="008D1A55">
        <w:t>;</w:t>
      </w:r>
      <w:r w:rsidR="00014FA9" w:rsidRPr="008D1A55">
        <w:rPr>
          <w:rStyle w:val="FootnoteReference"/>
        </w:rPr>
        <w:footnoteReference w:id="10"/>
      </w:r>
      <w:r w:rsidRPr="008D1A55">
        <w:t xml:space="preserve"> is a neutralising anti-B-lymphocyte stimulator </w:t>
      </w:r>
      <w:r w:rsidR="009B1AD8" w:rsidRPr="008D1A55">
        <w:t>monoclonal antibody</w:t>
      </w:r>
      <w:r w:rsidRPr="008D1A55">
        <w:t xml:space="preserve">. It targets only one pathway, while patients are likely to have different underlying immunopathological </w:t>
      </w:r>
      <w:r w:rsidRPr="008D1A55">
        <w:lastRenderedPageBreak/>
        <w:t>pathways driving their SLE disease manifestations.</w:t>
      </w:r>
      <w:r w:rsidR="009B1AD8" w:rsidRPr="008D1A55">
        <w:rPr>
          <w:rStyle w:val="FootnoteReference"/>
        </w:rPr>
        <w:footnoteReference w:id="11"/>
      </w:r>
      <w:r w:rsidRPr="008D1A55">
        <w:t xml:space="preserve"> As such, it is only effective in some patients.</w:t>
      </w:r>
    </w:p>
    <w:p w14:paraId="48C0E5BE" w14:textId="39527AA7" w:rsidR="00B209DA" w:rsidRDefault="00B209DA" w:rsidP="00B209DA">
      <w:r w:rsidRPr="008D1A55">
        <w:t xml:space="preserve">Current therapies for SLE are either nonspecific and inhibit broad inflammatory pathways, leading to significant toxicity and organ damage, or target one pathway in a disease with multiple contributing pathways in its pathogenesis. There remains an urgent, unmet medical need for novel treatments with disease specific mechanisms of action that reduce overall disease activity and the concomitant use of steroids, while also reducing flares, </w:t>
      </w:r>
      <w:r w:rsidR="00072074" w:rsidRPr="008D1A55">
        <w:t>comorbidities,</w:t>
      </w:r>
      <w:r w:rsidRPr="008D1A55">
        <w:t xml:space="preserve"> and the risk of long</w:t>
      </w:r>
      <w:r w:rsidR="00A259E4" w:rsidRPr="008D1A55">
        <w:t>-</w:t>
      </w:r>
      <w:r w:rsidRPr="008D1A55">
        <w:t>term organ damage.</w:t>
      </w:r>
    </w:p>
    <w:p w14:paraId="7437AEF8" w14:textId="3E6B0D36" w:rsidR="008D256C" w:rsidRDefault="008D256C" w:rsidP="00AD12BF">
      <w:r>
        <w:t xml:space="preserve">The sponsor has given the following information regarding the mechanism of action and scientific rationale for the use of </w:t>
      </w:r>
      <w:proofErr w:type="spellStart"/>
      <w:r>
        <w:t>anifrolumab</w:t>
      </w:r>
      <w:proofErr w:type="spellEnd"/>
      <w:r>
        <w:t xml:space="preserve"> in the treatment of SLE:</w:t>
      </w:r>
    </w:p>
    <w:p w14:paraId="7119FEA0" w14:textId="6E890F25" w:rsidR="00AD12BF" w:rsidRDefault="00AD12BF" w:rsidP="0063551F">
      <w:pPr>
        <w:ind w:left="720"/>
      </w:pPr>
      <w:proofErr w:type="spellStart"/>
      <w:r>
        <w:t>Anifrolumab</w:t>
      </w:r>
      <w:proofErr w:type="spellEnd"/>
      <w:r>
        <w:t xml:space="preserve"> is an anti-interferon alpha receptor 1 (IFNAR1) human</w:t>
      </w:r>
      <w:r w:rsidR="008D256C">
        <w:t xml:space="preserve"> IgG1κ monoclonal antibody that </w:t>
      </w:r>
      <w:r>
        <w:t>binds to subunit 1 of the IFNAR1 with high specificity and affinity. T</w:t>
      </w:r>
      <w:r w:rsidR="008D256C">
        <w:t xml:space="preserve">his binding inhibits type I interferon </w:t>
      </w:r>
      <w:r>
        <w:t xml:space="preserve">signalling by blocking the biologic activity of type I </w:t>
      </w:r>
      <w:r w:rsidR="008D256C">
        <w:t>interferons</w:t>
      </w:r>
      <w:r>
        <w:t xml:space="preserve">. </w:t>
      </w:r>
      <w:proofErr w:type="spellStart"/>
      <w:r>
        <w:t>Anifrolumab</w:t>
      </w:r>
      <w:proofErr w:type="spellEnd"/>
      <w:r>
        <w:t xml:space="preserve"> a</w:t>
      </w:r>
      <w:r w:rsidR="008D256C">
        <w:t xml:space="preserve">lso induces the internalisation </w:t>
      </w:r>
      <w:r>
        <w:t>of IFNAR1, thereby reducing the levels of cell surface IFNAR1 available for receptor assembly.</w:t>
      </w:r>
    </w:p>
    <w:p w14:paraId="4D6DC12B" w14:textId="08244A4E" w:rsidR="00AD12BF" w:rsidRDefault="00AD12BF" w:rsidP="0063551F">
      <w:pPr>
        <w:ind w:left="720"/>
      </w:pPr>
      <w:r>
        <w:t xml:space="preserve">Blockade of receptor-mediated type I </w:t>
      </w:r>
      <w:r w:rsidR="008D256C">
        <w:t>interferon</w:t>
      </w:r>
      <w:r>
        <w:t xml:space="preserve"> signalling inhibits </w:t>
      </w:r>
      <w:r w:rsidR="008D256C">
        <w:t>interferon</w:t>
      </w:r>
      <w:r w:rsidR="008D256C">
        <w:noBreakHyphen/>
      </w:r>
      <w:r>
        <w:t>responsi</w:t>
      </w:r>
      <w:r w:rsidR="008D256C">
        <w:t xml:space="preserve">ve gene expression, as well </w:t>
      </w:r>
      <w:r>
        <w:t>as downstream inflammatory and immunological processes. To date,</w:t>
      </w:r>
      <w:r w:rsidR="008D256C">
        <w:t xml:space="preserve"> there is no approved treatment </w:t>
      </w:r>
      <w:r>
        <w:t>with this pharmacological mechanism of action.</w:t>
      </w:r>
    </w:p>
    <w:p w14:paraId="2F7C9051" w14:textId="4EE2CA2B" w:rsidR="00AD12BF" w:rsidRPr="008D1A55" w:rsidRDefault="00AD12BF" w:rsidP="0063551F">
      <w:pPr>
        <w:ind w:left="720"/>
      </w:pPr>
      <w:proofErr w:type="spellStart"/>
      <w:r>
        <w:t>Anifrolumab</w:t>
      </w:r>
      <w:proofErr w:type="spellEnd"/>
      <w:r>
        <w:t xml:space="preserve"> is a new targeted therapy with a novel mechanism of action that has the p</w:t>
      </w:r>
      <w:r w:rsidR="008D256C">
        <w:t xml:space="preserve">otential to </w:t>
      </w:r>
      <w:r>
        <w:t>provide a clinically significant improvement to currently available the</w:t>
      </w:r>
      <w:r w:rsidR="008D256C">
        <w:t xml:space="preserve">rapies used in the treatment of </w:t>
      </w:r>
      <w:r>
        <w:t>SLE.</w:t>
      </w:r>
    </w:p>
    <w:p w14:paraId="2FFC5D20" w14:textId="02C8C372" w:rsidR="00B209DA" w:rsidRPr="008D1A55" w:rsidRDefault="00B209DA" w:rsidP="00B209DA">
      <w:r w:rsidRPr="008D1A55">
        <w:t xml:space="preserve">Given the central role of the </w:t>
      </w:r>
      <w:r w:rsidR="009B1AD8" w:rsidRPr="008D1A55">
        <w:t>i</w:t>
      </w:r>
      <w:r w:rsidRPr="008D1A55">
        <w:t xml:space="preserve">nterferon pathway in the pathogenesis of SLE, targeting </w:t>
      </w:r>
      <w:r w:rsidR="00CC61CB" w:rsidRPr="008D1A55">
        <w:t>Type </w:t>
      </w:r>
      <w:r w:rsidR="00D264E5" w:rsidRPr="008D1A55">
        <w:t>I</w:t>
      </w:r>
      <w:r w:rsidRPr="008D1A55">
        <w:t xml:space="preserve"> </w:t>
      </w:r>
      <w:r w:rsidR="00D264E5" w:rsidRPr="008D1A55">
        <w:t>interferon</w:t>
      </w:r>
      <w:r w:rsidRPr="008D1A55">
        <w:t xml:space="preserve"> signalling is expected to provide a therapeutic benefit for SLE patients. </w:t>
      </w:r>
      <w:proofErr w:type="spellStart"/>
      <w:r w:rsidRPr="008D1A55">
        <w:t>Anifrolumab</w:t>
      </w:r>
      <w:proofErr w:type="spellEnd"/>
      <w:r w:rsidRPr="008D1A55">
        <w:t xml:space="preserve"> is a monoclonal antibody that inhibits subunit 1 of the </w:t>
      </w:r>
      <w:r w:rsidR="00CC61CB" w:rsidRPr="008D1A55">
        <w:t xml:space="preserve">Type </w:t>
      </w:r>
      <w:r w:rsidR="00D264E5" w:rsidRPr="008D1A55">
        <w:t>I</w:t>
      </w:r>
      <w:r w:rsidRPr="008D1A55">
        <w:t xml:space="preserve"> interferon receptor and has the potential to provide a clinically significant improvement to currently available therapies in the target population for the treatment of SLE. To date, there is no approved treatment with this pharmacological mechanism of action.</w:t>
      </w:r>
    </w:p>
    <w:p w14:paraId="2EEEE7BA" w14:textId="77777777" w:rsidR="008E7846" w:rsidRPr="008D1A55" w:rsidRDefault="00386150" w:rsidP="008E7846">
      <w:pPr>
        <w:pStyle w:val="Heading3"/>
      </w:pPr>
      <w:bookmarkStart w:id="25" w:name="_Toc117166175"/>
      <w:r w:rsidRPr="008D1A55">
        <w:t>Regulatory s</w:t>
      </w:r>
      <w:r w:rsidR="008E7846" w:rsidRPr="008D1A55">
        <w:t>tatus</w:t>
      </w:r>
      <w:bookmarkEnd w:id="21"/>
      <w:bookmarkEnd w:id="22"/>
      <w:bookmarkEnd w:id="25"/>
    </w:p>
    <w:p w14:paraId="1E3CA8E8" w14:textId="45DCA95C" w:rsidR="00332715" w:rsidRPr="008D1A55" w:rsidRDefault="00332715" w:rsidP="00332715">
      <w:bookmarkStart w:id="26" w:name="_Toc247691505"/>
      <w:bookmarkStart w:id="27" w:name="_Toc314842486"/>
      <w:r w:rsidRPr="008D1A55">
        <w:t>This product is considered a new biological entity for Australian regulatory purposes.</w:t>
      </w:r>
    </w:p>
    <w:p w14:paraId="54BE86C5" w14:textId="0F5479ED" w:rsidR="00332715" w:rsidRPr="008D1A55" w:rsidRDefault="00332715" w:rsidP="00332715">
      <w:r w:rsidRPr="008D1A55">
        <w:t xml:space="preserve">At the time the TGA considered this </w:t>
      </w:r>
      <w:r w:rsidR="00BB0B78" w:rsidRPr="008D1A55">
        <w:t>submission</w:t>
      </w:r>
      <w:r w:rsidRPr="008D1A55">
        <w:t>,</w:t>
      </w:r>
      <w:r w:rsidR="00497C1A" w:rsidRPr="008D1A55">
        <w:t xml:space="preserve"> </w:t>
      </w:r>
      <w:r w:rsidRPr="008D1A55">
        <w:t xml:space="preserve">similar </w:t>
      </w:r>
      <w:r w:rsidR="00BB0B78" w:rsidRPr="008D1A55">
        <w:t>submission</w:t>
      </w:r>
      <w:r w:rsidR="00497C1A" w:rsidRPr="008D1A55">
        <w:t>s</w:t>
      </w:r>
      <w:r w:rsidRPr="008D1A55">
        <w:t xml:space="preserve"> had been approved </w:t>
      </w:r>
      <w:r w:rsidR="00BD5585">
        <w:t xml:space="preserve">in </w:t>
      </w:r>
      <w:r w:rsidR="00497C1A" w:rsidRPr="008D1A55">
        <w:t xml:space="preserve">Canada </w:t>
      </w:r>
      <w:r w:rsidRPr="008D1A55">
        <w:t>on</w:t>
      </w:r>
      <w:r w:rsidR="00497C1A" w:rsidRPr="008D1A55">
        <w:t xml:space="preserve"> 30 November 2021</w:t>
      </w:r>
      <w:r w:rsidRPr="008D1A55">
        <w:t xml:space="preserve"> </w:t>
      </w:r>
      <w:r w:rsidR="00497C1A" w:rsidRPr="008D1A55">
        <w:t xml:space="preserve">and </w:t>
      </w:r>
      <w:r w:rsidR="00BD5585">
        <w:t xml:space="preserve">the </w:t>
      </w:r>
      <w:r w:rsidR="00497C1A" w:rsidRPr="008D1A55">
        <w:t xml:space="preserve">United States of America </w:t>
      </w:r>
      <w:r w:rsidR="001E36A6" w:rsidRPr="008D1A55">
        <w:t xml:space="preserve">(USA) </w:t>
      </w:r>
      <w:r w:rsidR="00497C1A" w:rsidRPr="008D1A55">
        <w:t>on 30 July 2021</w:t>
      </w:r>
      <w:r w:rsidRPr="008D1A55">
        <w:t xml:space="preserve">. </w:t>
      </w:r>
      <w:r w:rsidR="00497C1A" w:rsidRPr="008D1A55">
        <w:t>S</w:t>
      </w:r>
      <w:r w:rsidRPr="008D1A55">
        <w:t xml:space="preserve">imilar </w:t>
      </w:r>
      <w:r w:rsidR="00BB0B78" w:rsidRPr="008D1A55">
        <w:t>submission</w:t>
      </w:r>
      <w:r w:rsidR="00497C1A" w:rsidRPr="008D1A55">
        <w:t>s</w:t>
      </w:r>
      <w:r w:rsidRPr="008D1A55">
        <w:t xml:space="preserve"> </w:t>
      </w:r>
      <w:r w:rsidR="00497C1A" w:rsidRPr="008D1A55">
        <w:t>were</w:t>
      </w:r>
      <w:r w:rsidRPr="008D1A55">
        <w:t xml:space="preserve"> under consideration in </w:t>
      </w:r>
      <w:r w:rsidR="00072074" w:rsidRPr="008D1A55">
        <w:t xml:space="preserve">the </w:t>
      </w:r>
      <w:r w:rsidR="00497C1A" w:rsidRPr="008D1A55">
        <w:t>European Union</w:t>
      </w:r>
      <w:r w:rsidR="001E36A6" w:rsidRPr="008D1A55">
        <w:t xml:space="preserve"> (EU)</w:t>
      </w:r>
      <w:r w:rsidR="00497C1A" w:rsidRPr="008D1A55">
        <w:t xml:space="preserve"> </w:t>
      </w:r>
      <w:r w:rsidRPr="008D1A55">
        <w:t xml:space="preserve">(submitted on </w:t>
      </w:r>
      <w:r w:rsidR="00497C1A" w:rsidRPr="008D1A55">
        <w:t>8</w:t>
      </w:r>
      <w:r w:rsidR="00072074" w:rsidRPr="008D1A55">
        <w:t> </w:t>
      </w:r>
      <w:r w:rsidR="00497C1A" w:rsidRPr="008D1A55">
        <w:t>October</w:t>
      </w:r>
      <w:r w:rsidR="00072074" w:rsidRPr="008D1A55">
        <w:t> </w:t>
      </w:r>
      <w:r w:rsidR="00497C1A" w:rsidRPr="008D1A55">
        <w:t>2020</w:t>
      </w:r>
      <w:r w:rsidRPr="008D1A55">
        <w:t>)</w:t>
      </w:r>
      <w:r w:rsidR="00497C1A" w:rsidRPr="008D1A55">
        <w:t xml:space="preserve"> and Switzerland (submitted on 8 May 2021)</w:t>
      </w:r>
      <w:r w:rsidRPr="008D1A55">
        <w:t>.</w:t>
      </w:r>
    </w:p>
    <w:p w14:paraId="709E9AC3" w14:textId="77777777" w:rsidR="00332715" w:rsidRPr="008D1A55" w:rsidRDefault="0072292E" w:rsidP="00332715">
      <w:r w:rsidRPr="008D1A55">
        <w:t xml:space="preserve">The following table </w:t>
      </w:r>
      <w:r w:rsidR="00332715" w:rsidRPr="008D1A55">
        <w:t xml:space="preserve">summarises these </w:t>
      </w:r>
      <w:r w:rsidR="00BB0B78" w:rsidRPr="008D1A55">
        <w:t>submissions</w:t>
      </w:r>
      <w:r w:rsidR="00332715" w:rsidRPr="008D1A55">
        <w:t xml:space="preserve"> and provides the indications where approved.</w:t>
      </w:r>
    </w:p>
    <w:p w14:paraId="0FA40EB9" w14:textId="55FF5920" w:rsidR="00324E45" w:rsidRPr="008D1A55" w:rsidRDefault="00324E45" w:rsidP="00324E45">
      <w:pPr>
        <w:pStyle w:val="TableTitle"/>
      </w:pPr>
      <w:bookmarkStart w:id="28" w:name="_Ref99705479"/>
      <w:r w:rsidRPr="008D1A55">
        <w:t xml:space="preserve">Table </w:t>
      </w:r>
      <w:r w:rsidR="005675A0">
        <w:fldChar w:fldCharType="begin"/>
      </w:r>
      <w:r w:rsidR="005675A0">
        <w:instrText xml:space="preserve"> SEQ Table \* ARABIC </w:instrText>
      </w:r>
      <w:r w:rsidR="005675A0">
        <w:fldChar w:fldCharType="separate"/>
      </w:r>
      <w:r w:rsidR="00D8723A">
        <w:rPr>
          <w:noProof/>
        </w:rPr>
        <w:t>1</w:t>
      </w:r>
      <w:r w:rsidR="005675A0">
        <w:rPr>
          <w:noProof/>
        </w:rPr>
        <w:fldChar w:fldCharType="end"/>
      </w:r>
      <w:bookmarkEnd w:id="28"/>
      <w:r w:rsidRPr="008D1A55">
        <w:t>: International regulatory status</w:t>
      </w:r>
    </w:p>
    <w:tbl>
      <w:tblPr>
        <w:tblStyle w:val="TableTGAblue"/>
        <w:tblW w:w="0" w:type="auto"/>
        <w:tblLook w:val="04A0" w:firstRow="1" w:lastRow="0" w:firstColumn="1" w:lastColumn="0" w:noHBand="0" w:noVBand="1"/>
      </w:tblPr>
      <w:tblGrid>
        <w:gridCol w:w="1555"/>
        <w:gridCol w:w="1984"/>
        <w:gridCol w:w="2031"/>
        <w:gridCol w:w="2924"/>
      </w:tblGrid>
      <w:tr w:rsidR="00006FAB" w:rsidRPr="008D1A55" w14:paraId="140FEF13" w14:textId="77777777" w:rsidTr="00072074">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14:paraId="23D587A1" w14:textId="77777777" w:rsidR="00006FAB" w:rsidRPr="008D1A55" w:rsidRDefault="00006FAB" w:rsidP="00006FAB">
            <w:pPr>
              <w:ind w:left="0" w:right="0"/>
            </w:pPr>
            <w:r w:rsidRPr="008D1A55">
              <w:t>Region</w:t>
            </w:r>
          </w:p>
        </w:tc>
        <w:tc>
          <w:tcPr>
            <w:tcW w:w="1984" w:type="dxa"/>
            <w:tcBorders>
              <w:top w:val="single" w:sz="4" w:space="0" w:color="auto"/>
              <w:left w:val="single" w:sz="4" w:space="0" w:color="auto"/>
              <w:bottom w:val="single" w:sz="4" w:space="0" w:color="auto"/>
              <w:right w:val="single" w:sz="4" w:space="0" w:color="auto"/>
            </w:tcBorders>
          </w:tcPr>
          <w:p w14:paraId="51C0FCB6" w14:textId="77777777" w:rsidR="00006FAB" w:rsidRPr="008D1A55" w:rsidRDefault="00006FAB" w:rsidP="00006FAB">
            <w:pPr>
              <w:ind w:left="0" w:right="0"/>
            </w:pPr>
            <w:r w:rsidRPr="008D1A55">
              <w:t>Submission date</w:t>
            </w:r>
          </w:p>
        </w:tc>
        <w:tc>
          <w:tcPr>
            <w:tcW w:w="2029" w:type="dxa"/>
            <w:tcBorders>
              <w:top w:val="single" w:sz="4" w:space="0" w:color="auto"/>
              <w:left w:val="single" w:sz="4" w:space="0" w:color="auto"/>
              <w:bottom w:val="single" w:sz="4" w:space="0" w:color="auto"/>
              <w:right w:val="single" w:sz="4" w:space="0" w:color="auto"/>
            </w:tcBorders>
          </w:tcPr>
          <w:p w14:paraId="73ABA80F" w14:textId="77777777" w:rsidR="00006FAB" w:rsidRPr="008D1A55" w:rsidRDefault="00006FAB" w:rsidP="00006FAB">
            <w:pPr>
              <w:ind w:left="0" w:right="0"/>
            </w:pPr>
            <w:r w:rsidRPr="008D1A55">
              <w:t>Status</w:t>
            </w:r>
          </w:p>
        </w:tc>
        <w:tc>
          <w:tcPr>
            <w:tcW w:w="2926" w:type="dxa"/>
            <w:tcBorders>
              <w:top w:val="single" w:sz="4" w:space="0" w:color="auto"/>
              <w:left w:val="single" w:sz="4" w:space="0" w:color="auto"/>
              <w:bottom w:val="single" w:sz="4" w:space="0" w:color="auto"/>
              <w:right w:val="single" w:sz="4" w:space="0" w:color="auto"/>
            </w:tcBorders>
          </w:tcPr>
          <w:p w14:paraId="1B5B2E67" w14:textId="77777777" w:rsidR="00006FAB" w:rsidRPr="008D1A55" w:rsidRDefault="00006FAB" w:rsidP="00006FAB">
            <w:pPr>
              <w:ind w:left="0" w:right="0"/>
            </w:pPr>
            <w:r w:rsidRPr="008D1A55">
              <w:t>Approved indications</w:t>
            </w:r>
          </w:p>
        </w:tc>
      </w:tr>
      <w:tr w:rsidR="00006FAB" w:rsidRPr="008D1A55" w14:paraId="5A334963" w14:textId="77777777" w:rsidTr="00072074">
        <w:tc>
          <w:tcPr>
            <w:tcW w:w="1555" w:type="dxa"/>
            <w:tcBorders>
              <w:top w:val="single" w:sz="4" w:space="0" w:color="auto"/>
            </w:tcBorders>
          </w:tcPr>
          <w:p w14:paraId="42537495" w14:textId="106549E5" w:rsidR="00006FAB" w:rsidRPr="008D1A55" w:rsidRDefault="00497C1A" w:rsidP="00006FAB">
            <w:pPr>
              <w:ind w:left="0" w:right="0"/>
            </w:pPr>
            <w:r w:rsidRPr="008D1A55">
              <w:t>Canada</w:t>
            </w:r>
          </w:p>
        </w:tc>
        <w:tc>
          <w:tcPr>
            <w:tcW w:w="1984" w:type="dxa"/>
            <w:tcBorders>
              <w:top w:val="single" w:sz="4" w:space="0" w:color="auto"/>
            </w:tcBorders>
          </w:tcPr>
          <w:p w14:paraId="16AC5950" w14:textId="7A7A56A9" w:rsidR="00006FAB" w:rsidRPr="008D1A55" w:rsidRDefault="00497C1A" w:rsidP="00006FAB">
            <w:pPr>
              <w:ind w:left="0" w:right="0"/>
            </w:pPr>
            <w:r w:rsidRPr="008D1A55">
              <w:t>9</w:t>
            </w:r>
            <w:r w:rsidR="00072074" w:rsidRPr="008D1A55">
              <w:t> </w:t>
            </w:r>
            <w:r w:rsidRPr="008D1A55">
              <w:t>November</w:t>
            </w:r>
            <w:r w:rsidR="00072074" w:rsidRPr="008D1A55">
              <w:t> </w:t>
            </w:r>
            <w:r w:rsidRPr="008D1A55">
              <w:t>2020</w:t>
            </w:r>
          </w:p>
        </w:tc>
        <w:tc>
          <w:tcPr>
            <w:tcW w:w="2029" w:type="dxa"/>
            <w:tcBorders>
              <w:top w:val="single" w:sz="4" w:space="0" w:color="auto"/>
            </w:tcBorders>
          </w:tcPr>
          <w:p w14:paraId="6CEB1C17" w14:textId="1643F512" w:rsidR="00006FAB" w:rsidRPr="008D1A55" w:rsidRDefault="00006FAB" w:rsidP="00006FAB">
            <w:pPr>
              <w:ind w:left="0" w:right="0"/>
            </w:pPr>
            <w:r w:rsidRPr="008D1A55">
              <w:t xml:space="preserve">Approved on </w:t>
            </w:r>
            <w:r w:rsidR="00497C1A" w:rsidRPr="008D1A55">
              <w:t>30</w:t>
            </w:r>
            <w:r w:rsidR="00072074" w:rsidRPr="008D1A55">
              <w:t> </w:t>
            </w:r>
            <w:r w:rsidR="00497C1A" w:rsidRPr="008D1A55">
              <w:t>November</w:t>
            </w:r>
            <w:r w:rsidR="00072074" w:rsidRPr="008D1A55">
              <w:t> </w:t>
            </w:r>
            <w:r w:rsidR="00497C1A" w:rsidRPr="008D1A55">
              <w:t>2021</w:t>
            </w:r>
          </w:p>
        </w:tc>
        <w:tc>
          <w:tcPr>
            <w:tcW w:w="2926" w:type="dxa"/>
            <w:tcBorders>
              <w:top w:val="single" w:sz="4" w:space="0" w:color="auto"/>
            </w:tcBorders>
          </w:tcPr>
          <w:p w14:paraId="12A189E1" w14:textId="5B3FFFBD" w:rsidR="00006FAB" w:rsidRPr="008D1A55" w:rsidRDefault="00D670EF" w:rsidP="00497C1A">
            <w:pPr>
              <w:ind w:left="0"/>
              <w:rPr>
                <w:i/>
                <w:iCs/>
              </w:rPr>
            </w:pPr>
            <w:proofErr w:type="spellStart"/>
            <w:r w:rsidRPr="008D1A55">
              <w:rPr>
                <w:i/>
                <w:iCs/>
              </w:rPr>
              <w:t>Saphnelo</w:t>
            </w:r>
            <w:proofErr w:type="spellEnd"/>
            <w:r w:rsidR="00497C1A" w:rsidRPr="008D1A55">
              <w:rPr>
                <w:i/>
                <w:iCs/>
              </w:rPr>
              <w:t xml:space="preserve"> (</w:t>
            </w:r>
            <w:proofErr w:type="spellStart"/>
            <w:r w:rsidR="00497C1A" w:rsidRPr="008D1A55">
              <w:rPr>
                <w:i/>
                <w:iCs/>
              </w:rPr>
              <w:t>anifrolumab</w:t>
            </w:r>
            <w:proofErr w:type="spellEnd"/>
            <w:r w:rsidR="00497C1A" w:rsidRPr="008D1A55">
              <w:rPr>
                <w:i/>
                <w:iCs/>
              </w:rPr>
              <w:t xml:space="preserve"> for injection) is indicated in addition to standard </w:t>
            </w:r>
            <w:r w:rsidR="00497C1A" w:rsidRPr="008D1A55">
              <w:rPr>
                <w:i/>
                <w:iCs/>
              </w:rPr>
              <w:lastRenderedPageBreak/>
              <w:t>therapy for the treatment of adult patients with active, autoantibody positive, systemic lupus erythematosus (SLE).</w:t>
            </w:r>
          </w:p>
        </w:tc>
      </w:tr>
      <w:tr w:rsidR="00006FAB" w:rsidRPr="008D1A55" w14:paraId="27083661" w14:textId="77777777" w:rsidTr="00072074">
        <w:tc>
          <w:tcPr>
            <w:tcW w:w="1555" w:type="dxa"/>
          </w:tcPr>
          <w:p w14:paraId="7C935432" w14:textId="241C9038" w:rsidR="00006FAB" w:rsidRPr="008D1A55" w:rsidRDefault="00497C1A" w:rsidP="00006FAB">
            <w:pPr>
              <w:ind w:left="0" w:right="0"/>
            </w:pPr>
            <w:r w:rsidRPr="008D1A55">
              <w:lastRenderedPageBreak/>
              <w:t>European Union</w:t>
            </w:r>
          </w:p>
        </w:tc>
        <w:tc>
          <w:tcPr>
            <w:tcW w:w="1984" w:type="dxa"/>
          </w:tcPr>
          <w:p w14:paraId="3B11FE52" w14:textId="187B6079" w:rsidR="00006FAB" w:rsidRPr="008D1A55" w:rsidRDefault="00497C1A" w:rsidP="00006FAB">
            <w:pPr>
              <w:ind w:left="0" w:right="0"/>
            </w:pPr>
            <w:r w:rsidRPr="008D1A55">
              <w:t>8</w:t>
            </w:r>
            <w:r w:rsidR="00072074" w:rsidRPr="008D1A55">
              <w:t> </w:t>
            </w:r>
            <w:r w:rsidRPr="008D1A55">
              <w:t>October</w:t>
            </w:r>
            <w:r w:rsidR="00072074" w:rsidRPr="008D1A55">
              <w:t> </w:t>
            </w:r>
            <w:r w:rsidRPr="008D1A55">
              <w:t>2020</w:t>
            </w:r>
          </w:p>
        </w:tc>
        <w:tc>
          <w:tcPr>
            <w:tcW w:w="2029" w:type="dxa"/>
          </w:tcPr>
          <w:p w14:paraId="3C5668E1" w14:textId="77777777" w:rsidR="00006FAB" w:rsidRPr="008D1A55" w:rsidRDefault="00006FAB" w:rsidP="00006FAB">
            <w:pPr>
              <w:ind w:left="0" w:right="0"/>
            </w:pPr>
            <w:r w:rsidRPr="008D1A55">
              <w:t>Under consideration</w:t>
            </w:r>
          </w:p>
        </w:tc>
        <w:tc>
          <w:tcPr>
            <w:tcW w:w="2926" w:type="dxa"/>
          </w:tcPr>
          <w:p w14:paraId="5A025874" w14:textId="77777777" w:rsidR="00006FAB" w:rsidRPr="008D1A55" w:rsidRDefault="00006FAB" w:rsidP="00006FAB">
            <w:pPr>
              <w:ind w:left="0" w:right="0"/>
            </w:pPr>
            <w:r w:rsidRPr="008D1A55">
              <w:t>Under consideration</w:t>
            </w:r>
          </w:p>
        </w:tc>
      </w:tr>
      <w:tr w:rsidR="00497C1A" w:rsidRPr="008D1A55" w14:paraId="3248E851" w14:textId="77777777" w:rsidTr="00072074">
        <w:tc>
          <w:tcPr>
            <w:tcW w:w="1555" w:type="dxa"/>
          </w:tcPr>
          <w:p w14:paraId="0C8F3076" w14:textId="5B1D7D2D" w:rsidR="00497C1A" w:rsidRPr="008D1A55" w:rsidRDefault="00497C1A" w:rsidP="00497C1A">
            <w:pPr>
              <w:ind w:left="0"/>
            </w:pPr>
            <w:r w:rsidRPr="008D1A55">
              <w:t>Switzerland</w:t>
            </w:r>
          </w:p>
        </w:tc>
        <w:tc>
          <w:tcPr>
            <w:tcW w:w="1984" w:type="dxa"/>
          </w:tcPr>
          <w:p w14:paraId="6C42CCCC" w14:textId="76BE6B60" w:rsidR="00497C1A" w:rsidRPr="008D1A55" w:rsidRDefault="00497C1A" w:rsidP="00497C1A">
            <w:pPr>
              <w:ind w:left="0"/>
            </w:pPr>
            <w:r w:rsidRPr="008D1A55">
              <w:t>8</w:t>
            </w:r>
            <w:r w:rsidR="00072074" w:rsidRPr="008D1A55">
              <w:t> </w:t>
            </w:r>
            <w:r w:rsidRPr="008D1A55">
              <w:t>May</w:t>
            </w:r>
            <w:r w:rsidR="00072074" w:rsidRPr="008D1A55">
              <w:t> </w:t>
            </w:r>
            <w:r w:rsidRPr="008D1A55">
              <w:t>2021</w:t>
            </w:r>
          </w:p>
        </w:tc>
        <w:tc>
          <w:tcPr>
            <w:tcW w:w="2029" w:type="dxa"/>
          </w:tcPr>
          <w:p w14:paraId="59B79536" w14:textId="7B5C5421" w:rsidR="00497C1A" w:rsidRPr="008D1A55" w:rsidRDefault="00497C1A" w:rsidP="00497C1A">
            <w:pPr>
              <w:ind w:left="0"/>
            </w:pPr>
            <w:r w:rsidRPr="008D1A55">
              <w:t>Under consideration</w:t>
            </w:r>
          </w:p>
        </w:tc>
        <w:tc>
          <w:tcPr>
            <w:tcW w:w="2926" w:type="dxa"/>
          </w:tcPr>
          <w:p w14:paraId="72E4100E" w14:textId="20147538" w:rsidR="00497C1A" w:rsidRPr="008D1A55" w:rsidRDefault="00497C1A" w:rsidP="00497C1A">
            <w:pPr>
              <w:ind w:left="0"/>
            </w:pPr>
            <w:r w:rsidRPr="008D1A55">
              <w:t>Under consideration</w:t>
            </w:r>
          </w:p>
        </w:tc>
      </w:tr>
      <w:tr w:rsidR="00497C1A" w:rsidRPr="008D1A55" w14:paraId="2B0ACC79" w14:textId="77777777" w:rsidTr="00072074">
        <w:tc>
          <w:tcPr>
            <w:tcW w:w="1555" w:type="dxa"/>
          </w:tcPr>
          <w:p w14:paraId="63F4B6BB" w14:textId="55B79DA0" w:rsidR="00497C1A" w:rsidRPr="008D1A55" w:rsidRDefault="00497C1A" w:rsidP="00497C1A">
            <w:pPr>
              <w:ind w:left="0"/>
            </w:pPr>
            <w:r w:rsidRPr="008D1A55">
              <w:t>United States of America</w:t>
            </w:r>
          </w:p>
        </w:tc>
        <w:tc>
          <w:tcPr>
            <w:tcW w:w="1984" w:type="dxa"/>
          </w:tcPr>
          <w:p w14:paraId="3E131FB7" w14:textId="46BF205C" w:rsidR="00497C1A" w:rsidRPr="008D1A55" w:rsidRDefault="00497C1A" w:rsidP="00497C1A">
            <w:pPr>
              <w:ind w:left="0"/>
            </w:pPr>
            <w:r w:rsidRPr="008D1A55">
              <w:t>31</w:t>
            </w:r>
            <w:r w:rsidR="00072074" w:rsidRPr="008D1A55">
              <w:t> </w:t>
            </w:r>
            <w:r w:rsidRPr="008D1A55">
              <w:t>July</w:t>
            </w:r>
            <w:r w:rsidR="00072074" w:rsidRPr="008D1A55">
              <w:t> </w:t>
            </w:r>
            <w:r w:rsidRPr="008D1A55">
              <w:t>2020</w:t>
            </w:r>
          </w:p>
        </w:tc>
        <w:tc>
          <w:tcPr>
            <w:tcW w:w="2029" w:type="dxa"/>
          </w:tcPr>
          <w:p w14:paraId="7EB48C03" w14:textId="0820742C" w:rsidR="00497C1A" w:rsidRPr="008D1A55" w:rsidRDefault="00497C1A" w:rsidP="00497C1A">
            <w:pPr>
              <w:ind w:left="0"/>
            </w:pPr>
            <w:r w:rsidRPr="008D1A55">
              <w:t>30</w:t>
            </w:r>
            <w:r w:rsidR="00072074" w:rsidRPr="008D1A55">
              <w:t> </w:t>
            </w:r>
            <w:r w:rsidRPr="008D1A55">
              <w:t>July</w:t>
            </w:r>
            <w:r w:rsidR="00072074" w:rsidRPr="008D1A55">
              <w:t> </w:t>
            </w:r>
            <w:r w:rsidRPr="008D1A55">
              <w:t>2021</w:t>
            </w:r>
          </w:p>
        </w:tc>
        <w:tc>
          <w:tcPr>
            <w:tcW w:w="2926" w:type="dxa"/>
          </w:tcPr>
          <w:p w14:paraId="6F6C5BCD" w14:textId="3E720CE4" w:rsidR="00497C1A" w:rsidRPr="008D1A55" w:rsidRDefault="00D670EF" w:rsidP="00497C1A">
            <w:pPr>
              <w:ind w:left="0"/>
              <w:rPr>
                <w:i/>
                <w:iCs/>
              </w:rPr>
            </w:pPr>
            <w:proofErr w:type="spellStart"/>
            <w:r w:rsidRPr="008D1A55">
              <w:rPr>
                <w:i/>
                <w:iCs/>
              </w:rPr>
              <w:t>Saphnelo</w:t>
            </w:r>
            <w:proofErr w:type="spellEnd"/>
            <w:r w:rsidR="00497C1A" w:rsidRPr="008D1A55">
              <w:rPr>
                <w:i/>
                <w:iCs/>
              </w:rPr>
              <w:t xml:space="preserve"> (</w:t>
            </w:r>
            <w:proofErr w:type="spellStart"/>
            <w:r w:rsidR="00497C1A" w:rsidRPr="008D1A55">
              <w:rPr>
                <w:i/>
                <w:iCs/>
              </w:rPr>
              <w:t>anifrolumab-fnia</w:t>
            </w:r>
            <w:proofErr w:type="spellEnd"/>
            <w:r w:rsidR="00497C1A" w:rsidRPr="008D1A55">
              <w:rPr>
                <w:i/>
                <w:iCs/>
              </w:rPr>
              <w:t>) is indicated for the treatment of adult patients with moderate to severe systemic lupus erythematosus (SLE), who are receiving standard therapy.</w:t>
            </w:r>
          </w:p>
        </w:tc>
      </w:tr>
    </w:tbl>
    <w:p w14:paraId="011AF1B9" w14:textId="77777777" w:rsidR="008E7846" w:rsidRPr="008D1A55" w:rsidRDefault="008E7846" w:rsidP="00940A89">
      <w:pPr>
        <w:pStyle w:val="Heading3"/>
      </w:pPr>
      <w:bookmarkStart w:id="29" w:name="_Toc117166176"/>
      <w:r w:rsidRPr="008D1A55">
        <w:t>Product Information</w:t>
      </w:r>
      <w:bookmarkEnd w:id="26"/>
      <w:bookmarkEnd w:id="27"/>
      <w:bookmarkEnd w:id="29"/>
    </w:p>
    <w:p w14:paraId="01B7E874" w14:textId="400AFDFC" w:rsidR="00332715" w:rsidRPr="008D1A55" w:rsidRDefault="00332715" w:rsidP="00332715">
      <w:bookmarkStart w:id="30" w:name="_Toc504480011"/>
      <w:bookmarkStart w:id="31" w:name="_Toc247691506"/>
      <w:bookmarkStart w:id="32" w:name="_Toc314842487"/>
      <w:r w:rsidRPr="008D1A55">
        <w:t xml:space="preserve">The Product Information (PI) approved with the submission which is described in this </w:t>
      </w:r>
      <w:proofErr w:type="spellStart"/>
      <w:r w:rsidRPr="008D1A55">
        <w:t>AusPAR</w:t>
      </w:r>
      <w:proofErr w:type="spellEnd"/>
      <w:r w:rsidRPr="008D1A55">
        <w:t xml:space="preserve"> can be found as Attachment 1. For the most recent PI, please refer to the TGA </w:t>
      </w:r>
      <w:hyperlink r:id="rId15" w:history="1">
        <w:r w:rsidRPr="008D1A55">
          <w:rPr>
            <w:rStyle w:val="Hyperlink"/>
          </w:rPr>
          <w:t>PI/CMI search facility</w:t>
        </w:r>
        <w:r w:rsidRPr="008D1A55">
          <w:rPr>
            <w:rStyle w:val="Hyperlink"/>
            <w:color w:val="auto"/>
            <w:u w:val="none"/>
          </w:rPr>
          <w:t>.</w:t>
        </w:r>
      </w:hyperlink>
    </w:p>
    <w:p w14:paraId="23EBB2ED" w14:textId="77777777" w:rsidR="00500337" w:rsidRPr="008D1A55" w:rsidRDefault="00500337" w:rsidP="00500337">
      <w:pPr>
        <w:pStyle w:val="Heading2"/>
      </w:pPr>
      <w:bookmarkStart w:id="33" w:name="_Toc117166177"/>
      <w:r w:rsidRPr="008D1A55">
        <w:t>Registration timeline</w:t>
      </w:r>
      <w:bookmarkEnd w:id="30"/>
      <w:bookmarkEnd w:id="33"/>
    </w:p>
    <w:p w14:paraId="243BEA8A" w14:textId="77777777" w:rsidR="0074163C" w:rsidRPr="008D1A55" w:rsidRDefault="0074163C" w:rsidP="0074163C">
      <w:r w:rsidRPr="008D1A55">
        <w:t xml:space="preserve">The following table captures the key steps and dates for this </w:t>
      </w:r>
      <w:r w:rsidR="00804D99" w:rsidRPr="008D1A55">
        <w:t>submission</w:t>
      </w:r>
      <w:r w:rsidRPr="008D1A55">
        <w:t>.</w:t>
      </w:r>
    </w:p>
    <w:p w14:paraId="3958B633" w14:textId="3DF840B2" w:rsidR="0074163C" w:rsidRPr="008D1A55" w:rsidRDefault="0074163C" w:rsidP="0074163C">
      <w:pPr>
        <w:pStyle w:val="TableTitle"/>
      </w:pPr>
      <w:r w:rsidRPr="008D1A55">
        <w:t xml:space="preserve">Table </w:t>
      </w:r>
      <w:r w:rsidR="005675A0">
        <w:fldChar w:fldCharType="begin"/>
      </w:r>
      <w:r w:rsidR="005675A0">
        <w:instrText xml:space="preserve"> SEQ Table \* ARABIC </w:instrText>
      </w:r>
      <w:r w:rsidR="005675A0">
        <w:fldChar w:fldCharType="separate"/>
      </w:r>
      <w:r w:rsidR="00D8723A">
        <w:rPr>
          <w:noProof/>
        </w:rPr>
        <w:t>2</w:t>
      </w:r>
      <w:r w:rsidR="005675A0">
        <w:rPr>
          <w:noProof/>
        </w:rPr>
        <w:fldChar w:fldCharType="end"/>
      </w:r>
      <w:r w:rsidRPr="008D1A55">
        <w:t xml:space="preserve">: Timeline for Submission </w:t>
      </w:r>
      <w:r w:rsidR="00FD6E62" w:rsidRPr="008D1A55">
        <w:t>PM-2020-06383-1-2</w:t>
      </w:r>
    </w:p>
    <w:p w14:paraId="1B52A6DC" w14:textId="77777777" w:rsidR="0074163C" w:rsidRPr="008D1A55" w:rsidRDefault="0074163C" w:rsidP="0074163C">
      <w:pPr>
        <w:pStyle w:val="Instructions"/>
        <w:rPr>
          <w:i w:val="0"/>
          <w:color w:val="auto"/>
          <w:szCs w:val="20"/>
        </w:rPr>
      </w:pPr>
      <w:r w:rsidRPr="008D1A55">
        <w:rPr>
          <w:i w:val="0"/>
          <w:color w:val="auto"/>
          <w:szCs w:val="20"/>
        </w:rPr>
        <w:t>Standard pathway</w:t>
      </w:r>
    </w:p>
    <w:tbl>
      <w:tblPr>
        <w:tblStyle w:val="TableTGAblue"/>
        <w:tblW w:w="0" w:type="auto"/>
        <w:tblLook w:val="04A0" w:firstRow="1" w:lastRow="0" w:firstColumn="1" w:lastColumn="0" w:noHBand="0" w:noVBand="1"/>
      </w:tblPr>
      <w:tblGrid>
        <w:gridCol w:w="4260"/>
        <w:gridCol w:w="4234"/>
      </w:tblGrid>
      <w:tr w:rsidR="0074163C" w:rsidRPr="008D1A55" w14:paraId="002995D4" w14:textId="77777777" w:rsidTr="00497C1A">
        <w:trPr>
          <w:cnfStyle w:val="100000000000" w:firstRow="1" w:lastRow="0" w:firstColumn="0" w:lastColumn="0" w:oddVBand="0" w:evenVBand="0" w:oddHBand="0" w:evenHBand="0" w:firstRowFirstColumn="0" w:firstRowLastColumn="0" w:lastRowFirstColumn="0" w:lastRowLastColumn="0"/>
        </w:trPr>
        <w:tc>
          <w:tcPr>
            <w:tcW w:w="4260" w:type="dxa"/>
            <w:tcBorders>
              <w:top w:val="single" w:sz="4" w:space="0" w:color="auto"/>
              <w:left w:val="single" w:sz="4" w:space="0" w:color="auto"/>
              <w:bottom w:val="single" w:sz="4" w:space="0" w:color="auto"/>
              <w:right w:val="single" w:sz="4" w:space="0" w:color="auto"/>
            </w:tcBorders>
          </w:tcPr>
          <w:p w14:paraId="4CD801B7" w14:textId="77777777" w:rsidR="0074163C" w:rsidRPr="008D1A55" w:rsidRDefault="0074163C" w:rsidP="009E5A87">
            <w:r w:rsidRPr="008D1A55">
              <w:t>Description</w:t>
            </w:r>
          </w:p>
        </w:tc>
        <w:tc>
          <w:tcPr>
            <w:tcW w:w="4234" w:type="dxa"/>
            <w:tcBorders>
              <w:top w:val="single" w:sz="4" w:space="0" w:color="auto"/>
              <w:left w:val="single" w:sz="4" w:space="0" w:color="auto"/>
              <w:bottom w:val="single" w:sz="4" w:space="0" w:color="auto"/>
              <w:right w:val="single" w:sz="4" w:space="0" w:color="auto"/>
            </w:tcBorders>
          </w:tcPr>
          <w:p w14:paraId="15C6A160" w14:textId="77777777" w:rsidR="0074163C" w:rsidRPr="008D1A55" w:rsidRDefault="0074163C" w:rsidP="009E5A87">
            <w:r w:rsidRPr="008D1A55">
              <w:t>Date</w:t>
            </w:r>
          </w:p>
        </w:tc>
      </w:tr>
      <w:tr w:rsidR="00497C1A" w:rsidRPr="008D1A55" w14:paraId="6A1FD16F" w14:textId="77777777" w:rsidTr="00497C1A">
        <w:tc>
          <w:tcPr>
            <w:tcW w:w="4260" w:type="dxa"/>
            <w:tcBorders>
              <w:top w:val="single" w:sz="4" w:space="0" w:color="auto"/>
            </w:tcBorders>
          </w:tcPr>
          <w:p w14:paraId="56659119" w14:textId="77777777" w:rsidR="00497C1A" w:rsidRPr="008D1A55" w:rsidRDefault="00497C1A" w:rsidP="00497C1A">
            <w:r w:rsidRPr="008D1A55">
              <w:t>Submission dossier accepted and first round evaluation commenced</w:t>
            </w:r>
          </w:p>
        </w:tc>
        <w:tc>
          <w:tcPr>
            <w:tcW w:w="4234" w:type="dxa"/>
            <w:tcBorders>
              <w:top w:val="single" w:sz="4" w:space="0" w:color="auto"/>
            </w:tcBorders>
          </w:tcPr>
          <w:p w14:paraId="117C56EF" w14:textId="61F5A39D" w:rsidR="00497C1A" w:rsidRPr="008D1A55" w:rsidRDefault="00497C1A" w:rsidP="00497C1A">
            <w:r w:rsidRPr="008D1A55">
              <w:rPr>
                <w:color w:val="auto"/>
              </w:rPr>
              <w:t>1 February 2021</w:t>
            </w:r>
          </w:p>
        </w:tc>
      </w:tr>
      <w:tr w:rsidR="00497C1A" w:rsidRPr="008D1A55" w14:paraId="14467811" w14:textId="77777777" w:rsidTr="00497C1A">
        <w:tc>
          <w:tcPr>
            <w:tcW w:w="4260" w:type="dxa"/>
          </w:tcPr>
          <w:p w14:paraId="61B27B85" w14:textId="77777777" w:rsidR="00497C1A" w:rsidRPr="008D1A55" w:rsidRDefault="00497C1A" w:rsidP="00497C1A">
            <w:r w:rsidRPr="008D1A55">
              <w:t>First round evaluation completed</w:t>
            </w:r>
          </w:p>
        </w:tc>
        <w:tc>
          <w:tcPr>
            <w:tcW w:w="4234" w:type="dxa"/>
          </w:tcPr>
          <w:p w14:paraId="1739823F" w14:textId="2792B5FF" w:rsidR="00497C1A" w:rsidRPr="008D1A55" w:rsidRDefault="00497C1A" w:rsidP="00497C1A">
            <w:r w:rsidRPr="008D1A55">
              <w:rPr>
                <w:color w:val="auto"/>
              </w:rPr>
              <w:t>1 July 2021</w:t>
            </w:r>
          </w:p>
        </w:tc>
      </w:tr>
      <w:tr w:rsidR="00497C1A" w:rsidRPr="008D1A55" w14:paraId="432C30F7" w14:textId="77777777" w:rsidTr="00497C1A">
        <w:tc>
          <w:tcPr>
            <w:tcW w:w="4260" w:type="dxa"/>
          </w:tcPr>
          <w:p w14:paraId="6E78DB19" w14:textId="77777777" w:rsidR="00497C1A" w:rsidRPr="008D1A55" w:rsidRDefault="00497C1A" w:rsidP="00497C1A">
            <w:r w:rsidRPr="008D1A55">
              <w:t>Sponsor provides responses on questions raised in first round evaluation</w:t>
            </w:r>
          </w:p>
        </w:tc>
        <w:tc>
          <w:tcPr>
            <w:tcW w:w="4234" w:type="dxa"/>
          </w:tcPr>
          <w:p w14:paraId="2D7A2D64" w14:textId="425CCA0F" w:rsidR="00497C1A" w:rsidRPr="008D1A55" w:rsidRDefault="00497C1A" w:rsidP="00497C1A">
            <w:r w:rsidRPr="008D1A55">
              <w:rPr>
                <w:color w:val="auto"/>
              </w:rPr>
              <w:t>30 August 2021</w:t>
            </w:r>
          </w:p>
        </w:tc>
      </w:tr>
      <w:tr w:rsidR="00497C1A" w:rsidRPr="008D1A55" w14:paraId="5E7C444E" w14:textId="77777777" w:rsidTr="00497C1A">
        <w:tc>
          <w:tcPr>
            <w:tcW w:w="4260" w:type="dxa"/>
          </w:tcPr>
          <w:p w14:paraId="115F5331" w14:textId="77777777" w:rsidR="00497C1A" w:rsidRPr="008D1A55" w:rsidRDefault="00497C1A" w:rsidP="00497C1A">
            <w:r w:rsidRPr="008D1A55">
              <w:t>Second round evaluation completed</w:t>
            </w:r>
          </w:p>
        </w:tc>
        <w:tc>
          <w:tcPr>
            <w:tcW w:w="4234" w:type="dxa"/>
          </w:tcPr>
          <w:p w14:paraId="11074204" w14:textId="7CC073CB" w:rsidR="00497C1A" w:rsidRPr="008D1A55" w:rsidRDefault="00497C1A" w:rsidP="00497C1A">
            <w:r w:rsidRPr="008D1A55">
              <w:rPr>
                <w:color w:val="auto"/>
              </w:rPr>
              <w:t>18 October 2021</w:t>
            </w:r>
          </w:p>
        </w:tc>
      </w:tr>
      <w:tr w:rsidR="00497C1A" w:rsidRPr="008D1A55" w14:paraId="70BF9726" w14:textId="77777777" w:rsidTr="00497C1A">
        <w:tc>
          <w:tcPr>
            <w:tcW w:w="4260" w:type="dxa"/>
          </w:tcPr>
          <w:p w14:paraId="60554EA8" w14:textId="68BF7FEE" w:rsidR="00497C1A" w:rsidRPr="008D1A55" w:rsidRDefault="00497C1A" w:rsidP="00497C1A">
            <w:r w:rsidRPr="008D1A55">
              <w:t>Delegate’s Overall benefit-risk assessment and request for Advisory Committee advice</w:t>
            </w:r>
          </w:p>
        </w:tc>
        <w:tc>
          <w:tcPr>
            <w:tcW w:w="4234" w:type="dxa"/>
          </w:tcPr>
          <w:p w14:paraId="43B77991" w14:textId="3EAF9F0F" w:rsidR="00497C1A" w:rsidRPr="008D1A55" w:rsidRDefault="00497C1A" w:rsidP="00497C1A">
            <w:r w:rsidRPr="008D1A55">
              <w:rPr>
                <w:color w:val="auto"/>
              </w:rPr>
              <w:t>4 January 2022</w:t>
            </w:r>
          </w:p>
        </w:tc>
      </w:tr>
      <w:tr w:rsidR="00497C1A" w:rsidRPr="008D1A55" w14:paraId="0D671016" w14:textId="77777777" w:rsidTr="00497C1A">
        <w:tc>
          <w:tcPr>
            <w:tcW w:w="4260" w:type="dxa"/>
          </w:tcPr>
          <w:p w14:paraId="01168718" w14:textId="77777777" w:rsidR="00497C1A" w:rsidRPr="008D1A55" w:rsidRDefault="00497C1A" w:rsidP="00497C1A">
            <w:r w:rsidRPr="008D1A55">
              <w:lastRenderedPageBreak/>
              <w:t>Sponsor’s pre-Advisory Committee response</w:t>
            </w:r>
          </w:p>
        </w:tc>
        <w:tc>
          <w:tcPr>
            <w:tcW w:w="4234" w:type="dxa"/>
          </w:tcPr>
          <w:p w14:paraId="5849419D" w14:textId="7275DF95" w:rsidR="00497C1A" w:rsidRPr="008D1A55" w:rsidRDefault="00497C1A" w:rsidP="00497C1A">
            <w:r w:rsidRPr="008D1A55">
              <w:rPr>
                <w:color w:val="auto"/>
              </w:rPr>
              <w:t>19 January 2022</w:t>
            </w:r>
          </w:p>
        </w:tc>
      </w:tr>
      <w:tr w:rsidR="00497C1A" w:rsidRPr="008D1A55" w14:paraId="58AC9B85" w14:textId="77777777" w:rsidTr="00497C1A">
        <w:tc>
          <w:tcPr>
            <w:tcW w:w="4260" w:type="dxa"/>
          </w:tcPr>
          <w:p w14:paraId="45E0D816" w14:textId="77777777" w:rsidR="00497C1A" w:rsidRPr="008D1A55" w:rsidRDefault="00497C1A" w:rsidP="00497C1A">
            <w:r w:rsidRPr="008D1A55">
              <w:t>Advisory Committee meeting</w:t>
            </w:r>
          </w:p>
        </w:tc>
        <w:tc>
          <w:tcPr>
            <w:tcW w:w="4234" w:type="dxa"/>
          </w:tcPr>
          <w:p w14:paraId="5DCE9164" w14:textId="2F0F4EDE" w:rsidR="00497C1A" w:rsidRPr="008D1A55" w:rsidRDefault="00497C1A" w:rsidP="00497C1A">
            <w:r w:rsidRPr="008D1A55">
              <w:rPr>
                <w:color w:val="auto"/>
              </w:rPr>
              <w:t>3 and 4 February 2022</w:t>
            </w:r>
          </w:p>
        </w:tc>
      </w:tr>
      <w:tr w:rsidR="00497C1A" w:rsidRPr="008D1A55" w14:paraId="2858357E" w14:textId="77777777" w:rsidTr="00497C1A">
        <w:tc>
          <w:tcPr>
            <w:tcW w:w="4260" w:type="dxa"/>
          </w:tcPr>
          <w:p w14:paraId="70D71042" w14:textId="77777777" w:rsidR="00497C1A" w:rsidRPr="008D1A55" w:rsidRDefault="00497C1A" w:rsidP="00497C1A">
            <w:r w:rsidRPr="008D1A55">
              <w:t>Registration decision (Outcome)</w:t>
            </w:r>
          </w:p>
        </w:tc>
        <w:tc>
          <w:tcPr>
            <w:tcW w:w="4234" w:type="dxa"/>
          </w:tcPr>
          <w:p w14:paraId="0597B71B" w14:textId="79515850" w:rsidR="00497C1A" w:rsidRPr="008D1A55" w:rsidRDefault="00497C1A" w:rsidP="00497C1A">
            <w:r w:rsidRPr="008D1A55">
              <w:rPr>
                <w:color w:val="auto"/>
              </w:rPr>
              <w:t>24 March 2022</w:t>
            </w:r>
          </w:p>
        </w:tc>
      </w:tr>
      <w:tr w:rsidR="00497C1A" w:rsidRPr="008D1A55" w14:paraId="30865A0D" w14:textId="77777777" w:rsidTr="00497C1A">
        <w:tc>
          <w:tcPr>
            <w:tcW w:w="4260" w:type="dxa"/>
          </w:tcPr>
          <w:p w14:paraId="5B08DC78" w14:textId="77777777" w:rsidR="00497C1A" w:rsidRPr="008D1A55" w:rsidRDefault="00497C1A" w:rsidP="00497C1A">
            <w:r w:rsidRPr="008D1A55">
              <w:t>Completion of administrative activities and registration on the ARTG</w:t>
            </w:r>
          </w:p>
        </w:tc>
        <w:tc>
          <w:tcPr>
            <w:tcW w:w="4234" w:type="dxa"/>
          </w:tcPr>
          <w:p w14:paraId="7DFEBC2F" w14:textId="40B5E1B5" w:rsidR="00497C1A" w:rsidRPr="008D1A55" w:rsidRDefault="00497C1A" w:rsidP="00497C1A">
            <w:r w:rsidRPr="008D1A55">
              <w:rPr>
                <w:color w:val="auto"/>
              </w:rPr>
              <w:t>29 March 2022</w:t>
            </w:r>
          </w:p>
        </w:tc>
      </w:tr>
      <w:tr w:rsidR="00497C1A" w:rsidRPr="008D1A55" w14:paraId="7A88FF7C" w14:textId="77777777" w:rsidTr="00497C1A">
        <w:tc>
          <w:tcPr>
            <w:tcW w:w="4260" w:type="dxa"/>
          </w:tcPr>
          <w:p w14:paraId="2D396BAE" w14:textId="77777777" w:rsidR="00497C1A" w:rsidRPr="008D1A55" w:rsidRDefault="00497C1A" w:rsidP="00497C1A">
            <w:r w:rsidRPr="008D1A55">
              <w:t>Number of working days from submission dossier acceptance to registration decision*</w:t>
            </w:r>
          </w:p>
        </w:tc>
        <w:tc>
          <w:tcPr>
            <w:tcW w:w="4234" w:type="dxa"/>
          </w:tcPr>
          <w:p w14:paraId="0EE4CC94" w14:textId="1CA0C548" w:rsidR="00497C1A" w:rsidRPr="008D1A55" w:rsidRDefault="00497C1A" w:rsidP="00497C1A">
            <w:r w:rsidRPr="008D1A55">
              <w:rPr>
                <w:color w:val="auto"/>
              </w:rPr>
              <w:t>235</w:t>
            </w:r>
          </w:p>
        </w:tc>
      </w:tr>
    </w:tbl>
    <w:p w14:paraId="74BE4150" w14:textId="77777777" w:rsidR="0074163C" w:rsidRPr="008D1A55" w:rsidRDefault="0074163C" w:rsidP="0074163C">
      <w:pPr>
        <w:pStyle w:val="TableDescription"/>
      </w:pPr>
      <w:r w:rsidRPr="008D1A55">
        <w:t xml:space="preserve">*Statutory timeframe for standard </w:t>
      </w:r>
      <w:r w:rsidR="00BB0B78" w:rsidRPr="008D1A55">
        <w:t>submission</w:t>
      </w:r>
      <w:r w:rsidRPr="008D1A55">
        <w:t>s is 255 working days</w:t>
      </w:r>
    </w:p>
    <w:p w14:paraId="52AB37E4" w14:textId="77777777" w:rsidR="008E7846" w:rsidRPr="008D1A55" w:rsidRDefault="00006FAB" w:rsidP="008E7846">
      <w:pPr>
        <w:pStyle w:val="Heading2"/>
      </w:pPr>
      <w:bookmarkStart w:id="34" w:name="_Toc196046504"/>
      <w:bookmarkStart w:id="35" w:name="_Toc247691527"/>
      <w:bookmarkStart w:id="36" w:name="_Toc314842510"/>
      <w:bookmarkStart w:id="37" w:name="_Toc117166178"/>
      <w:bookmarkStart w:id="38" w:name="_Toc163441390"/>
      <w:bookmarkEnd w:id="31"/>
      <w:bookmarkEnd w:id="32"/>
      <w:bookmarkEnd w:id="1"/>
      <w:r w:rsidRPr="008D1A55">
        <w:t xml:space="preserve">Submission overview </w:t>
      </w:r>
      <w:r w:rsidR="008E7846" w:rsidRPr="008D1A55">
        <w:t>and risk/benefit assessment</w:t>
      </w:r>
      <w:bookmarkEnd w:id="34"/>
      <w:bookmarkEnd w:id="35"/>
      <w:bookmarkEnd w:id="36"/>
      <w:bookmarkEnd w:id="37"/>
    </w:p>
    <w:p w14:paraId="0D8C0358" w14:textId="77777777" w:rsidR="005A79F5" w:rsidRPr="008D1A55" w:rsidRDefault="005A79F5" w:rsidP="0074163C">
      <w:pPr>
        <w:pStyle w:val="Instructions"/>
        <w:rPr>
          <w:i w:val="0"/>
          <w:color w:val="auto"/>
        </w:rPr>
      </w:pPr>
      <w:bookmarkStart w:id="39" w:name="_Toc247691528"/>
      <w:bookmarkStart w:id="40" w:name="_Toc314842511"/>
      <w:r w:rsidRPr="008D1A55">
        <w:rPr>
          <w:i w:val="0"/>
          <w:color w:val="auto"/>
        </w:rPr>
        <w:t>A summary of the TGA’s assessment for this submission is provided below.</w:t>
      </w:r>
    </w:p>
    <w:p w14:paraId="448608BB" w14:textId="4AE6FF7D" w:rsidR="0074163C" w:rsidRPr="008D1A55" w:rsidRDefault="0074163C" w:rsidP="009B3097">
      <w:r w:rsidRPr="008D1A55">
        <w:t xml:space="preserve">Relevant guidelines or guidance documents referred to by the Delegate </w:t>
      </w:r>
      <w:r w:rsidR="009B3097" w:rsidRPr="008D1A55">
        <w:t>are</w:t>
      </w:r>
      <w:r w:rsidRPr="008D1A55">
        <w:t xml:space="preserve"> listed </w:t>
      </w:r>
      <w:r w:rsidR="009B3097" w:rsidRPr="008D1A55">
        <w:t>below:</w:t>
      </w:r>
    </w:p>
    <w:p w14:paraId="10996921" w14:textId="7192B204" w:rsidR="009B3097" w:rsidRPr="008D1A55" w:rsidRDefault="009B3097" w:rsidP="009B3097">
      <w:pPr>
        <w:pStyle w:val="ListBullet"/>
      </w:pPr>
      <w:r w:rsidRPr="008D1A55">
        <w:t xml:space="preserve">European Medicines Agency (EMA), Committee for </w:t>
      </w:r>
      <w:r w:rsidR="00072074" w:rsidRPr="008D1A55">
        <w:t xml:space="preserve">Medicinal Products </w:t>
      </w:r>
      <w:r w:rsidRPr="008D1A55">
        <w:t xml:space="preserve">for </w:t>
      </w:r>
      <w:r w:rsidR="00072074" w:rsidRPr="008D1A55">
        <w:t>Human Use</w:t>
      </w:r>
      <w:r w:rsidRPr="008D1A55">
        <w:t xml:space="preserve"> (CHMP), ICH guideline S6 (R1) - </w:t>
      </w:r>
      <w:r w:rsidR="00072074" w:rsidRPr="008D1A55">
        <w:t xml:space="preserve">Preclinical Safety Evaluation </w:t>
      </w:r>
      <w:r w:rsidRPr="008D1A55">
        <w:t xml:space="preserve">of </w:t>
      </w:r>
      <w:r w:rsidR="00072074" w:rsidRPr="008D1A55">
        <w:t>Biotechnology-Derived Pharmaceuticals</w:t>
      </w:r>
      <w:r w:rsidRPr="008D1A55">
        <w:t>, EMA/CHMP/ICH/731268/1998, June 2011.</w:t>
      </w:r>
    </w:p>
    <w:p w14:paraId="58DA071B" w14:textId="0089851B" w:rsidR="009136A5" w:rsidRPr="008D1A55" w:rsidRDefault="009136A5" w:rsidP="0098403F">
      <w:pPr>
        <w:pStyle w:val="ListBullet"/>
      </w:pPr>
      <w:r w:rsidRPr="008D1A55">
        <w:t xml:space="preserve">European Medicines Evaluation Agency (EMEA), Committee for Medicinal Products for Human Use (CPMP), ICH Topic E1 Population Exposure: </w:t>
      </w:r>
      <w:proofErr w:type="gramStart"/>
      <w:r w:rsidRPr="008D1A55">
        <w:t>the</w:t>
      </w:r>
      <w:proofErr w:type="gramEnd"/>
      <w:r w:rsidRPr="008D1A55">
        <w:t xml:space="preserve"> Extent of Population Exposure to Assess Clinical Safety, Note for Guidance on Population Exposure: the Extent of Population Exposure to Assess Clinical Safety, CPMP/ICH/375/95, June 1995.</w:t>
      </w:r>
    </w:p>
    <w:p w14:paraId="40D204AA" w14:textId="77777777" w:rsidR="008E7846" w:rsidRPr="008D1A55" w:rsidRDefault="008E7846" w:rsidP="008E7846">
      <w:pPr>
        <w:pStyle w:val="Heading3"/>
      </w:pPr>
      <w:bookmarkStart w:id="41" w:name="_Toc117166179"/>
      <w:r w:rsidRPr="008D1A55">
        <w:t>Quality</w:t>
      </w:r>
      <w:bookmarkEnd w:id="39"/>
      <w:bookmarkEnd w:id="40"/>
      <w:bookmarkEnd w:id="41"/>
    </w:p>
    <w:p w14:paraId="65707013" w14:textId="5130FCC6" w:rsidR="008D74A1" w:rsidRPr="008D1A55" w:rsidRDefault="008D74A1" w:rsidP="008D74A1">
      <w:proofErr w:type="spellStart"/>
      <w:r w:rsidRPr="008D1A55">
        <w:t>Anifrolumab</w:t>
      </w:r>
      <w:proofErr w:type="spellEnd"/>
      <w:r w:rsidRPr="008D1A55">
        <w:t xml:space="preserve"> is a human</w:t>
      </w:r>
      <w:r w:rsidR="001E36A6" w:rsidRPr="008D1A55">
        <w:t xml:space="preserve"> immunoglobulin G1 kappa</w:t>
      </w:r>
      <w:r w:rsidRPr="008D1A55">
        <w:t xml:space="preserve"> </w:t>
      </w:r>
      <w:r w:rsidR="009B1AD8" w:rsidRPr="008D1A55">
        <w:t>monoclonal antibody</w:t>
      </w:r>
      <w:r w:rsidRPr="008D1A55">
        <w:t xml:space="preserve"> directed against subunit 1 of </w:t>
      </w:r>
      <w:r w:rsidR="00B47E5B" w:rsidRPr="008D1A55">
        <w:t xml:space="preserve">the interferon alpha receptor 1 </w:t>
      </w:r>
      <w:r w:rsidRPr="008D1A55">
        <w:t xml:space="preserve">(IFNAR1). It is composed of </w:t>
      </w:r>
      <w:r w:rsidR="00072074" w:rsidRPr="008D1A55">
        <w:t>two</w:t>
      </w:r>
      <w:r w:rsidRPr="008D1A55">
        <w:t xml:space="preserve"> identical light chains and </w:t>
      </w:r>
      <w:r w:rsidR="00072074" w:rsidRPr="008D1A55">
        <w:t>two</w:t>
      </w:r>
      <w:r w:rsidRPr="008D1A55">
        <w:t xml:space="preserve"> identical heavy chains, with an overall molecular weight of approximately 148 </w:t>
      </w:r>
      <w:proofErr w:type="spellStart"/>
      <w:r w:rsidRPr="008D1A55">
        <w:t>kDa</w:t>
      </w:r>
      <w:proofErr w:type="spellEnd"/>
      <w:r w:rsidRPr="008D1A55">
        <w:t>.</w:t>
      </w:r>
    </w:p>
    <w:p w14:paraId="2A5275F0" w14:textId="1CE11899" w:rsidR="00BD5585" w:rsidRDefault="00BD5585" w:rsidP="00C7364D">
      <w:r>
        <w:t xml:space="preserve">The sponsor has presented the drug product </w:t>
      </w:r>
      <w:proofErr w:type="spellStart"/>
      <w:r w:rsidR="00D670EF" w:rsidRPr="008D1A55">
        <w:t>Saphnelo</w:t>
      </w:r>
      <w:proofErr w:type="spellEnd"/>
      <w:r w:rsidR="008D74A1" w:rsidRPr="008D1A55">
        <w:t xml:space="preserve"> for registration</w:t>
      </w:r>
      <w:r>
        <w:t xml:space="preserve">. </w:t>
      </w:r>
      <w:proofErr w:type="spellStart"/>
      <w:r>
        <w:t>Saphnelo</w:t>
      </w:r>
      <w:proofErr w:type="spellEnd"/>
      <w:r>
        <w:t xml:space="preserve"> is</w:t>
      </w:r>
      <w:r w:rsidR="008D74A1" w:rsidRPr="008D1A55">
        <w:t xml:space="preserve"> a sterile, concentrated solution</w:t>
      </w:r>
      <w:r>
        <w:t xml:space="preserve"> of </w:t>
      </w:r>
      <w:proofErr w:type="spellStart"/>
      <w:r>
        <w:t>anifrolumab</w:t>
      </w:r>
      <w:proofErr w:type="spellEnd"/>
      <w:r w:rsidR="008D74A1" w:rsidRPr="008D1A55">
        <w:t xml:space="preserve"> presented in a vial for intravenous infusion following dilution</w:t>
      </w:r>
      <w:r>
        <w:t xml:space="preserve"> with sodium chloride 0.9% (solution for injection</w:t>
      </w:r>
      <w:r w:rsidR="008D74A1" w:rsidRPr="008D1A55">
        <w:t>.</w:t>
      </w:r>
    </w:p>
    <w:p w14:paraId="1EBFEB0E" w14:textId="02797503" w:rsidR="008D74A1" w:rsidRPr="008D1A55" w:rsidRDefault="008D74A1" w:rsidP="00C7364D">
      <w:r w:rsidRPr="008D1A55">
        <w:t xml:space="preserve">The drug product contains </w:t>
      </w:r>
      <w:proofErr w:type="spellStart"/>
      <w:r w:rsidRPr="008D1A55">
        <w:t>anifrolumab</w:t>
      </w:r>
      <w:proofErr w:type="spellEnd"/>
      <w:r w:rsidRPr="008D1A55">
        <w:t xml:space="preserve"> 300 mg per 2 mL vial as the active ingredient.</w:t>
      </w:r>
      <w:r w:rsidR="00072074" w:rsidRPr="008D1A55">
        <w:t xml:space="preserve"> </w:t>
      </w:r>
      <w:r w:rsidRPr="008D1A55">
        <w:t>The drug product is aseptically filled into Type I glass vials and closed with an elastomeric stopper. The vial is capped with an aluminium seal.</w:t>
      </w:r>
    </w:p>
    <w:p w14:paraId="52577BA6" w14:textId="77777777" w:rsidR="00BD5585" w:rsidRDefault="00BD5585" w:rsidP="00C7364D">
      <w:proofErr w:type="spellStart"/>
      <w:r>
        <w:t>Saphnelo</w:t>
      </w:r>
      <w:proofErr w:type="spellEnd"/>
      <w:r>
        <w:t xml:space="preserve"> should be stored at </w:t>
      </w:r>
      <w:r w:rsidRPr="008D1A55">
        <w:t xml:space="preserve">2 </w:t>
      </w:r>
      <w:r>
        <w:t xml:space="preserve">to 8°C. </w:t>
      </w:r>
      <w:r w:rsidR="008D74A1" w:rsidRPr="008D1A55">
        <w:t>The recommended shelf life for the drug product long</w:t>
      </w:r>
      <w:r w:rsidR="00A259E4" w:rsidRPr="008D1A55">
        <w:t>-</w:t>
      </w:r>
      <w:r w:rsidR="008D74A1" w:rsidRPr="008D1A55">
        <w:t>term storage condition is 2 to 8°C for 24 months.</w:t>
      </w:r>
    </w:p>
    <w:p w14:paraId="4D4D7561" w14:textId="2E55BD98" w:rsidR="008D74A1" w:rsidRPr="008D1A55" w:rsidRDefault="008D74A1" w:rsidP="00C7364D">
      <w:r w:rsidRPr="008D1A55">
        <w:t>There should be no more than 9</w:t>
      </w:r>
      <w:r w:rsidR="00BD5585">
        <w:t> </w:t>
      </w:r>
      <w:r w:rsidRPr="008D1A55">
        <w:t xml:space="preserve">days of cumulative exposure </w:t>
      </w:r>
      <w:r w:rsidR="00BD5585">
        <w:t xml:space="preserve">at </w:t>
      </w:r>
      <w:r w:rsidRPr="008D1A55">
        <w:t xml:space="preserve">temperatures between </w:t>
      </w:r>
      <w:r w:rsidR="00BD5585">
        <w:noBreakHyphen/>
      </w:r>
      <w:r w:rsidRPr="008D1A55">
        <w:t>20 to 2°C</w:t>
      </w:r>
      <w:r w:rsidR="00BD5585">
        <w:t xml:space="preserve">. The product </w:t>
      </w:r>
      <w:proofErr w:type="gramStart"/>
      <w:r w:rsidR="00BD5585">
        <w:t xml:space="preserve">should be </w:t>
      </w:r>
      <w:r w:rsidRPr="008D1A55">
        <w:t>no</w:t>
      </w:r>
      <w:r w:rsidR="00BD5585">
        <w:t>t be</w:t>
      </w:r>
      <w:proofErr w:type="gramEnd"/>
      <w:r w:rsidR="00BD5585">
        <w:t xml:space="preserve"> exposed to temperatures of </w:t>
      </w:r>
      <w:r w:rsidR="00BD5585" w:rsidRPr="008D1A55">
        <w:t>8</w:t>
      </w:r>
      <w:r w:rsidR="00BD5585">
        <w:t> </w:t>
      </w:r>
      <w:r w:rsidR="00BD5585" w:rsidRPr="008D1A55">
        <w:t>to 25°C</w:t>
      </w:r>
      <w:r w:rsidR="00BD5585">
        <w:t xml:space="preserve"> for longer than </w:t>
      </w:r>
      <w:r w:rsidRPr="008D1A55">
        <w:t>21 days between 8</w:t>
      </w:r>
      <w:r w:rsidR="00BD5585">
        <w:t> </w:t>
      </w:r>
      <w:r w:rsidR="00072074" w:rsidRPr="008D1A55">
        <w:t xml:space="preserve">to </w:t>
      </w:r>
      <w:r w:rsidRPr="008D1A55">
        <w:t xml:space="preserve">25°C, and </w:t>
      </w:r>
      <w:r w:rsidR="00BD5585">
        <w:t xml:space="preserve">the product should not be exposed to temperatures between </w:t>
      </w:r>
      <w:r w:rsidR="00BD5585" w:rsidRPr="008D1A55">
        <w:t xml:space="preserve">25 to 40°C </w:t>
      </w:r>
      <w:r w:rsidR="00BD5585">
        <w:t xml:space="preserve">for any longer than </w:t>
      </w:r>
      <w:r w:rsidRPr="008D1A55">
        <w:t>4 hours.</w:t>
      </w:r>
    </w:p>
    <w:p w14:paraId="7775F94A" w14:textId="65F84689" w:rsidR="002B7EBE" w:rsidRDefault="002B7EBE" w:rsidP="0063551F">
      <w:pPr>
        <w:pStyle w:val="Heading4"/>
      </w:pPr>
      <w:bookmarkStart w:id="42" w:name="_Ref121146899"/>
      <w:r>
        <w:lastRenderedPageBreak/>
        <w:t>Conclusions</w:t>
      </w:r>
      <w:bookmarkEnd w:id="42"/>
    </w:p>
    <w:p w14:paraId="76EF27CB" w14:textId="2A3612A4" w:rsidR="00B209DA" w:rsidRPr="008D1A55" w:rsidRDefault="00B209DA" w:rsidP="00C7364D">
      <w:r w:rsidRPr="008D1A55">
        <w:t xml:space="preserve">There are no objections on quality grounds to the approval of </w:t>
      </w:r>
      <w:proofErr w:type="spellStart"/>
      <w:r w:rsidR="00D670EF" w:rsidRPr="008D1A55">
        <w:t>Saphnelo</w:t>
      </w:r>
      <w:proofErr w:type="spellEnd"/>
      <w:r w:rsidRPr="008D1A55">
        <w:t xml:space="preserve"> </w:t>
      </w:r>
      <w:proofErr w:type="spellStart"/>
      <w:r w:rsidRPr="008D1A55">
        <w:t>anifrolumab</w:t>
      </w:r>
      <w:proofErr w:type="spellEnd"/>
      <w:r w:rsidRPr="008D1A55">
        <w:t xml:space="preserve"> 300</w:t>
      </w:r>
      <w:r w:rsidR="00072074" w:rsidRPr="008D1A55">
        <w:t> </w:t>
      </w:r>
      <w:r w:rsidRPr="008D1A55">
        <w:t>mg concentrated injection vial.</w:t>
      </w:r>
    </w:p>
    <w:p w14:paraId="67190B12" w14:textId="531246C4" w:rsidR="00B209DA" w:rsidRPr="008D1A55" w:rsidRDefault="00B209DA" w:rsidP="00C7364D">
      <w:r w:rsidRPr="008D1A55">
        <w:t>Lot release</w:t>
      </w:r>
      <w:r w:rsidR="00072074" w:rsidRPr="008D1A55">
        <w:t>, characterisation and stability test results</w:t>
      </w:r>
      <w:r w:rsidRPr="008D1A55">
        <w:t xml:space="preserve"> from the </w:t>
      </w:r>
      <w:r w:rsidR="00072074" w:rsidRPr="008D1A55">
        <w:t xml:space="preserve">drug substance </w:t>
      </w:r>
      <w:r w:rsidRPr="008D1A55">
        <w:t xml:space="preserve">comparability testing demonstrate that </w:t>
      </w:r>
      <w:proofErr w:type="spellStart"/>
      <w:r w:rsidRPr="008D1A55">
        <w:t>anifrolumab</w:t>
      </w:r>
      <w:proofErr w:type="spellEnd"/>
      <w:r w:rsidRPr="008D1A55">
        <w:t xml:space="preserve"> Process 3 material is comparable to Process</w:t>
      </w:r>
      <w:r w:rsidR="008D5724" w:rsidRPr="008D1A55">
        <w:t> </w:t>
      </w:r>
      <w:r w:rsidRPr="008D1A55">
        <w:t>1</w:t>
      </w:r>
      <w:r w:rsidR="00072074" w:rsidRPr="008D1A55">
        <w:t xml:space="preserve"> and </w:t>
      </w:r>
      <w:r w:rsidRPr="008D1A55">
        <w:t xml:space="preserve">2 </w:t>
      </w:r>
      <w:r w:rsidR="005E2736" w:rsidRPr="008D1A55">
        <w:t>materials</w:t>
      </w:r>
      <w:r w:rsidRPr="008D1A55">
        <w:t>.</w:t>
      </w:r>
      <w:r w:rsidR="008D5724" w:rsidRPr="008D1A55">
        <w:t xml:space="preserve"> </w:t>
      </w:r>
      <w:r w:rsidRPr="008D1A55">
        <w:t>Development of the manufacturing processes (</w:t>
      </w:r>
      <w:r w:rsidR="008D5724" w:rsidRPr="008D1A55">
        <w:t xml:space="preserve">Processes </w:t>
      </w:r>
      <w:r w:rsidRPr="008D1A55">
        <w:t>1</w:t>
      </w:r>
      <w:r w:rsidR="008D5724" w:rsidRPr="008D1A55">
        <w:t xml:space="preserve"> to </w:t>
      </w:r>
      <w:r w:rsidRPr="008D1A55">
        <w:t>3) ha</w:t>
      </w:r>
      <w:r w:rsidR="002B7EBE">
        <w:t>ve</w:t>
      </w:r>
      <w:r w:rsidRPr="008D1A55">
        <w:t xml:space="preserve"> been well compared</w:t>
      </w:r>
      <w:r w:rsidR="002B7EBE">
        <w:t xml:space="preserve"> to each other</w:t>
      </w:r>
      <w:r w:rsidRPr="008D1A55">
        <w:t xml:space="preserve"> and changes </w:t>
      </w:r>
      <w:r w:rsidR="002B7EBE">
        <w:t>have been</w:t>
      </w:r>
      <w:r w:rsidRPr="008D1A55">
        <w:t xml:space="preserve"> clearly identified and explained. The comparability of the commercial </w:t>
      </w:r>
      <w:r w:rsidR="008D5724" w:rsidRPr="008D1A55">
        <w:t xml:space="preserve">Process </w:t>
      </w:r>
      <w:r w:rsidRPr="008D1A55">
        <w:t xml:space="preserve">3 to </w:t>
      </w:r>
      <w:r w:rsidR="008D5724" w:rsidRPr="008D1A55">
        <w:t xml:space="preserve">Processes </w:t>
      </w:r>
      <w:r w:rsidRPr="008D1A55">
        <w:t>1 and 2 are acceptable and supported by characterisation and stability studies.</w:t>
      </w:r>
    </w:p>
    <w:p w14:paraId="46CAA3F4" w14:textId="0DD6555B" w:rsidR="00B209DA" w:rsidRPr="008D1A55" w:rsidRDefault="00B209DA" w:rsidP="00C7364D">
      <w:pPr>
        <w:pStyle w:val="Heading4"/>
      </w:pPr>
      <w:r w:rsidRPr="008D1A55">
        <w:t>Quality</w:t>
      </w:r>
      <w:r w:rsidR="00B14DC3">
        <w:t>-</w:t>
      </w:r>
      <w:r w:rsidRPr="008D1A55">
        <w:t>related proposed conditions of registration</w:t>
      </w:r>
    </w:p>
    <w:p w14:paraId="6B56CCC2" w14:textId="5C93A425" w:rsidR="00B209DA" w:rsidRPr="008D1A55" w:rsidRDefault="00B209DA" w:rsidP="008D5724">
      <w:pPr>
        <w:pStyle w:val="ListBullet"/>
      </w:pPr>
      <w:r w:rsidRPr="008D1A55">
        <w:t xml:space="preserve">It is a condition of registration that all batches of </w:t>
      </w:r>
      <w:proofErr w:type="spellStart"/>
      <w:r w:rsidR="00D670EF" w:rsidRPr="008D1A55">
        <w:t>Saphnelo</w:t>
      </w:r>
      <w:proofErr w:type="spellEnd"/>
      <w:r w:rsidRPr="008D1A55">
        <w:t xml:space="preserve"> </w:t>
      </w:r>
      <w:proofErr w:type="spellStart"/>
      <w:r w:rsidRPr="008D1A55">
        <w:t>anifrolumab</w:t>
      </w:r>
      <w:proofErr w:type="spellEnd"/>
      <w:r w:rsidRPr="008D1A55">
        <w:t xml:space="preserve"> imported into/manufactured in Australia must comply with the product details and specifications approved during evaluation and detailed in the Certified Product Details (CPD).</w:t>
      </w:r>
    </w:p>
    <w:p w14:paraId="4604989D" w14:textId="77777777" w:rsidR="008E7846" w:rsidRPr="008D1A55" w:rsidRDefault="008E7846" w:rsidP="008E7846">
      <w:pPr>
        <w:pStyle w:val="Heading3"/>
      </w:pPr>
      <w:bookmarkStart w:id="43" w:name="_Toc314842512"/>
      <w:bookmarkStart w:id="44" w:name="_Toc117166180"/>
      <w:r w:rsidRPr="008D1A55">
        <w:t>Nonclinical</w:t>
      </w:r>
      <w:bookmarkEnd w:id="43"/>
      <w:bookmarkEnd w:id="44"/>
    </w:p>
    <w:p w14:paraId="5641F053" w14:textId="60CB3C96" w:rsidR="00C7364D" w:rsidRPr="008D1A55" w:rsidRDefault="00C7364D" w:rsidP="00C7364D">
      <w:r w:rsidRPr="008D1A55">
        <w:t xml:space="preserve">The submitted </w:t>
      </w:r>
      <w:r w:rsidR="00AD6ECD" w:rsidRPr="008D1A55">
        <w:t xml:space="preserve">nonclinical </w:t>
      </w:r>
      <w:r w:rsidRPr="008D1A55">
        <w:t>dossier was in accordance with the relevant ICH guideline for the nonclinical assessment of biological medicines (ICH S6</w:t>
      </w:r>
      <w:r w:rsidR="00740C4D" w:rsidRPr="008D1A55">
        <w:t>(</w:t>
      </w:r>
      <w:r w:rsidRPr="008D1A55">
        <w:t>R1</w:t>
      </w:r>
      <w:r w:rsidR="00740C4D" w:rsidRPr="008D1A55">
        <w:t>)</w:t>
      </w:r>
      <w:r w:rsidRPr="008D1A55">
        <w:t>).</w:t>
      </w:r>
      <w:r w:rsidR="008D5E1B" w:rsidRPr="008D1A55">
        <w:rPr>
          <w:rStyle w:val="FootnoteReference"/>
        </w:rPr>
        <w:footnoteReference w:id="12"/>
      </w:r>
      <w:r w:rsidRPr="008D1A55">
        <w:t xml:space="preserve"> The overall quality of the nonclinical dossier was adequate. All pivotal safety</w:t>
      </w:r>
      <w:r w:rsidR="00B14DC3">
        <w:t>-</w:t>
      </w:r>
      <w:r w:rsidRPr="008D1A55">
        <w:t xml:space="preserve">related studies were </w:t>
      </w:r>
      <w:r w:rsidR="00C2136E" w:rsidRPr="008D1A55">
        <w:t>Good Laboratory Practice;</w:t>
      </w:r>
      <w:r w:rsidR="00C2136E" w:rsidRPr="008D1A55">
        <w:rPr>
          <w:rStyle w:val="FootnoteReference"/>
        </w:rPr>
        <w:footnoteReference w:id="13"/>
      </w:r>
      <w:r w:rsidRPr="008D1A55">
        <w:t xml:space="preserve"> compliant.</w:t>
      </w:r>
    </w:p>
    <w:p w14:paraId="3AAD8010" w14:textId="48B7C330" w:rsidR="00C7364D" w:rsidRPr="008D1A55" w:rsidRDefault="00C7364D" w:rsidP="00C7364D">
      <w:r w:rsidRPr="008D1A55">
        <w:rPr>
          <w:i/>
          <w:iCs/>
        </w:rPr>
        <w:t>In vitro</w:t>
      </w:r>
      <w:r w:rsidRPr="008D1A55">
        <w:t xml:space="preserve"> </w:t>
      </w:r>
      <w:proofErr w:type="spellStart"/>
      <w:r w:rsidRPr="008D1A55">
        <w:t>anifrolumab</w:t>
      </w:r>
      <w:proofErr w:type="spellEnd"/>
      <w:r w:rsidRPr="008D1A55">
        <w:t xml:space="preserve"> binds </w:t>
      </w:r>
      <w:r w:rsidR="00B47E5B" w:rsidRPr="008D1A55">
        <w:t>to the interferon alpha receptor 1 (</w:t>
      </w:r>
      <w:r w:rsidRPr="008D1A55">
        <w:t>IFNAR1</w:t>
      </w:r>
      <w:r w:rsidR="00B47E5B" w:rsidRPr="008D1A55">
        <w:t>)</w:t>
      </w:r>
      <w:r w:rsidRPr="008D1A55">
        <w:t xml:space="preserve"> receptor with nanomolar affinity and inhibits </w:t>
      </w:r>
      <w:r w:rsidR="00CC61CB" w:rsidRPr="008D1A55">
        <w:t>Type </w:t>
      </w:r>
      <w:r w:rsidR="00D264E5" w:rsidRPr="008D1A55">
        <w:t>I</w:t>
      </w:r>
      <w:r w:rsidRPr="008D1A55">
        <w:t xml:space="preserve"> </w:t>
      </w:r>
      <w:r w:rsidR="00D264E5" w:rsidRPr="008D1A55">
        <w:t>interferon</w:t>
      </w:r>
      <w:r w:rsidRPr="008D1A55">
        <w:t xml:space="preserve"> signalling, downstream immune responses, suppresses inflammatory responses, as well as activation of adaptive immune responses. </w:t>
      </w:r>
      <w:proofErr w:type="spellStart"/>
      <w:r w:rsidRPr="008D1A55">
        <w:t>Anifrolumab</w:t>
      </w:r>
      <w:proofErr w:type="spellEnd"/>
      <w:r w:rsidRPr="008D1A55">
        <w:t xml:space="preserve"> similarly binds cynomolgus monkey (but not rodent) IFNAR1 and inhibits </w:t>
      </w:r>
      <w:r w:rsidR="00CC61CB" w:rsidRPr="008D1A55">
        <w:t xml:space="preserve">Type </w:t>
      </w:r>
      <w:r w:rsidR="00D264E5" w:rsidRPr="008D1A55">
        <w:t>I</w:t>
      </w:r>
      <w:r w:rsidRPr="008D1A55">
        <w:t xml:space="preserve"> </w:t>
      </w:r>
      <w:r w:rsidR="00D264E5" w:rsidRPr="008D1A55">
        <w:t>interferon</w:t>
      </w:r>
      <w:r w:rsidRPr="008D1A55">
        <w:t xml:space="preserve"> induced cell signalling supporting the use of monkeys in toxicity studies.</w:t>
      </w:r>
    </w:p>
    <w:p w14:paraId="2D16AC79" w14:textId="7ACCFAD0" w:rsidR="00C7364D" w:rsidRPr="008D1A55" w:rsidRDefault="00C7364D" w:rsidP="00C7364D">
      <w:r w:rsidRPr="008D1A55">
        <w:t xml:space="preserve">An </w:t>
      </w:r>
      <w:r w:rsidRPr="008D1A55">
        <w:rPr>
          <w:i/>
          <w:iCs/>
        </w:rPr>
        <w:t>in vivo</w:t>
      </w:r>
      <w:r w:rsidRPr="008D1A55">
        <w:t xml:space="preserve"> study using a murine model of lupus nephritis with a surrogate anti</w:t>
      </w:r>
      <w:r w:rsidR="002950D3" w:rsidRPr="008D1A55">
        <w:noBreakHyphen/>
      </w:r>
      <w:r w:rsidRPr="008D1A55">
        <w:t xml:space="preserve">IFNAR antibody, 5A3, showed significant inhibition of </w:t>
      </w:r>
      <w:r w:rsidR="00CC61CB" w:rsidRPr="008D1A55">
        <w:t xml:space="preserve">Type </w:t>
      </w:r>
      <w:r w:rsidR="00D264E5" w:rsidRPr="008D1A55">
        <w:t>I</w:t>
      </w:r>
      <w:r w:rsidRPr="008D1A55">
        <w:t xml:space="preserve"> </w:t>
      </w:r>
      <w:r w:rsidR="00D264E5" w:rsidRPr="008D1A55">
        <w:t>interferon</w:t>
      </w:r>
      <w:r w:rsidRPr="008D1A55">
        <w:t xml:space="preserve"> signalling, evident as suppressed induction of </w:t>
      </w:r>
      <w:r w:rsidR="00CC61CB" w:rsidRPr="008D1A55">
        <w:t xml:space="preserve">Type </w:t>
      </w:r>
      <w:r w:rsidR="00D264E5" w:rsidRPr="008D1A55">
        <w:t>I</w:t>
      </w:r>
      <w:r w:rsidRPr="008D1A55">
        <w:t xml:space="preserve"> </w:t>
      </w:r>
      <w:r w:rsidR="00D264E5" w:rsidRPr="008D1A55">
        <w:t>interferon</w:t>
      </w:r>
      <w:r w:rsidRPr="008D1A55">
        <w:t xml:space="preserve"> induced genes and reduced the onset</w:t>
      </w:r>
      <w:r w:rsidR="002950D3" w:rsidRPr="008D1A55">
        <w:t xml:space="preserve"> or </w:t>
      </w:r>
      <w:r w:rsidRPr="008D1A55">
        <w:t>severity of kidney damage, supporting the proposed clinical indication and dose.</w:t>
      </w:r>
    </w:p>
    <w:p w14:paraId="59E35C72" w14:textId="412B32BC" w:rsidR="00C7364D" w:rsidRPr="008D1A55" w:rsidRDefault="00C7364D" w:rsidP="00C7364D">
      <w:proofErr w:type="spellStart"/>
      <w:r w:rsidRPr="008D1A55">
        <w:t>Anifrolumab</w:t>
      </w:r>
      <w:proofErr w:type="spellEnd"/>
      <w:r w:rsidRPr="008D1A55">
        <w:t xml:space="preserve"> did not induce complement dependent cytotoxicity or antibody dependent cellular cytotoxicity, but it is noted the tested concentrations were low.</w:t>
      </w:r>
    </w:p>
    <w:p w14:paraId="025E6DFD" w14:textId="0A5F4EC1" w:rsidR="00C7364D" w:rsidRPr="008D1A55" w:rsidRDefault="00C7364D" w:rsidP="00C7364D">
      <w:r w:rsidRPr="008D1A55">
        <w:t xml:space="preserve">Immunohistochemistry staining with </w:t>
      </w:r>
      <w:proofErr w:type="spellStart"/>
      <w:r w:rsidRPr="008D1A55">
        <w:t>anifrolumab</w:t>
      </w:r>
      <w:proofErr w:type="spellEnd"/>
      <w:r w:rsidRPr="008D1A55">
        <w:t xml:space="preserve"> of normal tissues of monkey and human origin was consistent with known IFNAR1 expression and a similar pattern was seen in both species.</w:t>
      </w:r>
    </w:p>
    <w:p w14:paraId="7BAE3DF3" w14:textId="512C4DC7" w:rsidR="00C7364D" w:rsidRPr="008D1A55" w:rsidRDefault="00C7364D" w:rsidP="00C7364D">
      <w:r w:rsidRPr="008D1A55">
        <w:t xml:space="preserve">No adverse effects on the function of central nervous, </w:t>
      </w:r>
      <w:r w:rsidR="00B14DC3" w:rsidRPr="008D1A55">
        <w:t>cardiovascular,</w:t>
      </w:r>
      <w:r w:rsidRPr="008D1A55">
        <w:t xml:space="preserve"> or respiratory systems during clinical use are predicted from animal studies.</w:t>
      </w:r>
    </w:p>
    <w:p w14:paraId="668B9893" w14:textId="08E2378B" w:rsidR="00C7364D" w:rsidRPr="008D1A55" w:rsidRDefault="00C7364D" w:rsidP="00C7364D">
      <w:r w:rsidRPr="008D1A55">
        <w:t xml:space="preserve">The </w:t>
      </w:r>
      <w:r w:rsidR="001E36A6" w:rsidRPr="008D1A55">
        <w:t>pharmacokinetics (PK)</w:t>
      </w:r>
      <w:r w:rsidRPr="008D1A55">
        <w:t xml:space="preserve"> of </w:t>
      </w:r>
      <w:proofErr w:type="spellStart"/>
      <w:r w:rsidRPr="008D1A55">
        <w:t>anifrolumab</w:t>
      </w:r>
      <w:proofErr w:type="spellEnd"/>
      <w:r w:rsidRPr="008D1A55">
        <w:t xml:space="preserve"> in monkeys and human subjects was generally consistent with the protein nature of the drug: long half-lives and limited distribution and considered acceptably similar in cynomolgus monkeys and human subjects.</w:t>
      </w:r>
    </w:p>
    <w:p w14:paraId="14693591" w14:textId="3FA5E801" w:rsidR="00C7364D" w:rsidRPr="008D1A55" w:rsidRDefault="00C7364D" w:rsidP="00C7364D">
      <w:proofErr w:type="spellStart"/>
      <w:r w:rsidRPr="008D1A55">
        <w:t>Anifrolumab</w:t>
      </w:r>
      <w:proofErr w:type="spellEnd"/>
      <w:r w:rsidRPr="008D1A55">
        <w:t xml:space="preserve"> had a low order of acute </w:t>
      </w:r>
      <w:r w:rsidR="008D5724" w:rsidRPr="008D1A55">
        <w:t xml:space="preserve">intravenous </w:t>
      </w:r>
      <w:r w:rsidRPr="008D1A55">
        <w:t>toxicity in monkeys.</w:t>
      </w:r>
    </w:p>
    <w:p w14:paraId="2338C050" w14:textId="7F844F3D" w:rsidR="00C7364D" w:rsidRPr="008D1A55" w:rsidRDefault="00C7364D" w:rsidP="00C7364D">
      <w:r w:rsidRPr="008D1A55">
        <w:lastRenderedPageBreak/>
        <w:t>Repeat</w:t>
      </w:r>
      <w:r w:rsidR="002950D3" w:rsidRPr="008D1A55">
        <w:t xml:space="preserve"> </w:t>
      </w:r>
      <w:r w:rsidRPr="008D1A55">
        <w:t xml:space="preserve">dose toxicity studies by the </w:t>
      </w:r>
      <w:r w:rsidR="008D5724" w:rsidRPr="008D1A55">
        <w:t>intravenous</w:t>
      </w:r>
      <w:r w:rsidRPr="008D1A55">
        <w:t xml:space="preserve"> route were conducted in cynomolgus monkeys (up to 39 weeks). </w:t>
      </w:r>
      <w:proofErr w:type="spellStart"/>
      <w:r w:rsidRPr="008D1A55">
        <w:t>Anifrolumab</w:t>
      </w:r>
      <w:proofErr w:type="spellEnd"/>
      <w:r w:rsidRPr="008D1A55">
        <w:t xml:space="preserve"> was generally well tolerated. However, effects potentially secondary to anti-</w:t>
      </w:r>
      <w:proofErr w:type="spellStart"/>
      <w:r w:rsidRPr="008D1A55">
        <w:t>anifrolumab</w:t>
      </w:r>
      <w:proofErr w:type="spellEnd"/>
      <w:r w:rsidRPr="008D1A55">
        <w:t xml:space="preserve"> antibody formation were observed (arteritis in various organs potentially associated with deposition of drug-</w:t>
      </w:r>
      <w:r w:rsidR="00A01497" w:rsidRPr="008D1A55">
        <w:t>antidrug antibody (</w:t>
      </w:r>
      <w:r w:rsidRPr="008D1A55">
        <w:t>ADA</w:t>
      </w:r>
      <w:r w:rsidR="00A01497" w:rsidRPr="008D1A55">
        <w:t>)</w:t>
      </w:r>
      <w:r w:rsidRPr="008D1A55">
        <w:t xml:space="preserve"> complexes and hypersensitivity reactions). However, there were no investigative studies of drug</w:t>
      </w:r>
      <w:r w:rsidR="002950D3" w:rsidRPr="008D1A55">
        <w:noBreakHyphen/>
      </w:r>
      <w:r w:rsidRPr="008D1A55">
        <w:t>ADA complex deposition and attribution of arteritis to immune complex deposition therefore remains speculative.</w:t>
      </w:r>
    </w:p>
    <w:p w14:paraId="53367F39" w14:textId="0B4CF8AE" w:rsidR="00C7364D" w:rsidRPr="008D1A55" w:rsidRDefault="00C7364D" w:rsidP="00C7364D">
      <w:r w:rsidRPr="008D1A55">
        <w:t xml:space="preserve">No genotoxicity or carcinogenicity studies were submitted, which is considered acceptable. A carcinogenicity risk assessment based on published literature with relevant </w:t>
      </w:r>
      <w:r w:rsidR="002950D3" w:rsidRPr="008D1A55">
        <w:t>knockout</w:t>
      </w:r>
      <w:r w:rsidRPr="008D1A55">
        <w:t xml:space="preserve"> mice models, concluded there is evidence of a potential increased carcinogenic risk to patients. The relevance for malignancy risk in humans is unknown.</w:t>
      </w:r>
    </w:p>
    <w:p w14:paraId="7387DDCB" w14:textId="54429701" w:rsidR="00C7364D" w:rsidRPr="008D1A55" w:rsidRDefault="00C7364D" w:rsidP="00C7364D">
      <w:r w:rsidRPr="008D1A55">
        <w:t>In an enhanced pre</w:t>
      </w:r>
      <w:r w:rsidR="002950D3" w:rsidRPr="008D1A55">
        <w:t>-</w:t>
      </w:r>
      <w:r w:rsidR="00CA1444" w:rsidRPr="008D1A55">
        <w:t xml:space="preserve"> or </w:t>
      </w:r>
      <w:r w:rsidRPr="008D1A55">
        <w:t>post</w:t>
      </w:r>
      <w:r w:rsidR="002950D3" w:rsidRPr="008D1A55">
        <w:t>-</w:t>
      </w:r>
      <w:r w:rsidRPr="008D1A55">
        <w:t>natal study in cynomolgus monkeys, treatment starting from the period of organogenesis (</w:t>
      </w:r>
      <w:r w:rsidR="00DA15D9" w:rsidRPr="008D1A55">
        <w:t>gestation Day 20</w:t>
      </w:r>
      <w:r w:rsidRPr="008D1A55">
        <w:t>) until early lactation (4</w:t>
      </w:r>
      <w:r w:rsidR="002950D3" w:rsidRPr="008D1A55">
        <w:t> </w:t>
      </w:r>
      <w:r w:rsidRPr="008D1A55">
        <w:t xml:space="preserve">weeks after delivery) was not associated with maternal toxicity, effects on embryofetal development, pregnancy outcomes or postnatal development at high exposure levels of up to 28 times the clinical </w:t>
      </w:r>
      <w:r w:rsidR="00DA15D9" w:rsidRPr="008D1A55">
        <w:t>area under the concentration time curve</w:t>
      </w:r>
      <w:r w:rsidRPr="008D1A55">
        <w:t>. However, based on the pharmacological activity of the drug and the presence of circulating drug in infants</w:t>
      </w:r>
      <w:r w:rsidR="002950D3" w:rsidRPr="008D1A55">
        <w:t xml:space="preserve"> </w:t>
      </w:r>
      <w:r w:rsidRPr="008D1A55">
        <w:t xml:space="preserve">following maternal exposure during gestation, a risk of a higher incidence of viral infections may be seen in infants exposed to </w:t>
      </w:r>
      <w:proofErr w:type="spellStart"/>
      <w:r w:rsidRPr="008D1A55">
        <w:t>anifrolumab</w:t>
      </w:r>
      <w:proofErr w:type="spellEnd"/>
      <w:r w:rsidRPr="008D1A55">
        <w:t xml:space="preserve"> during the last stages of pregnancy.</w:t>
      </w:r>
    </w:p>
    <w:p w14:paraId="3E54A61D" w14:textId="35B90F25" w:rsidR="00C7364D" w:rsidRPr="008D1A55" w:rsidRDefault="00C7364D" w:rsidP="00C7364D">
      <w:proofErr w:type="spellStart"/>
      <w:r w:rsidRPr="008D1A55">
        <w:t>Anifrolumab</w:t>
      </w:r>
      <w:proofErr w:type="spellEnd"/>
      <w:r w:rsidRPr="008D1A55">
        <w:t xml:space="preserve"> was well tolerated locally in monkeys. Whilst no injection site reactions were seen when </w:t>
      </w:r>
      <w:proofErr w:type="spellStart"/>
      <w:r w:rsidRPr="008D1A55">
        <w:t>anifrolumab</w:t>
      </w:r>
      <w:proofErr w:type="spellEnd"/>
      <w:r w:rsidRPr="008D1A55">
        <w:t xml:space="preserve"> was administered as an </w:t>
      </w:r>
      <w:r w:rsidR="008D5724" w:rsidRPr="008D1A55">
        <w:t>intravenous</w:t>
      </w:r>
      <w:r w:rsidRPr="008D1A55">
        <w:t xml:space="preserve"> infusion to monkeys, the vehicle used was different from the final clinical formulation, so the predictive value of the absence of findings is limited.</w:t>
      </w:r>
    </w:p>
    <w:p w14:paraId="507579A1" w14:textId="62C81F25" w:rsidR="00C7364D" w:rsidRPr="008D1A55" w:rsidRDefault="00C7364D" w:rsidP="00C7364D">
      <w:r w:rsidRPr="008D1A55">
        <w:t xml:space="preserve">Under the nonclinical test conditions, </w:t>
      </w:r>
      <w:proofErr w:type="spellStart"/>
      <w:r w:rsidRPr="008D1A55">
        <w:t>anifrolumab</w:t>
      </w:r>
      <w:proofErr w:type="spellEnd"/>
      <w:r w:rsidRPr="008D1A55">
        <w:t xml:space="preserve"> did not demonstrate significant </w:t>
      </w:r>
      <w:proofErr w:type="spellStart"/>
      <w:r w:rsidRPr="008D1A55">
        <w:t>immunotoxic</w:t>
      </w:r>
      <w:proofErr w:type="spellEnd"/>
      <w:r w:rsidRPr="008D1A55">
        <w:t xml:space="preserve"> activity or perturb immunological responses. However, published literature indicated an increased susceptibility to viral infections in IFNAR1 knockout mice. A higher incidence and/or severity of viral infections may be seen in patients treated with </w:t>
      </w:r>
      <w:proofErr w:type="spellStart"/>
      <w:r w:rsidRPr="008D1A55">
        <w:t>anifrolumab</w:t>
      </w:r>
      <w:proofErr w:type="spellEnd"/>
      <w:r w:rsidRPr="008D1A55">
        <w:t>.</w:t>
      </w:r>
    </w:p>
    <w:p w14:paraId="24BBFE17" w14:textId="0DC5B36C" w:rsidR="00C7364D" w:rsidRPr="008D1A55" w:rsidRDefault="005E2736" w:rsidP="00C7364D">
      <w:pPr>
        <w:pStyle w:val="Heading4"/>
      </w:pPr>
      <w:r w:rsidRPr="008D1A55">
        <w:t>Conclusions and recommendation</w:t>
      </w:r>
      <w:r w:rsidR="002950D3" w:rsidRPr="008D1A55">
        <w:t>s</w:t>
      </w:r>
    </w:p>
    <w:p w14:paraId="7E5D05DC" w14:textId="64BFC503" w:rsidR="00C7364D" w:rsidRPr="008D1A55" w:rsidRDefault="00C7364D" w:rsidP="00C7364D">
      <w:r w:rsidRPr="008D1A55">
        <w:t>The proposed mechanism of action of inhibition of IFNAR1 receptor</w:t>
      </w:r>
      <w:r w:rsidR="002950D3" w:rsidRPr="008D1A55">
        <w:t xml:space="preserve"> or </w:t>
      </w:r>
      <w:r w:rsidR="00CC61CB" w:rsidRPr="008D1A55">
        <w:t xml:space="preserve">Type </w:t>
      </w:r>
      <w:r w:rsidR="00D264E5" w:rsidRPr="008D1A55">
        <w:t>I</w:t>
      </w:r>
      <w:r w:rsidRPr="008D1A55">
        <w:t xml:space="preserve"> </w:t>
      </w:r>
      <w:r w:rsidR="00D264E5" w:rsidRPr="008D1A55">
        <w:t>interferon</w:t>
      </w:r>
      <w:r w:rsidRPr="008D1A55">
        <w:t xml:space="preserve"> signalling was demonstrated in primary pharmacology studies which lend support for the proposed treatment of patients with severe </w:t>
      </w:r>
      <w:bookmarkStart w:id="45" w:name="_Hlk116928308"/>
      <w:r w:rsidR="00640279" w:rsidRPr="008D1A55">
        <w:t xml:space="preserve">systemic lupus erythematosus </w:t>
      </w:r>
      <w:bookmarkEnd w:id="45"/>
      <w:r w:rsidR="00640279" w:rsidRPr="008D1A55">
        <w:t>(</w:t>
      </w:r>
      <w:r w:rsidRPr="008D1A55">
        <w:t>SLE</w:t>
      </w:r>
      <w:r w:rsidR="00640279" w:rsidRPr="008D1A55">
        <w:t>)</w:t>
      </w:r>
      <w:r w:rsidRPr="008D1A55">
        <w:t>.</w:t>
      </w:r>
    </w:p>
    <w:p w14:paraId="51B6C84D" w14:textId="325FC07C" w:rsidR="00C7364D" w:rsidRPr="008D1A55" w:rsidRDefault="00C7364D" w:rsidP="00C7364D">
      <w:r w:rsidRPr="008D1A55">
        <w:t>The only notable findings in toxicity studies were associated with ADA formation (arteritis and hypersensitivity). While immunogenicity in animals is not always predictive of the human response, the findings do indicate the potential secondary effects that may be seen in patients who develop ADAs.</w:t>
      </w:r>
    </w:p>
    <w:p w14:paraId="6C2F03B8" w14:textId="26F3E412" w:rsidR="00C7364D" w:rsidRPr="008D1A55" w:rsidRDefault="00C7364D" w:rsidP="00C7364D">
      <w:r w:rsidRPr="008D1A55">
        <w:t xml:space="preserve">Local tolerance (by </w:t>
      </w:r>
      <w:r w:rsidR="008D5724" w:rsidRPr="008D1A55">
        <w:t>intravenous</w:t>
      </w:r>
      <w:r w:rsidRPr="008D1A55">
        <w:t xml:space="preserve"> infusion) will need to be addressed by clinical data.</w:t>
      </w:r>
    </w:p>
    <w:p w14:paraId="62AE8A33" w14:textId="5D64203D" w:rsidR="00C7364D" w:rsidRPr="008D1A55" w:rsidRDefault="00C7364D" w:rsidP="00C7364D">
      <w:r w:rsidRPr="008D1A55">
        <w:t>Materials used in nonclinical studies were development batches manufactured by ‘Process</w:t>
      </w:r>
      <w:r w:rsidR="002950D3" w:rsidRPr="008D1A55">
        <w:t> </w:t>
      </w:r>
      <w:r w:rsidRPr="008D1A55">
        <w:t xml:space="preserve">1’. </w:t>
      </w:r>
      <w:proofErr w:type="spellStart"/>
      <w:r w:rsidRPr="008D1A55">
        <w:t>Anifrolumab</w:t>
      </w:r>
      <w:proofErr w:type="spellEnd"/>
      <w:r w:rsidRPr="008D1A55">
        <w:t xml:space="preserve"> drug substance proposed for marketing in Australia is now manufactured by ‘Process 3’. No bridging PK/</w:t>
      </w:r>
      <w:r w:rsidR="00A01497" w:rsidRPr="008D1A55">
        <w:t>pharmacodynamic (</w:t>
      </w:r>
      <w:r w:rsidRPr="008D1A55">
        <w:t>PD</w:t>
      </w:r>
      <w:r w:rsidR="00A01497" w:rsidRPr="008D1A55">
        <w:t>)</w:t>
      </w:r>
      <w:r w:rsidRPr="008D1A55">
        <w:t xml:space="preserve"> studies were conducted to confirm there was no difference in the pharmacology and </w:t>
      </w:r>
      <w:r w:rsidR="001E36A6" w:rsidRPr="008D1A55">
        <w:t>PK</w:t>
      </w:r>
      <w:r w:rsidRPr="008D1A55">
        <w:t xml:space="preserve"> of the drug substance manufactured using the </w:t>
      </w:r>
      <w:r w:rsidR="002950D3" w:rsidRPr="008D1A55">
        <w:t>two</w:t>
      </w:r>
      <w:r w:rsidRPr="008D1A55">
        <w:t xml:space="preserve"> different processes. Advice on comparability should be sought from the TGA </w:t>
      </w:r>
      <w:r w:rsidR="00AD6ECD" w:rsidRPr="008D1A55">
        <w:t>quality</w:t>
      </w:r>
      <w:r w:rsidRPr="008D1A55">
        <w:t xml:space="preserve"> evaluat</w:t>
      </w:r>
      <w:r w:rsidR="00AD6ECD" w:rsidRPr="008D1A55">
        <w:t>ion</w:t>
      </w:r>
      <w:r w:rsidRPr="008D1A55">
        <w:t xml:space="preserve"> indicating that the Process 1 and Process 3 drug substance</w:t>
      </w:r>
      <w:r w:rsidR="002950D3" w:rsidRPr="008D1A55">
        <w:t xml:space="preserve"> or </w:t>
      </w:r>
      <w:r w:rsidRPr="008D1A55">
        <w:t xml:space="preserve">product are comparable. The applicability of the nonclinical findings is dependent on acceptable similarities between the </w:t>
      </w:r>
      <w:r w:rsidR="002950D3" w:rsidRPr="008D1A55">
        <w:t>two</w:t>
      </w:r>
      <w:r w:rsidRPr="008D1A55">
        <w:t xml:space="preserve"> drug substances.</w:t>
      </w:r>
    </w:p>
    <w:p w14:paraId="5CF8B725" w14:textId="7F31C17D" w:rsidR="00C7364D" w:rsidRPr="008D1A55" w:rsidRDefault="00C7364D" w:rsidP="00C7364D">
      <w:r w:rsidRPr="008D1A55">
        <w:t xml:space="preserve">Provided that the drug manufactured by Process 1 </w:t>
      </w:r>
      <w:proofErr w:type="gramStart"/>
      <w:r w:rsidRPr="008D1A55">
        <w:t>is considered to be</w:t>
      </w:r>
      <w:proofErr w:type="gramEnd"/>
      <w:r w:rsidRPr="008D1A55">
        <w:t xml:space="preserve"> identical or highly comparable to the drug manufactured by Process 3 by the </w:t>
      </w:r>
      <w:r w:rsidR="00AD6ECD" w:rsidRPr="008D1A55">
        <w:t>quality</w:t>
      </w:r>
      <w:r w:rsidRPr="008D1A55">
        <w:t xml:space="preserve"> evaluat</w:t>
      </w:r>
      <w:r w:rsidR="00AD6ECD" w:rsidRPr="008D1A55">
        <w:t>ion</w:t>
      </w:r>
      <w:r w:rsidRPr="008D1A55">
        <w:t xml:space="preserve">, there are no </w:t>
      </w:r>
      <w:r w:rsidRPr="008D1A55">
        <w:lastRenderedPageBreak/>
        <w:t xml:space="preserve">nonclinical objections to the registration of </w:t>
      </w:r>
      <w:proofErr w:type="spellStart"/>
      <w:r w:rsidR="00D670EF" w:rsidRPr="008D1A55">
        <w:t>Saphnelo</w:t>
      </w:r>
      <w:proofErr w:type="spellEnd"/>
      <w:r w:rsidRPr="008D1A55">
        <w:t xml:space="preserve"> for the proposed indication</w:t>
      </w:r>
      <w:r w:rsidR="002B7EBE">
        <w:t xml:space="preserve"> (see Section: </w:t>
      </w:r>
      <w:r w:rsidR="002B7EBE">
        <w:fldChar w:fldCharType="begin"/>
      </w:r>
      <w:r w:rsidR="002B7EBE">
        <w:instrText xml:space="preserve"> REF _Ref121146899 \h </w:instrText>
      </w:r>
      <w:r w:rsidR="002B7EBE">
        <w:fldChar w:fldCharType="separate"/>
      </w:r>
      <w:r w:rsidR="002B7EBE">
        <w:t>Quality conclusions</w:t>
      </w:r>
      <w:r w:rsidR="002B7EBE">
        <w:fldChar w:fldCharType="end"/>
      </w:r>
      <w:r w:rsidR="002B7EBE">
        <w:t xml:space="preserve"> for further details).</w:t>
      </w:r>
    </w:p>
    <w:p w14:paraId="6D341D30" w14:textId="77777777" w:rsidR="008E7846" w:rsidRPr="008D1A55" w:rsidRDefault="008E7846" w:rsidP="008E7846">
      <w:pPr>
        <w:pStyle w:val="Heading3"/>
      </w:pPr>
      <w:bookmarkStart w:id="46" w:name="_Toc247691530"/>
      <w:bookmarkStart w:id="47" w:name="_Toc314842513"/>
      <w:bookmarkStart w:id="48" w:name="_Toc117166181"/>
      <w:r w:rsidRPr="008D1A55">
        <w:t>Clinical</w:t>
      </w:r>
      <w:bookmarkEnd w:id="46"/>
      <w:bookmarkEnd w:id="47"/>
      <w:bookmarkEnd w:id="48"/>
    </w:p>
    <w:p w14:paraId="4B17E2A9" w14:textId="77777777" w:rsidR="0074163C" w:rsidRPr="008D1A55" w:rsidRDefault="0074163C" w:rsidP="0074163C">
      <w:pPr>
        <w:pStyle w:val="Heading4"/>
      </w:pPr>
      <w:bookmarkStart w:id="49" w:name="_Toc98931928"/>
      <w:r w:rsidRPr="008D1A55">
        <w:t>Summary of clinical studies</w:t>
      </w:r>
      <w:bookmarkEnd w:id="49"/>
    </w:p>
    <w:p w14:paraId="6E5F419D" w14:textId="0C951DE8" w:rsidR="0074163C" w:rsidRPr="008D1A55" w:rsidRDefault="0074163C" w:rsidP="0074163C">
      <w:r w:rsidRPr="008D1A55">
        <w:t>The clinical dossier consisted of</w:t>
      </w:r>
      <w:r w:rsidR="00EB36D6" w:rsidRPr="008D1A55">
        <w:t>:</w:t>
      </w:r>
    </w:p>
    <w:p w14:paraId="6FA11147" w14:textId="32D8D504" w:rsidR="00CE0AC5" w:rsidRPr="008D1A55" w:rsidRDefault="002B7EBE" w:rsidP="000C392B">
      <w:pPr>
        <w:pStyle w:val="ListBullet"/>
      </w:pPr>
      <w:r>
        <w:t>two</w:t>
      </w:r>
      <w:r w:rsidR="00BC1417" w:rsidRPr="008D1A55">
        <w:t xml:space="preserve"> </w:t>
      </w:r>
      <w:r w:rsidR="004C342A" w:rsidRPr="008D1A55">
        <w:t xml:space="preserve">Phase I </w:t>
      </w:r>
      <w:r w:rsidR="00BC1417" w:rsidRPr="008D1A55">
        <w:t xml:space="preserve">pharmacology studies: Study </w:t>
      </w:r>
      <w:r w:rsidR="004C342A" w:rsidRPr="008D1A55">
        <w:t>D3461C00006</w:t>
      </w:r>
      <w:r w:rsidR="00BC1417" w:rsidRPr="008D1A55">
        <w:t xml:space="preserve"> and Study </w:t>
      </w:r>
      <w:r w:rsidR="00CE0AC5" w:rsidRPr="008D1A55">
        <w:t>MI</w:t>
      </w:r>
      <w:r w:rsidR="00BC1417" w:rsidRPr="008D1A55">
        <w:noBreakHyphen/>
      </w:r>
      <w:proofErr w:type="gramStart"/>
      <w:r w:rsidR="00CE0AC5" w:rsidRPr="008D1A55">
        <w:t>CP180</w:t>
      </w:r>
      <w:r w:rsidR="00BC1417" w:rsidRPr="008D1A55">
        <w:t>;</w:t>
      </w:r>
      <w:proofErr w:type="gramEnd"/>
    </w:p>
    <w:p w14:paraId="1D987CB1" w14:textId="4370D6FD" w:rsidR="00CE0AC5" w:rsidRPr="008D1A55" w:rsidRDefault="002B7EBE" w:rsidP="000C392B">
      <w:pPr>
        <w:pStyle w:val="ListBullet"/>
      </w:pPr>
      <w:r>
        <w:t>four</w:t>
      </w:r>
      <w:r w:rsidR="00BC1417" w:rsidRPr="008D1A55">
        <w:t xml:space="preserve"> </w:t>
      </w:r>
      <w:r w:rsidR="00CE0AC5" w:rsidRPr="008D1A55">
        <w:t>Phase II</w:t>
      </w:r>
      <w:r w:rsidR="00BC1417" w:rsidRPr="008D1A55">
        <w:t xml:space="preserve"> </w:t>
      </w:r>
      <w:r w:rsidR="000C392B" w:rsidRPr="008D1A55">
        <w:t xml:space="preserve">pharmacology, efficacy and safety </w:t>
      </w:r>
      <w:r w:rsidR="00BC1417" w:rsidRPr="008D1A55">
        <w:t>studies:</w:t>
      </w:r>
      <w:r w:rsidR="00CE0AC5" w:rsidRPr="008D1A55">
        <w:t xml:space="preserve"> Study CD-IA-MEDI-546-1013</w:t>
      </w:r>
      <w:r w:rsidR="00BC1417" w:rsidRPr="008D1A55">
        <w:t xml:space="preserve">, </w:t>
      </w:r>
      <w:r w:rsidR="00CE0AC5" w:rsidRPr="008D1A55">
        <w:t>Study D3461C00002</w:t>
      </w:r>
      <w:r w:rsidR="00BC1417" w:rsidRPr="008D1A55">
        <w:t>, Study</w:t>
      </w:r>
      <w:r w:rsidR="00CE0AC5" w:rsidRPr="008D1A55">
        <w:t xml:space="preserve"> CD-IA-MEDI-546-1013</w:t>
      </w:r>
      <w:r w:rsidR="00BC1417" w:rsidRPr="008D1A55">
        <w:t xml:space="preserve"> and Study </w:t>
      </w:r>
      <w:r w:rsidR="00CE0AC5" w:rsidRPr="008D1A55">
        <w:t>CD-IA-MEDI-546-</w:t>
      </w:r>
      <w:proofErr w:type="gramStart"/>
      <w:r w:rsidR="00CE0AC5" w:rsidRPr="008D1A55">
        <w:t>1145</w:t>
      </w:r>
      <w:r w:rsidR="000C392B" w:rsidRPr="008D1A55">
        <w:t>;</w:t>
      </w:r>
      <w:proofErr w:type="gramEnd"/>
    </w:p>
    <w:p w14:paraId="639F612B" w14:textId="5AF48E43" w:rsidR="00CE0AC5" w:rsidRPr="008D1A55" w:rsidRDefault="002B7EBE" w:rsidP="000C392B">
      <w:pPr>
        <w:pStyle w:val="ListBullet"/>
      </w:pPr>
      <w:r>
        <w:t>three</w:t>
      </w:r>
      <w:r w:rsidR="00BC1417" w:rsidRPr="008D1A55">
        <w:t xml:space="preserve"> </w:t>
      </w:r>
      <w:r w:rsidR="004C342A" w:rsidRPr="008D1A55">
        <w:t xml:space="preserve">Phase III </w:t>
      </w:r>
      <w:r w:rsidR="000C392B" w:rsidRPr="008D1A55">
        <w:t xml:space="preserve">pharmacology, </w:t>
      </w:r>
      <w:proofErr w:type="gramStart"/>
      <w:r w:rsidR="000C392B" w:rsidRPr="008D1A55">
        <w:t>efficacy</w:t>
      </w:r>
      <w:proofErr w:type="gramEnd"/>
      <w:r w:rsidR="000C392B" w:rsidRPr="008D1A55">
        <w:t xml:space="preserve"> and safety </w:t>
      </w:r>
      <w:r w:rsidR="00BC1417" w:rsidRPr="008D1A55">
        <w:t xml:space="preserve">studies: Study </w:t>
      </w:r>
      <w:r w:rsidR="004C342A" w:rsidRPr="008D1A55">
        <w:t xml:space="preserve">D3461C00004 </w:t>
      </w:r>
      <w:r w:rsidR="00CE0AC5" w:rsidRPr="008D1A55">
        <w:t>(</w:t>
      </w:r>
      <w:r w:rsidR="00BC1417" w:rsidRPr="008D1A55">
        <w:t xml:space="preserve">pivotal </w:t>
      </w:r>
      <w:r w:rsidR="000C392B" w:rsidRPr="008D1A55">
        <w:t>study</w:t>
      </w:r>
      <w:r w:rsidR="00CE0AC5" w:rsidRPr="008D1A55">
        <w:t>)</w:t>
      </w:r>
      <w:r w:rsidR="00BC1417" w:rsidRPr="008D1A55">
        <w:t xml:space="preserve">. Study </w:t>
      </w:r>
      <w:r w:rsidR="004C342A" w:rsidRPr="008D1A55">
        <w:t xml:space="preserve">D3461C00005 </w:t>
      </w:r>
      <w:r w:rsidR="00BC1417" w:rsidRPr="008D1A55">
        <w:t xml:space="preserve">(pivotal </w:t>
      </w:r>
      <w:r w:rsidR="000C392B" w:rsidRPr="008D1A55">
        <w:t>study</w:t>
      </w:r>
      <w:r w:rsidR="00CE0AC5" w:rsidRPr="008D1A55">
        <w:t>)</w:t>
      </w:r>
      <w:r w:rsidR="00BC1417" w:rsidRPr="008D1A55">
        <w:t xml:space="preserve"> and </w:t>
      </w:r>
      <w:r w:rsidR="004C342A" w:rsidRPr="008D1A55">
        <w:t>Study</w:t>
      </w:r>
      <w:r w:rsidR="00BC1417" w:rsidRPr="008D1A55">
        <w:t> </w:t>
      </w:r>
      <w:r w:rsidR="004C342A" w:rsidRPr="008D1A55">
        <w:t xml:space="preserve">D346100009 </w:t>
      </w:r>
      <w:r w:rsidR="00BC1417" w:rsidRPr="008D1A55">
        <w:t>(</w:t>
      </w:r>
      <w:r w:rsidR="004C342A" w:rsidRPr="008D1A55">
        <w:t xml:space="preserve">long-term 3-year extension </w:t>
      </w:r>
      <w:r w:rsidR="000C392B" w:rsidRPr="008D1A55">
        <w:t>study</w:t>
      </w:r>
      <w:r w:rsidR="00BC1417" w:rsidRPr="008D1A55">
        <w:t>).</w:t>
      </w:r>
    </w:p>
    <w:p w14:paraId="1E33C488" w14:textId="77777777" w:rsidR="00C7364D" w:rsidRPr="008D1A55" w:rsidRDefault="00C7364D" w:rsidP="00C7364D">
      <w:r w:rsidRPr="008D1A55">
        <w:t>The submission did not include paediatric data.</w:t>
      </w:r>
    </w:p>
    <w:p w14:paraId="4307486F" w14:textId="74A41B65" w:rsidR="00C7364D" w:rsidRPr="008D1A55" w:rsidRDefault="00C7364D" w:rsidP="00C7364D">
      <w:r w:rsidRPr="008D1A55">
        <w:t xml:space="preserve">The </w:t>
      </w:r>
      <w:r w:rsidR="00720FF5" w:rsidRPr="008D1A55">
        <w:t>sponsor</w:t>
      </w:r>
      <w:r w:rsidRPr="008D1A55">
        <w:t xml:space="preserve"> advised that they have an agreed Paediatric Investigation Plan in Europe. The date on which the company is required to submit a report of a study conducted as part of the </w:t>
      </w:r>
      <w:r w:rsidR="001605DB" w:rsidRPr="008D1A55">
        <w:t xml:space="preserve">Paediatric Investigation Plan </w:t>
      </w:r>
      <w:r w:rsidRPr="008D1A55">
        <w:t>is March 2023.</w:t>
      </w:r>
    </w:p>
    <w:p w14:paraId="0972988E" w14:textId="01EC8B41" w:rsidR="00C7364D" w:rsidRPr="008D1A55" w:rsidRDefault="00C7364D" w:rsidP="00C7364D">
      <w:pPr>
        <w:pStyle w:val="Heading4"/>
      </w:pPr>
      <w:r w:rsidRPr="008D1A55">
        <w:t>Pharmacology</w:t>
      </w:r>
    </w:p>
    <w:p w14:paraId="0C5324FB" w14:textId="3355D901" w:rsidR="00C7364D" w:rsidRPr="008D1A55" w:rsidRDefault="00C7364D" w:rsidP="00C7364D">
      <w:pPr>
        <w:pStyle w:val="Heading5"/>
      </w:pPr>
      <w:r w:rsidRPr="008D1A55">
        <w:t>Pharmacokinetics</w:t>
      </w:r>
    </w:p>
    <w:p w14:paraId="6CBE56CC" w14:textId="504DBD44" w:rsidR="00C7364D" w:rsidRPr="008D1A55" w:rsidRDefault="00C7364D" w:rsidP="00C7364D">
      <w:r w:rsidRPr="008D1A55">
        <w:t xml:space="preserve">The </w:t>
      </w:r>
      <w:r w:rsidR="00720FF5" w:rsidRPr="008D1A55">
        <w:t xml:space="preserve">summary of clinical pharmacology </w:t>
      </w:r>
      <w:r w:rsidRPr="008D1A55">
        <w:t xml:space="preserve">consists of </w:t>
      </w:r>
      <w:r w:rsidR="00A01497" w:rsidRPr="008D1A55">
        <w:t>pharmacokinetic (</w:t>
      </w:r>
      <w:r w:rsidRPr="008D1A55">
        <w:t>PK</w:t>
      </w:r>
      <w:r w:rsidR="00A01497" w:rsidRPr="008D1A55">
        <w:t>)</w:t>
      </w:r>
      <w:r w:rsidRPr="008D1A55">
        <w:t xml:space="preserve"> data derived from eight studies that evaluated </w:t>
      </w:r>
      <w:proofErr w:type="spellStart"/>
      <w:r w:rsidRPr="008D1A55">
        <w:t>anifrolumab</w:t>
      </w:r>
      <w:proofErr w:type="spellEnd"/>
      <w:r w:rsidRPr="008D1A55">
        <w:t xml:space="preserve"> administered as an </w:t>
      </w:r>
      <w:r w:rsidR="008D5724" w:rsidRPr="008D1A55">
        <w:t>intravenous</w:t>
      </w:r>
      <w:r w:rsidRPr="008D1A55">
        <w:t xml:space="preserve"> infusion: one study (</w:t>
      </w:r>
      <w:r w:rsidR="00720FF5" w:rsidRPr="008D1A55">
        <w:t>Study</w:t>
      </w:r>
      <w:r w:rsidR="001605DB" w:rsidRPr="008D1A55">
        <w:t> </w:t>
      </w:r>
      <w:r w:rsidRPr="008D1A55">
        <w:t>D3461C00006) in healthy volunteers, one study (</w:t>
      </w:r>
      <w:r w:rsidR="00720FF5" w:rsidRPr="008D1A55">
        <w:t xml:space="preserve">Study </w:t>
      </w:r>
      <w:r w:rsidRPr="008D1A55">
        <w:t>MI-CP180) in patients with scleroderma, and six studies (</w:t>
      </w:r>
      <w:r w:rsidR="00720FF5" w:rsidRPr="008D1A55">
        <w:t xml:space="preserve">Studies </w:t>
      </w:r>
      <w:r w:rsidRPr="008D1A55">
        <w:t xml:space="preserve">D3461C00002, </w:t>
      </w:r>
      <w:bookmarkStart w:id="50" w:name="_Hlk116764527"/>
      <w:r w:rsidRPr="008D1A55">
        <w:t>D3461C00004</w:t>
      </w:r>
      <w:bookmarkEnd w:id="50"/>
      <w:r w:rsidRPr="008D1A55">
        <w:t>, D3461C00005, CD</w:t>
      </w:r>
      <w:r w:rsidR="00720FF5" w:rsidRPr="008D1A55">
        <w:noBreakHyphen/>
      </w:r>
      <w:r w:rsidRPr="008D1A55">
        <w:t>IA-MEDI-546-1013, CD-IA-MEDi-546-1145</w:t>
      </w:r>
      <w:r w:rsidR="00720FF5" w:rsidRPr="008D1A55">
        <w:t xml:space="preserve"> and</w:t>
      </w:r>
      <w:r w:rsidRPr="008D1A55">
        <w:t xml:space="preserve"> D3461C00009) in patients with </w:t>
      </w:r>
      <w:r w:rsidR="00640279" w:rsidRPr="008D1A55">
        <w:t>systemic lupus erythematosus (</w:t>
      </w:r>
      <w:r w:rsidRPr="008D1A55">
        <w:t>SLE</w:t>
      </w:r>
      <w:r w:rsidR="00640279" w:rsidRPr="008D1A55">
        <w:t>)</w:t>
      </w:r>
      <w:r w:rsidRPr="008D1A55">
        <w:t>.</w:t>
      </w:r>
    </w:p>
    <w:p w14:paraId="5D14B0FD" w14:textId="2581BCAD" w:rsidR="00C7364D" w:rsidRPr="008D1A55" w:rsidRDefault="00720FF5" w:rsidP="001605DB">
      <w:pPr>
        <w:pStyle w:val="TableTitle"/>
      </w:pPr>
      <w:r w:rsidRPr="008D1A55">
        <w:t xml:space="preserve">Table </w:t>
      </w:r>
      <w:r w:rsidR="005675A0">
        <w:fldChar w:fldCharType="begin"/>
      </w:r>
      <w:r w:rsidR="005675A0">
        <w:instrText xml:space="preserve"> SEQ Table \* ARABIC </w:instrText>
      </w:r>
      <w:r w:rsidR="005675A0">
        <w:fldChar w:fldCharType="separate"/>
      </w:r>
      <w:r w:rsidR="00D8723A">
        <w:rPr>
          <w:noProof/>
        </w:rPr>
        <w:t>3</w:t>
      </w:r>
      <w:r w:rsidR="005675A0">
        <w:rPr>
          <w:noProof/>
        </w:rPr>
        <w:fldChar w:fldCharType="end"/>
      </w:r>
      <w:r w:rsidRPr="008D1A55">
        <w:t>:</w:t>
      </w:r>
      <w:r w:rsidR="00C7364D" w:rsidRPr="008D1A55">
        <w:t xml:space="preserve"> Overview of </w:t>
      </w:r>
      <w:r w:rsidR="001605DB" w:rsidRPr="008D1A55">
        <w:t>clinical pharmacology studies</w:t>
      </w:r>
    </w:p>
    <w:tbl>
      <w:tblPr>
        <w:tblStyle w:val="TableTGAblue"/>
        <w:tblW w:w="8725" w:type="dxa"/>
        <w:tblLayout w:type="fixed"/>
        <w:tblLook w:val="04A0" w:firstRow="1" w:lastRow="0" w:firstColumn="1" w:lastColumn="0" w:noHBand="0" w:noVBand="1"/>
      </w:tblPr>
      <w:tblGrid>
        <w:gridCol w:w="1413"/>
        <w:gridCol w:w="2410"/>
        <w:gridCol w:w="2693"/>
        <w:gridCol w:w="2209"/>
      </w:tblGrid>
      <w:tr w:rsidR="0063551F" w:rsidRPr="002B7EBE" w14:paraId="7630E266" w14:textId="77777777" w:rsidTr="0063551F">
        <w:trPr>
          <w:cnfStyle w:val="100000000000" w:firstRow="1" w:lastRow="0" w:firstColumn="0" w:lastColumn="0" w:oddVBand="0" w:evenVBand="0" w:oddHBand="0" w:evenHBand="0" w:firstRowFirstColumn="0" w:firstRowLastColumn="0" w:lastRowFirstColumn="0" w:lastRowLastColumn="0"/>
        </w:trPr>
        <w:tc>
          <w:tcPr>
            <w:tcW w:w="1413" w:type="dxa"/>
            <w:tcBorders>
              <w:top w:val="single" w:sz="4" w:space="0" w:color="auto"/>
              <w:left w:val="single" w:sz="4" w:space="0" w:color="auto"/>
              <w:bottom w:val="single" w:sz="4" w:space="0" w:color="auto"/>
              <w:right w:val="single" w:sz="4" w:space="0" w:color="auto"/>
            </w:tcBorders>
            <w:vAlign w:val="center"/>
          </w:tcPr>
          <w:p w14:paraId="7DD6D4DD" w14:textId="77777777" w:rsidR="001605DB" w:rsidRPr="0063551F" w:rsidRDefault="001605DB" w:rsidP="001605DB">
            <w:pPr>
              <w:pStyle w:val="Tabletext"/>
              <w:ind w:left="0" w:right="0"/>
              <w:rPr>
                <w:sz w:val="20"/>
                <w:szCs w:val="20"/>
              </w:rPr>
            </w:pPr>
            <w:r w:rsidRPr="0063551F">
              <w:rPr>
                <w:sz w:val="20"/>
                <w:szCs w:val="20"/>
              </w:rPr>
              <w:t>PK topic</w:t>
            </w:r>
          </w:p>
        </w:tc>
        <w:tc>
          <w:tcPr>
            <w:tcW w:w="2410" w:type="dxa"/>
            <w:tcBorders>
              <w:top w:val="single" w:sz="4" w:space="0" w:color="auto"/>
              <w:left w:val="single" w:sz="4" w:space="0" w:color="auto"/>
              <w:bottom w:val="single" w:sz="4" w:space="0" w:color="auto"/>
              <w:right w:val="single" w:sz="4" w:space="0" w:color="auto"/>
            </w:tcBorders>
            <w:vAlign w:val="center"/>
          </w:tcPr>
          <w:p w14:paraId="35B12543" w14:textId="77777777" w:rsidR="001605DB" w:rsidRPr="0063551F" w:rsidRDefault="001605DB" w:rsidP="001605DB">
            <w:pPr>
              <w:pStyle w:val="Tabletext"/>
              <w:ind w:left="0" w:right="0"/>
              <w:rPr>
                <w:sz w:val="20"/>
                <w:szCs w:val="20"/>
              </w:rPr>
            </w:pPr>
            <w:r w:rsidRPr="0063551F">
              <w:rPr>
                <w:sz w:val="20"/>
                <w:szCs w:val="20"/>
              </w:rPr>
              <w:t>Subtopic</w:t>
            </w:r>
          </w:p>
        </w:tc>
        <w:tc>
          <w:tcPr>
            <w:tcW w:w="2693" w:type="dxa"/>
            <w:tcBorders>
              <w:top w:val="single" w:sz="4" w:space="0" w:color="auto"/>
              <w:left w:val="single" w:sz="4" w:space="0" w:color="auto"/>
              <w:bottom w:val="single" w:sz="4" w:space="0" w:color="auto"/>
              <w:right w:val="single" w:sz="4" w:space="0" w:color="auto"/>
            </w:tcBorders>
            <w:vAlign w:val="center"/>
          </w:tcPr>
          <w:p w14:paraId="67EF424B" w14:textId="77777777" w:rsidR="001605DB" w:rsidRPr="0063551F" w:rsidRDefault="001605DB" w:rsidP="001605DB">
            <w:pPr>
              <w:pStyle w:val="Tabletext"/>
              <w:ind w:left="0" w:right="0"/>
              <w:rPr>
                <w:sz w:val="20"/>
                <w:szCs w:val="20"/>
              </w:rPr>
            </w:pPr>
            <w:r w:rsidRPr="0063551F">
              <w:rPr>
                <w:sz w:val="20"/>
                <w:szCs w:val="20"/>
              </w:rPr>
              <w:t>Study ID</w:t>
            </w:r>
          </w:p>
        </w:tc>
        <w:tc>
          <w:tcPr>
            <w:tcW w:w="2209" w:type="dxa"/>
            <w:tcBorders>
              <w:top w:val="single" w:sz="4" w:space="0" w:color="auto"/>
              <w:left w:val="single" w:sz="4" w:space="0" w:color="auto"/>
              <w:bottom w:val="single" w:sz="4" w:space="0" w:color="auto"/>
              <w:right w:val="single" w:sz="4" w:space="0" w:color="auto"/>
            </w:tcBorders>
            <w:vAlign w:val="center"/>
          </w:tcPr>
          <w:p w14:paraId="60CF37F9" w14:textId="77777777" w:rsidR="001605DB" w:rsidRPr="0063551F" w:rsidRDefault="001605DB" w:rsidP="001605DB">
            <w:pPr>
              <w:pStyle w:val="Tabletext"/>
              <w:ind w:left="0" w:right="0"/>
              <w:rPr>
                <w:sz w:val="20"/>
                <w:szCs w:val="20"/>
              </w:rPr>
            </w:pPr>
            <w:r w:rsidRPr="0063551F">
              <w:rPr>
                <w:sz w:val="20"/>
                <w:szCs w:val="20"/>
              </w:rPr>
              <w:t>Primary aim</w:t>
            </w:r>
          </w:p>
        </w:tc>
      </w:tr>
      <w:tr w:rsidR="0063551F" w:rsidRPr="002B7EBE" w14:paraId="0C4BCBB5" w14:textId="77777777" w:rsidTr="0063551F">
        <w:tc>
          <w:tcPr>
            <w:tcW w:w="1413" w:type="dxa"/>
            <w:tcBorders>
              <w:top w:val="single" w:sz="4" w:space="0" w:color="auto"/>
            </w:tcBorders>
          </w:tcPr>
          <w:p w14:paraId="4C6A5A44" w14:textId="77777777" w:rsidR="001605DB" w:rsidRPr="0063551F" w:rsidRDefault="001605DB" w:rsidP="001605DB">
            <w:pPr>
              <w:pStyle w:val="Tabletext"/>
              <w:ind w:left="0" w:right="0"/>
              <w:rPr>
                <w:sz w:val="20"/>
                <w:szCs w:val="20"/>
              </w:rPr>
            </w:pPr>
            <w:r w:rsidRPr="0063551F">
              <w:rPr>
                <w:sz w:val="20"/>
                <w:szCs w:val="20"/>
              </w:rPr>
              <w:t>PK in healthy adults</w:t>
            </w:r>
          </w:p>
        </w:tc>
        <w:tc>
          <w:tcPr>
            <w:tcW w:w="2410" w:type="dxa"/>
            <w:tcBorders>
              <w:top w:val="single" w:sz="4" w:space="0" w:color="auto"/>
            </w:tcBorders>
          </w:tcPr>
          <w:p w14:paraId="2715BC3F" w14:textId="07D9D9D3" w:rsidR="001605DB" w:rsidRPr="0063551F" w:rsidRDefault="001605DB" w:rsidP="001605DB">
            <w:pPr>
              <w:pStyle w:val="Tabletext"/>
              <w:ind w:left="0" w:right="0"/>
              <w:rPr>
                <w:sz w:val="20"/>
                <w:szCs w:val="20"/>
              </w:rPr>
            </w:pPr>
            <w:r w:rsidRPr="0063551F">
              <w:rPr>
                <w:sz w:val="20"/>
                <w:szCs w:val="20"/>
              </w:rPr>
              <w:t>General PK - single dose</w:t>
            </w:r>
          </w:p>
        </w:tc>
        <w:tc>
          <w:tcPr>
            <w:tcW w:w="2693" w:type="dxa"/>
            <w:tcBorders>
              <w:top w:val="single" w:sz="4" w:space="0" w:color="auto"/>
            </w:tcBorders>
          </w:tcPr>
          <w:p w14:paraId="07E372B0" w14:textId="77777777" w:rsidR="001605DB" w:rsidRPr="0063551F" w:rsidRDefault="001605DB" w:rsidP="001605DB">
            <w:pPr>
              <w:pStyle w:val="Tabletext"/>
              <w:ind w:left="0" w:right="0"/>
              <w:rPr>
                <w:sz w:val="20"/>
                <w:szCs w:val="20"/>
              </w:rPr>
            </w:pPr>
            <w:r w:rsidRPr="0063551F">
              <w:rPr>
                <w:sz w:val="20"/>
                <w:szCs w:val="20"/>
              </w:rPr>
              <w:t>D3461C00006</w:t>
            </w:r>
          </w:p>
        </w:tc>
        <w:tc>
          <w:tcPr>
            <w:tcW w:w="2209" w:type="dxa"/>
            <w:tcBorders>
              <w:top w:val="single" w:sz="4" w:space="0" w:color="auto"/>
            </w:tcBorders>
          </w:tcPr>
          <w:p w14:paraId="3BB38D73" w14:textId="77777777" w:rsidR="001605DB" w:rsidRPr="0063551F" w:rsidRDefault="001605DB" w:rsidP="001605DB">
            <w:pPr>
              <w:pStyle w:val="Tabletext"/>
              <w:ind w:left="0" w:right="0"/>
              <w:rPr>
                <w:sz w:val="20"/>
                <w:szCs w:val="20"/>
              </w:rPr>
            </w:pPr>
            <w:r w:rsidRPr="0063551F">
              <w:rPr>
                <w:sz w:val="20"/>
                <w:szCs w:val="20"/>
              </w:rPr>
              <w:t>PK, BA</w:t>
            </w:r>
          </w:p>
        </w:tc>
      </w:tr>
      <w:tr w:rsidR="0063551F" w:rsidRPr="002B7EBE" w14:paraId="5C03BD26" w14:textId="77777777" w:rsidTr="0063551F">
        <w:tc>
          <w:tcPr>
            <w:tcW w:w="1413" w:type="dxa"/>
            <w:vMerge w:val="restart"/>
          </w:tcPr>
          <w:p w14:paraId="52D28A23" w14:textId="77777777" w:rsidR="001605DB" w:rsidRPr="0063551F" w:rsidRDefault="001605DB" w:rsidP="001605DB">
            <w:pPr>
              <w:pStyle w:val="Tabletext"/>
              <w:ind w:left="0" w:right="0"/>
              <w:rPr>
                <w:sz w:val="20"/>
                <w:szCs w:val="20"/>
              </w:rPr>
            </w:pPr>
            <w:r w:rsidRPr="0063551F">
              <w:rPr>
                <w:sz w:val="20"/>
                <w:szCs w:val="20"/>
              </w:rPr>
              <w:t>PK in special populations</w:t>
            </w:r>
          </w:p>
        </w:tc>
        <w:tc>
          <w:tcPr>
            <w:tcW w:w="2410" w:type="dxa"/>
          </w:tcPr>
          <w:p w14:paraId="720A4112" w14:textId="0ECCF794" w:rsidR="001605DB" w:rsidRPr="0063551F" w:rsidRDefault="001605DB" w:rsidP="001605DB">
            <w:pPr>
              <w:pStyle w:val="Tabletext"/>
              <w:ind w:left="0" w:right="0"/>
              <w:rPr>
                <w:sz w:val="20"/>
                <w:szCs w:val="20"/>
              </w:rPr>
            </w:pPr>
            <w:r w:rsidRPr="0063551F">
              <w:rPr>
                <w:sz w:val="20"/>
                <w:szCs w:val="20"/>
              </w:rPr>
              <w:t xml:space="preserve">Target </w:t>
            </w:r>
            <w:proofErr w:type="gramStart"/>
            <w:r w:rsidRPr="0063551F">
              <w:rPr>
                <w:sz w:val="20"/>
                <w:szCs w:val="20"/>
              </w:rPr>
              <w:t>population</w:t>
            </w:r>
            <w:r w:rsidR="00743A94" w:rsidRPr="0063551F">
              <w:rPr>
                <w:sz w:val="20"/>
                <w:szCs w:val="20"/>
              </w:rPr>
              <w:t>;</w:t>
            </w:r>
            <w:r w:rsidRPr="002B7EBE">
              <w:rPr>
                <w:rFonts w:ascii="Calibri" w:hAnsi="Calibri" w:cs="Calibri"/>
                <w:sz w:val="20"/>
                <w:szCs w:val="20"/>
                <w:vertAlign w:val="superscript"/>
              </w:rPr>
              <w:t>§</w:t>
            </w:r>
            <w:proofErr w:type="gramEnd"/>
            <w:r w:rsidRPr="0063551F">
              <w:rPr>
                <w:sz w:val="20"/>
                <w:szCs w:val="20"/>
              </w:rPr>
              <w:t xml:space="preserve"> - multi-dose</w:t>
            </w:r>
          </w:p>
        </w:tc>
        <w:tc>
          <w:tcPr>
            <w:tcW w:w="2693" w:type="dxa"/>
          </w:tcPr>
          <w:p w14:paraId="0E6F4003" w14:textId="77777777" w:rsidR="001605DB" w:rsidRPr="0063551F" w:rsidRDefault="001605DB" w:rsidP="001605DB">
            <w:pPr>
              <w:pStyle w:val="Tabletext"/>
              <w:ind w:left="0" w:right="0"/>
              <w:rPr>
                <w:sz w:val="20"/>
                <w:szCs w:val="20"/>
              </w:rPr>
            </w:pPr>
            <w:r w:rsidRPr="0063551F">
              <w:rPr>
                <w:sz w:val="20"/>
                <w:szCs w:val="20"/>
              </w:rPr>
              <w:t>D3461C00004</w:t>
            </w:r>
          </w:p>
          <w:p w14:paraId="5CF758ED" w14:textId="77777777" w:rsidR="001605DB" w:rsidRPr="0063551F" w:rsidRDefault="001605DB" w:rsidP="001605DB">
            <w:pPr>
              <w:pStyle w:val="Tabletext"/>
              <w:ind w:left="0" w:right="0"/>
              <w:rPr>
                <w:sz w:val="20"/>
                <w:szCs w:val="20"/>
              </w:rPr>
            </w:pPr>
            <w:r w:rsidRPr="0063551F">
              <w:rPr>
                <w:sz w:val="20"/>
                <w:szCs w:val="20"/>
              </w:rPr>
              <w:t>D3461C00005</w:t>
            </w:r>
          </w:p>
          <w:p w14:paraId="181B71E3" w14:textId="77777777" w:rsidR="001605DB" w:rsidRPr="0063551F" w:rsidRDefault="001605DB" w:rsidP="001605DB">
            <w:pPr>
              <w:pStyle w:val="Tabletext"/>
              <w:ind w:left="0" w:right="0"/>
              <w:rPr>
                <w:sz w:val="20"/>
                <w:szCs w:val="20"/>
              </w:rPr>
            </w:pPr>
            <w:r w:rsidRPr="0063551F">
              <w:rPr>
                <w:sz w:val="20"/>
                <w:szCs w:val="20"/>
              </w:rPr>
              <w:t>CD-IA-MEDI-546-1013</w:t>
            </w:r>
          </w:p>
          <w:p w14:paraId="6FECD99E" w14:textId="77777777" w:rsidR="001605DB" w:rsidRPr="0063551F" w:rsidRDefault="001605DB" w:rsidP="001605DB">
            <w:pPr>
              <w:pStyle w:val="Tabletext"/>
              <w:ind w:left="0" w:right="0"/>
              <w:rPr>
                <w:sz w:val="20"/>
                <w:szCs w:val="20"/>
              </w:rPr>
            </w:pPr>
            <w:r w:rsidRPr="0063551F">
              <w:rPr>
                <w:sz w:val="20"/>
                <w:szCs w:val="20"/>
              </w:rPr>
              <w:t>CD-IA-MEDI-546-1145</w:t>
            </w:r>
          </w:p>
          <w:p w14:paraId="6C657F87" w14:textId="77777777" w:rsidR="001605DB" w:rsidRPr="0063551F" w:rsidRDefault="001605DB" w:rsidP="001605DB">
            <w:pPr>
              <w:pStyle w:val="Tabletext"/>
              <w:ind w:left="0" w:right="0"/>
              <w:rPr>
                <w:sz w:val="20"/>
                <w:szCs w:val="20"/>
              </w:rPr>
            </w:pPr>
            <w:r w:rsidRPr="0063551F">
              <w:rPr>
                <w:sz w:val="20"/>
                <w:szCs w:val="20"/>
              </w:rPr>
              <w:t>D3461C00002</w:t>
            </w:r>
          </w:p>
        </w:tc>
        <w:tc>
          <w:tcPr>
            <w:tcW w:w="2209" w:type="dxa"/>
          </w:tcPr>
          <w:p w14:paraId="1A183D6E" w14:textId="497E3178" w:rsidR="001605DB" w:rsidRPr="0063551F" w:rsidRDefault="00743A94" w:rsidP="001605DB">
            <w:pPr>
              <w:pStyle w:val="Tabletext"/>
              <w:ind w:left="0" w:right="0"/>
              <w:rPr>
                <w:sz w:val="20"/>
                <w:szCs w:val="20"/>
              </w:rPr>
            </w:pPr>
            <w:r w:rsidRPr="0063551F">
              <w:rPr>
                <w:sz w:val="20"/>
                <w:szCs w:val="20"/>
              </w:rPr>
              <w:t>Efficacy and safety</w:t>
            </w:r>
          </w:p>
        </w:tc>
      </w:tr>
      <w:tr w:rsidR="0063551F" w:rsidRPr="002B7EBE" w14:paraId="26580E54" w14:textId="77777777" w:rsidTr="0063551F">
        <w:tc>
          <w:tcPr>
            <w:tcW w:w="1413" w:type="dxa"/>
            <w:vMerge/>
          </w:tcPr>
          <w:p w14:paraId="167C51F2" w14:textId="77777777" w:rsidR="001605DB" w:rsidRPr="0063551F" w:rsidRDefault="001605DB" w:rsidP="001605DB">
            <w:pPr>
              <w:pStyle w:val="Tabletext"/>
              <w:ind w:left="0" w:right="0"/>
              <w:rPr>
                <w:sz w:val="20"/>
                <w:szCs w:val="20"/>
              </w:rPr>
            </w:pPr>
          </w:p>
        </w:tc>
        <w:tc>
          <w:tcPr>
            <w:tcW w:w="2410" w:type="dxa"/>
            <w:vAlign w:val="center"/>
          </w:tcPr>
          <w:p w14:paraId="3A605D0C" w14:textId="77777777" w:rsidR="001605DB" w:rsidRPr="0063551F" w:rsidRDefault="001605DB" w:rsidP="001605DB">
            <w:pPr>
              <w:pStyle w:val="Tabletext"/>
              <w:ind w:left="0" w:right="0"/>
              <w:rPr>
                <w:sz w:val="20"/>
                <w:szCs w:val="20"/>
              </w:rPr>
            </w:pPr>
            <w:r w:rsidRPr="0063551F">
              <w:rPr>
                <w:sz w:val="20"/>
                <w:szCs w:val="20"/>
              </w:rPr>
              <w:t>Other special population - scleroderma</w:t>
            </w:r>
          </w:p>
        </w:tc>
        <w:tc>
          <w:tcPr>
            <w:tcW w:w="2693" w:type="dxa"/>
          </w:tcPr>
          <w:p w14:paraId="1DDE6EAD" w14:textId="77777777" w:rsidR="001605DB" w:rsidRPr="0063551F" w:rsidRDefault="001605DB" w:rsidP="001605DB">
            <w:pPr>
              <w:pStyle w:val="Tabletext"/>
              <w:ind w:left="0" w:right="0"/>
              <w:rPr>
                <w:sz w:val="20"/>
                <w:szCs w:val="20"/>
              </w:rPr>
            </w:pPr>
            <w:r w:rsidRPr="0063551F">
              <w:rPr>
                <w:sz w:val="20"/>
                <w:szCs w:val="20"/>
              </w:rPr>
              <w:t>MI-CP180</w:t>
            </w:r>
          </w:p>
        </w:tc>
        <w:tc>
          <w:tcPr>
            <w:tcW w:w="2209" w:type="dxa"/>
          </w:tcPr>
          <w:p w14:paraId="7948AA1A" w14:textId="77777777" w:rsidR="001605DB" w:rsidRPr="0063551F" w:rsidRDefault="001605DB" w:rsidP="001605DB">
            <w:pPr>
              <w:pStyle w:val="Tabletext"/>
              <w:ind w:left="0" w:right="0"/>
              <w:rPr>
                <w:sz w:val="20"/>
                <w:szCs w:val="20"/>
              </w:rPr>
            </w:pPr>
            <w:r w:rsidRPr="0063551F">
              <w:rPr>
                <w:sz w:val="20"/>
                <w:szCs w:val="20"/>
              </w:rPr>
              <w:t>PK</w:t>
            </w:r>
          </w:p>
        </w:tc>
      </w:tr>
      <w:tr w:rsidR="0063551F" w:rsidRPr="002B7EBE" w14:paraId="21BF1478" w14:textId="77777777" w:rsidTr="0063551F">
        <w:tc>
          <w:tcPr>
            <w:tcW w:w="1413" w:type="dxa"/>
          </w:tcPr>
          <w:p w14:paraId="1B2A7892" w14:textId="77777777" w:rsidR="001605DB" w:rsidRPr="0063551F" w:rsidRDefault="001605DB" w:rsidP="001605DB">
            <w:pPr>
              <w:pStyle w:val="Tabletext"/>
              <w:ind w:left="0" w:right="0"/>
              <w:rPr>
                <w:sz w:val="20"/>
                <w:szCs w:val="20"/>
              </w:rPr>
            </w:pPr>
            <w:r w:rsidRPr="0063551F">
              <w:rPr>
                <w:sz w:val="20"/>
                <w:szCs w:val="20"/>
              </w:rPr>
              <w:t>Population PK analyses</w:t>
            </w:r>
          </w:p>
        </w:tc>
        <w:tc>
          <w:tcPr>
            <w:tcW w:w="2410" w:type="dxa"/>
          </w:tcPr>
          <w:p w14:paraId="47603A87" w14:textId="77777777" w:rsidR="001605DB" w:rsidRPr="0063551F" w:rsidRDefault="001605DB" w:rsidP="001605DB">
            <w:pPr>
              <w:pStyle w:val="Tabletext"/>
              <w:ind w:left="0" w:right="0"/>
              <w:rPr>
                <w:sz w:val="20"/>
                <w:szCs w:val="20"/>
              </w:rPr>
            </w:pPr>
            <w:r w:rsidRPr="0063551F">
              <w:rPr>
                <w:sz w:val="20"/>
                <w:szCs w:val="20"/>
              </w:rPr>
              <w:t>Target population</w:t>
            </w:r>
          </w:p>
        </w:tc>
        <w:tc>
          <w:tcPr>
            <w:tcW w:w="2693" w:type="dxa"/>
          </w:tcPr>
          <w:p w14:paraId="51B21D71" w14:textId="77777777" w:rsidR="001605DB" w:rsidRPr="0063551F" w:rsidRDefault="001605DB" w:rsidP="001605DB">
            <w:pPr>
              <w:pStyle w:val="Tabletext"/>
              <w:ind w:left="0" w:right="0"/>
              <w:rPr>
                <w:sz w:val="20"/>
                <w:szCs w:val="20"/>
              </w:rPr>
            </w:pPr>
            <w:proofErr w:type="spellStart"/>
            <w:r w:rsidRPr="0063551F">
              <w:rPr>
                <w:sz w:val="20"/>
                <w:szCs w:val="20"/>
              </w:rPr>
              <w:t>PopPK</w:t>
            </w:r>
            <w:proofErr w:type="spellEnd"/>
            <w:r w:rsidRPr="0063551F">
              <w:rPr>
                <w:sz w:val="20"/>
                <w:szCs w:val="20"/>
              </w:rPr>
              <w:t xml:space="preserve"> Report</w:t>
            </w:r>
          </w:p>
        </w:tc>
        <w:tc>
          <w:tcPr>
            <w:tcW w:w="2209" w:type="dxa"/>
          </w:tcPr>
          <w:p w14:paraId="39204E12" w14:textId="77777777" w:rsidR="001605DB" w:rsidRPr="0063551F" w:rsidRDefault="001605DB" w:rsidP="001605DB">
            <w:pPr>
              <w:pStyle w:val="Tabletext"/>
              <w:ind w:left="0" w:right="0"/>
              <w:rPr>
                <w:sz w:val="20"/>
                <w:szCs w:val="20"/>
              </w:rPr>
            </w:pPr>
            <w:proofErr w:type="spellStart"/>
            <w:r w:rsidRPr="0063551F">
              <w:rPr>
                <w:sz w:val="20"/>
                <w:szCs w:val="20"/>
              </w:rPr>
              <w:t>PopPK</w:t>
            </w:r>
            <w:proofErr w:type="spellEnd"/>
          </w:p>
        </w:tc>
      </w:tr>
    </w:tbl>
    <w:p w14:paraId="291E78D3" w14:textId="7621EEA4" w:rsidR="001605DB" w:rsidRPr="008D1A55" w:rsidRDefault="001605DB" w:rsidP="001605DB">
      <w:pPr>
        <w:pStyle w:val="TableDescription"/>
      </w:pPr>
      <w:r w:rsidRPr="008D1A55">
        <w:t xml:space="preserve">Abbreviations: BA = bioavailability; ID = identification; PK = pharmacokinetics; </w:t>
      </w:r>
      <w:proofErr w:type="spellStart"/>
      <w:r w:rsidRPr="008D1A55">
        <w:t>PopPK</w:t>
      </w:r>
      <w:proofErr w:type="spellEnd"/>
      <w:r w:rsidRPr="008D1A55">
        <w:t xml:space="preserve"> = population pharmacokinetics.</w:t>
      </w:r>
    </w:p>
    <w:p w14:paraId="0D6329F2" w14:textId="14EA09BB" w:rsidR="001605DB" w:rsidRPr="008D1A55" w:rsidRDefault="001605DB" w:rsidP="001605DB">
      <w:pPr>
        <w:pStyle w:val="TableDescription"/>
      </w:pPr>
      <w:r w:rsidRPr="008D1A55">
        <w:lastRenderedPageBreak/>
        <w:t>§ Subjects who would be eligible to receive the drug if approved for the proposed indication.</w:t>
      </w:r>
    </w:p>
    <w:p w14:paraId="011EFE06" w14:textId="25D4994B" w:rsidR="00C7364D" w:rsidRPr="008D1A55" w:rsidRDefault="00C7364D" w:rsidP="00C7364D">
      <w:proofErr w:type="spellStart"/>
      <w:r w:rsidRPr="008D1A55">
        <w:t>Anifrolumab</w:t>
      </w:r>
      <w:proofErr w:type="spellEnd"/>
      <w:r w:rsidRPr="008D1A55">
        <w:t xml:space="preserve"> exhibits non-linear PK in the dose range of 100 to 1000 mg with </w:t>
      </w:r>
      <w:r w:rsidR="00DA15D9" w:rsidRPr="008D1A55">
        <w:t xml:space="preserve">area under the concentration </w:t>
      </w:r>
      <w:r w:rsidR="002B7EBE">
        <w:t xml:space="preserve">versus </w:t>
      </w:r>
      <w:r w:rsidR="00DA15D9" w:rsidRPr="008D1A55">
        <w:t>time curve (</w:t>
      </w:r>
      <w:r w:rsidRPr="008D1A55">
        <w:t>AUC</w:t>
      </w:r>
      <w:r w:rsidR="00DA15D9" w:rsidRPr="008D1A55">
        <w:t>)</w:t>
      </w:r>
      <w:r w:rsidRPr="008D1A55">
        <w:t xml:space="preserve"> increased more than dose</w:t>
      </w:r>
      <w:r w:rsidR="001605DB" w:rsidRPr="008D1A55">
        <w:t xml:space="preserve"> </w:t>
      </w:r>
      <w:r w:rsidRPr="008D1A55">
        <w:t xml:space="preserve">proportionally. Following every 4 weeks </w:t>
      </w:r>
      <w:r w:rsidR="008D5724" w:rsidRPr="008D1A55">
        <w:t>intravenous</w:t>
      </w:r>
      <w:r w:rsidRPr="008D1A55">
        <w:t xml:space="preserve"> administrations of </w:t>
      </w:r>
      <w:proofErr w:type="spellStart"/>
      <w:r w:rsidRPr="008D1A55">
        <w:t>anifrolumab</w:t>
      </w:r>
      <w:proofErr w:type="spellEnd"/>
      <w:r w:rsidRPr="008D1A55">
        <w:t>, steady</w:t>
      </w:r>
      <w:r w:rsidR="001605DB" w:rsidRPr="008D1A55">
        <w:t xml:space="preserve"> </w:t>
      </w:r>
      <w:r w:rsidRPr="008D1A55">
        <w:t xml:space="preserve">state was reached by Day 85. The steady state exposure (AUC) for 1000 mg </w:t>
      </w:r>
      <w:r w:rsidR="00A259E4" w:rsidRPr="008D1A55">
        <w:t xml:space="preserve">every 4 weeks </w:t>
      </w:r>
      <w:r w:rsidRPr="008D1A55">
        <w:t>is approximately 4</w:t>
      </w:r>
      <w:r w:rsidR="001605DB" w:rsidRPr="008D1A55">
        <w:t>-</w:t>
      </w:r>
      <w:r w:rsidRPr="008D1A55">
        <w:t xml:space="preserve">fold higher compared to the steady state exposure of 300 mg </w:t>
      </w:r>
      <w:r w:rsidR="00A259E4" w:rsidRPr="008D1A55">
        <w:t>every 4 weeks</w:t>
      </w:r>
      <w:r w:rsidRPr="008D1A55">
        <w:t>. The steady state exposure (AUC) for 300</w:t>
      </w:r>
      <w:r w:rsidR="001605DB" w:rsidRPr="008D1A55">
        <w:t> </w:t>
      </w:r>
      <w:r w:rsidRPr="008D1A55">
        <w:t xml:space="preserve">mg </w:t>
      </w:r>
      <w:r w:rsidR="00A259E4" w:rsidRPr="008D1A55">
        <w:t>every 4 weeks</w:t>
      </w:r>
      <w:r w:rsidRPr="008D1A55">
        <w:t xml:space="preserve"> is approximately 3</w:t>
      </w:r>
      <w:r w:rsidR="001605DB" w:rsidRPr="008D1A55">
        <w:t>-</w:t>
      </w:r>
      <w:r w:rsidRPr="008D1A55">
        <w:t xml:space="preserve">fold higher compared to the steady state exposure of 150 mg </w:t>
      </w:r>
      <w:r w:rsidR="00A259E4" w:rsidRPr="008D1A55">
        <w:t>every 4 weeks</w:t>
      </w:r>
      <w:r w:rsidRPr="008D1A55">
        <w:t>.</w:t>
      </w:r>
    </w:p>
    <w:p w14:paraId="1D03E0DB" w14:textId="613F8E56" w:rsidR="00C7364D" w:rsidRPr="008D1A55" w:rsidRDefault="00C7364D" w:rsidP="001605DB">
      <w:r w:rsidRPr="008D1A55">
        <w:t xml:space="preserve">The dosing regimen of </w:t>
      </w:r>
      <w:proofErr w:type="spellStart"/>
      <w:r w:rsidRPr="008D1A55">
        <w:t>anifrolumab</w:t>
      </w:r>
      <w:proofErr w:type="spellEnd"/>
      <w:r w:rsidRPr="008D1A55">
        <w:t xml:space="preserve"> has been adequately explored. Results from </w:t>
      </w:r>
      <w:r w:rsidR="002B7EBE">
        <w:t xml:space="preserve">the </w:t>
      </w:r>
      <w:r w:rsidR="001605DB" w:rsidRPr="008D1A55">
        <w:t>Phase</w:t>
      </w:r>
      <w:r w:rsidR="002B7EBE">
        <w:t> </w:t>
      </w:r>
      <w:r w:rsidR="001605DB" w:rsidRPr="008D1A55">
        <w:t>II</w:t>
      </w:r>
      <w:r w:rsidRPr="008D1A55">
        <w:t xml:space="preserve"> dose</w:t>
      </w:r>
      <w:r w:rsidR="001605DB" w:rsidRPr="008D1A55">
        <w:t xml:space="preserve"> </w:t>
      </w:r>
      <w:r w:rsidRPr="008D1A55">
        <w:t>ranging study (</w:t>
      </w:r>
      <w:r w:rsidR="001605DB" w:rsidRPr="008D1A55">
        <w:t xml:space="preserve">Study </w:t>
      </w:r>
      <w:r w:rsidR="007D0024" w:rsidRPr="008D1A55">
        <w:t>CD</w:t>
      </w:r>
      <w:r w:rsidR="007D0024" w:rsidRPr="008D1A55">
        <w:noBreakHyphen/>
        <w:t>IA-MEDI-546-1013</w:t>
      </w:r>
      <w:r w:rsidRPr="008D1A55">
        <w:t xml:space="preserve">) showed that while </w:t>
      </w:r>
      <w:proofErr w:type="gramStart"/>
      <w:r w:rsidRPr="008D1A55">
        <w:t xml:space="preserve">both </w:t>
      </w:r>
      <w:r w:rsidR="002B7EBE">
        <w:t xml:space="preserve"> </w:t>
      </w:r>
      <w:r w:rsidRPr="008D1A55">
        <w:t>300</w:t>
      </w:r>
      <w:proofErr w:type="gramEnd"/>
      <w:r w:rsidR="002B7EBE">
        <w:t xml:space="preserve"> mg </w:t>
      </w:r>
      <w:r w:rsidRPr="008D1A55">
        <w:t>and 1000</w:t>
      </w:r>
      <w:r w:rsidR="007D0024" w:rsidRPr="008D1A55">
        <w:t> </w:t>
      </w:r>
      <w:r w:rsidRPr="008D1A55">
        <w:t xml:space="preserve">mg </w:t>
      </w:r>
      <w:r w:rsidR="00A259E4" w:rsidRPr="008D1A55">
        <w:t>every 4</w:t>
      </w:r>
      <w:r w:rsidR="001605DB" w:rsidRPr="008D1A55">
        <w:t> </w:t>
      </w:r>
      <w:r w:rsidR="00A259E4" w:rsidRPr="008D1A55">
        <w:t>weeks</w:t>
      </w:r>
      <w:r w:rsidRPr="008D1A55">
        <w:t xml:space="preserve"> dosing regimens were efficacious in SLE patients, 1000 mg dosing did not provide additional treatment benefit. Therefore, </w:t>
      </w:r>
      <w:r w:rsidR="008D5724" w:rsidRPr="008D1A55">
        <w:t>intravenous</w:t>
      </w:r>
      <w:r w:rsidRPr="008D1A55">
        <w:t xml:space="preserve"> </w:t>
      </w:r>
      <w:proofErr w:type="spellStart"/>
      <w:r w:rsidR="002B7EBE">
        <w:t>anifrolumab</w:t>
      </w:r>
      <w:proofErr w:type="spellEnd"/>
      <w:r w:rsidR="002B7EBE">
        <w:t xml:space="preserve"> </w:t>
      </w:r>
      <w:r w:rsidRPr="008D1A55">
        <w:t>300</w:t>
      </w:r>
      <w:r w:rsidR="002B7EBE">
        <w:t> </w:t>
      </w:r>
      <w:r w:rsidRPr="008D1A55">
        <w:t xml:space="preserve">mg </w:t>
      </w:r>
      <w:r w:rsidR="00A259E4" w:rsidRPr="008D1A55">
        <w:t>every 4</w:t>
      </w:r>
      <w:r w:rsidR="007D0024" w:rsidRPr="008D1A55">
        <w:t> </w:t>
      </w:r>
      <w:r w:rsidR="00A259E4" w:rsidRPr="008D1A55">
        <w:t>weeks</w:t>
      </w:r>
      <w:r w:rsidRPr="008D1A55">
        <w:t xml:space="preserve"> dosing regimen was selected for </w:t>
      </w:r>
      <w:r w:rsidR="001605DB" w:rsidRPr="008D1A55">
        <w:t>Phase III</w:t>
      </w:r>
      <w:r w:rsidRPr="008D1A55">
        <w:t xml:space="preserve"> studies (</w:t>
      </w:r>
      <w:r w:rsidR="001605DB" w:rsidRPr="008D1A55">
        <w:t xml:space="preserve">Studies </w:t>
      </w:r>
      <w:r w:rsidR="00C30BE3" w:rsidRPr="008D1A55">
        <w:t>D3461C00004</w:t>
      </w:r>
      <w:r w:rsidRPr="008D1A55">
        <w:t xml:space="preserve"> and </w:t>
      </w:r>
      <w:bookmarkStart w:id="51" w:name="_Hlk116764667"/>
      <w:r w:rsidR="007D0024" w:rsidRPr="008D1A55">
        <w:t>D3461C00005</w:t>
      </w:r>
      <w:bookmarkEnd w:id="51"/>
      <w:r w:rsidRPr="008D1A55">
        <w:t xml:space="preserve">). A 150 mg dose group was included in the Phase </w:t>
      </w:r>
      <w:r w:rsidR="001605DB" w:rsidRPr="008D1A55">
        <w:t>III</w:t>
      </w:r>
      <w:r w:rsidRPr="008D1A55">
        <w:t xml:space="preserve"> program to further elucidate dose response. The responder rate was numerically lower at 150 mg </w:t>
      </w:r>
      <w:r w:rsidR="00A259E4" w:rsidRPr="008D1A55">
        <w:t>every 4 weeks</w:t>
      </w:r>
      <w:r w:rsidRPr="008D1A55">
        <w:t xml:space="preserve">. </w:t>
      </w:r>
      <w:r w:rsidR="002B7EBE">
        <w:t>An e</w:t>
      </w:r>
      <w:r w:rsidRPr="008D1A55">
        <w:t>xposure</w:t>
      </w:r>
      <w:r w:rsidR="002B7EBE">
        <w:noBreakHyphen/>
      </w:r>
      <w:r w:rsidRPr="008D1A55">
        <w:t xml:space="preserve">response analysis for efficacy and safety indicated that the proposed </w:t>
      </w:r>
      <w:r w:rsidR="008D5724" w:rsidRPr="008D1A55">
        <w:t>intravenous</w:t>
      </w:r>
      <w:r w:rsidRPr="008D1A55">
        <w:t xml:space="preserve"> 300 mg </w:t>
      </w:r>
      <w:r w:rsidR="00A259E4" w:rsidRPr="008D1A55">
        <w:t>every 4 weeks</w:t>
      </w:r>
      <w:r w:rsidRPr="008D1A55">
        <w:t xml:space="preserve"> dosing regimen provides the optimal benefit-risk balance in patients with SLE.</w:t>
      </w:r>
    </w:p>
    <w:p w14:paraId="38D5FFA3" w14:textId="77777777" w:rsidR="00C7364D" w:rsidRPr="008D1A55" w:rsidRDefault="00C7364D" w:rsidP="00C7364D">
      <w:r w:rsidRPr="008D1A55">
        <w:t xml:space="preserve">No dose adjustment of </w:t>
      </w:r>
      <w:proofErr w:type="spellStart"/>
      <w:r w:rsidRPr="008D1A55">
        <w:t>anifrolumab</w:t>
      </w:r>
      <w:proofErr w:type="spellEnd"/>
      <w:r w:rsidRPr="008D1A55">
        <w:t xml:space="preserve"> is recommended for any intrinsic or extrinsic factors.</w:t>
      </w:r>
    </w:p>
    <w:p w14:paraId="04BCD989" w14:textId="3CC55871" w:rsidR="00C7364D" w:rsidRPr="008D1A55" w:rsidRDefault="00C7364D" w:rsidP="00C7364D">
      <w:r w:rsidRPr="008D1A55">
        <w:t xml:space="preserve">In </w:t>
      </w:r>
      <w:r w:rsidR="002B7EBE">
        <w:t xml:space="preserve">the </w:t>
      </w:r>
      <w:r w:rsidR="001605DB" w:rsidRPr="008D1A55">
        <w:t>Phase III</w:t>
      </w:r>
      <w:r w:rsidRPr="008D1A55">
        <w:t xml:space="preserve"> </w:t>
      </w:r>
      <w:r w:rsidR="00C30BE3" w:rsidRPr="008D1A55">
        <w:t>Studies D3461C00004</w:t>
      </w:r>
      <w:r w:rsidRPr="008D1A55">
        <w:t xml:space="preserve"> and </w:t>
      </w:r>
      <w:r w:rsidR="007D0024" w:rsidRPr="008D1A55">
        <w:t>D3461C00005</w:t>
      </w:r>
      <w:r w:rsidRPr="008D1A55">
        <w:t xml:space="preserve">, 6 out of 352 subjects (1.7%) with </w:t>
      </w:r>
      <w:proofErr w:type="spellStart"/>
      <w:r w:rsidRPr="008D1A55">
        <w:t>anifrolumab</w:t>
      </w:r>
      <w:proofErr w:type="spellEnd"/>
      <w:r w:rsidRPr="008D1A55">
        <w:t xml:space="preserve"> </w:t>
      </w:r>
      <w:r w:rsidR="008D5724" w:rsidRPr="008D1A55">
        <w:t>intravenous</w:t>
      </w:r>
      <w:r w:rsidRPr="008D1A55">
        <w:t xml:space="preserve"> 300</w:t>
      </w:r>
      <w:r w:rsidR="00C30BE3" w:rsidRPr="008D1A55">
        <w:t> </w:t>
      </w:r>
      <w:r w:rsidRPr="008D1A55">
        <w:t xml:space="preserve">mg </w:t>
      </w:r>
      <w:r w:rsidR="00A259E4" w:rsidRPr="008D1A55">
        <w:t>every 4 weeks</w:t>
      </w:r>
      <w:r w:rsidRPr="008D1A55">
        <w:t xml:space="preserve"> treatment were detected </w:t>
      </w:r>
      <w:r w:rsidR="00A01497" w:rsidRPr="008D1A55">
        <w:t>antidrug antibody (</w:t>
      </w:r>
      <w:r w:rsidRPr="008D1A55">
        <w:t>ADA</w:t>
      </w:r>
      <w:r w:rsidR="00A01497" w:rsidRPr="008D1A55">
        <w:t>)</w:t>
      </w:r>
      <w:r w:rsidR="00C30BE3" w:rsidRPr="008D1A55">
        <w:t xml:space="preserve"> </w:t>
      </w:r>
      <w:r w:rsidRPr="008D1A55">
        <w:t>positive</w:t>
      </w:r>
      <w:r w:rsidR="00C30BE3" w:rsidRPr="008D1A55">
        <w:t xml:space="preserve"> </w:t>
      </w:r>
      <w:r w:rsidRPr="008D1A55">
        <w:t>post</w:t>
      </w:r>
      <w:r w:rsidR="00C30BE3" w:rsidRPr="008D1A55">
        <w:t>-</w:t>
      </w:r>
      <w:r w:rsidR="00CA1444" w:rsidRPr="008D1A55">
        <w:t>Baseline</w:t>
      </w:r>
      <w:r w:rsidRPr="008D1A55">
        <w:t xml:space="preserve">. Due to the limited number of subjects, no conclusion could be drawn regarding the impact of positive ADA on </w:t>
      </w:r>
      <w:proofErr w:type="spellStart"/>
      <w:r w:rsidRPr="008D1A55">
        <w:t>anifrolumab</w:t>
      </w:r>
      <w:proofErr w:type="spellEnd"/>
      <w:r w:rsidRPr="008D1A55">
        <w:t xml:space="preserve"> PK, PD, </w:t>
      </w:r>
      <w:proofErr w:type="gramStart"/>
      <w:r w:rsidRPr="008D1A55">
        <w:t>efficacy</w:t>
      </w:r>
      <w:proofErr w:type="gramEnd"/>
      <w:r w:rsidRPr="008D1A55">
        <w:t xml:space="preserve"> and safety.</w:t>
      </w:r>
    </w:p>
    <w:p w14:paraId="5BF2194F" w14:textId="158AFD71" w:rsidR="00C7364D" w:rsidRPr="008D1A55" w:rsidRDefault="00C7364D" w:rsidP="00C7364D">
      <w:r w:rsidRPr="008D1A55">
        <w:t xml:space="preserve">In patients with SLE, following the administration of </w:t>
      </w:r>
      <w:proofErr w:type="spellStart"/>
      <w:r w:rsidRPr="008D1A55">
        <w:t>anifrolumab</w:t>
      </w:r>
      <w:proofErr w:type="spellEnd"/>
      <w:r w:rsidRPr="008D1A55">
        <w:t xml:space="preserve"> at 300 mg </w:t>
      </w:r>
      <w:r w:rsidR="002B7EBE">
        <w:t xml:space="preserve">given via </w:t>
      </w:r>
      <w:r w:rsidR="008D5724" w:rsidRPr="008D1A55">
        <w:t>intravenous</w:t>
      </w:r>
      <w:r w:rsidRPr="008D1A55">
        <w:t xml:space="preserve"> </w:t>
      </w:r>
      <w:r w:rsidR="002B7EBE">
        <w:t xml:space="preserve">infusion </w:t>
      </w:r>
      <w:r w:rsidR="00A259E4" w:rsidRPr="008D1A55">
        <w:t>every 4 weeks</w:t>
      </w:r>
      <w:r w:rsidRPr="008D1A55">
        <w:t xml:space="preserve"> for 52 weeks, neutrali</w:t>
      </w:r>
      <w:r w:rsidR="008D5724" w:rsidRPr="008D1A55">
        <w:t>s</w:t>
      </w:r>
      <w:r w:rsidRPr="008D1A55">
        <w:t>ation (80%</w:t>
      </w:r>
      <w:r w:rsidR="00C30BE3" w:rsidRPr="008D1A55">
        <w:t xml:space="preserve"> or higher</w:t>
      </w:r>
      <w:r w:rsidRPr="008D1A55">
        <w:t xml:space="preserve">) of </w:t>
      </w:r>
      <w:r w:rsidR="00CC61CB" w:rsidRPr="008D1A55">
        <w:t xml:space="preserve">Type </w:t>
      </w:r>
      <w:r w:rsidR="00D264E5" w:rsidRPr="008D1A55">
        <w:t>I</w:t>
      </w:r>
      <w:r w:rsidRPr="008D1A55">
        <w:t xml:space="preserve"> </w:t>
      </w:r>
      <w:r w:rsidR="00D264E5" w:rsidRPr="008D1A55">
        <w:t>interferon</w:t>
      </w:r>
      <w:r w:rsidRPr="008D1A55">
        <w:t xml:space="preserve"> gene signature was observed from week 4 to </w:t>
      </w:r>
      <w:r w:rsidR="00C30BE3" w:rsidRPr="008D1A55">
        <w:t xml:space="preserve">Week </w:t>
      </w:r>
      <w:r w:rsidRPr="008D1A55">
        <w:t xml:space="preserve">52 in blood samples of patients with elevated levels of </w:t>
      </w:r>
      <w:r w:rsidR="00CC61CB" w:rsidRPr="008D1A55">
        <w:t xml:space="preserve">Type </w:t>
      </w:r>
      <w:r w:rsidR="00D264E5" w:rsidRPr="008D1A55">
        <w:t>I</w:t>
      </w:r>
      <w:r w:rsidRPr="008D1A55">
        <w:t xml:space="preserve"> </w:t>
      </w:r>
      <w:r w:rsidR="00D264E5" w:rsidRPr="008D1A55">
        <w:t>interferon</w:t>
      </w:r>
      <w:r w:rsidRPr="008D1A55">
        <w:t xml:space="preserve"> inducible genes. This PD marker returned to </w:t>
      </w:r>
      <w:r w:rsidR="00CA1444" w:rsidRPr="008D1A55">
        <w:t>baseline</w:t>
      </w:r>
      <w:r w:rsidRPr="008D1A55">
        <w:t xml:space="preserve"> levels within 8 to 12 weeks following withdrawal of </w:t>
      </w:r>
      <w:proofErr w:type="spellStart"/>
      <w:r w:rsidRPr="008D1A55">
        <w:t>anifrolumab</w:t>
      </w:r>
      <w:proofErr w:type="spellEnd"/>
      <w:r w:rsidRPr="008D1A55">
        <w:t xml:space="preserve"> at the end of the 52</w:t>
      </w:r>
      <w:r w:rsidR="00C30BE3" w:rsidRPr="008D1A55">
        <w:noBreakHyphen/>
      </w:r>
      <w:r w:rsidRPr="008D1A55">
        <w:t xml:space="preserve">week treatment period. However, the clinical relevance of the </w:t>
      </w:r>
      <w:r w:rsidR="00CC61CB" w:rsidRPr="008D1A55">
        <w:t xml:space="preserve">Type </w:t>
      </w:r>
      <w:r w:rsidR="00D264E5" w:rsidRPr="008D1A55">
        <w:t>I</w:t>
      </w:r>
      <w:r w:rsidRPr="008D1A55">
        <w:t xml:space="preserve"> </w:t>
      </w:r>
      <w:r w:rsidR="00D264E5" w:rsidRPr="008D1A55">
        <w:t>interferon</w:t>
      </w:r>
      <w:r w:rsidRPr="008D1A55">
        <w:t xml:space="preserve"> gene signature neutrali</w:t>
      </w:r>
      <w:r w:rsidR="008D5724" w:rsidRPr="008D1A55">
        <w:t>s</w:t>
      </w:r>
      <w:r w:rsidRPr="008D1A55">
        <w:t>ation is unclear.</w:t>
      </w:r>
    </w:p>
    <w:p w14:paraId="71C1E2E8" w14:textId="6CB40BA2" w:rsidR="00C7364D" w:rsidRPr="008D1A55" w:rsidRDefault="00C7364D" w:rsidP="00C7364D">
      <w:r w:rsidRPr="008D1A55">
        <w:t>In SLE patients with positive anti-</w:t>
      </w:r>
      <w:r w:rsidR="00135A47" w:rsidRPr="008D1A55">
        <w:t>double stranded deoxyribonucleic acid (</w:t>
      </w:r>
      <w:r w:rsidRPr="008D1A55">
        <w:t>dsDNA</w:t>
      </w:r>
      <w:r w:rsidR="00135A47" w:rsidRPr="008D1A55">
        <w:t>)</w:t>
      </w:r>
      <w:r w:rsidRPr="008D1A55">
        <w:t xml:space="preserve"> antibodies at </w:t>
      </w:r>
      <w:r w:rsidR="00CA1444" w:rsidRPr="008D1A55">
        <w:t>Baseline</w:t>
      </w:r>
      <w:r w:rsidRPr="008D1A55">
        <w:t xml:space="preserve"> (Studies </w:t>
      </w:r>
      <w:r w:rsidR="00C30BE3" w:rsidRPr="008D1A55">
        <w:t>D3461C00004</w:t>
      </w:r>
      <w:r w:rsidRPr="008D1A55">
        <w:t xml:space="preserve"> and </w:t>
      </w:r>
      <w:r w:rsidR="007D0024" w:rsidRPr="008D1A55">
        <w:t>D3461C00005</w:t>
      </w:r>
      <w:r w:rsidRPr="008D1A55">
        <w:t xml:space="preserve">), treatment with </w:t>
      </w:r>
      <w:proofErr w:type="spellStart"/>
      <w:r w:rsidRPr="008D1A55">
        <w:t>anifrolumab</w:t>
      </w:r>
      <w:proofErr w:type="spellEnd"/>
      <w:r w:rsidRPr="008D1A55">
        <w:t xml:space="preserve"> 300 mg led to numerical reductions in anti-dsDNA antibodies over time through </w:t>
      </w:r>
      <w:r w:rsidR="00C30BE3" w:rsidRPr="008D1A55">
        <w:t xml:space="preserve">Week </w:t>
      </w:r>
      <w:r w:rsidRPr="008D1A55">
        <w:t>52.</w:t>
      </w:r>
    </w:p>
    <w:p w14:paraId="362ADE1C" w14:textId="49C68DAF" w:rsidR="00C7364D" w:rsidRPr="008D1A55" w:rsidRDefault="00C7364D" w:rsidP="00C7364D">
      <w:r w:rsidRPr="008D1A55">
        <w:t xml:space="preserve">In patients with low complement levels (C3 and C4), increases in complement levels were observed in patients receiving </w:t>
      </w:r>
      <w:proofErr w:type="spellStart"/>
      <w:r w:rsidRPr="008D1A55">
        <w:t>anifrolumab</w:t>
      </w:r>
      <w:proofErr w:type="spellEnd"/>
      <w:r w:rsidRPr="008D1A55">
        <w:t xml:space="preserve"> through </w:t>
      </w:r>
      <w:r w:rsidR="00C30BE3" w:rsidRPr="008D1A55">
        <w:t xml:space="preserve">Week </w:t>
      </w:r>
      <w:r w:rsidRPr="008D1A55">
        <w:t>52.</w:t>
      </w:r>
    </w:p>
    <w:p w14:paraId="46E87685" w14:textId="48A9AC05" w:rsidR="00C7364D" w:rsidRPr="008D1A55" w:rsidRDefault="00C7364D" w:rsidP="00C7364D">
      <w:pPr>
        <w:pStyle w:val="Heading5"/>
      </w:pPr>
      <w:r w:rsidRPr="008D1A55">
        <w:t xml:space="preserve">Population </w:t>
      </w:r>
      <w:r w:rsidR="00A01497" w:rsidRPr="008D1A55">
        <w:t>pharmacokinetic</w:t>
      </w:r>
      <w:r w:rsidRPr="008D1A55">
        <w:t xml:space="preserve"> data</w:t>
      </w:r>
    </w:p>
    <w:p w14:paraId="5F17B6CA" w14:textId="59F0CDC8" w:rsidR="00C7364D" w:rsidRPr="008D1A55" w:rsidRDefault="00A01497" w:rsidP="00C7364D">
      <w:r w:rsidRPr="008D1A55">
        <w:t xml:space="preserve">Pharmacokinetic </w:t>
      </w:r>
      <w:r w:rsidR="00C7364D" w:rsidRPr="008D1A55">
        <w:t>data from healthy volunteers (Study D3461C00006) and in patients with SLE (Studies</w:t>
      </w:r>
      <w:r w:rsidR="007D0024" w:rsidRPr="008D1A55">
        <w:t> </w:t>
      </w:r>
      <w:r w:rsidR="00C7364D" w:rsidRPr="008D1A55">
        <w:t xml:space="preserve">CD-IA-MEDI-546-1013, D3461C00002, D3461C00004 and D3461C00005) were pooled to develop a </w:t>
      </w:r>
      <w:r w:rsidRPr="008D1A55">
        <w:t>population pharmacokinetic (</w:t>
      </w:r>
      <w:proofErr w:type="spellStart"/>
      <w:r w:rsidRPr="008D1A55">
        <w:t>PopPK</w:t>
      </w:r>
      <w:proofErr w:type="spellEnd"/>
      <w:r w:rsidRPr="008D1A55">
        <w:t xml:space="preserve">) </w:t>
      </w:r>
      <w:r w:rsidR="00C7364D" w:rsidRPr="008D1A55">
        <w:t xml:space="preserve">model to characterise the PK of </w:t>
      </w:r>
      <w:proofErr w:type="spellStart"/>
      <w:r w:rsidR="00C7364D" w:rsidRPr="008D1A55">
        <w:t>anifrolumab</w:t>
      </w:r>
      <w:proofErr w:type="spellEnd"/>
      <w:r w:rsidR="00C7364D" w:rsidRPr="008D1A55">
        <w:t xml:space="preserve"> and to evaluate the impacts of covariates, such as demographics and renal</w:t>
      </w:r>
      <w:r w:rsidR="00CA1444" w:rsidRPr="008D1A55">
        <w:t xml:space="preserve"> or </w:t>
      </w:r>
      <w:r w:rsidR="00C7364D" w:rsidRPr="008D1A55">
        <w:t>liver function tests on PK exposure.</w:t>
      </w:r>
    </w:p>
    <w:p w14:paraId="2BCC417F" w14:textId="6D24B8D6" w:rsidR="00C7364D" w:rsidRPr="008D1A55" w:rsidRDefault="00C7364D" w:rsidP="00C7364D">
      <w:r w:rsidRPr="008D1A55">
        <w:t xml:space="preserve">Based on the </w:t>
      </w:r>
      <w:proofErr w:type="spellStart"/>
      <w:r w:rsidRPr="008D1A55">
        <w:t>PopPK</w:t>
      </w:r>
      <w:proofErr w:type="spellEnd"/>
      <w:r w:rsidRPr="008D1A55">
        <w:t xml:space="preserve"> analysis, there was a modest decrease in median </w:t>
      </w:r>
      <w:r w:rsidR="00C30BE3" w:rsidRPr="008D1A55">
        <w:t xml:space="preserve">clearance </w:t>
      </w:r>
      <w:r w:rsidRPr="008D1A55">
        <w:t xml:space="preserve">(8.4%) after </w:t>
      </w:r>
      <w:r w:rsidR="00C30BE3" w:rsidRPr="008D1A55">
        <w:t>one</w:t>
      </w:r>
      <w:r w:rsidRPr="008D1A55">
        <w:t xml:space="preserve"> year of treatment that resulted in a minor increase in exposure; however, the decrease in </w:t>
      </w:r>
      <w:r w:rsidR="00C30BE3" w:rsidRPr="008D1A55">
        <w:t>clearance</w:t>
      </w:r>
      <w:r w:rsidRPr="008D1A55">
        <w:t xml:space="preserve"> was not considered clinically relevant.</w:t>
      </w:r>
    </w:p>
    <w:p w14:paraId="55F95E02" w14:textId="5AA5D8B5" w:rsidR="00C7364D" w:rsidRPr="008D1A55" w:rsidRDefault="00A01497" w:rsidP="00C7364D">
      <w:r w:rsidRPr="008D1A55">
        <w:t xml:space="preserve">Population pharmacokinetic </w:t>
      </w:r>
      <w:r w:rsidR="00C7364D" w:rsidRPr="008D1A55">
        <w:t xml:space="preserve">analysis also showed that standard of care therapy such as </w:t>
      </w:r>
      <w:r w:rsidR="00C30BE3" w:rsidRPr="008D1A55">
        <w:t xml:space="preserve">oral </w:t>
      </w:r>
      <w:r w:rsidR="00C7364D" w:rsidRPr="008D1A55">
        <w:t>corticosteroids, anti</w:t>
      </w:r>
      <w:r w:rsidR="00C30BE3" w:rsidRPr="008D1A55">
        <w:noBreakHyphen/>
      </w:r>
      <w:r w:rsidR="00C7364D" w:rsidRPr="008D1A55">
        <w:t xml:space="preserve">malarial, and immunosuppressants (azathioprine, methotrexate, mycophenolate mofetil, mycophenolic acid, and </w:t>
      </w:r>
      <w:proofErr w:type="spellStart"/>
      <w:r w:rsidR="00C7364D" w:rsidRPr="008D1A55">
        <w:t>mizoribine</w:t>
      </w:r>
      <w:proofErr w:type="spellEnd"/>
      <w:r w:rsidR="00C7364D" w:rsidRPr="008D1A55">
        <w:t xml:space="preserve">) along with commonly used </w:t>
      </w:r>
      <w:r w:rsidR="00C7364D" w:rsidRPr="008D1A55">
        <w:lastRenderedPageBreak/>
        <w:t>medications in SLE patients (</w:t>
      </w:r>
      <w:r w:rsidR="00014FA9" w:rsidRPr="008D1A55">
        <w:t>non-steroidal anti-inflammatory drugs</w:t>
      </w:r>
      <w:r w:rsidR="00C7364D" w:rsidRPr="008D1A55">
        <w:t xml:space="preserve">, </w:t>
      </w:r>
      <w:r w:rsidR="00C2136E" w:rsidRPr="008D1A55">
        <w:t xml:space="preserve">angiotensin converting enzyme </w:t>
      </w:r>
      <w:r w:rsidR="002B7EBE">
        <w:t xml:space="preserve">(ACE) </w:t>
      </w:r>
      <w:r w:rsidR="00C7364D" w:rsidRPr="008D1A55">
        <w:t>inhibitor</w:t>
      </w:r>
      <w:r w:rsidR="002B7EBE">
        <w:t>s</w:t>
      </w:r>
      <w:r w:rsidR="00C7364D" w:rsidRPr="008D1A55">
        <w:t xml:space="preserve">, and </w:t>
      </w:r>
      <w:proofErr w:type="spellStart"/>
      <w:r w:rsidR="00C2136E" w:rsidRPr="008D1A55">
        <w:t>hydroxymethylglutaryl</w:t>
      </w:r>
      <w:proofErr w:type="spellEnd"/>
      <w:r w:rsidR="00C2136E" w:rsidRPr="008D1A55">
        <w:t xml:space="preserve"> coenzyme A </w:t>
      </w:r>
      <w:r w:rsidR="002B7EBE">
        <w:t>(</w:t>
      </w:r>
      <w:r w:rsidR="002B7EBE" w:rsidRPr="002B7EBE">
        <w:t>HMG-CoA</w:t>
      </w:r>
      <w:r w:rsidR="002B7EBE">
        <w:t>)</w:t>
      </w:r>
      <w:r w:rsidR="002B7EBE" w:rsidRPr="002B7EBE">
        <w:t xml:space="preserve"> </w:t>
      </w:r>
      <w:r w:rsidR="00C7364D" w:rsidRPr="008D1A55">
        <w:t xml:space="preserve">reductase inhibitors) had no impact on the </w:t>
      </w:r>
      <w:r w:rsidR="00C30BE3" w:rsidRPr="008D1A55">
        <w:t>clearance</w:t>
      </w:r>
      <w:r w:rsidR="00C7364D" w:rsidRPr="008D1A55">
        <w:t xml:space="preserve"> of </w:t>
      </w:r>
      <w:proofErr w:type="spellStart"/>
      <w:r w:rsidR="00C7364D" w:rsidRPr="008D1A55">
        <w:t>anifrolumab</w:t>
      </w:r>
      <w:proofErr w:type="spellEnd"/>
      <w:r w:rsidR="00C7364D" w:rsidRPr="008D1A55">
        <w:t>.</w:t>
      </w:r>
    </w:p>
    <w:p w14:paraId="1EF7D146" w14:textId="1A407974" w:rsidR="00C7364D" w:rsidRPr="008D1A55" w:rsidRDefault="00C7364D" w:rsidP="00C7364D">
      <w:pPr>
        <w:pStyle w:val="Heading5"/>
      </w:pPr>
      <w:r w:rsidRPr="008D1A55">
        <w:t>Pharmacodynamics</w:t>
      </w:r>
    </w:p>
    <w:p w14:paraId="24242D45" w14:textId="139734A7" w:rsidR="00C7364D" w:rsidRPr="008D1A55" w:rsidRDefault="00C7364D" w:rsidP="00C7364D">
      <w:r w:rsidRPr="008D1A55">
        <w:t xml:space="preserve">In the </w:t>
      </w:r>
      <w:r w:rsidR="00C30BE3" w:rsidRPr="008D1A55">
        <w:t>summaries</w:t>
      </w:r>
      <w:r w:rsidRPr="008D1A55">
        <w:t xml:space="preserve">, the </w:t>
      </w:r>
      <w:r w:rsidR="00720FF5" w:rsidRPr="008D1A55">
        <w:t>sponsor</w:t>
      </w:r>
      <w:r w:rsidRPr="008D1A55">
        <w:t xml:space="preserve"> has presented PD results only for the </w:t>
      </w:r>
      <w:r w:rsidR="00CC61CB" w:rsidRPr="008D1A55">
        <w:t xml:space="preserve">Type </w:t>
      </w:r>
      <w:r w:rsidR="00D264E5" w:rsidRPr="008D1A55">
        <w:t>I</w:t>
      </w:r>
      <w:r w:rsidRPr="008D1A55">
        <w:t xml:space="preserve"> </w:t>
      </w:r>
      <w:r w:rsidR="00D264E5" w:rsidRPr="008D1A55">
        <w:t>interferon</w:t>
      </w:r>
      <w:r w:rsidRPr="008D1A55">
        <w:t xml:space="preserve"> test high patients, suggesting that this is the subgroup of SLE patients who should be receiving treatment with </w:t>
      </w:r>
      <w:proofErr w:type="spellStart"/>
      <w:r w:rsidRPr="008D1A55">
        <w:t>anifrolumab</w:t>
      </w:r>
      <w:proofErr w:type="spellEnd"/>
      <w:r w:rsidRPr="008D1A55">
        <w:t xml:space="preserve">. No results for the </w:t>
      </w:r>
      <w:r w:rsidR="00CC61CB" w:rsidRPr="008D1A55">
        <w:t xml:space="preserve">Type </w:t>
      </w:r>
      <w:r w:rsidR="00D264E5" w:rsidRPr="008D1A55">
        <w:t>I</w:t>
      </w:r>
      <w:r w:rsidRPr="008D1A55">
        <w:t xml:space="preserve"> </w:t>
      </w:r>
      <w:r w:rsidR="00D264E5" w:rsidRPr="008D1A55">
        <w:t>interferon</w:t>
      </w:r>
      <w:r w:rsidRPr="008D1A55">
        <w:t xml:space="preserve"> low patients are presented for comparison and no explanation for this omission is provided.</w:t>
      </w:r>
    </w:p>
    <w:p w14:paraId="1AE96472" w14:textId="628DF2FB" w:rsidR="00C7364D" w:rsidRPr="008D1A55" w:rsidRDefault="00C7364D" w:rsidP="00C7364D">
      <w:proofErr w:type="spellStart"/>
      <w:r w:rsidRPr="008D1A55">
        <w:t>Anifrolumab</w:t>
      </w:r>
      <w:proofErr w:type="spellEnd"/>
      <w:r w:rsidRPr="008D1A55">
        <w:t xml:space="preserve"> doses </w:t>
      </w:r>
      <w:r w:rsidR="00D246CA">
        <w:t xml:space="preserve">of </w:t>
      </w:r>
      <w:r w:rsidRPr="008D1A55">
        <w:t>300 mg</w:t>
      </w:r>
      <w:r w:rsidR="007D0024" w:rsidRPr="008D1A55">
        <w:t xml:space="preserve"> or higher</w:t>
      </w:r>
      <w:r w:rsidRPr="008D1A55">
        <w:t xml:space="preserve"> </w:t>
      </w:r>
      <w:r w:rsidR="00D246CA">
        <w:t xml:space="preserve">given </w:t>
      </w:r>
      <w:r w:rsidR="008D5724" w:rsidRPr="008D1A55">
        <w:t>intravenous</w:t>
      </w:r>
      <w:r w:rsidR="007D0024" w:rsidRPr="008D1A55">
        <w:t>ly</w:t>
      </w:r>
      <w:r w:rsidRPr="008D1A55">
        <w:t xml:space="preserve"> resulted in a rapid, </w:t>
      </w:r>
      <w:proofErr w:type="gramStart"/>
      <w:r w:rsidRPr="008D1A55">
        <w:t>substantial</w:t>
      </w:r>
      <w:proofErr w:type="gramEnd"/>
      <w:r w:rsidRPr="008D1A55">
        <w:t xml:space="preserve"> and sustained neutralisation of </w:t>
      </w:r>
      <w:r w:rsidR="00CC61CB" w:rsidRPr="008D1A55">
        <w:t xml:space="preserve">Type </w:t>
      </w:r>
      <w:r w:rsidR="00D264E5" w:rsidRPr="008D1A55">
        <w:t>I</w:t>
      </w:r>
      <w:r w:rsidRPr="008D1A55">
        <w:t xml:space="preserve"> </w:t>
      </w:r>
      <w:r w:rsidR="00D264E5" w:rsidRPr="008D1A55">
        <w:t>interferon</w:t>
      </w:r>
      <w:r w:rsidR="00C30BE3" w:rsidRPr="008D1A55">
        <w:t xml:space="preserve"> </w:t>
      </w:r>
      <w:r w:rsidRPr="008D1A55">
        <w:t>inducible genes by Week 4. There was a lack of neutralisation in the 150 mg group.</w:t>
      </w:r>
    </w:p>
    <w:p w14:paraId="06BF1B9F" w14:textId="423337AE" w:rsidR="00C7364D" w:rsidRPr="008D1A55" w:rsidRDefault="00C7364D" w:rsidP="00C7364D">
      <w:r w:rsidRPr="008D1A55">
        <w:t xml:space="preserve">In Study CD-IA-MEDI-546-1013 the median neutralisation of </w:t>
      </w:r>
      <w:r w:rsidR="00CC61CB" w:rsidRPr="008D1A55">
        <w:t xml:space="preserve">Type </w:t>
      </w:r>
      <w:r w:rsidR="00D264E5" w:rsidRPr="008D1A55">
        <w:t>I</w:t>
      </w:r>
      <w:r w:rsidRPr="008D1A55">
        <w:t xml:space="preserve"> </w:t>
      </w:r>
      <w:r w:rsidR="00D264E5" w:rsidRPr="008D1A55">
        <w:t>interferon</w:t>
      </w:r>
      <w:r w:rsidRPr="008D1A55">
        <w:t xml:space="preserve"> PD signature was similar in the 300 mg and 1000 mg dose groups, where an efficacy plateau was observed but no other doses were tested and no other dose regimen other than </w:t>
      </w:r>
      <w:r w:rsidR="00A259E4" w:rsidRPr="008D1A55">
        <w:t>every 4</w:t>
      </w:r>
      <w:r w:rsidR="007D0024" w:rsidRPr="008D1A55">
        <w:t> </w:t>
      </w:r>
      <w:r w:rsidR="00A259E4" w:rsidRPr="008D1A55">
        <w:t>weeks</w:t>
      </w:r>
      <w:r w:rsidRPr="008D1A55">
        <w:t xml:space="preserve"> was tested. The median neutralisation of the </w:t>
      </w:r>
      <w:r w:rsidR="00CC61CB" w:rsidRPr="008D1A55">
        <w:t xml:space="preserve">Type </w:t>
      </w:r>
      <w:r w:rsidR="00D264E5" w:rsidRPr="008D1A55">
        <w:t>I</w:t>
      </w:r>
      <w:r w:rsidRPr="008D1A55">
        <w:t xml:space="preserve"> </w:t>
      </w:r>
      <w:r w:rsidR="00D264E5" w:rsidRPr="008D1A55">
        <w:t>interferon</w:t>
      </w:r>
      <w:r w:rsidRPr="008D1A55">
        <w:t xml:space="preserve"> PD signature for the 150</w:t>
      </w:r>
      <w:r w:rsidR="007D0024" w:rsidRPr="008D1A55">
        <w:t> </w:t>
      </w:r>
      <w:r w:rsidRPr="008D1A55">
        <w:t>mg dose was lower than that of the 300 mg dose.</w:t>
      </w:r>
    </w:p>
    <w:p w14:paraId="6C934AB2" w14:textId="4B7B2111" w:rsidR="00C7364D" w:rsidRPr="008D1A55" w:rsidRDefault="00C7364D" w:rsidP="00C7364D">
      <w:proofErr w:type="spellStart"/>
      <w:r w:rsidRPr="008D1A55">
        <w:t>Anifrolumab</w:t>
      </w:r>
      <w:proofErr w:type="spellEnd"/>
      <w:r w:rsidRPr="008D1A55">
        <w:t xml:space="preserve"> 300 mg also demonstrated a positive exposure</w:t>
      </w:r>
      <w:r w:rsidR="005941D0" w:rsidRPr="008D1A55">
        <w:t xml:space="preserve"> to </w:t>
      </w:r>
      <w:r w:rsidRPr="008D1A55">
        <w:t xml:space="preserve">response relationship for the primary composite endpoints </w:t>
      </w:r>
      <w:r w:rsidR="00D246CA">
        <w:t xml:space="preserve">of changes to scores on the </w:t>
      </w:r>
      <w:r w:rsidR="0090336C" w:rsidRPr="008D1A55">
        <w:t>British Isles Lupus Assessment Group (BILAG)-based Composite Lupus Assessment (</w:t>
      </w:r>
      <w:r w:rsidRPr="008D1A55">
        <w:t>BICLA</w:t>
      </w:r>
      <w:r w:rsidR="0090336C" w:rsidRPr="008D1A55">
        <w:t>)</w:t>
      </w:r>
      <w:r w:rsidRPr="008D1A55">
        <w:t xml:space="preserve"> and </w:t>
      </w:r>
      <w:r w:rsidR="00D246CA">
        <w:t>t</w:t>
      </w:r>
      <w:r w:rsidR="00D246CA" w:rsidRPr="00D246CA">
        <w:t xml:space="preserve">he Systemic Lupus Erythematosus Responder Index </w:t>
      </w:r>
      <w:r w:rsidR="00D246CA">
        <w:t>(</w:t>
      </w:r>
      <w:r w:rsidRPr="008D1A55">
        <w:t>SRI</w:t>
      </w:r>
      <w:r w:rsidR="00D246CA">
        <w:t>)</w:t>
      </w:r>
      <w:r w:rsidRPr="008D1A55">
        <w:t xml:space="preserve"> and across the key secondary endpoints (maintained </w:t>
      </w:r>
      <w:r w:rsidR="007D0024" w:rsidRPr="008D1A55">
        <w:t>oral corticosteroids</w:t>
      </w:r>
      <w:r w:rsidRPr="008D1A55">
        <w:t xml:space="preserve"> reduction and Cutaneous Lupus Erythematous Disease Activity and Severity Index</w:t>
      </w:r>
      <w:r w:rsidR="00B86B4E">
        <w:t>;</w:t>
      </w:r>
      <w:r w:rsidR="00B86B4E">
        <w:rPr>
          <w:rStyle w:val="FootnoteReference"/>
        </w:rPr>
        <w:footnoteReference w:id="14"/>
      </w:r>
      <w:r w:rsidRPr="008D1A55">
        <w:t xml:space="preserve"> response at Week 12 and reduction in flare rates).</w:t>
      </w:r>
    </w:p>
    <w:p w14:paraId="0E55989C" w14:textId="1056ACC6" w:rsidR="00C7364D" w:rsidRPr="008D1A55" w:rsidRDefault="00C7364D" w:rsidP="00C7364D">
      <w:pPr>
        <w:pStyle w:val="Heading5"/>
      </w:pPr>
      <w:r w:rsidRPr="008D1A55">
        <w:t xml:space="preserve">Dose </w:t>
      </w:r>
      <w:r w:rsidR="007D0024" w:rsidRPr="008D1A55">
        <w:t>selection</w:t>
      </w:r>
    </w:p>
    <w:p w14:paraId="04CC5392" w14:textId="142A6D1C" w:rsidR="00C7364D" w:rsidRPr="008D1A55" w:rsidRDefault="00C7364D" w:rsidP="00C7364D">
      <w:r w:rsidRPr="008D1A55">
        <w:t>The recommended dose regimen was stated to be based on PK/PD modelling which provided justification for the dose levels of 300 mg and 1000 mg used in Study</w:t>
      </w:r>
      <w:r w:rsidR="007D0024" w:rsidRPr="008D1A55">
        <w:t> </w:t>
      </w:r>
      <w:r w:rsidRPr="008D1A55">
        <w:t>CD</w:t>
      </w:r>
      <w:r w:rsidR="007D0024" w:rsidRPr="008D1A55">
        <w:noBreakHyphen/>
      </w:r>
      <w:r w:rsidRPr="008D1A55">
        <w:t>IA</w:t>
      </w:r>
      <w:r w:rsidR="007D0024" w:rsidRPr="008D1A55">
        <w:noBreakHyphen/>
      </w:r>
      <w:r w:rsidRPr="008D1A55">
        <w:t xml:space="preserve">MEDI-546-1013 and refined to a recommended dose of 300 mg in </w:t>
      </w:r>
      <w:r w:rsidR="00AD6ECD" w:rsidRPr="008D1A55">
        <w:t>Stud</w:t>
      </w:r>
      <w:r w:rsidR="007D0024" w:rsidRPr="008D1A55">
        <w:t>ies </w:t>
      </w:r>
      <w:r w:rsidRPr="008D1A55">
        <w:t>D3461C00005 and D3461C00004.</w:t>
      </w:r>
    </w:p>
    <w:p w14:paraId="2DAEB2AD" w14:textId="3BF9058B" w:rsidR="00C7364D" w:rsidRPr="008D1A55" w:rsidRDefault="00C7364D" w:rsidP="00C7364D">
      <w:r w:rsidRPr="008D1A55">
        <w:t xml:space="preserve">No dose interval other than </w:t>
      </w:r>
      <w:r w:rsidR="00A259E4" w:rsidRPr="008D1A55">
        <w:t>every 4 weeks</w:t>
      </w:r>
      <w:r w:rsidRPr="008D1A55">
        <w:t xml:space="preserve"> appears to have been studied.</w:t>
      </w:r>
    </w:p>
    <w:p w14:paraId="220957E3" w14:textId="2CF83B7F" w:rsidR="00C7364D" w:rsidRPr="008D1A55" w:rsidRDefault="00C7364D" w:rsidP="00C7364D">
      <w:r w:rsidRPr="008D1A55">
        <w:t xml:space="preserve">The dosing interval of </w:t>
      </w:r>
      <w:r w:rsidR="00A259E4" w:rsidRPr="008D1A55">
        <w:t>every 4 weeks</w:t>
      </w:r>
      <w:r w:rsidRPr="008D1A55">
        <w:t xml:space="preserve"> was questioned by </w:t>
      </w:r>
      <w:r w:rsidR="007D0024" w:rsidRPr="008D1A55">
        <w:t xml:space="preserve">the </w:t>
      </w:r>
      <w:r w:rsidRPr="008D1A55">
        <w:t>clinical evaluat</w:t>
      </w:r>
      <w:r w:rsidR="00AD6ECD" w:rsidRPr="008D1A55">
        <w:t>ion</w:t>
      </w:r>
      <w:r w:rsidRPr="008D1A55">
        <w:t xml:space="preserve"> during the review as this was not discussed in the studies or the summaries.</w:t>
      </w:r>
    </w:p>
    <w:p w14:paraId="5B7D6C6A" w14:textId="7C171709" w:rsidR="00C7364D" w:rsidRPr="008D1A55" w:rsidRDefault="00C7364D" w:rsidP="00C7364D">
      <w:r w:rsidRPr="008D1A55">
        <w:t xml:space="preserve">The </w:t>
      </w:r>
      <w:r w:rsidR="00720FF5" w:rsidRPr="008D1A55">
        <w:t>sponsor</w:t>
      </w:r>
      <w:r w:rsidRPr="008D1A55">
        <w:t xml:space="preserve">’s response with the simulation data supported the dosing interval of </w:t>
      </w:r>
      <w:r w:rsidR="00A259E4" w:rsidRPr="008D1A55">
        <w:t>every 4</w:t>
      </w:r>
      <w:r w:rsidR="00F37795" w:rsidRPr="008D1A55">
        <w:t> </w:t>
      </w:r>
      <w:r w:rsidR="00A259E4" w:rsidRPr="008D1A55">
        <w:t>weeks</w:t>
      </w:r>
      <w:r w:rsidRPr="008D1A55">
        <w:t xml:space="preserve"> and the results support the efficacy of the dose of 300 mg but there did not appear to be data for a higher dose between 300 mg and 1000 mg.</w:t>
      </w:r>
    </w:p>
    <w:p w14:paraId="75B50D40" w14:textId="77777777" w:rsidR="00C7364D" w:rsidRPr="008D1A55" w:rsidRDefault="00C7364D" w:rsidP="00C7364D">
      <w:pPr>
        <w:pStyle w:val="Heading4"/>
      </w:pPr>
      <w:r w:rsidRPr="008D1A55">
        <w:lastRenderedPageBreak/>
        <w:t>Efficacy</w:t>
      </w:r>
    </w:p>
    <w:p w14:paraId="3DCA3BEC" w14:textId="77777777" w:rsidR="00C7364D" w:rsidRPr="008D1A55" w:rsidRDefault="00C7364D" w:rsidP="00C7364D">
      <w:pPr>
        <w:pStyle w:val="Heading5"/>
      </w:pPr>
      <w:r w:rsidRPr="008D1A55">
        <w:t>Pivotal studies</w:t>
      </w:r>
    </w:p>
    <w:p w14:paraId="1269A753" w14:textId="2104513D" w:rsidR="00C7364D" w:rsidRPr="008D1A55" w:rsidRDefault="00C7364D" w:rsidP="00F37795">
      <w:pPr>
        <w:pStyle w:val="ListBullet"/>
      </w:pPr>
      <w:r w:rsidRPr="008D1A55">
        <w:t xml:space="preserve">Study D3461C00004 </w:t>
      </w:r>
      <w:r w:rsidR="00F37795" w:rsidRPr="008D1A55">
        <w:t>is a</w:t>
      </w:r>
      <w:r w:rsidRPr="008D1A55">
        <w:t xml:space="preserve"> </w:t>
      </w:r>
      <w:r w:rsidR="00F37795" w:rsidRPr="008D1A55">
        <w:t xml:space="preserve">multicentre, randomised, double blind, placebo controlled, Phase III study evaluating the efficacy and safety of </w:t>
      </w:r>
      <w:proofErr w:type="spellStart"/>
      <w:r w:rsidR="00F37795" w:rsidRPr="008D1A55">
        <w:t>anifrolumab</w:t>
      </w:r>
      <w:proofErr w:type="spellEnd"/>
      <w:r w:rsidR="00F37795" w:rsidRPr="008D1A55">
        <w:t xml:space="preserve"> in adult subjects with active </w:t>
      </w:r>
      <w:r w:rsidR="00640279" w:rsidRPr="008D1A55">
        <w:t>systemic lupus erythematosus (SLE)</w:t>
      </w:r>
      <w:r w:rsidR="00F37795" w:rsidRPr="008D1A55">
        <w:t>.</w:t>
      </w:r>
    </w:p>
    <w:p w14:paraId="7A44E5C7" w14:textId="5C5356BE" w:rsidR="00C7364D" w:rsidRPr="008D1A55" w:rsidRDefault="00C7364D" w:rsidP="00F37795">
      <w:pPr>
        <w:pStyle w:val="ListBullet"/>
      </w:pPr>
      <w:r w:rsidRPr="008D1A55">
        <w:t>Study D3461C00005</w:t>
      </w:r>
      <w:r w:rsidR="00F37795" w:rsidRPr="008D1A55">
        <w:t xml:space="preserve"> is a multicentre, randomised, double blind, placebo controlled, Phase III study evaluating the efficacy and safety of two doses of </w:t>
      </w:r>
      <w:proofErr w:type="spellStart"/>
      <w:r w:rsidR="00F37795" w:rsidRPr="008D1A55">
        <w:t>anifrolumab</w:t>
      </w:r>
      <w:proofErr w:type="spellEnd"/>
      <w:r w:rsidR="00F37795" w:rsidRPr="008D1A55">
        <w:t xml:space="preserve"> in adult subjects with active </w:t>
      </w:r>
      <w:r w:rsidR="00640279" w:rsidRPr="008D1A55">
        <w:t>SLE</w:t>
      </w:r>
      <w:r w:rsidR="00F37795" w:rsidRPr="008D1A55">
        <w:t>.</w:t>
      </w:r>
    </w:p>
    <w:p w14:paraId="0C847694" w14:textId="77777777" w:rsidR="00C7364D" w:rsidRPr="008D1A55" w:rsidRDefault="00C7364D" w:rsidP="00C7364D">
      <w:pPr>
        <w:pStyle w:val="Heading5"/>
      </w:pPr>
      <w:r w:rsidRPr="008D1A55">
        <w:t>Other studies</w:t>
      </w:r>
    </w:p>
    <w:p w14:paraId="50C5BB45" w14:textId="4CEE6623" w:rsidR="00C7364D" w:rsidRPr="008D1A55" w:rsidRDefault="00C7364D" w:rsidP="00F37795">
      <w:pPr>
        <w:pStyle w:val="ListBullet"/>
      </w:pPr>
      <w:r w:rsidRPr="008D1A55">
        <w:t xml:space="preserve">Study CD-IA-MEDI-546-1013 </w:t>
      </w:r>
      <w:r w:rsidR="00F37795" w:rsidRPr="008D1A55">
        <w:t>is a</w:t>
      </w:r>
      <w:r w:rsidRPr="008D1A55">
        <w:t xml:space="preserve"> </w:t>
      </w:r>
      <w:r w:rsidR="001605DB" w:rsidRPr="008D1A55">
        <w:t>Phase II</w:t>
      </w:r>
      <w:r w:rsidRPr="008D1A55">
        <w:t xml:space="preserve">, </w:t>
      </w:r>
      <w:r w:rsidR="00F37795" w:rsidRPr="008D1A55">
        <w:t>randomised study to evaluate the efficacy and safety of</w:t>
      </w:r>
      <w:r w:rsidRPr="008D1A55">
        <w:t xml:space="preserve"> </w:t>
      </w:r>
      <w:proofErr w:type="spellStart"/>
      <w:r w:rsidR="00F37795" w:rsidRPr="008D1A55">
        <w:t>anifrolumab</w:t>
      </w:r>
      <w:proofErr w:type="spellEnd"/>
      <w:r w:rsidR="00F37795" w:rsidRPr="008D1A55">
        <w:t xml:space="preserve"> </w:t>
      </w:r>
      <w:r w:rsidRPr="008D1A55">
        <w:t xml:space="preserve">in </w:t>
      </w:r>
      <w:r w:rsidR="00F37795" w:rsidRPr="008D1A55">
        <w:t xml:space="preserve">subjects with </w:t>
      </w:r>
      <w:r w:rsidR="00640279" w:rsidRPr="008D1A55">
        <w:t>SLE</w:t>
      </w:r>
      <w:r w:rsidR="00F37795" w:rsidRPr="008D1A55">
        <w:t>.</w:t>
      </w:r>
    </w:p>
    <w:p w14:paraId="4CAE260D" w14:textId="635E3439" w:rsidR="00C7364D" w:rsidRPr="008D1A55" w:rsidRDefault="00C7364D" w:rsidP="00F37795">
      <w:pPr>
        <w:pStyle w:val="ListBullet"/>
      </w:pPr>
      <w:r w:rsidRPr="008D1A55">
        <w:t xml:space="preserve">Study CD-IA-MEDI-546-1145 </w:t>
      </w:r>
      <w:r w:rsidR="00F37795" w:rsidRPr="008D1A55">
        <w:t>is a</w:t>
      </w:r>
      <w:r w:rsidRPr="008D1A55">
        <w:t xml:space="preserve"> </w:t>
      </w:r>
      <w:r w:rsidR="001605DB" w:rsidRPr="008D1A55">
        <w:t>Phase II</w:t>
      </w:r>
      <w:r w:rsidRPr="008D1A55">
        <w:t xml:space="preserve">, </w:t>
      </w:r>
      <w:r w:rsidR="00F37795" w:rsidRPr="008D1A55">
        <w:t xml:space="preserve">open label extension study to evaluate long-term safety of </w:t>
      </w:r>
      <w:proofErr w:type="spellStart"/>
      <w:r w:rsidR="00F37795" w:rsidRPr="008D1A55">
        <w:t>anifrolumab</w:t>
      </w:r>
      <w:proofErr w:type="spellEnd"/>
      <w:r w:rsidR="00F37795" w:rsidRPr="008D1A55">
        <w:t xml:space="preserve"> </w:t>
      </w:r>
      <w:r w:rsidRPr="008D1A55">
        <w:t xml:space="preserve">in </w:t>
      </w:r>
      <w:r w:rsidR="00F37795" w:rsidRPr="008D1A55">
        <w:t xml:space="preserve">adults with </w:t>
      </w:r>
      <w:r w:rsidR="00640279" w:rsidRPr="008D1A55">
        <w:t>SLE</w:t>
      </w:r>
      <w:r w:rsidR="00F37795" w:rsidRPr="008D1A55">
        <w:t>.</w:t>
      </w:r>
    </w:p>
    <w:p w14:paraId="4FF68E59" w14:textId="37A9057F" w:rsidR="00C7364D" w:rsidRPr="008D1A55" w:rsidRDefault="00C7364D" w:rsidP="00F37795">
      <w:pPr>
        <w:pStyle w:val="ListBullet"/>
      </w:pPr>
      <w:r w:rsidRPr="008D1A55">
        <w:t xml:space="preserve">Study D3461C00002 </w:t>
      </w:r>
      <w:r w:rsidR="00F37795" w:rsidRPr="008D1A55">
        <w:t xml:space="preserve">is a </w:t>
      </w:r>
      <w:r w:rsidR="001605DB" w:rsidRPr="008D1A55">
        <w:t>Phase II</w:t>
      </w:r>
      <w:r w:rsidRPr="008D1A55">
        <w:t>, multicentre, open</w:t>
      </w:r>
      <w:r w:rsidR="00F37795" w:rsidRPr="008D1A55">
        <w:t xml:space="preserve"> </w:t>
      </w:r>
      <w:r w:rsidRPr="008D1A55">
        <w:t>label, dose</w:t>
      </w:r>
      <w:r w:rsidR="00F37795" w:rsidRPr="008D1A55">
        <w:t xml:space="preserve"> </w:t>
      </w:r>
      <w:r w:rsidRPr="008D1A55">
        <w:t xml:space="preserve">escalation study to evaluate the safety and tolerability of intravenous dose of </w:t>
      </w:r>
      <w:proofErr w:type="spellStart"/>
      <w:r w:rsidR="00F37795" w:rsidRPr="008D1A55">
        <w:t>anifrolumab</w:t>
      </w:r>
      <w:proofErr w:type="spellEnd"/>
      <w:r w:rsidRPr="008D1A55">
        <w:t xml:space="preserve">, a human monoclonal antibody directed against </w:t>
      </w:r>
      <w:r w:rsidR="00A624B5" w:rsidRPr="008D1A55">
        <w:t>i</w:t>
      </w:r>
      <w:r w:rsidRPr="008D1A55">
        <w:t xml:space="preserve">nterferon </w:t>
      </w:r>
      <w:r w:rsidR="00A624B5" w:rsidRPr="008D1A55">
        <w:t xml:space="preserve">alpha </w:t>
      </w:r>
      <w:r w:rsidRPr="008D1A55">
        <w:t xml:space="preserve">receptor </w:t>
      </w:r>
      <w:r w:rsidR="00A624B5" w:rsidRPr="008D1A55">
        <w:t xml:space="preserve">1 </w:t>
      </w:r>
      <w:r w:rsidRPr="008D1A55">
        <w:t>(IFNAR</w:t>
      </w:r>
      <w:r w:rsidR="00A624B5" w:rsidRPr="008D1A55">
        <w:t>1</w:t>
      </w:r>
      <w:r w:rsidRPr="008D1A55">
        <w:t>), in Japanese subjects with active SLE.</w:t>
      </w:r>
    </w:p>
    <w:p w14:paraId="192ACBC3" w14:textId="258E552F" w:rsidR="00C7364D" w:rsidRPr="008D1A55" w:rsidRDefault="00C7364D" w:rsidP="00C7364D">
      <w:pPr>
        <w:pStyle w:val="Heading5"/>
      </w:pPr>
      <w:bookmarkStart w:id="52" w:name="_Ref243301615"/>
      <w:bookmarkStart w:id="53" w:name="_Ref271040927"/>
      <w:bookmarkStart w:id="54" w:name="_Ref271040932"/>
      <w:bookmarkStart w:id="55" w:name="_Toc272414653"/>
      <w:bookmarkStart w:id="56" w:name="_Toc290888501"/>
      <w:bookmarkStart w:id="57" w:name="_Toc416353717"/>
      <w:bookmarkStart w:id="58" w:name="_Ref70240892"/>
      <w:r w:rsidRPr="008D1A55">
        <w:t xml:space="preserve">Study </w:t>
      </w:r>
      <w:bookmarkEnd w:id="52"/>
      <w:bookmarkEnd w:id="53"/>
      <w:bookmarkEnd w:id="54"/>
      <w:bookmarkEnd w:id="55"/>
      <w:bookmarkEnd w:id="56"/>
      <w:bookmarkEnd w:id="57"/>
      <w:bookmarkEnd w:id="58"/>
      <w:r w:rsidR="00C30BE3" w:rsidRPr="008D1A55">
        <w:t>D3461C00004</w:t>
      </w:r>
    </w:p>
    <w:p w14:paraId="19D7AF5D" w14:textId="256294F6" w:rsidR="00C7364D" w:rsidRPr="008D1A55" w:rsidRDefault="00547637" w:rsidP="00C7364D">
      <w:r w:rsidRPr="008D1A55">
        <w:t>Study D3461C00004</w:t>
      </w:r>
      <w:r w:rsidR="00E2496A">
        <w:t xml:space="preserve"> (also known as the TULIP-2 trial);</w:t>
      </w:r>
      <w:r w:rsidR="00E2496A">
        <w:rPr>
          <w:rStyle w:val="FootnoteReference"/>
        </w:rPr>
        <w:footnoteReference w:id="15"/>
      </w:r>
      <w:r w:rsidRPr="008D1A55">
        <w:t xml:space="preserve"> is a</w:t>
      </w:r>
      <w:r w:rsidR="00C7364D" w:rsidRPr="008D1A55">
        <w:t xml:space="preserve"> </w:t>
      </w:r>
      <w:r w:rsidR="001605DB" w:rsidRPr="008D1A55">
        <w:t>Phase III</w:t>
      </w:r>
      <w:r w:rsidR="00C7364D" w:rsidRPr="008D1A55">
        <w:t xml:space="preserve">, multicentre, randomised, double blind, placebo controlled study was conducted at 98 sites in 15 countries (Japan </w:t>
      </w:r>
      <w:r w:rsidR="00740C4D" w:rsidRPr="008D1A55">
        <w:t>(</w:t>
      </w:r>
      <w:r w:rsidR="00C7364D" w:rsidRPr="008D1A55">
        <w:t>17</w:t>
      </w:r>
      <w:r w:rsidR="00740C4D" w:rsidRPr="008D1A55">
        <w:t>)</w:t>
      </w:r>
      <w:r w:rsidR="00C7364D" w:rsidRPr="008D1A55">
        <w:t xml:space="preserve">, South Korea </w:t>
      </w:r>
      <w:r w:rsidR="00740C4D" w:rsidRPr="008D1A55">
        <w:t>(</w:t>
      </w:r>
      <w:r w:rsidR="00C7364D" w:rsidRPr="008D1A55">
        <w:t>4</w:t>
      </w:r>
      <w:r w:rsidR="00740C4D" w:rsidRPr="008D1A55">
        <w:t>)</w:t>
      </w:r>
      <w:r w:rsidR="00C7364D" w:rsidRPr="008D1A55">
        <w:t xml:space="preserve">, Belgium </w:t>
      </w:r>
      <w:r w:rsidR="00740C4D" w:rsidRPr="008D1A55">
        <w:t>(</w:t>
      </w:r>
      <w:r w:rsidR="00C7364D" w:rsidRPr="008D1A55">
        <w:t>2</w:t>
      </w:r>
      <w:r w:rsidR="00740C4D" w:rsidRPr="008D1A55">
        <w:t>)</w:t>
      </w:r>
      <w:r w:rsidR="00C7364D" w:rsidRPr="008D1A55">
        <w:t xml:space="preserve">; Bulgaria </w:t>
      </w:r>
      <w:r w:rsidR="00740C4D" w:rsidRPr="008D1A55">
        <w:t>(</w:t>
      </w:r>
      <w:r w:rsidR="00C7364D" w:rsidRPr="008D1A55">
        <w:t>3</w:t>
      </w:r>
      <w:r w:rsidR="00740C4D" w:rsidRPr="008D1A55">
        <w:t>)</w:t>
      </w:r>
      <w:r w:rsidR="00C7364D" w:rsidRPr="008D1A55">
        <w:t xml:space="preserve">, France </w:t>
      </w:r>
      <w:r w:rsidR="00740C4D" w:rsidRPr="008D1A55">
        <w:t>(</w:t>
      </w:r>
      <w:r w:rsidR="00C7364D" w:rsidRPr="008D1A55">
        <w:t>7</w:t>
      </w:r>
      <w:r w:rsidR="00740C4D" w:rsidRPr="008D1A55">
        <w:t>)</w:t>
      </w:r>
      <w:r w:rsidR="00C7364D" w:rsidRPr="008D1A55">
        <w:t xml:space="preserve">, Germany </w:t>
      </w:r>
      <w:r w:rsidR="00740C4D" w:rsidRPr="008D1A55">
        <w:t>(</w:t>
      </w:r>
      <w:r w:rsidR="00C7364D" w:rsidRPr="008D1A55">
        <w:t>4</w:t>
      </w:r>
      <w:r w:rsidR="00740C4D" w:rsidRPr="008D1A55">
        <w:t>)</w:t>
      </w:r>
      <w:r w:rsidR="00C7364D" w:rsidRPr="008D1A55">
        <w:t xml:space="preserve">, Lithuania </w:t>
      </w:r>
      <w:r w:rsidR="00740C4D" w:rsidRPr="008D1A55">
        <w:t>(</w:t>
      </w:r>
      <w:r w:rsidR="00C7364D" w:rsidRPr="008D1A55">
        <w:t>2</w:t>
      </w:r>
      <w:r w:rsidR="00740C4D" w:rsidRPr="008D1A55">
        <w:t>)</w:t>
      </w:r>
      <w:r w:rsidR="00C7364D" w:rsidRPr="008D1A55">
        <w:t xml:space="preserve">, Russian Federation </w:t>
      </w:r>
      <w:r w:rsidR="00740C4D" w:rsidRPr="008D1A55">
        <w:t>(</w:t>
      </w:r>
      <w:r w:rsidR="00C7364D" w:rsidRPr="008D1A55">
        <w:t>5</w:t>
      </w:r>
      <w:r w:rsidR="00740C4D" w:rsidRPr="008D1A55">
        <w:t>)</w:t>
      </w:r>
      <w:r w:rsidR="00C7364D" w:rsidRPr="008D1A55">
        <w:t xml:space="preserve">, Spain </w:t>
      </w:r>
      <w:r w:rsidR="00740C4D" w:rsidRPr="008D1A55">
        <w:t>(</w:t>
      </w:r>
      <w:r w:rsidR="00C7364D" w:rsidRPr="008D1A55">
        <w:t>7</w:t>
      </w:r>
      <w:r w:rsidR="00740C4D" w:rsidRPr="008D1A55">
        <w:t>)</w:t>
      </w:r>
      <w:r w:rsidR="00C7364D" w:rsidRPr="008D1A55">
        <w:t xml:space="preserve">, Argentina </w:t>
      </w:r>
      <w:r w:rsidR="00740C4D" w:rsidRPr="008D1A55">
        <w:t>(</w:t>
      </w:r>
      <w:r w:rsidR="00C7364D" w:rsidRPr="008D1A55">
        <w:t>3</w:t>
      </w:r>
      <w:r w:rsidR="00740C4D" w:rsidRPr="008D1A55">
        <w:t>)</w:t>
      </w:r>
      <w:r w:rsidR="00C7364D" w:rsidRPr="008D1A55">
        <w:t xml:space="preserve">, Brazil </w:t>
      </w:r>
      <w:r w:rsidR="00740C4D" w:rsidRPr="008D1A55">
        <w:t>(</w:t>
      </w:r>
      <w:r w:rsidR="00C7364D" w:rsidRPr="008D1A55">
        <w:t>5</w:t>
      </w:r>
      <w:r w:rsidR="00740C4D" w:rsidRPr="008D1A55">
        <w:t>)</w:t>
      </w:r>
      <w:r w:rsidR="00C7364D" w:rsidRPr="008D1A55">
        <w:t xml:space="preserve">, Mexico </w:t>
      </w:r>
      <w:r w:rsidR="00740C4D" w:rsidRPr="008D1A55">
        <w:t>(</w:t>
      </w:r>
      <w:r w:rsidR="00C7364D" w:rsidRPr="008D1A55">
        <w:t>6</w:t>
      </w:r>
      <w:r w:rsidR="00740C4D" w:rsidRPr="008D1A55">
        <w:t>)</w:t>
      </w:r>
      <w:r w:rsidR="00C7364D" w:rsidRPr="008D1A55">
        <w:t xml:space="preserve">, Canada </w:t>
      </w:r>
      <w:r w:rsidR="00740C4D" w:rsidRPr="008D1A55">
        <w:t>(</w:t>
      </w:r>
      <w:r w:rsidR="00C7364D" w:rsidRPr="008D1A55">
        <w:t>2</w:t>
      </w:r>
      <w:r w:rsidR="00740C4D" w:rsidRPr="008D1A55">
        <w:t>)</w:t>
      </w:r>
      <w:r w:rsidR="00C7364D" w:rsidRPr="008D1A55">
        <w:t xml:space="preserve">, USA </w:t>
      </w:r>
      <w:r w:rsidR="00740C4D" w:rsidRPr="008D1A55">
        <w:t>(</w:t>
      </w:r>
      <w:r w:rsidR="00C7364D" w:rsidRPr="008D1A55">
        <w:t>27</w:t>
      </w:r>
      <w:r w:rsidR="00740C4D" w:rsidRPr="008D1A55">
        <w:t>)</w:t>
      </w:r>
      <w:r w:rsidR="00C7364D" w:rsidRPr="008D1A55">
        <w:t xml:space="preserve"> and South Africa </w:t>
      </w:r>
      <w:r w:rsidR="00740C4D" w:rsidRPr="008D1A55">
        <w:t>(</w:t>
      </w:r>
      <w:r w:rsidR="00C7364D" w:rsidRPr="008D1A55">
        <w:t>4</w:t>
      </w:r>
      <w:r w:rsidR="00740C4D" w:rsidRPr="008D1A55">
        <w:t>)</w:t>
      </w:r>
      <w:r w:rsidR="00C7364D" w:rsidRPr="008D1A55">
        <w:t>) from July 2015 to December</w:t>
      </w:r>
      <w:r w:rsidR="00F37795" w:rsidRPr="008D1A55">
        <w:t> </w:t>
      </w:r>
      <w:r w:rsidR="00C7364D" w:rsidRPr="008D1A55">
        <w:t>2018.</w:t>
      </w:r>
    </w:p>
    <w:p w14:paraId="026F4D1E" w14:textId="1445F7A7" w:rsidR="00C7364D" w:rsidRPr="008D1A55" w:rsidRDefault="00C7364D" w:rsidP="00C7364D">
      <w:r w:rsidRPr="008D1A55">
        <w:t>The study consisted of a screening period of up to 30 days and a 52</w:t>
      </w:r>
      <w:r w:rsidR="00F37795" w:rsidRPr="008D1A55">
        <w:t>-</w:t>
      </w:r>
      <w:r w:rsidRPr="008D1A55">
        <w:t>week double blind treatment period after which the patients either continued the study for another 8</w:t>
      </w:r>
      <w:r w:rsidR="00F37795" w:rsidRPr="008D1A55">
        <w:t> </w:t>
      </w:r>
      <w:r w:rsidRPr="008D1A55">
        <w:t>weeks to complete a 12</w:t>
      </w:r>
      <w:r w:rsidR="00F37795" w:rsidRPr="008D1A55">
        <w:t>-</w:t>
      </w:r>
      <w:r w:rsidRPr="008D1A55">
        <w:t>week safety follow up after the last dose of study drug or, if eligible enrolled into a long</w:t>
      </w:r>
      <w:r w:rsidR="00A259E4" w:rsidRPr="008D1A55">
        <w:t>-</w:t>
      </w:r>
      <w:r w:rsidRPr="008D1A55">
        <w:t>term 3</w:t>
      </w:r>
      <w:r w:rsidR="00F37795" w:rsidRPr="008D1A55">
        <w:t>-</w:t>
      </w:r>
      <w:r w:rsidRPr="008D1A55">
        <w:t>year extension study (</w:t>
      </w:r>
      <w:r w:rsidR="00F37795" w:rsidRPr="008D1A55">
        <w:t xml:space="preserve">Study </w:t>
      </w:r>
      <w:r w:rsidRPr="008D1A55">
        <w:t>D346100009) which is still ongoing.</w:t>
      </w:r>
    </w:p>
    <w:p w14:paraId="02EE3292" w14:textId="7C81ABEA" w:rsidR="00C7364D" w:rsidRPr="008D1A55" w:rsidRDefault="00C7364D" w:rsidP="00C7364D">
      <w:r w:rsidRPr="008D1A55">
        <w:t xml:space="preserve">Following changes were made by protocol amendments (and statistical analysis plan were agreed with the </w:t>
      </w:r>
      <w:r w:rsidR="00867DE2" w:rsidRPr="008D1A55">
        <w:t>US Food and Drug Administration (</w:t>
      </w:r>
      <w:r w:rsidRPr="008D1A55">
        <w:t>FDA</w:t>
      </w:r>
      <w:r w:rsidR="00867DE2" w:rsidRPr="008D1A55">
        <w:t>)</w:t>
      </w:r>
      <w:r w:rsidRPr="008D1A55">
        <w:t xml:space="preserve"> Division) just before the data base lock and unblinding of Study</w:t>
      </w:r>
      <w:r w:rsidR="00F37795" w:rsidRPr="008D1A55">
        <w:t> </w:t>
      </w:r>
      <w:r w:rsidR="00C30BE3" w:rsidRPr="008D1A55">
        <w:t>D3461C00004</w:t>
      </w:r>
      <w:r w:rsidR="00F37795" w:rsidRPr="008D1A55">
        <w:t>:</w:t>
      </w:r>
    </w:p>
    <w:p w14:paraId="0716C723" w14:textId="6C3598E5" w:rsidR="00C7364D" w:rsidRPr="008D1A55" w:rsidRDefault="00C7364D" w:rsidP="00C7364D">
      <w:pPr>
        <w:pStyle w:val="ListBullet"/>
      </w:pPr>
      <w:r w:rsidRPr="008D1A55">
        <w:t xml:space="preserve">Change from initial primary endpoint of </w:t>
      </w:r>
      <w:r w:rsidR="0035180C" w:rsidRPr="008D1A55">
        <w:t>Systemic Lupus Erythematosus Responder Index of at least 4 (</w:t>
      </w:r>
      <w:proofErr w:type="gramStart"/>
      <w:r w:rsidRPr="008D1A55">
        <w:t>SRI</w:t>
      </w:r>
      <w:r w:rsidR="0035180C" w:rsidRPr="008D1A55">
        <w:t>(</w:t>
      </w:r>
      <w:proofErr w:type="gramEnd"/>
      <w:r w:rsidRPr="008D1A55">
        <w:t>4</w:t>
      </w:r>
      <w:r w:rsidR="0035180C" w:rsidRPr="008D1A55">
        <w:t>))</w:t>
      </w:r>
      <w:r w:rsidR="00440F07">
        <w:rPr>
          <w:rStyle w:val="FootnoteReference"/>
        </w:rPr>
        <w:footnoteReference w:id="16"/>
      </w:r>
      <w:r w:rsidRPr="008D1A55">
        <w:t xml:space="preserve"> response at </w:t>
      </w:r>
      <w:r w:rsidR="00F37795" w:rsidRPr="008D1A55">
        <w:t xml:space="preserve">Week </w:t>
      </w:r>
      <w:r w:rsidRPr="008D1A55">
        <w:t xml:space="preserve">52 to BICLA response at </w:t>
      </w:r>
      <w:r w:rsidR="00F37795" w:rsidRPr="008D1A55">
        <w:t xml:space="preserve">Week </w:t>
      </w:r>
      <w:r w:rsidRPr="008D1A55">
        <w:t>52</w:t>
      </w:r>
      <w:r w:rsidR="00F37795" w:rsidRPr="008D1A55">
        <w:t>.</w:t>
      </w:r>
    </w:p>
    <w:p w14:paraId="0FE247C1" w14:textId="2E9094AF" w:rsidR="00C7364D" w:rsidRPr="008D1A55" w:rsidRDefault="00C7364D" w:rsidP="00C7364D">
      <w:pPr>
        <w:pStyle w:val="ListBullet"/>
      </w:pPr>
      <w:r w:rsidRPr="008D1A55">
        <w:lastRenderedPageBreak/>
        <w:t xml:space="preserve">Change in key secondary endpoint from </w:t>
      </w:r>
      <w:proofErr w:type="gramStart"/>
      <w:r w:rsidR="0035180C" w:rsidRPr="008D1A55">
        <w:t>SRI(</w:t>
      </w:r>
      <w:proofErr w:type="gramEnd"/>
      <w:r w:rsidR="0035180C" w:rsidRPr="008D1A55">
        <w:t>4)</w:t>
      </w:r>
      <w:r w:rsidRPr="008D1A55">
        <w:t xml:space="preserve"> response at </w:t>
      </w:r>
      <w:r w:rsidR="00F37795" w:rsidRPr="008D1A55">
        <w:t xml:space="preserve">Week </w:t>
      </w:r>
      <w:r w:rsidRPr="008D1A55">
        <w:t xml:space="preserve">52 in </w:t>
      </w:r>
      <w:r w:rsidR="00D264E5" w:rsidRPr="008D1A55">
        <w:t>interferon</w:t>
      </w:r>
      <w:r w:rsidRPr="008D1A55">
        <w:t xml:space="preserve"> test high subgroup to BICLA response at </w:t>
      </w:r>
      <w:r w:rsidR="00F37795" w:rsidRPr="008D1A55">
        <w:t xml:space="preserve">Week </w:t>
      </w:r>
      <w:r w:rsidRPr="008D1A55">
        <w:t xml:space="preserve">52 in </w:t>
      </w:r>
      <w:r w:rsidR="00D264E5" w:rsidRPr="008D1A55">
        <w:t>interferon</w:t>
      </w:r>
      <w:r w:rsidRPr="008D1A55">
        <w:t xml:space="preserve"> test high subgroup</w:t>
      </w:r>
      <w:r w:rsidR="00F37795" w:rsidRPr="008D1A55">
        <w:t>.</w:t>
      </w:r>
    </w:p>
    <w:p w14:paraId="76E7723F" w14:textId="43335A52" w:rsidR="00C7364D" w:rsidRPr="008D1A55" w:rsidRDefault="00C7364D" w:rsidP="00C7364D">
      <w:pPr>
        <w:pStyle w:val="ListBullet"/>
      </w:pPr>
      <w:r w:rsidRPr="008D1A55">
        <w:t xml:space="preserve">Added key secondary endpoint of proportion of subjects with 50% </w:t>
      </w:r>
      <w:r w:rsidR="00F37795" w:rsidRPr="008D1A55">
        <w:t xml:space="preserve">or more </w:t>
      </w:r>
      <w:r w:rsidRPr="008D1A55">
        <w:t xml:space="preserve">reduction in number of swollen and tender joints at </w:t>
      </w:r>
      <w:r w:rsidR="00F37795" w:rsidRPr="008D1A55">
        <w:t xml:space="preserve">Week </w:t>
      </w:r>
      <w:r w:rsidRPr="008D1A55">
        <w:t xml:space="preserve">52 in subjects with </w:t>
      </w:r>
      <w:r w:rsidR="00F37795" w:rsidRPr="008D1A55">
        <w:t xml:space="preserve">at least </w:t>
      </w:r>
      <w:r w:rsidRPr="008D1A55">
        <w:t xml:space="preserve">6 swollen and tender joints at </w:t>
      </w:r>
      <w:r w:rsidR="00CA1444" w:rsidRPr="008D1A55">
        <w:t>Baseline</w:t>
      </w:r>
      <w:r w:rsidR="00FF6015" w:rsidRPr="008D1A55">
        <w:t>.</w:t>
      </w:r>
    </w:p>
    <w:p w14:paraId="2816DF4E" w14:textId="44A0B202" w:rsidR="00C7364D" w:rsidRPr="008D1A55" w:rsidRDefault="0035180C" w:rsidP="00C7364D">
      <w:pPr>
        <w:pStyle w:val="ListBullet"/>
      </w:pPr>
      <w:r w:rsidRPr="008D1A55">
        <w:t>Systemic Lupus Erythematosus Responder Index of at least 4</w:t>
      </w:r>
      <w:r w:rsidR="00C7364D" w:rsidRPr="008D1A55">
        <w:t xml:space="preserve"> </w:t>
      </w:r>
      <w:proofErr w:type="gramStart"/>
      <w:r w:rsidR="00C7364D" w:rsidRPr="008D1A55">
        <w:t>response</w:t>
      </w:r>
      <w:proofErr w:type="gramEnd"/>
      <w:r w:rsidR="00C7364D" w:rsidRPr="008D1A55">
        <w:t xml:space="preserve"> at </w:t>
      </w:r>
      <w:r w:rsidR="00FF6015" w:rsidRPr="008D1A55">
        <w:t>Week</w:t>
      </w:r>
      <w:r w:rsidR="00440F07">
        <w:t> </w:t>
      </w:r>
      <w:r w:rsidR="00C7364D" w:rsidRPr="008D1A55">
        <w:t>24 demoted from key to another secondary endpoint</w:t>
      </w:r>
      <w:r w:rsidR="00FF6015" w:rsidRPr="008D1A55">
        <w:t>.</w:t>
      </w:r>
    </w:p>
    <w:p w14:paraId="108183E3" w14:textId="44771674" w:rsidR="00C7364D" w:rsidRPr="008D1A55" w:rsidRDefault="00C7364D" w:rsidP="00C7364D">
      <w:pPr>
        <w:pStyle w:val="ListBullet"/>
      </w:pPr>
      <w:r w:rsidRPr="008D1A55">
        <w:t xml:space="preserve">No change in key secondary endpoints of proportion of subjects who achieve an </w:t>
      </w:r>
      <w:r w:rsidR="007D0024" w:rsidRPr="008D1A55">
        <w:t>oral corticosteroids</w:t>
      </w:r>
      <w:r w:rsidRPr="008D1A55">
        <w:t xml:space="preserve"> dose 7.5 gm/day</w:t>
      </w:r>
      <w:r w:rsidR="00FF6015" w:rsidRPr="008D1A55">
        <w:t xml:space="preserve"> or less</w:t>
      </w:r>
      <w:r w:rsidRPr="008D1A55">
        <w:t xml:space="preserve"> at </w:t>
      </w:r>
      <w:r w:rsidR="00FF6015" w:rsidRPr="008D1A55">
        <w:t xml:space="preserve">Week </w:t>
      </w:r>
      <w:r w:rsidRPr="008D1A55">
        <w:t xml:space="preserve">40 maintained through </w:t>
      </w:r>
      <w:r w:rsidR="00FF6015" w:rsidRPr="008D1A55">
        <w:t>Week </w:t>
      </w:r>
      <w:r w:rsidRPr="008D1A55">
        <w:t>52; proportion of subjects with 50%</w:t>
      </w:r>
      <w:r w:rsidR="00FF6015" w:rsidRPr="008D1A55">
        <w:t xml:space="preserve"> or more</w:t>
      </w:r>
      <w:r w:rsidRPr="008D1A55">
        <w:t xml:space="preserve"> reduction in </w:t>
      </w:r>
      <w:r w:rsidR="005941D0" w:rsidRPr="008D1A55">
        <w:t>Cutaneous Lupus Erythematous Disease Activity and Severity Index (</w:t>
      </w:r>
      <w:r w:rsidRPr="008D1A55">
        <w:t>CLASI</w:t>
      </w:r>
      <w:r w:rsidR="005941D0" w:rsidRPr="008D1A55">
        <w:t>)</w:t>
      </w:r>
      <w:r w:rsidRPr="008D1A55">
        <w:t xml:space="preserve"> activity score at </w:t>
      </w:r>
      <w:r w:rsidR="00FF6015" w:rsidRPr="008D1A55">
        <w:t>Week </w:t>
      </w:r>
      <w:r w:rsidRPr="008D1A55">
        <w:t xml:space="preserve">12 in subgroup with baseline CLASI </w:t>
      </w:r>
      <w:r w:rsidR="00FF6015" w:rsidRPr="008D1A55">
        <w:t xml:space="preserve">at least </w:t>
      </w:r>
      <w:r w:rsidRPr="008D1A55">
        <w:t>10; annuali</w:t>
      </w:r>
      <w:r w:rsidR="008D5724" w:rsidRPr="008D1A55">
        <w:t>s</w:t>
      </w:r>
      <w:r w:rsidRPr="008D1A55">
        <w:t xml:space="preserve">ed flare rate defined by </w:t>
      </w:r>
      <w:r w:rsidR="00FF6015" w:rsidRPr="008D1A55">
        <w:t>one</w:t>
      </w:r>
      <w:r w:rsidRPr="008D1A55">
        <w:t xml:space="preserve"> or more new BILAG</w:t>
      </w:r>
      <w:r w:rsidR="0090336C" w:rsidRPr="008D1A55">
        <w:noBreakHyphen/>
      </w:r>
      <w:r w:rsidRPr="008D1A55">
        <w:t xml:space="preserve">2004 A or </w:t>
      </w:r>
      <w:r w:rsidR="00FF6015" w:rsidRPr="008D1A55">
        <w:t>two</w:t>
      </w:r>
      <w:r w:rsidRPr="008D1A55">
        <w:t xml:space="preserve"> or more new B items compared to </w:t>
      </w:r>
      <w:r w:rsidR="00FF6015" w:rsidRPr="008D1A55">
        <w:t xml:space="preserve">the </w:t>
      </w:r>
      <w:r w:rsidRPr="008D1A55">
        <w:t>previous visit.</w:t>
      </w:r>
    </w:p>
    <w:p w14:paraId="53AD590E" w14:textId="00D5221E" w:rsidR="00C7364D" w:rsidRPr="008D1A55" w:rsidRDefault="00C7364D" w:rsidP="00C7364D">
      <w:pPr>
        <w:pStyle w:val="Heading6"/>
      </w:pPr>
      <w:r w:rsidRPr="008D1A55">
        <w:t xml:space="preserve">Inclusion </w:t>
      </w:r>
      <w:r w:rsidR="00CA1444" w:rsidRPr="008D1A55">
        <w:t>and e</w:t>
      </w:r>
      <w:r w:rsidRPr="008D1A55">
        <w:t xml:space="preserve">xclusion </w:t>
      </w:r>
      <w:r w:rsidR="00CA1444" w:rsidRPr="008D1A55">
        <w:t>criteria</w:t>
      </w:r>
    </w:p>
    <w:p w14:paraId="3C3E53C4" w14:textId="5174B574" w:rsidR="00C7364D" w:rsidRPr="008D1A55" w:rsidRDefault="00C7364D" w:rsidP="00C7364D">
      <w:pPr>
        <w:pStyle w:val="Heading7"/>
        <w:rPr>
          <w:sz w:val="22"/>
          <w:szCs w:val="28"/>
        </w:rPr>
      </w:pPr>
      <w:r w:rsidRPr="008D1A55">
        <w:rPr>
          <w:sz w:val="22"/>
          <w:szCs w:val="28"/>
        </w:rPr>
        <w:t>Inclusion</w:t>
      </w:r>
      <w:r w:rsidR="00FF6015" w:rsidRPr="008D1A55">
        <w:rPr>
          <w:sz w:val="22"/>
          <w:szCs w:val="28"/>
        </w:rPr>
        <w:t xml:space="preserve"> criteria</w:t>
      </w:r>
    </w:p>
    <w:p w14:paraId="3E204C56" w14:textId="3B0D0EA6" w:rsidR="00C7364D" w:rsidRPr="008D1A55" w:rsidRDefault="00C7364D" w:rsidP="00C7364D">
      <w:pPr>
        <w:pStyle w:val="ListBullet"/>
      </w:pPr>
      <w:r w:rsidRPr="008D1A55">
        <w:t xml:space="preserve">Healthy male and female (non-childbearing potential) aged </w:t>
      </w:r>
      <w:r w:rsidR="00FF6015" w:rsidRPr="008D1A55">
        <w:t xml:space="preserve">from </w:t>
      </w:r>
      <w:r w:rsidRPr="008D1A55">
        <w:t xml:space="preserve">18 </w:t>
      </w:r>
      <w:r w:rsidR="00FF6015" w:rsidRPr="008D1A55">
        <w:t xml:space="preserve">to </w:t>
      </w:r>
      <w:r w:rsidRPr="008D1A55">
        <w:t xml:space="preserve">70 years and weight </w:t>
      </w:r>
      <w:r w:rsidR="00FF6015" w:rsidRPr="008D1A55">
        <w:t xml:space="preserve">at least </w:t>
      </w:r>
      <w:r w:rsidRPr="008D1A55">
        <w:t>40.0 kg at screening.</w:t>
      </w:r>
    </w:p>
    <w:p w14:paraId="1106CF42" w14:textId="199EBFEE" w:rsidR="00FF6015" w:rsidRPr="008D1A55" w:rsidRDefault="00C7364D" w:rsidP="00C7364D">
      <w:pPr>
        <w:pStyle w:val="ListBullet"/>
      </w:pPr>
      <w:r w:rsidRPr="008D1A55">
        <w:t xml:space="preserve">Diagnosis of paediatric or adult SLE according to the </w:t>
      </w:r>
      <w:r w:rsidR="00C2136E" w:rsidRPr="008D1A55">
        <w:t>American College of Rheumatology (</w:t>
      </w:r>
      <w:r w:rsidRPr="008D1A55">
        <w:t>ACR</w:t>
      </w:r>
      <w:r w:rsidR="00C2136E" w:rsidRPr="008D1A55">
        <w:t>)</w:t>
      </w:r>
      <w:r w:rsidRPr="008D1A55">
        <w:t xml:space="preserve"> 1982 revised criteria </w:t>
      </w:r>
      <w:r w:rsidR="00FF6015" w:rsidRPr="008D1A55">
        <w:t xml:space="preserve">at least </w:t>
      </w:r>
      <w:r w:rsidRPr="008D1A55">
        <w:t>24</w:t>
      </w:r>
      <w:r w:rsidR="00FF6015" w:rsidRPr="008D1A55">
        <w:t> </w:t>
      </w:r>
      <w:r w:rsidRPr="008D1A55">
        <w:t>weeks prior to enrolment and fulfilled at least 4 or the 11 ACR modified 1982 classification criteria for SLE, at least one of which was</w:t>
      </w:r>
      <w:r w:rsidR="00FF6015" w:rsidRPr="008D1A55">
        <w:t>:</w:t>
      </w:r>
    </w:p>
    <w:p w14:paraId="25A51955" w14:textId="6281CE9D" w:rsidR="00FF6015" w:rsidRPr="008D1A55" w:rsidRDefault="00C7364D" w:rsidP="00FF6015">
      <w:pPr>
        <w:pStyle w:val="ListBullet2"/>
      </w:pPr>
      <w:r w:rsidRPr="008D1A55">
        <w:t xml:space="preserve">Positive </w:t>
      </w:r>
      <w:r w:rsidR="00135A47" w:rsidRPr="008D1A55">
        <w:t>anti-nuclear antibody (</w:t>
      </w:r>
      <w:r w:rsidRPr="008D1A55">
        <w:t>ANA</w:t>
      </w:r>
      <w:r w:rsidR="00135A47" w:rsidRPr="008D1A55">
        <w:t>)</w:t>
      </w:r>
      <w:r w:rsidRPr="008D1A55">
        <w:t xml:space="preserve"> test at screening by immunofluorescent assay at the central laboratory with titre </w:t>
      </w:r>
      <w:r w:rsidR="00FF6015" w:rsidRPr="008D1A55">
        <w:t xml:space="preserve">at least </w:t>
      </w:r>
      <w:r w:rsidRPr="008D1A55">
        <w:t xml:space="preserve">1:80; </w:t>
      </w:r>
      <w:r w:rsidR="00FF6015" w:rsidRPr="008D1A55">
        <w:t>or</w:t>
      </w:r>
    </w:p>
    <w:p w14:paraId="63DD71D9" w14:textId="54679E1B" w:rsidR="00FF6015" w:rsidRPr="008D1A55" w:rsidRDefault="00FF6015" w:rsidP="00FF6015">
      <w:pPr>
        <w:pStyle w:val="ListBullet2"/>
      </w:pPr>
      <w:r w:rsidRPr="008D1A55">
        <w:t>anti</w:t>
      </w:r>
      <w:r w:rsidR="00C7364D" w:rsidRPr="008D1A55">
        <w:t>-</w:t>
      </w:r>
      <w:r w:rsidR="00135A47" w:rsidRPr="008D1A55">
        <w:t>double stranded deoxyribonucleic acid (dsDNA)</w:t>
      </w:r>
      <w:r w:rsidR="00C7364D" w:rsidRPr="008D1A55">
        <w:t xml:space="preserve"> antibodies at screening elevated to above normal (including indeterminate), as per the central laboratory;</w:t>
      </w:r>
      <w:r w:rsidRPr="008D1A55">
        <w:t xml:space="preserve"> or</w:t>
      </w:r>
    </w:p>
    <w:p w14:paraId="781D59AD" w14:textId="01AAF7B0" w:rsidR="00C7364D" w:rsidRPr="008D1A55" w:rsidRDefault="00FF6015" w:rsidP="00FF6015">
      <w:pPr>
        <w:pStyle w:val="ListBullet2"/>
      </w:pPr>
      <w:r w:rsidRPr="008D1A55">
        <w:t>anti</w:t>
      </w:r>
      <w:r w:rsidR="00C7364D" w:rsidRPr="008D1A55">
        <w:t>-Smith antibody at screening elevated to above normal as per the central laboratory</w:t>
      </w:r>
      <w:r w:rsidRPr="008D1A55">
        <w:t>.</w:t>
      </w:r>
    </w:p>
    <w:p w14:paraId="5900043D" w14:textId="77777777" w:rsidR="00842AF9" w:rsidRPr="008D1A55" w:rsidRDefault="00FF6015" w:rsidP="00C7364D">
      <w:pPr>
        <w:pStyle w:val="ListBullet"/>
      </w:pPr>
      <w:r w:rsidRPr="008D1A55">
        <w:t xml:space="preserve">At screening, Disease </w:t>
      </w:r>
      <w:r w:rsidR="00C7364D" w:rsidRPr="008D1A55">
        <w:t>Activity Adjudication Group confirmation of:</w:t>
      </w:r>
    </w:p>
    <w:p w14:paraId="19D70C15" w14:textId="4DB0681C" w:rsidR="00842AF9" w:rsidRPr="008D1A55" w:rsidRDefault="00E25D23" w:rsidP="00842AF9">
      <w:pPr>
        <w:pStyle w:val="ListBullet2"/>
      </w:pPr>
      <w:r w:rsidRPr="008D1A55">
        <w:t>Systemic Lupus Erythematosus Disease Activity Index 2000 (</w:t>
      </w:r>
      <w:r w:rsidR="00C7364D" w:rsidRPr="008D1A55">
        <w:t>SLEDAI-2K</w:t>
      </w:r>
      <w:r w:rsidRPr="008D1A55">
        <w:t>)</w:t>
      </w:r>
      <w:r w:rsidR="00CC75F3">
        <w:rPr>
          <w:rStyle w:val="FootnoteReference"/>
        </w:rPr>
        <w:footnoteReference w:id="17"/>
      </w:r>
      <w:r w:rsidR="00C7364D" w:rsidRPr="008D1A55">
        <w:t xml:space="preserve"> </w:t>
      </w:r>
      <w:r w:rsidRPr="008D1A55">
        <w:t>criteria</w:t>
      </w:r>
      <w:r w:rsidR="00C7364D" w:rsidRPr="008D1A55">
        <w:t xml:space="preserve">: SLEDAI-2K score </w:t>
      </w:r>
      <w:r w:rsidR="00842AF9" w:rsidRPr="008D1A55">
        <w:t xml:space="preserve">at least </w:t>
      </w:r>
      <w:r w:rsidR="00C7364D" w:rsidRPr="008D1A55">
        <w:t xml:space="preserve">6 points and </w:t>
      </w:r>
      <w:r w:rsidR="001605DB" w:rsidRPr="008D1A55">
        <w:t>‘</w:t>
      </w:r>
      <w:r w:rsidR="00842AF9" w:rsidRPr="008D1A55">
        <w:t xml:space="preserve">clinical’ </w:t>
      </w:r>
      <w:r w:rsidR="00C7364D" w:rsidRPr="008D1A55">
        <w:t xml:space="preserve">SLEDAI-2K score </w:t>
      </w:r>
      <w:r w:rsidR="00842AF9" w:rsidRPr="008D1A55">
        <w:t xml:space="preserve">at least </w:t>
      </w:r>
      <w:r w:rsidR="00C7364D" w:rsidRPr="008D1A55">
        <w:t>4</w:t>
      </w:r>
      <w:r w:rsidR="00DA1204">
        <w:t> </w:t>
      </w:r>
      <w:r w:rsidR="00C7364D" w:rsidRPr="008D1A55">
        <w:t xml:space="preserve">points. </w:t>
      </w:r>
    </w:p>
    <w:p w14:paraId="4E637FF5" w14:textId="05F21341" w:rsidR="00842AF9" w:rsidRPr="008D1A55" w:rsidRDefault="00E25D23" w:rsidP="00842AF9">
      <w:pPr>
        <w:pStyle w:val="ListBullet2"/>
      </w:pPr>
      <w:r w:rsidRPr="008D1A55">
        <w:t>British Isles Lupus Assessment Group (BILAG)</w:t>
      </w:r>
      <w:r w:rsidR="00C7364D" w:rsidRPr="008D1A55">
        <w:t xml:space="preserve">-2004 Level Criteria: </w:t>
      </w:r>
      <w:r w:rsidR="00842AF9" w:rsidRPr="008D1A55">
        <w:t>at</w:t>
      </w:r>
      <w:r w:rsidR="00C7364D" w:rsidRPr="008D1A55">
        <w:t xml:space="preserve"> least </w:t>
      </w:r>
      <w:r w:rsidR="00842AF9" w:rsidRPr="008D1A55">
        <w:t>one</w:t>
      </w:r>
      <w:r w:rsidR="00C7364D" w:rsidRPr="008D1A55">
        <w:t xml:space="preserve"> of the following: </w:t>
      </w:r>
    </w:p>
    <w:p w14:paraId="1D194CFC" w14:textId="2311AE67" w:rsidR="00842AF9" w:rsidRPr="008D1A55" w:rsidRDefault="00C7364D" w:rsidP="00842AF9">
      <w:pPr>
        <w:pStyle w:val="ListBullet3"/>
      </w:pPr>
      <w:r w:rsidRPr="008D1A55">
        <w:t xml:space="preserve">BILAG-2004 level A disease in </w:t>
      </w:r>
      <w:r w:rsidR="00842AF9" w:rsidRPr="008D1A55">
        <w:t>at least one</w:t>
      </w:r>
      <w:r w:rsidRPr="008D1A55">
        <w:t xml:space="preserve"> organ system</w:t>
      </w:r>
    </w:p>
    <w:p w14:paraId="33D7A0EC" w14:textId="335D7301" w:rsidR="00842AF9" w:rsidRPr="008D1A55" w:rsidRDefault="00C7364D" w:rsidP="00842AF9">
      <w:pPr>
        <w:pStyle w:val="ListBullet3"/>
      </w:pPr>
      <w:r w:rsidRPr="008D1A55">
        <w:t xml:space="preserve">BILAG-2004 level B disease in </w:t>
      </w:r>
      <w:r w:rsidR="00842AF9" w:rsidRPr="008D1A55">
        <w:t>at least two</w:t>
      </w:r>
      <w:r w:rsidRPr="008D1A55">
        <w:t xml:space="preserve"> organ systems</w:t>
      </w:r>
    </w:p>
    <w:p w14:paraId="19064B45" w14:textId="0EF5BD44" w:rsidR="00C7364D" w:rsidRPr="008D1A55" w:rsidRDefault="001C0B36" w:rsidP="00842AF9">
      <w:pPr>
        <w:pStyle w:val="ListBullet2"/>
      </w:pPr>
      <w:r w:rsidRPr="008D1A55">
        <w:t xml:space="preserve">Physician’s </w:t>
      </w:r>
      <w:r w:rsidR="00CC75F3" w:rsidRPr="008D1A55">
        <w:t xml:space="preserve">Global Assessment </w:t>
      </w:r>
      <w:r w:rsidRPr="008D1A55">
        <w:t>(</w:t>
      </w:r>
      <w:r w:rsidR="00C7364D" w:rsidRPr="008D1A55">
        <w:t>PGA</w:t>
      </w:r>
      <w:r w:rsidRPr="008D1A55">
        <w:t>)</w:t>
      </w:r>
      <w:r w:rsidR="00CC75F3">
        <w:rPr>
          <w:rStyle w:val="FootnoteReference"/>
        </w:rPr>
        <w:footnoteReference w:id="18"/>
      </w:r>
      <w:r w:rsidR="00C7364D" w:rsidRPr="008D1A55">
        <w:t xml:space="preserve"> score </w:t>
      </w:r>
      <w:r w:rsidR="00842AF9" w:rsidRPr="008D1A55">
        <w:t>at least</w:t>
      </w:r>
      <w:r w:rsidR="00CC75F3">
        <w:t xml:space="preserve"> </w:t>
      </w:r>
      <w:r w:rsidR="00C7364D" w:rsidRPr="008D1A55">
        <w:t xml:space="preserve">1 on a 0 to 3 visual </w:t>
      </w:r>
      <w:proofErr w:type="spellStart"/>
      <w:r w:rsidR="00C7364D" w:rsidRPr="008D1A55">
        <w:t>analog</w:t>
      </w:r>
      <w:proofErr w:type="spellEnd"/>
      <w:r w:rsidR="00C7364D" w:rsidRPr="008D1A55">
        <w:t xml:space="preserve"> scale (VAS) at </w:t>
      </w:r>
      <w:r w:rsidR="00842AF9" w:rsidRPr="008D1A55">
        <w:t>screening</w:t>
      </w:r>
      <w:r w:rsidR="00C7364D" w:rsidRPr="008D1A55">
        <w:t xml:space="preserve">; was currently receiving at least one of the </w:t>
      </w:r>
      <w:proofErr w:type="gramStart"/>
      <w:r w:rsidR="00C7364D" w:rsidRPr="008D1A55">
        <w:t>protocol</w:t>
      </w:r>
      <w:proofErr w:type="gramEnd"/>
      <w:r w:rsidR="00C7364D" w:rsidRPr="008D1A55">
        <w:t xml:space="preserve"> specified medication</w:t>
      </w:r>
      <w:r w:rsidR="00FF6015" w:rsidRPr="008D1A55">
        <w:t>.</w:t>
      </w:r>
    </w:p>
    <w:p w14:paraId="21824EA4" w14:textId="63D3ED47" w:rsidR="00C7364D" w:rsidRPr="008D1A55" w:rsidRDefault="00C7364D" w:rsidP="00C7364D">
      <w:pPr>
        <w:pStyle w:val="ListBullet"/>
      </w:pPr>
      <w:r w:rsidRPr="008D1A55">
        <w:lastRenderedPageBreak/>
        <w:t xml:space="preserve">No history, </w:t>
      </w:r>
      <w:r w:rsidR="00B14DC3" w:rsidRPr="008D1A55">
        <w:t>signs,</w:t>
      </w:r>
      <w:r w:rsidRPr="008D1A55">
        <w:t xml:space="preserve"> or symptoms of active or latent </w:t>
      </w:r>
      <w:r w:rsidR="00842AF9" w:rsidRPr="008D1A55">
        <w:t xml:space="preserve">tuberculosis </w:t>
      </w:r>
      <w:r w:rsidRPr="008D1A55">
        <w:t xml:space="preserve">or recent contact with person with active </w:t>
      </w:r>
      <w:r w:rsidR="00842AF9" w:rsidRPr="008D1A55">
        <w:t>tuberculosis</w:t>
      </w:r>
      <w:r w:rsidRPr="008D1A55">
        <w:t xml:space="preserve"> and negative screen for tuberculosis including chest X-ray.</w:t>
      </w:r>
    </w:p>
    <w:p w14:paraId="35D50A94" w14:textId="40A4A5F3" w:rsidR="00C7364D" w:rsidRPr="008D1A55" w:rsidRDefault="00C7364D" w:rsidP="00C7364D">
      <w:pPr>
        <w:pStyle w:val="Heading7"/>
        <w:rPr>
          <w:sz w:val="22"/>
          <w:szCs w:val="28"/>
        </w:rPr>
      </w:pPr>
      <w:r w:rsidRPr="008D1A55">
        <w:rPr>
          <w:sz w:val="22"/>
          <w:szCs w:val="28"/>
        </w:rPr>
        <w:t>Exclusion</w:t>
      </w:r>
      <w:r w:rsidR="00842AF9" w:rsidRPr="008D1A55">
        <w:rPr>
          <w:sz w:val="22"/>
          <w:szCs w:val="28"/>
        </w:rPr>
        <w:t xml:space="preserve"> criteria</w:t>
      </w:r>
    </w:p>
    <w:p w14:paraId="4E100E17" w14:textId="77777777" w:rsidR="00020600" w:rsidRPr="008D1A55" w:rsidRDefault="00C7364D" w:rsidP="00C7364D">
      <w:pPr>
        <w:pStyle w:val="ListBullet"/>
      </w:pPr>
      <w:r w:rsidRPr="008D1A55">
        <w:t>At screening, any of the following:</w:t>
      </w:r>
    </w:p>
    <w:p w14:paraId="4B5D00FE" w14:textId="3C4AF4E8" w:rsidR="00020600" w:rsidRPr="008D1A55" w:rsidRDefault="00020600" w:rsidP="00020600">
      <w:pPr>
        <w:pStyle w:val="ListBullet2"/>
      </w:pPr>
      <w:r w:rsidRPr="008D1A55">
        <w:t xml:space="preserve">aspartate </w:t>
      </w:r>
      <w:r w:rsidR="00C7364D" w:rsidRPr="008D1A55">
        <w:t xml:space="preserve">aminotransferase </w:t>
      </w:r>
      <w:r w:rsidR="00846BC8" w:rsidRPr="008D1A55">
        <w:t xml:space="preserve">higher than </w:t>
      </w:r>
      <w:r w:rsidR="00C7364D" w:rsidRPr="008D1A55">
        <w:t xml:space="preserve">2.0 </w:t>
      </w:r>
      <w:r w:rsidR="00846BC8" w:rsidRPr="008D1A55">
        <w:t xml:space="preserve">x </w:t>
      </w:r>
      <w:r w:rsidR="00C7364D" w:rsidRPr="008D1A55">
        <w:t>upper limit of normal (ULN)</w:t>
      </w:r>
    </w:p>
    <w:p w14:paraId="1B1ADDE6" w14:textId="0BEAF7DB" w:rsidR="00020600" w:rsidRPr="008D1A55" w:rsidRDefault="00020600" w:rsidP="00020600">
      <w:pPr>
        <w:pStyle w:val="ListBullet2"/>
      </w:pPr>
      <w:r w:rsidRPr="008D1A55">
        <w:t xml:space="preserve">alanine </w:t>
      </w:r>
      <w:r w:rsidR="00C7364D" w:rsidRPr="008D1A55">
        <w:t>aminotransferase</w:t>
      </w:r>
      <w:r w:rsidR="00846BC8" w:rsidRPr="008D1A55">
        <w:t xml:space="preserve"> higher than </w:t>
      </w:r>
      <w:r w:rsidR="00C7364D" w:rsidRPr="008D1A55">
        <w:t xml:space="preserve">2.0 </w:t>
      </w:r>
      <w:r w:rsidR="00846BC8" w:rsidRPr="008D1A55">
        <w:t>x</w:t>
      </w:r>
      <w:r w:rsidR="00C7364D" w:rsidRPr="008D1A55">
        <w:t xml:space="preserve"> ULN</w:t>
      </w:r>
    </w:p>
    <w:p w14:paraId="782BE670" w14:textId="2FFA7DAF" w:rsidR="00020600" w:rsidRPr="008D1A55" w:rsidRDefault="00020600" w:rsidP="00020600">
      <w:pPr>
        <w:pStyle w:val="ListBullet2"/>
      </w:pPr>
      <w:r w:rsidRPr="008D1A55">
        <w:t xml:space="preserve">total </w:t>
      </w:r>
      <w:r w:rsidR="00C7364D" w:rsidRPr="008D1A55">
        <w:t>bilirubin</w:t>
      </w:r>
      <w:r w:rsidR="00846BC8" w:rsidRPr="008D1A55">
        <w:t xml:space="preserve"> higher than </w:t>
      </w:r>
      <w:r w:rsidR="00C7364D" w:rsidRPr="008D1A55">
        <w:t>ULN (unless due to Gilbert’s syndrome)</w:t>
      </w:r>
    </w:p>
    <w:p w14:paraId="78B3E273" w14:textId="65B410B4" w:rsidR="00020600" w:rsidRPr="008D1A55" w:rsidRDefault="00020600" w:rsidP="00020600">
      <w:pPr>
        <w:pStyle w:val="ListBullet2"/>
      </w:pPr>
      <w:r w:rsidRPr="008D1A55">
        <w:t xml:space="preserve">serum </w:t>
      </w:r>
      <w:r w:rsidR="00C7364D" w:rsidRPr="008D1A55">
        <w:t xml:space="preserve">creatinine </w:t>
      </w:r>
      <w:r w:rsidR="00846BC8" w:rsidRPr="008D1A55">
        <w:t xml:space="preserve">high than </w:t>
      </w:r>
      <w:r w:rsidR="00C7364D" w:rsidRPr="008D1A55">
        <w:t xml:space="preserve">181 </w:t>
      </w:r>
      <w:proofErr w:type="spellStart"/>
      <w:r w:rsidR="00C7364D" w:rsidRPr="008D1A55">
        <w:t>μmol</w:t>
      </w:r>
      <w:proofErr w:type="spellEnd"/>
      <w:r w:rsidR="00C7364D" w:rsidRPr="008D1A55">
        <w:t>/L</w:t>
      </w:r>
    </w:p>
    <w:p w14:paraId="4A282439" w14:textId="0BE9C38F" w:rsidR="00020600" w:rsidRPr="008D1A55" w:rsidRDefault="00020600" w:rsidP="00020600">
      <w:pPr>
        <w:pStyle w:val="ListBullet2"/>
      </w:pPr>
      <w:r w:rsidRPr="008D1A55">
        <w:t xml:space="preserve">urine </w:t>
      </w:r>
      <w:r w:rsidR="00C7364D" w:rsidRPr="008D1A55">
        <w:t>protein</w:t>
      </w:r>
      <w:r w:rsidR="00CA1444" w:rsidRPr="008D1A55">
        <w:t xml:space="preserve"> to </w:t>
      </w:r>
      <w:r w:rsidR="00C7364D" w:rsidRPr="008D1A55">
        <w:t xml:space="preserve">creatinine ratio </w:t>
      </w:r>
      <w:r w:rsidR="00846BC8" w:rsidRPr="008D1A55">
        <w:t xml:space="preserve">higher than </w:t>
      </w:r>
      <w:r w:rsidR="00C7364D" w:rsidRPr="008D1A55">
        <w:t>226.30 mg/mmol</w:t>
      </w:r>
    </w:p>
    <w:p w14:paraId="5507F9CE" w14:textId="41758B91" w:rsidR="00020600" w:rsidRPr="008D1A55" w:rsidRDefault="00020600" w:rsidP="00020600">
      <w:pPr>
        <w:pStyle w:val="ListBullet2"/>
      </w:pPr>
      <w:r w:rsidRPr="008D1A55">
        <w:t xml:space="preserve">neutrophil </w:t>
      </w:r>
      <w:r w:rsidR="00C7364D" w:rsidRPr="008D1A55">
        <w:t xml:space="preserve">count </w:t>
      </w:r>
      <w:r w:rsidR="00846BC8" w:rsidRPr="008D1A55">
        <w:t xml:space="preserve">less than </w:t>
      </w:r>
      <w:r w:rsidR="00C7364D" w:rsidRPr="008D1A55">
        <w:t xml:space="preserve">1.0 </w:t>
      </w:r>
      <w:r w:rsidR="00846BC8" w:rsidRPr="008D1A55">
        <w:t>x</w:t>
      </w:r>
      <w:r w:rsidR="00C7364D" w:rsidRPr="008D1A55">
        <w:t xml:space="preserve"> 10</w:t>
      </w:r>
      <w:r w:rsidR="00C7364D" w:rsidRPr="008D1A55">
        <w:rPr>
          <w:vertAlign w:val="superscript"/>
        </w:rPr>
        <w:t>9</w:t>
      </w:r>
      <w:r w:rsidR="00C7364D" w:rsidRPr="008D1A55">
        <w:t>/L</w:t>
      </w:r>
    </w:p>
    <w:p w14:paraId="0DC50A58" w14:textId="369EB593" w:rsidR="00020600" w:rsidRPr="008D1A55" w:rsidRDefault="00020600" w:rsidP="00020600">
      <w:pPr>
        <w:pStyle w:val="ListBullet2"/>
      </w:pPr>
      <w:r w:rsidRPr="008D1A55">
        <w:t xml:space="preserve">platelet </w:t>
      </w:r>
      <w:r w:rsidR="00C7364D" w:rsidRPr="008D1A55">
        <w:t xml:space="preserve">count </w:t>
      </w:r>
      <w:r w:rsidR="00846BC8" w:rsidRPr="008D1A55">
        <w:t xml:space="preserve">less than </w:t>
      </w:r>
      <w:r w:rsidR="00C7364D" w:rsidRPr="008D1A55">
        <w:t xml:space="preserve">25 </w:t>
      </w:r>
      <w:r w:rsidR="00846BC8" w:rsidRPr="008D1A55">
        <w:t>x</w:t>
      </w:r>
      <w:r w:rsidR="00C7364D" w:rsidRPr="008D1A55">
        <w:t xml:space="preserve"> 10</w:t>
      </w:r>
      <w:r w:rsidR="00C7364D" w:rsidRPr="008D1A55">
        <w:rPr>
          <w:vertAlign w:val="superscript"/>
        </w:rPr>
        <w:t>9</w:t>
      </w:r>
      <w:r w:rsidR="00C7364D" w:rsidRPr="008D1A55">
        <w:t>/L</w:t>
      </w:r>
    </w:p>
    <w:p w14:paraId="4D1BD5EC" w14:textId="2A03C3B7" w:rsidR="00020600" w:rsidRPr="008D1A55" w:rsidRDefault="00020600" w:rsidP="00020600">
      <w:pPr>
        <w:pStyle w:val="ListBullet2"/>
      </w:pPr>
      <w:r w:rsidRPr="008D1A55">
        <w:t xml:space="preserve">haemoglobin </w:t>
      </w:r>
      <w:r w:rsidR="00846BC8" w:rsidRPr="008D1A55">
        <w:t xml:space="preserve">less than </w:t>
      </w:r>
      <w:r w:rsidR="00C7364D" w:rsidRPr="008D1A55">
        <w:t xml:space="preserve">80 g/L, or </w:t>
      </w:r>
      <w:r w:rsidR="00846BC8" w:rsidRPr="008D1A55">
        <w:t xml:space="preserve">less than </w:t>
      </w:r>
      <w:r w:rsidR="00C7364D" w:rsidRPr="008D1A55">
        <w:t>70 g/L if related to patient’s SLE such as in active haemolytic anaemia</w:t>
      </w:r>
    </w:p>
    <w:p w14:paraId="4903911A" w14:textId="5A9819A3" w:rsidR="00C7364D" w:rsidRPr="008D1A55" w:rsidRDefault="00020600" w:rsidP="00020600">
      <w:pPr>
        <w:pStyle w:val="ListBullet2"/>
      </w:pPr>
      <w:r w:rsidRPr="008D1A55">
        <w:t xml:space="preserve">glycosylated </w:t>
      </w:r>
      <w:r w:rsidR="00C7364D" w:rsidRPr="008D1A55">
        <w:t>haemoglobin (HbA1c)</w:t>
      </w:r>
      <w:r w:rsidR="00154D31" w:rsidRPr="008D1A55">
        <w:rPr>
          <w:rStyle w:val="FootnoteReference"/>
        </w:rPr>
        <w:footnoteReference w:id="19"/>
      </w:r>
      <w:r w:rsidR="00C7364D" w:rsidRPr="008D1A55">
        <w:t xml:space="preserve"> </w:t>
      </w:r>
      <w:r w:rsidR="00846BC8" w:rsidRPr="008D1A55">
        <w:t xml:space="preserve">higher than </w:t>
      </w:r>
      <w:r w:rsidR="00C7364D" w:rsidRPr="008D1A55">
        <w:t>8% at screening (diabetic patients only)</w:t>
      </w:r>
      <w:r w:rsidRPr="008D1A55">
        <w:t>.</w:t>
      </w:r>
    </w:p>
    <w:p w14:paraId="3FC2E503" w14:textId="77777777" w:rsidR="00846BC8" w:rsidRPr="008D1A55" w:rsidRDefault="00846BC8" w:rsidP="00C7364D">
      <w:pPr>
        <w:pStyle w:val="ListBullet"/>
      </w:pPr>
      <w:r w:rsidRPr="008D1A55">
        <w:t xml:space="preserve">Receiving </w:t>
      </w:r>
      <w:r w:rsidR="00C7364D" w:rsidRPr="008D1A55">
        <w:t>any of the following:</w:t>
      </w:r>
    </w:p>
    <w:p w14:paraId="5D238DDB" w14:textId="08358256" w:rsidR="00846BC8" w:rsidRPr="008D1A55" w:rsidRDefault="00846BC8" w:rsidP="00846BC8">
      <w:pPr>
        <w:pStyle w:val="ListBullet2"/>
      </w:pPr>
      <w:r w:rsidRPr="008D1A55">
        <w:t xml:space="preserve">azathioprine more than </w:t>
      </w:r>
      <w:r w:rsidR="00C7364D" w:rsidRPr="008D1A55">
        <w:t>200 mg/day</w:t>
      </w:r>
    </w:p>
    <w:p w14:paraId="4EF6818B" w14:textId="0D31BA69" w:rsidR="00846BC8" w:rsidRPr="008D1A55" w:rsidRDefault="00846BC8" w:rsidP="00846BC8">
      <w:pPr>
        <w:pStyle w:val="ListBullet2"/>
      </w:pPr>
      <w:r w:rsidRPr="008D1A55">
        <w:t xml:space="preserve">mycophenolate </w:t>
      </w:r>
      <w:r w:rsidR="00C7364D" w:rsidRPr="008D1A55">
        <w:t xml:space="preserve">mofetil </w:t>
      </w:r>
      <w:r w:rsidRPr="008D1A55">
        <w:t xml:space="preserve">more than </w:t>
      </w:r>
      <w:r w:rsidR="00C7364D" w:rsidRPr="008D1A55">
        <w:t xml:space="preserve">2 g/day or mycophenolic acid </w:t>
      </w:r>
      <w:r w:rsidRPr="008D1A55">
        <w:t xml:space="preserve">more than </w:t>
      </w:r>
      <w:r w:rsidR="00C7364D" w:rsidRPr="008D1A55">
        <w:t>1.44</w:t>
      </w:r>
      <w:r w:rsidRPr="008D1A55">
        <w:t> </w:t>
      </w:r>
      <w:r w:rsidR="00C7364D" w:rsidRPr="008D1A55">
        <w:t>g/day</w:t>
      </w:r>
    </w:p>
    <w:p w14:paraId="626FC3B9" w14:textId="2C219C05" w:rsidR="00846BC8" w:rsidRPr="008D1A55" w:rsidRDefault="00846BC8" w:rsidP="00846BC8">
      <w:pPr>
        <w:pStyle w:val="ListBullet2"/>
      </w:pPr>
      <w:r w:rsidRPr="008D1A55">
        <w:t>oral</w:t>
      </w:r>
      <w:r w:rsidR="00C7364D" w:rsidRPr="008D1A55">
        <w:t xml:space="preserve">, </w:t>
      </w:r>
      <w:r w:rsidRPr="008D1A55">
        <w:t>subcutaneous</w:t>
      </w:r>
      <w:r w:rsidR="00C7364D" w:rsidRPr="008D1A55">
        <w:t xml:space="preserve">, or </w:t>
      </w:r>
      <w:r w:rsidRPr="008D1A55">
        <w:t xml:space="preserve">intramuscular </w:t>
      </w:r>
      <w:r w:rsidR="00C7364D" w:rsidRPr="008D1A55">
        <w:t xml:space="preserve">methotrexate </w:t>
      </w:r>
      <w:r w:rsidRPr="008D1A55">
        <w:t xml:space="preserve">more than </w:t>
      </w:r>
      <w:r w:rsidR="00C7364D" w:rsidRPr="008D1A55">
        <w:t>25 mg/week</w:t>
      </w:r>
    </w:p>
    <w:p w14:paraId="669F6E87" w14:textId="72D7BFC6" w:rsidR="00846BC8" w:rsidRPr="008D1A55" w:rsidRDefault="00846BC8" w:rsidP="00846BC8">
      <w:pPr>
        <w:pStyle w:val="ListBullet2"/>
      </w:pPr>
      <w:proofErr w:type="spellStart"/>
      <w:r w:rsidRPr="008D1A55">
        <w:t>mizoribine</w:t>
      </w:r>
      <w:proofErr w:type="spellEnd"/>
      <w:r w:rsidRPr="008D1A55">
        <w:t xml:space="preserve"> more than</w:t>
      </w:r>
      <w:r w:rsidR="00C7364D" w:rsidRPr="008D1A55">
        <w:t>150 mg/day</w:t>
      </w:r>
    </w:p>
    <w:p w14:paraId="28E27B46" w14:textId="48056CA9" w:rsidR="00C7364D" w:rsidRPr="008D1A55" w:rsidRDefault="00846BC8" w:rsidP="00846BC8">
      <w:pPr>
        <w:pStyle w:val="ListBullet2"/>
      </w:pPr>
      <w:r w:rsidRPr="008D1A55">
        <w:t>a</w:t>
      </w:r>
      <w:r w:rsidR="00C7364D" w:rsidRPr="008D1A55">
        <w:t xml:space="preserve">ny change in route of administration of oral, </w:t>
      </w:r>
      <w:r w:rsidRPr="008D1A55">
        <w:t>subcutaneous</w:t>
      </w:r>
      <w:r w:rsidR="00C7364D" w:rsidRPr="008D1A55">
        <w:t xml:space="preserve">, or </w:t>
      </w:r>
      <w:r w:rsidRPr="008D1A55">
        <w:t xml:space="preserve">intramuscular </w:t>
      </w:r>
      <w:r w:rsidR="00C7364D" w:rsidRPr="008D1A55">
        <w:t xml:space="preserve">methotrexate anytime within the 8 weeks prior to signing of the </w:t>
      </w:r>
      <w:r w:rsidR="00154D31" w:rsidRPr="008D1A55">
        <w:t xml:space="preserve">informed consent form </w:t>
      </w:r>
      <w:r w:rsidR="00C7364D" w:rsidRPr="008D1A55">
        <w:t>through Day</w:t>
      </w:r>
      <w:r w:rsidRPr="008D1A55">
        <w:t> </w:t>
      </w:r>
      <w:r w:rsidR="00C7364D" w:rsidRPr="008D1A55">
        <w:t>1</w:t>
      </w:r>
      <w:r w:rsidRPr="008D1A55">
        <w:t>.</w:t>
      </w:r>
    </w:p>
    <w:p w14:paraId="139FE454" w14:textId="1AD18510" w:rsidR="00C7364D" w:rsidRPr="008D1A55" w:rsidRDefault="00846BC8" w:rsidP="00C7364D">
      <w:pPr>
        <w:pStyle w:val="ListBullet"/>
      </w:pPr>
      <w:r w:rsidRPr="008D1A55">
        <w:t xml:space="preserve">Active </w:t>
      </w:r>
      <w:r w:rsidR="00C7364D" w:rsidRPr="008D1A55">
        <w:t>or unstable neuropsychiatric or renal SLE.</w:t>
      </w:r>
    </w:p>
    <w:p w14:paraId="78073152" w14:textId="268F03F6" w:rsidR="00C7364D" w:rsidRPr="008D1A55" w:rsidRDefault="00846BC8" w:rsidP="00C7364D">
      <w:pPr>
        <w:pStyle w:val="ListBullet"/>
      </w:pPr>
      <w:r w:rsidRPr="008D1A55">
        <w:t xml:space="preserve">History </w:t>
      </w:r>
      <w:r w:rsidR="00C7364D" w:rsidRPr="008D1A55">
        <w:t>of a primary immunodeficiency, splenectomy or underlying condition that predisposes to infection.</w:t>
      </w:r>
    </w:p>
    <w:p w14:paraId="46FC0994" w14:textId="1125BD6C" w:rsidR="00C7364D" w:rsidRPr="008D1A55" w:rsidRDefault="00846BC8" w:rsidP="00C7364D">
      <w:pPr>
        <w:pStyle w:val="ListBullet"/>
      </w:pPr>
      <w:r w:rsidRPr="008D1A55">
        <w:t xml:space="preserve">Confirmed hepatitis </w:t>
      </w:r>
      <w:r w:rsidR="00C7364D" w:rsidRPr="008D1A55">
        <w:t xml:space="preserve">B or C, severe herpes infection or any herpes zoster, cytomegalovirus or </w:t>
      </w:r>
      <w:r w:rsidRPr="008D1A55">
        <w:t>Epstein Barr virus</w:t>
      </w:r>
      <w:r w:rsidR="00C7364D" w:rsidRPr="008D1A55">
        <w:t xml:space="preserve"> infection that had not completely resolved within 12 weeks prior to enrolment.</w:t>
      </w:r>
    </w:p>
    <w:p w14:paraId="310215E0" w14:textId="03262E81" w:rsidR="00C7364D" w:rsidRPr="008D1A55" w:rsidRDefault="00C7364D" w:rsidP="00C7364D">
      <w:r w:rsidRPr="008D1A55">
        <w:t>Patients were randomised in a 1:1 ratio to receive one of two treatments:300</w:t>
      </w:r>
      <w:r w:rsidR="00846BC8" w:rsidRPr="008D1A55">
        <w:t> </w:t>
      </w:r>
      <w:r w:rsidRPr="008D1A55">
        <w:t xml:space="preserve">mg </w:t>
      </w:r>
      <w:proofErr w:type="spellStart"/>
      <w:r w:rsidRPr="008D1A55">
        <w:t>anifrolumab</w:t>
      </w:r>
      <w:proofErr w:type="spellEnd"/>
      <w:r w:rsidRPr="008D1A55">
        <w:t xml:space="preserve"> </w:t>
      </w:r>
      <w:r w:rsidR="008D5724" w:rsidRPr="008D1A55">
        <w:t>intravenous</w:t>
      </w:r>
      <w:r w:rsidRPr="008D1A55">
        <w:t xml:space="preserve"> infusion via an infusion pump over 30 minutes or </w:t>
      </w:r>
      <w:r w:rsidR="00846BC8" w:rsidRPr="008D1A55">
        <w:t>placebo.</w:t>
      </w:r>
    </w:p>
    <w:p w14:paraId="380E0A44" w14:textId="6AD2CF7F" w:rsidR="00C7364D" w:rsidRPr="008D1A55" w:rsidRDefault="00C7364D" w:rsidP="00C7364D">
      <w:r w:rsidRPr="008D1A55">
        <w:t xml:space="preserve">Both study drugs were given </w:t>
      </w:r>
      <w:r w:rsidR="00A259E4" w:rsidRPr="008D1A55">
        <w:t>every 4 weeks</w:t>
      </w:r>
      <w:r w:rsidRPr="008D1A55">
        <w:t xml:space="preserve"> for a total of 13 doses (Week 0 to 48).</w:t>
      </w:r>
    </w:p>
    <w:p w14:paraId="0DACAF05" w14:textId="346F23AA" w:rsidR="00C7364D" w:rsidRPr="008D1A55" w:rsidRDefault="00C7364D" w:rsidP="00C7364D">
      <w:r w:rsidRPr="008D1A55">
        <w:lastRenderedPageBreak/>
        <w:t xml:space="preserve">Patients continued their SLE medication which consisted of one or any combination of the following: </w:t>
      </w:r>
      <w:r w:rsidR="007D0024" w:rsidRPr="008D1A55">
        <w:t>oral corticosteroids</w:t>
      </w:r>
      <w:r w:rsidRPr="008D1A55">
        <w:t>, antimalarials and/or immunosuppressants</w:t>
      </w:r>
      <w:r w:rsidR="00846BC8" w:rsidRPr="008D1A55">
        <w:t>.</w:t>
      </w:r>
    </w:p>
    <w:p w14:paraId="34C2FDE7" w14:textId="77777777" w:rsidR="00C7364D" w:rsidRPr="008D1A55" w:rsidRDefault="00C7364D" w:rsidP="00C7364D">
      <w:r w:rsidRPr="008D1A55">
        <w:t>The primary efficacy outcome was the difference in proportion of subjects achieving a BICLA response at Week 52.</w:t>
      </w:r>
    </w:p>
    <w:p w14:paraId="37934B67" w14:textId="77777777" w:rsidR="00C7364D" w:rsidRPr="008D1A55" w:rsidRDefault="00C7364D" w:rsidP="00C7364D">
      <w:r w:rsidRPr="008D1A55">
        <w:t>A response at Week 52 was defined as:</w:t>
      </w:r>
    </w:p>
    <w:p w14:paraId="28C08902" w14:textId="067E4B04" w:rsidR="00C7364D" w:rsidRPr="008D1A55" w:rsidRDefault="00846BC8" w:rsidP="00C7364D">
      <w:pPr>
        <w:pStyle w:val="ListBullet"/>
      </w:pPr>
      <w:r w:rsidRPr="008D1A55">
        <w:t xml:space="preserve">reduction </w:t>
      </w:r>
      <w:r w:rsidR="00C7364D" w:rsidRPr="008D1A55">
        <w:t>of all baseline BILAG-2004 A to B</w:t>
      </w:r>
      <w:r w:rsidRPr="008D1A55">
        <w:t xml:space="preserve">, </w:t>
      </w:r>
      <w:r w:rsidR="00C7364D" w:rsidRPr="008D1A55">
        <w:t>C</w:t>
      </w:r>
      <w:r w:rsidRPr="008D1A55">
        <w:t xml:space="preserve"> or </w:t>
      </w:r>
      <w:r w:rsidR="00C7364D" w:rsidRPr="008D1A55">
        <w:t>D and baseline BILAG-2004 B to C</w:t>
      </w:r>
      <w:r w:rsidRPr="008D1A55">
        <w:t xml:space="preserve"> or </w:t>
      </w:r>
      <w:r w:rsidR="00C7364D" w:rsidRPr="008D1A55">
        <w:t xml:space="preserve">D, and no BILAG-2004 worsening in other organ systems (worsening defined as </w:t>
      </w:r>
      <w:r w:rsidR="00AA47AE" w:rsidRPr="008D1A55">
        <w:t>one or more</w:t>
      </w:r>
      <w:r w:rsidR="00C7364D" w:rsidRPr="008D1A55">
        <w:t xml:space="preserve"> new BILAG-2004 A or </w:t>
      </w:r>
      <w:r w:rsidR="00AA47AE" w:rsidRPr="008D1A55">
        <w:t>two or more</w:t>
      </w:r>
      <w:r w:rsidR="00C7364D" w:rsidRPr="008D1A55">
        <w:t xml:space="preserve"> new BILAG-2004 B); and</w:t>
      </w:r>
    </w:p>
    <w:p w14:paraId="7D54DC5A" w14:textId="4EF4AD96" w:rsidR="00C7364D" w:rsidRPr="008D1A55" w:rsidRDefault="00846BC8" w:rsidP="00C7364D">
      <w:pPr>
        <w:pStyle w:val="ListBullet"/>
      </w:pPr>
      <w:r w:rsidRPr="008D1A55">
        <w:t xml:space="preserve">no </w:t>
      </w:r>
      <w:r w:rsidR="00C7364D" w:rsidRPr="008D1A55">
        <w:t xml:space="preserve">worsening from </w:t>
      </w:r>
      <w:r w:rsidR="00CA1444" w:rsidRPr="008D1A55">
        <w:t>Baseline</w:t>
      </w:r>
      <w:r w:rsidR="00C7364D" w:rsidRPr="008D1A55">
        <w:t xml:space="preserve"> in SLEDAI-2K (worsening defined as an increase of </w:t>
      </w:r>
      <w:r w:rsidR="00AA47AE" w:rsidRPr="008D1A55">
        <w:t>more than zero</w:t>
      </w:r>
      <w:r w:rsidR="00C7364D" w:rsidRPr="008D1A55">
        <w:t xml:space="preserve"> point); and</w:t>
      </w:r>
    </w:p>
    <w:p w14:paraId="3B96659A" w14:textId="2E953A68" w:rsidR="00C7364D" w:rsidRPr="008D1A55" w:rsidRDefault="00846BC8" w:rsidP="00C7364D">
      <w:pPr>
        <w:pStyle w:val="ListBullet"/>
      </w:pPr>
      <w:r w:rsidRPr="008D1A55">
        <w:t xml:space="preserve">no </w:t>
      </w:r>
      <w:r w:rsidR="00C7364D" w:rsidRPr="008D1A55">
        <w:t xml:space="preserve">worsening from </w:t>
      </w:r>
      <w:r w:rsidR="00CA1444" w:rsidRPr="008D1A55">
        <w:t>Baseline</w:t>
      </w:r>
      <w:r w:rsidR="00C7364D" w:rsidRPr="008D1A55">
        <w:t xml:space="preserve"> in the patients’ lupus disease activity (worsening defined as an increase </w:t>
      </w:r>
      <w:r w:rsidR="00AA47AE" w:rsidRPr="008D1A55">
        <w:t xml:space="preserve">of </w:t>
      </w:r>
      <w:r w:rsidR="00C7364D" w:rsidRPr="008D1A55">
        <w:t>0.30 points</w:t>
      </w:r>
      <w:r w:rsidR="00AA47AE" w:rsidRPr="008D1A55">
        <w:t xml:space="preserve"> or more</w:t>
      </w:r>
      <w:r w:rsidR="00C7364D" w:rsidRPr="008D1A55">
        <w:t xml:space="preserve"> on a 3-point PGA VAS; and</w:t>
      </w:r>
    </w:p>
    <w:p w14:paraId="13C496FF" w14:textId="393FB5BE" w:rsidR="00C7364D" w:rsidRPr="008D1A55" w:rsidRDefault="00846BC8" w:rsidP="00C7364D">
      <w:pPr>
        <w:pStyle w:val="ListBullet"/>
      </w:pPr>
      <w:r w:rsidRPr="008D1A55">
        <w:t xml:space="preserve">no </w:t>
      </w:r>
      <w:r w:rsidR="00C7364D" w:rsidRPr="008D1A55">
        <w:t xml:space="preserve">discontinuation of </w:t>
      </w:r>
      <w:r w:rsidR="00135A47" w:rsidRPr="008D1A55">
        <w:t>the investigational product (</w:t>
      </w:r>
      <w:r w:rsidR="00AA47AE" w:rsidRPr="008D1A55">
        <w:t>IP</w:t>
      </w:r>
      <w:r w:rsidR="00135A47" w:rsidRPr="008D1A55">
        <w:t>)</w:t>
      </w:r>
      <w:r w:rsidR="00C7364D" w:rsidRPr="008D1A55">
        <w:t>; and</w:t>
      </w:r>
    </w:p>
    <w:p w14:paraId="77E16423" w14:textId="69B49DEA" w:rsidR="00C7364D" w:rsidRPr="008D1A55" w:rsidRDefault="00846BC8" w:rsidP="00C7364D">
      <w:pPr>
        <w:pStyle w:val="ListBullet"/>
      </w:pPr>
      <w:r w:rsidRPr="008D1A55">
        <w:t xml:space="preserve">no </w:t>
      </w:r>
      <w:r w:rsidR="00C7364D" w:rsidRPr="008D1A55">
        <w:t>use of restricted medications beyond the protocol</w:t>
      </w:r>
      <w:r w:rsidR="00AA47AE" w:rsidRPr="008D1A55">
        <w:t xml:space="preserve"> </w:t>
      </w:r>
      <w:r w:rsidR="00C7364D" w:rsidRPr="008D1A55">
        <w:t>allowed threshold before assessment</w:t>
      </w:r>
      <w:r w:rsidRPr="008D1A55">
        <w:t>.</w:t>
      </w:r>
    </w:p>
    <w:p w14:paraId="1CCB9910" w14:textId="78F20297" w:rsidR="00C7364D" w:rsidRPr="008D1A55" w:rsidRDefault="00C7364D" w:rsidP="00C7364D">
      <w:r w:rsidRPr="008D1A55">
        <w:t>The secondary efficacy outcomes included</w:t>
      </w:r>
      <w:r w:rsidR="00D04883" w:rsidRPr="008D1A55">
        <w:t xml:space="preserve"> the followings</w:t>
      </w:r>
      <w:r w:rsidRPr="008D1A55">
        <w:t>:</w:t>
      </w:r>
    </w:p>
    <w:p w14:paraId="49BBC883" w14:textId="15BB640F" w:rsidR="00C7364D" w:rsidRPr="008D1A55" w:rsidRDefault="00C7364D" w:rsidP="00C7364D">
      <w:pPr>
        <w:pStyle w:val="ListBullet"/>
      </w:pPr>
      <w:r w:rsidRPr="008D1A55">
        <w:t xml:space="preserve">The proportion of patients in the </w:t>
      </w:r>
      <w:r w:rsidR="00CC61CB" w:rsidRPr="008D1A55">
        <w:t xml:space="preserve">Type </w:t>
      </w:r>
      <w:r w:rsidR="00D264E5" w:rsidRPr="008D1A55">
        <w:t>I</w:t>
      </w:r>
      <w:r w:rsidRPr="008D1A55">
        <w:t xml:space="preserve"> </w:t>
      </w:r>
      <w:r w:rsidR="00D264E5" w:rsidRPr="008D1A55">
        <w:t>interferon</w:t>
      </w:r>
      <w:r w:rsidRPr="008D1A55">
        <w:t xml:space="preserve"> gene signature test high subgroup who achieved a BICLA response at Week 52</w:t>
      </w:r>
    </w:p>
    <w:p w14:paraId="4408314A" w14:textId="24F89178" w:rsidR="00C7364D" w:rsidRPr="008D1A55" w:rsidRDefault="00C7364D" w:rsidP="00C7364D">
      <w:pPr>
        <w:pStyle w:val="ListBullet"/>
      </w:pPr>
      <w:r w:rsidRPr="008D1A55">
        <w:t xml:space="preserve">The proportion of patients who maintained </w:t>
      </w:r>
      <w:r w:rsidR="007D0024" w:rsidRPr="008D1A55">
        <w:t>oral corticosteroids</w:t>
      </w:r>
      <w:r w:rsidRPr="008D1A55">
        <w:t xml:space="preserve"> reduction, defined as:</w:t>
      </w:r>
    </w:p>
    <w:p w14:paraId="0957CCB6" w14:textId="4872A4DB" w:rsidR="00C7364D" w:rsidRPr="008D1A55" w:rsidRDefault="00D04883" w:rsidP="00C7364D">
      <w:pPr>
        <w:pStyle w:val="ListBullet2"/>
      </w:pPr>
      <w:r w:rsidRPr="008D1A55">
        <w:t xml:space="preserve">achieved </w:t>
      </w:r>
      <w:r w:rsidR="00C7364D" w:rsidRPr="008D1A55">
        <w:t xml:space="preserve">an </w:t>
      </w:r>
      <w:r w:rsidR="007D0024" w:rsidRPr="008D1A55">
        <w:t>oral corticosteroids</w:t>
      </w:r>
      <w:r w:rsidR="00C7364D" w:rsidRPr="008D1A55">
        <w:t xml:space="preserve"> dose</w:t>
      </w:r>
      <w:r w:rsidRPr="008D1A55">
        <w:t xml:space="preserve"> no more than </w:t>
      </w:r>
      <w:r w:rsidR="00C7364D" w:rsidRPr="008D1A55">
        <w:t xml:space="preserve">7.5 mg/day prednisone or equivalent at Week </w:t>
      </w:r>
      <w:proofErr w:type="gramStart"/>
      <w:r w:rsidR="00C7364D" w:rsidRPr="008D1A55">
        <w:t>40;</w:t>
      </w:r>
      <w:proofErr w:type="gramEnd"/>
      <w:r w:rsidR="00C7364D" w:rsidRPr="008D1A55">
        <w:t xml:space="preserve"> and</w:t>
      </w:r>
    </w:p>
    <w:p w14:paraId="08551A04" w14:textId="57CAFBB1" w:rsidR="00C7364D" w:rsidRPr="008D1A55" w:rsidRDefault="00D04883" w:rsidP="00C7364D">
      <w:pPr>
        <w:pStyle w:val="ListBullet2"/>
      </w:pPr>
      <w:r w:rsidRPr="008D1A55">
        <w:t xml:space="preserve">maintained </w:t>
      </w:r>
      <w:r w:rsidR="00C7364D" w:rsidRPr="008D1A55">
        <w:t xml:space="preserve">an </w:t>
      </w:r>
      <w:r w:rsidR="007D0024" w:rsidRPr="008D1A55">
        <w:t>oral corticosteroids</w:t>
      </w:r>
      <w:r w:rsidR="00C7364D" w:rsidRPr="008D1A55">
        <w:t xml:space="preserve"> dose </w:t>
      </w:r>
      <w:r w:rsidRPr="008D1A55">
        <w:t xml:space="preserve">no more than </w:t>
      </w:r>
      <w:r w:rsidR="00C7364D" w:rsidRPr="008D1A55">
        <w:t xml:space="preserve">7.5 mg/day prednisone or equivalent from Week 40 to </w:t>
      </w:r>
      <w:proofErr w:type="gramStart"/>
      <w:r w:rsidR="00C7364D" w:rsidRPr="008D1A55">
        <w:t>52;</w:t>
      </w:r>
      <w:proofErr w:type="gramEnd"/>
      <w:r w:rsidR="00C7364D" w:rsidRPr="008D1A55">
        <w:t xml:space="preserve"> and</w:t>
      </w:r>
    </w:p>
    <w:p w14:paraId="43D3D243" w14:textId="7729B112" w:rsidR="00C7364D" w:rsidRPr="008D1A55" w:rsidRDefault="00D04883" w:rsidP="00C7364D">
      <w:pPr>
        <w:pStyle w:val="ListBullet2"/>
      </w:pPr>
      <w:r w:rsidRPr="008D1A55">
        <w:t xml:space="preserve">no </w:t>
      </w:r>
      <w:r w:rsidR="00C7364D" w:rsidRPr="008D1A55">
        <w:t xml:space="preserve">discontinuation of </w:t>
      </w:r>
      <w:r w:rsidR="00135A47" w:rsidRPr="008D1A55">
        <w:t xml:space="preserve">the </w:t>
      </w:r>
      <w:r w:rsidR="00C7364D" w:rsidRPr="008D1A55">
        <w:t>IP; and</w:t>
      </w:r>
    </w:p>
    <w:p w14:paraId="303620C5" w14:textId="61ACAE76" w:rsidR="00C7364D" w:rsidRPr="008D1A55" w:rsidRDefault="00D04883" w:rsidP="00C7364D">
      <w:pPr>
        <w:pStyle w:val="ListBullet2"/>
      </w:pPr>
      <w:r w:rsidRPr="008D1A55">
        <w:t xml:space="preserve">no </w:t>
      </w:r>
      <w:r w:rsidR="00C7364D" w:rsidRPr="008D1A55">
        <w:t>use of restricted medications beyond the protocol</w:t>
      </w:r>
      <w:r w:rsidRPr="008D1A55">
        <w:t xml:space="preserve"> </w:t>
      </w:r>
      <w:r w:rsidR="00C7364D" w:rsidRPr="008D1A55">
        <w:t>allowed threshold before assessment</w:t>
      </w:r>
      <w:r w:rsidRPr="008D1A55">
        <w:t>.</w:t>
      </w:r>
    </w:p>
    <w:p w14:paraId="2793E389" w14:textId="28315D7E" w:rsidR="00C7364D" w:rsidRPr="008D1A55" w:rsidRDefault="00C7364D" w:rsidP="00C7364D">
      <w:pPr>
        <w:pStyle w:val="ListBullet"/>
      </w:pPr>
      <w:r w:rsidRPr="008D1A55">
        <w:t xml:space="preserve">The proportion of patients with a 50% reduction in CLASI activity score compared to </w:t>
      </w:r>
      <w:r w:rsidR="00CA1444" w:rsidRPr="008D1A55">
        <w:t>Baseline</w:t>
      </w:r>
      <w:r w:rsidRPr="008D1A55">
        <w:t>, defined as:</w:t>
      </w:r>
    </w:p>
    <w:p w14:paraId="6F8CBA8F" w14:textId="0D4567D0" w:rsidR="00C7364D" w:rsidRPr="008D1A55" w:rsidRDefault="00D04883" w:rsidP="00C7364D">
      <w:pPr>
        <w:pStyle w:val="ListBullet2"/>
      </w:pPr>
      <w:r w:rsidRPr="008D1A55">
        <w:t xml:space="preserve">achieved at least </w:t>
      </w:r>
      <w:r w:rsidR="00C7364D" w:rsidRPr="008D1A55">
        <w:t xml:space="preserve">50% reduction in CLASI activity score at Week 12 compared to </w:t>
      </w:r>
      <w:proofErr w:type="gramStart"/>
      <w:r w:rsidR="00CA1444" w:rsidRPr="008D1A55">
        <w:t>Baseline</w:t>
      </w:r>
      <w:r w:rsidR="00C7364D" w:rsidRPr="008D1A55">
        <w:t>;</w:t>
      </w:r>
      <w:proofErr w:type="gramEnd"/>
      <w:r w:rsidR="00C7364D" w:rsidRPr="008D1A55">
        <w:t xml:space="preserve"> and</w:t>
      </w:r>
    </w:p>
    <w:p w14:paraId="04DDFE35" w14:textId="1BA7DEB6" w:rsidR="00C7364D" w:rsidRPr="008D1A55" w:rsidRDefault="00D04883" w:rsidP="00C7364D">
      <w:pPr>
        <w:pStyle w:val="ListBullet2"/>
      </w:pPr>
      <w:r w:rsidRPr="008D1A55">
        <w:t xml:space="preserve">no </w:t>
      </w:r>
      <w:r w:rsidR="00C7364D" w:rsidRPr="008D1A55">
        <w:t xml:space="preserve">discontinuation of </w:t>
      </w:r>
      <w:r w:rsidR="00135A47" w:rsidRPr="008D1A55">
        <w:t xml:space="preserve">the </w:t>
      </w:r>
      <w:r w:rsidR="00C7364D" w:rsidRPr="008D1A55">
        <w:t>IP; and</w:t>
      </w:r>
    </w:p>
    <w:p w14:paraId="536DED47" w14:textId="3AAC4684" w:rsidR="00C7364D" w:rsidRPr="008D1A55" w:rsidRDefault="00D04883" w:rsidP="00C7364D">
      <w:pPr>
        <w:pStyle w:val="ListBullet2"/>
      </w:pPr>
      <w:r w:rsidRPr="008D1A55">
        <w:t xml:space="preserve">no </w:t>
      </w:r>
      <w:r w:rsidR="00C7364D" w:rsidRPr="008D1A55">
        <w:t>use</w:t>
      </w:r>
      <w:r w:rsidR="00C7364D" w:rsidRPr="008D1A55">
        <w:rPr>
          <w:rFonts w:ascii="TimesNewRoman" w:eastAsiaTheme="minorHAnsi" w:hAnsi="TimesNewRoman" w:cs="TimesNewRoman"/>
          <w:sz w:val="20"/>
        </w:rPr>
        <w:t xml:space="preserve"> </w:t>
      </w:r>
      <w:r w:rsidR="00C7364D" w:rsidRPr="008D1A55">
        <w:t>of restricted medications beyond the protocol-allowed threshold before assessment</w:t>
      </w:r>
      <w:r w:rsidRPr="008D1A55">
        <w:t>.</w:t>
      </w:r>
    </w:p>
    <w:p w14:paraId="3B349535" w14:textId="0803AF50" w:rsidR="00C7364D" w:rsidRPr="008D1A55" w:rsidRDefault="00C7364D" w:rsidP="00C7364D">
      <w:pPr>
        <w:pStyle w:val="ListBullet"/>
      </w:pPr>
      <w:r w:rsidRPr="008D1A55">
        <w:t xml:space="preserve">The proportion of patients with </w:t>
      </w:r>
      <w:r w:rsidR="00D04883" w:rsidRPr="008D1A55">
        <w:t xml:space="preserve">at least </w:t>
      </w:r>
      <w:r w:rsidRPr="008D1A55">
        <w:t xml:space="preserve">50% reduction from </w:t>
      </w:r>
      <w:r w:rsidR="00CA1444" w:rsidRPr="008D1A55">
        <w:t>Baseline</w:t>
      </w:r>
      <w:r w:rsidRPr="008D1A55">
        <w:t xml:space="preserve"> in number of swollen and tender joints, defined as:</w:t>
      </w:r>
    </w:p>
    <w:p w14:paraId="6B4CF8FA" w14:textId="5F097D59" w:rsidR="00C7364D" w:rsidRPr="008D1A55" w:rsidRDefault="00D04883" w:rsidP="00C7364D">
      <w:pPr>
        <w:pStyle w:val="ListBullet2"/>
      </w:pPr>
      <w:r w:rsidRPr="008D1A55">
        <w:t xml:space="preserve">achieved at least </w:t>
      </w:r>
      <w:r w:rsidR="00C7364D" w:rsidRPr="008D1A55">
        <w:t>50% reduction in number of both swollen and tender joints, separately; and</w:t>
      </w:r>
    </w:p>
    <w:p w14:paraId="02F89027" w14:textId="4589F04C" w:rsidR="00C7364D" w:rsidRPr="008D1A55" w:rsidRDefault="00D04883" w:rsidP="00C7364D">
      <w:pPr>
        <w:pStyle w:val="ListBullet2"/>
      </w:pPr>
      <w:r w:rsidRPr="008D1A55">
        <w:t xml:space="preserve">no </w:t>
      </w:r>
      <w:r w:rsidR="00C7364D" w:rsidRPr="008D1A55">
        <w:t xml:space="preserve">discontinuation of </w:t>
      </w:r>
      <w:r w:rsidR="00135A47" w:rsidRPr="008D1A55">
        <w:t xml:space="preserve">the </w:t>
      </w:r>
      <w:r w:rsidR="00C7364D" w:rsidRPr="008D1A55">
        <w:t>IP; and</w:t>
      </w:r>
    </w:p>
    <w:p w14:paraId="14BEC911" w14:textId="0D11D34B" w:rsidR="00C7364D" w:rsidRPr="008D1A55" w:rsidRDefault="00D04883" w:rsidP="00C7364D">
      <w:pPr>
        <w:pStyle w:val="ListBullet2"/>
        <w:rPr>
          <w:rFonts w:ascii="TimesNewRoman" w:eastAsiaTheme="minorHAnsi" w:hAnsi="TimesNewRoman" w:cs="TimesNewRoman"/>
          <w:sz w:val="20"/>
        </w:rPr>
      </w:pPr>
      <w:r w:rsidRPr="008D1A55">
        <w:t xml:space="preserve">no </w:t>
      </w:r>
      <w:r w:rsidR="00C7364D" w:rsidRPr="008D1A55">
        <w:t>use of restricted medications beyond the protocol-allowed threshold before assessment</w:t>
      </w:r>
      <w:r w:rsidRPr="008D1A55">
        <w:t>.</w:t>
      </w:r>
    </w:p>
    <w:p w14:paraId="76343AAF" w14:textId="1DEB5FD6" w:rsidR="00C7364D" w:rsidRPr="008D1A55" w:rsidRDefault="00C7364D" w:rsidP="00C7364D">
      <w:pPr>
        <w:pStyle w:val="ListBullet"/>
      </w:pPr>
      <w:r w:rsidRPr="008D1A55">
        <w:t xml:space="preserve">Annualised flare rate over 52 weeks with flare defined as either </w:t>
      </w:r>
      <w:r w:rsidR="00D04883" w:rsidRPr="008D1A55">
        <w:t>one</w:t>
      </w:r>
      <w:r w:rsidRPr="008D1A55">
        <w:t xml:space="preserve"> or more new BILAG</w:t>
      </w:r>
      <w:r w:rsidR="00D04883" w:rsidRPr="008D1A55">
        <w:noBreakHyphen/>
      </w:r>
      <w:r w:rsidRPr="008D1A55">
        <w:t xml:space="preserve">2004 A or </w:t>
      </w:r>
      <w:r w:rsidR="00D04883" w:rsidRPr="008D1A55">
        <w:t>two</w:t>
      </w:r>
      <w:r w:rsidRPr="008D1A55">
        <w:t xml:space="preserve"> or more new BILAG-2004 B items compared to previous visit</w:t>
      </w:r>
      <w:r w:rsidR="00D04883" w:rsidRPr="008D1A55">
        <w:t>.</w:t>
      </w:r>
    </w:p>
    <w:p w14:paraId="4CBC548B" w14:textId="371D4522" w:rsidR="00C7364D" w:rsidRPr="008D1A55" w:rsidRDefault="00C7364D" w:rsidP="00C7364D">
      <w:r w:rsidRPr="008D1A55">
        <w:t>Other efficacy outcomes included</w:t>
      </w:r>
      <w:r w:rsidR="00D04883" w:rsidRPr="008D1A55">
        <w:t xml:space="preserve"> the followings</w:t>
      </w:r>
      <w:r w:rsidRPr="008D1A55">
        <w:t>:</w:t>
      </w:r>
    </w:p>
    <w:p w14:paraId="700433D5" w14:textId="5DBBD869" w:rsidR="00C7364D" w:rsidRPr="008D1A55" w:rsidRDefault="00C7364D" w:rsidP="00C7364D">
      <w:pPr>
        <w:pStyle w:val="ListBullet"/>
      </w:pPr>
      <w:r w:rsidRPr="008D1A55">
        <w:lastRenderedPageBreak/>
        <w:t>The proportion of patients who achieved SRI (4), SRI</w:t>
      </w:r>
      <w:r w:rsidR="00D04883" w:rsidRPr="008D1A55">
        <w:t xml:space="preserve"> </w:t>
      </w:r>
      <w:r w:rsidRPr="008D1A55">
        <w:t>(5), SRI</w:t>
      </w:r>
      <w:r w:rsidR="00D04883" w:rsidRPr="008D1A55">
        <w:t xml:space="preserve"> </w:t>
      </w:r>
      <w:r w:rsidRPr="008D1A55">
        <w:t>(6), SRI</w:t>
      </w:r>
      <w:r w:rsidR="00D04883" w:rsidRPr="008D1A55">
        <w:t xml:space="preserve"> </w:t>
      </w:r>
      <w:r w:rsidRPr="008D1A55">
        <w:t>(7), or SRI</w:t>
      </w:r>
      <w:r w:rsidR="00D04883" w:rsidRPr="008D1A55">
        <w:t xml:space="preserve"> </w:t>
      </w:r>
      <w:r w:rsidRPr="008D1A55">
        <w:t>(8) response, where SRI</w:t>
      </w:r>
      <w:r w:rsidR="00D04883" w:rsidRPr="008D1A55">
        <w:t xml:space="preserve"> </w:t>
      </w:r>
      <w:r w:rsidRPr="008D1A55">
        <w:t>(X) (X</w:t>
      </w:r>
      <w:r w:rsidR="00A259E4" w:rsidRPr="008D1A55">
        <w:t xml:space="preserve"> </w:t>
      </w:r>
      <w:r w:rsidRPr="008D1A55">
        <w:t>=</w:t>
      </w:r>
      <w:r w:rsidR="00A259E4" w:rsidRPr="008D1A55">
        <w:t xml:space="preserve"> </w:t>
      </w:r>
      <w:r w:rsidRPr="008D1A55">
        <w:t>4, 5, 6, 7, or 8), defined as:</w:t>
      </w:r>
    </w:p>
    <w:p w14:paraId="6C455C53" w14:textId="7269F55E" w:rsidR="00C7364D" w:rsidRPr="008D1A55" w:rsidRDefault="00D04883" w:rsidP="00C7364D">
      <w:pPr>
        <w:pStyle w:val="ListBullet2"/>
      </w:pPr>
      <w:r w:rsidRPr="008D1A55">
        <w:t xml:space="preserve">reduction </w:t>
      </w:r>
      <w:r w:rsidR="00C7364D" w:rsidRPr="008D1A55">
        <w:t xml:space="preserve">from </w:t>
      </w:r>
      <w:r w:rsidR="00CA1444" w:rsidRPr="008D1A55">
        <w:t>Baseline</w:t>
      </w:r>
      <w:r w:rsidR="00C7364D" w:rsidRPr="008D1A55">
        <w:t xml:space="preserve"> of </w:t>
      </w:r>
      <w:r w:rsidRPr="008D1A55">
        <w:t xml:space="preserve">at least </w:t>
      </w:r>
      <w:r w:rsidR="00C7364D" w:rsidRPr="008D1A55">
        <w:t>X points in SLEDAI-2K; and</w:t>
      </w:r>
    </w:p>
    <w:p w14:paraId="3BF3D65C" w14:textId="1B61E351" w:rsidR="00C7364D" w:rsidRPr="008D1A55" w:rsidRDefault="00D04883" w:rsidP="00C7364D">
      <w:pPr>
        <w:pStyle w:val="ListBullet2"/>
      </w:pPr>
      <w:r w:rsidRPr="008D1A55">
        <w:t xml:space="preserve">no </w:t>
      </w:r>
      <w:r w:rsidR="00C7364D" w:rsidRPr="008D1A55">
        <w:t xml:space="preserve">new organ systems affected defined as </w:t>
      </w:r>
      <w:r w:rsidRPr="008D1A55">
        <w:t>at least one</w:t>
      </w:r>
      <w:r w:rsidR="00C7364D" w:rsidRPr="008D1A55">
        <w:t xml:space="preserve"> new BILAG-2004 A or </w:t>
      </w:r>
      <w:r w:rsidRPr="008D1A55">
        <w:t xml:space="preserve">at least two </w:t>
      </w:r>
      <w:r w:rsidR="00C7364D" w:rsidRPr="008D1A55">
        <w:t>2 new BILAG-2004 B; and</w:t>
      </w:r>
    </w:p>
    <w:p w14:paraId="14736B28" w14:textId="4812768E" w:rsidR="00C7364D" w:rsidRPr="008D1A55" w:rsidRDefault="00D04883" w:rsidP="00C7364D">
      <w:pPr>
        <w:pStyle w:val="ListBullet2"/>
      </w:pPr>
      <w:r w:rsidRPr="008D1A55">
        <w:t xml:space="preserve">no </w:t>
      </w:r>
      <w:r w:rsidR="00C7364D" w:rsidRPr="008D1A55">
        <w:t xml:space="preserve">worsening from </w:t>
      </w:r>
      <w:r w:rsidR="00CA1444" w:rsidRPr="008D1A55">
        <w:t>Baseline</w:t>
      </w:r>
      <w:r w:rsidR="00C7364D" w:rsidRPr="008D1A55">
        <w:t xml:space="preserve"> in the patients’ lupus disease activity defined by an increase </w:t>
      </w:r>
      <w:r w:rsidRPr="008D1A55">
        <w:t xml:space="preserve">at least </w:t>
      </w:r>
      <w:r w:rsidR="00C7364D" w:rsidRPr="008D1A55">
        <w:t xml:space="preserve">0.30 points on a </w:t>
      </w:r>
      <w:proofErr w:type="gramStart"/>
      <w:r w:rsidR="00C7364D" w:rsidRPr="008D1A55">
        <w:t>3 point</w:t>
      </w:r>
      <w:proofErr w:type="gramEnd"/>
      <w:r w:rsidR="00C7364D" w:rsidRPr="008D1A55">
        <w:t xml:space="preserve"> PGA VAS; and</w:t>
      </w:r>
    </w:p>
    <w:p w14:paraId="2AE287F1" w14:textId="44D23130" w:rsidR="00C7364D" w:rsidRPr="008D1A55" w:rsidRDefault="00D04883" w:rsidP="00C7364D">
      <w:pPr>
        <w:pStyle w:val="ListBullet2"/>
      </w:pPr>
      <w:r w:rsidRPr="008D1A55">
        <w:t xml:space="preserve">no </w:t>
      </w:r>
      <w:r w:rsidR="00C7364D" w:rsidRPr="008D1A55">
        <w:t xml:space="preserve">discontinuation of </w:t>
      </w:r>
      <w:r w:rsidR="00135A47" w:rsidRPr="008D1A55">
        <w:t xml:space="preserve">the </w:t>
      </w:r>
      <w:r w:rsidR="00C7364D" w:rsidRPr="008D1A55">
        <w:t>IP; and</w:t>
      </w:r>
    </w:p>
    <w:p w14:paraId="4F85FB0C" w14:textId="70D1CB25" w:rsidR="00C7364D" w:rsidRPr="008D1A55" w:rsidRDefault="00D04883" w:rsidP="00C7364D">
      <w:pPr>
        <w:pStyle w:val="ListBullet2"/>
      </w:pPr>
      <w:r w:rsidRPr="008D1A55">
        <w:t xml:space="preserve">no </w:t>
      </w:r>
      <w:r w:rsidR="00C7364D" w:rsidRPr="008D1A55">
        <w:t>use of restricted medications beyond the protocol allowed threshold before assessment</w:t>
      </w:r>
      <w:r w:rsidRPr="008D1A55">
        <w:t>.</w:t>
      </w:r>
    </w:p>
    <w:p w14:paraId="61FCD4AC" w14:textId="075B105D" w:rsidR="00C7364D" w:rsidRPr="008D1A55" w:rsidRDefault="00C7364D" w:rsidP="00C7364D">
      <w:pPr>
        <w:pStyle w:val="ListBullet"/>
      </w:pPr>
      <w:r w:rsidRPr="008D1A55">
        <w:t>The proportion of patients with BILAG-2004 (A and B) by organ system</w:t>
      </w:r>
      <w:r w:rsidR="00D04883" w:rsidRPr="008D1A55">
        <w:t>.</w:t>
      </w:r>
    </w:p>
    <w:p w14:paraId="3B77B81B" w14:textId="4B8F6D0B" w:rsidR="00C7364D" w:rsidRPr="008D1A55" w:rsidRDefault="00C7364D" w:rsidP="00C7364D">
      <w:pPr>
        <w:pStyle w:val="ListBullet"/>
      </w:pPr>
      <w:r w:rsidRPr="008D1A55">
        <w:t xml:space="preserve">Change from </w:t>
      </w:r>
      <w:r w:rsidR="00CA1444" w:rsidRPr="008D1A55">
        <w:t>Baseline</w:t>
      </w:r>
      <w:r w:rsidRPr="008D1A55">
        <w:t xml:space="preserve"> in SLEDAI-2K total score and proportion of patients with an improvement in SLEDAI scores at Weeks 24 and 52</w:t>
      </w:r>
      <w:r w:rsidR="00D04883" w:rsidRPr="008D1A55">
        <w:t>.</w:t>
      </w:r>
    </w:p>
    <w:p w14:paraId="7ADEB3AE" w14:textId="58570DBF" w:rsidR="00C7364D" w:rsidRPr="008D1A55" w:rsidRDefault="00C7364D" w:rsidP="00C7364D">
      <w:pPr>
        <w:pStyle w:val="ListBullet"/>
      </w:pPr>
      <w:r w:rsidRPr="008D1A55">
        <w:t xml:space="preserve">Change from </w:t>
      </w:r>
      <w:r w:rsidR="00CA1444" w:rsidRPr="008D1A55">
        <w:t>Baseline</w:t>
      </w:r>
      <w:r w:rsidRPr="008D1A55">
        <w:t xml:space="preserve"> in number of swollen and tender joints and proportion of responders (20% and 50% reduction from </w:t>
      </w:r>
      <w:r w:rsidR="00CA1444" w:rsidRPr="008D1A55">
        <w:t>Baseline</w:t>
      </w:r>
      <w:r w:rsidRPr="008D1A55">
        <w:t>) at Week 52</w:t>
      </w:r>
      <w:r w:rsidR="00D04883" w:rsidRPr="008D1A55">
        <w:t>.</w:t>
      </w:r>
    </w:p>
    <w:p w14:paraId="4CA00C2D" w14:textId="3B95F462" w:rsidR="00C7364D" w:rsidRPr="008D1A55" w:rsidRDefault="00C7364D" w:rsidP="00C7364D">
      <w:pPr>
        <w:pStyle w:val="ListBullet"/>
      </w:pPr>
      <w:r w:rsidRPr="008D1A55">
        <w:t>Proportion of patients with major clinical response</w:t>
      </w:r>
      <w:r w:rsidR="00D04883" w:rsidRPr="008D1A55">
        <w:t xml:space="preserve"> and</w:t>
      </w:r>
      <w:r w:rsidR="00154D31" w:rsidRPr="008D1A55">
        <w:t>/or</w:t>
      </w:r>
      <w:r w:rsidR="00D04883" w:rsidRPr="008D1A55">
        <w:t xml:space="preserve"> </w:t>
      </w:r>
      <w:r w:rsidRPr="008D1A55">
        <w:t>partial clinical response</w:t>
      </w:r>
      <w:r w:rsidR="00D04883" w:rsidRPr="008D1A55">
        <w:t>.</w:t>
      </w:r>
    </w:p>
    <w:p w14:paraId="32FFFED4" w14:textId="0EA94C84" w:rsidR="00C7364D" w:rsidRPr="008D1A55" w:rsidRDefault="00C7364D" w:rsidP="00C7364D">
      <w:pPr>
        <w:pStyle w:val="ListBullet"/>
      </w:pPr>
      <w:r w:rsidRPr="008D1A55">
        <w:t xml:space="preserve">Change from </w:t>
      </w:r>
      <w:r w:rsidR="00CA1444" w:rsidRPr="008D1A55">
        <w:t>Baseline</w:t>
      </w:r>
      <w:r w:rsidRPr="008D1A55">
        <w:t xml:space="preserve"> in PGA (VAS 0</w:t>
      </w:r>
      <w:r w:rsidR="00D04883" w:rsidRPr="008D1A55">
        <w:t xml:space="preserve"> to </w:t>
      </w:r>
      <w:r w:rsidRPr="008D1A55">
        <w:t>3)</w:t>
      </w:r>
      <w:r w:rsidR="00D04883" w:rsidRPr="008D1A55">
        <w:t>.</w:t>
      </w:r>
    </w:p>
    <w:p w14:paraId="21DFD4BF" w14:textId="76123877" w:rsidR="00C7364D" w:rsidRPr="008D1A55" w:rsidRDefault="00C7364D" w:rsidP="00C7364D">
      <w:pPr>
        <w:pStyle w:val="ListBullet"/>
        <w:rPr>
          <w:rFonts w:ascii="TimesNewRoman" w:eastAsiaTheme="minorHAnsi" w:hAnsi="TimesNewRoman" w:cs="TimesNewRoman"/>
          <w:sz w:val="20"/>
        </w:rPr>
      </w:pPr>
      <w:r w:rsidRPr="008D1A55">
        <w:t>The proportion of patients who achieved Lupus Low Disease Activity State at Week 52, defined as:</w:t>
      </w:r>
    </w:p>
    <w:p w14:paraId="22F1730A" w14:textId="7E66A7C8" w:rsidR="00C7364D" w:rsidRPr="008D1A55" w:rsidRDefault="00E25D23" w:rsidP="00C7364D">
      <w:pPr>
        <w:pStyle w:val="ListBullet2"/>
      </w:pPr>
      <w:r w:rsidRPr="008D1A55">
        <w:t xml:space="preserve">Systemic Lupus Erythematosus Disease Activity Index 2000 </w:t>
      </w:r>
      <w:r w:rsidR="00C7364D" w:rsidRPr="008D1A55">
        <w:t xml:space="preserve">score </w:t>
      </w:r>
      <w:r w:rsidR="001171A3" w:rsidRPr="008D1A55">
        <w:t xml:space="preserve">no greater than </w:t>
      </w:r>
      <w:r w:rsidR="00C7364D" w:rsidRPr="008D1A55">
        <w:t>4, with no activity in major organ systems and no haemolytic anaemia (as assessed by BILAG-2004); and</w:t>
      </w:r>
    </w:p>
    <w:p w14:paraId="23D6FD55" w14:textId="7EA3215E" w:rsidR="00C7364D" w:rsidRPr="008D1A55" w:rsidRDefault="001171A3" w:rsidP="00C7364D">
      <w:pPr>
        <w:pStyle w:val="ListBullet2"/>
      </w:pPr>
      <w:r w:rsidRPr="008D1A55">
        <w:t xml:space="preserve">no </w:t>
      </w:r>
      <w:r w:rsidR="00C7364D" w:rsidRPr="008D1A55">
        <w:t>new lupus disease activity compared with the previous assessment (SLEDAI</w:t>
      </w:r>
      <w:r w:rsidRPr="008D1A55">
        <w:noBreakHyphen/>
      </w:r>
      <w:r w:rsidR="00C7364D" w:rsidRPr="008D1A55">
        <w:t>2K item score 0); and</w:t>
      </w:r>
    </w:p>
    <w:p w14:paraId="09C17049" w14:textId="56403F5C" w:rsidR="00C7364D" w:rsidRPr="008D1A55" w:rsidRDefault="00154D31" w:rsidP="00C7364D">
      <w:pPr>
        <w:pStyle w:val="ListBullet2"/>
      </w:pPr>
      <w:r w:rsidRPr="008D1A55">
        <w:t xml:space="preserve">Physician’s </w:t>
      </w:r>
      <w:r w:rsidR="00CC75F3" w:rsidRPr="008D1A55">
        <w:t xml:space="preserve">Global Assessment </w:t>
      </w:r>
      <w:r w:rsidR="00C7364D" w:rsidRPr="008D1A55">
        <w:t>VAS score (scale 0</w:t>
      </w:r>
      <w:r w:rsidR="001171A3" w:rsidRPr="008D1A55">
        <w:t xml:space="preserve"> to </w:t>
      </w:r>
      <w:r w:rsidR="00C7364D" w:rsidRPr="008D1A55">
        <w:t xml:space="preserve">3) </w:t>
      </w:r>
      <w:r w:rsidR="001171A3" w:rsidRPr="008D1A55">
        <w:t xml:space="preserve">no greater than </w:t>
      </w:r>
      <w:r w:rsidR="00C7364D" w:rsidRPr="008D1A55">
        <w:t>1; and</w:t>
      </w:r>
    </w:p>
    <w:p w14:paraId="6EFC4ACC" w14:textId="441131EB" w:rsidR="001171A3" w:rsidRPr="008D1A55" w:rsidRDefault="001171A3" w:rsidP="00C7364D">
      <w:pPr>
        <w:pStyle w:val="ListBullet2"/>
      </w:pPr>
      <w:r w:rsidRPr="008D1A55">
        <w:t xml:space="preserve">prednisone </w:t>
      </w:r>
      <w:r w:rsidR="00C7364D" w:rsidRPr="008D1A55">
        <w:t xml:space="preserve">(or equivalent) dose </w:t>
      </w:r>
      <w:r w:rsidRPr="008D1A55">
        <w:t xml:space="preserve">no more than </w:t>
      </w:r>
      <w:r w:rsidR="00C7364D" w:rsidRPr="008D1A55">
        <w:t>7.5 mg</w:t>
      </w:r>
      <w:r w:rsidRPr="008D1A55">
        <w:t>/day</w:t>
      </w:r>
      <w:r w:rsidR="00C7364D" w:rsidRPr="008D1A55">
        <w:t>; and</w:t>
      </w:r>
    </w:p>
    <w:p w14:paraId="5CFD6228" w14:textId="699282EC" w:rsidR="00C7364D" w:rsidRPr="008D1A55" w:rsidRDefault="001171A3" w:rsidP="00C7364D">
      <w:pPr>
        <w:pStyle w:val="ListBullet2"/>
      </w:pPr>
      <w:r w:rsidRPr="008D1A55">
        <w:t>n</w:t>
      </w:r>
      <w:r w:rsidR="00C7364D" w:rsidRPr="008D1A55">
        <w:t xml:space="preserve">o discontinuation of </w:t>
      </w:r>
      <w:r w:rsidR="00135A47" w:rsidRPr="008D1A55">
        <w:t xml:space="preserve">the </w:t>
      </w:r>
      <w:r w:rsidR="00C7364D" w:rsidRPr="008D1A55">
        <w:t>IP; and</w:t>
      </w:r>
    </w:p>
    <w:p w14:paraId="7FAB76DD" w14:textId="62B4DE95" w:rsidR="00C7364D" w:rsidRPr="008D1A55" w:rsidRDefault="00C7364D" w:rsidP="00C7364D">
      <w:pPr>
        <w:pStyle w:val="ListBullet2"/>
      </w:pPr>
      <w:r w:rsidRPr="008D1A55">
        <w:t>No use of restricted medications beyond the protocol allowed threshold before assessment</w:t>
      </w:r>
      <w:r w:rsidR="001171A3" w:rsidRPr="008D1A55">
        <w:t>.</w:t>
      </w:r>
    </w:p>
    <w:p w14:paraId="6FFBF06C" w14:textId="7A0BE5B4" w:rsidR="00C7364D" w:rsidRPr="008D1A55" w:rsidRDefault="00C7364D" w:rsidP="00C7364D">
      <w:pPr>
        <w:pStyle w:val="ListBullet"/>
      </w:pPr>
      <w:r w:rsidRPr="008D1A55">
        <w:t xml:space="preserve">Change from </w:t>
      </w:r>
      <w:r w:rsidR="00CA1444" w:rsidRPr="008D1A55">
        <w:t>Baseline</w:t>
      </w:r>
      <w:r w:rsidRPr="008D1A55">
        <w:t xml:space="preserve"> in </w:t>
      </w:r>
      <w:r w:rsidR="0090336C" w:rsidRPr="008D1A55">
        <w:t>systemic lupus international collaborating clinics</w:t>
      </w:r>
      <w:r w:rsidR="008C0D94" w:rsidRPr="008D1A55">
        <w:t>/American College of Rheumatology Damage Index (</w:t>
      </w:r>
      <w:r w:rsidRPr="008D1A55">
        <w:t>SDI</w:t>
      </w:r>
      <w:r w:rsidR="008C0D94" w:rsidRPr="008D1A55">
        <w:t>)</w:t>
      </w:r>
      <w:r w:rsidR="008C0D94" w:rsidRPr="008D1A55">
        <w:rPr>
          <w:rStyle w:val="FootnoteReference"/>
        </w:rPr>
        <w:footnoteReference w:id="20"/>
      </w:r>
      <w:r w:rsidRPr="008D1A55">
        <w:t xml:space="preserve"> global score at Week 52</w:t>
      </w:r>
      <w:r w:rsidR="001171A3" w:rsidRPr="008D1A55">
        <w:t>.</w:t>
      </w:r>
    </w:p>
    <w:p w14:paraId="2F434E0E" w14:textId="1DF57D20" w:rsidR="00C7364D" w:rsidRPr="008D1A55" w:rsidRDefault="00C7364D" w:rsidP="00C7364D">
      <w:pPr>
        <w:pStyle w:val="ListBullet"/>
      </w:pPr>
      <w:r w:rsidRPr="008D1A55">
        <w:t xml:space="preserve">Changes from </w:t>
      </w:r>
      <w:r w:rsidR="00CA1444" w:rsidRPr="008D1A55">
        <w:t>Baseline</w:t>
      </w:r>
      <w:r w:rsidRPr="008D1A55">
        <w:t xml:space="preserve"> in </w:t>
      </w:r>
      <w:r w:rsidR="00C663E7" w:rsidRPr="008D1A55">
        <w:t>36-Item Short Form Health Survey version 2 (</w:t>
      </w:r>
      <w:r w:rsidRPr="008D1A55">
        <w:t>SF-36-v2</w:t>
      </w:r>
      <w:r w:rsidR="00C663E7" w:rsidRPr="008D1A55">
        <w:t>)</w:t>
      </w:r>
      <w:r w:rsidR="00C663E7" w:rsidRPr="008D1A55">
        <w:rPr>
          <w:rStyle w:val="FootnoteReference"/>
        </w:rPr>
        <w:footnoteReference w:id="21"/>
      </w:r>
      <w:r w:rsidRPr="008D1A55">
        <w:t xml:space="preserve"> (acute recall) domain and component scores, and proportion of SF-36-v2 responders at Week 52</w:t>
      </w:r>
      <w:r w:rsidR="001171A3" w:rsidRPr="008D1A55">
        <w:t>.</w:t>
      </w:r>
    </w:p>
    <w:p w14:paraId="44163B70" w14:textId="504F53AB" w:rsidR="00C7364D" w:rsidRPr="008D1A55" w:rsidRDefault="00C7364D" w:rsidP="00C7364D">
      <w:pPr>
        <w:pStyle w:val="ListBullet"/>
      </w:pPr>
      <w:r w:rsidRPr="008D1A55">
        <w:t xml:space="preserve">Change from </w:t>
      </w:r>
      <w:r w:rsidR="00CA1444" w:rsidRPr="008D1A55">
        <w:t>Baseline</w:t>
      </w:r>
      <w:r w:rsidRPr="008D1A55">
        <w:t xml:space="preserve"> in pain numerical rating scale</w:t>
      </w:r>
      <w:r w:rsidR="001171A3" w:rsidRPr="008D1A55">
        <w:t>.</w:t>
      </w:r>
    </w:p>
    <w:p w14:paraId="23F3150D" w14:textId="48331810" w:rsidR="00C7364D" w:rsidRPr="008D1A55" w:rsidRDefault="00C7364D" w:rsidP="00C7364D">
      <w:pPr>
        <w:pStyle w:val="ListBullet"/>
      </w:pPr>
      <w:r w:rsidRPr="008D1A55">
        <w:t xml:space="preserve">Change from </w:t>
      </w:r>
      <w:r w:rsidR="00CA1444" w:rsidRPr="008D1A55">
        <w:t>Baseline</w:t>
      </w:r>
      <w:r w:rsidRPr="008D1A55">
        <w:t xml:space="preserve"> in </w:t>
      </w:r>
      <w:r w:rsidR="008C0D94" w:rsidRPr="008D1A55">
        <w:t>Functional Assessment of Chronic Illness Therapy-fatigue</w:t>
      </w:r>
      <w:r w:rsidRPr="008D1A55">
        <w:t xml:space="preserve"> item and total scores</w:t>
      </w:r>
      <w:r w:rsidR="001171A3" w:rsidRPr="008D1A55">
        <w:t>.</w:t>
      </w:r>
    </w:p>
    <w:p w14:paraId="3F7B53A3" w14:textId="387D3D77" w:rsidR="00C7364D" w:rsidRPr="008D1A55" w:rsidRDefault="00C7364D" w:rsidP="00C7364D">
      <w:pPr>
        <w:pStyle w:val="ListBullet"/>
      </w:pPr>
      <w:r w:rsidRPr="008D1A55">
        <w:lastRenderedPageBreak/>
        <w:t xml:space="preserve">Change from </w:t>
      </w:r>
      <w:r w:rsidR="00CA1444" w:rsidRPr="008D1A55">
        <w:t>Baseline</w:t>
      </w:r>
      <w:r w:rsidRPr="008D1A55">
        <w:t xml:space="preserve"> in </w:t>
      </w:r>
      <w:r w:rsidR="001C0B36" w:rsidRPr="008D1A55">
        <w:t xml:space="preserve">patient global assessment </w:t>
      </w:r>
      <w:r w:rsidRPr="008D1A55">
        <w:t>(VAS 1</w:t>
      </w:r>
      <w:r w:rsidR="001171A3" w:rsidRPr="008D1A55">
        <w:t xml:space="preserve"> to </w:t>
      </w:r>
      <w:r w:rsidRPr="008D1A55">
        <w:t>100 mm)</w:t>
      </w:r>
      <w:r w:rsidR="001171A3" w:rsidRPr="008D1A55">
        <w:t>.</w:t>
      </w:r>
    </w:p>
    <w:p w14:paraId="79446BBA" w14:textId="41FA7324" w:rsidR="00C7364D" w:rsidRPr="008D1A55" w:rsidRDefault="00C7364D" w:rsidP="00C7364D">
      <w:pPr>
        <w:pStyle w:val="ListBullet"/>
      </w:pPr>
      <w:r w:rsidRPr="008D1A55">
        <w:t xml:space="preserve">Change from </w:t>
      </w:r>
      <w:r w:rsidR="00CA1444" w:rsidRPr="008D1A55">
        <w:t>Baseline</w:t>
      </w:r>
      <w:r w:rsidRPr="008D1A55">
        <w:t xml:space="preserve"> in lupus quality of life domain scores</w:t>
      </w:r>
      <w:r w:rsidR="001171A3" w:rsidRPr="008D1A55">
        <w:t>.</w:t>
      </w:r>
    </w:p>
    <w:p w14:paraId="50E5C4C4" w14:textId="5F9F934B" w:rsidR="00C7364D" w:rsidRPr="008D1A55" w:rsidRDefault="00C7364D" w:rsidP="00C7364D">
      <w:pPr>
        <w:pStyle w:val="ListBullet"/>
      </w:pPr>
      <w:r w:rsidRPr="008D1A55">
        <w:t xml:space="preserve">The proportion of patients in each </w:t>
      </w:r>
      <w:r w:rsidR="008C0D94" w:rsidRPr="008D1A55">
        <w:t>Euro quality of life 5 dimensions (</w:t>
      </w:r>
      <w:r w:rsidRPr="008D1A55">
        <w:t>EQ-5D-5L)</w:t>
      </w:r>
      <w:r w:rsidR="008C0D94" w:rsidRPr="008D1A55">
        <w:rPr>
          <w:rStyle w:val="FootnoteReference"/>
        </w:rPr>
        <w:footnoteReference w:id="22"/>
      </w:r>
      <w:r w:rsidRPr="008D1A55">
        <w:t xml:space="preserve"> health state by dimension, as well as change from </w:t>
      </w:r>
      <w:r w:rsidR="00CA1444" w:rsidRPr="008D1A55">
        <w:t>Baseline</w:t>
      </w:r>
      <w:r w:rsidRPr="008D1A55">
        <w:t xml:space="preserve"> in VAS score and summary utility index over time</w:t>
      </w:r>
      <w:r w:rsidR="001171A3" w:rsidRPr="008D1A55">
        <w:t>.</w:t>
      </w:r>
    </w:p>
    <w:p w14:paraId="19BA7955" w14:textId="6470D84B" w:rsidR="00C7364D" w:rsidRPr="008D1A55" w:rsidRDefault="00C7364D" w:rsidP="00C7364D">
      <w:pPr>
        <w:pStyle w:val="ListBullet"/>
      </w:pPr>
      <w:r w:rsidRPr="008D1A55">
        <w:t xml:space="preserve">Work Productivity and Activity Improvement-Lupus score levels (percentages) and changes from </w:t>
      </w:r>
      <w:r w:rsidR="00CA1444" w:rsidRPr="008D1A55">
        <w:t>Baseline</w:t>
      </w:r>
      <w:r w:rsidR="001171A3" w:rsidRPr="008D1A55">
        <w:t>.</w:t>
      </w:r>
    </w:p>
    <w:p w14:paraId="21CD7B76" w14:textId="4BAB5AFE" w:rsidR="00C7364D" w:rsidRPr="008D1A55" w:rsidRDefault="00C7364D" w:rsidP="00C7364D">
      <w:r w:rsidRPr="008D1A55">
        <w:t xml:space="preserve">The </w:t>
      </w:r>
      <w:proofErr w:type="spellStart"/>
      <w:r w:rsidRPr="008D1A55">
        <w:t>estimand</w:t>
      </w:r>
      <w:proofErr w:type="spellEnd"/>
      <w:r w:rsidRPr="008D1A55">
        <w:t xml:space="preserve"> of primary interest was the difference in the proportions of response between </w:t>
      </w:r>
      <w:proofErr w:type="spellStart"/>
      <w:r w:rsidRPr="008D1A55">
        <w:t>anifrolumab</w:t>
      </w:r>
      <w:proofErr w:type="spellEnd"/>
      <w:r w:rsidRPr="008D1A55">
        <w:t xml:space="preserve"> and placebo at Week 52 in the full analysis set, where the response is captured with a composite binary endpoint and is defined by improvement from </w:t>
      </w:r>
      <w:r w:rsidR="00CA1444" w:rsidRPr="008D1A55">
        <w:t>Baseline</w:t>
      </w:r>
      <w:r w:rsidRPr="008D1A55">
        <w:t xml:space="preserve"> in disease activity as measured by BILAG-2004, no worsening in SLEDAI-2K and PGA, and ability to adhere to the planned course of treatment.</w:t>
      </w:r>
    </w:p>
    <w:p w14:paraId="7CF65611" w14:textId="1BED7470" w:rsidR="00C7364D" w:rsidRPr="008D1A55" w:rsidRDefault="00C7364D" w:rsidP="00640279">
      <w:r w:rsidRPr="008D1A55">
        <w:t xml:space="preserve">The null hypothesis was that the proportion of patients achieving a BICLA response on </w:t>
      </w:r>
      <w:proofErr w:type="spellStart"/>
      <w:r w:rsidRPr="008D1A55">
        <w:t>anifrolumab</w:t>
      </w:r>
      <w:proofErr w:type="spellEnd"/>
      <w:r w:rsidRPr="008D1A55">
        <w:t xml:space="preserve"> 300 mg was equal to that on placebo.</w:t>
      </w:r>
    </w:p>
    <w:p w14:paraId="51D0C132" w14:textId="6FABD9BC" w:rsidR="0066060B" w:rsidRPr="008D1A55" w:rsidRDefault="00720FF5" w:rsidP="0066060B">
      <w:pPr>
        <w:pStyle w:val="TableTitle"/>
      </w:pPr>
      <w:bookmarkStart w:id="59" w:name="_Toc83112041"/>
      <w:r w:rsidRPr="008D1A55">
        <w:t xml:space="preserve">Table </w:t>
      </w:r>
      <w:r w:rsidR="005675A0">
        <w:fldChar w:fldCharType="begin"/>
      </w:r>
      <w:r w:rsidR="005675A0">
        <w:instrText xml:space="preserve"> SEQ Table \* ARABIC </w:instrText>
      </w:r>
      <w:r w:rsidR="005675A0">
        <w:fldChar w:fldCharType="separate"/>
      </w:r>
      <w:r w:rsidR="00D8723A">
        <w:rPr>
          <w:noProof/>
        </w:rPr>
        <w:t>4</w:t>
      </w:r>
      <w:r w:rsidR="005675A0">
        <w:rPr>
          <w:noProof/>
        </w:rPr>
        <w:fldChar w:fldCharType="end"/>
      </w:r>
      <w:r w:rsidRPr="008D1A55">
        <w:t xml:space="preserve">: </w:t>
      </w:r>
      <w:r w:rsidR="00C7364D" w:rsidRPr="008D1A55">
        <w:t xml:space="preserve">Study </w:t>
      </w:r>
      <w:r w:rsidR="00C30BE3" w:rsidRPr="008D1A55">
        <w:t>D3461C00004</w:t>
      </w:r>
      <w:r w:rsidR="00C7364D" w:rsidRPr="008D1A55">
        <w:t>: Subject disposition (</w:t>
      </w:r>
      <w:r w:rsidR="0066060B" w:rsidRPr="008D1A55">
        <w:t>all subjects</w:t>
      </w:r>
      <w:r w:rsidR="00C7364D" w:rsidRPr="008D1A55">
        <w:t>)</w:t>
      </w:r>
      <w:bookmarkEnd w:id="59"/>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98"/>
        <w:gridCol w:w="1276"/>
        <w:gridCol w:w="993"/>
        <w:gridCol w:w="993"/>
      </w:tblGrid>
      <w:tr w:rsidR="0066060B" w:rsidRPr="008D1A55" w14:paraId="5AC448EE" w14:textId="77777777" w:rsidTr="008656AB">
        <w:trPr>
          <w:trHeight w:hRule="exact" w:val="484"/>
          <w:tblHeader/>
        </w:trPr>
        <w:tc>
          <w:tcPr>
            <w:tcW w:w="3049" w:type="pct"/>
            <w:vMerge w:val="restart"/>
            <w:shd w:val="clear" w:color="auto" w:fill="006DA7"/>
          </w:tcPr>
          <w:p w14:paraId="2EED995E" w14:textId="77777777" w:rsidR="0066060B" w:rsidRPr="008D1A55" w:rsidRDefault="0066060B" w:rsidP="0066060B">
            <w:pPr>
              <w:pStyle w:val="Tabletext"/>
              <w:rPr>
                <w:color w:val="FFFFFF" w:themeColor="background1"/>
              </w:rPr>
            </w:pPr>
          </w:p>
        </w:tc>
        <w:tc>
          <w:tcPr>
            <w:tcW w:w="1951" w:type="pct"/>
            <w:gridSpan w:val="3"/>
            <w:shd w:val="clear" w:color="auto" w:fill="006DA7"/>
            <w:vAlign w:val="center"/>
          </w:tcPr>
          <w:p w14:paraId="6C21764D" w14:textId="77777777" w:rsidR="0066060B" w:rsidRPr="008D1A55" w:rsidRDefault="0066060B" w:rsidP="0063551F">
            <w:pPr>
              <w:pStyle w:val="Tabletext"/>
              <w:jc w:val="center"/>
              <w:rPr>
                <w:b/>
                <w:bCs/>
                <w:color w:val="FFFFFF" w:themeColor="background1"/>
                <w:spacing w:val="-1"/>
              </w:rPr>
            </w:pPr>
            <w:r w:rsidRPr="008D1A55">
              <w:rPr>
                <w:b/>
                <w:bCs/>
                <w:color w:val="FFFFFF" w:themeColor="background1"/>
                <w:spacing w:val="-1"/>
              </w:rPr>
              <w:t>Numbe</w:t>
            </w:r>
            <w:r w:rsidRPr="008D1A55">
              <w:rPr>
                <w:b/>
                <w:bCs/>
                <w:color w:val="FFFFFF" w:themeColor="background1"/>
              </w:rPr>
              <w:t>r</w:t>
            </w:r>
            <w:r w:rsidRPr="008D1A55">
              <w:rPr>
                <w:b/>
                <w:bCs/>
                <w:color w:val="FFFFFF" w:themeColor="background1"/>
                <w:spacing w:val="-1"/>
              </w:rPr>
              <w:t xml:space="preserve"> (%</w:t>
            </w:r>
            <w:r w:rsidRPr="008D1A55">
              <w:rPr>
                <w:b/>
                <w:bCs/>
                <w:color w:val="FFFFFF" w:themeColor="background1"/>
              </w:rPr>
              <w:t>)</w:t>
            </w:r>
            <w:r w:rsidRPr="008D1A55">
              <w:rPr>
                <w:b/>
                <w:bCs/>
                <w:color w:val="FFFFFF" w:themeColor="background1"/>
                <w:spacing w:val="-1"/>
              </w:rPr>
              <w:t xml:space="preserve"> o</w:t>
            </w:r>
            <w:r w:rsidRPr="008D1A55">
              <w:rPr>
                <w:b/>
                <w:bCs/>
                <w:color w:val="FFFFFF" w:themeColor="background1"/>
              </w:rPr>
              <w:t>f</w:t>
            </w:r>
            <w:r w:rsidRPr="008D1A55">
              <w:rPr>
                <w:b/>
                <w:bCs/>
                <w:color w:val="FFFFFF" w:themeColor="background1"/>
                <w:spacing w:val="-1"/>
              </w:rPr>
              <w:t xml:space="preserve"> subjects</w:t>
            </w:r>
          </w:p>
        </w:tc>
      </w:tr>
      <w:tr w:rsidR="0066060B" w:rsidRPr="008D1A55" w14:paraId="7BF6256A" w14:textId="77777777" w:rsidTr="008656AB">
        <w:trPr>
          <w:trHeight w:hRule="exact" w:val="845"/>
          <w:tblHeader/>
        </w:trPr>
        <w:tc>
          <w:tcPr>
            <w:tcW w:w="3049" w:type="pct"/>
            <w:vMerge/>
            <w:shd w:val="clear" w:color="auto" w:fill="006DA7"/>
          </w:tcPr>
          <w:p w14:paraId="372EAE19" w14:textId="77777777" w:rsidR="0066060B" w:rsidRPr="008D1A55" w:rsidRDefault="0066060B" w:rsidP="0066060B">
            <w:pPr>
              <w:pStyle w:val="Tabletext"/>
              <w:rPr>
                <w:color w:val="FFFFFF" w:themeColor="background1"/>
              </w:rPr>
            </w:pPr>
          </w:p>
        </w:tc>
        <w:tc>
          <w:tcPr>
            <w:tcW w:w="763" w:type="pct"/>
            <w:shd w:val="clear" w:color="auto" w:fill="006DA7"/>
            <w:vAlign w:val="center"/>
          </w:tcPr>
          <w:p w14:paraId="12807163" w14:textId="77777777" w:rsidR="0066060B" w:rsidRPr="008D1A55" w:rsidRDefault="0066060B" w:rsidP="0063551F">
            <w:pPr>
              <w:pStyle w:val="Tabletext"/>
              <w:jc w:val="center"/>
              <w:rPr>
                <w:b/>
                <w:bCs/>
                <w:color w:val="FFFFFF" w:themeColor="background1"/>
              </w:rPr>
            </w:pPr>
            <w:proofErr w:type="spellStart"/>
            <w:r w:rsidRPr="008D1A55">
              <w:rPr>
                <w:b/>
                <w:bCs/>
                <w:color w:val="FFFFFF" w:themeColor="background1"/>
                <w:spacing w:val="-1"/>
              </w:rPr>
              <w:t>Anifroluma</w:t>
            </w:r>
            <w:r w:rsidRPr="008D1A55">
              <w:rPr>
                <w:b/>
                <w:bCs/>
                <w:color w:val="FFFFFF" w:themeColor="background1"/>
              </w:rPr>
              <w:t>b</w:t>
            </w:r>
            <w:proofErr w:type="spellEnd"/>
          </w:p>
          <w:p w14:paraId="14D9D48B" w14:textId="7D85D670" w:rsidR="0066060B" w:rsidRPr="008D1A55" w:rsidRDefault="0066060B" w:rsidP="0063551F">
            <w:pPr>
              <w:pStyle w:val="Tabletext"/>
              <w:jc w:val="center"/>
              <w:rPr>
                <w:color w:val="FFFFFF" w:themeColor="background1"/>
              </w:rPr>
            </w:pPr>
            <w:r w:rsidRPr="008D1A55">
              <w:rPr>
                <w:b/>
                <w:bCs/>
                <w:color w:val="FFFFFF" w:themeColor="background1"/>
                <w:spacing w:val="-1"/>
              </w:rPr>
              <w:t>300mg</w:t>
            </w:r>
          </w:p>
        </w:tc>
        <w:tc>
          <w:tcPr>
            <w:tcW w:w="594" w:type="pct"/>
            <w:shd w:val="clear" w:color="auto" w:fill="006DA7"/>
            <w:vAlign w:val="center"/>
          </w:tcPr>
          <w:p w14:paraId="03BB9BB6" w14:textId="77777777" w:rsidR="0066060B" w:rsidRPr="008D1A55" w:rsidRDefault="0066060B" w:rsidP="0063551F">
            <w:pPr>
              <w:pStyle w:val="Tabletext"/>
              <w:jc w:val="center"/>
              <w:rPr>
                <w:color w:val="FFFFFF" w:themeColor="background1"/>
              </w:rPr>
            </w:pPr>
            <w:r w:rsidRPr="008D1A55">
              <w:rPr>
                <w:b/>
                <w:bCs/>
                <w:color w:val="FFFFFF" w:themeColor="background1"/>
              </w:rPr>
              <w:t>Placebo</w:t>
            </w:r>
          </w:p>
        </w:tc>
        <w:tc>
          <w:tcPr>
            <w:tcW w:w="594" w:type="pct"/>
            <w:shd w:val="clear" w:color="auto" w:fill="006DA7"/>
            <w:vAlign w:val="center"/>
          </w:tcPr>
          <w:p w14:paraId="4F5145F8" w14:textId="77777777" w:rsidR="0066060B" w:rsidRPr="008D1A55" w:rsidRDefault="0066060B" w:rsidP="0063551F">
            <w:pPr>
              <w:pStyle w:val="Tabletext"/>
              <w:jc w:val="center"/>
              <w:rPr>
                <w:color w:val="FFFFFF" w:themeColor="background1"/>
              </w:rPr>
            </w:pPr>
            <w:r w:rsidRPr="008D1A55">
              <w:rPr>
                <w:b/>
                <w:bCs/>
                <w:color w:val="FFFFFF" w:themeColor="background1"/>
                <w:spacing w:val="-1"/>
              </w:rPr>
              <w:t>Total</w:t>
            </w:r>
          </w:p>
        </w:tc>
      </w:tr>
      <w:tr w:rsidR="0066060B" w:rsidRPr="008D1A55" w14:paraId="7F78FA16" w14:textId="77777777" w:rsidTr="008656AB">
        <w:trPr>
          <w:trHeight w:val="283"/>
        </w:trPr>
        <w:tc>
          <w:tcPr>
            <w:tcW w:w="3049" w:type="pct"/>
            <w:vAlign w:val="center"/>
          </w:tcPr>
          <w:p w14:paraId="2D064A0C" w14:textId="548B9877" w:rsidR="0066060B" w:rsidRPr="008D1A55" w:rsidRDefault="0066060B" w:rsidP="0066060B">
            <w:pPr>
              <w:pStyle w:val="Tabletext"/>
              <w:rPr>
                <w:b/>
                <w:bCs/>
              </w:rPr>
            </w:pPr>
            <w:r w:rsidRPr="008D1A55">
              <w:rPr>
                <w:b/>
                <w:bCs/>
              </w:rPr>
              <w:t xml:space="preserve">Subjects </w:t>
            </w:r>
            <w:r w:rsidR="00DA1204" w:rsidRPr="008D1A55">
              <w:rPr>
                <w:b/>
                <w:bCs/>
              </w:rPr>
              <w:t>enrolled;</w:t>
            </w:r>
            <w:r w:rsidR="00DA1204" w:rsidRPr="008D1A55">
              <w:rPr>
                <w:b/>
                <w:bCs/>
                <w:vertAlign w:val="superscript"/>
              </w:rPr>
              <w:t xml:space="preserve"> a</w:t>
            </w:r>
          </w:p>
        </w:tc>
        <w:tc>
          <w:tcPr>
            <w:tcW w:w="763" w:type="pct"/>
            <w:vAlign w:val="center"/>
          </w:tcPr>
          <w:p w14:paraId="65536F9F" w14:textId="77777777" w:rsidR="0066060B" w:rsidRPr="008D1A55" w:rsidRDefault="0066060B" w:rsidP="0063551F">
            <w:pPr>
              <w:pStyle w:val="Tabletext"/>
              <w:jc w:val="center"/>
            </w:pPr>
          </w:p>
        </w:tc>
        <w:tc>
          <w:tcPr>
            <w:tcW w:w="594" w:type="pct"/>
            <w:vAlign w:val="center"/>
          </w:tcPr>
          <w:p w14:paraId="4CEE089E" w14:textId="77777777" w:rsidR="0066060B" w:rsidRPr="008D1A55" w:rsidRDefault="0066060B" w:rsidP="0063551F">
            <w:pPr>
              <w:pStyle w:val="Tabletext"/>
              <w:jc w:val="center"/>
            </w:pPr>
          </w:p>
        </w:tc>
        <w:tc>
          <w:tcPr>
            <w:tcW w:w="594" w:type="pct"/>
            <w:vAlign w:val="center"/>
          </w:tcPr>
          <w:p w14:paraId="62CD77C7" w14:textId="77777777" w:rsidR="0066060B" w:rsidRPr="0063551F" w:rsidRDefault="0066060B" w:rsidP="0063551F">
            <w:pPr>
              <w:pStyle w:val="Tabletext"/>
              <w:jc w:val="center"/>
              <w:rPr>
                <w:b/>
              </w:rPr>
            </w:pPr>
            <w:r w:rsidRPr="0063551F">
              <w:rPr>
                <w:b/>
              </w:rPr>
              <w:t>649</w:t>
            </w:r>
          </w:p>
        </w:tc>
      </w:tr>
      <w:tr w:rsidR="0066060B" w:rsidRPr="008D1A55" w14:paraId="757F5703" w14:textId="77777777" w:rsidTr="008656AB">
        <w:trPr>
          <w:trHeight w:val="283"/>
        </w:trPr>
        <w:tc>
          <w:tcPr>
            <w:tcW w:w="3049" w:type="pct"/>
            <w:vAlign w:val="center"/>
          </w:tcPr>
          <w:p w14:paraId="5F1F144D" w14:textId="316A41F3" w:rsidR="0066060B" w:rsidRPr="008D1A55" w:rsidRDefault="0066060B" w:rsidP="0066060B">
            <w:pPr>
              <w:pStyle w:val="Tabletext"/>
              <w:rPr>
                <w:b/>
                <w:bCs/>
              </w:rPr>
            </w:pPr>
            <w:r w:rsidRPr="008D1A55">
              <w:rPr>
                <w:b/>
                <w:bCs/>
              </w:rPr>
              <w:t>Subjects randomised</w:t>
            </w:r>
            <w:r w:rsidR="006060F7" w:rsidRPr="008D1A55">
              <w:rPr>
                <w:b/>
                <w:bCs/>
              </w:rPr>
              <w:t>;</w:t>
            </w:r>
            <w:r w:rsidR="00DA1204">
              <w:rPr>
                <w:b/>
                <w:bCs/>
              </w:rPr>
              <w:t xml:space="preserve"> </w:t>
            </w:r>
            <w:r w:rsidRPr="008D1A55">
              <w:rPr>
                <w:b/>
                <w:bCs/>
                <w:vertAlign w:val="superscript"/>
              </w:rPr>
              <w:t>b</w:t>
            </w:r>
          </w:p>
        </w:tc>
        <w:tc>
          <w:tcPr>
            <w:tcW w:w="763" w:type="pct"/>
            <w:vAlign w:val="center"/>
          </w:tcPr>
          <w:p w14:paraId="465AC6FB" w14:textId="77777777" w:rsidR="0066060B" w:rsidRPr="0063551F" w:rsidRDefault="0066060B" w:rsidP="0063551F">
            <w:pPr>
              <w:pStyle w:val="Tabletext"/>
              <w:jc w:val="center"/>
              <w:rPr>
                <w:b/>
              </w:rPr>
            </w:pPr>
            <w:r w:rsidRPr="0063551F">
              <w:rPr>
                <w:b/>
              </w:rPr>
              <w:t>181</w:t>
            </w:r>
          </w:p>
        </w:tc>
        <w:tc>
          <w:tcPr>
            <w:tcW w:w="594" w:type="pct"/>
            <w:vAlign w:val="center"/>
          </w:tcPr>
          <w:p w14:paraId="23907270" w14:textId="77777777" w:rsidR="0066060B" w:rsidRPr="0063551F" w:rsidRDefault="0066060B" w:rsidP="0063551F">
            <w:pPr>
              <w:pStyle w:val="Tabletext"/>
              <w:jc w:val="center"/>
              <w:rPr>
                <w:b/>
              </w:rPr>
            </w:pPr>
            <w:r w:rsidRPr="0063551F">
              <w:rPr>
                <w:b/>
              </w:rPr>
              <w:t>184</w:t>
            </w:r>
          </w:p>
        </w:tc>
        <w:tc>
          <w:tcPr>
            <w:tcW w:w="594" w:type="pct"/>
            <w:vAlign w:val="center"/>
          </w:tcPr>
          <w:p w14:paraId="7782F1B3" w14:textId="77777777" w:rsidR="0066060B" w:rsidRPr="0063551F" w:rsidRDefault="0066060B" w:rsidP="0063551F">
            <w:pPr>
              <w:pStyle w:val="Tabletext"/>
              <w:jc w:val="center"/>
              <w:rPr>
                <w:b/>
              </w:rPr>
            </w:pPr>
            <w:r w:rsidRPr="0063551F">
              <w:rPr>
                <w:b/>
              </w:rPr>
              <w:t>365 (56.2)</w:t>
            </w:r>
          </w:p>
        </w:tc>
      </w:tr>
      <w:tr w:rsidR="0066060B" w:rsidRPr="008D1A55" w14:paraId="4C378A56" w14:textId="77777777" w:rsidTr="008656AB">
        <w:trPr>
          <w:trHeight w:val="510"/>
        </w:trPr>
        <w:tc>
          <w:tcPr>
            <w:tcW w:w="3049" w:type="pct"/>
            <w:vAlign w:val="center"/>
          </w:tcPr>
          <w:p w14:paraId="3139F904" w14:textId="70F878B6" w:rsidR="0066060B" w:rsidRPr="008D1A55" w:rsidRDefault="0066060B" w:rsidP="0066060B">
            <w:pPr>
              <w:pStyle w:val="Tabletext"/>
              <w:rPr>
                <w:b/>
                <w:bCs/>
              </w:rPr>
            </w:pPr>
            <w:r w:rsidRPr="008D1A55">
              <w:rPr>
                <w:b/>
                <w:bCs/>
              </w:rPr>
              <w:t xml:space="preserve">Subjects randomised but not treated with </w:t>
            </w:r>
            <w:r w:rsidR="000C4EB0" w:rsidRPr="008D1A55">
              <w:rPr>
                <w:b/>
                <w:bCs/>
              </w:rPr>
              <w:t>investigational product</w:t>
            </w:r>
            <w:r w:rsidR="006060F7" w:rsidRPr="008D1A55">
              <w:rPr>
                <w:b/>
                <w:bCs/>
              </w:rPr>
              <w:t>;</w:t>
            </w:r>
            <w:r w:rsidR="00DA1204">
              <w:rPr>
                <w:b/>
                <w:bCs/>
              </w:rPr>
              <w:t xml:space="preserve"> </w:t>
            </w:r>
            <w:r w:rsidR="00C068CB" w:rsidRPr="008D1A55">
              <w:rPr>
                <w:b/>
                <w:bCs/>
                <w:vertAlign w:val="superscript"/>
              </w:rPr>
              <w:t>c</w:t>
            </w:r>
          </w:p>
        </w:tc>
        <w:tc>
          <w:tcPr>
            <w:tcW w:w="763" w:type="pct"/>
            <w:vAlign w:val="center"/>
          </w:tcPr>
          <w:p w14:paraId="1812C9B9" w14:textId="77777777" w:rsidR="0066060B" w:rsidRPr="0063551F" w:rsidRDefault="0066060B" w:rsidP="0063551F">
            <w:pPr>
              <w:pStyle w:val="Tabletext"/>
              <w:jc w:val="center"/>
              <w:rPr>
                <w:b/>
              </w:rPr>
            </w:pPr>
            <w:r w:rsidRPr="0063551F">
              <w:rPr>
                <w:b/>
              </w:rPr>
              <w:t>1 (0.2)</w:t>
            </w:r>
          </w:p>
        </w:tc>
        <w:tc>
          <w:tcPr>
            <w:tcW w:w="594" w:type="pct"/>
            <w:vAlign w:val="center"/>
          </w:tcPr>
          <w:p w14:paraId="23D18BAF" w14:textId="77777777" w:rsidR="0066060B" w:rsidRPr="0063551F" w:rsidRDefault="0066060B" w:rsidP="0063551F">
            <w:pPr>
              <w:pStyle w:val="Tabletext"/>
              <w:jc w:val="center"/>
              <w:rPr>
                <w:b/>
              </w:rPr>
            </w:pPr>
            <w:r w:rsidRPr="0063551F">
              <w:rPr>
                <w:b/>
              </w:rPr>
              <w:t>2 (0.3)</w:t>
            </w:r>
          </w:p>
        </w:tc>
        <w:tc>
          <w:tcPr>
            <w:tcW w:w="594" w:type="pct"/>
            <w:vAlign w:val="center"/>
          </w:tcPr>
          <w:p w14:paraId="38E88B5F" w14:textId="77777777" w:rsidR="0066060B" w:rsidRPr="0063551F" w:rsidRDefault="0066060B" w:rsidP="0063551F">
            <w:pPr>
              <w:pStyle w:val="Tabletext"/>
              <w:jc w:val="center"/>
              <w:rPr>
                <w:b/>
              </w:rPr>
            </w:pPr>
            <w:r w:rsidRPr="0063551F">
              <w:rPr>
                <w:b/>
              </w:rPr>
              <w:t>3 (0.5)</w:t>
            </w:r>
          </w:p>
        </w:tc>
      </w:tr>
      <w:tr w:rsidR="0066060B" w:rsidRPr="008D1A55" w14:paraId="08F2E615" w14:textId="77777777" w:rsidTr="008656AB">
        <w:trPr>
          <w:trHeight w:val="283"/>
        </w:trPr>
        <w:tc>
          <w:tcPr>
            <w:tcW w:w="3049" w:type="pct"/>
            <w:vAlign w:val="center"/>
          </w:tcPr>
          <w:p w14:paraId="09C2E262" w14:textId="77777777" w:rsidR="0066060B" w:rsidRPr="008D1A55" w:rsidRDefault="0066060B" w:rsidP="0066060B">
            <w:pPr>
              <w:pStyle w:val="Tabletext"/>
            </w:pPr>
            <w:r w:rsidRPr="008D1A55">
              <w:rPr>
                <w:spacing w:val="-1"/>
              </w:rPr>
              <w:t>Advers</w:t>
            </w:r>
            <w:r w:rsidRPr="008D1A55">
              <w:t>e</w:t>
            </w:r>
            <w:r w:rsidRPr="008D1A55">
              <w:rPr>
                <w:spacing w:val="-1"/>
              </w:rPr>
              <w:t xml:space="preserve"> event</w:t>
            </w:r>
          </w:p>
        </w:tc>
        <w:tc>
          <w:tcPr>
            <w:tcW w:w="763" w:type="pct"/>
            <w:vAlign w:val="center"/>
          </w:tcPr>
          <w:p w14:paraId="1473749D" w14:textId="77777777" w:rsidR="0066060B" w:rsidRPr="008D1A55" w:rsidRDefault="0066060B" w:rsidP="0063551F">
            <w:pPr>
              <w:pStyle w:val="Tabletext"/>
              <w:jc w:val="center"/>
            </w:pPr>
            <w:r w:rsidRPr="008D1A55">
              <w:t>1 (0.2)</w:t>
            </w:r>
          </w:p>
        </w:tc>
        <w:tc>
          <w:tcPr>
            <w:tcW w:w="594" w:type="pct"/>
            <w:vAlign w:val="center"/>
          </w:tcPr>
          <w:p w14:paraId="2C4D688E" w14:textId="77777777" w:rsidR="0066060B" w:rsidRPr="008D1A55" w:rsidRDefault="0066060B" w:rsidP="0063551F">
            <w:pPr>
              <w:pStyle w:val="Tabletext"/>
              <w:jc w:val="center"/>
            </w:pPr>
            <w:r w:rsidRPr="008D1A55">
              <w:t>0</w:t>
            </w:r>
          </w:p>
        </w:tc>
        <w:tc>
          <w:tcPr>
            <w:tcW w:w="594" w:type="pct"/>
            <w:vAlign w:val="center"/>
          </w:tcPr>
          <w:p w14:paraId="30B0C7EF" w14:textId="77777777" w:rsidR="0066060B" w:rsidRPr="008D1A55" w:rsidRDefault="0066060B" w:rsidP="0063551F">
            <w:pPr>
              <w:pStyle w:val="Tabletext"/>
              <w:jc w:val="center"/>
            </w:pPr>
            <w:r w:rsidRPr="008D1A55">
              <w:t>1 (0.2)</w:t>
            </w:r>
          </w:p>
        </w:tc>
      </w:tr>
      <w:tr w:rsidR="0066060B" w:rsidRPr="008D1A55" w14:paraId="6327DED9" w14:textId="77777777" w:rsidTr="008656AB">
        <w:trPr>
          <w:trHeight w:val="510"/>
        </w:trPr>
        <w:tc>
          <w:tcPr>
            <w:tcW w:w="3049" w:type="pct"/>
            <w:vAlign w:val="center"/>
          </w:tcPr>
          <w:p w14:paraId="69716754" w14:textId="77777777" w:rsidR="0066060B" w:rsidRPr="008D1A55" w:rsidRDefault="0066060B" w:rsidP="0066060B">
            <w:pPr>
              <w:pStyle w:val="Tabletext"/>
            </w:pPr>
            <w:r w:rsidRPr="008D1A55">
              <w:rPr>
                <w:spacing w:val="-1"/>
              </w:rPr>
              <w:t>Failur</w:t>
            </w:r>
            <w:r w:rsidRPr="008D1A55">
              <w:t>e</w:t>
            </w:r>
            <w:r w:rsidRPr="008D1A55">
              <w:rPr>
                <w:spacing w:val="-1"/>
              </w:rPr>
              <w:t xml:space="preserve"> t</w:t>
            </w:r>
            <w:r w:rsidRPr="008D1A55">
              <w:t>o</w:t>
            </w:r>
            <w:r w:rsidRPr="008D1A55">
              <w:rPr>
                <w:spacing w:val="-1"/>
              </w:rPr>
              <w:t xml:space="preserve"> mee</w:t>
            </w:r>
            <w:r w:rsidRPr="008D1A55">
              <w:t>t</w:t>
            </w:r>
            <w:r w:rsidRPr="008D1A55">
              <w:rPr>
                <w:spacing w:val="-1"/>
              </w:rPr>
              <w:t xml:space="preserve"> randomisatio</w:t>
            </w:r>
            <w:r w:rsidRPr="008D1A55">
              <w:t>n</w:t>
            </w:r>
            <w:r w:rsidRPr="008D1A55">
              <w:rPr>
                <w:spacing w:val="-1"/>
              </w:rPr>
              <w:t xml:space="preserve"> criteria</w:t>
            </w:r>
          </w:p>
        </w:tc>
        <w:tc>
          <w:tcPr>
            <w:tcW w:w="763" w:type="pct"/>
            <w:vAlign w:val="center"/>
          </w:tcPr>
          <w:p w14:paraId="3E95E818" w14:textId="77777777" w:rsidR="0066060B" w:rsidRPr="008D1A55" w:rsidRDefault="0066060B" w:rsidP="0063551F">
            <w:pPr>
              <w:pStyle w:val="Tabletext"/>
              <w:jc w:val="center"/>
            </w:pPr>
            <w:r w:rsidRPr="008D1A55">
              <w:t>0</w:t>
            </w:r>
          </w:p>
        </w:tc>
        <w:tc>
          <w:tcPr>
            <w:tcW w:w="594" w:type="pct"/>
            <w:vAlign w:val="center"/>
          </w:tcPr>
          <w:p w14:paraId="17F5ADBF" w14:textId="77777777" w:rsidR="0066060B" w:rsidRPr="008D1A55" w:rsidRDefault="0066060B" w:rsidP="0063551F">
            <w:pPr>
              <w:pStyle w:val="Tabletext"/>
              <w:jc w:val="center"/>
            </w:pPr>
            <w:r w:rsidRPr="008D1A55">
              <w:t>2 (0.3)</w:t>
            </w:r>
          </w:p>
        </w:tc>
        <w:tc>
          <w:tcPr>
            <w:tcW w:w="594" w:type="pct"/>
            <w:vAlign w:val="center"/>
          </w:tcPr>
          <w:p w14:paraId="471747BC" w14:textId="77777777" w:rsidR="0066060B" w:rsidRPr="008D1A55" w:rsidRDefault="0066060B" w:rsidP="0063551F">
            <w:pPr>
              <w:pStyle w:val="Tabletext"/>
              <w:jc w:val="center"/>
            </w:pPr>
            <w:r w:rsidRPr="008D1A55">
              <w:t>2 (0.3)</w:t>
            </w:r>
          </w:p>
        </w:tc>
      </w:tr>
      <w:tr w:rsidR="0066060B" w:rsidRPr="008D1A55" w14:paraId="30B21A49" w14:textId="77777777" w:rsidTr="008656AB">
        <w:trPr>
          <w:trHeight w:val="283"/>
        </w:trPr>
        <w:tc>
          <w:tcPr>
            <w:tcW w:w="3049" w:type="pct"/>
            <w:vAlign w:val="center"/>
          </w:tcPr>
          <w:p w14:paraId="0B9D05B9" w14:textId="77777777" w:rsidR="0066060B" w:rsidRPr="008D1A55" w:rsidRDefault="0066060B" w:rsidP="0066060B">
            <w:pPr>
              <w:pStyle w:val="Tabletext"/>
              <w:rPr>
                <w:b/>
                <w:bCs/>
              </w:rPr>
            </w:pPr>
            <w:r w:rsidRPr="008D1A55">
              <w:rPr>
                <w:b/>
                <w:bCs/>
              </w:rPr>
              <w:t>Subjects in the full analysis set</w:t>
            </w:r>
          </w:p>
        </w:tc>
        <w:tc>
          <w:tcPr>
            <w:tcW w:w="763" w:type="pct"/>
            <w:vAlign w:val="center"/>
          </w:tcPr>
          <w:p w14:paraId="21F14A59" w14:textId="77777777" w:rsidR="0066060B" w:rsidRPr="0063551F" w:rsidRDefault="0066060B" w:rsidP="0063551F">
            <w:pPr>
              <w:pStyle w:val="Tabletext"/>
              <w:jc w:val="center"/>
              <w:rPr>
                <w:b/>
              </w:rPr>
            </w:pPr>
            <w:r w:rsidRPr="0063551F">
              <w:rPr>
                <w:b/>
              </w:rPr>
              <w:t>180</w:t>
            </w:r>
          </w:p>
        </w:tc>
        <w:tc>
          <w:tcPr>
            <w:tcW w:w="594" w:type="pct"/>
            <w:vAlign w:val="center"/>
          </w:tcPr>
          <w:p w14:paraId="40BDFE64" w14:textId="77777777" w:rsidR="0066060B" w:rsidRPr="0063551F" w:rsidRDefault="0066060B" w:rsidP="0063551F">
            <w:pPr>
              <w:pStyle w:val="Tabletext"/>
              <w:jc w:val="center"/>
              <w:rPr>
                <w:b/>
              </w:rPr>
            </w:pPr>
            <w:r w:rsidRPr="0063551F">
              <w:rPr>
                <w:b/>
              </w:rPr>
              <w:t>182</w:t>
            </w:r>
          </w:p>
        </w:tc>
        <w:tc>
          <w:tcPr>
            <w:tcW w:w="594" w:type="pct"/>
            <w:vAlign w:val="center"/>
          </w:tcPr>
          <w:p w14:paraId="53D515CC" w14:textId="77777777" w:rsidR="0066060B" w:rsidRPr="0063551F" w:rsidRDefault="0066060B" w:rsidP="0063551F">
            <w:pPr>
              <w:pStyle w:val="Tabletext"/>
              <w:jc w:val="center"/>
              <w:rPr>
                <w:b/>
              </w:rPr>
            </w:pPr>
            <w:r w:rsidRPr="0063551F">
              <w:rPr>
                <w:b/>
              </w:rPr>
              <w:t>362</w:t>
            </w:r>
          </w:p>
        </w:tc>
      </w:tr>
      <w:tr w:rsidR="0066060B" w:rsidRPr="008D1A55" w14:paraId="0AF8EB52" w14:textId="77777777" w:rsidTr="008656AB">
        <w:trPr>
          <w:trHeight w:val="283"/>
        </w:trPr>
        <w:tc>
          <w:tcPr>
            <w:tcW w:w="3049" w:type="pct"/>
            <w:vAlign w:val="center"/>
          </w:tcPr>
          <w:p w14:paraId="3BA740EE" w14:textId="77777777" w:rsidR="0066060B" w:rsidRPr="008D1A55" w:rsidRDefault="0066060B" w:rsidP="0066060B">
            <w:pPr>
              <w:pStyle w:val="Tabletext"/>
              <w:rPr>
                <w:b/>
                <w:bCs/>
              </w:rPr>
            </w:pPr>
            <w:r w:rsidRPr="008D1A55">
              <w:rPr>
                <w:b/>
                <w:bCs/>
              </w:rPr>
              <w:t>Subjects who completed the study</w:t>
            </w:r>
          </w:p>
        </w:tc>
        <w:tc>
          <w:tcPr>
            <w:tcW w:w="763" w:type="pct"/>
            <w:vAlign w:val="center"/>
          </w:tcPr>
          <w:p w14:paraId="1A72BF35" w14:textId="77777777" w:rsidR="0066060B" w:rsidRPr="0063551F" w:rsidRDefault="0066060B" w:rsidP="0063551F">
            <w:pPr>
              <w:pStyle w:val="Tabletext"/>
              <w:jc w:val="center"/>
              <w:rPr>
                <w:b/>
              </w:rPr>
            </w:pPr>
            <w:r w:rsidRPr="0063551F">
              <w:rPr>
                <w:b/>
              </w:rPr>
              <w:t>156 (86.7)</w:t>
            </w:r>
          </w:p>
        </w:tc>
        <w:tc>
          <w:tcPr>
            <w:tcW w:w="594" w:type="pct"/>
            <w:vAlign w:val="center"/>
          </w:tcPr>
          <w:p w14:paraId="3F1E1870" w14:textId="77777777" w:rsidR="0066060B" w:rsidRPr="0063551F" w:rsidRDefault="0066060B" w:rsidP="0063551F">
            <w:pPr>
              <w:pStyle w:val="Tabletext"/>
              <w:jc w:val="center"/>
              <w:rPr>
                <w:b/>
              </w:rPr>
            </w:pPr>
            <w:r w:rsidRPr="0063551F">
              <w:rPr>
                <w:b/>
              </w:rPr>
              <w:t>136 (74.7)</w:t>
            </w:r>
          </w:p>
        </w:tc>
        <w:tc>
          <w:tcPr>
            <w:tcW w:w="594" w:type="pct"/>
            <w:vAlign w:val="center"/>
          </w:tcPr>
          <w:p w14:paraId="009C65C5" w14:textId="77777777" w:rsidR="0066060B" w:rsidRPr="0063551F" w:rsidRDefault="0066060B" w:rsidP="0063551F">
            <w:pPr>
              <w:pStyle w:val="Tabletext"/>
              <w:jc w:val="center"/>
              <w:rPr>
                <w:b/>
              </w:rPr>
            </w:pPr>
            <w:r w:rsidRPr="0063551F">
              <w:rPr>
                <w:b/>
              </w:rPr>
              <w:t>292 (80.7)</w:t>
            </w:r>
          </w:p>
        </w:tc>
      </w:tr>
      <w:tr w:rsidR="0066060B" w:rsidRPr="008D1A55" w14:paraId="3934ADA9" w14:textId="77777777" w:rsidTr="008656AB">
        <w:trPr>
          <w:trHeight w:val="283"/>
        </w:trPr>
        <w:tc>
          <w:tcPr>
            <w:tcW w:w="3049" w:type="pct"/>
            <w:vAlign w:val="center"/>
          </w:tcPr>
          <w:p w14:paraId="0A685779" w14:textId="77777777" w:rsidR="0066060B" w:rsidRPr="008D1A55" w:rsidRDefault="0066060B" w:rsidP="0066060B">
            <w:pPr>
              <w:pStyle w:val="Tabletext"/>
              <w:rPr>
                <w:b/>
                <w:bCs/>
              </w:rPr>
            </w:pPr>
            <w:r w:rsidRPr="008D1A55">
              <w:rPr>
                <w:b/>
                <w:bCs/>
              </w:rPr>
              <w:t>Subjects withdrawn from the study</w:t>
            </w:r>
          </w:p>
        </w:tc>
        <w:tc>
          <w:tcPr>
            <w:tcW w:w="763" w:type="pct"/>
            <w:vAlign w:val="center"/>
          </w:tcPr>
          <w:p w14:paraId="5FF08227" w14:textId="77777777" w:rsidR="0066060B" w:rsidRPr="0063551F" w:rsidRDefault="0066060B" w:rsidP="0063551F">
            <w:pPr>
              <w:pStyle w:val="Tabletext"/>
              <w:jc w:val="center"/>
              <w:rPr>
                <w:b/>
              </w:rPr>
            </w:pPr>
            <w:r w:rsidRPr="0063551F">
              <w:rPr>
                <w:b/>
              </w:rPr>
              <w:t>24 (13.3)</w:t>
            </w:r>
          </w:p>
        </w:tc>
        <w:tc>
          <w:tcPr>
            <w:tcW w:w="594" w:type="pct"/>
            <w:vAlign w:val="center"/>
          </w:tcPr>
          <w:p w14:paraId="28BDF56A" w14:textId="77777777" w:rsidR="0066060B" w:rsidRPr="0063551F" w:rsidRDefault="0066060B" w:rsidP="0063551F">
            <w:pPr>
              <w:pStyle w:val="Tabletext"/>
              <w:jc w:val="center"/>
              <w:rPr>
                <w:b/>
              </w:rPr>
            </w:pPr>
            <w:r w:rsidRPr="0063551F">
              <w:rPr>
                <w:b/>
              </w:rPr>
              <w:t>46 (25.3)</w:t>
            </w:r>
          </w:p>
        </w:tc>
        <w:tc>
          <w:tcPr>
            <w:tcW w:w="594" w:type="pct"/>
            <w:vAlign w:val="center"/>
          </w:tcPr>
          <w:p w14:paraId="1A7C9A35" w14:textId="77777777" w:rsidR="0066060B" w:rsidRPr="0063551F" w:rsidRDefault="0066060B" w:rsidP="0063551F">
            <w:pPr>
              <w:pStyle w:val="Tabletext"/>
              <w:jc w:val="center"/>
              <w:rPr>
                <w:b/>
              </w:rPr>
            </w:pPr>
            <w:r w:rsidRPr="0063551F">
              <w:rPr>
                <w:b/>
              </w:rPr>
              <w:t>70 (19.3)</w:t>
            </w:r>
          </w:p>
        </w:tc>
      </w:tr>
      <w:tr w:rsidR="0066060B" w:rsidRPr="008D1A55" w14:paraId="6A12DB35" w14:textId="77777777" w:rsidTr="008656AB">
        <w:trPr>
          <w:trHeight w:val="283"/>
        </w:trPr>
        <w:tc>
          <w:tcPr>
            <w:tcW w:w="3049" w:type="pct"/>
            <w:vAlign w:val="center"/>
          </w:tcPr>
          <w:p w14:paraId="34F6EE08" w14:textId="77777777" w:rsidR="0066060B" w:rsidRPr="008D1A55" w:rsidRDefault="0066060B" w:rsidP="0066060B">
            <w:pPr>
              <w:pStyle w:val="Tabletext"/>
            </w:pPr>
            <w:r w:rsidRPr="008D1A55">
              <w:rPr>
                <w:spacing w:val="-1"/>
              </w:rPr>
              <w:t>Advers</w:t>
            </w:r>
            <w:r w:rsidRPr="008D1A55">
              <w:t>e</w:t>
            </w:r>
            <w:r w:rsidRPr="008D1A55">
              <w:rPr>
                <w:spacing w:val="1"/>
              </w:rPr>
              <w:t xml:space="preserve"> </w:t>
            </w:r>
            <w:r w:rsidRPr="008D1A55">
              <w:t>event</w:t>
            </w:r>
          </w:p>
        </w:tc>
        <w:tc>
          <w:tcPr>
            <w:tcW w:w="763" w:type="pct"/>
            <w:vAlign w:val="center"/>
          </w:tcPr>
          <w:p w14:paraId="0016873F" w14:textId="77777777" w:rsidR="0066060B" w:rsidRPr="008D1A55" w:rsidRDefault="0066060B" w:rsidP="0063551F">
            <w:pPr>
              <w:pStyle w:val="Tabletext"/>
              <w:jc w:val="center"/>
            </w:pPr>
            <w:r w:rsidRPr="008D1A55">
              <w:t>3 (1.7)</w:t>
            </w:r>
          </w:p>
        </w:tc>
        <w:tc>
          <w:tcPr>
            <w:tcW w:w="594" w:type="pct"/>
            <w:vAlign w:val="center"/>
          </w:tcPr>
          <w:p w14:paraId="7B4F234C" w14:textId="77777777" w:rsidR="0066060B" w:rsidRPr="008D1A55" w:rsidRDefault="0066060B" w:rsidP="0063551F">
            <w:pPr>
              <w:pStyle w:val="Tabletext"/>
              <w:jc w:val="center"/>
            </w:pPr>
            <w:r w:rsidRPr="008D1A55">
              <w:t>7 (3.8)</w:t>
            </w:r>
          </w:p>
        </w:tc>
        <w:tc>
          <w:tcPr>
            <w:tcW w:w="594" w:type="pct"/>
            <w:vAlign w:val="center"/>
          </w:tcPr>
          <w:p w14:paraId="260A0948" w14:textId="77777777" w:rsidR="0066060B" w:rsidRPr="008D1A55" w:rsidRDefault="0066060B" w:rsidP="0063551F">
            <w:pPr>
              <w:pStyle w:val="Tabletext"/>
              <w:jc w:val="center"/>
            </w:pPr>
            <w:r w:rsidRPr="008D1A55">
              <w:t>10 (2.8)</w:t>
            </w:r>
          </w:p>
        </w:tc>
      </w:tr>
      <w:tr w:rsidR="0066060B" w:rsidRPr="008D1A55" w14:paraId="7511402E" w14:textId="77777777" w:rsidTr="008656AB">
        <w:trPr>
          <w:trHeight w:val="510"/>
        </w:trPr>
        <w:tc>
          <w:tcPr>
            <w:tcW w:w="3049" w:type="pct"/>
            <w:vAlign w:val="center"/>
          </w:tcPr>
          <w:p w14:paraId="7070681A" w14:textId="77777777" w:rsidR="0066060B" w:rsidRPr="008D1A55" w:rsidRDefault="0066060B" w:rsidP="0066060B">
            <w:pPr>
              <w:pStyle w:val="Tabletext"/>
            </w:pPr>
            <w:r w:rsidRPr="008D1A55">
              <w:rPr>
                <w:spacing w:val="-1"/>
              </w:rPr>
              <w:t>Conditio</w:t>
            </w:r>
            <w:r w:rsidRPr="008D1A55">
              <w:t>n</w:t>
            </w:r>
            <w:r w:rsidRPr="008D1A55">
              <w:rPr>
                <w:spacing w:val="-1"/>
              </w:rPr>
              <w:t xml:space="preserve"> unde</w:t>
            </w:r>
            <w:r w:rsidRPr="008D1A55">
              <w:t>r</w:t>
            </w:r>
            <w:r w:rsidRPr="008D1A55">
              <w:rPr>
                <w:spacing w:val="-1"/>
              </w:rPr>
              <w:t xml:space="preserve"> investigatio</w:t>
            </w:r>
            <w:r w:rsidRPr="008D1A55">
              <w:t>n</w:t>
            </w:r>
            <w:r w:rsidRPr="008D1A55">
              <w:rPr>
                <w:spacing w:val="-1"/>
              </w:rPr>
              <w:t xml:space="preserve"> worsened</w:t>
            </w:r>
          </w:p>
        </w:tc>
        <w:tc>
          <w:tcPr>
            <w:tcW w:w="763" w:type="pct"/>
            <w:vAlign w:val="center"/>
          </w:tcPr>
          <w:p w14:paraId="2356A435" w14:textId="77777777" w:rsidR="0066060B" w:rsidRPr="008D1A55" w:rsidRDefault="0066060B" w:rsidP="0063551F">
            <w:pPr>
              <w:pStyle w:val="Tabletext"/>
              <w:jc w:val="center"/>
            </w:pPr>
            <w:r w:rsidRPr="008D1A55">
              <w:t>1 (0.6)</w:t>
            </w:r>
          </w:p>
        </w:tc>
        <w:tc>
          <w:tcPr>
            <w:tcW w:w="594" w:type="pct"/>
            <w:vAlign w:val="center"/>
          </w:tcPr>
          <w:p w14:paraId="4DE65B59" w14:textId="77777777" w:rsidR="0066060B" w:rsidRPr="008D1A55" w:rsidRDefault="0066060B" w:rsidP="0063551F">
            <w:pPr>
              <w:pStyle w:val="Tabletext"/>
              <w:jc w:val="center"/>
            </w:pPr>
            <w:r w:rsidRPr="008D1A55">
              <w:t>4 (2.2)</w:t>
            </w:r>
          </w:p>
        </w:tc>
        <w:tc>
          <w:tcPr>
            <w:tcW w:w="594" w:type="pct"/>
            <w:vAlign w:val="center"/>
          </w:tcPr>
          <w:p w14:paraId="194B33DC" w14:textId="77777777" w:rsidR="0066060B" w:rsidRPr="008D1A55" w:rsidRDefault="0066060B" w:rsidP="0063551F">
            <w:pPr>
              <w:pStyle w:val="Tabletext"/>
              <w:jc w:val="center"/>
            </w:pPr>
            <w:r w:rsidRPr="008D1A55">
              <w:t>5 (1.4)</w:t>
            </w:r>
          </w:p>
        </w:tc>
      </w:tr>
      <w:tr w:rsidR="0066060B" w:rsidRPr="008D1A55" w14:paraId="16B73CA1" w14:textId="77777777" w:rsidTr="008656AB">
        <w:trPr>
          <w:trHeight w:val="510"/>
        </w:trPr>
        <w:tc>
          <w:tcPr>
            <w:tcW w:w="3049" w:type="pct"/>
            <w:vAlign w:val="center"/>
          </w:tcPr>
          <w:p w14:paraId="31D82CEF" w14:textId="77777777" w:rsidR="0066060B" w:rsidRPr="008D1A55" w:rsidRDefault="0066060B" w:rsidP="0066060B">
            <w:pPr>
              <w:pStyle w:val="Tabletext"/>
            </w:pPr>
            <w:r w:rsidRPr="008D1A55">
              <w:rPr>
                <w:spacing w:val="-1"/>
              </w:rPr>
              <w:t>Developmen</w:t>
            </w:r>
            <w:r w:rsidRPr="008D1A55">
              <w:t>t</w:t>
            </w:r>
            <w:r w:rsidRPr="008D1A55">
              <w:rPr>
                <w:spacing w:val="-1"/>
              </w:rPr>
              <w:t xml:space="preserve"> o</w:t>
            </w:r>
            <w:r w:rsidRPr="008D1A55">
              <w:t>f</w:t>
            </w:r>
            <w:r w:rsidRPr="008D1A55">
              <w:rPr>
                <w:spacing w:val="-1"/>
              </w:rPr>
              <w:t xml:space="preserve"> stud</w:t>
            </w:r>
            <w:r w:rsidRPr="008D1A55">
              <w:t>y</w:t>
            </w:r>
            <w:r w:rsidRPr="008D1A55">
              <w:rPr>
                <w:spacing w:val="-1"/>
              </w:rPr>
              <w:t xml:space="preserve"> specifi</w:t>
            </w:r>
            <w:r w:rsidRPr="008D1A55">
              <w:t>c</w:t>
            </w:r>
            <w:r w:rsidRPr="008D1A55">
              <w:rPr>
                <w:spacing w:val="-1"/>
              </w:rPr>
              <w:t xml:space="preserve"> withdrawa</w:t>
            </w:r>
            <w:r w:rsidRPr="008D1A55">
              <w:t>l</w:t>
            </w:r>
            <w:r w:rsidRPr="008D1A55">
              <w:rPr>
                <w:spacing w:val="-1"/>
              </w:rPr>
              <w:t xml:space="preserve"> criteria</w:t>
            </w:r>
          </w:p>
        </w:tc>
        <w:tc>
          <w:tcPr>
            <w:tcW w:w="763" w:type="pct"/>
            <w:vAlign w:val="center"/>
          </w:tcPr>
          <w:p w14:paraId="4D4088FE" w14:textId="77777777" w:rsidR="0066060B" w:rsidRPr="008D1A55" w:rsidRDefault="0066060B" w:rsidP="0063551F">
            <w:pPr>
              <w:pStyle w:val="Tabletext"/>
              <w:jc w:val="center"/>
            </w:pPr>
            <w:r w:rsidRPr="008D1A55">
              <w:t>1 (0.6)</w:t>
            </w:r>
          </w:p>
        </w:tc>
        <w:tc>
          <w:tcPr>
            <w:tcW w:w="594" w:type="pct"/>
            <w:vAlign w:val="center"/>
          </w:tcPr>
          <w:p w14:paraId="3FD44CA5" w14:textId="77777777" w:rsidR="0066060B" w:rsidRPr="008D1A55" w:rsidRDefault="0066060B" w:rsidP="0063551F">
            <w:pPr>
              <w:pStyle w:val="Tabletext"/>
              <w:jc w:val="center"/>
            </w:pPr>
            <w:r w:rsidRPr="008D1A55">
              <w:t>0</w:t>
            </w:r>
          </w:p>
        </w:tc>
        <w:tc>
          <w:tcPr>
            <w:tcW w:w="594" w:type="pct"/>
            <w:vAlign w:val="center"/>
          </w:tcPr>
          <w:p w14:paraId="4E8D1DA6" w14:textId="77777777" w:rsidR="0066060B" w:rsidRPr="008D1A55" w:rsidRDefault="0066060B" w:rsidP="0063551F">
            <w:pPr>
              <w:pStyle w:val="Tabletext"/>
              <w:jc w:val="center"/>
            </w:pPr>
            <w:r w:rsidRPr="008D1A55">
              <w:t>1 (0.3)</w:t>
            </w:r>
          </w:p>
        </w:tc>
      </w:tr>
      <w:tr w:rsidR="0066060B" w:rsidRPr="008D1A55" w14:paraId="67B98D65" w14:textId="77777777" w:rsidTr="008656AB">
        <w:trPr>
          <w:trHeight w:val="283"/>
        </w:trPr>
        <w:tc>
          <w:tcPr>
            <w:tcW w:w="3049" w:type="pct"/>
            <w:vAlign w:val="center"/>
          </w:tcPr>
          <w:p w14:paraId="0E9D9F5E" w14:textId="77777777" w:rsidR="0066060B" w:rsidRPr="008D1A55" w:rsidRDefault="0066060B" w:rsidP="0066060B">
            <w:pPr>
              <w:pStyle w:val="Tabletext"/>
            </w:pPr>
            <w:r w:rsidRPr="008D1A55">
              <w:rPr>
                <w:spacing w:val="-1"/>
              </w:rPr>
              <w:t>Lac</w:t>
            </w:r>
            <w:r w:rsidRPr="008D1A55">
              <w:t>k</w:t>
            </w:r>
            <w:r w:rsidRPr="008D1A55">
              <w:rPr>
                <w:spacing w:val="-1"/>
              </w:rPr>
              <w:t xml:space="preserve"> o</w:t>
            </w:r>
            <w:r w:rsidRPr="008D1A55">
              <w:t>f</w:t>
            </w:r>
            <w:r w:rsidRPr="008D1A55">
              <w:rPr>
                <w:spacing w:val="-1"/>
              </w:rPr>
              <w:t xml:space="preserve"> efficacy</w:t>
            </w:r>
          </w:p>
        </w:tc>
        <w:tc>
          <w:tcPr>
            <w:tcW w:w="763" w:type="pct"/>
            <w:vAlign w:val="center"/>
          </w:tcPr>
          <w:p w14:paraId="4FF79970" w14:textId="77777777" w:rsidR="0066060B" w:rsidRPr="008D1A55" w:rsidRDefault="0066060B" w:rsidP="0063551F">
            <w:pPr>
              <w:pStyle w:val="Tabletext"/>
              <w:jc w:val="center"/>
            </w:pPr>
            <w:r w:rsidRPr="008D1A55">
              <w:t>2 (1.1)</w:t>
            </w:r>
          </w:p>
        </w:tc>
        <w:tc>
          <w:tcPr>
            <w:tcW w:w="594" w:type="pct"/>
            <w:vAlign w:val="center"/>
          </w:tcPr>
          <w:p w14:paraId="68C631AE" w14:textId="77777777" w:rsidR="0066060B" w:rsidRPr="008D1A55" w:rsidRDefault="0066060B" w:rsidP="0063551F">
            <w:pPr>
              <w:pStyle w:val="Tabletext"/>
              <w:jc w:val="center"/>
            </w:pPr>
            <w:r w:rsidRPr="008D1A55">
              <w:t>8 (4.4)</w:t>
            </w:r>
          </w:p>
        </w:tc>
        <w:tc>
          <w:tcPr>
            <w:tcW w:w="594" w:type="pct"/>
            <w:vAlign w:val="center"/>
          </w:tcPr>
          <w:p w14:paraId="166CD1CE" w14:textId="77777777" w:rsidR="0066060B" w:rsidRPr="008D1A55" w:rsidRDefault="0066060B" w:rsidP="0063551F">
            <w:pPr>
              <w:pStyle w:val="Tabletext"/>
              <w:jc w:val="center"/>
            </w:pPr>
            <w:r w:rsidRPr="008D1A55">
              <w:t>10 (2.8)</w:t>
            </w:r>
          </w:p>
        </w:tc>
      </w:tr>
      <w:tr w:rsidR="0066060B" w:rsidRPr="008D1A55" w14:paraId="210EB47B" w14:textId="77777777" w:rsidTr="008656AB">
        <w:trPr>
          <w:trHeight w:val="283"/>
        </w:trPr>
        <w:tc>
          <w:tcPr>
            <w:tcW w:w="3049" w:type="pct"/>
            <w:vAlign w:val="center"/>
          </w:tcPr>
          <w:p w14:paraId="5472596C" w14:textId="77777777" w:rsidR="0066060B" w:rsidRPr="008D1A55" w:rsidRDefault="0066060B" w:rsidP="0066060B">
            <w:pPr>
              <w:pStyle w:val="Tabletext"/>
            </w:pPr>
            <w:r w:rsidRPr="008D1A55">
              <w:rPr>
                <w:spacing w:val="-1"/>
              </w:rPr>
              <w:t>Los</w:t>
            </w:r>
            <w:r w:rsidRPr="008D1A55">
              <w:t>t</w:t>
            </w:r>
            <w:r w:rsidRPr="008D1A55">
              <w:rPr>
                <w:spacing w:val="-1"/>
              </w:rPr>
              <w:t xml:space="preserve"> t</w:t>
            </w:r>
            <w:r w:rsidRPr="008D1A55">
              <w:t>o</w:t>
            </w:r>
            <w:r w:rsidRPr="008D1A55">
              <w:rPr>
                <w:spacing w:val="-1"/>
              </w:rPr>
              <w:t xml:space="preserve"> follo</w:t>
            </w:r>
            <w:r w:rsidRPr="008D1A55">
              <w:t>w</w:t>
            </w:r>
            <w:r w:rsidRPr="008D1A55">
              <w:rPr>
                <w:spacing w:val="-1"/>
              </w:rPr>
              <w:t xml:space="preserve"> up</w:t>
            </w:r>
          </w:p>
        </w:tc>
        <w:tc>
          <w:tcPr>
            <w:tcW w:w="763" w:type="pct"/>
            <w:vAlign w:val="center"/>
          </w:tcPr>
          <w:p w14:paraId="41DD5622" w14:textId="77777777" w:rsidR="0066060B" w:rsidRPr="008D1A55" w:rsidRDefault="0066060B" w:rsidP="0063551F">
            <w:pPr>
              <w:pStyle w:val="Tabletext"/>
              <w:jc w:val="center"/>
            </w:pPr>
            <w:r w:rsidRPr="008D1A55">
              <w:t>1 (0.6)</w:t>
            </w:r>
          </w:p>
        </w:tc>
        <w:tc>
          <w:tcPr>
            <w:tcW w:w="594" w:type="pct"/>
            <w:vAlign w:val="center"/>
          </w:tcPr>
          <w:p w14:paraId="633E1E48" w14:textId="77777777" w:rsidR="0066060B" w:rsidRPr="008D1A55" w:rsidRDefault="0066060B" w:rsidP="0063551F">
            <w:pPr>
              <w:pStyle w:val="Tabletext"/>
              <w:jc w:val="center"/>
            </w:pPr>
            <w:r w:rsidRPr="008D1A55">
              <w:t>3 (1.6)</w:t>
            </w:r>
          </w:p>
        </w:tc>
        <w:tc>
          <w:tcPr>
            <w:tcW w:w="594" w:type="pct"/>
            <w:vAlign w:val="center"/>
          </w:tcPr>
          <w:p w14:paraId="611C9861" w14:textId="77777777" w:rsidR="0066060B" w:rsidRPr="008D1A55" w:rsidRDefault="0066060B" w:rsidP="0063551F">
            <w:pPr>
              <w:pStyle w:val="Tabletext"/>
              <w:jc w:val="center"/>
            </w:pPr>
            <w:r w:rsidRPr="008D1A55">
              <w:t>4 (1.1)</w:t>
            </w:r>
          </w:p>
        </w:tc>
      </w:tr>
      <w:tr w:rsidR="0066060B" w:rsidRPr="008D1A55" w14:paraId="0CC6CFCF" w14:textId="77777777" w:rsidTr="008656AB">
        <w:trPr>
          <w:trHeight w:val="283"/>
        </w:trPr>
        <w:tc>
          <w:tcPr>
            <w:tcW w:w="3049" w:type="pct"/>
            <w:vAlign w:val="center"/>
          </w:tcPr>
          <w:p w14:paraId="4C2E9418" w14:textId="77777777" w:rsidR="0066060B" w:rsidRPr="008D1A55" w:rsidRDefault="0066060B" w:rsidP="0066060B">
            <w:pPr>
              <w:pStyle w:val="Tabletext"/>
            </w:pPr>
            <w:r w:rsidRPr="008D1A55">
              <w:lastRenderedPageBreak/>
              <w:t>Severe</w:t>
            </w:r>
            <w:r w:rsidRPr="008D1A55">
              <w:rPr>
                <w:spacing w:val="1"/>
              </w:rPr>
              <w:t xml:space="preserve"> </w:t>
            </w:r>
            <w:r w:rsidRPr="008D1A55">
              <w:t>n</w:t>
            </w:r>
            <w:r w:rsidRPr="008D1A55">
              <w:rPr>
                <w:spacing w:val="-10"/>
              </w:rPr>
              <w:t>o</w:t>
            </w:r>
            <w:r w:rsidRPr="008D1A55">
              <w:rPr>
                <w:spacing w:val="5"/>
              </w:rPr>
              <w:t>n</w:t>
            </w:r>
            <w:r w:rsidRPr="008D1A55">
              <w:t>-</w:t>
            </w:r>
            <w:r w:rsidRPr="008D1A55">
              <w:rPr>
                <w:spacing w:val="-1"/>
              </w:rPr>
              <w:t>complianc</w:t>
            </w:r>
            <w:r w:rsidRPr="008D1A55">
              <w:t>e</w:t>
            </w:r>
            <w:r w:rsidRPr="008D1A55">
              <w:rPr>
                <w:spacing w:val="-2"/>
              </w:rPr>
              <w:t xml:space="preserve"> </w:t>
            </w:r>
            <w:r w:rsidRPr="008D1A55">
              <w:rPr>
                <w:spacing w:val="-1"/>
              </w:rPr>
              <w:t>t</w:t>
            </w:r>
            <w:r w:rsidRPr="008D1A55">
              <w:t>o</w:t>
            </w:r>
            <w:r w:rsidRPr="008D1A55">
              <w:rPr>
                <w:spacing w:val="-2"/>
              </w:rPr>
              <w:t xml:space="preserve"> </w:t>
            </w:r>
            <w:r w:rsidRPr="008D1A55">
              <w:rPr>
                <w:spacing w:val="-1"/>
              </w:rPr>
              <w:t>protocol</w:t>
            </w:r>
          </w:p>
        </w:tc>
        <w:tc>
          <w:tcPr>
            <w:tcW w:w="763" w:type="pct"/>
            <w:vAlign w:val="center"/>
          </w:tcPr>
          <w:p w14:paraId="31F44C83" w14:textId="77777777" w:rsidR="0066060B" w:rsidRPr="008D1A55" w:rsidRDefault="0066060B" w:rsidP="0063551F">
            <w:pPr>
              <w:pStyle w:val="Tabletext"/>
              <w:jc w:val="center"/>
            </w:pPr>
            <w:r w:rsidRPr="008D1A55">
              <w:t>0</w:t>
            </w:r>
          </w:p>
        </w:tc>
        <w:tc>
          <w:tcPr>
            <w:tcW w:w="594" w:type="pct"/>
            <w:vAlign w:val="center"/>
          </w:tcPr>
          <w:p w14:paraId="042817BC" w14:textId="77777777" w:rsidR="0066060B" w:rsidRPr="008D1A55" w:rsidRDefault="0066060B" w:rsidP="0063551F">
            <w:pPr>
              <w:pStyle w:val="Tabletext"/>
              <w:jc w:val="center"/>
            </w:pPr>
            <w:r w:rsidRPr="008D1A55">
              <w:t>1 (0.5)</w:t>
            </w:r>
          </w:p>
        </w:tc>
        <w:tc>
          <w:tcPr>
            <w:tcW w:w="594" w:type="pct"/>
            <w:vAlign w:val="center"/>
          </w:tcPr>
          <w:p w14:paraId="1123281E" w14:textId="77777777" w:rsidR="0066060B" w:rsidRPr="008D1A55" w:rsidRDefault="0066060B" w:rsidP="0063551F">
            <w:pPr>
              <w:pStyle w:val="Tabletext"/>
              <w:jc w:val="center"/>
            </w:pPr>
            <w:r w:rsidRPr="008D1A55">
              <w:t>1 (0.3)</w:t>
            </w:r>
          </w:p>
        </w:tc>
      </w:tr>
      <w:tr w:rsidR="0066060B" w:rsidRPr="008D1A55" w14:paraId="11B3BF20" w14:textId="77777777" w:rsidTr="008656AB">
        <w:trPr>
          <w:trHeight w:val="283"/>
        </w:trPr>
        <w:tc>
          <w:tcPr>
            <w:tcW w:w="3049" w:type="pct"/>
            <w:vAlign w:val="center"/>
          </w:tcPr>
          <w:p w14:paraId="421EE18F" w14:textId="77777777" w:rsidR="0066060B" w:rsidRPr="008D1A55" w:rsidRDefault="0066060B" w:rsidP="0066060B">
            <w:pPr>
              <w:pStyle w:val="Tabletext"/>
            </w:pPr>
            <w:r w:rsidRPr="008D1A55">
              <w:rPr>
                <w:spacing w:val="-1"/>
              </w:rPr>
              <w:t>Withdrawa</w:t>
            </w:r>
            <w:r w:rsidRPr="008D1A55">
              <w:t>l</w:t>
            </w:r>
            <w:r w:rsidRPr="008D1A55">
              <w:rPr>
                <w:spacing w:val="-1"/>
              </w:rPr>
              <w:t xml:space="preserve"> b</w:t>
            </w:r>
            <w:r w:rsidRPr="008D1A55">
              <w:t>y</w:t>
            </w:r>
            <w:r w:rsidRPr="008D1A55">
              <w:rPr>
                <w:spacing w:val="-1"/>
              </w:rPr>
              <w:t xml:space="preserve"> subject</w:t>
            </w:r>
          </w:p>
        </w:tc>
        <w:tc>
          <w:tcPr>
            <w:tcW w:w="763" w:type="pct"/>
            <w:vAlign w:val="center"/>
          </w:tcPr>
          <w:p w14:paraId="35C00EFB" w14:textId="77777777" w:rsidR="0066060B" w:rsidRPr="008D1A55" w:rsidRDefault="0066060B" w:rsidP="0063551F">
            <w:pPr>
              <w:pStyle w:val="Tabletext"/>
              <w:jc w:val="center"/>
            </w:pPr>
            <w:r w:rsidRPr="008D1A55">
              <w:t>11 (6.1)</w:t>
            </w:r>
          </w:p>
        </w:tc>
        <w:tc>
          <w:tcPr>
            <w:tcW w:w="594" w:type="pct"/>
            <w:vAlign w:val="center"/>
          </w:tcPr>
          <w:p w14:paraId="240B7978" w14:textId="77777777" w:rsidR="0066060B" w:rsidRPr="008D1A55" w:rsidRDefault="0066060B" w:rsidP="0063551F">
            <w:pPr>
              <w:pStyle w:val="Tabletext"/>
              <w:jc w:val="center"/>
            </w:pPr>
            <w:r w:rsidRPr="008D1A55">
              <w:t>19 (10.4)</w:t>
            </w:r>
          </w:p>
        </w:tc>
        <w:tc>
          <w:tcPr>
            <w:tcW w:w="594" w:type="pct"/>
            <w:vAlign w:val="center"/>
          </w:tcPr>
          <w:p w14:paraId="673FB29A" w14:textId="77777777" w:rsidR="0066060B" w:rsidRPr="008D1A55" w:rsidRDefault="0066060B" w:rsidP="0063551F">
            <w:pPr>
              <w:pStyle w:val="Tabletext"/>
              <w:jc w:val="center"/>
            </w:pPr>
            <w:r w:rsidRPr="008D1A55">
              <w:t>30 (8.3)</w:t>
            </w:r>
          </w:p>
        </w:tc>
      </w:tr>
      <w:tr w:rsidR="0066060B" w:rsidRPr="008D1A55" w14:paraId="516C4BF8" w14:textId="77777777" w:rsidTr="008656AB">
        <w:trPr>
          <w:trHeight w:val="283"/>
        </w:trPr>
        <w:tc>
          <w:tcPr>
            <w:tcW w:w="3049" w:type="pct"/>
            <w:vAlign w:val="center"/>
          </w:tcPr>
          <w:p w14:paraId="37B7E7CC" w14:textId="77777777" w:rsidR="0066060B" w:rsidRPr="008D1A55" w:rsidRDefault="0066060B" w:rsidP="0066060B">
            <w:pPr>
              <w:pStyle w:val="Tabletext"/>
            </w:pPr>
            <w:r w:rsidRPr="008D1A55">
              <w:rPr>
                <w:spacing w:val="-1"/>
              </w:rPr>
              <w:t>Other</w:t>
            </w:r>
          </w:p>
        </w:tc>
        <w:tc>
          <w:tcPr>
            <w:tcW w:w="763" w:type="pct"/>
            <w:vAlign w:val="center"/>
          </w:tcPr>
          <w:p w14:paraId="2544474A" w14:textId="77777777" w:rsidR="0066060B" w:rsidRPr="008D1A55" w:rsidRDefault="0066060B" w:rsidP="0063551F">
            <w:pPr>
              <w:pStyle w:val="Tabletext"/>
              <w:jc w:val="center"/>
            </w:pPr>
            <w:r w:rsidRPr="008D1A55">
              <w:t>5 (2.8)</w:t>
            </w:r>
          </w:p>
        </w:tc>
        <w:tc>
          <w:tcPr>
            <w:tcW w:w="594" w:type="pct"/>
            <w:vAlign w:val="center"/>
          </w:tcPr>
          <w:p w14:paraId="476FB4FA" w14:textId="77777777" w:rsidR="0066060B" w:rsidRPr="008D1A55" w:rsidRDefault="0066060B" w:rsidP="0063551F">
            <w:pPr>
              <w:pStyle w:val="Tabletext"/>
              <w:jc w:val="center"/>
            </w:pPr>
            <w:r w:rsidRPr="008D1A55">
              <w:t>4 (2.2)</w:t>
            </w:r>
          </w:p>
        </w:tc>
        <w:tc>
          <w:tcPr>
            <w:tcW w:w="594" w:type="pct"/>
            <w:vAlign w:val="center"/>
          </w:tcPr>
          <w:p w14:paraId="237EC585" w14:textId="77777777" w:rsidR="0066060B" w:rsidRPr="008D1A55" w:rsidRDefault="0066060B" w:rsidP="0063551F">
            <w:pPr>
              <w:pStyle w:val="Tabletext"/>
              <w:jc w:val="center"/>
            </w:pPr>
            <w:r w:rsidRPr="008D1A55">
              <w:t>9 (2.5)</w:t>
            </w:r>
          </w:p>
        </w:tc>
      </w:tr>
      <w:tr w:rsidR="0066060B" w:rsidRPr="008D1A55" w14:paraId="4B05DF81" w14:textId="77777777" w:rsidTr="008656AB">
        <w:trPr>
          <w:trHeight w:val="510"/>
        </w:trPr>
        <w:tc>
          <w:tcPr>
            <w:tcW w:w="3049" w:type="pct"/>
            <w:vAlign w:val="center"/>
          </w:tcPr>
          <w:p w14:paraId="42AB3BF7" w14:textId="77777777" w:rsidR="0066060B" w:rsidRPr="008D1A55" w:rsidRDefault="0066060B" w:rsidP="0066060B">
            <w:pPr>
              <w:pStyle w:val="Tabletext"/>
              <w:rPr>
                <w:b/>
                <w:bCs/>
              </w:rPr>
            </w:pPr>
            <w:r w:rsidRPr="008D1A55">
              <w:rPr>
                <w:b/>
                <w:bCs/>
              </w:rPr>
              <w:t>Subjects who completed study treatment</w:t>
            </w:r>
          </w:p>
        </w:tc>
        <w:tc>
          <w:tcPr>
            <w:tcW w:w="763" w:type="pct"/>
            <w:vAlign w:val="center"/>
          </w:tcPr>
          <w:p w14:paraId="3E284886" w14:textId="77777777" w:rsidR="0066060B" w:rsidRPr="0063551F" w:rsidRDefault="0066060B" w:rsidP="0063551F">
            <w:pPr>
              <w:pStyle w:val="Tabletext"/>
              <w:jc w:val="center"/>
              <w:rPr>
                <w:b/>
              </w:rPr>
            </w:pPr>
            <w:r w:rsidRPr="0063551F">
              <w:rPr>
                <w:b/>
              </w:rPr>
              <w:t>153 (85.0)</w:t>
            </w:r>
          </w:p>
        </w:tc>
        <w:tc>
          <w:tcPr>
            <w:tcW w:w="594" w:type="pct"/>
            <w:vAlign w:val="center"/>
          </w:tcPr>
          <w:p w14:paraId="2A7315B2" w14:textId="77777777" w:rsidR="0066060B" w:rsidRPr="0063551F" w:rsidRDefault="0066060B" w:rsidP="0063551F">
            <w:pPr>
              <w:pStyle w:val="Tabletext"/>
              <w:jc w:val="center"/>
              <w:rPr>
                <w:b/>
              </w:rPr>
            </w:pPr>
            <w:r w:rsidRPr="0063551F">
              <w:rPr>
                <w:b/>
              </w:rPr>
              <w:t>130 (71.4)</w:t>
            </w:r>
          </w:p>
        </w:tc>
        <w:tc>
          <w:tcPr>
            <w:tcW w:w="594" w:type="pct"/>
            <w:vAlign w:val="center"/>
          </w:tcPr>
          <w:p w14:paraId="1C141F6A" w14:textId="77777777" w:rsidR="0066060B" w:rsidRPr="0063551F" w:rsidRDefault="0066060B" w:rsidP="0063551F">
            <w:pPr>
              <w:pStyle w:val="Tabletext"/>
              <w:jc w:val="center"/>
              <w:rPr>
                <w:b/>
              </w:rPr>
            </w:pPr>
            <w:r w:rsidRPr="0063551F">
              <w:rPr>
                <w:b/>
              </w:rPr>
              <w:t>283 (78.2)</w:t>
            </w:r>
          </w:p>
        </w:tc>
      </w:tr>
      <w:tr w:rsidR="0066060B" w:rsidRPr="008D1A55" w14:paraId="2F27A32A" w14:textId="77777777" w:rsidTr="008656AB">
        <w:trPr>
          <w:trHeight w:val="510"/>
        </w:trPr>
        <w:tc>
          <w:tcPr>
            <w:tcW w:w="3049" w:type="pct"/>
            <w:vAlign w:val="center"/>
          </w:tcPr>
          <w:p w14:paraId="3B5C21F8" w14:textId="77777777" w:rsidR="0066060B" w:rsidRPr="008D1A55" w:rsidRDefault="0066060B" w:rsidP="0066060B">
            <w:pPr>
              <w:pStyle w:val="Tabletext"/>
              <w:rPr>
                <w:b/>
                <w:bCs/>
              </w:rPr>
            </w:pPr>
            <w:r w:rsidRPr="008D1A55">
              <w:rPr>
                <w:b/>
                <w:bCs/>
              </w:rPr>
              <w:t>Subjects discontinuing study treatment</w:t>
            </w:r>
          </w:p>
        </w:tc>
        <w:tc>
          <w:tcPr>
            <w:tcW w:w="763" w:type="pct"/>
            <w:vAlign w:val="center"/>
          </w:tcPr>
          <w:p w14:paraId="588FF338" w14:textId="77777777" w:rsidR="0066060B" w:rsidRPr="0063551F" w:rsidRDefault="0066060B" w:rsidP="0063551F">
            <w:pPr>
              <w:pStyle w:val="Tabletext"/>
              <w:jc w:val="center"/>
              <w:rPr>
                <w:b/>
              </w:rPr>
            </w:pPr>
            <w:r w:rsidRPr="0063551F">
              <w:rPr>
                <w:b/>
              </w:rPr>
              <w:t>27 (15.0)</w:t>
            </w:r>
          </w:p>
        </w:tc>
        <w:tc>
          <w:tcPr>
            <w:tcW w:w="594" w:type="pct"/>
            <w:vAlign w:val="center"/>
          </w:tcPr>
          <w:p w14:paraId="25729A2A" w14:textId="77777777" w:rsidR="0066060B" w:rsidRPr="0063551F" w:rsidRDefault="0066060B" w:rsidP="0063551F">
            <w:pPr>
              <w:pStyle w:val="Tabletext"/>
              <w:jc w:val="center"/>
              <w:rPr>
                <w:b/>
              </w:rPr>
            </w:pPr>
            <w:r w:rsidRPr="0063551F">
              <w:rPr>
                <w:b/>
              </w:rPr>
              <w:t>52 (28.6)</w:t>
            </w:r>
          </w:p>
        </w:tc>
        <w:tc>
          <w:tcPr>
            <w:tcW w:w="594" w:type="pct"/>
            <w:vAlign w:val="center"/>
          </w:tcPr>
          <w:p w14:paraId="38910989" w14:textId="77777777" w:rsidR="0066060B" w:rsidRPr="0063551F" w:rsidRDefault="0066060B" w:rsidP="0063551F">
            <w:pPr>
              <w:pStyle w:val="Tabletext"/>
              <w:jc w:val="center"/>
              <w:rPr>
                <w:b/>
              </w:rPr>
            </w:pPr>
            <w:r w:rsidRPr="0063551F">
              <w:rPr>
                <w:b/>
              </w:rPr>
              <w:t>79 (21.8)</w:t>
            </w:r>
          </w:p>
        </w:tc>
      </w:tr>
      <w:tr w:rsidR="0066060B" w:rsidRPr="008D1A55" w14:paraId="7B13BDBA" w14:textId="77777777" w:rsidTr="008656AB">
        <w:trPr>
          <w:trHeight w:val="283"/>
        </w:trPr>
        <w:tc>
          <w:tcPr>
            <w:tcW w:w="3049" w:type="pct"/>
            <w:vAlign w:val="center"/>
          </w:tcPr>
          <w:p w14:paraId="1EAB464C" w14:textId="77777777" w:rsidR="0066060B" w:rsidRPr="008D1A55" w:rsidRDefault="0066060B" w:rsidP="0066060B">
            <w:pPr>
              <w:pStyle w:val="Tabletext"/>
            </w:pPr>
            <w:r w:rsidRPr="008D1A55">
              <w:rPr>
                <w:spacing w:val="-1"/>
              </w:rPr>
              <w:t>Advers</w:t>
            </w:r>
            <w:r w:rsidRPr="008D1A55">
              <w:t>e</w:t>
            </w:r>
            <w:r w:rsidRPr="008D1A55">
              <w:rPr>
                <w:spacing w:val="-1"/>
              </w:rPr>
              <w:t xml:space="preserve"> event</w:t>
            </w:r>
          </w:p>
        </w:tc>
        <w:tc>
          <w:tcPr>
            <w:tcW w:w="763" w:type="pct"/>
            <w:vAlign w:val="center"/>
          </w:tcPr>
          <w:p w14:paraId="2BB48264" w14:textId="77777777" w:rsidR="0066060B" w:rsidRPr="008D1A55" w:rsidRDefault="0066060B" w:rsidP="0063551F">
            <w:pPr>
              <w:pStyle w:val="Tabletext"/>
              <w:jc w:val="center"/>
            </w:pPr>
            <w:r w:rsidRPr="008D1A55">
              <w:t>5 (2.8)</w:t>
            </w:r>
          </w:p>
        </w:tc>
        <w:tc>
          <w:tcPr>
            <w:tcW w:w="594" w:type="pct"/>
            <w:vAlign w:val="center"/>
          </w:tcPr>
          <w:p w14:paraId="46FAF352" w14:textId="77777777" w:rsidR="0066060B" w:rsidRPr="008D1A55" w:rsidRDefault="0066060B" w:rsidP="0063551F">
            <w:pPr>
              <w:pStyle w:val="Tabletext"/>
              <w:jc w:val="center"/>
            </w:pPr>
            <w:r w:rsidRPr="008D1A55">
              <w:t>14 (7.7)</w:t>
            </w:r>
          </w:p>
        </w:tc>
        <w:tc>
          <w:tcPr>
            <w:tcW w:w="594" w:type="pct"/>
            <w:vAlign w:val="center"/>
          </w:tcPr>
          <w:p w14:paraId="24556516" w14:textId="77777777" w:rsidR="0066060B" w:rsidRPr="008D1A55" w:rsidRDefault="0066060B" w:rsidP="0063551F">
            <w:pPr>
              <w:pStyle w:val="Tabletext"/>
              <w:jc w:val="center"/>
            </w:pPr>
            <w:r w:rsidRPr="008D1A55">
              <w:t>19 (5.2)</w:t>
            </w:r>
          </w:p>
        </w:tc>
      </w:tr>
      <w:tr w:rsidR="0066060B" w:rsidRPr="008D1A55" w14:paraId="3FBF06D1" w14:textId="77777777" w:rsidTr="008656AB">
        <w:trPr>
          <w:trHeight w:val="510"/>
        </w:trPr>
        <w:tc>
          <w:tcPr>
            <w:tcW w:w="3049" w:type="pct"/>
            <w:vAlign w:val="center"/>
          </w:tcPr>
          <w:p w14:paraId="3F628660" w14:textId="77777777" w:rsidR="0066060B" w:rsidRPr="008D1A55" w:rsidRDefault="0066060B" w:rsidP="0066060B">
            <w:pPr>
              <w:pStyle w:val="Tabletext"/>
            </w:pPr>
            <w:r w:rsidRPr="008D1A55">
              <w:rPr>
                <w:spacing w:val="-1"/>
              </w:rPr>
              <w:t>Conditio</w:t>
            </w:r>
            <w:r w:rsidRPr="008D1A55">
              <w:t>n</w:t>
            </w:r>
            <w:r w:rsidRPr="008D1A55">
              <w:rPr>
                <w:spacing w:val="-1"/>
              </w:rPr>
              <w:t xml:space="preserve"> unde</w:t>
            </w:r>
            <w:r w:rsidRPr="008D1A55">
              <w:t>r</w:t>
            </w:r>
            <w:r w:rsidRPr="008D1A55">
              <w:rPr>
                <w:spacing w:val="-1"/>
              </w:rPr>
              <w:t xml:space="preserve"> investigatio</w:t>
            </w:r>
            <w:r w:rsidRPr="008D1A55">
              <w:t>n</w:t>
            </w:r>
            <w:r w:rsidRPr="008D1A55">
              <w:rPr>
                <w:spacing w:val="-1"/>
              </w:rPr>
              <w:t xml:space="preserve"> worsened</w:t>
            </w:r>
          </w:p>
        </w:tc>
        <w:tc>
          <w:tcPr>
            <w:tcW w:w="763" w:type="pct"/>
            <w:vAlign w:val="center"/>
          </w:tcPr>
          <w:p w14:paraId="41C9E9D1" w14:textId="77777777" w:rsidR="0066060B" w:rsidRPr="008D1A55" w:rsidRDefault="0066060B" w:rsidP="0063551F">
            <w:pPr>
              <w:pStyle w:val="Tabletext"/>
              <w:jc w:val="center"/>
            </w:pPr>
            <w:r w:rsidRPr="008D1A55">
              <w:t>2 (1.1)</w:t>
            </w:r>
          </w:p>
        </w:tc>
        <w:tc>
          <w:tcPr>
            <w:tcW w:w="594" w:type="pct"/>
            <w:vAlign w:val="center"/>
          </w:tcPr>
          <w:p w14:paraId="7A1BC1B3" w14:textId="77777777" w:rsidR="0066060B" w:rsidRPr="008D1A55" w:rsidRDefault="0066060B" w:rsidP="0063551F">
            <w:pPr>
              <w:pStyle w:val="Tabletext"/>
              <w:jc w:val="center"/>
            </w:pPr>
            <w:r w:rsidRPr="008D1A55">
              <w:t>4 (2.2)</w:t>
            </w:r>
          </w:p>
        </w:tc>
        <w:tc>
          <w:tcPr>
            <w:tcW w:w="594" w:type="pct"/>
            <w:vAlign w:val="center"/>
          </w:tcPr>
          <w:p w14:paraId="15E2FADF" w14:textId="77777777" w:rsidR="0066060B" w:rsidRPr="008D1A55" w:rsidRDefault="0066060B" w:rsidP="0063551F">
            <w:pPr>
              <w:pStyle w:val="Tabletext"/>
              <w:jc w:val="center"/>
            </w:pPr>
            <w:r w:rsidRPr="008D1A55">
              <w:t>6 (1.7)</w:t>
            </w:r>
          </w:p>
        </w:tc>
      </w:tr>
      <w:tr w:rsidR="0066060B" w:rsidRPr="008D1A55" w14:paraId="12BC46DA" w14:textId="77777777" w:rsidTr="008656AB">
        <w:trPr>
          <w:trHeight w:val="283"/>
        </w:trPr>
        <w:tc>
          <w:tcPr>
            <w:tcW w:w="3049" w:type="pct"/>
            <w:vAlign w:val="center"/>
          </w:tcPr>
          <w:p w14:paraId="1E75568C" w14:textId="77777777" w:rsidR="0066060B" w:rsidRPr="008D1A55" w:rsidRDefault="0066060B" w:rsidP="0066060B">
            <w:pPr>
              <w:pStyle w:val="Tabletext"/>
            </w:pPr>
            <w:r w:rsidRPr="008D1A55">
              <w:rPr>
                <w:spacing w:val="-1"/>
              </w:rPr>
              <w:t>Lac</w:t>
            </w:r>
            <w:r w:rsidRPr="008D1A55">
              <w:t>k</w:t>
            </w:r>
            <w:r w:rsidRPr="008D1A55">
              <w:rPr>
                <w:spacing w:val="-1"/>
              </w:rPr>
              <w:t xml:space="preserve"> o</w:t>
            </w:r>
            <w:r w:rsidRPr="008D1A55">
              <w:t>f</w:t>
            </w:r>
            <w:r w:rsidRPr="008D1A55">
              <w:rPr>
                <w:spacing w:val="-1"/>
              </w:rPr>
              <w:t xml:space="preserve"> efficacy</w:t>
            </w:r>
          </w:p>
        </w:tc>
        <w:tc>
          <w:tcPr>
            <w:tcW w:w="763" w:type="pct"/>
            <w:vAlign w:val="center"/>
          </w:tcPr>
          <w:p w14:paraId="1685EB70" w14:textId="77777777" w:rsidR="0066060B" w:rsidRPr="008D1A55" w:rsidRDefault="0066060B" w:rsidP="0063551F">
            <w:pPr>
              <w:pStyle w:val="Tabletext"/>
              <w:jc w:val="center"/>
            </w:pPr>
            <w:r w:rsidRPr="008D1A55">
              <w:t>2 (1.1)</w:t>
            </w:r>
          </w:p>
        </w:tc>
        <w:tc>
          <w:tcPr>
            <w:tcW w:w="594" w:type="pct"/>
            <w:vAlign w:val="center"/>
          </w:tcPr>
          <w:p w14:paraId="2AA5F278" w14:textId="77777777" w:rsidR="0066060B" w:rsidRPr="008D1A55" w:rsidRDefault="0066060B" w:rsidP="0063551F">
            <w:pPr>
              <w:pStyle w:val="Tabletext"/>
              <w:jc w:val="center"/>
            </w:pPr>
            <w:r w:rsidRPr="008D1A55">
              <w:t>12 (6.6)</w:t>
            </w:r>
          </w:p>
        </w:tc>
        <w:tc>
          <w:tcPr>
            <w:tcW w:w="594" w:type="pct"/>
            <w:vAlign w:val="center"/>
          </w:tcPr>
          <w:p w14:paraId="3B53A3B6" w14:textId="77777777" w:rsidR="0066060B" w:rsidRPr="008D1A55" w:rsidRDefault="0066060B" w:rsidP="0063551F">
            <w:pPr>
              <w:pStyle w:val="Tabletext"/>
              <w:jc w:val="center"/>
            </w:pPr>
            <w:r w:rsidRPr="008D1A55">
              <w:t>14 (3.9)</w:t>
            </w:r>
          </w:p>
        </w:tc>
      </w:tr>
      <w:tr w:rsidR="0066060B" w:rsidRPr="008D1A55" w14:paraId="073830F1" w14:textId="77777777" w:rsidTr="008656AB">
        <w:trPr>
          <w:trHeight w:val="283"/>
        </w:trPr>
        <w:tc>
          <w:tcPr>
            <w:tcW w:w="3049" w:type="pct"/>
            <w:vAlign w:val="center"/>
          </w:tcPr>
          <w:p w14:paraId="5BF6C27B" w14:textId="77777777" w:rsidR="0066060B" w:rsidRPr="008D1A55" w:rsidRDefault="0066060B" w:rsidP="0066060B">
            <w:pPr>
              <w:pStyle w:val="Tabletext"/>
            </w:pPr>
            <w:r w:rsidRPr="008D1A55">
              <w:rPr>
                <w:spacing w:val="-1"/>
              </w:rPr>
              <w:t>Los</w:t>
            </w:r>
            <w:r w:rsidRPr="008D1A55">
              <w:t>t</w:t>
            </w:r>
            <w:r w:rsidRPr="008D1A55">
              <w:rPr>
                <w:spacing w:val="-1"/>
              </w:rPr>
              <w:t xml:space="preserve"> t</w:t>
            </w:r>
            <w:r w:rsidRPr="008D1A55">
              <w:t>o</w:t>
            </w:r>
            <w:r w:rsidRPr="008D1A55">
              <w:rPr>
                <w:spacing w:val="-1"/>
              </w:rPr>
              <w:t xml:space="preserve"> follo</w:t>
            </w:r>
            <w:r w:rsidRPr="008D1A55">
              <w:rPr>
                <w:spacing w:val="-7"/>
              </w:rPr>
              <w:t>w</w:t>
            </w:r>
            <w:r w:rsidRPr="008D1A55">
              <w:t>-up</w:t>
            </w:r>
          </w:p>
        </w:tc>
        <w:tc>
          <w:tcPr>
            <w:tcW w:w="763" w:type="pct"/>
            <w:vAlign w:val="center"/>
          </w:tcPr>
          <w:p w14:paraId="248FC5BF" w14:textId="77777777" w:rsidR="0066060B" w:rsidRPr="008D1A55" w:rsidRDefault="0066060B" w:rsidP="0063551F">
            <w:pPr>
              <w:pStyle w:val="Tabletext"/>
              <w:jc w:val="center"/>
            </w:pPr>
            <w:r w:rsidRPr="008D1A55">
              <w:t>2 (1.1)</w:t>
            </w:r>
          </w:p>
        </w:tc>
        <w:tc>
          <w:tcPr>
            <w:tcW w:w="594" w:type="pct"/>
            <w:vAlign w:val="center"/>
          </w:tcPr>
          <w:p w14:paraId="3AA1FACB" w14:textId="77777777" w:rsidR="0066060B" w:rsidRPr="008D1A55" w:rsidRDefault="0066060B" w:rsidP="0063551F">
            <w:pPr>
              <w:pStyle w:val="Tabletext"/>
              <w:jc w:val="center"/>
            </w:pPr>
            <w:r w:rsidRPr="008D1A55">
              <w:t>3 (1.6)</w:t>
            </w:r>
          </w:p>
        </w:tc>
        <w:tc>
          <w:tcPr>
            <w:tcW w:w="594" w:type="pct"/>
            <w:vAlign w:val="center"/>
          </w:tcPr>
          <w:p w14:paraId="731EFF61" w14:textId="77777777" w:rsidR="0066060B" w:rsidRPr="008D1A55" w:rsidRDefault="0066060B" w:rsidP="0063551F">
            <w:pPr>
              <w:pStyle w:val="Tabletext"/>
              <w:jc w:val="center"/>
            </w:pPr>
            <w:r w:rsidRPr="008D1A55">
              <w:t>5 (1.4)</w:t>
            </w:r>
          </w:p>
        </w:tc>
      </w:tr>
      <w:tr w:rsidR="0066060B" w:rsidRPr="008D1A55" w14:paraId="31669B60" w14:textId="77777777" w:rsidTr="008656AB">
        <w:trPr>
          <w:trHeight w:val="283"/>
        </w:trPr>
        <w:tc>
          <w:tcPr>
            <w:tcW w:w="3049" w:type="pct"/>
            <w:vAlign w:val="center"/>
          </w:tcPr>
          <w:p w14:paraId="11BA350B" w14:textId="77777777" w:rsidR="0066060B" w:rsidRPr="008D1A55" w:rsidRDefault="0066060B" w:rsidP="0066060B">
            <w:pPr>
              <w:pStyle w:val="Tabletext"/>
            </w:pPr>
            <w:r w:rsidRPr="008D1A55">
              <w:t>Severe</w:t>
            </w:r>
            <w:r w:rsidRPr="008D1A55">
              <w:rPr>
                <w:spacing w:val="1"/>
              </w:rPr>
              <w:t xml:space="preserve"> </w:t>
            </w:r>
            <w:r w:rsidRPr="008D1A55">
              <w:t>n</w:t>
            </w:r>
            <w:r w:rsidRPr="008D1A55">
              <w:rPr>
                <w:spacing w:val="-10"/>
              </w:rPr>
              <w:t>o</w:t>
            </w:r>
            <w:r w:rsidRPr="008D1A55">
              <w:rPr>
                <w:spacing w:val="5"/>
              </w:rPr>
              <w:t>n</w:t>
            </w:r>
            <w:r w:rsidRPr="008D1A55">
              <w:t>-</w:t>
            </w:r>
            <w:r w:rsidRPr="008D1A55">
              <w:rPr>
                <w:spacing w:val="-1"/>
              </w:rPr>
              <w:t>complianc</w:t>
            </w:r>
            <w:r w:rsidRPr="008D1A55">
              <w:t>e</w:t>
            </w:r>
            <w:r w:rsidRPr="008D1A55">
              <w:rPr>
                <w:spacing w:val="-2"/>
              </w:rPr>
              <w:t xml:space="preserve"> </w:t>
            </w:r>
            <w:r w:rsidRPr="008D1A55">
              <w:rPr>
                <w:spacing w:val="-1"/>
              </w:rPr>
              <w:t>t</w:t>
            </w:r>
            <w:r w:rsidRPr="008D1A55">
              <w:t>o</w:t>
            </w:r>
            <w:r w:rsidRPr="008D1A55">
              <w:rPr>
                <w:spacing w:val="-2"/>
              </w:rPr>
              <w:t xml:space="preserve"> </w:t>
            </w:r>
            <w:r w:rsidRPr="008D1A55">
              <w:rPr>
                <w:spacing w:val="-1"/>
              </w:rPr>
              <w:t>protocol</w:t>
            </w:r>
          </w:p>
        </w:tc>
        <w:tc>
          <w:tcPr>
            <w:tcW w:w="763" w:type="pct"/>
            <w:vAlign w:val="center"/>
          </w:tcPr>
          <w:p w14:paraId="2F918FE9" w14:textId="77777777" w:rsidR="0066060B" w:rsidRPr="008D1A55" w:rsidRDefault="0066060B" w:rsidP="0063551F">
            <w:pPr>
              <w:pStyle w:val="Tabletext"/>
              <w:jc w:val="center"/>
            </w:pPr>
            <w:r w:rsidRPr="008D1A55">
              <w:t>0</w:t>
            </w:r>
          </w:p>
        </w:tc>
        <w:tc>
          <w:tcPr>
            <w:tcW w:w="594" w:type="pct"/>
            <w:vAlign w:val="center"/>
          </w:tcPr>
          <w:p w14:paraId="7E4A97DC" w14:textId="77777777" w:rsidR="0066060B" w:rsidRPr="008D1A55" w:rsidRDefault="0066060B" w:rsidP="0063551F">
            <w:pPr>
              <w:pStyle w:val="Tabletext"/>
              <w:jc w:val="center"/>
            </w:pPr>
            <w:r w:rsidRPr="008D1A55">
              <w:t>1</w:t>
            </w:r>
            <w:r w:rsidRPr="008D1A55">
              <w:rPr>
                <w:spacing w:val="3"/>
              </w:rPr>
              <w:t xml:space="preserve"> </w:t>
            </w:r>
            <w:r w:rsidRPr="008D1A55">
              <w:rPr>
                <w:spacing w:val="-1"/>
              </w:rPr>
              <w:t>(0.5)</w:t>
            </w:r>
          </w:p>
        </w:tc>
        <w:tc>
          <w:tcPr>
            <w:tcW w:w="594" w:type="pct"/>
            <w:vAlign w:val="center"/>
          </w:tcPr>
          <w:p w14:paraId="0EB0D84C" w14:textId="77777777" w:rsidR="0066060B" w:rsidRPr="008D1A55" w:rsidRDefault="0066060B" w:rsidP="0063551F">
            <w:pPr>
              <w:pStyle w:val="Tabletext"/>
              <w:jc w:val="center"/>
            </w:pPr>
            <w:r w:rsidRPr="008D1A55">
              <w:t>1 (0.3)</w:t>
            </w:r>
          </w:p>
        </w:tc>
      </w:tr>
      <w:tr w:rsidR="0066060B" w:rsidRPr="008D1A55" w14:paraId="22D97108" w14:textId="77777777" w:rsidTr="008656AB">
        <w:trPr>
          <w:trHeight w:val="283"/>
        </w:trPr>
        <w:tc>
          <w:tcPr>
            <w:tcW w:w="3049" w:type="pct"/>
            <w:vAlign w:val="center"/>
          </w:tcPr>
          <w:p w14:paraId="48637B74" w14:textId="77777777" w:rsidR="0066060B" w:rsidRPr="008D1A55" w:rsidRDefault="0066060B" w:rsidP="0066060B">
            <w:pPr>
              <w:pStyle w:val="Tabletext"/>
            </w:pPr>
            <w:r w:rsidRPr="008D1A55">
              <w:t>Withdrawal by subject</w:t>
            </w:r>
          </w:p>
        </w:tc>
        <w:tc>
          <w:tcPr>
            <w:tcW w:w="763" w:type="pct"/>
            <w:vAlign w:val="center"/>
          </w:tcPr>
          <w:p w14:paraId="2B83F938" w14:textId="77777777" w:rsidR="0066060B" w:rsidRPr="008D1A55" w:rsidRDefault="0066060B" w:rsidP="0063551F">
            <w:pPr>
              <w:pStyle w:val="Tabletext"/>
              <w:jc w:val="center"/>
            </w:pPr>
            <w:r w:rsidRPr="008D1A55">
              <w:t>7 (3.9)</w:t>
            </w:r>
          </w:p>
        </w:tc>
        <w:tc>
          <w:tcPr>
            <w:tcW w:w="594" w:type="pct"/>
            <w:vAlign w:val="center"/>
          </w:tcPr>
          <w:p w14:paraId="00FC984A" w14:textId="77777777" w:rsidR="0066060B" w:rsidRPr="008D1A55" w:rsidRDefault="0066060B" w:rsidP="0063551F">
            <w:pPr>
              <w:pStyle w:val="Tabletext"/>
              <w:jc w:val="center"/>
            </w:pPr>
            <w:r w:rsidRPr="008D1A55">
              <w:t>16 (8.8)</w:t>
            </w:r>
          </w:p>
        </w:tc>
        <w:tc>
          <w:tcPr>
            <w:tcW w:w="594" w:type="pct"/>
            <w:vAlign w:val="center"/>
          </w:tcPr>
          <w:p w14:paraId="756AF22C" w14:textId="77777777" w:rsidR="0066060B" w:rsidRPr="008D1A55" w:rsidRDefault="0066060B" w:rsidP="0063551F">
            <w:pPr>
              <w:pStyle w:val="Tabletext"/>
              <w:jc w:val="center"/>
            </w:pPr>
            <w:r w:rsidRPr="008D1A55">
              <w:t>23 (6.4)</w:t>
            </w:r>
          </w:p>
        </w:tc>
      </w:tr>
      <w:tr w:rsidR="0066060B" w:rsidRPr="008D1A55" w14:paraId="423C70B1" w14:textId="77777777" w:rsidTr="008656AB">
        <w:trPr>
          <w:trHeight w:val="283"/>
        </w:trPr>
        <w:tc>
          <w:tcPr>
            <w:tcW w:w="3049" w:type="pct"/>
            <w:vAlign w:val="center"/>
          </w:tcPr>
          <w:p w14:paraId="0AD20644" w14:textId="77777777" w:rsidR="0066060B" w:rsidRPr="008D1A55" w:rsidRDefault="0066060B" w:rsidP="0066060B">
            <w:pPr>
              <w:pStyle w:val="Tabletext"/>
            </w:pPr>
            <w:r w:rsidRPr="008D1A55">
              <w:t>Other</w:t>
            </w:r>
          </w:p>
        </w:tc>
        <w:tc>
          <w:tcPr>
            <w:tcW w:w="763" w:type="pct"/>
            <w:vAlign w:val="center"/>
          </w:tcPr>
          <w:p w14:paraId="364727AF" w14:textId="77777777" w:rsidR="0066060B" w:rsidRPr="008D1A55" w:rsidRDefault="0066060B" w:rsidP="0063551F">
            <w:pPr>
              <w:pStyle w:val="Tabletext"/>
              <w:jc w:val="center"/>
            </w:pPr>
            <w:r w:rsidRPr="008D1A55">
              <w:t>9 (5.0)</w:t>
            </w:r>
          </w:p>
        </w:tc>
        <w:tc>
          <w:tcPr>
            <w:tcW w:w="594" w:type="pct"/>
            <w:vAlign w:val="center"/>
          </w:tcPr>
          <w:p w14:paraId="62CA3B44" w14:textId="77777777" w:rsidR="0066060B" w:rsidRPr="008D1A55" w:rsidRDefault="0066060B" w:rsidP="0063551F">
            <w:pPr>
              <w:pStyle w:val="Tabletext"/>
              <w:jc w:val="center"/>
            </w:pPr>
            <w:r w:rsidRPr="008D1A55">
              <w:t>2 (1.1)</w:t>
            </w:r>
          </w:p>
        </w:tc>
        <w:tc>
          <w:tcPr>
            <w:tcW w:w="594" w:type="pct"/>
            <w:vAlign w:val="center"/>
          </w:tcPr>
          <w:p w14:paraId="03507F9E" w14:textId="77777777" w:rsidR="0066060B" w:rsidRPr="008D1A55" w:rsidRDefault="0066060B" w:rsidP="0063551F">
            <w:pPr>
              <w:pStyle w:val="Tabletext"/>
              <w:jc w:val="center"/>
            </w:pPr>
            <w:r w:rsidRPr="008D1A55">
              <w:t>11 (3.0)</w:t>
            </w:r>
          </w:p>
        </w:tc>
      </w:tr>
      <w:tr w:rsidR="0066060B" w:rsidRPr="008D1A55" w14:paraId="30BBE896" w14:textId="77777777" w:rsidTr="008656AB">
        <w:trPr>
          <w:trHeight w:val="283"/>
        </w:trPr>
        <w:tc>
          <w:tcPr>
            <w:tcW w:w="3049" w:type="pct"/>
            <w:vAlign w:val="center"/>
          </w:tcPr>
          <w:p w14:paraId="23BC1B29" w14:textId="71FF7EB2" w:rsidR="0066060B" w:rsidRPr="008D1A55" w:rsidRDefault="0066060B" w:rsidP="0066060B">
            <w:pPr>
              <w:pStyle w:val="Tabletext"/>
              <w:rPr>
                <w:b/>
                <w:bCs/>
              </w:rPr>
            </w:pPr>
            <w:r w:rsidRPr="008D1A55">
              <w:rPr>
                <w:b/>
                <w:bCs/>
              </w:rPr>
              <w:t xml:space="preserve">Subjects enrolled to the </w:t>
            </w:r>
            <w:r w:rsidR="000C4EB0" w:rsidRPr="008D1A55">
              <w:rPr>
                <w:b/>
                <w:bCs/>
              </w:rPr>
              <w:t xml:space="preserve">long-term extension </w:t>
            </w:r>
            <w:r w:rsidRPr="008D1A55">
              <w:rPr>
                <w:b/>
                <w:bCs/>
              </w:rPr>
              <w:t>study</w:t>
            </w:r>
          </w:p>
        </w:tc>
        <w:tc>
          <w:tcPr>
            <w:tcW w:w="763" w:type="pct"/>
            <w:vAlign w:val="center"/>
          </w:tcPr>
          <w:p w14:paraId="026AAABF" w14:textId="77777777" w:rsidR="0066060B" w:rsidRPr="0063551F" w:rsidRDefault="0066060B" w:rsidP="0063551F">
            <w:pPr>
              <w:pStyle w:val="Tabletext"/>
              <w:jc w:val="center"/>
              <w:rPr>
                <w:b/>
              </w:rPr>
            </w:pPr>
            <w:r w:rsidRPr="0063551F">
              <w:rPr>
                <w:b/>
              </w:rPr>
              <w:t>133 (73.9)</w:t>
            </w:r>
          </w:p>
        </w:tc>
        <w:tc>
          <w:tcPr>
            <w:tcW w:w="594" w:type="pct"/>
            <w:vAlign w:val="center"/>
          </w:tcPr>
          <w:p w14:paraId="5125135D" w14:textId="77777777" w:rsidR="0066060B" w:rsidRPr="0063551F" w:rsidRDefault="0066060B" w:rsidP="0063551F">
            <w:pPr>
              <w:pStyle w:val="Tabletext"/>
              <w:jc w:val="center"/>
              <w:rPr>
                <w:b/>
              </w:rPr>
            </w:pPr>
            <w:r w:rsidRPr="0063551F">
              <w:rPr>
                <w:b/>
              </w:rPr>
              <w:t>104 (57.1)</w:t>
            </w:r>
          </w:p>
        </w:tc>
        <w:tc>
          <w:tcPr>
            <w:tcW w:w="594" w:type="pct"/>
            <w:vAlign w:val="center"/>
          </w:tcPr>
          <w:p w14:paraId="1664B68C" w14:textId="77777777" w:rsidR="0066060B" w:rsidRPr="0063551F" w:rsidRDefault="0066060B" w:rsidP="0063551F">
            <w:pPr>
              <w:pStyle w:val="Tabletext"/>
              <w:jc w:val="center"/>
              <w:rPr>
                <w:b/>
              </w:rPr>
            </w:pPr>
            <w:r w:rsidRPr="0063551F">
              <w:rPr>
                <w:b/>
              </w:rPr>
              <w:t>237 (65.5)</w:t>
            </w:r>
          </w:p>
        </w:tc>
      </w:tr>
    </w:tbl>
    <w:p w14:paraId="50194D04" w14:textId="2D4BDD1C" w:rsidR="00C7364D" w:rsidRPr="008D1A55" w:rsidRDefault="00C7364D" w:rsidP="0066060B">
      <w:pPr>
        <w:pStyle w:val="TableDescription"/>
      </w:pPr>
      <w:proofErr w:type="spellStart"/>
      <w:proofErr w:type="gramStart"/>
      <w:r w:rsidRPr="008D1A55">
        <w:t>a</w:t>
      </w:r>
      <w:proofErr w:type="spellEnd"/>
      <w:proofErr w:type="gramEnd"/>
      <w:r w:rsidRPr="008D1A55">
        <w:t xml:space="preserve"> Informed consent received.</w:t>
      </w:r>
    </w:p>
    <w:p w14:paraId="75AC761B" w14:textId="77777777" w:rsidR="00C7364D" w:rsidRPr="008D1A55" w:rsidRDefault="00C7364D" w:rsidP="0066060B">
      <w:pPr>
        <w:pStyle w:val="TableDescription"/>
      </w:pPr>
      <w:r w:rsidRPr="008D1A55">
        <w:t>b Percentages are based upon all enrolled subjects.</w:t>
      </w:r>
    </w:p>
    <w:p w14:paraId="743BD9F9" w14:textId="77777777" w:rsidR="00C7364D" w:rsidRPr="008D1A55" w:rsidRDefault="00C7364D" w:rsidP="0066060B">
      <w:pPr>
        <w:pStyle w:val="TableDescription"/>
      </w:pPr>
      <w:r w:rsidRPr="008D1A55">
        <w:t>c Withdrawn from study according to analysis visit window. If applicable, measurements of follow-up visits are re-mapped to the respective analysis visit window up to Week 52.</w:t>
      </w:r>
    </w:p>
    <w:p w14:paraId="37262283" w14:textId="77777777" w:rsidR="00C7364D" w:rsidRPr="008D1A55" w:rsidRDefault="00C7364D" w:rsidP="0066060B">
      <w:pPr>
        <w:pStyle w:val="TableDescription"/>
      </w:pPr>
      <w:r w:rsidRPr="008D1A55">
        <w:t>If not stated otherwise, percentages are based upon all subjects in the full analysis set.</w:t>
      </w:r>
    </w:p>
    <w:p w14:paraId="4D06DB93" w14:textId="1C870A42" w:rsidR="00C7364D" w:rsidRPr="008D1A55" w:rsidRDefault="00C7364D" w:rsidP="0066060B">
      <w:pPr>
        <w:pStyle w:val="TableDescription"/>
      </w:pPr>
      <w:r w:rsidRPr="008D1A55">
        <w:t xml:space="preserve">The full analysis set comprises all subjects who received at least one dose of </w:t>
      </w:r>
      <w:r w:rsidR="000C4EB0" w:rsidRPr="008D1A55">
        <w:t>investigational products</w:t>
      </w:r>
      <w:r w:rsidRPr="008D1A55">
        <w:t>.</w:t>
      </w:r>
    </w:p>
    <w:p w14:paraId="1B226408" w14:textId="798EA7A8" w:rsidR="00C7364D" w:rsidRPr="008D1A55" w:rsidRDefault="00C7364D" w:rsidP="0066060B">
      <w:pPr>
        <w:pStyle w:val="TableDescription"/>
      </w:pPr>
      <w:r w:rsidRPr="008D1A55">
        <w:t xml:space="preserve">Completion of the study is based upon the number of subjects completing Week 52 (Visit 14) and either enrolled to </w:t>
      </w:r>
      <w:r w:rsidR="000C4EB0" w:rsidRPr="008D1A55">
        <w:t xml:space="preserve">long-term extension </w:t>
      </w:r>
      <w:r w:rsidRPr="008D1A55">
        <w:t>or completed Follow-up Visit 2.</w:t>
      </w:r>
    </w:p>
    <w:p w14:paraId="11644147" w14:textId="1C838C18" w:rsidR="00C7364D" w:rsidRPr="008D1A55" w:rsidRDefault="00C7364D" w:rsidP="0066060B">
      <w:pPr>
        <w:pStyle w:val="TableDescription"/>
      </w:pPr>
      <w:r w:rsidRPr="008D1A55">
        <w:t>Completion of Week 52 is based upon the number of subjects completing up to and including Week</w:t>
      </w:r>
      <w:r w:rsidR="0066060B" w:rsidRPr="008D1A55">
        <w:t> </w:t>
      </w:r>
      <w:r w:rsidRPr="008D1A55">
        <w:t>52 (Visit 14</w:t>
      </w:r>
      <w:r w:rsidR="0066060B" w:rsidRPr="008D1A55">
        <w:t xml:space="preserve"> or early discontinuation visit</w:t>
      </w:r>
      <w:r w:rsidRPr="008D1A55">
        <w:t>).</w:t>
      </w:r>
    </w:p>
    <w:p w14:paraId="4E290760" w14:textId="04D294EB" w:rsidR="00C7364D" w:rsidRPr="008D1A55" w:rsidRDefault="00C7364D" w:rsidP="0066060B">
      <w:pPr>
        <w:pStyle w:val="TableDescription"/>
      </w:pPr>
      <w:r w:rsidRPr="008D1A55">
        <w:t xml:space="preserve">Completion of study treatment is based upon the number of subjects completing treatment with </w:t>
      </w:r>
      <w:r w:rsidR="000C4EB0" w:rsidRPr="008D1A55">
        <w:t xml:space="preserve">the investigational product </w:t>
      </w:r>
      <w:r w:rsidRPr="008D1A55">
        <w:t>up to and including Week 48 (Visit 13).</w:t>
      </w:r>
    </w:p>
    <w:p w14:paraId="170CCBC3" w14:textId="4AA715A2" w:rsidR="00C7364D" w:rsidRPr="008D1A55" w:rsidRDefault="00C7364D" w:rsidP="0066060B">
      <w:pPr>
        <w:pStyle w:val="TableDescription"/>
      </w:pPr>
      <w:r w:rsidRPr="008D1A55">
        <w:t xml:space="preserve">Enrolled to the </w:t>
      </w:r>
      <w:r w:rsidR="000C4EB0" w:rsidRPr="008D1A55">
        <w:t xml:space="preserve">long-term extension </w:t>
      </w:r>
      <w:r w:rsidRPr="008D1A55">
        <w:t xml:space="preserve">is based on the Week 52 status of the </w:t>
      </w:r>
      <w:r w:rsidR="0066060B" w:rsidRPr="008D1A55">
        <w:t>electronic case report form</w:t>
      </w:r>
      <w:r w:rsidRPr="008D1A55">
        <w:t>.</w:t>
      </w:r>
    </w:p>
    <w:p w14:paraId="35B2CCA7" w14:textId="7DA24437" w:rsidR="00C7364D" w:rsidRPr="008D1A55" w:rsidRDefault="00C7364D" w:rsidP="00C7364D">
      <w:r w:rsidRPr="008D1A55">
        <w:t>No concerns regarding protocol deviations in terms of study conduct or the safety of the patients and they were not judged to influence the study outcome</w:t>
      </w:r>
      <w:r w:rsidR="0066060B" w:rsidRPr="008D1A55">
        <w:t>.</w:t>
      </w:r>
    </w:p>
    <w:p w14:paraId="27620520" w14:textId="47F88638" w:rsidR="00C7364D" w:rsidRPr="008D1A55" w:rsidRDefault="00C7364D" w:rsidP="00C7364D">
      <w:r w:rsidRPr="008D1A55">
        <w:t xml:space="preserve">Overall, the demographic characteristics of the patients were generally balanced between the treatment groups. The population had a median age of 43.0 </w:t>
      </w:r>
      <w:proofErr w:type="gramStart"/>
      <w:r w:rsidR="00B14DC3" w:rsidRPr="008D1A55">
        <w:t>years</w:t>
      </w:r>
      <w:r w:rsidR="00B14DC3">
        <w:t>,</w:t>
      </w:r>
      <w:r w:rsidR="00B14DC3" w:rsidRPr="008D1A55">
        <w:t xml:space="preserve"> and</w:t>
      </w:r>
      <w:proofErr w:type="gramEnd"/>
      <w:r w:rsidRPr="008D1A55">
        <w:t xml:space="preserve"> was predominantly female (93.4%) and White (59.9%). The proportion of patients 65 years of age </w:t>
      </w:r>
      <w:r w:rsidR="00716E1D" w:rsidRPr="008D1A55">
        <w:t xml:space="preserve">and older </w:t>
      </w:r>
      <w:r w:rsidRPr="008D1A55">
        <w:t xml:space="preserve">was 1.7% (2.8% in the </w:t>
      </w:r>
      <w:proofErr w:type="spellStart"/>
      <w:r w:rsidRPr="008D1A55">
        <w:t>anifrolumab</w:t>
      </w:r>
      <w:proofErr w:type="spellEnd"/>
      <w:r w:rsidRPr="008D1A55">
        <w:t xml:space="preserve"> 300 mg group and 0.5% in the placebo group). There were fewer African Americans in the </w:t>
      </w:r>
      <w:proofErr w:type="spellStart"/>
      <w:r w:rsidRPr="008D1A55">
        <w:t>anifrolumab</w:t>
      </w:r>
      <w:proofErr w:type="spellEnd"/>
      <w:r w:rsidRPr="008D1A55">
        <w:t xml:space="preserve"> 300 mg group compared </w:t>
      </w:r>
      <w:r w:rsidRPr="008D1A55">
        <w:lastRenderedPageBreak/>
        <w:t xml:space="preserve">to the placebo group (9.4% </w:t>
      </w:r>
      <w:r w:rsidR="00CA1444" w:rsidRPr="008D1A55">
        <w:t>versus</w:t>
      </w:r>
      <w:r w:rsidRPr="008D1A55">
        <w:t xml:space="preserve"> 13.7%), all of whom, </w:t>
      </w:r>
      <w:proofErr w:type="gramStart"/>
      <w:r w:rsidRPr="008D1A55">
        <w:t>with the exception of</w:t>
      </w:r>
      <w:proofErr w:type="gramEnd"/>
      <w:r w:rsidRPr="008D1A55">
        <w:t xml:space="preserve"> one patient from Brazil, were from the USA.</w:t>
      </w:r>
    </w:p>
    <w:p w14:paraId="766B6A06" w14:textId="7E5670DC" w:rsidR="00C7364D" w:rsidRPr="008D1A55" w:rsidRDefault="00C7364D" w:rsidP="00C7364D">
      <w:r w:rsidRPr="008D1A55">
        <w:t>The largest proportions of patients were enrolled in the USA</w:t>
      </w:r>
      <w:r w:rsidR="00716E1D" w:rsidRPr="008D1A55">
        <w:t xml:space="preserve"> or </w:t>
      </w:r>
      <w:r w:rsidRPr="008D1A55">
        <w:t>Canada (36.5%), Europe (26.8%), and Latin America (18.5%). Within each geographic region, the proportions of patients were generally balanced across treatment group. Most patients in the Asia</w:t>
      </w:r>
      <w:r w:rsidR="00716E1D" w:rsidRPr="008D1A55">
        <w:t xml:space="preserve"> </w:t>
      </w:r>
      <w:r w:rsidRPr="008D1A55">
        <w:t>Pacific region were enrolled in Japan (43</w:t>
      </w:r>
      <w:r w:rsidR="00CA1444" w:rsidRPr="008D1A55">
        <w:t xml:space="preserve"> of </w:t>
      </w:r>
      <w:r w:rsidRPr="008D1A55">
        <w:t>53, 81.1%)</w:t>
      </w:r>
    </w:p>
    <w:p w14:paraId="11CF5A60" w14:textId="2D9C9632" w:rsidR="00C7364D" w:rsidRPr="008D1A55" w:rsidRDefault="00C7364D" w:rsidP="00C7364D">
      <w:r w:rsidRPr="008D1A55">
        <w:t xml:space="preserve">The baseline characteristics of the patients (height, </w:t>
      </w:r>
      <w:proofErr w:type="gramStart"/>
      <w:r w:rsidRPr="008D1A55">
        <w:t>weight</w:t>
      </w:r>
      <w:proofErr w:type="gramEnd"/>
      <w:r w:rsidR="008C0D94" w:rsidRPr="008D1A55">
        <w:t xml:space="preserve"> and</w:t>
      </w:r>
      <w:r w:rsidRPr="008D1A55">
        <w:t xml:space="preserve"> </w:t>
      </w:r>
      <w:r w:rsidR="008C0D94" w:rsidRPr="008D1A55">
        <w:t>body mass index (</w:t>
      </w:r>
      <w:r w:rsidRPr="008D1A55">
        <w:t>BMI</w:t>
      </w:r>
      <w:r w:rsidR="008C0D94" w:rsidRPr="008D1A55">
        <w:t>)</w:t>
      </w:r>
      <w:r w:rsidRPr="008D1A55">
        <w:t>) were generally balanced between the treatment groups. The median BMI was 25.6 kg/m</w:t>
      </w:r>
      <w:r w:rsidRPr="008D1A55">
        <w:rPr>
          <w:vertAlign w:val="superscript"/>
        </w:rPr>
        <w:t>2</w:t>
      </w:r>
      <w:r w:rsidRPr="008D1A55">
        <w:t xml:space="preserve"> and 39.0% of patients had a BMI of </w:t>
      </w:r>
      <w:r w:rsidR="00716E1D" w:rsidRPr="008D1A55">
        <w:t xml:space="preserve">higher than </w:t>
      </w:r>
      <w:r w:rsidRPr="008D1A55">
        <w:t>28 kg/m</w:t>
      </w:r>
      <w:r w:rsidRPr="008D1A55">
        <w:rPr>
          <w:vertAlign w:val="superscript"/>
        </w:rPr>
        <w:t>2</w:t>
      </w:r>
      <w:r w:rsidRPr="008D1A55">
        <w:t>.</w:t>
      </w:r>
    </w:p>
    <w:p w14:paraId="5ACAC175" w14:textId="46F93443" w:rsidR="00C7364D" w:rsidRPr="008D1A55" w:rsidRDefault="00C7364D" w:rsidP="00C7364D">
      <w:r w:rsidRPr="008D1A55">
        <w:t xml:space="preserve">The SLE disease characteristics of the patients were generally balanced between the treatment groups. Overall, this patient population had moderate to severe disease activity at </w:t>
      </w:r>
      <w:r w:rsidR="00CA1444" w:rsidRPr="008D1A55">
        <w:t>Baseline</w:t>
      </w:r>
      <w:r w:rsidRPr="008D1A55">
        <w:t xml:space="preserve">, with a mean SLEDAI-2K score of 11.5 and a SLEDAI-2K score at </w:t>
      </w:r>
      <w:r w:rsidR="00CA1444" w:rsidRPr="008D1A55">
        <w:t>Baseline</w:t>
      </w:r>
      <w:r w:rsidRPr="008D1A55">
        <w:t xml:space="preserve"> of </w:t>
      </w:r>
      <w:r w:rsidR="00716E1D" w:rsidRPr="008D1A55">
        <w:t xml:space="preserve">at least </w:t>
      </w:r>
      <w:r w:rsidRPr="008D1A55">
        <w:t>10 in 71.8% of patients, a mean BILAG score of 18.8, and a median PGA score of 1.70. Overall, 48.6% of patients had severe disease in at least one organ system (BILAG-2004 level A) and 46.7% of patients had moderate disease in at least two organ systems (BILAG</w:t>
      </w:r>
      <w:r w:rsidR="00716E1D" w:rsidRPr="008D1A55">
        <w:noBreakHyphen/>
      </w:r>
      <w:r w:rsidRPr="008D1A55">
        <w:t xml:space="preserve">2004 level B). The most common organ manifestations were of the mucocutaneous and musculoskeletal systems. A total of 24.6% of patients had moderate to severe skin disease (CLASI activity score </w:t>
      </w:r>
      <w:r w:rsidR="00716E1D" w:rsidRPr="008D1A55">
        <w:t xml:space="preserve">at least </w:t>
      </w:r>
      <w:r w:rsidRPr="008D1A55">
        <w:t xml:space="preserve">10 points) at </w:t>
      </w:r>
      <w:r w:rsidR="00CA1444" w:rsidRPr="008D1A55">
        <w:t>Baseline</w:t>
      </w:r>
      <w:r w:rsidRPr="008D1A55">
        <w:t xml:space="preserve">, with a mean CLASI activity score of 7.9. Joint characteristics at </w:t>
      </w:r>
      <w:r w:rsidR="00CA1444" w:rsidRPr="008D1A55">
        <w:t>Baseline</w:t>
      </w:r>
      <w:r w:rsidRPr="008D1A55">
        <w:t xml:space="preserve"> were generally balanced across treatment groups, with the mean numbers of active, swollen, and tender joints per patient being 6.4, 6.8, and 10.0, respectively.</w:t>
      </w:r>
    </w:p>
    <w:p w14:paraId="2F6C8244" w14:textId="521945FF" w:rsidR="00C7364D" w:rsidRPr="008D1A55" w:rsidRDefault="00C7364D" w:rsidP="00C7364D">
      <w:r w:rsidRPr="008D1A55">
        <w:t xml:space="preserve">Some organ damage at </w:t>
      </w:r>
      <w:r w:rsidR="00CA1444" w:rsidRPr="008D1A55">
        <w:t>Baseline</w:t>
      </w:r>
      <w:r w:rsidRPr="008D1A55">
        <w:t xml:space="preserve"> (SDI score </w:t>
      </w:r>
      <w:r w:rsidR="00716E1D" w:rsidRPr="008D1A55">
        <w:t xml:space="preserve">at least </w:t>
      </w:r>
      <w:r w:rsidRPr="008D1A55">
        <w:t xml:space="preserve">1) was observed in 31.5% of patients, with a mean overall SDI score of 0.5. Patients had a median time from initial SLE diagnosis to randomisation of 85 months (approximately 7 years). Cushingoid features were generally similar across treatment groups with 25.7% of patients with at least one Cushingoid feature at </w:t>
      </w:r>
      <w:r w:rsidR="00CA1444" w:rsidRPr="008D1A55">
        <w:t>Baseline</w:t>
      </w:r>
      <w:r w:rsidRPr="008D1A55">
        <w:t xml:space="preserve">. The </w:t>
      </w:r>
      <w:proofErr w:type="gramStart"/>
      <w:r w:rsidRPr="008D1A55">
        <w:t>most commonly reported</w:t>
      </w:r>
      <w:proofErr w:type="gramEnd"/>
      <w:r w:rsidRPr="008D1A55">
        <w:t xml:space="preserve"> Cushingoid features were moon face (15.7%), central obesity (11.9%), and easy bruising (8.8%).</w:t>
      </w:r>
    </w:p>
    <w:p w14:paraId="70CE3F98" w14:textId="61C520A0" w:rsidR="00C7364D" w:rsidRPr="008D1A55" w:rsidRDefault="00C7364D" w:rsidP="00C7364D">
      <w:r w:rsidRPr="008D1A55">
        <w:t xml:space="preserve">Overall, 83.1% of patients were classified as </w:t>
      </w:r>
      <w:r w:rsidR="00CC61CB" w:rsidRPr="008D1A55">
        <w:t xml:space="preserve">Type </w:t>
      </w:r>
      <w:r w:rsidR="00D264E5" w:rsidRPr="008D1A55">
        <w:t>I</w:t>
      </w:r>
      <w:r w:rsidRPr="008D1A55">
        <w:t xml:space="preserve"> </w:t>
      </w:r>
      <w:r w:rsidR="00D264E5" w:rsidRPr="008D1A55">
        <w:t>interferon</w:t>
      </w:r>
      <w:r w:rsidRPr="008D1A55">
        <w:t xml:space="preserve"> gene signature test high at screening. A total of 89.8% of patients had elevated</w:t>
      </w:r>
      <w:r w:rsidR="00CA1444" w:rsidRPr="008D1A55">
        <w:t xml:space="preserve"> or </w:t>
      </w:r>
      <w:r w:rsidRPr="008D1A55">
        <w:t xml:space="preserve">abnormal ANA titres and 43.9% tested positive for anti-dsDNA antibodies. The proportions of patients with abnormal serological marker expression at </w:t>
      </w:r>
      <w:r w:rsidR="00CA1444" w:rsidRPr="008D1A55">
        <w:t>Baseline</w:t>
      </w:r>
      <w:r w:rsidRPr="008D1A55">
        <w:t xml:space="preserve"> were generally balanced between the </w:t>
      </w:r>
      <w:proofErr w:type="spellStart"/>
      <w:r w:rsidRPr="008D1A55">
        <w:t>anifrolumab</w:t>
      </w:r>
      <w:proofErr w:type="spellEnd"/>
      <w:r w:rsidRPr="008D1A55">
        <w:t xml:space="preserve"> 300 mg and placebo groups. In the overall patient population, 39.8% of patients had low</w:t>
      </w:r>
      <w:r w:rsidR="00CA1444" w:rsidRPr="008D1A55">
        <w:t xml:space="preserve"> or </w:t>
      </w:r>
      <w:r w:rsidRPr="008D1A55">
        <w:t>abnormal C3 complement levels, 26.2% had low</w:t>
      </w:r>
      <w:r w:rsidR="00CA1444" w:rsidRPr="008D1A55">
        <w:t xml:space="preserve"> or </w:t>
      </w:r>
      <w:r w:rsidRPr="008D1A55">
        <w:t>abnormal C4 complement levels, and 8.6% had low</w:t>
      </w:r>
      <w:r w:rsidR="00CA1444" w:rsidRPr="008D1A55">
        <w:t xml:space="preserve"> or </w:t>
      </w:r>
      <w:r w:rsidRPr="008D1A55">
        <w:t xml:space="preserve">abnormal </w:t>
      </w:r>
      <w:r w:rsidR="00565914" w:rsidRPr="008D1A55">
        <w:t xml:space="preserve">total haemolytic complement </w:t>
      </w:r>
      <w:proofErr w:type="spellStart"/>
      <w:r w:rsidRPr="008D1A55">
        <w:t>complement</w:t>
      </w:r>
      <w:proofErr w:type="spellEnd"/>
      <w:r w:rsidRPr="008D1A55">
        <w:t xml:space="preserve"> levels.</w:t>
      </w:r>
    </w:p>
    <w:p w14:paraId="1CF0B03B" w14:textId="2A232B5A" w:rsidR="00C7364D" w:rsidRPr="008D1A55" w:rsidRDefault="00C7364D" w:rsidP="00C7364D">
      <w:pPr>
        <w:pStyle w:val="Heading6"/>
      </w:pPr>
      <w:r w:rsidRPr="008D1A55">
        <w:t>Study results</w:t>
      </w:r>
    </w:p>
    <w:p w14:paraId="58A57CEE" w14:textId="77777777" w:rsidR="00C7364D" w:rsidRPr="008D1A55" w:rsidRDefault="00C7364D" w:rsidP="00C7364D">
      <w:r w:rsidRPr="008D1A55">
        <w:t>The primary outcome was the difference in the proportion of patients who achieved a BICLA response at Week 52.</w:t>
      </w:r>
    </w:p>
    <w:p w14:paraId="548CE9DD" w14:textId="0CDD212B" w:rsidR="00DA1204" w:rsidRPr="008D1A55" w:rsidRDefault="00C7364D" w:rsidP="00C7364D">
      <w:r w:rsidRPr="008D1A55">
        <w:t xml:space="preserve">Patients treated with </w:t>
      </w:r>
      <w:proofErr w:type="spellStart"/>
      <w:r w:rsidRPr="008D1A55">
        <w:t>anifrolumab</w:t>
      </w:r>
      <w:proofErr w:type="spellEnd"/>
      <w:r w:rsidRPr="008D1A55">
        <w:t xml:space="preserve"> 300 mg </w:t>
      </w:r>
      <w:r w:rsidR="008D5724" w:rsidRPr="008D1A55">
        <w:t>intravenous</w:t>
      </w:r>
      <w:r w:rsidR="006060F7" w:rsidRPr="008D1A55">
        <w:t>ly</w:t>
      </w:r>
      <w:r w:rsidRPr="008D1A55">
        <w:t xml:space="preserve"> </w:t>
      </w:r>
      <w:r w:rsidR="00A259E4" w:rsidRPr="008D1A55">
        <w:t>every 4 weeks</w:t>
      </w:r>
      <w:r w:rsidRPr="008D1A55">
        <w:t xml:space="preserve"> had a statistically significant and clinically meaningful benefit in overall disease activity, as measured by BICLA response rates at Week 52, compared with patients in the placebo group (47.8% </w:t>
      </w:r>
      <w:r w:rsidR="00CA1444" w:rsidRPr="008D1A55">
        <w:t>versus</w:t>
      </w:r>
      <w:r w:rsidRPr="008D1A55">
        <w:t xml:space="preserve"> 31.5%; difference 16.3%, 95% CI</w:t>
      </w:r>
      <w:r w:rsidR="006060F7" w:rsidRPr="008D1A55">
        <w:t>:</w:t>
      </w:r>
      <w:r w:rsidRPr="008D1A55">
        <w:t xml:space="preserve"> 6.3</w:t>
      </w:r>
      <w:r w:rsidR="006060F7" w:rsidRPr="008D1A55">
        <w:t>,</w:t>
      </w:r>
      <w:r w:rsidRPr="008D1A55">
        <w:t xml:space="preserve"> 26.3; p</w:t>
      </w:r>
      <w:r w:rsidR="00A259E4" w:rsidRPr="008D1A55">
        <w:t xml:space="preserve"> </w:t>
      </w:r>
      <w:r w:rsidRPr="008D1A55">
        <w:t>=</w:t>
      </w:r>
      <w:r w:rsidR="00A259E4" w:rsidRPr="008D1A55">
        <w:t xml:space="preserve"> </w:t>
      </w:r>
      <w:r w:rsidRPr="008D1A55">
        <w:t>0.0013).</w:t>
      </w:r>
    </w:p>
    <w:p w14:paraId="70781CF5" w14:textId="1C24F5E1" w:rsidR="00C7364D" w:rsidRPr="008D1A55" w:rsidRDefault="00720FF5" w:rsidP="00591B6D">
      <w:pPr>
        <w:pStyle w:val="TableTitle"/>
        <w:pageBreakBefore/>
      </w:pPr>
      <w:bookmarkStart w:id="60" w:name="_Toc83112042"/>
      <w:r w:rsidRPr="008D1A55">
        <w:lastRenderedPageBreak/>
        <w:t xml:space="preserve">Table </w:t>
      </w:r>
      <w:r w:rsidR="005675A0">
        <w:fldChar w:fldCharType="begin"/>
      </w:r>
      <w:r w:rsidR="005675A0">
        <w:instrText xml:space="preserve"> SEQ Table \* ARABIC </w:instrText>
      </w:r>
      <w:r w:rsidR="005675A0">
        <w:fldChar w:fldCharType="separate"/>
      </w:r>
      <w:r w:rsidR="00D8723A">
        <w:rPr>
          <w:noProof/>
        </w:rPr>
        <w:t>5</w:t>
      </w:r>
      <w:r w:rsidR="005675A0">
        <w:rPr>
          <w:noProof/>
        </w:rPr>
        <w:fldChar w:fldCharType="end"/>
      </w:r>
      <w:r w:rsidRPr="008D1A55">
        <w:t xml:space="preserve">: </w:t>
      </w:r>
      <w:r w:rsidR="00C7364D" w:rsidRPr="008D1A55">
        <w:t xml:space="preserve">Study </w:t>
      </w:r>
      <w:r w:rsidR="00C30BE3" w:rsidRPr="008D1A55">
        <w:t>D3461C00004</w:t>
      </w:r>
      <w:r w:rsidR="00C7364D" w:rsidRPr="008D1A55">
        <w:t xml:space="preserve"> </w:t>
      </w:r>
      <w:r w:rsidR="006060F7" w:rsidRPr="008D1A55">
        <w:t xml:space="preserve">British Isles Lupus Assessment Group-based Composite Lupus Assessment </w:t>
      </w:r>
      <w:r w:rsidR="00C7364D" w:rsidRPr="008D1A55">
        <w:t>response rate, treatment comparison at Week</w:t>
      </w:r>
      <w:r w:rsidR="006060F7" w:rsidRPr="008D1A55">
        <w:t> </w:t>
      </w:r>
      <w:r w:rsidR="00C7364D" w:rsidRPr="008D1A55">
        <w:t>52, stratified Cochran-Mantel-Haenszel approach (</w:t>
      </w:r>
      <w:r w:rsidR="006060F7" w:rsidRPr="008D1A55">
        <w:t>full analysis set</w:t>
      </w:r>
      <w:r w:rsidR="00C7364D" w:rsidRPr="008D1A55">
        <w:t>)</w:t>
      </w:r>
      <w:bookmarkEnd w:id="60"/>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8"/>
        <w:gridCol w:w="1110"/>
        <w:gridCol w:w="430"/>
        <w:gridCol w:w="993"/>
        <w:gridCol w:w="991"/>
        <w:gridCol w:w="991"/>
        <w:gridCol w:w="1110"/>
        <w:gridCol w:w="1017"/>
        <w:gridCol w:w="990"/>
      </w:tblGrid>
      <w:tr w:rsidR="00C7364D" w:rsidRPr="008D1A55" w14:paraId="49D276F7" w14:textId="77777777" w:rsidTr="00A40105">
        <w:trPr>
          <w:trHeight w:hRule="exact" w:val="482"/>
          <w:jc w:val="center"/>
        </w:trPr>
        <w:tc>
          <w:tcPr>
            <w:tcW w:w="1356" w:type="pct"/>
            <w:gridSpan w:val="3"/>
            <w:shd w:val="clear" w:color="auto" w:fill="006DA7"/>
          </w:tcPr>
          <w:p w14:paraId="4AFBC921" w14:textId="77777777" w:rsidR="00C7364D" w:rsidRPr="008D1A55" w:rsidRDefault="00C7364D" w:rsidP="006060F7">
            <w:pPr>
              <w:pStyle w:val="Tabletext"/>
              <w:rPr>
                <w:b/>
                <w:bCs/>
                <w:color w:val="FFFFFF" w:themeColor="background1"/>
              </w:rPr>
            </w:pPr>
          </w:p>
        </w:tc>
        <w:tc>
          <w:tcPr>
            <w:tcW w:w="1779" w:type="pct"/>
            <w:gridSpan w:val="3"/>
            <w:shd w:val="clear" w:color="auto" w:fill="006DA7"/>
            <w:vAlign w:val="center"/>
          </w:tcPr>
          <w:p w14:paraId="385FE702" w14:textId="5601173E" w:rsidR="00C7364D" w:rsidRPr="008D1A55" w:rsidRDefault="00C7364D" w:rsidP="006060F7">
            <w:pPr>
              <w:pStyle w:val="Tabletext"/>
              <w:rPr>
                <w:b/>
                <w:bCs/>
                <w:color w:val="FFFFFF" w:themeColor="background1"/>
              </w:rPr>
            </w:pPr>
            <w:r w:rsidRPr="008D1A55">
              <w:rPr>
                <w:b/>
                <w:bCs/>
                <w:color w:val="FFFFFF" w:themeColor="background1"/>
              </w:rPr>
              <w:t>N</w:t>
            </w:r>
            <w:r w:rsidR="00743A94" w:rsidRPr="008D1A55">
              <w:rPr>
                <w:b/>
                <w:bCs/>
                <w:color w:val="FFFFFF" w:themeColor="background1"/>
              </w:rPr>
              <w:t>umber</w:t>
            </w:r>
            <w:r w:rsidR="000C4EB0" w:rsidRPr="008D1A55">
              <w:rPr>
                <w:b/>
                <w:bCs/>
                <w:color w:val="FFFFFF" w:themeColor="background1"/>
              </w:rPr>
              <w:t xml:space="preserve"> </w:t>
            </w:r>
            <w:r w:rsidRPr="008D1A55">
              <w:rPr>
                <w:b/>
                <w:bCs/>
                <w:color w:val="FFFFFF" w:themeColor="background1"/>
              </w:rPr>
              <w:t xml:space="preserve">(%) of </w:t>
            </w:r>
            <w:proofErr w:type="spellStart"/>
            <w:proofErr w:type="gramStart"/>
            <w:r w:rsidRPr="008D1A55">
              <w:rPr>
                <w:b/>
                <w:bCs/>
                <w:color w:val="FFFFFF" w:themeColor="background1"/>
              </w:rPr>
              <w:t>subjects</w:t>
            </w:r>
            <w:r w:rsidR="006060F7" w:rsidRPr="008D1A55">
              <w:rPr>
                <w:b/>
                <w:bCs/>
                <w:color w:val="FFFFFF" w:themeColor="background1"/>
              </w:rPr>
              <w:t>;</w:t>
            </w:r>
            <w:r w:rsidRPr="008D1A55">
              <w:rPr>
                <w:b/>
                <w:bCs/>
                <w:color w:val="FFFFFF" w:themeColor="background1"/>
                <w:vertAlign w:val="superscript"/>
              </w:rPr>
              <w:t>a</w:t>
            </w:r>
            <w:proofErr w:type="spellEnd"/>
            <w:proofErr w:type="gramEnd"/>
          </w:p>
        </w:tc>
        <w:tc>
          <w:tcPr>
            <w:tcW w:w="1865" w:type="pct"/>
            <w:gridSpan w:val="3"/>
            <w:shd w:val="clear" w:color="auto" w:fill="006DA7"/>
            <w:vAlign w:val="center"/>
          </w:tcPr>
          <w:p w14:paraId="522E0068" w14:textId="24944C7D" w:rsidR="00C7364D" w:rsidRPr="008D1A55" w:rsidRDefault="00C7364D" w:rsidP="006060F7">
            <w:pPr>
              <w:pStyle w:val="Tabletext"/>
              <w:rPr>
                <w:b/>
                <w:bCs/>
                <w:color w:val="FFFFFF" w:themeColor="background1"/>
              </w:rPr>
            </w:pPr>
            <w:r w:rsidRPr="008D1A55">
              <w:rPr>
                <w:b/>
                <w:bCs/>
                <w:color w:val="FFFFFF" w:themeColor="background1"/>
              </w:rPr>
              <w:t xml:space="preserve">Comparison with </w:t>
            </w:r>
            <w:proofErr w:type="spellStart"/>
            <w:proofErr w:type="gramStart"/>
            <w:r w:rsidR="006060F7" w:rsidRPr="008D1A55">
              <w:rPr>
                <w:b/>
                <w:bCs/>
                <w:color w:val="FFFFFF" w:themeColor="background1"/>
              </w:rPr>
              <w:t>placebo;</w:t>
            </w:r>
            <w:r w:rsidRPr="008D1A55">
              <w:rPr>
                <w:b/>
                <w:bCs/>
                <w:color w:val="FFFFFF" w:themeColor="background1"/>
                <w:vertAlign w:val="superscript"/>
              </w:rPr>
              <w:t>a</w:t>
            </w:r>
            <w:proofErr w:type="spellEnd"/>
            <w:proofErr w:type="gramEnd"/>
          </w:p>
        </w:tc>
      </w:tr>
      <w:tr w:rsidR="006060F7" w:rsidRPr="008D1A55" w14:paraId="2593736D" w14:textId="77777777" w:rsidTr="00A40105">
        <w:trPr>
          <w:trHeight w:hRule="exact" w:val="845"/>
          <w:jc w:val="center"/>
        </w:trPr>
        <w:tc>
          <w:tcPr>
            <w:tcW w:w="435" w:type="pct"/>
            <w:shd w:val="clear" w:color="auto" w:fill="006DA7"/>
            <w:vAlign w:val="center"/>
          </w:tcPr>
          <w:p w14:paraId="2A2AABC3" w14:textId="77777777" w:rsidR="00C7364D" w:rsidRPr="008D1A55" w:rsidRDefault="00C7364D" w:rsidP="006060F7">
            <w:pPr>
              <w:pStyle w:val="Tabletext"/>
              <w:rPr>
                <w:b/>
                <w:bCs/>
                <w:color w:val="FFFFFF" w:themeColor="background1"/>
              </w:rPr>
            </w:pPr>
            <w:r w:rsidRPr="008D1A55">
              <w:rPr>
                <w:b/>
                <w:bCs/>
                <w:color w:val="FFFFFF" w:themeColor="background1"/>
              </w:rPr>
              <w:t>Time</w:t>
            </w:r>
          </w:p>
          <w:p w14:paraId="420C1D00" w14:textId="77777777" w:rsidR="00C7364D" w:rsidRPr="008D1A55" w:rsidRDefault="00C7364D" w:rsidP="006060F7">
            <w:pPr>
              <w:pStyle w:val="Tabletext"/>
              <w:rPr>
                <w:b/>
                <w:bCs/>
                <w:color w:val="FFFFFF" w:themeColor="background1"/>
              </w:rPr>
            </w:pPr>
            <w:r w:rsidRPr="008D1A55">
              <w:rPr>
                <w:b/>
                <w:bCs/>
                <w:color w:val="FFFFFF" w:themeColor="background1"/>
              </w:rPr>
              <w:t>point</w:t>
            </w:r>
          </w:p>
        </w:tc>
        <w:tc>
          <w:tcPr>
            <w:tcW w:w="664" w:type="pct"/>
            <w:shd w:val="clear" w:color="auto" w:fill="006DA7"/>
            <w:vAlign w:val="center"/>
          </w:tcPr>
          <w:p w14:paraId="65C15593" w14:textId="77777777" w:rsidR="00C7364D" w:rsidRPr="008D1A55" w:rsidRDefault="00C7364D" w:rsidP="006060F7">
            <w:pPr>
              <w:pStyle w:val="Tabletext"/>
              <w:rPr>
                <w:b/>
                <w:bCs/>
                <w:color w:val="FFFFFF" w:themeColor="background1"/>
              </w:rPr>
            </w:pPr>
            <w:r w:rsidRPr="008D1A55">
              <w:rPr>
                <w:b/>
                <w:bCs/>
                <w:color w:val="FFFFFF" w:themeColor="background1"/>
              </w:rPr>
              <w:t>Treatment group</w:t>
            </w:r>
          </w:p>
        </w:tc>
        <w:tc>
          <w:tcPr>
            <w:tcW w:w="256" w:type="pct"/>
            <w:shd w:val="clear" w:color="auto" w:fill="006DA7"/>
            <w:vAlign w:val="center"/>
          </w:tcPr>
          <w:p w14:paraId="44FCDAAB" w14:textId="77777777" w:rsidR="00C7364D" w:rsidRPr="008D1A55" w:rsidRDefault="00C7364D" w:rsidP="006060F7">
            <w:pPr>
              <w:pStyle w:val="Tabletext"/>
              <w:rPr>
                <w:b/>
                <w:bCs/>
                <w:color w:val="FFFFFF" w:themeColor="background1"/>
              </w:rPr>
            </w:pPr>
            <w:r w:rsidRPr="008D1A55">
              <w:rPr>
                <w:b/>
                <w:bCs/>
                <w:color w:val="FFFFFF" w:themeColor="background1"/>
              </w:rPr>
              <w:t>n</w:t>
            </w:r>
          </w:p>
        </w:tc>
        <w:tc>
          <w:tcPr>
            <w:tcW w:w="594" w:type="pct"/>
            <w:shd w:val="clear" w:color="auto" w:fill="006DA7"/>
            <w:vAlign w:val="center"/>
          </w:tcPr>
          <w:p w14:paraId="335DAC09" w14:textId="77777777" w:rsidR="00C7364D" w:rsidRPr="008D1A55" w:rsidRDefault="00C7364D" w:rsidP="006060F7">
            <w:pPr>
              <w:pStyle w:val="Tabletext"/>
              <w:rPr>
                <w:b/>
                <w:bCs/>
                <w:color w:val="FFFFFF" w:themeColor="background1"/>
              </w:rPr>
            </w:pPr>
            <w:r w:rsidRPr="008D1A55">
              <w:rPr>
                <w:b/>
                <w:bCs/>
                <w:color w:val="FFFFFF" w:themeColor="background1"/>
              </w:rPr>
              <w:t>Responder</w:t>
            </w:r>
          </w:p>
        </w:tc>
        <w:tc>
          <w:tcPr>
            <w:tcW w:w="593" w:type="pct"/>
            <w:shd w:val="clear" w:color="auto" w:fill="006DA7"/>
            <w:vAlign w:val="center"/>
          </w:tcPr>
          <w:p w14:paraId="2B9DADE9" w14:textId="77777777" w:rsidR="00C7364D" w:rsidRPr="008D1A55" w:rsidRDefault="00C7364D" w:rsidP="006060F7">
            <w:pPr>
              <w:pStyle w:val="Tabletext"/>
              <w:rPr>
                <w:b/>
                <w:bCs/>
                <w:color w:val="FFFFFF" w:themeColor="background1"/>
              </w:rPr>
            </w:pPr>
            <w:r w:rsidRPr="008D1A55">
              <w:rPr>
                <w:b/>
                <w:bCs/>
                <w:color w:val="FFFFFF" w:themeColor="background1"/>
              </w:rPr>
              <w:t>Non- responder</w:t>
            </w:r>
          </w:p>
        </w:tc>
        <w:tc>
          <w:tcPr>
            <w:tcW w:w="593" w:type="pct"/>
            <w:shd w:val="clear" w:color="auto" w:fill="006DA7"/>
            <w:vAlign w:val="center"/>
          </w:tcPr>
          <w:p w14:paraId="5B2598E9" w14:textId="77777777" w:rsidR="00C7364D" w:rsidRPr="008D1A55" w:rsidRDefault="00C7364D" w:rsidP="006060F7">
            <w:pPr>
              <w:pStyle w:val="Tabletext"/>
              <w:rPr>
                <w:b/>
                <w:bCs/>
                <w:color w:val="FFFFFF" w:themeColor="background1"/>
              </w:rPr>
            </w:pPr>
            <w:r w:rsidRPr="008D1A55">
              <w:rPr>
                <w:b/>
                <w:bCs/>
                <w:color w:val="FFFFFF" w:themeColor="background1"/>
              </w:rPr>
              <w:t>95% CI Response Rate</w:t>
            </w:r>
          </w:p>
        </w:tc>
        <w:tc>
          <w:tcPr>
            <w:tcW w:w="664" w:type="pct"/>
            <w:shd w:val="clear" w:color="auto" w:fill="006DA7"/>
            <w:vAlign w:val="center"/>
          </w:tcPr>
          <w:p w14:paraId="4C68179B" w14:textId="77777777" w:rsidR="00C7364D" w:rsidRPr="008D1A55" w:rsidRDefault="00C7364D" w:rsidP="006060F7">
            <w:pPr>
              <w:pStyle w:val="Tabletext"/>
              <w:rPr>
                <w:b/>
                <w:bCs/>
                <w:color w:val="FFFFFF" w:themeColor="background1"/>
              </w:rPr>
            </w:pPr>
            <w:r w:rsidRPr="008D1A55">
              <w:rPr>
                <w:b/>
                <w:bCs/>
                <w:color w:val="FFFFFF" w:themeColor="background1"/>
              </w:rPr>
              <w:t>Difference in Response Rates</w:t>
            </w:r>
          </w:p>
        </w:tc>
        <w:tc>
          <w:tcPr>
            <w:tcW w:w="608" w:type="pct"/>
            <w:shd w:val="clear" w:color="auto" w:fill="006DA7"/>
            <w:vAlign w:val="center"/>
          </w:tcPr>
          <w:p w14:paraId="505E83E7" w14:textId="77777777" w:rsidR="00C7364D" w:rsidRPr="008D1A55" w:rsidRDefault="00C7364D" w:rsidP="006060F7">
            <w:pPr>
              <w:pStyle w:val="Tabletext"/>
              <w:rPr>
                <w:b/>
                <w:bCs/>
                <w:color w:val="FFFFFF" w:themeColor="background1"/>
              </w:rPr>
            </w:pPr>
            <w:r w:rsidRPr="008D1A55">
              <w:rPr>
                <w:b/>
                <w:bCs/>
                <w:color w:val="FFFFFF" w:themeColor="background1"/>
              </w:rPr>
              <w:t>95% CI Difference</w:t>
            </w:r>
          </w:p>
        </w:tc>
        <w:tc>
          <w:tcPr>
            <w:tcW w:w="593" w:type="pct"/>
            <w:shd w:val="clear" w:color="auto" w:fill="006DA7"/>
            <w:vAlign w:val="center"/>
          </w:tcPr>
          <w:p w14:paraId="54F712A7" w14:textId="17E1210A" w:rsidR="00C7364D" w:rsidRPr="008D1A55" w:rsidRDefault="00C7364D" w:rsidP="006060F7">
            <w:pPr>
              <w:pStyle w:val="Tabletext"/>
              <w:rPr>
                <w:b/>
                <w:bCs/>
                <w:color w:val="FFFFFF" w:themeColor="background1"/>
              </w:rPr>
            </w:pPr>
            <w:proofErr w:type="spellStart"/>
            <w:r w:rsidRPr="008D1A55">
              <w:rPr>
                <w:b/>
                <w:bCs/>
                <w:color w:val="FFFFFF" w:themeColor="background1"/>
              </w:rPr>
              <w:t>p-</w:t>
            </w:r>
            <w:proofErr w:type="gramStart"/>
            <w:r w:rsidRPr="008D1A55">
              <w:rPr>
                <w:b/>
                <w:bCs/>
                <w:color w:val="FFFFFF" w:themeColor="background1"/>
              </w:rPr>
              <w:t>value</w:t>
            </w:r>
            <w:r w:rsidR="006060F7" w:rsidRPr="008D1A55">
              <w:rPr>
                <w:b/>
                <w:bCs/>
                <w:color w:val="FFFFFF" w:themeColor="background1"/>
              </w:rPr>
              <w:t>;</w:t>
            </w:r>
            <w:r w:rsidRPr="008D1A55">
              <w:rPr>
                <w:b/>
                <w:bCs/>
                <w:color w:val="FFFFFF" w:themeColor="background1"/>
                <w:vertAlign w:val="superscript"/>
              </w:rPr>
              <w:t>b</w:t>
            </w:r>
            <w:proofErr w:type="spellEnd"/>
            <w:proofErr w:type="gramEnd"/>
          </w:p>
        </w:tc>
      </w:tr>
      <w:tr w:rsidR="006060F7" w:rsidRPr="008D1A55" w14:paraId="23E47F0F" w14:textId="77777777" w:rsidTr="00640279">
        <w:trPr>
          <w:trHeight w:hRule="exact" w:val="845"/>
          <w:jc w:val="center"/>
        </w:trPr>
        <w:tc>
          <w:tcPr>
            <w:tcW w:w="435" w:type="pct"/>
            <w:vMerge w:val="restart"/>
            <w:vAlign w:val="center"/>
          </w:tcPr>
          <w:p w14:paraId="24BFDF83" w14:textId="77777777" w:rsidR="00C7364D" w:rsidRPr="008D1A55" w:rsidRDefault="00C7364D" w:rsidP="00640279">
            <w:pPr>
              <w:pStyle w:val="Tabletext"/>
            </w:pPr>
            <w:r w:rsidRPr="008D1A55">
              <w:t>Week 52</w:t>
            </w:r>
          </w:p>
        </w:tc>
        <w:tc>
          <w:tcPr>
            <w:tcW w:w="664" w:type="pct"/>
            <w:vAlign w:val="center"/>
          </w:tcPr>
          <w:p w14:paraId="6FEE5FEE" w14:textId="159CC75D" w:rsidR="00C7364D" w:rsidRPr="008D1A55" w:rsidRDefault="00C7364D" w:rsidP="006060F7">
            <w:pPr>
              <w:pStyle w:val="Tabletext"/>
            </w:pPr>
            <w:proofErr w:type="spellStart"/>
            <w:r w:rsidRPr="008D1A55">
              <w:t>Anifrolumab</w:t>
            </w:r>
            <w:proofErr w:type="spellEnd"/>
            <w:r w:rsidRPr="008D1A55">
              <w:t xml:space="preserve"> 300mg</w:t>
            </w:r>
          </w:p>
        </w:tc>
        <w:tc>
          <w:tcPr>
            <w:tcW w:w="256" w:type="pct"/>
            <w:vAlign w:val="center"/>
          </w:tcPr>
          <w:p w14:paraId="26E32845" w14:textId="77777777" w:rsidR="00C7364D" w:rsidRPr="008D1A55" w:rsidRDefault="00C7364D" w:rsidP="006060F7">
            <w:pPr>
              <w:pStyle w:val="Tabletext"/>
            </w:pPr>
            <w:r w:rsidRPr="008D1A55">
              <w:t>180</w:t>
            </w:r>
          </w:p>
        </w:tc>
        <w:tc>
          <w:tcPr>
            <w:tcW w:w="594" w:type="pct"/>
            <w:vAlign w:val="center"/>
          </w:tcPr>
          <w:p w14:paraId="738CADD0" w14:textId="77777777" w:rsidR="00C7364D" w:rsidRPr="008D1A55" w:rsidRDefault="00C7364D" w:rsidP="006060F7">
            <w:pPr>
              <w:pStyle w:val="Tabletext"/>
            </w:pPr>
            <w:r w:rsidRPr="008D1A55">
              <w:t>86 (47.8)</w:t>
            </w:r>
          </w:p>
        </w:tc>
        <w:tc>
          <w:tcPr>
            <w:tcW w:w="593" w:type="pct"/>
            <w:vAlign w:val="center"/>
          </w:tcPr>
          <w:p w14:paraId="76F50117" w14:textId="77777777" w:rsidR="00C7364D" w:rsidRPr="008D1A55" w:rsidRDefault="00C7364D" w:rsidP="006060F7">
            <w:pPr>
              <w:pStyle w:val="Tabletext"/>
            </w:pPr>
            <w:r w:rsidRPr="008D1A55">
              <w:t>94 (52.2)</w:t>
            </w:r>
          </w:p>
        </w:tc>
        <w:tc>
          <w:tcPr>
            <w:tcW w:w="593" w:type="pct"/>
            <w:vAlign w:val="center"/>
          </w:tcPr>
          <w:p w14:paraId="3037CB5D" w14:textId="77777777" w:rsidR="00C7364D" w:rsidRPr="008D1A55" w:rsidRDefault="00C7364D" w:rsidP="006060F7">
            <w:pPr>
              <w:pStyle w:val="Tabletext"/>
            </w:pPr>
            <w:r w:rsidRPr="008D1A55">
              <w:t>40.6, 55.1</w:t>
            </w:r>
          </w:p>
        </w:tc>
        <w:tc>
          <w:tcPr>
            <w:tcW w:w="664" w:type="pct"/>
            <w:vAlign w:val="center"/>
          </w:tcPr>
          <w:p w14:paraId="678179F0" w14:textId="77777777" w:rsidR="00C7364D" w:rsidRPr="008D1A55" w:rsidRDefault="00C7364D" w:rsidP="006060F7">
            <w:pPr>
              <w:pStyle w:val="Tabletext"/>
            </w:pPr>
            <w:r w:rsidRPr="008D1A55">
              <w:t>16.3</w:t>
            </w:r>
          </w:p>
        </w:tc>
        <w:tc>
          <w:tcPr>
            <w:tcW w:w="608" w:type="pct"/>
            <w:vAlign w:val="center"/>
          </w:tcPr>
          <w:p w14:paraId="6D2FCD24" w14:textId="77777777" w:rsidR="00C7364D" w:rsidRPr="008D1A55" w:rsidRDefault="00C7364D" w:rsidP="006060F7">
            <w:pPr>
              <w:pStyle w:val="Tabletext"/>
            </w:pPr>
            <w:r w:rsidRPr="008D1A55">
              <w:t>6.3, 26.3</w:t>
            </w:r>
          </w:p>
        </w:tc>
        <w:tc>
          <w:tcPr>
            <w:tcW w:w="593" w:type="pct"/>
            <w:vAlign w:val="center"/>
          </w:tcPr>
          <w:p w14:paraId="5DDDDFED" w14:textId="77777777" w:rsidR="00C7364D" w:rsidRPr="008D1A55" w:rsidRDefault="00C7364D" w:rsidP="006060F7">
            <w:pPr>
              <w:pStyle w:val="Tabletext"/>
            </w:pPr>
            <w:r w:rsidRPr="008D1A55">
              <w:t>0.0013</w:t>
            </w:r>
          </w:p>
        </w:tc>
      </w:tr>
      <w:tr w:rsidR="006060F7" w:rsidRPr="008D1A55" w14:paraId="0A74A1BF" w14:textId="77777777" w:rsidTr="00A40105">
        <w:trPr>
          <w:trHeight w:hRule="exact" w:val="482"/>
          <w:jc w:val="center"/>
        </w:trPr>
        <w:tc>
          <w:tcPr>
            <w:tcW w:w="435" w:type="pct"/>
            <w:vMerge/>
          </w:tcPr>
          <w:p w14:paraId="0FEB34E0" w14:textId="77777777" w:rsidR="00C7364D" w:rsidRPr="008D1A55" w:rsidRDefault="00C7364D" w:rsidP="006060F7">
            <w:pPr>
              <w:pStyle w:val="Tabletext"/>
            </w:pPr>
          </w:p>
        </w:tc>
        <w:tc>
          <w:tcPr>
            <w:tcW w:w="664" w:type="pct"/>
            <w:vAlign w:val="center"/>
          </w:tcPr>
          <w:p w14:paraId="4D58215C" w14:textId="3A98FF6C" w:rsidR="00C7364D" w:rsidRPr="008D1A55" w:rsidRDefault="00C7364D" w:rsidP="006060F7">
            <w:pPr>
              <w:pStyle w:val="Tabletext"/>
            </w:pPr>
            <w:r w:rsidRPr="008D1A55">
              <w:t>Placebo</w:t>
            </w:r>
          </w:p>
        </w:tc>
        <w:tc>
          <w:tcPr>
            <w:tcW w:w="256" w:type="pct"/>
            <w:vAlign w:val="center"/>
          </w:tcPr>
          <w:p w14:paraId="490491CD" w14:textId="77777777" w:rsidR="00C7364D" w:rsidRPr="008D1A55" w:rsidRDefault="00C7364D" w:rsidP="006060F7">
            <w:pPr>
              <w:pStyle w:val="Tabletext"/>
            </w:pPr>
            <w:r w:rsidRPr="008D1A55">
              <w:t>182</w:t>
            </w:r>
          </w:p>
        </w:tc>
        <w:tc>
          <w:tcPr>
            <w:tcW w:w="594" w:type="pct"/>
            <w:vAlign w:val="center"/>
          </w:tcPr>
          <w:p w14:paraId="4F5A34F9" w14:textId="77777777" w:rsidR="00C7364D" w:rsidRPr="008D1A55" w:rsidRDefault="00C7364D" w:rsidP="006060F7">
            <w:pPr>
              <w:pStyle w:val="Tabletext"/>
            </w:pPr>
            <w:r w:rsidRPr="008D1A55">
              <w:t>57 (31.5)</w:t>
            </w:r>
          </w:p>
        </w:tc>
        <w:tc>
          <w:tcPr>
            <w:tcW w:w="593" w:type="pct"/>
            <w:vAlign w:val="center"/>
          </w:tcPr>
          <w:p w14:paraId="52AF0395" w14:textId="77777777" w:rsidR="00C7364D" w:rsidRPr="008D1A55" w:rsidRDefault="00C7364D" w:rsidP="006060F7">
            <w:pPr>
              <w:pStyle w:val="Tabletext"/>
            </w:pPr>
            <w:r w:rsidRPr="008D1A55">
              <w:t>125 (68.5)</w:t>
            </w:r>
          </w:p>
        </w:tc>
        <w:tc>
          <w:tcPr>
            <w:tcW w:w="593" w:type="pct"/>
            <w:vAlign w:val="center"/>
          </w:tcPr>
          <w:p w14:paraId="1F293DC7" w14:textId="77777777" w:rsidR="00C7364D" w:rsidRPr="008D1A55" w:rsidRDefault="00C7364D" w:rsidP="006060F7">
            <w:pPr>
              <w:pStyle w:val="Tabletext"/>
            </w:pPr>
            <w:r w:rsidRPr="008D1A55">
              <w:t>24.7, 38.3</w:t>
            </w:r>
          </w:p>
        </w:tc>
        <w:tc>
          <w:tcPr>
            <w:tcW w:w="664" w:type="pct"/>
            <w:vAlign w:val="center"/>
          </w:tcPr>
          <w:p w14:paraId="0C33BC2F" w14:textId="77777777" w:rsidR="00C7364D" w:rsidRPr="008D1A55" w:rsidRDefault="00C7364D" w:rsidP="006060F7">
            <w:pPr>
              <w:pStyle w:val="Tabletext"/>
            </w:pPr>
          </w:p>
        </w:tc>
        <w:tc>
          <w:tcPr>
            <w:tcW w:w="608" w:type="pct"/>
            <w:vAlign w:val="center"/>
          </w:tcPr>
          <w:p w14:paraId="37C71617" w14:textId="77777777" w:rsidR="00C7364D" w:rsidRPr="008D1A55" w:rsidRDefault="00C7364D" w:rsidP="006060F7">
            <w:pPr>
              <w:pStyle w:val="Tabletext"/>
            </w:pPr>
          </w:p>
        </w:tc>
        <w:tc>
          <w:tcPr>
            <w:tcW w:w="593" w:type="pct"/>
            <w:vAlign w:val="center"/>
          </w:tcPr>
          <w:p w14:paraId="6BA740FA" w14:textId="77777777" w:rsidR="00C7364D" w:rsidRPr="008D1A55" w:rsidRDefault="00C7364D" w:rsidP="006060F7">
            <w:pPr>
              <w:pStyle w:val="Tabletext"/>
            </w:pPr>
          </w:p>
        </w:tc>
      </w:tr>
    </w:tbl>
    <w:p w14:paraId="794174AA" w14:textId="74DD8489" w:rsidR="006060F7" w:rsidRPr="008D1A55" w:rsidRDefault="006060F7" w:rsidP="006060F7">
      <w:pPr>
        <w:pStyle w:val="TableDescription"/>
      </w:pPr>
      <w:r w:rsidRPr="008D1A55">
        <w:t>Abbreviations: CI = confidence interval; n = number of subjects in analysis</w:t>
      </w:r>
      <w:r w:rsidR="00743A94" w:rsidRPr="008D1A55">
        <w:t xml:space="preserve"> group</w:t>
      </w:r>
      <w:r w:rsidR="000C4EB0" w:rsidRPr="008D1A55">
        <w:t>.</w:t>
      </w:r>
    </w:p>
    <w:p w14:paraId="376DD7A8" w14:textId="44FB99B7" w:rsidR="00C7364D" w:rsidRPr="008D1A55" w:rsidRDefault="00C7364D" w:rsidP="00033632">
      <w:pPr>
        <w:pStyle w:val="TableDescription"/>
      </w:pPr>
      <w:proofErr w:type="spellStart"/>
      <w:r w:rsidRPr="008D1A55">
        <w:t>a</w:t>
      </w:r>
      <w:proofErr w:type="spellEnd"/>
      <w:r w:rsidRPr="008D1A55">
        <w:t xml:space="preserve"> The responder/non-responder rates (percentages), the difference in estimates, and associated 95% CIs are weighted and are calculated using a stratified </w:t>
      </w:r>
      <w:r w:rsidR="006060F7" w:rsidRPr="008D1A55">
        <w:t xml:space="preserve">Cochran-Mantel-Haenszel </w:t>
      </w:r>
      <w:r w:rsidRPr="008D1A55">
        <w:t>approach, with stratification factors (</w:t>
      </w:r>
      <w:r w:rsidR="000C4EB0" w:rsidRPr="008D1A55">
        <w:t>Systemic Lupus Erythematosus Disease Activity Index 2000 (</w:t>
      </w:r>
      <w:r w:rsidRPr="008D1A55">
        <w:t>SLEDAI-2K</w:t>
      </w:r>
      <w:r w:rsidR="000C4EB0" w:rsidRPr="008D1A55">
        <w:t>)</w:t>
      </w:r>
      <w:r w:rsidRPr="008D1A55">
        <w:t xml:space="preserve"> score at screening </w:t>
      </w:r>
      <w:r w:rsidR="00740C4D" w:rsidRPr="008D1A55">
        <w:t>(</w:t>
      </w:r>
      <w:r w:rsidR="000C4EB0" w:rsidRPr="008D1A55">
        <w:t xml:space="preserve">less than </w:t>
      </w:r>
      <w:r w:rsidRPr="008D1A55">
        <w:t xml:space="preserve">10 points </w:t>
      </w:r>
      <w:r w:rsidR="00CA1444" w:rsidRPr="008D1A55">
        <w:t>versus</w:t>
      </w:r>
      <w:r w:rsidRPr="008D1A55">
        <w:t xml:space="preserve"> </w:t>
      </w:r>
      <w:r w:rsidR="000C4EB0" w:rsidRPr="008D1A55">
        <w:t xml:space="preserve">at least </w:t>
      </w:r>
      <w:r w:rsidRPr="008D1A55">
        <w:t>10 points</w:t>
      </w:r>
      <w:r w:rsidR="00740C4D" w:rsidRPr="008D1A55">
        <w:t>)</w:t>
      </w:r>
      <w:r w:rsidRPr="008D1A55">
        <w:t xml:space="preserve">, Week 0 </w:t>
      </w:r>
      <w:r w:rsidR="007D0024" w:rsidRPr="008D1A55">
        <w:t>oral corticosteroids</w:t>
      </w:r>
      <w:r w:rsidRPr="008D1A55">
        <w:t xml:space="preserve"> dose </w:t>
      </w:r>
      <w:r w:rsidR="00740C4D" w:rsidRPr="008D1A55">
        <w:t>(</w:t>
      </w:r>
      <w:r w:rsidR="000C4EB0" w:rsidRPr="008D1A55">
        <w:t xml:space="preserve">less than </w:t>
      </w:r>
      <w:r w:rsidRPr="008D1A55">
        <w:t>10</w:t>
      </w:r>
      <w:r w:rsidR="000C4EB0" w:rsidRPr="008D1A55">
        <w:t> </w:t>
      </w:r>
      <w:r w:rsidRPr="008D1A55">
        <w:t xml:space="preserve">mg/day </w:t>
      </w:r>
      <w:r w:rsidR="00CA1444" w:rsidRPr="008D1A55">
        <w:t>versus</w:t>
      </w:r>
      <w:r w:rsidRPr="008D1A55">
        <w:t xml:space="preserve"> </w:t>
      </w:r>
      <w:r w:rsidR="000C4EB0" w:rsidRPr="008D1A55">
        <w:t xml:space="preserve">at least </w:t>
      </w:r>
      <w:r w:rsidRPr="008D1A55">
        <w:t>10 mg/day prednisone or equivalent</w:t>
      </w:r>
      <w:r w:rsidR="00740C4D" w:rsidRPr="008D1A55">
        <w:t>)</w:t>
      </w:r>
      <w:r w:rsidRPr="008D1A55">
        <w:t xml:space="preserve"> and </w:t>
      </w:r>
      <w:r w:rsidR="00CC61CB" w:rsidRPr="008D1A55">
        <w:t xml:space="preserve">Type </w:t>
      </w:r>
      <w:r w:rsidR="00D264E5" w:rsidRPr="008D1A55">
        <w:t>I</w:t>
      </w:r>
      <w:r w:rsidRPr="008D1A55">
        <w:t xml:space="preserve"> </w:t>
      </w:r>
      <w:r w:rsidR="00D264E5" w:rsidRPr="008D1A55">
        <w:t>interferon</w:t>
      </w:r>
      <w:r w:rsidRPr="008D1A55">
        <w:t xml:space="preserve"> test result at screening </w:t>
      </w:r>
      <w:r w:rsidR="00740C4D" w:rsidRPr="008D1A55">
        <w:t>(</w:t>
      </w:r>
      <w:r w:rsidRPr="008D1A55">
        <w:t xml:space="preserve">high </w:t>
      </w:r>
      <w:r w:rsidR="00CA1444" w:rsidRPr="008D1A55">
        <w:t>versus</w:t>
      </w:r>
      <w:r w:rsidRPr="008D1A55">
        <w:t xml:space="preserve"> low</w:t>
      </w:r>
      <w:r w:rsidR="00740C4D" w:rsidRPr="008D1A55">
        <w:t>)</w:t>
      </w:r>
      <w:r w:rsidRPr="008D1A55">
        <w:t>).</w:t>
      </w:r>
    </w:p>
    <w:p w14:paraId="0BF71583" w14:textId="0DD736AA" w:rsidR="00C7364D" w:rsidRPr="008D1A55" w:rsidRDefault="00C7364D" w:rsidP="00033632">
      <w:pPr>
        <w:pStyle w:val="TableDescription"/>
      </w:pPr>
      <w:r w:rsidRPr="008D1A55">
        <w:t>b Unadjusted p-value for Week 52</w:t>
      </w:r>
      <w:r w:rsidR="000C4EB0" w:rsidRPr="008D1A55">
        <w:t>.</w:t>
      </w:r>
    </w:p>
    <w:p w14:paraId="2100EF06" w14:textId="77777777" w:rsidR="00C7364D" w:rsidRPr="008D1A55" w:rsidRDefault="00C7364D" w:rsidP="00033632">
      <w:pPr>
        <w:pStyle w:val="TableDescription"/>
      </w:pPr>
      <w:r w:rsidRPr="008D1A55">
        <w:t>Percentages are based upon all subjects in the full analysis set.</w:t>
      </w:r>
    </w:p>
    <w:p w14:paraId="3BDE8801" w14:textId="2E2BC674" w:rsidR="00C7364D" w:rsidRPr="008D1A55" w:rsidRDefault="00C7364D" w:rsidP="00033632">
      <w:pPr>
        <w:pStyle w:val="TableDescription"/>
      </w:pPr>
      <w:r w:rsidRPr="008D1A55">
        <w:t>Baseline is defined as the last measurement prior to randomisation and dose administration on Day</w:t>
      </w:r>
      <w:r w:rsidR="000C4EB0" w:rsidRPr="008D1A55">
        <w:t> </w:t>
      </w:r>
      <w:r w:rsidRPr="008D1A55">
        <w:t>1.</w:t>
      </w:r>
    </w:p>
    <w:p w14:paraId="63146B7F" w14:textId="332147BC" w:rsidR="00C7364D" w:rsidRPr="008D1A55" w:rsidRDefault="006060F7" w:rsidP="00033632">
      <w:pPr>
        <w:pStyle w:val="TableDescription"/>
      </w:pPr>
      <w:r w:rsidRPr="008D1A55">
        <w:t>British Isles Lupus Assessment Group-based Composite Lupus Assessment</w:t>
      </w:r>
      <w:r w:rsidR="00C7364D" w:rsidRPr="008D1A55">
        <w:t xml:space="preserve"> response is defined as a reduction of all </w:t>
      </w:r>
      <w:proofErr w:type="gramStart"/>
      <w:r w:rsidR="00C7364D" w:rsidRPr="008D1A55">
        <w:t>baseline</w:t>
      </w:r>
      <w:proofErr w:type="gramEnd"/>
      <w:r w:rsidR="00C7364D" w:rsidRPr="008D1A55">
        <w:t xml:space="preserve"> </w:t>
      </w:r>
      <w:r w:rsidRPr="008D1A55">
        <w:t>British Isles Lupus Assessment Group</w:t>
      </w:r>
      <w:r w:rsidR="00E25D23" w:rsidRPr="008D1A55">
        <w:t xml:space="preserve"> </w:t>
      </w:r>
      <w:r w:rsidR="00C7364D" w:rsidRPr="008D1A55">
        <w:t xml:space="preserve">2004 A and B scores and no worsening in other organ systems, no worsening from </w:t>
      </w:r>
      <w:r w:rsidR="00CA1444" w:rsidRPr="008D1A55">
        <w:t>Baseline</w:t>
      </w:r>
      <w:r w:rsidR="00C7364D" w:rsidRPr="008D1A55">
        <w:t xml:space="preserve"> in SLEDAI-2K, and no increase </w:t>
      </w:r>
      <w:r w:rsidR="000C4EB0" w:rsidRPr="008D1A55">
        <w:t xml:space="preserve">of </w:t>
      </w:r>
      <w:r w:rsidR="00C7364D" w:rsidRPr="008D1A55">
        <w:t>0.30 points</w:t>
      </w:r>
      <w:r w:rsidR="000C4EB0" w:rsidRPr="008D1A55">
        <w:t xml:space="preserve"> of more</w:t>
      </w:r>
      <w:r w:rsidR="00C7364D" w:rsidRPr="008D1A55">
        <w:t xml:space="preserve"> on a 3</w:t>
      </w:r>
      <w:r w:rsidR="000C4EB0" w:rsidRPr="008D1A55">
        <w:t>-</w:t>
      </w:r>
      <w:r w:rsidR="00C7364D" w:rsidRPr="008D1A55">
        <w:t xml:space="preserve">point </w:t>
      </w:r>
      <w:r w:rsidR="00CC75F3" w:rsidRPr="008D1A55">
        <w:t xml:space="preserve">Physician’s Global Assessment </w:t>
      </w:r>
      <w:r w:rsidR="000C4EB0" w:rsidRPr="008D1A55">
        <w:t xml:space="preserve">visual </w:t>
      </w:r>
      <w:proofErr w:type="spellStart"/>
      <w:r w:rsidR="000C4EB0" w:rsidRPr="008D1A55">
        <w:t>analog</w:t>
      </w:r>
      <w:proofErr w:type="spellEnd"/>
      <w:r w:rsidR="000C4EB0" w:rsidRPr="008D1A55">
        <w:t xml:space="preserve"> scale </w:t>
      </w:r>
      <w:r w:rsidR="00C7364D" w:rsidRPr="008D1A55">
        <w:t xml:space="preserve">from </w:t>
      </w:r>
      <w:r w:rsidR="00CA1444" w:rsidRPr="008D1A55">
        <w:t>Baseline</w:t>
      </w:r>
      <w:r w:rsidR="00C7364D" w:rsidRPr="008D1A55">
        <w:t>. Subjects treated with restricted medication beyond protocol allowed threshold, and those discontinued investigational product, are regarded as non-responders.</w:t>
      </w:r>
    </w:p>
    <w:p w14:paraId="1AF5AD8A" w14:textId="77777777" w:rsidR="00C7364D" w:rsidRPr="008D1A55" w:rsidRDefault="00C7364D" w:rsidP="005B2B36">
      <w:r w:rsidRPr="008D1A55">
        <w:t xml:space="preserve">A numerical difference for the </w:t>
      </w:r>
      <w:proofErr w:type="spellStart"/>
      <w:r w:rsidRPr="008D1A55">
        <w:t>anifrolumab</w:t>
      </w:r>
      <w:proofErr w:type="spellEnd"/>
      <w:r w:rsidRPr="008D1A55">
        <w:t xml:space="preserve"> 300 mg group compared with the placebo group began at Week 8 and was maintained throughout the treatment period.</w:t>
      </w:r>
    </w:p>
    <w:p w14:paraId="5E0F5163" w14:textId="6A210ECE" w:rsidR="00C7364D" w:rsidRPr="008D1A55" w:rsidRDefault="00C7364D" w:rsidP="005B2B36">
      <w:r w:rsidRPr="008D1A55">
        <w:t xml:space="preserve">At Week 52, a numerically larger proportion of patients in the </w:t>
      </w:r>
      <w:proofErr w:type="spellStart"/>
      <w:r w:rsidRPr="008D1A55">
        <w:t>anifrolumab</w:t>
      </w:r>
      <w:proofErr w:type="spellEnd"/>
      <w:r w:rsidRPr="008D1A55">
        <w:t xml:space="preserve"> 300 mg group met each of the individual components of BICLA compared with patients in the placebo group (BILAG improvement </w:t>
      </w:r>
      <w:r w:rsidR="00740C4D" w:rsidRPr="008D1A55">
        <w:t>(</w:t>
      </w:r>
      <w:r w:rsidRPr="008D1A55">
        <w:t xml:space="preserve">48.9% </w:t>
      </w:r>
      <w:r w:rsidR="00CA1444" w:rsidRPr="008D1A55">
        <w:t>versus</w:t>
      </w:r>
      <w:r w:rsidRPr="008D1A55">
        <w:t xml:space="preserve"> 32.4%</w:t>
      </w:r>
      <w:r w:rsidR="00740C4D" w:rsidRPr="008D1A55">
        <w:t>)</w:t>
      </w:r>
      <w:r w:rsidRPr="008D1A55">
        <w:t xml:space="preserve">, no worsening of SLEDAI-2K </w:t>
      </w:r>
      <w:r w:rsidR="00740C4D" w:rsidRPr="008D1A55">
        <w:t>(</w:t>
      </w:r>
      <w:r w:rsidRPr="008D1A55">
        <w:t xml:space="preserve">67.8% </w:t>
      </w:r>
      <w:r w:rsidR="00CA1444" w:rsidRPr="008D1A55">
        <w:t>versus</w:t>
      </w:r>
      <w:r w:rsidRPr="008D1A55">
        <w:t xml:space="preserve"> 51.6%</w:t>
      </w:r>
      <w:r w:rsidR="00740C4D" w:rsidRPr="008D1A55">
        <w:t>)</w:t>
      </w:r>
      <w:r w:rsidRPr="008D1A55">
        <w:t xml:space="preserve">, no worsening of PGA </w:t>
      </w:r>
      <w:r w:rsidR="00740C4D" w:rsidRPr="008D1A55">
        <w:t>(</w:t>
      </w:r>
      <w:r w:rsidRPr="008D1A55">
        <w:t xml:space="preserve">67.8% </w:t>
      </w:r>
      <w:r w:rsidR="00CA1444" w:rsidRPr="008D1A55">
        <w:t>versus</w:t>
      </w:r>
      <w:r w:rsidRPr="008D1A55">
        <w:t xml:space="preserve"> 52.2%</w:t>
      </w:r>
      <w:r w:rsidR="00740C4D" w:rsidRPr="008D1A55">
        <w:t>)</w:t>
      </w:r>
      <w:r w:rsidRPr="008D1A55">
        <w:t xml:space="preserve">, no discontinuation of </w:t>
      </w:r>
      <w:r w:rsidR="00135A47" w:rsidRPr="008D1A55">
        <w:t xml:space="preserve">the </w:t>
      </w:r>
      <w:r w:rsidRPr="008D1A55">
        <w:t xml:space="preserve">IP </w:t>
      </w:r>
      <w:r w:rsidR="00740C4D" w:rsidRPr="008D1A55">
        <w:t>(</w:t>
      </w:r>
      <w:r w:rsidRPr="008D1A55">
        <w:t xml:space="preserve">85.0% </w:t>
      </w:r>
      <w:r w:rsidR="00CA1444" w:rsidRPr="008D1A55">
        <w:t>versus</w:t>
      </w:r>
      <w:r w:rsidRPr="008D1A55">
        <w:t xml:space="preserve"> 71.4%</w:t>
      </w:r>
      <w:r w:rsidR="00740C4D" w:rsidRPr="008D1A55">
        <w:t>)</w:t>
      </w:r>
      <w:r w:rsidRPr="008D1A55">
        <w:t xml:space="preserve">, and no use of medication beyond protocol allowed threshold </w:t>
      </w:r>
      <w:r w:rsidR="00740C4D" w:rsidRPr="008D1A55">
        <w:t>(</w:t>
      </w:r>
      <w:r w:rsidRPr="008D1A55">
        <w:t xml:space="preserve">80.0% </w:t>
      </w:r>
      <w:r w:rsidR="00CA1444" w:rsidRPr="008D1A55">
        <w:t>versus</w:t>
      </w:r>
      <w:r w:rsidRPr="008D1A55">
        <w:t xml:space="preserve"> 67.6%</w:t>
      </w:r>
      <w:r w:rsidR="00740C4D" w:rsidRPr="008D1A55">
        <w:t>)</w:t>
      </w:r>
      <w:r w:rsidRPr="008D1A55">
        <w:t>).</w:t>
      </w:r>
    </w:p>
    <w:p w14:paraId="0CB21D08" w14:textId="6C43B4CE" w:rsidR="00C7364D" w:rsidRPr="008D1A55" w:rsidRDefault="00C7364D" w:rsidP="005B2B36">
      <w:r w:rsidRPr="008D1A55">
        <w:t xml:space="preserve">The proportion of patients who achieved a BICLA response sustained up to Week 52 was numerically higher in the </w:t>
      </w:r>
      <w:proofErr w:type="spellStart"/>
      <w:r w:rsidRPr="008D1A55">
        <w:t>anifrolumab</w:t>
      </w:r>
      <w:proofErr w:type="spellEnd"/>
      <w:r w:rsidRPr="008D1A55">
        <w:t xml:space="preserve"> 300 mg group compared with the placebo group (47.8% </w:t>
      </w:r>
      <w:r w:rsidR="00CA1444" w:rsidRPr="008D1A55">
        <w:t>versus</w:t>
      </w:r>
      <w:r w:rsidRPr="008D1A55">
        <w:t xml:space="preserve"> 31.3%), with patients in the </w:t>
      </w:r>
      <w:proofErr w:type="spellStart"/>
      <w:r w:rsidRPr="008D1A55">
        <w:t>anifrolumab</w:t>
      </w:r>
      <w:proofErr w:type="spellEnd"/>
      <w:r w:rsidRPr="008D1A55">
        <w:t xml:space="preserve"> 300 mg 55% more likely to achieve a sustained BICLA response at any time in the study (</w:t>
      </w:r>
      <w:r w:rsidR="005941D0" w:rsidRPr="008D1A55">
        <w:t>hazard ratio</w:t>
      </w:r>
      <w:r w:rsidRPr="008D1A55">
        <w:t xml:space="preserve"> </w:t>
      </w:r>
      <w:r w:rsidR="00743A94" w:rsidRPr="008D1A55">
        <w:t xml:space="preserve">= </w:t>
      </w:r>
      <w:r w:rsidRPr="008D1A55">
        <w:t>1.55; 95% CI</w:t>
      </w:r>
      <w:r w:rsidR="00743A94" w:rsidRPr="008D1A55">
        <w:t>:</w:t>
      </w:r>
      <w:r w:rsidRPr="008D1A55">
        <w:t xml:space="preserve"> 1.11</w:t>
      </w:r>
      <w:r w:rsidR="00743A94" w:rsidRPr="008D1A55">
        <w:t>,</w:t>
      </w:r>
      <w:r w:rsidRPr="008D1A55">
        <w:t xml:space="preserve"> 2.18).</w:t>
      </w:r>
    </w:p>
    <w:p w14:paraId="219F2313" w14:textId="459DDC07" w:rsidR="00C7364D" w:rsidRPr="008D1A55" w:rsidRDefault="00720FF5" w:rsidP="00743A94">
      <w:pPr>
        <w:pStyle w:val="FigureTitle"/>
      </w:pPr>
      <w:bookmarkStart w:id="61" w:name="_Toc83111127"/>
      <w:r w:rsidRPr="008D1A55">
        <w:lastRenderedPageBreak/>
        <w:t xml:space="preserve">Figure </w:t>
      </w:r>
      <w:r w:rsidR="005675A0">
        <w:fldChar w:fldCharType="begin"/>
      </w:r>
      <w:r w:rsidR="005675A0">
        <w:instrText xml:space="preserve"> SEQ Figure \* ARABIC </w:instrText>
      </w:r>
      <w:r w:rsidR="005675A0">
        <w:fldChar w:fldCharType="separate"/>
      </w:r>
      <w:r w:rsidR="00D8723A">
        <w:rPr>
          <w:noProof/>
        </w:rPr>
        <w:t>1</w:t>
      </w:r>
      <w:r w:rsidR="005675A0">
        <w:rPr>
          <w:noProof/>
        </w:rPr>
        <w:fldChar w:fldCharType="end"/>
      </w:r>
      <w:r w:rsidRPr="008D1A55">
        <w:t xml:space="preserve">: </w:t>
      </w:r>
      <w:r w:rsidR="00C7364D" w:rsidRPr="008D1A55">
        <w:t xml:space="preserve">Study </w:t>
      </w:r>
      <w:r w:rsidR="00C30BE3" w:rsidRPr="008D1A55">
        <w:t>D3461C00004</w:t>
      </w:r>
      <w:r w:rsidR="00C7364D" w:rsidRPr="008D1A55">
        <w:t xml:space="preserve">: Time to </w:t>
      </w:r>
      <w:r w:rsidR="00743A94" w:rsidRPr="008D1A55">
        <w:t>British Isles Lupus Assessment Group</w:t>
      </w:r>
      <w:r w:rsidR="00743A94" w:rsidRPr="008D1A55">
        <w:noBreakHyphen/>
        <w:t xml:space="preserve">based Composite Lupus Assessment </w:t>
      </w:r>
      <w:r w:rsidR="00C7364D" w:rsidRPr="008D1A55">
        <w:t xml:space="preserve">response sustained up to </w:t>
      </w:r>
      <w:r w:rsidR="00743A94" w:rsidRPr="008D1A55">
        <w:t xml:space="preserve">Week </w:t>
      </w:r>
      <w:r w:rsidR="00C7364D" w:rsidRPr="008D1A55">
        <w:t>52 (days), Kaplan</w:t>
      </w:r>
      <w:r w:rsidR="00743A94" w:rsidRPr="008D1A55">
        <w:noBreakHyphen/>
      </w:r>
      <w:r w:rsidR="00C7364D" w:rsidRPr="008D1A55">
        <w:t>Meier plot (</w:t>
      </w:r>
      <w:r w:rsidR="00743A94" w:rsidRPr="008D1A55">
        <w:t>full analysis set)</w:t>
      </w:r>
      <w:bookmarkEnd w:id="61"/>
    </w:p>
    <w:p w14:paraId="3CACA59E" w14:textId="7DFEFEB9" w:rsidR="00A414A3" w:rsidRPr="008D1A55" w:rsidRDefault="00A414A3" w:rsidP="00743A94">
      <w:pPr>
        <w:pStyle w:val="FigureTitle"/>
      </w:pPr>
      <w:r w:rsidRPr="008D1A55">
        <w:rPr>
          <w:noProof/>
          <w:lang w:val="en-GB" w:eastAsia="en-GB"/>
        </w:rPr>
        <w:drawing>
          <wp:inline distT="0" distB="0" distL="0" distR="0" wp14:anchorId="3A7EF9DE" wp14:editId="3B6F8FF2">
            <wp:extent cx="5400040" cy="2792095"/>
            <wp:effectExtent l="0" t="0" r="0" b="8255"/>
            <wp:docPr id="5" name="Picture 5" descr="Figure 1: Study D3461C00004: Time to British Isles Lupus Assessment Group based Composite Lupus Assessment response sustained up to Week 52 (days), Kaplan Meier plo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 Study D3461C00004: Time to British Isles Lupus Assessment Group based Composite Lupus Assessment response sustained up to Week 52 (days), Kaplan Meier plot (full analysis set)"/>
                    <pic:cNvPicPr/>
                  </pic:nvPicPr>
                  <pic:blipFill>
                    <a:blip r:embed="rId16"/>
                    <a:stretch>
                      <a:fillRect/>
                    </a:stretch>
                  </pic:blipFill>
                  <pic:spPr>
                    <a:xfrm>
                      <a:off x="0" y="0"/>
                      <a:ext cx="5400040" cy="2792095"/>
                    </a:xfrm>
                    <a:prstGeom prst="rect">
                      <a:avLst/>
                    </a:prstGeom>
                  </pic:spPr>
                </pic:pic>
              </a:graphicData>
            </a:graphic>
          </wp:inline>
        </w:drawing>
      </w:r>
    </w:p>
    <w:p w14:paraId="431E1AB0" w14:textId="5E405558" w:rsidR="00C7364D" w:rsidRPr="008D1A55" w:rsidRDefault="00743A94" w:rsidP="00743A94">
      <w:pPr>
        <w:pStyle w:val="FigureDescription"/>
      </w:pPr>
      <w:r w:rsidRPr="008D1A55">
        <w:t xml:space="preserve">Abbreviations: BICLA = British Isles Lupus Assessment Group-based Composite Lupus Assessment; </w:t>
      </w:r>
      <w:r w:rsidR="00C7364D" w:rsidRPr="008D1A55">
        <w:t>N</w:t>
      </w:r>
      <w:r w:rsidR="00DA1204">
        <w:t> </w:t>
      </w:r>
      <w:r w:rsidR="00C7364D" w:rsidRPr="008D1A55">
        <w:t>=</w:t>
      </w:r>
      <w:r w:rsidR="00DA1204">
        <w:t> </w:t>
      </w:r>
      <w:r w:rsidR="00657122" w:rsidRPr="008D1A55">
        <w:t>number</w:t>
      </w:r>
      <w:r w:rsidR="00C7364D" w:rsidRPr="008D1A55">
        <w:t xml:space="preserve"> of subjects in treatment group. </w:t>
      </w:r>
      <w:r w:rsidR="00A259E4" w:rsidRPr="008D1A55">
        <w:t xml:space="preserve">n </w:t>
      </w:r>
      <w:r w:rsidR="00C7364D" w:rsidRPr="008D1A55">
        <w:t>=</w:t>
      </w:r>
      <w:r w:rsidR="00A259E4" w:rsidRPr="008D1A55">
        <w:t xml:space="preserve"> </w:t>
      </w:r>
      <w:r w:rsidR="00657122" w:rsidRPr="008D1A55">
        <w:t>number</w:t>
      </w:r>
      <w:r w:rsidR="00C7364D" w:rsidRPr="008D1A55">
        <w:t xml:space="preserve"> of subjects in analysis</w:t>
      </w:r>
      <w:r w:rsidRPr="008D1A55">
        <w:t xml:space="preserve"> group; NA = not applicable.</w:t>
      </w:r>
    </w:p>
    <w:p w14:paraId="74F2B06B" w14:textId="6710CCAF" w:rsidR="00C7364D" w:rsidRPr="008D1A55" w:rsidRDefault="00743A94" w:rsidP="00743A94">
      <w:pPr>
        <w:pStyle w:val="FigureDescription"/>
      </w:pPr>
      <w:r w:rsidRPr="008D1A55">
        <w:t>British Isles Lupus Assessment Group-based Composite Lupus Assessment (</w:t>
      </w:r>
      <w:r w:rsidR="00C7364D" w:rsidRPr="008D1A55">
        <w:t>BICLA</w:t>
      </w:r>
      <w:r w:rsidRPr="008D1A55">
        <w:t>)</w:t>
      </w:r>
      <w:r w:rsidR="00C7364D" w:rsidRPr="008D1A55">
        <w:t xml:space="preserve"> response is defined as reduction of all baseline BILAG-2004 A and B scores and no worsening in other organ systems, no worsening from </w:t>
      </w:r>
      <w:r w:rsidR="00CA1444" w:rsidRPr="008D1A55">
        <w:t>Baseline</w:t>
      </w:r>
      <w:r w:rsidR="00C7364D" w:rsidRPr="008D1A55">
        <w:t xml:space="preserve"> in </w:t>
      </w:r>
      <w:r w:rsidRPr="008D1A55">
        <w:t>Systemic Lupus Erythematosus Disease Activity Index 2000 (</w:t>
      </w:r>
      <w:r w:rsidR="00C7364D" w:rsidRPr="008D1A55">
        <w:t>SLEDAI-2K</w:t>
      </w:r>
      <w:r w:rsidRPr="008D1A55">
        <w:t>)</w:t>
      </w:r>
      <w:r w:rsidR="00C7364D" w:rsidRPr="008D1A55">
        <w:t xml:space="preserve">, and no increase </w:t>
      </w:r>
      <w:r w:rsidRPr="008D1A55">
        <w:t xml:space="preserve">of </w:t>
      </w:r>
      <w:r w:rsidR="00C7364D" w:rsidRPr="008D1A55">
        <w:t>0.30 points</w:t>
      </w:r>
      <w:r w:rsidRPr="008D1A55">
        <w:t xml:space="preserve"> or more</w:t>
      </w:r>
      <w:r w:rsidR="00C7364D" w:rsidRPr="008D1A55">
        <w:t xml:space="preserve"> on a 3</w:t>
      </w:r>
      <w:r w:rsidRPr="008D1A55">
        <w:t>-</w:t>
      </w:r>
      <w:r w:rsidR="00C7364D" w:rsidRPr="008D1A55">
        <w:t xml:space="preserve">point </w:t>
      </w:r>
      <w:r w:rsidR="00CC75F3" w:rsidRPr="008D1A55">
        <w:t xml:space="preserve">Physician’s Global Assessment </w:t>
      </w:r>
      <w:r w:rsidRPr="008D1A55">
        <w:t xml:space="preserve">visual </w:t>
      </w:r>
      <w:proofErr w:type="spellStart"/>
      <w:r w:rsidRPr="008D1A55">
        <w:t>analog</w:t>
      </w:r>
      <w:proofErr w:type="spellEnd"/>
      <w:r w:rsidRPr="008D1A55">
        <w:t xml:space="preserve"> scale </w:t>
      </w:r>
      <w:r w:rsidR="00C7364D" w:rsidRPr="008D1A55">
        <w:t xml:space="preserve">from </w:t>
      </w:r>
      <w:r w:rsidR="00CA1444" w:rsidRPr="008D1A55">
        <w:t>Baseline</w:t>
      </w:r>
      <w:r w:rsidR="00C7364D" w:rsidRPr="008D1A55">
        <w:t>. Subjects treated with restricted medication beyond protocol allowed threshold, and those who discontinued investigational product, are regarded as non-responders.</w:t>
      </w:r>
    </w:p>
    <w:p w14:paraId="1D66FAF3" w14:textId="107EF885" w:rsidR="00C7364D" w:rsidRPr="008D1A55" w:rsidRDefault="00C7364D" w:rsidP="00743A94">
      <w:pPr>
        <w:pStyle w:val="FigureDescription"/>
      </w:pPr>
      <w:r w:rsidRPr="008D1A55">
        <w:t xml:space="preserve">Time to BICLA response sustained up to Week 52 is defined as the visit of first BICLA response which is sustained up to, and including, Week 52. A subject is considered to have achieved BICLA response sustained up to Week 52 if response is achieved at Week 52 with 'time to' defined as the first time point where BICLA response is achieved when maintained through week 52. Subjects without a BICLA response sustained up to Week 52 will be censored at the date of premature discontinuation of </w:t>
      </w:r>
      <w:r w:rsidR="00135A47" w:rsidRPr="008D1A55">
        <w:t>investigational</w:t>
      </w:r>
      <w:r w:rsidR="00743A94" w:rsidRPr="008D1A55">
        <w:t xml:space="preserve"> product</w:t>
      </w:r>
      <w:r w:rsidRPr="008D1A55">
        <w:t>, or Week 52, whichever occurs earlier.</w:t>
      </w:r>
    </w:p>
    <w:p w14:paraId="3ACC315C" w14:textId="63FA85E6" w:rsidR="00DA1204" w:rsidRDefault="00C7364D" w:rsidP="005B2B36">
      <w:r w:rsidRPr="008D1A55">
        <w:t>A wide range of subgroup analyses were performed</w:t>
      </w:r>
      <w:r w:rsidR="00B14DC3">
        <w:t>,</w:t>
      </w:r>
      <w:r w:rsidRPr="008D1A55">
        <w:t xml:space="preserve"> and the results were generally consistent with the overall population, with no </w:t>
      </w:r>
      <w:proofErr w:type="gramStart"/>
      <w:r w:rsidRPr="008D1A55">
        <w:t>particular patterns</w:t>
      </w:r>
      <w:proofErr w:type="gramEnd"/>
      <w:r w:rsidRPr="008D1A55">
        <w:t xml:space="preserve"> or trends observed.</w:t>
      </w:r>
    </w:p>
    <w:p w14:paraId="0EB4EFA2" w14:textId="6C188967" w:rsidR="00DA1204" w:rsidRPr="008D1A55" w:rsidRDefault="00DA1204" w:rsidP="0063551F">
      <w:pPr>
        <w:spacing w:before="0" w:after="200" w:line="0" w:lineRule="auto"/>
      </w:pPr>
      <w:r>
        <w:br w:type="page"/>
      </w:r>
    </w:p>
    <w:p w14:paraId="5CE3C60A" w14:textId="4CB8DA9C" w:rsidR="00C7364D" w:rsidRPr="008D1A55" w:rsidRDefault="00720FF5" w:rsidP="00743A94">
      <w:pPr>
        <w:pStyle w:val="FigureTitle"/>
      </w:pPr>
      <w:bookmarkStart w:id="62" w:name="_Toc83111128"/>
      <w:r w:rsidRPr="008D1A55">
        <w:lastRenderedPageBreak/>
        <w:t xml:space="preserve">Figure </w:t>
      </w:r>
      <w:r w:rsidR="005675A0">
        <w:fldChar w:fldCharType="begin"/>
      </w:r>
      <w:r w:rsidR="005675A0">
        <w:instrText xml:space="preserve"> SEQ Figure \* ARABIC </w:instrText>
      </w:r>
      <w:r w:rsidR="005675A0">
        <w:fldChar w:fldCharType="separate"/>
      </w:r>
      <w:r w:rsidR="00D8723A">
        <w:rPr>
          <w:noProof/>
        </w:rPr>
        <w:t>2</w:t>
      </w:r>
      <w:r w:rsidR="005675A0">
        <w:rPr>
          <w:noProof/>
        </w:rPr>
        <w:fldChar w:fldCharType="end"/>
      </w:r>
      <w:r w:rsidRPr="008D1A55">
        <w:t xml:space="preserve">: </w:t>
      </w:r>
      <w:r w:rsidR="00C7364D" w:rsidRPr="008D1A55">
        <w:t xml:space="preserve">Study </w:t>
      </w:r>
      <w:r w:rsidR="00C30BE3" w:rsidRPr="008D1A55">
        <w:t>D3461C00004</w:t>
      </w:r>
      <w:r w:rsidR="00C7364D" w:rsidRPr="008D1A55">
        <w:t xml:space="preserve">: </w:t>
      </w:r>
      <w:r w:rsidR="00597D8F" w:rsidRPr="008D1A55">
        <w:t xml:space="preserve">British Isles Lupus Assessment Group-based Composite Lupus Assessment </w:t>
      </w:r>
      <w:r w:rsidR="00C7364D" w:rsidRPr="008D1A55">
        <w:t xml:space="preserve">response rate at Week 52, by subgroup, estimated difference (%) and confidence intervals comparing </w:t>
      </w:r>
      <w:proofErr w:type="spellStart"/>
      <w:r w:rsidR="00C7364D" w:rsidRPr="008D1A55">
        <w:t>anifrolumab</w:t>
      </w:r>
      <w:proofErr w:type="spellEnd"/>
      <w:r w:rsidR="00C7364D" w:rsidRPr="008D1A55">
        <w:t xml:space="preserve"> with placebo, forest plot (</w:t>
      </w:r>
      <w:r w:rsidR="00A414A3" w:rsidRPr="008D1A55">
        <w:t>f</w:t>
      </w:r>
      <w:r w:rsidR="00C7364D" w:rsidRPr="008D1A55">
        <w:t>ull analysis set)</w:t>
      </w:r>
      <w:bookmarkEnd w:id="62"/>
    </w:p>
    <w:p w14:paraId="29315470" w14:textId="09FA07F6" w:rsidR="00C7364D" w:rsidRPr="008D1A55" w:rsidRDefault="00597D8F" w:rsidP="00597D8F">
      <w:pPr>
        <w:pStyle w:val="FigureTitle"/>
      </w:pPr>
      <w:r w:rsidRPr="008D1A55">
        <w:rPr>
          <w:noProof/>
          <w:lang w:val="en-GB" w:eastAsia="en-GB"/>
        </w:rPr>
        <w:drawing>
          <wp:inline distT="0" distB="0" distL="0" distR="0" wp14:anchorId="584D67F4" wp14:editId="5341BD09">
            <wp:extent cx="5400040" cy="2489835"/>
            <wp:effectExtent l="0" t="0" r="0" b="5715"/>
            <wp:docPr id="4" name="Picture 4" descr="Figure 2: Study D3461C00004: British Isles Lupus Assessment Group-based Composite Lupus Assessment response rate at Week 52, by subgroup, estimated difference (%) and confidence intervals comparing anifrolumab with placebo, forest plo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Study D3461C00004: British Isles Lupus Assessment Group-based Composite Lupus Assessment response rate at Week 52, by subgroup, estimated difference (%) and confidence intervals comparing anifrolumab with placebo, forest plot (full analysis set)"/>
                    <pic:cNvPicPr/>
                  </pic:nvPicPr>
                  <pic:blipFill>
                    <a:blip r:embed="rId17"/>
                    <a:stretch>
                      <a:fillRect/>
                    </a:stretch>
                  </pic:blipFill>
                  <pic:spPr>
                    <a:xfrm>
                      <a:off x="0" y="0"/>
                      <a:ext cx="5400040" cy="2489835"/>
                    </a:xfrm>
                    <a:prstGeom prst="rect">
                      <a:avLst/>
                    </a:prstGeom>
                  </pic:spPr>
                </pic:pic>
              </a:graphicData>
            </a:graphic>
          </wp:inline>
        </w:drawing>
      </w:r>
    </w:p>
    <w:p w14:paraId="026A92F9" w14:textId="02F181C7" w:rsidR="00597D8F" w:rsidRPr="008D1A55" w:rsidRDefault="00A414A3" w:rsidP="00597D8F">
      <w:pPr>
        <w:pStyle w:val="FigureDescription"/>
      </w:pPr>
      <w:r w:rsidRPr="008D1A55">
        <w:t xml:space="preserve">Abbreviations: </w:t>
      </w:r>
      <w:r w:rsidR="00597D8F" w:rsidRPr="008D1A55">
        <w:t>ADA = antidrug antibody; CI = confidence interval; dsDNA = double stranded deoxyribonucleic acid</w:t>
      </w:r>
      <w:r w:rsidRPr="008D1A55">
        <w:t>;</w:t>
      </w:r>
      <w:r w:rsidR="00597D8F" w:rsidRPr="008D1A55">
        <w:t xml:space="preserve"> IFN = interferon; N = number of subjects in treatment group; n = number of subjects in analysis</w:t>
      </w:r>
      <w:r w:rsidRPr="008D1A55">
        <w:t xml:space="preserve"> group</w:t>
      </w:r>
      <w:r w:rsidR="00597D8F" w:rsidRPr="008D1A55">
        <w:t>; OCS = oral corticosteroid; SLEDAI-2K = Systemic Lupus Erythematosus Disease Activity Index 2000.</w:t>
      </w:r>
    </w:p>
    <w:p w14:paraId="64810841" w14:textId="77777777" w:rsidR="00C7364D" w:rsidRPr="008D1A55" w:rsidRDefault="00C7364D" w:rsidP="005B2B36">
      <w:pPr>
        <w:pStyle w:val="FigureDescription"/>
      </w:pPr>
      <w:r w:rsidRPr="008D1A55">
        <w:t>Percentages are based upon all subjects in the full analysis set.</w:t>
      </w:r>
    </w:p>
    <w:p w14:paraId="45268EF6" w14:textId="2D2AEE5F" w:rsidR="00C7364D" w:rsidRPr="008D1A55" w:rsidRDefault="00C7364D" w:rsidP="005B2B36">
      <w:pPr>
        <w:pStyle w:val="FigureDescription"/>
      </w:pPr>
      <w:r w:rsidRPr="008D1A55">
        <w:t>Baseline is defined as the last measurement prior to randomisation and dose administration on Day</w:t>
      </w:r>
      <w:r w:rsidR="00A414A3" w:rsidRPr="008D1A55">
        <w:t> </w:t>
      </w:r>
      <w:r w:rsidRPr="008D1A55">
        <w:t>1.</w:t>
      </w:r>
    </w:p>
    <w:p w14:paraId="73475C0A" w14:textId="77777777" w:rsidR="00C7364D" w:rsidRPr="008D1A55" w:rsidRDefault="00C7364D" w:rsidP="005B2B36">
      <w:pPr>
        <w:pStyle w:val="FigureDescription"/>
      </w:pPr>
      <w:r w:rsidRPr="008D1A55">
        <w:t>Races ‘Native Hawaiian or other Pacific Islander’ and ‘American Indian or Alaska Native’ are included in the ‘Other’ subgroup.</w:t>
      </w:r>
    </w:p>
    <w:p w14:paraId="13A2E252" w14:textId="0DD6B135" w:rsidR="00C7364D" w:rsidRPr="008D1A55" w:rsidRDefault="00A414A3" w:rsidP="005B2B36">
      <w:pPr>
        <w:pStyle w:val="FigureDescription"/>
        <w:rPr>
          <w:lang w:eastAsia="ja-JP"/>
        </w:rPr>
      </w:pPr>
      <w:r w:rsidRPr="008D1A55">
        <w:t xml:space="preserve">British Isles Lupus Assessment Group-based Composite Lupus Assessment </w:t>
      </w:r>
      <w:r w:rsidR="00C7364D" w:rsidRPr="008D1A55">
        <w:t xml:space="preserve">response is defined as a reduction of all </w:t>
      </w:r>
      <w:proofErr w:type="gramStart"/>
      <w:r w:rsidR="00C7364D" w:rsidRPr="008D1A55">
        <w:t>baseline</w:t>
      </w:r>
      <w:proofErr w:type="gramEnd"/>
      <w:r w:rsidR="00C7364D" w:rsidRPr="008D1A55">
        <w:t xml:space="preserve"> </w:t>
      </w:r>
      <w:r w:rsidRPr="008D1A55">
        <w:t>British Isles Lupus Assessment Group</w:t>
      </w:r>
      <w:r w:rsidR="00DA15D9" w:rsidRPr="008D1A55">
        <w:t xml:space="preserve"> </w:t>
      </w:r>
      <w:r w:rsidR="00C7364D" w:rsidRPr="008D1A55">
        <w:t xml:space="preserve">2004 A and B scores and no worsening in other organ systems, no worsening from </w:t>
      </w:r>
      <w:r w:rsidR="00CA1444" w:rsidRPr="008D1A55">
        <w:t>Baseline</w:t>
      </w:r>
      <w:r w:rsidR="00C7364D" w:rsidRPr="008D1A55">
        <w:t xml:space="preserve"> in SLEDAI-2K, and no increase </w:t>
      </w:r>
      <w:r w:rsidR="00891DA6" w:rsidRPr="008D1A55">
        <w:t xml:space="preserve">of </w:t>
      </w:r>
      <w:r w:rsidR="00C7364D" w:rsidRPr="008D1A55">
        <w:t>0.30</w:t>
      </w:r>
      <w:r w:rsidR="00891DA6" w:rsidRPr="008D1A55">
        <w:t> </w:t>
      </w:r>
      <w:r w:rsidR="00C7364D" w:rsidRPr="008D1A55">
        <w:t>points</w:t>
      </w:r>
      <w:r w:rsidR="00597D8F" w:rsidRPr="008D1A55">
        <w:t xml:space="preserve"> or more</w:t>
      </w:r>
      <w:r w:rsidR="00C7364D" w:rsidRPr="008D1A55">
        <w:t xml:space="preserve"> on a 3</w:t>
      </w:r>
      <w:r w:rsidR="00597D8F" w:rsidRPr="008D1A55">
        <w:t>-</w:t>
      </w:r>
      <w:r w:rsidR="00C7364D" w:rsidRPr="008D1A55">
        <w:t xml:space="preserve">point </w:t>
      </w:r>
      <w:r w:rsidR="00CC75F3" w:rsidRPr="008D1A55">
        <w:t xml:space="preserve">Physician’s Global Assessment </w:t>
      </w:r>
      <w:r w:rsidR="00597D8F" w:rsidRPr="008D1A55">
        <w:t xml:space="preserve">visual </w:t>
      </w:r>
      <w:proofErr w:type="spellStart"/>
      <w:r w:rsidR="00597D8F" w:rsidRPr="008D1A55">
        <w:t>analog</w:t>
      </w:r>
      <w:proofErr w:type="spellEnd"/>
      <w:r w:rsidR="00597D8F" w:rsidRPr="008D1A55">
        <w:t xml:space="preserve"> scale</w:t>
      </w:r>
      <w:r w:rsidR="00C7364D" w:rsidRPr="008D1A55">
        <w:t xml:space="preserve"> from </w:t>
      </w:r>
      <w:r w:rsidR="00CA1444" w:rsidRPr="008D1A55">
        <w:t>Baseline</w:t>
      </w:r>
      <w:r w:rsidR="00C7364D" w:rsidRPr="008D1A55">
        <w:t>. Subjects treated with restricted medication beyond protocol allowed thresholds, and those who discontinued investigational product, are regarded as non-responders.</w:t>
      </w:r>
    </w:p>
    <w:p w14:paraId="6AD132D6" w14:textId="75926E62" w:rsidR="00C7364D" w:rsidRPr="008D1A55" w:rsidRDefault="00C7364D" w:rsidP="005B2B36">
      <w:pPr>
        <w:pStyle w:val="FigureDescription"/>
      </w:pPr>
      <w:r w:rsidRPr="008D1A55">
        <w:t xml:space="preserve">The model used is stratified, as far as applicable, by SLEDAI-2K </w:t>
      </w:r>
      <w:r w:rsidR="00A414A3" w:rsidRPr="008D1A55">
        <w:t>score at screening</w:t>
      </w:r>
      <w:r w:rsidRPr="008D1A55">
        <w:t xml:space="preserve"> (</w:t>
      </w:r>
      <w:r w:rsidR="00A414A3" w:rsidRPr="008D1A55">
        <w:t xml:space="preserve">less than </w:t>
      </w:r>
      <w:r w:rsidRPr="008D1A55">
        <w:t>10</w:t>
      </w:r>
      <w:r w:rsidR="00A414A3" w:rsidRPr="008D1A55">
        <w:t> </w:t>
      </w:r>
      <w:r w:rsidRPr="008D1A55">
        <w:t xml:space="preserve">points </w:t>
      </w:r>
      <w:r w:rsidR="00CA1444" w:rsidRPr="008D1A55">
        <w:t>versus</w:t>
      </w:r>
      <w:r w:rsidRPr="008D1A55">
        <w:t xml:space="preserve"> </w:t>
      </w:r>
      <w:r w:rsidR="00A414A3" w:rsidRPr="008D1A55">
        <w:t>at least</w:t>
      </w:r>
      <w:r w:rsidRPr="008D1A55">
        <w:t xml:space="preserve"> 10 points), Week 0 </w:t>
      </w:r>
      <w:r w:rsidR="007D0024" w:rsidRPr="008D1A55">
        <w:t>oral corticosteroids</w:t>
      </w:r>
      <w:r w:rsidRPr="008D1A55">
        <w:t xml:space="preserve"> dose (</w:t>
      </w:r>
      <w:r w:rsidR="00A414A3" w:rsidRPr="008D1A55">
        <w:t>less than</w:t>
      </w:r>
      <w:r w:rsidRPr="008D1A55">
        <w:t xml:space="preserve">10 mg/day </w:t>
      </w:r>
      <w:r w:rsidR="00CA1444" w:rsidRPr="008D1A55">
        <w:t>versus</w:t>
      </w:r>
      <w:r w:rsidRPr="008D1A55">
        <w:t xml:space="preserve"> </w:t>
      </w:r>
      <w:r w:rsidR="00A414A3" w:rsidRPr="008D1A55">
        <w:t xml:space="preserve">at least </w:t>
      </w:r>
      <w:r w:rsidRPr="008D1A55">
        <w:t>10</w:t>
      </w:r>
      <w:r w:rsidR="00A414A3" w:rsidRPr="008D1A55">
        <w:t> </w:t>
      </w:r>
      <w:r w:rsidRPr="008D1A55">
        <w:t xml:space="preserve">mg/day prednisone or equivalent) and </w:t>
      </w:r>
      <w:r w:rsidR="00CC61CB" w:rsidRPr="008D1A55">
        <w:t xml:space="preserve">Type </w:t>
      </w:r>
      <w:r w:rsidR="00D264E5" w:rsidRPr="008D1A55">
        <w:t>I</w:t>
      </w:r>
      <w:r w:rsidRPr="008D1A55">
        <w:t xml:space="preserve"> </w:t>
      </w:r>
      <w:r w:rsidR="00A414A3" w:rsidRPr="008D1A55">
        <w:t xml:space="preserve">interferon </w:t>
      </w:r>
      <w:r w:rsidRPr="008D1A55">
        <w:t xml:space="preserve">test result at screening (high </w:t>
      </w:r>
      <w:r w:rsidR="00CA1444" w:rsidRPr="008D1A55">
        <w:t>versus</w:t>
      </w:r>
      <w:r w:rsidRPr="008D1A55">
        <w:t xml:space="preserve"> low).</w:t>
      </w:r>
    </w:p>
    <w:p w14:paraId="6134DA5C" w14:textId="6516FE23" w:rsidR="00C7364D" w:rsidRPr="008D1A55" w:rsidRDefault="00C7364D" w:rsidP="005B2B36">
      <w:r w:rsidRPr="008D1A55">
        <w:t xml:space="preserve">In the analyses of key secondary efficacy endpoints, </w:t>
      </w:r>
      <w:proofErr w:type="spellStart"/>
      <w:r w:rsidRPr="008D1A55">
        <w:t>anifrolumab</w:t>
      </w:r>
      <w:proofErr w:type="spellEnd"/>
      <w:r w:rsidRPr="008D1A55">
        <w:t xml:space="preserve"> also demonstrated statistically significant and clinically meaningful benefits in its steroid</w:t>
      </w:r>
      <w:r w:rsidR="00A414A3" w:rsidRPr="008D1A55">
        <w:t xml:space="preserve"> </w:t>
      </w:r>
      <w:r w:rsidRPr="008D1A55">
        <w:t xml:space="preserve">sparing effect and in improving SLE skin manifestations. In patients with </w:t>
      </w:r>
      <w:r w:rsidR="007D0024" w:rsidRPr="008D1A55">
        <w:t>oral corticosteroids</w:t>
      </w:r>
      <w:r w:rsidRPr="008D1A55">
        <w:t xml:space="preserve"> </w:t>
      </w:r>
      <w:r w:rsidR="00A414A3" w:rsidRPr="008D1A55">
        <w:t xml:space="preserve">at least </w:t>
      </w:r>
      <w:r w:rsidRPr="008D1A55">
        <w:t>10</w:t>
      </w:r>
      <w:r w:rsidR="00A414A3" w:rsidRPr="008D1A55">
        <w:t> </w:t>
      </w:r>
      <w:r w:rsidRPr="008D1A55">
        <w:t xml:space="preserve">mg/day at </w:t>
      </w:r>
      <w:r w:rsidR="00CA1444" w:rsidRPr="008D1A55">
        <w:t>Baseline</w:t>
      </w:r>
      <w:r w:rsidRPr="008D1A55">
        <w:t xml:space="preserve">, 21.2% more patients in the </w:t>
      </w:r>
      <w:proofErr w:type="spellStart"/>
      <w:r w:rsidRPr="008D1A55">
        <w:t>anifrolumab</w:t>
      </w:r>
      <w:proofErr w:type="spellEnd"/>
      <w:r w:rsidRPr="008D1A55">
        <w:t xml:space="preserve"> 300 mg group were able to taper their </w:t>
      </w:r>
      <w:r w:rsidR="007D0024" w:rsidRPr="008D1A55">
        <w:t>oral corticosteroids</w:t>
      </w:r>
      <w:r w:rsidRPr="008D1A55">
        <w:t xml:space="preserve"> dose to target compared with the placebo group (95%</w:t>
      </w:r>
      <w:r w:rsidR="00914173">
        <w:t> </w:t>
      </w:r>
      <w:r w:rsidRPr="008D1A55">
        <w:t>CI</w:t>
      </w:r>
      <w:r w:rsidR="00A414A3" w:rsidRPr="008D1A55">
        <w:t>:</w:t>
      </w:r>
      <w:r w:rsidRPr="008D1A55">
        <w:t xml:space="preserve"> 6.8</w:t>
      </w:r>
      <w:r w:rsidR="00A414A3" w:rsidRPr="008D1A55">
        <w:t>,</w:t>
      </w:r>
      <w:r w:rsidRPr="008D1A55">
        <w:t xml:space="preserve"> 35.7; p</w:t>
      </w:r>
      <w:r w:rsidR="00A259E4" w:rsidRPr="008D1A55">
        <w:t xml:space="preserve"> </w:t>
      </w:r>
      <w:r w:rsidRPr="008D1A55">
        <w:t>=</w:t>
      </w:r>
      <w:r w:rsidR="00A259E4" w:rsidRPr="008D1A55">
        <w:t xml:space="preserve"> </w:t>
      </w:r>
      <w:r w:rsidRPr="008D1A55">
        <w:t xml:space="preserve">0.0135). In patients with baseline CLASI activity score </w:t>
      </w:r>
      <w:r w:rsidR="005C60E1" w:rsidRPr="008D1A55">
        <w:t xml:space="preserve">at least </w:t>
      </w:r>
      <w:r w:rsidRPr="008D1A55">
        <w:t xml:space="preserve">10, 24% more were able to achieve a 50% </w:t>
      </w:r>
      <w:r w:rsidR="005C60E1" w:rsidRPr="008D1A55">
        <w:t xml:space="preserve">or more </w:t>
      </w:r>
      <w:r w:rsidRPr="008D1A55">
        <w:t xml:space="preserve">reduction from </w:t>
      </w:r>
      <w:r w:rsidR="00CA1444" w:rsidRPr="008D1A55">
        <w:t>Baseline</w:t>
      </w:r>
      <w:r w:rsidRPr="008D1A55">
        <w:t xml:space="preserve"> in CLASI activity score at Week 12 (95% CI</w:t>
      </w:r>
      <w:r w:rsidR="00A414A3" w:rsidRPr="008D1A55">
        <w:t>:</w:t>
      </w:r>
      <w:r w:rsidRPr="008D1A55">
        <w:t xml:space="preserve"> 4.3</w:t>
      </w:r>
      <w:r w:rsidR="00A414A3" w:rsidRPr="008D1A55">
        <w:t>,</w:t>
      </w:r>
      <w:r w:rsidRPr="008D1A55">
        <w:t xml:space="preserve"> 43.6; p</w:t>
      </w:r>
      <w:r w:rsidR="00A259E4" w:rsidRPr="008D1A55">
        <w:t xml:space="preserve"> </w:t>
      </w:r>
      <w:r w:rsidRPr="008D1A55">
        <w:t>=</w:t>
      </w:r>
      <w:r w:rsidR="00A259E4" w:rsidRPr="008D1A55">
        <w:t xml:space="preserve"> </w:t>
      </w:r>
      <w:r w:rsidRPr="008D1A55">
        <w:t xml:space="preserve">0.0392). The treatment effect was generally maintained over time with a difference in response rates of 18.3% at Week 52. A numerically higher reduction in annual rate of flares was observed for </w:t>
      </w:r>
      <w:proofErr w:type="spellStart"/>
      <w:r w:rsidRPr="008D1A55">
        <w:t>anifrolumab</w:t>
      </w:r>
      <w:proofErr w:type="spellEnd"/>
      <w:r w:rsidRPr="008D1A55">
        <w:t xml:space="preserve"> compared with placebo (difference of 0.67; 95% CI</w:t>
      </w:r>
      <w:r w:rsidR="00A414A3" w:rsidRPr="008D1A55">
        <w:t>:</w:t>
      </w:r>
      <w:r w:rsidRPr="008D1A55">
        <w:t xml:space="preserve"> 0.48</w:t>
      </w:r>
      <w:r w:rsidR="00A414A3" w:rsidRPr="008D1A55">
        <w:t>,</w:t>
      </w:r>
      <w:r w:rsidRPr="008D1A55">
        <w:t xml:space="preserve"> 0.94). The time to first flare was numerically longer in the </w:t>
      </w:r>
      <w:proofErr w:type="spellStart"/>
      <w:r w:rsidRPr="008D1A55">
        <w:t>anifrolumab</w:t>
      </w:r>
      <w:proofErr w:type="spellEnd"/>
      <w:r w:rsidRPr="008D1A55">
        <w:t xml:space="preserve"> 300 mg compared with the placebo group (</w:t>
      </w:r>
      <w:r w:rsidR="005941D0" w:rsidRPr="008D1A55">
        <w:t>hazard ratio</w:t>
      </w:r>
      <w:r w:rsidRPr="008D1A55">
        <w:t xml:space="preserve"> </w:t>
      </w:r>
      <w:r w:rsidR="005C60E1" w:rsidRPr="008D1A55">
        <w:t xml:space="preserve">= </w:t>
      </w:r>
      <w:r w:rsidRPr="008D1A55">
        <w:t>0.65; 95% CI</w:t>
      </w:r>
      <w:r w:rsidR="005C60E1" w:rsidRPr="008D1A55">
        <w:t>:</w:t>
      </w:r>
      <w:r w:rsidRPr="008D1A55">
        <w:t xml:space="preserve"> 0.46</w:t>
      </w:r>
      <w:r w:rsidR="005C60E1" w:rsidRPr="008D1A55">
        <w:t>,</w:t>
      </w:r>
      <w:r w:rsidRPr="008D1A55">
        <w:t xml:space="preserve"> 0.91).</w:t>
      </w:r>
    </w:p>
    <w:p w14:paraId="6A1BA6D2" w14:textId="0832A9D9" w:rsidR="00C7364D" w:rsidRPr="008D1A55" w:rsidRDefault="00C7364D" w:rsidP="005B2B36">
      <w:pPr>
        <w:rPr>
          <w:b/>
          <w:bCs/>
          <w:sz w:val="28"/>
          <w:szCs w:val="28"/>
        </w:rPr>
      </w:pPr>
      <w:r w:rsidRPr="008D1A55">
        <w:lastRenderedPageBreak/>
        <w:t>However, there was no notable difference observed between treatments in the proportion of patients with at least a 50% reduction in swollen and tender joint counts at Week</w:t>
      </w:r>
      <w:r w:rsidR="005C60E1" w:rsidRPr="008D1A55">
        <w:t> </w:t>
      </w:r>
      <w:r w:rsidRPr="008D1A55">
        <w:t>52 (difference of 4.7; 95% CI</w:t>
      </w:r>
      <w:r w:rsidR="005C60E1" w:rsidRPr="008D1A55">
        <w:t xml:space="preserve">: </w:t>
      </w:r>
      <w:r w:rsidRPr="008D1A55">
        <w:t>-10.6</w:t>
      </w:r>
      <w:r w:rsidR="005C60E1" w:rsidRPr="008D1A55">
        <w:t>,</w:t>
      </w:r>
      <w:r w:rsidRPr="008D1A55">
        <w:t xml:space="preserve"> 20.0; p</w:t>
      </w:r>
      <w:r w:rsidR="00A259E4" w:rsidRPr="008D1A55">
        <w:t xml:space="preserve"> </w:t>
      </w:r>
      <w:r w:rsidRPr="008D1A55">
        <w:t>=</w:t>
      </w:r>
      <w:r w:rsidR="00A259E4" w:rsidRPr="008D1A55">
        <w:t xml:space="preserve"> </w:t>
      </w:r>
      <w:r w:rsidRPr="008D1A55">
        <w:t>0.5469).</w:t>
      </w:r>
    </w:p>
    <w:p w14:paraId="41DBC5AB" w14:textId="1881E612" w:rsidR="00C7364D" w:rsidRPr="008D1A55" w:rsidRDefault="00720FF5" w:rsidP="005C60E1">
      <w:pPr>
        <w:pStyle w:val="TableTitle"/>
      </w:pPr>
      <w:bookmarkStart w:id="63" w:name="_Toc83112043"/>
      <w:r w:rsidRPr="008D1A55">
        <w:t xml:space="preserve">Table </w:t>
      </w:r>
      <w:r w:rsidR="005675A0">
        <w:fldChar w:fldCharType="begin"/>
      </w:r>
      <w:r w:rsidR="005675A0">
        <w:instrText xml:space="preserve"> SEQ Table \* ARABIC </w:instrText>
      </w:r>
      <w:r w:rsidR="005675A0">
        <w:fldChar w:fldCharType="separate"/>
      </w:r>
      <w:r w:rsidR="00D8723A">
        <w:rPr>
          <w:noProof/>
        </w:rPr>
        <w:t>6</w:t>
      </w:r>
      <w:r w:rsidR="005675A0">
        <w:rPr>
          <w:noProof/>
        </w:rPr>
        <w:fldChar w:fldCharType="end"/>
      </w:r>
      <w:r w:rsidRPr="008D1A55">
        <w:t xml:space="preserve">: </w:t>
      </w:r>
      <w:r w:rsidR="00C7364D" w:rsidRPr="008D1A55">
        <w:t xml:space="preserve">Study </w:t>
      </w:r>
      <w:r w:rsidR="00C30BE3" w:rsidRPr="008D1A55">
        <w:t>D3461C00004</w:t>
      </w:r>
      <w:r w:rsidR="005C60E1" w:rsidRPr="008D1A55">
        <w:t xml:space="preserve"> </w:t>
      </w:r>
      <w:r w:rsidR="00C7364D" w:rsidRPr="008D1A55">
        <w:t>Results for key secondary outcomes</w:t>
      </w:r>
      <w:bookmarkEnd w:id="63"/>
    </w:p>
    <w:tbl>
      <w:tblPr>
        <w:tblW w:w="50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2"/>
        <w:gridCol w:w="1326"/>
        <w:gridCol w:w="326"/>
        <w:gridCol w:w="954"/>
        <w:gridCol w:w="915"/>
        <w:gridCol w:w="843"/>
        <w:gridCol w:w="922"/>
        <w:gridCol w:w="922"/>
        <w:gridCol w:w="992"/>
        <w:gridCol w:w="776"/>
      </w:tblGrid>
      <w:tr w:rsidR="00C7364D" w:rsidRPr="008D1A55" w14:paraId="6774CC81" w14:textId="77777777" w:rsidTr="00A40105">
        <w:trPr>
          <w:trHeight w:val="482"/>
          <w:jc w:val="center"/>
        </w:trPr>
        <w:tc>
          <w:tcPr>
            <w:tcW w:w="1302" w:type="pct"/>
            <w:gridSpan w:val="3"/>
            <w:shd w:val="clear" w:color="auto" w:fill="006DA7"/>
          </w:tcPr>
          <w:p w14:paraId="273B02DF" w14:textId="77777777" w:rsidR="00C7364D" w:rsidRPr="008D1A55" w:rsidRDefault="00C7364D" w:rsidP="005C60E1">
            <w:pPr>
              <w:pStyle w:val="Tabletext"/>
              <w:rPr>
                <w:color w:val="FFFFFF" w:themeColor="background1"/>
              </w:rPr>
            </w:pPr>
          </w:p>
        </w:tc>
        <w:tc>
          <w:tcPr>
            <w:tcW w:w="1586" w:type="pct"/>
            <w:gridSpan w:val="3"/>
            <w:shd w:val="clear" w:color="auto" w:fill="006DA7"/>
            <w:vAlign w:val="center"/>
          </w:tcPr>
          <w:p w14:paraId="1DE9DF02" w14:textId="77777777" w:rsidR="00C7364D" w:rsidRPr="008D1A55" w:rsidRDefault="00C7364D" w:rsidP="005C60E1">
            <w:pPr>
              <w:pStyle w:val="Tabletext"/>
              <w:rPr>
                <w:b/>
                <w:bCs/>
                <w:color w:val="FFFFFF" w:themeColor="background1"/>
                <w:spacing w:val="-1"/>
              </w:rPr>
            </w:pPr>
            <w:r w:rsidRPr="008D1A55">
              <w:rPr>
                <w:b/>
                <w:bCs/>
                <w:color w:val="FFFFFF" w:themeColor="background1"/>
                <w:spacing w:val="-1"/>
              </w:rPr>
              <w:t xml:space="preserve">Number (%) of subjects </w:t>
            </w:r>
            <w:r w:rsidRPr="008D1A55">
              <w:rPr>
                <w:b/>
                <w:bCs/>
                <w:color w:val="FFFFFF" w:themeColor="background1"/>
                <w:spacing w:val="-1"/>
                <w:vertAlign w:val="superscript"/>
              </w:rPr>
              <w:t>a</w:t>
            </w:r>
          </w:p>
        </w:tc>
        <w:tc>
          <w:tcPr>
            <w:tcW w:w="2112" w:type="pct"/>
            <w:gridSpan w:val="4"/>
            <w:shd w:val="clear" w:color="auto" w:fill="006DA7"/>
          </w:tcPr>
          <w:p w14:paraId="301D19D5" w14:textId="77777777" w:rsidR="00C7364D" w:rsidRPr="008D1A55" w:rsidRDefault="00C7364D" w:rsidP="005C60E1">
            <w:pPr>
              <w:pStyle w:val="Tabletext"/>
              <w:rPr>
                <w:b/>
                <w:bCs/>
                <w:color w:val="FFFFFF" w:themeColor="background1"/>
                <w:spacing w:val="-1"/>
              </w:rPr>
            </w:pPr>
            <w:r w:rsidRPr="008D1A55">
              <w:rPr>
                <w:b/>
                <w:bCs/>
                <w:color w:val="FFFFFF" w:themeColor="background1"/>
                <w:spacing w:val="-1"/>
              </w:rPr>
              <w:t xml:space="preserve">Comparison with Placebo </w:t>
            </w:r>
            <w:r w:rsidRPr="008D1A55">
              <w:rPr>
                <w:b/>
                <w:bCs/>
                <w:color w:val="FFFFFF" w:themeColor="background1"/>
                <w:spacing w:val="-1"/>
                <w:vertAlign w:val="superscript"/>
              </w:rPr>
              <w:t>a</w:t>
            </w:r>
          </w:p>
        </w:tc>
      </w:tr>
      <w:tr w:rsidR="00A40105" w:rsidRPr="008D1A55" w14:paraId="684E4D3C" w14:textId="77777777" w:rsidTr="00A40105">
        <w:trPr>
          <w:trHeight w:val="482"/>
          <w:jc w:val="center"/>
        </w:trPr>
        <w:tc>
          <w:tcPr>
            <w:tcW w:w="335" w:type="pct"/>
            <w:shd w:val="clear" w:color="auto" w:fill="006DA7"/>
            <w:vAlign w:val="center"/>
          </w:tcPr>
          <w:p w14:paraId="06D65FB0" w14:textId="77777777" w:rsidR="00C7364D" w:rsidRPr="008D1A55" w:rsidRDefault="00C7364D" w:rsidP="005C60E1">
            <w:pPr>
              <w:pStyle w:val="Tabletext"/>
              <w:rPr>
                <w:b/>
                <w:bCs/>
                <w:color w:val="FFFFFF" w:themeColor="background1"/>
                <w:spacing w:val="-1"/>
              </w:rPr>
            </w:pPr>
            <w:r w:rsidRPr="008D1A55">
              <w:rPr>
                <w:b/>
                <w:bCs/>
                <w:color w:val="FFFFFF" w:themeColor="background1"/>
                <w:spacing w:val="-1"/>
              </w:rPr>
              <w:t>Time</w:t>
            </w:r>
          </w:p>
          <w:p w14:paraId="692188D9" w14:textId="77777777" w:rsidR="00C7364D" w:rsidRPr="008D1A55" w:rsidRDefault="00C7364D" w:rsidP="005C60E1">
            <w:pPr>
              <w:pStyle w:val="Tabletext"/>
              <w:rPr>
                <w:color w:val="FFFFFF" w:themeColor="background1"/>
              </w:rPr>
            </w:pPr>
            <w:r w:rsidRPr="008D1A55">
              <w:rPr>
                <w:b/>
                <w:bCs/>
                <w:color w:val="FFFFFF" w:themeColor="background1"/>
                <w:spacing w:val="-1"/>
              </w:rPr>
              <w:t>point</w:t>
            </w:r>
          </w:p>
        </w:tc>
        <w:tc>
          <w:tcPr>
            <w:tcW w:w="776" w:type="pct"/>
            <w:shd w:val="clear" w:color="auto" w:fill="006DA7"/>
            <w:vAlign w:val="center"/>
          </w:tcPr>
          <w:p w14:paraId="468BE996" w14:textId="77777777" w:rsidR="00C7364D" w:rsidRPr="008D1A55" w:rsidRDefault="00C7364D" w:rsidP="005C60E1">
            <w:pPr>
              <w:pStyle w:val="Tabletext"/>
              <w:rPr>
                <w:color w:val="FFFFFF" w:themeColor="background1"/>
              </w:rPr>
            </w:pPr>
            <w:r w:rsidRPr="008D1A55">
              <w:rPr>
                <w:b/>
                <w:bCs/>
                <w:color w:val="FFFFFF" w:themeColor="background1"/>
                <w:spacing w:val="-1"/>
              </w:rPr>
              <w:t>Treatmen</w:t>
            </w:r>
            <w:r w:rsidRPr="008D1A55">
              <w:rPr>
                <w:b/>
                <w:bCs/>
                <w:color w:val="FFFFFF" w:themeColor="background1"/>
              </w:rPr>
              <w:t>t</w:t>
            </w:r>
            <w:r w:rsidRPr="008D1A55">
              <w:rPr>
                <w:b/>
                <w:bCs/>
                <w:color w:val="FFFFFF" w:themeColor="background1"/>
                <w:spacing w:val="-1"/>
              </w:rPr>
              <w:t xml:space="preserve"> group</w:t>
            </w:r>
          </w:p>
        </w:tc>
        <w:tc>
          <w:tcPr>
            <w:tcW w:w="191" w:type="pct"/>
            <w:shd w:val="clear" w:color="auto" w:fill="006DA7"/>
            <w:vAlign w:val="center"/>
          </w:tcPr>
          <w:p w14:paraId="008D09E5" w14:textId="77777777" w:rsidR="00C7364D" w:rsidRPr="008D1A55" w:rsidRDefault="00C7364D" w:rsidP="005C60E1">
            <w:pPr>
              <w:pStyle w:val="Tabletext"/>
              <w:rPr>
                <w:color w:val="FFFFFF" w:themeColor="background1"/>
              </w:rPr>
            </w:pPr>
            <w:r w:rsidRPr="008D1A55">
              <w:rPr>
                <w:b/>
                <w:bCs/>
                <w:color w:val="FFFFFF" w:themeColor="background1"/>
              </w:rPr>
              <w:t>n</w:t>
            </w:r>
          </w:p>
        </w:tc>
        <w:tc>
          <w:tcPr>
            <w:tcW w:w="558" w:type="pct"/>
            <w:shd w:val="clear" w:color="auto" w:fill="006DA7"/>
            <w:vAlign w:val="center"/>
          </w:tcPr>
          <w:p w14:paraId="3DC146F8" w14:textId="77777777" w:rsidR="00C7364D" w:rsidRPr="008D1A55" w:rsidRDefault="00C7364D" w:rsidP="005C60E1">
            <w:pPr>
              <w:pStyle w:val="Tabletext"/>
              <w:rPr>
                <w:color w:val="FFFFFF" w:themeColor="background1"/>
              </w:rPr>
            </w:pPr>
            <w:r w:rsidRPr="008D1A55">
              <w:rPr>
                <w:b/>
                <w:bCs/>
                <w:color w:val="FFFFFF" w:themeColor="background1"/>
                <w:spacing w:val="-1"/>
              </w:rPr>
              <w:t>Responder</w:t>
            </w:r>
          </w:p>
        </w:tc>
        <w:tc>
          <w:tcPr>
            <w:tcW w:w="535" w:type="pct"/>
            <w:shd w:val="clear" w:color="auto" w:fill="006DA7"/>
            <w:vAlign w:val="center"/>
          </w:tcPr>
          <w:p w14:paraId="3ACC7B73" w14:textId="77777777" w:rsidR="00C7364D" w:rsidRPr="008D1A55" w:rsidRDefault="00C7364D" w:rsidP="005C60E1">
            <w:pPr>
              <w:pStyle w:val="Tabletext"/>
              <w:rPr>
                <w:color w:val="FFFFFF" w:themeColor="background1"/>
              </w:rPr>
            </w:pPr>
            <w:r w:rsidRPr="008D1A55">
              <w:rPr>
                <w:b/>
                <w:bCs/>
                <w:color w:val="FFFFFF" w:themeColor="background1"/>
                <w:spacing w:val="-3"/>
              </w:rPr>
              <w:t>No</w:t>
            </w:r>
            <w:r w:rsidRPr="008D1A55">
              <w:rPr>
                <w:b/>
                <w:bCs/>
                <w:color w:val="FFFFFF" w:themeColor="background1"/>
                <w:spacing w:val="-2"/>
              </w:rPr>
              <w:t>n</w:t>
            </w:r>
            <w:r w:rsidRPr="008D1A55">
              <w:rPr>
                <w:b/>
                <w:bCs/>
                <w:color w:val="FFFFFF" w:themeColor="background1"/>
              </w:rPr>
              <w:t xml:space="preserve">- </w:t>
            </w:r>
            <w:r w:rsidRPr="008D1A55">
              <w:rPr>
                <w:b/>
                <w:bCs/>
                <w:color w:val="FFFFFF" w:themeColor="background1"/>
                <w:spacing w:val="-1"/>
              </w:rPr>
              <w:t>responder</w:t>
            </w:r>
          </w:p>
        </w:tc>
        <w:tc>
          <w:tcPr>
            <w:tcW w:w="493" w:type="pct"/>
            <w:shd w:val="clear" w:color="auto" w:fill="006DA7"/>
            <w:vAlign w:val="center"/>
          </w:tcPr>
          <w:p w14:paraId="51A8CA89" w14:textId="77777777" w:rsidR="00C7364D" w:rsidRPr="008D1A55" w:rsidRDefault="00C7364D" w:rsidP="005C60E1">
            <w:pPr>
              <w:pStyle w:val="Tabletext"/>
              <w:rPr>
                <w:color w:val="FFFFFF" w:themeColor="background1"/>
              </w:rPr>
            </w:pPr>
            <w:r w:rsidRPr="008D1A55">
              <w:rPr>
                <w:b/>
                <w:bCs/>
                <w:color w:val="FFFFFF" w:themeColor="background1"/>
              </w:rPr>
              <w:t>95%</w:t>
            </w:r>
            <w:r w:rsidRPr="008D1A55">
              <w:rPr>
                <w:b/>
                <w:bCs/>
                <w:color w:val="FFFFFF" w:themeColor="background1"/>
                <w:spacing w:val="1"/>
              </w:rPr>
              <w:t xml:space="preserve"> </w:t>
            </w:r>
            <w:r w:rsidRPr="008D1A55">
              <w:rPr>
                <w:b/>
                <w:bCs/>
                <w:color w:val="FFFFFF" w:themeColor="background1"/>
              </w:rPr>
              <w:t xml:space="preserve">CI </w:t>
            </w:r>
            <w:r w:rsidRPr="008D1A55">
              <w:rPr>
                <w:b/>
                <w:bCs/>
                <w:color w:val="FFFFFF" w:themeColor="background1"/>
                <w:spacing w:val="-1"/>
              </w:rPr>
              <w:t>Respons</w:t>
            </w:r>
            <w:r w:rsidRPr="008D1A55">
              <w:rPr>
                <w:b/>
                <w:bCs/>
                <w:color w:val="FFFFFF" w:themeColor="background1"/>
              </w:rPr>
              <w:t>e</w:t>
            </w:r>
            <w:r w:rsidRPr="008D1A55">
              <w:rPr>
                <w:b/>
                <w:bCs/>
                <w:color w:val="FFFFFF" w:themeColor="background1"/>
                <w:spacing w:val="-1"/>
              </w:rPr>
              <w:t xml:space="preserve"> Rate</w:t>
            </w:r>
          </w:p>
        </w:tc>
        <w:tc>
          <w:tcPr>
            <w:tcW w:w="539" w:type="pct"/>
            <w:shd w:val="clear" w:color="auto" w:fill="006DA7"/>
            <w:vAlign w:val="center"/>
          </w:tcPr>
          <w:p w14:paraId="536EC8DA" w14:textId="77777777" w:rsidR="00C7364D" w:rsidRPr="008D1A55" w:rsidRDefault="00C7364D" w:rsidP="005C60E1">
            <w:pPr>
              <w:pStyle w:val="Tabletext"/>
              <w:rPr>
                <w:color w:val="FFFFFF" w:themeColor="background1"/>
              </w:rPr>
            </w:pPr>
            <w:r w:rsidRPr="008D1A55">
              <w:rPr>
                <w:b/>
                <w:bCs/>
                <w:color w:val="FFFFFF" w:themeColor="background1"/>
              </w:rPr>
              <w:t xml:space="preserve">Difference in </w:t>
            </w:r>
            <w:r w:rsidRPr="008D1A55">
              <w:rPr>
                <w:b/>
                <w:bCs/>
                <w:color w:val="FFFFFF" w:themeColor="background1"/>
                <w:spacing w:val="-1"/>
              </w:rPr>
              <w:t xml:space="preserve">Response </w:t>
            </w:r>
            <w:r w:rsidRPr="008D1A55">
              <w:rPr>
                <w:b/>
                <w:bCs/>
                <w:color w:val="FFFFFF" w:themeColor="background1"/>
              </w:rPr>
              <w:t>Rates</w:t>
            </w:r>
          </w:p>
        </w:tc>
        <w:tc>
          <w:tcPr>
            <w:tcW w:w="539" w:type="pct"/>
            <w:shd w:val="clear" w:color="auto" w:fill="006DA7"/>
            <w:vAlign w:val="center"/>
          </w:tcPr>
          <w:p w14:paraId="5C1C404A" w14:textId="77777777" w:rsidR="00C7364D" w:rsidRPr="008D1A55" w:rsidRDefault="00C7364D" w:rsidP="005C60E1">
            <w:pPr>
              <w:pStyle w:val="Tabletext"/>
              <w:rPr>
                <w:color w:val="FFFFFF" w:themeColor="background1"/>
              </w:rPr>
            </w:pPr>
            <w:r w:rsidRPr="008D1A55">
              <w:rPr>
                <w:b/>
                <w:bCs/>
                <w:color w:val="FFFFFF" w:themeColor="background1"/>
              </w:rPr>
              <w:t>95%</w:t>
            </w:r>
            <w:r w:rsidRPr="008D1A55">
              <w:rPr>
                <w:b/>
                <w:bCs/>
                <w:color w:val="FFFFFF" w:themeColor="background1"/>
                <w:spacing w:val="1"/>
              </w:rPr>
              <w:t xml:space="preserve"> </w:t>
            </w:r>
            <w:r w:rsidRPr="008D1A55">
              <w:rPr>
                <w:b/>
                <w:bCs/>
                <w:color w:val="FFFFFF" w:themeColor="background1"/>
              </w:rPr>
              <w:t>CI Difference</w:t>
            </w:r>
          </w:p>
        </w:tc>
        <w:tc>
          <w:tcPr>
            <w:tcW w:w="580" w:type="pct"/>
            <w:shd w:val="clear" w:color="auto" w:fill="006DA7"/>
            <w:vAlign w:val="center"/>
          </w:tcPr>
          <w:p w14:paraId="42DB42B4" w14:textId="77777777" w:rsidR="00C7364D" w:rsidRPr="008D1A55" w:rsidRDefault="00C7364D" w:rsidP="005C60E1">
            <w:pPr>
              <w:pStyle w:val="Tabletext"/>
              <w:rPr>
                <w:b/>
                <w:bCs/>
                <w:color w:val="FFFFFF" w:themeColor="background1"/>
                <w:spacing w:val="-2"/>
              </w:rPr>
            </w:pPr>
            <w:r w:rsidRPr="008D1A55">
              <w:rPr>
                <w:b/>
                <w:bCs/>
                <w:color w:val="FFFFFF" w:themeColor="background1"/>
                <w:spacing w:val="-2"/>
              </w:rPr>
              <w:t>Unadjusted</w:t>
            </w:r>
          </w:p>
          <w:p w14:paraId="709ADBD7" w14:textId="77777777" w:rsidR="00C7364D" w:rsidRPr="008D1A55" w:rsidRDefault="00C7364D" w:rsidP="005C60E1">
            <w:pPr>
              <w:pStyle w:val="Tabletext"/>
              <w:rPr>
                <w:b/>
                <w:bCs/>
                <w:color w:val="FFFFFF" w:themeColor="background1"/>
                <w:spacing w:val="-2"/>
              </w:rPr>
            </w:pPr>
            <w:r w:rsidRPr="008D1A55">
              <w:rPr>
                <w:b/>
                <w:bCs/>
                <w:color w:val="FFFFFF" w:themeColor="background1"/>
                <w:spacing w:val="-2"/>
              </w:rPr>
              <w:t>p value</w:t>
            </w:r>
          </w:p>
        </w:tc>
        <w:tc>
          <w:tcPr>
            <w:tcW w:w="453" w:type="pct"/>
            <w:shd w:val="clear" w:color="auto" w:fill="006DA7"/>
            <w:vAlign w:val="center"/>
          </w:tcPr>
          <w:p w14:paraId="7FF0A8E2" w14:textId="77777777" w:rsidR="00C7364D" w:rsidRPr="008D1A55" w:rsidRDefault="00C7364D" w:rsidP="005C60E1">
            <w:pPr>
              <w:pStyle w:val="Tabletext"/>
              <w:rPr>
                <w:b/>
                <w:bCs/>
                <w:color w:val="FFFFFF" w:themeColor="background1"/>
                <w:spacing w:val="-2"/>
              </w:rPr>
            </w:pPr>
            <w:r w:rsidRPr="008D1A55">
              <w:rPr>
                <w:b/>
                <w:bCs/>
                <w:color w:val="FFFFFF" w:themeColor="background1"/>
                <w:spacing w:val="-2"/>
              </w:rPr>
              <w:t>Adjusted</w:t>
            </w:r>
          </w:p>
          <w:p w14:paraId="4E8BE7F4" w14:textId="77777777" w:rsidR="00C7364D" w:rsidRPr="008D1A55" w:rsidRDefault="00C7364D" w:rsidP="005C60E1">
            <w:pPr>
              <w:pStyle w:val="Tabletext"/>
              <w:rPr>
                <w:color w:val="FFFFFF" w:themeColor="background1"/>
              </w:rPr>
            </w:pPr>
            <w:r w:rsidRPr="008D1A55">
              <w:rPr>
                <w:b/>
                <w:bCs/>
                <w:color w:val="FFFFFF" w:themeColor="background1"/>
                <w:spacing w:val="-2"/>
              </w:rPr>
              <w:t>p value</w:t>
            </w:r>
          </w:p>
        </w:tc>
      </w:tr>
      <w:tr w:rsidR="00C7364D" w:rsidRPr="008D1A55" w14:paraId="5BF4F979" w14:textId="77777777" w:rsidTr="00A40105">
        <w:trPr>
          <w:trHeight w:val="482"/>
          <w:jc w:val="center"/>
        </w:trPr>
        <w:tc>
          <w:tcPr>
            <w:tcW w:w="5000" w:type="pct"/>
            <w:gridSpan w:val="10"/>
          </w:tcPr>
          <w:p w14:paraId="1EF5EF95" w14:textId="37A3DC92" w:rsidR="00C7364D" w:rsidRPr="008D1A55" w:rsidRDefault="00C7364D" w:rsidP="005C60E1">
            <w:pPr>
              <w:pStyle w:val="Tabletext"/>
              <w:rPr>
                <w:b/>
              </w:rPr>
            </w:pPr>
            <w:r w:rsidRPr="008D1A55">
              <w:rPr>
                <w:b/>
              </w:rPr>
              <w:t xml:space="preserve">BICLA response rate in patients with high </w:t>
            </w:r>
            <w:r w:rsidR="005C60E1" w:rsidRPr="008D1A55">
              <w:rPr>
                <w:b/>
              </w:rPr>
              <w:t xml:space="preserve">interferon </w:t>
            </w:r>
            <w:r w:rsidRPr="008D1A55">
              <w:rPr>
                <w:b/>
              </w:rPr>
              <w:t>test result</w:t>
            </w:r>
          </w:p>
        </w:tc>
      </w:tr>
      <w:tr w:rsidR="00C7364D" w:rsidRPr="008D1A55" w14:paraId="5ECA1B77" w14:textId="77777777" w:rsidTr="00405F18">
        <w:trPr>
          <w:trHeight w:val="482"/>
          <w:jc w:val="center"/>
        </w:trPr>
        <w:tc>
          <w:tcPr>
            <w:tcW w:w="335" w:type="pct"/>
            <w:vMerge w:val="restart"/>
          </w:tcPr>
          <w:p w14:paraId="601388B2" w14:textId="77777777" w:rsidR="00C7364D" w:rsidRPr="008D1A55" w:rsidRDefault="00C7364D" w:rsidP="005C60E1">
            <w:pPr>
              <w:pStyle w:val="Tabletext"/>
            </w:pPr>
            <w:r w:rsidRPr="008D1A55">
              <w:rPr>
                <w:spacing w:val="-1"/>
              </w:rPr>
              <w:t>Wee</w:t>
            </w:r>
            <w:r w:rsidRPr="008D1A55">
              <w:t>k</w:t>
            </w:r>
            <w:r w:rsidRPr="008D1A55">
              <w:rPr>
                <w:spacing w:val="-2"/>
              </w:rPr>
              <w:t xml:space="preserve"> </w:t>
            </w:r>
            <w:r w:rsidRPr="008D1A55">
              <w:rPr>
                <w:spacing w:val="-1"/>
              </w:rPr>
              <w:t>52</w:t>
            </w:r>
          </w:p>
        </w:tc>
        <w:tc>
          <w:tcPr>
            <w:tcW w:w="776" w:type="pct"/>
            <w:vAlign w:val="center"/>
          </w:tcPr>
          <w:p w14:paraId="68700A86" w14:textId="50CE8566" w:rsidR="00C7364D" w:rsidRPr="00914173" w:rsidRDefault="00C7364D" w:rsidP="0063551F">
            <w:pPr>
              <w:pStyle w:val="Tabletext"/>
              <w:jc w:val="center"/>
            </w:pPr>
            <w:proofErr w:type="spellStart"/>
            <w:r w:rsidRPr="00914173">
              <w:rPr>
                <w:spacing w:val="-1"/>
              </w:rPr>
              <w:t>Anifroluma</w:t>
            </w:r>
            <w:r w:rsidRPr="00914173">
              <w:t>b</w:t>
            </w:r>
            <w:proofErr w:type="spellEnd"/>
            <w:r w:rsidRPr="00914173">
              <w:rPr>
                <w:spacing w:val="-1"/>
              </w:rPr>
              <w:t xml:space="preserve"> 300m</w:t>
            </w:r>
            <w:r w:rsidRPr="00914173">
              <w:t>g</w:t>
            </w:r>
          </w:p>
        </w:tc>
        <w:tc>
          <w:tcPr>
            <w:tcW w:w="191" w:type="pct"/>
            <w:vAlign w:val="center"/>
          </w:tcPr>
          <w:p w14:paraId="2D50AC2B" w14:textId="77777777" w:rsidR="00C7364D" w:rsidRPr="00914173" w:rsidRDefault="00C7364D" w:rsidP="0063551F">
            <w:pPr>
              <w:pStyle w:val="Tabletext"/>
              <w:jc w:val="center"/>
            </w:pPr>
            <w:r w:rsidRPr="00914173">
              <w:t>150</w:t>
            </w:r>
          </w:p>
        </w:tc>
        <w:tc>
          <w:tcPr>
            <w:tcW w:w="558" w:type="pct"/>
            <w:vAlign w:val="center"/>
          </w:tcPr>
          <w:p w14:paraId="0AE9C045" w14:textId="77777777" w:rsidR="00C7364D" w:rsidRPr="00914173" w:rsidRDefault="00C7364D" w:rsidP="0063551F">
            <w:pPr>
              <w:pStyle w:val="Tabletext"/>
              <w:jc w:val="center"/>
            </w:pPr>
            <w:r w:rsidRPr="00914173">
              <w:t>72 (48.0)</w:t>
            </w:r>
          </w:p>
        </w:tc>
        <w:tc>
          <w:tcPr>
            <w:tcW w:w="535" w:type="pct"/>
            <w:vAlign w:val="center"/>
          </w:tcPr>
          <w:p w14:paraId="4481D7F4" w14:textId="77777777" w:rsidR="00C7364D" w:rsidRPr="00914173" w:rsidRDefault="00C7364D" w:rsidP="0063551F">
            <w:pPr>
              <w:pStyle w:val="Tabletext"/>
              <w:jc w:val="center"/>
            </w:pPr>
            <w:r w:rsidRPr="00914173">
              <w:t>78 (52.0)</w:t>
            </w:r>
          </w:p>
        </w:tc>
        <w:tc>
          <w:tcPr>
            <w:tcW w:w="493" w:type="pct"/>
            <w:vAlign w:val="center"/>
          </w:tcPr>
          <w:p w14:paraId="44469105" w14:textId="77777777" w:rsidR="00C7364D" w:rsidRPr="00914173" w:rsidRDefault="00C7364D" w:rsidP="0063551F">
            <w:pPr>
              <w:pStyle w:val="Tabletext"/>
              <w:jc w:val="center"/>
            </w:pPr>
            <w:r w:rsidRPr="00914173">
              <w:t>40.1, 56.0</w:t>
            </w:r>
          </w:p>
        </w:tc>
        <w:tc>
          <w:tcPr>
            <w:tcW w:w="539" w:type="pct"/>
            <w:vAlign w:val="center"/>
          </w:tcPr>
          <w:p w14:paraId="62363D70" w14:textId="77777777" w:rsidR="00C7364D" w:rsidRPr="00914173" w:rsidRDefault="00C7364D" w:rsidP="0063551F">
            <w:pPr>
              <w:pStyle w:val="Tabletext"/>
              <w:jc w:val="center"/>
            </w:pPr>
            <w:r w:rsidRPr="00914173">
              <w:rPr>
                <w:spacing w:val="1"/>
              </w:rPr>
              <w:t>17.3</w:t>
            </w:r>
          </w:p>
        </w:tc>
        <w:tc>
          <w:tcPr>
            <w:tcW w:w="539" w:type="pct"/>
            <w:vAlign w:val="center"/>
          </w:tcPr>
          <w:p w14:paraId="55DFDC9C" w14:textId="77777777" w:rsidR="00C7364D" w:rsidRPr="00914173" w:rsidRDefault="00C7364D" w:rsidP="0063551F">
            <w:pPr>
              <w:pStyle w:val="Tabletext"/>
              <w:jc w:val="center"/>
            </w:pPr>
            <w:r w:rsidRPr="00914173">
              <w:t>6.5, 28.2</w:t>
            </w:r>
          </w:p>
        </w:tc>
        <w:tc>
          <w:tcPr>
            <w:tcW w:w="580" w:type="pct"/>
            <w:vAlign w:val="center"/>
          </w:tcPr>
          <w:p w14:paraId="081F2E3B" w14:textId="77777777" w:rsidR="00C7364D" w:rsidRPr="00914173" w:rsidRDefault="00C7364D" w:rsidP="0063551F">
            <w:pPr>
              <w:pStyle w:val="Tabletext"/>
              <w:jc w:val="center"/>
            </w:pPr>
            <w:r w:rsidRPr="00914173">
              <w:t>0.0018</w:t>
            </w:r>
          </w:p>
        </w:tc>
        <w:tc>
          <w:tcPr>
            <w:tcW w:w="453" w:type="pct"/>
            <w:vAlign w:val="center"/>
          </w:tcPr>
          <w:p w14:paraId="2F3D53F1" w14:textId="77777777" w:rsidR="00C7364D" w:rsidRPr="00914173" w:rsidRDefault="00C7364D" w:rsidP="0063551F">
            <w:pPr>
              <w:pStyle w:val="Tabletext"/>
              <w:jc w:val="center"/>
            </w:pPr>
            <w:r w:rsidRPr="00914173">
              <w:t>0.0022</w:t>
            </w:r>
          </w:p>
        </w:tc>
      </w:tr>
      <w:tr w:rsidR="00C7364D" w:rsidRPr="008D1A55" w14:paraId="64D3406E" w14:textId="77777777" w:rsidTr="00405F18">
        <w:trPr>
          <w:trHeight w:val="482"/>
          <w:jc w:val="center"/>
        </w:trPr>
        <w:tc>
          <w:tcPr>
            <w:tcW w:w="335" w:type="pct"/>
            <w:vMerge/>
          </w:tcPr>
          <w:p w14:paraId="0A8C990C" w14:textId="77777777" w:rsidR="00C7364D" w:rsidRPr="008D1A55" w:rsidRDefault="00C7364D" w:rsidP="005C60E1">
            <w:pPr>
              <w:pStyle w:val="Tabletext"/>
            </w:pPr>
          </w:p>
        </w:tc>
        <w:tc>
          <w:tcPr>
            <w:tcW w:w="776" w:type="pct"/>
            <w:vAlign w:val="center"/>
          </w:tcPr>
          <w:p w14:paraId="4ED81BA7" w14:textId="77777777" w:rsidR="00C7364D" w:rsidRPr="00914173" w:rsidRDefault="00C7364D" w:rsidP="0063551F">
            <w:pPr>
              <w:pStyle w:val="Tabletext"/>
              <w:jc w:val="center"/>
            </w:pPr>
            <w:r w:rsidRPr="00914173">
              <w:t>Placebo</w:t>
            </w:r>
          </w:p>
        </w:tc>
        <w:tc>
          <w:tcPr>
            <w:tcW w:w="191" w:type="pct"/>
            <w:vAlign w:val="center"/>
          </w:tcPr>
          <w:p w14:paraId="53A9BBA5" w14:textId="77777777" w:rsidR="00C7364D" w:rsidRPr="00914173" w:rsidRDefault="00C7364D" w:rsidP="0063551F">
            <w:pPr>
              <w:pStyle w:val="Tabletext"/>
              <w:jc w:val="center"/>
            </w:pPr>
            <w:r w:rsidRPr="00914173">
              <w:t>151</w:t>
            </w:r>
          </w:p>
        </w:tc>
        <w:tc>
          <w:tcPr>
            <w:tcW w:w="558" w:type="pct"/>
            <w:vAlign w:val="center"/>
          </w:tcPr>
          <w:p w14:paraId="31908AF3" w14:textId="77777777" w:rsidR="00C7364D" w:rsidRPr="00914173" w:rsidRDefault="00C7364D" w:rsidP="0063551F">
            <w:pPr>
              <w:pStyle w:val="Tabletext"/>
              <w:jc w:val="center"/>
            </w:pPr>
            <w:r w:rsidRPr="00914173">
              <w:t>46 (30.7)</w:t>
            </w:r>
          </w:p>
        </w:tc>
        <w:tc>
          <w:tcPr>
            <w:tcW w:w="535" w:type="pct"/>
            <w:vAlign w:val="center"/>
          </w:tcPr>
          <w:p w14:paraId="112F563C" w14:textId="77777777" w:rsidR="00C7364D" w:rsidRPr="00914173" w:rsidRDefault="00C7364D" w:rsidP="0063551F">
            <w:pPr>
              <w:pStyle w:val="Tabletext"/>
              <w:jc w:val="center"/>
            </w:pPr>
            <w:r w:rsidRPr="00914173">
              <w:t>105 (69.3)</w:t>
            </w:r>
          </w:p>
        </w:tc>
        <w:tc>
          <w:tcPr>
            <w:tcW w:w="493" w:type="pct"/>
            <w:vAlign w:val="center"/>
          </w:tcPr>
          <w:p w14:paraId="600BF9FC" w14:textId="77777777" w:rsidR="00C7364D" w:rsidRPr="00914173" w:rsidRDefault="00C7364D" w:rsidP="0063551F">
            <w:pPr>
              <w:pStyle w:val="Tabletext"/>
              <w:jc w:val="center"/>
            </w:pPr>
            <w:r w:rsidRPr="00914173">
              <w:t>23.3, 38.1</w:t>
            </w:r>
          </w:p>
        </w:tc>
        <w:tc>
          <w:tcPr>
            <w:tcW w:w="539" w:type="pct"/>
            <w:vAlign w:val="center"/>
          </w:tcPr>
          <w:p w14:paraId="46822F9C" w14:textId="77777777" w:rsidR="00C7364D" w:rsidRPr="00914173" w:rsidRDefault="00C7364D" w:rsidP="0063551F">
            <w:pPr>
              <w:pStyle w:val="Tabletext"/>
              <w:jc w:val="center"/>
            </w:pPr>
          </w:p>
        </w:tc>
        <w:tc>
          <w:tcPr>
            <w:tcW w:w="539" w:type="pct"/>
            <w:vAlign w:val="center"/>
          </w:tcPr>
          <w:p w14:paraId="0B693F34" w14:textId="77777777" w:rsidR="00C7364D" w:rsidRPr="00914173" w:rsidRDefault="00C7364D" w:rsidP="0063551F">
            <w:pPr>
              <w:pStyle w:val="Tabletext"/>
              <w:jc w:val="center"/>
            </w:pPr>
          </w:p>
        </w:tc>
        <w:tc>
          <w:tcPr>
            <w:tcW w:w="580" w:type="pct"/>
            <w:vAlign w:val="center"/>
          </w:tcPr>
          <w:p w14:paraId="5FAA64F6" w14:textId="77777777" w:rsidR="00C7364D" w:rsidRPr="00914173" w:rsidRDefault="00C7364D" w:rsidP="0063551F">
            <w:pPr>
              <w:pStyle w:val="Tabletext"/>
              <w:jc w:val="center"/>
            </w:pPr>
          </w:p>
        </w:tc>
        <w:tc>
          <w:tcPr>
            <w:tcW w:w="453" w:type="pct"/>
            <w:vAlign w:val="center"/>
          </w:tcPr>
          <w:p w14:paraId="26F01E9D" w14:textId="77777777" w:rsidR="00C7364D" w:rsidRPr="00914173" w:rsidRDefault="00C7364D" w:rsidP="0063551F">
            <w:pPr>
              <w:pStyle w:val="Tabletext"/>
              <w:jc w:val="center"/>
            </w:pPr>
          </w:p>
        </w:tc>
      </w:tr>
      <w:tr w:rsidR="00C7364D" w:rsidRPr="008D1A55" w14:paraId="30830027" w14:textId="77777777" w:rsidTr="00405F18">
        <w:trPr>
          <w:trHeight w:val="482"/>
          <w:jc w:val="center"/>
        </w:trPr>
        <w:tc>
          <w:tcPr>
            <w:tcW w:w="5000" w:type="pct"/>
            <w:gridSpan w:val="10"/>
            <w:vAlign w:val="center"/>
          </w:tcPr>
          <w:p w14:paraId="175B9C2C" w14:textId="68CDEBC6" w:rsidR="00C7364D" w:rsidRPr="008D1A55" w:rsidRDefault="00C7364D" w:rsidP="00405F18">
            <w:pPr>
              <w:pStyle w:val="Tabletext"/>
            </w:pPr>
            <w:r w:rsidRPr="008D1A55">
              <w:rPr>
                <w:b/>
              </w:rPr>
              <w:t xml:space="preserve">Maintained </w:t>
            </w:r>
            <w:r w:rsidR="005C60E1" w:rsidRPr="008D1A55">
              <w:rPr>
                <w:b/>
              </w:rPr>
              <w:t xml:space="preserve">oral corticosteroids </w:t>
            </w:r>
            <w:r w:rsidRPr="008D1A55">
              <w:rPr>
                <w:b/>
              </w:rPr>
              <w:t xml:space="preserve">reduction in patients with </w:t>
            </w:r>
            <w:r w:rsidR="005C60E1" w:rsidRPr="008D1A55">
              <w:rPr>
                <w:b/>
              </w:rPr>
              <w:t>oral corticosteroids</w:t>
            </w:r>
            <w:r w:rsidRPr="008D1A55">
              <w:rPr>
                <w:b/>
              </w:rPr>
              <w:t>≥10 mg/day</w:t>
            </w:r>
          </w:p>
        </w:tc>
      </w:tr>
      <w:tr w:rsidR="00C7364D" w:rsidRPr="008D1A55" w14:paraId="3A61A994" w14:textId="77777777" w:rsidTr="00405F18">
        <w:trPr>
          <w:trHeight w:val="482"/>
          <w:jc w:val="center"/>
        </w:trPr>
        <w:tc>
          <w:tcPr>
            <w:tcW w:w="335" w:type="pct"/>
            <w:vMerge w:val="restart"/>
          </w:tcPr>
          <w:p w14:paraId="2CA9AC8A" w14:textId="77777777" w:rsidR="00C7364D" w:rsidRPr="008D1A55" w:rsidRDefault="00C7364D" w:rsidP="005C60E1">
            <w:pPr>
              <w:pStyle w:val="Tabletext"/>
            </w:pPr>
            <w:r w:rsidRPr="008D1A55">
              <w:rPr>
                <w:spacing w:val="-1"/>
              </w:rPr>
              <w:t>Wee</w:t>
            </w:r>
            <w:r w:rsidRPr="008D1A55">
              <w:t>k</w:t>
            </w:r>
            <w:r w:rsidRPr="008D1A55">
              <w:rPr>
                <w:spacing w:val="-2"/>
              </w:rPr>
              <w:t xml:space="preserve"> </w:t>
            </w:r>
            <w:r w:rsidRPr="008D1A55">
              <w:rPr>
                <w:spacing w:val="-1"/>
              </w:rPr>
              <w:t>52</w:t>
            </w:r>
          </w:p>
        </w:tc>
        <w:tc>
          <w:tcPr>
            <w:tcW w:w="776" w:type="pct"/>
            <w:vAlign w:val="center"/>
          </w:tcPr>
          <w:p w14:paraId="044CF1D8" w14:textId="47B205CB" w:rsidR="00C7364D" w:rsidRPr="008D1A55" w:rsidRDefault="00C7364D" w:rsidP="0063551F">
            <w:pPr>
              <w:pStyle w:val="Tabletext"/>
              <w:jc w:val="center"/>
            </w:pPr>
            <w:proofErr w:type="spellStart"/>
            <w:r w:rsidRPr="008D1A55">
              <w:rPr>
                <w:spacing w:val="-1"/>
              </w:rPr>
              <w:t>Anifroluma</w:t>
            </w:r>
            <w:r w:rsidRPr="008D1A55">
              <w:t>b</w:t>
            </w:r>
            <w:proofErr w:type="spellEnd"/>
            <w:r w:rsidRPr="008D1A55">
              <w:rPr>
                <w:spacing w:val="-1"/>
              </w:rPr>
              <w:t xml:space="preserve"> 300m</w:t>
            </w:r>
            <w:r w:rsidRPr="008D1A55">
              <w:t>g</w:t>
            </w:r>
          </w:p>
        </w:tc>
        <w:tc>
          <w:tcPr>
            <w:tcW w:w="191" w:type="pct"/>
            <w:vAlign w:val="center"/>
          </w:tcPr>
          <w:p w14:paraId="16E6986E" w14:textId="77777777" w:rsidR="00C7364D" w:rsidRPr="008D1A55" w:rsidRDefault="00C7364D" w:rsidP="0063551F">
            <w:pPr>
              <w:pStyle w:val="Tabletext"/>
              <w:jc w:val="center"/>
            </w:pPr>
            <w:r w:rsidRPr="008D1A55">
              <w:t>87</w:t>
            </w:r>
          </w:p>
        </w:tc>
        <w:tc>
          <w:tcPr>
            <w:tcW w:w="558" w:type="pct"/>
            <w:vAlign w:val="center"/>
          </w:tcPr>
          <w:p w14:paraId="277266D7" w14:textId="77777777" w:rsidR="00C7364D" w:rsidRPr="008D1A55" w:rsidRDefault="00C7364D" w:rsidP="0063551F">
            <w:pPr>
              <w:pStyle w:val="Tabletext"/>
              <w:jc w:val="center"/>
            </w:pPr>
            <w:r w:rsidRPr="008D1A55">
              <w:t>45 (51.5)</w:t>
            </w:r>
          </w:p>
        </w:tc>
        <w:tc>
          <w:tcPr>
            <w:tcW w:w="535" w:type="pct"/>
            <w:vAlign w:val="center"/>
          </w:tcPr>
          <w:p w14:paraId="6AE00664" w14:textId="77777777" w:rsidR="00C7364D" w:rsidRPr="008D1A55" w:rsidRDefault="00C7364D" w:rsidP="0063551F">
            <w:pPr>
              <w:pStyle w:val="Tabletext"/>
              <w:jc w:val="center"/>
            </w:pPr>
            <w:r w:rsidRPr="008D1A55">
              <w:t>42 (48.5)</w:t>
            </w:r>
          </w:p>
        </w:tc>
        <w:tc>
          <w:tcPr>
            <w:tcW w:w="493" w:type="pct"/>
            <w:vAlign w:val="center"/>
          </w:tcPr>
          <w:p w14:paraId="2F6224B0" w14:textId="77777777" w:rsidR="00C7364D" w:rsidRPr="008D1A55" w:rsidRDefault="00C7364D" w:rsidP="0063551F">
            <w:pPr>
              <w:pStyle w:val="Tabletext"/>
              <w:jc w:val="center"/>
            </w:pPr>
            <w:r w:rsidRPr="008D1A55">
              <w:t>41.1, 61.8</w:t>
            </w:r>
          </w:p>
        </w:tc>
        <w:tc>
          <w:tcPr>
            <w:tcW w:w="539" w:type="pct"/>
            <w:vAlign w:val="center"/>
          </w:tcPr>
          <w:p w14:paraId="63263F3D" w14:textId="77777777" w:rsidR="00C7364D" w:rsidRPr="008D1A55" w:rsidRDefault="00C7364D" w:rsidP="0063551F">
            <w:pPr>
              <w:pStyle w:val="Tabletext"/>
              <w:jc w:val="center"/>
            </w:pPr>
            <w:r w:rsidRPr="008D1A55">
              <w:rPr>
                <w:spacing w:val="1"/>
              </w:rPr>
              <w:t>21.2</w:t>
            </w:r>
          </w:p>
        </w:tc>
        <w:tc>
          <w:tcPr>
            <w:tcW w:w="539" w:type="pct"/>
            <w:vAlign w:val="center"/>
          </w:tcPr>
          <w:p w14:paraId="4D54F60E" w14:textId="77777777" w:rsidR="00C7364D" w:rsidRPr="008D1A55" w:rsidRDefault="00C7364D" w:rsidP="0063551F">
            <w:pPr>
              <w:pStyle w:val="Tabletext"/>
              <w:jc w:val="center"/>
            </w:pPr>
            <w:r w:rsidRPr="008D1A55">
              <w:t>6.8, 35.7</w:t>
            </w:r>
          </w:p>
        </w:tc>
        <w:tc>
          <w:tcPr>
            <w:tcW w:w="580" w:type="pct"/>
            <w:vAlign w:val="center"/>
          </w:tcPr>
          <w:p w14:paraId="4F704A55" w14:textId="77777777" w:rsidR="00C7364D" w:rsidRPr="008D1A55" w:rsidRDefault="00C7364D" w:rsidP="0063551F">
            <w:pPr>
              <w:pStyle w:val="Tabletext"/>
              <w:jc w:val="center"/>
            </w:pPr>
            <w:r w:rsidRPr="008D1A55">
              <w:t>0.0040</w:t>
            </w:r>
          </w:p>
        </w:tc>
        <w:tc>
          <w:tcPr>
            <w:tcW w:w="453" w:type="pct"/>
            <w:vAlign w:val="center"/>
          </w:tcPr>
          <w:p w14:paraId="21E07127" w14:textId="77777777" w:rsidR="00C7364D" w:rsidRPr="008D1A55" w:rsidRDefault="00C7364D" w:rsidP="0063551F">
            <w:pPr>
              <w:pStyle w:val="Tabletext"/>
              <w:jc w:val="center"/>
            </w:pPr>
            <w:r w:rsidRPr="008D1A55">
              <w:t>0.0135</w:t>
            </w:r>
          </w:p>
        </w:tc>
      </w:tr>
      <w:tr w:rsidR="00C7364D" w:rsidRPr="008D1A55" w14:paraId="70B41BE6" w14:textId="77777777" w:rsidTr="00405F18">
        <w:trPr>
          <w:trHeight w:val="482"/>
          <w:jc w:val="center"/>
        </w:trPr>
        <w:tc>
          <w:tcPr>
            <w:tcW w:w="335" w:type="pct"/>
            <w:vMerge/>
          </w:tcPr>
          <w:p w14:paraId="4FB36663" w14:textId="77777777" w:rsidR="00C7364D" w:rsidRPr="008D1A55" w:rsidRDefault="00C7364D" w:rsidP="005C60E1">
            <w:pPr>
              <w:pStyle w:val="Tabletext"/>
            </w:pPr>
          </w:p>
        </w:tc>
        <w:tc>
          <w:tcPr>
            <w:tcW w:w="776" w:type="pct"/>
            <w:vAlign w:val="center"/>
          </w:tcPr>
          <w:p w14:paraId="306BB2B7" w14:textId="77777777" w:rsidR="00C7364D" w:rsidRPr="008D1A55" w:rsidRDefault="00C7364D" w:rsidP="0063551F">
            <w:pPr>
              <w:pStyle w:val="Tabletext"/>
              <w:jc w:val="center"/>
            </w:pPr>
            <w:r w:rsidRPr="008D1A55">
              <w:t>Placebo</w:t>
            </w:r>
          </w:p>
        </w:tc>
        <w:tc>
          <w:tcPr>
            <w:tcW w:w="191" w:type="pct"/>
            <w:vAlign w:val="center"/>
          </w:tcPr>
          <w:p w14:paraId="2EB3ECA6" w14:textId="77777777" w:rsidR="00C7364D" w:rsidRPr="008D1A55" w:rsidRDefault="00C7364D" w:rsidP="0063551F">
            <w:pPr>
              <w:pStyle w:val="Tabletext"/>
              <w:jc w:val="center"/>
            </w:pPr>
            <w:r w:rsidRPr="008D1A55">
              <w:t>83</w:t>
            </w:r>
          </w:p>
        </w:tc>
        <w:tc>
          <w:tcPr>
            <w:tcW w:w="558" w:type="pct"/>
            <w:vAlign w:val="center"/>
          </w:tcPr>
          <w:p w14:paraId="478A71CC" w14:textId="77777777" w:rsidR="00C7364D" w:rsidRPr="008D1A55" w:rsidRDefault="00C7364D" w:rsidP="0063551F">
            <w:pPr>
              <w:pStyle w:val="Tabletext"/>
              <w:jc w:val="center"/>
            </w:pPr>
            <w:r w:rsidRPr="008D1A55">
              <w:t>25 (30.2)</w:t>
            </w:r>
          </w:p>
        </w:tc>
        <w:tc>
          <w:tcPr>
            <w:tcW w:w="535" w:type="pct"/>
            <w:vAlign w:val="center"/>
          </w:tcPr>
          <w:p w14:paraId="253C829E" w14:textId="77777777" w:rsidR="00C7364D" w:rsidRPr="008D1A55" w:rsidRDefault="00C7364D" w:rsidP="0063551F">
            <w:pPr>
              <w:pStyle w:val="Tabletext"/>
              <w:jc w:val="center"/>
            </w:pPr>
            <w:r w:rsidRPr="008D1A55">
              <w:t>58 (69.8)</w:t>
            </w:r>
          </w:p>
        </w:tc>
        <w:tc>
          <w:tcPr>
            <w:tcW w:w="493" w:type="pct"/>
            <w:vAlign w:val="center"/>
          </w:tcPr>
          <w:p w14:paraId="1D6BA345" w14:textId="77777777" w:rsidR="00C7364D" w:rsidRPr="008D1A55" w:rsidRDefault="00C7364D" w:rsidP="0063551F">
            <w:pPr>
              <w:pStyle w:val="Tabletext"/>
              <w:jc w:val="center"/>
            </w:pPr>
            <w:r w:rsidRPr="008D1A55">
              <w:t>20.1, 40.3</w:t>
            </w:r>
          </w:p>
        </w:tc>
        <w:tc>
          <w:tcPr>
            <w:tcW w:w="539" w:type="pct"/>
            <w:vAlign w:val="center"/>
          </w:tcPr>
          <w:p w14:paraId="45634690" w14:textId="77777777" w:rsidR="00C7364D" w:rsidRPr="008D1A55" w:rsidRDefault="00C7364D" w:rsidP="0063551F">
            <w:pPr>
              <w:pStyle w:val="Tabletext"/>
              <w:jc w:val="center"/>
            </w:pPr>
          </w:p>
        </w:tc>
        <w:tc>
          <w:tcPr>
            <w:tcW w:w="539" w:type="pct"/>
            <w:vAlign w:val="center"/>
          </w:tcPr>
          <w:p w14:paraId="0C96DA82" w14:textId="77777777" w:rsidR="00C7364D" w:rsidRPr="008D1A55" w:rsidRDefault="00C7364D" w:rsidP="0063551F">
            <w:pPr>
              <w:pStyle w:val="Tabletext"/>
              <w:jc w:val="center"/>
            </w:pPr>
          </w:p>
        </w:tc>
        <w:tc>
          <w:tcPr>
            <w:tcW w:w="580" w:type="pct"/>
            <w:vAlign w:val="center"/>
          </w:tcPr>
          <w:p w14:paraId="124958B0" w14:textId="77777777" w:rsidR="00C7364D" w:rsidRPr="008D1A55" w:rsidRDefault="00C7364D" w:rsidP="0063551F">
            <w:pPr>
              <w:pStyle w:val="Tabletext"/>
              <w:jc w:val="center"/>
            </w:pPr>
          </w:p>
        </w:tc>
        <w:tc>
          <w:tcPr>
            <w:tcW w:w="453" w:type="pct"/>
            <w:vAlign w:val="center"/>
          </w:tcPr>
          <w:p w14:paraId="22DC18E7" w14:textId="77777777" w:rsidR="00C7364D" w:rsidRPr="008D1A55" w:rsidRDefault="00C7364D" w:rsidP="0063551F">
            <w:pPr>
              <w:pStyle w:val="Tabletext"/>
              <w:jc w:val="center"/>
            </w:pPr>
          </w:p>
        </w:tc>
      </w:tr>
      <w:tr w:rsidR="00C7364D" w:rsidRPr="008D1A55" w14:paraId="1F6AA93F" w14:textId="77777777" w:rsidTr="00405F18">
        <w:trPr>
          <w:trHeight w:val="482"/>
          <w:jc w:val="center"/>
        </w:trPr>
        <w:tc>
          <w:tcPr>
            <w:tcW w:w="5000" w:type="pct"/>
            <w:gridSpan w:val="10"/>
            <w:vAlign w:val="center"/>
          </w:tcPr>
          <w:p w14:paraId="489F396B" w14:textId="77777777" w:rsidR="00C7364D" w:rsidRPr="008D1A55" w:rsidRDefault="00C7364D" w:rsidP="00405F18">
            <w:pPr>
              <w:pStyle w:val="Tabletext"/>
            </w:pPr>
            <w:r w:rsidRPr="008D1A55">
              <w:rPr>
                <w:b/>
              </w:rPr>
              <w:t>Reduction in CLASI activity score in patients with baseline CLASI activity score ≥10</w:t>
            </w:r>
          </w:p>
        </w:tc>
      </w:tr>
      <w:tr w:rsidR="00C7364D" w:rsidRPr="008D1A55" w14:paraId="1B0320CA" w14:textId="77777777" w:rsidTr="00405F18">
        <w:trPr>
          <w:trHeight w:val="482"/>
          <w:jc w:val="center"/>
        </w:trPr>
        <w:tc>
          <w:tcPr>
            <w:tcW w:w="335" w:type="pct"/>
            <w:vMerge w:val="restart"/>
          </w:tcPr>
          <w:p w14:paraId="59EB9487" w14:textId="77777777" w:rsidR="00C7364D" w:rsidRPr="008D1A55" w:rsidRDefault="00C7364D" w:rsidP="005C60E1">
            <w:pPr>
              <w:pStyle w:val="Tabletext"/>
            </w:pPr>
            <w:r w:rsidRPr="008D1A55">
              <w:t>Week 12</w:t>
            </w:r>
          </w:p>
        </w:tc>
        <w:tc>
          <w:tcPr>
            <w:tcW w:w="776" w:type="pct"/>
            <w:vAlign w:val="center"/>
          </w:tcPr>
          <w:p w14:paraId="3DADD330" w14:textId="42BF15C8" w:rsidR="00C7364D" w:rsidRPr="008D1A55" w:rsidRDefault="00C7364D" w:rsidP="0063551F">
            <w:pPr>
              <w:pStyle w:val="Tabletext"/>
              <w:jc w:val="center"/>
            </w:pPr>
            <w:proofErr w:type="spellStart"/>
            <w:r w:rsidRPr="008D1A55">
              <w:rPr>
                <w:spacing w:val="-1"/>
              </w:rPr>
              <w:t>Anifroluma</w:t>
            </w:r>
            <w:r w:rsidRPr="008D1A55">
              <w:t>b</w:t>
            </w:r>
            <w:proofErr w:type="spellEnd"/>
            <w:r w:rsidRPr="008D1A55">
              <w:rPr>
                <w:spacing w:val="-1"/>
              </w:rPr>
              <w:t xml:space="preserve"> 300m</w:t>
            </w:r>
            <w:r w:rsidRPr="008D1A55">
              <w:t>g</w:t>
            </w:r>
          </w:p>
        </w:tc>
        <w:tc>
          <w:tcPr>
            <w:tcW w:w="191" w:type="pct"/>
            <w:vAlign w:val="center"/>
          </w:tcPr>
          <w:p w14:paraId="508BB19A" w14:textId="77777777" w:rsidR="00C7364D" w:rsidRPr="008D1A55" w:rsidRDefault="00C7364D" w:rsidP="0063551F">
            <w:pPr>
              <w:pStyle w:val="Tabletext"/>
              <w:jc w:val="center"/>
            </w:pPr>
            <w:r w:rsidRPr="008D1A55">
              <w:t>49</w:t>
            </w:r>
          </w:p>
        </w:tc>
        <w:tc>
          <w:tcPr>
            <w:tcW w:w="558" w:type="pct"/>
            <w:vAlign w:val="center"/>
          </w:tcPr>
          <w:p w14:paraId="1A2940A2" w14:textId="77777777" w:rsidR="00C7364D" w:rsidRPr="008D1A55" w:rsidRDefault="00C7364D" w:rsidP="0063551F">
            <w:pPr>
              <w:pStyle w:val="Tabletext"/>
              <w:jc w:val="center"/>
            </w:pPr>
            <w:r w:rsidRPr="008D1A55">
              <w:t>24 (49.0)</w:t>
            </w:r>
          </w:p>
        </w:tc>
        <w:tc>
          <w:tcPr>
            <w:tcW w:w="535" w:type="pct"/>
            <w:vAlign w:val="center"/>
          </w:tcPr>
          <w:p w14:paraId="3BA1389B" w14:textId="77777777" w:rsidR="00C7364D" w:rsidRPr="008D1A55" w:rsidRDefault="00C7364D" w:rsidP="0063551F">
            <w:pPr>
              <w:pStyle w:val="Tabletext"/>
              <w:jc w:val="center"/>
            </w:pPr>
            <w:r w:rsidRPr="008D1A55">
              <w:t>25 (51.0)</w:t>
            </w:r>
          </w:p>
        </w:tc>
        <w:tc>
          <w:tcPr>
            <w:tcW w:w="493" w:type="pct"/>
            <w:vAlign w:val="center"/>
          </w:tcPr>
          <w:p w14:paraId="33055D2A" w14:textId="77777777" w:rsidR="00C7364D" w:rsidRPr="008D1A55" w:rsidRDefault="00C7364D" w:rsidP="0063551F">
            <w:pPr>
              <w:pStyle w:val="Tabletext"/>
              <w:jc w:val="center"/>
            </w:pPr>
            <w:r w:rsidRPr="008D1A55">
              <w:t>35.0, 63.0</w:t>
            </w:r>
          </w:p>
        </w:tc>
        <w:tc>
          <w:tcPr>
            <w:tcW w:w="539" w:type="pct"/>
            <w:vAlign w:val="center"/>
          </w:tcPr>
          <w:p w14:paraId="6FD3D957" w14:textId="77777777" w:rsidR="00C7364D" w:rsidRPr="008D1A55" w:rsidRDefault="00C7364D" w:rsidP="0063551F">
            <w:pPr>
              <w:pStyle w:val="Tabletext"/>
              <w:jc w:val="center"/>
            </w:pPr>
            <w:r w:rsidRPr="008D1A55">
              <w:t>24.0</w:t>
            </w:r>
          </w:p>
        </w:tc>
        <w:tc>
          <w:tcPr>
            <w:tcW w:w="539" w:type="pct"/>
            <w:vAlign w:val="center"/>
          </w:tcPr>
          <w:p w14:paraId="2D45CA94" w14:textId="77777777" w:rsidR="00C7364D" w:rsidRPr="008D1A55" w:rsidRDefault="00C7364D" w:rsidP="0063551F">
            <w:pPr>
              <w:pStyle w:val="Tabletext"/>
              <w:jc w:val="center"/>
            </w:pPr>
            <w:r w:rsidRPr="008D1A55">
              <w:t>4.3. 43.6</w:t>
            </w:r>
          </w:p>
        </w:tc>
        <w:tc>
          <w:tcPr>
            <w:tcW w:w="580" w:type="pct"/>
            <w:vAlign w:val="center"/>
          </w:tcPr>
          <w:p w14:paraId="69795FDD" w14:textId="77777777" w:rsidR="00C7364D" w:rsidRPr="008D1A55" w:rsidRDefault="00C7364D" w:rsidP="0063551F">
            <w:pPr>
              <w:pStyle w:val="Tabletext"/>
              <w:jc w:val="center"/>
            </w:pPr>
            <w:r w:rsidRPr="008D1A55">
              <w:t>0.0168</w:t>
            </w:r>
          </w:p>
        </w:tc>
        <w:tc>
          <w:tcPr>
            <w:tcW w:w="453" w:type="pct"/>
            <w:vAlign w:val="center"/>
          </w:tcPr>
          <w:p w14:paraId="705F81CA" w14:textId="77777777" w:rsidR="00C7364D" w:rsidRPr="008D1A55" w:rsidRDefault="00C7364D" w:rsidP="0063551F">
            <w:pPr>
              <w:pStyle w:val="Tabletext"/>
              <w:jc w:val="center"/>
            </w:pPr>
            <w:r w:rsidRPr="008D1A55">
              <w:t>0.0392</w:t>
            </w:r>
          </w:p>
        </w:tc>
      </w:tr>
      <w:tr w:rsidR="00C7364D" w:rsidRPr="008D1A55" w14:paraId="3F0CCFAE" w14:textId="77777777" w:rsidTr="00405F18">
        <w:trPr>
          <w:trHeight w:val="482"/>
          <w:jc w:val="center"/>
        </w:trPr>
        <w:tc>
          <w:tcPr>
            <w:tcW w:w="335" w:type="pct"/>
            <w:vMerge/>
          </w:tcPr>
          <w:p w14:paraId="620DA957" w14:textId="77777777" w:rsidR="00C7364D" w:rsidRPr="008D1A55" w:rsidRDefault="00C7364D" w:rsidP="005C60E1">
            <w:pPr>
              <w:pStyle w:val="Tabletext"/>
            </w:pPr>
          </w:p>
        </w:tc>
        <w:tc>
          <w:tcPr>
            <w:tcW w:w="776" w:type="pct"/>
            <w:vAlign w:val="center"/>
          </w:tcPr>
          <w:p w14:paraId="41266524" w14:textId="77777777" w:rsidR="00C7364D" w:rsidRPr="008D1A55" w:rsidRDefault="00C7364D" w:rsidP="0063551F">
            <w:pPr>
              <w:pStyle w:val="Tabletext"/>
              <w:jc w:val="center"/>
            </w:pPr>
            <w:r w:rsidRPr="008D1A55">
              <w:t>Placebo</w:t>
            </w:r>
          </w:p>
        </w:tc>
        <w:tc>
          <w:tcPr>
            <w:tcW w:w="191" w:type="pct"/>
            <w:vAlign w:val="center"/>
          </w:tcPr>
          <w:p w14:paraId="7902FD8D" w14:textId="77777777" w:rsidR="00C7364D" w:rsidRPr="008D1A55" w:rsidRDefault="00C7364D" w:rsidP="0063551F">
            <w:pPr>
              <w:pStyle w:val="Tabletext"/>
              <w:jc w:val="center"/>
            </w:pPr>
            <w:r w:rsidRPr="008D1A55">
              <w:t>40</w:t>
            </w:r>
          </w:p>
        </w:tc>
        <w:tc>
          <w:tcPr>
            <w:tcW w:w="558" w:type="pct"/>
            <w:vAlign w:val="center"/>
          </w:tcPr>
          <w:p w14:paraId="02C60482" w14:textId="77777777" w:rsidR="00C7364D" w:rsidRPr="008D1A55" w:rsidRDefault="00C7364D" w:rsidP="0063551F">
            <w:pPr>
              <w:pStyle w:val="Tabletext"/>
              <w:jc w:val="center"/>
            </w:pPr>
            <w:r w:rsidRPr="008D1A55">
              <w:t>10 (25.0)</w:t>
            </w:r>
          </w:p>
        </w:tc>
        <w:tc>
          <w:tcPr>
            <w:tcW w:w="535" w:type="pct"/>
            <w:vAlign w:val="center"/>
          </w:tcPr>
          <w:p w14:paraId="01A7B37E" w14:textId="77777777" w:rsidR="00C7364D" w:rsidRPr="008D1A55" w:rsidRDefault="00C7364D" w:rsidP="0063551F">
            <w:pPr>
              <w:pStyle w:val="Tabletext"/>
              <w:jc w:val="center"/>
            </w:pPr>
            <w:r w:rsidRPr="008D1A55">
              <w:t>30 (75.0)</w:t>
            </w:r>
          </w:p>
        </w:tc>
        <w:tc>
          <w:tcPr>
            <w:tcW w:w="493" w:type="pct"/>
            <w:vAlign w:val="center"/>
          </w:tcPr>
          <w:p w14:paraId="199D8819" w14:textId="77777777" w:rsidR="00C7364D" w:rsidRPr="008D1A55" w:rsidRDefault="00C7364D" w:rsidP="0063551F">
            <w:pPr>
              <w:pStyle w:val="Tabletext"/>
              <w:jc w:val="center"/>
            </w:pPr>
            <w:r w:rsidRPr="008D1A55">
              <w:t>11.2, 38.8</w:t>
            </w:r>
          </w:p>
        </w:tc>
        <w:tc>
          <w:tcPr>
            <w:tcW w:w="539" w:type="pct"/>
            <w:vAlign w:val="center"/>
          </w:tcPr>
          <w:p w14:paraId="4B7AEEB5" w14:textId="77777777" w:rsidR="00C7364D" w:rsidRPr="008D1A55" w:rsidRDefault="00C7364D" w:rsidP="0063551F">
            <w:pPr>
              <w:pStyle w:val="Tabletext"/>
              <w:jc w:val="center"/>
            </w:pPr>
          </w:p>
        </w:tc>
        <w:tc>
          <w:tcPr>
            <w:tcW w:w="539" w:type="pct"/>
            <w:vAlign w:val="center"/>
          </w:tcPr>
          <w:p w14:paraId="46247558" w14:textId="77777777" w:rsidR="00C7364D" w:rsidRPr="008D1A55" w:rsidRDefault="00C7364D" w:rsidP="0063551F">
            <w:pPr>
              <w:pStyle w:val="Tabletext"/>
              <w:jc w:val="center"/>
            </w:pPr>
          </w:p>
        </w:tc>
        <w:tc>
          <w:tcPr>
            <w:tcW w:w="580" w:type="pct"/>
            <w:vAlign w:val="center"/>
          </w:tcPr>
          <w:p w14:paraId="7FB689FB" w14:textId="77777777" w:rsidR="00C7364D" w:rsidRPr="008D1A55" w:rsidRDefault="00C7364D" w:rsidP="0063551F">
            <w:pPr>
              <w:pStyle w:val="Tabletext"/>
              <w:jc w:val="center"/>
            </w:pPr>
          </w:p>
        </w:tc>
        <w:tc>
          <w:tcPr>
            <w:tcW w:w="453" w:type="pct"/>
            <w:vAlign w:val="center"/>
          </w:tcPr>
          <w:p w14:paraId="18D85A4C" w14:textId="77777777" w:rsidR="00C7364D" w:rsidRPr="008D1A55" w:rsidRDefault="00C7364D" w:rsidP="0063551F">
            <w:pPr>
              <w:pStyle w:val="Tabletext"/>
              <w:jc w:val="center"/>
            </w:pPr>
          </w:p>
        </w:tc>
      </w:tr>
      <w:tr w:rsidR="00C7364D" w:rsidRPr="008D1A55" w14:paraId="24F21387" w14:textId="77777777" w:rsidTr="00405F18">
        <w:trPr>
          <w:trHeight w:val="482"/>
          <w:jc w:val="center"/>
        </w:trPr>
        <w:tc>
          <w:tcPr>
            <w:tcW w:w="5000" w:type="pct"/>
            <w:gridSpan w:val="10"/>
            <w:vAlign w:val="center"/>
          </w:tcPr>
          <w:p w14:paraId="69881748" w14:textId="5E04270F" w:rsidR="00C7364D" w:rsidRPr="008D1A55" w:rsidRDefault="00C7364D" w:rsidP="00405F18">
            <w:pPr>
              <w:pStyle w:val="Tabletext"/>
            </w:pPr>
            <w:r w:rsidRPr="008D1A55">
              <w:rPr>
                <w:b/>
              </w:rPr>
              <w:t xml:space="preserve">Joint response rate (50% reduction) in patients with at least 6 swollen and 6 tender joints at </w:t>
            </w:r>
            <w:r w:rsidR="00CA1444" w:rsidRPr="008D1A55">
              <w:rPr>
                <w:b/>
              </w:rPr>
              <w:t>Baseline</w:t>
            </w:r>
          </w:p>
        </w:tc>
      </w:tr>
      <w:tr w:rsidR="00C7364D" w:rsidRPr="008D1A55" w14:paraId="114219F0" w14:textId="77777777" w:rsidTr="00405F18">
        <w:trPr>
          <w:trHeight w:val="482"/>
          <w:jc w:val="center"/>
        </w:trPr>
        <w:tc>
          <w:tcPr>
            <w:tcW w:w="335" w:type="pct"/>
            <w:vMerge w:val="restart"/>
          </w:tcPr>
          <w:p w14:paraId="75E3EADF" w14:textId="77777777" w:rsidR="00C7364D" w:rsidRPr="008D1A55" w:rsidRDefault="00C7364D" w:rsidP="005C60E1">
            <w:pPr>
              <w:pStyle w:val="Tabletext"/>
            </w:pPr>
            <w:r w:rsidRPr="008D1A55">
              <w:t>Week 52</w:t>
            </w:r>
          </w:p>
        </w:tc>
        <w:tc>
          <w:tcPr>
            <w:tcW w:w="776" w:type="pct"/>
            <w:vAlign w:val="center"/>
          </w:tcPr>
          <w:p w14:paraId="43B65C21" w14:textId="1E18F89F" w:rsidR="00C7364D" w:rsidRPr="008D1A55" w:rsidRDefault="00C7364D" w:rsidP="0063551F">
            <w:pPr>
              <w:pStyle w:val="Tabletext"/>
              <w:jc w:val="center"/>
            </w:pPr>
            <w:proofErr w:type="spellStart"/>
            <w:r w:rsidRPr="008D1A55">
              <w:rPr>
                <w:spacing w:val="-1"/>
              </w:rPr>
              <w:t>Anifroluma</w:t>
            </w:r>
            <w:r w:rsidRPr="008D1A55">
              <w:t>b</w:t>
            </w:r>
            <w:proofErr w:type="spellEnd"/>
            <w:r w:rsidRPr="008D1A55">
              <w:rPr>
                <w:spacing w:val="-1"/>
              </w:rPr>
              <w:t xml:space="preserve"> 300m</w:t>
            </w:r>
            <w:r w:rsidRPr="008D1A55">
              <w:t>g</w:t>
            </w:r>
          </w:p>
        </w:tc>
        <w:tc>
          <w:tcPr>
            <w:tcW w:w="191" w:type="pct"/>
            <w:vAlign w:val="center"/>
          </w:tcPr>
          <w:p w14:paraId="45F94637" w14:textId="77777777" w:rsidR="00C7364D" w:rsidRPr="008D1A55" w:rsidRDefault="00C7364D" w:rsidP="0063551F">
            <w:pPr>
              <w:pStyle w:val="Tabletext"/>
              <w:jc w:val="center"/>
            </w:pPr>
            <w:r w:rsidRPr="008D1A55">
              <w:t>71</w:t>
            </w:r>
          </w:p>
        </w:tc>
        <w:tc>
          <w:tcPr>
            <w:tcW w:w="558" w:type="pct"/>
            <w:vAlign w:val="center"/>
          </w:tcPr>
          <w:p w14:paraId="070778DC" w14:textId="77777777" w:rsidR="00C7364D" w:rsidRPr="008D1A55" w:rsidRDefault="00C7364D" w:rsidP="0063551F">
            <w:pPr>
              <w:pStyle w:val="Tabletext"/>
              <w:jc w:val="center"/>
            </w:pPr>
            <w:r w:rsidRPr="008D1A55">
              <w:t>30 (42.2)</w:t>
            </w:r>
          </w:p>
        </w:tc>
        <w:tc>
          <w:tcPr>
            <w:tcW w:w="535" w:type="pct"/>
            <w:vAlign w:val="center"/>
          </w:tcPr>
          <w:p w14:paraId="44B45156" w14:textId="77777777" w:rsidR="00C7364D" w:rsidRPr="008D1A55" w:rsidRDefault="00C7364D" w:rsidP="0063551F">
            <w:pPr>
              <w:pStyle w:val="Tabletext"/>
              <w:jc w:val="center"/>
            </w:pPr>
            <w:r w:rsidRPr="008D1A55">
              <w:t>41 (57.8)</w:t>
            </w:r>
          </w:p>
        </w:tc>
        <w:tc>
          <w:tcPr>
            <w:tcW w:w="493" w:type="pct"/>
            <w:vAlign w:val="center"/>
          </w:tcPr>
          <w:p w14:paraId="54A119AC" w14:textId="77777777" w:rsidR="00C7364D" w:rsidRPr="008D1A55" w:rsidRDefault="00C7364D" w:rsidP="0063551F">
            <w:pPr>
              <w:pStyle w:val="Tabletext"/>
              <w:jc w:val="center"/>
            </w:pPr>
            <w:r w:rsidRPr="008D1A55">
              <w:t>30.7, 53.7</w:t>
            </w:r>
          </w:p>
        </w:tc>
        <w:tc>
          <w:tcPr>
            <w:tcW w:w="539" w:type="pct"/>
            <w:vAlign w:val="center"/>
          </w:tcPr>
          <w:p w14:paraId="4362B5A0" w14:textId="77777777" w:rsidR="00C7364D" w:rsidRPr="008D1A55" w:rsidRDefault="00C7364D" w:rsidP="0063551F">
            <w:pPr>
              <w:pStyle w:val="Tabletext"/>
              <w:jc w:val="center"/>
            </w:pPr>
            <w:r w:rsidRPr="008D1A55">
              <w:t>4.7</w:t>
            </w:r>
          </w:p>
        </w:tc>
        <w:tc>
          <w:tcPr>
            <w:tcW w:w="539" w:type="pct"/>
            <w:vAlign w:val="center"/>
          </w:tcPr>
          <w:p w14:paraId="3CDE824F" w14:textId="77777777" w:rsidR="00C7364D" w:rsidRPr="008D1A55" w:rsidRDefault="00C7364D" w:rsidP="0063551F">
            <w:pPr>
              <w:pStyle w:val="Tabletext"/>
              <w:jc w:val="center"/>
            </w:pPr>
            <w:r w:rsidRPr="008D1A55">
              <w:t>-10.6, 20.0</w:t>
            </w:r>
          </w:p>
        </w:tc>
        <w:tc>
          <w:tcPr>
            <w:tcW w:w="580" w:type="pct"/>
            <w:vAlign w:val="center"/>
          </w:tcPr>
          <w:p w14:paraId="3F39D99B" w14:textId="77777777" w:rsidR="00C7364D" w:rsidRPr="008D1A55" w:rsidRDefault="00C7364D" w:rsidP="0063551F">
            <w:pPr>
              <w:pStyle w:val="Tabletext"/>
              <w:jc w:val="center"/>
            </w:pPr>
            <w:r w:rsidRPr="008D1A55">
              <w:t>0.5469</w:t>
            </w:r>
          </w:p>
        </w:tc>
        <w:tc>
          <w:tcPr>
            <w:tcW w:w="453" w:type="pct"/>
            <w:vAlign w:val="center"/>
          </w:tcPr>
          <w:p w14:paraId="295DDF09" w14:textId="77777777" w:rsidR="00C7364D" w:rsidRPr="008D1A55" w:rsidRDefault="00C7364D" w:rsidP="0063551F">
            <w:pPr>
              <w:pStyle w:val="Tabletext"/>
              <w:jc w:val="center"/>
            </w:pPr>
            <w:r w:rsidRPr="008D1A55">
              <w:t>0.5469</w:t>
            </w:r>
          </w:p>
        </w:tc>
      </w:tr>
      <w:tr w:rsidR="00C7364D" w:rsidRPr="008D1A55" w14:paraId="21CE4A69" w14:textId="77777777" w:rsidTr="00405F18">
        <w:trPr>
          <w:trHeight w:val="482"/>
          <w:jc w:val="center"/>
        </w:trPr>
        <w:tc>
          <w:tcPr>
            <w:tcW w:w="335" w:type="pct"/>
            <w:vMerge/>
          </w:tcPr>
          <w:p w14:paraId="2FE9D279" w14:textId="77777777" w:rsidR="00C7364D" w:rsidRPr="008D1A55" w:rsidRDefault="00C7364D" w:rsidP="005C60E1">
            <w:pPr>
              <w:pStyle w:val="Tabletext"/>
            </w:pPr>
          </w:p>
        </w:tc>
        <w:tc>
          <w:tcPr>
            <w:tcW w:w="776" w:type="pct"/>
            <w:vAlign w:val="center"/>
          </w:tcPr>
          <w:p w14:paraId="383C2DF8" w14:textId="77777777" w:rsidR="00C7364D" w:rsidRPr="008D1A55" w:rsidRDefault="00C7364D" w:rsidP="0063551F">
            <w:pPr>
              <w:pStyle w:val="Tabletext"/>
              <w:jc w:val="center"/>
            </w:pPr>
            <w:r w:rsidRPr="008D1A55">
              <w:t>Placebo</w:t>
            </w:r>
          </w:p>
        </w:tc>
        <w:tc>
          <w:tcPr>
            <w:tcW w:w="191" w:type="pct"/>
            <w:vAlign w:val="center"/>
          </w:tcPr>
          <w:p w14:paraId="77BC5DE7" w14:textId="77777777" w:rsidR="00C7364D" w:rsidRPr="008D1A55" w:rsidRDefault="00C7364D" w:rsidP="0063551F">
            <w:pPr>
              <w:pStyle w:val="Tabletext"/>
              <w:jc w:val="center"/>
            </w:pPr>
            <w:r w:rsidRPr="008D1A55">
              <w:t>90</w:t>
            </w:r>
          </w:p>
        </w:tc>
        <w:tc>
          <w:tcPr>
            <w:tcW w:w="558" w:type="pct"/>
            <w:vAlign w:val="center"/>
          </w:tcPr>
          <w:p w14:paraId="106B6CD1" w14:textId="77777777" w:rsidR="00C7364D" w:rsidRPr="008D1A55" w:rsidRDefault="00C7364D" w:rsidP="0063551F">
            <w:pPr>
              <w:pStyle w:val="Tabletext"/>
              <w:jc w:val="center"/>
            </w:pPr>
            <w:r w:rsidRPr="008D1A55">
              <w:t>34 (37.5)</w:t>
            </w:r>
          </w:p>
        </w:tc>
        <w:tc>
          <w:tcPr>
            <w:tcW w:w="535" w:type="pct"/>
            <w:vAlign w:val="center"/>
          </w:tcPr>
          <w:p w14:paraId="043A582F" w14:textId="77777777" w:rsidR="00C7364D" w:rsidRPr="008D1A55" w:rsidRDefault="00C7364D" w:rsidP="0063551F">
            <w:pPr>
              <w:pStyle w:val="Tabletext"/>
              <w:jc w:val="center"/>
            </w:pPr>
            <w:r w:rsidRPr="008D1A55">
              <w:t>56 (62.5)</w:t>
            </w:r>
          </w:p>
        </w:tc>
        <w:tc>
          <w:tcPr>
            <w:tcW w:w="493" w:type="pct"/>
            <w:vAlign w:val="center"/>
          </w:tcPr>
          <w:p w14:paraId="4D55B6C6" w14:textId="77777777" w:rsidR="00C7364D" w:rsidRPr="008D1A55" w:rsidRDefault="00C7364D" w:rsidP="0063551F">
            <w:pPr>
              <w:pStyle w:val="Tabletext"/>
              <w:jc w:val="center"/>
            </w:pPr>
            <w:r w:rsidRPr="008D1A55">
              <w:t>27.4, 47.5</w:t>
            </w:r>
          </w:p>
        </w:tc>
        <w:tc>
          <w:tcPr>
            <w:tcW w:w="539" w:type="pct"/>
            <w:vAlign w:val="center"/>
          </w:tcPr>
          <w:p w14:paraId="6C51B081" w14:textId="77777777" w:rsidR="00C7364D" w:rsidRPr="008D1A55" w:rsidRDefault="00C7364D" w:rsidP="0063551F">
            <w:pPr>
              <w:pStyle w:val="Tabletext"/>
              <w:jc w:val="center"/>
            </w:pPr>
          </w:p>
        </w:tc>
        <w:tc>
          <w:tcPr>
            <w:tcW w:w="539" w:type="pct"/>
            <w:vAlign w:val="center"/>
          </w:tcPr>
          <w:p w14:paraId="14ED3841" w14:textId="77777777" w:rsidR="00C7364D" w:rsidRPr="008D1A55" w:rsidRDefault="00C7364D" w:rsidP="0063551F">
            <w:pPr>
              <w:pStyle w:val="Tabletext"/>
              <w:jc w:val="center"/>
            </w:pPr>
          </w:p>
        </w:tc>
        <w:tc>
          <w:tcPr>
            <w:tcW w:w="580" w:type="pct"/>
            <w:vAlign w:val="center"/>
          </w:tcPr>
          <w:p w14:paraId="6B93E4F6" w14:textId="77777777" w:rsidR="00C7364D" w:rsidRPr="008D1A55" w:rsidRDefault="00C7364D" w:rsidP="0063551F">
            <w:pPr>
              <w:pStyle w:val="Tabletext"/>
              <w:jc w:val="center"/>
            </w:pPr>
          </w:p>
        </w:tc>
        <w:tc>
          <w:tcPr>
            <w:tcW w:w="453" w:type="pct"/>
            <w:vAlign w:val="center"/>
          </w:tcPr>
          <w:p w14:paraId="23C398EC" w14:textId="77777777" w:rsidR="00C7364D" w:rsidRPr="008D1A55" w:rsidRDefault="00C7364D" w:rsidP="0063551F">
            <w:pPr>
              <w:pStyle w:val="Tabletext"/>
              <w:jc w:val="center"/>
            </w:pPr>
          </w:p>
        </w:tc>
      </w:tr>
    </w:tbl>
    <w:p w14:paraId="4D343E24" w14:textId="77777777" w:rsidR="00A40105" w:rsidRPr="008D1A55" w:rsidRDefault="00A40105" w:rsidP="00A40105">
      <w:pPr>
        <w:pStyle w:val="TableDescription"/>
      </w:pPr>
      <w:r w:rsidRPr="008D1A55">
        <w:t>Abbreviations: BICLA = British Isles Lupus Assessment Group-based Composite Lupus Assessment; CI = confidence interval; CLASI = Cutaneous Lupus Erythematosus Disease Area and Severity Index.</w:t>
      </w:r>
    </w:p>
    <w:p w14:paraId="6840D433" w14:textId="0E73B560" w:rsidR="00A40105" w:rsidRPr="008D1A55" w:rsidRDefault="00A40105" w:rsidP="00A40105">
      <w:pPr>
        <w:pStyle w:val="TableDescription"/>
      </w:pPr>
      <w:proofErr w:type="spellStart"/>
      <w:r w:rsidRPr="008D1A55">
        <w:t>a</w:t>
      </w:r>
      <w:proofErr w:type="spellEnd"/>
      <w:r w:rsidRPr="008D1A55">
        <w:t xml:space="preserve"> The responder/non-responder rates (percentages), the difference in estimates, and associated 95% CIs are weighted and are calculated using a stratified Cochran-Mantel Haenszel approach, with stratification factors (Systemic Lupus Erythematosus Disease Activity Index 2000 (SLEDAI-2K) score at screening (less than 10 points versus at least 10 points), Week 0 oral corticosteroids dose (less than 10 mg/day versus at least 10 mg/day prednisone or equivalent) and </w:t>
      </w:r>
      <w:r w:rsidR="00CC61CB" w:rsidRPr="008D1A55">
        <w:t xml:space="preserve">Type </w:t>
      </w:r>
      <w:r w:rsidRPr="008D1A55">
        <w:t>I interferon test result at screening (high versus low)).</w:t>
      </w:r>
    </w:p>
    <w:p w14:paraId="1A19A2AA" w14:textId="77777777" w:rsidR="00A40105" w:rsidRPr="008D1A55" w:rsidRDefault="00A40105" w:rsidP="00A40105">
      <w:pPr>
        <w:pStyle w:val="TableDescription"/>
      </w:pPr>
      <w:r w:rsidRPr="008D1A55">
        <w:t>Percentages are based upon all subjects in the full analysis set.</w:t>
      </w:r>
    </w:p>
    <w:p w14:paraId="64820A14" w14:textId="77777777" w:rsidR="00A40105" w:rsidRPr="008D1A55" w:rsidRDefault="00A40105" w:rsidP="00A40105">
      <w:pPr>
        <w:pStyle w:val="TableDescription"/>
      </w:pPr>
      <w:r w:rsidRPr="008D1A55">
        <w:t>Baseline is defined as the last measurement prior to randomisation and dose administration on Day 1.</w:t>
      </w:r>
    </w:p>
    <w:p w14:paraId="6BC9958D" w14:textId="284E9040" w:rsidR="00A40105" w:rsidRPr="008D1A55" w:rsidRDefault="00A40105" w:rsidP="00A40105">
      <w:pPr>
        <w:pStyle w:val="TableDescription"/>
      </w:pPr>
      <w:r w:rsidRPr="008D1A55">
        <w:t xml:space="preserve">British Isles Lupus Assessment Group-based Composite Lupus Assessment response is defined as a reduction of all </w:t>
      </w:r>
      <w:proofErr w:type="gramStart"/>
      <w:r w:rsidRPr="008D1A55">
        <w:t>baseline</w:t>
      </w:r>
      <w:proofErr w:type="gramEnd"/>
      <w:r w:rsidRPr="008D1A55">
        <w:t xml:space="preserve"> British Isles Lupus Assessment Group</w:t>
      </w:r>
      <w:r w:rsidR="00DA15D9" w:rsidRPr="008D1A55">
        <w:t xml:space="preserve"> </w:t>
      </w:r>
      <w:r w:rsidRPr="008D1A55">
        <w:t xml:space="preserve">2004 A and B scores and no worsening in other organ systems, no worsening from Baseline in SLEDAI-2K, and no increase </w:t>
      </w:r>
      <w:r w:rsidR="00891DA6" w:rsidRPr="008D1A55">
        <w:t xml:space="preserve">of </w:t>
      </w:r>
      <w:r w:rsidRPr="008D1A55">
        <w:t xml:space="preserve">0.30 points or more on a 3-point </w:t>
      </w:r>
      <w:r w:rsidR="00CC75F3" w:rsidRPr="008D1A55">
        <w:t xml:space="preserve">Physician’s Global Assessment </w:t>
      </w:r>
      <w:r w:rsidRPr="008D1A55">
        <w:t xml:space="preserve">visual </w:t>
      </w:r>
      <w:proofErr w:type="spellStart"/>
      <w:r w:rsidRPr="008D1A55">
        <w:t>analog</w:t>
      </w:r>
      <w:proofErr w:type="spellEnd"/>
      <w:r w:rsidRPr="008D1A55">
        <w:t xml:space="preserve"> scale from Baseline. Subjects treated with </w:t>
      </w:r>
      <w:r w:rsidRPr="008D1A55">
        <w:lastRenderedPageBreak/>
        <w:t>restricted medication beyond protocol allowed thresholds, and those who discontinued investigational product, are regarded as non-responders.</w:t>
      </w:r>
    </w:p>
    <w:p w14:paraId="4439647C" w14:textId="10556D8B" w:rsidR="00A40105" w:rsidRPr="008D1A55" w:rsidRDefault="00A40105" w:rsidP="00A40105">
      <w:pPr>
        <w:pStyle w:val="TableTitle"/>
      </w:pPr>
      <w:r w:rsidRPr="008D1A55">
        <w:t xml:space="preserve">Table </w:t>
      </w:r>
      <w:r w:rsidR="005675A0">
        <w:fldChar w:fldCharType="begin"/>
      </w:r>
      <w:r w:rsidR="005675A0">
        <w:instrText xml:space="preserve"> SEQ Table \* ARABIC </w:instrText>
      </w:r>
      <w:r w:rsidR="005675A0">
        <w:fldChar w:fldCharType="separate"/>
      </w:r>
      <w:r w:rsidR="00D8723A">
        <w:rPr>
          <w:noProof/>
        </w:rPr>
        <w:t>7</w:t>
      </w:r>
      <w:r w:rsidR="005675A0">
        <w:rPr>
          <w:noProof/>
        </w:rPr>
        <w:fldChar w:fldCharType="end"/>
      </w:r>
      <w:r w:rsidRPr="008D1A55">
        <w:t>: Study D3461C00004 Results for key secondary outcomes - flare rate</w:t>
      </w:r>
    </w:p>
    <w:tbl>
      <w:tblPr>
        <w:tblW w:w="50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7"/>
        <w:gridCol w:w="1167"/>
        <w:gridCol w:w="461"/>
        <w:gridCol w:w="754"/>
        <w:gridCol w:w="860"/>
        <w:gridCol w:w="894"/>
        <w:gridCol w:w="964"/>
        <w:gridCol w:w="720"/>
        <w:gridCol w:w="1011"/>
        <w:gridCol w:w="790"/>
      </w:tblGrid>
      <w:tr w:rsidR="00C7364D" w:rsidRPr="008D1A55" w14:paraId="2F866ADF" w14:textId="77777777" w:rsidTr="00A40105">
        <w:trPr>
          <w:trHeight w:val="482"/>
          <w:jc w:val="center"/>
        </w:trPr>
        <w:tc>
          <w:tcPr>
            <w:tcW w:w="542" w:type="pct"/>
            <w:shd w:val="clear" w:color="auto" w:fill="006DA7"/>
          </w:tcPr>
          <w:p w14:paraId="75005AB0" w14:textId="77777777" w:rsidR="00C7364D" w:rsidRPr="008D1A55" w:rsidRDefault="00C7364D" w:rsidP="005C60E1">
            <w:pPr>
              <w:pStyle w:val="Tabletext"/>
              <w:rPr>
                <w:color w:val="FFFFFF" w:themeColor="background1"/>
              </w:rPr>
            </w:pPr>
          </w:p>
        </w:tc>
        <w:tc>
          <w:tcPr>
            <w:tcW w:w="683" w:type="pct"/>
            <w:shd w:val="clear" w:color="auto" w:fill="006DA7"/>
            <w:vAlign w:val="center"/>
          </w:tcPr>
          <w:p w14:paraId="29A40ACC" w14:textId="77777777" w:rsidR="00C7364D" w:rsidRPr="008D1A55" w:rsidRDefault="00C7364D" w:rsidP="005C60E1">
            <w:pPr>
              <w:pStyle w:val="Tabletext"/>
              <w:rPr>
                <w:color w:val="FFFFFF" w:themeColor="background1"/>
              </w:rPr>
            </w:pPr>
          </w:p>
        </w:tc>
        <w:tc>
          <w:tcPr>
            <w:tcW w:w="270" w:type="pct"/>
            <w:shd w:val="clear" w:color="auto" w:fill="006DA7"/>
            <w:vAlign w:val="center"/>
          </w:tcPr>
          <w:p w14:paraId="153F0D80" w14:textId="77777777" w:rsidR="00C7364D" w:rsidRPr="008D1A55" w:rsidRDefault="00C7364D" w:rsidP="005C60E1">
            <w:pPr>
              <w:pStyle w:val="Tabletext"/>
              <w:rPr>
                <w:color w:val="FFFFFF" w:themeColor="background1"/>
              </w:rPr>
            </w:pPr>
          </w:p>
        </w:tc>
        <w:tc>
          <w:tcPr>
            <w:tcW w:w="441" w:type="pct"/>
            <w:shd w:val="clear" w:color="auto" w:fill="006DA7"/>
            <w:vAlign w:val="center"/>
          </w:tcPr>
          <w:p w14:paraId="2EF5B5BA" w14:textId="77777777" w:rsidR="00C7364D" w:rsidRPr="008D1A55" w:rsidRDefault="00C7364D" w:rsidP="005C60E1">
            <w:pPr>
              <w:pStyle w:val="Tabletext"/>
              <w:rPr>
                <w:b/>
                <w:color w:val="FFFFFF" w:themeColor="background1"/>
              </w:rPr>
            </w:pPr>
          </w:p>
        </w:tc>
        <w:tc>
          <w:tcPr>
            <w:tcW w:w="1026" w:type="pct"/>
            <w:gridSpan w:val="2"/>
            <w:shd w:val="clear" w:color="auto" w:fill="006DA7"/>
            <w:vAlign w:val="center"/>
          </w:tcPr>
          <w:p w14:paraId="23496C53" w14:textId="77777777" w:rsidR="00C7364D" w:rsidRPr="008D1A55" w:rsidRDefault="00C7364D" w:rsidP="005C60E1">
            <w:pPr>
              <w:pStyle w:val="Tabletext"/>
              <w:rPr>
                <w:b/>
                <w:color w:val="FFFFFF" w:themeColor="background1"/>
              </w:rPr>
            </w:pPr>
            <w:r w:rsidRPr="008D1A55">
              <w:rPr>
                <w:b/>
                <w:color w:val="FFFFFF" w:themeColor="background1"/>
              </w:rPr>
              <w:t>Annual rate</w:t>
            </w:r>
          </w:p>
        </w:tc>
        <w:tc>
          <w:tcPr>
            <w:tcW w:w="2038" w:type="pct"/>
            <w:gridSpan w:val="4"/>
            <w:shd w:val="clear" w:color="auto" w:fill="006DA7"/>
            <w:vAlign w:val="center"/>
          </w:tcPr>
          <w:p w14:paraId="52CD7821" w14:textId="77777777" w:rsidR="00C7364D" w:rsidRPr="008D1A55" w:rsidRDefault="00C7364D" w:rsidP="005C60E1">
            <w:pPr>
              <w:pStyle w:val="Tabletext"/>
              <w:rPr>
                <w:b/>
                <w:color w:val="FFFFFF" w:themeColor="background1"/>
              </w:rPr>
            </w:pPr>
            <w:r w:rsidRPr="008D1A55">
              <w:rPr>
                <w:b/>
                <w:color w:val="FFFFFF" w:themeColor="background1"/>
              </w:rPr>
              <w:t>Rate ratio, comparison with placebo</w:t>
            </w:r>
          </w:p>
        </w:tc>
      </w:tr>
      <w:tr w:rsidR="00C7364D" w:rsidRPr="008D1A55" w14:paraId="3FBA1DAD" w14:textId="77777777" w:rsidTr="00A40105">
        <w:trPr>
          <w:trHeight w:val="482"/>
          <w:jc w:val="center"/>
        </w:trPr>
        <w:tc>
          <w:tcPr>
            <w:tcW w:w="542" w:type="pct"/>
            <w:shd w:val="clear" w:color="auto" w:fill="006DA7"/>
            <w:vAlign w:val="center"/>
          </w:tcPr>
          <w:p w14:paraId="52BEC188" w14:textId="77777777" w:rsidR="00C7364D" w:rsidRPr="008D1A55" w:rsidRDefault="00C7364D" w:rsidP="005C60E1">
            <w:pPr>
              <w:pStyle w:val="Tabletext"/>
              <w:rPr>
                <w:b/>
                <w:color w:val="FFFFFF" w:themeColor="background1"/>
              </w:rPr>
            </w:pPr>
            <w:r w:rsidRPr="008D1A55">
              <w:rPr>
                <w:b/>
                <w:color w:val="FFFFFF" w:themeColor="background1"/>
              </w:rPr>
              <w:t>Timepoint</w:t>
            </w:r>
          </w:p>
        </w:tc>
        <w:tc>
          <w:tcPr>
            <w:tcW w:w="683" w:type="pct"/>
            <w:shd w:val="clear" w:color="auto" w:fill="006DA7"/>
            <w:vAlign w:val="center"/>
          </w:tcPr>
          <w:p w14:paraId="7B13540C" w14:textId="77777777" w:rsidR="00C7364D" w:rsidRPr="008D1A55" w:rsidRDefault="00C7364D" w:rsidP="005C60E1">
            <w:pPr>
              <w:pStyle w:val="Tabletext"/>
              <w:rPr>
                <w:b/>
                <w:color w:val="FFFFFF" w:themeColor="background1"/>
              </w:rPr>
            </w:pPr>
            <w:r w:rsidRPr="008D1A55">
              <w:rPr>
                <w:b/>
                <w:color w:val="FFFFFF" w:themeColor="background1"/>
              </w:rPr>
              <w:t>Treatment group</w:t>
            </w:r>
          </w:p>
        </w:tc>
        <w:tc>
          <w:tcPr>
            <w:tcW w:w="270" w:type="pct"/>
            <w:shd w:val="clear" w:color="auto" w:fill="006DA7"/>
            <w:vAlign w:val="center"/>
          </w:tcPr>
          <w:p w14:paraId="2F8C41CD" w14:textId="77777777" w:rsidR="00C7364D" w:rsidRPr="008D1A55" w:rsidRDefault="00C7364D" w:rsidP="005C60E1">
            <w:pPr>
              <w:pStyle w:val="Tabletext"/>
              <w:rPr>
                <w:b/>
                <w:color w:val="FFFFFF" w:themeColor="background1"/>
              </w:rPr>
            </w:pPr>
            <w:r w:rsidRPr="008D1A55">
              <w:rPr>
                <w:b/>
                <w:color w:val="FFFFFF" w:themeColor="background1"/>
              </w:rPr>
              <w:t>n</w:t>
            </w:r>
          </w:p>
        </w:tc>
        <w:tc>
          <w:tcPr>
            <w:tcW w:w="441" w:type="pct"/>
            <w:shd w:val="clear" w:color="auto" w:fill="006DA7"/>
            <w:vAlign w:val="center"/>
          </w:tcPr>
          <w:p w14:paraId="32C52F9D" w14:textId="77777777" w:rsidR="00C7364D" w:rsidRPr="008D1A55" w:rsidRDefault="00C7364D" w:rsidP="005C60E1">
            <w:pPr>
              <w:pStyle w:val="Tabletext"/>
              <w:rPr>
                <w:b/>
                <w:color w:val="FFFFFF" w:themeColor="background1"/>
              </w:rPr>
            </w:pPr>
            <w:r w:rsidRPr="008D1A55">
              <w:rPr>
                <w:b/>
                <w:color w:val="FFFFFF" w:themeColor="background1"/>
              </w:rPr>
              <w:t>Number of flares</w:t>
            </w:r>
          </w:p>
        </w:tc>
        <w:tc>
          <w:tcPr>
            <w:tcW w:w="503" w:type="pct"/>
            <w:shd w:val="clear" w:color="auto" w:fill="006DA7"/>
            <w:vAlign w:val="center"/>
          </w:tcPr>
          <w:p w14:paraId="51C06137" w14:textId="77777777" w:rsidR="00C7364D" w:rsidRPr="008D1A55" w:rsidRDefault="00C7364D" w:rsidP="005C60E1">
            <w:pPr>
              <w:pStyle w:val="Tabletext"/>
              <w:rPr>
                <w:b/>
                <w:color w:val="FFFFFF" w:themeColor="background1"/>
              </w:rPr>
            </w:pPr>
            <w:r w:rsidRPr="008D1A55">
              <w:rPr>
                <w:b/>
                <w:color w:val="FFFFFF" w:themeColor="background1"/>
              </w:rPr>
              <w:t>Estimate</w:t>
            </w:r>
          </w:p>
        </w:tc>
        <w:tc>
          <w:tcPr>
            <w:tcW w:w="523" w:type="pct"/>
            <w:shd w:val="clear" w:color="auto" w:fill="006DA7"/>
            <w:vAlign w:val="center"/>
          </w:tcPr>
          <w:p w14:paraId="5C5E6A3F" w14:textId="77777777" w:rsidR="00C7364D" w:rsidRPr="008D1A55" w:rsidRDefault="00C7364D" w:rsidP="005C60E1">
            <w:pPr>
              <w:pStyle w:val="Tabletext"/>
              <w:rPr>
                <w:b/>
                <w:color w:val="FFFFFF" w:themeColor="background1"/>
              </w:rPr>
            </w:pPr>
            <w:r w:rsidRPr="008D1A55">
              <w:rPr>
                <w:b/>
                <w:color w:val="FFFFFF" w:themeColor="background1"/>
              </w:rPr>
              <w:t>95% CI</w:t>
            </w:r>
          </w:p>
          <w:p w14:paraId="2D1EE8FA" w14:textId="77777777" w:rsidR="00C7364D" w:rsidRPr="008D1A55" w:rsidRDefault="00C7364D" w:rsidP="005C60E1">
            <w:pPr>
              <w:pStyle w:val="Tabletext"/>
              <w:rPr>
                <w:b/>
                <w:color w:val="FFFFFF" w:themeColor="background1"/>
              </w:rPr>
            </w:pPr>
          </w:p>
        </w:tc>
        <w:tc>
          <w:tcPr>
            <w:tcW w:w="564" w:type="pct"/>
            <w:shd w:val="clear" w:color="auto" w:fill="006DA7"/>
            <w:vAlign w:val="center"/>
          </w:tcPr>
          <w:p w14:paraId="15DC7C7D" w14:textId="77777777" w:rsidR="00C7364D" w:rsidRPr="008D1A55" w:rsidRDefault="00C7364D" w:rsidP="005C60E1">
            <w:pPr>
              <w:pStyle w:val="Tabletext"/>
              <w:rPr>
                <w:b/>
                <w:color w:val="FFFFFF" w:themeColor="background1"/>
              </w:rPr>
            </w:pPr>
            <w:r w:rsidRPr="008D1A55">
              <w:rPr>
                <w:b/>
                <w:color w:val="FFFFFF" w:themeColor="background1"/>
              </w:rPr>
              <w:t>Estimate</w:t>
            </w:r>
          </w:p>
        </w:tc>
        <w:tc>
          <w:tcPr>
            <w:tcW w:w="421" w:type="pct"/>
            <w:shd w:val="clear" w:color="auto" w:fill="006DA7"/>
            <w:vAlign w:val="center"/>
          </w:tcPr>
          <w:p w14:paraId="46A08DB1" w14:textId="77777777" w:rsidR="00C7364D" w:rsidRPr="008D1A55" w:rsidRDefault="00C7364D" w:rsidP="005C60E1">
            <w:pPr>
              <w:pStyle w:val="Tabletext"/>
              <w:rPr>
                <w:b/>
                <w:color w:val="FFFFFF" w:themeColor="background1"/>
              </w:rPr>
            </w:pPr>
            <w:r w:rsidRPr="008D1A55">
              <w:rPr>
                <w:b/>
                <w:color w:val="FFFFFF" w:themeColor="background1"/>
              </w:rPr>
              <w:t xml:space="preserve">95% CI </w:t>
            </w:r>
          </w:p>
        </w:tc>
        <w:tc>
          <w:tcPr>
            <w:tcW w:w="591" w:type="pct"/>
            <w:shd w:val="clear" w:color="auto" w:fill="006DA7"/>
            <w:vAlign w:val="center"/>
          </w:tcPr>
          <w:p w14:paraId="1868A7AE" w14:textId="77777777" w:rsidR="00C7364D" w:rsidRPr="008D1A55" w:rsidRDefault="00C7364D" w:rsidP="005C60E1">
            <w:pPr>
              <w:pStyle w:val="Tabletext"/>
              <w:rPr>
                <w:b/>
                <w:color w:val="FFFFFF" w:themeColor="background1"/>
              </w:rPr>
            </w:pPr>
            <w:r w:rsidRPr="008D1A55">
              <w:rPr>
                <w:b/>
                <w:color w:val="FFFFFF" w:themeColor="background1"/>
              </w:rPr>
              <w:t>Unadjusted</w:t>
            </w:r>
          </w:p>
          <w:p w14:paraId="01F572AA" w14:textId="77777777" w:rsidR="00C7364D" w:rsidRPr="008D1A55" w:rsidRDefault="00C7364D" w:rsidP="005C60E1">
            <w:pPr>
              <w:pStyle w:val="Tabletext"/>
              <w:rPr>
                <w:b/>
                <w:color w:val="FFFFFF" w:themeColor="background1"/>
              </w:rPr>
            </w:pPr>
            <w:r w:rsidRPr="008D1A55">
              <w:rPr>
                <w:b/>
                <w:color w:val="FFFFFF" w:themeColor="background1"/>
              </w:rPr>
              <w:t>p value</w:t>
            </w:r>
          </w:p>
        </w:tc>
        <w:tc>
          <w:tcPr>
            <w:tcW w:w="462" w:type="pct"/>
            <w:shd w:val="clear" w:color="auto" w:fill="006DA7"/>
            <w:vAlign w:val="center"/>
          </w:tcPr>
          <w:p w14:paraId="403C9CEE" w14:textId="77777777" w:rsidR="00C7364D" w:rsidRPr="008D1A55" w:rsidRDefault="00C7364D" w:rsidP="005C60E1">
            <w:pPr>
              <w:pStyle w:val="Tabletext"/>
              <w:rPr>
                <w:b/>
                <w:color w:val="FFFFFF" w:themeColor="background1"/>
              </w:rPr>
            </w:pPr>
            <w:r w:rsidRPr="008D1A55">
              <w:rPr>
                <w:b/>
                <w:color w:val="FFFFFF" w:themeColor="background1"/>
              </w:rPr>
              <w:t>Adjusted</w:t>
            </w:r>
          </w:p>
          <w:p w14:paraId="705D20A4" w14:textId="77777777" w:rsidR="00C7364D" w:rsidRPr="008D1A55" w:rsidRDefault="00C7364D" w:rsidP="005C60E1">
            <w:pPr>
              <w:pStyle w:val="Tabletext"/>
              <w:rPr>
                <w:b/>
                <w:color w:val="FFFFFF" w:themeColor="background1"/>
              </w:rPr>
            </w:pPr>
            <w:r w:rsidRPr="008D1A55">
              <w:rPr>
                <w:b/>
                <w:color w:val="FFFFFF" w:themeColor="background1"/>
              </w:rPr>
              <w:t>p value</w:t>
            </w:r>
          </w:p>
        </w:tc>
      </w:tr>
      <w:tr w:rsidR="00C7364D" w:rsidRPr="008D1A55" w14:paraId="11BD32AA" w14:textId="77777777" w:rsidTr="00A40105">
        <w:trPr>
          <w:trHeight w:val="482"/>
          <w:jc w:val="center"/>
        </w:trPr>
        <w:tc>
          <w:tcPr>
            <w:tcW w:w="542" w:type="pct"/>
          </w:tcPr>
          <w:p w14:paraId="6211577A" w14:textId="77777777" w:rsidR="00C7364D" w:rsidRPr="008D1A55" w:rsidRDefault="00C7364D" w:rsidP="005C60E1">
            <w:pPr>
              <w:pStyle w:val="Tabletext"/>
            </w:pPr>
            <w:r w:rsidRPr="008D1A55">
              <w:t>Week 52</w:t>
            </w:r>
          </w:p>
        </w:tc>
        <w:tc>
          <w:tcPr>
            <w:tcW w:w="683" w:type="pct"/>
            <w:vAlign w:val="center"/>
          </w:tcPr>
          <w:p w14:paraId="4E55D729" w14:textId="27ADBFFE" w:rsidR="00C7364D" w:rsidRPr="008D1A55" w:rsidRDefault="00C7364D" w:rsidP="0063551F">
            <w:pPr>
              <w:pStyle w:val="Tabletext"/>
              <w:jc w:val="center"/>
            </w:pPr>
            <w:proofErr w:type="spellStart"/>
            <w:r w:rsidRPr="008D1A55">
              <w:rPr>
                <w:spacing w:val="-1"/>
              </w:rPr>
              <w:t>Anifroluma</w:t>
            </w:r>
            <w:r w:rsidRPr="008D1A55">
              <w:t>b</w:t>
            </w:r>
            <w:proofErr w:type="spellEnd"/>
            <w:r w:rsidRPr="008D1A55">
              <w:rPr>
                <w:spacing w:val="-1"/>
              </w:rPr>
              <w:t xml:space="preserve"> 300m</w:t>
            </w:r>
            <w:r w:rsidRPr="008D1A55">
              <w:t>g</w:t>
            </w:r>
          </w:p>
        </w:tc>
        <w:tc>
          <w:tcPr>
            <w:tcW w:w="270" w:type="pct"/>
            <w:vAlign w:val="center"/>
          </w:tcPr>
          <w:p w14:paraId="4E2C12B1" w14:textId="77777777" w:rsidR="00C7364D" w:rsidRPr="008D1A55" w:rsidRDefault="00C7364D" w:rsidP="0063551F">
            <w:pPr>
              <w:pStyle w:val="Tabletext"/>
              <w:jc w:val="center"/>
            </w:pPr>
            <w:r w:rsidRPr="008D1A55">
              <w:t>86</w:t>
            </w:r>
          </w:p>
        </w:tc>
        <w:tc>
          <w:tcPr>
            <w:tcW w:w="441" w:type="pct"/>
            <w:vAlign w:val="center"/>
          </w:tcPr>
          <w:p w14:paraId="0BD5DF21" w14:textId="77777777" w:rsidR="00C7364D" w:rsidRPr="008D1A55" w:rsidRDefault="00C7364D" w:rsidP="0063551F">
            <w:pPr>
              <w:pStyle w:val="Tabletext"/>
              <w:jc w:val="center"/>
            </w:pPr>
            <w:r w:rsidRPr="008D1A55">
              <w:t>170.2</w:t>
            </w:r>
          </w:p>
        </w:tc>
        <w:tc>
          <w:tcPr>
            <w:tcW w:w="503" w:type="pct"/>
            <w:vAlign w:val="center"/>
          </w:tcPr>
          <w:p w14:paraId="26DDABC3" w14:textId="77777777" w:rsidR="00C7364D" w:rsidRPr="008D1A55" w:rsidRDefault="00C7364D" w:rsidP="0063551F">
            <w:pPr>
              <w:pStyle w:val="Tabletext"/>
              <w:jc w:val="center"/>
            </w:pPr>
            <w:r w:rsidRPr="008D1A55">
              <w:t>0.43</w:t>
            </w:r>
          </w:p>
        </w:tc>
        <w:tc>
          <w:tcPr>
            <w:tcW w:w="523" w:type="pct"/>
            <w:vAlign w:val="center"/>
          </w:tcPr>
          <w:p w14:paraId="21132937" w14:textId="77777777" w:rsidR="00C7364D" w:rsidRPr="008D1A55" w:rsidRDefault="00C7364D" w:rsidP="0063551F">
            <w:pPr>
              <w:pStyle w:val="Tabletext"/>
              <w:jc w:val="center"/>
            </w:pPr>
            <w:r w:rsidRPr="008D1A55">
              <w:t>0.31, 0.59</w:t>
            </w:r>
          </w:p>
        </w:tc>
        <w:tc>
          <w:tcPr>
            <w:tcW w:w="564" w:type="pct"/>
            <w:vAlign w:val="center"/>
          </w:tcPr>
          <w:p w14:paraId="7720E07E" w14:textId="77777777" w:rsidR="00C7364D" w:rsidRPr="008D1A55" w:rsidRDefault="00C7364D" w:rsidP="0063551F">
            <w:pPr>
              <w:pStyle w:val="Tabletext"/>
              <w:jc w:val="center"/>
            </w:pPr>
            <w:r w:rsidRPr="008D1A55">
              <w:t>0.67</w:t>
            </w:r>
          </w:p>
        </w:tc>
        <w:tc>
          <w:tcPr>
            <w:tcW w:w="421" w:type="pct"/>
            <w:vAlign w:val="center"/>
          </w:tcPr>
          <w:p w14:paraId="435146D9" w14:textId="77777777" w:rsidR="00C7364D" w:rsidRPr="008D1A55" w:rsidRDefault="00C7364D" w:rsidP="0063551F">
            <w:pPr>
              <w:pStyle w:val="Tabletext"/>
              <w:jc w:val="center"/>
            </w:pPr>
            <w:r w:rsidRPr="008D1A55">
              <w:t>0.48, 0.94</w:t>
            </w:r>
          </w:p>
        </w:tc>
        <w:tc>
          <w:tcPr>
            <w:tcW w:w="591" w:type="pct"/>
            <w:vAlign w:val="center"/>
          </w:tcPr>
          <w:p w14:paraId="2017BD17" w14:textId="77777777" w:rsidR="00C7364D" w:rsidRPr="008D1A55" w:rsidRDefault="00C7364D" w:rsidP="0063551F">
            <w:pPr>
              <w:pStyle w:val="Tabletext"/>
              <w:jc w:val="center"/>
            </w:pPr>
            <w:r w:rsidRPr="008D1A55">
              <w:t>0.0202</w:t>
            </w:r>
          </w:p>
        </w:tc>
        <w:tc>
          <w:tcPr>
            <w:tcW w:w="462" w:type="pct"/>
            <w:vAlign w:val="center"/>
          </w:tcPr>
          <w:p w14:paraId="49BDCF0E" w14:textId="77777777" w:rsidR="00C7364D" w:rsidRPr="008D1A55" w:rsidRDefault="00C7364D" w:rsidP="0063551F">
            <w:pPr>
              <w:pStyle w:val="Tabletext"/>
              <w:jc w:val="center"/>
            </w:pPr>
            <w:r w:rsidRPr="008D1A55">
              <w:t>0.0809</w:t>
            </w:r>
          </w:p>
        </w:tc>
      </w:tr>
      <w:tr w:rsidR="00C7364D" w:rsidRPr="008D1A55" w14:paraId="2D75FF6F" w14:textId="77777777" w:rsidTr="00A40105">
        <w:trPr>
          <w:trHeight w:val="482"/>
          <w:jc w:val="center"/>
        </w:trPr>
        <w:tc>
          <w:tcPr>
            <w:tcW w:w="542" w:type="pct"/>
          </w:tcPr>
          <w:p w14:paraId="224D70C9" w14:textId="77777777" w:rsidR="00C7364D" w:rsidRPr="008D1A55" w:rsidRDefault="00C7364D" w:rsidP="005C60E1">
            <w:pPr>
              <w:pStyle w:val="Tabletext"/>
            </w:pPr>
          </w:p>
        </w:tc>
        <w:tc>
          <w:tcPr>
            <w:tcW w:w="683" w:type="pct"/>
            <w:vAlign w:val="center"/>
          </w:tcPr>
          <w:p w14:paraId="0FEC9E5F" w14:textId="77777777" w:rsidR="00C7364D" w:rsidRPr="008D1A55" w:rsidRDefault="00C7364D" w:rsidP="0063551F">
            <w:pPr>
              <w:pStyle w:val="Tabletext"/>
              <w:jc w:val="center"/>
            </w:pPr>
            <w:r w:rsidRPr="008D1A55">
              <w:t>Placebo</w:t>
            </w:r>
          </w:p>
        </w:tc>
        <w:tc>
          <w:tcPr>
            <w:tcW w:w="270" w:type="pct"/>
            <w:vAlign w:val="center"/>
          </w:tcPr>
          <w:p w14:paraId="038463B4" w14:textId="77777777" w:rsidR="00C7364D" w:rsidRPr="008D1A55" w:rsidRDefault="00C7364D" w:rsidP="0063551F">
            <w:pPr>
              <w:pStyle w:val="Tabletext"/>
              <w:jc w:val="center"/>
            </w:pPr>
            <w:r w:rsidRPr="008D1A55">
              <w:t>122</w:t>
            </w:r>
          </w:p>
        </w:tc>
        <w:tc>
          <w:tcPr>
            <w:tcW w:w="441" w:type="pct"/>
            <w:vAlign w:val="center"/>
          </w:tcPr>
          <w:p w14:paraId="08F1A4EB" w14:textId="77777777" w:rsidR="00C7364D" w:rsidRPr="008D1A55" w:rsidRDefault="00C7364D" w:rsidP="0063551F">
            <w:pPr>
              <w:pStyle w:val="Tabletext"/>
              <w:jc w:val="center"/>
            </w:pPr>
            <w:r w:rsidRPr="008D1A55">
              <w:t>164.6</w:t>
            </w:r>
          </w:p>
        </w:tc>
        <w:tc>
          <w:tcPr>
            <w:tcW w:w="503" w:type="pct"/>
            <w:vAlign w:val="center"/>
          </w:tcPr>
          <w:p w14:paraId="39508B83" w14:textId="77777777" w:rsidR="00C7364D" w:rsidRPr="008D1A55" w:rsidRDefault="00C7364D" w:rsidP="0063551F">
            <w:pPr>
              <w:pStyle w:val="Tabletext"/>
              <w:jc w:val="center"/>
            </w:pPr>
            <w:r w:rsidRPr="008D1A55">
              <w:t>0.64</w:t>
            </w:r>
          </w:p>
        </w:tc>
        <w:tc>
          <w:tcPr>
            <w:tcW w:w="523" w:type="pct"/>
            <w:vAlign w:val="center"/>
          </w:tcPr>
          <w:p w14:paraId="6204E6A5" w14:textId="77777777" w:rsidR="00C7364D" w:rsidRPr="008D1A55" w:rsidRDefault="00C7364D" w:rsidP="0063551F">
            <w:pPr>
              <w:pStyle w:val="Tabletext"/>
              <w:jc w:val="center"/>
            </w:pPr>
            <w:r w:rsidRPr="008D1A55">
              <w:t>0.47, 0.86</w:t>
            </w:r>
          </w:p>
        </w:tc>
        <w:tc>
          <w:tcPr>
            <w:tcW w:w="564" w:type="pct"/>
            <w:vAlign w:val="center"/>
          </w:tcPr>
          <w:p w14:paraId="711141C6" w14:textId="77777777" w:rsidR="00C7364D" w:rsidRPr="008D1A55" w:rsidRDefault="00C7364D" w:rsidP="0063551F">
            <w:pPr>
              <w:pStyle w:val="Tabletext"/>
              <w:jc w:val="center"/>
            </w:pPr>
          </w:p>
        </w:tc>
        <w:tc>
          <w:tcPr>
            <w:tcW w:w="421" w:type="pct"/>
            <w:vAlign w:val="center"/>
          </w:tcPr>
          <w:p w14:paraId="3E15301B" w14:textId="77777777" w:rsidR="00C7364D" w:rsidRPr="008D1A55" w:rsidRDefault="00C7364D" w:rsidP="0063551F">
            <w:pPr>
              <w:pStyle w:val="Tabletext"/>
              <w:jc w:val="center"/>
            </w:pPr>
          </w:p>
        </w:tc>
        <w:tc>
          <w:tcPr>
            <w:tcW w:w="591" w:type="pct"/>
          </w:tcPr>
          <w:p w14:paraId="4DE35A4B" w14:textId="77777777" w:rsidR="00C7364D" w:rsidRPr="008D1A55" w:rsidRDefault="00C7364D" w:rsidP="0063551F">
            <w:pPr>
              <w:pStyle w:val="Tabletext"/>
              <w:jc w:val="center"/>
            </w:pPr>
          </w:p>
        </w:tc>
        <w:tc>
          <w:tcPr>
            <w:tcW w:w="462" w:type="pct"/>
            <w:vAlign w:val="center"/>
          </w:tcPr>
          <w:p w14:paraId="260BCAF6" w14:textId="77777777" w:rsidR="00C7364D" w:rsidRPr="008D1A55" w:rsidRDefault="00C7364D" w:rsidP="0063551F">
            <w:pPr>
              <w:pStyle w:val="Tabletext"/>
              <w:jc w:val="center"/>
            </w:pPr>
          </w:p>
        </w:tc>
      </w:tr>
    </w:tbl>
    <w:p w14:paraId="18F7EC6E" w14:textId="3D6B837E" w:rsidR="005C60E1" w:rsidRPr="008D1A55" w:rsidRDefault="005C60E1" w:rsidP="005C60E1">
      <w:pPr>
        <w:pStyle w:val="TableDescription"/>
      </w:pPr>
      <w:r w:rsidRPr="008D1A55">
        <w:t>Abbreviation: CI = confidence interval.</w:t>
      </w:r>
    </w:p>
    <w:p w14:paraId="22D5046A" w14:textId="4A86FFAB" w:rsidR="00C7364D" w:rsidRPr="008D1A55" w:rsidRDefault="00C7364D" w:rsidP="005C60E1">
      <w:pPr>
        <w:pStyle w:val="TableDescription"/>
      </w:pPr>
      <w:proofErr w:type="spellStart"/>
      <w:r w:rsidRPr="008D1A55">
        <w:t>a</w:t>
      </w:r>
      <w:proofErr w:type="spellEnd"/>
      <w:r w:rsidRPr="008D1A55">
        <w:t xml:space="preserve"> The responder/non-responder rates (percentages), the difference in estimates, and associated 95% CIs are weighted and are calculated using a stratified </w:t>
      </w:r>
      <w:r w:rsidR="005C60E1" w:rsidRPr="008D1A55">
        <w:t xml:space="preserve">Cochran-Mantel Haenszel </w:t>
      </w:r>
      <w:r w:rsidRPr="008D1A55">
        <w:t>approach, with stratification factors (</w:t>
      </w:r>
      <w:r w:rsidR="005C60E1" w:rsidRPr="008D1A55">
        <w:t>Systemic Lupus Erythematosus Disease Activity Index 2000 (</w:t>
      </w:r>
      <w:r w:rsidRPr="008D1A55">
        <w:t>SLEDAI-2K</w:t>
      </w:r>
      <w:r w:rsidR="005C60E1" w:rsidRPr="008D1A55">
        <w:t>)</w:t>
      </w:r>
      <w:r w:rsidRPr="008D1A55">
        <w:t xml:space="preserve"> score at screening </w:t>
      </w:r>
      <w:r w:rsidR="00740C4D" w:rsidRPr="008D1A55">
        <w:t>(</w:t>
      </w:r>
      <w:r w:rsidR="005C60E1" w:rsidRPr="008D1A55">
        <w:t xml:space="preserve">less than </w:t>
      </w:r>
      <w:r w:rsidRPr="008D1A55">
        <w:t xml:space="preserve">10 points </w:t>
      </w:r>
      <w:r w:rsidR="00CA1444" w:rsidRPr="008D1A55">
        <w:t>versus</w:t>
      </w:r>
      <w:r w:rsidRPr="008D1A55">
        <w:t xml:space="preserve"> </w:t>
      </w:r>
      <w:r w:rsidR="005C60E1" w:rsidRPr="008D1A55">
        <w:t xml:space="preserve">at least </w:t>
      </w:r>
      <w:r w:rsidRPr="008D1A55">
        <w:t>10 points</w:t>
      </w:r>
      <w:r w:rsidR="00740C4D" w:rsidRPr="008D1A55">
        <w:t>)</w:t>
      </w:r>
      <w:r w:rsidRPr="008D1A55">
        <w:t xml:space="preserve">, Week 0 </w:t>
      </w:r>
      <w:r w:rsidR="007D0024" w:rsidRPr="008D1A55">
        <w:t>oral corticosteroids</w:t>
      </w:r>
      <w:r w:rsidRPr="008D1A55">
        <w:t xml:space="preserve"> dose </w:t>
      </w:r>
      <w:r w:rsidR="00740C4D" w:rsidRPr="008D1A55">
        <w:t>(</w:t>
      </w:r>
      <w:r w:rsidR="005C60E1" w:rsidRPr="008D1A55">
        <w:t xml:space="preserve">less than </w:t>
      </w:r>
      <w:r w:rsidRPr="008D1A55">
        <w:t xml:space="preserve">10 mg/day </w:t>
      </w:r>
      <w:r w:rsidR="00CA1444" w:rsidRPr="008D1A55">
        <w:t>versus</w:t>
      </w:r>
      <w:r w:rsidRPr="008D1A55">
        <w:t xml:space="preserve"> </w:t>
      </w:r>
      <w:r w:rsidR="005C60E1" w:rsidRPr="008D1A55">
        <w:t xml:space="preserve">at least </w:t>
      </w:r>
      <w:r w:rsidRPr="008D1A55">
        <w:t>10 mg/day prednisone or equivalent</w:t>
      </w:r>
      <w:r w:rsidR="00740C4D" w:rsidRPr="008D1A55">
        <w:t>)</w:t>
      </w:r>
      <w:r w:rsidRPr="008D1A55">
        <w:t xml:space="preserve"> and </w:t>
      </w:r>
      <w:r w:rsidR="00CC61CB" w:rsidRPr="008D1A55">
        <w:t xml:space="preserve">Type </w:t>
      </w:r>
      <w:r w:rsidR="00D264E5" w:rsidRPr="008D1A55">
        <w:t>I</w:t>
      </w:r>
      <w:r w:rsidRPr="008D1A55">
        <w:t xml:space="preserve"> </w:t>
      </w:r>
      <w:r w:rsidR="00D264E5" w:rsidRPr="008D1A55">
        <w:t>interferon</w:t>
      </w:r>
      <w:r w:rsidRPr="008D1A55">
        <w:t xml:space="preserve"> test result at screening </w:t>
      </w:r>
      <w:r w:rsidR="00740C4D" w:rsidRPr="008D1A55">
        <w:t>(</w:t>
      </w:r>
      <w:r w:rsidRPr="008D1A55">
        <w:t xml:space="preserve">high </w:t>
      </w:r>
      <w:r w:rsidR="00CA1444" w:rsidRPr="008D1A55">
        <w:t>versus</w:t>
      </w:r>
      <w:r w:rsidRPr="008D1A55">
        <w:t xml:space="preserve"> low</w:t>
      </w:r>
      <w:r w:rsidR="00740C4D" w:rsidRPr="008D1A55">
        <w:t>)</w:t>
      </w:r>
      <w:r w:rsidRPr="008D1A55">
        <w:t>).</w:t>
      </w:r>
    </w:p>
    <w:p w14:paraId="61172E19" w14:textId="77777777" w:rsidR="00C7364D" w:rsidRPr="008D1A55" w:rsidRDefault="00C7364D" w:rsidP="005C60E1">
      <w:pPr>
        <w:pStyle w:val="TableDescription"/>
      </w:pPr>
      <w:r w:rsidRPr="008D1A55">
        <w:t>Percentages are based upon all subjects in the full analysis set.</w:t>
      </w:r>
    </w:p>
    <w:p w14:paraId="51505BE2" w14:textId="51CDC59E" w:rsidR="00C7364D" w:rsidRPr="008D1A55" w:rsidRDefault="00C7364D" w:rsidP="005C60E1">
      <w:pPr>
        <w:pStyle w:val="TableDescription"/>
      </w:pPr>
      <w:r w:rsidRPr="008D1A55">
        <w:t>Baseline is defined as the last measurement prior to randomisation and dose administration on Day</w:t>
      </w:r>
      <w:r w:rsidR="005C60E1" w:rsidRPr="008D1A55">
        <w:t> </w:t>
      </w:r>
      <w:r w:rsidRPr="008D1A55">
        <w:t>1.</w:t>
      </w:r>
    </w:p>
    <w:p w14:paraId="4E937A42" w14:textId="77AC0DA3" w:rsidR="005B2B36" w:rsidRPr="008D1A55" w:rsidRDefault="005C60E1" w:rsidP="005C60E1">
      <w:pPr>
        <w:pStyle w:val="TableDescription"/>
      </w:pPr>
      <w:r w:rsidRPr="008D1A55">
        <w:t xml:space="preserve">British Isles Lupus Assessment Group-based Composite Lupus Assessment </w:t>
      </w:r>
      <w:r w:rsidR="00C7364D" w:rsidRPr="008D1A55">
        <w:t xml:space="preserve">response is defined as a reduction of all </w:t>
      </w:r>
      <w:proofErr w:type="gramStart"/>
      <w:r w:rsidR="00C7364D" w:rsidRPr="008D1A55">
        <w:t>baseline</w:t>
      </w:r>
      <w:proofErr w:type="gramEnd"/>
      <w:r w:rsidR="00C7364D" w:rsidRPr="008D1A55">
        <w:t xml:space="preserve"> </w:t>
      </w:r>
      <w:r w:rsidRPr="008D1A55">
        <w:t>British Isles Lupus Assessment Group</w:t>
      </w:r>
      <w:r w:rsidR="00DA15D9" w:rsidRPr="008D1A55">
        <w:t xml:space="preserve"> </w:t>
      </w:r>
      <w:r w:rsidR="00C7364D" w:rsidRPr="008D1A55">
        <w:t xml:space="preserve">2004 A and B scores and no worsening in other organ systems, no worsening from </w:t>
      </w:r>
      <w:r w:rsidR="00CA1444" w:rsidRPr="008D1A55">
        <w:t>Baseline</w:t>
      </w:r>
      <w:r w:rsidR="00C7364D" w:rsidRPr="008D1A55">
        <w:t xml:space="preserve"> in SLEDAI-2K, and no increase </w:t>
      </w:r>
      <w:r w:rsidR="00891DA6" w:rsidRPr="008D1A55">
        <w:t xml:space="preserve">of </w:t>
      </w:r>
      <w:r w:rsidR="00C7364D" w:rsidRPr="008D1A55">
        <w:t>0.30 points</w:t>
      </w:r>
      <w:r w:rsidRPr="008D1A55">
        <w:t xml:space="preserve"> or more</w:t>
      </w:r>
      <w:r w:rsidR="00C7364D" w:rsidRPr="008D1A55">
        <w:t xml:space="preserve"> on a 3</w:t>
      </w:r>
      <w:r w:rsidRPr="008D1A55">
        <w:t>-</w:t>
      </w:r>
      <w:r w:rsidR="00C7364D" w:rsidRPr="008D1A55">
        <w:t xml:space="preserve">point </w:t>
      </w:r>
      <w:r w:rsidR="00CC75F3" w:rsidRPr="008D1A55">
        <w:t xml:space="preserve">Physician’s Global Assessment </w:t>
      </w:r>
      <w:r w:rsidR="00597D8F" w:rsidRPr="008D1A55">
        <w:t xml:space="preserve">visual </w:t>
      </w:r>
      <w:proofErr w:type="spellStart"/>
      <w:r w:rsidR="00597D8F" w:rsidRPr="008D1A55">
        <w:t>analog</w:t>
      </w:r>
      <w:proofErr w:type="spellEnd"/>
      <w:r w:rsidR="00597D8F" w:rsidRPr="008D1A55">
        <w:t xml:space="preserve"> scale</w:t>
      </w:r>
      <w:r w:rsidR="00C7364D" w:rsidRPr="008D1A55">
        <w:t xml:space="preserve"> from </w:t>
      </w:r>
      <w:r w:rsidR="00CA1444" w:rsidRPr="008D1A55">
        <w:t>Baseline</w:t>
      </w:r>
      <w:r w:rsidR="00C7364D" w:rsidRPr="008D1A55">
        <w:t>. Subjects treated with restricted medication beyond protocol allowed thresholds, and those who discontinued investigational product, are regarded as non-responders.</w:t>
      </w:r>
    </w:p>
    <w:p w14:paraId="7BD04F41" w14:textId="0AC62433" w:rsidR="00C7364D" w:rsidRPr="008D1A55" w:rsidRDefault="00C7364D" w:rsidP="005B2B36">
      <w:proofErr w:type="spellStart"/>
      <w:r w:rsidRPr="008D1A55">
        <w:t>Anifrolumab</w:t>
      </w:r>
      <w:proofErr w:type="spellEnd"/>
      <w:r w:rsidRPr="008D1A55">
        <w:t xml:space="preserve"> 300 mg resulted in numerically greater rates of improvement compared with placebo across a range of composite and organ-specific disease activity other efficacy outcomes:</w:t>
      </w:r>
    </w:p>
    <w:p w14:paraId="017D594B" w14:textId="3C6E5EFD" w:rsidR="00C7364D" w:rsidRPr="008D1A55" w:rsidRDefault="00C7364D" w:rsidP="005B2B36">
      <w:pPr>
        <w:pStyle w:val="ListBullet"/>
      </w:pPr>
      <w:r w:rsidRPr="008D1A55">
        <w:t xml:space="preserve">A numerically higher </w:t>
      </w:r>
      <w:proofErr w:type="gramStart"/>
      <w:r w:rsidRPr="008D1A55">
        <w:t>SRI(</w:t>
      </w:r>
      <w:proofErr w:type="gramEnd"/>
      <w:r w:rsidRPr="008D1A55">
        <w:t xml:space="preserve">4) response rate was observed in the </w:t>
      </w:r>
      <w:proofErr w:type="spellStart"/>
      <w:r w:rsidRPr="008D1A55">
        <w:t>anifrolumab</w:t>
      </w:r>
      <w:proofErr w:type="spellEnd"/>
      <w:r w:rsidRPr="008D1A55">
        <w:t xml:space="preserve"> 300</w:t>
      </w:r>
      <w:r w:rsidR="00547637" w:rsidRPr="008D1A55">
        <w:t> </w:t>
      </w:r>
      <w:r w:rsidRPr="008D1A55">
        <w:t>mg group compared with the placebo group over time, with a difference of 18.2% at Week</w:t>
      </w:r>
      <w:r w:rsidR="00547637" w:rsidRPr="008D1A55">
        <w:t> </w:t>
      </w:r>
      <w:r w:rsidRPr="008D1A55">
        <w:t>52 (95% CI</w:t>
      </w:r>
      <w:r w:rsidR="005C60E1" w:rsidRPr="008D1A55">
        <w:t>:</w:t>
      </w:r>
      <w:r w:rsidRPr="008D1A55">
        <w:t xml:space="preserve"> 8.1</w:t>
      </w:r>
      <w:r w:rsidR="005C60E1" w:rsidRPr="008D1A55">
        <w:t>,</w:t>
      </w:r>
      <w:r w:rsidRPr="008D1A55">
        <w:t xml:space="preserve"> 28.3)</w:t>
      </w:r>
      <w:r w:rsidR="00547637" w:rsidRPr="008D1A55">
        <w:t>.</w:t>
      </w:r>
    </w:p>
    <w:p w14:paraId="40D73C48" w14:textId="713EE600" w:rsidR="00C7364D" w:rsidRPr="008D1A55" w:rsidRDefault="00C7364D" w:rsidP="005B2B36">
      <w:pPr>
        <w:pStyle w:val="ListBullet"/>
      </w:pPr>
      <w:r w:rsidRPr="008D1A55">
        <w:t>At higher SLEDAI thresholds (</w:t>
      </w:r>
      <w:proofErr w:type="gramStart"/>
      <w:r w:rsidRPr="008D1A55">
        <w:t>SRI</w:t>
      </w:r>
      <w:r w:rsidR="00740C4D" w:rsidRPr="008D1A55">
        <w:t>(</w:t>
      </w:r>
      <w:proofErr w:type="gramEnd"/>
      <w:r w:rsidRPr="008D1A55">
        <w:t>5</w:t>
      </w:r>
      <w:r w:rsidR="00740C4D" w:rsidRPr="008D1A55">
        <w:t>)</w:t>
      </w:r>
      <w:r w:rsidRPr="008D1A55">
        <w:t>, SRI</w:t>
      </w:r>
      <w:r w:rsidR="00740C4D" w:rsidRPr="008D1A55">
        <w:t>(</w:t>
      </w:r>
      <w:r w:rsidRPr="008D1A55">
        <w:t>6</w:t>
      </w:r>
      <w:r w:rsidR="00740C4D" w:rsidRPr="008D1A55">
        <w:t>)</w:t>
      </w:r>
      <w:r w:rsidRPr="008D1A55">
        <w:t>, SRI</w:t>
      </w:r>
      <w:r w:rsidR="00740C4D" w:rsidRPr="008D1A55">
        <w:t>(</w:t>
      </w:r>
      <w:r w:rsidRPr="008D1A55">
        <w:t>7</w:t>
      </w:r>
      <w:r w:rsidR="00740C4D" w:rsidRPr="008D1A55">
        <w:t>)</w:t>
      </w:r>
      <w:r w:rsidRPr="008D1A55">
        <w:t>, and SRI</w:t>
      </w:r>
      <w:r w:rsidR="00740C4D" w:rsidRPr="008D1A55">
        <w:t>(</w:t>
      </w:r>
      <w:r w:rsidRPr="008D1A55">
        <w:t>8</w:t>
      </w:r>
      <w:r w:rsidR="00740C4D" w:rsidRPr="008D1A55">
        <w:t>)</w:t>
      </w:r>
      <w:r w:rsidRPr="008D1A55">
        <w:t xml:space="preserve">), numerically higher SRI response rates were consistently observed in the </w:t>
      </w:r>
      <w:proofErr w:type="spellStart"/>
      <w:r w:rsidRPr="008D1A55">
        <w:t>anifrolumab</w:t>
      </w:r>
      <w:proofErr w:type="spellEnd"/>
      <w:r w:rsidRPr="008D1A55">
        <w:t xml:space="preserve"> 300 mg group compared with the placebo group over time, with differences ranging from 10.7% to 17.6% at Week 52</w:t>
      </w:r>
      <w:r w:rsidR="00547637" w:rsidRPr="008D1A55">
        <w:t>.</w:t>
      </w:r>
    </w:p>
    <w:p w14:paraId="1C306C2D" w14:textId="150A82E4" w:rsidR="00C7364D" w:rsidRPr="008D1A55" w:rsidRDefault="00C7364D" w:rsidP="005B2B36">
      <w:pPr>
        <w:pStyle w:val="ListBullet"/>
      </w:pPr>
      <w:proofErr w:type="spellStart"/>
      <w:r w:rsidRPr="008D1A55">
        <w:t>Anifrolumab</w:t>
      </w:r>
      <w:proofErr w:type="spellEnd"/>
      <w:r w:rsidRPr="008D1A55">
        <w:t xml:space="preserve"> 300 mg resulted in a numerical reduction in fatigue and improvement in </w:t>
      </w:r>
      <w:r w:rsidR="00740C4D" w:rsidRPr="008D1A55">
        <w:t>quality of life</w:t>
      </w:r>
      <w:r w:rsidR="00547637" w:rsidRPr="008D1A55">
        <w:t>.</w:t>
      </w:r>
    </w:p>
    <w:p w14:paraId="08B2CD5F" w14:textId="18A167E0" w:rsidR="00C7364D" w:rsidRPr="008D1A55" w:rsidRDefault="00C7364D" w:rsidP="005B2B36">
      <w:pPr>
        <w:pStyle w:val="Heading5"/>
      </w:pPr>
      <w:bookmarkStart w:id="64" w:name="_Ref70240937"/>
      <w:r w:rsidRPr="008D1A55">
        <w:t xml:space="preserve">Study </w:t>
      </w:r>
      <w:bookmarkEnd w:id="64"/>
      <w:r w:rsidR="007D0024" w:rsidRPr="008D1A55">
        <w:t>D3461C00005</w:t>
      </w:r>
    </w:p>
    <w:p w14:paraId="4E7D72E1" w14:textId="321E5CD4" w:rsidR="00C7364D" w:rsidRPr="008D1A55" w:rsidRDefault="00547637" w:rsidP="005B2B36">
      <w:r w:rsidRPr="008D1A55">
        <w:t>Study D3461C00005</w:t>
      </w:r>
      <w:r w:rsidR="00E2496A">
        <w:t xml:space="preserve"> (also known as the TULIP-1 trial);</w:t>
      </w:r>
      <w:r w:rsidR="00E2496A">
        <w:rPr>
          <w:rStyle w:val="FootnoteReference"/>
        </w:rPr>
        <w:footnoteReference w:id="23"/>
      </w:r>
      <w:r w:rsidRPr="008D1A55">
        <w:t xml:space="preserve"> is a </w:t>
      </w:r>
      <w:r w:rsidR="001605DB" w:rsidRPr="008D1A55">
        <w:t>Phase III</w:t>
      </w:r>
      <w:r w:rsidR="00C7364D" w:rsidRPr="008D1A55">
        <w:t>, multicentre, randomised, double blind, placebo controlled study conducted at 123</w:t>
      </w:r>
      <w:r w:rsidRPr="008D1A55">
        <w:t> </w:t>
      </w:r>
      <w:r w:rsidR="00C7364D" w:rsidRPr="008D1A55">
        <w:t xml:space="preserve">sites in 18 countries (Australia </w:t>
      </w:r>
      <w:r w:rsidRPr="008D1A55">
        <w:t>(</w:t>
      </w:r>
      <w:r w:rsidR="00C7364D" w:rsidRPr="008D1A55">
        <w:t>2</w:t>
      </w:r>
      <w:r w:rsidRPr="008D1A55">
        <w:t>)</w:t>
      </w:r>
      <w:r w:rsidR="00C7364D" w:rsidRPr="008D1A55">
        <w:t xml:space="preserve">, New Zealand </w:t>
      </w:r>
      <w:r w:rsidRPr="008D1A55">
        <w:t>(</w:t>
      </w:r>
      <w:r w:rsidR="00C7364D" w:rsidRPr="008D1A55">
        <w:t>1</w:t>
      </w:r>
      <w:r w:rsidRPr="008D1A55">
        <w:t>)</w:t>
      </w:r>
      <w:r w:rsidR="00C7364D" w:rsidRPr="008D1A55">
        <w:t xml:space="preserve">, South Korea </w:t>
      </w:r>
      <w:r w:rsidRPr="008D1A55">
        <w:t>(</w:t>
      </w:r>
      <w:r w:rsidR="00C7364D" w:rsidRPr="008D1A55">
        <w:t>4</w:t>
      </w:r>
      <w:r w:rsidRPr="008D1A55">
        <w:t>)</w:t>
      </w:r>
      <w:r w:rsidR="00C7364D" w:rsidRPr="008D1A55">
        <w:t xml:space="preserve">, Taiwan </w:t>
      </w:r>
      <w:r w:rsidRPr="008D1A55">
        <w:t>(</w:t>
      </w:r>
      <w:r w:rsidR="00C7364D" w:rsidRPr="008D1A55">
        <w:t>3</w:t>
      </w:r>
      <w:r w:rsidRPr="008D1A55">
        <w:t>)</w:t>
      </w:r>
      <w:r w:rsidR="00C7364D" w:rsidRPr="008D1A55">
        <w:t xml:space="preserve">, Germany </w:t>
      </w:r>
      <w:r w:rsidRPr="008D1A55">
        <w:t>(</w:t>
      </w:r>
      <w:r w:rsidR="00C7364D" w:rsidRPr="008D1A55">
        <w:t>4</w:t>
      </w:r>
      <w:r w:rsidRPr="008D1A55">
        <w:t>)</w:t>
      </w:r>
      <w:r w:rsidR="00C7364D" w:rsidRPr="008D1A55">
        <w:t xml:space="preserve">, Hungary </w:t>
      </w:r>
      <w:r w:rsidRPr="008D1A55">
        <w:t>(</w:t>
      </w:r>
      <w:r w:rsidR="00C7364D" w:rsidRPr="008D1A55">
        <w:t>4</w:t>
      </w:r>
      <w:r w:rsidRPr="008D1A55">
        <w:t>)</w:t>
      </w:r>
      <w:r w:rsidR="00C7364D" w:rsidRPr="008D1A55">
        <w:t xml:space="preserve">, </w:t>
      </w:r>
      <w:r w:rsidR="00C7364D" w:rsidRPr="008D1A55">
        <w:lastRenderedPageBreak/>
        <w:t xml:space="preserve">Italy </w:t>
      </w:r>
      <w:r w:rsidRPr="008D1A55">
        <w:t>(</w:t>
      </w:r>
      <w:r w:rsidR="00C7364D" w:rsidRPr="008D1A55">
        <w:t>2</w:t>
      </w:r>
      <w:r w:rsidRPr="008D1A55">
        <w:t>)</w:t>
      </w:r>
      <w:r w:rsidR="00C7364D" w:rsidRPr="008D1A55">
        <w:t xml:space="preserve">, Poland </w:t>
      </w:r>
      <w:r w:rsidRPr="008D1A55">
        <w:t>(</w:t>
      </w:r>
      <w:r w:rsidR="00C7364D" w:rsidRPr="008D1A55">
        <w:t>12</w:t>
      </w:r>
      <w:r w:rsidRPr="008D1A55">
        <w:t>)</w:t>
      </w:r>
      <w:r w:rsidR="00C7364D" w:rsidRPr="008D1A55">
        <w:t xml:space="preserve">, Romania </w:t>
      </w:r>
      <w:r w:rsidRPr="008D1A55">
        <w:t>(</w:t>
      </w:r>
      <w:r w:rsidR="00C7364D" w:rsidRPr="008D1A55">
        <w:t>8</w:t>
      </w:r>
      <w:r w:rsidRPr="008D1A55">
        <w:t>)</w:t>
      </w:r>
      <w:r w:rsidR="00C7364D" w:rsidRPr="008D1A55">
        <w:t xml:space="preserve">, Ukraine, United Kingdom </w:t>
      </w:r>
      <w:r w:rsidRPr="008D1A55">
        <w:t>(</w:t>
      </w:r>
      <w:r w:rsidR="00C7364D" w:rsidRPr="008D1A55">
        <w:t>4</w:t>
      </w:r>
      <w:r w:rsidRPr="008D1A55">
        <w:t>)</w:t>
      </w:r>
      <w:r w:rsidR="00C7364D" w:rsidRPr="008D1A55">
        <w:t xml:space="preserve">, Argentina </w:t>
      </w:r>
      <w:r w:rsidRPr="008D1A55">
        <w:t>(</w:t>
      </w:r>
      <w:r w:rsidR="00C7364D" w:rsidRPr="008D1A55">
        <w:t>2</w:t>
      </w:r>
      <w:r w:rsidRPr="008D1A55">
        <w:t>)</w:t>
      </w:r>
      <w:r w:rsidR="00C7364D" w:rsidRPr="008D1A55">
        <w:t xml:space="preserve">, Brazil </w:t>
      </w:r>
      <w:r w:rsidRPr="008D1A55">
        <w:t>(</w:t>
      </w:r>
      <w:r w:rsidR="00C7364D" w:rsidRPr="008D1A55">
        <w:t>3</w:t>
      </w:r>
      <w:r w:rsidRPr="008D1A55">
        <w:t>)</w:t>
      </w:r>
      <w:r w:rsidR="00C7364D" w:rsidRPr="008D1A55">
        <w:t xml:space="preserve">, Chile </w:t>
      </w:r>
      <w:r w:rsidRPr="008D1A55">
        <w:t>(</w:t>
      </w:r>
      <w:r w:rsidR="00C7364D" w:rsidRPr="008D1A55">
        <w:t>3</w:t>
      </w:r>
      <w:r w:rsidRPr="008D1A55">
        <w:t>)</w:t>
      </w:r>
      <w:r w:rsidR="00C7364D" w:rsidRPr="008D1A55">
        <w:t xml:space="preserve">, Columbia </w:t>
      </w:r>
      <w:r w:rsidRPr="008D1A55">
        <w:t>(</w:t>
      </w:r>
      <w:r w:rsidR="00C7364D" w:rsidRPr="008D1A55">
        <w:t>5</w:t>
      </w:r>
      <w:r w:rsidRPr="008D1A55">
        <w:t>)</w:t>
      </w:r>
      <w:r w:rsidR="00C7364D" w:rsidRPr="008D1A55">
        <w:t xml:space="preserve">, Peru </w:t>
      </w:r>
      <w:r w:rsidRPr="008D1A55">
        <w:t>(</w:t>
      </w:r>
      <w:r w:rsidR="00C7364D" w:rsidRPr="008D1A55">
        <w:t>6</w:t>
      </w:r>
      <w:r w:rsidRPr="008D1A55">
        <w:t>)</w:t>
      </w:r>
      <w:r w:rsidR="00C7364D" w:rsidRPr="008D1A55">
        <w:t xml:space="preserve">, USA </w:t>
      </w:r>
      <w:r w:rsidRPr="008D1A55">
        <w:t>(</w:t>
      </w:r>
      <w:r w:rsidR="00C7364D" w:rsidRPr="008D1A55">
        <w:t>47</w:t>
      </w:r>
      <w:r w:rsidRPr="008D1A55">
        <w:t>)</w:t>
      </w:r>
      <w:r w:rsidR="00C7364D" w:rsidRPr="008D1A55">
        <w:t xml:space="preserve">, Israel </w:t>
      </w:r>
      <w:r w:rsidRPr="008D1A55">
        <w:t>(</w:t>
      </w:r>
      <w:r w:rsidR="00C7364D" w:rsidRPr="008D1A55">
        <w:t>5</w:t>
      </w:r>
      <w:r w:rsidRPr="008D1A55">
        <w:t>)</w:t>
      </w:r>
      <w:r w:rsidR="00C7364D" w:rsidRPr="008D1A55">
        <w:t>) from June 2015 to July 2018.</w:t>
      </w:r>
    </w:p>
    <w:p w14:paraId="3DACF283" w14:textId="423A6A27" w:rsidR="00C7364D" w:rsidRPr="008D1A55" w:rsidRDefault="00C7364D" w:rsidP="005B2B36">
      <w:r w:rsidRPr="008D1A55">
        <w:t>The study comprised a screening period of up to 30 days and a 52</w:t>
      </w:r>
      <w:r w:rsidR="00547637" w:rsidRPr="008D1A55">
        <w:t>-</w:t>
      </w:r>
      <w:r w:rsidRPr="008D1A55">
        <w:t>week double blind treatment period. At Week 52, patients either continued the study for another 8 weeks to complete a 12 week follow up period or, if eligible, enrolled into a separate long</w:t>
      </w:r>
      <w:r w:rsidR="00A259E4" w:rsidRPr="008D1A55">
        <w:t>-</w:t>
      </w:r>
      <w:r w:rsidRPr="008D1A55">
        <w:t>term extension study (</w:t>
      </w:r>
      <w:r w:rsidR="00547637" w:rsidRPr="008D1A55">
        <w:t xml:space="preserve">Study </w:t>
      </w:r>
      <w:r w:rsidRPr="008D1A55">
        <w:t>D3461C00009) which is ongoing.</w:t>
      </w:r>
    </w:p>
    <w:p w14:paraId="765195EF" w14:textId="77777777" w:rsidR="005B2B36" w:rsidRPr="008D1A55" w:rsidRDefault="00C7364D" w:rsidP="005B2B36">
      <w:pPr>
        <w:pStyle w:val="Heading6"/>
        <w:rPr>
          <w:lang w:eastAsia="ja-JP"/>
        </w:rPr>
      </w:pPr>
      <w:r w:rsidRPr="008D1A55">
        <w:rPr>
          <w:lang w:eastAsia="ja-JP"/>
        </w:rPr>
        <w:t>Primary objective</w:t>
      </w:r>
    </w:p>
    <w:p w14:paraId="70864B4E" w14:textId="16B84B09" w:rsidR="00C7364D" w:rsidRPr="008D1A55" w:rsidRDefault="00C7364D" w:rsidP="005B2B36">
      <w:r w:rsidRPr="008D1A55">
        <w:t xml:space="preserve">To evaluate the effect of </w:t>
      </w:r>
      <w:proofErr w:type="spellStart"/>
      <w:r w:rsidRPr="008D1A55">
        <w:t>anifrolumab</w:t>
      </w:r>
      <w:proofErr w:type="spellEnd"/>
      <w:r w:rsidRPr="008D1A55">
        <w:t xml:space="preserve"> 300 mg compared with placebo on disease activity as measured by the difference in the proportion of patients who achieve an (</w:t>
      </w:r>
      <w:proofErr w:type="gramStart"/>
      <w:r w:rsidRPr="008D1A55">
        <w:t>SRI</w:t>
      </w:r>
      <w:r w:rsidR="00740C4D" w:rsidRPr="008D1A55">
        <w:t>(</w:t>
      </w:r>
      <w:proofErr w:type="gramEnd"/>
      <w:r w:rsidRPr="008D1A55">
        <w:t>4</w:t>
      </w:r>
      <w:r w:rsidR="00740C4D" w:rsidRPr="008D1A55">
        <w:t>)</w:t>
      </w:r>
      <w:r w:rsidRPr="008D1A55">
        <w:t>) at Week</w:t>
      </w:r>
      <w:r w:rsidR="0035180C" w:rsidRPr="008D1A55">
        <w:t> </w:t>
      </w:r>
      <w:r w:rsidRPr="008D1A55">
        <w:t>52.</w:t>
      </w:r>
    </w:p>
    <w:p w14:paraId="0F1DFAFA" w14:textId="77777777" w:rsidR="005B2B36" w:rsidRPr="008D1A55" w:rsidRDefault="00C7364D" w:rsidP="005B2B36">
      <w:pPr>
        <w:pStyle w:val="Heading6"/>
        <w:rPr>
          <w:lang w:eastAsia="ja-JP"/>
        </w:rPr>
      </w:pPr>
      <w:r w:rsidRPr="008D1A55">
        <w:rPr>
          <w:lang w:eastAsia="ja-JP"/>
        </w:rPr>
        <w:t>Secondary objectives</w:t>
      </w:r>
    </w:p>
    <w:p w14:paraId="6B03DCF4" w14:textId="76A58A63" w:rsidR="00C7364D" w:rsidRPr="008D1A55" w:rsidRDefault="00C7364D" w:rsidP="005B2B36">
      <w:r w:rsidRPr="008D1A55">
        <w:t xml:space="preserve">To evaluate the effect of </w:t>
      </w:r>
      <w:proofErr w:type="spellStart"/>
      <w:r w:rsidRPr="008D1A55">
        <w:t>anifrolumab</w:t>
      </w:r>
      <w:proofErr w:type="spellEnd"/>
      <w:r w:rsidRPr="008D1A55">
        <w:t xml:space="preserve"> 300 mg with placebo on:</w:t>
      </w:r>
    </w:p>
    <w:p w14:paraId="0E4072F5" w14:textId="1CFE3F91" w:rsidR="00C7364D" w:rsidRPr="008D1A55" w:rsidRDefault="00547637" w:rsidP="005B2B36">
      <w:pPr>
        <w:pStyle w:val="ListBullet"/>
      </w:pPr>
      <w:r w:rsidRPr="008D1A55">
        <w:t>t</w:t>
      </w:r>
      <w:r w:rsidR="00C7364D" w:rsidRPr="008D1A55">
        <w:t xml:space="preserve">he proportion of patients with </w:t>
      </w:r>
      <w:proofErr w:type="gramStart"/>
      <w:r w:rsidR="00C7364D" w:rsidRPr="008D1A55">
        <w:t>SRI(</w:t>
      </w:r>
      <w:proofErr w:type="gramEnd"/>
      <w:r w:rsidR="00C7364D" w:rsidRPr="008D1A55">
        <w:t xml:space="preserve">4) at Week 52 in the </w:t>
      </w:r>
      <w:r w:rsidR="00CC61CB" w:rsidRPr="008D1A55">
        <w:t xml:space="preserve">Type </w:t>
      </w:r>
      <w:r w:rsidR="00D264E5" w:rsidRPr="008D1A55">
        <w:t>I</w:t>
      </w:r>
      <w:r w:rsidR="00C7364D" w:rsidRPr="008D1A55">
        <w:t xml:space="preserve"> </w:t>
      </w:r>
      <w:r w:rsidR="00D264E5" w:rsidRPr="008D1A55">
        <w:t>interferon</w:t>
      </w:r>
      <w:r w:rsidR="00C7364D" w:rsidRPr="008D1A55">
        <w:t xml:space="preserve"> gene signature test high subgroup</w:t>
      </w:r>
      <w:r w:rsidRPr="008D1A55">
        <w:t>;</w:t>
      </w:r>
    </w:p>
    <w:p w14:paraId="5986CD49" w14:textId="231021C3" w:rsidR="00C7364D" w:rsidRPr="008D1A55" w:rsidRDefault="00547637" w:rsidP="005B2B36">
      <w:pPr>
        <w:pStyle w:val="ListBullet"/>
      </w:pPr>
      <w:r w:rsidRPr="008D1A55">
        <w:t xml:space="preserve">the </w:t>
      </w:r>
      <w:r w:rsidR="00C7364D" w:rsidRPr="008D1A55">
        <w:t xml:space="preserve">proportion of patients who achieved an </w:t>
      </w:r>
      <w:r w:rsidR="007D0024" w:rsidRPr="008D1A55">
        <w:t>oral corticosteroids</w:t>
      </w:r>
      <w:r w:rsidR="00C7364D" w:rsidRPr="008D1A55">
        <w:t xml:space="preserve"> dose </w:t>
      </w:r>
      <w:r w:rsidRPr="008D1A55">
        <w:t xml:space="preserve">no more than </w:t>
      </w:r>
      <w:r w:rsidR="00C7364D" w:rsidRPr="008D1A55">
        <w:t>7.5</w:t>
      </w:r>
      <w:r w:rsidRPr="008D1A55">
        <w:t> </w:t>
      </w:r>
      <w:r w:rsidR="00C7364D" w:rsidRPr="008D1A55">
        <w:t xml:space="preserve">mg/day at Week 40, which was maintained through Week 52 in the subgroup of patients with baseline </w:t>
      </w:r>
      <w:r w:rsidR="007D0024" w:rsidRPr="008D1A55">
        <w:t>oral corticosteroids</w:t>
      </w:r>
      <w:r w:rsidR="00C7364D" w:rsidRPr="008D1A55">
        <w:t xml:space="preserve"> </w:t>
      </w:r>
      <w:r w:rsidRPr="008D1A55">
        <w:t xml:space="preserve">at least </w:t>
      </w:r>
      <w:r w:rsidR="00C7364D" w:rsidRPr="008D1A55">
        <w:t>10 mg/</w:t>
      </w:r>
      <w:proofErr w:type="gramStart"/>
      <w:r w:rsidR="00C7364D" w:rsidRPr="008D1A55">
        <w:t>day</w:t>
      </w:r>
      <w:r w:rsidRPr="008D1A55">
        <w:t>;</w:t>
      </w:r>
      <w:proofErr w:type="gramEnd"/>
    </w:p>
    <w:p w14:paraId="237E50C6" w14:textId="796D9880" w:rsidR="00C7364D" w:rsidRPr="008D1A55" w:rsidRDefault="00547637" w:rsidP="005B2B36">
      <w:pPr>
        <w:pStyle w:val="ListBullet"/>
      </w:pPr>
      <w:r w:rsidRPr="008D1A55">
        <w:t xml:space="preserve">the </w:t>
      </w:r>
      <w:r w:rsidR="00C7364D" w:rsidRPr="008D1A55">
        <w:t xml:space="preserve">proportion of patients with a 50% </w:t>
      </w:r>
      <w:r w:rsidRPr="008D1A55">
        <w:t xml:space="preserve">or more </w:t>
      </w:r>
      <w:r w:rsidR="00C7364D" w:rsidRPr="008D1A55">
        <w:t>reduction CLASI activity score at Week</w:t>
      </w:r>
      <w:r w:rsidRPr="008D1A55">
        <w:t> </w:t>
      </w:r>
      <w:r w:rsidR="00C7364D" w:rsidRPr="008D1A55">
        <w:t xml:space="preserve">12 in the subgroup of patients with baseline CLASI activity score </w:t>
      </w:r>
      <w:r w:rsidRPr="008D1A55">
        <w:t xml:space="preserve">at least </w:t>
      </w:r>
      <w:proofErr w:type="gramStart"/>
      <w:r w:rsidR="00C7364D" w:rsidRPr="008D1A55">
        <w:t>10</w:t>
      </w:r>
      <w:r w:rsidRPr="008D1A55">
        <w:t>;</w:t>
      </w:r>
      <w:proofErr w:type="gramEnd"/>
    </w:p>
    <w:p w14:paraId="3FED7AF2" w14:textId="4561EC0F" w:rsidR="00C7364D" w:rsidRPr="008D1A55" w:rsidRDefault="00547637" w:rsidP="005B2B36">
      <w:pPr>
        <w:pStyle w:val="ListBullet"/>
      </w:pPr>
      <w:r w:rsidRPr="008D1A55">
        <w:t xml:space="preserve">the </w:t>
      </w:r>
      <w:r w:rsidR="00C7364D" w:rsidRPr="008D1A55">
        <w:t xml:space="preserve">proportion of patients with </w:t>
      </w:r>
      <w:proofErr w:type="gramStart"/>
      <w:r w:rsidR="00C7364D" w:rsidRPr="008D1A55">
        <w:t>SRI(</w:t>
      </w:r>
      <w:proofErr w:type="gramEnd"/>
      <w:r w:rsidR="00C7364D" w:rsidRPr="008D1A55">
        <w:t>4) at Week 24</w:t>
      </w:r>
      <w:r w:rsidRPr="008D1A55">
        <w:t>;</w:t>
      </w:r>
    </w:p>
    <w:p w14:paraId="1492668A" w14:textId="58A9CB8C" w:rsidR="00C7364D" w:rsidRPr="008D1A55" w:rsidRDefault="00547637" w:rsidP="005B2B36">
      <w:pPr>
        <w:pStyle w:val="ListBullet"/>
      </w:pPr>
      <w:r w:rsidRPr="008D1A55">
        <w:t xml:space="preserve">the </w:t>
      </w:r>
      <w:r w:rsidR="00C7364D" w:rsidRPr="008D1A55">
        <w:t>annualised flare rate through 52 weeks</w:t>
      </w:r>
      <w:r w:rsidRPr="008D1A55">
        <w:t>.</w:t>
      </w:r>
    </w:p>
    <w:p w14:paraId="4F7480B1" w14:textId="55F8EBDE" w:rsidR="00C7364D" w:rsidRPr="008D1A55" w:rsidRDefault="00C7364D" w:rsidP="005B2B36">
      <w:r w:rsidRPr="008D1A55">
        <w:t xml:space="preserve">Inclusion and exclusion were </w:t>
      </w:r>
      <w:proofErr w:type="gramStart"/>
      <w:r w:rsidRPr="008D1A55">
        <w:t>similar to</w:t>
      </w:r>
      <w:proofErr w:type="gramEnd"/>
      <w:r w:rsidRPr="008D1A55">
        <w:t xml:space="preserve"> Study </w:t>
      </w:r>
      <w:r w:rsidR="00C30BE3" w:rsidRPr="008D1A55">
        <w:t>D3461C00004</w:t>
      </w:r>
      <w:r w:rsidRPr="008D1A55">
        <w:t>.</w:t>
      </w:r>
    </w:p>
    <w:p w14:paraId="4379E7DC" w14:textId="77777777" w:rsidR="00C7364D" w:rsidRPr="008D1A55" w:rsidRDefault="00C7364D" w:rsidP="005B2B36">
      <w:r w:rsidRPr="008D1A55">
        <w:t>All patients were randomised 1:2:2 to one of three treatments:</w:t>
      </w:r>
    </w:p>
    <w:p w14:paraId="36C0A96E" w14:textId="7C806161" w:rsidR="00C7364D" w:rsidRPr="008D1A55" w:rsidRDefault="00C7364D" w:rsidP="005B2B36">
      <w:pPr>
        <w:pStyle w:val="ListBullet"/>
      </w:pPr>
      <w:r w:rsidRPr="008D1A55">
        <w:t xml:space="preserve">150 mg </w:t>
      </w:r>
      <w:proofErr w:type="spellStart"/>
      <w:r w:rsidRPr="008D1A55">
        <w:t>anifrolumab</w:t>
      </w:r>
      <w:proofErr w:type="spellEnd"/>
      <w:r w:rsidRPr="008D1A55">
        <w:t xml:space="preserve"> administered by </w:t>
      </w:r>
      <w:r w:rsidR="008D5724" w:rsidRPr="008D1A55">
        <w:t>intravenous</w:t>
      </w:r>
      <w:r w:rsidRPr="008D1A55">
        <w:t xml:space="preserve"> infusion every 4 weeks for 13 doses</w:t>
      </w:r>
      <w:r w:rsidR="00547637" w:rsidRPr="008D1A55">
        <w:t>.</w:t>
      </w:r>
    </w:p>
    <w:p w14:paraId="1830B7E1" w14:textId="6424C23E" w:rsidR="00C7364D" w:rsidRPr="008D1A55" w:rsidRDefault="00C7364D" w:rsidP="005B2B36">
      <w:pPr>
        <w:pStyle w:val="ListBullet"/>
      </w:pPr>
      <w:r w:rsidRPr="008D1A55">
        <w:t xml:space="preserve">300 mg </w:t>
      </w:r>
      <w:proofErr w:type="spellStart"/>
      <w:r w:rsidRPr="008D1A55">
        <w:t>anifrolumab</w:t>
      </w:r>
      <w:proofErr w:type="spellEnd"/>
      <w:r w:rsidRPr="008D1A55">
        <w:t xml:space="preserve"> administered by </w:t>
      </w:r>
      <w:r w:rsidR="008D5724" w:rsidRPr="008D1A55">
        <w:t>intravenous</w:t>
      </w:r>
      <w:r w:rsidRPr="008D1A55">
        <w:t xml:space="preserve"> infusion every 4 weeks for 13 doses</w:t>
      </w:r>
      <w:r w:rsidR="00547637" w:rsidRPr="008D1A55">
        <w:t>.</w:t>
      </w:r>
    </w:p>
    <w:p w14:paraId="200B0131" w14:textId="713CB60A" w:rsidR="00C7364D" w:rsidRPr="008D1A55" w:rsidRDefault="00C7364D" w:rsidP="005B2B36">
      <w:pPr>
        <w:pStyle w:val="ListBullet"/>
      </w:pPr>
      <w:r w:rsidRPr="008D1A55">
        <w:t xml:space="preserve">Placebo (0.9% saline) administered by </w:t>
      </w:r>
      <w:r w:rsidR="008D5724" w:rsidRPr="008D1A55">
        <w:t>intravenous</w:t>
      </w:r>
      <w:r w:rsidRPr="008D1A55">
        <w:t xml:space="preserve"> infusion every 4 weeks for 13 doses</w:t>
      </w:r>
      <w:r w:rsidR="00547637" w:rsidRPr="008D1A55">
        <w:t>.</w:t>
      </w:r>
    </w:p>
    <w:p w14:paraId="61396F18" w14:textId="77777777" w:rsidR="00C7364D" w:rsidRPr="008D1A55" w:rsidRDefault="00C7364D" w:rsidP="005B2B36">
      <w:r w:rsidRPr="008D1A55">
        <w:t>All infusions were delivered via an infusion pump over a minimum of 30 minutes every 4 weeks.</w:t>
      </w:r>
    </w:p>
    <w:p w14:paraId="7367D1B1" w14:textId="5418C0E1" w:rsidR="00C7364D" w:rsidRPr="008D1A55" w:rsidRDefault="00C7364D" w:rsidP="005B2B36">
      <w:r w:rsidRPr="008D1A55">
        <w:t xml:space="preserve">During the study all patients were taking either one or any combination of the following </w:t>
      </w:r>
      <w:r w:rsidR="007D0024" w:rsidRPr="008D1A55">
        <w:t>oral corticosteroids</w:t>
      </w:r>
      <w:r w:rsidRPr="008D1A55">
        <w:t>, antimalarial and/or immunosuppressants.</w:t>
      </w:r>
    </w:p>
    <w:p w14:paraId="70E47BAB" w14:textId="07BE0D7A" w:rsidR="00C7364D" w:rsidRPr="008D1A55" w:rsidRDefault="00C7364D" w:rsidP="005B2B36">
      <w:r w:rsidRPr="008D1A55">
        <w:t xml:space="preserve">The primary efficacy outcome was the proportion of patients achieving a reduction from </w:t>
      </w:r>
      <w:r w:rsidR="00CA1444" w:rsidRPr="008D1A55">
        <w:t>Baseline</w:t>
      </w:r>
      <w:r w:rsidRPr="008D1A55">
        <w:t xml:space="preserve"> in overall disease activity as measured by </w:t>
      </w:r>
      <w:proofErr w:type="gramStart"/>
      <w:r w:rsidRPr="008D1A55">
        <w:t>SRI(</w:t>
      </w:r>
      <w:proofErr w:type="gramEnd"/>
      <w:r w:rsidRPr="008D1A55">
        <w:t>4) at Week 52 defined as:</w:t>
      </w:r>
    </w:p>
    <w:p w14:paraId="08693F71" w14:textId="57542224" w:rsidR="00C7364D" w:rsidRPr="008D1A55" w:rsidRDefault="00547637" w:rsidP="005B2B36">
      <w:pPr>
        <w:pStyle w:val="ListBullet"/>
      </w:pPr>
      <w:r w:rsidRPr="008D1A55">
        <w:t>r</w:t>
      </w:r>
      <w:r w:rsidR="00C7364D" w:rsidRPr="008D1A55">
        <w:t xml:space="preserve">eduction from </w:t>
      </w:r>
      <w:r w:rsidR="00CA1444" w:rsidRPr="008D1A55">
        <w:t>Baseline</w:t>
      </w:r>
      <w:r w:rsidR="00C7364D" w:rsidRPr="008D1A55">
        <w:t xml:space="preserve"> of </w:t>
      </w:r>
      <w:r w:rsidRPr="008D1A55">
        <w:t xml:space="preserve">at least </w:t>
      </w:r>
      <w:r w:rsidR="00C7364D" w:rsidRPr="008D1A55">
        <w:t>4 points in the SLEDAI-2K; and</w:t>
      </w:r>
    </w:p>
    <w:p w14:paraId="48B39051" w14:textId="1ED12C93" w:rsidR="00C7364D" w:rsidRPr="008D1A55" w:rsidRDefault="00547637" w:rsidP="005B2B36">
      <w:pPr>
        <w:pStyle w:val="ListBullet"/>
      </w:pPr>
      <w:r w:rsidRPr="008D1A55">
        <w:t xml:space="preserve">no </w:t>
      </w:r>
      <w:r w:rsidR="00C7364D" w:rsidRPr="008D1A55">
        <w:t xml:space="preserve">new organ system affected as defined by </w:t>
      </w:r>
      <w:r w:rsidR="00DA5A08" w:rsidRPr="008D1A55">
        <w:t>one</w:t>
      </w:r>
      <w:r w:rsidR="00C7364D" w:rsidRPr="008D1A55">
        <w:t xml:space="preserve"> or more BILAG-2004 A or 2 or more BILAG-2004 B items compared to </w:t>
      </w:r>
      <w:r w:rsidR="00CA1444" w:rsidRPr="008D1A55">
        <w:t>Baseline</w:t>
      </w:r>
      <w:r w:rsidR="00C7364D" w:rsidRPr="008D1A55">
        <w:t xml:space="preserve"> using BILAG-2004; and</w:t>
      </w:r>
    </w:p>
    <w:p w14:paraId="2BB44B18" w14:textId="606EB225" w:rsidR="00C7364D" w:rsidRPr="008D1A55" w:rsidRDefault="00547637" w:rsidP="005B2B36">
      <w:pPr>
        <w:pStyle w:val="ListBullet"/>
      </w:pPr>
      <w:r w:rsidRPr="008D1A55">
        <w:t xml:space="preserve">no </w:t>
      </w:r>
      <w:r w:rsidR="00C7364D" w:rsidRPr="008D1A55">
        <w:t xml:space="preserve">worsening from </w:t>
      </w:r>
      <w:r w:rsidR="00CA1444" w:rsidRPr="008D1A55">
        <w:t>Baseline</w:t>
      </w:r>
      <w:r w:rsidR="00C7364D" w:rsidRPr="008D1A55">
        <w:t xml:space="preserve"> in the patients’ lupus disease activity defined by an increase </w:t>
      </w:r>
      <w:r w:rsidR="00DA5A08" w:rsidRPr="008D1A55">
        <w:t xml:space="preserve">of </w:t>
      </w:r>
      <w:r w:rsidR="00C7364D" w:rsidRPr="008D1A55">
        <w:t>0.30 points</w:t>
      </w:r>
      <w:r w:rsidR="00DA5A08" w:rsidRPr="008D1A55">
        <w:t xml:space="preserve"> or more</w:t>
      </w:r>
      <w:r w:rsidR="00C7364D" w:rsidRPr="008D1A55">
        <w:t xml:space="preserve"> on a 3-point PGA VAS; and</w:t>
      </w:r>
    </w:p>
    <w:p w14:paraId="3EB19F20" w14:textId="76C7998D" w:rsidR="00C7364D" w:rsidRPr="008D1A55" w:rsidRDefault="00547637" w:rsidP="005B2B36">
      <w:pPr>
        <w:pStyle w:val="ListBullet"/>
      </w:pPr>
      <w:r w:rsidRPr="008D1A55">
        <w:t xml:space="preserve">no </w:t>
      </w:r>
      <w:r w:rsidR="00C7364D" w:rsidRPr="008D1A55">
        <w:t xml:space="preserve">discontinuation of </w:t>
      </w:r>
      <w:r w:rsidR="00135A47" w:rsidRPr="008D1A55">
        <w:t xml:space="preserve">the </w:t>
      </w:r>
      <w:r w:rsidR="00C7364D" w:rsidRPr="008D1A55">
        <w:t>IP or use of restricted medications beyond the protocol</w:t>
      </w:r>
      <w:r w:rsidR="00DA5A08" w:rsidRPr="008D1A55">
        <w:t xml:space="preserve"> </w:t>
      </w:r>
      <w:r w:rsidR="00C7364D" w:rsidRPr="008D1A55">
        <w:t>allowed threshold before assessment</w:t>
      </w:r>
      <w:r w:rsidRPr="008D1A55">
        <w:t>.</w:t>
      </w:r>
    </w:p>
    <w:p w14:paraId="3F326C70" w14:textId="60AE7577" w:rsidR="00C7364D" w:rsidRDefault="00C7364D" w:rsidP="005B2B36">
      <w:r w:rsidRPr="008D1A55">
        <w:t>The secondary and other efficacy outcomes were similar as for Study D3461C00004</w:t>
      </w:r>
      <w:r w:rsidR="00914173">
        <w:t>.</w:t>
      </w:r>
    </w:p>
    <w:p w14:paraId="1FDD3312" w14:textId="77777777" w:rsidR="00914173" w:rsidRPr="008D1A55" w:rsidRDefault="00914173" w:rsidP="005B2B36"/>
    <w:p w14:paraId="0C76C80D" w14:textId="6C878413" w:rsidR="00C7364D" w:rsidRPr="008D1A55" w:rsidRDefault="00720FF5" w:rsidP="00DA5A08">
      <w:pPr>
        <w:pStyle w:val="TableTitle"/>
      </w:pPr>
      <w:bookmarkStart w:id="65" w:name="_Toc83112044"/>
      <w:r w:rsidRPr="008D1A55">
        <w:lastRenderedPageBreak/>
        <w:t xml:space="preserve">Table </w:t>
      </w:r>
      <w:r w:rsidR="005675A0">
        <w:fldChar w:fldCharType="begin"/>
      </w:r>
      <w:r w:rsidR="005675A0">
        <w:instrText xml:space="preserve"> SEQ Table \* ARABIC </w:instrText>
      </w:r>
      <w:r w:rsidR="005675A0">
        <w:fldChar w:fldCharType="separate"/>
      </w:r>
      <w:r w:rsidR="00D8723A">
        <w:rPr>
          <w:noProof/>
        </w:rPr>
        <w:t>8</w:t>
      </w:r>
      <w:r w:rsidR="005675A0">
        <w:rPr>
          <w:noProof/>
        </w:rPr>
        <w:fldChar w:fldCharType="end"/>
      </w:r>
      <w:r w:rsidRPr="008D1A55">
        <w:t xml:space="preserve">: </w:t>
      </w:r>
      <w:r w:rsidR="00C7364D" w:rsidRPr="008D1A55">
        <w:t xml:space="preserve">Study </w:t>
      </w:r>
      <w:r w:rsidR="007D0024" w:rsidRPr="008D1A55">
        <w:t>D3461C00005</w:t>
      </w:r>
      <w:r w:rsidR="00C7364D" w:rsidRPr="008D1A55">
        <w:t xml:space="preserve"> Subject disposition (</w:t>
      </w:r>
      <w:r w:rsidR="00DA5A08" w:rsidRPr="008D1A55">
        <w:t>a</w:t>
      </w:r>
      <w:r w:rsidR="00C7364D" w:rsidRPr="008D1A55">
        <w:t>ll subjects)</w:t>
      </w:r>
      <w:bookmarkEnd w:id="65"/>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22"/>
        <w:gridCol w:w="1276"/>
        <w:gridCol w:w="1276"/>
        <w:gridCol w:w="993"/>
        <w:gridCol w:w="993"/>
      </w:tblGrid>
      <w:tr w:rsidR="00C7364D" w:rsidRPr="008D1A55" w14:paraId="52300F68" w14:textId="77777777" w:rsidTr="00DA5A08">
        <w:trPr>
          <w:trHeight w:val="482"/>
          <w:tblHeader/>
          <w:jc w:val="center"/>
        </w:trPr>
        <w:tc>
          <w:tcPr>
            <w:tcW w:w="2286" w:type="pct"/>
            <w:vMerge w:val="restart"/>
            <w:shd w:val="clear" w:color="auto" w:fill="006DA7"/>
          </w:tcPr>
          <w:p w14:paraId="43E55983" w14:textId="77777777" w:rsidR="00C7364D" w:rsidRPr="008D1A55" w:rsidRDefault="00C7364D" w:rsidP="00DA5A08">
            <w:pPr>
              <w:pStyle w:val="Tabletext"/>
              <w:rPr>
                <w:color w:val="FFFFFF" w:themeColor="background1"/>
              </w:rPr>
            </w:pPr>
          </w:p>
        </w:tc>
        <w:tc>
          <w:tcPr>
            <w:tcW w:w="2714" w:type="pct"/>
            <w:gridSpan w:val="4"/>
            <w:shd w:val="clear" w:color="auto" w:fill="006DA7"/>
            <w:vAlign w:val="center"/>
          </w:tcPr>
          <w:p w14:paraId="50A7D8AC" w14:textId="77777777" w:rsidR="00C7364D" w:rsidRPr="008D1A55" w:rsidRDefault="00C7364D" w:rsidP="00DA5A08">
            <w:pPr>
              <w:pStyle w:val="Tabletext"/>
              <w:rPr>
                <w:b/>
                <w:bCs/>
                <w:color w:val="FFFFFF" w:themeColor="background1"/>
                <w:spacing w:val="-1"/>
              </w:rPr>
            </w:pPr>
            <w:r w:rsidRPr="008D1A55">
              <w:rPr>
                <w:b/>
                <w:bCs/>
                <w:color w:val="FFFFFF" w:themeColor="background1"/>
                <w:spacing w:val="-1"/>
              </w:rPr>
              <w:t>Numbe</w:t>
            </w:r>
            <w:r w:rsidRPr="008D1A55">
              <w:rPr>
                <w:b/>
                <w:bCs/>
                <w:color w:val="FFFFFF" w:themeColor="background1"/>
              </w:rPr>
              <w:t>r</w:t>
            </w:r>
            <w:r w:rsidRPr="008D1A55">
              <w:rPr>
                <w:b/>
                <w:bCs/>
                <w:color w:val="FFFFFF" w:themeColor="background1"/>
                <w:spacing w:val="-1"/>
              </w:rPr>
              <w:t xml:space="preserve"> (%</w:t>
            </w:r>
            <w:r w:rsidRPr="008D1A55">
              <w:rPr>
                <w:b/>
                <w:bCs/>
                <w:color w:val="FFFFFF" w:themeColor="background1"/>
              </w:rPr>
              <w:t>)</w:t>
            </w:r>
            <w:r w:rsidRPr="008D1A55">
              <w:rPr>
                <w:b/>
                <w:bCs/>
                <w:color w:val="FFFFFF" w:themeColor="background1"/>
                <w:spacing w:val="-1"/>
              </w:rPr>
              <w:t xml:space="preserve"> o</w:t>
            </w:r>
            <w:r w:rsidRPr="008D1A55">
              <w:rPr>
                <w:b/>
                <w:bCs/>
                <w:color w:val="FFFFFF" w:themeColor="background1"/>
              </w:rPr>
              <w:t>f</w:t>
            </w:r>
            <w:r w:rsidRPr="008D1A55">
              <w:rPr>
                <w:b/>
                <w:bCs/>
                <w:color w:val="FFFFFF" w:themeColor="background1"/>
                <w:spacing w:val="-1"/>
              </w:rPr>
              <w:t xml:space="preserve"> subjects</w:t>
            </w:r>
          </w:p>
        </w:tc>
      </w:tr>
      <w:tr w:rsidR="00DA5A08" w:rsidRPr="008D1A55" w14:paraId="4FC2B092" w14:textId="77777777" w:rsidTr="00DA5A08">
        <w:trPr>
          <w:trHeight w:val="482"/>
          <w:tblHeader/>
          <w:jc w:val="center"/>
        </w:trPr>
        <w:tc>
          <w:tcPr>
            <w:tcW w:w="2286" w:type="pct"/>
            <w:vMerge/>
            <w:shd w:val="clear" w:color="auto" w:fill="006DA7"/>
          </w:tcPr>
          <w:p w14:paraId="18CBE937" w14:textId="77777777" w:rsidR="00C7364D" w:rsidRPr="008D1A55" w:rsidRDefault="00C7364D" w:rsidP="00DA5A08">
            <w:pPr>
              <w:pStyle w:val="Tabletext"/>
              <w:rPr>
                <w:color w:val="FFFFFF" w:themeColor="background1"/>
              </w:rPr>
            </w:pPr>
          </w:p>
        </w:tc>
        <w:tc>
          <w:tcPr>
            <w:tcW w:w="763" w:type="pct"/>
            <w:shd w:val="clear" w:color="auto" w:fill="006DA7"/>
            <w:vAlign w:val="center"/>
          </w:tcPr>
          <w:p w14:paraId="61BEB40D" w14:textId="77777777" w:rsidR="00C7364D" w:rsidRPr="008D1A55" w:rsidRDefault="00C7364D" w:rsidP="00DA5A08">
            <w:pPr>
              <w:pStyle w:val="Tabletext"/>
              <w:rPr>
                <w:b/>
                <w:bCs/>
                <w:color w:val="FFFFFF" w:themeColor="background1"/>
                <w:spacing w:val="-2"/>
              </w:rPr>
            </w:pPr>
            <w:proofErr w:type="spellStart"/>
            <w:r w:rsidRPr="008D1A55">
              <w:rPr>
                <w:b/>
                <w:bCs/>
                <w:color w:val="FFFFFF" w:themeColor="background1"/>
                <w:spacing w:val="-1"/>
              </w:rPr>
              <w:t>Anifroluma</w:t>
            </w:r>
            <w:r w:rsidRPr="008D1A55">
              <w:rPr>
                <w:b/>
                <w:bCs/>
                <w:color w:val="FFFFFF" w:themeColor="background1"/>
              </w:rPr>
              <w:t>b</w:t>
            </w:r>
            <w:proofErr w:type="spellEnd"/>
          </w:p>
          <w:p w14:paraId="6C0E4517" w14:textId="3A20D950" w:rsidR="00C7364D" w:rsidRPr="008D1A55" w:rsidRDefault="00C7364D" w:rsidP="00DA5A08">
            <w:pPr>
              <w:pStyle w:val="Tabletext"/>
              <w:rPr>
                <w:color w:val="FFFFFF" w:themeColor="background1"/>
              </w:rPr>
            </w:pPr>
            <w:r w:rsidRPr="008D1A55">
              <w:rPr>
                <w:b/>
                <w:bCs/>
                <w:color w:val="FFFFFF" w:themeColor="background1"/>
                <w:spacing w:val="-1"/>
              </w:rPr>
              <w:t>150</w:t>
            </w:r>
            <w:r w:rsidR="00DA5A08" w:rsidRPr="008D1A55">
              <w:rPr>
                <w:b/>
                <w:bCs/>
                <w:color w:val="FFFFFF" w:themeColor="background1"/>
                <w:spacing w:val="-1"/>
              </w:rPr>
              <w:t xml:space="preserve"> </w:t>
            </w:r>
            <w:r w:rsidRPr="008D1A55">
              <w:rPr>
                <w:b/>
                <w:bCs/>
                <w:color w:val="FFFFFF" w:themeColor="background1"/>
                <w:spacing w:val="-1"/>
              </w:rPr>
              <w:t>mg</w:t>
            </w:r>
          </w:p>
        </w:tc>
        <w:tc>
          <w:tcPr>
            <w:tcW w:w="763" w:type="pct"/>
            <w:shd w:val="clear" w:color="auto" w:fill="006DA7"/>
            <w:vAlign w:val="center"/>
          </w:tcPr>
          <w:p w14:paraId="7A7D728C" w14:textId="77777777" w:rsidR="00C7364D" w:rsidRPr="008D1A55" w:rsidRDefault="00C7364D" w:rsidP="00DA5A08">
            <w:pPr>
              <w:pStyle w:val="Tabletext"/>
              <w:rPr>
                <w:b/>
                <w:bCs/>
                <w:color w:val="FFFFFF" w:themeColor="background1"/>
              </w:rPr>
            </w:pPr>
            <w:proofErr w:type="spellStart"/>
            <w:r w:rsidRPr="008D1A55">
              <w:rPr>
                <w:b/>
                <w:bCs/>
                <w:color w:val="FFFFFF" w:themeColor="background1"/>
                <w:spacing w:val="-1"/>
              </w:rPr>
              <w:t>Anifroluma</w:t>
            </w:r>
            <w:r w:rsidRPr="008D1A55">
              <w:rPr>
                <w:b/>
                <w:bCs/>
                <w:color w:val="FFFFFF" w:themeColor="background1"/>
              </w:rPr>
              <w:t>b</w:t>
            </w:r>
            <w:proofErr w:type="spellEnd"/>
          </w:p>
          <w:p w14:paraId="39A053FB" w14:textId="193D9BCB" w:rsidR="00C7364D" w:rsidRPr="008D1A55" w:rsidRDefault="00C7364D" w:rsidP="00DA5A08">
            <w:pPr>
              <w:pStyle w:val="Tabletext"/>
              <w:rPr>
                <w:color w:val="FFFFFF" w:themeColor="background1"/>
              </w:rPr>
            </w:pPr>
            <w:r w:rsidRPr="008D1A55">
              <w:rPr>
                <w:b/>
                <w:bCs/>
                <w:color w:val="FFFFFF" w:themeColor="background1"/>
                <w:spacing w:val="-1"/>
              </w:rPr>
              <w:t>300</w:t>
            </w:r>
            <w:r w:rsidR="00DA5A08" w:rsidRPr="008D1A55">
              <w:rPr>
                <w:b/>
                <w:bCs/>
                <w:color w:val="FFFFFF" w:themeColor="background1"/>
                <w:spacing w:val="-1"/>
              </w:rPr>
              <w:t xml:space="preserve"> </w:t>
            </w:r>
            <w:r w:rsidRPr="008D1A55">
              <w:rPr>
                <w:b/>
                <w:bCs/>
                <w:color w:val="FFFFFF" w:themeColor="background1"/>
                <w:spacing w:val="-1"/>
              </w:rPr>
              <w:t>m</w:t>
            </w:r>
            <w:r w:rsidRPr="008D1A55">
              <w:rPr>
                <w:b/>
                <w:bCs/>
                <w:color w:val="FFFFFF" w:themeColor="background1"/>
              </w:rPr>
              <w:t>g</w:t>
            </w:r>
          </w:p>
        </w:tc>
        <w:tc>
          <w:tcPr>
            <w:tcW w:w="594" w:type="pct"/>
            <w:shd w:val="clear" w:color="auto" w:fill="006DA7"/>
            <w:vAlign w:val="center"/>
          </w:tcPr>
          <w:p w14:paraId="56C2860B" w14:textId="77777777" w:rsidR="00C7364D" w:rsidRPr="008D1A55" w:rsidRDefault="00C7364D" w:rsidP="00DA5A08">
            <w:pPr>
              <w:pStyle w:val="Tabletext"/>
              <w:rPr>
                <w:color w:val="FFFFFF" w:themeColor="background1"/>
              </w:rPr>
            </w:pPr>
            <w:r w:rsidRPr="008D1A55">
              <w:rPr>
                <w:b/>
                <w:bCs/>
                <w:color w:val="FFFFFF" w:themeColor="background1"/>
              </w:rPr>
              <w:t>Placebo</w:t>
            </w:r>
          </w:p>
        </w:tc>
        <w:tc>
          <w:tcPr>
            <w:tcW w:w="594" w:type="pct"/>
            <w:shd w:val="clear" w:color="auto" w:fill="006DA7"/>
            <w:vAlign w:val="center"/>
          </w:tcPr>
          <w:p w14:paraId="7F9D473B" w14:textId="77777777" w:rsidR="00C7364D" w:rsidRPr="008D1A55" w:rsidRDefault="00C7364D" w:rsidP="00DA5A08">
            <w:pPr>
              <w:pStyle w:val="Tabletext"/>
              <w:rPr>
                <w:color w:val="FFFFFF" w:themeColor="background1"/>
              </w:rPr>
            </w:pPr>
            <w:r w:rsidRPr="008D1A55">
              <w:rPr>
                <w:b/>
                <w:bCs/>
                <w:color w:val="FFFFFF" w:themeColor="background1"/>
                <w:spacing w:val="-1"/>
              </w:rPr>
              <w:t>Total</w:t>
            </w:r>
          </w:p>
        </w:tc>
      </w:tr>
      <w:tr w:rsidR="00C7364D" w:rsidRPr="008D1A55" w14:paraId="3227F98B" w14:textId="77777777" w:rsidTr="00DA5A08">
        <w:trPr>
          <w:trHeight w:val="482"/>
          <w:jc w:val="center"/>
        </w:trPr>
        <w:tc>
          <w:tcPr>
            <w:tcW w:w="2286" w:type="pct"/>
            <w:vAlign w:val="center"/>
          </w:tcPr>
          <w:p w14:paraId="7AFCC0E7" w14:textId="3C257DE4" w:rsidR="00C7364D" w:rsidRPr="008D1A55" w:rsidRDefault="00C7364D" w:rsidP="00DA5A08">
            <w:pPr>
              <w:pStyle w:val="Tabletext"/>
              <w:rPr>
                <w:b/>
                <w:bCs/>
              </w:rPr>
            </w:pPr>
            <w:r w:rsidRPr="008D1A55">
              <w:rPr>
                <w:b/>
                <w:bCs/>
              </w:rPr>
              <w:t xml:space="preserve">Subjects </w:t>
            </w:r>
            <w:r w:rsidR="00640279" w:rsidRPr="008D1A55">
              <w:rPr>
                <w:b/>
                <w:bCs/>
              </w:rPr>
              <w:t>enrolled;</w:t>
            </w:r>
            <w:r w:rsidR="00640279" w:rsidRPr="008D1A55">
              <w:rPr>
                <w:b/>
                <w:bCs/>
                <w:vertAlign w:val="superscript"/>
              </w:rPr>
              <w:t xml:space="preserve"> a</w:t>
            </w:r>
          </w:p>
        </w:tc>
        <w:tc>
          <w:tcPr>
            <w:tcW w:w="763" w:type="pct"/>
            <w:vAlign w:val="center"/>
          </w:tcPr>
          <w:p w14:paraId="4D816563" w14:textId="77777777" w:rsidR="00C7364D" w:rsidRPr="008D1A55" w:rsidRDefault="00C7364D" w:rsidP="00DA5A08">
            <w:pPr>
              <w:pStyle w:val="Tabletext"/>
            </w:pPr>
          </w:p>
        </w:tc>
        <w:tc>
          <w:tcPr>
            <w:tcW w:w="763" w:type="pct"/>
            <w:vAlign w:val="center"/>
          </w:tcPr>
          <w:p w14:paraId="781B7063" w14:textId="77777777" w:rsidR="00C7364D" w:rsidRPr="008D1A55" w:rsidRDefault="00C7364D" w:rsidP="00DA5A08">
            <w:pPr>
              <w:pStyle w:val="Tabletext"/>
            </w:pPr>
          </w:p>
        </w:tc>
        <w:tc>
          <w:tcPr>
            <w:tcW w:w="594" w:type="pct"/>
            <w:vAlign w:val="center"/>
          </w:tcPr>
          <w:p w14:paraId="4FB3759B" w14:textId="77777777" w:rsidR="00C7364D" w:rsidRPr="008D1A55" w:rsidRDefault="00C7364D" w:rsidP="00DA5A08">
            <w:pPr>
              <w:pStyle w:val="Tabletext"/>
            </w:pPr>
          </w:p>
        </w:tc>
        <w:tc>
          <w:tcPr>
            <w:tcW w:w="594" w:type="pct"/>
            <w:vAlign w:val="center"/>
          </w:tcPr>
          <w:p w14:paraId="32B3AE06" w14:textId="77777777" w:rsidR="00C7364D" w:rsidRPr="008D1A55" w:rsidRDefault="00C7364D" w:rsidP="00DA5A08">
            <w:pPr>
              <w:pStyle w:val="Tabletext"/>
            </w:pPr>
            <w:r w:rsidRPr="008D1A55">
              <w:t>847</w:t>
            </w:r>
          </w:p>
        </w:tc>
      </w:tr>
      <w:tr w:rsidR="00C7364D" w:rsidRPr="008D1A55" w14:paraId="6F0665FE" w14:textId="77777777" w:rsidTr="00DA5A08">
        <w:trPr>
          <w:trHeight w:val="482"/>
          <w:jc w:val="center"/>
        </w:trPr>
        <w:tc>
          <w:tcPr>
            <w:tcW w:w="2286" w:type="pct"/>
            <w:vAlign w:val="center"/>
          </w:tcPr>
          <w:p w14:paraId="429D0969" w14:textId="132876B3" w:rsidR="00C7364D" w:rsidRPr="008D1A55" w:rsidRDefault="00C7364D" w:rsidP="00DA5A08">
            <w:pPr>
              <w:pStyle w:val="Tabletext"/>
              <w:rPr>
                <w:b/>
                <w:bCs/>
              </w:rPr>
            </w:pPr>
            <w:r w:rsidRPr="008D1A55">
              <w:rPr>
                <w:b/>
                <w:bCs/>
              </w:rPr>
              <w:t xml:space="preserve">Subjects </w:t>
            </w:r>
            <w:proofErr w:type="spellStart"/>
            <w:proofErr w:type="gramStart"/>
            <w:r w:rsidRPr="008D1A55">
              <w:rPr>
                <w:b/>
                <w:bCs/>
              </w:rPr>
              <w:t>randomised</w:t>
            </w:r>
            <w:r w:rsidR="00DA5A08" w:rsidRPr="008D1A55">
              <w:rPr>
                <w:b/>
                <w:bCs/>
              </w:rPr>
              <w:t>;</w:t>
            </w:r>
            <w:r w:rsidRPr="008D1A55">
              <w:rPr>
                <w:b/>
                <w:bCs/>
                <w:vertAlign w:val="superscript"/>
              </w:rPr>
              <w:t>b</w:t>
            </w:r>
            <w:proofErr w:type="spellEnd"/>
            <w:proofErr w:type="gramEnd"/>
          </w:p>
        </w:tc>
        <w:tc>
          <w:tcPr>
            <w:tcW w:w="763" w:type="pct"/>
            <w:vAlign w:val="center"/>
          </w:tcPr>
          <w:p w14:paraId="1D7ED8AA" w14:textId="77777777" w:rsidR="00C7364D" w:rsidRPr="008D1A55" w:rsidRDefault="00C7364D" w:rsidP="00DA5A08">
            <w:pPr>
              <w:pStyle w:val="Tabletext"/>
            </w:pPr>
            <w:r w:rsidRPr="008D1A55">
              <w:t>93</w:t>
            </w:r>
          </w:p>
        </w:tc>
        <w:tc>
          <w:tcPr>
            <w:tcW w:w="763" w:type="pct"/>
            <w:vAlign w:val="center"/>
          </w:tcPr>
          <w:p w14:paraId="264AAB3B" w14:textId="77777777" w:rsidR="00C7364D" w:rsidRPr="008D1A55" w:rsidRDefault="00C7364D" w:rsidP="00DA5A08">
            <w:pPr>
              <w:pStyle w:val="Tabletext"/>
            </w:pPr>
            <w:r w:rsidRPr="008D1A55">
              <w:t>180</w:t>
            </w:r>
          </w:p>
        </w:tc>
        <w:tc>
          <w:tcPr>
            <w:tcW w:w="594" w:type="pct"/>
            <w:vAlign w:val="center"/>
          </w:tcPr>
          <w:p w14:paraId="1997B620" w14:textId="77777777" w:rsidR="00C7364D" w:rsidRPr="008D1A55" w:rsidRDefault="00C7364D" w:rsidP="00DA5A08">
            <w:pPr>
              <w:pStyle w:val="Tabletext"/>
            </w:pPr>
            <w:r w:rsidRPr="008D1A55">
              <w:t>184</w:t>
            </w:r>
          </w:p>
        </w:tc>
        <w:tc>
          <w:tcPr>
            <w:tcW w:w="594" w:type="pct"/>
            <w:vAlign w:val="center"/>
          </w:tcPr>
          <w:p w14:paraId="6C32AC3C" w14:textId="77777777" w:rsidR="00C7364D" w:rsidRPr="008D1A55" w:rsidRDefault="00C7364D" w:rsidP="00DA5A08">
            <w:pPr>
              <w:pStyle w:val="Tabletext"/>
            </w:pPr>
            <w:r w:rsidRPr="008D1A55">
              <w:t>457 (54.0)</w:t>
            </w:r>
          </w:p>
        </w:tc>
      </w:tr>
      <w:tr w:rsidR="00C7364D" w:rsidRPr="008D1A55" w14:paraId="50916060" w14:textId="77777777" w:rsidTr="00DA5A08">
        <w:trPr>
          <w:trHeight w:val="482"/>
          <w:jc w:val="center"/>
        </w:trPr>
        <w:tc>
          <w:tcPr>
            <w:tcW w:w="2286" w:type="pct"/>
            <w:vAlign w:val="center"/>
          </w:tcPr>
          <w:p w14:paraId="6383A633" w14:textId="77777777" w:rsidR="00C7364D" w:rsidRPr="008D1A55" w:rsidRDefault="00C7364D" w:rsidP="00DA5A08">
            <w:pPr>
              <w:pStyle w:val="Tabletext"/>
              <w:rPr>
                <w:b/>
                <w:bCs/>
              </w:rPr>
            </w:pPr>
            <w:r w:rsidRPr="008D1A55">
              <w:rPr>
                <w:b/>
                <w:bCs/>
              </w:rPr>
              <w:t>Subjects in the full analysis set</w:t>
            </w:r>
          </w:p>
        </w:tc>
        <w:tc>
          <w:tcPr>
            <w:tcW w:w="763" w:type="pct"/>
            <w:vAlign w:val="center"/>
          </w:tcPr>
          <w:p w14:paraId="4C8BE624" w14:textId="77777777" w:rsidR="00C7364D" w:rsidRPr="008D1A55" w:rsidRDefault="00C7364D" w:rsidP="00DA5A08">
            <w:pPr>
              <w:pStyle w:val="Tabletext"/>
            </w:pPr>
            <w:r w:rsidRPr="008D1A55">
              <w:t>93</w:t>
            </w:r>
          </w:p>
        </w:tc>
        <w:tc>
          <w:tcPr>
            <w:tcW w:w="763" w:type="pct"/>
            <w:vAlign w:val="center"/>
          </w:tcPr>
          <w:p w14:paraId="2E08D755" w14:textId="77777777" w:rsidR="00C7364D" w:rsidRPr="008D1A55" w:rsidRDefault="00C7364D" w:rsidP="00DA5A08">
            <w:pPr>
              <w:pStyle w:val="Tabletext"/>
            </w:pPr>
            <w:r w:rsidRPr="008D1A55">
              <w:t>180</w:t>
            </w:r>
          </w:p>
        </w:tc>
        <w:tc>
          <w:tcPr>
            <w:tcW w:w="594" w:type="pct"/>
            <w:vAlign w:val="center"/>
          </w:tcPr>
          <w:p w14:paraId="2439B312" w14:textId="77777777" w:rsidR="00C7364D" w:rsidRPr="008D1A55" w:rsidRDefault="00C7364D" w:rsidP="00DA5A08">
            <w:pPr>
              <w:pStyle w:val="Tabletext"/>
            </w:pPr>
            <w:r w:rsidRPr="008D1A55">
              <w:t>184</w:t>
            </w:r>
          </w:p>
        </w:tc>
        <w:tc>
          <w:tcPr>
            <w:tcW w:w="594" w:type="pct"/>
            <w:vAlign w:val="center"/>
          </w:tcPr>
          <w:p w14:paraId="54976F30" w14:textId="77777777" w:rsidR="00C7364D" w:rsidRPr="008D1A55" w:rsidRDefault="00C7364D" w:rsidP="00DA5A08">
            <w:pPr>
              <w:pStyle w:val="Tabletext"/>
            </w:pPr>
            <w:r w:rsidRPr="008D1A55">
              <w:t>457</w:t>
            </w:r>
          </w:p>
        </w:tc>
      </w:tr>
      <w:tr w:rsidR="00C7364D" w:rsidRPr="008D1A55" w14:paraId="2F1341B5" w14:textId="77777777" w:rsidTr="00DA5A08">
        <w:trPr>
          <w:trHeight w:val="482"/>
          <w:jc w:val="center"/>
        </w:trPr>
        <w:tc>
          <w:tcPr>
            <w:tcW w:w="2286" w:type="pct"/>
            <w:vAlign w:val="center"/>
          </w:tcPr>
          <w:p w14:paraId="742B17D7" w14:textId="77777777" w:rsidR="00C7364D" w:rsidRPr="008D1A55" w:rsidRDefault="00C7364D" w:rsidP="00DA5A08">
            <w:pPr>
              <w:pStyle w:val="Tabletext"/>
              <w:rPr>
                <w:b/>
                <w:bCs/>
              </w:rPr>
            </w:pPr>
            <w:r w:rsidRPr="008D1A55">
              <w:rPr>
                <w:b/>
                <w:bCs/>
              </w:rPr>
              <w:t>Subjects who completed the study</w:t>
            </w:r>
          </w:p>
        </w:tc>
        <w:tc>
          <w:tcPr>
            <w:tcW w:w="763" w:type="pct"/>
            <w:vAlign w:val="center"/>
          </w:tcPr>
          <w:p w14:paraId="343E928F" w14:textId="77777777" w:rsidR="00C7364D" w:rsidRPr="008D1A55" w:rsidRDefault="00C7364D" w:rsidP="00DA5A08">
            <w:pPr>
              <w:pStyle w:val="Tabletext"/>
            </w:pPr>
            <w:r w:rsidRPr="008D1A55">
              <w:t>74 (79.6)</w:t>
            </w:r>
          </w:p>
        </w:tc>
        <w:tc>
          <w:tcPr>
            <w:tcW w:w="763" w:type="pct"/>
            <w:vAlign w:val="center"/>
          </w:tcPr>
          <w:p w14:paraId="5F8950BD" w14:textId="77777777" w:rsidR="00C7364D" w:rsidRPr="008D1A55" w:rsidRDefault="00C7364D" w:rsidP="00DA5A08">
            <w:pPr>
              <w:pStyle w:val="Tabletext"/>
            </w:pPr>
            <w:r w:rsidRPr="008D1A55">
              <w:t>145 (80.6)</w:t>
            </w:r>
          </w:p>
        </w:tc>
        <w:tc>
          <w:tcPr>
            <w:tcW w:w="594" w:type="pct"/>
            <w:vAlign w:val="center"/>
          </w:tcPr>
          <w:p w14:paraId="31EB45DE" w14:textId="77777777" w:rsidR="00C7364D" w:rsidRPr="008D1A55" w:rsidRDefault="00C7364D" w:rsidP="00DA5A08">
            <w:pPr>
              <w:pStyle w:val="Tabletext"/>
            </w:pPr>
            <w:r w:rsidRPr="008D1A55">
              <w:t>144 (78.3)</w:t>
            </w:r>
          </w:p>
        </w:tc>
        <w:tc>
          <w:tcPr>
            <w:tcW w:w="594" w:type="pct"/>
            <w:vAlign w:val="center"/>
          </w:tcPr>
          <w:p w14:paraId="29E41C02" w14:textId="77777777" w:rsidR="00C7364D" w:rsidRPr="008D1A55" w:rsidRDefault="00C7364D" w:rsidP="00DA5A08">
            <w:pPr>
              <w:pStyle w:val="Tabletext"/>
            </w:pPr>
            <w:r w:rsidRPr="008D1A55">
              <w:t>363 (79.4)</w:t>
            </w:r>
          </w:p>
        </w:tc>
      </w:tr>
      <w:tr w:rsidR="00C7364D" w:rsidRPr="008D1A55" w14:paraId="3BE405A7" w14:textId="77777777" w:rsidTr="00DA5A08">
        <w:trPr>
          <w:trHeight w:val="482"/>
          <w:jc w:val="center"/>
        </w:trPr>
        <w:tc>
          <w:tcPr>
            <w:tcW w:w="2286" w:type="pct"/>
            <w:vAlign w:val="center"/>
          </w:tcPr>
          <w:p w14:paraId="10CC9373" w14:textId="77777777" w:rsidR="00C7364D" w:rsidRPr="008D1A55" w:rsidRDefault="00C7364D" w:rsidP="00DA5A08">
            <w:pPr>
              <w:pStyle w:val="Tabletext"/>
              <w:rPr>
                <w:b/>
                <w:bCs/>
              </w:rPr>
            </w:pPr>
            <w:r w:rsidRPr="008D1A55">
              <w:rPr>
                <w:b/>
                <w:bCs/>
              </w:rPr>
              <w:t>Subjects withdrawn from the study</w:t>
            </w:r>
          </w:p>
        </w:tc>
        <w:tc>
          <w:tcPr>
            <w:tcW w:w="763" w:type="pct"/>
            <w:vAlign w:val="center"/>
          </w:tcPr>
          <w:p w14:paraId="13415C53" w14:textId="77777777" w:rsidR="00C7364D" w:rsidRPr="008D1A55" w:rsidRDefault="00C7364D" w:rsidP="00DA5A08">
            <w:pPr>
              <w:pStyle w:val="Tabletext"/>
            </w:pPr>
            <w:r w:rsidRPr="008D1A55">
              <w:t>17 (18.3)</w:t>
            </w:r>
          </w:p>
        </w:tc>
        <w:tc>
          <w:tcPr>
            <w:tcW w:w="763" w:type="pct"/>
            <w:vAlign w:val="center"/>
          </w:tcPr>
          <w:p w14:paraId="4D7FA2CF" w14:textId="77777777" w:rsidR="00C7364D" w:rsidRPr="008D1A55" w:rsidRDefault="00C7364D" w:rsidP="00DA5A08">
            <w:pPr>
              <w:pStyle w:val="Tabletext"/>
            </w:pPr>
            <w:r w:rsidRPr="008D1A55">
              <w:t>34 (18.9)</w:t>
            </w:r>
          </w:p>
        </w:tc>
        <w:tc>
          <w:tcPr>
            <w:tcW w:w="594" w:type="pct"/>
            <w:vAlign w:val="center"/>
          </w:tcPr>
          <w:p w14:paraId="3495C40E" w14:textId="77777777" w:rsidR="00C7364D" w:rsidRPr="008D1A55" w:rsidRDefault="00C7364D" w:rsidP="00DA5A08">
            <w:pPr>
              <w:pStyle w:val="Tabletext"/>
            </w:pPr>
            <w:r w:rsidRPr="008D1A55">
              <w:t>35 (19.0)</w:t>
            </w:r>
          </w:p>
        </w:tc>
        <w:tc>
          <w:tcPr>
            <w:tcW w:w="594" w:type="pct"/>
            <w:vAlign w:val="center"/>
          </w:tcPr>
          <w:p w14:paraId="708F134B" w14:textId="77777777" w:rsidR="00C7364D" w:rsidRPr="008D1A55" w:rsidRDefault="00C7364D" w:rsidP="00DA5A08">
            <w:pPr>
              <w:pStyle w:val="Tabletext"/>
            </w:pPr>
            <w:r w:rsidRPr="008D1A55">
              <w:t>86</w:t>
            </w:r>
            <w:r w:rsidRPr="008D1A55">
              <w:rPr>
                <w:spacing w:val="3"/>
              </w:rPr>
              <w:t xml:space="preserve"> </w:t>
            </w:r>
            <w:r w:rsidRPr="008D1A55">
              <w:t>(18.8)</w:t>
            </w:r>
          </w:p>
        </w:tc>
      </w:tr>
      <w:tr w:rsidR="00C7364D" w:rsidRPr="008D1A55" w14:paraId="5C2687FE" w14:textId="77777777" w:rsidTr="00DA5A08">
        <w:trPr>
          <w:trHeight w:val="482"/>
          <w:jc w:val="center"/>
        </w:trPr>
        <w:tc>
          <w:tcPr>
            <w:tcW w:w="2286" w:type="pct"/>
            <w:vAlign w:val="center"/>
          </w:tcPr>
          <w:p w14:paraId="35B9B69A" w14:textId="77777777" w:rsidR="00C7364D" w:rsidRPr="008D1A55" w:rsidRDefault="00C7364D" w:rsidP="00DA5A08">
            <w:pPr>
              <w:pStyle w:val="Tabletext"/>
            </w:pPr>
            <w:r w:rsidRPr="008D1A55">
              <w:rPr>
                <w:spacing w:val="-1"/>
              </w:rPr>
              <w:t>Advers</w:t>
            </w:r>
            <w:r w:rsidRPr="008D1A55">
              <w:t>e</w:t>
            </w:r>
            <w:r w:rsidRPr="008D1A55">
              <w:rPr>
                <w:spacing w:val="-1"/>
              </w:rPr>
              <w:t xml:space="preserve"> event</w:t>
            </w:r>
          </w:p>
        </w:tc>
        <w:tc>
          <w:tcPr>
            <w:tcW w:w="763" w:type="pct"/>
            <w:vAlign w:val="center"/>
          </w:tcPr>
          <w:p w14:paraId="309F111B" w14:textId="77777777" w:rsidR="00C7364D" w:rsidRPr="008D1A55" w:rsidRDefault="00C7364D" w:rsidP="00DA5A08">
            <w:pPr>
              <w:pStyle w:val="Tabletext"/>
            </w:pPr>
            <w:r w:rsidRPr="008D1A55">
              <w:t>3 (3.2)</w:t>
            </w:r>
          </w:p>
        </w:tc>
        <w:tc>
          <w:tcPr>
            <w:tcW w:w="763" w:type="pct"/>
            <w:vAlign w:val="center"/>
          </w:tcPr>
          <w:p w14:paraId="61600682" w14:textId="77777777" w:rsidR="00C7364D" w:rsidRPr="008D1A55" w:rsidRDefault="00C7364D" w:rsidP="00DA5A08">
            <w:pPr>
              <w:pStyle w:val="Tabletext"/>
            </w:pPr>
            <w:r w:rsidRPr="008D1A55">
              <w:t>12 (6.7)</w:t>
            </w:r>
          </w:p>
        </w:tc>
        <w:tc>
          <w:tcPr>
            <w:tcW w:w="594" w:type="pct"/>
            <w:vAlign w:val="center"/>
          </w:tcPr>
          <w:p w14:paraId="3BE690EE" w14:textId="77777777" w:rsidR="00C7364D" w:rsidRPr="008D1A55" w:rsidRDefault="00C7364D" w:rsidP="00DA5A08">
            <w:pPr>
              <w:pStyle w:val="Tabletext"/>
            </w:pPr>
            <w:r w:rsidRPr="008D1A55">
              <w:t>5 (2.7)</w:t>
            </w:r>
          </w:p>
        </w:tc>
        <w:tc>
          <w:tcPr>
            <w:tcW w:w="594" w:type="pct"/>
            <w:vAlign w:val="center"/>
          </w:tcPr>
          <w:p w14:paraId="1752BCED" w14:textId="77777777" w:rsidR="00C7364D" w:rsidRPr="008D1A55" w:rsidRDefault="00C7364D" w:rsidP="00DA5A08">
            <w:pPr>
              <w:pStyle w:val="Tabletext"/>
            </w:pPr>
            <w:r w:rsidRPr="008D1A55">
              <w:t>20 (4.4)</w:t>
            </w:r>
          </w:p>
        </w:tc>
      </w:tr>
      <w:tr w:rsidR="00C7364D" w:rsidRPr="008D1A55" w14:paraId="53A49AB7" w14:textId="77777777" w:rsidTr="00DA5A08">
        <w:trPr>
          <w:trHeight w:val="482"/>
          <w:jc w:val="center"/>
        </w:trPr>
        <w:tc>
          <w:tcPr>
            <w:tcW w:w="2286" w:type="pct"/>
            <w:vAlign w:val="center"/>
          </w:tcPr>
          <w:p w14:paraId="4D3C0872" w14:textId="77777777" w:rsidR="00C7364D" w:rsidRPr="008D1A55" w:rsidRDefault="00C7364D" w:rsidP="00DA5A08">
            <w:pPr>
              <w:pStyle w:val="Tabletext"/>
            </w:pPr>
            <w:r w:rsidRPr="008D1A55">
              <w:rPr>
                <w:spacing w:val="-1"/>
              </w:rPr>
              <w:t>Conditio</w:t>
            </w:r>
            <w:r w:rsidRPr="008D1A55">
              <w:t>n</w:t>
            </w:r>
            <w:r w:rsidRPr="008D1A55">
              <w:rPr>
                <w:spacing w:val="-1"/>
              </w:rPr>
              <w:t xml:space="preserve"> unde</w:t>
            </w:r>
            <w:r w:rsidRPr="008D1A55">
              <w:t>r</w:t>
            </w:r>
            <w:r w:rsidRPr="008D1A55">
              <w:rPr>
                <w:spacing w:val="-1"/>
              </w:rPr>
              <w:t xml:space="preserve"> investigatio</w:t>
            </w:r>
            <w:r w:rsidRPr="008D1A55">
              <w:t>n</w:t>
            </w:r>
            <w:r w:rsidRPr="008D1A55">
              <w:rPr>
                <w:spacing w:val="-1"/>
              </w:rPr>
              <w:t xml:space="preserve"> worsened</w:t>
            </w:r>
          </w:p>
        </w:tc>
        <w:tc>
          <w:tcPr>
            <w:tcW w:w="763" w:type="pct"/>
            <w:vAlign w:val="center"/>
          </w:tcPr>
          <w:p w14:paraId="131CC9D8" w14:textId="77777777" w:rsidR="00C7364D" w:rsidRPr="008D1A55" w:rsidRDefault="00C7364D" w:rsidP="00DA5A08">
            <w:pPr>
              <w:pStyle w:val="Tabletext"/>
            </w:pPr>
            <w:r w:rsidRPr="008D1A55">
              <w:t>0</w:t>
            </w:r>
          </w:p>
        </w:tc>
        <w:tc>
          <w:tcPr>
            <w:tcW w:w="763" w:type="pct"/>
            <w:vAlign w:val="center"/>
          </w:tcPr>
          <w:p w14:paraId="5278216F" w14:textId="77777777" w:rsidR="00C7364D" w:rsidRPr="008D1A55" w:rsidRDefault="00C7364D" w:rsidP="00DA5A08">
            <w:pPr>
              <w:pStyle w:val="Tabletext"/>
            </w:pPr>
            <w:r w:rsidRPr="008D1A55">
              <w:t>1 (0.6)</w:t>
            </w:r>
          </w:p>
        </w:tc>
        <w:tc>
          <w:tcPr>
            <w:tcW w:w="594" w:type="pct"/>
            <w:vAlign w:val="center"/>
          </w:tcPr>
          <w:p w14:paraId="65A7817A" w14:textId="77777777" w:rsidR="00C7364D" w:rsidRPr="008D1A55" w:rsidRDefault="00C7364D" w:rsidP="00DA5A08">
            <w:pPr>
              <w:pStyle w:val="Tabletext"/>
            </w:pPr>
            <w:r w:rsidRPr="008D1A55">
              <w:t>1 (0.5)</w:t>
            </w:r>
          </w:p>
        </w:tc>
        <w:tc>
          <w:tcPr>
            <w:tcW w:w="594" w:type="pct"/>
            <w:vAlign w:val="center"/>
          </w:tcPr>
          <w:p w14:paraId="661F2393" w14:textId="77777777" w:rsidR="00C7364D" w:rsidRPr="008D1A55" w:rsidRDefault="00C7364D" w:rsidP="00DA5A08">
            <w:pPr>
              <w:pStyle w:val="Tabletext"/>
            </w:pPr>
            <w:r w:rsidRPr="008D1A55">
              <w:t>2 (0.4)</w:t>
            </w:r>
          </w:p>
        </w:tc>
      </w:tr>
      <w:tr w:rsidR="00C7364D" w:rsidRPr="008D1A55" w14:paraId="7713ABE0" w14:textId="77777777" w:rsidTr="00DA5A08">
        <w:trPr>
          <w:trHeight w:val="482"/>
          <w:jc w:val="center"/>
        </w:trPr>
        <w:tc>
          <w:tcPr>
            <w:tcW w:w="2286" w:type="pct"/>
            <w:vAlign w:val="center"/>
          </w:tcPr>
          <w:p w14:paraId="6CD02FED" w14:textId="77777777" w:rsidR="00C7364D" w:rsidRPr="008D1A55" w:rsidRDefault="00C7364D" w:rsidP="00DA5A08">
            <w:pPr>
              <w:pStyle w:val="Tabletext"/>
            </w:pPr>
            <w:r w:rsidRPr="008D1A55">
              <w:rPr>
                <w:spacing w:val="-1"/>
              </w:rPr>
              <w:t>Developmen</w:t>
            </w:r>
            <w:r w:rsidRPr="008D1A55">
              <w:t>t</w:t>
            </w:r>
            <w:r w:rsidRPr="008D1A55">
              <w:rPr>
                <w:spacing w:val="-1"/>
              </w:rPr>
              <w:t xml:space="preserve"> o</w:t>
            </w:r>
            <w:r w:rsidRPr="008D1A55">
              <w:t>f</w:t>
            </w:r>
            <w:r w:rsidRPr="008D1A55">
              <w:rPr>
                <w:spacing w:val="-1"/>
              </w:rPr>
              <w:t xml:space="preserve"> stud</w:t>
            </w:r>
            <w:r w:rsidRPr="008D1A55">
              <w:t>y</w:t>
            </w:r>
            <w:r w:rsidRPr="008D1A55">
              <w:rPr>
                <w:spacing w:val="-1"/>
              </w:rPr>
              <w:t xml:space="preserve"> specifi</w:t>
            </w:r>
            <w:r w:rsidRPr="008D1A55">
              <w:t>c</w:t>
            </w:r>
            <w:r w:rsidRPr="008D1A55">
              <w:rPr>
                <w:spacing w:val="-1"/>
              </w:rPr>
              <w:t xml:space="preserve"> withdrawa</w:t>
            </w:r>
            <w:r w:rsidRPr="008D1A55">
              <w:t>l</w:t>
            </w:r>
            <w:r w:rsidRPr="008D1A55">
              <w:rPr>
                <w:spacing w:val="-1"/>
              </w:rPr>
              <w:t xml:space="preserve"> criteria</w:t>
            </w:r>
          </w:p>
        </w:tc>
        <w:tc>
          <w:tcPr>
            <w:tcW w:w="763" w:type="pct"/>
            <w:vAlign w:val="center"/>
          </w:tcPr>
          <w:p w14:paraId="09CB81F3" w14:textId="77777777" w:rsidR="00C7364D" w:rsidRPr="008D1A55" w:rsidRDefault="00C7364D" w:rsidP="00DA5A08">
            <w:pPr>
              <w:pStyle w:val="Tabletext"/>
            </w:pPr>
            <w:r w:rsidRPr="008D1A55">
              <w:t>1 (1.1)</w:t>
            </w:r>
          </w:p>
        </w:tc>
        <w:tc>
          <w:tcPr>
            <w:tcW w:w="763" w:type="pct"/>
            <w:vAlign w:val="center"/>
          </w:tcPr>
          <w:p w14:paraId="5F44FBA7" w14:textId="77777777" w:rsidR="00C7364D" w:rsidRPr="008D1A55" w:rsidRDefault="00C7364D" w:rsidP="00DA5A08">
            <w:pPr>
              <w:pStyle w:val="Tabletext"/>
            </w:pPr>
            <w:r w:rsidRPr="008D1A55">
              <w:t>0</w:t>
            </w:r>
          </w:p>
        </w:tc>
        <w:tc>
          <w:tcPr>
            <w:tcW w:w="594" w:type="pct"/>
            <w:vAlign w:val="center"/>
          </w:tcPr>
          <w:p w14:paraId="74770E3B" w14:textId="77777777" w:rsidR="00C7364D" w:rsidRPr="008D1A55" w:rsidRDefault="00C7364D" w:rsidP="00DA5A08">
            <w:pPr>
              <w:pStyle w:val="Tabletext"/>
            </w:pPr>
            <w:r w:rsidRPr="008D1A55">
              <w:t>0</w:t>
            </w:r>
          </w:p>
        </w:tc>
        <w:tc>
          <w:tcPr>
            <w:tcW w:w="594" w:type="pct"/>
            <w:vAlign w:val="center"/>
          </w:tcPr>
          <w:p w14:paraId="1669E21A" w14:textId="77777777" w:rsidR="00C7364D" w:rsidRPr="008D1A55" w:rsidRDefault="00C7364D" w:rsidP="00DA5A08">
            <w:pPr>
              <w:pStyle w:val="Tabletext"/>
            </w:pPr>
            <w:r w:rsidRPr="008D1A55">
              <w:t>1 (0.2)</w:t>
            </w:r>
          </w:p>
        </w:tc>
      </w:tr>
      <w:tr w:rsidR="00C7364D" w:rsidRPr="008D1A55" w14:paraId="7DA9868D" w14:textId="77777777" w:rsidTr="00DA5A08">
        <w:trPr>
          <w:trHeight w:val="482"/>
          <w:jc w:val="center"/>
        </w:trPr>
        <w:tc>
          <w:tcPr>
            <w:tcW w:w="2286" w:type="pct"/>
            <w:vAlign w:val="center"/>
          </w:tcPr>
          <w:p w14:paraId="48B5A590" w14:textId="77777777" w:rsidR="00C7364D" w:rsidRPr="008D1A55" w:rsidRDefault="00C7364D" w:rsidP="00DA5A08">
            <w:pPr>
              <w:pStyle w:val="Tabletext"/>
            </w:pPr>
            <w:r w:rsidRPr="008D1A55">
              <w:rPr>
                <w:spacing w:val="-1"/>
              </w:rPr>
              <w:t>Lac</w:t>
            </w:r>
            <w:r w:rsidRPr="008D1A55">
              <w:t>k</w:t>
            </w:r>
            <w:r w:rsidRPr="008D1A55">
              <w:rPr>
                <w:spacing w:val="-1"/>
              </w:rPr>
              <w:t xml:space="preserve"> o</w:t>
            </w:r>
            <w:r w:rsidRPr="008D1A55">
              <w:t>f</w:t>
            </w:r>
            <w:r w:rsidRPr="008D1A55">
              <w:rPr>
                <w:spacing w:val="-1"/>
              </w:rPr>
              <w:t xml:space="preserve"> efficacy</w:t>
            </w:r>
          </w:p>
        </w:tc>
        <w:tc>
          <w:tcPr>
            <w:tcW w:w="763" w:type="pct"/>
            <w:vAlign w:val="center"/>
          </w:tcPr>
          <w:p w14:paraId="7B9D6272" w14:textId="77777777" w:rsidR="00C7364D" w:rsidRPr="008D1A55" w:rsidRDefault="00C7364D" w:rsidP="00DA5A08">
            <w:pPr>
              <w:pStyle w:val="Tabletext"/>
            </w:pPr>
            <w:r w:rsidRPr="008D1A55">
              <w:t>1 (1.1)</w:t>
            </w:r>
          </w:p>
        </w:tc>
        <w:tc>
          <w:tcPr>
            <w:tcW w:w="763" w:type="pct"/>
            <w:vAlign w:val="center"/>
          </w:tcPr>
          <w:p w14:paraId="5FD6A726" w14:textId="77777777" w:rsidR="00C7364D" w:rsidRPr="008D1A55" w:rsidRDefault="00C7364D" w:rsidP="00DA5A08">
            <w:pPr>
              <w:pStyle w:val="Tabletext"/>
            </w:pPr>
            <w:r w:rsidRPr="008D1A55">
              <w:t>4 (2.2)</w:t>
            </w:r>
          </w:p>
        </w:tc>
        <w:tc>
          <w:tcPr>
            <w:tcW w:w="594" w:type="pct"/>
            <w:vAlign w:val="center"/>
          </w:tcPr>
          <w:p w14:paraId="48D740D5" w14:textId="77777777" w:rsidR="00C7364D" w:rsidRPr="008D1A55" w:rsidRDefault="00C7364D" w:rsidP="00DA5A08">
            <w:pPr>
              <w:pStyle w:val="Tabletext"/>
            </w:pPr>
            <w:r w:rsidRPr="008D1A55">
              <w:t>7 (3.8)</w:t>
            </w:r>
          </w:p>
        </w:tc>
        <w:tc>
          <w:tcPr>
            <w:tcW w:w="594" w:type="pct"/>
            <w:vAlign w:val="center"/>
          </w:tcPr>
          <w:p w14:paraId="04DF1807" w14:textId="77777777" w:rsidR="00C7364D" w:rsidRPr="008D1A55" w:rsidRDefault="00C7364D" w:rsidP="00DA5A08">
            <w:pPr>
              <w:pStyle w:val="Tabletext"/>
            </w:pPr>
            <w:r w:rsidRPr="008D1A55">
              <w:t>12 (2.6)</w:t>
            </w:r>
          </w:p>
        </w:tc>
      </w:tr>
      <w:tr w:rsidR="00C7364D" w:rsidRPr="008D1A55" w14:paraId="4282BEE7" w14:textId="77777777" w:rsidTr="00DA5A08">
        <w:trPr>
          <w:trHeight w:val="482"/>
          <w:jc w:val="center"/>
        </w:trPr>
        <w:tc>
          <w:tcPr>
            <w:tcW w:w="2286" w:type="pct"/>
            <w:vAlign w:val="center"/>
          </w:tcPr>
          <w:p w14:paraId="6B9BD066" w14:textId="77777777" w:rsidR="00C7364D" w:rsidRPr="008D1A55" w:rsidRDefault="00C7364D" w:rsidP="00DA5A08">
            <w:pPr>
              <w:pStyle w:val="Tabletext"/>
            </w:pPr>
            <w:r w:rsidRPr="008D1A55">
              <w:rPr>
                <w:spacing w:val="-1"/>
              </w:rPr>
              <w:t>Los</w:t>
            </w:r>
            <w:r w:rsidRPr="008D1A55">
              <w:t>t</w:t>
            </w:r>
            <w:r w:rsidRPr="008D1A55">
              <w:rPr>
                <w:spacing w:val="-2"/>
              </w:rPr>
              <w:t xml:space="preserve"> </w:t>
            </w:r>
            <w:r w:rsidRPr="008D1A55">
              <w:rPr>
                <w:spacing w:val="-1"/>
              </w:rPr>
              <w:t>t</w:t>
            </w:r>
            <w:r w:rsidRPr="008D1A55">
              <w:t>o</w:t>
            </w:r>
            <w:r w:rsidRPr="008D1A55">
              <w:rPr>
                <w:spacing w:val="1"/>
              </w:rPr>
              <w:t xml:space="preserve"> </w:t>
            </w:r>
            <w:r w:rsidRPr="008D1A55">
              <w:t>follo</w:t>
            </w:r>
            <w:r w:rsidRPr="008D1A55">
              <w:rPr>
                <w:spacing w:val="-6"/>
              </w:rPr>
              <w:t>w</w:t>
            </w:r>
            <w:r w:rsidRPr="008D1A55">
              <w:t>-up</w:t>
            </w:r>
          </w:p>
        </w:tc>
        <w:tc>
          <w:tcPr>
            <w:tcW w:w="763" w:type="pct"/>
            <w:vAlign w:val="center"/>
          </w:tcPr>
          <w:p w14:paraId="5396B896" w14:textId="77777777" w:rsidR="00C7364D" w:rsidRPr="008D1A55" w:rsidRDefault="00C7364D" w:rsidP="00DA5A08">
            <w:pPr>
              <w:pStyle w:val="Tabletext"/>
            </w:pPr>
            <w:r w:rsidRPr="008D1A55">
              <w:t>0</w:t>
            </w:r>
          </w:p>
        </w:tc>
        <w:tc>
          <w:tcPr>
            <w:tcW w:w="763" w:type="pct"/>
            <w:vAlign w:val="center"/>
          </w:tcPr>
          <w:p w14:paraId="5834431C" w14:textId="77777777" w:rsidR="00C7364D" w:rsidRPr="008D1A55" w:rsidRDefault="00C7364D" w:rsidP="00DA5A08">
            <w:pPr>
              <w:pStyle w:val="Tabletext"/>
            </w:pPr>
            <w:r w:rsidRPr="008D1A55">
              <w:t>0</w:t>
            </w:r>
          </w:p>
        </w:tc>
        <w:tc>
          <w:tcPr>
            <w:tcW w:w="594" w:type="pct"/>
            <w:vAlign w:val="center"/>
          </w:tcPr>
          <w:p w14:paraId="67FF633C" w14:textId="77777777" w:rsidR="00C7364D" w:rsidRPr="008D1A55" w:rsidRDefault="00C7364D" w:rsidP="00DA5A08">
            <w:pPr>
              <w:pStyle w:val="Tabletext"/>
            </w:pPr>
            <w:r w:rsidRPr="008D1A55">
              <w:t>2 (1.1)</w:t>
            </w:r>
          </w:p>
        </w:tc>
        <w:tc>
          <w:tcPr>
            <w:tcW w:w="594" w:type="pct"/>
            <w:vAlign w:val="center"/>
          </w:tcPr>
          <w:p w14:paraId="4B8EDB60" w14:textId="77777777" w:rsidR="00C7364D" w:rsidRPr="008D1A55" w:rsidRDefault="00C7364D" w:rsidP="00DA5A08">
            <w:pPr>
              <w:pStyle w:val="Tabletext"/>
            </w:pPr>
            <w:r w:rsidRPr="008D1A55">
              <w:t>2 (0.4)</w:t>
            </w:r>
          </w:p>
        </w:tc>
      </w:tr>
      <w:tr w:rsidR="00C7364D" w:rsidRPr="008D1A55" w14:paraId="635442B4" w14:textId="77777777" w:rsidTr="00DA5A08">
        <w:trPr>
          <w:trHeight w:val="482"/>
          <w:jc w:val="center"/>
        </w:trPr>
        <w:tc>
          <w:tcPr>
            <w:tcW w:w="2286" w:type="pct"/>
            <w:vAlign w:val="center"/>
          </w:tcPr>
          <w:p w14:paraId="2CE27345" w14:textId="77777777" w:rsidR="00C7364D" w:rsidRPr="008D1A55" w:rsidRDefault="00C7364D" w:rsidP="00DA5A08">
            <w:pPr>
              <w:pStyle w:val="Tabletext"/>
            </w:pPr>
            <w:r w:rsidRPr="008D1A55">
              <w:t>Severe</w:t>
            </w:r>
            <w:r w:rsidRPr="008D1A55">
              <w:rPr>
                <w:spacing w:val="1"/>
              </w:rPr>
              <w:t xml:space="preserve"> </w:t>
            </w:r>
            <w:r w:rsidRPr="008D1A55">
              <w:t>n</w:t>
            </w:r>
            <w:r w:rsidRPr="008D1A55">
              <w:rPr>
                <w:spacing w:val="-10"/>
              </w:rPr>
              <w:t>o</w:t>
            </w:r>
            <w:r w:rsidRPr="008D1A55">
              <w:rPr>
                <w:spacing w:val="5"/>
              </w:rPr>
              <w:t>n</w:t>
            </w:r>
            <w:r w:rsidRPr="008D1A55">
              <w:t>-</w:t>
            </w:r>
            <w:r w:rsidRPr="008D1A55">
              <w:rPr>
                <w:spacing w:val="-1"/>
              </w:rPr>
              <w:t>complianc</w:t>
            </w:r>
            <w:r w:rsidRPr="008D1A55">
              <w:t>e</w:t>
            </w:r>
            <w:r w:rsidRPr="008D1A55">
              <w:rPr>
                <w:spacing w:val="-2"/>
              </w:rPr>
              <w:t xml:space="preserve"> </w:t>
            </w:r>
            <w:r w:rsidRPr="008D1A55">
              <w:rPr>
                <w:spacing w:val="-1"/>
              </w:rPr>
              <w:t>t</w:t>
            </w:r>
            <w:r w:rsidRPr="008D1A55">
              <w:t>o</w:t>
            </w:r>
            <w:r w:rsidRPr="008D1A55">
              <w:rPr>
                <w:spacing w:val="-2"/>
              </w:rPr>
              <w:t xml:space="preserve"> </w:t>
            </w:r>
            <w:r w:rsidRPr="008D1A55">
              <w:rPr>
                <w:spacing w:val="-1"/>
              </w:rPr>
              <w:t>protocol</w:t>
            </w:r>
          </w:p>
        </w:tc>
        <w:tc>
          <w:tcPr>
            <w:tcW w:w="763" w:type="pct"/>
            <w:vAlign w:val="center"/>
          </w:tcPr>
          <w:p w14:paraId="066CDF42" w14:textId="77777777" w:rsidR="00C7364D" w:rsidRPr="008D1A55" w:rsidRDefault="00C7364D" w:rsidP="00DA5A08">
            <w:pPr>
              <w:pStyle w:val="Tabletext"/>
            </w:pPr>
            <w:r w:rsidRPr="008D1A55">
              <w:t>1 (1.1)</w:t>
            </w:r>
          </w:p>
        </w:tc>
        <w:tc>
          <w:tcPr>
            <w:tcW w:w="763" w:type="pct"/>
            <w:vAlign w:val="center"/>
          </w:tcPr>
          <w:p w14:paraId="19BD9B81" w14:textId="77777777" w:rsidR="00C7364D" w:rsidRPr="008D1A55" w:rsidRDefault="00C7364D" w:rsidP="00DA5A08">
            <w:pPr>
              <w:pStyle w:val="Tabletext"/>
            </w:pPr>
            <w:r w:rsidRPr="008D1A55">
              <w:t>0</w:t>
            </w:r>
          </w:p>
        </w:tc>
        <w:tc>
          <w:tcPr>
            <w:tcW w:w="594" w:type="pct"/>
            <w:vAlign w:val="center"/>
          </w:tcPr>
          <w:p w14:paraId="1A036401" w14:textId="77777777" w:rsidR="00C7364D" w:rsidRPr="008D1A55" w:rsidRDefault="00C7364D" w:rsidP="00DA5A08">
            <w:pPr>
              <w:pStyle w:val="Tabletext"/>
            </w:pPr>
            <w:r w:rsidRPr="008D1A55">
              <w:t>1 (0.5)</w:t>
            </w:r>
          </w:p>
        </w:tc>
        <w:tc>
          <w:tcPr>
            <w:tcW w:w="594" w:type="pct"/>
            <w:vAlign w:val="center"/>
          </w:tcPr>
          <w:p w14:paraId="0F20406D" w14:textId="77777777" w:rsidR="00C7364D" w:rsidRPr="008D1A55" w:rsidRDefault="00C7364D" w:rsidP="00DA5A08">
            <w:pPr>
              <w:pStyle w:val="Tabletext"/>
            </w:pPr>
            <w:r w:rsidRPr="008D1A55">
              <w:t>2 (0.4)</w:t>
            </w:r>
          </w:p>
        </w:tc>
      </w:tr>
      <w:tr w:rsidR="00C7364D" w:rsidRPr="008D1A55" w14:paraId="1768CDFA" w14:textId="77777777" w:rsidTr="00DA5A08">
        <w:trPr>
          <w:trHeight w:val="482"/>
          <w:jc w:val="center"/>
        </w:trPr>
        <w:tc>
          <w:tcPr>
            <w:tcW w:w="2286" w:type="pct"/>
            <w:vAlign w:val="center"/>
          </w:tcPr>
          <w:p w14:paraId="328FDA91" w14:textId="77777777" w:rsidR="00C7364D" w:rsidRPr="008D1A55" w:rsidRDefault="00C7364D" w:rsidP="00DA5A08">
            <w:pPr>
              <w:pStyle w:val="Tabletext"/>
            </w:pPr>
            <w:r w:rsidRPr="008D1A55">
              <w:rPr>
                <w:spacing w:val="-1"/>
              </w:rPr>
              <w:t>Withdrawa</w:t>
            </w:r>
            <w:r w:rsidRPr="008D1A55">
              <w:t>l</w:t>
            </w:r>
            <w:r w:rsidRPr="008D1A55">
              <w:rPr>
                <w:spacing w:val="-1"/>
              </w:rPr>
              <w:t xml:space="preserve"> b</w:t>
            </w:r>
            <w:r w:rsidRPr="008D1A55">
              <w:t>y</w:t>
            </w:r>
            <w:r w:rsidRPr="008D1A55">
              <w:rPr>
                <w:spacing w:val="-1"/>
              </w:rPr>
              <w:t xml:space="preserve"> subject</w:t>
            </w:r>
          </w:p>
        </w:tc>
        <w:tc>
          <w:tcPr>
            <w:tcW w:w="763" w:type="pct"/>
            <w:vAlign w:val="center"/>
          </w:tcPr>
          <w:p w14:paraId="53C0CB16" w14:textId="77777777" w:rsidR="00C7364D" w:rsidRPr="008D1A55" w:rsidRDefault="00C7364D" w:rsidP="00DA5A08">
            <w:pPr>
              <w:pStyle w:val="Tabletext"/>
            </w:pPr>
            <w:r w:rsidRPr="008D1A55">
              <w:t>9 (9.7)</w:t>
            </w:r>
          </w:p>
        </w:tc>
        <w:tc>
          <w:tcPr>
            <w:tcW w:w="763" w:type="pct"/>
            <w:vAlign w:val="center"/>
          </w:tcPr>
          <w:p w14:paraId="263BDFBD" w14:textId="77777777" w:rsidR="00C7364D" w:rsidRPr="008D1A55" w:rsidRDefault="00C7364D" w:rsidP="00DA5A08">
            <w:pPr>
              <w:pStyle w:val="Tabletext"/>
            </w:pPr>
            <w:r w:rsidRPr="008D1A55">
              <w:t>15 (8.3)</w:t>
            </w:r>
          </w:p>
        </w:tc>
        <w:tc>
          <w:tcPr>
            <w:tcW w:w="594" w:type="pct"/>
            <w:vAlign w:val="center"/>
          </w:tcPr>
          <w:p w14:paraId="620319D8" w14:textId="77777777" w:rsidR="00C7364D" w:rsidRPr="008D1A55" w:rsidRDefault="00C7364D" w:rsidP="00DA5A08">
            <w:pPr>
              <w:pStyle w:val="Tabletext"/>
            </w:pPr>
            <w:r w:rsidRPr="008D1A55">
              <w:t>15 (8.2)</w:t>
            </w:r>
          </w:p>
        </w:tc>
        <w:tc>
          <w:tcPr>
            <w:tcW w:w="594" w:type="pct"/>
            <w:vAlign w:val="center"/>
          </w:tcPr>
          <w:p w14:paraId="2C03588C" w14:textId="77777777" w:rsidR="00C7364D" w:rsidRPr="008D1A55" w:rsidRDefault="00C7364D" w:rsidP="00DA5A08">
            <w:pPr>
              <w:pStyle w:val="Tabletext"/>
            </w:pPr>
            <w:r w:rsidRPr="008D1A55">
              <w:t>39 (8.5)</w:t>
            </w:r>
          </w:p>
        </w:tc>
      </w:tr>
      <w:tr w:rsidR="00C7364D" w:rsidRPr="008D1A55" w14:paraId="44C0385A" w14:textId="77777777" w:rsidTr="00DA5A08">
        <w:trPr>
          <w:trHeight w:val="482"/>
          <w:jc w:val="center"/>
        </w:trPr>
        <w:tc>
          <w:tcPr>
            <w:tcW w:w="2286" w:type="pct"/>
            <w:vAlign w:val="center"/>
          </w:tcPr>
          <w:p w14:paraId="2AB29E81" w14:textId="77777777" w:rsidR="00C7364D" w:rsidRPr="008D1A55" w:rsidRDefault="00C7364D" w:rsidP="00DA5A08">
            <w:pPr>
              <w:pStyle w:val="Tabletext"/>
            </w:pPr>
            <w:r w:rsidRPr="008D1A55">
              <w:rPr>
                <w:spacing w:val="-1"/>
              </w:rPr>
              <w:t>Other</w:t>
            </w:r>
          </w:p>
        </w:tc>
        <w:tc>
          <w:tcPr>
            <w:tcW w:w="763" w:type="pct"/>
            <w:vAlign w:val="center"/>
          </w:tcPr>
          <w:p w14:paraId="2177748F" w14:textId="77777777" w:rsidR="00C7364D" w:rsidRPr="008D1A55" w:rsidRDefault="00C7364D" w:rsidP="00DA5A08">
            <w:pPr>
              <w:pStyle w:val="Tabletext"/>
            </w:pPr>
            <w:r w:rsidRPr="008D1A55">
              <w:t>2 (2.2)</w:t>
            </w:r>
          </w:p>
        </w:tc>
        <w:tc>
          <w:tcPr>
            <w:tcW w:w="763" w:type="pct"/>
            <w:vAlign w:val="center"/>
          </w:tcPr>
          <w:p w14:paraId="7EBF668A" w14:textId="77777777" w:rsidR="00C7364D" w:rsidRPr="008D1A55" w:rsidRDefault="00C7364D" w:rsidP="00DA5A08">
            <w:pPr>
              <w:pStyle w:val="Tabletext"/>
            </w:pPr>
            <w:r w:rsidRPr="008D1A55">
              <w:t>2 (1.1)</w:t>
            </w:r>
          </w:p>
        </w:tc>
        <w:tc>
          <w:tcPr>
            <w:tcW w:w="594" w:type="pct"/>
            <w:vAlign w:val="center"/>
          </w:tcPr>
          <w:p w14:paraId="0FCDBF1C" w14:textId="77777777" w:rsidR="00C7364D" w:rsidRPr="008D1A55" w:rsidRDefault="00C7364D" w:rsidP="00DA5A08">
            <w:pPr>
              <w:pStyle w:val="Tabletext"/>
            </w:pPr>
            <w:r w:rsidRPr="008D1A55">
              <w:t>4 (2.2)</w:t>
            </w:r>
          </w:p>
        </w:tc>
        <w:tc>
          <w:tcPr>
            <w:tcW w:w="594" w:type="pct"/>
            <w:vAlign w:val="center"/>
          </w:tcPr>
          <w:p w14:paraId="63295C21" w14:textId="77777777" w:rsidR="00C7364D" w:rsidRPr="008D1A55" w:rsidRDefault="00C7364D" w:rsidP="00DA5A08">
            <w:pPr>
              <w:pStyle w:val="Tabletext"/>
            </w:pPr>
            <w:r w:rsidRPr="008D1A55">
              <w:t>8 (1.8)</w:t>
            </w:r>
          </w:p>
        </w:tc>
      </w:tr>
      <w:tr w:rsidR="00C7364D" w:rsidRPr="008D1A55" w14:paraId="5EA9FD07" w14:textId="77777777" w:rsidTr="00DA5A08">
        <w:trPr>
          <w:trHeight w:val="482"/>
          <w:jc w:val="center"/>
        </w:trPr>
        <w:tc>
          <w:tcPr>
            <w:tcW w:w="2286" w:type="pct"/>
            <w:vAlign w:val="center"/>
          </w:tcPr>
          <w:p w14:paraId="1D3EB0C9" w14:textId="77777777" w:rsidR="00C7364D" w:rsidRPr="008D1A55" w:rsidRDefault="00C7364D" w:rsidP="00DA5A08">
            <w:pPr>
              <w:pStyle w:val="Tabletext"/>
              <w:rPr>
                <w:b/>
                <w:bCs/>
              </w:rPr>
            </w:pPr>
            <w:r w:rsidRPr="008D1A55">
              <w:rPr>
                <w:b/>
                <w:bCs/>
              </w:rPr>
              <w:t>Subjects who completed study treatment</w:t>
            </w:r>
          </w:p>
        </w:tc>
        <w:tc>
          <w:tcPr>
            <w:tcW w:w="763" w:type="pct"/>
            <w:vAlign w:val="center"/>
          </w:tcPr>
          <w:p w14:paraId="0910CB91" w14:textId="77777777" w:rsidR="00C7364D" w:rsidRPr="008D1A55" w:rsidRDefault="00C7364D" w:rsidP="00DA5A08">
            <w:pPr>
              <w:pStyle w:val="Tabletext"/>
            </w:pPr>
            <w:r w:rsidRPr="008D1A55">
              <w:t>75 (80.6)</w:t>
            </w:r>
          </w:p>
        </w:tc>
        <w:tc>
          <w:tcPr>
            <w:tcW w:w="763" w:type="pct"/>
            <w:vAlign w:val="center"/>
          </w:tcPr>
          <w:p w14:paraId="645E2429" w14:textId="77777777" w:rsidR="00C7364D" w:rsidRPr="008D1A55" w:rsidRDefault="00C7364D" w:rsidP="00DA5A08">
            <w:pPr>
              <w:pStyle w:val="Tabletext"/>
            </w:pPr>
            <w:r w:rsidRPr="008D1A55">
              <w:t>144 (80.0)</w:t>
            </w:r>
          </w:p>
        </w:tc>
        <w:tc>
          <w:tcPr>
            <w:tcW w:w="594" w:type="pct"/>
            <w:vAlign w:val="center"/>
          </w:tcPr>
          <w:p w14:paraId="0A9E125D" w14:textId="77777777" w:rsidR="00C7364D" w:rsidRPr="008D1A55" w:rsidRDefault="00C7364D" w:rsidP="00DA5A08">
            <w:pPr>
              <w:pStyle w:val="Tabletext"/>
            </w:pPr>
            <w:r w:rsidRPr="008D1A55">
              <w:t>146</w:t>
            </w:r>
            <w:r w:rsidRPr="008D1A55">
              <w:rPr>
                <w:spacing w:val="3"/>
              </w:rPr>
              <w:t xml:space="preserve"> </w:t>
            </w:r>
            <w:r w:rsidRPr="008D1A55">
              <w:t>(79.3)</w:t>
            </w:r>
          </w:p>
        </w:tc>
        <w:tc>
          <w:tcPr>
            <w:tcW w:w="594" w:type="pct"/>
            <w:vAlign w:val="center"/>
          </w:tcPr>
          <w:p w14:paraId="6D33289D" w14:textId="77777777" w:rsidR="00C7364D" w:rsidRPr="008D1A55" w:rsidRDefault="00C7364D" w:rsidP="00DA5A08">
            <w:pPr>
              <w:pStyle w:val="Tabletext"/>
            </w:pPr>
            <w:r w:rsidRPr="008D1A55">
              <w:t>365 (79.9)</w:t>
            </w:r>
          </w:p>
        </w:tc>
      </w:tr>
      <w:tr w:rsidR="00C7364D" w:rsidRPr="008D1A55" w14:paraId="48CEAFAB" w14:textId="77777777" w:rsidTr="00DA5A08">
        <w:trPr>
          <w:trHeight w:val="482"/>
          <w:jc w:val="center"/>
        </w:trPr>
        <w:tc>
          <w:tcPr>
            <w:tcW w:w="2286" w:type="pct"/>
            <w:vAlign w:val="center"/>
          </w:tcPr>
          <w:p w14:paraId="3A5CE842" w14:textId="77777777" w:rsidR="00C7364D" w:rsidRPr="008D1A55" w:rsidRDefault="00C7364D" w:rsidP="00DA5A08">
            <w:pPr>
              <w:pStyle w:val="Tabletext"/>
              <w:rPr>
                <w:b/>
                <w:bCs/>
              </w:rPr>
            </w:pPr>
            <w:r w:rsidRPr="008D1A55">
              <w:rPr>
                <w:b/>
                <w:bCs/>
              </w:rPr>
              <w:t>Subjects discontinuing study treatment</w:t>
            </w:r>
          </w:p>
        </w:tc>
        <w:tc>
          <w:tcPr>
            <w:tcW w:w="763" w:type="pct"/>
            <w:vAlign w:val="center"/>
          </w:tcPr>
          <w:p w14:paraId="19470957" w14:textId="77777777" w:rsidR="00C7364D" w:rsidRPr="008D1A55" w:rsidRDefault="00C7364D" w:rsidP="00DA5A08">
            <w:pPr>
              <w:pStyle w:val="Tabletext"/>
            </w:pPr>
            <w:r w:rsidRPr="008D1A55">
              <w:t>18 (19.4)</w:t>
            </w:r>
          </w:p>
        </w:tc>
        <w:tc>
          <w:tcPr>
            <w:tcW w:w="763" w:type="pct"/>
            <w:vAlign w:val="center"/>
          </w:tcPr>
          <w:p w14:paraId="553E0E85" w14:textId="77777777" w:rsidR="00C7364D" w:rsidRPr="008D1A55" w:rsidRDefault="00C7364D" w:rsidP="00DA5A08">
            <w:pPr>
              <w:pStyle w:val="Tabletext"/>
            </w:pPr>
            <w:r w:rsidRPr="008D1A55">
              <w:t>36 (20.0)</w:t>
            </w:r>
          </w:p>
        </w:tc>
        <w:tc>
          <w:tcPr>
            <w:tcW w:w="594" w:type="pct"/>
            <w:vAlign w:val="center"/>
          </w:tcPr>
          <w:p w14:paraId="48BFDBD5" w14:textId="77777777" w:rsidR="00C7364D" w:rsidRPr="008D1A55" w:rsidRDefault="00C7364D" w:rsidP="00DA5A08">
            <w:pPr>
              <w:pStyle w:val="Tabletext"/>
            </w:pPr>
            <w:r w:rsidRPr="008D1A55">
              <w:t>38 (20.7)</w:t>
            </w:r>
          </w:p>
        </w:tc>
        <w:tc>
          <w:tcPr>
            <w:tcW w:w="594" w:type="pct"/>
            <w:vAlign w:val="center"/>
          </w:tcPr>
          <w:p w14:paraId="03615A37" w14:textId="77777777" w:rsidR="00C7364D" w:rsidRPr="008D1A55" w:rsidRDefault="00C7364D" w:rsidP="00DA5A08">
            <w:pPr>
              <w:pStyle w:val="Tabletext"/>
            </w:pPr>
            <w:r w:rsidRPr="008D1A55">
              <w:t>92 (20.1)</w:t>
            </w:r>
          </w:p>
        </w:tc>
      </w:tr>
      <w:tr w:rsidR="00C7364D" w:rsidRPr="008D1A55" w14:paraId="3641A6A8" w14:textId="77777777" w:rsidTr="00DA5A08">
        <w:trPr>
          <w:trHeight w:val="482"/>
          <w:jc w:val="center"/>
        </w:trPr>
        <w:tc>
          <w:tcPr>
            <w:tcW w:w="2286" w:type="pct"/>
            <w:vAlign w:val="center"/>
          </w:tcPr>
          <w:p w14:paraId="3C361C19" w14:textId="77777777" w:rsidR="00C7364D" w:rsidRPr="008D1A55" w:rsidRDefault="00C7364D" w:rsidP="00DA5A08">
            <w:pPr>
              <w:pStyle w:val="Tabletext"/>
            </w:pPr>
            <w:r w:rsidRPr="008D1A55">
              <w:rPr>
                <w:spacing w:val="-1"/>
              </w:rPr>
              <w:t>Advers</w:t>
            </w:r>
            <w:r w:rsidRPr="008D1A55">
              <w:t>e</w:t>
            </w:r>
            <w:r w:rsidRPr="008D1A55">
              <w:rPr>
                <w:spacing w:val="-1"/>
              </w:rPr>
              <w:t xml:space="preserve"> event</w:t>
            </w:r>
          </w:p>
        </w:tc>
        <w:tc>
          <w:tcPr>
            <w:tcW w:w="763" w:type="pct"/>
            <w:vAlign w:val="center"/>
          </w:tcPr>
          <w:p w14:paraId="02E0B0EB" w14:textId="77777777" w:rsidR="00C7364D" w:rsidRPr="008D1A55" w:rsidRDefault="00C7364D" w:rsidP="00DA5A08">
            <w:pPr>
              <w:pStyle w:val="Tabletext"/>
            </w:pPr>
            <w:r w:rsidRPr="008D1A55">
              <w:t>7 (7.5)</w:t>
            </w:r>
          </w:p>
        </w:tc>
        <w:tc>
          <w:tcPr>
            <w:tcW w:w="763" w:type="pct"/>
            <w:vAlign w:val="center"/>
          </w:tcPr>
          <w:p w14:paraId="00EFE5F1" w14:textId="77777777" w:rsidR="00C7364D" w:rsidRPr="008D1A55" w:rsidRDefault="00C7364D" w:rsidP="00DA5A08">
            <w:pPr>
              <w:pStyle w:val="Tabletext"/>
            </w:pPr>
            <w:r w:rsidRPr="008D1A55">
              <w:t>15 (8.3)</w:t>
            </w:r>
          </w:p>
        </w:tc>
        <w:tc>
          <w:tcPr>
            <w:tcW w:w="594" w:type="pct"/>
            <w:vAlign w:val="center"/>
          </w:tcPr>
          <w:p w14:paraId="0E54F55F" w14:textId="77777777" w:rsidR="00C7364D" w:rsidRPr="008D1A55" w:rsidRDefault="00C7364D" w:rsidP="00DA5A08">
            <w:pPr>
              <w:pStyle w:val="Tabletext"/>
            </w:pPr>
            <w:r w:rsidRPr="008D1A55">
              <w:t>8 (4.3)</w:t>
            </w:r>
          </w:p>
        </w:tc>
        <w:tc>
          <w:tcPr>
            <w:tcW w:w="594" w:type="pct"/>
            <w:vAlign w:val="center"/>
          </w:tcPr>
          <w:p w14:paraId="6C55E511" w14:textId="77777777" w:rsidR="00C7364D" w:rsidRPr="008D1A55" w:rsidRDefault="00C7364D" w:rsidP="00DA5A08">
            <w:pPr>
              <w:pStyle w:val="Tabletext"/>
            </w:pPr>
            <w:r w:rsidRPr="008D1A55">
              <w:t>30 (6.6)</w:t>
            </w:r>
          </w:p>
        </w:tc>
      </w:tr>
      <w:tr w:rsidR="00C7364D" w:rsidRPr="008D1A55" w14:paraId="5FAD8B83" w14:textId="77777777" w:rsidTr="00DA5A08">
        <w:trPr>
          <w:trHeight w:val="482"/>
          <w:jc w:val="center"/>
        </w:trPr>
        <w:tc>
          <w:tcPr>
            <w:tcW w:w="2286" w:type="pct"/>
            <w:vAlign w:val="center"/>
          </w:tcPr>
          <w:p w14:paraId="0FA3533A" w14:textId="77777777" w:rsidR="00C7364D" w:rsidRPr="008D1A55" w:rsidRDefault="00C7364D" w:rsidP="00DA5A08">
            <w:pPr>
              <w:pStyle w:val="Tabletext"/>
            </w:pPr>
            <w:r w:rsidRPr="008D1A55">
              <w:rPr>
                <w:spacing w:val="-1"/>
              </w:rPr>
              <w:t>Conditio</w:t>
            </w:r>
            <w:r w:rsidRPr="008D1A55">
              <w:t>n</w:t>
            </w:r>
            <w:r w:rsidRPr="008D1A55">
              <w:rPr>
                <w:spacing w:val="-1"/>
              </w:rPr>
              <w:t xml:space="preserve"> unde</w:t>
            </w:r>
            <w:r w:rsidRPr="008D1A55">
              <w:t>r</w:t>
            </w:r>
            <w:r w:rsidRPr="008D1A55">
              <w:rPr>
                <w:spacing w:val="-1"/>
              </w:rPr>
              <w:t xml:space="preserve"> investigatio</w:t>
            </w:r>
            <w:r w:rsidRPr="008D1A55">
              <w:t>n</w:t>
            </w:r>
            <w:r w:rsidRPr="008D1A55">
              <w:rPr>
                <w:spacing w:val="-1"/>
              </w:rPr>
              <w:t xml:space="preserve"> worsened</w:t>
            </w:r>
          </w:p>
        </w:tc>
        <w:tc>
          <w:tcPr>
            <w:tcW w:w="763" w:type="pct"/>
            <w:vAlign w:val="center"/>
          </w:tcPr>
          <w:p w14:paraId="07BC8388" w14:textId="77777777" w:rsidR="00C7364D" w:rsidRPr="008D1A55" w:rsidRDefault="00C7364D" w:rsidP="00DA5A08">
            <w:pPr>
              <w:pStyle w:val="Tabletext"/>
            </w:pPr>
            <w:r w:rsidRPr="008D1A55">
              <w:t>1 (1.1)</w:t>
            </w:r>
          </w:p>
        </w:tc>
        <w:tc>
          <w:tcPr>
            <w:tcW w:w="763" w:type="pct"/>
            <w:vAlign w:val="center"/>
          </w:tcPr>
          <w:p w14:paraId="660EB95E" w14:textId="77777777" w:rsidR="00C7364D" w:rsidRPr="008D1A55" w:rsidRDefault="00C7364D" w:rsidP="00DA5A08">
            <w:pPr>
              <w:pStyle w:val="Tabletext"/>
            </w:pPr>
            <w:r w:rsidRPr="008D1A55">
              <w:t>1 (0.6)</w:t>
            </w:r>
          </w:p>
        </w:tc>
        <w:tc>
          <w:tcPr>
            <w:tcW w:w="594" w:type="pct"/>
            <w:vAlign w:val="center"/>
          </w:tcPr>
          <w:p w14:paraId="5DEA377E" w14:textId="77777777" w:rsidR="00C7364D" w:rsidRPr="008D1A55" w:rsidRDefault="00C7364D" w:rsidP="00DA5A08">
            <w:pPr>
              <w:pStyle w:val="Tabletext"/>
            </w:pPr>
            <w:r w:rsidRPr="008D1A55">
              <w:t>4 (2.2)</w:t>
            </w:r>
          </w:p>
        </w:tc>
        <w:tc>
          <w:tcPr>
            <w:tcW w:w="594" w:type="pct"/>
            <w:vAlign w:val="center"/>
          </w:tcPr>
          <w:p w14:paraId="7D5FCFA3" w14:textId="77777777" w:rsidR="00C7364D" w:rsidRPr="008D1A55" w:rsidRDefault="00C7364D" w:rsidP="00DA5A08">
            <w:pPr>
              <w:pStyle w:val="Tabletext"/>
            </w:pPr>
            <w:r w:rsidRPr="008D1A55">
              <w:t>6 (1.3)</w:t>
            </w:r>
          </w:p>
        </w:tc>
      </w:tr>
      <w:tr w:rsidR="00C7364D" w:rsidRPr="008D1A55" w14:paraId="0E18379B" w14:textId="77777777" w:rsidTr="00DA5A08">
        <w:trPr>
          <w:trHeight w:val="482"/>
          <w:jc w:val="center"/>
        </w:trPr>
        <w:tc>
          <w:tcPr>
            <w:tcW w:w="2286" w:type="pct"/>
            <w:vAlign w:val="center"/>
          </w:tcPr>
          <w:p w14:paraId="1FCDFEA1" w14:textId="77777777" w:rsidR="00C7364D" w:rsidRPr="008D1A55" w:rsidRDefault="00C7364D" w:rsidP="00DA5A08">
            <w:pPr>
              <w:pStyle w:val="Tabletext"/>
            </w:pPr>
            <w:r w:rsidRPr="008D1A55">
              <w:rPr>
                <w:spacing w:val="-1"/>
              </w:rPr>
              <w:t>Lac</w:t>
            </w:r>
            <w:r w:rsidRPr="008D1A55">
              <w:t>k</w:t>
            </w:r>
            <w:r w:rsidRPr="008D1A55">
              <w:rPr>
                <w:spacing w:val="-1"/>
              </w:rPr>
              <w:t xml:space="preserve"> o</w:t>
            </w:r>
            <w:r w:rsidRPr="008D1A55">
              <w:t>f</w:t>
            </w:r>
            <w:r w:rsidRPr="008D1A55">
              <w:rPr>
                <w:spacing w:val="-1"/>
              </w:rPr>
              <w:t xml:space="preserve"> efficacy</w:t>
            </w:r>
          </w:p>
        </w:tc>
        <w:tc>
          <w:tcPr>
            <w:tcW w:w="763" w:type="pct"/>
            <w:vAlign w:val="center"/>
          </w:tcPr>
          <w:p w14:paraId="3CAE1864" w14:textId="77777777" w:rsidR="00C7364D" w:rsidRPr="008D1A55" w:rsidRDefault="00C7364D" w:rsidP="00DA5A08">
            <w:pPr>
              <w:pStyle w:val="Tabletext"/>
            </w:pPr>
            <w:r w:rsidRPr="008D1A55">
              <w:t>3 (3.2)</w:t>
            </w:r>
          </w:p>
        </w:tc>
        <w:tc>
          <w:tcPr>
            <w:tcW w:w="763" w:type="pct"/>
            <w:vAlign w:val="center"/>
          </w:tcPr>
          <w:p w14:paraId="7DEA8D1D" w14:textId="77777777" w:rsidR="00C7364D" w:rsidRPr="008D1A55" w:rsidRDefault="00C7364D" w:rsidP="00DA5A08">
            <w:pPr>
              <w:pStyle w:val="Tabletext"/>
            </w:pPr>
            <w:r w:rsidRPr="008D1A55">
              <w:t>3 (1.7)</w:t>
            </w:r>
          </w:p>
        </w:tc>
        <w:tc>
          <w:tcPr>
            <w:tcW w:w="594" w:type="pct"/>
            <w:vAlign w:val="center"/>
          </w:tcPr>
          <w:p w14:paraId="2A349B1B" w14:textId="77777777" w:rsidR="00C7364D" w:rsidRPr="008D1A55" w:rsidRDefault="00C7364D" w:rsidP="00DA5A08">
            <w:pPr>
              <w:pStyle w:val="Tabletext"/>
            </w:pPr>
            <w:r w:rsidRPr="008D1A55">
              <w:t>9</w:t>
            </w:r>
            <w:r w:rsidRPr="008D1A55">
              <w:rPr>
                <w:spacing w:val="3"/>
              </w:rPr>
              <w:t xml:space="preserve"> </w:t>
            </w:r>
            <w:r w:rsidRPr="008D1A55">
              <w:rPr>
                <w:spacing w:val="-1"/>
              </w:rPr>
              <w:t>(4.9)</w:t>
            </w:r>
          </w:p>
        </w:tc>
        <w:tc>
          <w:tcPr>
            <w:tcW w:w="594" w:type="pct"/>
            <w:vAlign w:val="center"/>
          </w:tcPr>
          <w:p w14:paraId="3F2F212B" w14:textId="77777777" w:rsidR="00C7364D" w:rsidRPr="008D1A55" w:rsidRDefault="00C7364D" w:rsidP="00DA5A08">
            <w:pPr>
              <w:pStyle w:val="Tabletext"/>
            </w:pPr>
            <w:r w:rsidRPr="008D1A55">
              <w:t>15 (3.3)</w:t>
            </w:r>
          </w:p>
        </w:tc>
      </w:tr>
      <w:tr w:rsidR="00C7364D" w:rsidRPr="008D1A55" w14:paraId="4728D8D5" w14:textId="77777777" w:rsidTr="00DA5A08">
        <w:trPr>
          <w:trHeight w:val="482"/>
          <w:jc w:val="center"/>
        </w:trPr>
        <w:tc>
          <w:tcPr>
            <w:tcW w:w="2286" w:type="pct"/>
            <w:vAlign w:val="center"/>
          </w:tcPr>
          <w:p w14:paraId="5219E5A3" w14:textId="77777777" w:rsidR="00C7364D" w:rsidRPr="008D1A55" w:rsidRDefault="00C7364D" w:rsidP="00DA5A08">
            <w:pPr>
              <w:pStyle w:val="Tabletext"/>
            </w:pPr>
            <w:r w:rsidRPr="008D1A55">
              <w:rPr>
                <w:spacing w:val="-1"/>
              </w:rPr>
              <w:t>Los</w:t>
            </w:r>
            <w:r w:rsidRPr="008D1A55">
              <w:t>t</w:t>
            </w:r>
            <w:r w:rsidRPr="008D1A55">
              <w:rPr>
                <w:spacing w:val="-1"/>
              </w:rPr>
              <w:t xml:space="preserve"> t</w:t>
            </w:r>
            <w:r w:rsidRPr="008D1A55">
              <w:t>o</w:t>
            </w:r>
            <w:r w:rsidRPr="008D1A55">
              <w:rPr>
                <w:spacing w:val="-1"/>
              </w:rPr>
              <w:t xml:space="preserve"> follo</w:t>
            </w:r>
            <w:r w:rsidRPr="008D1A55">
              <w:rPr>
                <w:spacing w:val="-7"/>
              </w:rPr>
              <w:t>w</w:t>
            </w:r>
            <w:r w:rsidRPr="008D1A55">
              <w:t>-up</w:t>
            </w:r>
          </w:p>
        </w:tc>
        <w:tc>
          <w:tcPr>
            <w:tcW w:w="763" w:type="pct"/>
            <w:vAlign w:val="center"/>
          </w:tcPr>
          <w:p w14:paraId="468B7E1F" w14:textId="77777777" w:rsidR="00C7364D" w:rsidRPr="008D1A55" w:rsidRDefault="00C7364D" w:rsidP="00DA5A08">
            <w:pPr>
              <w:pStyle w:val="Tabletext"/>
            </w:pPr>
            <w:r w:rsidRPr="008D1A55">
              <w:t>0</w:t>
            </w:r>
          </w:p>
        </w:tc>
        <w:tc>
          <w:tcPr>
            <w:tcW w:w="763" w:type="pct"/>
            <w:vAlign w:val="center"/>
          </w:tcPr>
          <w:p w14:paraId="70725848" w14:textId="77777777" w:rsidR="00C7364D" w:rsidRPr="008D1A55" w:rsidRDefault="00C7364D" w:rsidP="00DA5A08">
            <w:pPr>
              <w:pStyle w:val="Tabletext"/>
            </w:pPr>
            <w:r w:rsidRPr="008D1A55">
              <w:t>0</w:t>
            </w:r>
          </w:p>
        </w:tc>
        <w:tc>
          <w:tcPr>
            <w:tcW w:w="594" w:type="pct"/>
            <w:vAlign w:val="center"/>
          </w:tcPr>
          <w:p w14:paraId="6DB1A702" w14:textId="77777777" w:rsidR="00C7364D" w:rsidRPr="008D1A55" w:rsidRDefault="00C7364D" w:rsidP="00DA5A08">
            <w:pPr>
              <w:pStyle w:val="Tabletext"/>
            </w:pPr>
            <w:r w:rsidRPr="008D1A55">
              <w:t>2 (1.1)</w:t>
            </w:r>
          </w:p>
        </w:tc>
        <w:tc>
          <w:tcPr>
            <w:tcW w:w="594" w:type="pct"/>
            <w:vAlign w:val="center"/>
          </w:tcPr>
          <w:p w14:paraId="5360E472" w14:textId="77777777" w:rsidR="00C7364D" w:rsidRPr="008D1A55" w:rsidRDefault="00C7364D" w:rsidP="00DA5A08">
            <w:pPr>
              <w:pStyle w:val="Tabletext"/>
            </w:pPr>
            <w:r w:rsidRPr="008D1A55">
              <w:t>2 (0.4)</w:t>
            </w:r>
          </w:p>
        </w:tc>
      </w:tr>
      <w:tr w:rsidR="00C7364D" w:rsidRPr="008D1A55" w14:paraId="71901613" w14:textId="77777777" w:rsidTr="00DA5A08">
        <w:trPr>
          <w:trHeight w:val="482"/>
          <w:jc w:val="center"/>
        </w:trPr>
        <w:tc>
          <w:tcPr>
            <w:tcW w:w="2286" w:type="pct"/>
            <w:vAlign w:val="center"/>
          </w:tcPr>
          <w:p w14:paraId="0513410B" w14:textId="77777777" w:rsidR="00C7364D" w:rsidRPr="008D1A55" w:rsidRDefault="00C7364D" w:rsidP="00DA5A08">
            <w:pPr>
              <w:pStyle w:val="Tabletext"/>
            </w:pPr>
            <w:r w:rsidRPr="008D1A55">
              <w:t>Severe</w:t>
            </w:r>
            <w:r w:rsidRPr="008D1A55">
              <w:rPr>
                <w:spacing w:val="1"/>
              </w:rPr>
              <w:t xml:space="preserve"> </w:t>
            </w:r>
            <w:r w:rsidRPr="008D1A55">
              <w:t>n</w:t>
            </w:r>
            <w:r w:rsidRPr="008D1A55">
              <w:rPr>
                <w:spacing w:val="-10"/>
              </w:rPr>
              <w:t>o</w:t>
            </w:r>
            <w:r w:rsidRPr="008D1A55">
              <w:rPr>
                <w:spacing w:val="5"/>
              </w:rPr>
              <w:t>n</w:t>
            </w:r>
            <w:r w:rsidRPr="008D1A55">
              <w:t>-</w:t>
            </w:r>
            <w:r w:rsidRPr="008D1A55">
              <w:rPr>
                <w:spacing w:val="-1"/>
              </w:rPr>
              <w:t>complianc</w:t>
            </w:r>
            <w:r w:rsidRPr="008D1A55">
              <w:t>e</w:t>
            </w:r>
            <w:r w:rsidRPr="008D1A55">
              <w:rPr>
                <w:spacing w:val="-2"/>
              </w:rPr>
              <w:t xml:space="preserve"> </w:t>
            </w:r>
            <w:r w:rsidRPr="008D1A55">
              <w:rPr>
                <w:spacing w:val="-1"/>
              </w:rPr>
              <w:t>t</w:t>
            </w:r>
            <w:r w:rsidRPr="008D1A55">
              <w:t>o</w:t>
            </w:r>
            <w:r w:rsidRPr="008D1A55">
              <w:rPr>
                <w:spacing w:val="-2"/>
              </w:rPr>
              <w:t xml:space="preserve"> </w:t>
            </w:r>
            <w:r w:rsidRPr="008D1A55">
              <w:rPr>
                <w:spacing w:val="-1"/>
              </w:rPr>
              <w:t>protocol</w:t>
            </w:r>
          </w:p>
        </w:tc>
        <w:tc>
          <w:tcPr>
            <w:tcW w:w="763" w:type="pct"/>
            <w:vAlign w:val="center"/>
          </w:tcPr>
          <w:p w14:paraId="4EB2F86B" w14:textId="77777777" w:rsidR="00C7364D" w:rsidRPr="008D1A55" w:rsidRDefault="00C7364D" w:rsidP="00DA5A08">
            <w:pPr>
              <w:pStyle w:val="Tabletext"/>
            </w:pPr>
            <w:r w:rsidRPr="008D1A55">
              <w:t>2 (2.2)</w:t>
            </w:r>
          </w:p>
        </w:tc>
        <w:tc>
          <w:tcPr>
            <w:tcW w:w="763" w:type="pct"/>
            <w:vAlign w:val="center"/>
          </w:tcPr>
          <w:p w14:paraId="42F10E44" w14:textId="77777777" w:rsidR="00C7364D" w:rsidRPr="008D1A55" w:rsidRDefault="00C7364D" w:rsidP="00DA5A08">
            <w:pPr>
              <w:pStyle w:val="Tabletext"/>
            </w:pPr>
            <w:r w:rsidRPr="008D1A55">
              <w:t>0</w:t>
            </w:r>
          </w:p>
        </w:tc>
        <w:tc>
          <w:tcPr>
            <w:tcW w:w="594" w:type="pct"/>
            <w:vAlign w:val="center"/>
          </w:tcPr>
          <w:p w14:paraId="34BD2809" w14:textId="77777777" w:rsidR="00C7364D" w:rsidRPr="008D1A55" w:rsidRDefault="00C7364D" w:rsidP="00DA5A08">
            <w:pPr>
              <w:pStyle w:val="Tabletext"/>
            </w:pPr>
            <w:r w:rsidRPr="008D1A55">
              <w:t>2 (1.1)</w:t>
            </w:r>
          </w:p>
        </w:tc>
        <w:tc>
          <w:tcPr>
            <w:tcW w:w="594" w:type="pct"/>
            <w:vAlign w:val="center"/>
          </w:tcPr>
          <w:p w14:paraId="57B5B93C" w14:textId="77777777" w:rsidR="00C7364D" w:rsidRPr="008D1A55" w:rsidRDefault="00C7364D" w:rsidP="00DA5A08">
            <w:pPr>
              <w:pStyle w:val="Tabletext"/>
            </w:pPr>
            <w:r w:rsidRPr="008D1A55">
              <w:t>4 (0.9)</w:t>
            </w:r>
          </w:p>
        </w:tc>
      </w:tr>
      <w:tr w:rsidR="00C7364D" w:rsidRPr="008D1A55" w14:paraId="560E47A0" w14:textId="77777777" w:rsidTr="00DA5A08">
        <w:trPr>
          <w:trHeight w:val="482"/>
          <w:jc w:val="center"/>
        </w:trPr>
        <w:tc>
          <w:tcPr>
            <w:tcW w:w="2286" w:type="pct"/>
            <w:vAlign w:val="center"/>
          </w:tcPr>
          <w:p w14:paraId="3FABCA98" w14:textId="77777777" w:rsidR="00C7364D" w:rsidRPr="008D1A55" w:rsidRDefault="00C7364D" w:rsidP="00DA5A08">
            <w:pPr>
              <w:pStyle w:val="Tabletext"/>
            </w:pPr>
            <w:r w:rsidRPr="008D1A55">
              <w:rPr>
                <w:spacing w:val="-1"/>
              </w:rPr>
              <w:t>Withdrawa</w:t>
            </w:r>
            <w:r w:rsidRPr="008D1A55">
              <w:t>l</w:t>
            </w:r>
            <w:r w:rsidRPr="008D1A55">
              <w:rPr>
                <w:spacing w:val="-1"/>
              </w:rPr>
              <w:t xml:space="preserve"> b</w:t>
            </w:r>
            <w:r w:rsidRPr="008D1A55">
              <w:t>y</w:t>
            </w:r>
            <w:r w:rsidRPr="008D1A55">
              <w:rPr>
                <w:spacing w:val="-1"/>
              </w:rPr>
              <w:t xml:space="preserve"> subject</w:t>
            </w:r>
          </w:p>
        </w:tc>
        <w:tc>
          <w:tcPr>
            <w:tcW w:w="763" w:type="pct"/>
            <w:vAlign w:val="center"/>
          </w:tcPr>
          <w:p w14:paraId="3C87EE14" w14:textId="77777777" w:rsidR="00C7364D" w:rsidRPr="008D1A55" w:rsidRDefault="00C7364D" w:rsidP="00DA5A08">
            <w:pPr>
              <w:pStyle w:val="Tabletext"/>
            </w:pPr>
            <w:r w:rsidRPr="008D1A55">
              <w:t>4 (4.3)</w:t>
            </w:r>
          </w:p>
        </w:tc>
        <w:tc>
          <w:tcPr>
            <w:tcW w:w="763" w:type="pct"/>
            <w:vAlign w:val="center"/>
          </w:tcPr>
          <w:p w14:paraId="45C54C55" w14:textId="77777777" w:rsidR="00C7364D" w:rsidRPr="008D1A55" w:rsidRDefault="00C7364D" w:rsidP="00DA5A08">
            <w:pPr>
              <w:pStyle w:val="Tabletext"/>
            </w:pPr>
            <w:r w:rsidRPr="008D1A55">
              <w:t>14 (7.8)</w:t>
            </w:r>
          </w:p>
        </w:tc>
        <w:tc>
          <w:tcPr>
            <w:tcW w:w="594" w:type="pct"/>
            <w:vAlign w:val="center"/>
          </w:tcPr>
          <w:p w14:paraId="3D0E3544" w14:textId="77777777" w:rsidR="00C7364D" w:rsidRPr="008D1A55" w:rsidRDefault="00C7364D" w:rsidP="00DA5A08">
            <w:pPr>
              <w:pStyle w:val="Tabletext"/>
            </w:pPr>
            <w:r w:rsidRPr="008D1A55">
              <w:t>13 (7.1)</w:t>
            </w:r>
          </w:p>
        </w:tc>
        <w:tc>
          <w:tcPr>
            <w:tcW w:w="594" w:type="pct"/>
            <w:vAlign w:val="center"/>
          </w:tcPr>
          <w:p w14:paraId="651E4A1E" w14:textId="77777777" w:rsidR="00C7364D" w:rsidRPr="008D1A55" w:rsidRDefault="00C7364D" w:rsidP="00DA5A08">
            <w:pPr>
              <w:pStyle w:val="Tabletext"/>
            </w:pPr>
            <w:r w:rsidRPr="008D1A55">
              <w:t>31 (6.8)</w:t>
            </w:r>
          </w:p>
        </w:tc>
      </w:tr>
      <w:tr w:rsidR="00C7364D" w:rsidRPr="008D1A55" w14:paraId="785EBF8B" w14:textId="77777777" w:rsidTr="00DA5A08">
        <w:trPr>
          <w:trHeight w:val="482"/>
          <w:jc w:val="center"/>
        </w:trPr>
        <w:tc>
          <w:tcPr>
            <w:tcW w:w="2286" w:type="pct"/>
            <w:vAlign w:val="center"/>
          </w:tcPr>
          <w:p w14:paraId="7CDEA016" w14:textId="77777777" w:rsidR="00C7364D" w:rsidRPr="008D1A55" w:rsidRDefault="00C7364D" w:rsidP="00DA5A08">
            <w:pPr>
              <w:pStyle w:val="Tabletext"/>
            </w:pPr>
            <w:r w:rsidRPr="008D1A55">
              <w:rPr>
                <w:spacing w:val="-1"/>
              </w:rPr>
              <w:t>Other</w:t>
            </w:r>
          </w:p>
        </w:tc>
        <w:tc>
          <w:tcPr>
            <w:tcW w:w="763" w:type="pct"/>
            <w:vAlign w:val="center"/>
          </w:tcPr>
          <w:p w14:paraId="03B05977" w14:textId="77777777" w:rsidR="00C7364D" w:rsidRPr="008D1A55" w:rsidRDefault="00C7364D" w:rsidP="00DA5A08">
            <w:pPr>
              <w:pStyle w:val="Tabletext"/>
            </w:pPr>
            <w:r w:rsidRPr="008D1A55">
              <w:t>1 (1.1)</w:t>
            </w:r>
          </w:p>
        </w:tc>
        <w:tc>
          <w:tcPr>
            <w:tcW w:w="763" w:type="pct"/>
            <w:vAlign w:val="center"/>
          </w:tcPr>
          <w:p w14:paraId="1F64EC3F" w14:textId="77777777" w:rsidR="00C7364D" w:rsidRPr="008D1A55" w:rsidRDefault="00C7364D" w:rsidP="00DA5A08">
            <w:pPr>
              <w:pStyle w:val="Tabletext"/>
            </w:pPr>
            <w:r w:rsidRPr="008D1A55">
              <w:t>3 (1.7)</w:t>
            </w:r>
          </w:p>
        </w:tc>
        <w:tc>
          <w:tcPr>
            <w:tcW w:w="594" w:type="pct"/>
            <w:vAlign w:val="center"/>
          </w:tcPr>
          <w:p w14:paraId="7DC7E155" w14:textId="77777777" w:rsidR="00C7364D" w:rsidRPr="008D1A55" w:rsidRDefault="00C7364D" w:rsidP="00DA5A08">
            <w:pPr>
              <w:pStyle w:val="Tabletext"/>
            </w:pPr>
            <w:r w:rsidRPr="008D1A55">
              <w:t>0</w:t>
            </w:r>
          </w:p>
        </w:tc>
        <w:tc>
          <w:tcPr>
            <w:tcW w:w="594" w:type="pct"/>
            <w:vAlign w:val="center"/>
          </w:tcPr>
          <w:p w14:paraId="781C7FC6" w14:textId="77777777" w:rsidR="00C7364D" w:rsidRPr="008D1A55" w:rsidRDefault="00C7364D" w:rsidP="00DA5A08">
            <w:pPr>
              <w:pStyle w:val="Tabletext"/>
            </w:pPr>
            <w:r w:rsidRPr="008D1A55">
              <w:t>4 (0.9)</w:t>
            </w:r>
          </w:p>
        </w:tc>
      </w:tr>
      <w:tr w:rsidR="00C7364D" w:rsidRPr="008D1A55" w14:paraId="54C2B07F" w14:textId="77777777" w:rsidTr="00DA5A08">
        <w:trPr>
          <w:trHeight w:val="482"/>
          <w:jc w:val="center"/>
        </w:trPr>
        <w:tc>
          <w:tcPr>
            <w:tcW w:w="2286" w:type="pct"/>
            <w:vAlign w:val="center"/>
          </w:tcPr>
          <w:p w14:paraId="65E737FF" w14:textId="3A519471" w:rsidR="00C7364D" w:rsidRPr="008D1A55" w:rsidRDefault="00C7364D" w:rsidP="00DA5A08">
            <w:pPr>
              <w:pStyle w:val="Tabletext"/>
              <w:rPr>
                <w:b/>
                <w:bCs/>
              </w:rPr>
            </w:pPr>
            <w:r w:rsidRPr="008D1A55">
              <w:rPr>
                <w:b/>
                <w:bCs/>
              </w:rPr>
              <w:t>Subjects</w:t>
            </w:r>
            <w:r w:rsidRPr="008D1A55">
              <w:rPr>
                <w:b/>
                <w:bCs/>
                <w:spacing w:val="-1"/>
              </w:rPr>
              <w:t xml:space="preserve"> </w:t>
            </w:r>
            <w:r w:rsidRPr="008D1A55">
              <w:rPr>
                <w:b/>
                <w:bCs/>
              </w:rPr>
              <w:t>enrolled</w:t>
            </w:r>
            <w:r w:rsidRPr="008D1A55">
              <w:rPr>
                <w:b/>
                <w:bCs/>
                <w:spacing w:val="-1"/>
              </w:rPr>
              <w:t xml:space="preserve"> </w:t>
            </w:r>
            <w:r w:rsidRPr="008D1A55">
              <w:rPr>
                <w:b/>
                <w:bCs/>
              </w:rPr>
              <w:t>to</w:t>
            </w:r>
            <w:r w:rsidRPr="008D1A55">
              <w:rPr>
                <w:b/>
                <w:bCs/>
                <w:spacing w:val="-1"/>
              </w:rPr>
              <w:t xml:space="preserve"> </w:t>
            </w:r>
            <w:r w:rsidRPr="008D1A55">
              <w:rPr>
                <w:b/>
                <w:bCs/>
              </w:rPr>
              <w:t>the</w:t>
            </w:r>
            <w:r w:rsidRPr="008D1A55">
              <w:rPr>
                <w:b/>
                <w:bCs/>
                <w:spacing w:val="-1"/>
              </w:rPr>
              <w:t xml:space="preserve"> </w:t>
            </w:r>
            <w:r w:rsidR="00DA5A08" w:rsidRPr="008D1A55">
              <w:rPr>
                <w:b/>
                <w:bCs/>
              </w:rPr>
              <w:t xml:space="preserve">long-term extension </w:t>
            </w:r>
            <w:r w:rsidRPr="008D1A55">
              <w:rPr>
                <w:b/>
                <w:bCs/>
              </w:rPr>
              <w:t>study</w:t>
            </w:r>
          </w:p>
        </w:tc>
        <w:tc>
          <w:tcPr>
            <w:tcW w:w="763" w:type="pct"/>
            <w:vAlign w:val="center"/>
          </w:tcPr>
          <w:p w14:paraId="725C1F41" w14:textId="77777777" w:rsidR="00C7364D" w:rsidRPr="008D1A55" w:rsidRDefault="00C7364D" w:rsidP="00DA5A08">
            <w:pPr>
              <w:pStyle w:val="Tabletext"/>
            </w:pPr>
            <w:r w:rsidRPr="008D1A55">
              <w:t>69 (74.2)</w:t>
            </w:r>
          </w:p>
        </w:tc>
        <w:tc>
          <w:tcPr>
            <w:tcW w:w="763" w:type="pct"/>
            <w:vAlign w:val="center"/>
          </w:tcPr>
          <w:p w14:paraId="5327F6D9" w14:textId="77777777" w:rsidR="00C7364D" w:rsidRPr="008D1A55" w:rsidRDefault="00C7364D" w:rsidP="00DA5A08">
            <w:pPr>
              <w:pStyle w:val="Tabletext"/>
            </w:pPr>
            <w:r w:rsidRPr="008D1A55">
              <w:t>126</w:t>
            </w:r>
            <w:r w:rsidRPr="008D1A55">
              <w:rPr>
                <w:spacing w:val="3"/>
              </w:rPr>
              <w:t xml:space="preserve"> </w:t>
            </w:r>
            <w:r w:rsidRPr="008D1A55">
              <w:t>(70.0)</w:t>
            </w:r>
          </w:p>
        </w:tc>
        <w:tc>
          <w:tcPr>
            <w:tcW w:w="594" w:type="pct"/>
            <w:vAlign w:val="center"/>
          </w:tcPr>
          <w:p w14:paraId="3F35D4F3" w14:textId="77777777" w:rsidR="00C7364D" w:rsidRPr="008D1A55" w:rsidRDefault="00C7364D" w:rsidP="00DA5A08">
            <w:pPr>
              <w:pStyle w:val="Tabletext"/>
            </w:pPr>
            <w:r w:rsidRPr="008D1A55">
              <w:t>129 (70.1)</w:t>
            </w:r>
          </w:p>
        </w:tc>
        <w:tc>
          <w:tcPr>
            <w:tcW w:w="594" w:type="pct"/>
            <w:vAlign w:val="center"/>
          </w:tcPr>
          <w:p w14:paraId="0F373A42" w14:textId="77777777" w:rsidR="00C7364D" w:rsidRPr="008D1A55" w:rsidRDefault="00C7364D" w:rsidP="00DA5A08">
            <w:pPr>
              <w:pStyle w:val="Tabletext"/>
            </w:pPr>
            <w:r w:rsidRPr="008D1A55">
              <w:t>324 (70.9)</w:t>
            </w:r>
          </w:p>
        </w:tc>
      </w:tr>
    </w:tbl>
    <w:p w14:paraId="4BF9CCA8" w14:textId="45408D0E" w:rsidR="00C7364D" w:rsidRPr="008D1A55" w:rsidRDefault="00C7364D" w:rsidP="00DA5A08">
      <w:pPr>
        <w:pStyle w:val="TableDescription"/>
      </w:pPr>
      <w:proofErr w:type="spellStart"/>
      <w:proofErr w:type="gramStart"/>
      <w:r w:rsidRPr="008D1A55">
        <w:t>a</w:t>
      </w:r>
      <w:proofErr w:type="spellEnd"/>
      <w:proofErr w:type="gramEnd"/>
      <w:r w:rsidRPr="008D1A55">
        <w:t xml:space="preserve"> Informed consent received.</w:t>
      </w:r>
    </w:p>
    <w:p w14:paraId="492D1EAD" w14:textId="77777777" w:rsidR="00C7364D" w:rsidRPr="008D1A55" w:rsidRDefault="00C7364D" w:rsidP="00DA5A08">
      <w:pPr>
        <w:pStyle w:val="TableDescription"/>
      </w:pPr>
      <w:r w:rsidRPr="008D1A55">
        <w:lastRenderedPageBreak/>
        <w:t>b Percentages are based upon all enrolled subjects.</w:t>
      </w:r>
    </w:p>
    <w:p w14:paraId="62FE9DED" w14:textId="77777777" w:rsidR="00C7364D" w:rsidRPr="008D1A55" w:rsidRDefault="00C7364D" w:rsidP="00DA5A08">
      <w:pPr>
        <w:pStyle w:val="TableDescription"/>
      </w:pPr>
      <w:r w:rsidRPr="008D1A55">
        <w:t>If not stated otherwise, percentages are based upon all subjects in the full analysis set.</w:t>
      </w:r>
    </w:p>
    <w:p w14:paraId="5CFD6716" w14:textId="77777777" w:rsidR="00C7364D" w:rsidRPr="008D1A55" w:rsidRDefault="00C7364D" w:rsidP="00DA5A08">
      <w:pPr>
        <w:pStyle w:val="TableDescription"/>
      </w:pPr>
      <w:r w:rsidRPr="008D1A55">
        <w:t>The full analysis set comprises all subjects who received at least one dose of investigational product.</w:t>
      </w:r>
    </w:p>
    <w:p w14:paraId="0068969B" w14:textId="1D47EF94" w:rsidR="00C7364D" w:rsidRPr="008D1A55" w:rsidRDefault="00C7364D" w:rsidP="00DA5A08">
      <w:pPr>
        <w:pStyle w:val="TableDescription"/>
      </w:pPr>
      <w:r w:rsidRPr="008D1A55">
        <w:t xml:space="preserve">Completion of the study is based upon the number of subjects completing Week 52 (Visit 14) and either enrolled to </w:t>
      </w:r>
      <w:r w:rsidR="00DA5A08" w:rsidRPr="008D1A55">
        <w:t xml:space="preserve">long-term extension </w:t>
      </w:r>
      <w:r w:rsidRPr="008D1A55">
        <w:t xml:space="preserve">or completed 12 weeks of follow-up after their last dose of </w:t>
      </w:r>
      <w:r w:rsidR="00DA5A08" w:rsidRPr="008D1A55">
        <w:t xml:space="preserve">investigational product </w:t>
      </w:r>
      <w:r w:rsidRPr="008D1A55">
        <w:t xml:space="preserve">(Follow-up Visit 2, or Week 52 for patients who prematurely discontinued </w:t>
      </w:r>
      <w:r w:rsidR="00DA5A08" w:rsidRPr="008D1A55">
        <w:t xml:space="preserve">investigational product more than </w:t>
      </w:r>
      <w:r w:rsidRPr="008D1A55">
        <w:t>12 weeks prior).</w:t>
      </w:r>
    </w:p>
    <w:p w14:paraId="47666318" w14:textId="6DCF3C43" w:rsidR="00C7364D" w:rsidRPr="008D1A55" w:rsidRDefault="00C7364D" w:rsidP="00DA5A08">
      <w:pPr>
        <w:pStyle w:val="TableDescription"/>
      </w:pPr>
      <w:r w:rsidRPr="008D1A55">
        <w:t>Completion of Week 52 is based upon the number of subjects completing up to and including Week</w:t>
      </w:r>
      <w:r w:rsidR="00DA5A08" w:rsidRPr="008D1A55">
        <w:t> </w:t>
      </w:r>
      <w:r w:rsidRPr="008D1A55">
        <w:t>52 (Visit 14</w:t>
      </w:r>
      <w:r w:rsidR="00DA5A08" w:rsidRPr="008D1A55">
        <w:t xml:space="preserve"> or early discontinuation visit</w:t>
      </w:r>
      <w:r w:rsidRPr="008D1A55">
        <w:t>).</w:t>
      </w:r>
    </w:p>
    <w:p w14:paraId="3DF45EB2" w14:textId="77777777" w:rsidR="00C7364D" w:rsidRPr="008D1A55" w:rsidRDefault="00C7364D" w:rsidP="00DA5A08">
      <w:pPr>
        <w:pStyle w:val="TableDescription"/>
      </w:pPr>
      <w:r w:rsidRPr="008D1A55">
        <w:t>Completion of study treatment is based upon the number of subjects completing treatment with investigational product up to and including Week 48 (Visit 13).</w:t>
      </w:r>
    </w:p>
    <w:p w14:paraId="62E1A5C2" w14:textId="2B996A04" w:rsidR="00C7364D" w:rsidRPr="008D1A55" w:rsidRDefault="00C7364D" w:rsidP="00DA5A08">
      <w:pPr>
        <w:pStyle w:val="TableDescription"/>
      </w:pPr>
      <w:r w:rsidRPr="008D1A55">
        <w:t xml:space="preserve">Enrolled to the </w:t>
      </w:r>
      <w:r w:rsidR="00DA5A08" w:rsidRPr="008D1A55">
        <w:t xml:space="preserve">long-term extension </w:t>
      </w:r>
      <w:r w:rsidRPr="008D1A55">
        <w:t xml:space="preserve">is based on the Week 52 status of the </w:t>
      </w:r>
      <w:r w:rsidR="00DA5A08" w:rsidRPr="008D1A55">
        <w:t>electronic case report form</w:t>
      </w:r>
      <w:r w:rsidRPr="008D1A55">
        <w:t>.</w:t>
      </w:r>
    </w:p>
    <w:p w14:paraId="24D92FDF" w14:textId="78630CFB" w:rsidR="00C7364D" w:rsidRPr="008D1A55" w:rsidRDefault="00C7364D" w:rsidP="005B2B36">
      <w:r w:rsidRPr="008D1A55">
        <w:t>No concerns regarding protocol deviations in terms of study conduct or the safety of the patients and they were judged to not influence the study outcome</w:t>
      </w:r>
      <w:r w:rsidR="00DA5A08" w:rsidRPr="008D1A55">
        <w:t>.</w:t>
      </w:r>
    </w:p>
    <w:p w14:paraId="3B0E53CE" w14:textId="60547442" w:rsidR="00C7364D" w:rsidRPr="008D1A55" w:rsidRDefault="00C7364D" w:rsidP="005B2B36">
      <w:r w:rsidRPr="008D1A55">
        <w:t xml:space="preserve">The demographic characteristics of the patients were generally balanced across the treatment groups. The population had a median age of 41.0 years and was predominantly female (92.3%) and White (71.3%). The proportion of patients </w:t>
      </w:r>
      <w:r w:rsidR="00DA5A08" w:rsidRPr="008D1A55">
        <w:t xml:space="preserve">at least </w:t>
      </w:r>
      <w:r w:rsidRPr="008D1A55">
        <w:t xml:space="preserve">65 years of age was 4.4% (3.2% in the </w:t>
      </w:r>
      <w:proofErr w:type="spellStart"/>
      <w:r w:rsidRPr="008D1A55">
        <w:t>anifrolumab</w:t>
      </w:r>
      <w:proofErr w:type="spellEnd"/>
      <w:r w:rsidRPr="008D1A55">
        <w:t xml:space="preserve"> 150 mg group, 6.1% in the </w:t>
      </w:r>
      <w:proofErr w:type="spellStart"/>
      <w:r w:rsidRPr="008D1A55">
        <w:t>anifrolumab</w:t>
      </w:r>
      <w:proofErr w:type="spellEnd"/>
      <w:r w:rsidRPr="008D1A55">
        <w:t xml:space="preserve"> 300 mg group, and 3.3% in the placebo group). The largest proportions of patients were enrolled in the U</w:t>
      </w:r>
      <w:r w:rsidR="001E36A6" w:rsidRPr="008D1A55">
        <w:t>SA</w:t>
      </w:r>
      <w:r w:rsidRPr="008D1A55">
        <w:t xml:space="preserve"> (40.7%) (Canada did not participate) and Europe (37.9%). Within each geographic region, the proportions of patients were generally balanced across treatment groups with some minor differences.</w:t>
      </w:r>
    </w:p>
    <w:p w14:paraId="2FB1DEDA" w14:textId="76E5E5FB" w:rsidR="00C7364D" w:rsidRPr="008D1A55" w:rsidRDefault="00C7364D" w:rsidP="005B2B36">
      <w:r w:rsidRPr="008D1A55">
        <w:t xml:space="preserve">The baseline characteristics of the patients (height, </w:t>
      </w:r>
      <w:proofErr w:type="gramStart"/>
      <w:r w:rsidRPr="008D1A55">
        <w:t>weight</w:t>
      </w:r>
      <w:proofErr w:type="gramEnd"/>
      <w:r w:rsidR="00023A76" w:rsidRPr="008D1A55">
        <w:t xml:space="preserve"> and</w:t>
      </w:r>
      <w:r w:rsidRPr="008D1A55">
        <w:t xml:space="preserve"> BMI) were generally balanced across the treatment groups. The median BMI was 26.2 kg/m</w:t>
      </w:r>
      <w:r w:rsidRPr="008D1A55">
        <w:rPr>
          <w:vertAlign w:val="superscript"/>
        </w:rPr>
        <w:t>2</w:t>
      </w:r>
      <w:r w:rsidRPr="008D1A55">
        <w:t xml:space="preserve"> and 41.8% of patients had a BMI of </w:t>
      </w:r>
      <w:r w:rsidR="00023A76" w:rsidRPr="008D1A55">
        <w:t xml:space="preserve">higher than </w:t>
      </w:r>
      <w:r w:rsidRPr="008D1A55">
        <w:t>28 kg/m</w:t>
      </w:r>
      <w:r w:rsidRPr="008D1A55">
        <w:rPr>
          <w:vertAlign w:val="superscript"/>
        </w:rPr>
        <w:t>2</w:t>
      </w:r>
      <w:r w:rsidRPr="008D1A55">
        <w:t>.</w:t>
      </w:r>
    </w:p>
    <w:p w14:paraId="55BF22F1" w14:textId="5BEE882D" w:rsidR="00C7364D" w:rsidRPr="008D1A55" w:rsidRDefault="00C7364D" w:rsidP="005B2B36">
      <w:r w:rsidRPr="008D1A55">
        <w:t xml:space="preserve">Overall, this patient population had moderate to severe disease activity at </w:t>
      </w:r>
      <w:r w:rsidR="00CA1444" w:rsidRPr="008D1A55">
        <w:t>Baseline</w:t>
      </w:r>
      <w:r w:rsidRPr="008D1A55">
        <w:t xml:space="preserve">, with a mean SLEDAI-2K score of 11.3 and a SLEDAI-2K score at </w:t>
      </w:r>
      <w:r w:rsidR="00CA1444" w:rsidRPr="008D1A55">
        <w:t>Baseline</w:t>
      </w:r>
      <w:r w:rsidRPr="008D1A55">
        <w:t xml:space="preserve"> of </w:t>
      </w:r>
      <w:r w:rsidR="00023A76" w:rsidRPr="008D1A55">
        <w:t xml:space="preserve">at least </w:t>
      </w:r>
      <w:r w:rsidRPr="008D1A55">
        <w:t xml:space="preserve">10 in 71.8% of patients, a mean BILAG score of 19.2, and a median PGA score of 1.90. Overall, 47.5% of patients had severe disease in at least one organ system (BILAG-2004 level A) and 46.2% of patients had moderate disease in at least two organ systems (BILAG-2004 level B). The most common organ manifestations were of the mucocutaneous and musculoskeletal systems. A total of 31.1% of patients had moderate to severe skin disease (CLASI activity score </w:t>
      </w:r>
      <w:r w:rsidR="00023A76" w:rsidRPr="008D1A55">
        <w:t xml:space="preserve">at least </w:t>
      </w:r>
      <w:r w:rsidRPr="008D1A55">
        <w:t xml:space="preserve">10 points) at </w:t>
      </w:r>
      <w:r w:rsidR="00CA1444" w:rsidRPr="008D1A55">
        <w:t>Baseline</w:t>
      </w:r>
      <w:r w:rsidRPr="008D1A55">
        <w:t xml:space="preserve">, with a mean CLASI activity score of 8.2. Joint characteristics at </w:t>
      </w:r>
      <w:r w:rsidR="00CA1444" w:rsidRPr="008D1A55">
        <w:t>Baseline</w:t>
      </w:r>
      <w:r w:rsidRPr="008D1A55">
        <w:t xml:space="preserve"> were generally balanced across treatment groups, with the mean numbers of active, swollen, and tender joints per patient being 6.8, 7.2, and 11.1, respectively. Some organ damage at </w:t>
      </w:r>
      <w:r w:rsidR="00CA1444" w:rsidRPr="008D1A55">
        <w:t>Baseline</w:t>
      </w:r>
      <w:r w:rsidRPr="008D1A55">
        <w:t xml:space="preserve"> (SDI score </w:t>
      </w:r>
      <w:r w:rsidR="00023A76" w:rsidRPr="008D1A55">
        <w:t xml:space="preserve">of at least </w:t>
      </w:r>
      <w:r w:rsidRPr="008D1A55">
        <w:t xml:space="preserve">1) was observed in 35.0% of patients, with a mean overall SDI score of 0.6. Patients had a median time from initial SLE diagnosis to randomisation of 84 months (7 years). Cushingoid features were generally similar across treatment groups with 38.9% of patients with at least one Cushingoid feature at </w:t>
      </w:r>
      <w:r w:rsidR="00CA1444" w:rsidRPr="008D1A55">
        <w:t>Baseline</w:t>
      </w:r>
      <w:r w:rsidRPr="008D1A55">
        <w:t xml:space="preserve">. The </w:t>
      </w:r>
      <w:proofErr w:type="gramStart"/>
      <w:r w:rsidRPr="008D1A55">
        <w:t>most commonly reported</w:t>
      </w:r>
      <w:proofErr w:type="gramEnd"/>
      <w:r w:rsidRPr="008D1A55">
        <w:t xml:space="preserve"> Cushingoid features were easy bruising (19.5%), moon face (18.8%), and central obesity (16.2%).</w:t>
      </w:r>
    </w:p>
    <w:p w14:paraId="20AC57E9" w14:textId="10580550" w:rsidR="00C7364D" w:rsidRPr="008D1A55" w:rsidRDefault="00C7364D" w:rsidP="005B2B36">
      <w:r w:rsidRPr="008D1A55">
        <w:t xml:space="preserve">Overall, 82.1% of patients were classified as </w:t>
      </w:r>
      <w:r w:rsidR="00CC61CB" w:rsidRPr="008D1A55">
        <w:t xml:space="preserve">Type </w:t>
      </w:r>
      <w:r w:rsidR="00D264E5" w:rsidRPr="008D1A55">
        <w:t>I</w:t>
      </w:r>
      <w:r w:rsidRPr="008D1A55">
        <w:t xml:space="preserve"> </w:t>
      </w:r>
      <w:r w:rsidR="00D264E5" w:rsidRPr="008D1A55">
        <w:t>interferon</w:t>
      </w:r>
      <w:r w:rsidRPr="008D1A55">
        <w:t xml:space="preserve"> gene signature test high at </w:t>
      </w:r>
      <w:r w:rsidR="00CA1444" w:rsidRPr="008D1A55">
        <w:t>Baseline</w:t>
      </w:r>
      <w:r w:rsidRPr="008D1A55">
        <w:t>. A total of 90.2% of patients had elevated</w:t>
      </w:r>
      <w:r w:rsidR="00A259E4" w:rsidRPr="008D1A55">
        <w:t xml:space="preserve"> or </w:t>
      </w:r>
      <w:r w:rsidRPr="008D1A55">
        <w:t>abnormal ANA titres and 45.3% tested positive for anti-dsDNA antibodies.</w:t>
      </w:r>
    </w:p>
    <w:p w14:paraId="0EB54FC0" w14:textId="71267034" w:rsidR="00C7364D" w:rsidRPr="008D1A55" w:rsidRDefault="005B2B36" w:rsidP="005B2B36">
      <w:pPr>
        <w:pStyle w:val="Heading6"/>
      </w:pPr>
      <w:r w:rsidRPr="008D1A55">
        <w:t>Study r</w:t>
      </w:r>
      <w:r w:rsidR="00C7364D" w:rsidRPr="008D1A55">
        <w:t>esults</w:t>
      </w:r>
    </w:p>
    <w:p w14:paraId="5CC144E0" w14:textId="3B0CBE02" w:rsidR="00C7364D" w:rsidRPr="008D1A55" w:rsidRDefault="00C7364D" w:rsidP="005B2B36">
      <w:r w:rsidRPr="008D1A55">
        <w:t xml:space="preserve">The primary objective was to evaluate the effect of </w:t>
      </w:r>
      <w:proofErr w:type="spellStart"/>
      <w:r w:rsidRPr="008D1A55">
        <w:t>anifrolumab</w:t>
      </w:r>
      <w:proofErr w:type="spellEnd"/>
      <w:r w:rsidRPr="008D1A55">
        <w:t xml:space="preserve"> compared with placebo on disease activity as measured by the proportion of patients achieving a reduction in overall SLE disease activity (</w:t>
      </w:r>
      <w:proofErr w:type="gramStart"/>
      <w:r w:rsidRPr="008D1A55">
        <w:t>SRI</w:t>
      </w:r>
      <w:r w:rsidR="00740C4D" w:rsidRPr="008D1A55">
        <w:t>(</w:t>
      </w:r>
      <w:proofErr w:type="gramEnd"/>
      <w:r w:rsidRPr="008D1A55">
        <w:t>4</w:t>
      </w:r>
      <w:r w:rsidR="00740C4D" w:rsidRPr="008D1A55">
        <w:t>)</w:t>
      </w:r>
      <w:r w:rsidRPr="008D1A55">
        <w:t xml:space="preserve"> response rate) at Week 52.</w:t>
      </w:r>
    </w:p>
    <w:p w14:paraId="7D7C3431" w14:textId="0AE3F4C3" w:rsidR="00C7364D" w:rsidRPr="008D1A55" w:rsidRDefault="00C7364D" w:rsidP="005B2B36">
      <w:r w:rsidRPr="008D1A55">
        <w:lastRenderedPageBreak/>
        <w:t xml:space="preserve">The primary objective of the study was not met. At Week 52 the results were generally similar between patients in the </w:t>
      </w:r>
      <w:proofErr w:type="spellStart"/>
      <w:r w:rsidRPr="008D1A55">
        <w:t>anifrolumab</w:t>
      </w:r>
      <w:proofErr w:type="spellEnd"/>
      <w:r w:rsidRPr="008D1A55">
        <w:t xml:space="preserve"> 300 mg group compared with patients in the placebo group. The difference of -4.2% did not meet statistical significance (p</w:t>
      </w:r>
      <w:r w:rsidR="00A259E4" w:rsidRPr="008D1A55">
        <w:t xml:space="preserve"> </w:t>
      </w:r>
      <w:r w:rsidRPr="008D1A55">
        <w:t>=</w:t>
      </w:r>
      <w:r w:rsidR="00A259E4" w:rsidRPr="008D1A55">
        <w:t xml:space="preserve"> </w:t>
      </w:r>
      <w:r w:rsidRPr="008D1A55">
        <w:t>0.412).</w:t>
      </w:r>
    </w:p>
    <w:p w14:paraId="20EB2E71" w14:textId="19BBDF99" w:rsidR="00C7364D" w:rsidRPr="008D1A55" w:rsidRDefault="00C7364D" w:rsidP="005B2B36">
      <w:r w:rsidRPr="008D1A55">
        <w:t xml:space="preserve">When the revised restricted medication rules were applied in the </w:t>
      </w:r>
      <w:r w:rsidRPr="008D1A55">
        <w:rPr>
          <w:i/>
          <w:iCs/>
        </w:rPr>
        <w:t>post-hoc</w:t>
      </w:r>
      <w:r w:rsidRPr="008D1A55">
        <w:t xml:space="preserve"> analysis, the </w:t>
      </w:r>
      <w:proofErr w:type="gramStart"/>
      <w:r w:rsidRPr="008D1A55">
        <w:t>SRI(</w:t>
      </w:r>
      <w:proofErr w:type="gramEnd"/>
      <w:r w:rsidRPr="008D1A55">
        <w:t xml:space="preserve">4) response rate at Week 52 was still generally similar between patients in the </w:t>
      </w:r>
      <w:proofErr w:type="spellStart"/>
      <w:r w:rsidRPr="008D1A55">
        <w:t>anifrolumab</w:t>
      </w:r>
      <w:proofErr w:type="spellEnd"/>
      <w:r w:rsidRPr="008D1A55">
        <w:t xml:space="preserve"> 300 mg group compared with patients in the placebo group (difference of 3.9%, p</w:t>
      </w:r>
      <w:r w:rsidR="00A259E4" w:rsidRPr="008D1A55">
        <w:t xml:space="preserve"> </w:t>
      </w:r>
      <w:r w:rsidRPr="008D1A55">
        <w:t>=</w:t>
      </w:r>
      <w:r w:rsidR="00A259E4" w:rsidRPr="008D1A55">
        <w:t xml:space="preserve"> </w:t>
      </w:r>
      <w:r w:rsidRPr="008D1A55">
        <w:t>0.455)</w:t>
      </w:r>
    </w:p>
    <w:p w14:paraId="0DCAFE9C" w14:textId="2B1EBA1E" w:rsidR="00C7364D" w:rsidRPr="008D1A55" w:rsidRDefault="00720FF5" w:rsidP="00B32ADD">
      <w:pPr>
        <w:pStyle w:val="TableTitle"/>
      </w:pPr>
      <w:bookmarkStart w:id="66" w:name="_Toc83112045"/>
      <w:r w:rsidRPr="008D1A55">
        <w:t xml:space="preserve">Table </w:t>
      </w:r>
      <w:r w:rsidR="005675A0">
        <w:fldChar w:fldCharType="begin"/>
      </w:r>
      <w:r w:rsidR="005675A0">
        <w:instrText xml:space="preserve"> SEQ Table \* ARABIC </w:instrText>
      </w:r>
      <w:r w:rsidR="005675A0">
        <w:fldChar w:fldCharType="separate"/>
      </w:r>
      <w:r w:rsidR="00D8723A">
        <w:rPr>
          <w:noProof/>
        </w:rPr>
        <w:t>9</w:t>
      </w:r>
      <w:r w:rsidR="005675A0">
        <w:rPr>
          <w:noProof/>
        </w:rPr>
        <w:fldChar w:fldCharType="end"/>
      </w:r>
      <w:r w:rsidRPr="008D1A55">
        <w:t xml:space="preserve">: </w:t>
      </w:r>
      <w:r w:rsidR="00C7364D" w:rsidRPr="008D1A55">
        <w:t xml:space="preserve">Study </w:t>
      </w:r>
      <w:r w:rsidR="007D0024" w:rsidRPr="008D1A55">
        <w:t>D3461C00005</w:t>
      </w:r>
      <w:r w:rsidR="00C7364D" w:rsidRPr="008D1A55">
        <w:t xml:space="preserve"> </w:t>
      </w:r>
      <w:r w:rsidR="00891DA6" w:rsidRPr="008D1A55">
        <w:t xml:space="preserve">Systemic Lupus Erythematosus Responder Index </w:t>
      </w:r>
      <w:r w:rsidR="0035180C" w:rsidRPr="008D1A55">
        <w:t>of at least 4</w:t>
      </w:r>
      <w:r w:rsidR="00C7364D" w:rsidRPr="008D1A55">
        <w:t xml:space="preserve"> response rate, treatment comparison at Week 52, stratified Cochran-Mantel-Haenszel approach (</w:t>
      </w:r>
      <w:r w:rsidR="00B32ADD" w:rsidRPr="008D1A55">
        <w:t>full analysis set</w:t>
      </w:r>
      <w:r w:rsidR="00C7364D" w:rsidRPr="008D1A55">
        <w:t>)</w:t>
      </w:r>
      <w:bookmarkEnd w:id="66"/>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8"/>
        <w:gridCol w:w="1416"/>
        <w:gridCol w:w="427"/>
        <w:gridCol w:w="991"/>
        <w:gridCol w:w="991"/>
        <w:gridCol w:w="852"/>
        <w:gridCol w:w="993"/>
        <w:gridCol w:w="993"/>
        <w:gridCol w:w="850"/>
      </w:tblGrid>
      <w:tr w:rsidR="00C7364D" w:rsidRPr="008D1A55" w14:paraId="2534DEEF" w14:textId="77777777" w:rsidTr="00B32ADD">
        <w:trPr>
          <w:trHeight w:val="482"/>
          <w:jc w:val="center"/>
        </w:trPr>
        <w:tc>
          <w:tcPr>
            <w:tcW w:w="1665" w:type="pct"/>
            <w:gridSpan w:val="3"/>
            <w:shd w:val="clear" w:color="auto" w:fill="006DA7"/>
          </w:tcPr>
          <w:p w14:paraId="3F965474" w14:textId="77777777" w:rsidR="00C7364D" w:rsidRPr="008D1A55" w:rsidRDefault="00C7364D" w:rsidP="00B32ADD">
            <w:pPr>
              <w:pStyle w:val="Tabletext"/>
              <w:rPr>
                <w:color w:val="FFFFFF" w:themeColor="background1"/>
              </w:rPr>
            </w:pPr>
          </w:p>
        </w:tc>
        <w:tc>
          <w:tcPr>
            <w:tcW w:w="1667" w:type="pct"/>
            <w:gridSpan w:val="3"/>
            <w:shd w:val="clear" w:color="auto" w:fill="006DA7"/>
            <w:vAlign w:val="center"/>
          </w:tcPr>
          <w:p w14:paraId="0532BF4F" w14:textId="0D03F216" w:rsidR="00C7364D" w:rsidRPr="008D1A55" w:rsidRDefault="00C7364D" w:rsidP="00B32ADD">
            <w:pPr>
              <w:pStyle w:val="Tabletext"/>
              <w:rPr>
                <w:b/>
                <w:bCs/>
                <w:color w:val="FFFFFF" w:themeColor="background1"/>
              </w:rPr>
            </w:pPr>
            <w:r w:rsidRPr="008D1A55">
              <w:rPr>
                <w:b/>
                <w:bCs/>
                <w:color w:val="FFFFFF" w:themeColor="background1"/>
              </w:rPr>
              <w:t xml:space="preserve">Number (%) of </w:t>
            </w:r>
            <w:proofErr w:type="spellStart"/>
            <w:proofErr w:type="gramStart"/>
            <w:r w:rsidRPr="008D1A55">
              <w:rPr>
                <w:b/>
                <w:bCs/>
                <w:color w:val="FFFFFF" w:themeColor="background1"/>
              </w:rPr>
              <w:t>subjects</w:t>
            </w:r>
            <w:r w:rsidR="00B32ADD" w:rsidRPr="008D1A55">
              <w:rPr>
                <w:b/>
                <w:bCs/>
                <w:color w:val="FFFFFF" w:themeColor="background1"/>
              </w:rPr>
              <w:t>;</w:t>
            </w:r>
            <w:r w:rsidRPr="008D1A55">
              <w:rPr>
                <w:b/>
                <w:bCs/>
                <w:color w:val="FFFFFF" w:themeColor="background1"/>
                <w:vertAlign w:val="superscript"/>
              </w:rPr>
              <w:t>a</w:t>
            </w:r>
            <w:proofErr w:type="spellEnd"/>
            <w:proofErr w:type="gramEnd"/>
          </w:p>
        </w:tc>
        <w:tc>
          <w:tcPr>
            <w:tcW w:w="1668" w:type="pct"/>
            <w:gridSpan w:val="3"/>
            <w:shd w:val="clear" w:color="auto" w:fill="006DA7"/>
            <w:vAlign w:val="center"/>
          </w:tcPr>
          <w:p w14:paraId="06E1F306" w14:textId="6B6AF4C8" w:rsidR="00C7364D" w:rsidRPr="008D1A55" w:rsidRDefault="00C7364D" w:rsidP="00B32ADD">
            <w:pPr>
              <w:pStyle w:val="Tabletext"/>
              <w:rPr>
                <w:b/>
                <w:bCs/>
                <w:color w:val="FFFFFF" w:themeColor="background1"/>
              </w:rPr>
            </w:pPr>
            <w:r w:rsidRPr="008D1A55">
              <w:rPr>
                <w:b/>
                <w:bCs/>
                <w:color w:val="FFFFFF" w:themeColor="background1"/>
              </w:rPr>
              <w:t xml:space="preserve">Comparison with </w:t>
            </w:r>
            <w:proofErr w:type="spellStart"/>
            <w:proofErr w:type="gramStart"/>
            <w:r w:rsidR="00B32ADD" w:rsidRPr="008D1A55">
              <w:rPr>
                <w:b/>
                <w:bCs/>
                <w:color w:val="FFFFFF" w:themeColor="background1"/>
              </w:rPr>
              <w:t>placebo;</w:t>
            </w:r>
            <w:r w:rsidR="00B32ADD" w:rsidRPr="008D1A55">
              <w:rPr>
                <w:b/>
                <w:bCs/>
                <w:color w:val="FFFFFF" w:themeColor="background1"/>
                <w:vertAlign w:val="superscript"/>
              </w:rPr>
              <w:t>a</w:t>
            </w:r>
            <w:proofErr w:type="spellEnd"/>
            <w:proofErr w:type="gramEnd"/>
          </w:p>
        </w:tc>
      </w:tr>
      <w:tr w:rsidR="00B32ADD" w:rsidRPr="008D1A55" w14:paraId="5CD54272" w14:textId="77777777" w:rsidTr="00B32ADD">
        <w:trPr>
          <w:trHeight w:val="482"/>
          <w:jc w:val="center"/>
        </w:trPr>
        <w:tc>
          <w:tcPr>
            <w:tcW w:w="581" w:type="pct"/>
            <w:shd w:val="clear" w:color="auto" w:fill="006DA7"/>
            <w:vAlign w:val="center"/>
          </w:tcPr>
          <w:p w14:paraId="785941AD" w14:textId="77777777" w:rsidR="00C7364D" w:rsidRPr="008D1A55" w:rsidRDefault="00C7364D" w:rsidP="00B32ADD">
            <w:pPr>
              <w:pStyle w:val="Tabletext"/>
              <w:rPr>
                <w:color w:val="FFFFFF" w:themeColor="background1"/>
              </w:rPr>
            </w:pPr>
            <w:r w:rsidRPr="008D1A55">
              <w:rPr>
                <w:b/>
                <w:bCs/>
                <w:color w:val="FFFFFF" w:themeColor="background1"/>
                <w:spacing w:val="-1"/>
              </w:rPr>
              <w:t>Timepoint</w:t>
            </w:r>
          </w:p>
        </w:tc>
        <w:tc>
          <w:tcPr>
            <w:tcW w:w="833" w:type="pct"/>
            <w:shd w:val="clear" w:color="auto" w:fill="006DA7"/>
            <w:vAlign w:val="center"/>
          </w:tcPr>
          <w:p w14:paraId="1339754C" w14:textId="77777777" w:rsidR="00C7364D" w:rsidRPr="008D1A55" w:rsidRDefault="00C7364D" w:rsidP="0063551F">
            <w:pPr>
              <w:pStyle w:val="Tabletext"/>
              <w:jc w:val="center"/>
              <w:rPr>
                <w:color w:val="FFFFFF" w:themeColor="background1"/>
              </w:rPr>
            </w:pPr>
            <w:r w:rsidRPr="008D1A55">
              <w:rPr>
                <w:b/>
                <w:bCs/>
                <w:color w:val="FFFFFF" w:themeColor="background1"/>
                <w:spacing w:val="-1"/>
              </w:rPr>
              <w:t>Treatmen</w:t>
            </w:r>
            <w:r w:rsidRPr="008D1A55">
              <w:rPr>
                <w:b/>
                <w:bCs/>
                <w:color w:val="FFFFFF" w:themeColor="background1"/>
              </w:rPr>
              <w:t>t</w:t>
            </w:r>
            <w:r w:rsidRPr="008D1A55">
              <w:rPr>
                <w:b/>
                <w:bCs/>
                <w:color w:val="FFFFFF" w:themeColor="background1"/>
                <w:spacing w:val="-1"/>
              </w:rPr>
              <w:t xml:space="preserve"> group</w:t>
            </w:r>
          </w:p>
        </w:tc>
        <w:tc>
          <w:tcPr>
            <w:tcW w:w="251" w:type="pct"/>
            <w:shd w:val="clear" w:color="auto" w:fill="006DA7"/>
            <w:vAlign w:val="center"/>
          </w:tcPr>
          <w:p w14:paraId="1E55AA5F" w14:textId="77777777" w:rsidR="00C7364D" w:rsidRPr="008D1A55" w:rsidRDefault="00C7364D" w:rsidP="0063551F">
            <w:pPr>
              <w:pStyle w:val="Tabletext"/>
              <w:jc w:val="center"/>
              <w:rPr>
                <w:color w:val="FFFFFF" w:themeColor="background1"/>
              </w:rPr>
            </w:pPr>
            <w:r w:rsidRPr="008D1A55">
              <w:rPr>
                <w:b/>
                <w:bCs/>
                <w:color w:val="FFFFFF" w:themeColor="background1"/>
              </w:rPr>
              <w:t>n</w:t>
            </w:r>
          </w:p>
        </w:tc>
        <w:tc>
          <w:tcPr>
            <w:tcW w:w="583" w:type="pct"/>
            <w:shd w:val="clear" w:color="auto" w:fill="006DA7"/>
            <w:vAlign w:val="center"/>
          </w:tcPr>
          <w:p w14:paraId="5775B61B" w14:textId="77777777" w:rsidR="00C7364D" w:rsidRPr="008D1A55" w:rsidRDefault="00C7364D" w:rsidP="00B32ADD">
            <w:pPr>
              <w:pStyle w:val="Tabletext"/>
              <w:rPr>
                <w:color w:val="FFFFFF" w:themeColor="background1"/>
              </w:rPr>
            </w:pPr>
            <w:r w:rsidRPr="008D1A55">
              <w:rPr>
                <w:b/>
                <w:bCs/>
                <w:color w:val="FFFFFF" w:themeColor="background1"/>
                <w:spacing w:val="-1"/>
              </w:rPr>
              <w:t>Responder</w:t>
            </w:r>
          </w:p>
        </w:tc>
        <w:tc>
          <w:tcPr>
            <w:tcW w:w="583" w:type="pct"/>
            <w:shd w:val="clear" w:color="auto" w:fill="006DA7"/>
            <w:vAlign w:val="center"/>
          </w:tcPr>
          <w:p w14:paraId="59D82178" w14:textId="77777777" w:rsidR="00C7364D" w:rsidRPr="008D1A55" w:rsidRDefault="00C7364D" w:rsidP="00B32ADD">
            <w:pPr>
              <w:pStyle w:val="Tabletext"/>
              <w:rPr>
                <w:color w:val="FFFFFF" w:themeColor="background1"/>
              </w:rPr>
            </w:pPr>
            <w:r w:rsidRPr="008D1A55">
              <w:rPr>
                <w:b/>
                <w:bCs/>
                <w:color w:val="FFFFFF" w:themeColor="background1"/>
                <w:spacing w:val="-3"/>
              </w:rPr>
              <w:t>No</w:t>
            </w:r>
            <w:r w:rsidRPr="008D1A55">
              <w:rPr>
                <w:b/>
                <w:bCs/>
                <w:color w:val="FFFFFF" w:themeColor="background1"/>
                <w:spacing w:val="-2"/>
              </w:rPr>
              <w:t>n</w:t>
            </w:r>
            <w:r w:rsidRPr="008D1A55">
              <w:rPr>
                <w:b/>
                <w:bCs/>
                <w:color w:val="FFFFFF" w:themeColor="background1"/>
              </w:rPr>
              <w:t xml:space="preserve">- </w:t>
            </w:r>
            <w:r w:rsidRPr="008D1A55">
              <w:rPr>
                <w:b/>
                <w:bCs/>
                <w:color w:val="FFFFFF" w:themeColor="background1"/>
                <w:spacing w:val="-1"/>
              </w:rPr>
              <w:t>responder</w:t>
            </w:r>
          </w:p>
        </w:tc>
        <w:tc>
          <w:tcPr>
            <w:tcW w:w="501" w:type="pct"/>
            <w:shd w:val="clear" w:color="auto" w:fill="006DA7"/>
            <w:vAlign w:val="center"/>
          </w:tcPr>
          <w:p w14:paraId="5388D581" w14:textId="77777777" w:rsidR="00C7364D" w:rsidRPr="008D1A55" w:rsidRDefault="00C7364D" w:rsidP="00B32ADD">
            <w:pPr>
              <w:pStyle w:val="Tabletext"/>
              <w:rPr>
                <w:color w:val="FFFFFF" w:themeColor="background1"/>
              </w:rPr>
            </w:pPr>
            <w:r w:rsidRPr="008D1A55">
              <w:rPr>
                <w:b/>
                <w:bCs/>
                <w:color w:val="FFFFFF" w:themeColor="background1"/>
              </w:rPr>
              <w:t>95%</w:t>
            </w:r>
            <w:r w:rsidRPr="008D1A55">
              <w:rPr>
                <w:b/>
                <w:bCs/>
                <w:color w:val="FFFFFF" w:themeColor="background1"/>
                <w:spacing w:val="1"/>
              </w:rPr>
              <w:t xml:space="preserve"> </w:t>
            </w:r>
            <w:r w:rsidRPr="008D1A55">
              <w:rPr>
                <w:b/>
                <w:bCs/>
                <w:color w:val="FFFFFF" w:themeColor="background1"/>
              </w:rPr>
              <w:t xml:space="preserve">CI </w:t>
            </w:r>
            <w:r w:rsidRPr="008D1A55">
              <w:rPr>
                <w:b/>
                <w:bCs/>
                <w:color w:val="FFFFFF" w:themeColor="background1"/>
                <w:spacing w:val="-1"/>
              </w:rPr>
              <w:t>Respons</w:t>
            </w:r>
            <w:r w:rsidRPr="008D1A55">
              <w:rPr>
                <w:b/>
                <w:bCs/>
                <w:color w:val="FFFFFF" w:themeColor="background1"/>
              </w:rPr>
              <w:t>e</w:t>
            </w:r>
            <w:r w:rsidRPr="008D1A55">
              <w:rPr>
                <w:b/>
                <w:bCs/>
                <w:color w:val="FFFFFF" w:themeColor="background1"/>
                <w:spacing w:val="-1"/>
              </w:rPr>
              <w:t xml:space="preserve"> Rate</w:t>
            </w:r>
          </w:p>
        </w:tc>
        <w:tc>
          <w:tcPr>
            <w:tcW w:w="584" w:type="pct"/>
            <w:shd w:val="clear" w:color="auto" w:fill="006DA7"/>
            <w:vAlign w:val="center"/>
          </w:tcPr>
          <w:p w14:paraId="437398B2" w14:textId="77777777" w:rsidR="00C7364D" w:rsidRPr="008D1A55" w:rsidRDefault="00C7364D" w:rsidP="00B32ADD">
            <w:pPr>
              <w:pStyle w:val="Tabletext"/>
              <w:rPr>
                <w:color w:val="FFFFFF" w:themeColor="background1"/>
              </w:rPr>
            </w:pPr>
            <w:r w:rsidRPr="008D1A55">
              <w:rPr>
                <w:b/>
                <w:bCs/>
                <w:color w:val="FFFFFF" w:themeColor="background1"/>
              </w:rPr>
              <w:t xml:space="preserve">Difference in </w:t>
            </w:r>
            <w:r w:rsidRPr="008D1A55">
              <w:rPr>
                <w:b/>
                <w:bCs/>
                <w:color w:val="FFFFFF" w:themeColor="background1"/>
                <w:spacing w:val="-1"/>
              </w:rPr>
              <w:t xml:space="preserve">Response </w:t>
            </w:r>
            <w:r w:rsidRPr="008D1A55">
              <w:rPr>
                <w:b/>
                <w:bCs/>
                <w:color w:val="FFFFFF" w:themeColor="background1"/>
              </w:rPr>
              <w:t>Rates</w:t>
            </w:r>
          </w:p>
        </w:tc>
        <w:tc>
          <w:tcPr>
            <w:tcW w:w="584" w:type="pct"/>
            <w:shd w:val="clear" w:color="auto" w:fill="006DA7"/>
            <w:vAlign w:val="center"/>
          </w:tcPr>
          <w:p w14:paraId="44B5AE8B" w14:textId="77777777" w:rsidR="00C7364D" w:rsidRPr="008D1A55" w:rsidRDefault="00C7364D" w:rsidP="00B32ADD">
            <w:pPr>
              <w:pStyle w:val="Tabletext"/>
              <w:rPr>
                <w:color w:val="FFFFFF" w:themeColor="background1"/>
              </w:rPr>
            </w:pPr>
            <w:r w:rsidRPr="008D1A55">
              <w:rPr>
                <w:b/>
                <w:bCs/>
                <w:color w:val="FFFFFF" w:themeColor="background1"/>
              </w:rPr>
              <w:t>95%</w:t>
            </w:r>
            <w:r w:rsidRPr="008D1A55">
              <w:rPr>
                <w:b/>
                <w:bCs/>
                <w:color w:val="FFFFFF" w:themeColor="background1"/>
                <w:spacing w:val="1"/>
              </w:rPr>
              <w:t xml:space="preserve"> </w:t>
            </w:r>
            <w:r w:rsidRPr="008D1A55">
              <w:rPr>
                <w:b/>
                <w:bCs/>
                <w:color w:val="FFFFFF" w:themeColor="background1"/>
              </w:rPr>
              <w:t>CI Difference</w:t>
            </w:r>
          </w:p>
        </w:tc>
        <w:tc>
          <w:tcPr>
            <w:tcW w:w="500" w:type="pct"/>
            <w:shd w:val="clear" w:color="auto" w:fill="006DA7"/>
            <w:vAlign w:val="center"/>
          </w:tcPr>
          <w:p w14:paraId="08F5E816" w14:textId="013D8A3E" w:rsidR="00C7364D" w:rsidRPr="008D1A55" w:rsidRDefault="00C7364D" w:rsidP="00B32ADD">
            <w:pPr>
              <w:pStyle w:val="Tabletext"/>
              <w:rPr>
                <w:color w:val="FFFFFF" w:themeColor="background1"/>
              </w:rPr>
            </w:pPr>
            <w:proofErr w:type="spellStart"/>
            <w:r w:rsidRPr="008D1A55">
              <w:rPr>
                <w:b/>
                <w:bCs/>
                <w:color w:val="FFFFFF" w:themeColor="background1"/>
                <w:spacing w:val="-2"/>
              </w:rPr>
              <w:t>p</w:t>
            </w:r>
            <w:r w:rsidRPr="008D1A55">
              <w:rPr>
                <w:b/>
                <w:bCs/>
                <w:color w:val="FFFFFF" w:themeColor="background1"/>
              </w:rPr>
              <w:t>-</w:t>
            </w:r>
            <w:proofErr w:type="gramStart"/>
            <w:r w:rsidRPr="008D1A55">
              <w:rPr>
                <w:b/>
                <w:bCs/>
                <w:color w:val="FFFFFF" w:themeColor="background1"/>
                <w:spacing w:val="-2"/>
              </w:rPr>
              <w:t>value</w:t>
            </w:r>
            <w:r w:rsidR="00B32ADD" w:rsidRPr="008D1A55">
              <w:rPr>
                <w:b/>
                <w:bCs/>
                <w:color w:val="FFFFFF" w:themeColor="background1"/>
                <w:spacing w:val="-2"/>
              </w:rPr>
              <w:t>;</w:t>
            </w:r>
            <w:r w:rsidRPr="008D1A55">
              <w:rPr>
                <w:b/>
                <w:bCs/>
                <w:color w:val="FFFFFF" w:themeColor="background1"/>
                <w:spacing w:val="-2"/>
                <w:vertAlign w:val="superscript"/>
              </w:rPr>
              <w:t>b</w:t>
            </w:r>
            <w:proofErr w:type="spellEnd"/>
            <w:proofErr w:type="gramEnd"/>
          </w:p>
        </w:tc>
      </w:tr>
      <w:tr w:rsidR="00C7364D" w:rsidRPr="008D1A55" w14:paraId="7D278B6A" w14:textId="77777777" w:rsidTr="00B32ADD">
        <w:trPr>
          <w:trHeight w:val="482"/>
          <w:jc w:val="center"/>
        </w:trPr>
        <w:tc>
          <w:tcPr>
            <w:tcW w:w="5000" w:type="pct"/>
            <w:gridSpan w:val="9"/>
            <w:vAlign w:val="center"/>
          </w:tcPr>
          <w:p w14:paraId="7C6300ED" w14:textId="77777777" w:rsidR="00C7364D" w:rsidRPr="008D1A55" w:rsidRDefault="00C7364D" w:rsidP="00B32ADD">
            <w:pPr>
              <w:pStyle w:val="Tabletext"/>
            </w:pPr>
            <w:r w:rsidRPr="008D1A55">
              <w:rPr>
                <w:b/>
                <w:bCs/>
                <w:spacing w:val="-1"/>
              </w:rPr>
              <w:t>Origina</w:t>
            </w:r>
            <w:r w:rsidRPr="008D1A55">
              <w:rPr>
                <w:b/>
                <w:bCs/>
              </w:rPr>
              <w:t>l</w:t>
            </w:r>
            <w:r w:rsidRPr="008D1A55">
              <w:rPr>
                <w:b/>
                <w:bCs/>
                <w:spacing w:val="-1"/>
              </w:rPr>
              <w:t xml:space="preserve"> prespecifie</w:t>
            </w:r>
            <w:r w:rsidRPr="008D1A55">
              <w:rPr>
                <w:b/>
                <w:bCs/>
              </w:rPr>
              <w:t>d</w:t>
            </w:r>
            <w:r w:rsidRPr="008D1A55">
              <w:rPr>
                <w:b/>
                <w:bCs/>
                <w:spacing w:val="-1"/>
              </w:rPr>
              <w:t xml:space="preserve"> restricte</w:t>
            </w:r>
            <w:r w:rsidRPr="008D1A55">
              <w:rPr>
                <w:b/>
                <w:bCs/>
              </w:rPr>
              <w:t>d</w:t>
            </w:r>
            <w:r w:rsidRPr="008D1A55">
              <w:rPr>
                <w:b/>
                <w:bCs/>
                <w:spacing w:val="-1"/>
              </w:rPr>
              <w:t xml:space="preserve"> medicatio</w:t>
            </w:r>
            <w:r w:rsidRPr="008D1A55">
              <w:rPr>
                <w:b/>
                <w:bCs/>
              </w:rPr>
              <w:t>n</w:t>
            </w:r>
            <w:r w:rsidRPr="008D1A55">
              <w:rPr>
                <w:b/>
                <w:bCs/>
                <w:spacing w:val="-1"/>
              </w:rPr>
              <w:t xml:space="preserve"> rules</w:t>
            </w:r>
          </w:p>
        </w:tc>
      </w:tr>
      <w:tr w:rsidR="00B32ADD" w:rsidRPr="008D1A55" w14:paraId="15ACFEB1" w14:textId="77777777" w:rsidTr="00B32ADD">
        <w:trPr>
          <w:trHeight w:val="482"/>
          <w:jc w:val="center"/>
        </w:trPr>
        <w:tc>
          <w:tcPr>
            <w:tcW w:w="581" w:type="pct"/>
            <w:vMerge w:val="restart"/>
          </w:tcPr>
          <w:p w14:paraId="711C6381" w14:textId="77777777" w:rsidR="00C7364D" w:rsidRPr="008D1A55" w:rsidRDefault="00C7364D" w:rsidP="00B32ADD">
            <w:pPr>
              <w:pStyle w:val="Tabletext"/>
            </w:pPr>
            <w:r w:rsidRPr="008D1A55">
              <w:rPr>
                <w:spacing w:val="-1"/>
              </w:rPr>
              <w:t>Wee</w:t>
            </w:r>
            <w:r w:rsidRPr="008D1A55">
              <w:t>k</w:t>
            </w:r>
            <w:r w:rsidRPr="008D1A55">
              <w:rPr>
                <w:spacing w:val="-2"/>
              </w:rPr>
              <w:t xml:space="preserve"> </w:t>
            </w:r>
            <w:r w:rsidRPr="008D1A55">
              <w:rPr>
                <w:spacing w:val="-1"/>
              </w:rPr>
              <w:t>52</w:t>
            </w:r>
          </w:p>
        </w:tc>
        <w:tc>
          <w:tcPr>
            <w:tcW w:w="833" w:type="pct"/>
          </w:tcPr>
          <w:p w14:paraId="692251C2" w14:textId="4A16FBD9" w:rsidR="00C7364D" w:rsidRPr="008D1A55" w:rsidRDefault="00C7364D" w:rsidP="0063551F">
            <w:pPr>
              <w:pStyle w:val="Tabletext"/>
              <w:jc w:val="center"/>
              <w:rPr>
                <w:spacing w:val="-1"/>
              </w:rPr>
            </w:pPr>
            <w:proofErr w:type="spellStart"/>
            <w:r w:rsidRPr="008D1A55">
              <w:rPr>
                <w:spacing w:val="-1"/>
              </w:rPr>
              <w:t>Anifrolumab</w:t>
            </w:r>
            <w:proofErr w:type="spellEnd"/>
            <w:r w:rsidRPr="008D1A55">
              <w:rPr>
                <w:spacing w:val="-1"/>
              </w:rPr>
              <w:t xml:space="preserve"> 150</w:t>
            </w:r>
            <w:r w:rsidR="00B32ADD" w:rsidRPr="008D1A55">
              <w:rPr>
                <w:spacing w:val="-1"/>
              </w:rPr>
              <w:t> </w:t>
            </w:r>
            <w:r w:rsidRPr="008D1A55">
              <w:rPr>
                <w:spacing w:val="-1"/>
              </w:rPr>
              <w:t>mg (N=93)</w:t>
            </w:r>
          </w:p>
        </w:tc>
        <w:tc>
          <w:tcPr>
            <w:tcW w:w="251" w:type="pct"/>
            <w:vAlign w:val="center"/>
          </w:tcPr>
          <w:p w14:paraId="64A77018" w14:textId="77777777" w:rsidR="00C7364D" w:rsidRPr="008D1A55" w:rsidRDefault="00C7364D" w:rsidP="0063551F">
            <w:pPr>
              <w:pStyle w:val="Tabletext"/>
              <w:jc w:val="center"/>
            </w:pPr>
            <w:r w:rsidRPr="008D1A55">
              <w:t>93</w:t>
            </w:r>
          </w:p>
        </w:tc>
        <w:tc>
          <w:tcPr>
            <w:tcW w:w="583" w:type="pct"/>
            <w:vAlign w:val="center"/>
          </w:tcPr>
          <w:p w14:paraId="068422C9" w14:textId="77777777" w:rsidR="00C7364D" w:rsidRPr="008D1A55" w:rsidRDefault="00C7364D" w:rsidP="0063551F">
            <w:pPr>
              <w:pStyle w:val="Tabletext"/>
              <w:jc w:val="center"/>
            </w:pPr>
            <w:r w:rsidRPr="008D1A55">
              <w:t>35 (37.6)</w:t>
            </w:r>
          </w:p>
        </w:tc>
        <w:tc>
          <w:tcPr>
            <w:tcW w:w="583" w:type="pct"/>
            <w:vAlign w:val="center"/>
          </w:tcPr>
          <w:p w14:paraId="1637393C" w14:textId="77777777" w:rsidR="00C7364D" w:rsidRPr="008D1A55" w:rsidRDefault="00C7364D" w:rsidP="0063551F">
            <w:pPr>
              <w:pStyle w:val="Tabletext"/>
              <w:jc w:val="center"/>
            </w:pPr>
            <w:r w:rsidRPr="008D1A55">
              <w:t>58</w:t>
            </w:r>
          </w:p>
          <w:p w14:paraId="5F9B7FD2" w14:textId="77777777" w:rsidR="00C7364D" w:rsidRPr="008D1A55" w:rsidRDefault="00C7364D" w:rsidP="0063551F">
            <w:pPr>
              <w:pStyle w:val="Tabletext"/>
              <w:jc w:val="center"/>
            </w:pPr>
            <w:r w:rsidRPr="008D1A55">
              <w:t>(62.4)</w:t>
            </w:r>
          </w:p>
        </w:tc>
        <w:tc>
          <w:tcPr>
            <w:tcW w:w="501" w:type="pct"/>
            <w:vAlign w:val="center"/>
          </w:tcPr>
          <w:p w14:paraId="6B839100" w14:textId="77777777" w:rsidR="00C7364D" w:rsidRPr="008D1A55" w:rsidRDefault="00C7364D" w:rsidP="0063551F">
            <w:pPr>
              <w:pStyle w:val="Tabletext"/>
              <w:jc w:val="center"/>
            </w:pPr>
            <w:r w:rsidRPr="008D1A55">
              <w:t>27.7, 47.5</w:t>
            </w:r>
          </w:p>
        </w:tc>
        <w:tc>
          <w:tcPr>
            <w:tcW w:w="584" w:type="pct"/>
            <w:vAlign w:val="center"/>
          </w:tcPr>
          <w:p w14:paraId="315E948D" w14:textId="77777777" w:rsidR="00C7364D" w:rsidRPr="008D1A55" w:rsidRDefault="00C7364D" w:rsidP="0063551F">
            <w:pPr>
              <w:pStyle w:val="Tabletext"/>
              <w:jc w:val="center"/>
            </w:pPr>
            <w:r w:rsidRPr="008D1A55">
              <w:t>-</w:t>
            </w:r>
            <w:r w:rsidRPr="008D1A55">
              <w:rPr>
                <w:spacing w:val="1"/>
              </w:rPr>
              <w:t>2.6</w:t>
            </w:r>
          </w:p>
        </w:tc>
        <w:tc>
          <w:tcPr>
            <w:tcW w:w="584" w:type="pct"/>
            <w:vAlign w:val="center"/>
          </w:tcPr>
          <w:p w14:paraId="1475C043" w14:textId="77777777" w:rsidR="00C7364D" w:rsidRPr="008D1A55" w:rsidRDefault="00C7364D" w:rsidP="0063551F">
            <w:pPr>
              <w:pStyle w:val="Tabletext"/>
              <w:jc w:val="center"/>
            </w:pPr>
            <w:r w:rsidRPr="008D1A55">
              <w:t>-14.7, 9.6</w:t>
            </w:r>
          </w:p>
        </w:tc>
        <w:tc>
          <w:tcPr>
            <w:tcW w:w="500" w:type="pct"/>
            <w:vAlign w:val="center"/>
          </w:tcPr>
          <w:p w14:paraId="045D986B" w14:textId="77777777" w:rsidR="00C7364D" w:rsidRPr="008D1A55" w:rsidRDefault="00C7364D" w:rsidP="0063551F">
            <w:pPr>
              <w:pStyle w:val="Tabletext"/>
              <w:jc w:val="center"/>
            </w:pPr>
          </w:p>
        </w:tc>
      </w:tr>
      <w:tr w:rsidR="00B32ADD" w:rsidRPr="008D1A55" w14:paraId="13A98500" w14:textId="77777777" w:rsidTr="00B32ADD">
        <w:trPr>
          <w:trHeight w:val="482"/>
          <w:jc w:val="center"/>
        </w:trPr>
        <w:tc>
          <w:tcPr>
            <w:tcW w:w="581" w:type="pct"/>
            <w:vMerge/>
          </w:tcPr>
          <w:p w14:paraId="28B37A29" w14:textId="77777777" w:rsidR="00C7364D" w:rsidRPr="008D1A55" w:rsidRDefault="00C7364D" w:rsidP="00B32ADD">
            <w:pPr>
              <w:pStyle w:val="Tabletext"/>
            </w:pPr>
          </w:p>
        </w:tc>
        <w:tc>
          <w:tcPr>
            <w:tcW w:w="833" w:type="pct"/>
          </w:tcPr>
          <w:p w14:paraId="086230AB" w14:textId="6EC88790" w:rsidR="00C7364D" w:rsidRPr="008D1A55" w:rsidRDefault="00C7364D" w:rsidP="0063551F">
            <w:pPr>
              <w:pStyle w:val="Tabletext"/>
              <w:jc w:val="center"/>
              <w:rPr>
                <w:spacing w:val="-1"/>
              </w:rPr>
            </w:pPr>
            <w:proofErr w:type="spellStart"/>
            <w:r w:rsidRPr="008D1A55">
              <w:rPr>
                <w:spacing w:val="-1"/>
              </w:rPr>
              <w:t>Anifrolumab</w:t>
            </w:r>
            <w:proofErr w:type="spellEnd"/>
            <w:r w:rsidRPr="008D1A55">
              <w:rPr>
                <w:spacing w:val="-1"/>
              </w:rPr>
              <w:t xml:space="preserve"> 300</w:t>
            </w:r>
            <w:r w:rsidR="00B32ADD" w:rsidRPr="008D1A55">
              <w:rPr>
                <w:spacing w:val="-1"/>
              </w:rPr>
              <w:t> </w:t>
            </w:r>
            <w:r w:rsidRPr="008D1A55">
              <w:rPr>
                <w:spacing w:val="-1"/>
              </w:rPr>
              <w:t>mg (N=180)</w:t>
            </w:r>
          </w:p>
        </w:tc>
        <w:tc>
          <w:tcPr>
            <w:tcW w:w="251" w:type="pct"/>
            <w:vAlign w:val="center"/>
          </w:tcPr>
          <w:p w14:paraId="39F1C552" w14:textId="77777777" w:rsidR="00C7364D" w:rsidRPr="008D1A55" w:rsidRDefault="00C7364D" w:rsidP="0063551F">
            <w:pPr>
              <w:pStyle w:val="Tabletext"/>
              <w:jc w:val="center"/>
            </w:pPr>
            <w:r w:rsidRPr="008D1A55">
              <w:t>180</w:t>
            </w:r>
          </w:p>
        </w:tc>
        <w:tc>
          <w:tcPr>
            <w:tcW w:w="583" w:type="pct"/>
            <w:vAlign w:val="center"/>
          </w:tcPr>
          <w:p w14:paraId="0B2BB348" w14:textId="77777777" w:rsidR="00C7364D" w:rsidRPr="008D1A55" w:rsidRDefault="00C7364D" w:rsidP="0063551F">
            <w:pPr>
              <w:pStyle w:val="Tabletext"/>
              <w:jc w:val="center"/>
            </w:pPr>
            <w:r w:rsidRPr="008D1A55">
              <w:t>65 (36.2)</w:t>
            </w:r>
          </w:p>
        </w:tc>
        <w:tc>
          <w:tcPr>
            <w:tcW w:w="583" w:type="pct"/>
            <w:vAlign w:val="center"/>
          </w:tcPr>
          <w:p w14:paraId="2689987D" w14:textId="77777777" w:rsidR="00C7364D" w:rsidRPr="008D1A55" w:rsidRDefault="00C7364D" w:rsidP="0063551F">
            <w:pPr>
              <w:pStyle w:val="Tabletext"/>
              <w:jc w:val="center"/>
            </w:pPr>
            <w:r w:rsidRPr="008D1A55">
              <w:t>115</w:t>
            </w:r>
          </w:p>
          <w:p w14:paraId="07ABCA41" w14:textId="77777777" w:rsidR="00C7364D" w:rsidRPr="008D1A55" w:rsidRDefault="00C7364D" w:rsidP="0063551F">
            <w:pPr>
              <w:pStyle w:val="Tabletext"/>
              <w:jc w:val="center"/>
            </w:pPr>
            <w:r w:rsidRPr="008D1A55">
              <w:t>(63.8)</w:t>
            </w:r>
          </w:p>
        </w:tc>
        <w:tc>
          <w:tcPr>
            <w:tcW w:w="501" w:type="pct"/>
            <w:vAlign w:val="center"/>
          </w:tcPr>
          <w:p w14:paraId="647AE718" w14:textId="77777777" w:rsidR="00C7364D" w:rsidRPr="008D1A55" w:rsidRDefault="00C7364D" w:rsidP="0063551F">
            <w:pPr>
              <w:pStyle w:val="Tabletext"/>
              <w:jc w:val="center"/>
            </w:pPr>
            <w:r w:rsidRPr="008D1A55">
              <w:t>29.1, 43.3</w:t>
            </w:r>
          </w:p>
        </w:tc>
        <w:tc>
          <w:tcPr>
            <w:tcW w:w="584" w:type="pct"/>
            <w:vAlign w:val="center"/>
          </w:tcPr>
          <w:p w14:paraId="5A00687F" w14:textId="77777777" w:rsidR="00C7364D" w:rsidRPr="008D1A55" w:rsidRDefault="00C7364D" w:rsidP="0063551F">
            <w:pPr>
              <w:pStyle w:val="Tabletext"/>
              <w:jc w:val="center"/>
            </w:pPr>
            <w:r w:rsidRPr="008D1A55">
              <w:t>-</w:t>
            </w:r>
            <w:r w:rsidRPr="008D1A55">
              <w:rPr>
                <w:spacing w:val="1"/>
              </w:rPr>
              <w:t>4.2</w:t>
            </w:r>
          </w:p>
        </w:tc>
        <w:tc>
          <w:tcPr>
            <w:tcW w:w="584" w:type="pct"/>
            <w:vAlign w:val="center"/>
          </w:tcPr>
          <w:p w14:paraId="5CB5B5BD" w14:textId="77777777" w:rsidR="00C7364D" w:rsidRPr="008D1A55" w:rsidRDefault="00C7364D" w:rsidP="0063551F">
            <w:pPr>
              <w:pStyle w:val="Tabletext"/>
              <w:jc w:val="center"/>
            </w:pPr>
            <w:r w:rsidRPr="008D1A55">
              <w:t>-14.2, 5.8</w:t>
            </w:r>
          </w:p>
        </w:tc>
        <w:tc>
          <w:tcPr>
            <w:tcW w:w="500" w:type="pct"/>
            <w:vAlign w:val="center"/>
          </w:tcPr>
          <w:p w14:paraId="4209F930" w14:textId="77777777" w:rsidR="00C7364D" w:rsidRPr="008D1A55" w:rsidRDefault="00C7364D" w:rsidP="0063551F">
            <w:pPr>
              <w:pStyle w:val="Tabletext"/>
              <w:jc w:val="center"/>
            </w:pPr>
            <w:r w:rsidRPr="008D1A55">
              <w:rPr>
                <w:spacing w:val="1"/>
              </w:rPr>
              <w:t>0.412</w:t>
            </w:r>
          </w:p>
        </w:tc>
      </w:tr>
      <w:tr w:rsidR="00B32ADD" w:rsidRPr="008D1A55" w14:paraId="7C0231E0" w14:textId="77777777" w:rsidTr="00B32ADD">
        <w:trPr>
          <w:trHeight w:val="482"/>
          <w:jc w:val="center"/>
        </w:trPr>
        <w:tc>
          <w:tcPr>
            <w:tcW w:w="581" w:type="pct"/>
            <w:vMerge/>
          </w:tcPr>
          <w:p w14:paraId="69600D51" w14:textId="77777777" w:rsidR="00C7364D" w:rsidRPr="008D1A55" w:rsidRDefault="00C7364D" w:rsidP="00B32ADD">
            <w:pPr>
              <w:pStyle w:val="Tabletext"/>
            </w:pPr>
          </w:p>
        </w:tc>
        <w:tc>
          <w:tcPr>
            <w:tcW w:w="833" w:type="pct"/>
          </w:tcPr>
          <w:p w14:paraId="24EBBEBC" w14:textId="77777777" w:rsidR="00C7364D" w:rsidRPr="008D1A55" w:rsidRDefault="00C7364D" w:rsidP="0063551F">
            <w:pPr>
              <w:pStyle w:val="Tabletext"/>
              <w:jc w:val="center"/>
              <w:rPr>
                <w:spacing w:val="-1"/>
              </w:rPr>
            </w:pPr>
            <w:r w:rsidRPr="008D1A55">
              <w:rPr>
                <w:spacing w:val="-1"/>
              </w:rPr>
              <w:t>Placebo (N=184)</w:t>
            </w:r>
          </w:p>
        </w:tc>
        <w:tc>
          <w:tcPr>
            <w:tcW w:w="251" w:type="pct"/>
            <w:vAlign w:val="center"/>
          </w:tcPr>
          <w:p w14:paraId="0300F1C4" w14:textId="77777777" w:rsidR="00C7364D" w:rsidRPr="008D1A55" w:rsidRDefault="00C7364D" w:rsidP="0063551F">
            <w:pPr>
              <w:pStyle w:val="Tabletext"/>
              <w:jc w:val="center"/>
            </w:pPr>
            <w:r w:rsidRPr="008D1A55">
              <w:t>184</w:t>
            </w:r>
          </w:p>
        </w:tc>
        <w:tc>
          <w:tcPr>
            <w:tcW w:w="583" w:type="pct"/>
            <w:vAlign w:val="center"/>
          </w:tcPr>
          <w:p w14:paraId="564799E9" w14:textId="77777777" w:rsidR="00C7364D" w:rsidRPr="008D1A55" w:rsidRDefault="00C7364D" w:rsidP="0063551F">
            <w:pPr>
              <w:pStyle w:val="Tabletext"/>
              <w:jc w:val="center"/>
            </w:pPr>
            <w:r w:rsidRPr="008D1A55">
              <w:t>74 (40.4)</w:t>
            </w:r>
          </w:p>
        </w:tc>
        <w:tc>
          <w:tcPr>
            <w:tcW w:w="583" w:type="pct"/>
            <w:vAlign w:val="center"/>
          </w:tcPr>
          <w:p w14:paraId="13E851D9" w14:textId="77777777" w:rsidR="00C7364D" w:rsidRPr="008D1A55" w:rsidRDefault="00C7364D" w:rsidP="0063551F">
            <w:pPr>
              <w:pStyle w:val="Tabletext"/>
              <w:jc w:val="center"/>
            </w:pPr>
            <w:r w:rsidRPr="008D1A55">
              <w:t>110</w:t>
            </w:r>
          </w:p>
          <w:p w14:paraId="52989FEA" w14:textId="77777777" w:rsidR="00C7364D" w:rsidRPr="008D1A55" w:rsidRDefault="00C7364D" w:rsidP="0063551F">
            <w:pPr>
              <w:pStyle w:val="Tabletext"/>
              <w:jc w:val="center"/>
            </w:pPr>
            <w:r w:rsidRPr="008D1A55">
              <w:t>(59.6)</w:t>
            </w:r>
          </w:p>
        </w:tc>
        <w:tc>
          <w:tcPr>
            <w:tcW w:w="501" w:type="pct"/>
            <w:vAlign w:val="center"/>
          </w:tcPr>
          <w:p w14:paraId="443BA2AF" w14:textId="77777777" w:rsidR="00C7364D" w:rsidRPr="008D1A55" w:rsidRDefault="00C7364D" w:rsidP="0063551F">
            <w:pPr>
              <w:pStyle w:val="Tabletext"/>
              <w:jc w:val="center"/>
            </w:pPr>
            <w:r w:rsidRPr="008D1A55">
              <w:t>33.3, 47.5</w:t>
            </w:r>
          </w:p>
        </w:tc>
        <w:tc>
          <w:tcPr>
            <w:tcW w:w="584" w:type="pct"/>
            <w:vAlign w:val="center"/>
          </w:tcPr>
          <w:p w14:paraId="3EDCE2C6" w14:textId="77777777" w:rsidR="00C7364D" w:rsidRPr="008D1A55" w:rsidRDefault="00C7364D" w:rsidP="0063551F">
            <w:pPr>
              <w:pStyle w:val="Tabletext"/>
              <w:jc w:val="center"/>
            </w:pPr>
          </w:p>
        </w:tc>
        <w:tc>
          <w:tcPr>
            <w:tcW w:w="584" w:type="pct"/>
            <w:vAlign w:val="center"/>
          </w:tcPr>
          <w:p w14:paraId="3AF49F8B" w14:textId="77777777" w:rsidR="00C7364D" w:rsidRPr="008D1A55" w:rsidRDefault="00C7364D" w:rsidP="0063551F">
            <w:pPr>
              <w:pStyle w:val="Tabletext"/>
              <w:jc w:val="center"/>
            </w:pPr>
          </w:p>
        </w:tc>
        <w:tc>
          <w:tcPr>
            <w:tcW w:w="500" w:type="pct"/>
            <w:vAlign w:val="center"/>
          </w:tcPr>
          <w:p w14:paraId="55997AA0" w14:textId="77777777" w:rsidR="00C7364D" w:rsidRPr="008D1A55" w:rsidRDefault="00C7364D" w:rsidP="0063551F">
            <w:pPr>
              <w:pStyle w:val="Tabletext"/>
              <w:jc w:val="center"/>
            </w:pPr>
          </w:p>
        </w:tc>
      </w:tr>
      <w:tr w:rsidR="00C7364D" w:rsidRPr="008D1A55" w14:paraId="6D907B7F" w14:textId="77777777" w:rsidTr="00B32ADD">
        <w:trPr>
          <w:trHeight w:val="482"/>
          <w:jc w:val="center"/>
        </w:trPr>
        <w:tc>
          <w:tcPr>
            <w:tcW w:w="5000" w:type="pct"/>
            <w:gridSpan w:val="9"/>
          </w:tcPr>
          <w:p w14:paraId="7B4051D6" w14:textId="77777777" w:rsidR="00C7364D" w:rsidRPr="008D1A55" w:rsidRDefault="00C7364D" w:rsidP="00B32ADD">
            <w:pPr>
              <w:pStyle w:val="Tabletext"/>
            </w:pPr>
            <w:r w:rsidRPr="008D1A55">
              <w:rPr>
                <w:b/>
                <w:bCs/>
                <w:i/>
                <w:iCs/>
                <w:spacing w:val="-3"/>
              </w:rPr>
              <w:t>Pos</w:t>
            </w:r>
            <w:r w:rsidRPr="008D1A55">
              <w:rPr>
                <w:b/>
                <w:bCs/>
                <w:i/>
                <w:iCs/>
              </w:rPr>
              <w:t>t-hoc</w:t>
            </w:r>
            <w:r w:rsidRPr="008D1A55">
              <w:rPr>
                <w:b/>
                <w:bCs/>
              </w:rPr>
              <w:t xml:space="preserve"> revised restricted medication rules</w:t>
            </w:r>
          </w:p>
        </w:tc>
      </w:tr>
      <w:tr w:rsidR="00B32ADD" w:rsidRPr="008D1A55" w14:paraId="5172DADD" w14:textId="77777777" w:rsidTr="00B32ADD">
        <w:trPr>
          <w:trHeight w:val="482"/>
          <w:jc w:val="center"/>
        </w:trPr>
        <w:tc>
          <w:tcPr>
            <w:tcW w:w="581" w:type="pct"/>
            <w:vMerge w:val="restart"/>
          </w:tcPr>
          <w:p w14:paraId="5ADEA19C" w14:textId="77777777" w:rsidR="00C7364D" w:rsidRPr="008D1A55" w:rsidRDefault="00C7364D" w:rsidP="00B32ADD">
            <w:pPr>
              <w:pStyle w:val="Tabletext"/>
            </w:pPr>
            <w:r w:rsidRPr="008D1A55">
              <w:rPr>
                <w:spacing w:val="-1"/>
              </w:rPr>
              <w:t>Wee</w:t>
            </w:r>
            <w:r w:rsidRPr="008D1A55">
              <w:t>k</w:t>
            </w:r>
            <w:r w:rsidRPr="008D1A55">
              <w:rPr>
                <w:spacing w:val="-2"/>
              </w:rPr>
              <w:t xml:space="preserve"> </w:t>
            </w:r>
            <w:r w:rsidRPr="008D1A55">
              <w:rPr>
                <w:spacing w:val="-1"/>
              </w:rPr>
              <w:t>52</w:t>
            </w:r>
          </w:p>
        </w:tc>
        <w:tc>
          <w:tcPr>
            <w:tcW w:w="833" w:type="pct"/>
          </w:tcPr>
          <w:p w14:paraId="29EABBDC" w14:textId="1E058BA9" w:rsidR="00C7364D" w:rsidRPr="008D1A55" w:rsidRDefault="00C7364D" w:rsidP="0063551F">
            <w:pPr>
              <w:pStyle w:val="Tabletext"/>
              <w:jc w:val="center"/>
              <w:rPr>
                <w:spacing w:val="-1"/>
              </w:rPr>
            </w:pPr>
            <w:proofErr w:type="spellStart"/>
            <w:r w:rsidRPr="008D1A55">
              <w:rPr>
                <w:spacing w:val="-1"/>
              </w:rPr>
              <w:t>Anifrolumab</w:t>
            </w:r>
            <w:proofErr w:type="spellEnd"/>
            <w:r w:rsidRPr="008D1A55">
              <w:rPr>
                <w:spacing w:val="-1"/>
              </w:rPr>
              <w:t xml:space="preserve"> 150</w:t>
            </w:r>
            <w:r w:rsidR="00B32ADD" w:rsidRPr="008D1A55">
              <w:rPr>
                <w:spacing w:val="-1"/>
              </w:rPr>
              <w:t> </w:t>
            </w:r>
            <w:r w:rsidRPr="008D1A55">
              <w:rPr>
                <w:spacing w:val="-1"/>
              </w:rPr>
              <w:t>mg (N=93)</w:t>
            </w:r>
          </w:p>
        </w:tc>
        <w:tc>
          <w:tcPr>
            <w:tcW w:w="251" w:type="pct"/>
            <w:vAlign w:val="center"/>
          </w:tcPr>
          <w:p w14:paraId="2D35A6C3" w14:textId="77777777" w:rsidR="00C7364D" w:rsidRPr="008D1A55" w:rsidRDefault="00C7364D" w:rsidP="0063551F">
            <w:pPr>
              <w:pStyle w:val="Tabletext"/>
              <w:jc w:val="center"/>
            </w:pPr>
            <w:r w:rsidRPr="008D1A55">
              <w:t>93</w:t>
            </w:r>
          </w:p>
        </w:tc>
        <w:tc>
          <w:tcPr>
            <w:tcW w:w="583" w:type="pct"/>
            <w:vAlign w:val="center"/>
          </w:tcPr>
          <w:p w14:paraId="7E4B5762" w14:textId="77777777" w:rsidR="00C7364D" w:rsidRPr="008D1A55" w:rsidRDefault="00C7364D" w:rsidP="0063551F">
            <w:pPr>
              <w:pStyle w:val="Tabletext"/>
              <w:jc w:val="center"/>
            </w:pPr>
            <w:r w:rsidRPr="008D1A55">
              <w:t>45 (48.4)</w:t>
            </w:r>
          </w:p>
        </w:tc>
        <w:tc>
          <w:tcPr>
            <w:tcW w:w="583" w:type="pct"/>
            <w:vAlign w:val="center"/>
          </w:tcPr>
          <w:p w14:paraId="2B6454EC" w14:textId="77777777" w:rsidR="00C7364D" w:rsidRPr="008D1A55" w:rsidRDefault="00C7364D" w:rsidP="0063551F">
            <w:pPr>
              <w:pStyle w:val="Tabletext"/>
              <w:jc w:val="center"/>
            </w:pPr>
            <w:r w:rsidRPr="008D1A55">
              <w:t>48</w:t>
            </w:r>
          </w:p>
          <w:p w14:paraId="431AA133" w14:textId="77777777" w:rsidR="00C7364D" w:rsidRPr="008D1A55" w:rsidRDefault="00C7364D" w:rsidP="0063551F">
            <w:pPr>
              <w:pStyle w:val="Tabletext"/>
              <w:jc w:val="center"/>
            </w:pPr>
            <w:r w:rsidRPr="008D1A55">
              <w:t>(51.6)</w:t>
            </w:r>
          </w:p>
        </w:tc>
        <w:tc>
          <w:tcPr>
            <w:tcW w:w="501" w:type="pct"/>
            <w:vAlign w:val="center"/>
          </w:tcPr>
          <w:p w14:paraId="6FA6F598" w14:textId="77777777" w:rsidR="00C7364D" w:rsidRPr="008D1A55" w:rsidRDefault="00C7364D" w:rsidP="0063551F">
            <w:pPr>
              <w:pStyle w:val="Tabletext"/>
              <w:jc w:val="center"/>
            </w:pPr>
            <w:r w:rsidRPr="008D1A55">
              <w:t>38.5, 58.4</w:t>
            </w:r>
          </w:p>
        </w:tc>
        <w:tc>
          <w:tcPr>
            <w:tcW w:w="584" w:type="pct"/>
            <w:vAlign w:val="center"/>
          </w:tcPr>
          <w:p w14:paraId="7328C0C7" w14:textId="77777777" w:rsidR="00C7364D" w:rsidRPr="008D1A55" w:rsidRDefault="00C7364D" w:rsidP="0063551F">
            <w:pPr>
              <w:pStyle w:val="Tabletext"/>
              <w:jc w:val="center"/>
            </w:pPr>
            <w:r w:rsidRPr="008D1A55">
              <w:rPr>
                <w:spacing w:val="1"/>
              </w:rPr>
              <w:t>5.5</w:t>
            </w:r>
          </w:p>
        </w:tc>
        <w:tc>
          <w:tcPr>
            <w:tcW w:w="584" w:type="pct"/>
            <w:vAlign w:val="center"/>
          </w:tcPr>
          <w:p w14:paraId="7D78762B" w14:textId="77777777" w:rsidR="00C7364D" w:rsidRPr="008D1A55" w:rsidRDefault="00C7364D" w:rsidP="0063551F">
            <w:pPr>
              <w:pStyle w:val="Tabletext"/>
              <w:jc w:val="center"/>
            </w:pPr>
            <w:r w:rsidRPr="008D1A55">
              <w:t>-6.7, 17.8</w:t>
            </w:r>
          </w:p>
        </w:tc>
        <w:tc>
          <w:tcPr>
            <w:tcW w:w="500" w:type="pct"/>
            <w:vAlign w:val="center"/>
          </w:tcPr>
          <w:p w14:paraId="115A54C6" w14:textId="77777777" w:rsidR="00C7364D" w:rsidRPr="008D1A55" w:rsidRDefault="00C7364D" w:rsidP="0063551F">
            <w:pPr>
              <w:pStyle w:val="Tabletext"/>
              <w:jc w:val="center"/>
            </w:pPr>
          </w:p>
        </w:tc>
      </w:tr>
      <w:tr w:rsidR="00B32ADD" w:rsidRPr="008D1A55" w14:paraId="3FAB9D1B" w14:textId="77777777" w:rsidTr="00B32ADD">
        <w:trPr>
          <w:trHeight w:val="482"/>
          <w:jc w:val="center"/>
        </w:trPr>
        <w:tc>
          <w:tcPr>
            <w:tcW w:w="581" w:type="pct"/>
            <w:vMerge/>
          </w:tcPr>
          <w:p w14:paraId="3E432D32" w14:textId="77777777" w:rsidR="00C7364D" w:rsidRPr="008D1A55" w:rsidRDefault="00C7364D" w:rsidP="00B32ADD">
            <w:pPr>
              <w:pStyle w:val="Tabletext"/>
            </w:pPr>
          </w:p>
        </w:tc>
        <w:tc>
          <w:tcPr>
            <w:tcW w:w="833" w:type="pct"/>
          </w:tcPr>
          <w:p w14:paraId="3229B9FF" w14:textId="55CB9F0C" w:rsidR="00C7364D" w:rsidRPr="008D1A55" w:rsidRDefault="00C7364D" w:rsidP="0063551F">
            <w:pPr>
              <w:pStyle w:val="Tabletext"/>
              <w:jc w:val="center"/>
              <w:rPr>
                <w:spacing w:val="-1"/>
              </w:rPr>
            </w:pPr>
            <w:proofErr w:type="spellStart"/>
            <w:r w:rsidRPr="008D1A55">
              <w:rPr>
                <w:spacing w:val="-1"/>
              </w:rPr>
              <w:t>Anifrolumab</w:t>
            </w:r>
            <w:proofErr w:type="spellEnd"/>
            <w:r w:rsidRPr="008D1A55">
              <w:rPr>
                <w:spacing w:val="-1"/>
              </w:rPr>
              <w:t xml:space="preserve"> 300</w:t>
            </w:r>
            <w:r w:rsidR="00B32ADD" w:rsidRPr="008D1A55">
              <w:rPr>
                <w:spacing w:val="-1"/>
              </w:rPr>
              <w:t> </w:t>
            </w:r>
            <w:r w:rsidRPr="008D1A55">
              <w:rPr>
                <w:spacing w:val="-1"/>
              </w:rPr>
              <w:t>mg (N=180)</w:t>
            </w:r>
          </w:p>
        </w:tc>
        <w:tc>
          <w:tcPr>
            <w:tcW w:w="251" w:type="pct"/>
            <w:vAlign w:val="center"/>
          </w:tcPr>
          <w:p w14:paraId="05D13585" w14:textId="77777777" w:rsidR="00C7364D" w:rsidRPr="008D1A55" w:rsidRDefault="00C7364D" w:rsidP="0063551F">
            <w:pPr>
              <w:pStyle w:val="Tabletext"/>
              <w:jc w:val="center"/>
            </w:pPr>
            <w:r w:rsidRPr="008D1A55">
              <w:t>180</w:t>
            </w:r>
          </w:p>
        </w:tc>
        <w:tc>
          <w:tcPr>
            <w:tcW w:w="583" w:type="pct"/>
            <w:vAlign w:val="center"/>
          </w:tcPr>
          <w:p w14:paraId="45FEE68A" w14:textId="77777777" w:rsidR="00C7364D" w:rsidRPr="008D1A55" w:rsidRDefault="00C7364D" w:rsidP="0063551F">
            <w:pPr>
              <w:pStyle w:val="Tabletext"/>
              <w:jc w:val="center"/>
            </w:pPr>
            <w:r w:rsidRPr="008D1A55">
              <w:t>84 (46.9)</w:t>
            </w:r>
          </w:p>
        </w:tc>
        <w:tc>
          <w:tcPr>
            <w:tcW w:w="583" w:type="pct"/>
            <w:vAlign w:val="center"/>
          </w:tcPr>
          <w:p w14:paraId="5EDF10F3" w14:textId="77777777" w:rsidR="00C7364D" w:rsidRPr="008D1A55" w:rsidRDefault="00C7364D" w:rsidP="0063551F">
            <w:pPr>
              <w:pStyle w:val="Tabletext"/>
              <w:jc w:val="center"/>
            </w:pPr>
            <w:r w:rsidRPr="008D1A55">
              <w:t>96</w:t>
            </w:r>
          </w:p>
          <w:p w14:paraId="2E9A2BCC" w14:textId="77777777" w:rsidR="00C7364D" w:rsidRPr="008D1A55" w:rsidRDefault="00C7364D" w:rsidP="0063551F">
            <w:pPr>
              <w:pStyle w:val="Tabletext"/>
              <w:jc w:val="center"/>
            </w:pPr>
            <w:r w:rsidRPr="008D1A55">
              <w:t>(53.1)</w:t>
            </w:r>
          </w:p>
        </w:tc>
        <w:tc>
          <w:tcPr>
            <w:tcW w:w="501" w:type="pct"/>
            <w:vAlign w:val="center"/>
          </w:tcPr>
          <w:p w14:paraId="6B8EEBB3" w14:textId="77777777" w:rsidR="00C7364D" w:rsidRPr="008D1A55" w:rsidRDefault="00C7364D" w:rsidP="0063551F">
            <w:pPr>
              <w:pStyle w:val="Tabletext"/>
              <w:jc w:val="center"/>
            </w:pPr>
            <w:r w:rsidRPr="008D1A55">
              <w:t>39.6, 54.1</w:t>
            </w:r>
          </w:p>
        </w:tc>
        <w:tc>
          <w:tcPr>
            <w:tcW w:w="584" w:type="pct"/>
            <w:vAlign w:val="center"/>
          </w:tcPr>
          <w:p w14:paraId="64F533E0" w14:textId="77777777" w:rsidR="00C7364D" w:rsidRPr="008D1A55" w:rsidRDefault="00C7364D" w:rsidP="0063551F">
            <w:pPr>
              <w:pStyle w:val="Tabletext"/>
              <w:jc w:val="center"/>
            </w:pPr>
            <w:r w:rsidRPr="008D1A55">
              <w:rPr>
                <w:spacing w:val="1"/>
              </w:rPr>
              <w:t>3.9</w:t>
            </w:r>
          </w:p>
        </w:tc>
        <w:tc>
          <w:tcPr>
            <w:tcW w:w="584" w:type="pct"/>
            <w:vAlign w:val="center"/>
          </w:tcPr>
          <w:p w14:paraId="2DD41056" w14:textId="77777777" w:rsidR="00C7364D" w:rsidRPr="008D1A55" w:rsidRDefault="00C7364D" w:rsidP="0063551F">
            <w:pPr>
              <w:pStyle w:val="Tabletext"/>
              <w:jc w:val="center"/>
            </w:pPr>
            <w:r w:rsidRPr="008D1A55">
              <w:t>-6.3, 14.1</w:t>
            </w:r>
          </w:p>
        </w:tc>
        <w:tc>
          <w:tcPr>
            <w:tcW w:w="500" w:type="pct"/>
            <w:vAlign w:val="center"/>
          </w:tcPr>
          <w:p w14:paraId="3B8385AA" w14:textId="77777777" w:rsidR="00C7364D" w:rsidRPr="008D1A55" w:rsidRDefault="00C7364D" w:rsidP="0063551F">
            <w:pPr>
              <w:pStyle w:val="Tabletext"/>
              <w:jc w:val="center"/>
            </w:pPr>
            <w:r w:rsidRPr="008D1A55">
              <w:rPr>
                <w:spacing w:val="1"/>
              </w:rPr>
              <w:t>0.455</w:t>
            </w:r>
          </w:p>
        </w:tc>
      </w:tr>
      <w:tr w:rsidR="00B32ADD" w:rsidRPr="008D1A55" w14:paraId="311043FA" w14:textId="77777777" w:rsidTr="00B32ADD">
        <w:trPr>
          <w:trHeight w:val="482"/>
          <w:jc w:val="center"/>
        </w:trPr>
        <w:tc>
          <w:tcPr>
            <w:tcW w:w="581" w:type="pct"/>
            <w:vMerge/>
          </w:tcPr>
          <w:p w14:paraId="35B6E030" w14:textId="77777777" w:rsidR="00C7364D" w:rsidRPr="008D1A55" w:rsidRDefault="00C7364D" w:rsidP="00B32ADD">
            <w:pPr>
              <w:pStyle w:val="Tabletext"/>
            </w:pPr>
          </w:p>
        </w:tc>
        <w:tc>
          <w:tcPr>
            <w:tcW w:w="833" w:type="pct"/>
          </w:tcPr>
          <w:p w14:paraId="43C360F0" w14:textId="77777777" w:rsidR="00C7364D" w:rsidRPr="008D1A55" w:rsidRDefault="00C7364D" w:rsidP="0063551F">
            <w:pPr>
              <w:pStyle w:val="Tabletext"/>
              <w:jc w:val="center"/>
              <w:rPr>
                <w:spacing w:val="-1"/>
              </w:rPr>
            </w:pPr>
            <w:r w:rsidRPr="008D1A55">
              <w:rPr>
                <w:spacing w:val="-1"/>
              </w:rPr>
              <w:t>Placebo (N=184)</w:t>
            </w:r>
          </w:p>
        </w:tc>
        <w:tc>
          <w:tcPr>
            <w:tcW w:w="251" w:type="pct"/>
            <w:vAlign w:val="center"/>
          </w:tcPr>
          <w:p w14:paraId="396AA650" w14:textId="77777777" w:rsidR="00C7364D" w:rsidRPr="008D1A55" w:rsidRDefault="00C7364D" w:rsidP="0063551F">
            <w:pPr>
              <w:pStyle w:val="Tabletext"/>
              <w:jc w:val="center"/>
            </w:pPr>
            <w:r w:rsidRPr="008D1A55">
              <w:t>184</w:t>
            </w:r>
          </w:p>
        </w:tc>
        <w:tc>
          <w:tcPr>
            <w:tcW w:w="583" w:type="pct"/>
            <w:vAlign w:val="center"/>
          </w:tcPr>
          <w:p w14:paraId="4B7B1DB5" w14:textId="77777777" w:rsidR="00C7364D" w:rsidRPr="008D1A55" w:rsidRDefault="00C7364D" w:rsidP="0063551F">
            <w:pPr>
              <w:pStyle w:val="Tabletext"/>
              <w:jc w:val="center"/>
            </w:pPr>
            <w:r w:rsidRPr="008D1A55">
              <w:t>79 (43.0)</w:t>
            </w:r>
          </w:p>
        </w:tc>
        <w:tc>
          <w:tcPr>
            <w:tcW w:w="583" w:type="pct"/>
            <w:vAlign w:val="center"/>
          </w:tcPr>
          <w:p w14:paraId="4D2F9001" w14:textId="77777777" w:rsidR="00C7364D" w:rsidRPr="008D1A55" w:rsidRDefault="00C7364D" w:rsidP="0063551F">
            <w:pPr>
              <w:pStyle w:val="Tabletext"/>
              <w:jc w:val="center"/>
            </w:pPr>
            <w:r w:rsidRPr="008D1A55">
              <w:t>105 (57.0)</w:t>
            </w:r>
          </w:p>
        </w:tc>
        <w:tc>
          <w:tcPr>
            <w:tcW w:w="501" w:type="pct"/>
            <w:vAlign w:val="center"/>
          </w:tcPr>
          <w:p w14:paraId="34B45BBE" w14:textId="77777777" w:rsidR="00C7364D" w:rsidRPr="008D1A55" w:rsidRDefault="00C7364D" w:rsidP="0063551F">
            <w:pPr>
              <w:pStyle w:val="Tabletext"/>
              <w:jc w:val="center"/>
            </w:pPr>
            <w:r w:rsidRPr="008D1A55">
              <w:t>35.9, 50.1</w:t>
            </w:r>
          </w:p>
        </w:tc>
        <w:tc>
          <w:tcPr>
            <w:tcW w:w="584" w:type="pct"/>
            <w:vAlign w:val="center"/>
          </w:tcPr>
          <w:p w14:paraId="063058A6" w14:textId="77777777" w:rsidR="00C7364D" w:rsidRPr="008D1A55" w:rsidRDefault="00C7364D" w:rsidP="0063551F">
            <w:pPr>
              <w:pStyle w:val="Tabletext"/>
              <w:jc w:val="center"/>
            </w:pPr>
          </w:p>
        </w:tc>
        <w:tc>
          <w:tcPr>
            <w:tcW w:w="584" w:type="pct"/>
            <w:vAlign w:val="center"/>
          </w:tcPr>
          <w:p w14:paraId="07C59CDE" w14:textId="77777777" w:rsidR="00C7364D" w:rsidRPr="008D1A55" w:rsidRDefault="00C7364D" w:rsidP="0063551F">
            <w:pPr>
              <w:pStyle w:val="Tabletext"/>
              <w:jc w:val="center"/>
            </w:pPr>
          </w:p>
        </w:tc>
        <w:tc>
          <w:tcPr>
            <w:tcW w:w="500" w:type="pct"/>
            <w:vAlign w:val="center"/>
          </w:tcPr>
          <w:p w14:paraId="431FABD8" w14:textId="77777777" w:rsidR="00C7364D" w:rsidRPr="008D1A55" w:rsidRDefault="00C7364D" w:rsidP="0063551F">
            <w:pPr>
              <w:pStyle w:val="Tabletext"/>
              <w:jc w:val="center"/>
            </w:pPr>
          </w:p>
        </w:tc>
      </w:tr>
    </w:tbl>
    <w:p w14:paraId="44AE5099" w14:textId="3230B8BA" w:rsidR="00891DA6" w:rsidRPr="008D1A55" w:rsidRDefault="00B32ADD" w:rsidP="00B32ADD">
      <w:pPr>
        <w:pStyle w:val="TableDescription"/>
      </w:pPr>
      <w:r w:rsidRPr="008D1A55">
        <w:t xml:space="preserve">Abbreviations: </w:t>
      </w:r>
      <w:r w:rsidR="00891DA6" w:rsidRPr="008D1A55">
        <w:t>CI=confidence interval; n = number of subjects in analysis group.</w:t>
      </w:r>
    </w:p>
    <w:p w14:paraId="580CA4BC" w14:textId="28234706" w:rsidR="00C7364D" w:rsidRPr="008D1A55" w:rsidRDefault="00C7364D" w:rsidP="005B2B36">
      <w:pPr>
        <w:pStyle w:val="TableDescription"/>
      </w:pPr>
      <w:proofErr w:type="spellStart"/>
      <w:r w:rsidRPr="008D1A55">
        <w:t>a</w:t>
      </w:r>
      <w:proofErr w:type="spellEnd"/>
      <w:r w:rsidRPr="008D1A55">
        <w:t xml:space="preserve"> The responder/non-responder rates (percentages), the difference in estimates, and associated 95% CIs are weighted and are calculated using a stratified </w:t>
      </w:r>
      <w:r w:rsidR="00891DA6" w:rsidRPr="008D1A55">
        <w:t xml:space="preserve">Cochran-Mantel-Haenszel </w:t>
      </w:r>
      <w:r w:rsidRPr="008D1A55">
        <w:t>approach, with stratification factors (</w:t>
      </w:r>
      <w:r w:rsidR="00891DA6" w:rsidRPr="008D1A55">
        <w:t>Systemic Lupus Erythematosus Disease Activity Index 2000 (</w:t>
      </w:r>
      <w:r w:rsidRPr="008D1A55">
        <w:t>SLEDAI-2K</w:t>
      </w:r>
      <w:r w:rsidR="00891DA6" w:rsidRPr="008D1A55">
        <w:t>)</w:t>
      </w:r>
      <w:r w:rsidRPr="008D1A55">
        <w:t xml:space="preserve"> score at screening </w:t>
      </w:r>
      <w:r w:rsidR="00740C4D" w:rsidRPr="008D1A55">
        <w:t>(</w:t>
      </w:r>
      <w:r w:rsidR="00891DA6" w:rsidRPr="008D1A55">
        <w:t xml:space="preserve">less than </w:t>
      </w:r>
      <w:r w:rsidRPr="008D1A55">
        <w:t xml:space="preserve">10 points </w:t>
      </w:r>
      <w:r w:rsidR="00CA1444" w:rsidRPr="008D1A55">
        <w:t>versus</w:t>
      </w:r>
      <w:r w:rsidRPr="008D1A55">
        <w:t xml:space="preserve"> </w:t>
      </w:r>
      <w:r w:rsidR="00891DA6" w:rsidRPr="008D1A55">
        <w:t xml:space="preserve">at least </w:t>
      </w:r>
      <w:r w:rsidRPr="008D1A55">
        <w:t>10 points</w:t>
      </w:r>
      <w:r w:rsidR="00740C4D" w:rsidRPr="008D1A55">
        <w:t>)</w:t>
      </w:r>
      <w:r w:rsidRPr="008D1A55">
        <w:t xml:space="preserve">, Week 0 </w:t>
      </w:r>
      <w:r w:rsidR="007D0024" w:rsidRPr="008D1A55">
        <w:t>oral corticosteroids</w:t>
      </w:r>
      <w:r w:rsidRPr="008D1A55">
        <w:t xml:space="preserve"> dose </w:t>
      </w:r>
      <w:r w:rsidR="00740C4D" w:rsidRPr="008D1A55">
        <w:t>(</w:t>
      </w:r>
      <w:r w:rsidR="00891DA6" w:rsidRPr="008D1A55">
        <w:t xml:space="preserve">less than </w:t>
      </w:r>
      <w:r w:rsidRPr="008D1A55">
        <w:t>10</w:t>
      </w:r>
      <w:r w:rsidR="00891DA6" w:rsidRPr="008D1A55">
        <w:t> </w:t>
      </w:r>
      <w:r w:rsidRPr="008D1A55">
        <w:t xml:space="preserve">mg/day </w:t>
      </w:r>
      <w:r w:rsidR="00CA1444" w:rsidRPr="008D1A55">
        <w:t>versus</w:t>
      </w:r>
      <w:r w:rsidRPr="008D1A55">
        <w:t xml:space="preserve"> </w:t>
      </w:r>
      <w:r w:rsidR="00891DA6" w:rsidRPr="008D1A55">
        <w:t xml:space="preserve">at least </w:t>
      </w:r>
      <w:r w:rsidRPr="008D1A55">
        <w:t>10 mg/day prednisone or equivalent</w:t>
      </w:r>
      <w:r w:rsidR="00740C4D" w:rsidRPr="008D1A55">
        <w:t>)</w:t>
      </w:r>
      <w:r w:rsidRPr="008D1A55">
        <w:t xml:space="preserve"> and </w:t>
      </w:r>
      <w:r w:rsidR="00CC61CB" w:rsidRPr="008D1A55">
        <w:t xml:space="preserve">Type </w:t>
      </w:r>
      <w:r w:rsidR="00D264E5" w:rsidRPr="008D1A55">
        <w:t>I</w:t>
      </w:r>
      <w:r w:rsidRPr="008D1A55">
        <w:t xml:space="preserve"> </w:t>
      </w:r>
      <w:r w:rsidR="00D264E5" w:rsidRPr="008D1A55">
        <w:t>interferon</w:t>
      </w:r>
      <w:r w:rsidRPr="008D1A55">
        <w:t xml:space="preserve"> gene signature test result at screening </w:t>
      </w:r>
      <w:r w:rsidR="00740C4D" w:rsidRPr="008D1A55">
        <w:t>(</w:t>
      </w:r>
      <w:r w:rsidRPr="008D1A55">
        <w:t xml:space="preserve">high </w:t>
      </w:r>
      <w:r w:rsidR="00CA1444" w:rsidRPr="008D1A55">
        <w:t>versus</w:t>
      </w:r>
      <w:r w:rsidRPr="008D1A55">
        <w:t xml:space="preserve"> low</w:t>
      </w:r>
      <w:r w:rsidR="00740C4D" w:rsidRPr="008D1A55">
        <w:t>)</w:t>
      </w:r>
      <w:r w:rsidRPr="008D1A55">
        <w:t>).</w:t>
      </w:r>
    </w:p>
    <w:p w14:paraId="7818B51B" w14:textId="77777777" w:rsidR="00C7364D" w:rsidRPr="008D1A55" w:rsidRDefault="00C7364D" w:rsidP="005B2B36">
      <w:pPr>
        <w:pStyle w:val="TableDescription"/>
      </w:pPr>
      <w:r w:rsidRPr="008D1A55">
        <w:t>b Unadjusted p-value for Week 52</w:t>
      </w:r>
    </w:p>
    <w:p w14:paraId="66E8D3D4" w14:textId="77777777" w:rsidR="00C7364D" w:rsidRPr="008D1A55" w:rsidRDefault="00C7364D" w:rsidP="005B2B36">
      <w:pPr>
        <w:pStyle w:val="TableDescription"/>
      </w:pPr>
      <w:r w:rsidRPr="008D1A55">
        <w:t>Percentages are based upon all subjects in the full analysis set.</w:t>
      </w:r>
    </w:p>
    <w:p w14:paraId="0D135225" w14:textId="33A1362C" w:rsidR="00C7364D" w:rsidRPr="008D1A55" w:rsidRDefault="00C7364D" w:rsidP="005B2B36">
      <w:pPr>
        <w:pStyle w:val="TableDescription"/>
      </w:pPr>
      <w:r w:rsidRPr="008D1A55">
        <w:t>Baseline is defined as the last measurement prior to randomisation and dose administration on Day</w:t>
      </w:r>
      <w:r w:rsidR="00891DA6" w:rsidRPr="008D1A55">
        <w:t> </w:t>
      </w:r>
      <w:r w:rsidRPr="008D1A55">
        <w:t>1.</w:t>
      </w:r>
    </w:p>
    <w:p w14:paraId="39431F06" w14:textId="22288621" w:rsidR="00C7364D" w:rsidRPr="008D1A55" w:rsidRDefault="00891DA6" w:rsidP="005B2B36">
      <w:pPr>
        <w:pStyle w:val="TableDescription"/>
      </w:pPr>
      <w:r w:rsidRPr="008D1A55">
        <w:t xml:space="preserve">Systemic Lupus Erythematosus Responder Index </w:t>
      </w:r>
      <w:r w:rsidR="0035180C" w:rsidRPr="008D1A55">
        <w:t>of at least 4</w:t>
      </w:r>
      <w:r w:rsidR="00C7364D" w:rsidRPr="008D1A55">
        <w:t xml:space="preserve"> response is defined as a reduction from </w:t>
      </w:r>
      <w:r w:rsidR="00CA1444" w:rsidRPr="008D1A55">
        <w:t>Baseline</w:t>
      </w:r>
      <w:r w:rsidR="00C7364D" w:rsidRPr="008D1A55">
        <w:t xml:space="preserve"> of </w:t>
      </w:r>
      <w:r w:rsidRPr="008D1A55">
        <w:t xml:space="preserve">at least </w:t>
      </w:r>
      <w:r w:rsidR="00C7364D" w:rsidRPr="008D1A55">
        <w:t xml:space="preserve">4 points in the SLEDAI-2K, no new </w:t>
      </w:r>
      <w:r w:rsidRPr="008D1A55">
        <w:t>British Isles Lupus Assessment Group</w:t>
      </w:r>
      <w:r w:rsidR="00E25D23" w:rsidRPr="008D1A55">
        <w:t xml:space="preserve"> </w:t>
      </w:r>
      <w:r w:rsidR="00C7364D" w:rsidRPr="008D1A55">
        <w:t xml:space="preserve">2004 organ systems affected (defined as </w:t>
      </w:r>
      <w:r w:rsidRPr="008D1A55">
        <w:t xml:space="preserve">at least one </w:t>
      </w:r>
      <w:r w:rsidR="00C7364D" w:rsidRPr="008D1A55">
        <w:t xml:space="preserve">new A item or </w:t>
      </w:r>
      <w:r w:rsidRPr="008D1A55">
        <w:t>at least two</w:t>
      </w:r>
      <w:r w:rsidR="00C7364D" w:rsidRPr="008D1A55">
        <w:t xml:space="preserve"> new B items compared to </w:t>
      </w:r>
      <w:r w:rsidR="00CA1444" w:rsidRPr="008D1A55">
        <w:t>Baseline</w:t>
      </w:r>
      <w:r w:rsidR="00C7364D" w:rsidRPr="008D1A55">
        <w:t xml:space="preserve">) </w:t>
      </w:r>
      <w:r w:rsidR="00C7364D" w:rsidRPr="008D1A55">
        <w:lastRenderedPageBreak/>
        <w:t xml:space="preserve">and no increase </w:t>
      </w:r>
      <w:r w:rsidRPr="008D1A55">
        <w:t xml:space="preserve">of </w:t>
      </w:r>
      <w:r w:rsidR="00C7364D" w:rsidRPr="008D1A55">
        <w:t>0.30 points</w:t>
      </w:r>
      <w:r w:rsidRPr="008D1A55">
        <w:t xml:space="preserve"> or more</w:t>
      </w:r>
      <w:r w:rsidR="00C7364D" w:rsidRPr="008D1A55">
        <w:t xml:space="preserve"> on a 3</w:t>
      </w:r>
      <w:r w:rsidRPr="008D1A55">
        <w:t>-</w:t>
      </w:r>
      <w:r w:rsidR="00C7364D" w:rsidRPr="008D1A55">
        <w:t xml:space="preserve">point </w:t>
      </w:r>
      <w:r w:rsidR="00CC75F3" w:rsidRPr="008D1A55">
        <w:t xml:space="preserve">Physician’s Global Assessment </w:t>
      </w:r>
      <w:r w:rsidR="00597D8F" w:rsidRPr="008D1A55">
        <w:t xml:space="preserve">visual </w:t>
      </w:r>
      <w:proofErr w:type="spellStart"/>
      <w:r w:rsidR="00597D8F" w:rsidRPr="008D1A55">
        <w:t>analog</w:t>
      </w:r>
      <w:proofErr w:type="spellEnd"/>
      <w:r w:rsidR="00597D8F" w:rsidRPr="008D1A55">
        <w:t xml:space="preserve"> scale</w:t>
      </w:r>
      <w:r w:rsidR="00C7364D" w:rsidRPr="008D1A55">
        <w:t>. Subjects treated with restricted medication beyond protocol-allowed threshold, and those who discontinued investigational product, are regarded as non-responders.</w:t>
      </w:r>
    </w:p>
    <w:p w14:paraId="7E156C01" w14:textId="2DE7E817" w:rsidR="00C7364D" w:rsidRPr="008D1A55" w:rsidRDefault="00C7364D" w:rsidP="005B2B36">
      <w:r w:rsidRPr="008D1A55">
        <w:t xml:space="preserve">As statistical significance was not met for the primary endpoint, none of the key secondary endpoints were formally tested, according to the prespecified statistical plan. The observed findings for the </w:t>
      </w:r>
      <w:proofErr w:type="spellStart"/>
      <w:r w:rsidRPr="008D1A55">
        <w:t>anifrolumab</w:t>
      </w:r>
      <w:proofErr w:type="spellEnd"/>
      <w:r w:rsidRPr="008D1A55">
        <w:t xml:space="preserve"> 300 mg group </w:t>
      </w:r>
      <w:r w:rsidR="00CA1444" w:rsidRPr="008D1A55">
        <w:t>versus</w:t>
      </w:r>
      <w:r w:rsidRPr="008D1A55">
        <w:t xml:space="preserve"> placebo were:</w:t>
      </w:r>
    </w:p>
    <w:p w14:paraId="16DD5169" w14:textId="7EA4D346" w:rsidR="00C7364D" w:rsidRPr="008D1A55" w:rsidRDefault="00891DA6" w:rsidP="005B2B36">
      <w:pPr>
        <w:pStyle w:val="ListBullet"/>
      </w:pPr>
      <w:r w:rsidRPr="008D1A55">
        <w:t xml:space="preserve">similar </w:t>
      </w:r>
      <w:proofErr w:type="gramStart"/>
      <w:r w:rsidR="00C7364D" w:rsidRPr="008D1A55">
        <w:t>SRI(</w:t>
      </w:r>
      <w:proofErr w:type="gramEnd"/>
      <w:r w:rsidR="00C7364D" w:rsidRPr="008D1A55">
        <w:t xml:space="preserve">4) response rates were observed at Week 24 in the overall population and at Week 52 in </w:t>
      </w:r>
      <w:r w:rsidR="00CC61CB" w:rsidRPr="008D1A55">
        <w:t xml:space="preserve">Type </w:t>
      </w:r>
      <w:r w:rsidR="00D264E5" w:rsidRPr="008D1A55">
        <w:t>I</w:t>
      </w:r>
      <w:r w:rsidR="00C7364D" w:rsidRPr="008D1A55">
        <w:t xml:space="preserve"> </w:t>
      </w:r>
      <w:r w:rsidR="00D264E5" w:rsidRPr="008D1A55">
        <w:t>interferon</w:t>
      </w:r>
      <w:r w:rsidR="00C7364D" w:rsidRPr="008D1A55">
        <w:t xml:space="preserve"> gene signature test high patients</w:t>
      </w:r>
      <w:r w:rsidRPr="008D1A55">
        <w:t>;</w:t>
      </w:r>
    </w:p>
    <w:p w14:paraId="4388E41D" w14:textId="7CB33024" w:rsidR="00C7364D" w:rsidRPr="008D1A55" w:rsidRDefault="00891DA6" w:rsidP="005B2B36">
      <w:pPr>
        <w:pStyle w:val="ListBullet"/>
      </w:pPr>
      <w:r w:rsidRPr="008D1A55">
        <w:t xml:space="preserve">numerically </w:t>
      </w:r>
      <w:r w:rsidR="00C7364D" w:rsidRPr="008D1A55">
        <w:t xml:space="preserve">more patients (with </w:t>
      </w:r>
      <w:r w:rsidR="007D0024" w:rsidRPr="008D1A55">
        <w:t>oral corticosteroids</w:t>
      </w:r>
      <w:r w:rsidR="00C7364D" w:rsidRPr="008D1A55">
        <w:t xml:space="preserve"> </w:t>
      </w:r>
      <w:r w:rsidRPr="008D1A55">
        <w:t xml:space="preserve">at least </w:t>
      </w:r>
      <w:r w:rsidR="00C7364D" w:rsidRPr="008D1A55">
        <w:t xml:space="preserve">10 mg/day at </w:t>
      </w:r>
      <w:r w:rsidR="00CA1444" w:rsidRPr="008D1A55">
        <w:t>Baseline</w:t>
      </w:r>
      <w:r w:rsidR="00C7364D" w:rsidRPr="008D1A55">
        <w:t xml:space="preserve">) were able to taper their </w:t>
      </w:r>
      <w:r w:rsidR="007D0024" w:rsidRPr="008D1A55">
        <w:t>oral corticosteroids</w:t>
      </w:r>
      <w:r w:rsidR="00C7364D" w:rsidRPr="008D1A55">
        <w:t xml:space="preserve"> dose to target (</w:t>
      </w:r>
      <w:r w:rsidRPr="008D1A55">
        <w:t xml:space="preserve">no more than </w:t>
      </w:r>
      <w:r w:rsidR="00C7364D" w:rsidRPr="008D1A55">
        <w:t>7.5</w:t>
      </w:r>
      <w:r w:rsidRPr="008D1A55">
        <w:t> </w:t>
      </w:r>
      <w:r w:rsidR="00C7364D" w:rsidRPr="008D1A55">
        <w:t>mg/day at Week 40 maintained through Week 52</w:t>
      </w:r>
      <w:proofErr w:type="gramStart"/>
      <w:r w:rsidR="00C7364D" w:rsidRPr="008D1A55">
        <w:t>)</w:t>
      </w:r>
      <w:r w:rsidRPr="008D1A55">
        <w:t>;</w:t>
      </w:r>
      <w:proofErr w:type="gramEnd"/>
    </w:p>
    <w:p w14:paraId="75A4047F" w14:textId="73264582" w:rsidR="00C7364D" w:rsidRPr="008D1A55" w:rsidRDefault="00891DA6" w:rsidP="005B2B36">
      <w:pPr>
        <w:pStyle w:val="ListBullet"/>
      </w:pPr>
      <w:r w:rsidRPr="008D1A55">
        <w:t xml:space="preserve">numerically </w:t>
      </w:r>
      <w:r w:rsidR="00C7364D" w:rsidRPr="008D1A55">
        <w:t xml:space="preserve">more patients (with baseline CLASI activity score </w:t>
      </w:r>
      <w:r w:rsidRPr="008D1A55">
        <w:t xml:space="preserve">of at least </w:t>
      </w:r>
      <w:r w:rsidR="00C7364D" w:rsidRPr="008D1A55">
        <w:t xml:space="preserve">10) achieved a 50% </w:t>
      </w:r>
      <w:r w:rsidRPr="008D1A55">
        <w:t xml:space="preserve">or more </w:t>
      </w:r>
      <w:r w:rsidR="00C7364D" w:rsidRPr="008D1A55">
        <w:t xml:space="preserve">reduction from </w:t>
      </w:r>
      <w:r w:rsidR="00CA1444" w:rsidRPr="008D1A55">
        <w:t>Baseline</w:t>
      </w:r>
      <w:r w:rsidR="00C7364D" w:rsidRPr="008D1A55">
        <w:t xml:space="preserve"> in skin activity at 12 </w:t>
      </w:r>
      <w:proofErr w:type="gramStart"/>
      <w:r w:rsidR="00C7364D" w:rsidRPr="008D1A55">
        <w:t>weeks</w:t>
      </w:r>
      <w:r w:rsidRPr="008D1A55">
        <w:t>;</w:t>
      </w:r>
      <w:proofErr w:type="gramEnd"/>
    </w:p>
    <w:p w14:paraId="304D85C8" w14:textId="6915B893" w:rsidR="00C7364D" w:rsidRPr="008D1A55" w:rsidRDefault="00891DA6" w:rsidP="005B2B36">
      <w:pPr>
        <w:pStyle w:val="ListBullet"/>
      </w:pPr>
      <w:r w:rsidRPr="008D1A55">
        <w:t xml:space="preserve">the </w:t>
      </w:r>
      <w:r w:rsidR="00C7364D" w:rsidRPr="008D1A55">
        <w:t>annualised rate of flares was numerically lower (improved)</w:t>
      </w:r>
      <w:r w:rsidRPr="008D1A55">
        <w:t>.</w:t>
      </w:r>
    </w:p>
    <w:p w14:paraId="2912170F" w14:textId="38E893D9" w:rsidR="00C7364D" w:rsidRPr="008D1A55" w:rsidRDefault="00C7364D" w:rsidP="005B2B36">
      <w:r w:rsidRPr="008D1A55">
        <w:t xml:space="preserve">The major problem with the </w:t>
      </w:r>
      <w:r w:rsidR="00720FF5" w:rsidRPr="008D1A55">
        <w:t>sponsor</w:t>
      </w:r>
      <w:r w:rsidRPr="008D1A55">
        <w:t xml:space="preserve">’s assessment of the study is the major </w:t>
      </w:r>
      <w:r w:rsidRPr="008D1A55">
        <w:rPr>
          <w:i/>
          <w:iCs/>
        </w:rPr>
        <w:t>post</w:t>
      </w:r>
      <w:r w:rsidR="00CA1444" w:rsidRPr="008D1A55">
        <w:rPr>
          <w:i/>
          <w:iCs/>
        </w:rPr>
        <w:t>-</w:t>
      </w:r>
      <w:r w:rsidRPr="008D1A55">
        <w:rPr>
          <w:i/>
          <w:iCs/>
        </w:rPr>
        <w:t>hoc</w:t>
      </w:r>
      <w:r w:rsidRPr="008D1A55">
        <w:t xml:space="preserve"> analysis of the study and the change in emphasis of the study from the </w:t>
      </w:r>
      <w:proofErr w:type="gramStart"/>
      <w:r w:rsidRPr="008D1A55">
        <w:t>SRI(</w:t>
      </w:r>
      <w:proofErr w:type="gramEnd"/>
      <w:r w:rsidRPr="008D1A55">
        <w:t>4) response to the BICLA response.</w:t>
      </w:r>
    </w:p>
    <w:p w14:paraId="360B6647" w14:textId="3C6A8868" w:rsidR="00C7364D" w:rsidRPr="008D1A55" w:rsidRDefault="00C7364D" w:rsidP="005B2B36">
      <w:r w:rsidRPr="008D1A55">
        <w:t xml:space="preserve">The </w:t>
      </w:r>
      <w:r w:rsidR="00891DA6" w:rsidRPr="008D1A55">
        <w:t xml:space="preserve">Delegate </w:t>
      </w:r>
      <w:r w:rsidRPr="008D1A55">
        <w:t>agrees with the clinical evaluat</w:t>
      </w:r>
      <w:r w:rsidR="00AD6ECD" w:rsidRPr="008D1A55">
        <w:t>ion</w:t>
      </w:r>
      <w:r w:rsidRPr="008D1A55">
        <w:t xml:space="preserve">’s observation that as BICLA response at Week 52 was not part of the multiplicity procedure in Studies </w:t>
      </w:r>
      <w:r w:rsidR="007D0024" w:rsidRPr="008D1A55">
        <w:t>D3461C00005</w:t>
      </w:r>
      <w:r w:rsidRPr="008D1A55">
        <w:t xml:space="preserve"> and </w:t>
      </w:r>
      <w:r w:rsidR="007D0024" w:rsidRPr="008D1A55">
        <w:t>CD</w:t>
      </w:r>
      <w:r w:rsidR="007D0024" w:rsidRPr="008D1A55">
        <w:noBreakHyphen/>
        <w:t>IA</w:t>
      </w:r>
      <w:r w:rsidR="00891DA6" w:rsidRPr="008D1A55">
        <w:noBreakHyphen/>
      </w:r>
      <w:r w:rsidR="007D0024" w:rsidRPr="008D1A55">
        <w:t>MEDI-546-1013</w:t>
      </w:r>
      <w:r w:rsidRPr="008D1A55">
        <w:t>, and hence cannot be interpreted in terms of statistical significance and can only be considered exploratory.</w:t>
      </w:r>
    </w:p>
    <w:p w14:paraId="3F7FBB47" w14:textId="5C71BAAC" w:rsidR="00C7364D" w:rsidRPr="008D1A55" w:rsidRDefault="00C7364D" w:rsidP="005B2B36">
      <w:pPr>
        <w:pStyle w:val="Heading5"/>
      </w:pPr>
      <w:bookmarkStart w:id="67" w:name="_Toc290888504"/>
      <w:bookmarkStart w:id="68" w:name="_Toc416353720"/>
      <w:bookmarkStart w:id="69" w:name="_Ref71106265"/>
      <w:r w:rsidRPr="008D1A55">
        <w:t>Study</w:t>
      </w:r>
      <w:bookmarkEnd w:id="67"/>
      <w:r w:rsidRPr="008D1A55">
        <w:t xml:space="preserve"> </w:t>
      </w:r>
      <w:bookmarkEnd w:id="68"/>
      <w:r w:rsidRPr="008D1A55">
        <w:t>CD-IA-MEDI-546-1013</w:t>
      </w:r>
      <w:bookmarkEnd w:id="69"/>
    </w:p>
    <w:p w14:paraId="224072DA" w14:textId="73BA6058" w:rsidR="00C7364D" w:rsidRPr="008D1A55" w:rsidRDefault="00C7364D" w:rsidP="005B2B36">
      <w:r w:rsidRPr="008D1A55">
        <w:t>Study CD-IA-MEDI-546-1013 was a 52-week, multicentre, randomi</w:t>
      </w:r>
      <w:r w:rsidR="008D5724" w:rsidRPr="008D1A55">
        <w:t>s</w:t>
      </w:r>
      <w:r w:rsidRPr="008D1A55">
        <w:t>ed, double</w:t>
      </w:r>
      <w:r w:rsidR="008D5724" w:rsidRPr="008D1A55">
        <w:t xml:space="preserve"> </w:t>
      </w:r>
      <w:r w:rsidRPr="008D1A55">
        <w:t>blind, placebo</w:t>
      </w:r>
      <w:r w:rsidR="008D5724" w:rsidRPr="008D1A55">
        <w:t xml:space="preserve"> </w:t>
      </w:r>
      <w:r w:rsidRPr="008D1A55">
        <w:t>controlled, parallel group study. Patients were randomi</w:t>
      </w:r>
      <w:r w:rsidR="008D5724" w:rsidRPr="008D1A55">
        <w:t>s</w:t>
      </w:r>
      <w:r w:rsidRPr="008D1A55">
        <w:t xml:space="preserve">ed in a 1:1:1 fashion to </w:t>
      </w:r>
      <w:proofErr w:type="spellStart"/>
      <w:r w:rsidR="00F37795" w:rsidRPr="008D1A55">
        <w:t>anifrolumab</w:t>
      </w:r>
      <w:proofErr w:type="spellEnd"/>
      <w:r w:rsidR="00F37795" w:rsidRPr="008D1A55">
        <w:t xml:space="preserve"> </w:t>
      </w:r>
      <w:r w:rsidRPr="008D1A55">
        <w:t>1000</w:t>
      </w:r>
      <w:r w:rsidR="00891DA6" w:rsidRPr="008D1A55">
        <w:t xml:space="preserve"> </w:t>
      </w:r>
      <w:r w:rsidRPr="008D1A55">
        <w:t xml:space="preserve">mg, </w:t>
      </w:r>
      <w:proofErr w:type="spellStart"/>
      <w:r w:rsidR="00F37795" w:rsidRPr="008D1A55">
        <w:t>anifrolumab</w:t>
      </w:r>
      <w:proofErr w:type="spellEnd"/>
      <w:r w:rsidR="00F37795" w:rsidRPr="008D1A55">
        <w:t xml:space="preserve"> </w:t>
      </w:r>
      <w:r w:rsidRPr="008D1A55">
        <w:t>300</w:t>
      </w:r>
      <w:r w:rsidR="00891DA6" w:rsidRPr="008D1A55">
        <w:t xml:space="preserve"> </w:t>
      </w:r>
      <w:r w:rsidRPr="008D1A55">
        <w:t>mg, or placebo (</w:t>
      </w:r>
      <w:r w:rsidR="00891DA6" w:rsidRPr="008D1A55">
        <w:t xml:space="preserve">see </w:t>
      </w:r>
      <w:r w:rsidR="001605DB" w:rsidRPr="008D1A55">
        <w:fldChar w:fldCharType="begin"/>
      </w:r>
      <w:r w:rsidR="001605DB" w:rsidRPr="008D1A55">
        <w:instrText xml:space="preserve"> REF _Ref116763190 \h </w:instrText>
      </w:r>
      <w:r w:rsidR="005941D0" w:rsidRPr="008D1A55">
        <w:instrText xml:space="preserve"> \* MERGEFORMAT </w:instrText>
      </w:r>
      <w:r w:rsidR="001605DB" w:rsidRPr="008D1A55">
        <w:fldChar w:fldCharType="separate"/>
      </w:r>
      <w:r w:rsidR="00D8723A" w:rsidRPr="008D1A55">
        <w:t xml:space="preserve">Figure </w:t>
      </w:r>
      <w:r w:rsidR="00D8723A">
        <w:rPr>
          <w:noProof/>
        </w:rPr>
        <w:t>3</w:t>
      </w:r>
      <w:r w:rsidR="001605DB" w:rsidRPr="008D1A55">
        <w:fldChar w:fldCharType="end"/>
      </w:r>
      <w:r w:rsidR="00891DA6" w:rsidRPr="008D1A55">
        <w:t xml:space="preserve"> below</w:t>
      </w:r>
      <w:r w:rsidRPr="008D1A55">
        <w:t>).</w:t>
      </w:r>
    </w:p>
    <w:p w14:paraId="1D82E9CB" w14:textId="0FA44222" w:rsidR="00C7364D" w:rsidRPr="008D1A55" w:rsidRDefault="00C7364D" w:rsidP="005B2B36">
      <w:r w:rsidRPr="008D1A55">
        <w:t xml:space="preserve">A total of 305 patients were randomised to </w:t>
      </w:r>
      <w:proofErr w:type="spellStart"/>
      <w:r w:rsidRPr="008D1A55">
        <w:t>anifrolumab</w:t>
      </w:r>
      <w:proofErr w:type="spellEnd"/>
      <w:r w:rsidRPr="008D1A55">
        <w:t xml:space="preserve"> 300 mg, 1000 </w:t>
      </w:r>
      <w:proofErr w:type="gramStart"/>
      <w:r w:rsidRPr="008D1A55">
        <w:t>mg</w:t>
      </w:r>
      <w:proofErr w:type="gramEnd"/>
      <w:r w:rsidRPr="008D1A55">
        <w:t xml:space="preserve"> or placebo for a total of 13 doses (52 weeks). The primary outcome as the </w:t>
      </w:r>
      <w:proofErr w:type="gramStart"/>
      <w:r w:rsidRPr="008D1A55">
        <w:t>SRI(</w:t>
      </w:r>
      <w:proofErr w:type="gramEnd"/>
      <w:r w:rsidRPr="008D1A55">
        <w:t>4) response rate at Week</w:t>
      </w:r>
      <w:r w:rsidR="00891DA6" w:rsidRPr="008D1A55">
        <w:t> </w:t>
      </w:r>
      <w:r w:rsidRPr="008D1A55">
        <w:t xml:space="preserve">24. Secondary outcomes were </w:t>
      </w:r>
      <w:proofErr w:type="gramStart"/>
      <w:r w:rsidRPr="008D1A55">
        <w:t>SRI(</w:t>
      </w:r>
      <w:proofErr w:type="gramEnd"/>
      <w:r w:rsidRPr="008D1A55">
        <w:t xml:space="preserve">4) response rate at Week 52 and reducing background </w:t>
      </w:r>
      <w:r w:rsidR="007D0024" w:rsidRPr="008D1A55">
        <w:t>oral corticosteroids</w:t>
      </w:r>
      <w:r w:rsidRPr="008D1A55">
        <w:t xml:space="preserve"> dosage. The BICLA response rate was an exploratory efficacy outcome.</w:t>
      </w:r>
    </w:p>
    <w:p w14:paraId="424FC6FF" w14:textId="714625C5" w:rsidR="00C7364D" w:rsidRPr="008D1A55" w:rsidRDefault="00720FF5" w:rsidP="00891DA6">
      <w:pPr>
        <w:pStyle w:val="FigureTitle"/>
      </w:pPr>
      <w:bookmarkStart w:id="70" w:name="_Ref116763190"/>
      <w:r w:rsidRPr="008D1A55">
        <w:lastRenderedPageBreak/>
        <w:t xml:space="preserve">Figure </w:t>
      </w:r>
      <w:r w:rsidR="005675A0">
        <w:fldChar w:fldCharType="begin"/>
      </w:r>
      <w:r w:rsidR="005675A0">
        <w:instrText xml:space="preserve"> SEQ Figure \* ARABIC </w:instrText>
      </w:r>
      <w:r w:rsidR="005675A0">
        <w:fldChar w:fldCharType="separate"/>
      </w:r>
      <w:r w:rsidR="00D8723A">
        <w:rPr>
          <w:noProof/>
        </w:rPr>
        <w:t>3</w:t>
      </w:r>
      <w:r w:rsidR="005675A0">
        <w:rPr>
          <w:noProof/>
        </w:rPr>
        <w:fldChar w:fldCharType="end"/>
      </w:r>
      <w:bookmarkEnd w:id="70"/>
      <w:r w:rsidRPr="008D1A55">
        <w:t>:</w:t>
      </w:r>
      <w:r w:rsidR="00C7364D" w:rsidRPr="008D1A55">
        <w:t xml:space="preserve"> </w:t>
      </w:r>
      <w:r w:rsidR="007D0024" w:rsidRPr="008D1A55">
        <w:t xml:space="preserve">Study CD IA-MEDI-546-1013 </w:t>
      </w:r>
      <w:r w:rsidR="00C7364D" w:rsidRPr="008D1A55">
        <w:t xml:space="preserve">Study </w:t>
      </w:r>
      <w:r w:rsidR="00891DA6" w:rsidRPr="008D1A55">
        <w:t>design</w:t>
      </w:r>
    </w:p>
    <w:p w14:paraId="63C3E711" w14:textId="35089BF8" w:rsidR="00D356D3" w:rsidRPr="008D1A55" w:rsidRDefault="00D356D3" w:rsidP="00891DA6">
      <w:pPr>
        <w:pStyle w:val="FigureTitle"/>
      </w:pPr>
      <w:r w:rsidRPr="008D1A55">
        <w:rPr>
          <w:noProof/>
          <w:lang w:val="en-GB" w:eastAsia="en-GB"/>
        </w:rPr>
        <w:drawing>
          <wp:inline distT="0" distB="0" distL="0" distR="0" wp14:anchorId="26544DEA" wp14:editId="01ED976E">
            <wp:extent cx="5400040" cy="3532505"/>
            <wp:effectExtent l="0" t="0" r="0" b="0"/>
            <wp:docPr id="6" name="Picture 6" descr="Figure 3: Study CD IA-MEDI-546-1013 Study design&#10;&#10;Study CD IA-MEDI-546-1013 aimed to evaluate the efficacy and safety of two intravenous treatment regimens in adult subjects with chronic, moderately to severely active systemic lupus erythematosus with an inadequate response to standard of care treatment for systemic lupus erythematosus.&#10;&#10;A total of approximately 300 adults with systemic lupus erythematosus were to be randomised in a 1:1:1 ratio to receive a fixed intravenous dose of anifrolumab (300 mg anifrolumab for Arm 1 and 1000 mg anifrolumab for Arm 2) or placebo (Arm 3) every 4 weeks for 48 weeks.&#10;&#10;Randomisation was stratified by Systemic Lupus Erythematosus Disease Activity Index 2000 score at screening, Day 1 oral corticosteroids dose, and the results of a diagnostic test for type I interferon signature in whole blood at screening using a 4-gene Type I interferon test.&#10;&#10;Anifrolumab or placebo was administered as an intravenous infusion via an infusion pump over approximately 60 minutes every 4 weeks for a total of 13 doses (Days 1, 29, 57, 85, 113, 141, 169, 197, 225, 253, 281, 309, and 337). All subjects were to be followed for 85 days after the last dose of investigational product from the end of Day 337 through Day 422. The primary endpoint was assessed at Day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 Study CD IA-MEDI-546-1013 Study design&#10;&#10;Study CD IA-MEDI-546-1013 aimed to evaluate the efficacy and safety of two intravenous treatment regimens in adult subjects with chronic, moderately to severely active systemic lupus erythematosus with an inadequate response to standard of care treatment for systemic lupus erythematosus.&#10;&#10;A total of approximately 300 adults with systemic lupus erythematosus were to be randomised in a 1:1:1 ratio to receive a fixed intravenous dose of anifrolumab (300 mg anifrolumab for Arm 1 and 1000 mg anifrolumab for Arm 2) or placebo (Arm 3) every 4 weeks for 48 weeks.&#10;&#10;Randomisation was stratified by Systemic Lupus Erythematosus Disease Activity Index 2000 score at screening, Day 1 oral corticosteroids dose, and the results of a diagnostic test for type I interferon signature in whole blood at screening using a 4-gene Type I interferon test.&#10;&#10;Anifrolumab or placebo was administered as an intravenous infusion via an infusion pump over approximately 60 minutes every 4 weeks for a total of 13 doses (Days 1, 29, 57, 85, 113, 141, 169, 197, 225, 253, 281, 309, and 337). All subjects were to be followed for 85 days after the last dose of investigational product from the end of Day 337 through Day 422. The primary endpoint was assessed at Day 169."/>
                    <pic:cNvPicPr/>
                  </pic:nvPicPr>
                  <pic:blipFill>
                    <a:blip r:embed="rId18"/>
                    <a:stretch>
                      <a:fillRect/>
                    </a:stretch>
                  </pic:blipFill>
                  <pic:spPr>
                    <a:xfrm>
                      <a:off x="0" y="0"/>
                      <a:ext cx="5400040" cy="3532505"/>
                    </a:xfrm>
                    <a:prstGeom prst="rect">
                      <a:avLst/>
                    </a:prstGeom>
                  </pic:spPr>
                </pic:pic>
              </a:graphicData>
            </a:graphic>
          </wp:inline>
        </w:drawing>
      </w:r>
    </w:p>
    <w:p w14:paraId="69A6101F" w14:textId="7AC57419" w:rsidR="00D356D3" w:rsidRPr="008D1A55" w:rsidRDefault="00D356D3" w:rsidP="00D356D3">
      <w:pPr>
        <w:pStyle w:val="FigureDescription"/>
      </w:pPr>
      <w:r w:rsidRPr="008D1A55">
        <w:t xml:space="preserve">Abbreviations: d = days; IFN DX = 4-gene </w:t>
      </w:r>
      <w:r w:rsidR="00CC61CB" w:rsidRPr="008D1A55">
        <w:t xml:space="preserve">Type </w:t>
      </w:r>
      <w:r w:rsidRPr="008D1A55">
        <w:t xml:space="preserve">I interferon test; MEDI-546 = </w:t>
      </w:r>
      <w:proofErr w:type="spellStart"/>
      <w:r w:rsidRPr="008D1A55">
        <w:t>anifrolumab</w:t>
      </w:r>
      <w:proofErr w:type="spellEnd"/>
      <w:r w:rsidRPr="008D1A55">
        <w:t>; OCS = oral corticosteroids; SLE = systemic lupus erythematosus; SLEDAI-2K = Systemic Lupus Erythematosus Disease Activity Index 2000.</w:t>
      </w:r>
    </w:p>
    <w:p w14:paraId="540B3037" w14:textId="20123D48" w:rsidR="00C7364D" w:rsidRPr="008D1A55" w:rsidRDefault="00C7364D" w:rsidP="005B2B36">
      <w:r w:rsidRPr="008D1A55">
        <w:t xml:space="preserve">The primary outcome was met. The </w:t>
      </w:r>
      <w:proofErr w:type="gramStart"/>
      <w:r w:rsidRPr="008D1A55">
        <w:t>SRI(</w:t>
      </w:r>
      <w:proofErr w:type="gramEnd"/>
      <w:r w:rsidRPr="008D1A55">
        <w:t xml:space="preserve">4) response rate for 300 mg </w:t>
      </w:r>
      <w:proofErr w:type="spellStart"/>
      <w:r w:rsidRPr="008D1A55">
        <w:t>anifrolumab</w:t>
      </w:r>
      <w:proofErr w:type="spellEnd"/>
      <w:r w:rsidRPr="008D1A55">
        <w:t xml:space="preserve"> was 34</w:t>
      </w:r>
      <w:r w:rsidR="00A259E4" w:rsidRPr="008D1A55">
        <w:t xml:space="preserve"> of </w:t>
      </w:r>
      <w:r w:rsidRPr="008D1A55">
        <w:t>99 (34%) compared with 18</w:t>
      </w:r>
      <w:r w:rsidR="00A259E4" w:rsidRPr="008D1A55">
        <w:t xml:space="preserve"> of </w:t>
      </w:r>
      <w:r w:rsidRPr="008D1A55">
        <w:t>102 (17.6%), p</w:t>
      </w:r>
      <w:r w:rsidR="00A259E4" w:rsidRPr="008D1A55">
        <w:t xml:space="preserve"> </w:t>
      </w:r>
      <w:r w:rsidRPr="008D1A55">
        <w:t>=</w:t>
      </w:r>
      <w:r w:rsidR="00A259E4" w:rsidRPr="008D1A55">
        <w:t xml:space="preserve"> </w:t>
      </w:r>
      <w:r w:rsidRPr="008D1A55">
        <w:t>0.014.</w:t>
      </w:r>
    </w:p>
    <w:p w14:paraId="4C4590E3" w14:textId="37492EE4" w:rsidR="00C7364D" w:rsidRPr="008D1A55" w:rsidRDefault="00C7364D" w:rsidP="005B2B36">
      <w:r w:rsidRPr="008D1A55">
        <w:t xml:space="preserve">The response in patients with </w:t>
      </w:r>
      <w:r w:rsidR="00DA15D9" w:rsidRPr="008D1A55">
        <w:t>interferon gene signature</w:t>
      </w:r>
      <w:r w:rsidRPr="008D1A55">
        <w:t xml:space="preserve"> high patients was </w:t>
      </w:r>
      <w:proofErr w:type="gramStart"/>
      <w:r w:rsidRPr="008D1A55">
        <w:t>similar to</w:t>
      </w:r>
      <w:proofErr w:type="gramEnd"/>
      <w:r w:rsidRPr="008D1A55">
        <w:t xml:space="preserve"> the general population, 300 mg </w:t>
      </w:r>
      <w:proofErr w:type="spellStart"/>
      <w:r w:rsidRPr="008D1A55">
        <w:t>anifrolumab</w:t>
      </w:r>
      <w:proofErr w:type="spellEnd"/>
      <w:r w:rsidRPr="008D1A55">
        <w:t xml:space="preserve"> 27</w:t>
      </w:r>
      <w:r w:rsidR="00A259E4" w:rsidRPr="008D1A55">
        <w:t xml:space="preserve"> of </w:t>
      </w:r>
      <w:r w:rsidRPr="008D1A55">
        <w:t>75 (36%) compared with 10</w:t>
      </w:r>
      <w:r w:rsidR="00A259E4" w:rsidRPr="008D1A55">
        <w:t xml:space="preserve"> of </w:t>
      </w:r>
      <w:r w:rsidRPr="008D1A55">
        <w:t>76 (13.2%), p</w:t>
      </w:r>
      <w:r w:rsidR="00A259E4" w:rsidRPr="008D1A55">
        <w:t xml:space="preserve"> </w:t>
      </w:r>
      <w:r w:rsidRPr="008D1A55">
        <w:t>=</w:t>
      </w:r>
      <w:r w:rsidR="00A259E4" w:rsidRPr="008D1A55">
        <w:t xml:space="preserve"> </w:t>
      </w:r>
      <w:r w:rsidRPr="008D1A55">
        <w:t>0.004.</w:t>
      </w:r>
    </w:p>
    <w:p w14:paraId="23D42551" w14:textId="25CD1B97" w:rsidR="00C7364D" w:rsidRPr="008D1A55" w:rsidRDefault="00C7364D" w:rsidP="005B2B36">
      <w:r w:rsidRPr="008D1A55">
        <w:t xml:space="preserve">The results for the secondary outcome of maintained </w:t>
      </w:r>
      <w:r w:rsidR="007D0024" w:rsidRPr="008D1A55">
        <w:t>oral corticosteroids</w:t>
      </w:r>
      <w:r w:rsidRPr="008D1A55">
        <w:t xml:space="preserve"> tapering at Week</w:t>
      </w:r>
      <w:r w:rsidR="00D356D3" w:rsidRPr="008D1A55">
        <w:t> </w:t>
      </w:r>
      <w:r w:rsidRPr="008D1A55">
        <w:t>52 were 31</w:t>
      </w:r>
      <w:r w:rsidR="00A259E4" w:rsidRPr="008D1A55">
        <w:t xml:space="preserve"> of </w:t>
      </w:r>
      <w:r w:rsidRPr="008D1A55">
        <w:t>55 (56%) compared with 17</w:t>
      </w:r>
      <w:r w:rsidR="00A259E4" w:rsidRPr="008D1A55">
        <w:t xml:space="preserve"> of </w:t>
      </w:r>
      <w:r w:rsidRPr="008D1A55">
        <w:t>64 (27%), p</w:t>
      </w:r>
      <w:r w:rsidR="00A259E4" w:rsidRPr="008D1A55">
        <w:t xml:space="preserve"> </w:t>
      </w:r>
      <w:r w:rsidRPr="008D1A55">
        <w:t>=</w:t>
      </w:r>
      <w:r w:rsidR="00A259E4" w:rsidRPr="008D1A55">
        <w:t xml:space="preserve"> </w:t>
      </w:r>
      <w:r w:rsidRPr="008D1A55">
        <w:t>0.001.</w:t>
      </w:r>
    </w:p>
    <w:p w14:paraId="1CA84788" w14:textId="75267B1A" w:rsidR="00C7364D" w:rsidRPr="008D1A55" w:rsidRDefault="00C7364D" w:rsidP="005B2B36">
      <w:r w:rsidRPr="008D1A55">
        <w:t xml:space="preserve">The BICLA response with </w:t>
      </w:r>
      <w:r w:rsidR="007D0024" w:rsidRPr="008D1A55">
        <w:t>oral corticosteroids</w:t>
      </w:r>
      <w:r w:rsidRPr="008D1A55">
        <w:t xml:space="preserve"> tapering for the 300 mg </w:t>
      </w:r>
      <w:proofErr w:type="spellStart"/>
      <w:r w:rsidRPr="008D1A55">
        <w:t>anifrolumab</w:t>
      </w:r>
      <w:proofErr w:type="spellEnd"/>
      <w:r w:rsidRPr="008D1A55">
        <w:t xml:space="preserve"> group were 28% at Week 24 and 43% at Week 52 compared with placebo, 11% at Week 24 and 17% at Week 52.</w:t>
      </w:r>
    </w:p>
    <w:p w14:paraId="7ECCDB3C" w14:textId="768B3819" w:rsidR="00C7364D" w:rsidRPr="008D1A55" w:rsidRDefault="00C7364D" w:rsidP="005B2B36">
      <w:r w:rsidRPr="008D1A55">
        <w:t xml:space="preserve">Overall, while there was a statistically significant difference between </w:t>
      </w:r>
      <w:proofErr w:type="spellStart"/>
      <w:r w:rsidRPr="008D1A55">
        <w:t>anifrolumab</w:t>
      </w:r>
      <w:proofErr w:type="spellEnd"/>
      <w:r w:rsidRPr="008D1A55">
        <w:t xml:space="preserve"> 300</w:t>
      </w:r>
      <w:r w:rsidR="00D356D3" w:rsidRPr="008D1A55">
        <w:t> </w:t>
      </w:r>
      <w:r w:rsidRPr="008D1A55">
        <w:t>mg and placebo, the response rate was low.</w:t>
      </w:r>
    </w:p>
    <w:p w14:paraId="648A8A19" w14:textId="5AA3DC12" w:rsidR="00C7364D" w:rsidRPr="008D1A55" w:rsidRDefault="00C7364D" w:rsidP="005B2B36">
      <w:pPr>
        <w:pStyle w:val="Heading5"/>
      </w:pPr>
      <w:r w:rsidRPr="008D1A55">
        <w:t>Study CD-IA-MEDI-546-1145</w:t>
      </w:r>
    </w:p>
    <w:p w14:paraId="31E0BE72" w14:textId="3E207781" w:rsidR="00C7364D" w:rsidRPr="008D1A55" w:rsidRDefault="004A0B8E" w:rsidP="005B2B36">
      <w:r w:rsidRPr="008D1A55">
        <w:t>Study CD-IA-MEDI-546-1145</w:t>
      </w:r>
      <w:r w:rsidR="00C7364D" w:rsidRPr="008D1A55">
        <w:t xml:space="preserve"> was primarily an extension study to Study</w:t>
      </w:r>
      <w:r w:rsidR="00914173">
        <w:t> </w:t>
      </w:r>
      <w:r w:rsidR="00C7364D" w:rsidRPr="008D1A55">
        <w:t>CD</w:t>
      </w:r>
      <w:r w:rsidRPr="008D1A55">
        <w:noBreakHyphen/>
      </w:r>
      <w:r w:rsidR="00C7364D" w:rsidRPr="008D1A55">
        <w:t>IA</w:t>
      </w:r>
      <w:r w:rsidRPr="008D1A55">
        <w:noBreakHyphen/>
      </w:r>
      <w:r w:rsidR="00C7364D" w:rsidRPr="008D1A55">
        <w:t>MEDI</w:t>
      </w:r>
      <w:r w:rsidRPr="008D1A55">
        <w:noBreakHyphen/>
      </w:r>
      <w:r w:rsidR="00C7364D" w:rsidRPr="008D1A55">
        <w:t>546</w:t>
      </w:r>
      <w:r w:rsidRPr="008D1A55">
        <w:noBreakHyphen/>
      </w:r>
      <w:r w:rsidR="00C7364D" w:rsidRPr="008D1A55">
        <w:t>1013 whose primary aim was to evaluate the long</w:t>
      </w:r>
      <w:r w:rsidR="00A259E4" w:rsidRPr="008D1A55">
        <w:t>-</w:t>
      </w:r>
      <w:r w:rsidR="00C7364D" w:rsidRPr="008D1A55">
        <w:t xml:space="preserve">term safety in patients who had completed the previous patients. The patients enrolled consisted of 70% of the population who had received </w:t>
      </w:r>
      <w:proofErr w:type="spellStart"/>
      <w:r w:rsidR="00C7364D" w:rsidRPr="008D1A55">
        <w:t>anifrolumab</w:t>
      </w:r>
      <w:proofErr w:type="spellEnd"/>
      <w:r w:rsidR="00C7364D" w:rsidRPr="008D1A55">
        <w:t xml:space="preserve"> at different doses for 12 months in Study</w:t>
      </w:r>
      <w:r w:rsidRPr="008D1A55">
        <w:t> </w:t>
      </w:r>
      <w:r w:rsidR="00C7364D" w:rsidRPr="008D1A55">
        <w:t xml:space="preserve">CD-IA-MEDI-546-1013 as well as 30% of patients who had received placebo. Further all patients were commenced on </w:t>
      </w:r>
      <w:proofErr w:type="spellStart"/>
      <w:r w:rsidR="00C7364D" w:rsidRPr="008D1A55">
        <w:t>anifrolumab</w:t>
      </w:r>
      <w:proofErr w:type="spellEnd"/>
      <w:r w:rsidR="00C7364D" w:rsidRPr="008D1A55">
        <w:t xml:space="preserve"> 1000 mg and changed to 300</w:t>
      </w:r>
      <w:r w:rsidRPr="008D1A55">
        <w:t> </w:t>
      </w:r>
      <w:r w:rsidR="00C7364D" w:rsidRPr="008D1A55">
        <w:t xml:space="preserve">mg </w:t>
      </w:r>
      <w:proofErr w:type="gramStart"/>
      <w:r w:rsidR="00C7364D" w:rsidRPr="008D1A55">
        <w:t>during the course of</w:t>
      </w:r>
      <w:proofErr w:type="gramEnd"/>
      <w:r w:rsidR="00C7364D" w:rsidRPr="008D1A55">
        <w:t xml:space="preserve"> the study. The results are presented for the overall population and the heterogeneous nature of the population is not discussed or the results for the different populations presented.</w:t>
      </w:r>
    </w:p>
    <w:p w14:paraId="15F6DB55" w14:textId="70BEF61D" w:rsidR="00C7364D" w:rsidRPr="008D1A55" w:rsidRDefault="00C7364D" w:rsidP="005B2B36">
      <w:r w:rsidRPr="008D1A55">
        <w:t>Efficacy as measured by the SLEDAI-2K responses was an exploratory objective in this study.</w:t>
      </w:r>
    </w:p>
    <w:p w14:paraId="1D1FFBBE" w14:textId="46192E77" w:rsidR="00C7364D" w:rsidRPr="008D1A55" w:rsidRDefault="00C7364D" w:rsidP="00C7364D">
      <w:r w:rsidRPr="008D1A55">
        <w:lastRenderedPageBreak/>
        <w:t>The results found that patients receiving long</w:t>
      </w:r>
      <w:r w:rsidR="00A259E4" w:rsidRPr="008D1A55">
        <w:t>-</w:t>
      </w:r>
      <w:r w:rsidRPr="008D1A55">
        <w:t xml:space="preserve">term treatment with </w:t>
      </w:r>
      <w:proofErr w:type="spellStart"/>
      <w:r w:rsidRPr="008D1A55">
        <w:t>anifrolumab</w:t>
      </w:r>
      <w:proofErr w:type="spellEnd"/>
      <w:r w:rsidRPr="008D1A55">
        <w:t xml:space="preserve"> showed a numerical trend towards a decrease from </w:t>
      </w:r>
      <w:r w:rsidR="00CA1444" w:rsidRPr="008D1A55">
        <w:t>Baseline</w:t>
      </w:r>
      <w:r w:rsidRPr="008D1A55">
        <w:t xml:space="preserve"> in SLEDAI-2K Global Score that continued throughout 156 weeks of treatment, reversing following cessation of treatment.</w:t>
      </w:r>
    </w:p>
    <w:p w14:paraId="6F0967B6" w14:textId="29EC96B7" w:rsidR="00C7364D" w:rsidRPr="008D1A55" w:rsidRDefault="00C7364D" w:rsidP="005B2B36">
      <w:pPr>
        <w:pStyle w:val="Heading5"/>
      </w:pPr>
      <w:r w:rsidRPr="008D1A55">
        <w:t>Study D3461C00002</w:t>
      </w:r>
    </w:p>
    <w:p w14:paraId="56DC9A17" w14:textId="63E0F1F1" w:rsidR="00C7364D" w:rsidRPr="008D1A55" w:rsidRDefault="004A0B8E" w:rsidP="005B2B36">
      <w:r w:rsidRPr="008D1A55">
        <w:t xml:space="preserve">Study D3461C00002 </w:t>
      </w:r>
      <w:r w:rsidR="00C7364D" w:rsidRPr="008D1A55">
        <w:t xml:space="preserve">was a small </w:t>
      </w:r>
      <w:r w:rsidR="001605DB" w:rsidRPr="008D1A55">
        <w:t>Phase II</w:t>
      </w:r>
      <w:r w:rsidR="00C7364D" w:rsidRPr="008D1A55">
        <w:t xml:space="preserve"> study conducted in Japanese patients in Japan. The primary objective of the study was safety. Efficacy as measured by </w:t>
      </w:r>
      <w:proofErr w:type="gramStart"/>
      <w:r w:rsidR="00C7364D" w:rsidRPr="008D1A55">
        <w:t>SRI(</w:t>
      </w:r>
      <w:proofErr w:type="gramEnd"/>
      <w:r w:rsidR="00C7364D" w:rsidRPr="008D1A55">
        <w:t>4) responder rate was an exploratory outcome.</w:t>
      </w:r>
    </w:p>
    <w:p w14:paraId="681050A0" w14:textId="4B78CD4E" w:rsidR="00C7364D" w:rsidRPr="008D1A55" w:rsidRDefault="00C7364D" w:rsidP="005B2B36">
      <w:r w:rsidRPr="008D1A55">
        <w:t>Stage</w:t>
      </w:r>
      <w:r w:rsidR="004A0B8E" w:rsidRPr="008D1A55">
        <w:t> </w:t>
      </w:r>
      <w:r w:rsidRPr="008D1A55">
        <w:t>I of the study evaluated single doses of 6 patients treated with 100 mg, 5 treated with 300 mg and 6 treated with 1000 mg.</w:t>
      </w:r>
    </w:p>
    <w:p w14:paraId="54F1F605" w14:textId="431A4CBC" w:rsidR="00C7364D" w:rsidRPr="008D1A55" w:rsidRDefault="00C7364D" w:rsidP="005B2B36">
      <w:r w:rsidRPr="008D1A55">
        <w:t xml:space="preserve">Stage II consisted of repeated doses of </w:t>
      </w:r>
      <w:proofErr w:type="spellStart"/>
      <w:r w:rsidRPr="008D1A55">
        <w:t>anifrolumab</w:t>
      </w:r>
      <w:proofErr w:type="spellEnd"/>
      <w:r w:rsidRPr="008D1A55">
        <w:t>, initially at the dose received in Stage</w:t>
      </w:r>
      <w:r w:rsidR="004A0B8E" w:rsidRPr="008D1A55">
        <w:t> I</w:t>
      </w:r>
      <w:r w:rsidRPr="008D1A55">
        <w:t xml:space="preserve"> but was changed during the study to all patients receiving 300 mg for 156 weeks.</w:t>
      </w:r>
    </w:p>
    <w:p w14:paraId="55A09475" w14:textId="0F3599BE" w:rsidR="00C7364D" w:rsidRPr="008D1A55" w:rsidRDefault="00C7364D" w:rsidP="005B2B36">
      <w:r w:rsidRPr="008D1A55">
        <w:t>The study was not placebo controlled for efficacy and the number of patients in each dose group make it impossible to draw any conclusions on efficacy.</w:t>
      </w:r>
    </w:p>
    <w:p w14:paraId="0C6C284B" w14:textId="5DE38485" w:rsidR="00C7364D" w:rsidRPr="008D1A55" w:rsidRDefault="00C7364D" w:rsidP="005B2B36">
      <w:pPr>
        <w:pStyle w:val="Heading5"/>
      </w:pPr>
      <w:bookmarkStart w:id="71" w:name="_Toc72755573"/>
      <w:r w:rsidRPr="008D1A55">
        <w:t>Analyses performed across trials: pooled and meta</w:t>
      </w:r>
      <w:r w:rsidR="004A0B8E" w:rsidRPr="008D1A55">
        <w:t>-</w:t>
      </w:r>
      <w:r w:rsidRPr="008D1A55">
        <w:t>analyses</w:t>
      </w:r>
      <w:bookmarkEnd w:id="71"/>
    </w:p>
    <w:p w14:paraId="2C528C48" w14:textId="2BE256B0" w:rsidR="00C7364D" w:rsidRPr="008D1A55" w:rsidRDefault="00C7364D" w:rsidP="005B2B36">
      <w:r w:rsidRPr="008D1A55">
        <w:t xml:space="preserve">The </w:t>
      </w:r>
      <w:r w:rsidR="00720FF5" w:rsidRPr="008D1A55">
        <w:t>sponsor</w:t>
      </w:r>
      <w:r w:rsidR="00B14DC3">
        <w:t>-</w:t>
      </w:r>
      <w:r w:rsidRPr="008D1A55">
        <w:t>based efficacy on the data from three clinical studies</w:t>
      </w:r>
      <w:r w:rsidR="004A0B8E" w:rsidRPr="008D1A55">
        <w:t>: Studies</w:t>
      </w:r>
      <w:r w:rsidRPr="008D1A55">
        <w:t xml:space="preserve"> D3461C00004 (pivotal), D3461C00005 (supportive) and CD-IA-MEDI-546-1103 (supportive).</w:t>
      </w:r>
    </w:p>
    <w:p w14:paraId="75DC611F" w14:textId="0AAB5A1A" w:rsidR="00C7364D" w:rsidRPr="008D1A55" w:rsidRDefault="00C7364D" w:rsidP="005B2B36">
      <w:r w:rsidRPr="008D1A55">
        <w:t>Stud</w:t>
      </w:r>
      <w:r w:rsidR="004A0B8E" w:rsidRPr="008D1A55">
        <w:t>ies</w:t>
      </w:r>
      <w:r w:rsidRPr="008D1A55">
        <w:t xml:space="preserve"> D3461C00004 and D3461C00005 had similar design, duration (52 weeks) and outcome measures. Studies D3461C00004 and D3461C00005 were pooled but excluded the </w:t>
      </w:r>
      <w:proofErr w:type="spellStart"/>
      <w:r w:rsidRPr="008D1A55">
        <w:t>anifrolumab</w:t>
      </w:r>
      <w:proofErr w:type="spellEnd"/>
      <w:r w:rsidRPr="008D1A55">
        <w:t xml:space="preserve"> 150 mg group from Study D3461C00005. Study CD-IA-MEDI-546-1103 was not always included in the pooling due to the different steroid tapering rules and as the study primary outcome was at 24 weeks.</w:t>
      </w:r>
    </w:p>
    <w:p w14:paraId="2B62E449" w14:textId="3BAF1272" w:rsidR="00C7364D" w:rsidRPr="008D1A55" w:rsidRDefault="00720FF5" w:rsidP="004A0B8E">
      <w:pPr>
        <w:pStyle w:val="TableTitle"/>
      </w:pPr>
      <w:bookmarkStart w:id="72" w:name="_Toc83112051"/>
      <w:r w:rsidRPr="008D1A55">
        <w:t xml:space="preserve">Table </w:t>
      </w:r>
      <w:r w:rsidR="005675A0">
        <w:fldChar w:fldCharType="begin"/>
      </w:r>
      <w:r w:rsidR="005675A0">
        <w:instrText xml:space="preserve"> SEQ Table \* ARABIC </w:instrText>
      </w:r>
      <w:r w:rsidR="005675A0">
        <w:fldChar w:fldCharType="separate"/>
      </w:r>
      <w:r w:rsidR="00D8723A">
        <w:rPr>
          <w:noProof/>
        </w:rPr>
        <w:t>10</w:t>
      </w:r>
      <w:r w:rsidR="005675A0">
        <w:rPr>
          <w:noProof/>
        </w:rPr>
        <w:fldChar w:fldCharType="end"/>
      </w:r>
      <w:r w:rsidRPr="008D1A55">
        <w:t>:</w:t>
      </w:r>
      <w:r w:rsidR="00C7364D" w:rsidRPr="008D1A55">
        <w:t xml:space="preserve"> </w:t>
      </w:r>
      <w:r w:rsidR="004A0B8E" w:rsidRPr="008D1A55">
        <w:t>Studies D3461C00004, D3461C00005, and CD</w:t>
      </w:r>
      <w:r w:rsidR="004A0B8E" w:rsidRPr="008D1A55">
        <w:noBreakHyphen/>
        <w:t xml:space="preserve">IA-MEDI-546-1013 </w:t>
      </w:r>
      <w:r w:rsidR="00C7364D" w:rsidRPr="008D1A55">
        <w:t xml:space="preserve">Primary efficacy endpoint, </w:t>
      </w:r>
      <w:r w:rsidR="004A0B8E" w:rsidRPr="008D1A55">
        <w:t xml:space="preserve">British Isles Lupus Assessment Group-based Composite Lupus Assessment </w:t>
      </w:r>
      <w:r w:rsidR="00C7364D" w:rsidRPr="008D1A55">
        <w:t>response rate at Week 52 (full analysis sets)</w:t>
      </w:r>
      <w:bookmarkEnd w:id="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13"/>
        <w:gridCol w:w="1135"/>
        <w:gridCol w:w="849"/>
        <w:gridCol w:w="1135"/>
        <w:gridCol w:w="1135"/>
        <w:gridCol w:w="851"/>
        <w:gridCol w:w="1135"/>
        <w:gridCol w:w="841"/>
      </w:tblGrid>
      <w:tr w:rsidR="00657122" w:rsidRPr="008D1A55" w14:paraId="2A9897D2" w14:textId="77777777" w:rsidTr="00657122">
        <w:trPr>
          <w:trHeight w:val="482"/>
          <w:jc w:val="center"/>
        </w:trPr>
        <w:tc>
          <w:tcPr>
            <w:tcW w:w="832" w:type="pct"/>
            <w:vMerge w:val="restart"/>
            <w:shd w:val="clear" w:color="auto" w:fill="006DA7"/>
            <w:vAlign w:val="center"/>
          </w:tcPr>
          <w:p w14:paraId="0BDC9FC9" w14:textId="77777777" w:rsidR="00C7364D" w:rsidRPr="008D1A55" w:rsidRDefault="00C7364D" w:rsidP="004A0B8E">
            <w:pPr>
              <w:pStyle w:val="Tabletext"/>
              <w:rPr>
                <w:b/>
                <w:bCs/>
                <w:color w:val="FFFFFF" w:themeColor="background1"/>
              </w:rPr>
            </w:pPr>
            <w:r w:rsidRPr="008D1A55">
              <w:rPr>
                <w:b/>
                <w:bCs/>
                <w:color w:val="FFFFFF" w:themeColor="background1"/>
              </w:rPr>
              <w:t>BICLA response at Week 52</w:t>
            </w:r>
          </w:p>
        </w:tc>
        <w:tc>
          <w:tcPr>
            <w:tcW w:w="1168" w:type="pct"/>
            <w:gridSpan w:val="2"/>
            <w:shd w:val="clear" w:color="auto" w:fill="006DA7"/>
            <w:vAlign w:val="center"/>
          </w:tcPr>
          <w:p w14:paraId="29EA9EA3" w14:textId="77777777" w:rsidR="00C7364D" w:rsidRPr="008D1A55" w:rsidRDefault="00C7364D" w:rsidP="004A0B8E">
            <w:pPr>
              <w:pStyle w:val="Tabletext"/>
              <w:rPr>
                <w:b/>
                <w:bCs/>
                <w:color w:val="FFFFFF" w:themeColor="background1"/>
              </w:rPr>
            </w:pPr>
            <w:r w:rsidRPr="008D1A55">
              <w:rPr>
                <w:b/>
                <w:bCs/>
                <w:color w:val="FFFFFF" w:themeColor="background1"/>
              </w:rPr>
              <w:t>Study 04</w:t>
            </w:r>
          </w:p>
        </w:tc>
        <w:tc>
          <w:tcPr>
            <w:tcW w:w="1837" w:type="pct"/>
            <w:gridSpan w:val="3"/>
            <w:shd w:val="clear" w:color="auto" w:fill="006DA7"/>
            <w:vAlign w:val="center"/>
          </w:tcPr>
          <w:p w14:paraId="28D4AB08" w14:textId="77777777" w:rsidR="00C7364D" w:rsidRPr="008D1A55" w:rsidRDefault="00C7364D" w:rsidP="004A0B8E">
            <w:pPr>
              <w:pStyle w:val="Tabletext"/>
              <w:rPr>
                <w:b/>
                <w:bCs/>
                <w:color w:val="FFFFFF" w:themeColor="background1"/>
              </w:rPr>
            </w:pPr>
            <w:r w:rsidRPr="008D1A55">
              <w:rPr>
                <w:b/>
                <w:bCs/>
                <w:color w:val="FFFFFF" w:themeColor="background1"/>
              </w:rPr>
              <w:t>Study 05</w:t>
            </w:r>
          </w:p>
        </w:tc>
        <w:tc>
          <w:tcPr>
            <w:tcW w:w="1163" w:type="pct"/>
            <w:gridSpan w:val="2"/>
            <w:shd w:val="clear" w:color="auto" w:fill="006DA7"/>
            <w:vAlign w:val="center"/>
          </w:tcPr>
          <w:p w14:paraId="01B22741" w14:textId="77777777" w:rsidR="00C7364D" w:rsidRPr="008D1A55" w:rsidRDefault="00C7364D" w:rsidP="004A0B8E">
            <w:pPr>
              <w:pStyle w:val="Tabletext"/>
              <w:rPr>
                <w:b/>
                <w:bCs/>
                <w:color w:val="FFFFFF" w:themeColor="background1"/>
              </w:rPr>
            </w:pPr>
            <w:r w:rsidRPr="008D1A55">
              <w:rPr>
                <w:b/>
                <w:bCs/>
                <w:color w:val="FFFFFF" w:themeColor="background1"/>
              </w:rPr>
              <w:t>Study 1013</w:t>
            </w:r>
          </w:p>
        </w:tc>
      </w:tr>
      <w:tr w:rsidR="00657122" w:rsidRPr="008D1A55" w14:paraId="32601793" w14:textId="77777777" w:rsidTr="00657122">
        <w:trPr>
          <w:trHeight w:val="482"/>
          <w:jc w:val="center"/>
        </w:trPr>
        <w:tc>
          <w:tcPr>
            <w:tcW w:w="832" w:type="pct"/>
            <w:vMerge/>
            <w:shd w:val="clear" w:color="auto" w:fill="006DA7"/>
          </w:tcPr>
          <w:p w14:paraId="3B051767" w14:textId="77777777" w:rsidR="00C7364D" w:rsidRPr="008D1A55" w:rsidRDefault="00C7364D" w:rsidP="004A0B8E">
            <w:pPr>
              <w:pStyle w:val="Tabletext"/>
              <w:rPr>
                <w:b/>
                <w:bCs/>
                <w:color w:val="FFFFFF" w:themeColor="background1"/>
              </w:rPr>
            </w:pPr>
          </w:p>
        </w:tc>
        <w:tc>
          <w:tcPr>
            <w:tcW w:w="668" w:type="pct"/>
            <w:shd w:val="clear" w:color="auto" w:fill="006DA7"/>
            <w:vAlign w:val="center"/>
          </w:tcPr>
          <w:p w14:paraId="4D5F992B" w14:textId="77777777" w:rsidR="00C7364D" w:rsidRPr="008D1A55" w:rsidRDefault="00C7364D" w:rsidP="004A0B8E">
            <w:pPr>
              <w:pStyle w:val="Tabletext"/>
              <w:rPr>
                <w:b/>
                <w:bCs/>
                <w:color w:val="FFFFFF" w:themeColor="background1"/>
              </w:rPr>
            </w:pPr>
            <w:proofErr w:type="spellStart"/>
            <w:r w:rsidRPr="008D1A55">
              <w:rPr>
                <w:b/>
                <w:bCs/>
                <w:color w:val="FFFFFF" w:themeColor="background1"/>
              </w:rPr>
              <w:t>Anifrolumab</w:t>
            </w:r>
            <w:proofErr w:type="spellEnd"/>
          </w:p>
          <w:p w14:paraId="6783DCC9" w14:textId="77777777" w:rsidR="00C7364D" w:rsidRPr="008D1A55" w:rsidRDefault="00C7364D" w:rsidP="004A0B8E">
            <w:pPr>
              <w:pStyle w:val="Tabletext"/>
              <w:rPr>
                <w:b/>
                <w:bCs/>
                <w:color w:val="FFFFFF" w:themeColor="background1"/>
              </w:rPr>
            </w:pPr>
            <w:r w:rsidRPr="008D1A55">
              <w:rPr>
                <w:b/>
                <w:bCs/>
                <w:color w:val="FFFFFF" w:themeColor="background1"/>
              </w:rPr>
              <w:t>300 mg</w:t>
            </w:r>
          </w:p>
          <w:p w14:paraId="48BA06E0" w14:textId="77777777" w:rsidR="00C7364D" w:rsidRPr="008D1A55" w:rsidRDefault="00C7364D" w:rsidP="004A0B8E">
            <w:pPr>
              <w:pStyle w:val="Tabletext"/>
              <w:rPr>
                <w:b/>
                <w:bCs/>
                <w:color w:val="FFFFFF" w:themeColor="background1"/>
              </w:rPr>
            </w:pPr>
            <w:r w:rsidRPr="008D1A55">
              <w:rPr>
                <w:b/>
                <w:bCs/>
                <w:color w:val="FFFFFF" w:themeColor="background1"/>
              </w:rPr>
              <w:t>(N=180)</w:t>
            </w:r>
          </w:p>
        </w:tc>
        <w:tc>
          <w:tcPr>
            <w:tcW w:w="500" w:type="pct"/>
            <w:shd w:val="clear" w:color="auto" w:fill="006DA7"/>
            <w:vAlign w:val="center"/>
          </w:tcPr>
          <w:p w14:paraId="23A6A2E2" w14:textId="77777777" w:rsidR="00C7364D" w:rsidRPr="008D1A55" w:rsidRDefault="00C7364D" w:rsidP="004A0B8E">
            <w:pPr>
              <w:pStyle w:val="Tabletext"/>
              <w:rPr>
                <w:b/>
                <w:bCs/>
                <w:color w:val="FFFFFF" w:themeColor="background1"/>
              </w:rPr>
            </w:pPr>
            <w:r w:rsidRPr="008D1A55">
              <w:rPr>
                <w:b/>
                <w:bCs/>
                <w:color w:val="FFFFFF" w:themeColor="background1"/>
              </w:rPr>
              <w:t>Placebo</w:t>
            </w:r>
          </w:p>
          <w:p w14:paraId="4AC373F8" w14:textId="77777777" w:rsidR="00C7364D" w:rsidRPr="008D1A55" w:rsidRDefault="00C7364D" w:rsidP="004A0B8E">
            <w:pPr>
              <w:pStyle w:val="Tabletext"/>
              <w:rPr>
                <w:b/>
                <w:bCs/>
                <w:color w:val="FFFFFF" w:themeColor="background1"/>
              </w:rPr>
            </w:pPr>
            <w:r w:rsidRPr="008D1A55">
              <w:rPr>
                <w:b/>
                <w:bCs/>
                <w:color w:val="FFFFFF" w:themeColor="background1"/>
              </w:rPr>
              <w:t>(N=182)</w:t>
            </w:r>
          </w:p>
        </w:tc>
        <w:tc>
          <w:tcPr>
            <w:tcW w:w="668" w:type="pct"/>
            <w:shd w:val="clear" w:color="auto" w:fill="006DA7"/>
            <w:vAlign w:val="center"/>
          </w:tcPr>
          <w:p w14:paraId="4744CFF4" w14:textId="77777777" w:rsidR="00C7364D" w:rsidRPr="008D1A55" w:rsidRDefault="00C7364D" w:rsidP="004A0B8E">
            <w:pPr>
              <w:pStyle w:val="Tabletext"/>
              <w:rPr>
                <w:b/>
                <w:bCs/>
                <w:color w:val="FFFFFF" w:themeColor="background1"/>
              </w:rPr>
            </w:pPr>
            <w:proofErr w:type="spellStart"/>
            <w:r w:rsidRPr="008D1A55">
              <w:rPr>
                <w:b/>
                <w:bCs/>
                <w:color w:val="FFFFFF" w:themeColor="background1"/>
              </w:rPr>
              <w:t>Anifrolumab</w:t>
            </w:r>
            <w:proofErr w:type="spellEnd"/>
          </w:p>
          <w:p w14:paraId="35EA9BD5" w14:textId="77777777" w:rsidR="00C7364D" w:rsidRPr="008D1A55" w:rsidRDefault="00C7364D" w:rsidP="004A0B8E">
            <w:pPr>
              <w:pStyle w:val="Tabletext"/>
              <w:rPr>
                <w:b/>
                <w:bCs/>
                <w:color w:val="FFFFFF" w:themeColor="background1"/>
              </w:rPr>
            </w:pPr>
            <w:r w:rsidRPr="008D1A55">
              <w:rPr>
                <w:b/>
                <w:bCs/>
                <w:color w:val="FFFFFF" w:themeColor="background1"/>
              </w:rPr>
              <w:t>150 mg</w:t>
            </w:r>
          </w:p>
          <w:p w14:paraId="04690C34" w14:textId="77777777" w:rsidR="00C7364D" w:rsidRPr="008D1A55" w:rsidRDefault="00C7364D" w:rsidP="004A0B8E">
            <w:pPr>
              <w:pStyle w:val="Tabletext"/>
              <w:rPr>
                <w:b/>
                <w:bCs/>
                <w:color w:val="FFFFFF" w:themeColor="background1"/>
              </w:rPr>
            </w:pPr>
            <w:r w:rsidRPr="008D1A55">
              <w:rPr>
                <w:b/>
                <w:bCs/>
                <w:color w:val="FFFFFF" w:themeColor="background1"/>
              </w:rPr>
              <w:t>(N=93)</w:t>
            </w:r>
          </w:p>
        </w:tc>
        <w:tc>
          <w:tcPr>
            <w:tcW w:w="668" w:type="pct"/>
            <w:shd w:val="clear" w:color="auto" w:fill="006DA7"/>
            <w:vAlign w:val="center"/>
          </w:tcPr>
          <w:p w14:paraId="4D05E7DA" w14:textId="77777777" w:rsidR="00C7364D" w:rsidRPr="008D1A55" w:rsidRDefault="00C7364D" w:rsidP="004A0B8E">
            <w:pPr>
              <w:pStyle w:val="Tabletext"/>
              <w:rPr>
                <w:b/>
                <w:bCs/>
                <w:color w:val="FFFFFF" w:themeColor="background1"/>
              </w:rPr>
            </w:pPr>
            <w:proofErr w:type="spellStart"/>
            <w:r w:rsidRPr="008D1A55">
              <w:rPr>
                <w:b/>
                <w:bCs/>
                <w:color w:val="FFFFFF" w:themeColor="background1"/>
              </w:rPr>
              <w:t>Anifrolumab</w:t>
            </w:r>
            <w:proofErr w:type="spellEnd"/>
          </w:p>
          <w:p w14:paraId="769C828A" w14:textId="77777777" w:rsidR="00C7364D" w:rsidRPr="008D1A55" w:rsidRDefault="00C7364D" w:rsidP="004A0B8E">
            <w:pPr>
              <w:pStyle w:val="Tabletext"/>
              <w:rPr>
                <w:b/>
                <w:bCs/>
                <w:color w:val="FFFFFF" w:themeColor="background1"/>
              </w:rPr>
            </w:pPr>
            <w:r w:rsidRPr="008D1A55">
              <w:rPr>
                <w:b/>
                <w:bCs/>
                <w:color w:val="FFFFFF" w:themeColor="background1"/>
              </w:rPr>
              <w:t>300 mg</w:t>
            </w:r>
          </w:p>
          <w:p w14:paraId="6D48DAFF" w14:textId="77777777" w:rsidR="00C7364D" w:rsidRPr="008D1A55" w:rsidRDefault="00C7364D" w:rsidP="004A0B8E">
            <w:pPr>
              <w:pStyle w:val="Tabletext"/>
              <w:rPr>
                <w:b/>
                <w:bCs/>
                <w:color w:val="FFFFFF" w:themeColor="background1"/>
              </w:rPr>
            </w:pPr>
            <w:r w:rsidRPr="008D1A55">
              <w:rPr>
                <w:b/>
                <w:bCs/>
                <w:color w:val="FFFFFF" w:themeColor="background1"/>
              </w:rPr>
              <w:t>(N=180)</w:t>
            </w:r>
          </w:p>
        </w:tc>
        <w:tc>
          <w:tcPr>
            <w:tcW w:w="501" w:type="pct"/>
            <w:shd w:val="clear" w:color="auto" w:fill="006DA7"/>
            <w:vAlign w:val="center"/>
          </w:tcPr>
          <w:p w14:paraId="1F065403" w14:textId="77777777" w:rsidR="00C7364D" w:rsidRPr="008D1A55" w:rsidRDefault="00C7364D" w:rsidP="004A0B8E">
            <w:pPr>
              <w:pStyle w:val="Tabletext"/>
              <w:rPr>
                <w:b/>
                <w:bCs/>
                <w:color w:val="FFFFFF" w:themeColor="background1"/>
              </w:rPr>
            </w:pPr>
            <w:r w:rsidRPr="008D1A55">
              <w:rPr>
                <w:b/>
                <w:bCs/>
                <w:color w:val="FFFFFF" w:themeColor="background1"/>
              </w:rPr>
              <w:t>Placebo</w:t>
            </w:r>
          </w:p>
          <w:p w14:paraId="50D1B5CE" w14:textId="77777777" w:rsidR="00C7364D" w:rsidRPr="008D1A55" w:rsidRDefault="00C7364D" w:rsidP="004A0B8E">
            <w:pPr>
              <w:pStyle w:val="Tabletext"/>
              <w:rPr>
                <w:b/>
                <w:bCs/>
                <w:color w:val="FFFFFF" w:themeColor="background1"/>
              </w:rPr>
            </w:pPr>
            <w:r w:rsidRPr="008D1A55">
              <w:rPr>
                <w:b/>
                <w:bCs/>
                <w:color w:val="FFFFFF" w:themeColor="background1"/>
              </w:rPr>
              <w:t>(N=184)</w:t>
            </w:r>
          </w:p>
        </w:tc>
        <w:tc>
          <w:tcPr>
            <w:tcW w:w="668" w:type="pct"/>
            <w:shd w:val="clear" w:color="auto" w:fill="006DA7"/>
            <w:vAlign w:val="center"/>
          </w:tcPr>
          <w:p w14:paraId="18387AF4" w14:textId="77777777" w:rsidR="00C7364D" w:rsidRPr="008D1A55" w:rsidRDefault="00C7364D" w:rsidP="004A0B8E">
            <w:pPr>
              <w:pStyle w:val="Tabletext"/>
              <w:rPr>
                <w:b/>
                <w:bCs/>
                <w:color w:val="FFFFFF" w:themeColor="background1"/>
              </w:rPr>
            </w:pPr>
            <w:proofErr w:type="spellStart"/>
            <w:r w:rsidRPr="008D1A55">
              <w:rPr>
                <w:b/>
                <w:bCs/>
                <w:color w:val="FFFFFF" w:themeColor="background1"/>
              </w:rPr>
              <w:t>Anifrolumab</w:t>
            </w:r>
            <w:proofErr w:type="spellEnd"/>
          </w:p>
          <w:p w14:paraId="49D19152" w14:textId="77777777" w:rsidR="00C7364D" w:rsidRPr="008D1A55" w:rsidRDefault="00C7364D" w:rsidP="004A0B8E">
            <w:pPr>
              <w:pStyle w:val="Tabletext"/>
              <w:rPr>
                <w:b/>
                <w:bCs/>
                <w:color w:val="FFFFFF" w:themeColor="background1"/>
              </w:rPr>
            </w:pPr>
            <w:r w:rsidRPr="008D1A55">
              <w:rPr>
                <w:b/>
                <w:bCs/>
                <w:color w:val="FFFFFF" w:themeColor="background1"/>
              </w:rPr>
              <w:t>300 mg</w:t>
            </w:r>
          </w:p>
          <w:p w14:paraId="07C0D6DA" w14:textId="77777777" w:rsidR="00C7364D" w:rsidRPr="008D1A55" w:rsidRDefault="00C7364D" w:rsidP="004A0B8E">
            <w:pPr>
              <w:pStyle w:val="Tabletext"/>
              <w:rPr>
                <w:b/>
                <w:bCs/>
                <w:color w:val="FFFFFF" w:themeColor="background1"/>
              </w:rPr>
            </w:pPr>
            <w:r w:rsidRPr="008D1A55">
              <w:rPr>
                <w:b/>
                <w:bCs/>
                <w:color w:val="FFFFFF" w:themeColor="background1"/>
              </w:rPr>
              <w:t>(N=99)</w:t>
            </w:r>
          </w:p>
        </w:tc>
        <w:tc>
          <w:tcPr>
            <w:tcW w:w="495" w:type="pct"/>
            <w:shd w:val="clear" w:color="auto" w:fill="006DA7"/>
            <w:vAlign w:val="center"/>
          </w:tcPr>
          <w:p w14:paraId="0BFF176E" w14:textId="77777777" w:rsidR="00C7364D" w:rsidRPr="008D1A55" w:rsidRDefault="00C7364D" w:rsidP="004A0B8E">
            <w:pPr>
              <w:pStyle w:val="Tabletext"/>
              <w:rPr>
                <w:b/>
                <w:bCs/>
                <w:color w:val="FFFFFF" w:themeColor="background1"/>
              </w:rPr>
            </w:pPr>
            <w:r w:rsidRPr="008D1A55">
              <w:rPr>
                <w:b/>
                <w:bCs/>
                <w:color w:val="FFFFFF" w:themeColor="background1"/>
              </w:rPr>
              <w:t>Placebo</w:t>
            </w:r>
          </w:p>
          <w:p w14:paraId="54328D35" w14:textId="77777777" w:rsidR="00C7364D" w:rsidRPr="008D1A55" w:rsidRDefault="00C7364D" w:rsidP="004A0B8E">
            <w:pPr>
              <w:pStyle w:val="Tabletext"/>
              <w:rPr>
                <w:b/>
                <w:bCs/>
                <w:color w:val="FFFFFF" w:themeColor="background1"/>
              </w:rPr>
            </w:pPr>
            <w:r w:rsidRPr="008D1A55">
              <w:rPr>
                <w:b/>
                <w:bCs/>
                <w:color w:val="FFFFFF" w:themeColor="background1"/>
              </w:rPr>
              <w:t>(N=102)</w:t>
            </w:r>
          </w:p>
        </w:tc>
      </w:tr>
      <w:tr w:rsidR="00657122" w:rsidRPr="008D1A55" w14:paraId="40914A4C" w14:textId="77777777" w:rsidTr="00657122">
        <w:trPr>
          <w:trHeight w:val="482"/>
          <w:jc w:val="center"/>
        </w:trPr>
        <w:tc>
          <w:tcPr>
            <w:tcW w:w="832" w:type="pct"/>
            <w:vAlign w:val="center"/>
          </w:tcPr>
          <w:p w14:paraId="2B753CC4" w14:textId="7B2F5B2B" w:rsidR="00C7364D" w:rsidRPr="008D1A55" w:rsidRDefault="00914173" w:rsidP="004A0B8E">
            <w:pPr>
              <w:pStyle w:val="Tabletext"/>
            </w:pPr>
            <w:r w:rsidRPr="008D1A55">
              <w:t>N</w:t>
            </w:r>
          </w:p>
        </w:tc>
        <w:tc>
          <w:tcPr>
            <w:tcW w:w="668" w:type="pct"/>
            <w:vAlign w:val="center"/>
          </w:tcPr>
          <w:p w14:paraId="4BA9074A" w14:textId="77777777" w:rsidR="00C7364D" w:rsidRPr="008D1A55" w:rsidRDefault="00C7364D" w:rsidP="004A0B8E">
            <w:pPr>
              <w:pStyle w:val="Tabletext"/>
            </w:pPr>
            <w:r w:rsidRPr="008D1A55">
              <w:t>180</w:t>
            </w:r>
          </w:p>
        </w:tc>
        <w:tc>
          <w:tcPr>
            <w:tcW w:w="500" w:type="pct"/>
            <w:vAlign w:val="center"/>
          </w:tcPr>
          <w:p w14:paraId="2E8984CA" w14:textId="77777777" w:rsidR="00C7364D" w:rsidRPr="008D1A55" w:rsidRDefault="00C7364D" w:rsidP="004A0B8E">
            <w:pPr>
              <w:pStyle w:val="Tabletext"/>
            </w:pPr>
            <w:r w:rsidRPr="008D1A55">
              <w:t>182</w:t>
            </w:r>
          </w:p>
        </w:tc>
        <w:tc>
          <w:tcPr>
            <w:tcW w:w="668" w:type="pct"/>
            <w:vAlign w:val="center"/>
          </w:tcPr>
          <w:p w14:paraId="6CB80A3A" w14:textId="77777777" w:rsidR="00C7364D" w:rsidRPr="008D1A55" w:rsidRDefault="00C7364D" w:rsidP="004A0B8E">
            <w:pPr>
              <w:pStyle w:val="Tabletext"/>
            </w:pPr>
            <w:r w:rsidRPr="008D1A55">
              <w:t>93</w:t>
            </w:r>
          </w:p>
        </w:tc>
        <w:tc>
          <w:tcPr>
            <w:tcW w:w="668" w:type="pct"/>
            <w:vAlign w:val="center"/>
          </w:tcPr>
          <w:p w14:paraId="6B6D52E5" w14:textId="77777777" w:rsidR="00C7364D" w:rsidRPr="008D1A55" w:rsidRDefault="00C7364D" w:rsidP="004A0B8E">
            <w:pPr>
              <w:pStyle w:val="Tabletext"/>
            </w:pPr>
            <w:r w:rsidRPr="008D1A55">
              <w:t>180</w:t>
            </w:r>
          </w:p>
        </w:tc>
        <w:tc>
          <w:tcPr>
            <w:tcW w:w="501" w:type="pct"/>
            <w:vAlign w:val="center"/>
          </w:tcPr>
          <w:p w14:paraId="5C1216E6" w14:textId="77777777" w:rsidR="00C7364D" w:rsidRPr="008D1A55" w:rsidRDefault="00C7364D" w:rsidP="004A0B8E">
            <w:pPr>
              <w:pStyle w:val="Tabletext"/>
            </w:pPr>
            <w:r w:rsidRPr="008D1A55">
              <w:t>184</w:t>
            </w:r>
          </w:p>
        </w:tc>
        <w:tc>
          <w:tcPr>
            <w:tcW w:w="668" w:type="pct"/>
            <w:vAlign w:val="center"/>
          </w:tcPr>
          <w:p w14:paraId="3D054B33" w14:textId="77777777" w:rsidR="00C7364D" w:rsidRPr="008D1A55" w:rsidRDefault="00C7364D" w:rsidP="004A0B8E">
            <w:pPr>
              <w:pStyle w:val="Tabletext"/>
            </w:pPr>
            <w:r w:rsidRPr="008D1A55">
              <w:t>99</w:t>
            </w:r>
          </w:p>
        </w:tc>
        <w:tc>
          <w:tcPr>
            <w:tcW w:w="495" w:type="pct"/>
            <w:vAlign w:val="center"/>
          </w:tcPr>
          <w:p w14:paraId="0F22AE9C" w14:textId="77777777" w:rsidR="00C7364D" w:rsidRPr="008D1A55" w:rsidRDefault="00C7364D" w:rsidP="004A0B8E">
            <w:pPr>
              <w:pStyle w:val="Tabletext"/>
            </w:pPr>
            <w:r w:rsidRPr="008D1A55">
              <w:t>101</w:t>
            </w:r>
          </w:p>
        </w:tc>
      </w:tr>
      <w:tr w:rsidR="00657122" w:rsidRPr="008D1A55" w14:paraId="71361C12" w14:textId="77777777" w:rsidTr="00657122">
        <w:trPr>
          <w:trHeight w:val="482"/>
          <w:jc w:val="center"/>
        </w:trPr>
        <w:tc>
          <w:tcPr>
            <w:tcW w:w="832" w:type="pct"/>
            <w:vAlign w:val="center"/>
          </w:tcPr>
          <w:p w14:paraId="20DC2538" w14:textId="77777777" w:rsidR="00C7364D" w:rsidRPr="008D1A55" w:rsidRDefault="00C7364D" w:rsidP="004A0B8E">
            <w:pPr>
              <w:pStyle w:val="Tabletext"/>
            </w:pPr>
            <w:r w:rsidRPr="008D1A55">
              <w:t>Number (%) responders</w:t>
            </w:r>
          </w:p>
        </w:tc>
        <w:tc>
          <w:tcPr>
            <w:tcW w:w="668" w:type="pct"/>
            <w:vAlign w:val="center"/>
          </w:tcPr>
          <w:p w14:paraId="388CA67E" w14:textId="77777777" w:rsidR="00C7364D" w:rsidRPr="008D1A55" w:rsidRDefault="00C7364D" w:rsidP="004A0B8E">
            <w:pPr>
              <w:pStyle w:val="Tabletext"/>
            </w:pPr>
            <w:r w:rsidRPr="008D1A55">
              <w:t>86 (47.8)</w:t>
            </w:r>
          </w:p>
        </w:tc>
        <w:tc>
          <w:tcPr>
            <w:tcW w:w="500" w:type="pct"/>
            <w:vAlign w:val="center"/>
          </w:tcPr>
          <w:p w14:paraId="06DBFEC0" w14:textId="77777777" w:rsidR="00C7364D" w:rsidRPr="008D1A55" w:rsidRDefault="00C7364D" w:rsidP="004A0B8E">
            <w:pPr>
              <w:pStyle w:val="Tabletext"/>
            </w:pPr>
            <w:r w:rsidRPr="008D1A55">
              <w:t>57 (31.5)</w:t>
            </w:r>
          </w:p>
        </w:tc>
        <w:tc>
          <w:tcPr>
            <w:tcW w:w="668" w:type="pct"/>
            <w:vAlign w:val="center"/>
          </w:tcPr>
          <w:p w14:paraId="40C8D076" w14:textId="77777777" w:rsidR="00C7364D" w:rsidRPr="008D1A55" w:rsidRDefault="00C7364D" w:rsidP="004A0B8E">
            <w:pPr>
              <w:pStyle w:val="Tabletext"/>
            </w:pPr>
            <w:r w:rsidRPr="008D1A55">
              <w:t>35 (37.7)</w:t>
            </w:r>
          </w:p>
        </w:tc>
        <w:tc>
          <w:tcPr>
            <w:tcW w:w="668" w:type="pct"/>
            <w:vAlign w:val="center"/>
          </w:tcPr>
          <w:p w14:paraId="72F207FF" w14:textId="77777777" w:rsidR="00C7364D" w:rsidRPr="008D1A55" w:rsidRDefault="00C7364D" w:rsidP="004A0B8E">
            <w:pPr>
              <w:pStyle w:val="Tabletext"/>
            </w:pPr>
            <w:r w:rsidRPr="008D1A55">
              <w:t>85 (47.1)</w:t>
            </w:r>
          </w:p>
        </w:tc>
        <w:tc>
          <w:tcPr>
            <w:tcW w:w="501" w:type="pct"/>
            <w:vAlign w:val="center"/>
          </w:tcPr>
          <w:p w14:paraId="4A29A644" w14:textId="77777777" w:rsidR="00C7364D" w:rsidRPr="008D1A55" w:rsidRDefault="00C7364D" w:rsidP="004A0B8E">
            <w:pPr>
              <w:pStyle w:val="Tabletext"/>
            </w:pPr>
            <w:r w:rsidRPr="008D1A55">
              <w:t>55 (30.2)</w:t>
            </w:r>
          </w:p>
        </w:tc>
        <w:tc>
          <w:tcPr>
            <w:tcW w:w="668" w:type="pct"/>
            <w:vAlign w:val="center"/>
          </w:tcPr>
          <w:p w14:paraId="3ADC5672" w14:textId="77777777" w:rsidR="00C7364D" w:rsidRPr="008D1A55" w:rsidRDefault="00C7364D" w:rsidP="004A0B8E">
            <w:pPr>
              <w:pStyle w:val="Tabletext"/>
            </w:pPr>
            <w:r w:rsidRPr="008D1A55">
              <w:t>53 (53.3)</w:t>
            </w:r>
          </w:p>
        </w:tc>
        <w:tc>
          <w:tcPr>
            <w:tcW w:w="495" w:type="pct"/>
            <w:vAlign w:val="center"/>
          </w:tcPr>
          <w:p w14:paraId="31ED21CA" w14:textId="77777777" w:rsidR="00C7364D" w:rsidRPr="008D1A55" w:rsidRDefault="00C7364D" w:rsidP="004A0B8E">
            <w:pPr>
              <w:pStyle w:val="Tabletext"/>
            </w:pPr>
            <w:r w:rsidRPr="008D1A55">
              <w:t>26 (25.1)</w:t>
            </w:r>
          </w:p>
        </w:tc>
      </w:tr>
      <w:tr w:rsidR="00C7364D" w:rsidRPr="008D1A55" w14:paraId="7B20F6D8" w14:textId="77777777" w:rsidTr="00657122">
        <w:trPr>
          <w:trHeight w:val="482"/>
          <w:jc w:val="center"/>
        </w:trPr>
        <w:tc>
          <w:tcPr>
            <w:tcW w:w="5000" w:type="pct"/>
            <w:gridSpan w:val="8"/>
            <w:vAlign w:val="center"/>
          </w:tcPr>
          <w:p w14:paraId="43DFC8A3" w14:textId="77777777" w:rsidR="00C7364D" w:rsidRPr="008D1A55" w:rsidRDefault="00C7364D" w:rsidP="004A0B8E">
            <w:pPr>
              <w:pStyle w:val="Tabletext"/>
              <w:rPr>
                <w:b/>
                <w:bCs/>
              </w:rPr>
            </w:pPr>
            <w:r w:rsidRPr="008D1A55">
              <w:rPr>
                <w:b/>
                <w:bCs/>
              </w:rPr>
              <w:t>Comparison with placebo</w:t>
            </w:r>
          </w:p>
        </w:tc>
      </w:tr>
      <w:tr w:rsidR="00657122" w:rsidRPr="008D1A55" w14:paraId="29E3F0CF" w14:textId="77777777" w:rsidTr="00657122">
        <w:trPr>
          <w:trHeight w:val="482"/>
          <w:jc w:val="center"/>
        </w:trPr>
        <w:tc>
          <w:tcPr>
            <w:tcW w:w="832" w:type="pct"/>
            <w:vAlign w:val="center"/>
          </w:tcPr>
          <w:p w14:paraId="3AAAB04F" w14:textId="77777777" w:rsidR="00C7364D" w:rsidRPr="008D1A55" w:rsidRDefault="00C7364D" w:rsidP="004A0B8E">
            <w:pPr>
              <w:pStyle w:val="Tabletext"/>
            </w:pPr>
            <w:r w:rsidRPr="008D1A55">
              <w:t>Difference in response rate</w:t>
            </w:r>
          </w:p>
        </w:tc>
        <w:tc>
          <w:tcPr>
            <w:tcW w:w="668" w:type="pct"/>
            <w:vAlign w:val="center"/>
          </w:tcPr>
          <w:p w14:paraId="413A99A5" w14:textId="77777777" w:rsidR="00C7364D" w:rsidRPr="008D1A55" w:rsidRDefault="00C7364D" w:rsidP="004A0B8E">
            <w:pPr>
              <w:pStyle w:val="Tabletext"/>
            </w:pPr>
            <w:r w:rsidRPr="008D1A55">
              <w:t>16.3</w:t>
            </w:r>
          </w:p>
        </w:tc>
        <w:tc>
          <w:tcPr>
            <w:tcW w:w="500" w:type="pct"/>
            <w:vAlign w:val="center"/>
          </w:tcPr>
          <w:p w14:paraId="00252BB5" w14:textId="77777777" w:rsidR="00C7364D" w:rsidRPr="008D1A55" w:rsidRDefault="00C7364D" w:rsidP="004A0B8E">
            <w:pPr>
              <w:pStyle w:val="Tabletext"/>
            </w:pPr>
          </w:p>
        </w:tc>
        <w:tc>
          <w:tcPr>
            <w:tcW w:w="668" w:type="pct"/>
            <w:vAlign w:val="center"/>
          </w:tcPr>
          <w:p w14:paraId="2D0A6D49" w14:textId="77777777" w:rsidR="00C7364D" w:rsidRPr="008D1A55" w:rsidRDefault="00C7364D" w:rsidP="004A0B8E">
            <w:pPr>
              <w:pStyle w:val="Tabletext"/>
            </w:pPr>
          </w:p>
        </w:tc>
        <w:tc>
          <w:tcPr>
            <w:tcW w:w="668" w:type="pct"/>
            <w:vAlign w:val="center"/>
          </w:tcPr>
          <w:p w14:paraId="040F5BA5" w14:textId="77777777" w:rsidR="00C7364D" w:rsidRPr="008D1A55" w:rsidRDefault="00C7364D" w:rsidP="004A0B8E">
            <w:pPr>
              <w:pStyle w:val="Tabletext"/>
            </w:pPr>
            <w:r w:rsidRPr="008D1A55">
              <w:t>17.0</w:t>
            </w:r>
          </w:p>
        </w:tc>
        <w:tc>
          <w:tcPr>
            <w:tcW w:w="501" w:type="pct"/>
            <w:vAlign w:val="center"/>
          </w:tcPr>
          <w:p w14:paraId="5C3B8DCD" w14:textId="77777777" w:rsidR="00C7364D" w:rsidRPr="008D1A55" w:rsidRDefault="00C7364D" w:rsidP="004A0B8E">
            <w:pPr>
              <w:pStyle w:val="Tabletext"/>
            </w:pPr>
          </w:p>
        </w:tc>
        <w:tc>
          <w:tcPr>
            <w:tcW w:w="668" w:type="pct"/>
            <w:vAlign w:val="center"/>
          </w:tcPr>
          <w:p w14:paraId="73BBC889" w14:textId="77777777" w:rsidR="00C7364D" w:rsidRPr="008D1A55" w:rsidRDefault="00C7364D" w:rsidP="004A0B8E">
            <w:pPr>
              <w:pStyle w:val="Tabletext"/>
            </w:pPr>
            <w:r w:rsidRPr="008D1A55">
              <w:t>28.4</w:t>
            </w:r>
          </w:p>
        </w:tc>
        <w:tc>
          <w:tcPr>
            <w:tcW w:w="495" w:type="pct"/>
            <w:vAlign w:val="center"/>
          </w:tcPr>
          <w:p w14:paraId="06093286" w14:textId="77777777" w:rsidR="00C7364D" w:rsidRPr="008D1A55" w:rsidRDefault="00C7364D" w:rsidP="004A0B8E">
            <w:pPr>
              <w:pStyle w:val="Tabletext"/>
            </w:pPr>
          </w:p>
        </w:tc>
      </w:tr>
      <w:tr w:rsidR="00657122" w:rsidRPr="008D1A55" w14:paraId="691AA8E3" w14:textId="77777777" w:rsidTr="00657122">
        <w:trPr>
          <w:trHeight w:val="482"/>
          <w:jc w:val="center"/>
        </w:trPr>
        <w:tc>
          <w:tcPr>
            <w:tcW w:w="832" w:type="pct"/>
            <w:vAlign w:val="center"/>
          </w:tcPr>
          <w:p w14:paraId="2899FC88" w14:textId="77777777" w:rsidR="00C7364D" w:rsidRPr="008D1A55" w:rsidRDefault="00C7364D" w:rsidP="004A0B8E">
            <w:pPr>
              <w:pStyle w:val="Tabletext"/>
            </w:pPr>
            <w:r w:rsidRPr="008D1A55">
              <w:t>95% CI of difference in response rate</w:t>
            </w:r>
          </w:p>
        </w:tc>
        <w:tc>
          <w:tcPr>
            <w:tcW w:w="668" w:type="pct"/>
            <w:vAlign w:val="center"/>
          </w:tcPr>
          <w:p w14:paraId="3679C440" w14:textId="77777777" w:rsidR="00C7364D" w:rsidRPr="008D1A55" w:rsidRDefault="00C7364D" w:rsidP="004A0B8E">
            <w:pPr>
              <w:pStyle w:val="Tabletext"/>
            </w:pPr>
            <w:r w:rsidRPr="008D1A55">
              <w:t>6.3, 26.3</w:t>
            </w:r>
          </w:p>
        </w:tc>
        <w:tc>
          <w:tcPr>
            <w:tcW w:w="500" w:type="pct"/>
            <w:vAlign w:val="center"/>
          </w:tcPr>
          <w:p w14:paraId="786A92BA" w14:textId="77777777" w:rsidR="00C7364D" w:rsidRPr="008D1A55" w:rsidRDefault="00C7364D" w:rsidP="004A0B8E">
            <w:pPr>
              <w:pStyle w:val="Tabletext"/>
            </w:pPr>
          </w:p>
        </w:tc>
        <w:tc>
          <w:tcPr>
            <w:tcW w:w="668" w:type="pct"/>
            <w:vAlign w:val="center"/>
          </w:tcPr>
          <w:p w14:paraId="2B8BF4B7" w14:textId="77777777" w:rsidR="00C7364D" w:rsidRPr="008D1A55" w:rsidRDefault="00C7364D" w:rsidP="004A0B8E">
            <w:pPr>
              <w:pStyle w:val="Tabletext"/>
            </w:pPr>
          </w:p>
        </w:tc>
        <w:tc>
          <w:tcPr>
            <w:tcW w:w="668" w:type="pct"/>
            <w:vAlign w:val="center"/>
          </w:tcPr>
          <w:p w14:paraId="3337CFCC" w14:textId="77777777" w:rsidR="00C7364D" w:rsidRPr="008D1A55" w:rsidRDefault="00C7364D" w:rsidP="004A0B8E">
            <w:pPr>
              <w:pStyle w:val="Tabletext"/>
            </w:pPr>
            <w:r w:rsidRPr="008D1A55">
              <w:t>7.2, 26.8</w:t>
            </w:r>
          </w:p>
        </w:tc>
        <w:tc>
          <w:tcPr>
            <w:tcW w:w="501" w:type="pct"/>
            <w:vAlign w:val="center"/>
          </w:tcPr>
          <w:p w14:paraId="7F2B8B3D" w14:textId="77777777" w:rsidR="00C7364D" w:rsidRPr="008D1A55" w:rsidRDefault="00C7364D" w:rsidP="004A0B8E">
            <w:pPr>
              <w:pStyle w:val="Tabletext"/>
            </w:pPr>
          </w:p>
        </w:tc>
        <w:tc>
          <w:tcPr>
            <w:tcW w:w="668" w:type="pct"/>
            <w:vAlign w:val="center"/>
          </w:tcPr>
          <w:p w14:paraId="4489A3F6" w14:textId="77777777" w:rsidR="00C7364D" w:rsidRPr="008D1A55" w:rsidRDefault="00C7364D" w:rsidP="004A0B8E">
            <w:pPr>
              <w:pStyle w:val="Tabletext"/>
            </w:pPr>
            <w:r w:rsidRPr="008D1A55">
              <w:t>15.3, 41.5</w:t>
            </w:r>
          </w:p>
        </w:tc>
        <w:tc>
          <w:tcPr>
            <w:tcW w:w="495" w:type="pct"/>
            <w:vAlign w:val="center"/>
          </w:tcPr>
          <w:p w14:paraId="6F63F77F" w14:textId="77777777" w:rsidR="00C7364D" w:rsidRPr="008D1A55" w:rsidRDefault="00C7364D" w:rsidP="004A0B8E">
            <w:pPr>
              <w:pStyle w:val="Tabletext"/>
            </w:pPr>
          </w:p>
        </w:tc>
      </w:tr>
      <w:tr w:rsidR="00657122" w:rsidRPr="008D1A55" w14:paraId="303378D7" w14:textId="77777777" w:rsidTr="00657122">
        <w:trPr>
          <w:trHeight w:val="482"/>
          <w:jc w:val="center"/>
        </w:trPr>
        <w:tc>
          <w:tcPr>
            <w:tcW w:w="832" w:type="pct"/>
            <w:vAlign w:val="center"/>
          </w:tcPr>
          <w:p w14:paraId="3ECE0014" w14:textId="64DE3843" w:rsidR="00C7364D" w:rsidRPr="008D1A55" w:rsidRDefault="00C7364D" w:rsidP="004A0B8E">
            <w:pPr>
              <w:pStyle w:val="Tabletext"/>
            </w:pPr>
            <w:r w:rsidRPr="008D1A55">
              <w:t xml:space="preserve">Nominal </w:t>
            </w:r>
            <w:proofErr w:type="spellStart"/>
            <w:r w:rsidRPr="008D1A55">
              <w:t>p</w:t>
            </w:r>
            <w:r w:rsidR="00657122" w:rsidRPr="008D1A55">
              <w:noBreakHyphen/>
            </w:r>
            <w:proofErr w:type="gramStart"/>
            <w:r w:rsidRPr="008D1A55">
              <w:t>value</w:t>
            </w:r>
            <w:r w:rsidR="00657122" w:rsidRPr="008D1A55">
              <w:t>;</w:t>
            </w:r>
            <w:r w:rsidRPr="008D1A55">
              <w:rPr>
                <w:vertAlign w:val="superscript"/>
              </w:rPr>
              <w:t>a</w:t>
            </w:r>
            <w:proofErr w:type="spellEnd"/>
            <w:proofErr w:type="gramEnd"/>
          </w:p>
        </w:tc>
        <w:tc>
          <w:tcPr>
            <w:tcW w:w="668" w:type="pct"/>
            <w:vAlign w:val="center"/>
          </w:tcPr>
          <w:p w14:paraId="7FE5E384" w14:textId="77777777" w:rsidR="00C7364D" w:rsidRPr="008D1A55" w:rsidRDefault="00C7364D" w:rsidP="004A0B8E">
            <w:pPr>
              <w:pStyle w:val="Tabletext"/>
            </w:pPr>
            <w:r w:rsidRPr="008D1A55">
              <w:t>0.001</w:t>
            </w:r>
          </w:p>
        </w:tc>
        <w:tc>
          <w:tcPr>
            <w:tcW w:w="500" w:type="pct"/>
            <w:vAlign w:val="center"/>
          </w:tcPr>
          <w:p w14:paraId="31564081" w14:textId="77777777" w:rsidR="00C7364D" w:rsidRPr="008D1A55" w:rsidRDefault="00C7364D" w:rsidP="004A0B8E">
            <w:pPr>
              <w:pStyle w:val="Tabletext"/>
            </w:pPr>
          </w:p>
        </w:tc>
        <w:tc>
          <w:tcPr>
            <w:tcW w:w="668" w:type="pct"/>
            <w:vAlign w:val="center"/>
          </w:tcPr>
          <w:p w14:paraId="54F570F3" w14:textId="77777777" w:rsidR="00C7364D" w:rsidRPr="008D1A55" w:rsidRDefault="00C7364D" w:rsidP="004A0B8E">
            <w:pPr>
              <w:pStyle w:val="Tabletext"/>
            </w:pPr>
          </w:p>
        </w:tc>
        <w:tc>
          <w:tcPr>
            <w:tcW w:w="668" w:type="pct"/>
            <w:vAlign w:val="center"/>
          </w:tcPr>
          <w:p w14:paraId="66FAFD2E" w14:textId="77777777" w:rsidR="00C7364D" w:rsidRPr="008D1A55" w:rsidRDefault="00C7364D" w:rsidP="004A0B8E">
            <w:pPr>
              <w:pStyle w:val="Tabletext"/>
            </w:pPr>
            <w:r w:rsidRPr="008D1A55">
              <w:t>&lt;0.001</w:t>
            </w:r>
          </w:p>
        </w:tc>
        <w:tc>
          <w:tcPr>
            <w:tcW w:w="501" w:type="pct"/>
            <w:vAlign w:val="center"/>
          </w:tcPr>
          <w:p w14:paraId="45CFC4EC" w14:textId="77777777" w:rsidR="00C7364D" w:rsidRPr="008D1A55" w:rsidRDefault="00C7364D" w:rsidP="004A0B8E">
            <w:pPr>
              <w:pStyle w:val="Tabletext"/>
            </w:pPr>
          </w:p>
        </w:tc>
        <w:tc>
          <w:tcPr>
            <w:tcW w:w="668" w:type="pct"/>
            <w:vAlign w:val="center"/>
          </w:tcPr>
          <w:p w14:paraId="4EC26B33" w14:textId="77777777" w:rsidR="00C7364D" w:rsidRPr="008D1A55" w:rsidRDefault="00C7364D" w:rsidP="004A0B8E">
            <w:pPr>
              <w:pStyle w:val="Tabletext"/>
            </w:pPr>
            <w:r w:rsidRPr="008D1A55">
              <w:t>&lt;0.001</w:t>
            </w:r>
          </w:p>
        </w:tc>
        <w:tc>
          <w:tcPr>
            <w:tcW w:w="495" w:type="pct"/>
            <w:vAlign w:val="center"/>
          </w:tcPr>
          <w:p w14:paraId="139758B9" w14:textId="77777777" w:rsidR="00C7364D" w:rsidRPr="008D1A55" w:rsidRDefault="00C7364D" w:rsidP="004A0B8E">
            <w:pPr>
              <w:pStyle w:val="Tabletext"/>
            </w:pPr>
          </w:p>
        </w:tc>
      </w:tr>
    </w:tbl>
    <w:p w14:paraId="06B79C5F" w14:textId="391B65A1" w:rsidR="00657122" w:rsidRPr="008D1A55" w:rsidRDefault="004A0B8E" w:rsidP="00657122">
      <w:pPr>
        <w:pStyle w:val="TableDescription"/>
      </w:pPr>
      <w:r w:rsidRPr="008D1A55">
        <w:t>Abbreviations: BICLA = British Isles Lupus Assessment Group-based Composite Lupus Assessment; C</w:t>
      </w:r>
      <w:r w:rsidR="00657122" w:rsidRPr="008D1A55">
        <w:t>I</w:t>
      </w:r>
      <w:r w:rsidRPr="008D1A55">
        <w:t xml:space="preserve"> = Confidence interval; n = </w:t>
      </w:r>
      <w:r w:rsidR="00657122" w:rsidRPr="008D1A55">
        <w:t>number</w:t>
      </w:r>
      <w:r w:rsidRPr="008D1A55">
        <w:t xml:space="preserve"> of patients in analysis</w:t>
      </w:r>
      <w:r w:rsidR="00657122" w:rsidRPr="008D1A55">
        <w:t xml:space="preserve"> group</w:t>
      </w:r>
      <w:r w:rsidRPr="008D1A55">
        <w:t xml:space="preserve">; NA = </w:t>
      </w:r>
      <w:r w:rsidR="00657122" w:rsidRPr="008D1A55">
        <w:t>not</w:t>
      </w:r>
      <w:r w:rsidRPr="008D1A55">
        <w:t xml:space="preserve"> available; N = </w:t>
      </w:r>
      <w:r w:rsidR="00657122" w:rsidRPr="008D1A55">
        <w:t>number</w:t>
      </w:r>
      <w:r w:rsidRPr="008D1A55">
        <w:t xml:space="preserve"> of patients </w:t>
      </w:r>
      <w:r w:rsidRPr="008D1A55">
        <w:lastRenderedPageBreak/>
        <w:t>in treatment group;</w:t>
      </w:r>
      <w:r w:rsidR="00657122" w:rsidRPr="008D1A55">
        <w:t xml:space="preserve"> Study 04 = Study D3461C00004; Study 05 = Study D3461C00005; Study 1013 = Study CS-IA-MEDI-546-1013.</w:t>
      </w:r>
    </w:p>
    <w:p w14:paraId="091211DE" w14:textId="41C4C625" w:rsidR="00C7364D" w:rsidRPr="008D1A55" w:rsidRDefault="00C7364D" w:rsidP="005B2B36">
      <w:pPr>
        <w:pStyle w:val="TableDescription"/>
      </w:pPr>
      <w:r w:rsidRPr="008D1A55">
        <w:t xml:space="preserve">a </w:t>
      </w:r>
      <w:r w:rsidR="00657122" w:rsidRPr="008D1A55">
        <w:t>British Isles Lupus Assessment Group</w:t>
      </w:r>
      <w:r w:rsidR="00E25D23" w:rsidRPr="008D1A55">
        <w:t xml:space="preserve"> (BILAG)</w:t>
      </w:r>
      <w:r w:rsidR="00657122" w:rsidRPr="008D1A55">
        <w:t xml:space="preserve">-based Composite Lupus Assessment (BICLA) </w:t>
      </w:r>
      <w:r w:rsidRPr="008D1A55">
        <w:t xml:space="preserve">response at Week 52 is not part of the multiplicity procedure in </w:t>
      </w:r>
      <w:r w:rsidR="00657122" w:rsidRPr="008D1A55">
        <w:t xml:space="preserve">Studies </w:t>
      </w:r>
      <w:r w:rsidRPr="008D1A55">
        <w:t xml:space="preserve">05 and </w:t>
      </w:r>
      <w:proofErr w:type="gramStart"/>
      <w:r w:rsidRPr="008D1A55">
        <w:t>1013, and</w:t>
      </w:r>
      <w:proofErr w:type="gramEnd"/>
      <w:r w:rsidRPr="008D1A55">
        <w:t xml:space="preserve"> cannot be interpreted in terms of statistical significance.</w:t>
      </w:r>
    </w:p>
    <w:p w14:paraId="15443191" w14:textId="66AB9969" w:rsidR="00C7364D" w:rsidRPr="008D1A55" w:rsidRDefault="00C7364D" w:rsidP="005B2B36">
      <w:pPr>
        <w:pStyle w:val="TableDescription"/>
      </w:pPr>
      <w:r w:rsidRPr="008D1A55">
        <w:t xml:space="preserve">The p-value for </w:t>
      </w:r>
      <w:r w:rsidR="00657122" w:rsidRPr="008D1A55">
        <w:t xml:space="preserve">Study </w:t>
      </w:r>
      <w:r w:rsidRPr="008D1A55">
        <w:t xml:space="preserve">1013 is based on the pre-specified logistic regression model for comparison of </w:t>
      </w:r>
      <w:proofErr w:type="spellStart"/>
      <w:r w:rsidRPr="008D1A55">
        <w:t>anifrolumab</w:t>
      </w:r>
      <w:proofErr w:type="spellEnd"/>
      <w:r w:rsidRPr="008D1A55">
        <w:t xml:space="preserve"> 300 mg versus placebo, adjusted for randomisation stratification factors.</w:t>
      </w:r>
    </w:p>
    <w:p w14:paraId="742E38D3" w14:textId="01BCB04D" w:rsidR="00C7364D" w:rsidRPr="008D1A55" w:rsidRDefault="00C7364D" w:rsidP="005B2B36">
      <w:pPr>
        <w:pStyle w:val="TableDescription"/>
      </w:pPr>
      <w:r w:rsidRPr="008D1A55">
        <w:t>Stud</w:t>
      </w:r>
      <w:r w:rsidR="00657122" w:rsidRPr="008D1A55">
        <w:t>ies</w:t>
      </w:r>
      <w:r w:rsidRPr="008D1A55">
        <w:t xml:space="preserve"> 04 and </w:t>
      </w:r>
      <w:r w:rsidR="00AD6ECD" w:rsidRPr="008D1A55">
        <w:t>0</w:t>
      </w:r>
      <w:r w:rsidRPr="008D1A55">
        <w:t xml:space="preserve">5 results are based on the </w:t>
      </w:r>
      <w:r w:rsidR="00AD6ECD" w:rsidRPr="008D1A55">
        <w:t>Study 0</w:t>
      </w:r>
      <w:r w:rsidRPr="008D1A55">
        <w:t xml:space="preserve">4 restricted medications rules. Study 1013 results are based on the </w:t>
      </w:r>
      <w:r w:rsidR="00657122" w:rsidRPr="008D1A55">
        <w:t xml:space="preserve">Study </w:t>
      </w:r>
      <w:r w:rsidRPr="008D1A55">
        <w:t>1013 rules for restricted medications.</w:t>
      </w:r>
    </w:p>
    <w:p w14:paraId="2C46FCDA" w14:textId="3C8D9861" w:rsidR="00C7364D" w:rsidRPr="008D1A55" w:rsidRDefault="00C7364D" w:rsidP="005B2B36">
      <w:pPr>
        <w:pStyle w:val="TableDescription"/>
      </w:pPr>
      <w:r w:rsidRPr="008D1A55">
        <w:t xml:space="preserve">One patient in the placebo group is excluded from the analysis of BICLA response in </w:t>
      </w:r>
      <w:r w:rsidR="00657122" w:rsidRPr="008D1A55">
        <w:t xml:space="preserve">Study </w:t>
      </w:r>
      <w:r w:rsidRPr="008D1A55">
        <w:t xml:space="preserve">1013 due to not having an ‘A’ or ‘B’ BILAG-2004 item at </w:t>
      </w:r>
      <w:r w:rsidR="00CA1444" w:rsidRPr="008D1A55">
        <w:t>Baseline</w:t>
      </w:r>
      <w:r w:rsidRPr="008D1A55">
        <w:t>.</w:t>
      </w:r>
    </w:p>
    <w:p w14:paraId="3A5EF6F6" w14:textId="407885C7" w:rsidR="00C7364D" w:rsidRPr="008D1A55" w:rsidRDefault="00C7364D" w:rsidP="005B2B36">
      <w:pPr>
        <w:pStyle w:val="TableDescription"/>
      </w:pPr>
      <w:r w:rsidRPr="008D1A55">
        <w:t xml:space="preserve">The responder rates and the difference in estimates and associated 95% CI, are calculated using a stratified </w:t>
      </w:r>
      <w:r w:rsidR="00657122" w:rsidRPr="008D1A55">
        <w:t xml:space="preserve">Cochran-Mantel-Haenszel </w:t>
      </w:r>
      <w:r w:rsidRPr="008D1A55">
        <w:t xml:space="preserve">approach, with stratification factors </w:t>
      </w:r>
      <w:r w:rsidR="00657122" w:rsidRPr="008D1A55">
        <w:t>Systemic Lupus Erythematosus Disease Activity Index 2000 (</w:t>
      </w:r>
      <w:r w:rsidRPr="008D1A55">
        <w:t>SLEDAI-2K</w:t>
      </w:r>
      <w:r w:rsidR="00657122" w:rsidRPr="008D1A55">
        <w:t>)</w:t>
      </w:r>
      <w:r w:rsidRPr="008D1A55">
        <w:t xml:space="preserve"> score at screening, Day 1 </w:t>
      </w:r>
      <w:r w:rsidR="007D0024" w:rsidRPr="008D1A55">
        <w:t>oral corticosteroids</w:t>
      </w:r>
      <w:r w:rsidRPr="008D1A55">
        <w:t xml:space="preserve"> dose, and </w:t>
      </w:r>
      <w:r w:rsidR="00CC61CB" w:rsidRPr="008D1A55">
        <w:t>Type </w:t>
      </w:r>
      <w:r w:rsidR="00D264E5" w:rsidRPr="008D1A55">
        <w:t>I</w:t>
      </w:r>
      <w:r w:rsidRPr="008D1A55">
        <w:t xml:space="preserve"> </w:t>
      </w:r>
      <w:r w:rsidR="00657122" w:rsidRPr="008D1A55">
        <w:t xml:space="preserve">interferon </w:t>
      </w:r>
      <w:r w:rsidRPr="008D1A55">
        <w:t>gene signature test result at screening.</w:t>
      </w:r>
    </w:p>
    <w:p w14:paraId="662F5FE8" w14:textId="5E470172" w:rsidR="00C7364D" w:rsidRPr="008D1A55" w:rsidRDefault="001605DB" w:rsidP="00657122">
      <w:pPr>
        <w:pStyle w:val="FigureTitle"/>
      </w:pPr>
      <w:bookmarkStart w:id="73" w:name="_Toc83111131"/>
      <w:r w:rsidRPr="008D1A55">
        <w:t xml:space="preserve">Figure </w:t>
      </w:r>
      <w:r w:rsidR="005675A0">
        <w:fldChar w:fldCharType="begin"/>
      </w:r>
      <w:r w:rsidR="005675A0">
        <w:instrText xml:space="preserve"> SEQ Figure \* ARABIC </w:instrText>
      </w:r>
      <w:r w:rsidR="005675A0">
        <w:fldChar w:fldCharType="separate"/>
      </w:r>
      <w:r w:rsidR="00D8723A">
        <w:rPr>
          <w:noProof/>
        </w:rPr>
        <w:t>4</w:t>
      </w:r>
      <w:r w:rsidR="005675A0">
        <w:rPr>
          <w:noProof/>
        </w:rPr>
        <w:fldChar w:fldCharType="end"/>
      </w:r>
      <w:r w:rsidRPr="008D1A55">
        <w:t xml:space="preserve">: </w:t>
      </w:r>
      <w:r w:rsidR="00657122" w:rsidRPr="008D1A55">
        <w:t xml:space="preserve">Studies D3461C00004, D3461C00005, and CD-IA-MEDI-546-1013 </w:t>
      </w:r>
      <w:r w:rsidR="00C7364D" w:rsidRPr="008D1A55">
        <w:t xml:space="preserve">Efficacy of </w:t>
      </w:r>
      <w:proofErr w:type="spellStart"/>
      <w:r w:rsidR="00C7364D" w:rsidRPr="008D1A55">
        <w:t>anifrolumab</w:t>
      </w:r>
      <w:proofErr w:type="spellEnd"/>
      <w:r w:rsidR="00C7364D" w:rsidRPr="008D1A55">
        <w:t xml:space="preserve"> in the proposed indication (full analysis sets)</w:t>
      </w:r>
      <w:bookmarkEnd w:id="73"/>
    </w:p>
    <w:p w14:paraId="6D1E2AC5" w14:textId="66283B82" w:rsidR="00CC3FFB" w:rsidRPr="008D1A55" w:rsidRDefault="00CC3FFB" w:rsidP="00657122">
      <w:pPr>
        <w:pStyle w:val="FigureTitle"/>
      </w:pPr>
      <w:r w:rsidRPr="008D1A55">
        <w:rPr>
          <w:noProof/>
          <w:lang w:val="en-GB" w:eastAsia="en-GB"/>
        </w:rPr>
        <w:drawing>
          <wp:inline distT="0" distB="0" distL="0" distR="0" wp14:anchorId="307FD5D3" wp14:editId="52A88AB5">
            <wp:extent cx="5400040" cy="3246755"/>
            <wp:effectExtent l="0" t="0" r="0" b="0"/>
            <wp:docPr id="8" name="Picture 8" descr="Figure 4: Studies D3461C00004, D3461C00005, and CD-IA-MEDI-546-1013 Efficacy of anifrolumab in the proposed indication (full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4: Studies D3461C00004, D3461C00005, and CD-IA-MEDI-546-1013 Efficacy of anifrolumab in the proposed indication (full analysis sets)"/>
                    <pic:cNvPicPr/>
                  </pic:nvPicPr>
                  <pic:blipFill>
                    <a:blip r:embed="rId19"/>
                    <a:stretch>
                      <a:fillRect/>
                    </a:stretch>
                  </pic:blipFill>
                  <pic:spPr>
                    <a:xfrm>
                      <a:off x="0" y="0"/>
                      <a:ext cx="5400040" cy="3246755"/>
                    </a:xfrm>
                    <a:prstGeom prst="rect">
                      <a:avLst/>
                    </a:prstGeom>
                  </pic:spPr>
                </pic:pic>
              </a:graphicData>
            </a:graphic>
          </wp:inline>
        </w:drawing>
      </w:r>
    </w:p>
    <w:p w14:paraId="60960D94" w14:textId="771E219F" w:rsidR="00CC3FFB" w:rsidRPr="008D1A55" w:rsidRDefault="00CC3FFB" w:rsidP="00CC3FFB">
      <w:pPr>
        <w:pStyle w:val="FigureDescription"/>
      </w:pPr>
      <w:r w:rsidRPr="008D1A55">
        <w:t>Abbreviations: BICLA = British Isles Lupus Assessment Group-based Composite Lupus Assessment; CI = Confidence interval; CLASI = Cutaneous Lupus Erythematosus Disease Area and Severity Index; IFN = Interferon; N = number of patients in treatment group; n = number of patients with response; OCS = oral corticosteroids; SRI = Systemic lupus erythematosus Responder Index; SRI(4) = at least 4-point reduction in Systemic Lupus Erythematosus Disease Activity Index 2000 score in the SRI; Study 04 = Study D3461C00004; Study 05 = Study D3461C00005; Study 1013 = Study CS-IA-MEDI-546-1013.</w:t>
      </w:r>
    </w:p>
    <w:p w14:paraId="41DC02A4" w14:textId="77777777" w:rsidR="00C7364D" w:rsidRPr="008D1A55" w:rsidRDefault="00C7364D" w:rsidP="005B2B36">
      <w:pPr>
        <w:pStyle w:val="FigureDescription"/>
      </w:pPr>
      <w:r w:rsidRPr="008D1A55">
        <w:t xml:space="preserve">a Note that this is a rate ratio rather than a rate difference as with all other endpoints. This is calculated as annualised rate of </w:t>
      </w:r>
      <w:proofErr w:type="spellStart"/>
      <w:r w:rsidRPr="008D1A55">
        <w:t>anifrolumab</w:t>
      </w:r>
      <w:proofErr w:type="spellEnd"/>
      <w:r w:rsidRPr="008D1A55">
        <w:t xml:space="preserve"> over placebo.</w:t>
      </w:r>
    </w:p>
    <w:p w14:paraId="305E2086" w14:textId="77777777" w:rsidR="00C7364D" w:rsidRPr="008D1A55" w:rsidRDefault="00C7364D" w:rsidP="005B2B36">
      <w:pPr>
        <w:pStyle w:val="FigureDescription"/>
      </w:pPr>
      <w:r w:rsidRPr="008D1A55">
        <w:t>The upper scale is related to the difference in response rates; the lower scale is related to the rate ratio of flares.</w:t>
      </w:r>
    </w:p>
    <w:p w14:paraId="26129171" w14:textId="52036FD3" w:rsidR="00C7364D" w:rsidRPr="008D1A55" w:rsidRDefault="00C7364D" w:rsidP="005B2B36">
      <w:pPr>
        <w:pStyle w:val="FigureDescription"/>
      </w:pPr>
      <w:r w:rsidRPr="008D1A55">
        <w:t xml:space="preserve">Key efficacy endpoints are the primary and key secondary endpoints from </w:t>
      </w:r>
      <w:r w:rsidR="00AD6ECD" w:rsidRPr="008D1A55">
        <w:t>Study 0</w:t>
      </w:r>
      <w:r w:rsidRPr="008D1A55">
        <w:t xml:space="preserve">4 plus </w:t>
      </w:r>
      <w:proofErr w:type="gramStart"/>
      <w:r w:rsidRPr="008D1A55">
        <w:t>SRI(</w:t>
      </w:r>
      <w:proofErr w:type="gramEnd"/>
      <w:r w:rsidRPr="008D1A55">
        <w:t>4) at Week</w:t>
      </w:r>
      <w:r w:rsidR="00CC3FFB" w:rsidRPr="008D1A55">
        <w:t> </w:t>
      </w:r>
      <w:r w:rsidRPr="008D1A55">
        <w:t xml:space="preserve">52 (the primary endpoint in </w:t>
      </w:r>
      <w:r w:rsidR="00AD6ECD" w:rsidRPr="008D1A55">
        <w:t>Study 0</w:t>
      </w:r>
      <w:r w:rsidRPr="008D1A55">
        <w:t xml:space="preserve">5 and a secondary endpoint in </w:t>
      </w:r>
      <w:r w:rsidR="00AD6ECD" w:rsidRPr="008D1A55">
        <w:t>Study 0</w:t>
      </w:r>
      <w:r w:rsidRPr="008D1A55">
        <w:t>4).</w:t>
      </w:r>
    </w:p>
    <w:p w14:paraId="316270F2" w14:textId="7B6CBC86" w:rsidR="00C7364D" w:rsidRPr="008D1A55" w:rsidRDefault="00C7364D" w:rsidP="005B2B36">
      <w:pPr>
        <w:pStyle w:val="FigureDescription"/>
      </w:pPr>
      <w:r w:rsidRPr="008D1A55">
        <w:t>Full analysis set includes all patients randomised who received at least one dose of investigational product, analysed according to randomised treatment.</w:t>
      </w:r>
    </w:p>
    <w:p w14:paraId="2893C60A" w14:textId="7FC8CF11" w:rsidR="00C7364D" w:rsidRPr="008D1A55" w:rsidRDefault="00C7364D" w:rsidP="005B2B36">
      <w:pPr>
        <w:pStyle w:val="FigureDescription"/>
      </w:pPr>
      <w:r w:rsidRPr="008D1A55">
        <w:lastRenderedPageBreak/>
        <w:t xml:space="preserve">One patient in the placebo group is excluded from the analysis of BICLA response in </w:t>
      </w:r>
      <w:r w:rsidR="00CC3FFB" w:rsidRPr="008D1A55">
        <w:t xml:space="preserve">Study </w:t>
      </w:r>
      <w:r w:rsidRPr="008D1A55">
        <w:t xml:space="preserve">1013 due to not having an ‘A’ or ‘B’ </w:t>
      </w:r>
      <w:r w:rsidR="00CC3FFB" w:rsidRPr="008D1A55">
        <w:t>British Isles Lupus Assessment Group</w:t>
      </w:r>
      <w:r w:rsidR="00E25D23" w:rsidRPr="008D1A55">
        <w:t xml:space="preserve"> </w:t>
      </w:r>
      <w:r w:rsidRPr="008D1A55">
        <w:t xml:space="preserve">2004 item at </w:t>
      </w:r>
      <w:r w:rsidR="00CA1444" w:rsidRPr="008D1A55">
        <w:t>Baseline</w:t>
      </w:r>
      <w:r w:rsidRPr="008D1A55">
        <w:t>.</w:t>
      </w:r>
    </w:p>
    <w:p w14:paraId="4821241B" w14:textId="48AEF97A" w:rsidR="00C7364D" w:rsidRPr="008D1A55" w:rsidRDefault="00C7364D" w:rsidP="005B2B36">
      <w:pPr>
        <w:pStyle w:val="FigureDescription"/>
      </w:pPr>
      <w:r w:rsidRPr="008D1A55">
        <w:t xml:space="preserve">Study 04 restricted medication rules are applied to </w:t>
      </w:r>
      <w:r w:rsidR="00CC3FFB" w:rsidRPr="008D1A55">
        <w:t xml:space="preserve">Studies </w:t>
      </w:r>
      <w:r w:rsidRPr="008D1A55">
        <w:t>04 and 05.</w:t>
      </w:r>
    </w:p>
    <w:p w14:paraId="3A72FBAC" w14:textId="77777777" w:rsidR="00C7364D" w:rsidRPr="008D1A55" w:rsidRDefault="00C7364D" w:rsidP="005B2B36">
      <w:pPr>
        <w:pStyle w:val="FigureDescription"/>
      </w:pPr>
      <w:r w:rsidRPr="008D1A55">
        <w:t>Responder rates were analysed using the Cochran-Mantel-Haenszel approach and flare rates were analysed using a negative binomial regression model.</w:t>
      </w:r>
    </w:p>
    <w:p w14:paraId="655AA02F" w14:textId="4D210022" w:rsidR="00C7364D" w:rsidRDefault="00C7364D" w:rsidP="005B2B36">
      <w:pPr>
        <w:pStyle w:val="Heading4"/>
      </w:pPr>
      <w:r w:rsidRPr="008D1A55">
        <w:t>Safety</w:t>
      </w:r>
    </w:p>
    <w:p w14:paraId="060F09DF" w14:textId="53E7DD95" w:rsidR="00914173" w:rsidRPr="0063551F" w:rsidRDefault="00914173" w:rsidP="0063551F">
      <w:pPr>
        <w:pStyle w:val="Heading5"/>
      </w:pPr>
      <w:r>
        <w:t>Exposure</w:t>
      </w:r>
    </w:p>
    <w:p w14:paraId="60C00A28" w14:textId="761B2948" w:rsidR="00C7364D" w:rsidRPr="008D1A55" w:rsidRDefault="00C7364D" w:rsidP="005B2B36">
      <w:r w:rsidRPr="008D1A55">
        <w:t xml:space="preserve">Overall, the safety profile of </w:t>
      </w:r>
      <w:proofErr w:type="spellStart"/>
      <w:r w:rsidRPr="008D1A55">
        <w:t>anifrolumab</w:t>
      </w:r>
      <w:proofErr w:type="spellEnd"/>
      <w:r w:rsidRPr="008D1A55">
        <w:t xml:space="preserve"> is based on a total of 1029 patients who received </w:t>
      </w:r>
      <w:proofErr w:type="spellStart"/>
      <w:r w:rsidRPr="008D1A55">
        <w:t>anifrolumab</w:t>
      </w:r>
      <w:proofErr w:type="spellEnd"/>
      <w:r w:rsidRPr="008D1A55">
        <w:t xml:space="preserve"> at any dose for any indication. Of these, 837 were patients with SLE who received </w:t>
      </w:r>
      <w:r w:rsidR="008D5724" w:rsidRPr="008D1A55">
        <w:t>intravenous</w:t>
      </w:r>
      <w:r w:rsidRPr="008D1A55">
        <w:t xml:space="preserve"> </w:t>
      </w:r>
      <w:proofErr w:type="spellStart"/>
      <w:r w:rsidRPr="008D1A55">
        <w:t>anifrolumab</w:t>
      </w:r>
      <w:proofErr w:type="spellEnd"/>
      <w:r w:rsidRPr="008D1A55">
        <w:t xml:space="preserve"> at doses of 150, 300 or 1000 mg.</w:t>
      </w:r>
    </w:p>
    <w:p w14:paraId="42528DA1" w14:textId="7EC6D3F8" w:rsidR="00C7364D" w:rsidRPr="008D1A55" w:rsidRDefault="00C7364D" w:rsidP="005B2B36">
      <w:r w:rsidRPr="008D1A55">
        <w:t xml:space="preserve">A total of 360 patients received </w:t>
      </w:r>
      <w:proofErr w:type="spellStart"/>
      <w:r w:rsidRPr="008D1A55">
        <w:t>anifrolumab</w:t>
      </w:r>
      <w:proofErr w:type="spellEnd"/>
      <w:r w:rsidRPr="008D1A55">
        <w:t xml:space="preserve"> at the proposed dose regimen (300 mg </w:t>
      </w:r>
      <w:r w:rsidR="00A259E4" w:rsidRPr="008D1A55">
        <w:t>every 4</w:t>
      </w:r>
      <w:r w:rsidR="00CC3FFB" w:rsidRPr="008D1A55">
        <w:t> </w:t>
      </w:r>
      <w:r w:rsidR="00A259E4" w:rsidRPr="008D1A55">
        <w:t>weeks</w:t>
      </w:r>
      <w:r w:rsidRPr="008D1A55">
        <w:t xml:space="preserve">) with 326 exposed for greater than 6 months, 238 exposed for greater than </w:t>
      </w:r>
      <w:r w:rsidR="00CC3FFB" w:rsidRPr="008D1A55">
        <w:t>one</w:t>
      </w:r>
      <w:r w:rsidRPr="008D1A55">
        <w:t xml:space="preserve"> year, 161 exposed for greater than 3 years (156 weeks) and 32 for greater than 4</w:t>
      </w:r>
      <w:r w:rsidR="00CC3FFB" w:rsidRPr="008D1A55">
        <w:t> </w:t>
      </w:r>
      <w:r w:rsidRPr="008D1A55">
        <w:t>years (208</w:t>
      </w:r>
      <w:r w:rsidR="00CC3FFB" w:rsidRPr="008D1A55">
        <w:t> </w:t>
      </w:r>
      <w:r w:rsidRPr="008D1A55">
        <w:t>weeks).</w:t>
      </w:r>
    </w:p>
    <w:p w14:paraId="74101EF2" w14:textId="2E70D18C" w:rsidR="00C7364D" w:rsidRPr="008D1A55" w:rsidRDefault="00C7364D" w:rsidP="005B2B36">
      <w:r w:rsidRPr="008D1A55">
        <w:t xml:space="preserve">The EU </w:t>
      </w:r>
      <w:proofErr w:type="gramStart"/>
      <w:r w:rsidRPr="008D1A55">
        <w:t>guideline</w:t>
      </w:r>
      <w:r w:rsidR="009136A5" w:rsidRPr="008D1A55">
        <w:t>;</w:t>
      </w:r>
      <w:proofErr w:type="gramEnd"/>
      <w:r w:rsidR="009136A5" w:rsidRPr="008D1A55">
        <w:rPr>
          <w:rStyle w:val="FootnoteReference"/>
        </w:rPr>
        <w:footnoteReference w:id="24"/>
      </w:r>
      <w:r w:rsidRPr="008D1A55">
        <w:t xml:space="preserve"> for the assessment of safety in a new chemical entity requires:</w:t>
      </w:r>
    </w:p>
    <w:p w14:paraId="2980125E" w14:textId="60DC96A0" w:rsidR="00C7364D" w:rsidRPr="008D1A55" w:rsidRDefault="00CC3FFB" w:rsidP="005B2B36">
      <w:pPr>
        <w:pStyle w:val="ListBullet"/>
      </w:pPr>
      <w:proofErr w:type="gramStart"/>
      <w:r w:rsidRPr="008D1A55">
        <w:t>usually</w:t>
      </w:r>
      <w:proofErr w:type="gramEnd"/>
      <w:r w:rsidRPr="008D1A55">
        <w:t xml:space="preserve"> </w:t>
      </w:r>
      <w:r w:rsidR="00C7364D" w:rsidRPr="008D1A55">
        <w:t>300</w:t>
      </w:r>
      <w:r w:rsidRPr="008D1A55">
        <w:t xml:space="preserve"> to </w:t>
      </w:r>
      <w:r w:rsidR="00C7364D" w:rsidRPr="008D1A55">
        <w:t>600 patients treated for 6 months</w:t>
      </w:r>
      <w:r w:rsidRPr="008D1A55">
        <w:t>;</w:t>
      </w:r>
    </w:p>
    <w:p w14:paraId="314D5BB8" w14:textId="098B5B55" w:rsidR="00C7364D" w:rsidRPr="008D1A55" w:rsidRDefault="00CC3FFB" w:rsidP="005B2B36">
      <w:pPr>
        <w:pStyle w:val="ListBullet"/>
      </w:pPr>
      <w:proofErr w:type="gramStart"/>
      <w:r w:rsidRPr="008D1A55">
        <w:t>usually</w:t>
      </w:r>
      <w:proofErr w:type="gramEnd"/>
      <w:r w:rsidRPr="008D1A55">
        <w:t xml:space="preserve"> </w:t>
      </w:r>
      <w:r w:rsidR="00C7364D" w:rsidRPr="008D1A55">
        <w:t>100 patients exposed for minimum of 12 months</w:t>
      </w:r>
      <w:r w:rsidRPr="008D1A55">
        <w:t>;</w:t>
      </w:r>
    </w:p>
    <w:p w14:paraId="7FC464D3" w14:textId="7E3079AA" w:rsidR="00C7364D" w:rsidRPr="008D1A55" w:rsidRDefault="00CC3FFB" w:rsidP="005B2B36">
      <w:pPr>
        <w:pStyle w:val="ListBullet"/>
      </w:pPr>
      <w:r w:rsidRPr="008D1A55">
        <w:t xml:space="preserve">total </w:t>
      </w:r>
      <w:r w:rsidR="00C7364D" w:rsidRPr="008D1A55">
        <w:t>number of patients treated</w:t>
      </w:r>
      <w:r w:rsidR="00AD6ECD" w:rsidRPr="008D1A55">
        <w:t xml:space="preserve"> is</w:t>
      </w:r>
      <w:r w:rsidR="00C7364D" w:rsidRPr="008D1A55">
        <w:t xml:space="preserve"> 1500</w:t>
      </w:r>
      <w:r w:rsidRPr="008D1A55">
        <w:t>.</w:t>
      </w:r>
    </w:p>
    <w:p w14:paraId="2C5D01B1" w14:textId="46975DF5" w:rsidR="00C7364D" w:rsidRDefault="00C7364D" w:rsidP="005B2B36">
      <w:r w:rsidRPr="008D1A55">
        <w:t xml:space="preserve">While there have been a total of 1029 patients treated with any dose of </w:t>
      </w:r>
      <w:proofErr w:type="spellStart"/>
      <w:r w:rsidRPr="008D1A55">
        <w:t>anifrolumab</w:t>
      </w:r>
      <w:proofErr w:type="spellEnd"/>
      <w:r w:rsidRPr="008D1A55">
        <w:t>, this includes patients from the ongoing studies not included in the submission (Studies</w:t>
      </w:r>
      <w:r w:rsidR="00CC3FFB" w:rsidRPr="008D1A55">
        <w:t> </w:t>
      </w:r>
      <w:r w:rsidRPr="008D1A55">
        <w:t>D3461C00009 and D3461C00007)</w:t>
      </w:r>
      <w:r w:rsidR="00F44D9E">
        <w:t>;</w:t>
      </w:r>
      <w:bookmarkStart w:id="74" w:name="_Ref121152408"/>
      <w:r w:rsidR="00F44D9E">
        <w:rPr>
          <w:rStyle w:val="FootnoteReference"/>
        </w:rPr>
        <w:footnoteReference w:id="25"/>
      </w:r>
      <w:bookmarkEnd w:id="74"/>
      <w:r w:rsidR="00F44D9E">
        <w:rPr>
          <w:vertAlign w:val="superscript"/>
        </w:rPr>
        <w:t>,</w:t>
      </w:r>
      <w:bookmarkStart w:id="75" w:name="_Ref121170441"/>
      <w:r w:rsidR="000A7DF9">
        <w:rPr>
          <w:rStyle w:val="FootnoteReference"/>
        </w:rPr>
        <w:footnoteReference w:id="26"/>
      </w:r>
      <w:bookmarkEnd w:id="75"/>
      <w:r w:rsidRPr="008D1A55">
        <w:t xml:space="preserve"> which made it difficult to interpret for the clinical </w:t>
      </w:r>
      <w:r w:rsidR="00CC3FFB" w:rsidRPr="008D1A55">
        <w:t>evaluation</w:t>
      </w:r>
      <w:r w:rsidRPr="008D1A55">
        <w:t xml:space="preserve">. The </w:t>
      </w:r>
      <w:r w:rsidR="00B86247">
        <w:t>D</w:t>
      </w:r>
      <w:r w:rsidRPr="008D1A55">
        <w:t>elegate agrees with the clinical evaluat</w:t>
      </w:r>
      <w:r w:rsidR="00AD6ECD" w:rsidRPr="008D1A55">
        <w:t>ion</w:t>
      </w:r>
      <w:r w:rsidRPr="008D1A55">
        <w:t xml:space="preserve"> that the 326 exposed for greater than 6 months is barely meeting the 300</w:t>
      </w:r>
      <w:r w:rsidR="00CC3FFB" w:rsidRPr="008D1A55">
        <w:t xml:space="preserve"> to </w:t>
      </w:r>
      <w:r w:rsidRPr="008D1A55">
        <w:t>600 required in the EU guideline.</w:t>
      </w:r>
    </w:p>
    <w:p w14:paraId="168A536A" w14:textId="130257C6" w:rsidR="00914173" w:rsidRPr="008D1A55" w:rsidRDefault="00914173" w:rsidP="0063551F">
      <w:pPr>
        <w:pStyle w:val="Heading5"/>
      </w:pPr>
      <w:r>
        <w:t>Adverse events</w:t>
      </w:r>
    </w:p>
    <w:p w14:paraId="0716B3B4" w14:textId="6B6BD88E" w:rsidR="00C7364D" w:rsidRPr="008D1A55" w:rsidRDefault="00C7364D" w:rsidP="005B2B36">
      <w:r w:rsidRPr="008D1A55">
        <w:t xml:space="preserve">In the clinical studies </w:t>
      </w:r>
      <w:r w:rsidR="00014FA9" w:rsidRPr="008D1A55">
        <w:t>adverse events (AE</w:t>
      </w:r>
      <w:r w:rsidRPr="008D1A55">
        <w:t>s</w:t>
      </w:r>
      <w:r w:rsidR="00014FA9" w:rsidRPr="008D1A55">
        <w:t>)</w:t>
      </w:r>
      <w:r w:rsidRPr="008D1A55">
        <w:t xml:space="preserve"> were common with 88% of patients who received the proposed dose reporting at least one AE. Most were mild to moderate in intensity but 11% reported </w:t>
      </w:r>
      <w:r w:rsidR="00014FA9" w:rsidRPr="008D1A55">
        <w:t>serious adverse events (</w:t>
      </w:r>
      <w:r w:rsidRPr="008D1A55">
        <w:t>SAEs</w:t>
      </w:r>
      <w:r w:rsidR="00014FA9" w:rsidRPr="008D1A55">
        <w:t>)</w:t>
      </w:r>
      <w:r w:rsidRPr="008D1A55">
        <w:t xml:space="preserve"> (compared with 16% on placebo). AEs leading to discontinuation were low (5%) and comparable to placebo, with no specific AEs predominating.</w:t>
      </w:r>
    </w:p>
    <w:p w14:paraId="0CF8B00C" w14:textId="08A07C60" w:rsidR="00C7364D" w:rsidRPr="008D1A55" w:rsidRDefault="00C7364D" w:rsidP="005B2B36">
      <w:r w:rsidRPr="008D1A55">
        <w:t xml:space="preserve">The </w:t>
      </w:r>
      <w:proofErr w:type="gramStart"/>
      <w:r w:rsidRPr="008D1A55">
        <w:t>most commonly reported</w:t>
      </w:r>
      <w:proofErr w:type="gramEnd"/>
      <w:r w:rsidRPr="008D1A55">
        <w:t xml:space="preserve"> AEs were nasopharyngitis, upper respiratory tract infection, urinary tract infection, infusion</w:t>
      </w:r>
      <w:r w:rsidR="00B14DC3">
        <w:t>-</w:t>
      </w:r>
      <w:r w:rsidRPr="008D1A55">
        <w:t>related reaction, bronchitis, headache, herpes zoster, back pain, cough, arthralgia, sinusitis, and vomiting.</w:t>
      </w:r>
    </w:p>
    <w:p w14:paraId="3B8683EB" w14:textId="77777777" w:rsidR="00C7364D" w:rsidRPr="008D1A55" w:rsidRDefault="00C7364D" w:rsidP="005B2B36">
      <w:r w:rsidRPr="008D1A55">
        <w:lastRenderedPageBreak/>
        <w:t xml:space="preserve">Infections were more common in the patients who received </w:t>
      </w:r>
      <w:proofErr w:type="spellStart"/>
      <w:r w:rsidRPr="008D1A55">
        <w:t>anifrolumab</w:t>
      </w:r>
      <w:proofErr w:type="spellEnd"/>
      <w:r w:rsidRPr="008D1A55">
        <w:t xml:space="preserve"> than in those receiving placebo. The difference between the overall rates of infection appeared to be driven by differences in the incidence rates of mild and moderate infections involving the respiratory tract, excluding pneumonia (comparable in both treatment groups), and separately, herpes zoster.</w:t>
      </w:r>
    </w:p>
    <w:p w14:paraId="2DDD8051" w14:textId="77777777" w:rsidR="00914173" w:rsidRDefault="00C7364D" w:rsidP="005B2B36">
      <w:r w:rsidRPr="008D1A55">
        <w:t xml:space="preserve">Herpes zoster infection was more common in patients receiving </w:t>
      </w:r>
      <w:proofErr w:type="spellStart"/>
      <w:r w:rsidRPr="008D1A55">
        <w:t>anifrolumab</w:t>
      </w:r>
      <w:proofErr w:type="spellEnd"/>
      <w:r w:rsidRPr="008D1A55">
        <w:t xml:space="preserve"> (6.4%) compared with those receiving placebo (1.4%).</w:t>
      </w:r>
    </w:p>
    <w:p w14:paraId="4A641CEE" w14:textId="1722FC2A" w:rsidR="00914173" w:rsidRDefault="00914173" w:rsidP="0063551F">
      <w:pPr>
        <w:pStyle w:val="Heading5"/>
      </w:pPr>
      <w:r>
        <w:t>Serious adverse events</w:t>
      </w:r>
    </w:p>
    <w:p w14:paraId="327F93C1" w14:textId="37FC580C" w:rsidR="00C7364D" w:rsidRPr="008D1A55" w:rsidRDefault="00C7364D" w:rsidP="005B2B36">
      <w:r w:rsidRPr="008D1A55">
        <w:t>While most cases were mild or moderate in intensity, one patient reported an SAE and two patients discontinued therapy due to the AE.</w:t>
      </w:r>
    </w:p>
    <w:p w14:paraId="63543498" w14:textId="65AE05F1" w:rsidR="00C7364D" w:rsidRPr="008D1A55" w:rsidRDefault="00C7364D" w:rsidP="005B2B36">
      <w:r w:rsidRPr="008D1A55">
        <w:t xml:space="preserve">There were no cases of active tuberculosis. An increased rate of latent </w:t>
      </w:r>
      <w:r w:rsidR="00842AF9" w:rsidRPr="008D1A55">
        <w:t>tuberculosis</w:t>
      </w:r>
      <w:r w:rsidRPr="008D1A55">
        <w:t xml:space="preserve"> occurred in the </w:t>
      </w:r>
      <w:proofErr w:type="spellStart"/>
      <w:r w:rsidRPr="008D1A55">
        <w:t>anifrolumab</w:t>
      </w:r>
      <w:proofErr w:type="spellEnd"/>
      <w:r w:rsidRPr="008D1A55">
        <w:t xml:space="preserve"> arms, </w:t>
      </w:r>
      <w:proofErr w:type="gramStart"/>
      <w:r w:rsidRPr="008D1A55">
        <w:t>in particular during</w:t>
      </w:r>
      <w:proofErr w:type="gramEnd"/>
      <w:r w:rsidRPr="008D1A55">
        <w:t xml:space="preserve"> the long-term extension study. The relationship between tuberculosis and </w:t>
      </w:r>
      <w:r w:rsidR="00014FA9" w:rsidRPr="008D1A55">
        <w:t>systemic lupus erythematosus (</w:t>
      </w:r>
      <w:r w:rsidRPr="008D1A55">
        <w:t>SLE</w:t>
      </w:r>
      <w:r w:rsidR="00014FA9" w:rsidRPr="008D1A55">
        <w:t>)</w:t>
      </w:r>
      <w:r w:rsidRPr="008D1A55">
        <w:t xml:space="preserve"> is unclear, although a high suspicion of </w:t>
      </w:r>
      <w:r w:rsidR="00842AF9" w:rsidRPr="008D1A55">
        <w:t>tuberculosis</w:t>
      </w:r>
      <w:r w:rsidRPr="008D1A55">
        <w:t xml:space="preserve"> and planned monitoring for active and latent </w:t>
      </w:r>
      <w:r w:rsidR="00842AF9" w:rsidRPr="008D1A55">
        <w:t>tuberculosis</w:t>
      </w:r>
      <w:r w:rsidRPr="008D1A55">
        <w:t xml:space="preserve"> should be considered, </w:t>
      </w:r>
      <w:proofErr w:type="gramStart"/>
      <w:r w:rsidRPr="008D1A55">
        <w:t>in particular in</w:t>
      </w:r>
      <w:proofErr w:type="gramEnd"/>
      <w:r w:rsidRPr="008D1A55">
        <w:t xml:space="preserve"> SLE patients from endemic countries and with high cumulative steroid exposure.</w:t>
      </w:r>
    </w:p>
    <w:p w14:paraId="3072911F" w14:textId="2C2DDFC2" w:rsidR="00C7364D" w:rsidRPr="008D1A55" w:rsidRDefault="00DA15D9" w:rsidP="005B2B36">
      <w:r w:rsidRPr="008D1A55">
        <w:t>Major adverse cardiovascular events</w:t>
      </w:r>
      <w:r w:rsidR="00C7364D" w:rsidRPr="008D1A55">
        <w:t xml:space="preserve"> were rare and balanced between </w:t>
      </w:r>
      <w:proofErr w:type="spellStart"/>
      <w:r w:rsidR="00C7364D" w:rsidRPr="008D1A55">
        <w:t>anifrolumab</w:t>
      </w:r>
      <w:proofErr w:type="spellEnd"/>
      <w:r w:rsidR="00C7364D" w:rsidRPr="008D1A55">
        <w:t xml:space="preserve"> and placebo arms. There were no cases of suicide</w:t>
      </w:r>
      <w:r w:rsidR="00A259E4" w:rsidRPr="008D1A55">
        <w:t xml:space="preserve"> or </w:t>
      </w:r>
      <w:r w:rsidR="00C7364D" w:rsidRPr="008D1A55">
        <w:t>self</w:t>
      </w:r>
      <w:r w:rsidR="001C6635" w:rsidRPr="008D1A55">
        <w:t>-</w:t>
      </w:r>
      <w:r w:rsidR="00C7364D" w:rsidRPr="008D1A55">
        <w:t>injury.</w:t>
      </w:r>
    </w:p>
    <w:p w14:paraId="36362D4D" w14:textId="57F457CD" w:rsidR="00C7364D" w:rsidRPr="008D1A55" w:rsidRDefault="00C7364D" w:rsidP="005B2B36">
      <w:r w:rsidRPr="008D1A55">
        <w:t>Hypersensitivity including one case of anaphylaxis, and infusion</w:t>
      </w:r>
      <w:r w:rsidR="00B14DC3">
        <w:t>-</w:t>
      </w:r>
      <w:r w:rsidRPr="008D1A55">
        <w:t xml:space="preserve">related reactions were more common in patients receiving </w:t>
      </w:r>
      <w:proofErr w:type="spellStart"/>
      <w:r w:rsidRPr="008D1A55">
        <w:t>anifrolumab</w:t>
      </w:r>
      <w:proofErr w:type="spellEnd"/>
      <w:r w:rsidRPr="008D1A55">
        <w:t>. The commonly reported infusion</w:t>
      </w:r>
      <w:r w:rsidR="00B14DC3">
        <w:t>-</w:t>
      </w:r>
      <w:r w:rsidRPr="008D1A55">
        <w:t>related AEs were headache, nausea, vomiting and fatigue.</w:t>
      </w:r>
    </w:p>
    <w:p w14:paraId="5774B10C" w14:textId="47A671F9" w:rsidR="00C7364D" w:rsidRPr="008D1A55" w:rsidRDefault="00C7364D" w:rsidP="005B2B36">
      <w:r w:rsidRPr="008D1A55">
        <w:t xml:space="preserve">There were 2 deaths in the </w:t>
      </w:r>
      <w:proofErr w:type="spellStart"/>
      <w:r w:rsidRPr="008D1A55">
        <w:t>anifrolumab</w:t>
      </w:r>
      <w:proofErr w:type="spellEnd"/>
      <w:r w:rsidRPr="008D1A55">
        <w:t xml:space="preserve"> 300 mg </w:t>
      </w:r>
      <w:r w:rsidR="008D5724" w:rsidRPr="008D1A55">
        <w:t>intravenous</w:t>
      </w:r>
      <w:r w:rsidRPr="008D1A55">
        <w:t xml:space="preserve"> group during the 52</w:t>
      </w:r>
      <w:r w:rsidR="001C6635" w:rsidRPr="008D1A55">
        <w:noBreakHyphen/>
      </w:r>
      <w:r w:rsidRPr="008D1A55">
        <w:t>week study period. No patients randomi</w:t>
      </w:r>
      <w:r w:rsidR="008D5724" w:rsidRPr="008D1A55">
        <w:t>s</w:t>
      </w:r>
      <w:r w:rsidRPr="008D1A55">
        <w:t xml:space="preserve">ed to the placebo plus standard of care group died during the 52-week study period. Overall, there were 14 deaths (11 deaths in the </w:t>
      </w:r>
      <w:proofErr w:type="spellStart"/>
      <w:r w:rsidRPr="008D1A55">
        <w:t>anifrolumab</w:t>
      </w:r>
      <w:proofErr w:type="spellEnd"/>
      <w:r w:rsidRPr="008D1A55">
        <w:t xml:space="preserve"> </w:t>
      </w:r>
      <w:r w:rsidR="008D5724" w:rsidRPr="008D1A55">
        <w:t>intravenous</w:t>
      </w:r>
      <w:r w:rsidRPr="008D1A55">
        <w:t xml:space="preserve"> group and 3 deaths in the placebo group) during the </w:t>
      </w:r>
      <w:proofErr w:type="spellStart"/>
      <w:r w:rsidRPr="008D1A55">
        <w:t>anifrolumab</w:t>
      </w:r>
      <w:proofErr w:type="spellEnd"/>
      <w:r w:rsidRPr="008D1A55">
        <w:t xml:space="preserve"> clinical studies in the </w:t>
      </w:r>
      <w:proofErr w:type="spellStart"/>
      <w:r w:rsidRPr="008D1A55">
        <w:t>anifrolumab</w:t>
      </w:r>
      <w:proofErr w:type="spellEnd"/>
      <w:r w:rsidRPr="008D1A55">
        <w:t xml:space="preserve"> development program for SLE including all doses for 52</w:t>
      </w:r>
      <w:r w:rsidR="001C6635" w:rsidRPr="008D1A55">
        <w:noBreakHyphen/>
      </w:r>
      <w:r w:rsidRPr="008D1A55">
        <w:t>weeks (</w:t>
      </w:r>
      <w:r w:rsidR="001C6635" w:rsidRPr="008D1A55">
        <w:t xml:space="preserve">Studies </w:t>
      </w:r>
      <w:r w:rsidR="007D0024" w:rsidRPr="008D1A55">
        <w:t>CD</w:t>
      </w:r>
      <w:r w:rsidR="007D0024" w:rsidRPr="008D1A55">
        <w:noBreakHyphen/>
        <w:t>IA-MEDI-546-1013</w:t>
      </w:r>
      <w:r w:rsidRPr="008D1A55">
        <w:t xml:space="preserve">, </w:t>
      </w:r>
      <w:r w:rsidR="007D0024" w:rsidRPr="008D1A55">
        <w:t>D3461C00005</w:t>
      </w:r>
      <w:r w:rsidRPr="008D1A55">
        <w:t xml:space="preserve"> and </w:t>
      </w:r>
      <w:r w:rsidR="007D0024" w:rsidRPr="008D1A55">
        <w:t>D3461C00004</w:t>
      </w:r>
      <w:r w:rsidRPr="008D1A55">
        <w:t xml:space="preserve">) and placebo controlled long-term extension </w:t>
      </w:r>
      <w:r w:rsidR="00AD6ECD" w:rsidRPr="008D1A55">
        <w:t xml:space="preserve">Study </w:t>
      </w:r>
      <w:r w:rsidR="001C6635" w:rsidRPr="008D1A55">
        <w:t>D3461C00009</w:t>
      </w:r>
      <w:r w:rsidRPr="008D1A55">
        <w:t xml:space="preserve"> (participants in </w:t>
      </w:r>
      <w:r w:rsidR="001C6635" w:rsidRPr="008D1A55">
        <w:t>Studies </w:t>
      </w:r>
      <w:r w:rsidR="007D0024" w:rsidRPr="008D1A55">
        <w:t>D3461C00005</w:t>
      </w:r>
      <w:r w:rsidRPr="008D1A55">
        <w:t xml:space="preserve"> and </w:t>
      </w:r>
      <w:r w:rsidR="007D0024" w:rsidRPr="008D1A55">
        <w:t>D3461C00004</w:t>
      </w:r>
      <w:r w:rsidRPr="008D1A55">
        <w:t xml:space="preserve"> </w:t>
      </w:r>
      <w:proofErr w:type="gramStart"/>
      <w:r w:rsidRPr="008D1A55">
        <w:t>continuing on</w:t>
      </w:r>
      <w:proofErr w:type="gramEnd"/>
      <w:r w:rsidRPr="008D1A55">
        <w:t xml:space="preserve"> either </w:t>
      </w:r>
      <w:proofErr w:type="spellStart"/>
      <w:r w:rsidRPr="008D1A55">
        <w:t>anifrolumab</w:t>
      </w:r>
      <w:proofErr w:type="spellEnd"/>
      <w:r w:rsidRPr="008D1A55">
        <w:t xml:space="preserve"> or placebo for greater than 52 weeks).</w:t>
      </w:r>
    </w:p>
    <w:p w14:paraId="32B8FD8A" w14:textId="76C16D41" w:rsidR="00C7364D" w:rsidRPr="008D1A55" w:rsidRDefault="00C7364D" w:rsidP="005B2B36">
      <w:r w:rsidRPr="008D1A55">
        <w:t>Key patient data for patients with fatal AEs are summari</w:t>
      </w:r>
      <w:r w:rsidR="008D5724" w:rsidRPr="008D1A55">
        <w:t>s</w:t>
      </w:r>
      <w:r w:rsidRPr="008D1A55">
        <w:t xml:space="preserve">ed in </w:t>
      </w:r>
      <w:r w:rsidR="00720FF5" w:rsidRPr="008D1A55">
        <w:fldChar w:fldCharType="begin"/>
      </w:r>
      <w:r w:rsidR="00720FF5" w:rsidRPr="008D1A55">
        <w:instrText xml:space="preserve"> REF _Ref116763087 \h </w:instrText>
      </w:r>
      <w:r w:rsidR="001C6635" w:rsidRPr="008D1A55">
        <w:instrText xml:space="preserve"> \* MERGEFORMAT </w:instrText>
      </w:r>
      <w:r w:rsidR="00720FF5" w:rsidRPr="008D1A55">
        <w:fldChar w:fldCharType="separate"/>
      </w:r>
      <w:r w:rsidR="00D8723A" w:rsidRPr="008D1A55">
        <w:t xml:space="preserve">Table </w:t>
      </w:r>
      <w:r w:rsidR="00D8723A">
        <w:rPr>
          <w:noProof/>
        </w:rPr>
        <w:t>11</w:t>
      </w:r>
      <w:r w:rsidR="00720FF5" w:rsidRPr="008D1A55">
        <w:fldChar w:fldCharType="end"/>
      </w:r>
      <w:r w:rsidRPr="008D1A55">
        <w:t>, based on</w:t>
      </w:r>
      <w:r w:rsidR="007A38B2" w:rsidRPr="008D1A55">
        <w:t xml:space="preserve"> the FDA’s review.</w:t>
      </w:r>
      <w:bookmarkStart w:id="76" w:name="_Ref117163147"/>
      <w:r w:rsidR="00867DE2" w:rsidRPr="008D1A55">
        <w:rPr>
          <w:rStyle w:val="FootnoteReference"/>
        </w:rPr>
        <w:footnoteReference w:id="27"/>
      </w:r>
      <w:bookmarkEnd w:id="76"/>
    </w:p>
    <w:p w14:paraId="7DE36B59" w14:textId="1C0E77F8" w:rsidR="00C7364D" w:rsidRPr="008D1A55" w:rsidRDefault="00720FF5" w:rsidP="001C6635">
      <w:pPr>
        <w:pStyle w:val="TableTitle"/>
      </w:pPr>
      <w:bookmarkStart w:id="77" w:name="_Ref116763087"/>
      <w:r w:rsidRPr="008D1A55">
        <w:lastRenderedPageBreak/>
        <w:t xml:space="preserve">Table </w:t>
      </w:r>
      <w:r w:rsidR="005675A0">
        <w:fldChar w:fldCharType="begin"/>
      </w:r>
      <w:r w:rsidR="005675A0">
        <w:instrText xml:space="preserve"> </w:instrText>
      </w:r>
      <w:r w:rsidR="005675A0">
        <w:instrText xml:space="preserve">SEQ Table \* ARABIC </w:instrText>
      </w:r>
      <w:r w:rsidR="005675A0">
        <w:fldChar w:fldCharType="separate"/>
      </w:r>
      <w:r w:rsidR="00D8723A">
        <w:rPr>
          <w:noProof/>
        </w:rPr>
        <w:t>11</w:t>
      </w:r>
      <w:r w:rsidR="005675A0">
        <w:rPr>
          <w:noProof/>
        </w:rPr>
        <w:fldChar w:fldCharType="end"/>
      </w:r>
      <w:bookmarkEnd w:id="77"/>
      <w:r w:rsidRPr="008D1A55">
        <w:t>:</w:t>
      </w:r>
      <w:r w:rsidR="00C068CB" w:rsidRPr="008D1A55">
        <w:t xml:space="preserve"> </w:t>
      </w:r>
      <w:r w:rsidR="00867DE2" w:rsidRPr="008D1A55">
        <w:t xml:space="preserve">United States Food and Drug Administration </w:t>
      </w:r>
      <w:r w:rsidR="007A38B2" w:rsidRPr="008D1A55">
        <w:t xml:space="preserve">review </w:t>
      </w:r>
      <w:r w:rsidR="00867DE2" w:rsidRPr="008D1A55">
        <w:t>S</w:t>
      </w:r>
      <w:r w:rsidR="007A38B2" w:rsidRPr="008D1A55">
        <w:t>ummary of a</w:t>
      </w:r>
      <w:r w:rsidR="001C6635" w:rsidRPr="008D1A55">
        <w:t>dverse events</w:t>
      </w:r>
      <w:r w:rsidR="00C7364D" w:rsidRPr="008D1A55">
        <w:t xml:space="preserve"> with outcome of death (</w:t>
      </w:r>
      <w:r w:rsidR="001C6635" w:rsidRPr="008D1A55">
        <w:t xml:space="preserve">safety </w:t>
      </w:r>
      <w:r w:rsidR="00C7364D" w:rsidRPr="008D1A55">
        <w:t>analysis set)</w:t>
      </w:r>
    </w:p>
    <w:p w14:paraId="189A3BD5" w14:textId="77777777" w:rsidR="00C7364D" w:rsidRPr="008D1A55" w:rsidRDefault="00C7364D" w:rsidP="00C7364D">
      <w:pPr>
        <w:jc w:val="both"/>
        <w:rPr>
          <w:lang w:eastAsia="ja-JP"/>
        </w:rPr>
      </w:pPr>
      <w:r w:rsidRPr="008D1A55">
        <w:rPr>
          <w:noProof/>
          <w:lang w:val="en-GB" w:eastAsia="en-GB"/>
        </w:rPr>
        <w:drawing>
          <wp:inline distT="0" distB="0" distL="0" distR="0" wp14:anchorId="70D42244" wp14:editId="1F5AD122">
            <wp:extent cx="5409552" cy="7206343"/>
            <wp:effectExtent l="0" t="0" r="1270" b="0"/>
            <wp:docPr id="1" name="Picture 1" descr="Table 11: Multiple studies Adverse events with outcome of death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11: Multiple studies Adverse events with outcome of death (safety analysis set)"/>
                    <pic:cNvPicPr/>
                  </pic:nvPicPr>
                  <pic:blipFill>
                    <a:blip r:embed="rId20"/>
                    <a:stretch>
                      <a:fillRect/>
                    </a:stretch>
                  </pic:blipFill>
                  <pic:spPr>
                    <a:xfrm>
                      <a:off x="0" y="0"/>
                      <a:ext cx="5420218" cy="7220552"/>
                    </a:xfrm>
                    <a:prstGeom prst="rect">
                      <a:avLst/>
                    </a:prstGeom>
                  </pic:spPr>
                </pic:pic>
              </a:graphicData>
            </a:graphic>
          </wp:inline>
        </w:drawing>
      </w:r>
    </w:p>
    <w:p w14:paraId="1A285243" w14:textId="70215B40" w:rsidR="00EA77C5" w:rsidRPr="008D1A55" w:rsidRDefault="007A38B2" w:rsidP="009E29A4">
      <w:pPr>
        <w:pStyle w:val="TableDescription"/>
      </w:pPr>
      <w:r w:rsidRPr="008D1A55">
        <w:t xml:space="preserve">Abbreviations: # = number; </w:t>
      </w:r>
      <w:r w:rsidR="00EA77C5" w:rsidRPr="008D1A55">
        <w:t>COVID = coronavirus disease; HTN = hypertension; LTE = long-term extension; MAS = macrophage activation syndrome; MI = myocardial infarction; Neg = negative; OLE = open label extension; PBO = placebo; SAE = serious adverse event; SLE = systemic lupus erythematosus.</w:t>
      </w:r>
    </w:p>
    <w:p w14:paraId="6FF60FA6" w14:textId="30C02756" w:rsidR="00C7364D" w:rsidRPr="008D1A55" w:rsidRDefault="00C7364D" w:rsidP="009E29A4">
      <w:pPr>
        <w:pStyle w:val="TableDescription"/>
      </w:pPr>
      <w:r w:rsidRPr="008D1A55">
        <w:t>*Reference</w:t>
      </w:r>
      <w:r w:rsidR="009E29A4" w:rsidRPr="008D1A55">
        <w:t xml:space="preserve">: </w:t>
      </w:r>
      <w:r w:rsidR="007A38B2" w:rsidRPr="008D1A55">
        <w:t xml:space="preserve">extracted from Table 48 of </w:t>
      </w:r>
      <w:r w:rsidR="00867DE2" w:rsidRPr="008D1A55">
        <w:t xml:space="preserve">NDA/BLA Multi-Disciplinary Review and Evaluation on </w:t>
      </w:r>
      <w:proofErr w:type="spellStart"/>
      <w:r w:rsidR="00867DE2" w:rsidRPr="008D1A55">
        <w:t>Saphnelo</w:t>
      </w:r>
      <w:proofErr w:type="spellEnd"/>
      <w:r w:rsidR="00867DE2" w:rsidRPr="008D1A55">
        <w:t xml:space="preserve"> (</w:t>
      </w:r>
      <w:proofErr w:type="spellStart"/>
      <w:r w:rsidR="00867DE2" w:rsidRPr="008D1A55">
        <w:t>anifrolumab-fnia</w:t>
      </w:r>
      <w:proofErr w:type="spellEnd"/>
      <w:r w:rsidR="00867DE2" w:rsidRPr="008D1A55">
        <w:t>) for adults with SLE</w:t>
      </w:r>
      <w:r w:rsidR="007A38B2" w:rsidRPr="008D1A55">
        <w:t xml:space="preserve"> by the </w:t>
      </w:r>
      <w:r w:rsidR="009E29A4" w:rsidRPr="008D1A55">
        <w:t>United</w:t>
      </w:r>
      <w:r w:rsidR="007A38B2" w:rsidRPr="008D1A55">
        <w:t xml:space="preserve"> States</w:t>
      </w:r>
      <w:r w:rsidR="009E29A4" w:rsidRPr="008D1A55">
        <w:t xml:space="preserve"> Food and Drug Administration</w:t>
      </w:r>
      <w:r w:rsidR="007A38B2" w:rsidRPr="008D1A55">
        <w:t>.</w:t>
      </w:r>
    </w:p>
    <w:p w14:paraId="4DC35920" w14:textId="7B2E87D8" w:rsidR="00C7364D" w:rsidRDefault="00C7364D" w:rsidP="005B2B36">
      <w:r w:rsidRPr="008D1A55">
        <w:t xml:space="preserve">There were 6 malignancies in the </w:t>
      </w:r>
      <w:proofErr w:type="spellStart"/>
      <w:r w:rsidRPr="008D1A55">
        <w:t>anifrolumab</w:t>
      </w:r>
      <w:proofErr w:type="spellEnd"/>
      <w:r w:rsidRPr="008D1A55">
        <w:t xml:space="preserve"> 300 mg </w:t>
      </w:r>
      <w:r w:rsidR="008D5724" w:rsidRPr="008D1A55">
        <w:t>intravenous</w:t>
      </w:r>
      <w:r w:rsidRPr="008D1A55">
        <w:t xml:space="preserve"> group during the 52</w:t>
      </w:r>
      <w:r w:rsidR="001C6635" w:rsidRPr="008D1A55">
        <w:noBreakHyphen/>
      </w:r>
      <w:r w:rsidRPr="008D1A55">
        <w:t xml:space="preserve">week study period and 3 malignancies in the placebo group. There were 2 additional </w:t>
      </w:r>
      <w:r w:rsidRPr="008D1A55">
        <w:lastRenderedPageBreak/>
        <w:t xml:space="preserve">malignancies in the placebo group for a total of 5, as compared to 6 in the </w:t>
      </w:r>
      <w:proofErr w:type="spellStart"/>
      <w:r w:rsidRPr="008D1A55">
        <w:t>anifrolumab</w:t>
      </w:r>
      <w:proofErr w:type="spellEnd"/>
      <w:r w:rsidRPr="008D1A55">
        <w:t xml:space="preserve"> 300</w:t>
      </w:r>
      <w:r w:rsidR="001C6635" w:rsidRPr="008D1A55">
        <w:t> </w:t>
      </w:r>
      <w:r w:rsidRPr="008D1A55">
        <w:t xml:space="preserve">mg </w:t>
      </w:r>
      <w:r w:rsidR="008D5724" w:rsidRPr="008D1A55">
        <w:t>intravenous</w:t>
      </w:r>
      <w:r w:rsidRPr="008D1A55">
        <w:t xml:space="preserve"> group from the ongoing </w:t>
      </w:r>
      <w:r w:rsidR="001605DB" w:rsidRPr="008D1A55">
        <w:t>Phase III</w:t>
      </w:r>
      <w:r w:rsidRPr="008D1A55">
        <w:t xml:space="preserve"> long</w:t>
      </w:r>
      <w:r w:rsidR="00A259E4" w:rsidRPr="008D1A55">
        <w:t>-</w:t>
      </w:r>
      <w:r w:rsidRPr="008D1A55">
        <w:t>term extension study of 300</w:t>
      </w:r>
      <w:r w:rsidR="001C6635" w:rsidRPr="008D1A55">
        <w:t> </w:t>
      </w:r>
      <w:r w:rsidRPr="008D1A55">
        <w:t>mg.</w:t>
      </w:r>
    </w:p>
    <w:p w14:paraId="431E554A" w14:textId="10A18B24" w:rsidR="00914173" w:rsidRPr="008D1A55" w:rsidRDefault="00914173" w:rsidP="0063551F">
      <w:pPr>
        <w:pStyle w:val="Heading5"/>
      </w:pPr>
      <w:r>
        <w:t>Anti-drug antibodies</w:t>
      </w:r>
    </w:p>
    <w:p w14:paraId="5A3F0A59" w14:textId="7DDD020D" w:rsidR="00C7364D" w:rsidRPr="008D1A55" w:rsidRDefault="00C7364D" w:rsidP="005B2B36">
      <w:r w:rsidRPr="008D1A55">
        <w:t xml:space="preserve">Anti-drug antibody positive responses were observed in the </w:t>
      </w:r>
      <w:proofErr w:type="spellStart"/>
      <w:r w:rsidRPr="008D1A55">
        <w:t>anifrolumab</w:t>
      </w:r>
      <w:proofErr w:type="spellEnd"/>
      <w:r w:rsidRPr="008D1A55">
        <w:t xml:space="preserve"> 300</w:t>
      </w:r>
      <w:r w:rsidR="001C6635" w:rsidRPr="008D1A55">
        <w:t> </w:t>
      </w:r>
      <w:r w:rsidRPr="008D1A55">
        <w:t xml:space="preserve">mg group with a prevalence of 7.0% and an incidence of 1.7%. In patients treated with placebo the prevalence was 9.6% and the incidence was 4.8%. Thus, there was little to no specific induction of an ADA response to </w:t>
      </w:r>
      <w:proofErr w:type="spellStart"/>
      <w:r w:rsidRPr="008D1A55">
        <w:t>anifrolumab</w:t>
      </w:r>
      <w:proofErr w:type="spellEnd"/>
      <w:r w:rsidRPr="008D1A55">
        <w:t xml:space="preserve">. Median ADA titres in the </w:t>
      </w:r>
      <w:proofErr w:type="spellStart"/>
      <w:r w:rsidRPr="008D1A55">
        <w:t>anifrolumab</w:t>
      </w:r>
      <w:proofErr w:type="spellEnd"/>
      <w:r w:rsidRPr="008D1A55">
        <w:t xml:space="preserve"> 300 mg group were </w:t>
      </w:r>
      <w:proofErr w:type="gramStart"/>
      <w:r w:rsidRPr="008D1A55">
        <w:t>similar to</w:t>
      </w:r>
      <w:proofErr w:type="gramEnd"/>
      <w:r w:rsidRPr="008D1A55">
        <w:t xml:space="preserve"> placebo.</w:t>
      </w:r>
    </w:p>
    <w:p w14:paraId="3F7CDD7C" w14:textId="6C7B87F8" w:rsidR="00C7364D" w:rsidRPr="008D1A55" w:rsidRDefault="00C7364D" w:rsidP="005B2B36">
      <w:r w:rsidRPr="008D1A55">
        <w:t xml:space="preserve">Only two patients in the </w:t>
      </w:r>
      <w:proofErr w:type="spellStart"/>
      <w:r w:rsidRPr="008D1A55">
        <w:t>anifrolumab</w:t>
      </w:r>
      <w:proofErr w:type="spellEnd"/>
      <w:r w:rsidRPr="008D1A55">
        <w:t xml:space="preserve"> 300 mg group were neutralising </w:t>
      </w:r>
      <w:r w:rsidR="001C6635" w:rsidRPr="008D1A55">
        <w:t>antibody</w:t>
      </w:r>
      <w:r w:rsidRPr="008D1A55">
        <w:t xml:space="preserve"> positive at any time point (one at </w:t>
      </w:r>
      <w:r w:rsidR="00CA1444" w:rsidRPr="008D1A55">
        <w:t>Baseline</w:t>
      </w:r>
      <w:r w:rsidRPr="008D1A55">
        <w:t xml:space="preserve"> and one at Week 12) compared with seven patients in the placebo group. These results do not support specific induction of a neutralising ADA response.</w:t>
      </w:r>
    </w:p>
    <w:p w14:paraId="3449C021" w14:textId="32ABA79D" w:rsidR="00C7364D" w:rsidRPr="008D1A55" w:rsidRDefault="001C6635" w:rsidP="005B2B36">
      <w:r w:rsidRPr="008D1A55">
        <w:t xml:space="preserve">Anti-drug antibody </w:t>
      </w:r>
      <w:r w:rsidR="00C7364D" w:rsidRPr="008D1A55">
        <w:t xml:space="preserve">was not associated with increased clearance of </w:t>
      </w:r>
      <w:proofErr w:type="spellStart"/>
      <w:r w:rsidR="00C7364D" w:rsidRPr="008D1A55">
        <w:t>anifrolumab</w:t>
      </w:r>
      <w:proofErr w:type="spellEnd"/>
      <w:r w:rsidR="00C7364D" w:rsidRPr="008D1A55">
        <w:t xml:space="preserve"> or loss of </w:t>
      </w:r>
      <w:r w:rsidR="00A01497" w:rsidRPr="008D1A55">
        <w:t xml:space="preserve">pharmacodynamic </w:t>
      </w:r>
      <w:r w:rsidR="00C7364D" w:rsidRPr="008D1A55">
        <w:t xml:space="preserve">activity compared with ADA negative patients. There was no apparent trend or pattern suggesting a correlation between the presence of </w:t>
      </w:r>
      <w:proofErr w:type="spellStart"/>
      <w:r w:rsidR="00C7364D" w:rsidRPr="008D1A55">
        <w:t>anifrolumab</w:t>
      </w:r>
      <w:proofErr w:type="spellEnd"/>
      <w:r w:rsidR="00C7364D" w:rsidRPr="008D1A55">
        <w:t xml:space="preserve"> ADA and occurrence of AEs, SAEs, discontinuations due to AEs, or </w:t>
      </w:r>
      <w:r w:rsidR="00014FA9" w:rsidRPr="008D1A55">
        <w:t>AEs of special interest</w:t>
      </w:r>
      <w:r w:rsidR="00C7364D" w:rsidRPr="008D1A55">
        <w:t>.</w:t>
      </w:r>
    </w:p>
    <w:p w14:paraId="0C5C82EA" w14:textId="633DE7D1" w:rsidR="00C7364D" w:rsidRPr="008D1A55" w:rsidRDefault="00C7364D" w:rsidP="005B2B36">
      <w:r w:rsidRPr="008D1A55">
        <w:t xml:space="preserve">Limitations associated with the </w:t>
      </w:r>
      <w:proofErr w:type="spellStart"/>
      <w:r w:rsidRPr="008D1A55">
        <w:t>anifrolumab</w:t>
      </w:r>
      <w:proofErr w:type="spellEnd"/>
      <w:r w:rsidRPr="008D1A55">
        <w:t xml:space="preserve"> </w:t>
      </w:r>
      <w:r w:rsidR="008D5724" w:rsidRPr="008D1A55">
        <w:t>intravenous</w:t>
      </w:r>
      <w:r w:rsidRPr="008D1A55">
        <w:t xml:space="preserve"> safety database include the lack of concomitant </w:t>
      </w:r>
      <w:r w:rsidR="008D5724" w:rsidRPr="008D1A55">
        <w:t>intravenous</w:t>
      </w:r>
      <w:r w:rsidRPr="008D1A55">
        <w:t xml:space="preserve"> cyclophosphamide or other biologics including those that target B</w:t>
      </w:r>
      <w:r w:rsidR="001C6635" w:rsidRPr="008D1A55">
        <w:t>-</w:t>
      </w:r>
      <w:r w:rsidRPr="008D1A55">
        <w:t>cells (</w:t>
      </w:r>
      <w:r w:rsidR="001C6635" w:rsidRPr="008D1A55">
        <w:t>for example,</w:t>
      </w:r>
      <w:r w:rsidRPr="008D1A55">
        <w:t xml:space="preserve"> rituximab</w:t>
      </w:r>
      <w:r w:rsidR="00014FA9" w:rsidRPr="008D1A55">
        <w:t>;</w:t>
      </w:r>
      <w:r w:rsidR="00014FA9" w:rsidRPr="008D1A55">
        <w:rPr>
          <w:rStyle w:val="FootnoteReference"/>
        </w:rPr>
        <w:footnoteReference w:id="28"/>
      </w:r>
      <w:r w:rsidRPr="008D1A55">
        <w:t xml:space="preserve"> or belimumab), and the lack of patients with severe renal lupus and central nervous system disease. The small numbers of patients available for subgroup analysis of gender (males), age (65 years of age</w:t>
      </w:r>
      <w:r w:rsidR="001C6635" w:rsidRPr="008D1A55">
        <w:t xml:space="preserve"> and older</w:t>
      </w:r>
      <w:r w:rsidRPr="008D1A55">
        <w:t xml:space="preserve"> as well as children 18 years of age</w:t>
      </w:r>
      <w:r w:rsidR="001C6635" w:rsidRPr="008D1A55">
        <w:t xml:space="preserve"> and younger</w:t>
      </w:r>
      <w:r w:rsidRPr="008D1A55">
        <w:t>), and race precludes determination of the product’s safety profile in these subgroups.</w:t>
      </w:r>
    </w:p>
    <w:p w14:paraId="7FFD5C88" w14:textId="77777777" w:rsidR="008E7846" w:rsidRPr="008D1A55" w:rsidRDefault="00386150" w:rsidP="007B6132">
      <w:pPr>
        <w:pStyle w:val="Heading3"/>
        <w:rPr>
          <w:lang w:eastAsia="en-AU"/>
        </w:rPr>
      </w:pPr>
      <w:bookmarkStart w:id="78" w:name="_Toc314842514"/>
      <w:bookmarkStart w:id="79" w:name="_Toc117166182"/>
      <w:r w:rsidRPr="008D1A55">
        <w:rPr>
          <w:lang w:eastAsia="en-AU"/>
        </w:rPr>
        <w:t>Risk m</w:t>
      </w:r>
      <w:r w:rsidR="008E7846" w:rsidRPr="008D1A55">
        <w:rPr>
          <w:lang w:eastAsia="en-AU"/>
        </w:rPr>
        <w:t xml:space="preserve">anagement </w:t>
      </w:r>
      <w:r w:rsidRPr="008D1A55">
        <w:rPr>
          <w:lang w:eastAsia="en-AU"/>
        </w:rPr>
        <w:t>p</w:t>
      </w:r>
      <w:r w:rsidR="008E7846" w:rsidRPr="008D1A55">
        <w:rPr>
          <w:lang w:eastAsia="en-AU"/>
        </w:rPr>
        <w:t>lan</w:t>
      </w:r>
      <w:bookmarkEnd w:id="78"/>
      <w:bookmarkEnd w:id="79"/>
    </w:p>
    <w:p w14:paraId="7ADC23B0" w14:textId="278CF99D" w:rsidR="00033632" w:rsidRPr="008D1A55" w:rsidRDefault="00D670EF" w:rsidP="00033632">
      <w:bookmarkStart w:id="80" w:name="_Toc247691531"/>
      <w:bookmarkStart w:id="81" w:name="_Toc314842515"/>
      <w:bookmarkStart w:id="82" w:name="_Toc196046505"/>
      <w:bookmarkStart w:id="83" w:name="_Toc196046949"/>
      <w:r w:rsidRPr="008D1A55">
        <w:t>The sponsor</w:t>
      </w:r>
      <w:r w:rsidR="00033632" w:rsidRPr="008D1A55">
        <w:t xml:space="preserve"> has submitted draft EU-</w:t>
      </w:r>
      <w:r w:rsidR="00565914" w:rsidRPr="008D1A55">
        <w:t>risk management plan (</w:t>
      </w:r>
      <w:r w:rsidR="00033632" w:rsidRPr="008D1A55">
        <w:t>RMP</w:t>
      </w:r>
      <w:r w:rsidR="00565914" w:rsidRPr="008D1A55">
        <w:t>)</w:t>
      </w:r>
      <w:r w:rsidR="00033632" w:rsidRPr="008D1A55">
        <w:t xml:space="preserve"> version 1 succession 1 (dated 18</w:t>
      </w:r>
      <w:r w:rsidR="001C6635" w:rsidRPr="008D1A55">
        <w:t> </w:t>
      </w:r>
      <w:r w:rsidR="00033632" w:rsidRPr="008D1A55">
        <w:t>September</w:t>
      </w:r>
      <w:r w:rsidR="001C6635" w:rsidRPr="008D1A55">
        <w:t> </w:t>
      </w:r>
      <w:r w:rsidR="00033632" w:rsidRPr="008D1A55">
        <w:t xml:space="preserve">2020; </w:t>
      </w:r>
      <w:r w:rsidR="00565914" w:rsidRPr="008D1A55">
        <w:t>data lock point (</w:t>
      </w:r>
      <w:r w:rsidR="00033632" w:rsidRPr="008D1A55">
        <w:t>DLP</w:t>
      </w:r>
      <w:r w:rsidR="00565914" w:rsidRPr="008D1A55">
        <w:t>)</w:t>
      </w:r>
      <w:r w:rsidR="00033632" w:rsidRPr="008D1A55">
        <w:t xml:space="preserve"> 19 March 2020) and </w:t>
      </w:r>
      <w:r w:rsidR="00565914" w:rsidRPr="008D1A55">
        <w:t>Australian specific annex (</w:t>
      </w:r>
      <w:r w:rsidR="00033632" w:rsidRPr="008D1A55">
        <w:t>ASA</w:t>
      </w:r>
      <w:r w:rsidR="00565914" w:rsidRPr="008D1A55">
        <w:t>)</w:t>
      </w:r>
      <w:r w:rsidR="00033632" w:rsidRPr="008D1A55">
        <w:t xml:space="preserve"> version 1.0 succession 1 (dated 1</w:t>
      </w:r>
      <w:r w:rsidR="001C6635" w:rsidRPr="008D1A55">
        <w:t> </w:t>
      </w:r>
      <w:r w:rsidR="00033632" w:rsidRPr="008D1A55">
        <w:t xml:space="preserve">December 2020) in support of this application. At </w:t>
      </w:r>
      <w:r w:rsidR="001C6635" w:rsidRPr="008D1A55">
        <w:t xml:space="preserve">the second </w:t>
      </w:r>
      <w:r w:rsidR="00033632" w:rsidRPr="008D1A55">
        <w:t xml:space="preserve">round </w:t>
      </w:r>
      <w:r w:rsidR="001C6635" w:rsidRPr="008D1A55">
        <w:t>of evaluation,</w:t>
      </w:r>
      <w:r w:rsidR="00033632" w:rsidRPr="008D1A55">
        <w:t xml:space="preserve"> the sponsor submitted EU-RMP version 1 succession 2 (dated 3 May 2021; DLP 19</w:t>
      </w:r>
      <w:r w:rsidR="001C6635" w:rsidRPr="008D1A55">
        <w:t> </w:t>
      </w:r>
      <w:r w:rsidR="00033632" w:rsidRPr="008D1A55">
        <w:t>March</w:t>
      </w:r>
      <w:r w:rsidR="001C6635" w:rsidRPr="008D1A55">
        <w:t> </w:t>
      </w:r>
      <w:r w:rsidR="00033632" w:rsidRPr="008D1A55">
        <w:t xml:space="preserve">2020) and ASA version 1.0 </w:t>
      </w:r>
      <w:r w:rsidR="001C6635" w:rsidRPr="008D1A55">
        <w:t xml:space="preserve">succession </w:t>
      </w:r>
      <w:r w:rsidR="00033632" w:rsidRPr="008D1A55">
        <w:t xml:space="preserve">2 (dated 18 August 2021). At </w:t>
      </w:r>
      <w:r w:rsidR="001C6635" w:rsidRPr="008D1A55">
        <w:t xml:space="preserve">the third </w:t>
      </w:r>
      <w:r w:rsidR="00033632" w:rsidRPr="008D1A55">
        <w:t xml:space="preserve">round </w:t>
      </w:r>
      <w:r w:rsidR="001C6635" w:rsidRPr="008D1A55">
        <w:t xml:space="preserve">of evaluation, </w:t>
      </w:r>
      <w:r w:rsidR="00033632" w:rsidRPr="008D1A55">
        <w:t>the sponsor submitted EU-RMP version 1 succession 3 (dated 30</w:t>
      </w:r>
      <w:r w:rsidR="001C6635" w:rsidRPr="008D1A55">
        <w:t> </w:t>
      </w:r>
      <w:r w:rsidR="00033632" w:rsidRPr="008D1A55">
        <w:t>August 2021; DLP 19 March 2020) and ASA version 1.0 succession 3 (dated 22</w:t>
      </w:r>
      <w:r w:rsidR="001C6635" w:rsidRPr="008D1A55">
        <w:t> </w:t>
      </w:r>
      <w:r w:rsidR="00033632" w:rsidRPr="008D1A55">
        <w:t>October</w:t>
      </w:r>
      <w:r w:rsidR="001C6635" w:rsidRPr="008D1A55">
        <w:t> </w:t>
      </w:r>
      <w:r w:rsidR="00033632" w:rsidRPr="008D1A55">
        <w:t>2021).</w:t>
      </w:r>
    </w:p>
    <w:p w14:paraId="1AAE9DF9" w14:textId="47E7CB46" w:rsidR="0074163C" w:rsidRDefault="0074163C" w:rsidP="0074163C">
      <w:r w:rsidRPr="008D1A55">
        <w:t xml:space="preserve">The summary of safety concerns and their associated risk monitoring and mitigation strategies are summarised in </w:t>
      </w:r>
      <w:r w:rsidR="00720FF5" w:rsidRPr="008D1A55">
        <w:fldChar w:fldCharType="begin"/>
      </w:r>
      <w:r w:rsidR="00720FF5" w:rsidRPr="008D1A55">
        <w:instrText xml:space="preserve"> REF _Ref97629131 \h </w:instrText>
      </w:r>
      <w:r w:rsidR="005941D0" w:rsidRPr="008D1A55">
        <w:instrText xml:space="preserve"> \* MERGEFORMAT </w:instrText>
      </w:r>
      <w:r w:rsidR="00720FF5" w:rsidRPr="008D1A55">
        <w:fldChar w:fldCharType="separate"/>
      </w:r>
      <w:r w:rsidR="00D8723A" w:rsidRPr="008D1A55">
        <w:t xml:space="preserve">Table </w:t>
      </w:r>
      <w:r w:rsidR="00D8723A">
        <w:rPr>
          <w:noProof/>
        </w:rPr>
        <w:t>12</w:t>
      </w:r>
      <w:r w:rsidR="00720FF5" w:rsidRPr="008D1A55">
        <w:fldChar w:fldCharType="end"/>
      </w:r>
      <w:r w:rsidRPr="008D1A55">
        <w:t xml:space="preserve">. Further information regarding </w:t>
      </w:r>
      <w:r w:rsidR="00CC5044" w:rsidRPr="008D1A55">
        <w:t>the TGA</w:t>
      </w:r>
      <w:r w:rsidR="00BF7063" w:rsidRPr="008D1A55">
        <w:t>’</w:t>
      </w:r>
      <w:r w:rsidR="00CC5044" w:rsidRPr="008D1A55">
        <w:t>s r</w:t>
      </w:r>
      <w:r w:rsidRPr="008D1A55">
        <w:t xml:space="preserve">isk management approach can be found in </w:t>
      </w:r>
      <w:hyperlink r:id="rId21" w:history="1">
        <w:r w:rsidRPr="008D1A55">
          <w:rPr>
            <w:rStyle w:val="Hyperlink"/>
          </w:rPr>
          <w:t>risk management plans for medicines and biologicals</w:t>
        </w:r>
      </w:hyperlink>
      <w:r w:rsidRPr="008D1A55">
        <w:t xml:space="preserve"> and </w:t>
      </w:r>
      <w:hyperlink r:id="rId22" w:history="1">
        <w:r w:rsidRPr="008D1A55">
          <w:rPr>
            <w:rStyle w:val="Hyperlink"/>
          </w:rPr>
          <w:t>the TGA's risk management approach</w:t>
        </w:r>
      </w:hyperlink>
      <w:r w:rsidRPr="008D1A55">
        <w:t>.</w:t>
      </w:r>
    </w:p>
    <w:p w14:paraId="226E0F3A" w14:textId="77777777" w:rsidR="00914173" w:rsidRPr="008D1A55" w:rsidRDefault="00914173" w:rsidP="0074163C"/>
    <w:p w14:paraId="37EF0CDC" w14:textId="01A1B4DE" w:rsidR="0074163C" w:rsidRPr="008D1A55" w:rsidRDefault="0074163C" w:rsidP="0074163C">
      <w:pPr>
        <w:pStyle w:val="TableTitle"/>
      </w:pPr>
      <w:bookmarkStart w:id="84" w:name="_Ref97629131"/>
      <w:r w:rsidRPr="008D1A55">
        <w:lastRenderedPageBreak/>
        <w:t xml:space="preserve">Table </w:t>
      </w:r>
      <w:r w:rsidR="005675A0">
        <w:fldChar w:fldCharType="begin"/>
      </w:r>
      <w:r w:rsidR="005675A0">
        <w:instrText xml:space="preserve"> SEQ Table \* ARABIC </w:instrText>
      </w:r>
      <w:r w:rsidR="005675A0">
        <w:fldChar w:fldCharType="separate"/>
      </w:r>
      <w:r w:rsidR="00D8723A">
        <w:rPr>
          <w:noProof/>
        </w:rPr>
        <w:t>12</w:t>
      </w:r>
      <w:r w:rsidR="005675A0">
        <w:rPr>
          <w:noProof/>
        </w:rPr>
        <w:fldChar w:fldCharType="end"/>
      </w:r>
      <w:bookmarkEnd w:id="84"/>
      <w:r w:rsidRPr="008D1A55">
        <w:t>: Summary of safety concerns</w:t>
      </w:r>
    </w:p>
    <w:tbl>
      <w:tblPr>
        <w:tblStyle w:val="TableTGAblue"/>
        <w:tblW w:w="7787" w:type="dxa"/>
        <w:tblLayout w:type="fixed"/>
        <w:tblLook w:val="04A0" w:firstRow="1" w:lastRow="0" w:firstColumn="1" w:lastColumn="0" w:noHBand="0" w:noVBand="1"/>
      </w:tblPr>
      <w:tblGrid>
        <w:gridCol w:w="1550"/>
        <w:gridCol w:w="1984"/>
        <w:gridCol w:w="992"/>
        <w:gridCol w:w="1134"/>
        <w:gridCol w:w="993"/>
        <w:gridCol w:w="1134"/>
      </w:tblGrid>
      <w:tr w:rsidR="00033632" w:rsidRPr="008D1A55" w14:paraId="398CBE28" w14:textId="77777777" w:rsidTr="001C6635">
        <w:trPr>
          <w:cnfStyle w:val="100000000000" w:firstRow="1" w:lastRow="0" w:firstColumn="0" w:lastColumn="0" w:oddVBand="0" w:evenVBand="0" w:oddHBand="0" w:evenHBand="0" w:firstRowFirstColumn="0" w:firstRowLastColumn="0" w:lastRowFirstColumn="0" w:lastRowLastColumn="0"/>
          <w:trHeight w:val="131"/>
        </w:trPr>
        <w:tc>
          <w:tcPr>
            <w:tcW w:w="3534" w:type="dxa"/>
            <w:gridSpan w:val="2"/>
            <w:vMerge w:val="restart"/>
            <w:tcBorders>
              <w:top w:val="single" w:sz="8" w:space="0" w:color="auto"/>
              <w:left w:val="single" w:sz="8" w:space="0" w:color="auto"/>
              <w:bottom w:val="single" w:sz="8" w:space="0" w:color="auto"/>
              <w:right w:val="single" w:sz="8" w:space="0" w:color="auto"/>
            </w:tcBorders>
          </w:tcPr>
          <w:p w14:paraId="5DAE8EA5" w14:textId="77777777" w:rsidR="00033632" w:rsidRPr="008D1A55" w:rsidRDefault="00033632" w:rsidP="00033632">
            <w:pPr>
              <w:pStyle w:val="Tabletext"/>
              <w:ind w:left="0" w:right="0"/>
            </w:pPr>
            <w:r w:rsidRPr="008D1A55">
              <w:t>Summary of safety concerns</w:t>
            </w:r>
          </w:p>
        </w:tc>
        <w:tc>
          <w:tcPr>
            <w:tcW w:w="2126" w:type="dxa"/>
            <w:gridSpan w:val="2"/>
            <w:tcBorders>
              <w:top w:val="single" w:sz="8" w:space="0" w:color="auto"/>
              <w:left w:val="single" w:sz="8" w:space="0" w:color="auto"/>
              <w:bottom w:val="single" w:sz="8" w:space="0" w:color="auto"/>
              <w:right w:val="single" w:sz="8" w:space="0" w:color="auto"/>
            </w:tcBorders>
          </w:tcPr>
          <w:p w14:paraId="0CA34715" w14:textId="77777777" w:rsidR="00033632" w:rsidRPr="008D1A55" w:rsidRDefault="00033632" w:rsidP="00033632">
            <w:pPr>
              <w:pStyle w:val="Tabletext"/>
              <w:ind w:left="0" w:right="0"/>
              <w:rPr>
                <w:sz w:val="18"/>
              </w:rPr>
            </w:pPr>
            <w:r w:rsidRPr="008D1A55">
              <w:rPr>
                <w:sz w:val="18"/>
              </w:rPr>
              <w:t>Pharmacovigilance</w:t>
            </w:r>
          </w:p>
        </w:tc>
        <w:tc>
          <w:tcPr>
            <w:tcW w:w="2127" w:type="dxa"/>
            <w:gridSpan w:val="2"/>
            <w:tcBorders>
              <w:top w:val="single" w:sz="8" w:space="0" w:color="auto"/>
              <w:left w:val="single" w:sz="8" w:space="0" w:color="auto"/>
              <w:bottom w:val="single" w:sz="8" w:space="0" w:color="auto"/>
              <w:right w:val="single" w:sz="8" w:space="0" w:color="auto"/>
            </w:tcBorders>
          </w:tcPr>
          <w:p w14:paraId="6EEA9CC2" w14:textId="58B094E9" w:rsidR="00033632" w:rsidRPr="008D1A55" w:rsidRDefault="00033632" w:rsidP="00033632">
            <w:pPr>
              <w:pStyle w:val="Tabletext"/>
              <w:ind w:left="0" w:right="0"/>
              <w:rPr>
                <w:sz w:val="18"/>
              </w:rPr>
            </w:pPr>
            <w:r w:rsidRPr="008D1A55">
              <w:rPr>
                <w:sz w:val="18"/>
              </w:rPr>
              <w:t xml:space="preserve">Risk </w:t>
            </w:r>
            <w:r w:rsidR="001C6635" w:rsidRPr="008D1A55">
              <w:rPr>
                <w:sz w:val="18"/>
              </w:rPr>
              <w:t>m</w:t>
            </w:r>
            <w:r w:rsidRPr="008D1A55">
              <w:rPr>
                <w:sz w:val="18"/>
              </w:rPr>
              <w:t>inimisation</w:t>
            </w:r>
          </w:p>
        </w:tc>
      </w:tr>
      <w:tr w:rsidR="00033632" w:rsidRPr="008D1A55" w14:paraId="0053C629" w14:textId="77777777" w:rsidTr="001C6635">
        <w:trPr>
          <w:trHeight w:val="150"/>
        </w:trPr>
        <w:tc>
          <w:tcPr>
            <w:tcW w:w="3534" w:type="dxa"/>
            <w:gridSpan w:val="2"/>
            <w:vMerge/>
            <w:tcBorders>
              <w:top w:val="single" w:sz="8" w:space="0" w:color="auto"/>
              <w:left w:val="single" w:sz="8" w:space="0" w:color="auto"/>
              <w:bottom w:val="single" w:sz="8" w:space="0" w:color="auto"/>
              <w:right w:val="single" w:sz="8" w:space="0" w:color="auto"/>
            </w:tcBorders>
            <w:shd w:val="clear" w:color="auto" w:fill="006DA7"/>
          </w:tcPr>
          <w:p w14:paraId="6767CBC9" w14:textId="77777777" w:rsidR="00033632" w:rsidRPr="008D1A55" w:rsidRDefault="00033632" w:rsidP="00033632">
            <w:pPr>
              <w:pStyle w:val="Tabletext"/>
              <w:ind w:left="0" w:right="0"/>
              <w:rPr>
                <w:b/>
                <w:color w:val="FFFFFF" w:themeColor="background1"/>
              </w:rPr>
            </w:pPr>
          </w:p>
        </w:tc>
        <w:tc>
          <w:tcPr>
            <w:tcW w:w="992" w:type="dxa"/>
            <w:tcBorders>
              <w:top w:val="single" w:sz="8" w:space="0" w:color="auto"/>
              <w:left w:val="single" w:sz="8" w:space="0" w:color="auto"/>
              <w:bottom w:val="single" w:sz="8" w:space="0" w:color="auto"/>
              <w:right w:val="single" w:sz="8" w:space="0" w:color="auto"/>
            </w:tcBorders>
            <w:shd w:val="clear" w:color="auto" w:fill="006DA7"/>
          </w:tcPr>
          <w:p w14:paraId="1401D442" w14:textId="77777777" w:rsidR="00033632" w:rsidRPr="008D1A55" w:rsidRDefault="00033632" w:rsidP="00033632">
            <w:pPr>
              <w:pStyle w:val="Tabletext"/>
              <w:ind w:left="0" w:right="0"/>
              <w:rPr>
                <w:b/>
                <w:color w:val="FFFFFF" w:themeColor="background1"/>
                <w:sz w:val="18"/>
              </w:rPr>
            </w:pPr>
            <w:r w:rsidRPr="008D1A55">
              <w:rPr>
                <w:b/>
                <w:color w:val="FFFFFF" w:themeColor="background1"/>
                <w:sz w:val="18"/>
              </w:rPr>
              <w:t>Routine</w:t>
            </w:r>
          </w:p>
        </w:tc>
        <w:tc>
          <w:tcPr>
            <w:tcW w:w="1134" w:type="dxa"/>
            <w:tcBorders>
              <w:top w:val="single" w:sz="8" w:space="0" w:color="auto"/>
              <w:left w:val="single" w:sz="8" w:space="0" w:color="auto"/>
              <w:bottom w:val="single" w:sz="8" w:space="0" w:color="auto"/>
              <w:right w:val="single" w:sz="8" w:space="0" w:color="auto"/>
            </w:tcBorders>
            <w:shd w:val="clear" w:color="auto" w:fill="006DA7"/>
          </w:tcPr>
          <w:p w14:paraId="2538B395" w14:textId="77777777" w:rsidR="00033632" w:rsidRPr="008D1A55" w:rsidRDefault="00033632" w:rsidP="00033632">
            <w:pPr>
              <w:pStyle w:val="Tabletext"/>
              <w:ind w:left="0" w:right="0"/>
              <w:rPr>
                <w:b/>
                <w:color w:val="FFFFFF" w:themeColor="background1"/>
                <w:sz w:val="18"/>
              </w:rPr>
            </w:pPr>
            <w:r w:rsidRPr="008D1A55">
              <w:rPr>
                <w:b/>
                <w:color w:val="FFFFFF" w:themeColor="background1"/>
                <w:sz w:val="18"/>
              </w:rPr>
              <w:t>Additional</w:t>
            </w:r>
          </w:p>
        </w:tc>
        <w:tc>
          <w:tcPr>
            <w:tcW w:w="993" w:type="dxa"/>
            <w:tcBorders>
              <w:top w:val="single" w:sz="8" w:space="0" w:color="auto"/>
              <w:left w:val="single" w:sz="8" w:space="0" w:color="auto"/>
              <w:bottom w:val="single" w:sz="8" w:space="0" w:color="auto"/>
              <w:right w:val="single" w:sz="8" w:space="0" w:color="auto"/>
            </w:tcBorders>
            <w:shd w:val="clear" w:color="auto" w:fill="006DA7"/>
          </w:tcPr>
          <w:p w14:paraId="0B4E192C" w14:textId="77777777" w:rsidR="00033632" w:rsidRPr="008D1A55" w:rsidRDefault="00033632" w:rsidP="00033632">
            <w:pPr>
              <w:pStyle w:val="Tabletext"/>
              <w:ind w:left="0" w:right="0"/>
              <w:rPr>
                <w:b/>
                <w:color w:val="FFFFFF" w:themeColor="background1"/>
                <w:sz w:val="18"/>
              </w:rPr>
            </w:pPr>
            <w:r w:rsidRPr="008D1A55">
              <w:rPr>
                <w:b/>
                <w:color w:val="FFFFFF" w:themeColor="background1"/>
                <w:sz w:val="18"/>
              </w:rPr>
              <w:t>Routine</w:t>
            </w:r>
          </w:p>
        </w:tc>
        <w:tc>
          <w:tcPr>
            <w:tcW w:w="1134" w:type="dxa"/>
            <w:tcBorders>
              <w:top w:val="single" w:sz="8" w:space="0" w:color="auto"/>
              <w:left w:val="single" w:sz="8" w:space="0" w:color="auto"/>
              <w:bottom w:val="single" w:sz="8" w:space="0" w:color="auto"/>
              <w:right w:val="single" w:sz="8" w:space="0" w:color="auto"/>
            </w:tcBorders>
            <w:shd w:val="clear" w:color="auto" w:fill="006DA7"/>
          </w:tcPr>
          <w:p w14:paraId="4E286FBF" w14:textId="77777777" w:rsidR="00033632" w:rsidRPr="008D1A55" w:rsidRDefault="00033632" w:rsidP="00033632">
            <w:pPr>
              <w:pStyle w:val="Tabletext"/>
              <w:ind w:left="0" w:right="0"/>
              <w:rPr>
                <w:b/>
                <w:color w:val="FFFFFF" w:themeColor="background1"/>
                <w:sz w:val="18"/>
              </w:rPr>
            </w:pPr>
            <w:r w:rsidRPr="008D1A55">
              <w:rPr>
                <w:b/>
                <w:color w:val="FFFFFF" w:themeColor="background1"/>
                <w:sz w:val="18"/>
              </w:rPr>
              <w:t>Additional</w:t>
            </w:r>
          </w:p>
        </w:tc>
      </w:tr>
      <w:tr w:rsidR="00033632" w:rsidRPr="008D1A55" w14:paraId="5C81A43D" w14:textId="77777777" w:rsidTr="001C6635">
        <w:trPr>
          <w:trHeight w:val="137"/>
        </w:trPr>
        <w:tc>
          <w:tcPr>
            <w:tcW w:w="1550" w:type="dxa"/>
            <w:tcBorders>
              <w:top w:val="single" w:sz="8" w:space="0" w:color="auto"/>
            </w:tcBorders>
          </w:tcPr>
          <w:p w14:paraId="28E5C938" w14:textId="77777777" w:rsidR="00033632" w:rsidRPr="008D1A55" w:rsidRDefault="00033632" w:rsidP="00033632">
            <w:pPr>
              <w:pStyle w:val="Tabletext"/>
              <w:ind w:left="0" w:right="0"/>
              <w:rPr>
                <w:b/>
              </w:rPr>
            </w:pPr>
            <w:r w:rsidRPr="008D1A55">
              <w:rPr>
                <w:b/>
              </w:rPr>
              <w:t>Important identified risks</w:t>
            </w:r>
          </w:p>
        </w:tc>
        <w:tc>
          <w:tcPr>
            <w:tcW w:w="1984" w:type="dxa"/>
            <w:tcBorders>
              <w:top w:val="single" w:sz="8" w:space="0" w:color="auto"/>
            </w:tcBorders>
          </w:tcPr>
          <w:p w14:paraId="12653746" w14:textId="518A9D86" w:rsidR="00033632" w:rsidRPr="008D1A55" w:rsidRDefault="00033632" w:rsidP="00033632">
            <w:pPr>
              <w:pStyle w:val="Tabletext"/>
              <w:ind w:left="0" w:right="0"/>
            </w:pPr>
            <w:r w:rsidRPr="008D1A55">
              <w:t xml:space="preserve">Herpes </w:t>
            </w:r>
            <w:r w:rsidR="001C6635" w:rsidRPr="008D1A55">
              <w:t>z</w:t>
            </w:r>
            <w:r w:rsidRPr="008D1A55">
              <w:t>oster</w:t>
            </w:r>
          </w:p>
        </w:tc>
        <w:tc>
          <w:tcPr>
            <w:tcW w:w="992" w:type="dxa"/>
            <w:tcBorders>
              <w:top w:val="single" w:sz="8" w:space="0" w:color="auto"/>
            </w:tcBorders>
          </w:tcPr>
          <w:p w14:paraId="500636B2" w14:textId="77777777" w:rsidR="00033632" w:rsidRPr="008D1A55" w:rsidRDefault="00033632" w:rsidP="00033632">
            <w:pPr>
              <w:pStyle w:val="Tabletext"/>
              <w:ind w:left="0" w:right="0"/>
              <w:jc w:val="center"/>
            </w:pPr>
            <w:r w:rsidRPr="008D1A55">
              <w:sym w:font="Wingdings" w:char="F0FC"/>
            </w:r>
          </w:p>
        </w:tc>
        <w:tc>
          <w:tcPr>
            <w:tcW w:w="1134" w:type="dxa"/>
            <w:tcBorders>
              <w:top w:val="single" w:sz="8" w:space="0" w:color="auto"/>
            </w:tcBorders>
          </w:tcPr>
          <w:p w14:paraId="196D2255" w14:textId="77777777" w:rsidR="00033632" w:rsidRPr="008D1A55" w:rsidRDefault="00033632" w:rsidP="00033632">
            <w:pPr>
              <w:pStyle w:val="Tabletext"/>
              <w:ind w:left="0" w:right="0"/>
              <w:jc w:val="center"/>
            </w:pPr>
            <w:r w:rsidRPr="008D1A55">
              <w:t>–</w:t>
            </w:r>
          </w:p>
        </w:tc>
        <w:tc>
          <w:tcPr>
            <w:tcW w:w="993" w:type="dxa"/>
            <w:tcBorders>
              <w:top w:val="single" w:sz="8" w:space="0" w:color="auto"/>
            </w:tcBorders>
          </w:tcPr>
          <w:p w14:paraId="0ACADE4A" w14:textId="77777777" w:rsidR="00033632" w:rsidRPr="008D1A55" w:rsidRDefault="00033632" w:rsidP="00033632">
            <w:pPr>
              <w:pStyle w:val="Tabletext"/>
              <w:ind w:left="0" w:right="0"/>
              <w:jc w:val="center"/>
            </w:pPr>
            <w:r w:rsidRPr="008D1A55">
              <w:sym w:font="Wingdings" w:char="F0FC"/>
            </w:r>
          </w:p>
        </w:tc>
        <w:tc>
          <w:tcPr>
            <w:tcW w:w="1134" w:type="dxa"/>
            <w:tcBorders>
              <w:top w:val="single" w:sz="8" w:space="0" w:color="auto"/>
            </w:tcBorders>
          </w:tcPr>
          <w:p w14:paraId="23BE7455" w14:textId="77777777" w:rsidR="00033632" w:rsidRPr="008D1A55" w:rsidRDefault="00033632" w:rsidP="00033632">
            <w:pPr>
              <w:pStyle w:val="Tabletext"/>
              <w:ind w:left="0" w:right="0"/>
              <w:jc w:val="center"/>
            </w:pPr>
            <w:r w:rsidRPr="008D1A55">
              <w:t>–</w:t>
            </w:r>
          </w:p>
        </w:tc>
      </w:tr>
      <w:tr w:rsidR="00033632" w:rsidRPr="008D1A55" w14:paraId="60C1C937" w14:textId="77777777" w:rsidTr="001C6635">
        <w:trPr>
          <w:trHeight w:val="159"/>
        </w:trPr>
        <w:tc>
          <w:tcPr>
            <w:tcW w:w="1550" w:type="dxa"/>
            <w:vMerge w:val="restart"/>
          </w:tcPr>
          <w:p w14:paraId="74869D4F" w14:textId="77777777" w:rsidR="00033632" w:rsidRPr="008D1A55" w:rsidRDefault="00033632" w:rsidP="00033632">
            <w:pPr>
              <w:pStyle w:val="Tabletext"/>
              <w:ind w:left="0" w:right="0"/>
              <w:rPr>
                <w:b/>
              </w:rPr>
            </w:pPr>
            <w:r w:rsidRPr="008D1A55">
              <w:rPr>
                <w:b/>
              </w:rPr>
              <w:t>Important potential risks</w:t>
            </w:r>
          </w:p>
        </w:tc>
        <w:tc>
          <w:tcPr>
            <w:tcW w:w="1984" w:type="dxa"/>
          </w:tcPr>
          <w:p w14:paraId="6B4DE824" w14:textId="77777777" w:rsidR="00033632" w:rsidRPr="008D1A55" w:rsidRDefault="00033632" w:rsidP="00033632">
            <w:pPr>
              <w:pStyle w:val="Tabletext"/>
              <w:ind w:left="0" w:right="0"/>
            </w:pPr>
            <w:r w:rsidRPr="008D1A55">
              <w:t>Malignancy</w:t>
            </w:r>
          </w:p>
        </w:tc>
        <w:tc>
          <w:tcPr>
            <w:tcW w:w="992" w:type="dxa"/>
          </w:tcPr>
          <w:p w14:paraId="26CFA471" w14:textId="77777777" w:rsidR="00033632" w:rsidRPr="008D1A55" w:rsidRDefault="00033632" w:rsidP="00033632">
            <w:pPr>
              <w:pStyle w:val="Tabletext"/>
              <w:ind w:left="0" w:right="0"/>
              <w:jc w:val="center"/>
            </w:pPr>
            <w:r w:rsidRPr="008D1A55">
              <w:sym w:font="Wingdings" w:char="F0FC"/>
            </w:r>
            <w:r w:rsidRPr="008D1A55">
              <w:t>*</w:t>
            </w:r>
          </w:p>
        </w:tc>
        <w:tc>
          <w:tcPr>
            <w:tcW w:w="1134" w:type="dxa"/>
          </w:tcPr>
          <w:p w14:paraId="06E4442B" w14:textId="77777777" w:rsidR="00033632" w:rsidRPr="008D1A55" w:rsidRDefault="00033632" w:rsidP="00033632">
            <w:pPr>
              <w:pStyle w:val="Tabletext"/>
              <w:ind w:left="0" w:right="0"/>
              <w:jc w:val="center"/>
            </w:pPr>
            <w:r w:rsidRPr="008D1A55">
              <w:sym w:font="Wingdings" w:char="F0FC"/>
            </w:r>
            <w:r w:rsidRPr="008D1A55">
              <w:t>‡</w:t>
            </w:r>
          </w:p>
        </w:tc>
        <w:tc>
          <w:tcPr>
            <w:tcW w:w="993" w:type="dxa"/>
          </w:tcPr>
          <w:p w14:paraId="7E17D32D" w14:textId="77777777" w:rsidR="00033632" w:rsidRPr="008D1A55" w:rsidRDefault="00033632" w:rsidP="00033632">
            <w:pPr>
              <w:pStyle w:val="Tabletext"/>
              <w:ind w:left="0" w:right="0"/>
              <w:jc w:val="center"/>
            </w:pPr>
            <w:r w:rsidRPr="008D1A55">
              <w:sym w:font="Wingdings" w:char="F0FC"/>
            </w:r>
          </w:p>
        </w:tc>
        <w:tc>
          <w:tcPr>
            <w:tcW w:w="1134" w:type="dxa"/>
          </w:tcPr>
          <w:p w14:paraId="730D4FF8" w14:textId="77777777" w:rsidR="00033632" w:rsidRPr="008D1A55" w:rsidRDefault="00033632" w:rsidP="00033632">
            <w:pPr>
              <w:pStyle w:val="Tabletext"/>
              <w:ind w:left="0" w:right="0"/>
              <w:jc w:val="center"/>
            </w:pPr>
            <w:r w:rsidRPr="008D1A55">
              <w:t>–</w:t>
            </w:r>
          </w:p>
        </w:tc>
      </w:tr>
      <w:tr w:rsidR="00033632" w:rsidRPr="008D1A55" w14:paraId="55CD8167" w14:textId="77777777" w:rsidTr="001C6635">
        <w:trPr>
          <w:trHeight w:val="159"/>
        </w:trPr>
        <w:tc>
          <w:tcPr>
            <w:tcW w:w="1550" w:type="dxa"/>
            <w:vMerge/>
          </w:tcPr>
          <w:p w14:paraId="05512105" w14:textId="77777777" w:rsidR="00033632" w:rsidRPr="008D1A55" w:rsidRDefault="00033632" w:rsidP="00033632">
            <w:pPr>
              <w:pStyle w:val="Tabletext"/>
              <w:ind w:left="0" w:right="0"/>
              <w:rPr>
                <w:b/>
              </w:rPr>
            </w:pPr>
          </w:p>
        </w:tc>
        <w:tc>
          <w:tcPr>
            <w:tcW w:w="1984" w:type="dxa"/>
          </w:tcPr>
          <w:p w14:paraId="146C6EB9" w14:textId="77777777" w:rsidR="00033632" w:rsidRPr="008D1A55" w:rsidRDefault="00033632" w:rsidP="00033632">
            <w:pPr>
              <w:pStyle w:val="Tabletext"/>
              <w:ind w:left="0" w:right="0"/>
            </w:pPr>
            <w:r w:rsidRPr="008D1A55">
              <w:t>Serious infection</w:t>
            </w:r>
          </w:p>
        </w:tc>
        <w:tc>
          <w:tcPr>
            <w:tcW w:w="992" w:type="dxa"/>
          </w:tcPr>
          <w:p w14:paraId="1EE061A3" w14:textId="77777777" w:rsidR="00033632" w:rsidRPr="008D1A55" w:rsidRDefault="00033632" w:rsidP="00033632">
            <w:pPr>
              <w:pStyle w:val="Tabletext"/>
              <w:ind w:left="0" w:right="0"/>
              <w:jc w:val="center"/>
            </w:pPr>
            <w:r w:rsidRPr="008D1A55">
              <w:sym w:font="Wingdings" w:char="F0FC"/>
            </w:r>
          </w:p>
        </w:tc>
        <w:tc>
          <w:tcPr>
            <w:tcW w:w="1134" w:type="dxa"/>
          </w:tcPr>
          <w:p w14:paraId="210E670F" w14:textId="77777777" w:rsidR="00033632" w:rsidRPr="008D1A55" w:rsidRDefault="00033632" w:rsidP="00033632">
            <w:pPr>
              <w:pStyle w:val="Tabletext"/>
              <w:ind w:left="0" w:right="0"/>
              <w:jc w:val="center"/>
            </w:pPr>
            <w:r w:rsidRPr="008D1A55">
              <w:rPr>
                <w:color w:val="7030A0"/>
              </w:rPr>
              <w:sym w:font="Wingdings" w:char="F0FC"/>
            </w:r>
            <w:r w:rsidRPr="008D1A55">
              <w:rPr>
                <w:color w:val="7030A0"/>
              </w:rPr>
              <w:t>‡</w:t>
            </w:r>
          </w:p>
        </w:tc>
        <w:tc>
          <w:tcPr>
            <w:tcW w:w="993" w:type="dxa"/>
          </w:tcPr>
          <w:p w14:paraId="409470CF" w14:textId="77777777" w:rsidR="00033632" w:rsidRPr="008D1A55" w:rsidRDefault="00033632" w:rsidP="00033632">
            <w:pPr>
              <w:pStyle w:val="Tabletext"/>
              <w:ind w:left="0" w:right="0"/>
              <w:jc w:val="center"/>
            </w:pPr>
            <w:r w:rsidRPr="008D1A55">
              <w:sym w:font="Wingdings" w:char="F0FC"/>
            </w:r>
          </w:p>
        </w:tc>
        <w:tc>
          <w:tcPr>
            <w:tcW w:w="1134" w:type="dxa"/>
          </w:tcPr>
          <w:p w14:paraId="19B87E2F" w14:textId="77777777" w:rsidR="00033632" w:rsidRPr="008D1A55" w:rsidRDefault="00033632" w:rsidP="00033632">
            <w:pPr>
              <w:pStyle w:val="Tabletext"/>
              <w:ind w:left="0" w:right="0"/>
              <w:jc w:val="center"/>
            </w:pPr>
            <w:r w:rsidRPr="008D1A55">
              <w:t>–</w:t>
            </w:r>
          </w:p>
        </w:tc>
      </w:tr>
      <w:tr w:rsidR="00033632" w:rsidRPr="008D1A55" w14:paraId="6139D19B" w14:textId="77777777" w:rsidTr="001C6635">
        <w:trPr>
          <w:trHeight w:val="178"/>
        </w:trPr>
        <w:tc>
          <w:tcPr>
            <w:tcW w:w="1550" w:type="dxa"/>
            <w:vMerge w:val="restart"/>
          </w:tcPr>
          <w:p w14:paraId="47EA2C53" w14:textId="77777777" w:rsidR="00033632" w:rsidRPr="008D1A55" w:rsidRDefault="00033632" w:rsidP="00033632">
            <w:pPr>
              <w:pStyle w:val="Tabletext"/>
              <w:ind w:left="0" w:right="0"/>
              <w:rPr>
                <w:b/>
              </w:rPr>
            </w:pPr>
            <w:r w:rsidRPr="008D1A55">
              <w:rPr>
                <w:b/>
              </w:rPr>
              <w:t>Missing information</w:t>
            </w:r>
          </w:p>
        </w:tc>
        <w:tc>
          <w:tcPr>
            <w:tcW w:w="1984" w:type="dxa"/>
          </w:tcPr>
          <w:p w14:paraId="7DB3592B" w14:textId="77777777" w:rsidR="00033632" w:rsidRPr="008D1A55" w:rsidRDefault="00033632" w:rsidP="00033632">
            <w:pPr>
              <w:pStyle w:val="Tabletext"/>
              <w:ind w:left="0" w:right="0"/>
            </w:pPr>
            <w:r w:rsidRPr="008D1A55">
              <w:t>Use in pregnant and breastfeeding women</w:t>
            </w:r>
          </w:p>
        </w:tc>
        <w:tc>
          <w:tcPr>
            <w:tcW w:w="992" w:type="dxa"/>
          </w:tcPr>
          <w:p w14:paraId="6470D1D6" w14:textId="77777777" w:rsidR="00033632" w:rsidRPr="008D1A55" w:rsidRDefault="00033632" w:rsidP="00033632">
            <w:pPr>
              <w:pStyle w:val="Tabletext"/>
              <w:ind w:left="0" w:right="0"/>
              <w:jc w:val="center"/>
            </w:pPr>
            <w:r w:rsidRPr="008D1A55">
              <w:sym w:font="Wingdings" w:char="F0FC"/>
            </w:r>
          </w:p>
        </w:tc>
        <w:tc>
          <w:tcPr>
            <w:tcW w:w="1134" w:type="dxa"/>
          </w:tcPr>
          <w:p w14:paraId="572EEB76" w14:textId="77777777" w:rsidR="00033632" w:rsidRPr="008D1A55" w:rsidRDefault="00033632" w:rsidP="00033632">
            <w:pPr>
              <w:pStyle w:val="Tabletext"/>
              <w:ind w:left="0" w:right="0"/>
              <w:jc w:val="center"/>
            </w:pPr>
            <w:r w:rsidRPr="008D1A55">
              <w:sym w:font="Wingdings" w:char="F0FC"/>
            </w:r>
            <w:r w:rsidRPr="008D1A55">
              <w:t xml:space="preserve"> </w:t>
            </w:r>
            <w:r w:rsidRPr="008D1A55">
              <w:rPr>
                <w:rFonts w:asciiTheme="majorHAnsi" w:hAnsiTheme="majorHAnsi"/>
                <w:szCs w:val="20"/>
              </w:rPr>
              <w:t>†</w:t>
            </w:r>
          </w:p>
        </w:tc>
        <w:tc>
          <w:tcPr>
            <w:tcW w:w="993" w:type="dxa"/>
          </w:tcPr>
          <w:p w14:paraId="3E0BFD36" w14:textId="77777777" w:rsidR="00033632" w:rsidRPr="008D1A55" w:rsidRDefault="00033632" w:rsidP="00033632">
            <w:pPr>
              <w:pStyle w:val="Tabletext"/>
              <w:ind w:left="0" w:right="0"/>
              <w:jc w:val="center"/>
            </w:pPr>
            <w:r w:rsidRPr="008D1A55">
              <w:sym w:font="Wingdings" w:char="F0FC"/>
            </w:r>
          </w:p>
        </w:tc>
        <w:tc>
          <w:tcPr>
            <w:tcW w:w="1134" w:type="dxa"/>
          </w:tcPr>
          <w:p w14:paraId="6CFDD74F" w14:textId="77777777" w:rsidR="00033632" w:rsidRPr="008D1A55" w:rsidRDefault="00033632" w:rsidP="00033632">
            <w:pPr>
              <w:pStyle w:val="Tabletext"/>
              <w:ind w:left="0" w:right="0"/>
              <w:jc w:val="center"/>
            </w:pPr>
            <w:r w:rsidRPr="008D1A55">
              <w:t>–</w:t>
            </w:r>
          </w:p>
        </w:tc>
      </w:tr>
      <w:tr w:rsidR="00033632" w:rsidRPr="008D1A55" w14:paraId="3CF76640" w14:textId="77777777" w:rsidTr="001C6635">
        <w:trPr>
          <w:trHeight w:val="140"/>
        </w:trPr>
        <w:tc>
          <w:tcPr>
            <w:tcW w:w="1550" w:type="dxa"/>
            <w:vMerge/>
          </w:tcPr>
          <w:p w14:paraId="022B1455" w14:textId="77777777" w:rsidR="00033632" w:rsidRPr="008D1A55" w:rsidRDefault="00033632" w:rsidP="00033632">
            <w:pPr>
              <w:pStyle w:val="Tabletext"/>
              <w:ind w:left="0" w:right="0"/>
            </w:pPr>
          </w:p>
        </w:tc>
        <w:tc>
          <w:tcPr>
            <w:tcW w:w="1984" w:type="dxa"/>
          </w:tcPr>
          <w:p w14:paraId="49B7BF5E" w14:textId="77777777" w:rsidR="00033632" w:rsidRPr="008D1A55" w:rsidRDefault="00033632" w:rsidP="00033632">
            <w:pPr>
              <w:pStyle w:val="Tabletext"/>
              <w:ind w:left="0" w:right="0"/>
            </w:pPr>
            <w:r w:rsidRPr="008D1A55">
              <w:t>Effects on responses to inactivated vaccines</w:t>
            </w:r>
          </w:p>
        </w:tc>
        <w:tc>
          <w:tcPr>
            <w:tcW w:w="992" w:type="dxa"/>
          </w:tcPr>
          <w:p w14:paraId="293565B9" w14:textId="77777777" w:rsidR="00033632" w:rsidRPr="008D1A55" w:rsidRDefault="00033632" w:rsidP="00033632">
            <w:pPr>
              <w:pStyle w:val="Tabletext"/>
              <w:ind w:left="0" w:right="0"/>
              <w:jc w:val="center"/>
            </w:pPr>
            <w:r w:rsidRPr="008D1A55">
              <w:sym w:font="Wingdings" w:char="F0FC"/>
            </w:r>
          </w:p>
        </w:tc>
        <w:tc>
          <w:tcPr>
            <w:tcW w:w="1134" w:type="dxa"/>
          </w:tcPr>
          <w:p w14:paraId="008C3C42" w14:textId="77777777" w:rsidR="00033632" w:rsidRPr="008D1A55" w:rsidRDefault="00033632" w:rsidP="00033632">
            <w:pPr>
              <w:pStyle w:val="Tabletext"/>
              <w:ind w:left="0" w:right="0"/>
              <w:jc w:val="center"/>
            </w:pPr>
            <w:r w:rsidRPr="008D1A55">
              <w:sym w:font="Wingdings" w:char="F0FC"/>
            </w:r>
            <w:r w:rsidRPr="008D1A55">
              <w:t>‡</w:t>
            </w:r>
          </w:p>
        </w:tc>
        <w:tc>
          <w:tcPr>
            <w:tcW w:w="993" w:type="dxa"/>
          </w:tcPr>
          <w:p w14:paraId="1EF05F7C" w14:textId="77777777" w:rsidR="00033632" w:rsidRPr="008D1A55" w:rsidRDefault="00033632" w:rsidP="00033632">
            <w:pPr>
              <w:pStyle w:val="Tabletext"/>
              <w:ind w:left="0" w:right="0"/>
              <w:jc w:val="center"/>
            </w:pPr>
            <w:r w:rsidRPr="008D1A55">
              <w:sym w:font="Wingdings" w:char="F0FC"/>
            </w:r>
          </w:p>
        </w:tc>
        <w:tc>
          <w:tcPr>
            <w:tcW w:w="1134" w:type="dxa"/>
          </w:tcPr>
          <w:p w14:paraId="068BD1AC" w14:textId="77777777" w:rsidR="00033632" w:rsidRPr="008D1A55" w:rsidRDefault="00033632" w:rsidP="00033632">
            <w:pPr>
              <w:pStyle w:val="Tabletext"/>
              <w:ind w:left="0" w:right="0"/>
              <w:jc w:val="center"/>
            </w:pPr>
            <w:r w:rsidRPr="008D1A55">
              <w:t>–</w:t>
            </w:r>
          </w:p>
        </w:tc>
      </w:tr>
    </w:tbl>
    <w:p w14:paraId="63051419" w14:textId="77777777" w:rsidR="00033632" w:rsidRPr="008D1A55" w:rsidRDefault="00033632" w:rsidP="00033632">
      <w:pPr>
        <w:pStyle w:val="TableDescription"/>
      </w:pPr>
      <w:r w:rsidRPr="008D1A55">
        <w:t>* Follow-up questionnaires</w:t>
      </w:r>
    </w:p>
    <w:p w14:paraId="54E0E46A" w14:textId="77777777" w:rsidR="00033632" w:rsidRPr="008D1A55" w:rsidRDefault="00033632" w:rsidP="00033632">
      <w:pPr>
        <w:pStyle w:val="TableDescription"/>
      </w:pPr>
      <w:r w:rsidRPr="008D1A55">
        <w:t>† Drug utilisation study</w:t>
      </w:r>
    </w:p>
    <w:p w14:paraId="52A78E79" w14:textId="77777777" w:rsidR="00033632" w:rsidRPr="008D1A55" w:rsidRDefault="00033632" w:rsidP="00033632">
      <w:pPr>
        <w:pStyle w:val="TableDescription"/>
      </w:pPr>
      <w:r w:rsidRPr="008D1A55">
        <w:t>‡ Clinical trials</w:t>
      </w:r>
    </w:p>
    <w:p w14:paraId="01119B3E" w14:textId="4726D2D6" w:rsidR="00033632" w:rsidRPr="008D1A55" w:rsidRDefault="00033632" w:rsidP="00033632">
      <w:pPr>
        <w:pStyle w:val="ListBullet"/>
      </w:pPr>
      <w:r w:rsidRPr="008D1A55">
        <w:t xml:space="preserve">The summary of safety concerns included the important potential risk ‘malignancy’ and the missing information ‘Use in pregnant and breastfeeding women’ at </w:t>
      </w:r>
      <w:r w:rsidR="001C6635" w:rsidRPr="008D1A55">
        <w:t xml:space="preserve">the first </w:t>
      </w:r>
      <w:r w:rsidRPr="008D1A55">
        <w:t xml:space="preserve">round </w:t>
      </w:r>
      <w:r w:rsidR="001C6635" w:rsidRPr="008D1A55">
        <w:t>of evaluation</w:t>
      </w:r>
      <w:r w:rsidRPr="008D1A55">
        <w:t xml:space="preserve">. The sponsor was requested but did not agree to add ‘Safety in indigenous Australians’, ‘Use in patients 65 years and older’ and ‘Use in patients with lupus nephritis, severe renal impairment or end stage renal disease’ as missing information, with adequate justification at </w:t>
      </w:r>
      <w:r w:rsidR="00573125" w:rsidRPr="008D1A55">
        <w:t>the second round of evaluation</w:t>
      </w:r>
      <w:r w:rsidRPr="008D1A55">
        <w:t>. The important identified risk of ‘</w:t>
      </w:r>
      <w:r w:rsidR="00573125" w:rsidRPr="008D1A55">
        <w:t>herpes zoster</w:t>
      </w:r>
      <w:r w:rsidRPr="008D1A55">
        <w:t>’, the important potential risk of ‘</w:t>
      </w:r>
      <w:r w:rsidR="00573125" w:rsidRPr="008D1A55">
        <w:t>serious infection’</w:t>
      </w:r>
      <w:r w:rsidRPr="008D1A55">
        <w:t xml:space="preserve"> and the missing information ‘</w:t>
      </w:r>
      <w:r w:rsidR="00573125" w:rsidRPr="008D1A55">
        <w:t xml:space="preserve">effects on responses to inactivated viruses’ </w:t>
      </w:r>
      <w:r w:rsidRPr="008D1A55">
        <w:t xml:space="preserve">were added at </w:t>
      </w:r>
      <w:r w:rsidR="00573125" w:rsidRPr="008D1A55">
        <w:t xml:space="preserve">second </w:t>
      </w:r>
      <w:r w:rsidRPr="008D1A55">
        <w:t xml:space="preserve">round </w:t>
      </w:r>
      <w:r w:rsidR="00573125" w:rsidRPr="008D1A55">
        <w:t>of evaluation</w:t>
      </w:r>
      <w:r w:rsidRPr="008D1A55">
        <w:t xml:space="preserve"> to align with the EU-RMP. The summary of safety concerns is acceptable.</w:t>
      </w:r>
    </w:p>
    <w:p w14:paraId="1B7D407D" w14:textId="648EB19A" w:rsidR="00033632" w:rsidRPr="008D1A55" w:rsidRDefault="00033632" w:rsidP="00033632">
      <w:pPr>
        <w:pStyle w:val="ListBullet"/>
      </w:pPr>
      <w:r w:rsidRPr="008D1A55">
        <w:t xml:space="preserve">Routine pharmacovigilance has been included for all safety concerns and this has been clarified in the ASA. Follow up questionnaires were proposed for malignancy and pregnancy at </w:t>
      </w:r>
      <w:r w:rsidR="00C7552C" w:rsidRPr="008D1A55">
        <w:t xml:space="preserve">the first </w:t>
      </w:r>
      <w:r w:rsidRPr="008D1A55">
        <w:t xml:space="preserve">round </w:t>
      </w:r>
      <w:r w:rsidR="00C7552C" w:rsidRPr="008D1A55">
        <w:t xml:space="preserve">of </w:t>
      </w:r>
      <w:proofErr w:type="gramStart"/>
      <w:r w:rsidR="00C7552C" w:rsidRPr="008D1A55">
        <w:t>evaluation</w:t>
      </w:r>
      <w:r w:rsidRPr="008D1A55">
        <w:t>,</w:t>
      </w:r>
      <w:proofErr w:type="gramEnd"/>
      <w:r w:rsidRPr="008D1A55">
        <w:t xml:space="preserve"> however the pregnancy questionnaire was removed at </w:t>
      </w:r>
      <w:r w:rsidR="00C7552C" w:rsidRPr="008D1A55">
        <w:t xml:space="preserve">the </w:t>
      </w:r>
      <w:r w:rsidR="00454E89" w:rsidRPr="008D1A55">
        <w:t>second</w:t>
      </w:r>
      <w:r w:rsidR="00C7552C" w:rsidRPr="008D1A55">
        <w:t xml:space="preserve"> round of evaluation</w:t>
      </w:r>
      <w:r w:rsidRPr="008D1A55">
        <w:t xml:space="preserve">. Additional pharmacovigilance was included for the important potential risk of malignancy and for missing information. At </w:t>
      </w:r>
      <w:r w:rsidR="00454E89" w:rsidRPr="008D1A55">
        <w:t>the third round of evaluation,</w:t>
      </w:r>
      <w:r w:rsidRPr="008D1A55">
        <w:t xml:space="preserve"> the sponsor included additional pharmacovigilance for the important potential risk of serious infection and provided further details of the planned pregnancy study. The pharmacovigilance plan is acceptable.</w:t>
      </w:r>
    </w:p>
    <w:p w14:paraId="0502284B" w14:textId="113B2F64" w:rsidR="00033632" w:rsidRPr="008D1A55" w:rsidRDefault="00033632" w:rsidP="00033632">
      <w:pPr>
        <w:pStyle w:val="ListBullet"/>
      </w:pPr>
      <w:r w:rsidRPr="008D1A55">
        <w:t xml:space="preserve">Routine risk minimisation activities have been proposed for all safety concerns, however at </w:t>
      </w:r>
      <w:r w:rsidR="00454E89" w:rsidRPr="008D1A55">
        <w:t xml:space="preserve">the second round of evaluation, </w:t>
      </w:r>
      <w:r w:rsidRPr="008D1A55">
        <w:t>the sponsor was requested to clarify which activities are being carried out for the missing information ‘</w:t>
      </w:r>
      <w:r w:rsidR="00454E89" w:rsidRPr="008D1A55">
        <w:t xml:space="preserve">effects on responses to inactivated </w:t>
      </w:r>
      <w:proofErr w:type="gramStart"/>
      <w:r w:rsidR="00454E89" w:rsidRPr="008D1A55">
        <w:t>vaccines’</w:t>
      </w:r>
      <w:proofErr w:type="gramEnd"/>
      <w:r w:rsidRPr="008D1A55">
        <w:t xml:space="preserve">. In response, the sponsor has amended the vaccination warning in </w:t>
      </w:r>
      <w:r w:rsidR="00454E89" w:rsidRPr="008D1A55">
        <w:t xml:space="preserve">Section </w:t>
      </w:r>
      <w:r w:rsidRPr="008D1A55">
        <w:t xml:space="preserve">4.4 of the </w:t>
      </w:r>
      <w:r w:rsidR="001E36A6" w:rsidRPr="008D1A55">
        <w:t>Product Information (</w:t>
      </w:r>
      <w:r w:rsidRPr="008D1A55">
        <w:t>PI</w:t>
      </w:r>
      <w:r w:rsidR="001E36A6" w:rsidRPr="008D1A55">
        <w:t>)</w:t>
      </w:r>
      <w:r w:rsidRPr="008D1A55">
        <w:t xml:space="preserve"> to include all vaccines and updated the ASA accordingly. The sponsor did not agree to additional risk minimisation for herpes zoster and serious infections at </w:t>
      </w:r>
      <w:r w:rsidR="00454E89" w:rsidRPr="008D1A55">
        <w:t xml:space="preserve">the third </w:t>
      </w:r>
      <w:r w:rsidRPr="008D1A55">
        <w:t xml:space="preserve">round </w:t>
      </w:r>
      <w:r w:rsidR="00454E89" w:rsidRPr="008D1A55">
        <w:t>of evaluation</w:t>
      </w:r>
      <w:r w:rsidRPr="008D1A55">
        <w:t xml:space="preserve">, however additional warnings have been added to the PI for herpes zoster, and an additional pharmacovigilance study has been included for serious infections. The sponsor also did not agree to add a warning on urinary tract infections to the </w:t>
      </w:r>
      <w:r w:rsidR="001E36A6" w:rsidRPr="008D1A55">
        <w:t xml:space="preserve">Consumer Medicines Information (CMI) </w:t>
      </w:r>
      <w:r w:rsidRPr="008D1A55">
        <w:t>with adequate justification. The risk minimisation plan is acceptable from an RMP perspective.</w:t>
      </w:r>
    </w:p>
    <w:p w14:paraId="6F712F73" w14:textId="77777777" w:rsidR="008E7846" w:rsidRPr="008D1A55" w:rsidRDefault="00AA0ED0" w:rsidP="008E7846">
      <w:pPr>
        <w:pStyle w:val="Heading3"/>
      </w:pPr>
      <w:bookmarkStart w:id="85" w:name="_Toc117166183"/>
      <w:r w:rsidRPr="008D1A55">
        <w:lastRenderedPageBreak/>
        <w:t>Risk-benefit a</w:t>
      </w:r>
      <w:r w:rsidR="008E7846" w:rsidRPr="008D1A55">
        <w:t>nalysis</w:t>
      </w:r>
      <w:bookmarkEnd w:id="80"/>
      <w:bookmarkEnd w:id="81"/>
      <w:bookmarkEnd w:id="85"/>
    </w:p>
    <w:p w14:paraId="64362F5C" w14:textId="77777777" w:rsidR="0074163C" w:rsidRPr="008D1A55" w:rsidRDefault="0074163C" w:rsidP="0074163C">
      <w:pPr>
        <w:pStyle w:val="Heading4"/>
      </w:pPr>
      <w:bookmarkStart w:id="86" w:name="_Toc98931932"/>
      <w:r w:rsidRPr="008D1A55">
        <w:t>Delegate’s considerations</w:t>
      </w:r>
      <w:bookmarkEnd w:id="86"/>
    </w:p>
    <w:p w14:paraId="6BBD58F3" w14:textId="66CA883E" w:rsidR="00C7364D" w:rsidRPr="008D1A55" w:rsidRDefault="00C7364D" w:rsidP="00C7364D">
      <w:proofErr w:type="spellStart"/>
      <w:r w:rsidRPr="008D1A55">
        <w:t>Anifrolumab</w:t>
      </w:r>
      <w:proofErr w:type="spellEnd"/>
      <w:r w:rsidRPr="008D1A55">
        <w:t xml:space="preserve"> exhibits non-linear </w:t>
      </w:r>
      <w:r w:rsidR="00A01497" w:rsidRPr="008D1A55">
        <w:t>pharmacokinetics (</w:t>
      </w:r>
      <w:r w:rsidRPr="008D1A55">
        <w:t>PK</w:t>
      </w:r>
      <w:r w:rsidR="00A01497" w:rsidRPr="008D1A55">
        <w:t>)</w:t>
      </w:r>
      <w:r w:rsidRPr="008D1A55">
        <w:t xml:space="preserve"> in the dose range of 100 mg to 1000 mg with </w:t>
      </w:r>
      <w:r w:rsidR="00DA15D9" w:rsidRPr="008D1A55">
        <w:t>area under the concentration time curve</w:t>
      </w:r>
      <w:r w:rsidRPr="008D1A55">
        <w:t xml:space="preserve"> increased more than dose</w:t>
      </w:r>
      <w:r w:rsidR="00454E89" w:rsidRPr="008D1A55">
        <w:t xml:space="preserve"> </w:t>
      </w:r>
      <w:r w:rsidRPr="008D1A55">
        <w:t xml:space="preserve">proportionally. Following every 4 weeks </w:t>
      </w:r>
      <w:r w:rsidR="008D5724" w:rsidRPr="008D1A55">
        <w:t>intravenous</w:t>
      </w:r>
      <w:r w:rsidRPr="008D1A55">
        <w:t xml:space="preserve"> administrations of </w:t>
      </w:r>
      <w:proofErr w:type="spellStart"/>
      <w:r w:rsidRPr="008D1A55">
        <w:t>anifrolumab</w:t>
      </w:r>
      <w:proofErr w:type="spellEnd"/>
      <w:r w:rsidRPr="008D1A55">
        <w:t xml:space="preserve">, steady state was reached by Day 85. Results from </w:t>
      </w:r>
      <w:r w:rsidR="001605DB" w:rsidRPr="008D1A55">
        <w:t>Phase</w:t>
      </w:r>
      <w:r w:rsidR="00454E89" w:rsidRPr="008D1A55">
        <w:t> </w:t>
      </w:r>
      <w:r w:rsidR="001605DB" w:rsidRPr="008D1A55">
        <w:t>II</w:t>
      </w:r>
      <w:r w:rsidRPr="008D1A55">
        <w:t xml:space="preserve"> dose</w:t>
      </w:r>
      <w:r w:rsidR="00454E89" w:rsidRPr="008D1A55">
        <w:t xml:space="preserve"> </w:t>
      </w:r>
      <w:r w:rsidRPr="008D1A55">
        <w:t>ranging study (</w:t>
      </w:r>
      <w:r w:rsidR="007D0024" w:rsidRPr="008D1A55">
        <w:t>Study CD</w:t>
      </w:r>
      <w:r w:rsidR="007D0024" w:rsidRPr="008D1A55">
        <w:noBreakHyphen/>
        <w:t>IA-MEDI-546-1013</w:t>
      </w:r>
      <w:r w:rsidRPr="008D1A55">
        <w:t>) showed that while both 300 mg and 1000</w:t>
      </w:r>
      <w:r w:rsidR="00454E89" w:rsidRPr="008D1A55">
        <w:t> </w:t>
      </w:r>
      <w:r w:rsidRPr="008D1A55">
        <w:t xml:space="preserve">mg </w:t>
      </w:r>
      <w:r w:rsidR="00A259E4" w:rsidRPr="008D1A55">
        <w:t>every 4 weeks</w:t>
      </w:r>
      <w:r w:rsidRPr="008D1A55">
        <w:t xml:space="preserve"> dosing regimens were efficacious in </w:t>
      </w:r>
      <w:r w:rsidR="00014FA9" w:rsidRPr="008D1A55">
        <w:t>systemic lupus erythematosus (</w:t>
      </w:r>
      <w:r w:rsidRPr="008D1A55">
        <w:t>SLE</w:t>
      </w:r>
      <w:r w:rsidR="00014FA9" w:rsidRPr="008D1A55">
        <w:t>)</w:t>
      </w:r>
      <w:r w:rsidRPr="008D1A55">
        <w:t xml:space="preserve"> patients, 1000</w:t>
      </w:r>
      <w:r w:rsidR="00914173">
        <w:t> </w:t>
      </w:r>
      <w:r w:rsidRPr="008D1A55">
        <w:t xml:space="preserve">mg dosing did not provide additional treatment benefit. Therefore, </w:t>
      </w:r>
      <w:r w:rsidR="008D5724" w:rsidRPr="008D1A55">
        <w:t>intravenous</w:t>
      </w:r>
      <w:r w:rsidRPr="008D1A55">
        <w:t xml:space="preserve"> 300 mg </w:t>
      </w:r>
      <w:r w:rsidR="00A259E4" w:rsidRPr="008D1A55">
        <w:t>every 4</w:t>
      </w:r>
      <w:r w:rsidR="00454E89" w:rsidRPr="008D1A55">
        <w:t> </w:t>
      </w:r>
      <w:r w:rsidR="00A259E4" w:rsidRPr="008D1A55">
        <w:t>weeks</w:t>
      </w:r>
      <w:r w:rsidRPr="008D1A55">
        <w:t xml:space="preserve"> dosing regimen was selected for </w:t>
      </w:r>
      <w:r w:rsidR="001605DB" w:rsidRPr="008D1A55">
        <w:t>Phase III</w:t>
      </w:r>
      <w:r w:rsidRPr="008D1A55">
        <w:t xml:space="preserve"> studies. A 150 mg dose group was also included in the </w:t>
      </w:r>
      <w:r w:rsidR="001605DB" w:rsidRPr="008D1A55">
        <w:t>Phase III</w:t>
      </w:r>
      <w:r w:rsidRPr="008D1A55">
        <w:t xml:space="preserve"> program to further elucidate dose response. The responder rate was numerically lower at 150 mg </w:t>
      </w:r>
      <w:r w:rsidR="00A259E4" w:rsidRPr="008D1A55">
        <w:t>every 4 weeks</w:t>
      </w:r>
      <w:r w:rsidRPr="008D1A55">
        <w:t>.</w:t>
      </w:r>
    </w:p>
    <w:p w14:paraId="5A0A5092" w14:textId="20ACE4FC" w:rsidR="00C7364D" w:rsidRPr="008D1A55" w:rsidRDefault="00C7364D" w:rsidP="00C7364D">
      <w:r w:rsidRPr="008D1A55">
        <w:t xml:space="preserve">As </w:t>
      </w:r>
      <w:proofErr w:type="spellStart"/>
      <w:r w:rsidRPr="008D1A55">
        <w:t>anifrolumab</w:t>
      </w:r>
      <w:proofErr w:type="spellEnd"/>
      <w:r w:rsidRPr="008D1A55">
        <w:t xml:space="preserve"> was not expected to have a narrow therapeutic window, fixed dosing regimen was considered. Fixed dosing regimen decreases dosing errors and improves operational ease during dosing. Based on exposure</w:t>
      </w:r>
      <w:r w:rsidR="00454E89" w:rsidRPr="008D1A55">
        <w:t xml:space="preserve"> </w:t>
      </w:r>
      <w:r w:rsidRPr="008D1A55">
        <w:t xml:space="preserve">response analysis for efficacy and safety, the proposed dosing regimen of </w:t>
      </w:r>
      <w:r w:rsidR="008D5724" w:rsidRPr="008D1A55">
        <w:t>intravenous</w:t>
      </w:r>
      <w:r w:rsidRPr="008D1A55">
        <w:t xml:space="preserve"> 300 mg </w:t>
      </w:r>
      <w:r w:rsidR="00A259E4" w:rsidRPr="008D1A55">
        <w:t>every 4 weeks</w:t>
      </w:r>
      <w:r w:rsidRPr="008D1A55">
        <w:t xml:space="preserve"> provides the optimal benefit-risk balance in patients with SLE.</w:t>
      </w:r>
    </w:p>
    <w:p w14:paraId="58C1D943" w14:textId="4F897D4E" w:rsidR="00C7364D" w:rsidRPr="008D1A55" w:rsidRDefault="00C7364D" w:rsidP="00C7364D">
      <w:r w:rsidRPr="008D1A55">
        <w:t>To support the proposed indication in moderate to severe SLE, the sponsor provided the results from three trials, Stud</w:t>
      </w:r>
      <w:r w:rsidR="00454E89" w:rsidRPr="008D1A55">
        <w:t>ies</w:t>
      </w:r>
      <w:r w:rsidRPr="008D1A55">
        <w:t xml:space="preserve"> </w:t>
      </w:r>
      <w:r w:rsidR="007D0024" w:rsidRPr="008D1A55">
        <w:t>CD</w:t>
      </w:r>
      <w:r w:rsidR="007D0024" w:rsidRPr="008D1A55">
        <w:noBreakHyphen/>
        <w:t>IA-MEDI-546-1013</w:t>
      </w:r>
      <w:r w:rsidRPr="008D1A55">
        <w:t xml:space="preserve">, </w:t>
      </w:r>
      <w:r w:rsidR="007D0024" w:rsidRPr="008D1A55">
        <w:t>D3461C00005</w:t>
      </w:r>
      <w:r w:rsidRPr="008D1A55">
        <w:t xml:space="preserve"> and </w:t>
      </w:r>
      <w:r w:rsidR="007D0024" w:rsidRPr="008D1A55">
        <w:t>D3461C00004</w:t>
      </w:r>
      <w:r w:rsidRPr="008D1A55">
        <w:t xml:space="preserve"> that evaluated </w:t>
      </w:r>
      <w:r w:rsidR="00454E89" w:rsidRPr="008D1A55">
        <w:t xml:space="preserve">intravenous </w:t>
      </w:r>
      <w:proofErr w:type="spellStart"/>
      <w:r w:rsidRPr="008D1A55">
        <w:t>anifrolumab</w:t>
      </w:r>
      <w:proofErr w:type="spellEnd"/>
      <w:r w:rsidRPr="008D1A55">
        <w:t xml:space="preserve"> 300 mg every 4 weeks as well as two additional doses (150 mg every 4 weeks and 1000 mg every 4 weeks) versus placebo in adults patients with active SLE on stable immunosuppressive background medications.</w:t>
      </w:r>
    </w:p>
    <w:p w14:paraId="1FB8D295" w14:textId="5BDFAA01" w:rsidR="00C7364D" w:rsidRPr="008D1A55" w:rsidRDefault="00C7364D" w:rsidP="00C7364D">
      <w:r w:rsidRPr="008D1A55">
        <w:t>All the three trials were multicentric, randomi</w:t>
      </w:r>
      <w:r w:rsidR="008D5724" w:rsidRPr="008D1A55">
        <w:t>s</w:t>
      </w:r>
      <w:r w:rsidRPr="008D1A55">
        <w:t>ed, double</w:t>
      </w:r>
      <w:r w:rsidR="008D5724" w:rsidRPr="008D1A55">
        <w:t xml:space="preserve"> </w:t>
      </w:r>
      <w:r w:rsidRPr="008D1A55">
        <w:t>blind, placebo</w:t>
      </w:r>
      <w:r w:rsidR="008D5724" w:rsidRPr="008D1A55">
        <w:t xml:space="preserve"> </w:t>
      </w:r>
      <w:r w:rsidRPr="008D1A55">
        <w:t>controlled, 52</w:t>
      </w:r>
      <w:r w:rsidR="00454E89" w:rsidRPr="008D1A55">
        <w:noBreakHyphen/>
      </w:r>
      <w:r w:rsidRPr="008D1A55">
        <w:t xml:space="preserve">week trials that evaluated the efficacy, safety, and immunogenicity of </w:t>
      </w:r>
      <w:proofErr w:type="spellStart"/>
      <w:r w:rsidRPr="008D1A55">
        <w:t>anifrolumab</w:t>
      </w:r>
      <w:proofErr w:type="spellEnd"/>
      <w:r w:rsidRPr="008D1A55">
        <w:t xml:space="preserve"> 300</w:t>
      </w:r>
      <w:r w:rsidR="00454E89" w:rsidRPr="008D1A55">
        <w:t> </w:t>
      </w:r>
      <w:r w:rsidRPr="008D1A55">
        <w:t xml:space="preserve">mg </w:t>
      </w:r>
      <w:r w:rsidR="008D5724" w:rsidRPr="008D1A55">
        <w:t>intravenous</w:t>
      </w:r>
      <w:r w:rsidRPr="008D1A55">
        <w:t xml:space="preserve"> every 4 weeks versus placebo in 925 adult subjects with active SLE receiving standard therapy.</w:t>
      </w:r>
    </w:p>
    <w:p w14:paraId="10735F8B" w14:textId="024F3FF4" w:rsidR="00C7364D" w:rsidRPr="008D1A55" w:rsidRDefault="00C7364D" w:rsidP="00C7364D">
      <w:r w:rsidRPr="008D1A55">
        <w:t>In all three trials, Stud</w:t>
      </w:r>
      <w:r w:rsidR="00454E89" w:rsidRPr="008D1A55">
        <w:t>ies</w:t>
      </w:r>
      <w:r w:rsidRPr="008D1A55">
        <w:t xml:space="preserve"> </w:t>
      </w:r>
      <w:r w:rsidR="007D0024" w:rsidRPr="008D1A55">
        <w:t>CD</w:t>
      </w:r>
      <w:r w:rsidR="007D0024" w:rsidRPr="008D1A55">
        <w:noBreakHyphen/>
        <w:t>IA-MEDI-546-1013</w:t>
      </w:r>
      <w:r w:rsidRPr="008D1A55">
        <w:t xml:space="preserve">, </w:t>
      </w:r>
      <w:r w:rsidR="007D0024" w:rsidRPr="008D1A55">
        <w:t>D3461C00005</w:t>
      </w:r>
      <w:r w:rsidRPr="008D1A55">
        <w:t xml:space="preserve"> and </w:t>
      </w:r>
      <w:r w:rsidR="007D0024" w:rsidRPr="008D1A55">
        <w:t>D3461C00004</w:t>
      </w:r>
      <w:r w:rsidRPr="008D1A55">
        <w:t xml:space="preserve">, the </w:t>
      </w:r>
      <w:proofErr w:type="gramStart"/>
      <w:r w:rsidR="0035180C" w:rsidRPr="008D1A55">
        <w:t>SRI(</w:t>
      </w:r>
      <w:proofErr w:type="gramEnd"/>
      <w:r w:rsidR="0035180C" w:rsidRPr="008D1A55">
        <w:t>4)</w:t>
      </w:r>
      <w:r w:rsidRPr="008D1A55">
        <w:t xml:space="preserve"> was originally selected as the primary endpoint, to establish efficacy. </w:t>
      </w:r>
      <w:r w:rsidR="0035180C" w:rsidRPr="008D1A55">
        <w:t>Systemic Lupus Erythematosus Responder Index of at least 4 (</w:t>
      </w:r>
      <w:proofErr w:type="gramStart"/>
      <w:r w:rsidR="0035180C" w:rsidRPr="008D1A55">
        <w:t>SRI(</w:t>
      </w:r>
      <w:proofErr w:type="gramEnd"/>
      <w:r w:rsidR="0035180C" w:rsidRPr="008D1A55">
        <w:t>4))</w:t>
      </w:r>
      <w:r w:rsidRPr="008D1A55">
        <w:t xml:space="preserve"> was included as the primary endpoint at week 24 in </w:t>
      </w:r>
      <w:r w:rsidR="00454E89" w:rsidRPr="008D1A55">
        <w:t>Study </w:t>
      </w:r>
      <w:r w:rsidR="007D0024" w:rsidRPr="008D1A55">
        <w:t>CD</w:t>
      </w:r>
      <w:r w:rsidR="007D0024" w:rsidRPr="008D1A55">
        <w:noBreakHyphen/>
        <w:t>IA</w:t>
      </w:r>
      <w:r w:rsidR="00454E89" w:rsidRPr="008D1A55">
        <w:noBreakHyphen/>
      </w:r>
      <w:r w:rsidR="007D0024" w:rsidRPr="008D1A55">
        <w:t>MEDI</w:t>
      </w:r>
      <w:r w:rsidR="00454E89" w:rsidRPr="008D1A55">
        <w:noBreakHyphen/>
      </w:r>
      <w:r w:rsidR="007D0024" w:rsidRPr="008D1A55">
        <w:t>546-1013</w:t>
      </w:r>
      <w:r w:rsidRPr="008D1A55">
        <w:t xml:space="preserve"> and proposed as the primary endpoint at </w:t>
      </w:r>
      <w:r w:rsidR="00454E89" w:rsidRPr="008D1A55">
        <w:t xml:space="preserve">Week </w:t>
      </w:r>
      <w:r w:rsidRPr="008D1A55">
        <w:t xml:space="preserve">52 in </w:t>
      </w:r>
      <w:r w:rsidR="00AD6ECD" w:rsidRPr="008D1A55">
        <w:t>Stud</w:t>
      </w:r>
      <w:r w:rsidR="00454E89" w:rsidRPr="008D1A55">
        <w:t>ies </w:t>
      </w:r>
      <w:r w:rsidR="007D0024" w:rsidRPr="008D1A55">
        <w:t>D3461C00005</w:t>
      </w:r>
      <w:r w:rsidRPr="008D1A55">
        <w:t xml:space="preserve"> and </w:t>
      </w:r>
      <w:r w:rsidR="007D0024" w:rsidRPr="008D1A55">
        <w:t>D3461C00004</w:t>
      </w:r>
      <w:r w:rsidRPr="008D1A55">
        <w:t xml:space="preserve">. </w:t>
      </w:r>
      <w:proofErr w:type="gramStart"/>
      <w:r w:rsidR="0035180C" w:rsidRPr="008D1A55">
        <w:t>SRI(</w:t>
      </w:r>
      <w:proofErr w:type="gramEnd"/>
      <w:r w:rsidR="0035180C" w:rsidRPr="008D1A55">
        <w:t>4)</w:t>
      </w:r>
      <w:r w:rsidRPr="008D1A55">
        <w:t xml:space="preserve"> is a composite clinical endpoint to assess clinical response in SLE and has been successfully used to support the approval of belimumab. All three studies included the </w:t>
      </w:r>
      <w:r w:rsidR="00E25D23" w:rsidRPr="008D1A55">
        <w:t>British Isles Lupus Assessment Group (BILAG)</w:t>
      </w:r>
      <w:r w:rsidRPr="008D1A55">
        <w:t xml:space="preserve">-based Composite Lupus Assessment (BICLA) endpoint. The </w:t>
      </w:r>
      <w:r w:rsidR="00454E89" w:rsidRPr="008D1A55">
        <w:t>D</w:t>
      </w:r>
      <w:r w:rsidRPr="008D1A55">
        <w:t xml:space="preserve">elegate notes that BICLA and </w:t>
      </w:r>
      <w:proofErr w:type="gramStart"/>
      <w:r w:rsidR="0035180C" w:rsidRPr="008D1A55">
        <w:t>SRI(</w:t>
      </w:r>
      <w:proofErr w:type="gramEnd"/>
      <w:r w:rsidR="0035180C" w:rsidRPr="008D1A55">
        <w:t>4)</w:t>
      </w:r>
      <w:r w:rsidRPr="008D1A55">
        <w:t xml:space="preserve"> are both considered clinically meaningful endpoints for evaluating a treatment effect on clinical response in SLE as per adopted EU guidelines.</w:t>
      </w:r>
    </w:p>
    <w:p w14:paraId="352520ED" w14:textId="3CE4976C" w:rsidR="00C7364D" w:rsidRPr="008D1A55" w:rsidRDefault="00C7364D" w:rsidP="00C7364D">
      <w:r w:rsidRPr="008D1A55">
        <w:t xml:space="preserve">In </w:t>
      </w:r>
      <w:r w:rsidR="00454E89" w:rsidRPr="008D1A55">
        <w:t xml:space="preserve">Study </w:t>
      </w:r>
      <w:r w:rsidR="007D0024" w:rsidRPr="008D1A55">
        <w:t>CD</w:t>
      </w:r>
      <w:r w:rsidR="007D0024" w:rsidRPr="008D1A55">
        <w:noBreakHyphen/>
        <w:t>IA-MEDI-546-1013</w:t>
      </w:r>
      <w:r w:rsidRPr="008D1A55">
        <w:t xml:space="preserve">, a higher proportion of </w:t>
      </w:r>
      <w:proofErr w:type="spellStart"/>
      <w:r w:rsidRPr="008D1A55">
        <w:t>anifrolumab</w:t>
      </w:r>
      <w:proofErr w:type="spellEnd"/>
      <w:r w:rsidRPr="008D1A55">
        <w:t xml:space="preserve"> 300 mg </w:t>
      </w:r>
      <w:r w:rsidR="008D5724" w:rsidRPr="008D1A55">
        <w:t>intravenous</w:t>
      </w:r>
      <w:r w:rsidRPr="008D1A55">
        <w:t xml:space="preserve"> subjects (34%) achieved the primary endpoint, </w:t>
      </w:r>
      <w:proofErr w:type="gramStart"/>
      <w:r w:rsidR="0035180C" w:rsidRPr="008D1A55">
        <w:t>SRI(</w:t>
      </w:r>
      <w:proofErr w:type="gramEnd"/>
      <w:r w:rsidR="0035180C" w:rsidRPr="008D1A55">
        <w:t>4)</w:t>
      </w:r>
      <w:r w:rsidRPr="008D1A55">
        <w:t xml:space="preserve"> response with oral corticosteroid tapering at </w:t>
      </w:r>
      <w:r w:rsidR="00454E89" w:rsidRPr="008D1A55">
        <w:t xml:space="preserve">Week </w:t>
      </w:r>
      <w:r w:rsidRPr="008D1A55">
        <w:t xml:space="preserve">24, as compared to the placebo group (18%) </w:t>
      </w:r>
      <w:r w:rsidR="00740C4D" w:rsidRPr="008D1A55">
        <w:t>(</w:t>
      </w:r>
      <w:r w:rsidRPr="008D1A55">
        <w:t>odds ratio (90% CI): 2.4 (1.3, 4.3)</w:t>
      </w:r>
      <w:r w:rsidR="00740C4D" w:rsidRPr="008D1A55">
        <w:t>)</w:t>
      </w:r>
      <w:r w:rsidRPr="008D1A55">
        <w:t xml:space="preserve">. Study </w:t>
      </w:r>
      <w:r w:rsidR="007D0024" w:rsidRPr="008D1A55">
        <w:t>CD</w:t>
      </w:r>
      <w:r w:rsidR="007D0024" w:rsidRPr="008D1A55">
        <w:noBreakHyphen/>
        <w:t>IA-MEDI-546-1013</w:t>
      </w:r>
      <w:r w:rsidRPr="008D1A55">
        <w:t xml:space="preserve"> was designed as a proof-of-concept and dose</w:t>
      </w:r>
      <w:r w:rsidR="00454E89" w:rsidRPr="008D1A55">
        <w:t xml:space="preserve"> </w:t>
      </w:r>
      <w:r w:rsidRPr="008D1A55">
        <w:t xml:space="preserve">ranging study and did not appropriately control for multiplicity; the primary endpoint of </w:t>
      </w:r>
      <w:proofErr w:type="gramStart"/>
      <w:r w:rsidR="0035180C" w:rsidRPr="008D1A55">
        <w:t>SRI(</w:t>
      </w:r>
      <w:proofErr w:type="gramEnd"/>
      <w:r w:rsidR="0035180C" w:rsidRPr="008D1A55">
        <w:t>4)</w:t>
      </w:r>
      <w:r w:rsidRPr="008D1A55">
        <w:t xml:space="preserve"> is viewed as only having achieved nominal significance for benefit of </w:t>
      </w:r>
      <w:proofErr w:type="spellStart"/>
      <w:r w:rsidRPr="008D1A55">
        <w:t>anifrolumab</w:t>
      </w:r>
      <w:proofErr w:type="spellEnd"/>
      <w:r w:rsidRPr="008D1A55">
        <w:t xml:space="preserve"> 300</w:t>
      </w:r>
      <w:r w:rsidR="00454E89" w:rsidRPr="008D1A55">
        <w:t> </w:t>
      </w:r>
      <w:r w:rsidRPr="008D1A55">
        <w:t xml:space="preserve">mg </w:t>
      </w:r>
      <w:r w:rsidR="008D5724" w:rsidRPr="008D1A55">
        <w:t>intravenous</w:t>
      </w:r>
      <w:r w:rsidR="00454E89" w:rsidRPr="008D1A55">
        <w:t>ly</w:t>
      </w:r>
      <w:r w:rsidRPr="008D1A55">
        <w:t xml:space="preserve"> compared to placebo. However, Study </w:t>
      </w:r>
      <w:r w:rsidR="007D0024" w:rsidRPr="008D1A55">
        <w:t>CD</w:t>
      </w:r>
      <w:r w:rsidR="007D0024" w:rsidRPr="008D1A55">
        <w:noBreakHyphen/>
        <w:t>IA-MEDI-546-1013</w:t>
      </w:r>
      <w:r w:rsidRPr="008D1A55">
        <w:t xml:space="preserve"> was randomi</w:t>
      </w:r>
      <w:r w:rsidR="008D5724" w:rsidRPr="008D1A55">
        <w:t>s</w:t>
      </w:r>
      <w:r w:rsidRPr="008D1A55">
        <w:t>ed, placebo</w:t>
      </w:r>
      <w:r w:rsidR="008D5724" w:rsidRPr="008D1A55">
        <w:t xml:space="preserve"> </w:t>
      </w:r>
      <w:r w:rsidRPr="008D1A55">
        <w:t>controlled, 52 weeks in duration, and assessed the proposed dosing regimen in an appropriate patient population and estimated effects were consistent with clinically meaningful benefit.</w:t>
      </w:r>
    </w:p>
    <w:p w14:paraId="6C6CFE3C" w14:textId="44D914FC" w:rsidR="00C7364D" w:rsidRPr="008D1A55" w:rsidRDefault="00C7364D" w:rsidP="00C7364D">
      <w:r w:rsidRPr="008D1A55">
        <w:t xml:space="preserve">The first </w:t>
      </w:r>
      <w:r w:rsidR="001605DB" w:rsidRPr="008D1A55">
        <w:t>Phase III</w:t>
      </w:r>
      <w:r w:rsidRPr="008D1A55">
        <w:t xml:space="preserve"> study completed, Study </w:t>
      </w:r>
      <w:r w:rsidR="007D0024" w:rsidRPr="008D1A55">
        <w:t>D3461C00005</w:t>
      </w:r>
      <w:r w:rsidRPr="008D1A55">
        <w:t xml:space="preserve">, did not show a statistically significant difference in </w:t>
      </w:r>
      <w:proofErr w:type="gramStart"/>
      <w:r w:rsidR="0035180C" w:rsidRPr="008D1A55">
        <w:t>SRI(</w:t>
      </w:r>
      <w:proofErr w:type="gramEnd"/>
      <w:r w:rsidR="0035180C" w:rsidRPr="008D1A55">
        <w:t>4)</w:t>
      </w:r>
      <w:r w:rsidRPr="008D1A55">
        <w:t xml:space="preserve"> response rate between </w:t>
      </w:r>
      <w:proofErr w:type="spellStart"/>
      <w:r w:rsidRPr="008D1A55">
        <w:t>anifrolumab</w:t>
      </w:r>
      <w:proofErr w:type="spellEnd"/>
      <w:r w:rsidRPr="008D1A55">
        <w:t xml:space="preserve"> 300 mg </w:t>
      </w:r>
      <w:r w:rsidR="008D5724" w:rsidRPr="008D1A55">
        <w:t>intravenous</w:t>
      </w:r>
      <w:r w:rsidRPr="008D1A55">
        <w:t xml:space="preserve"> and placebo groups at </w:t>
      </w:r>
      <w:r w:rsidR="00454E89" w:rsidRPr="008D1A55">
        <w:t xml:space="preserve">Week </w:t>
      </w:r>
      <w:r w:rsidRPr="008D1A55">
        <w:t>52</w:t>
      </w:r>
      <w:r w:rsidR="00740C4D" w:rsidRPr="008D1A55">
        <w:t>(</w:t>
      </w:r>
      <w:proofErr w:type="spellStart"/>
      <w:r w:rsidRPr="008D1A55">
        <w:t>anifrolumab</w:t>
      </w:r>
      <w:proofErr w:type="spellEnd"/>
      <w:r w:rsidRPr="008D1A55">
        <w:t xml:space="preserve"> 36% compared to placebo 40%; risk </w:t>
      </w:r>
      <w:r w:rsidRPr="008D1A55">
        <w:lastRenderedPageBreak/>
        <w:t>difference (95% CI): -4.2 (-14.2, 5.8)</w:t>
      </w:r>
      <w:r w:rsidR="00740C4D" w:rsidRPr="008D1A55">
        <w:t>)</w:t>
      </w:r>
      <w:r w:rsidRPr="008D1A55">
        <w:t>. Further analyses, the sponsor observed that some of the protocol</w:t>
      </w:r>
      <w:r w:rsidR="00454E89" w:rsidRPr="008D1A55">
        <w:t xml:space="preserve"> </w:t>
      </w:r>
      <w:r w:rsidRPr="008D1A55">
        <w:t>specified restrictions on medication were not implemented as intended per</w:t>
      </w:r>
      <w:r w:rsidR="00C2136E" w:rsidRPr="008D1A55">
        <w:noBreakHyphen/>
      </w:r>
      <w:r w:rsidRPr="008D1A55">
        <w:t>protocol</w:t>
      </w:r>
      <w:r w:rsidR="00C2136E" w:rsidRPr="008D1A55">
        <w:t>;</w:t>
      </w:r>
      <w:r w:rsidR="00C2136E" w:rsidRPr="008D1A55">
        <w:rPr>
          <w:rStyle w:val="FootnoteReference"/>
        </w:rPr>
        <w:footnoteReference w:id="29"/>
      </w:r>
      <w:r w:rsidRPr="008D1A55">
        <w:t xml:space="preserve"> and were not appropriate based on clinical practice. Number of subjects who would be considered responders in clinical practice were deemed non-responders due to these overly restrictive medication rules. These rules included restricted use of non</w:t>
      </w:r>
      <w:r w:rsidR="00454E89" w:rsidRPr="008D1A55">
        <w:noBreakHyphen/>
      </w:r>
      <w:r w:rsidRPr="008D1A55">
        <w:t xml:space="preserve">steroidal anti-inflammatory drugs and limited oral corticosteroids used for mild SLE flares. While </w:t>
      </w:r>
      <w:r w:rsidR="00AD6ECD" w:rsidRPr="008D1A55">
        <w:t xml:space="preserve">Study </w:t>
      </w:r>
      <w:r w:rsidR="007D0024" w:rsidRPr="008D1A55">
        <w:t>D3461C00005</w:t>
      </w:r>
      <w:r w:rsidRPr="008D1A55">
        <w:t xml:space="preserve"> did not show statistically significant improvement in the prespecified primary endpoint (</w:t>
      </w:r>
      <w:proofErr w:type="gramStart"/>
      <w:r w:rsidR="0035180C" w:rsidRPr="008D1A55">
        <w:t>SRI(</w:t>
      </w:r>
      <w:proofErr w:type="gramEnd"/>
      <w:r w:rsidR="0035180C" w:rsidRPr="008D1A55">
        <w:t>4)</w:t>
      </w:r>
      <w:r w:rsidRPr="008D1A55">
        <w:t xml:space="preserve">), it did show nominally significant changes in the key secondary BICLA endpoint in favour of </w:t>
      </w:r>
      <w:proofErr w:type="spellStart"/>
      <w:r w:rsidRPr="008D1A55">
        <w:t>anifrolumab</w:t>
      </w:r>
      <w:proofErr w:type="spellEnd"/>
      <w:r w:rsidRPr="008D1A55">
        <w:t xml:space="preserve"> 300</w:t>
      </w:r>
      <w:r w:rsidR="00454E89" w:rsidRPr="008D1A55">
        <w:t> </w:t>
      </w:r>
      <w:r w:rsidRPr="008D1A55">
        <w:t xml:space="preserve">mg </w:t>
      </w:r>
      <w:r w:rsidR="008D5724" w:rsidRPr="008D1A55">
        <w:t>intravenous</w:t>
      </w:r>
      <w:r w:rsidRPr="008D1A55">
        <w:t xml:space="preserve"> dose. Specifically, under the revised restricted medication rules, at </w:t>
      </w:r>
      <w:r w:rsidR="00454E89" w:rsidRPr="008D1A55">
        <w:t>Week </w:t>
      </w:r>
      <w:r w:rsidRPr="008D1A55">
        <w:t xml:space="preserve">52, a higher proportion of </w:t>
      </w:r>
      <w:proofErr w:type="spellStart"/>
      <w:r w:rsidRPr="008D1A55">
        <w:t>anifrolumab</w:t>
      </w:r>
      <w:proofErr w:type="spellEnd"/>
      <w:r w:rsidRPr="008D1A55">
        <w:t xml:space="preserve"> 300 mg </w:t>
      </w:r>
      <w:r w:rsidR="008D5724" w:rsidRPr="008D1A55">
        <w:t>intravenous</w:t>
      </w:r>
      <w:r w:rsidRPr="008D1A55">
        <w:t xml:space="preserve"> subjects (47%) achieved BICLA response as compared to the placebo group (30%) </w:t>
      </w:r>
      <w:r w:rsidR="00740C4D" w:rsidRPr="008D1A55">
        <w:t>(</w:t>
      </w:r>
      <w:r w:rsidRPr="008D1A55">
        <w:t>risk difference (95% CI): 17.0 (7.2, 26.8)</w:t>
      </w:r>
      <w:r w:rsidR="00740C4D" w:rsidRPr="008D1A55">
        <w:t>)</w:t>
      </w:r>
      <w:r w:rsidRPr="008D1A55">
        <w:t xml:space="preserve">. Also, disease activity measured by the SLE disease activity index updated in </w:t>
      </w:r>
      <w:r w:rsidR="00565914" w:rsidRPr="008D1A55">
        <w:t xml:space="preserve">Year </w:t>
      </w:r>
      <w:r w:rsidRPr="008D1A55">
        <w:t>2000</w:t>
      </w:r>
      <w:r w:rsidR="00565914" w:rsidRPr="008D1A55">
        <w:t xml:space="preserve"> (</w:t>
      </w:r>
      <w:r w:rsidR="00E25D23" w:rsidRPr="008D1A55">
        <w:t>Systemic Lupus Erythematosus Disease Activity Index 2000</w:t>
      </w:r>
      <w:r w:rsidR="00565914" w:rsidRPr="008D1A55">
        <w:t>)</w:t>
      </w:r>
      <w:r w:rsidRPr="008D1A55">
        <w:t xml:space="preserve">, showed a dose dependent separation in favour of </w:t>
      </w:r>
      <w:proofErr w:type="spellStart"/>
      <w:r w:rsidRPr="008D1A55">
        <w:t>anifrolumab</w:t>
      </w:r>
      <w:proofErr w:type="spellEnd"/>
      <w:r w:rsidRPr="008D1A55">
        <w:t xml:space="preserve"> in </w:t>
      </w:r>
      <w:r w:rsidR="00AD6ECD" w:rsidRPr="008D1A55">
        <w:t>Study</w:t>
      </w:r>
      <w:r w:rsidR="00454E89" w:rsidRPr="008D1A55">
        <w:t> </w:t>
      </w:r>
      <w:r w:rsidR="007D0024" w:rsidRPr="008D1A55">
        <w:t>D3461C00005</w:t>
      </w:r>
      <w:r w:rsidRPr="008D1A55">
        <w:t>.</w:t>
      </w:r>
    </w:p>
    <w:p w14:paraId="2C623158" w14:textId="4586871B" w:rsidR="00C7364D" w:rsidRPr="008D1A55" w:rsidRDefault="00C7364D" w:rsidP="00C7364D">
      <w:r w:rsidRPr="008D1A55">
        <w:t xml:space="preserve">In agreement with the FDA, the sponsor changed the primary endpoint to BICLA response rate at </w:t>
      </w:r>
      <w:r w:rsidR="00454E89" w:rsidRPr="008D1A55">
        <w:t xml:space="preserve">Week </w:t>
      </w:r>
      <w:r w:rsidRPr="008D1A55">
        <w:t xml:space="preserve">52 for the second </w:t>
      </w:r>
      <w:r w:rsidR="001605DB" w:rsidRPr="008D1A55">
        <w:t>Phase III</w:t>
      </w:r>
      <w:r w:rsidRPr="008D1A55">
        <w:t xml:space="preserve"> study (</w:t>
      </w:r>
      <w:r w:rsidR="00AD6ECD" w:rsidRPr="008D1A55">
        <w:t xml:space="preserve">Study </w:t>
      </w:r>
      <w:r w:rsidR="007D0024" w:rsidRPr="008D1A55">
        <w:t>D3461C00004</w:t>
      </w:r>
      <w:r w:rsidRPr="008D1A55">
        <w:t xml:space="preserve">) prior to database lock and unblinding. Study </w:t>
      </w:r>
      <w:r w:rsidR="007D0024" w:rsidRPr="008D1A55">
        <w:t>D3461C00004</w:t>
      </w:r>
      <w:r w:rsidRPr="008D1A55">
        <w:t xml:space="preserve"> achieved statistically significant and clinically meaningful results using primary endpoints incorporating either BICLA or </w:t>
      </w:r>
      <w:proofErr w:type="gramStart"/>
      <w:r w:rsidR="0035180C" w:rsidRPr="008D1A55">
        <w:t>SRI(</w:t>
      </w:r>
      <w:proofErr w:type="gramEnd"/>
      <w:r w:rsidR="0035180C" w:rsidRPr="008D1A55">
        <w:t>4)</w:t>
      </w:r>
      <w:r w:rsidRPr="008D1A55">
        <w:t xml:space="preserve"> composite endpoints at </w:t>
      </w:r>
      <w:r w:rsidR="00454E89" w:rsidRPr="008D1A55">
        <w:t xml:space="preserve">Week </w:t>
      </w:r>
      <w:r w:rsidRPr="008D1A55">
        <w:t xml:space="preserve">52. A higher proportion of </w:t>
      </w:r>
      <w:proofErr w:type="spellStart"/>
      <w:r w:rsidRPr="008D1A55">
        <w:t>anifrolumab</w:t>
      </w:r>
      <w:proofErr w:type="spellEnd"/>
      <w:r w:rsidRPr="008D1A55">
        <w:t xml:space="preserve"> </w:t>
      </w:r>
      <w:r w:rsidR="008D5724" w:rsidRPr="008D1A55">
        <w:t>intravenous</w:t>
      </w:r>
      <w:r w:rsidRPr="008D1A55">
        <w:t xml:space="preserve"> subjects (47.8%) achieved the 52-week BICLA primary endpoint as compared to the placebo group (31.3%) </w:t>
      </w:r>
      <w:r w:rsidR="00740C4D" w:rsidRPr="008D1A55">
        <w:t>(</w:t>
      </w:r>
      <w:r w:rsidRPr="008D1A55">
        <w:t>risk difference (95% CI): 16.3 (6.3, 26.3)</w:t>
      </w:r>
      <w:r w:rsidR="00740C4D" w:rsidRPr="008D1A55">
        <w:t>)</w:t>
      </w:r>
      <w:r w:rsidRPr="008D1A55">
        <w:t>.</w:t>
      </w:r>
    </w:p>
    <w:p w14:paraId="4E0BC606" w14:textId="41F568C4" w:rsidR="00C7364D" w:rsidRPr="008D1A55" w:rsidRDefault="00C7364D" w:rsidP="00C7364D">
      <w:r w:rsidRPr="008D1A55">
        <w:t xml:space="preserve">The sponsor also conducted further exploratory </w:t>
      </w:r>
      <w:r w:rsidRPr="008D1A55">
        <w:rPr>
          <w:i/>
          <w:iCs/>
        </w:rPr>
        <w:t>post-hoc</w:t>
      </w:r>
      <w:r w:rsidRPr="008D1A55">
        <w:t xml:space="preserve"> analysis to understand the apparent discrepancy between </w:t>
      </w:r>
      <w:proofErr w:type="gramStart"/>
      <w:r w:rsidR="0035180C" w:rsidRPr="008D1A55">
        <w:t>SRI(</w:t>
      </w:r>
      <w:proofErr w:type="gramEnd"/>
      <w:r w:rsidR="0035180C" w:rsidRPr="008D1A55">
        <w:t>4)</w:t>
      </w:r>
      <w:r w:rsidRPr="008D1A55">
        <w:t xml:space="preserve"> and BICLA responses within </w:t>
      </w:r>
      <w:r w:rsidR="00AD6ECD" w:rsidRPr="008D1A55">
        <w:t>Study</w:t>
      </w:r>
      <w:r w:rsidR="00454E89" w:rsidRPr="008D1A55">
        <w:t> </w:t>
      </w:r>
      <w:r w:rsidR="007D0024" w:rsidRPr="008D1A55">
        <w:t>D3461C00005</w:t>
      </w:r>
      <w:r w:rsidRPr="008D1A55">
        <w:t xml:space="preserve"> and between </w:t>
      </w:r>
      <w:r w:rsidR="00AD6ECD" w:rsidRPr="008D1A55">
        <w:t>Stud</w:t>
      </w:r>
      <w:r w:rsidR="00454E89" w:rsidRPr="008D1A55">
        <w:t>ies</w:t>
      </w:r>
      <w:r w:rsidR="00AD6ECD" w:rsidRPr="008D1A55">
        <w:t xml:space="preserve"> </w:t>
      </w:r>
      <w:r w:rsidR="007D0024" w:rsidRPr="008D1A55">
        <w:t>D3461C00004</w:t>
      </w:r>
      <w:r w:rsidRPr="008D1A55">
        <w:t xml:space="preserve"> and </w:t>
      </w:r>
      <w:r w:rsidR="007D0024" w:rsidRPr="008D1A55">
        <w:t>D3461C00005</w:t>
      </w:r>
      <w:r w:rsidRPr="008D1A55">
        <w:t xml:space="preserve"> on the request of FDA. There was a clinically meaningful difference between the treatment groups in the proportion of patients who were both an SRI (4) responder and BICLA responder, in favour of </w:t>
      </w:r>
      <w:proofErr w:type="spellStart"/>
      <w:r w:rsidRPr="008D1A55">
        <w:t>anifrolumab</w:t>
      </w:r>
      <w:proofErr w:type="spellEnd"/>
      <w:r w:rsidRPr="008D1A55">
        <w:t xml:space="preserve"> in both studies. These dual responders, based on 2 validated endpoints, confirm the beneficial effect of </w:t>
      </w:r>
      <w:proofErr w:type="spellStart"/>
      <w:r w:rsidRPr="008D1A55">
        <w:t>anifrolumab</w:t>
      </w:r>
      <w:proofErr w:type="spellEnd"/>
      <w:r w:rsidRPr="008D1A55">
        <w:t xml:space="preserve"> on overall disease activity in patients with moderate to severe SLE.</w:t>
      </w:r>
    </w:p>
    <w:p w14:paraId="34B8B1D7" w14:textId="05A60313" w:rsidR="00C7364D" w:rsidRPr="008D1A55" w:rsidRDefault="00C7364D" w:rsidP="00C7364D">
      <w:r w:rsidRPr="008D1A55">
        <w:t xml:space="preserve">One subset of patients in </w:t>
      </w:r>
      <w:r w:rsidR="00AD6ECD" w:rsidRPr="008D1A55">
        <w:t xml:space="preserve">Study </w:t>
      </w:r>
      <w:r w:rsidR="007D0024" w:rsidRPr="008D1A55">
        <w:t>D3461C00005</w:t>
      </w:r>
      <w:r w:rsidRPr="008D1A55">
        <w:t xml:space="preserve"> appears to be driving the overall discrepant result on </w:t>
      </w:r>
      <w:proofErr w:type="gramStart"/>
      <w:r w:rsidRPr="008D1A55">
        <w:t>SRI(</w:t>
      </w:r>
      <w:proofErr w:type="gramEnd"/>
      <w:r w:rsidRPr="008D1A55">
        <w:t xml:space="preserve">4) in </w:t>
      </w:r>
      <w:r w:rsidR="00AD6ECD" w:rsidRPr="008D1A55">
        <w:t xml:space="preserve">Study </w:t>
      </w:r>
      <w:r w:rsidR="007D0024" w:rsidRPr="008D1A55">
        <w:t>D3461C00005</w:t>
      </w:r>
      <w:r w:rsidRPr="008D1A55">
        <w:t xml:space="preserve">. In this subset, more patients in the placebo group were able to achieve a </w:t>
      </w:r>
      <w:proofErr w:type="gramStart"/>
      <w:r w:rsidRPr="008D1A55">
        <w:t>SRI(</w:t>
      </w:r>
      <w:proofErr w:type="gramEnd"/>
      <w:r w:rsidRPr="008D1A55">
        <w:t xml:space="preserve">4) response than patients in the </w:t>
      </w:r>
      <w:proofErr w:type="spellStart"/>
      <w:r w:rsidRPr="008D1A55">
        <w:t>anifrolumab</w:t>
      </w:r>
      <w:proofErr w:type="spellEnd"/>
      <w:r w:rsidRPr="008D1A55">
        <w:t xml:space="preserve"> group. This may be due to an imbalance between the treatment groups in baseline disease severity, and the degree of steroid use during the study, leading to more patients in the placebo group achieving complete resolution of arthritis, which alone meets the criteria for a </w:t>
      </w:r>
      <w:proofErr w:type="gramStart"/>
      <w:r w:rsidRPr="008D1A55">
        <w:t>SRI(</w:t>
      </w:r>
      <w:proofErr w:type="gramEnd"/>
      <w:r w:rsidRPr="008D1A55">
        <w:t>4) response.</w:t>
      </w:r>
    </w:p>
    <w:p w14:paraId="2C8B60E5" w14:textId="42A4F297" w:rsidR="00C7364D" w:rsidRPr="008D1A55" w:rsidRDefault="00C7364D" w:rsidP="00C7364D">
      <w:r w:rsidRPr="008D1A55">
        <w:t xml:space="preserve">In summary, </w:t>
      </w:r>
      <w:r w:rsidR="00AD6ECD" w:rsidRPr="008D1A55">
        <w:t xml:space="preserve">Study </w:t>
      </w:r>
      <w:r w:rsidR="007D0024" w:rsidRPr="008D1A55">
        <w:t>D3461C00004</w:t>
      </w:r>
      <w:r w:rsidRPr="008D1A55">
        <w:t xml:space="preserve"> represents an adequate and well</w:t>
      </w:r>
      <w:r w:rsidR="00CC61CB" w:rsidRPr="008D1A55">
        <w:t xml:space="preserve"> </w:t>
      </w:r>
      <w:r w:rsidRPr="008D1A55">
        <w:t xml:space="preserve">controlled trial showing favourable and statistically significant changes on the pre-specified, clinically meaningful primary and secondary endpoints when comparing </w:t>
      </w:r>
      <w:proofErr w:type="spellStart"/>
      <w:r w:rsidRPr="008D1A55">
        <w:t>anifrolumab</w:t>
      </w:r>
      <w:proofErr w:type="spellEnd"/>
      <w:r w:rsidRPr="008D1A55">
        <w:t xml:space="preserve"> 300</w:t>
      </w:r>
      <w:r w:rsidR="00CC61CB" w:rsidRPr="008D1A55">
        <w:t> </w:t>
      </w:r>
      <w:r w:rsidRPr="008D1A55">
        <w:t xml:space="preserve">mg </w:t>
      </w:r>
      <w:r w:rsidR="008D5724" w:rsidRPr="008D1A55">
        <w:t>intravenous</w:t>
      </w:r>
      <w:r w:rsidR="00CC61CB" w:rsidRPr="008D1A55">
        <w:t>ly</w:t>
      </w:r>
      <w:r w:rsidRPr="008D1A55">
        <w:t xml:space="preserve"> versus placebo. As </w:t>
      </w:r>
      <w:r w:rsidR="00AD6ECD" w:rsidRPr="008D1A55">
        <w:t xml:space="preserve">Study </w:t>
      </w:r>
      <w:r w:rsidR="007D0024" w:rsidRPr="008D1A55">
        <w:t>D3461C00005</w:t>
      </w:r>
      <w:r w:rsidRPr="008D1A55">
        <w:t xml:space="preserve">, the first </w:t>
      </w:r>
      <w:r w:rsidR="001605DB" w:rsidRPr="008D1A55">
        <w:t>Phase III</w:t>
      </w:r>
      <w:r w:rsidRPr="008D1A55">
        <w:t xml:space="preserve"> trial, failed on its primary endpoint and Study </w:t>
      </w:r>
      <w:r w:rsidR="007D0024" w:rsidRPr="008D1A55">
        <w:t>CD</w:t>
      </w:r>
      <w:r w:rsidR="007D0024" w:rsidRPr="008D1A55">
        <w:noBreakHyphen/>
        <w:t>IA-MEDI-546-1013</w:t>
      </w:r>
      <w:r w:rsidRPr="008D1A55">
        <w:t xml:space="preserve"> was designed only as a proof of concept and dose</w:t>
      </w:r>
      <w:r w:rsidR="00CC61CB" w:rsidRPr="008D1A55">
        <w:t xml:space="preserve"> </w:t>
      </w:r>
      <w:r w:rsidRPr="008D1A55">
        <w:t xml:space="preserve">ranging study with inadequate multiplicity control, both cannot be considered as successful adequate and well-controlled trials when considered independently. However, the clinical delegate feels that when these trials are considered in combination, the consistent results observed in </w:t>
      </w:r>
      <w:r w:rsidR="00CC61CB" w:rsidRPr="008D1A55">
        <w:t xml:space="preserve">Studies </w:t>
      </w:r>
      <w:r w:rsidR="007D0024" w:rsidRPr="008D1A55">
        <w:t>CD</w:t>
      </w:r>
      <w:r w:rsidR="007D0024" w:rsidRPr="008D1A55">
        <w:noBreakHyphen/>
        <w:t>IA-MEDI-546-1013</w:t>
      </w:r>
      <w:r w:rsidRPr="008D1A55">
        <w:t xml:space="preserve"> and </w:t>
      </w:r>
      <w:r w:rsidR="007D0024" w:rsidRPr="008D1A55">
        <w:t>D3461C00005</w:t>
      </w:r>
      <w:r w:rsidRPr="008D1A55">
        <w:t xml:space="preserve"> do provide confirmatory evidence that support the effectiveness of </w:t>
      </w:r>
      <w:proofErr w:type="spellStart"/>
      <w:r w:rsidRPr="008D1A55">
        <w:t>anifrolumab</w:t>
      </w:r>
      <w:proofErr w:type="spellEnd"/>
      <w:r w:rsidRPr="008D1A55">
        <w:t xml:space="preserve"> 300 mg </w:t>
      </w:r>
      <w:r w:rsidR="008D5724" w:rsidRPr="008D1A55">
        <w:t>intravenous</w:t>
      </w:r>
      <w:r w:rsidR="00CC61CB" w:rsidRPr="008D1A55">
        <w:t>ly</w:t>
      </w:r>
      <w:r w:rsidRPr="008D1A55">
        <w:t>.</w:t>
      </w:r>
    </w:p>
    <w:p w14:paraId="7A10F838" w14:textId="3318FA01" w:rsidR="00C7364D" w:rsidRPr="008D1A55" w:rsidRDefault="00C7364D" w:rsidP="00C7364D">
      <w:r w:rsidRPr="008D1A55">
        <w:lastRenderedPageBreak/>
        <w:t xml:space="preserve">The safety of </w:t>
      </w:r>
      <w:proofErr w:type="spellStart"/>
      <w:r w:rsidRPr="008D1A55">
        <w:t>anifrolumab</w:t>
      </w:r>
      <w:proofErr w:type="spellEnd"/>
      <w:r w:rsidRPr="008D1A55">
        <w:t xml:space="preserve"> in the SLE clinical program was consistent with expected increased risk of infection due to immunosuppression, in particularly for viral infections in which </w:t>
      </w:r>
      <w:r w:rsidR="00CC61CB" w:rsidRPr="008D1A55">
        <w:t xml:space="preserve">Type </w:t>
      </w:r>
      <w:r w:rsidR="00D264E5" w:rsidRPr="008D1A55">
        <w:t>I</w:t>
      </w:r>
      <w:r w:rsidRPr="008D1A55">
        <w:t xml:space="preserve"> </w:t>
      </w:r>
      <w:r w:rsidR="00D264E5" w:rsidRPr="008D1A55">
        <w:t>interferon</w:t>
      </w:r>
      <w:r w:rsidRPr="008D1A55">
        <w:t xml:space="preserve"> is a central part of the immune response.</w:t>
      </w:r>
    </w:p>
    <w:p w14:paraId="780F8409" w14:textId="02D9A219" w:rsidR="00C7364D" w:rsidRPr="008D1A55" w:rsidRDefault="00C7364D" w:rsidP="00C7364D">
      <w:r w:rsidRPr="008D1A55">
        <w:t xml:space="preserve">While the 52-week incidence of serious infections between placebo and </w:t>
      </w:r>
      <w:proofErr w:type="spellStart"/>
      <w:r w:rsidRPr="008D1A55">
        <w:t>anifrolumab</w:t>
      </w:r>
      <w:proofErr w:type="spellEnd"/>
      <w:r w:rsidRPr="008D1A55">
        <w:t xml:space="preserve"> arms in all three trials submitted to support approval was balanced between </w:t>
      </w:r>
      <w:proofErr w:type="spellStart"/>
      <w:r w:rsidRPr="008D1A55">
        <w:t>anifrolumab</w:t>
      </w:r>
      <w:proofErr w:type="spellEnd"/>
      <w:r w:rsidRPr="008D1A55">
        <w:t xml:space="preserve"> and placebo arms</w:t>
      </w:r>
      <w:r w:rsidR="00CC61CB" w:rsidRPr="008D1A55">
        <w:t xml:space="preserve"> (</w:t>
      </w:r>
      <w:proofErr w:type="spellStart"/>
      <w:r w:rsidRPr="008D1A55">
        <w:t>anifrolumab</w:t>
      </w:r>
      <w:proofErr w:type="spellEnd"/>
      <w:r w:rsidRPr="008D1A55">
        <w:t xml:space="preserve"> 4.8% (22</w:t>
      </w:r>
      <w:r w:rsidR="00A259E4" w:rsidRPr="008D1A55">
        <w:t xml:space="preserve"> of </w:t>
      </w:r>
      <w:r w:rsidRPr="008D1A55">
        <w:t xml:space="preserve">459) </w:t>
      </w:r>
      <w:r w:rsidR="00CA1444" w:rsidRPr="008D1A55">
        <w:t>versus</w:t>
      </w:r>
      <w:r w:rsidRPr="008D1A55">
        <w:t xml:space="preserve"> placebo 5.6% (26</w:t>
      </w:r>
      <w:r w:rsidR="00A259E4" w:rsidRPr="008D1A55">
        <w:t xml:space="preserve"> of </w:t>
      </w:r>
      <w:r w:rsidRPr="008D1A55">
        <w:t>466)</w:t>
      </w:r>
      <w:r w:rsidR="00CC61CB" w:rsidRPr="008D1A55">
        <w:t>). T</w:t>
      </w:r>
      <w:r w:rsidRPr="008D1A55">
        <w:t xml:space="preserve">he proportion of subjects with any infections was higher in subjects treated with </w:t>
      </w:r>
      <w:proofErr w:type="spellStart"/>
      <w:r w:rsidRPr="008D1A55">
        <w:t>anifrolumab</w:t>
      </w:r>
      <w:proofErr w:type="spellEnd"/>
      <w:r w:rsidRPr="008D1A55">
        <w:t xml:space="preserve"> 300</w:t>
      </w:r>
      <w:r w:rsidR="00CC61CB" w:rsidRPr="008D1A55">
        <w:t> </w:t>
      </w:r>
      <w:r w:rsidRPr="008D1A55">
        <w:t>mg (69.7%; 320</w:t>
      </w:r>
      <w:r w:rsidR="00A259E4" w:rsidRPr="008D1A55">
        <w:t xml:space="preserve"> of </w:t>
      </w:r>
      <w:r w:rsidRPr="008D1A55">
        <w:t xml:space="preserve">459) as compared to subjects in the placebo arms (55.4%; </w:t>
      </w:r>
      <w:r w:rsidR="00565914" w:rsidRPr="008D1A55">
        <w:t xml:space="preserve">exposure adjusted incidence rate </w:t>
      </w:r>
      <w:r w:rsidRPr="008D1A55">
        <w:t>99.9</w:t>
      </w:r>
      <w:r w:rsidR="00A259E4" w:rsidRPr="008D1A55">
        <w:t xml:space="preserve"> of </w:t>
      </w:r>
      <w:r w:rsidRPr="008D1A55">
        <w:t xml:space="preserve">100 </w:t>
      </w:r>
      <w:r w:rsidR="00565914" w:rsidRPr="008D1A55">
        <w:t>patient years</w:t>
      </w:r>
      <w:r w:rsidRPr="008D1A55">
        <w:t xml:space="preserve">). Herpes zoster infections, in particularly, occurred at a higher rate in </w:t>
      </w:r>
      <w:proofErr w:type="spellStart"/>
      <w:r w:rsidRPr="008D1A55">
        <w:t>anifrolumab</w:t>
      </w:r>
      <w:proofErr w:type="spellEnd"/>
      <w:r w:rsidR="00CC61CB" w:rsidRPr="008D1A55">
        <w:t xml:space="preserve"> </w:t>
      </w:r>
      <w:r w:rsidRPr="008D1A55">
        <w:t xml:space="preserve">treated subjects compared to placebo (6.1% </w:t>
      </w:r>
      <w:r w:rsidR="00CA1444" w:rsidRPr="008D1A55">
        <w:t>versus</w:t>
      </w:r>
      <w:r w:rsidRPr="008D1A55">
        <w:t xml:space="preserve"> 1.3%). In the 52</w:t>
      </w:r>
      <w:r w:rsidR="00CC61CB" w:rsidRPr="008D1A55">
        <w:noBreakHyphen/>
      </w:r>
      <w:proofErr w:type="gramStart"/>
      <w:r w:rsidRPr="008D1A55">
        <w:t>week controlled</w:t>
      </w:r>
      <w:proofErr w:type="gramEnd"/>
      <w:r w:rsidRPr="008D1A55">
        <w:t xml:space="preserve"> study period, fatal infections occurred in 0.4% of patients receiving </w:t>
      </w:r>
      <w:proofErr w:type="spellStart"/>
      <w:r w:rsidRPr="008D1A55">
        <w:t>anifrolumab</w:t>
      </w:r>
      <w:proofErr w:type="spellEnd"/>
      <w:r w:rsidRPr="008D1A55">
        <w:t xml:space="preserve"> and 0.2% of patients receiving placebo. In long-term, </w:t>
      </w:r>
      <w:proofErr w:type="gramStart"/>
      <w:r w:rsidRPr="008D1A55">
        <w:t>placebo</w:t>
      </w:r>
      <w:r w:rsidR="008D5724" w:rsidRPr="008D1A55">
        <w:t xml:space="preserve"> </w:t>
      </w:r>
      <w:r w:rsidRPr="008D1A55">
        <w:t>controlled</w:t>
      </w:r>
      <w:proofErr w:type="gramEnd"/>
      <w:r w:rsidRPr="008D1A55">
        <w:t xml:space="preserve"> assessment of subjects on </w:t>
      </w:r>
      <w:proofErr w:type="spellStart"/>
      <w:r w:rsidRPr="008D1A55">
        <w:t>anifrolumab</w:t>
      </w:r>
      <w:proofErr w:type="spellEnd"/>
      <w:r w:rsidRPr="008D1A55">
        <w:t xml:space="preserve"> 300 mg beyond 52</w:t>
      </w:r>
      <w:r w:rsidR="00914173">
        <w:t> </w:t>
      </w:r>
      <w:r w:rsidRPr="008D1A55">
        <w:t xml:space="preserve">weeks, a total of seven deaths were attributed to infections in </w:t>
      </w:r>
      <w:proofErr w:type="spellStart"/>
      <w:r w:rsidRPr="008D1A55">
        <w:t>anifrolumab</w:t>
      </w:r>
      <w:proofErr w:type="spellEnd"/>
      <w:r w:rsidR="00CC61CB" w:rsidRPr="008D1A55">
        <w:t xml:space="preserve"> </w:t>
      </w:r>
      <w:r w:rsidRPr="008D1A55">
        <w:t xml:space="preserve">treated subjects (four pneumonia and three </w:t>
      </w:r>
      <w:r w:rsidR="00565914" w:rsidRPr="008D1A55">
        <w:t>coronavirus disease 2019</w:t>
      </w:r>
      <w:r w:rsidRPr="008D1A55">
        <w:t xml:space="preserve">) as compared to none on placebo. Certain infections occurred more frequently in patients treated with </w:t>
      </w:r>
      <w:proofErr w:type="spellStart"/>
      <w:r w:rsidRPr="008D1A55">
        <w:t>anifrolumab</w:t>
      </w:r>
      <w:proofErr w:type="spellEnd"/>
      <w:r w:rsidRPr="008D1A55">
        <w:t xml:space="preserve">, including </w:t>
      </w:r>
      <w:r w:rsidR="00CC61CB" w:rsidRPr="008D1A55">
        <w:t xml:space="preserve">nasopharyngitis </w:t>
      </w:r>
      <w:r w:rsidRPr="008D1A55">
        <w:t>(</w:t>
      </w:r>
      <w:proofErr w:type="spellStart"/>
      <w:r w:rsidRPr="008D1A55">
        <w:t>anifrolumab</w:t>
      </w:r>
      <w:proofErr w:type="spellEnd"/>
      <w:r w:rsidRPr="008D1A55">
        <w:t xml:space="preserve"> 300 16.3% </w:t>
      </w:r>
      <w:r w:rsidR="00CA1444" w:rsidRPr="008D1A55">
        <w:t>versus</w:t>
      </w:r>
      <w:r w:rsidRPr="008D1A55">
        <w:t xml:space="preserve"> placebo 9.4%); </w:t>
      </w:r>
      <w:r w:rsidR="00CC61CB" w:rsidRPr="008D1A55">
        <w:t>upper respiratory infection (15.5% versus 9.7%); bronchitis (9.8% versus 4.3%); herpes zoster (6.1% versus 1.3%); influenza (2.6% versus 1.9%); and latent tuberculosis (0.9% versus (0.2%).</w:t>
      </w:r>
      <w:r w:rsidR="00867DE2" w:rsidRPr="008D1A55">
        <w:rPr>
          <w:vertAlign w:val="superscript"/>
        </w:rPr>
        <w:fldChar w:fldCharType="begin"/>
      </w:r>
      <w:r w:rsidR="00867DE2" w:rsidRPr="008D1A55">
        <w:rPr>
          <w:vertAlign w:val="superscript"/>
        </w:rPr>
        <w:instrText xml:space="preserve"> NOTEREF _Ref117163147 \h  \* MERGEFORMAT </w:instrText>
      </w:r>
      <w:r w:rsidR="00867DE2" w:rsidRPr="008D1A55">
        <w:rPr>
          <w:vertAlign w:val="superscript"/>
        </w:rPr>
      </w:r>
      <w:r w:rsidR="00867DE2" w:rsidRPr="008D1A55">
        <w:rPr>
          <w:vertAlign w:val="superscript"/>
        </w:rPr>
        <w:fldChar w:fldCharType="separate"/>
      </w:r>
      <w:r w:rsidR="00D8723A">
        <w:rPr>
          <w:vertAlign w:val="superscript"/>
        </w:rPr>
        <w:t>21</w:t>
      </w:r>
      <w:r w:rsidR="00867DE2" w:rsidRPr="008D1A55">
        <w:rPr>
          <w:vertAlign w:val="superscript"/>
        </w:rPr>
        <w:fldChar w:fldCharType="end"/>
      </w:r>
    </w:p>
    <w:p w14:paraId="06494BAD" w14:textId="4D5BAB5B" w:rsidR="00C7364D" w:rsidRPr="008D1A55" w:rsidRDefault="00C7364D" w:rsidP="00C7364D">
      <w:r w:rsidRPr="008D1A55">
        <w:t xml:space="preserve">There was one case of anaphylaxis with the </w:t>
      </w:r>
      <w:proofErr w:type="spellStart"/>
      <w:r w:rsidRPr="008D1A55">
        <w:t>anifrolumab</w:t>
      </w:r>
      <w:proofErr w:type="spellEnd"/>
      <w:r w:rsidRPr="008D1A55">
        <w:t xml:space="preserve"> 150 mg </w:t>
      </w:r>
      <w:r w:rsidR="008D5724" w:rsidRPr="008D1A55">
        <w:t>intravenous</w:t>
      </w:r>
      <w:r w:rsidRPr="008D1A55">
        <w:t xml:space="preserve"> dose and no cases of anaphylaxis with the </w:t>
      </w:r>
      <w:proofErr w:type="spellStart"/>
      <w:r w:rsidRPr="008D1A55">
        <w:t>anifrolumab</w:t>
      </w:r>
      <w:proofErr w:type="spellEnd"/>
      <w:r w:rsidRPr="008D1A55">
        <w:t xml:space="preserve"> 300 mg or 1000 mg </w:t>
      </w:r>
      <w:r w:rsidR="008D5724" w:rsidRPr="008D1A55">
        <w:t>intravenous</w:t>
      </w:r>
      <w:r w:rsidRPr="008D1A55">
        <w:t xml:space="preserve"> doses. There were more infusion</w:t>
      </w:r>
      <w:r w:rsidR="00B14DC3">
        <w:t>-</w:t>
      </w:r>
      <w:r w:rsidRPr="008D1A55">
        <w:t xml:space="preserve">related reactions (9.4% </w:t>
      </w:r>
      <w:r w:rsidR="00CA1444" w:rsidRPr="008D1A55">
        <w:t>versus</w:t>
      </w:r>
      <w:r w:rsidRPr="008D1A55">
        <w:t xml:space="preserve"> 7.1%) and hypersensitivity reactions (2.6% </w:t>
      </w:r>
      <w:r w:rsidR="00CA1444" w:rsidRPr="008D1A55">
        <w:t>versus</w:t>
      </w:r>
      <w:r w:rsidRPr="008D1A55">
        <w:t xml:space="preserve"> 0.6%), including 2 cases of angioedema, in the </w:t>
      </w:r>
      <w:proofErr w:type="spellStart"/>
      <w:r w:rsidRPr="008D1A55">
        <w:t>anifrolumab</w:t>
      </w:r>
      <w:proofErr w:type="spellEnd"/>
      <w:r w:rsidRPr="008D1A55">
        <w:t xml:space="preserve"> 300 mg </w:t>
      </w:r>
      <w:r w:rsidR="008D5724" w:rsidRPr="008D1A55">
        <w:t>intravenous</w:t>
      </w:r>
      <w:r w:rsidRPr="008D1A55">
        <w:t xml:space="preserve"> group as compared to the placebo group.</w:t>
      </w:r>
    </w:p>
    <w:p w14:paraId="44E8EFCF" w14:textId="6168D87C" w:rsidR="00C7364D" w:rsidRPr="008D1A55" w:rsidRDefault="00C7364D" w:rsidP="00C7364D">
      <w:r w:rsidRPr="008D1A55">
        <w:t>Overall, increased risk of hypersensitivity and infusion</w:t>
      </w:r>
      <w:r w:rsidR="00B14DC3">
        <w:t>-</w:t>
      </w:r>
      <w:r w:rsidRPr="008D1A55">
        <w:t xml:space="preserve">related reactions and the increased risk for infections, in particular respiratory infections and herpes zoster, the increased risk for potentially fatal outcome from serious infections for </w:t>
      </w:r>
      <w:proofErr w:type="spellStart"/>
      <w:r w:rsidRPr="008D1A55">
        <w:t>anifrolumab</w:t>
      </w:r>
      <w:proofErr w:type="spellEnd"/>
      <w:r w:rsidRPr="008D1A55">
        <w:t xml:space="preserve"> 300 mg is </w:t>
      </w:r>
      <w:proofErr w:type="gramStart"/>
      <w:r w:rsidRPr="008D1A55">
        <w:t>similar to</w:t>
      </w:r>
      <w:proofErr w:type="gramEnd"/>
      <w:r w:rsidRPr="008D1A55">
        <w:t xml:space="preserve"> the only other approved targeted therapy for SLE and represents an acceptable safety profile for this indication.</w:t>
      </w:r>
    </w:p>
    <w:p w14:paraId="3744A860" w14:textId="2274299F" w:rsidR="00C7364D" w:rsidRPr="008D1A55" w:rsidRDefault="00C7364D" w:rsidP="00C7364D">
      <w:r w:rsidRPr="008D1A55">
        <w:t>Post</w:t>
      </w:r>
      <w:r w:rsidR="00CA1444" w:rsidRPr="008D1A55">
        <w:t>-</w:t>
      </w:r>
      <w:r w:rsidRPr="008D1A55">
        <w:t xml:space="preserve">marketing studies (as committed to </w:t>
      </w:r>
      <w:r w:rsidR="00867DE2" w:rsidRPr="008D1A55">
        <w:t xml:space="preserve">the </w:t>
      </w:r>
      <w:r w:rsidRPr="008D1A55">
        <w:t xml:space="preserve">FDA) will be required to assess the safety and </w:t>
      </w:r>
      <w:r w:rsidR="001E36A6" w:rsidRPr="008D1A55">
        <w:t>PK</w:t>
      </w:r>
      <w:r w:rsidRPr="008D1A55">
        <w:t xml:space="preserve"> of </w:t>
      </w:r>
      <w:proofErr w:type="spellStart"/>
      <w:r w:rsidRPr="008D1A55">
        <w:t>anifrolumab</w:t>
      </w:r>
      <w:proofErr w:type="spellEnd"/>
      <w:r w:rsidRPr="008D1A55">
        <w:t xml:space="preserve"> when used with standard therapy in paediatric SLE patients ages 5 to 17 years, to assess adverse pregnancy outcomes and adverse effects on exposed infants, and to measure the presence of the drug in human breast milk.</w:t>
      </w:r>
    </w:p>
    <w:p w14:paraId="5FFC2BFC" w14:textId="772101C1" w:rsidR="00C7364D" w:rsidRPr="008D1A55" w:rsidRDefault="00C7364D" w:rsidP="00C7364D">
      <w:r w:rsidRPr="008D1A55">
        <w:t>A significant unmet medical need exists for safe and efficacious treatment for patients with SLE. Reducing the risk of severe SLE flares, lowering the SLE disease activity and decrease in daily steroid dose may result in less morbidity and mortality associated with this disease. Less long-term end</w:t>
      </w:r>
      <w:r w:rsidR="00CC61CB" w:rsidRPr="008D1A55">
        <w:t xml:space="preserve"> </w:t>
      </w:r>
      <w:r w:rsidRPr="008D1A55">
        <w:t>organ damage from patients’ underlying disease, less treatment with immunosuppressive agents commonly used to treat SLE with their own inherent toxicities, as well as fewer hospitalisations with less loss of absent workdays.</w:t>
      </w:r>
    </w:p>
    <w:p w14:paraId="28012DE1" w14:textId="533F0F74" w:rsidR="00C7364D" w:rsidRPr="008D1A55" w:rsidRDefault="00C7364D" w:rsidP="00C7364D">
      <w:r w:rsidRPr="008D1A55">
        <w:t xml:space="preserve">In summary, the efficacy and safety data generated from </w:t>
      </w:r>
      <w:r w:rsidR="00CC61CB" w:rsidRPr="008D1A55">
        <w:t xml:space="preserve">Studies </w:t>
      </w:r>
      <w:r w:rsidR="007D0024" w:rsidRPr="008D1A55">
        <w:t>CD</w:t>
      </w:r>
      <w:r w:rsidR="007D0024" w:rsidRPr="008D1A55">
        <w:noBreakHyphen/>
        <w:t>IA-MEDI-546-1013</w:t>
      </w:r>
      <w:r w:rsidRPr="008D1A55">
        <w:t xml:space="preserve">, </w:t>
      </w:r>
      <w:r w:rsidR="007D0024" w:rsidRPr="008D1A55">
        <w:t>D3461C00004</w:t>
      </w:r>
      <w:r w:rsidRPr="008D1A55">
        <w:t xml:space="preserve">, and </w:t>
      </w:r>
      <w:r w:rsidR="007D0024" w:rsidRPr="008D1A55">
        <w:t>D3461C00005</w:t>
      </w:r>
      <w:r w:rsidRPr="008D1A55">
        <w:t xml:space="preserve">, support a favourable benefit-risk assessment for approval of the 300 mg dosing regimen of </w:t>
      </w:r>
      <w:proofErr w:type="spellStart"/>
      <w:r w:rsidRPr="008D1A55">
        <w:t>anifrolumab</w:t>
      </w:r>
      <w:proofErr w:type="spellEnd"/>
      <w:r w:rsidRPr="008D1A55">
        <w:t xml:space="preserve"> </w:t>
      </w:r>
      <w:r w:rsidR="008D5724" w:rsidRPr="008D1A55">
        <w:t>intravenous</w:t>
      </w:r>
      <w:r w:rsidRPr="008D1A55">
        <w:t xml:space="preserve"> as add on therapy for adult patients with active SLE, a disease with high unmet need.</w:t>
      </w:r>
    </w:p>
    <w:p w14:paraId="28FD30F6" w14:textId="77777777" w:rsidR="0074163C" w:rsidRPr="008D1A55" w:rsidRDefault="0074163C" w:rsidP="0074163C">
      <w:pPr>
        <w:pStyle w:val="Heading4"/>
      </w:pPr>
      <w:bookmarkStart w:id="87" w:name="_Toc98931933"/>
      <w:r w:rsidRPr="008D1A55">
        <w:t>Proposed action</w:t>
      </w:r>
      <w:bookmarkEnd w:id="87"/>
    </w:p>
    <w:p w14:paraId="2DEB2A31" w14:textId="722C37F3" w:rsidR="00C7364D" w:rsidRPr="008D1A55" w:rsidRDefault="00C7364D" w:rsidP="00033632">
      <w:r w:rsidRPr="008D1A55">
        <w:t xml:space="preserve">The </w:t>
      </w:r>
      <w:r w:rsidR="00914173">
        <w:t>D</w:t>
      </w:r>
      <w:r w:rsidRPr="008D1A55">
        <w:t xml:space="preserve">elegate considers that sufficient data and justification have been provided to support the registration of </w:t>
      </w:r>
      <w:proofErr w:type="spellStart"/>
      <w:r w:rsidRPr="008D1A55">
        <w:t>anifrolumab</w:t>
      </w:r>
      <w:proofErr w:type="spellEnd"/>
      <w:r w:rsidRPr="008D1A55">
        <w:t xml:space="preserve"> on quality, </w:t>
      </w:r>
      <w:proofErr w:type="gramStart"/>
      <w:r w:rsidRPr="008D1A55">
        <w:t>safety</w:t>
      </w:r>
      <w:proofErr w:type="gramEnd"/>
      <w:r w:rsidRPr="008D1A55">
        <w:t xml:space="preserve"> and efficacy grounds as a add on treatment of moderate to severe </w:t>
      </w:r>
      <w:r w:rsidR="00014FA9" w:rsidRPr="008D1A55">
        <w:t xml:space="preserve">systemic lupus erythematosus </w:t>
      </w:r>
      <w:r w:rsidRPr="008D1A55">
        <w:t xml:space="preserve">in adult patients despite standard therapy (subjected to </w:t>
      </w:r>
      <w:r w:rsidR="00565914" w:rsidRPr="008D1A55">
        <w:t xml:space="preserve">the Advisory Committee on Medicines </w:t>
      </w:r>
      <w:r w:rsidR="00914173">
        <w:t xml:space="preserve">(ACM) </w:t>
      </w:r>
      <w:r w:rsidRPr="008D1A55">
        <w:t>deliberations and product information changes).</w:t>
      </w:r>
    </w:p>
    <w:p w14:paraId="457B111A" w14:textId="77777777" w:rsidR="0074163C" w:rsidRPr="008D1A55" w:rsidRDefault="0074163C" w:rsidP="0074163C">
      <w:pPr>
        <w:pStyle w:val="Heading4"/>
      </w:pPr>
      <w:bookmarkStart w:id="88" w:name="_Toc98931934"/>
      <w:r w:rsidRPr="008D1A55">
        <w:lastRenderedPageBreak/>
        <w:t>Questions for the sponsor</w:t>
      </w:r>
      <w:bookmarkEnd w:id="88"/>
    </w:p>
    <w:p w14:paraId="1D4BF43B" w14:textId="77777777" w:rsidR="0074163C" w:rsidRPr="008D1A55" w:rsidRDefault="0074163C" w:rsidP="0074163C">
      <w:r w:rsidRPr="008D1A55">
        <w:t>The sponsor provided the following response to questions from the Delegate.</w:t>
      </w:r>
    </w:p>
    <w:p w14:paraId="6856C2A1" w14:textId="232F9339" w:rsidR="00033632" w:rsidRPr="008D1A55" w:rsidRDefault="00033632" w:rsidP="00033632">
      <w:pPr>
        <w:pStyle w:val="Numberbullet0"/>
        <w:rPr>
          <w:b/>
          <w:bCs/>
          <w:i/>
          <w:iCs/>
        </w:rPr>
      </w:pPr>
      <w:r w:rsidRPr="008D1A55">
        <w:rPr>
          <w:b/>
          <w:bCs/>
          <w:i/>
          <w:iCs/>
        </w:rPr>
        <w:t xml:space="preserve">Can </w:t>
      </w:r>
      <w:r w:rsidR="00914173">
        <w:rPr>
          <w:b/>
          <w:bCs/>
          <w:i/>
          <w:iCs/>
        </w:rPr>
        <w:t>the sponsor please</w:t>
      </w:r>
      <w:r w:rsidR="00914173" w:rsidRPr="008D1A55">
        <w:rPr>
          <w:b/>
          <w:bCs/>
          <w:i/>
          <w:iCs/>
        </w:rPr>
        <w:t xml:space="preserve"> </w:t>
      </w:r>
      <w:r w:rsidRPr="008D1A55">
        <w:rPr>
          <w:b/>
          <w:bCs/>
          <w:i/>
          <w:iCs/>
        </w:rPr>
        <w:t xml:space="preserve">provide the latest exposure data to address the concerns </w:t>
      </w:r>
      <w:r w:rsidR="00CD7C54">
        <w:rPr>
          <w:b/>
          <w:bCs/>
          <w:i/>
          <w:iCs/>
        </w:rPr>
        <w:t>raised, relating to the</w:t>
      </w:r>
      <w:r w:rsidRPr="008D1A55">
        <w:rPr>
          <w:b/>
          <w:bCs/>
          <w:i/>
          <w:iCs/>
        </w:rPr>
        <w:t xml:space="preserve"> safety database highlighted in </w:t>
      </w:r>
      <w:r w:rsidR="00CC61CB" w:rsidRPr="008D1A55">
        <w:rPr>
          <w:b/>
          <w:bCs/>
          <w:i/>
          <w:iCs/>
        </w:rPr>
        <w:t>the clinical study report</w:t>
      </w:r>
      <w:r w:rsidRPr="008D1A55">
        <w:rPr>
          <w:b/>
          <w:bCs/>
          <w:i/>
          <w:iCs/>
        </w:rPr>
        <w:t>?</w:t>
      </w:r>
    </w:p>
    <w:p w14:paraId="3999BFE7" w14:textId="1B71A1F0" w:rsidR="00033632" w:rsidRPr="008D1A55" w:rsidRDefault="00033632" w:rsidP="00D670EF">
      <w:r w:rsidRPr="008D1A55">
        <w:t xml:space="preserve">The latest available exposure data (up to 19 March 2020) is summarised in </w:t>
      </w:r>
      <w:r w:rsidR="00D670EF" w:rsidRPr="008D1A55">
        <w:fldChar w:fldCharType="begin"/>
      </w:r>
      <w:r w:rsidR="00D670EF" w:rsidRPr="008D1A55">
        <w:instrText xml:space="preserve"> REF _Ref116589711 \h  \* MERGEFORMAT </w:instrText>
      </w:r>
      <w:r w:rsidR="00D670EF" w:rsidRPr="008D1A55">
        <w:fldChar w:fldCharType="separate"/>
      </w:r>
      <w:r w:rsidR="00D8723A" w:rsidRPr="008D1A55">
        <w:t xml:space="preserve">Table </w:t>
      </w:r>
      <w:r w:rsidR="00D8723A">
        <w:t>13</w:t>
      </w:r>
      <w:r w:rsidR="00D670EF" w:rsidRPr="008D1A55">
        <w:fldChar w:fldCharType="end"/>
      </w:r>
      <w:r w:rsidR="00C77DF7" w:rsidRPr="008D1A55">
        <w:t xml:space="preserve"> below</w:t>
      </w:r>
      <w:r w:rsidRPr="008D1A55">
        <w:t>.</w:t>
      </w:r>
    </w:p>
    <w:p w14:paraId="7C5AAF65" w14:textId="6A9A351F" w:rsidR="00033632" w:rsidRPr="008D1A55" w:rsidRDefault="00D670EF" w:rsidP="00C77DF7">
      <w:pPr>
        <w:pStyle w:val="TableTitle"/>
      </w:pPr>
      <w:bookmarkStart w:id="89" w:name="_Ref116589711"/>
      <w:r w:rsidRPr="008D1A55">
        <w:t xml:space="preserve">Table </w:t>
      </w:r>
      <w:r w:rsidR="005675A0">
        <w:fldChar w:fldCharType="begin"/>
      </w:r>
      <w:r w:rsidR="005675A0">
        <w:instrText xml:space="preserve"> SEQ Table \* ARABIC </w:instrText>
      </w:r>
      <w:r w:rsidR="005675A0">
        <w:fldChar w:fldCharType="separate"/>
      </w:r>
      <w:r w:rsidR="00D8723A">
        <w:rPr>
          <w:noProof/>
        </w:rPr>
        <w:t>13</w:t>
      </w:r>
      <w:r w:rsidR="005675A0">
        <w:rPr>
          <w:noProof/>
        </w:rPr>
        <w:fldChar w:fldCharType="end"/>
      </w:r>
      <w:bookmarkEnd w:id="89"/>
      <w:r w:rsidRPr="008D1A55">
        <w:t>:</w:t>
      </w:r>
      <w:r w:rsidR="00033632" w:rsidRPr="008D1A55">
        <w:t xml:space="preserve"> </w:t>
      </w:r>
      <w:r w:rsidR="00C77DF7" w:rsidRPr="008D1A55">
        <w:t xml:space="preserve">Studies Study D3461C00004, Study D3461C00005, Study D346100009, Study CS-IA-MEDI-546-1013 and Study CD-IA-MEDi-546-1145 </w:t>
      </w:r>
      <w:r w:rsidR="00033632" w:rsidRPr="008D1A55">
        <w:t>Duration o</w:t>
      </w:r>
      <w:r w:rsidR="00C77DF7" w:rsidRPr="008D1A55">
        <w:t xml:space="preserve">f exposure to intravenous </w:t>
      </w:r>
      <w:proofErr w:type="spellStart"/>
      <w:r w:rsidR="00C77DF7" w:rsidRPr="008D1A55">
        <w:t>anifrolumab</w:t>
      </w:r>
      <w:proofErr w:type="spellEnd"/>
      <w:r w:rsidR="00C77DF7" w:rsidRPr="008D1A55">
        <w:t xml:space="preserve"> every 4 weeks (safety analysis sets)</w:t>
      </w:r>
    </w:p>
    <w:p w14:paraId="3D3DDDF5" w14:textId="49710EE3" w:rsidR="00D670EF" w:rsidRPr="008D1A55" w:rsidRDefault="00D670EF" w:rsidP="00033632">
      <w:pPr>
        <w:rPr>
          <w:b/>
          <w:bCs/>
        </w:rPr>
      </w:pPr>
      <w:r w:rsidRPr="008D1A55">
        <w:rPr>
          <w:noProof/>
          <w:lang w:val="en-GB" w:eastAsia="en-GB"/>
        </w:rPr>
        <w:drawing>
          <wp:inline distT="0" distB="0" distL="0" distR="0" wp14:anchorId="764F208D" wp14:editId="111E341C">
            <wp:extent cx="5257800" cy="2282667"/>
            <wp:effectExtent l="0" t="0" r="0" b="3810"/>
            <wp:docPr id="3" name="Picture 3" descr="Table 13: Studies Study D3461C00004, Study D3461C00005, Study D346100009, Study CS-IA-MEDI-546-1013 and Study CD-IA-MEDi-546-1145 Duration of exposure to intravenous anifrolumab every 4 weeks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13: Studies Study D3461C00004, Study D3461C00005, Study D346100009, Study CS-IA-MEDI-546-1013 and Study CD-IA-MEDi-546-1145 Duration of exposure to intravenous anifrolumab every 4 weeks (safety analysis sets)"/>
                    <pic:cNvPicPr/>
                  </pic:nvPicPr>
                  <pic:blipFill>
                    <a:blip r:embed="rId23"/>
                    <a:stretch>
                      <a:fillRect/>
                    </a:stretch>
                  </pic:blipFill>
                  <pic:spPr>
                    <a:xfrm>
                      <a:off x="0" y="0"/>
                      <a:ext cx="5268962" cy="2287513"/>
                    </a:xfrm>
                    <a:prstGeom prst="rect">
                      <a:avLst/>
                    </a:prstGeom>
                  </pic:spPr>
                </pic:pic>
              </a:graphicData>
            </a:graphic>
          </wp:inline>
        </w:drawing>
      </w:r>
    </w:p>
    <w:p w14:paraId="368A22E8" w14:textId="470B4081" w:rsidR="00C77DF7" w:rsidRPr="008D1A55" w:rsidRDefault="00C77DF7" w:rsidP="00C77DF7">
      <w:pPr>
        <w:pStyle w:val="TableDescription"/>
      </w:pPr>
      <w:r w:rsidRPr="008D1A55">
        <w:t>Abbreviations: IV = intravenously; n = number of subjects in analysis group; Study 04 = Study D3461C00004; Study 05 = Study D3461C00005; Study 09 = Study D346100009; Study 1013 = Study CS-IA-MEDI-546-1013; Study 1145 = Study CD-IA-MEDi-546-1145</w:t>
      </w:r>
    </w:p>
    <w:p w14:paraId="7FCA3D9C" w14:textId="68C72632" w:rsidR="00D670EF" w:rsidRPr="008D1A55" w:rsidRDefault="00D670EF" w:rsidP="00C77DF7">
      <w:pPr>
        <w:pStyle w:val="TableDescription"/>
      </w:pPr>
      <w:r w:rsidRPr="008D1A55">
        <w:t xml:space="preserve">a Patients who received </w:t>
      </w:r>
      <w:r w:rsidR="00C77DF7" w:rsidRPr="008D1A55">
        <w:t>two</w:t>
      </w:r>
      <w:r w:rsidRPr="008D1A55">
        <w:t xml:space="preserve"> different doses of </w:t>
      </w:r>
      <w:proofErr w:type="spellStart"/>
      <w:r w:rsidRPr="008D1A55">
        <w:t>anifrolumab</w:t>
      </w:r>
      <w:proofErr w:type="spellEnd"/>
      <w:r w:rsidRPr="008D1A55">
        <w:t xml:space="preserve"> are counted in the dose category of the highest dose received, and when calculating length of exposure, patients who received </w:t>
      </w:r>
      <w:r w:rsidR="00C77DF7" w:rsidRPr="008D1A55">
        <w:t>two</w:t>
      </w:r>
      <w:r w:rsidRPr="008D1A55">
        <w:t xml:space="preserve"> different doses are counted as having received the highest dose for the entire course of their treatment.</w:t>
      </w:r>
    </w:p>
    <w:p w14:paraId="3B112C26" w14:textId="03520059" w:rsidR="00C77DF7" w:rsidRPr="008D1A55" w:rsidRDefault="00C77DF7" w:rsidP="00C77DF7">
      <w:r w:rsidRPr="008D1A55">
        <w:t xml:space="preserve">The Phase III long-term data (‘Phase III studies only’ column) and all </w:t>
      </w:r>
      <w:proofErr w:type="spellStart"/>
      <w:r w:rsidRPr="008D1A55">
        <w:t>anifrolumab</w:t>
      </w:r>
      <w:proofErr w:type="spellEnd"/>
      <w:r w:rsidRPr="008D1A55">
        <w:t xml:space="preserve"> safety pool (‘Phase II and Phase III </w:t>
      </w:r>
      <w:r w:rsidR="00014FA9" w:rsidRPr="008D1A55">
        <w:t xml:space="preserve">systemic lupus erythematosus </w:t>
      </w:r>
      <w:r w:rsidRPr="008D1A55">
        <w:t>studies’ column) include data from ongoing Study D3461C00009</w:t>
      </w:r>
      <w:r w:rsidR="00E2496A">
        <w:t>;</w:t>
      </w:r>
      <w:r w:rsidR="00E2496A" w:rsidRPr="0063551F">
        <w:rPr>
          <w:vertAlign w:val="superscript"/>
        </w:rPr>
        <w:fldChar w:fldCharType="begin"/>
      </w:r>
      <w:r w:rsidR="00E2496A" w:rsidRPr="0063551F">
        <w:rPr>
          <w:vertAlign w:val="superscript"/>
        </w:rPr>
        <w:instrText xml:space="preserve"> NOTEREF _Ref121152408 \h </w:instrText>
      </w:r>
      <w:r w:rsidR="00E2496A">
        <w:rPr>
          <w:vertAlign w:val="superscript"/>
        </w:rPr>
        <w:instrText xml:space="preserve"> \* MERGEFORMAT </w:instrText>
      </w:r>
      <w:r w:rsidR="00E2496A" w:rsidRPr="0063551F">
        <w:rPr>
          <w:vertAlign w:val="superscript"/>
        </w:rPr>
      </w:r>
      <w:r w:rsidR="00E2496A" w:rsidRPr="0063551F">
        <w:rPr>
          <w:vertAlign w:val="superscript"/>
        </w:rPr>
        <w:fldChar w:fldCharType="separate"/>
      </w:r>
      <w:r w:rsidR="00E2496A" w:rsidRPr="0063551F">
        <w:rPr>
          <w:vertAlign w:val="superscript"/>
        </w:rPr>
        <w:t>23</w:t>
      </w:r>
      <w:r w:rsidR="00E2496A" w:rsidRPr="0063551F">
        <w:rPr>
          <w:vertAlign w:val="superscript"/>
        </w:rPr>
        <w:fldChar w:fldCharType="end"/>
      </w:r>
      <w:r w:rsidRPr="008D1A55">
        <w:t xml:space="preserve"> up to 19 March 2020.</w:t>
      </w:r>
    </w:p>
    <w:p w14:paraId="63757D8B" w14:textId="732FC2ED" w:rsidR="00033632" w:rsidRPr="008D1A55" w:rsidRDefault="00CD7C54" w:rsidP="00033632">
      <w:pPr>
        <w:pStyle w:val="Numberbullet0"/>
        <w:rPr>
          <w:b/>
          <w:bCs/>
          <w:i/>
          <w:iCs/>
        </w:rPr>
      </w:pPr>
      <w:r w:rsidRPr="008D1A55">
        <w:rPr>
          <w:b/>
          <w:bCs/>
          <w:i/>
          <w:iCs/>
        </w:rPr>
        <w:t xml:space="preserve">Can </w:t>
      </w:r>
      <w:r>
        <w:rPr>
          <w:b/>
          <w:bCs/>
          <w:i/>
          <w:iCs/>
        </w:rPr>
        <w:t>the sponsor please</w:t>
      </w:r>
      <w:r w:rsidRPr="008D1A55">
        <w:rPr>
          <w:b/>
          <w:bCs/>
          <w:i/>
          <w:iCs/>
        </w:rPr>
        <w:t xml:space="preserve"> </w:t>
      </w:r>
      <w:r>
        <w:rPr>
          <w:b/>
          <w:bCs/>
          <w:i/>
          <w:iCs/>
        </w:rPr>
        <w:t>provide the l</w:t>
      </w:r>
      <w:r w:rsidR="00033632" w:rsidRPr="008D1A55">
        <w:rPr>
          <w:b/>
          <w:bCs/>
          <w:i/>
          <w:iCs/>
        </w:rPr>
        <w:t xml:space="preserve">atest information on deaths if different from the </w:t>
      </w:r>
      <w:r w:rsidR="00914173">
        <w:rPr>
          <w:b/>
          <w:bCs/>
          <w:i/>
          <w:iCs/>
        </w:rPr>
        <w:t xml:space="preserve">United States </w:t>
      </w:r>
      <w:r w:rsidR="00565914" w:rsidRPr="008D1A55">
        <w:rPr>
          <w:b/>
          <w:bCs/>
          <w:i/>
          <w:iCs/>
        </w:rPr>
        <w:t xml:space="preserve">Food and Drug Administration </w:t>
      </w:r>
      <w:r w:rsidR="00033632" w:rsidRPr="008D1A55">
        <w:rPr>
          <w:b/>
          <w:bCs/>
          <w:i/>
          <w:iCs/>
        </w:rPr>
        <w:t>review.</w:t>
      </w:r>
    </w:p>
    <w:p w14:paraId="2E4A3A2B" w14:textId="7636D87F" w:rsidR="00D670EF" w:rsidRPr="008D1A55" w:rsidRDefault="00D670EF" w:rsidP="00D670EF">
      <w:r w:rsidRPr="008D1A55">
        <w:t xml:space="preserve">Study </w:t>
      </w:r>
      <w:r w:rsidR="001C6635" w:rsidRPr="008D1A55">
        <w:t>D3461C00009</w:t>
      </w:r>
      <w:r w:rsidR="00E2496A">
        <w:t>;</w:t>
      </w:r>
      <w:r w:rsidR="00E2496A" w:rsidRPr="00CF4CE3">
        <w:rPr>
          <w:vertAlign w:val="superscript"/>
        </w:rPr>
        <w:fldChar w:fldCharType="begin"/>
      </w:r>
      <w:r w:rsidR="00E2496A" w:rsidRPr="00CF4CE3">
        <w:rPr>
          <w:vertAlign w:val="superscript"/>
        </w:rPr>
        <w:instrText xml:space="preserve"> NOTEREF _Ref121152408 \h </w:instrText>
      </w:r>
      <w:r w:rsidR="00E2496A">
        <w:rPr>
          <w:vertAlign w:val="superscript"/>
        </w:rPr>
        <w:instrText xml:space="preserve"> \* MERGEFORMAT </w:instrText>
      </w:r>
      <w:r w:rsidR="00E2496A" w:rsidRPr="00CF4CE3">
        <w:rPr>
          <w:vertAlign w:val="superscript"/>
        </w:rPr>
      </w:r>
      <w:r w:rsidR="00E2496A" w:rsidRPr="00CF4CE3">
        <w:rPr>
          <w:vertAlign w:val="superscript"/>
        </w:rPr>
        <w:fldChar w:fldCharType="separate"/>
      </w:r>
      <w:r w:rsidR="00E2496A" w:rsidRPr="00CF4CE3">
        <w:rPr>
          <w:vertAlign w:val="superscript"/>
        </w:rPr>
        <w:t>23</w:t>
      </w:r>
      <w:r w:rsidR="00E2496A" w:rsidRPr="00CF4CE3">
        <w:rPr>
          <w:vertAlign w:val="superscript"/>
        </w:rPr>
        <w:fldChar w:fldCharType="end"/>
      </w:r>
      <w:r w:rsidRPr="008D1A55">
        <w:t xml:space="preserve"> is ongoing and remains blinded to all patients and investigators. Accordingly, the sponsor has not included treatment assignments for the deaths reported from </w:t>
      </w:r>
      <w:r w:rsidR="00AD6ECD" w:rsidRPr="008D1A55">
        <w:t xml:space="preserve">Study </w:t>
      </w:r>
      <w:r w:rsidR="001C6635" w:rsidRPr="008D1A55">
        <w:t>D3461C00009</w:t>
      </w:r>
      <w:r w:rsidRPr="008D1A55">
        <w:t xml:space="preserve"> below. All dosing has completed for </w:t>
      </w:r>
      <w:r w:rsidR="00AD6ECD" w:rsidRPr="008D1A55">
        <w:t xml:space="preserve">Study </w:t>
      </w:r>
      <w:proofErr w:type="gramStart"/>
      <w:r w:rsidR="001C6635" w:rsidRPr="008D1A55">
        <w:t>D3461C00009</w:t>
      </w:r>
      <w:proofErr w:type="gramEnd"/>
      <w:r w:rsidRPr="008D1A55">
        <w:t xml:space="preserve"> and last subject last visit was in December 2021. Database lock is targeted for March 2022 and completion of the clinical study report is targeted for September 2022.</w:t>
      </w:r>
    </w:p>
    <w:p w14:paraId="41052482" w14:textId="568B1B02" w:rsidR="00D670EF" w:rsidRPr="008D1A55" w:rsidRDefault="00D670EF" w:rsidP="00D670EF">
      <w:r w:rsidRPr="008D1A55">
        <w:t>A total of 3 deaths have been reported during the interval period between the 18</w:t>
      </w:r>
      <w:r w:rsidR="00C77DF7" w:rsidRPr="008D1A55">
        <w:t> </w:t>
      </w:r>
      <w:r w:rsidRPr="008D1A55">
        <w:t>January</w:t>
      </w:r>
      <w:r w:rsidR="00C77DF7" w:rsidRPr="008D1A55">
        <w:t> </w:t>
      </w:r>
      <w:r w:rsidRPr="008D1A55">
        <w:t>2021 cut-off date for the information provided to the FDA and up to (and including) 3 January 2022.</w:t>
      </w:r>
    </w:p>
    <w:p w14:paraId="0E0B0294" w14:textId="4E79D273" w:rsidR="00D670EF" w:rsidRPr="008D1A55" w:rsidRDefault="00D670EF" w:rsidP="00D670EF">
      <w:r w:rsidRPr="008D1A55">
        <w:t xml:space="preserve">Two cases were reported from the ongoing </w:t>
      </w:r>
      <w:r w:rsidR="00AD6ECD" w:rsidRPr="008D1A55">
        <w:t xml:space="preserve">Study </w:t>
      </w:r>
      <w:r w:rsidR="001C6635" w:rsidRPr="008D1A55">
        <w:t>D3461C00009</w:t>
      </w:r>
      <w:r w:rsidRPr="008D1A55">
        <w:t>:</w:t>
      </w:r>
      <w:r w:rsidR="00E2496A" w:rsidRPr="00CF4CE3">
        <w:rPr>
          <w:vertAlign w:val="superscript"/>
        </w:rPr>
        <w:fldChar w:fldCharType="begin"/>
      </w:r>
      <w:r w:rsidR="00E2496A" w:rsidRPr="00CF4CE3">
        <w:rPr>
          <w:vertAlign w:val="superscript"/>
        </w:rPr>
        <w:instrText xml:space="preserve"> NOTEREF _Ref121152408 \h </w:instrText>
      </w:r>
      <w:r w:rsidR="00E2496A">
        <w:rPr>
          <w:vertAlign w:val="superscript"/>
        </w:rPr>
        <w:instrText xml:space="preserve"> \* MERGEFORMAT </w:instrText>
      </w:r>
      <w:r w:rsidR="00E2496A" w:rsidRPr="00CF4CE3">
        <w:rPr>
          <w:vertAlign w:val="superscript"/>
        </w:rPr>
      </w:r>
      <w:r w:rsidR="00E2496A" w:rsidRPr="00CF4CE3">
        <w:rPr>
          <w:vertAlign w:val="superscript"/>
        </w:rPr>
        <w:fldChar w:fldCharType="separate"/>
      </w:r>
      <w:r w:rsidR="00E2496A" w:rsidRPr="00CF4CE3">
        <w:rPr>
          <w:vertAlign w:val="superscript"/>
        </w:rPr>
        <w:t>23</w:t>
      </w:r>
      <w:r w:rsidR="00E2496A" w:rsidRPr="00CF4CE3">
        <w:rPr>
          <w:vertAlign w:val="superscript"/>
        </w:rPr>
        <w:fldChar w:fldCharType="end"/>
      </w:r>
    </w:p>
    <w:p w14:paraId="40ED7683" w14:textId="22FCF9B8" w:rsidR="00D670EF" w:rsidRPr="008D1A55" w:rsidRDefault="00D670EF" w:rsidP="00D670EF">
      <w:pPr>
        <w:pStyle w:val="ListBullet"/>
      </w:pPr>
      <w:r w:rsidRPr="008D1A55">
        <w:t>The first case was reported as ‘</w:t>
      </w:r>
      <w:r w:rsidR="00C77DF7" w:rsidRPr="008D1A55">
        <w:t xml:space="preserve">unknown </w:t>
      </w:r>
      <w:r w:rsidRPr="008D1A55">
        <w:t>cause of death’ in a 32-year-old female from the US</w:t>
      </w:r>
      <w:r w:rsidR="001E36A6" w:rsidRPr="008D1A55">
        <w:t>A</w:t>
      </w:r>
      <w:r w:rsidRPr="008D1A55">
        <w:t>. The investigator assessed the event as not related to study therapy. Minimal information has been received to date, and efforts continue to obtain further information.</w:t>
      </w:r>
    </w:p>
    <w:p w14:paraId="74D054F7" w14:textId="33C956C0" w:rsidR="00D670EF" w:rsidRPr="008D1A55" w:rsidRDefault="00D670EF" w:rsidP="00D670EF">
      <w:pPr>
        <w:pStyle w:val="ListBullet"/>
      </w:pPr>
      <w:r w:rsidRPr="008D1A55">
        <w:lastRenderedPageBreak/>
        <w:t>The second case was reported as ‘</w:t>
      </w:r>
      <w:r w:rsidR="00C77DF7" w:rsidRPr="008D1A55">
        <w:t xml:space="preserve">lung </w:t>
      </w:r>
      <w:r w:rsidRPr="008D1A55">
        <w:t>adenocarcinoma’ in a 55-year-old male from Germany with multiple confounding factors. The investigator assessed the event as not related to study therapy.</w:t>
      </w:r>
    </w:p>
    <w:p w14:paraId="761AED94" w14:textId="5E04D757" w:rsidR="00D670EF" w:rsidRPr="008D1A55" w:rsidRDefault="00D670EF" w:rsidP="00D670EF">
      <w:r w:rsidRPr="008D1A55">
        <w:t>The third case was received from post-marketing sources. The case was reported as ‘</w:t>
      </w:r>
      <w:r w:rsidR="00C77DF7" w:rsidRPr="008D1A55">
        <w:t xml:space="preserve">passed </w:t>
      </w:r>
      <w:r w:rsidRPr="008D1A55">
        <w:t>away’ in a 64-year-old male from US</w:t>
      </w:r>
      <w:r w:rsidR="001E36A6" w:rsidRPr="008D1A55">
        <w:t>A</w:t>
      </w:r>
      <w:r w:rsidRPr="008D1A55">
        <w:t xml:space="preserve"> with very limited information. The cause of death was not reported.</w:t>
      </w:r>
    </w:p>
    <w:p w14:paraId="2D5E1C48" w14:textId="30C47A74" w:rsidR="00033632" w:rsidRPr="008D1A55" w:rsidRDefault="00CD7C54" w:rsidP="00033632">
      <w:pPr>
        <w:pStyle w:val="Numberbullet0"/>
        <w:rPr>
          <w:b/>
          <w:bCs/>
          <w:i/>
          <w:iCs/>
        </w:rPr>
      </w:pPr>
      <w:r w:rsidRPr="008D1A55">
        <w:rPr>
          <w:b/>
          <w:bCs/>
          <w:i/>
          <w:iCs/>
        </w:rPr>
        <w:t xml:space="preserve">Can </w:t>
      </w:r>
      <w:r>
        <w:rPr>
          <w:b/>
          <w:bCs/>
          <w:i/>
          <w:iCs/>
        </w:rPr>
        <w:t>the sponsor please</w:t>
      </w:r>
      <w:r w:rsidRPr="008D1A55">
        <w:rPr>
          <w:b/>
          <w:bCs/>
          <w:i/>
          <w:iCs/>
        </w:rPr>
        <w:t xml:space="preserve"> </w:t>
      </w:r>
      <w:r>
        <w:rPr>
          <w:b/>
          <w:bCs/>
          <w:i/>
          <w:iCs/>
        </w:rPr>
        <w:t>p</w:t>
      </w:r>
      <w:r w:rsidR="00033632" w:rsidRPr="008D1A55">
        <w:rPr>
          <w:b/>
          <w:bCs/>
          <w:i/>
          <w:iCs/>
        </w:rPr>
        <w:t xml:space="preserve">rovide the final </w:t>
      </w:r>
      <w:r w:rsidR="00C068CB" w:rsidRPr="008D1A55">
        <w:rPr>
          <w:b/>
          <w:bCs/>
          <w:i/>
          <w:iCs/>
        </w:rPr>
        <w:t xml:space="preserve">European </w:t>
      </w:r>
      <w:r>
        <w:rPr>
          <w:b/>
          <w:bCs/>
          <w:i/>
          <w:iCs/>
        </w:rPr>
        <w:t>S</w:t>
      </w:r>
      <w:r w:rsidR="006544C0" w:rsidRPr="008D1A55">
        <w:rPr>
          <w:b/>
          <w:bCs/>
          <w:i/>
          <w:iCs/>
        </w:rPr>
        <w:t>ummaries</w:t>
      </w:r>
      <w:r>
        <w:rPr>
          <w:b/>
          <w:bCs/>
          <w:i/>
          <w:iCs/>
        </w:rPr>
        <w:t xml:space="preserve"> </w:t>
      </w:r>
      <w:proofErr w:type="gramStart"/>
      <w:r>
        <w:rPr>
          <w:b/>
          <w:bCs/>
          <w:i/>
          <w:iCs/>
        </w:rPr>
        <w:t xml:space="preserve">of </w:t>
      </w:r>
      <w:r w:rsidR="006544C0" w:rsidRPr="008D1A55">
        <w:rPr>
          <w:b/>
          <w:bCs/>
          <w:i/>
          <w:iCs/>
        </w:rPr>
        <w:t xml:space="preserve"> </w:t>
      </w:r>
      <w:r>
        <w:rPr>
          <w:b/>
          <w:bCs/>
          <w:i/>
          <w:iCs/>
        </w:rPr>
        <w:t>P</w:t>
      </w:r>
      <w:r w:rsidR="006544C0" w:rsidRPr="008D1A55">
        <w:rPr>
          <w:b/>
          <w:bCs/>
          <w:i/>
          <w:iCs/>
        </w:rPr>
        <w:t>roduct</w:t>
      </w:r>
      <w:proofErr w:type="gramEnd"/>
      <w:r w:rsidR="006544C0" w:rsidRPr="008D1A55">
        <w:rPr>
          <w:b/>
          <w:bCs/>
          <w:i/>
          <w:iCs/>
        </w:rPr>
        <w:t xml:space="preserve"> </w:t>
      </w:r>
      <w:r>
        <w:rPr>
          <w:b/>
          <w:bCs/>
          <w:i/>
          <w:iCs/>
        </w:rPr>
        <w:t>C</w:t>
      </w:r>
      <w:r w:rsidR="006544C0" w:rsidRPr="008D1A55">
        <w:rPr>
          <w:b/>
          <w:bCs/>
          <w:i/>
          <w:iCs/>
        </w:rPr>
        <w:t>haracteristics</w:t>
      </w:r>
      <w:r>
        <w:rPr>
          <w:b/>
          <w:bCs/>
          <w:i/>
          <w:iCs/>
        </w:rPr>
        <w:t xml:space="preserve"> (SmPC)</w:t>
      </w:r>
      <w:r w:rsidR="006544C0" w:rsidRPr="008D1A55">
        <w:rPr>
          <w:b/>
          <w:bCs/>
          <w:i/>
          <w:iCs/>
        </w:rPr>
        <w:t xml:space="preserve"> </w:t>
      </w:r>
      <w:r w:rsidR="00033632" w:rsidRPr="008D1A55">
        <w:rPr>
          <w:b/>
          <w:bCs/>
          <w:i/>
          <w:iCs/>
        </w:rPr>
        <w:t>if available.</w:t>
      </w:r>
    </w:p>
    <w:p w14:paraId="1FB36FA6" w14:textId="4CEA2E86" w:rsidR="00033632" w:rsidRPr="008D1A55" w:rsidRDefault="006544C0" w:rsidP="00D670EF">
      <w:r w:rsidRPr="008D1A55">
        <w:t xml:space="preserve">The final EU </w:t>
      </w:r>
      <w:proofErr w:type="spellStart"/>
      <w:r w:rsidR="00CD7C54">
        <w:t>SmPCs</w:t>
      </w:r>
      <w:proofErr w:type="spellEnd"/>
      <w:r w:rsidR="00CD7C54">
        <w:t xml:space="preserve"> were provided.</w:t>
      </w:r>
    </w:p>
    <w:p w14:paraId="1CBCFBC0" w14:textId="77777777" w:rsidR="0074163C" w:rsidRPr="008D1A55" w:rsidRDefault="0074163C" w:rsidP="0074163C">
      <w:pPr>
        <w:pStyle w:val="Heading4"/>
      </w:pPr>
      <w:bookmarkStart w:id="90" w:name="_Toc98931936"/>
      <w:bookmarkStart w:id="91" w:name="_Toc247691532"/>
      <w:bookmarkStart w:id="92" w:name="_Toc314842516"/>
      <w:bookmarkEnd w:id="38"/>
      <w:bookmarkEnd w:id="82"/>
      <w:bookmarkEnd w:id="83"/>
      <w:r w:rsidRPr="008D1A55">
        <w:t>Advisory Committee considerations</w:t>
      </w:r>
      <w:bookmarkEnd w:id="90"/>
    </w:p>
    <w:p w14:paraId="1912B03F" w14:textId="715E3838" w:rsidR="0074163C" w:rsidRPr="008D1A55" w:rsidRDefault="0074163C" w:rsidP="0074163C">
      <w:pPr>
        <w:rPr>
          <w:bCs/>
        </w:rPr>
      </w:pPr>
      <w:r w:rsidRPr="008D1A55">
        <w:rPr>
          <w:bCs/>
        </w:rPr>
        <w:t xml:space="preserve">The </w:t>
      </w:r>
      <w:hyperlink r:id="rId24" w:history="1">
        <w:r w:rsidRPr="008D1A55">
          <w:rPr>
            <w:rStyle w:val="Hyperlink"/>
            <w:szCs w:val="21"/>
            <w:shd w:val="clear" w:color="auto" w:fill="FFFFFF" w:themeFill="background1"/>
          </w:rPr>
          <w:t>Advisory Committee on Medicines (ACM)</w:t>
        </w:r>
      </w:hyperlink>
      <w:r w:rsidRPr="008D1A55">
        <w:rPr>
          <w:szCs w:val="21"/>
          <w:shd w:val="clear" w:color="auto" w:fill="FFFFFF" w:themeFill="background1"/>
        </w:rPr>
        <w:t>,</w:t>
      </w:r>
      <w:r w:rsidRPr="008D1A55">
        <w:rPr>
          <w:bCs/>
          <w:shd w:val="clear" w:color="auto" w:fill="FFFFFF" w:themeFill="background1"/>
        </w:rPr>
        <w:t xml:space="preserve"> having considered the evaluations and the Delegate’s overview, as well as the sponsor’s response</w:t>
      </w:r>
      <w:r w:rsidRPr="008D1A55">
        <w:rPr>
          <w:bCs/>
        </w:rPr>
        <w:t xml:space="preserve"> to these documents, advised the following.</w:t>
      </w:r>
    </w:p>
    <w:p w14:paraId="7D001CE7" w14:textId="77777777" w:rsidR="0074163C" w:rsidRPr="008D1A55" w:rsidRDefault="0074163C" w:rsidP="0074163C">
      <w:pPr>
        <w:pStyle w:val="Heading5"/>
      </w:pPr>
      <w:r w:rsidRPr="008D1A55">
        <w:t>Specific advice to the Delegate</w:t>
      </w:r>
    </w:p>
    <w:p w14:paraId="3A973FE9" w14:textId="4F07A8B7" w:rsidR="00D670EF" w:rsidRPr="008D1A55" w:rsidRDefault="00D670EF" w:rsidP="003F492F">
      <w:pPr>
        <w:pStyle w:val="Numberbullet0"/>
        <w:numPr>
          <w:ilvl w:val="0"/>
          <w:numId w:val="8"/>
        </w:numPr>
        <w:rPr>
          <w:b/>
          <w:bCs/>
          <w:i/>
          <w:iCs/>
        </w:rPr>
      </w:pPr>
      <w:r w:rsidRPr="008D1A55">
        <w:rPr>
          <w:b/>
          <w:bCs/>
          <w:i/>
          <w:iCs/>
        </w:rPr>
        <w:t xml:space="preserve">What are ACM’s views on the efficacy of </w:t>
      </w:r>
      <w:proofErr w:type="spellStart"/>
      <w:r w:rsidR="00CD7C54">
        <w:rPr>
          <w:b/>
          <w:bCs/>
          <w:i/>
          <w:iCs/>
        </w:rPr>
        <w:t>a</w:t>
      </w:r>
      <w:r w:rsidRPr="008D1A55">
        <w:rPr>
          <w:b/>
          <w:bCs/>
          <w:i/>
          <w:iCs/>
        </w:rPr>
        <w:t>nifrolumab</w:t>
      </w:r>
      <w:proofErr w:type="spellEnd"/>
      <w:r w:rsidRPr="008D1A55">
        <w:rPr>
          <w:b/>
          <w:bCs/>
          <w:i/>
          <w:iCs/>
        </w:rPr>
        <w:t xml:space="preserve"> and to what extent is there sufficient clinical trial evidence to support the proposed indication for the treatment of moderate to severe </w:t>
      </w:r>
      <w:r w:rsidR="00014FA9" w:rsidRPr="008D1A55">
        <w:rPr>
          <w:b/>
          <w:bCs/>
          <w:i/>
          <w:iCs/>
        </w:rPr>
        <w:t>systemic lupus erythematosus</w:t>
      </w:r>
      <w:r w:rsidRPr="008D1A55">
        <w:rPr>
          <w:b/>
          <w:bCs/>
          <w:i/>
          <w:iCs/>
        </w:rPr>
        <w:t xml:space="preserve"> in adult patients despite standard therapy?</w:t>
      </w:r>
    </w:p>
    <w:p w14:paraId="577BA562" w14:textId="12244CE0" w:rsidR="00D670EF" w:rsidRPr="008D1A55" w:rsidRDefault="00D670EF" w:rsidP="00D670EF">
      <w:r w:rsidRPr="008D1A55">
        <w:t xml:space="preserve">The ACM agreed that there is sufficient clinical trial evidence to demonstrate that </w:t>
      </w:r>
      <w:proofErr w:type="spellStart"/>
      <w:r w:rsidRPr="008D1A55">
        <w:t>anifrolumab</w:t>
      </w:r>
      <w:proofErr w:type="spellEnd"/>
      <w:r w:rsidRPr="008D1A55">
        <w:t xml:space="preserve"> provides modest benefit for moderate to severe </w:t>
      </w:r>
      <w:r w:rsidR="00014FA9" w:rsidRPr="008D1A55">
        <w:t>systemic lupus erythematosus (</w:t>
      </w:r>
      <w:r w:rsidRPr="008D1A55">
        <w:t>SLE</w:t>
      </w:r>
      <w:r w:rsidR="00014FA9" w:rsidRPr="008D1A55">
        <w:t>)</w:t>
      </w:r>
      <w:r w:rsidRPr="008D1A55">
        <w:t xml:space="preserve"> with a focus on skin and joint disease.</w:t>
      </w:r>
    </w:p>
    <w:p w14:paraId="3D849557" w14:textId="15800EF2" w:rsidR="00D670EF" w:rsidRPr="008D1A55" w:rsidRDefault="00D670EF" w:rsidP="00D670EF">
      <w:r w:rsidRPr="008D1A55">
        <w:t xml:space="preserve">The ACM noted that while the TULIP-2 trial </w:t>
      </w:r>
      <w:r w:rsidR="00CD7C54">
        <w:t>(Study D3461C00004)</w:t>
      </w:r>
      <w:r w:rsidR="00CD7C54" w:rsidRPr="00CD7C54">
        <w:t xml:space="preserve"> </w:t>
      </w:r>
      <w:r w:rsidRPr="008D1A55">
        <w:t xml:space="preserve">using the BICLA measurements met the primary efficacy endpoint, the TULIP-1 trial </w:t>
      </w:r>
      <w:r w:rsidR="00CD7C54">
        <w:t>(S</w:t>
      </w:r>
      <w:r w:rsidR="00CD7C54" w:rsidRPr="00CD7C54">
        <w:t>tudy D3461C00005</w:t>
      </w:r>
      <w:r w:rsidR="00CD7C54">
        <w:t>)</w:t>
      </w:r>
      <w:r w:rsidR="00CD7C54" w:rsidRPr="00CD7C54">
        <w:t xml:space="preserve"> </w:t>
      </w:r>
      <w:r w:rsidRPr="008D1A55">
        <w:t>using the SRI measurement did not.</w:t>
      </w:r>
    </w:p>
    <w:p w14:paraId="2262044C" w14:textId="5D1456C4" w:rsidR="00D670EF" w:rsidRPr="008D1A55" w:rsidRDefault="00D670EF" w:rsidP="00D670EF">
      <w:r w:rsidRPr="008D1A55">
        <w:t xml:space="preserve">The ACM commented that the complexity of the outcome measures chosen (and changed) for the two pivotal studies and variations in the analysis of the TULIP-1 trial </w:t>
      </w:r>
      <w:r w:rsidR="00CD7C54">
        <w:t>(S</w:t>
      </w:r>
      <w:r w:rsidR="00CD7C54" w:rsidRPr="00CD7C54">
        <w:t>tudy D3461C00005</w:t>
      </w:r>
      <w:r w:rsidR="00CD7C54">
        <w:t>)</w:t>
      </w:r>
      <w:r w:rsidR="00CD7C54" w:rsidRPr="00CD7C54">
        <w:t xml:space="preserve"> </w:t>
      </w:r>
      <w:r w:rsidRPr="008D1A55">
        <w:t>made the interpretation of efficacy difficult.</w:t>
      </w:r>
    </w:p>
    <w:p w14:paraId="254B9B59" w14:textId="39D25AF1" w:rsidR="00D670EF" w:rsidRPr="008D1A55" w:rsidRDefault="00D670EF" w:rsidP="00D670EF">
      <w:r w:rsidRPr="008D1A55">
        <w:t xml:space="preserve">The ACM recognised the complexity of SLE and acknowledged the difficulties in finding large effect sizes in this heterogenous group of patients. The ACM noted that within the TULIP-2 trial </w:t>
      </w:r>
      <w:r w:rsidR="00CD7C54">
        <w:t>(Study D3461C00004)</w:t>
      </w:r>
      <w:r w:rsidR="00CD7C54" w:rsidRPr="00CD7C54">
        <w:t xml:space="preserve"> </w:t>
      </w:r>
      <w:r w:rsidRPr="008D1A55">
        <w:t xml:space="preserve">at </w:t>
      </w:r>
      <w:r w:rsidR="00CA1444" w:rsidRPr="008D1A55">
        <w:t>Baseline</w:t>
      </w:r>
      <w:r w:rsidRPr="008D1A55">
        <w:t xml:space="preserve"> the disease activity and previous treatments applied to the enrolled patients would suggest a group with quite severe disease and although the differences between the </w:t>
      </w:r>
      <w:proofErr w:type="spellStart"/>
      <w:r w:rsidRPr="008D1A55">
        <w:t>anifrolumab</w:t>
      </w:r>
      <w:proofErr w:type="spellEnd"/>
      <w:r w:rsidRPr="008D1A55">
        <w:t xml:space="preserve"> and placebo treated patients were small the number needed to treat to achieve a BICLA response at 52 weeks was 6 which is likely to be of clinical utility.</w:t>
      </w:r>
    </w:p>
    <w:p w14:paraId="60936099" w14:textId="73E04CBE" w:rsidR="00D670EF" w:rsidRPr="008D1A55" w:rsidRDefault="00D670EF" w:rsidP="0063551F">
      <w:pPr>
        <w:tabs>
          <w:tab w:val="left" w:pos="6677"/>
        </w:tabs>
      </w:pPr>
      <w:r w:rsidRPr="008D1A55">
        <w:t>The ACM commented that patients with active or unstable neuropsychiatric or renal SLE were excluded from the TULIP-2 trial</w:t>
      </w:r>
      <w:r w:rsidR="00F44D9E">
        <w:t xml:space="preserve"> (Study D3461C00004)</w:t>
      </w:r>
      <w:r w:rsidRPr="008D1A55">
        <w:t xml:space="preserve">. As such the ACM was of the view that there is insufficient evidence for use of </w:t>
      </w:r>
      <w:proofErr w:type="spellStart"/>
      <w:r w:rsidRPr="008D1A55">
        <w:t>anifrolumab</w:t>
      </w:r>
      <w:proofErr w:type="spellEnd"/>
      <w:r w:rsidRPr="008D1A55">
        <w:t xml:space="preserve"> in renal and central nervous system disease sub-groups. The ACM acknowledged the TULIP-LN</w:t>
      </w:r>
      <w:r w:rsidR="00B86247">
        <w:t>1</w:t>
      </w:r>
      <w:r w:rsidRPr="008D1A55">
        <w:t xml:space="preserve"> trial </w:t>
      </w:r>
      <w:r w:rsidR="00B86247">
        <w:t>(Study </w:t>
      </w:r>
      <w:r w:rsidR="00B86247" w:rsidRPr="00B86247">
        <w:t>D3461C00007</w:t>
      </w:r>
      <w:r w:rsidR="00B86247">
        <w:t>);</w:t>
      </w:r>
      <w:r w:rsidR="008A3656" w:rsidRPr="0063551F">
        <w:rPr>
          <w:vertAlign w:val="superscript"/>
        </w:rPr>
        <w:fldChar w:fldCharType="begin"/>
      </w:r>
      <w:r w:rsidR="008A3656" w:rsidRPr="0063551F">
        <w:rPr>
          <w:vertAlign w:val="superscript"/>
        </w:rPr>
        <w:instrText xml:space="preserve"> NOTEREF _Ref121170441 \h </w:instrText>
      </w:r>
      <w:r w:rsidR="008A3656">
        <w:rPr>
          <w:vertAlign w:val="superscript"/>
        </w:rPr>
        <w:instrText xml:space="preserve"> \* MERGEFORMAT </w:instrText>
      </w:r>
      <w:r w:rsidR="008A3656" w:rsidRPr="0063551F">
        <w:rPr>
          <w:vertAlign w:val="superscript"/>
        </w:rPr>
      </w:r>
      <w:r w:rsidR="008A3656" w:rsidRPr="0063551F">
        <w:rPr>
          <w:vertAlign w:val="superscript"/>
        </w:rPr>
        <w:fldChar w:fldCharType="separate"/>
      </w:r>
      <w:r w:rsidR="008A3656" w:rsidRPr="0063551F">
        <w:rPr>
          <w:vertAlign w:val="superscript"/>
        </w:rPr>
        <w:t>26</w:t>
      </w:r>
      <w:r w:rsidR="008A3656" w:rsidRPr="0063551F">
        <w:rPr>
          <w:vertAlign w:val="superscript"/>
        </w:rPr>
        <w:fldChar w:fldCharType="end"/>
      </w:r>
      <w:r w:rsidR="00B86247" w:rsidRPr="00B86247">
        <w:t xml:space="preserve"> </w:t>
      </w:r>
      <w:r w:rsidRPr="008D1A55">
        <w:t>which focuses on lupus nephritis, however noted that this study was not included within the data set provided to the TGA.</w:t>
      </w:r>
    </w:p>
    <w:p w14:paraId="10EDC16D" w14:textId="77777777" w:rsidR="00D670EF" w:rsidRPr="008D1A55" w:rsidRDefault="00D670EF" w:rsidP="00D670EF">
      <w:r w:rsidRPr="008D1A55">
        <w:t xml:space="preserve">Given the complex and diverse presentations of SLE in addition to the insufficient evidence in support of the use of </w:t>
      </w:r>
      <w:proofErr w:type="spellStart"/>
      <w:r w:rsidRPr="008D1A55">
        <w:t>anifrolumab</w:t>
      </w:r>
      <w:proofErr w:type="spellEnd"/>
      <w:r w:rsidRPr="008D1A55">
        <w:t xml:space="preserve"> in some SLE sub-groups the ACM agreed that this treatment should be initiated and supervised by a physician experienced in the treatment of SLE.</w:t>
      </w:r>
    </w:p>
    <w:p w14:paraId="0C221F09" w14:textId="77777777" w:rsidR="00D670EF" w:rsidRPr="008D1A55" w:rsidRDefault="00D670EF" w:rsidP="00D670EF">
      <w:r w:rsidRPr="008D1A55">
        <w:t xml:space="preserve">Overall, the ACM was supportive of an indication for the treatment of moderate to severe SLE in adults that excluded use in patients within neuropsychiatric SLE and/or lupus </w:t>
      </w:r>
      <w:r w:rsidRPr="008D1A55">
        <w:lastRenderedPageBreak/>
        <w:t>nephritis and was initiated and supervised by a physician experienced in the treatment of SLE.</w:t>
      </w:r>
    </w:p>
    <w:p w14:paraId="140D44BC" w14:textId="7EED142C" w:rsidR="00D670EF" w:rsidRPr="008D1A55" w:rsidRDefault="00D670EF" w:rsidP="00D670EF">
      <w:pPr>
        <w:pStyle w:val="Numberbullet0"/>
        <w:rPr>
          <w:b/>
          <w:bCs/>
          <w:i/>
          <w:iCs/>
        </w:rPr>
      </w:pPr>
      <w:r w:rsidRPr="008D1A55">
        <w:rPr>
          <w:b/>
          <w:bCs/>
          <w:i/>
          <w:iCs/>
        </w:rPr>
        <w:t xml:space="preserve">Do we need to restrict the indication for </w:t>
      </w:r>
      <w:r w:rsidR="00D264E5" w:rsidRPr="008D1A55">
        <w:rPr>
          <w:b/>
          <w:bCs/>
          <w:i/>
          <w:iCs/>
        </w:rPr>
        <w:t>Type I</w:t>
      </w:r>
      <w:r w:rsidRPr="008D1A55">
        <w:rPr>
          <w:b/>
          <w:bCs/>
          <w:i/>
          <w:iCs/>
        </w:rPr>
        <w:t xml:space="preserve"> </w:t>
      </w:r>
      <w:r w:rsidR="00D264E5" w:rsidRPr="008D1A55">
        <w:rPr>
          <w:b/>
          <w:bCs/>
          <w:i/>
          <w:iCs/>
        </w:rPr>
        <w:t>interferon</w:t>
      </w:r>
      <w:r w:rsidRPr="008D1A55">
        <w:rPr>
          <w:b/>
          <w:bCs/>
          <w:i/>
          <w:iCs/>
        </w:rPr>
        <w:t xml:space="preserve"> </w:t>
      </w:r>
      <w:r w:rsidR="00924BB4">
        <w:rPr>
          <w:b/>
          <w:bCs/>
          <w:i/>
          <w:iCs/>
        </w:rPr>
        <w:t>signature test ‘h</w:t>
      </w:r>
      <w:r w:rsidRPr="008D1A55">
        <w:rPr>
          <w:b/>
          <w:bCs/>
          <w:i/>
          <w:iCs/>
        </w:rPr>
        <w:t>igh</w:t>
      </w:r>
      <w:r w:rsidR="00924BB4">
        <w:rPr>
          <w:b/>
          <w:bCs/>
          <w:i/>
          <w:iCs/>
        </w:rPr>
        <w:t>’ response</w:t>
      </w:r>
      <w:r w:rsidRPr="008D1A55">
        <w:rPr>
          <w:b/>
          <w:bCs/>
          <w:i/>
          <w:iCs/>
        </w:rPr>
        <w:t xml:space="preserve"> patients only?</w:t>
      </w:r>
    </w:p>
    <w:p w14:paraId="5C129711" w14:textId="77151EE3" w:rsidR="00D670EF" w:rsidRPr="008D1A55" w:rsidRDefault="00D670EF" w:rsidP="00D670EF">
      <w:r w:rsidRPr="008D1A55">
        <w:t xml:space="preserve">The ACM was of the view that based on current data it is not appropriate to restrict usage to </w:t>
      </w:r>
      <w:r w:rsidR="00924BB4">
        <w:t xml:space="preserve">patients with a </w:t>
      </w:r>
      <w:r w:rsidR="00D264E5" w:rsidRPr="008D1A55">
        <w:t>Type I</w:t>
      </w:r>
      <w:r w:rsidRPr="008D1A55">
        <w:t xml:space="preserve"> </w:t>
      </w:r>
      <w:r w:rsidR="00D264E5" w:rsidRPr="008D1A55">
        <w:t>interferon</w:t>
      </w:r>
      <w:r w:rsidRPr="008D1A55">
        <w:t xml:space="preserve"> </w:t>
      </w:r>
      <w:r w:rsidR="00924BB4">
        <w:t>signature test ‘</w:t>
      </w:r>
      <w:r w:rsidR="000A7DF9">
        <w:t>h</w:t>
      </w:r>
      <w:r w:rsidRPr="008D1A55">
        <w:t>igh</w:t>
      </w:r>
      <w:r w:rsidR="00924BB4">
        <w:t>’ response.</w:t>
      </w:r>
    </w:p>
    <w:p w14:paraId="503A5EE9" w14:textId="64BB1555" w:rsidR="00D670EF" w:rsidRPr="008D1A55" w:rsidRDefault="00D670EF" w:rsidP="00D670EF">
      <w:r w:rsidRPr="008D1A55">
        <w:t>The ACM advised that there is limited evidence to indicate that the gene signature is an effect modifier. In providing this advice, the ACM noted the small number of patients (</w:t>
      </w:r>
      <w:r w:rsidR="00C77DF7" w:rsidRPr="008D1A55">
        <w:t xml:space="preserve">approximately </w:t>
      </w:r>
      <w:r w:rsidRPr="008D1A55">
        <w:t xml:space="preserve">16%) with normal </w:t>
      </w:r>
      <w:r w:rsidR="00D264E5" w:rsidRPr="008D1A55">
        <w:t>Type I</w:t>
      </w:r>
      <w:r w:rsidRPr="008D1A55">
        <w:t xml:space="preserve"> </w:t>
      </w:r>
      <w:r w:rsidR="00D264E5" w:rsidRPr="008D1A55">
        <w:t>interferon</w:t>
      </w:r>
      <w:r w:rsidRPr="008D1A55">
        <w:t xml:space="preserve"> gene signature that had a similar response to those with high levels.</w:t>
      </w:r>
    </w:p>
    <w:p w14:paraId="6A57F486" w14:textId="40702302" w:rsidR="00D670EF" w:rsidRPr="008D1A55" w:rsidRDefault="00D670EF" w:rsidP="00D670EF">
      <w:r w:rsidRPr="008D1A55">
        <w:t xml:space="preserve">The ACM also noted that the </w:t>
      </w:r>
      <w:r w:rsidR="00D264E5" w:rsidRPr="008D1A55">
        <w:t>Type I</w:t>
      </w:r>
      <w:r w:rsidRPr="008D1A55">
        <w:t xml:space="preserve"> </w:t>
      </w:r>
      <w:r w:rsidR="00D264E5" w:rsidRPr="008D1A55">
        <w:t>interferon</w:t>
      </w:r>
      <w:r w:rsidRPr="008D1A55">
        <w:t xml:space="preserve"> gene signature test is not readily available in Australia.</w:t>
      </w:r>
    </w:p>
    <w:p w14:paraId="4B4C9764" w14:textId="746B559E" w:rsidR="00D670EF" w:rsidRPr="008D1A55" w:rsidRDefault="00D670EF" w:rsidP="00D670EF">
      <w:pPr>
        <w:pStyle w:val="Numberbullet0"/>
        <w:rPr>
          <w:b/>
          <w:bCs/>
          <w:i/>
          <w:iCs/>
        </w:rPr>
      </w:pPr>
      <w:r w:rsidRPr="008D1A55">
        <w:rPr>
          <w:b/>
          <w:bCs/>
          <w:i/>
          <w:iCs/>
        </w:rPr>
        <w:t xml:space="preserve">Does the ACM consider that the safety of </w:t>
      </w:r>
      <w:proofErr w:type="spellStart"/>
      <w:r w:rsidRPr="008D1A55">
        <w:rPr>
          <w:b/>
          <w:bCs/>
          <w:i/>
          <w:iCs/>
        </w:rPr>
        <w:t>Anifrolumab</w:t>
      </w:r>
      <w:proofErr w:type="spellEnd"/>
      <w:r w:rsidRPr="008D1A55">
        <w:rPr>
          <w:b/>
          <w:bCs/>
          <w:i/>
          <w:iCs/>
        </w:rPr>
        <w:t xml:space="preserve"> in the proposed indication is sufficiently well characterised and communicated in the </w:t>
      </w:r>
      <w:r w:rsidR="00C77DF7" w:rsidRPr="008D1A55">
        <w:rPr>
          <w:b/>
          <w:bCs/>
          <w:i/>
          <w:iCs/>
        </w:rPr>
        <w:t>Product Information</w:t>
      </w:r>
      <w:r w:rsidRPr="008D1A55">
        <w:rPr>
          <w:b/>
          <w:bCs/>
          <w:i/>
          <w:iCs/>
        </w:rPr>
        <w:t>?</w:t>
      </w:r>
    </w:p>
    <w:p w14:paraId="5458A195" w14:textId="77777777" w:rsidR="00D670EF" w:rsidRPr="008D1A55" w:rsidRDefault="00D670EF" w:rsidP="00D670EF">
      <w:r w:rsidRPr="008D1A55">
        <w:t xml:space="preserve">The ACM was of the view that the known safety profile of </w:t>
      </w:r>
      <w:proofErr w:type="spellStart"/>
      <w:r w:rsidRPr="008D1A55">
        <w:t>anifrolumab</w:t>
      </w:r>
      <w:proofErr w:type="spellEnd"/>
      <w:r w:rsidRPr="008D1A55">
        <w:t xml:space="preserve"> was well characterised within the PI. However, the ACM acknowledged the reasonably limited number of patients exposed to </w:t>
      </w:r>
      <w:proofErr w:type="spellStart"/>
      <w:r w:rsidRPr="008D1A55">
        <w:t>anifrolumab</w:t>
      </w:r>
      <w:proofErr w:type="spellEnd"/>
      <w:r w:rsidRPr="008D1A55">
        <w:t>.</w:t>
      </w:r>
    </w:p>
    <w:p w14:paraId="673BAB31" w14:textId="77777777" w:rsidR="00D670EF" w:rsidRPr="008D1A55" w:rsidRDefault="00D670EF" w:rsidP="00D670EF">
      <w:r w:rsidRPr="008D1A55">
        <w:t xml:space="preserve">The ACM agreed that based on limited data in pregnancy </w:t>
      </w:r>
      <w:proofErr w:type="spellStart"/>
      <w:r w:rsidRPr="008D1A55">
        <w:t>anifrolumab</w:t>
      </w:r>
      <w:proofErr w:type="spellEnd"/>
      <w:r w:rsidRPr="008D1A55">
        <w:t xml:space="preserve"> should not be used during pregnancy and this should be clearly stated within the PI.</w:t>
      </w:r>
    </w:p>
    <w:p w14:paraId="77235D60" w14:textId="2CED381A" w:rsidR="00D670EF" w:rsidRPr="008D1A55" w:rsidRDefault="00D670EF" w:rsidP="00D670EF">
      <w:pPr>
        <w:pStyle w:val="Numberbullet0"/>
        <w:rPr>
          <w:b/>
          <w:bCs/>
          <w:i/>
          <w:iCs/>
        </w:rPr>
      </w:pPr>
      <w:r w:rsidRPr="008D1A55">
        <w:rPr>
          <w:b/>
          <w:bCs/>
          <w:i/>
          <w:iCs/>
        </w:rPr>
        <w:t xml:space="preserve">The Committee is also requested to provide advice on any other issues that it thinks may be relevant to a decision on </w:t>
      </w:r>
      <w:proofErr w:type="gramStart"/>
      <w:r w:rsidRPr="008D1A55">
        <w:rPr>
          <w:b/>
          <w:bCs/>
          <w:i/>
          <w:iCs/>
        </w:rPr>
        <w:t>whether or not</w:t>
      </w:r>
      <w:proofErr w:type="gramEnd"/>
      <w:r w:rsidRPr="008D1A55">
        <w:rPr>
          <w:b/>
          <w:bCs/>
          <w:i/>
          <w:iCs/>
        </w:rPr>
        <w:t xml:space="preserve"> to approve this application.</w:t>
      </w:r>
    </w:p>
    <w:p w14:paraId="22C21F44" w14:textId="77777777" w:rsidR="00D670EF" w:rsidRPr="008D1A55" w:rsidRDefault="00D670EF" w:rsidP="00D670EF">
      <w:r w:rsidRPr="008D1A55">
        <w:t>The ACM advised that the following points could be included within the PI, as appropriate:</w:t>
      </w:r>
    </w:p>
    <w:p w14:paraId="0C36430E" w14:textId="78B2EC8E" w:rsidR="00D670EF" w:rsidRPr="008D1A55" w:rsidRDefault="00D670EF" w:rsidP="00D670EF">
      <w:pPr>
        <w:pStyle w:val="ListBullet"/>
      </w:pPr>
      <w:r w:rsidRPr="008D1A55">
        <w:t>List of standard therapies and doses that are required to have been trialled for at least 3</w:t>
      </w:r>
      <w:r w:rsidR="00C77DF7" w:rsidRPr="008D1A55">
        <w:t> </w:t>
      </w:r>
      <w:r w:rsidRPr="008D1A55">
        <w:t xml:space="preserve">months and deemed ineffective prior to commencing </w:t>
      </w:r>
      <w:proofErr w:type="spellStart"/>
      <w:r w:rsidRPr="008D1A55">
        <w:t>anifrolumab</w:t>
      </w:r>
      <w:proofErr w:type="spellEnd"/>
      <w:r w:rsidRPr="008D1A55">
        <w:t>.</w:t>
      </w:r>
    </w:p>
    <w:p w14:paraId="18B73147" w14:textId="77777777" w:rsidR="00D670EF" w:rsidRPr="008D1A55" w:rsidRDefault="00D670EF" w:rsidP="00D670EF">
      <w:pPr>
        <w:pStyle w:val="ListBullet"/>
      </w:pPr>
      <w:r w:rsidRPr="008D1A55">
        <w:t>Skin score and number of active joints reported in the clinical trials.</w:t>
      </w:r>
    </w:p>
    <w:p w14:paraId="46EA2551" w14:textId="15CE7587" w:rsidR="00D670EF" w:rsidRPr="008D1A55" w:rsidRDefault="00D670EF" w:rsidP="00D670EF">
      <w:pPr>
        <w:pStyle w:val="ListBullet"/>
      </w:pPr>
      <w:r w:rsidRPr="008D1A55">
        <w:t xml:space="preserve">Recommendation that patients are tested for </w:t>
      </w:r>
      <w:r w:rsidR="00846BC8" w:rsidRPr="008D1A55">
        <w:t xml:space="preserve">hepatitis </w:t>
      </w:r>
      <w:r w:rsidRPr="008D1A55">
        <w:t>B, C, and tuberculosis, where relevant.</w:t>
      </w:r>
    </w:p>
    <w:p w14:paraId="1FA67AEE" w14:textId="77777777" w:rsidR="00D670EF" w:rsidRPr="008D1A55" w:rsidRDefault="00D670EF" w:rsidP="00D670EF">
      <w:pPr>
        <w:pStyle w:val="ListBullet"/>
      </w:pPr>
      <w:r w:rsidRPr="008D1A55">
        <w:t xml:space="preserve">That patients are reviewed every six months and </w:t>
      </w:r>
      <w:proofErr w:type="spellStart"/>
      <w:r w:rsidRPr="008D1A55">
        <w:t>anifrolumab</w:t>
      </w:r>
      <w:proofErr w:type="spellEnd"/>
      <w:r w:rsidRPr="008D1A55">
        <w:t xml:space="preserve"> is discontinued if ineffective.</w:t>
      </w:r>
    </w:p>
    <w:p w14:paraId="27AB5A6E" w14:textId="77777777" w:rsidR="0074163C" w:rsidRPr="008D1A55" w:rsidRDefault="0074163C" w:rsidP="0074163C">
      <w:pPr>
        <w:pStyle w:val="Heading5"/>
      </w:pPr>
      <w:r w:rsidRPr="008D1A55">
        <w:t>Conclusion</w:t>
      </w:r>
    </w:p>
    <w:p w14:paraId="34D24AAA" w14:textId="77777777" w:rsidR="00D670EF" w:rsidRPr="008D1A55" w:rsidRDefault="00D670EF" w:rsidP="00D670EF">
      <w:r w:rsidRPr="008D1A55">
        <w:t>The ACM considered this product to have an overall positive benefit-risk profile for the indication:</w:t>
      </w:r>
    </w:p>
    <w:p w14:paraId="02873C32" w14:textId="77777777" w:rsidR="00D670EF" w:rsidRPr="008D1A55" w:rsidRDefault="00D670EF" w:rsidP="00D670EF">
      <w:pPr>
        <w:ind w:left="720"/>
        <w:rPr>
          <w:i/>
          <w:iCs/>
        </w:rPr>
      </w:pPr>
      <w:proofErr w:type="spellStart"/>
      <w:r w:rsidRPr="008D1A55">
        <w:rPr>
          <w:i/>
          <w:iCs/>
        </w:rPr>
        <w:t>Saphnelo</w:t>
      </w:r>
      <w:proofErr w:type="spellEnd"/>
      <w:r w:rsidRPr="008D1A55">
        <w:rPr>
          <w:i/>
          <w:iCs/>
        </w:rPr>
        <w:t xml:space="preserve"> (</w:t>
      </w:r>
      <w:proofErr w:type="spellStart"/>
      <w:r w:rsidRPr="008D1A55">
        <w:rPr>
          <w:i/>
          <w:iCs/>
        </w:rPr>
        <w:t>anifrolumab</w:t>
      </w:r>
      <w:proofErr w:type="spellEnd"/>
      <w:r w:rsidRPr="008D1A55">
        <w:rPr>
          <w:i/>
          <w:iCs/>
        </w:rPr>
        <w:t>) is indicated as add on for the treatment of adult patients with moderate to severe systemic lupus erythematosus (SLE) despite standard therapy, excluding patients with neuropsychiatric SLE and/or lupus nephritis.</w:t>
      </w:r>
    </w:p>
    <w:p w14:paraId="191CF4E0" w14:textId="77777777" w:rsidR="00D670EF" w:rsidRPr="008D1A55" w:rsidRDefault="00D670EF" w:rsidP="00D670EF">
      <w:pPr>
        <w:ind w:left="720"/>
        <w:rPr>
          <w:i/>
          <w:iCs/>
        </w:rPr>
      </w:pPr>
      <w:r w:rsidRPr="008D1A55">
        <w:rPr>
          <w:i/>
          <w:iCs/>
        </w:rPr>
        <w:t>Treatment should be initiated and supervised by a physician experienced in the treatment of SLE.</w:t>
      </w:r>
    </w:p>
    <w:p w14:paraId="70F206CE" w14:textId="16D7B595" w:rsidR="008E7846" w:rsidRPr="008D1A55" w:rsidRDefault="008E7846" w:rsidP="00D212F3">
      <w:pPr>
        <w:pStyle w:val="Heading2"/>
      </w:pPr>
      <w:bookmarkStart w:id="93" w:name="_Toc117166184"/>
      <w:r w:rsidRPr="008D1A55">
        <w:t>Outcome</w:t>
      </w:r>
      <w:bookmarkEnd w:id="91"/>
      <w:bookmarkEnd w:id="92"/>
      <w:bookmarkEnd w:id="93"/>
    </w:p>
    <w:p w14:paraId="0FFBF72A" w14:textId="7DF59333" w:rsidR="0074163C" w:rsidRPr="008D1A55" w:rsidRDefault="0074163C" w:rsidP="0074163C">
      <w:bookmarkStart w:id="94" w:name="_Toc247691533"/>
      <w:bookmarkStart w:id="95" w:name="_Toc314842517"/>
      <w:r w:rsidRPr="008D1A55">
        <w:t xml:space="preserve">Based on a review of quality, </w:t>
      </w:r>
      <w:r w:rsidR="00CC5044" w:rsidRPr="008D1A55">
        <w:t>safety,</w:t>
      </w:r>
      <w:r w:rsidRPr="008D1A55">
        <w:t xml:space="preserve"> and efficacy, the TGA approved the registration of </w:t>
      </w:r>
      <w:proofErr w:type="spellStart"/>
      <w:r w:rsidR="00FD6E62" w:rsidRPr="008D1A55">
        <w:t>Saphnelo</w:t>
      </w:r>
      <w:proofErr w:type="spellEnd"/>
      <w:r w:rsidRPr="008D1A55">
        <w:t xml:space="preserve"> (</w:t>
      </w:r>
      <w:proofErr w:type="spellStart"/>
      <w:r w:rsidR="00FD6E62" w:rsidRPr="008D1A55">
        <w:t>anifrolumab</w:t>
      </w:r>
      <w:proofErr w:type="spellEnd"/>
      <w:r w:rsidRPr="008D1A55">
        <w:t xml:space="preserve">) </w:t>
      </w:r>
      <w:r w:rsidR="00497C1A" w:rsidRPr="008D1A55">
        <w:t>300 mg/2 mL</w:t>
      </w:r>
      <w:r w:rsidRPr="008D1A55">
        <w:t xml:space="preserve">, </w:t>
      </w:r>
      <w:r w:rsidR="00497C1A" w:rsidRPr="008D1A55">
        <w:t>concentrate for solution for infusion</w:t>
      </w:r>
      <w:r w:rsidRPr="008D1A55">
        <w:t xml:space="preserve">, </w:t>
      </w:r>
      <w:r w:rsidR="00497C1A" w:rsidRPr="008D1A55">
        <w:t>vial</w:t>
      </w:r>
      <w:r w:rsidRPr="008D1A55">
        <w:t>, indicated for:</w:t>
      </w:r>
    </w:p>
    <w:p w14:paraId="4ABEAEE9" w14:textId="238DFB57" w:rsidR="00B209DA" w:rsidRPr="008D1A55" w:rsidRDefault="00D670EF" w:rsidP="00B209DA">
      <w:pPr>
        <w:ind w:left="720"/>
        <w:rPr>
          <w:i/>
          <w:iCs/>
        </w:rPr>
      </w:pPr>
      <w:proofErr w:type="spellStart"/>
      <w:r w:rsidRPr="008D1A55">
        <w:rPr>
          <w:i/>
          <w:iCs/>
        </w:rPr>
        <w:lastRenderedPageBreak/>
        <w:t>Saphnelo</w:t>
      </w:r>
      <w:proofErr w:type="spellEnd"/>
      <w:r w:rsidR="00B209DA" w:rsidRPr="008D1A55">
        <w:rPr>
          <w:i/>
          <w:iCs/>
        </w:rPr>
        <w:t xml:space="preserve"> (</w:t>
      </w:r>
      <w:proofErr w:type="spellStart"/>
      <w:r w:rsidR="00B209DA" w:rsidRPr="008D1A55">
        <w:rPr>
          <w:i/>
          <w:iCs/>
        </w:rPr>
        <w:t>anifrolumab</w:t>
      </w:r>
      <w:proofErr w:type="spellEnd"/>
      <w:r w:rsidR="00B209DA" w:rsidRPr="008D1A55">
        <w:rPr>
          <w:i/>
          <w:iCs/>
        </w:rPr>
        <w:t>) is indicated as add on treatment of adult patients with moderate to severe, active systemic lupus erythematosus (SLE), despite standard therapy.</w:t>
      </w:r>
    </w:p>
    <w:p w14:paraId="5045B024" w14:textId="391F5145" w:rsidR="0074163C" w:rsidRPr="008D1A55" w:rsidRDefault="00B209DA" w:rsidP="00B209DA">
      <w:pPr>
        <w:ind w:left="720"/>
      </w:pPr>
      <w:r w:rsidRPr="008D1A55">
        <w:rPr>
          <w:i/>
          <w:iCs/>
        </w:rPr>
        <w:t xml:space="preserve">The safety and efficacy of </w:t>
      </w:r>
      <w:proofErr w:type="spellStart"/>
      <w:r w:rsidR="00D670EF" w:rsidRPr="008D1A55">
        <w:rPr>
          <w:i/>
          <w:iCs/>
        </w:rPr>
        <w:t>Saphnelo</w:t>
      </w:r>
      <w:proofErr w:type="spellEnd"/>
      <w:r w:rsidRPr="008D1A55">
        <w:rPr>
          <w:i/>
          <w:iCs/>
        </w:rPr>
        <w:t xml:space="preserve"> have not been evaluated in patients with severe active lupus nephritis or severe active central nervous system lupus.</w:t>
      </w:r>
    </w:p>
    <w:p w14:paraId="6DD6D7D5" w14:textId="77777777" w:rsidR="00D23139" w:rsidRPr="008D1A55" w:rsidRDefault="00D23139" w:rsidP="00D212F3">
      <w:pPr>
        <w:pStyle w:val="Heading3"/>
      </w:pPr>
      <w:bookmarkStart w:id="96" w:name="_Toc117166185"/>
      <w:r w:rsidRPr="008D1A55">
        <w:t>Specific conditions of registration applying to these goods</w:t>
      </w:r>
      <w:bookmarkEnd w:id="96"/>
    </w:p>
    <w:p w14:paraId="69F1CCD6" w14:textId="18EFED6F" w:rsidR="00B209DA" w:rsidRPr="008D1A55" w:rsidRDefault="00B209DA" w:rsidP="00B209DA">
      <w:pPr>
        <w:pStyle w:val="ListBullet"/>
      </w:pPr>
      <w:proofErr w:type="spellStart"/>
      <w:r w:rsidRPr="008D1A55">
        <w:t>Saphnelo</w:t>
      </w:r>
      <w:proofErr w:type="spellEnd"/>
      <w:r w:rsidRPr="008D1A55">
        <w:t xml:space="preserve"> (</w:t>
      </w:r>
      <w:proofErr w:type="spellStart"/>
      <w:r w:rsidRPr="008D1A55">
        <w:t>anifrolumab</w:t>
      </w:r>
      <w:proofErr w:type="spellEnd"/>
      <w:r w:rsidRPr="008D1A55">
        <w:t xml:space="preserve">) is to be included in the Black Triangle Scheme. The PI and CMI for </w:t>
      </w:r>
      <w:proofErr w:type="spellStart"/>
      <w:r w:rsidRPr="008D1A55">
        <w:t>Saphnelo</w:t>
      </w:r>
      <w:proofErr w:type="spellEnd"/>
      <w:r w:rsidRPr="008D1A55">
        <w:t xml:space="preserve"> must include the black triangle symbol and mandatory accompanying text for five years, which starts from the date that the sponsor notifies the TGA of supply of the product.</w:t>
      </w:r>
    </w:p>
    <w:p w14:paraId="7C4C1152" w14:textId="6F73D889" w:rsidR="00B209DA" w:rsidRPr="008D1A55" w:rsidRDefault="00B209DA" w:rsidP="00B209DA">
      <w:pPr>
        <w:pStyle w:val="ListBullet"/>
      </w:pPr>
      <w:r w:rsidRPr="008D1A55">
        <w:t xml:space="preserve">The </w:t>
      </w:r>
      <w:proofErr w:type="spellStart"/>
      <w:r w:rsidRPr="008D1A55">
        <w:t>Saphnelo</w:t>
      </w:r>
      <w:proofErr w:type="spellEnd"/>
      <w:r w:rsidRPr="008D1A55">
        <w:t xml:space="preserve"> EU-</w:t>
      </w:r>
      <w:r w:rsidR="00C77DF7" w:rsidRPr="008D1A55">
        <w:t xml:space="preserve">risk management plan </w:t>
      </w:r>
      <w:r w:rsidRPr="008D1A55">
        <w:t>(RMP) (version 1 succession 3, dated 30</w:t>
      </w:r>
      <w:r w:rsidR="00C77DF7" w:rsidRPr="008D1A55">
        <w:t> </w:t>
      </w:r>
      <w:r w:rsidRPr="008D1A55">
        <w:t xml:space="preserve">August 2021, data lock point 19 March 2020), with Australian </w:t>
      </w:r>
      <w:r w:rsidR="00595C6B" w:rsidRPr="008D1A55">
        <w:t xml:space="preserve">specific annex </w:t>
      </w:r>
      <w:r w:rsidRPr="008D1A55">
        <w:t xml:space="preserve">(version 1.0 succession 3, dated 22 October 2021), included with </w:t>
      </w:r>
      <w:r w:rsidR="00595C6B" w:rsidRPr="008D1A55">
        <w:t xml:space="preserve">Submission </w:t>
      </w:r>
      <w:r w:rsidRPr="008D1A55">
        <w:t>PM</w:t>
      </w:r>
      <w:r w:rsidR="00595C6B" w:rsidRPr="008D1A55">
        <w:noBreakHyphen/>
      </w:r>
      <w:r w:rsidRPr="008D1A55">
        <w:t>2020-06383-1-2, and any subsequent revisions, as agreed with the TGA will be implemented in Australia.</w:t>
      </w:r>
    </w:p>
    <w:p w14:paraId="74B3EA4B" w14:textId="0D415FFE" w:rsidR="00B209DA" w:rsidRPr="008D1A55" w:rsidRDefault="00B209DA" w:rsidP="00B209DA">
      <w:pPr>
        <w:pStyle w:val="ListBullet"/>
        <w:numPr>
          <w:ilvl w:val="0"/>
          <w:numId w:val="0"/>
        </w:numPr>
        <w:ind w:left="360"/>
      </w:pPr>
      <w:r w:rsidRPr="008D1A55">
        <w:t>An obligatory component of risk management plans is routine pharmacovigilance. Routine pharmacovigilance includes the submission of periodic safety update reports (PSURs).</w:t>
      </w:r>
    </w:p>
    <w:p w14:paraId="06792957" w14:textId="3127DAA0" w:rsidR="00B209DA" w:rsidRPr="008D1A55" w:rsidRDefault="00B209DA" w:rsidP="00B209DA">
      <w:pPr>
        <w:pStyle w:val="ListBullet"/>
        <w:numPr>
          <w:ilvl w:val="0"/>
          <w:numId w:val="0"/>
        </w:numPr>
        <w:ind w:left="360"/>
      </w:pPr>
      <w:r w:rsidRPr="008D1A55">
        <w:t xml:space="preserve">Unless agreed separately between the supplier who is the recipient of the approval and the TGA, the first report must be submitted to TGA no later than 15 calendar months after the date of </w:t>
      </w:r>
      <w:r w:rsidR="00595C6B" w:rsidRPr="008D1A55">
        <w:t>the</w:t>
      </w:r>
      <w:r w:rsidRPr="008D1A55">
        <w:t xml:space="preserve"> approval letter. The subsequent reports must be submitted no less frequently than annually from the date of the first submitted report until the period covered by such reports is not less than three years from the date of </w:t>
      </w:r>
      <w:r w:rsidR="00595C6B" w:rsidRPr="008D1A55">
        <w:t>the</w:t>
      </w:r>
      <w:r w:rsidRPr="008D1A55">
        <w:t xml:space="preserve"> approval letter. The annual submission may be made up of two PSURs each covering six months. If the sponsor wishes, the </w:t>
      </w:r>
      <w:proofErr w:type="gramStart"/>
      <w:r w:rsidRPr="008D1A55">
        <w:t>six monthly</w:t>
      </w:r>
      <w:proofErr w:type="gramEnd"/>
      <w:r w:rsidRPr="008D1A55">
        <w:t xml:space="preserve"> reports may be submitted separately as they become available.</w:t>
      </w:r>
    </w:p>
    <w:p w14:paraId="713397D1" w14:textId="4353E0C7" w:rsidR="00B209DA" w:rsidRPr="008D1A55" w:rsidRDefault="00B209DA" w:rsidP="00B209DA">
      <w:pPr>
        <w:pStyle w:val="ListBullet"/>
        <w:numPr>
          <w:ilvl w:val="0"/>
          <w:numId w:val="0"/>
        </w:numPr>
        <w:ind w:left="360"/>
      </w:pPr>
      <w:r w:rsidRPr="008D1A55">
        <w:t xml:space="preserve">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w:t>
      </w:r>
      <w:r w:rsidR="00595C6B" w:rsidRPr="008D1A55">
        <w:t>the</w:t>
      </w:r>
      <w:r w:rsidRPr="008D1A55">
        <w:t xml:space="preserve"> approval letter.</w:t>
      </w:r>
    </w:p>
    <w:p w14:paraId="63541A03" w14:textId="3AB3CABC" w:rsidR="00B209DA" w:rsidRPr="008D1A55" w:rsidRDefault="00B209DA" w:rsidP="00B209DA">
      <w:pPr>
        <w:pStyle w:val="ListBullet"/>
        <w:numPr>
          <w:ilvl w:val="0"/>
          <w:numId w:val="0"/>
        </w:numPr>
        <w:ind w:left="360"/>
      </w:pPr>
      <w:r w:rsidRPr="008D1A55">
        <w:t xml:space="preserve">The reports are to at least meet the requirements for PSURs as described in the European Medicines Agency’s Guideline on </w:t>
      </w:r>
      <w:r w:rsidR="00595C6B" w:rsidRPr="008D1A55">
        <w:t xml:space="preserve">Good Pharmacovigilance Practices </w:t>
      </w:r>
      <w:r w:rsidRPr="008D1A55">
        <w:t>(GVP)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17F1D590" w14:textId="4B16FF57" w:rsidR="00B209DA" w:rsidRPr="008D1A55" w:rsidRDefault="00B209DA" w:rsidP="00B209DA">
      <w:pPr>
        <w:pStyle w:val="ListBullet"/>
      </w:pPr>
      <w:r w:rsidRPr="008D1A55">
        <w:t xml:space="preserve">It is a condition of registration that all batches of </w:t>
      </w:r>
      <w:proofErr w:type="spellStart"/>
      <w:r w:rsidR="00D670EF" w:rsidRPr="008D1A55">
        <w:t>Saphnelo</w:t>
      </w:r>
      <w:proofErr w:type="spellEnd"/>
      <w:r w:rsidRPr="008D1A55">
        <w:t xml:space="preserve"> </w:t>
      </w:r>
      <w:proofErr w:type="spellStart"/>
      <w:r w:rsidRPr="008D1A55">
        <w:t>anifrolumab</w:t>
      </w:r>
      <w:proofErr w:type="spellEnd"/>
      <w:r w:rsidRPr="008D1A55">
        <w:t xml:space="preserve"> imported into/manufactured in Australia must comply with the product details and specifications approved during evaluation and detailed in the Certified Product Details (CPD).</w:t>
      </w:r>
    </w:p>
    <w:p w14:paraId="59C8E8C5" w14:textId="284949F8" w:rsidR="00B209DA" w:rsidRPr="008D1A55" w:rsidRDefault="00B209DA" w:rsidP="00B209DA">
      <w:pPr>
        <w:pStyle w:val="ListBullet"/>
      </w:pPr>
      <w:r w:rsidRPr="008D1A55">
        <w:t>For all injectable products the Product Information must be included with the product as a package insert.</w:t>
      </w:r>
    </w:p>
    <w:p w14:paraId="40640428" w14:textId="46FC79AD" w:rsidR="008E7846" w:rsidRPr="008D1A55" w:rsidRDefault="00A80B5B" w:rsidP="00D23139">
      <w:pPr>
        <w:pStyle w:val="Heading2"/>
      </w:pPr>
      <w:bookmarkStart w:id="97" w:name="_Toc117166186"/>
      <w:r w:rsidRPr="008D1A55">
        <w:t xml:space="preserve">Attachment 1. </w:t>
      </w:r>
      <w:r w:rsidR="008E7846" w:rsidRPr="008D1A55">
        <w:t xml:space="preserve">Product </w:t>
      </w:r>
      <w:r w:rsidR="00AA0ED0" w:rsidRPr="008D1A55">
        <w:t>I</w:t>
      </w:r>
      <w:r w:rsidR="008E7846" w:rsidRPr="008D1A55">
        <w:t>nformation</w:t>
      </w:r>
      <w:bookmarkEnd w:id="94"/>
      <w:bookmarkEnd w:id="95"/>
      <w:bookmarkEnd w:id="97"/>
    </w:p>
    <w:p w14:paraId="182E3943" w14:textId="1A4E21FC" w:rsidR="00744121" w:rsidRPr="008D1A55" w:rsidRDefault="006136D7" w:rsidP="00744121">
      <w:r w:rsidRPr="008D1A55">
        <w:t xml:space="preserve">The PI for </w:t>
      </w:r>
      <w:proofErr w:type="spellStart"/>
      <w:r w:rsidR="00FD6E62" w:rsidRPr="008D1A55">
        <w:t>Saphnelo</w:t>
      </w:r>
      <w:proofErr w:type="spellEnd"/>
      <w:r w:rsidR="0074163C" w:rsidRPr="008D1A55">
        <w:t xml:space="preserve"> </w:t>
      </w:r>
      <w:r w:rsidRPr="008D1A55">
        <w:t xml:space="preserve">approved with the submission which is described in this </w:t>
      </w:r>
      <w:proofErr w:type="spellStart"/>
      <w:r w:rsidRPr="008D1A55">
        <w:t>AusPAR</w:t>
      </w:r>
      <w:proofErr w:type="spellEnd"/>
      <w:r w:rsidRPr="008D1A55">
        <w:t xml:space="preserve"> is at Attachment 1.</w:t>
      </w:r>
      <w:r w:rsidR="00CC5044" w:rsidRPr="008D1A55">
        <w:t xml:space="preserve"> </w:t>
      </w:r>
      <w:r w:rsidR="0074163C" w:rsidRPr="008D1A55">
        <w:t xml:space="preserve">For the most recent PI, please refer to the TGA </w:t>
      </w:r>
      <w:hyperlink r:id="rId25" w:history="1">
        <w:r w:rsidR="0074163C" w:rsidRPr="008D1A55">
          <w:rPr>
            <w:rStyle w:val="Hyperlink"/>
          </w:rPr>
          <w:t>PI/CMI search facility</w:t>
        </w:r>
        <w:r w:rsidR="0074163C" w:rsidRPr="008D1A55">
          <w:rPr>
            <w:rStyle w:val="Hyperlink"/>
            <w:color w:val="auto"/>
            <w:u w:val="none"/>
          </w:rPr>
          <w:t>.</w:t>
        </w:r>
      </w:hyperlink>
    </w:p>
    <w:p w14:paraId="40577178" w14:textId="77777777" w:rsidR="00C80137" w:rsidRPr="008D1A55" w:rsidRDefault="00C80137" w:rsidP="003A7F6C">
      <w:pPr>
        <w:pStyle w:val="TableTitle"/>
        <w:sectPr w:rsidR="00C80137" w:rsidRPr="008D1A55" w:rsidSect="00B452CE">
          <w:headerReference w:type="even" r:id="rId26"/>
          <w:headerReference w:type="default" r:id="rId27"/>
          <w:headerReference w:type="first" r:id="rId28"/>
          <w:footerReference w:type="first" r:id="rId2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8D1A55" w14:paraId="683D8DF0" w14:textId="77777777" w:rsidTr="00A05FA4">
        <w:trPr>
          <w:trHeight w:hRule="exact" w:val="704"/>
        </w:trPr>
        <w:tc>
          <w:tcPr>
            <w:tcW w:w="9175" w:type="dxa"/>
          </w:tcPr>
          <w:p w14:paraId="75A8CFEC" w14:textId="77777777" w:rsidR="001C32CD" w:rsidRPr="008D1A55" w:rsidRDefault="001C32CD" w:rsidP="00A05FA4">
            <w:pPr>
              <w:pStyle w:val="TGASignoff"/>
            </w:pPr>
            <w:r w:rsidRPr="008D1A55">
              <w:lastRenderedPageBreak/>
              <w:t>Therapeutic Goods Administration</w:t>
            </w:r>
          </w:p>
        </w:tc>
      </w:tr>
      <w:tr w:rsidR="001C32CD" w:rsidRPr="004C239D" w14:paraId="1012DC15" w14:textId="77777777" w:rsidTr="00A05FA4">
        <w:trPr>
          <w:trHeight w:val="1221"/>
        </w:trPr>
        <w:tc>
          <w:tcPr>
            <w:tcW w:w="9175" w:type="dxa"/>
            <w:tcMar>
              <w:top w:w="28" w:type="dxa"/>
            </w:tcMar>
          </w:tcPr>
          <w:p w14:paraId="1C7B1E1C" w14:textId="77777777" w:rsidR="001C32CD" w:rsidRPr="008D1A55" w:rsidRDefault="001C32CD" w:rsidP="00A05FA4">
            <w:pPr>
              <w:pStyle w:val="Address"/>
            </w:pPr>
            <w:r w:rsidRPr="008D1A55">
              <w:t>PO Box 100 Woden ACT 2606 Australia</w:t>
            </w:r>
          </w:p>
          <w:p w14:paraId="3A3EDD8E" w14:textId="5829A134" w:rsidR="001C32CD" w:rsidRPr="008D1A55" w:rsidRDefault="001C32CD" w:rsidP="00A05FA4">
            <w:pPr>
              <w:pStyle w:val="Address"/>
            </w:pPr>
            <w:r w:rsidRPr="008D1A55">
              <w:t xml:space="preserve">Email: </w:t>
            </w:r>
            <w:hyperlink r:id="rId30" w:history="1">
              <w:r w:rsidRPr="008D1A55">
                <w:rPr>
                  <w:rStyle w:val="Hyperlink"/>
                </w:rPr>
                <w:t>info@tga.gov.au</w:t>
              </w:r>
            </w:hyperlink>
            <w:r w:rsidRPr="008D1A55">
              <w:t xml:space="preserve">  Phone: 1800 020 </w:t>
            </w:r>
            <w:proofErr w:type="gramStart"/>
            <w:r w:rsidRPr="008D1A55">
              <w:t>653  Fax</w:t>
            </w:r>
            <w:proofErr w:type="gramEnd"/>
            <w:r w:rsidRPr="008D1A55">
              <w:t>: 02 6232 8605</w:t>
            </w:r>
          </w:p>
          <w:p w14:paraId="18C67212" w14:textId="501A2613" w:rsidR="001C32CD" w:rsidRPr="004C239D" w:rsidRDefault="005675A0" w:rsidP="00A05FA4">
            <w:pPr>
              <w:pStyle w:val="Address"/>
              <w:spacing w:line="260" w:lineRule="atLeast"/>
              <w:rPr>
                <w:b/>
                <w:color w:val="0000FF"/>
                <w:u w:val="single"/>
              </w:rPr>
            </w:pPr>
            <w:hyperlink r:id="rId31" w:history="1">
              <w:r w:rsidR="007C6B9B" w:rsidRPr="008D1A55">
                <w:rPr>
                  <w:rStyle w:val="Hyperlink"/>
                  <w:b/>
                </w:rPr>
                <w:t>https://www.tga.gov.au</w:t>
              </w:r>
            </w:hyperlink>
          </w:p>
        </w:tc>
      </w:tr>
    </w:tbl>
    <w:p w14:paraId="3E91C64E" w14:textId="77777777" w:rsidR="00774E1D" w:rsidRPr="008A5E0B" w:rsidRDefault="00774E1D" w:rsidP="004C239D"/>
    <w:sectPr w:rsidR="00774E1D" w:rsidRPr="008A5E0B" w:rsidSect="001C32CD">
      <w:headerReference w:type="even" r:id="rId32"/>
      <w:headerReference w:type="default" r:id="rId33"/>
      <w:footerReference w:type="default" r:id="rId34"/>
      <w:headerReference w:type="first" r:id="rId35"/>
      <w:footerReference w:type="first" r:id="rId36"/>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3DB66" w14:textId="77777777" w:rsidR="00AD1D0A" w:rsidRDefault="00AD1D0A" w:rsidP="00C40A36">
      <w:pPr>
        <w:spacing w:after="0"/>
      </w:pPr>
      <w:r>
        <w:separator/>
      </w:r>
    </w:p>
  </w:endnote>
  <w:endnote w:type="continuationSeparator" w:id="0">
    <w:p w14:paraId="0FD733A2" w14:textId="77777777" w:rsidR="00AD1D0A" w:rsidRDefault="00AD1D0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
    <w:altName w:val="Yu Gothic UI"/>
    <w:panose1 w:val="00000000000000000000"/>
    <w:charset w:val="00"/>
    <w:family w:val="auto"/>
    <w:notTrueType/>
    <w:pitch w:val="default"/>
    <w:sig w:usb0="00000003" w:usb1="08070000" w:usb2="00000010" w:usb3="00000000" w:csb0="0002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D1D0A" w:rsidRPr="00487162" w14:paraId="19CF4C04" w14:textId="77777777" w:rsidTr="00DB750B">
      <w:trPr>
        <w:trHeight w:val="269"/>
      </w:trPr>
      <w:tc>
        <w:tcPr>
          <w:tcW w:w="7371" w:type="dxa"/>
          <w:tcMar>
            <w:top w:w="142" w:type="dxa"/>
            <w:bottom w:w="0" w:type="dxa"/>
          </w:tcMar>
        </w:tcPr>
        <w:p w14:paraId="08E240C9" w14:textId="17FCF4FD" w:rsidR="00AD1D0A" w:rsidRPr="00487162" w:rsidRDefault="00AD1D0A" w:rsidP="00460036">
          <w:pPr>
            <w:pStyle w:val="Footer"/>
          </w:pPr>
          <w:proofErr w:type="spellStart"/>
          <w:r w:rsidRPr="00487162">
            <w:t>AusPA</w:t>
          </w:r>
          <w:r>
            <w:t>R</w:t>
          </w:r>
          <w:proofErr w:type="spellEnd"/>
          <w:r>
            <w:t xml:space="preserve"> - </w:t>
          </w:r>
          <w:proofErr w:type="spellStart"/>
          <w:r w:rsidRPr="00FD6E62">
            <w:t>Saphnelo</w:t>
          </w:r>
          <w:proofErr w:type="spellEnd"/>
          <w:r>
            <w:t xml:space="preserve"> -</w:t>
          </w:r>
          <w:r w:rsidRPr="00460036">
            <w:t xml:space="preserve"> </w:t>
          </w:r>
          <w:proofErr w:type="spellStart"/>
          <w:r w:rsidRPr="00FD6E62">
            <w:t>anifrolumab</w:t>
          </w:r>
          <w:proofErr w:type="spellEnd"/>
          <w:r w:rsidRPr="00460036">
            <w:t xml:space="preserve"> </w:t>
          </w:r>
          <w:r>
            <w:t xml:space="preserve">- </w:t>
          </w:r>
          <w:r w:rsidRPr="00FD6E62">
            <w:t>AstraZeneca Pty Ltd</w:t>
          </w:r>
          <w:r>
            <w:t xml:space="preserve"> - </w:t>
          </w:r>
          <w:r w:rsidRPr="00FD6E62">
            <w:t>PM-2020-06383-1-2</w:t>
          </w:r>
          <w:r>
            <w:br/>
          </w:r>
          <w:r w:rsidR="0063551F">
            <w:t>FINAL</w:t>
          </w:r>
          <w:r w:rsidRPr="00487162">
            <w:t xml:space="preserve"> </w:t>
          </w:r>
          <w:r w:rsidR="0063551F">
            <w:t>6 December</w:t>
          </w:r>
          <w:r>
            <w:t xml:space="preserve"> 2022</w:t>
          </w:r>
        </w:p>
      </w:tc>
      <w:tc>
        <w:tcPr>
          <w:tcW w:w="1490" w:type="dxa"/>
          <w:tcMar>
            <w:top w:w="142" w:type="dxa"/>
            <w:bottom w:w="0" w:type="dxa"/>
          </w:tcMar>
        </w:tcPr>
        <w:p w14:paraId="6ADC2048" w14:textId="6B994324" w:rsidR="00AD1D0A" w:rsidRPr="00487162" w:rsidRDefault="00AD1D0A" w:rsidP="00DB750B">
          <w:pPr>
            <w:pStyle w:val="Footer"/>
            <w:jc w:val="right"/>
          </w:pPr>
          <w:r w:rsidRPr="00487162">
            <w:t xml:space="preserve">Page </w:t>
          </w:r>
          <w:r>
            <w:fldChar w:fldCharType="begin"/>
          </w:r>
          <w:r>
            <w:instrText xml:space="preserve"> PAGE  \* Arabic </w:instrText>
          </w:r>
          <w:r>
            <w:fldChar w:fldCharType="separate"/>
          </w:r>
          <w:r w:rsidR="0084112A">
            <w:rPr>
              <w:noProof/>
            </w:rPr>
            <w:t>6</w:t>
          </w:r>
          <w:r>
            <w:fldChar w:fldCharType="end"/>
          </w:r>
          <w:r w:rsidRPr="00487162">
            <w:t xml:space="preserve"> of </w:t>
          </w:r>
          <w:r w:rsidR="005675A0">
            <w:fldChar w:fldCharType="begin"/>
          </w:r>
          <w:r w:rsidR="005675A0">
            <w:instrText xml:space="preserve"> NUMPAGES  \* Arabic </w:instrText>
          </w:r>
          <w:r w:rsidR="005675A0">
            <w:fldChar w:fldCharType="separate"/>
          </w:r>
          <w:r w:rsidR="0084112A">
            <w:rPr>
              <w:noProof/>
            </w:rPr>
            <w:t>51</w:t>
          </w:r>
          <w:r w:rsidR="005675A0">
            <w:rPr>
              <w:noProof/>
            </w:rPr>
            <w:fldChar w:fldCharType="end"/>
          </w:r>
        </w:p>
      </w:tc>
    </w:tr>
  </w:tbl>
  <w:p w14:paraId="40A3F19F" w14:textId="77777777" w:rsidR="00AD1D0A" w:rsidRDefault="00AD1D0A"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D1D0A" w:rsidRPr="00487162" w14:paraId="6E0ACC0B" w14:textId="77777777" w:rsidTr="00E45619">
      <w:trPr>
        <w:trHeight w:val="269"/>
      </w:trPr>
      <w:tc>
        <w:tcPr>
          <w:tcW w:w="4519" w:type="dxa"/>
          <w:tcBorders>
            <w:top w:val="single" w:sz="4" w:space="0" w:color="auto"/>
          </w:tcBorders>
          <w:tcMar>
            <w:top w:w="142" w:type="dxa"/>
            <w:bottom w:w="0" w:type="dxa"/>
          </w:tcMar>
        </w:tcPr>
        <w:p w14:paraId="38D2AF08" w14:textId="77777777" w:rsidR="00AD1D0A" w:rsidRPr="00487162" w:rsidRDefault="00AD1D0A" w:rsidP="00FE1DEE">
          <w:pPr>
            <w:pStyle w:val="Footer"/>
          </w:pPr>
          <w:r w:rsidRPr="00487162">
            <w:t>Document title, Part #, Section # - Section title</w:t>
          </w:r>
        </w:p>
        <w:p w14:paraId="0591879F" w14:textId="77777777" w:rsidR="00AD1D0A" w:rsidRPr="00487162" w:rsidRDefault="00AD1D0A" w:rsidP="00FE1DEE">
          <w:pPr>
            <w:pStyle w:val="Footer"/>
          </w:pPr>
          <w:r w:rsidRPr="00487162">
            <w:t>V1.0 October 2010</w:t>
          </w:r>
        </w:p>
      </w:tc>
      <w:tc>
        <w:tcPr>
          <w:tcW w:w="4342" w:type="dxa"/>
          <w:tcBorders>
            <w:top w:val="single" w:sz="4" w:space="0" w:color="auto"/>
          </w:tcBorders>
          <w:tcMar>
            <w:top w:w="142" w:type="dxa"/>
            <w:bottom w:w="0" w:type="dxa"/>
          </w:tcMar>
        </w:tcPr>
        <w:p w14:paraId="3B0C9DB4" w14:textId="77777777" w:rsidR="00AD1D0A" w:rsidRPr="00487162" w:rsidRDefault="00AD1D0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5675A0">
            <w:fldChar w:fldCharType="begin"/>
          </w:r>
          <w:r w:rsidR="005675A0">
            <w:instrText xml:space="preserve"> NUMPAGES  </w:instrText>
          </w:r>
          <w:r w:rsidR="005675A0">
            <w:fldChar w:fldCharType="separate"/>
          </w:r>
          <w:r>
            <w:rPr>
              <w:noProof/>
            </w:rPr>
            <w:t>21</w:t>
          </w:r>
          <w:r w:rsidR="005675A0">
            <w:rPr>
              <w:noProof/>
            </w:rPr>
            <w:fldChar w:fldCharType="end"/>
          </w:r>
        </w:p>
      </w:tc>
    </w:tr>
  </w:tbl>
  <w:p w14:paraId="2F42B10B" w14:textId="77777777" w:rsidR="00AD1D0A" w:rsidRDefault="00AD1D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37B8E" w14:textId="77777777" w:rsidR="00AD1D0A" w:rsidRPr="001C32CD" w:rsidRDefault="00AD1D0A"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D1D0A" w14:paraId="67BECBE3" w14:textId="77777777" w:rsidTr="0010601F">
      <w:trPr>
        <w:trHeight w:val="108"/>
      </w:trPr>
      <w:tc>
        <w:tcPr>
          <w:tcW w:w="8875" w:type="dxa"/>
          <w:gridSpan w:val="2"/>
          <w:tcBorders>
            <w:bottom w:val="single" w:sz="4" w:space="0" w:color="auto"/>
          </w:tcBorders>
          <w:tcMar>
            <w:right w:w="284" w:type="dxa"/>
          </w:tcMar>
        </w:tcPr>
        <w:p w14:paraId="7202C92B" w14:textId="77777777" w:rsidR="00AD1D0A" w:rsidRDefault="00AD1D0A" w:rsidP="006E08B3">
          <w:pPr>
            <w:pStyle w:val="Heading3"/>
          </w:pPr>
          <w:r>
            <w:t>Copyright</w:t>
          </w:r>
        </w:p>
        <w:p w14:paraId="6FEC6058" w14:textId="77777777" w:rsidR="00AD1D0A" w:rsidRDefault="00AD1D0A" w:rsidP="006E08B3">
          <w:r>
            <w:rPr>
              <w:rFonts w:cs="Arial"/>
            </w:rPr>
            <w:t>©</w:t>
          </w:r>
          <w:r>
            <w:t xml:space="preserve"> Commonwealth of Australia [add year]</w:t>
          </w:r>
        </w:p>
        <w:p w14:paraId="5A38F532" w14:textId="77777777" w:rsidR="00AD1D0A" w:rsidRDefault="00AD1D0A" w:rsidP="006E08B3"/>
        <w:p w14:paraId="5623684A" w14:textId="77777777" w:rsidR="00AD1D0A" w:rsidRDefault="00AD1D0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2764B2A8" w14:textId="77777777" w:rsidR="00AD1D0A" w:rsidRDefault="00AD1D0A" w:rsidP="006E08B3"/>
        <w:p w14:paraId="5D268D5A" w14:textId="77777777" w:rsidR="00AD1D0A" w:rsidRDefault="00AD1D0A" w:rsidP="006E08B3">
          <w:pPr>
            <w:pStyle w:val="Heading3"/>
          </w:pPr>
          <w:r>
            <w:t>Confidentiality</w:t>
          </w:r>
        </w:p>
        <w:p w14:paraId="2B09A9FC" w14:textId="77777777" w:rsidR="00AD1D0A" w:rsidRDefault="00AD1D0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CCAFECA" w14:textId="77777777" w:rsidR="00AD1D0A" w:rsidRDefault="00AD1D0A" w:rsidP="006E08B3"/>
        <w:p w14:paraId="029D67D9" w14:textId="77777777" w:rsidR="00AD1D0A" w:rsidRDefault="00AD1D0A" w:rsidP="006E08B3">
          <w:r>
            <w:t>For submission made by individuals, all personal details, other than your name, will be removed from your submission before it is published on the TGA’s Internet site.</w:t>
          </w:r>
        </w:p>
        <w:p w14:paraId="6BA5A8DA" w14:textId="77777777" w:rsidR="00AD1D0A" w:rsidRDefault="00AD1D0A" w:rsidP="006E08B3"/>
        <w:p w14:paraId="4D4B95CE" w14:textId="77777777" w:rsidR="00AD1D0A" w:rsidRDefault="00AD1D0A" w:rsidP="006E08B3">
          <w:r>
            <w:t>In addition, a list of parties making submissions will be published. If you do not wish to be identified with your submission you must specifically request this in the space provided in the submission coversheet.</w:t>
          </w:r>
        </w:p>
      </w:tc>
    </w:tr>
    <w:tr w:rsidR="00AD1D0A" w14:paraId="1D3DD40B" w14:textId="77777777" w:rsidTr="0010601F">
      <w:trPr>
        <w:trHeight w:val="417"/>
      </w:trPr>
      <w:tc>
        <w:tcPr>
          <w:tcW w:w="4519" w:type="dxa"/>
          <w:tcBorders>
            <w:top w:val="single" w:sz="4" w:space="0" w:color="auto"/>
          </w:tcBorders>
          <w:tcMar>
            <w:top w:w="142" w:type="dxa"/>
            <w:bottom w:w="0" w:type="dxa"/>
          </w:tcMar>
        </w:tcPr>
        <w:p w14:paraId="1DA0AB51" w14:textId="77777777" w:rsidR="00AD1D0A" w:rsidRDefault="00AD1D0A" w:rsidP="006E08B3">
          <w:r>
            <w:t>Document title, Part #, Section # - Section title</w:t>
          </w:r>
        </w:p>
        <w:p w14:paraId="37D912D3" w14:textId="77777777" w:rsidR="00AD1D0A" w:rsidRDefault="00AD1D0A" w:rsidP="006E08B3">
          <w:r>
            <w:t>V1.0 October 2010</w:t>
          </w:r>
        </w:p>
      </w:tc>
      <w:tc>
        <w:tcPr>
          <w:tcW w:w="4356" w:type="dxa"/>
          <w:tcBorders>
            <w:top w:val="single" w:sz="4" w:space="0" w:color="auto"/>
          </w:tcBorders>
          <w:tcMar>
            <w:top w:w="142" w:type="dxa"/>
            <w:bottom w:w="0" w:type="dxa"/>
          </w:tcMar>
        </w:tcPr>
        <w:p w14:paraId="1DB3FEAC" w14:textId="77777777" w:rsidR="00AD1D0A" w:rsidRDefault="00AD1D0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5675A0">
            <w:fldChar w:fldCharType="begin"/>
          </w:r>
          <w:r w:rsidR="005675A0">
            <w:instrText xml:space="preserve"> NUMPAGES  \* Arabic </w:instrText>
          </w:r>
          <w:r w:rsidR="005675A0">
            <w:fldChar w:fldCharType="separate"/>
          </w:r>
          <w:r>
            <w:rPr>
              <w:noProof/>
            </w:rPr>
            <w:t>21</w:t>
          </w:r>
          <w:r w:rsidR="005675A0">
            <w:rPr>
              <w:noProof/>
            </w:rPr>
            <w:fldChar w:fldCharType="end"/>
          </w:r>
          <w:r>
            <w:t xml:space="preserve">  </w:t>
          </w:r>
        </w:p>
      </w:tc>
    </w:tr>
  </w:tbl>
  <w:p w14:paraId="67FC6F61" w14:textId="77777777" w:rsidR="00AD1D0A" w:rsidRDefault="00AD1D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16C68" w14:textId="77777777" w:rsidR="00AD1D0A" w:rsidRDefault="00AD1D0A" w:rsidP="00C40A36">
      <w:pPr>
        <w:spacing w:after="0"/>
      </w:pPr>
      <w:r>
        <w:separator/>
      </w:r>
    </w:p>
  </w:footnote>
  <w:footnote w:type="continuationSeparator" w:id="0">
    <w:p w14:paraId="5F093072" w14:textId="77777777" w:rsidR="00AD1D0A" w:rsidRDefault="00AD1D0A" w:rsidP="00C40A36">
      <w:pPr>
        <w:spacing w:after="0"/>
      </w:pPr>
      <w:r>
        <w:continuationSeparator/>
      </w:r>
    </w:p>
  </w:footnote>
  <w:footnote w:id="1">
    <w:p w14:paraId="128E34D4" w14:textId="6D7FFEC7" w:rsidR="00AD1D0A" w:rsidRDefault="00AD1D0A" w:rsidP="00945CDA">
      <w:pPr>
        <w:pStyle w:val="FootnoteText"/>
      </w:pPr>
      <w:r>
        <w:rPr>
          <w:rStyle w:val="FootnoteReference"/>
        </w:rPr>
        <w:footnoteRef/>
      </w:r>
      <w:r>
        <w:t xml:space="preserve"> </w:t>
      </w:r>
      <w:r w:rsidRPr="00945CDA">
        <w:t>Ugarte-Gil</w:t>
      </w:r>
      <w:r>
        <w:t xml:space="preserve">, M.F. et al. </w:t>
      </w:r>
      <w:r w:rsidRPr="00945CDA">
        <w:t xml:space="preserve">The Number </w:t>
      </w:r>
      <w:r>
        <w:t>o</w:t>
      </w:r>
      <w:r w:rsidRPr="00945CDA">
        <w:t xml:space="preserve">f Flares Patients Experience Impacts </w:t>
      </w:r>
      <w:r>
        <w:t>o</w:t>
      </w:r>
      <w:r w:rsidRPr="00945CDA">
        <w:t xml:space="preserve">n Damage Accrual </w:t>
      </w:r>
      <w:r>
        <w:t>i</w:t>
      </w:r>
      <w:r w:rsidRPr="00945CDA">
        <w:t xml:space="preserve">n Systemic Lupus Erythematosus: Data </w:t>
      </w:r>
      <w:r>
        <w:t>f</w:t>
      </w:r>
      <w:r w:rsidRPr="00945CDA">
        <w:t xml:space="preserve">rom </w:t>
      </w:r>
      <w:r>
        <w:t>a</w:t>
      </w:r>
      <w:r w:rsidRPr="00945CDA">
        <w:t xml:space="preserve"> Multiethnic Latin American Cohort</w:t>
      </w:r>
      <w:r>
        <w:t xml:space="preserve">, </w:t>
      </w:r>
      <w:r w:rsidRPr="00945CDA">
        <w:rPr>
          <w:i/>
          <w:iCs/>
        </w:rPr>
        <w:t>Ann Rheum Dis</w:t>
      </w:r>
      <w:r>
        <w:t>, 2015;7 4(6): 1019-1023.</w:t>
      </w:r>
    </w:p>
  </w:footnote>
  <w:footnote w:id="2">
    <w:p w14:paraId="64CC1CE2" w14:textId="7946B413" w:rsidR="00AD1D0A" w:rsidRDefault="00AD1D0A" w:rsidP="001A13DA">
      <w:pPr>
        <w:pStyle w:val="FootnoteText"/>
      </w:pPr>
      <w:r>
        <w:rPr>
          <w:rStyle w:val="FootnoteReference"/>
        </w:rPr>
        <w:footnoteRef/>
      </w:r>
      <w:r>
        <w:t xml:space="preserve"> </w:t>
      </w:r>
      <w:r w:rsidRPr="00740C4D">
        <w:t>Petri</w:t>
      </w:r>
      <w:r>
        <w:t xml:space="preserve">, M. </w:t>
      </w:r>
      <w:r w:rsidRPr="001A13DA">
        <w:t>Long-Term Outcomes in Lupus</w:t>
      </w:r>
      <w:r>
        <w:t xml:space="preserve">, </w:t>
      </w:r>
      <w:r w:rsidRPr="001A13DA">
        <w:rPr>
          <w:i/>
          <w:iCs/>
        </w:rPr>
        <w:t xml:space="preserve">Am J </w:t>
      </w:r>
      <w:proofErr w:type="spellStart"/>
      <w:r w:rsidRPr="001A13DA">
        <w:rPr>
          <w:i/>
          <w:iCs/>
        </w:rPr>
        <w:t>Manag</w:t>
      </w:r>
      <w:proofErr w:type="spellEnd"/>
      <w:r w:rsidRPr="001A13DA">
        <w:rPr>
          <w:i/>
          <w:iCs/>
        </w:rPr>
        <w:t xml:space="preserve"> Care</w:t>
      </w:r>
      <w:r>
        <w:t>, 2001; 7(16 Suppl): S480-S485.</w:t>
      </w:r>
    </w:p>
  </w:footnote>
  <w:footnote w:id="3">
    <w:p w14:paraId="49D32CBE" w14:textId="1A51B891" w:rsidR="00AD1D0A" w:rsidRDefault="00AD1D0A" w:rsidP="001A13DA">
      <w:pPr>
        <w:pStyle w:val="FootnoteText"/>
      </w:pPr>
      <w:r>
        <w:rPr>
          <w:rStyle w:val="FootnoteReference"/>
        </w:rPr>
        <w:footnoteRef/>
      </w:r>
      <w:r>
        <w:t xml:space="preserve"> </w:t>
      </w:r>
      <w:r w:rsidRPr="001A13DA">
        <w:t>Ruiz-</w:t>
      </w:r>
      <w:proofErr w:type="spellStart"/>
      <w:r w:rsidRPr="001A13DA">
        <w:t>Arruza</w:t>
      </w:r>
      <w:proofErr w:type="spellEnd"/>
      <w:r>
        <w:t xml:space="preserve">, L. et al </w:t>
      </w:r>
      <w:r w:rsidRPr="001A13DA">
        <w:t xml:space="preserve">Glucocorticoids </w:t>
      </w:r>
      <w:r>
        <w:t>a</w:t>
      </w:r>
      <w:r w:rsidRPr="001A13DA">
        <w:t xml:space="preserve">nd Irreversible Damage </w:t>
      </w:r>
      <w:r>
        <w:t>i</w:t>
      </w:r>
      <w:r w:rsidRPr="001A13DA">
        <w:t>n Patients with Systemic Lupus Erythematosus</w:t>
      </w:r>
      <w:r>
        <w:t xml:space="preserve">, </w:t>
      </w:r>
      <w:r w:rsidRPr="001A13DA">
        <w:rPr>
          <w:i/>
          <w:iCs/>
        </w:rPr>
        <w:t>Rheumatology (Oxford)</w:t>
      </w:r>
      <w:r>
        <w:t>, 2014; 53(8): 1470-1476.</w:t>
      </w:r>
    </w:p>
  </w:footnote>
  <w:footnote w:id="4">
    <w:p w14:paraId="1C42D403" w14:textId="58D508B5" w:rsidR="00AD1D0A" w:rsidRPr="0063551F" w:rsidRDefault="00AD1D0A">
      <w:pPr>
        <w:pStyle w:val="FootnoteText"/>
        <w:rPr>
          <w:lang w:val="en-GB"/>
        </w:rPr>
      </w:pPr>
      <w:r>
        <w:rPr>
          <w:rStyle w:val="FootnoteReference"/>
        </w:rPr>
        <w:footnoteRef/>
      </w:r>
      <w:r>
        <w:t xml:space="preserve"> </w:t>
      </w:r>
      <w:proofErr w:type="spellStart"/>
      <w:r w:rsidRPr="00CB23BF">
        <w:t>Nikpour</w:t>
      </w:r>
      <w:proofErr w:type="spellEnd"/>
      <w:r w:rsidRPr="00CB23BF">
        <w:t xml:space="preserve"> M, Bridge JA, Richter S. A systematic review of prevalence, disease characteristics and management of systemic lupus erythematosus in Australia: identifying areas of unmet need. </w:t>
      </w:r>
      <w:r w:rsidRPr="0063551F">
        <w:rPr>
          <w:i/>
        </w:rPr>
        <w:t>Intern Med J</w:t>
      </w:r>
      <w:r w:rsidRPr="00CB23BF">
        <w:t xml:space="preserve"> 2014; 44: 1170-1179.</w:t>
      </w:r>
    </w:p>
  </w:footnote>
  <w:footnote w:id="5">
    <w:p w14:paraId="229C54EA" w14:textId="304CEE92" w:rsidR="00AD1D0A" w:rsidRPr="008D256C" w:rsidRDefault="00AD1D0A" w:rsidP="00AD12BF">
      <w:pPr>
        <w:pStyle w:val="FootnoteText"/>
      </w:pPr>
      <w:r>
        <w:rPr>
          <w:rStyle w:val="FootnoteReference"/>
        </w:rPr>
        <w:footnoteRef/>
      </w:r>
      <w:r>
        <w:t xml:space="preserve"> </w:t>
      </w:r>
      <w:proofErr w:type="spellStart"/>
      <w:r>
        <w:t>Apostolopoulos</w:t>
      </w:r>
      <w:proofErr w:type="spellEnd"/>
      <w:r>
        <w:t>, D. Systemic Lupus Erythematosus. Australian Family Physician. Volume 42, No.10, October 2013 Pages 696-700.</w:t>
      </w:r>
    </w:p>
  </w:footnote>
  <w:footnote w:id="6">
    <w:p w14:paraId="27D87235" w14:textId="68ADEDC3" w:rsidR="00AD1D0A" w:rsidRDefault="00AD1D0A" w:rsidP="001A13DA">
      <w:pPr>
        <w:pStyle w:val="FootnoteText"/>
      </w:pPr>
      <w:r>
        <w:rPr>
          <w:rStyle w:val="FootnoteReference"/>
        </w:rPr>
        <w:footnoteRef/>
      </w:r>
      <w:r>
        <w:t xml:space="preserve"> </w:t>
      </w:r>
      <w:proofErr w:type="spellStart"/>
      <w:r w:rsidRPr="001A13DA">
        <w:t>Bernatsky</w:t>
      </w:r>
      <w:proofErr w:type="spellEnd"/>
      <w:r>
        <w:t xml:space="preserve">, S. et al. </w:t>
      </w:r>
      <w:r w:rsidRPr="001A13DA">
        <w:t>Mortality in Systemic Lupus Erythematosus</w:t>
      </w:r>
      <w:r>
        <w:t xml:space="preserve">, </w:t>
      </w:r>
      <w:r w:rsidRPr="001A13DA">
        <w:rPr>
          <w:i/>
          <w:iCs/>
        </w:rPr>
        <w:t>Arthritis Rheum</w:t>
      </w:r>
      <w:r>
        <w:t>, 2006; 54(8): 2550-2557.</w:t>
      </w:r>
    </w:p>
  </w:footnote>
  <w:footnote w:id="7">
    <w:p w14:paraId="7B73278A" w14:textId="3DD05520" w:rsidR="00AD1D0A" w:rsidRDefault="00AD1D0A" w:rsidP="001A13DA">
      <w:pPr>
        <w:pStyle w:val="FootnoteText"/>
      </w:pPr>
      <w:r>
        <w:rPr>
          <w:rStyle w:val="FootnoteReference"/>
        </w:rPr>
        <w:footnoteRef/>
      </w:r>
      <w:r>
        <w:t xml:space="preserve"> </w:t>
      </w:r>
      <w:r w:rsidRPr="00A259E4">
        <w:t>Lichtman</w:t>
      </w:r>
      <w:r>
        <w:t>, E.I.</w:t>
      </w:r>
      <w:r w:rsidRPr="00A259E4">
        <w:t xml:space="preserve"> et al</w:t>
      </w:r>
      <w:r>
        <w:t xml:space="preserve">. </w:t>
      </w:r>
      <w:r w:rsidRPr="001A13DA">
        <w:t xml:space="preserve">Emerging Therapies </w:t>
      </w:r>
      <w:r>
        <w:t>f</w:t>
      </w:r>
      <w:r w:rsidRPr="001A13DA">
        <w:t xml:space="preserve">or Systemic Lupus Erythematosus-Focus </w:t>
      </w:r>
      <w:r>
        <w:t>o</w:t>
      </w:r>
      <w:r w:rsidRPr="001A13DA">
        <w:t>n Targeting Interferon-Alpha</w:t>
      </w:r>
      <w:r>
        <w:t xml:space="preserve">, </w:t>
      </w:r>
      <w:r w:rsidRPr="001A13DA">
        <w:rPr>
          <w:i/>
          <w:iCs/>
        </w:rPr>
        <w:t>Clin Immunol</w:t>
      </w:r>
      <w:r>
        <w:t>, 2012; 143(3): 210-221.</w:t>
      </w:r>
    </w:p>
  </w:footnote>
  <w:footnote w:id="8">
    <w:p w14:paraId="4F90C75B" w14:textId="0120FB8D" w:rsidR="00AD1D0A" w:rsidRDefault="00AD1D0A" w:rsidP="001A13DA">
      <w:pPr>
        <w:pStyle w:val="FootnoteText"/>
      </w:pPr>
      <w:r>
        <w:rPr>
          <w:rStyle w:val="FootnoteReference"/>
        </w:rPr>
        <w:footnoteRef/>
      </w:r>
      <w:r>
        <w:t xml:space="preserve"> </w:t>
      </w:r>
      <w:proofErr w:type="spellStart"/>
      <w:r w:rsidRPr="009B1AD8">
        <w:t>Fanouriakis</w:t>
      </w:r>
      <w:proofErr w:type="spellEnd"/>
      <w:r>
        <w:t>, A.</w:t>
      </w:r>
      <w:r w:rsidRPr="009B1AD8">
        <w:t xml:space="preserve"> et al</w:t>
      </w:r>
      <w:r>
        <w:t xml:space="preserve">. </w:t>
      </w:r>
      <w:r w:rsidRPr="001A13DA">
        <w:t xml:space="preserve">2019 Update of the EULAR Recommendations </w:t>
      </w:r>
      <w:r>
        <w:t>f</w:t>
      </w:r>
      <w:r w:rsidRPr="001A13DA">
        <w:t xml:space="preserve">or </w:t>
      </w:r>
      <w:r>
        <w:t>t</w:t>
      </w:r>
      <w:r w:rsidRPr="001A13DA">
        <w:t xml:space="preserve">he Management </w:t>
      </w:r>
      <w:r>
        <w:t>o</w:t>
      </w:r>
      <w:r w:rsidRPr="001A13DA">
        <w:t>f Systemic Lupus Erythematosus</w:t>
      </w:r>
      <w:r>
        <w:t xml:space="preserve">, </w:t>
      </w:r>
      <w:r w:rsidRPr="001A13DA">
        <w:rPr>
          <w:i/>
          <w:iCs/>
        </w:rPr>
        <w:t>Ann Rheum Dis</w:t>
      </w:r>
      <w:r>
        <w:t>, 2019; 78(6): 736-745.</w:t>
      </w:r>
    </w:p>
  </w:footnote>
  <w:footnote w:id="9">
    <w:p w14:paraId="46AA3D91" w14:textId="13634948" w:rsidR="00AD1D0A" w:rsidRDefault="00AD1D0A" w:rsidP="00027FFE">
      <w:pPr>
        <w:pStyle w:val="FootnoteText"/>
      </w:pPr>
      <w:r>
        <w:rPr>
          <w:rStyle w:val="FootnoteReference"/>
        </w:rPr>
        <w:footnoteRef/>
      </w:r>
      <w:r>
        <w:t xml:space="preserve"> </w:t>
      </w:r>
      <w:proofErr w:type="spellStart"/>
      <w:r w:rsidRPr="001A13DA">
        <w:t>Apostolopoulos</w:t>
      </w:r>
      <w:proofErr w:type="spellEnd"/>
      <w:r>
        <w:t>, D. and</w:t>
      </w:r>
      <w:r w:rsidRPr="001A13DA">
        <w:t xml:space="preserve"> </w:t>
      </w:r>
      <w:proofErr w:type="spellStart"/>
      <w:r w:rsidRPr="001A13DA">
        <w:t>Morand</w:t>
      </w:r>
      <w:proofErr w:type="spellEnd"/>
      <w:r>
        <w:t xml:space="preserve">, E.F. </w:t>
      </w:r>
      <w:r w:rsidRPr="00027FFE">
        <w:t xml:space="preserve">It Hasn't Gone Away: </w:t>
      </w:r>
      <w:proofErr w:type="gramStart"/>
      <w:r w:rsidRPr="00027FFE">
        <w:t>the</w:t>
      </w:r>
      <w:proofErr w:type="gramEnd"/>
      <w:r w:rsidRPr="00027FFE">
        <w:t xml:space="preserve"> Problem </w:t>
      </w:r>
      <w:r>
        <w:t>o</w:t>
      </w:r>
      <w:r w:rsidRPr="00027FFE">
        <w:t xml:space="preserve">f Glucocorticoid </w:t>
      </w:r>
      <w:r>
        <w:t>u</w:t>
      </w:r>
      <w:r w:rsidRPr="00027FFE">
        <w:t xml:space="preserve">se </w:t>
      </w:r>
      <w:r>
        <w:t>i</w:t>
      </w:r>
      <w:r w:rsidRPr="00027FFE">
        <w:t>n Lupus Remains</w:t>
      </w:r>
      <w:r>
        <w:t xml:space="preserve">, </w:t>
      </w:r>
      <w:r w:rsidRPr="00027FFE">
        <w:rPr>
          <w:i/>
          <w:iCs/>
        </w:rPr>
        <w:t>Rheumatology (Oxford)</w:t>
      </w:r>
      <w:r>
        <w:t>, 2017; 56(suppl_1): i114-i122.</w:t>
      </w:r>
    </w:p>
  </w:footnote>
  <w:footnote w:id="10">
    <w:p w14:paraId="0791AFE8" w14:textId="116CF2CA" w:rsidR="00AD1D0A" w:rsidRDefault="00AD1D0A">
      <w:pPr>
        <w:pStyle w:val="FootnoteText"/>
      </w:pPr>
      <w:r>
        <w:rPr>
          <w:rStyle w:val="FootnoteReference"/>
        </w:rPr>
        <w:footnoteRef/>
      </w:r>
      <w:r>
        <w:t xml:space="preserve"> </w:t>
      </w:r>
      <w:r w:rsidRPr="00027FFE">
        <w:t>Benlysta</w:t>
      </w:r>
      <w:r w:rsidRPr="00014FA9">
        <w:t xml:space="preserve"> (</w:t>
      </w:r>
      <w:r w:rsidRPr="00027FFE">
        <w:t>belimumab</w:t>
      </w:r>
      <w:r w:rsidRPr="00014FA9">
        <w:t xml:space="preserve">) was first registered on the ARTG on </w:t>
      </w:r>
      <w:r w:rsidRPr="00027FFE">
        <w:t>18 October 2012</w:t>
      </w:r>
      <w:r w:rsidRPr="00014FA9">
        <w:t xml:space="preserve"> (ARTG number</w:t>
      </w:r>
      <w:r>
        <w:t>s</w:t>
      </w:r>
      <w:r w:rsidRPr="00014FA9">
        <w:t>:</w:t>
      </w:r>
      <w:r w:rsidRPr="00027FFE">
        <w:t xml:space="preserve"> 173077</w:t>
      </w:r>
      <w:r>
        <w:t xml:space="preserve"> and </w:t>
      </w:r>
      <w:r w:rsidRPr="00027FFE">
        <w:t>173078</w:t>
      </w:r>
      <w:r w:rsidRPr="00014FA9">
        <w:t>).</w:t>
      </w:r>
    </w:p>
  </w:footnote>
  <w:footnote w:id="11">
    <w:p w14:paraId="1AF8C846" w14:textId="60746DDB" w:rsidR="00AD1D0A" w:rsidRDefault="00AD1D0A" w:rsidP="00027FFE">
      <w:pPr>
        <w:pStyle w:val="FootnoteText"/>
      </w:pPr>
      <w:r>
        <w:rPr>
          <w:rStyle w:val="FootnoteReference"/>
        </w:rPr>
        <w:footnoteRef/>
      </w:r>
      <w:r>
        <w:t xml:space="preserve"> </w:t>
      </w:r>
      <w:proofErr w:type="spellStart"/>
      <w:r w:rsidRPr="009B1AD8">
        <w:t>Dörner</w:t>
      </w:r>
      <w:proofErr w:type="spellEnd"/>
      <w:r>
        <w:t>, T.</w:t>
      </w:r>
      <w:r w:rsidRPr="009B1AD8">
        <w:t xml:space="preserve"> and </w:t>
      </w:r>
      <w:proofErr w:type="spellStart"/>
      <w:r w:rsidRPr="009B1AD8">
        <w:t>Furie</w:t>
      </w:r>
      <w:proofErr w:type="spellEnd"/>
      <w:r>
        <w:t xml:space="preserve">, R. </w:t>
      </w:r>
      <w:r w:rsidRPr="00027FFE">
        <w:t xml:space="preserve">Novel Paradigms </w:t>
      </w:r>
      <w:r>
        <w:t>i</w:t>
      </w:r>
      <w:r w:rsidRPr="00027FFE">
        <w:t>n Systemic Lupus Erythematosus</w:t>
      </w:r>
      <w:r>
        <w:t xml:space="preserve">, </w:t>
      </w:r>
      <w:r w:rsidRPr="00027FFE">
        <w:rPr>
          <w:i/>
          <w:iCs/>
        </w:rPr>
        <w:t>Lancet</w:t>
      </w:r>
      <w:r>
        <w:t>, 2019; 393(10188): 2344-2358.</w:t>
      </w:r>
    </w:p>
  </w:footnote>
  <w:footnote w:id="12">
    <w:p w14:paraId="1B1CA300" w14:textId="0A415F35" w:rsidR="00AD1D0A" w:rsidRDefault="00AD1D0A">
      <w:pPr>
        <w:pStyle w:val="FootnoteText"/>
      </w:pPr>
      <w:r>
        <w:rPr>
          <w:rStyle w:val="FootnoteReference"/>
        </w:rPr>
        <w:footnoteRef/>
      </w:r>
      <w:r>
        <w:t xml:space="preserve"> </w:t>
      </w:r>
      <w:r w:rsidRPr="008D5E1B">
        <w:t>European Medicines Agency (EMA), Committee for Medicinal Products for Human Use (CHMP), ICH guideline S6 (R1) - Preclinical Safety Evaluation of Biotechnology-Derived Pharmaceuticals, EMA/CHMP/ICH/731268/1998, June 2011.</w:t>
      </w:r>
    </w:p>
  </w:footnote>
  <w:footnote w:id="13">
    <w:p w14:paraId="1C878288" w14:textId="36CBA050" w:rsidR="00AD1D0A" w:rsidRDefault="00AD1D0A">
      <w:pPr>
        <w:pStyle w:val="FootnoteText"/>
      </w:pPr>
      <w:r>
        <w:rPr>
          <w:rStyle w:val="FootnoteReference"/>
        </w:rPr>
        <w:footnoteRef/>
      </w:r>
      <w:r>
        <w:t xml:space="preserve"> </w:t>
      </w:r>
      <w:r w:rsidRPr="00C2136E">
        <w:rPr>
          <w:b/>
          <w:bCs/>
        </w:rPr>
        <w:t>Good Laboratory Practice</w:t>
      </w:r>
      <w:r w:rsidRPr="00C2136E">
        <w:t xml:space="preserve"> is a code of standards following the International Council on Harmonisation (ICH) relevant to testing of medicines in laboratories during drug development.</w:t>
      </w:r>
    </w:p>
  </w:footnote>
  <w:footnote w:id="14">
    <w:p w14:paraId="727814CF" w14:textId="6DDF8401" w:rsidR="00AD1D0A" w:rsidRDefault="00AD1D0A">
      <w:pPr>
        <w:pStyle w:val="FootnoteText"/>
      </w:pPr>
      <w:r>
        <w:rPr>
          <w:rStyle w:val="FootnoteReference"/>
        </w:rPr>
        <w:footnoteRef/>
      </w:r>
      <w:r>
        <w:t xml:space="preserve"> </w:t>
      </w:r>
      <w:r w:rsidRPr="00B86B4E">
        <w:t xml:space="preserve">The </w:t>
      </w:r>
      <w:r w:rsidRPr="00440F07">
        <w:rPr>
          <w:b/>
          <w:bCs/>
        </w:rPr>
        <w:t>Cutaneous Lupus Erythematosus Disease Area and Severity Index (CLASI)</w:t>
      </w:r>
      <w:r w:rsidRPr="00B86B4E">
        <w:t xml:space="preserve"> is a clinical </w:t>
      </w:r>
      <w:r>
        <w:t>instrument</w:t>
      </w:r>
      <w:r w:rsidRPr="00B86B4E">
        <w:t xml:space="preserve"> that quantifies disease activity and damage in cutaneous lupus erythematosus. The scor</w:t>
      </w:r>
      <w:r>
        <w:t>ing system</w:t>
      </w:r>
      <w:r w:rsidRPr="00B86B4E">
        <w:t xml:space="preserve"> is based on the degree of erythema, scale, mucous membrane lesions, and nonscarring alopecia.</w:t>
      </w:r>
    </w:p>
    <w:p w14:paraId="4104B46C" w14:textId="77777777" w:rsidR="00AD1D0A" w:rsidRDefault="00AD1D0A" w:rsidP="00F67377">
      <w:pPr>
        <w:pStyle w:val="FootnoteText"/>
      </w:pPr>
      <w:r>
        <w:t xml:space="preserve">The </w:t>
      </w:r>
      <w:r w:rsidRPr="0063551F">
        <w:rPr>
          <w:b/>
        </w:rPr>
        <w:t>CLASI-A</w:t>
      </w:r>
      <w:r>
        <w:t xml:space="preserve"> score represents </w:t>
      </w:r>
      <w:proofErr w:type="spellStart"/>
      <w:r>
        <w:t>cuteanous</w:t>
      </w:r>
      <w:proofErr w:type="spellEnd"/>
      <w:r>
        <w:t xml:space="preserve"> lupus erythematosus (CLE) disease activity, that is the overall severity of CLE dermatologic involvement as observed during patient examination at a clinic visit.</w:t>
      </w:r>
    </w:p>
    <w:p w14:paraId="1531B07D" w14:textId="77777777" w:rsidR="00AD1D0A" w:rsidRDefault="00AD1D0A" w:rsidP="00F67377">
      <w:pPr>
        <w:pStyle w:val="FootnoteText"/>
      </w:pPr>
      <w:r>
        <w:t xml:space="preserve">The </w:t>
      </w:r>
      <w:r w:rsidRPr="0063551F">
        <w:rPr>
          <w:b/>
        </w:rPr>
        <w:t>CLASI-D</w:t>
      </w:r>
      <w:r>
        <w:t xml:space="preserve"> score represents observable CLE damage, that is, the overall extent of scaring, pigmentary change, and alopecia, observed by the clinician.</w:t>
      </w:r>
    </w:p>
    <w:p w14:paraId="32D80B95" w14:textId="2CBACC05" w:rsidR="00AD1D0A" w:rsidRDefault="00AD1D0A" w:rsidP="00F67377">
      <w:pPr>
        <w:pStyle w:val="FootnoteText"/>
      </w:pPr>
      <w:r>
        <w:t>Note, the CLASI does not measure the impact of CLE activity and damage on other aspects of life, such as psychological stress, occupational disability, or lowered health-related quality of life even though it is well documented that CLE may have a major impact in these areas.</w:t>
      </w:r>
    </w:p>
    <w:p w14:paraId="1BB5B9C9" w14:textId="77777777" w:rsidR="00AD1D0A" w:rsidRDefault="00AD1D0A" w:rsidP="00F67377">
      <w:pPr>
        <w:pStyle w:val="FootnoteText"/>
      </w:pPr>
    </w:p>
  </w:footnote>
  <w:footnote w:id="15">
    <w:p w14:paraId="4C9B8212" w14:textId="77777777" w:rsidR="00AD1D0A" w:rsidRDefault="00AD1D0A">
      <w:pPr>
        <w:pStyle w:val="FootnoteText"/>
      </w:pPr>
      <w:r>
        <w:rPr>
          <w:rStyle w:val="FootnoteReference"/>
        </w:rPr>
        <w:footnoteRef/>
      </w:r>
      <w:r>
        <w:t xml:space="preserve"> Study D3461C00004 (TULIP-2 trial): A</w:t>
      </w:r>
      <w:r w:rsidRPr="00E2496A">
        <w:t xml:space="preserve"> multicentre, randomised, dou</w:t>
      </w:r>
      <w:r>
        <w:t>ble-blind, placebo-controlled, Phase III</w:t>
      </w:r>
      <w:r w:rsidRPr="00E2496A">
        <w:t xml:space="preserve"> study evaluating the efficacy and safety of </w:t>
      </w:r>
      <w:proofErr w:type="spellStart"/>
      <w:r w:rsidRPr="00E2496A">
        <w:t>anifrolumab</w:t>
      </w:r>
      <w:proofErr w:type="spellEnd"/>
      <w:r w:rsidRPr="00E2496A">
        <w:t xml:space="preserve"> in adult subjects with active systemic lupus erythematosus</w:t>
      </w:r>
      <w:r>
        <w:t xml:space="preserve">. </w:t>
      </w:r>
      <w:r w:rsidRPr="00E2496A">
        <w:t>ClinicalTrials.gov Identifier: NCT02446899</w:t>
      </w:r>
      <w:r>
        <w:t>.</w:t>
      </w:r>
    </w:p>
    <w:p w14:paraId="51F97AD5" w14:textId="7283FD5B" w:rsidR="00AD1D0A" w:rsidRPr="0063551F" w:rsidRDefault="00AD1D0A">
      <w:pPr>
        <w:pStyle w:val="FootnoteText"/>
        <w:rPr>
          <w:lang w:val="en-GB"/>
        </w:rPr>
      </w:pPr>
      <w:r>
        <w:t xml:space="preserve">Publication: </w:t>
      </w:r>
      <w:proofErr w:type="spellStart"/>
      <w:r w:rsidRPr="00E2496A">
        <w:t>Morand</w:t>
      </w:r>
      <w:proofErr w:type="spellEnd"/>
      <w:r w:rsidRPr="00E2496A">
        <w:t xml:space="preserve"> EF, </w:t>
      </w:r>
      <w:proofErr w:type="spellStart"/>
      <w:r w:rsidRPr="00E2496A">
        <w:t>Furie</w:t>
      </w:r>
      <w:proofErr w:type="spellEnd"/>
      <w:r w:rsidRPr="00E2496A">
        <w:t xml:space="preserve"> R, Tanaka Y, Bruce IN, </w:t>
      </w:r>
      <w:proofErr w:type="spellStart"/>
      <w:r w:rsidRPr="00E2496A">
        <w:t>Askanase</w:t>
      </w:r>
      <w:proofErr w:type="spellEnd"/>
      <w:r w:rsidRPr="00E2496A">
        <w:t xml:space="preserve"> AD, </w:t>
      </w:r>
      <w:proofErr w:type="spellStart"/>
      <w:r w:rsidRPr="00E2496A">
        <w:t>Richez</w:t>
      </w:r>
      <w:proofErr w:type="spellEnd"/>
      <w:r w:rsidRPr="00E2496A">
        <w:t xml:space="preserve"> C, Bae SC, Brohawn PZ, Pineda L, </w:t>
      </w:r>
      <w:proofErr w:type="spellStart"/>
      <w:r w:rsidRPr="00E2496A">
        <w:t>Berglind</w:t>
      </w:r>
      <w:proofErr w:type="spellEnd"/>
      <w:r w:rsidRPr="00E2496A">
        <w:t xml:space="preserve"> A, </w:t>
      </w:r>
      <w:proofErr w:type="spellStart"/>
      <w:r w:rsidRPr="00E2496A">
        <w:t>Tummala</w:t>
      </w:r>
      <w:proofErr w:type="spellEnd"/>
      <w:r w:rsidRPr="00E2496A">
        <w:t xml:space="preserve"> R; TULIP-2 Trial Investigators. Trial of </w:t>
      </w:r>
      <w:proofErr w:type="spellStart"/>
      <w:r w:rsidRPr="00E2496A">
        <w:t>Anifrolumab</w:t>
      </w:r>
      <w:proofErr w:type="spellEnd"/>
      <w:r w:rsidRPr="00E2496A">
        <w:t xml:space="preserve"> in Active Systemic Lupus Erythematosus. N </w:t>
      </w:r>
      <w:proofErr w:type="spellStart"/>
      <w:r w:rsidRPr="00E2496A">
        <w:t>Engl</w:t>
      </w:r>
      <w:proofErr w:type="spellEnd"/>
      <w:r w:rsidRPr="00E2496A">
        <w:t xml:space="preserve"> J M</w:t>
      </w:r>
      <w:r>
        <w:t>ed. 2020 Jan 16;382(3):211-221.</w:t>
      </w:r>
    </w:p>
  </w:footnote>
  <w:footnote w:id="16">
    <w:p w14:paraId="032ED350" w14:textId="77777777" w:rsidR="00AD1D0A" w:rsidRDefault="00AD1D0A">
      <w:pPr>
        <w:pStyle w:val="FootnoteText"/>
      </w:pPr>
      <w:r>
        <w:rPr>
          <w:rStyle w:val="FootnoteReference"/>
        </w:rPr>
        <w:footnoteRef/>
      </w:r>
      <w:r>
        <w:t xml:space="preserve"> The</w:t>
      </w:r>
      <w:r w:rsidRPr="00440F07">
        <w:t xml:space="preserve"> </w:t>
      </w:r>
      <w:r w:rsidRPr="00440F07">
        <w:rPr>
          <w:b/>
          <w:bCs/>
        </w:rPr>
        <w:t>Systemic Lupus Erythematosus Responder Index (SRI)</w:t>
      </w:r>
      <w:r>
        <w:t xml:space="preserve"> is a </w:t>
      </w:r>
      <w:r w:rsidRPr="00440F07">
        <w:t>disease activity assessment</w:t>
      </w:r>
      <w:r>
        <w:t xml:space="preserve"> that </w:t>
      </w:r>
      <w:r w:rsidRPr="00440F07">
        <w:t>quantify decrease and increase in disease activity in a broad spectrum of manifestations.</w:t>
      </w:r>
      <w:r>
        <w:t xml:space="preserve"> It </w:t>
      </w:r>
      <w:r w:rsidRPr="00440F07">
        <w:t>comprises criteria from three different internationally validated indices, SELENA-SLE Disease Activity Index, Physician Global Assessment</w:t>
      </w:r>
      <w:r>
        <w:t xml:space="preserve"> (</w:t>
      </w:r>
      <w:r w:rsidRPr="00440F07">
        <w:t>PGA</w:t>
      </w:r>
      <w:r>
        <w:t>)</w:t>
      </w:r>
      <w:r w:rsidRPr="00440F07">
        <w:t xml:space="preserve"> and the British Isles Lupus Assessment Group</w:t>
      </w:r>
      <w:r>
        <w:t xml:space="preserve"> (BILAG)</w:t>
      </w:r>
      <w:r w:rsidRPr="00440F07">
        <w:t xml:space="preserve"> 2004.</w:t>
      </w:r>
    </w:p>
    <w:p w14:paraId="2BE689BB" w14:textId="1F4515EB" w:rsidR="00AD1D0A" w:rsidRDefault="00AD1D0A">
      <w:pPr>
        <w:pStyle w:val="FootnoteText"/>
      </w:pPr>
      <w:r>
        <w:t xml:space="preserve">Achieving an </w:t>
      </w:r>
      <w:r w:rsidRPr="0063551F">
        <w:rPr>
          <w:b/>
        </w:rPr>
        <w:t>SRI4 response</w:t>
      </w:r>
      <w:r w:rsidRPr="00440F07">
        <w:t xml:space="preserve"> </w:t>
      </w:r>
      <w:r>
        <w:t>is defined as a SLEDAI improvement of 4 points or more, a PGA score not worsening by 0.3 points or more (10% or more), and BILAG as recording no new A’s and not having 2 or more new B’s. The SRI response is considered as being achieved (or not) compared with Baseline (or a specified timepoint).</w:t>
      </w:r>
    </w:p>
  </w:footnote>
  <w:footnote w:id="17">
    <w:p w14:paraId="20A798A8" w14:textId="2F98B9D5" w:rsidR="00AD1D0A" w:rsidRDefault="00AD1D0A">
      <w:pPr>
        <w:pStyle w:val="FootnoteText"/>
      </w:pPr>
      <w:r>
        <w:rPr>
          <w:rStyle w:val="FootnoteReference"/>
        </w:rPr>
        <w:footnoteRef/>
      </w:r>
      <w:r>
        <w:t xml:space="preserve"> The </w:t>
      </w:r>
      <w:r w:rsidRPr="00CC75F3">
        <w:rPr>
          <w:b/>
          <w:bCs/>
        </w:rPr>
        <w:t>Systemic Lupus Erythematosus Disease Activity Index 2000 (SLEDAI-2K)</w:t>
      </w:r>
      <w:r w:rsidRPr="00CC75F3">
        <w:t xml:space="preserve"> was developed </w:t>
      </w:r>
      <w:r>
        <w:t>to measure</w:t>
      </w:r>
      <w:r w:rsidRPr="00CC75F3">
        <w:t xml:space="preserve"> disease activity in systemic lupus erythematosus</w:t>
      </w:r>
      <w:r>
        <w:t xml:space="preserve"> and</w:t>
      </w:r>
      <w:r w:rsidRPr="00CC75F3">
        <w:t xml:space="preserve"> is suitable for use in clinical trials and studies of prognosis in systemic lupus erythematosus.</w:t>
      </w:r>
      <w:r>
        <w:t xml:space="preserve"> It </w:t>
      </w:r>
      <w:r w:rsidRPr="00CC75F3">
        <w:t>is based on the presence of 24 descriptors in nine organ systems over the preceding 30 days. Descriptors of SLEDAI-2K are documented as present or absent. Each of the descriptors has a weighted score and the total score of SLEDAI-2K is the sum of all 24 descriptor scores.</w:t>
      </w:r>
    </w:p>
  </w:footnote>
  <w:footnote w:id="18">
    <w:p w14:paraId="29EFD8D3" w14:textId="04049881" w:rsidR="00AD1D0A" w:rsidRDefault="00AD1D0A">
      <w:pPr>
        <w:pStyle w:val="FootnoteText"/>
      </w:pPr>
      <w:r>
        <w:rPr>
          <w:rStyle w:val="FootnoteReference"/>
        </w:rPr>
        <w:footnoteRef/>
      </w:r>
      <w:r>
        <w:t xml:space="preserve"> </w:t>
      </w:r>
      <w:r w:rsidRPr="00CC75F3">
        <w:t xml:space="preserve">The </w:t>
      </w:r>
      <w:r w:rsidRPr="00CC75F3">
        <w:rPr>
          <w:b/>
          <w:bCs/>
        </w:rPr>
        <w:t>Physician’s Global Assessment (PGA)</w:t>
      </w:r>
      <w:r w:rsidRPr="00CC75F3">
        <w:t xml:space="preserve"> </w:t>
      </w:r>
      <w:r w:rsidRPr="00D0742A">
        <w:t xml:space="preserve">is a visual analogue score that reflects the clinician's judgement of overall </w:t>
      </w:r>
      <w:r w:rsidRPr="00CC75F3">
        <w:t>systemic lupus erythematosus</w:t>
      </w:r>
      <w:r>
        <w:t xml:space="preserve"> </w:t>
      </w:r>
      <w:r w:rsidRPr="00D0742A">
        <w:t>disease activity.</w:t>
      </w:r>
    </w:p>
  </w:footnote>
  <w:footnote w:id="19">
    <w:p w14:paraId="181C5B9B" w14:textId="5E26D246" w:rsidR="00AD1D0A" w:rsidRDefault="00AD1D0A">
      <w:pPr>
        <w:pStyle w:val="FootnoteText"/>
      </w:pPr>
      <w:r>
        <w:rPr>
          <w:rStyle w:val="FootnoteReference"/>
        </w:rPr>
        <w:footnoteRef/>
      </w:r>
      <w:r>
        <w:t xml:space="preserve"> </w:t>
      </w:r>
      <w:r w:rsidRPr="00154D31">
        <w:rPr>
          <w:b/>
          <w:bCs/>
        </w:rPr>
        <w:t>Haemoglobin A1c or glycated haemoglobin (HbA1c)</w:t>
      </w:r>
      <w:r w:rsidRPr="00154D31">
        <w:t xml:space="preserve"> is a minor component of haemoglobin chemically linked to glucose. Levels of HbA1c vary and are relative to the overall blood glucose concentration. Unlike a blood glucose concentration, levels of HbA1c are not influenced by daily fluctuations in the blood glucose concentration but reflect the average glucose levels over the prior 6 to 8 weeks. Measurement of HbA1c is used in the diagnosis of diabetes mellitus and is useful indicator of how well the blood glucose level has been controlled in the recent past and may be used to monitor the effects of diet, exercise, and drug therapy on blood glucose in patients with diabetes. In healthy people without diabetes, the HbA1c level is less than 7 percent of total haemoglobin.</w:t>
      </w:r>
    </w:p>
  </w:footnote>
  <w:footnote w:id="20">
    <w:p w14:paraId="2586A49C" w14:textId="44A7C91B" w:rsidR="00AD1D0A" w:rsidRDefault="00AD1D0A" w:rsidP="008C0D94">
      <w:pPr>
        <w:pStyle w:val="FootnoteText"/>
      </w:pPr>
      <w:r>
        <w:rPr>
          <w:rStyle w:val="FootnoteReference"/>
        </w:rPr>
        <w:footnoteRef/>
      </w:r>
      <w:r>
        <w:t xml:space="preserve"> </w:t>
      </w:r>
      <w:r w:rsidRPr="008C0D94">
        <w:rPr>
          <w:b/>
          <w:bCs/>
        </w:rPr>
        <w:t xml:space="preserve">The systemic lupus international collaborating clinics </w:t>
      </w:r>
      <w:r>
        <w:rPr>
          <w:b/>
          <w:bCs/>
        </w:rPr>
        <w:t xml:space="preserve">/ </w:t>
      </w:r>
      <w:r w:rsidRPr="008C0D94">
        <w:rPr>
          <w:b/>
          <w:bCs/>
        </w:rPr>
        <w:t>American College of Rheumatology Damage index (SDI)</w:t>
      </w:r>
      <w:r>
        <w:t xml:space="preserve"> was developed to quantify damage that has occurred since onset of lupus, which has been shown to be a valid measure for damage and correlates with mortality.</w:t>
      </w:r>
    </w:p>
  </w:footnote>
  <w:footnote w:id="21">
    <w:p w14:paraId="75FE2BCD" w14:textId="04504DEC" w:rsidR="00AD1D0A" w:rsidRDefault="00AD1D0A">
      <w:pPr>
        <w:pStyle w:val="FootnoteText"/>
      </w:pPr>
      <w:r>
        <w:rPr>
          <w:rStyle w:val="FootnoteReference"/>
        </w:rPr>
        <w:footnoteRef/>
      </w:r>
      <w:r>
        <w:t xml:space="preserve"> </w:t>
      </w:r>
      <w:r w:rsidRPr="00C663E7">
        <w:t xml:space="preserve">The </w:t>
      </w:r>
      <w:r w:rsidRPr="00C663E7">
        <w:rPr>
          <w:b/>
          <w:bCs/>
        </w:rPr>
        <w:t>36-Item Short Form Health Survey version 2 (SF-36-v2)</w:t>
      </w:r>
      <w:r>
        <w:rPr>
          <w:b/>
          <w:bCs/>
        </w:rPr>
        <w:t xml:space="preserve"> </w:t>
      </w:r>
      <w:r>
        <w:t>is a patient reported survey that m</w:t>
      </w:r>
      <w:r w:rsidRPr="00C663E7">
        <w:t>easure</w:t>
      </w:r>
      <w:r>
        <w:t>s</w:t>
      </w:r>
      <w:r w:rsidRPr="00C663E7">
        <w:t xml:space="preserve"> </w:t>
      </w:r>
      <w:r>
        <w:t xml:space="preserve">patient’s </w:t>
      </w:r>
      <w:r w:rsidRPr="00C663E7">
        <w:t>quality of life</w:t>
      </w:r>
      <w:r>
        <w:t>,</w:t>
      </w:r>
      <w:r w:rsidRPr="00C663E7">
        <w:t xml:space="preserve"> functional </w:t>
      </w:r>
      <w:proofErr w:type="gramStart"/>
      <w:r w:rsidRPr="00C663E7">
        <w:t>health</w:t>
      </w:r>
      <w:proofErr w:type="gramEnd"/>
      <w:r>
        <w:t xml:space="preserve"> </w:t>
      </w:r>
      <w:r w:rsidRPr="00C663E7">
        <w:t>and well</w:t>
      </w:r>
      <w:r>
        <w:t>-</w:t>
      </w:r>
      <w:r w:rsidRPr="00C663E7">
        <w:t>being</w:t>
      </w:r>
      <w:r>
        <w:t xml:space="preserve">. </w:t>
      </w:r>
      <w:r w:rsidRPr="00C663E7">
        <w:t>The lower the score the more disability</w:t>
      </w:r>
      <w:r>
        <w:t xml:space="preserve"> the patient is considered to carry</w:t>
      </w:r>
      <w:r w:rsidRPr="00C663E7">
        <w:t>.</w:t>
      </w:r>
    </w:p>
  </w:footnote>
  <w:footnote w:id="22">
    <w:p w14:paraId="31880D51" w14:textId="684BB9D0" w:rsidR="00AD1D0A" w:rsidRDefault="00AD1D0A">
      <w:pPr>
        <w:pStyle w:val="FootnoteText"/>
      </w:pPr>
      <w:r>
        <w:rPr>
          <w:rStyle w:val="FootnoteReference"/>
        </w:rPr>
        <w:footnoteRef/>
      </w:r>
      <w:r>
        <w:t xml:space="preserve"> </w:t>
      </w:r>
      <w:r w:rsidRPr="008C0D94">
        <w:t xml:space="preserve">Developed by </w:t>
      </w:r>
      <w:proofErr w:type="spellStart"/>
      <w:r w:rsidRPr="00440F07">
        <w:rPr>
          <w:b/>
          <w:bCs/>
        </w:rPr>
        <w:t>EuroQol</w:t>
      </w:r>
      <w:proofErr w:type="spellEnd"/>
      <w:r w:rsidRPr="00440F07">
        <w:rPr>
          <w:b/>
          <w:bCs/>
        </w:rPr>
        <w:t>, Euro quality of life 5 dimensions (</w:t>
      </w:r>
      <w:r w:rsidRPr="008C0D94">
        <w:rPr>
          <w:b/>
          <w:bCs/>
        </w:rPr>
        <w:t>EQ-5D</w:t>
      </w:r>
      <w:r>
        <w:rPr>
          <w:b/>
          <w:bCs/>
        </w:rPr>
        <w:t>)</w:t>
      </w:r>
      <w:r w:rsidRPr="008C0D94">
        <w:t xml:space="preserve"> is a standardised instrument f+B24or use as a measure of health outcome. Applicable to a wide range of health conditions and treatments, it provides a simple descriptive profile and a single index value for health status.</w:t>
      </w:r>
    </w:p>
  </w:footnote>
  <w:footnote w:id="23">
    <w:p w14:paraId="4F7ABB29" w14:textId="4A72D131" w:rsidR="00AD1D0A" w:rsidRDefault="00AD1D0A">
      <w:pPr>
        <w:pStyle w:val="FootnoteText"/>
      </w:pPr>
      <w:r>
        <w:rPr>
          <w:rStyle w:val="FootnoteReference"/>
        </w:rPr>
        <w:footnoteRef/>
      </w:r>
      <w:r>
        <w:t xml:space="preserve"> </w:t>
      </w:r>
      <w:r w:rsidRPr="00E2496A">
        <w:t>Study D3461C00005 (TULIP-1 trial</w:t>
      </w:r>
      <w:r>
        <w:t>): A</w:t>
      </w:r>
      <w:r w:rsidRPr="008A3656">
        <w:t xml:space="preserve"> multicentre, randomised, dou</w:t>
      </w:r>
      <w:r>
        <w:t>ble-blind, placebo-controlled, P</w:t>
      </w:r>
      <w:r w:rsidRPr="008A3656">
        <w:t>has</w:t>
      </w:r>
      <w:r>
        <w:t>e III</w:t>
      </w:r>
      <w:r w:rsidRPr="008A3656">
        <w:t xml:space="preserve"> study evaluating the efficacy and safety of two doses of </w:t>
      </w:r>
      <w:proofErr w:type="spellStart"/>
      <w:r w:rsidRPr="008A3656">
        <w:t>anifrolumab</w:t>
      </w:r>
      <w:proofErr w:type="spellEnd"/>
      <w:r w:rsidRPr="008A3656">
        <w:t xml:space="preserve"> in adult subjects with active systemic lupus erythematosus</w:t>
      </w:r>
      <w:r>
        <w:t xml:space="preserve">. </w:t>
      </w:r>
      <w:r w:rsidRPr="008A3656">
        <w:t>ClinicalTrials.gov Identifier: NCT02446912</w:t>
      </w:r>
      <w:r>
        <w:t>.</w:t>
      </w:r>
    </w:p>
    <w:p w14:paraId="31D02E87" w14:textId="5279E094" w:rsidR="00AD1D0A" w:rsidRPr="008A3656" w:rsidRDefault="00AD1D0A" w:rsidP="008A3656">
      <w:pPr>
        <w:pStyle w:val="FootnoteText"/>
      </w:pPr>
      <w:r>
        <w:t xml:space="preserve">Published as: </w:t>
      </w:r>
      <w:proofErr w:type="spellStart"/>
      <w:r>
        <w:t>Furie</w:t>
      </w:r>
      <w:proofErr w:type="spellEnd"/>
      <w:r>
        <w:t xml:space="preserve">, R et al. Type I interferon inhibitor </w:t>
      </w:r>
      <w:proofErr w:type="spellStart"/>
      <w:r>
        <w:t>anifrolumab</w:t>
      </w:r>
      <w:proofErr w:type="spellEnd"/>
      <w:r>
        <w:t xml:space="preserve"> in active systemic lupus erythematosus (TULIP-1): a randomised, controlled, Phase III trial. The Lancet Rheumatology, Volume 1, Issue 4, 2019, Pages e208-e219.</w:t>
      </w:r>
    </w:p>
  </w:footnote>
  <w:footnote w:id="24">
    <w:p w14:paraId="3923B5A3" w14:textId="4CDE39E8" w:rsidR="00AD1D0A" w:rsidRDefault="00AD1D0A">
      <w:pPr>
        <w:pStyle w:val="FootnoteText"/>
      </w:pPr>
      <w:r>
        <w:rPr>
          <w:rStyle w:val="FootnoteReference"/>
        </w:rPr>
        <w:footnoteRef/>
      </w:r>
      <w:r>
        <w:t xml:space="preserve"> </w:t>
      </w:r>
      <w:r w:rsidRPr="009136A5">
        <w:t xml:space="preserve">European Medicines Evaluation Agency (EMEA), Committee for Medicinal Products for Human Use (CPMP), ICH Topic E1 Population Exposure: </w:t>
      </w:r>
      <w:proofErr w:type="gramStart"/>
      <w:r w:rsidRPr="009136A5">
        <w:t>the</w:t>
      </w:r>
      <w:proofErr w:type="gramEnd"/>
      <w:r w:rsidRPr="009136A5">
        <w:t xml:space="preserve"> Extent of Population Exposure to Assess Clinical Safety, Note for Guidance on Population Exposure: the Extent of Population Exposure to Assess Clinical Safety, CPMP/ICH/375/95, June 1995.</w:t>
      </w:r>
    </w:p>
  </w:footnote>
  <w:footnote w:id="25">
    <w:p w14:paraId="21504154" w14:textId="0D04D809" w:rsidR="00AD1D0A" w:rsidRDefault="00AD1D0A" w:rsidP="00B86247">
      <w:pPr>
        <w:pStyle w:val="FootnoteText"/>
      </w:pPr>
      <w:r>
        <w:rPr>
          <w:rStyle w:val="FootnoteReference"/>
        </w:rPr>
        <w:footnoteRef/>
      </w:r>
      <w:r>
        <w:t xml:space="preserve"> Study</w:t>
      </w:r>
      <w:r w:rsidRPr="00F44D9E">
        <w:t xml:space="preserve"> D3461C00009</w:t>
      </w:r>
      <w:r>
        <w:t xml:space="preserve"> (also known as the TULIP SLE LTE trial; ClinicalTrials.gov Identifier: NCT02794285) is </w:t>
      </w:r>
      <w:r w:rsidRPr="00B86247">
        <w:t>a multicentre, randomised, do</w:t>
      </w:r>
      <w:r>
        <w:t>uble-blind, placebo-controlled Phase III</w:t>
      </w:r>
      <w:r w:rsidRPr="00B86247">
        <w:t xml:space="preserve"> extension study to characterise the long-term safety and tolerability of </w:t>
      </w:r>
      <w:proofErr w:type="spellStart"/>
      <w:r w:rsidRPr="00B86247">
        <w:t>anifrolumab</w:t>
      </w:r>
      <w:proofErr w:type="spellEnd"/>
      <w:r w:rsidRPr="00B86247">
        <w:t xml:space="preserve"> in adult subjects with active systemic lupus erythematosus.</w:t>
      </w:r>
    </w:p>
    <w:p w14:paraId="0DE08DE4" w14:textId="72427506" w:rsidR="00AD1D0A" w:rsidRPr="00B86247" w:rsidRDefault="00AD1D0A">
      <w:pPr>
        <w:pStyle w:val="FootnoteText"/>
      </w:pPr>
      <w:r>
        <w:t xml:space="preserve">Published as: </w:t>
      </w:r>
      <w:proofErr w:type="spellStart"/>
      <w:r>
        <w:t>Kalunian</w:t>
      </w:r>
      <w:proofErr w:type="spellEnd"/>
      <w:r>
        <w:t xml:space="preserve"> KC, </w:t>
      </w:r>
      <w:proofErr w:type="spellStart"/>
      <w:r>
        <w:t>Furie</w:t>
      </w:r>
      <w:proofErr w:type="spellEnd"/>
      <w:r>
        <w:t xml:space="preserve"> R, </w:t>
      </w:r>
      <w:proofErr w:type="spellStart"/>
      <w:r>
        <w:t>Morand</w:t>
      </w:r>
      <w:proofErr w:type="spellEnd"/>
      <w:r>
        <w:t xml:space="preserve"> EF, et al. A Randomized, Placebo-Controlled Phase III Extension Trial of the Long-Term Safety and Tolerability of </w:t>
      </w:r>
      <w:proofErr w:type="spellStart"/>
      <w:r>
        <w:t>Anifrolumab</w:t>
      </w:r>
      <w:proofErr w:type="spellEnd"/>
      <w:r>
        <w:t xml:space="preserve"> in Active Systemic Lupus Erythematosus </w:t>
      </w:r>
      <w:r w:rsidRPr="0063551F">
        <w:rPr>
          <w:i/>
        </w:rPr>
        <w:t xml:space="preserve">Arthritis </w:t>
      </w:r>
      <w:proofErr w:type="spellStart"/>
      <w:r w:rsidRPr="0063551F">
        <w:rPr>
          <w:i/>
        </w:rPr>
        <w:t>Rheumatol</w:t>
      </w:r>
      <w:proofErr w:type="spellEnd"/>
      <w:r w:rsidRPr="0063551F">
        <w:rPr>
          <w:i/>
        </w:rPr>
        <w:t>.</w:t>
      </w:r>
      <w:r>
        <w:t xml:space="preserve"> 2022;10.1002/art.42392. </w:t>
      </w:r>
    </w:p>
  </w:footnote>
  <w:footnote w:id="26">
    <w:p w14:paraId="005E1CA5" w14:textId="77777777" w:rsidR="00AD1D0A" w:rsidRDefault="00AD1D0A" w:rsidP="000A7DF9">
      <w:pPr>
        <w:pStyle w:val="FootnoteText"/>
      </w:pPr>
      <w:r>
        <w:rPr>
          <w:rStyle w:val="FootnoteReference"/>
        </w:rPr>
        <w:footnoteRef/>
      </w:r>
      <w:r>
        <w:t xml:space="preserve"> Study </w:t>
      </w:r>
      <w:r w:rsidRPr="00F44D9E">
        <w:t>D3461C00007</w:t>
      </w:r>
      <w:r>
        <w:t xml:space="preserve"> (also known as the TULIP-LN1 trial; ClinicalTrials.gov Identifier: </w:t>
      </w:r>
      <w:r w:rsidRPr="00F44D9E">
        <w:t>NCT02547922</w:t>
      </w:r>
      <w:r>
        <w:t>) is a</w:t>
      </w:r>
      <w:r w:rsidRPr="00F44D9E">
        <w:t xml:space="preserve"> multicentre, randomised, double-blind, placebo-controlled, </w:t>
      </w:r>
      <w:r>
        <w:t>Phase II</w:t>
      </w:r>
      <w:r w:rsidRPr="00F44D9E">
        <w:t xml:space="preserve"> study evaluating the efficacy and safety of </w:t>
      </w:r>
      <w:proofErr w:type="spellStart"/>
      <w:r w:rsidRPr="00F44D9E">
        <w:t>anifrolumab</w:t>
      </w:r>
      <w:proofErr w:type="spellEnd"/>
      <w:r w:rsidRPr="00F44D9E">
        <w:t xml:space="preserve"> in adult subjects with active proliferative lupus nephritis</w:t>
      </w:r>
      <w:r>
        <w:t>.</w:t>
      </w:r>
    </w:p>
    <w:p w14:paraId="59F0896D" w14:textId="357DA927" w:rsidR="00AD1D0A" w:rsidRPr="0063551F" w:rsidRDefault="00AD1D0A" w:rsidP="000A7DF9">
      <w:pPr>
        <w:pStyle w:val="FootnoteText"/>
        <w:rPr>
          <w:lang w:val="en-GB"/>
        </w:rPr>
      </w:pPr>
      <w:r>
        <w:t xml:space="preserve">Published as: </w:t>
      </w:r>
      <w:r w:rsidRPr="00F44D9E">
        <w:t xml:space="preserve">Jayne D, </w:t>
      </w:r>
      <w:proofErr w:type="spellStart"/>
      <w:r w:rsidRPr="00F44D9E">
        <w:t>Rovin</w:t>
      </w:r>
      <w:proofErr w:type="spellEnd"/>
      <w:r w:rsidRPr="00F44D9E">
        <w:t xml:space="preserve"> B, </w:t>
      </w:r>
      <w:proofErr w:type="spellStart"/>
      <w:r w:rsidRPr="00F44D9E">
        <w:t>Mysler</w:t>
      </w:r>
      <w:proofErr w:type="spellEnd"/>
      <w:r w:rsidRPr="00F44D9E">
        <w:t xml:space="preserve"> EF, et al. Phase II randomised trial of type I interferon inhibitor </w:t>
      </w:r>
      <w:proofErr w:type="spellStart"/>
      <w:r w:rsidRPr="00F44D9E">
        <w:t>anifrolumab</w:t>
      </w:r>
      <w:proofErr w:type="spellEnd"/>
      <w:r w:rsidRPr="00F44D9E">
        <w:t xml:space="preserve"> in patients with active lupus nephritis. </w:t>
      </w:r>
      <w:r w:rsidRPr="00CF4CE3">
        <w:rPr>
          <w:i/>
        </w:rPr>
        <w:t>Ann Rheum Dis</w:t>
      </w:r>
      <w:r w:rsidRPr="00F44D9E">
        <w:t>. 2022;81(4):496-506.</w:t>
      </w:r>
    </w:p>
  </w:footnote>
  <w:footnote w:id="27">
    <w:p w14:paraId="672EE336" w14:textId="292BFB0F" w:rsidR="00AD1D0A" w:rsidRDefault="00AD1D0A">
      <w:pPr>
        <w:pStyle w:val="FootnoteText"/>
      </w:pPr>
      <w:r>
        <w:rPr>
          <w:rStyle w:val="FootnoteReference"/>
        </w:rPr>
        <w:footnoteRef/>
      </w:r>
      <w:r>
        <w:t xml:space="preserve"> United States Food and Drug Administration (FDA) </w:t>
      </w:r>
      <w:r w:rsidRPr="00867DE2">
        <w:t>NDA/BLA Multi-Disciplinary Review and Evaluation</w:t>
      </w:r>
      <w:r>
        <w:t xml:space="preserve"> on </w:t>
      </w:r>
      <w:proofErr w:type="spellStart"/>
      <w:r w:rsidRPr="00867DE2">
        <w:t>Saphnelo</w:t>
      </w:r>
      <w:proofErr w:type="spellEnd"/>
      <w:r w:rsidRPr="00867DE2">
        <w:t xml:space="preserve"> (</w:t>
      </w:r>
      <w:proofErr w:type="spellStart"/>
      <w:r w:rsidRPr="00867DE2">
        <w:t>anifrolumab-fnia</w:t>
      </w:r>
      <w:proofErr w:type="spellEnd"/>
      <w:r w:rsidRPr="00867DE2">
        <w:t>) for adults with SLE</w:t>
      </w:r>
      <w:r>
        <w:t xml:space="preserve">. Available at: </w:t>
      </w:r>
      <w:hyperlink r:id="rId1" w:history="1">
        <w:r w:rsidRPr="00F539F2">
          <w:rPr>
            <w:rStyle w:val="Hyperlink"/>
          </w:rPr>
          <w:t>https://www.accessdata.fda.gov/drugsatfda_docs/nda/2021/761123Orig1s000MultidisciplineR.pdf</w:t>
        </w:r>
      </w:hyperlink>
      <w:r>
        <w:t>.</w:t>
      </w:r>
    </w:p>
  </w:footnote>
  <w:footnote w:id="28">
    <w:p w14:paraId="58F332A3" w14:textId="7C7C9E7D" w:rsidR="00AD1D0A" w:rsidRDefault="00AD1D0A">
      <w:pPr>
        <w:pStyle w:val="FootnoteText"/>
      </w:pPr>
      <w:r>
        <w:rPr>
          <w:rStyle w:val="FootnoteReference"/>
        </w:rPr>
        <w:footnoteRef/>
      </w:r>
      <w:r>
        <w:t xml:space="preserve"> </w:t>
      </w:r>
      <w:proofErr w:type="spellStart"/>
      <w:r w:rsidRPr="00027FFE">
        <w:t>Mabthera</w:t>
      </w:r>
      <w:proofErr w:type="spellEnd"/>
      <w:r w:rsidRPr="00014FA9">
        <w:t xml:space="preserve"> (rituximab) was first registered on the ARTG on </w:t>
      </w:r>
      <w:r w:rsidRPr="00027FFE">
        <w:t>6 October 1998</w:t>
      </w:r>
      <w:r w:rsidRPr="00014FA9">
        <w:t xml:space="preserve"> (ARTG number</w:t>
      </w:r>
      <w:r>
        <w:t>s</w:t>
      </w:r>
      <w:r w:rsidRPr="00014FA9">
        <w:t xml:space="preserve">: </w:t>
      </w:r>
      <w:r w:rsidRPr="00027FFE">
        <w:t>60318</w:t>
      </w:r>
      <w:r>
        <w:t xml:space="preserve"> and </w:t>
      </w:r>
      <w:r w:rsidRPr="00027FFE">
        <w:t>60319</w:t>
      </w:r>
      <w:r w:rsidRPr="00014FA9">
        <w:t>).</w:t>
      </w:r>
    </w:p>
  </w:footnote>
  <w:footnote w:id="29">
    <w:p w14:paraId="10F85A80" w14:textId="2631B1B1" w:rsidR="00AD1D0A" w:rsidRDefault="00AD1D0A">
      <w:pPr>
        <w:pStyle w:val="FootnoteText"/>
      </w:pPr>
      <w:r>
        <w:rPr>
          <w:rStyle w:val="FootnoteReference"/>
        </w:rPr>
        <w:footnoteRef/>
      </w:r>
      <w:r>
        <w:t xml:space="preserve"> </w:t>
      </w:r>
      <w:r w:rsidRPr="00C2136E">
        <w:t xml:space="preserve">The </w:t>
      </w:r>
      <w:r w:rsidRPr="00C2136E">
        <w:rPr>
          <w:b/>
          <w:bCs/>
        </w:rPr>
        <w:t>per-protocol (PP)</w:t>
      </w:r>
      <w:r w:rsidRPr="00C2136E">
        <w:t xml:space="preserve"> analysis is restricted to the participants who strictly adhered to the protocol. Also known as ‘on-treatment’ analysis.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DDF09" w14:textId="77777777" w:rsidR="00AD1D0A" w:rsidRDefault="00AD1D0A"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82110" w14:textId="77777777" w:rsidR="00AD1D0A" w:rsidRDefault="00AD1D0A">
    <w:pPr>
      <w:rPr>
        <w:noProof/>
        <w:lang w:eastAsia="en-AU"/>
      </w:rPr>
    </w:pPr>
    <w:r w:rsidRPr="00347824">
      <w:rPr>
        <w:noProof/>
        <w:lang w:val="en-GB" w:eastAsia="en-GB"/>
      </w:rPr>
      <w:drawing>
        <wp:anchor distT="0" distB="0" distL="114300" distR="114300" simplePos="0" relativeHeight="251659264" behindDoc="1" locked="0" layoutInCell="1" allowOverlap="1" wp14:anchorId="521B776C" wp14:editId="02C15EAD">
          <wp:simplePos x="0" y="0"/>
          <wp:positionH relativeFrom="column">
            <wp:posOffset>-1089660</wp:posOffset>
          </wp:positionH>
          <wp:positionV relativeFrom="paragraph">
            <wp:posOffset>-585470</wp:posOffset>
          </wp:positionV>
          <wp:extent cx="7572375" cy="10706100"/>
          <wp:effectExtent l="19050" t="0" r="0" b="0"/>
          <wp:wrapNone/>
          <wp:docPr id="9"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755D3" w14:textId="77777777" w:rsidR="00AD1D0A" w:rsidRDefault="00AD1D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16494" w14:textId="77777777" w:rsidR="00AD1D0A" w:rsidRDefault="00AD1D0A">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9BCC7" w14:textId="77777777" w:rsidR="00AD1D0A" w:rsidRDefault="00AD1D0A">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4B4B1" w14:textId="77777777" w:rsidR="00AD1D0A" w:rsidRDefault="00AD1D0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F5850" w14:textId="77777777" w:rsidR="00AD1D0A" w:rsidRDefault="00AD1D0A"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39028" w14:textId="77777777" w:rsidR="00AD1D0A" w:rsidRDefault="00AD1D0A" w:rsidP="006E08B3">
    <w:r>
      <w:t>Therapeutic Goods Administration</w:t>
    </w:r>
  </w:p>
  <w:p w14:paraId="23FE5508" w14:textId="77777777" w:rsidR="00AD1D0A" w:rsidRDefault="00AD1D0A"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57AAC5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E9108CD"/>
    <w:multiLevelType w:val="hybridMultilevel"/>
    <w:tmpl w:val="951AAFD4"/>
    <w:lvl w:ilvl="0" w:tplc="0550359C">
      <w:start w:val="1"/>
      <w:numFmt w:val="bullet"/>
      <w:pStyle w:val="Bulletlis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6E8023C"/>
    <w:multiLevelType w:val="hybridMultilevel"/>
    <w:tmpl w:val="60AABDE4"/>
    <w:lvl w:ilvl="0" w:tplc="899A42F0">
      <w:start w:val="1"/>
      <w:numFmt w:val="lowerRoman"/>
      <w:pStyle w:val="ListParagraph"/>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1893D78"/>
    <w:multiLevelType w:val="hybridMultilevel"/>
    <w:tmpl w:val="B2D4F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B305588"/>
    <w:multiLevelType w:val="hybridMultilevel"/>
    <w:tmpl w:val="FBA6CE92"/>
    <w:lvl w:ilvl="0" w:tplc="0C090001">
      <w:start w:val="1"/>
      <w:numFmt w:val="bullet"/>
      <w:lvlText w:val=""/>
      <w:lvlJc w:val="left"/>
      <w:pPr>
        <w:ind w:left="720" w:hanging="360"/>
      </w:pPr>
      <w:rPr>
        <w:rFonts w:ascii="Symbol" w:hAnsi="Symbol" w:hint="default"/>
      </w:rPr>
    </w:lvl>
    <w:lvl w:ilvl="1" w:tplc="44A8618A">
      <w:numFmt w:val="bullet"/>
      <w:lvlText w:val="•"/>
      <w:lvlJc w:val="left"/>
      <w:pPr>
        <w:ind w:left="1440" w:hanging="360"/>
      </w:pPr>
      <w:rPr>
        <w:rFonts w:ascii="Cambria" w:eastAsia="Cambria" w:hAnsi="Cambria"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3"/>
  </w:num>
  <w:num w:numId="4">
    <w:abstractNumId w:val="2"/>
  </w:num>
  <w:num w:numId="5">
    <w:abstractNumId w:val="4"/>
  </w:num>
  <w:num w:numId="6">
    <w:abstractNumId w:val="7"/>
  </w:num>
  <w:num w:numId="7">
    <w:abstractNumId w:val="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5"/>
  </w:num>
  <w:num w:numId="11">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E62"/>
    <w:rsid w:val="00002031"/>
    <w:rsid w:val="00004734"/>
    <w:rsid w:val="00006B22"/>
    <w:rsid w:val="00006FAB"/>
    <w:rsid w:val="0001276A"/>
    <w:rsid w:val="00014FA9"/>
    <w:rsid w:val="00020600"/>
    <w:rsid w:val="00023A76"/>
    <w:rsid w:val="000246AE"/>
    <w:rsid w:val="00025C67"/>
    <w:rsid w:val="00027FFE"/>
    <w:rsid w:val="00033632"/>
    <w:rsid w:val="00044772"/>
    <w:rsid w:val="0004541C"/>
    <w:rsid w:val="00053B08"/>
    <w:rsid w:val="0005559E"/>
    <w:rsid w:val="000576CB"/>
    <w:rsid w:val="000604D6"/>
    <w:rsid w:val="00072074"/>
    <w:rsid w:val="000734D8"/>
    <w:rsid w:val="00077775"/>
    <w:rsid w:val="00090471"/>
    <w:rsid w:val="00096AA7"/>
    <w:rsid w:val="000A3AED"/>
    <w:rsid w:val="000A7DF9"/>
    <w:rsid w:val="000B3532"/>
    <w:rsid w:val="000B3A75"/>
    <w:rsid w:val="000C00C2"/>
    <w:rsid w:val="000C392B"/>
    <w:rsid w:val="000C4EB0"/>
    <w:rsid w:val="000C690F"/>
    <w:rsid w:val="000D1295"/>
    <w:rsid w:val="000D391B"/>
    <w:rsid w:val="000D3D6D"/>
    <w:rsid w:val="000D4FC7"/>
    <w:rsid w:val="000E6196"/>
    <w:rsid w:val="000F4869"/>
    <w:rsid w:val="000F5B42"/>
    <w:rsid w:val="000F6E6F"/>
    <w:rsid w:val="0010601F"/>
    <w:rsid w:val="0010788A"/>
    <w:rsid w:val="00107A31"/>
    <w:rsid w:val="00110EA5"/>
    <w:rsid w:val="00112F56"/>
    <w:rsid w:val="001171A3"/>
    <w:rsid w:val="00117C1F"/>
    <w:rsid w:val="00122C2E"/>
    <w:rsid w:val="00124ACD"/>
    <w:rsid w:val="00125318"/>
    <w:rsid w:val="001305A2"/>
    <w:rsid w:val="00133238"/>
    <w:rsid w:val="00133A1B"/>
    <w:rsid w:val="00135A47"/>
    <w:rsid w:val="0014197B"/>
    <w:rsid w:val="001447CD"/>
    <w:rsid w:val="001516B1"/>
    <w:rsid w:val="00154D31"/>
    <w:rsid w:val="00154EBB"/>
    <w:rsid w:val="00156316"/>
    <w:rsid w:val="001605DB"/>
    <w:rsid w:val="00161181"/>
    <w:rsid w:val="00161D56"/>
    <w:rsid w:val="00162D14"/>
    <w:rsid w:val="00163780"/>
    <w:rsid w:val="00165389"/>
    <w:rsid w:val="0017693F"/>
    <w:rsid w:val="0018110E"/>
    <w:rsid w:val="00181684"/>
    <w:rsid w:val="001843C6"/>
    <w:rsid w:val="001850E0"/>
    <w:rsid w:val="00185407"/>
    <w:rsid w:val="001A03AF"/>
    <w:rsid w:val="001A13DA"/>
    <w:rsid w:val="001A2158"/>
    <w:rsid w:val="001A525F"/>
    <w:rsid w:val="001A5A00"/>
    <w:rsid w:val="001A66B8"/>
    <w:rsid w:val="001B09F9"/>
    <w:rsid w:val="001B1DA4"/>
    <w:rsid w:val="001B5C90"/>
    <w:rsid w:val="001B6448"/>
    <w:rsid w:val="001C0B36"/>
    <w:rsid w:val="001C32CD"/>
    <w:rsid w:val="001C6635"/>
    <w:rsid w:val="001D2984"/>
    <w:rsid w:val="001E07CF"/>
    <w:rsid w:val="001E359E"/>
    <w:rsid w:val="001E36A6"/>
    <w:rsid w:val="001E59F1"/>
    <w:rsid w:val="001F2CEE"/>
    <w:rsid w:val="001F49EB"/>
    <w:rsid w:val="001F6CBA"/>
    <w:rsid w:val="00201D4E"/>
    <w:rsid w:val="002076C9"/>
    <w:rsid w:val="00220B8A"/>
    <w:rsid w:val="002257F3"/>
    <w:rsid w:val="002314EA"/>
    <w:rsid w:val="00233456"/>
    <w:rsid w:val="002339A5"/>
    <w:rsid w:val="00250271"/>
    <w:rsid w:val="00250F35"/>
    <w:rsid w:val="00257848"/>
    <w:rsid w:val="002578E8"/>
    <w:rsid w:val="00264547"/>
    <w:rsid w:val="0027084A"/>
    <w:rsid w:val="00271E85"/>
    <w:rsid w:val="00280265"/>
    <w:rsid w:val="00286434"/>
    <w:rsid w:val="00286C59"/>
    <w:rsid w:val="00291957"/>
    <w:rsid w:val="002942D1"/>
    <w:rsid w:val="0029501A"/>
    <w:rsid w:val="002950D3"/>
    <w:rsid w:val="002A3721"/>
    <w:rsid w:val="002A3EDD"/>
    <w:rsid w:val="002B1638"/>
    <w:rsid w:val="002B3624"/>
    <w:rsid w:val="002B7EBE"/>
    <w:rsid w:val="002D0952"/>
    <w:rsid w:val="002E40B3"/>
    <w:rsid w:val="002E4C9A"/>
    <w:rsid w:val="002F11F8"/>
    <w:rsid w:val="002F3F56"/>
    <w:rsid w:val="002F44B5"/>
    <w:rsid w:val="002F5122"/>
    <w:rsid w:val="002F5AFB"/>
    <w:rsid w:val="00311AC0"/>
    <w:rsid w:val="003176FC"/>
    <w:rsid w:val="00324E45"/>
    <w:rsid w:val="0032583B"/>
    <w:rsid w:val="00327883"/>
    <w:rsid w:val="00332715"/>
    <w:rsid w:val="00335504"/>
    <w:rsid w:val="00340C18"/>
    <w:rsid w:val="003442FD"/>
    <w:rsid w:val="00347824"/>
    <w:rsid w:val="00350567"/>
    <w:rsid w:val="0035180C"/>
    <w:rsid w:val="003521E8"/>
    <w:rsid w:val="00370CE3"/>
    <w:rsid w:val="003728F3"/>
    <w:rsid w:val="003735BC"/>
    <w:rsid w:val="0037496E"/>
    <w:rsid w:val="00383221"/>
    <w:rsid w:val="00386150"/>
    <w:rsid w:val="003874CE"/>
    <w:rsid w:val="00390900"/>
    <w:rsid w:val="003A7F6C"/>
    <w:rsid w:val="003B4D60"/>
    <w:rsid w:val="003B7E39"/>
    <w:rsid w:val="003C58DC"/>
    <w:rsid w:val="003D1E62"/>
    <w:rsid w:val="003E0B99"/>
    <w:rsid w:val="003E2486"/>
    <w:rsid w:val="003E3208"/>
    <w:rsid w:val="003F0B04"/>
    <w:rsid w:val="003F492F"/>
    <w:rsid w:val="0040134E"/>
    <w:rsid w:val="00405F18"/>
    <w:rsid w:val="00410507"/>
    <w:rsid w:val="00431FE0"/>
    <w:rsid w:val="004334C7"/>
    <w:rsid w:val="00440A2D"/>
    <w:rsid w:val="00440F07"/>
    <w:rsid w:val="00441C3F"/>
    <w:rsid w:val="00444D1A"/>
    <w:rsid w:val="0045186A"/>
    <w:rsid w:val="00454BDC"/>
    <w:rsid w:val="00454E89"/>
    <w:rsid w:val="004564A7"/>
    <w:rsid w:val="00456765"/>
    <w:rsid w:val="00460036"/>
    <w:rsid w:val="004617BF"/>
    <w:rsid w:val="00463658"/>
    <w:rsid w:val="004637A0"/>
    <w:rsid w:val="004722CC"/>
    <w:rsid w:val="00490483"/>
    <w:rsid w:val="004936E4"/>
    <w:rsid w:val="00494E60"/>
    <w:rsid w:val="00497487"/>
    <w:rsid w:val="00497C1A"/>
    <w:rsid w:val="004A0B8E"/>
    <w:rsid w:val="004A2771"/>
    <w:rsid w:val="004A6189"/>
    <w:rsid w:val="004A7390"/>
    <w:rsid w:val="004B7B76"/>
    <w:rsid w:val="004C239D"/>
    <w:rsid w:val="004C2B1B"/>
    <w:rsid w:val="004C2DCA"/>
    <w:rsid w:val="004C342A"/>
    <w:rsid w:val="004C4FBE"/>
    <w:rsid w:val="004C61D2"/>
    <w:rsid w:val="004F0C4A"/>
    <w:rsid w:val="004F0F38"/>
    <w:rsid w:val="004F47D6"/>
    <w:rsid w:val="00500337"/>
    <w:rsid w:val="00501921"/>
    <w:rsid w:val="00505417"/>
    <w:rsid w:val="0052149B"/>
    <w:rsid w:val="00523A21"/>
    <w:rsid w:val="00530354"/>
    <w:rsid w:val="00532E00"/>
    <w:rsid w:val="0053625B"/>
    <w:rsid w:val="005434C6"/>
    <w:rsid w:val="00543B39"/>
    <w:rsid w:val="00545CDB"/>
    <w:rsid w:val="00546154"/>
    <w:rsid w:val="00547637"/>
    <w:rsid w:val="00550096"/>
    <w:rsid w:val="00555280"/>
    <w:rsid w:val="00557FF9"/>
    <w:rsid w:val="00562327"/>
    <w:rsid w:val="00565914"/>
    <w:rsid w:val="005675A0"/>
    <w:rsid w:val="005711D5"/>
    <w:rsid w:val="00573125"/>
    <w:rsid w:val="00576378"/>
    <w:rsid w:val="00577130"/>
    <w:rsid w:val="00577945"/>
    <w:rsid w:val="00577E38"/>
    <w:rsid w:val="00585322"/>
    <w:rsid w:val="005857C6"/>
    <w:rsid w:val="00591B6D"/>
    <w:rsid w:val="00592F6E"/>
    <w:rsid w:val="00593AD1"/>
    <w:rsid w:val="005941D0"/>
    <w:rsid w:val="00595C6B"/>
    <w:rsid w:val="00597D8F"/>
    <w:rsid w:val="005A68B6"/>
    <w:rsid w:val="005A79F5"/>
    <w:rsid w:val="005B2B36"/>
    <w:rsid w:val="005C494B"/>
    <w:rsid w:val="005C5570"/>
    <w:rsid w:val="005C5B66"/>
    <w:rsid w:val="005C60E1"/>
    <w:rsid w:val="005C79A4"/>
    <w:rsid w:val="005D5442"/>
    <w:rsid w:val="005E2736"/>
    <w:rsid w:val="00603F32"/>
    <w:rsid w:val="00605AD4"/>
    <w:rsid w:val="006060F7"/>
    <w:rsid w:val="006136D7"/>
    <w:rsid w:val="00625A6E"/>
    <w:rsid w:val="00632398"/>
    <w:rsid w:val="0063551F"/>
    <w:rsid w:val="00640279"/>
    <w:rsid w:val="00640FC3"/>
    <w:rsid w:val="00642020"/>
    <w:rsid w:val="006430EE"/>
    <w:rsid w:val="00643CE5"/>
    <w:rsid w:val="0065337B"/>
    <w:rsid w:val="0065419D"/>
    <w:rsid w:val="006544C0"/>
    <w:rsid w:val="00657122"/>
    <w:rsid w:val="006603BC"/>
    <w:rsid w:val="006604D8"/>
    <w:rsid w:val="0066060B"/>
    <w:rsid w:val="00664A5B"/>
    <w:rsid w:val="0066735C"/>
    <w:rsid w:val="006763D2"/>
    <w:rsid w:val="00680C08"/>
    <w:rsid w:val="006901BA"/>
    <w:rsid w:val="006916A0"/>
    <w:rsid w:val="006931B1"/>
    <w:rsid w:val="006A15C0"/>
    <w:rsid w:val="006A58A8"/>
    <w:rsid w:val="006C3E2A"/>
    <w:rsid w:val="006C642F"/>
    <w:rsid w:val="006D03E5"/>
    <w:rsid w:val="006D5D3E"/>
    <w:rsid w:val="006E08B3"/>
    <w:rsid w:val="006E7D4A"/>
    <w:rsid w:val="006F17AC"/>
    <w:rsid w:val="006F25B8"/>
    <w:rsid w:val="006F572E"/>
    <w:rsid w:val="007046D6"/>
    <w:rsid w:val="00705DB0"/>
    <w:rsid w:val="00716E1D"/>
    <w:rsid w:val="00720FF5"/>
    <w:rsid w:val="0072292E"/>
    <w:rsid w:val="00722B57"/>
    <w:rsid w:val="00730F8A"/>
    <w:rsid w:val="00735A8C"/>
    <w:rsid w:val="00740C4D"/>
    <w:rsid w:val="0074163C"/>
    <w:rsid w:val="0074253D"/>
    <w:rsid w:val="00743A94"/>
    <w:rsid w:val="00744121"/>
    <w:rsid w:val="0074429B"/>
    <w:rsid w:val="007615BC"/>
    <w:rsid w:val="00762F05"/>
    <w:rsid w:val="007652FF"/>
    <w:rsid w:val="007703EF"/>
    <w:rsid w:val="00770CAC"/>
    <w:rsid w:val="00770EF1"/>
    <w:rsid w:val="0077131A"/>
    <w:rsid w:val="00773EF7"/>
    <w:rsid w:val="00774E1D"/>
    <w:rsid w:val="007765D8"/>
    <w:rsid w:val="0077675A"/>
    <w:rsid w:val="00780355"/>
    <w:rsid w:val="007819FD"/>
    <w:rsid w:val="00785717"/>
    <w:rsid w:val="00785721"/>
    <w:rsid w:val="00793A59"/>
    <w:rsid w:val="007949C0"/>
    <w:rsid w:val="007A38B2"/>
    <w:rsid w:val="007A46F5"/>
    <w:rsid w:val="007A6505"/>
    <w:rsid w:val="007B6132"/>
    <w:rsid w:val="007B6E9F"/>
    <w:rsid w:val="007C1216"/>
    <w:rsid w:val="007C1AF7"/>
    <w:rsid w:val="007C6B9B"/>
    <w:rsid w:val="007D0024"/>
    <w:rsid w:val="007D28B9"/>
    <w:rsid w:val="007D53B6"/>
    <w:rsid w:val="007F1F98"/>
    <w:rsid w:val="00804D99"/>
    <w:rsid w:val="00805D27"/>
    <w:rsid w:val="00806DCB"/>
    <w:rsid w:val="008110BC"/>
    <w:rsid w:val="00821776"/>
    <w:rsid w:val="008321F5"/>
    <w:rsid w:val="00832369"/>
    <w:rsid w:val="00833ED8"/>
    <w:rsid w:val="00834660"/>
    <w:rsid w:val="00836BC2"/>
    <w:rsid w:val="0084112A"/>
    <w:rsid w:val="00842AF9"/>
    <w:rsid w:val="00846BC8"/>
    <w:rsid w:val="0085156D"/>
    <w:rsid w:val="008526C5"/>
    <w:rsid w:val="00852B28"/>
    <w:rsid w:val="0085641B"/>
    <w:rsid w:val="00857136"/>
    <w:rsid w:val="008656AB"/>
    <w:rsid w:val="00865B03"/>
    <w:rsid w:val="00867DE2"/>
    <w:rsid w:val="00875A6B"/>
    <w:rsid w:val="00885B11"/>
    <w:rsid w:val="00886D15"/>
    <w:rsid w:val="00887DD8"/>
    <w:rsid w:val="00891BA9"/>
    <w:rsid w:val="00891DA6"/>
    <w:rsid w:val="00896018"/>
    <w:rsid w:val="008960DD"/>
    <w:rsid w:val="0089635C"/>
    <w:rsid w:val="008A2B9D"/>
    <w:rsid w:val="008A3656"/>
    <w:rsid w:val="008A3D9F"/>
    <w:rsid w:val="008A5E0B"/>
    <w:rsid w:val="008A6D59"/>
    <w:rsid w:val="008B4B03"/>
    <w:rsid w:val="008B596F"/>
    <w:rsid w:val="008C0D94"/>
    <w:rsid w:val="008C159F"/>
    <w:rsid w:val="008C1623"/>
    <w:rsid w:val="008C1850"/>
    <w:rsid w:val="008C51A9"/>
    <w:rsid w:val="008D1A55"/>
    <w:rsid w:val="008D256C"/>
    <w:rsid w:val="008D4570"/>
    <w:rsid w:val="008D4805"/>
    <w:rsid w:val="008D5724"/>
    <w:rsid w:val="008D5E1B"/>
    <w:rsid w:val="008D74A1"/>
    <w:rsid w:val="008E7846"/>
    <w:rsid w:val="008F02E5"/>
    <w:rsid w:val="008F1CCC"/>
    <w:rsid w:val="008F2967"/>
    <w:rsid w:val="008F6943"/>
    <w:rsid w:val="00902A21"/>
    <w:rsid w:val="0090336C"/>
    <w:rsid w:val="009136A5"/>
    <w:rsid w:val="00913EFF"/>
    <w:rsid w:val="00914173"/>
    <w:rsid w:val="0091523F"/>
    <w:rsid w:val="00920330"/>
    <w:rsid w:val="009219D7"/>
    <w:rsid w:val="00922D53"/>
    <w:rsid w:val="00923B70"/>
    <w:rsid w:val="00924482"/>
    <w:rsid w:val="00924BB4"/>
    <w:rsid w:val="00930237"/>
    <w:rsid w:val="00937C17"/>
    <w:rsid w:val="00940A89"/>
    <w:rsid w:val="00941F77"/>
    <w:rsid w:val="00945CDA"/>
    <w:rsid w:val="00946897"/>
    <w:rsid w:val="00946EA5"/>
    <w:rsid w:val="009556D7"/>
    <w:rsid w:val="00960520"/>
    <w:rsid w:val="00963C08"/>
    <w:rsid w:val="009752A5"/>
    <w:rsid w:val="0098403F"/>
    <w:rsid w:val="0098585A"/>
    <w:rsid w:val="009A4CED"/>
    <w:rsid w:val="009A690D"/>
    <w:rsid w:val="009B1AD8"/>
    <w:rsid w:val="009B1D12"/>
    <w:rsid w:val="009B3097"/>
    <w:rsid w:val="009B416B"/>
    <w:rsid w:val="009C4BD5"/>
    <w:rsid w:val="009D7B77"/>
    <w:rsid w:val="009E0BB0"/>
    <w:rsid w:val="009E29A4"/>
    <w:rsid w:val="009E3FBB"/>
    <w:rsid w:val="009E5A87"/>
    <w:rsid w:val="009F2673"/>
    <w:rsid w:val="009F7353"/>
    <w:rsid w:val="00A01497"/>
    <w:rsid w:val="00A04F85"/>
    <w:rsid w:val="00A05FA4"/>
    <w:rsid w:val="00A102E4"/>
    <w:rsid w:val="00A1219C"/>
    <w:rsid w:val="00A12C42"/>
    <w:rsid w:val="00A14DF7"/>
    <w:rsid w:val="00A22D57"/>
    <w:rsid w:val="00A259E4"/>
    <w:rsid w:val="00A3246D"/>
    <w:rsid w:val="00A36FA7"/>
    <w:rsid w:val="00A40105"/>
    <w:rsid w:val="00A414A3"/>
    <w:rsid w:val="00A44DDB"/>
    <w:rsid w:val="00A475B7"/>
    <w:rsid w:val="00A47AF7"/>
    <w:rsid w:val="00A47C3E"/>
    <w:rsid w:val="00A50226"/>
    <w:rsid w:val="00A60BAD"/>
    <w:rsid w:val="00A624B5"/>
    <w:rsid w:val="00A77F87"/>
    <w:rsid w:val="00A80B5B"/>
    <w:rsid w:val="00A84E36"/>
    <w:rsid w:val="00A964D1"/>
    <w:rsid w:val="00AA0ED0"/>
    <w:rsid w:val="00AA47AE"/>
    <w:rsid w:val="00AC2B40"/>
    <w:rsid w:val="00AC2BB2"/>
    <w:rsid w:val="00AC2C3C"/>
    <w:rsid w:val="00AC512D"/>
    <w:rsid w:val="00AD0083"/>
    <w:rsid w:val="00AD12BF"/>
    <w:rsid w:val="00AD1D0A"/>
    <w:rsid w:val="00AD3935"/>
    <w:rsid w:val="00AD6ECD"/>
    <w:rsid w:val="00AE65EB"/>
    <w:rsid w:val="00AE67A7"/>
    <w:rsid w:val="00AF1D94"/>
    <w:rsid w:val="00AF2313"/>
    <w:rsid w:val="00AF60C5"/>
    <w:rsid w:val="00B009C6"/>
    <w:rsid w:val="00B01548"/>
    <w:rsid w:val="00B130C5"/>
    <w:rsid w:val="00B13EBD"/>
    <w:rsid w:val="00B1406F"/>
    <w:rsid w:val="00B14DC3"/>
    <w:rsid w:val="00B209DA"/>
    <w:rsid w:val="00B21D29"/>
    <w:rsid w:val="00B25034"/>
    <w:rsid w:val="00B32ADD"/>
    <w:rsid w:val="00B33588"/>
    <w:rsid w:val="00B33863"/>
    <w:rsid w:val="00B37D17"/>
    <w:rsid w:val="00B4175E"/>
    <w:rsid w:val="00B41C85"/>
    <w:rsid w:val="00B452CE"/>
    <w:rsid w:val="00B47E5B"/>
    <w:rsid w:val="00B54C25"/>
    <w:rsid w:val="00B76B91"/>
    <w:rsid w:val="00B77EB1"/>
    <w:rsid w:val="00B811C6"/>
    <w:rsid w:val="00B855B0"/>
    <w:rsid w:val="00B86247"/>
    <w:rsid w:val="00B86B4E"/>
    <w:rsid w:val="00B90338"/>
    <w:rsid w:val="00B92E08"/>
    <w:rsid w:val="00BA0EF9"/>
    <w:rsid w:val="00BB0B78"/>
    <w:rsid w:val="00BB75D6"/>
    <w:rsid w:val="00BC1417"/>
    <w:rsid w:val="00BC622A"/>
    <w:rsid w:val="00BD5585"/>
    <w:rsid w:val="00BE0A78"/>
    <w:rsid w:val="00BE6542"/>
    <w:rsid w:val="00BE79F0"/>
    <w:rsid w:val="00BF046D"/>
    <w:rsid w:val="00BF1190"/>
    <w:rsid w:val="00BF3774"/>
    <w:rsid w:val="00BF5D04"/>
    <w:rsid w:val="00BF7063"/>
    <w:rsid w:val="00C009AA"/>
    <w:rsid w:val="00C068CB"/>
    <w:rsid w:val="00C1164D"/>
    <w:rsid w:val="00C16861"/>
    <w:rsid w:val="00C2136E"/>
    <w:rsid w:val="00C25368"/>
    <w:rsid w:val="00C30BE3"/>
    <w:rsid w:val="00C34133"/>
    <w:rsid w:val="00C346AB"/>
    <w:rsid w:val="00C404A6"/>
    <w:rsid w:val="00C40A36"/>
    <w:rsid w:val="00C44419"/>
    <w:rsid w:val="00C45E7B"/>
    <w:rsid w:val="00C471B1"/>
    <w:rsid w:val="00C51371"/>
    <w:rsid w:val="00C525A2"/>
    <w:rsid w:val="00C52E24"/>
    <w:rsid w:val="00C6316B"/>
    <w:rsid w:val="00C634A9"/>
    <w:rsid w:val="00C64586"/>
    <w:rsid w:val="00C663E7"/>
    <w:rsid w:val="00C70A36"/>
    <w:rsid w:val="00C70D53"/>
    <w:rsid w:val="00C7364D"/>
    <w:rsid w:val="00C73B48"/>
    <w:rsid w:val="00C73D0B"/>
    <w:rsid w:val="00C74F5C"/>
    <w:rsid w:val="00C7552C"/>
    <w:rsid w:val="00C772FF"/>
    <w:rsid w:val="00C77DF7"/>
    <w:rsid w:val="00C80137"/>
    <w:rsid w:val="00C801AF"/>
    <w:rsid w:val="00C80256"/>
    <w:rsid w:val="00C94CD4"/>
    <w:rsid w:val="00C9747E"/>
    <w:rsid w:val="00CA1444"/>
    <w:rsid w:val="00CB23BF"/>
    <w:rsid w:val="00CB6BC0"/>
    <w:rsid w:val="00CC1B7C"/>
    <w:rsid w:val="00CC3FFB"/>
    <w:rsid w:val="00CC5044"/>
    <w:rsid w:val="00CC61CB"/>
    <w:rsid w:val="00CC727F"/>
    <w:rsid w:val="00CC75F3"/>
    <w:rsid w:val="00CD7C54"/>
    <w:rsid w:val="00CE0AC5"/>
    <w:rsid w:val="00CF15C3"/>
    <w:rsid w:val="00CF2B6F"/>
    <w:rsid w:val="00CF2F3E"/>
    <w:rsid w:val="00CF58B6"/>
    <w:rsid w:val="00CF5DAD"/>
    <w:rsid w:val="00D0062D"/>
    <w:rsid w:val="00D017ED"/>
    <w:rsid w:val="00D040D3"/>
    <w:rsid w:val="00D04883"/>
    <w:rsid w:val="00D04C65"/>
    <w:rsid w:val="00D0742A"/>
    <w:rsid w:val="00D153D8"/>
    <w:rsid w:val="00D201D2"/>
    <w:rsid w:val="00D212F3"/>
    <w:rsid w:val="00D224FE"/>
    <w:rsid w:val="00D23139"/>
    <w:rsid w:val="00D246CA"/>
    <w:rsid w:val="00D264E5"/>
    <w:rsid w:val="00D356D3"/>
    <w:rsid w:val="00D425BB"/>
    <w:rsid w:val="00D453FA"/>
    <w:rsid w:val="00D56348"/>
    <w:rsid w:val="00D6493E"/>
    <w:rsid w:val="00D670EF"/>
    <w:rsid w:val="00D70EB3"/>
    <w:rsid w:val="00D7195D"/>
    <w:rsid w:val="00D72CBA"/>
    <w:rsid w:val="00D7301E"/>
    <w:rsid w:val="00D83AE1"/>
    <w:rsid w:val="00D854AC"/>
    <w:rsid w:val="00D855D4"/>
    <w:rsid w:val="00D8723A"/>
    <w:rsid w:val="00D902C9"/>
    <w:rsid w:val="00D93466"/>
    <w:rsid w:val="00DA1124"/>
    <w:rsid w:val="00DA1204"/>
    <w:rsid w:val="00DA15D9"/>
    <w:rsid w:val="00DA5A08"/>
    <w:rsid w:val="00DA64CB"/>
    <w:rsid w:val="00DB06B8"/>
    <w:rsid w:val="00DB6124"/>
    <w:rsid w:val="00DB750B"/>
    <w:rsid w:val="00DB75B7"/>
    <w:rsid w:val="00DC0A2F"/>
    <w:rsid w:val="00DC1948"/>
    <w:rsid w:val="00DC6E02"/>
    <w:rsid w:val="00DD28CD"/>
    <w:rsid w:val="00DE02AE"/>
    <w:rsid w:val="00DE39D1"/>
    <w:rsid w:val="00DF1D7F"/>
    <w:rsid w:val="00DF4BE4"/>
    <w:rsid w:val="00DF7C6F"/>
    <w:rsid w:val="00E02382"/>
    <w:rsid w:val="00E02FB4"/>
    <w:rsid w:val="00E13FC7"/>
    <w:rsid w:val="00E20571"/>
    <w:rsid w:val="00E235F7"/>
    <w:rsid w:val="00E23659"/>
    <w:rsid w:val="00E239D4"/>
    <w:rsid w:val="00E2496A"/>
    <w:rsid w:val="00E25D23"/>
    <w:rsid w:val="00E26130"/>
    <w:rsid w:val="00E32CC7"/>
    <w:rsid w:val="00E33D42"/>
    <w:rsid w:val="00E40B22"/>
    <w:rsid w:val="00E44ED1"/>
    <w:rsid w:val="00E45619"/>
    <w:rsid w:val="00E4588F"/>
    <w:rsid w:val="00E46DA3"/>
    <w:rsid w:val="00E51BB1"/>
    <w:rsid w:val="00E55CB0"/>
    <w:rsid w:val="00E624A5"/>
    <w:rsid w:val="00E64BA4"/>
    <w:rsid w:val="00E7344E"/>
    <w:rsid w:val="00E82665"/>
    <w:rsid w:val="00EA77C5"/>
    <w:rsid w:val="00EB0798"/>
    <w:rsid w:val="00EB36D6"/>
    <w:rsid w:val="00EB40AD"/>
    <w:rsid w:val="00EB586E"/>
    <w:rsid w:val="00EB5FC8"/>
    <w:rsid w:val="00EC463D"/>
    <w:rsid w:val="00EC7A85"/>
    <w:rsid w:val="00ED2922"/>
    <w:rsid w:val="00ED3CAD"/>
    <w:rsid w:val="00ED5A41"/>
    <w:rsid w:val="00EE1DE8"/>
    <w:rsid w:val="00EE27C2"/>
    <w:rsid w:val="00EF4BAD"/>
    <w:rsid w:val="00EF59DC"/>
    <w:rsid w:val="00F033EC"/>
    <w:rsid w:val="00F04F68"/>
    <w:rsid w:val="00F12670"/>
    <w:rsid w:val="00F14B27"/>
    <w:rsid w:val="00F3148D"/>
    <w:rsid w:val="00F325C5"/>
    <w:rsid w:val="00F32FE0"/>
    <w:rsid w:val="00F35298"/>
    <w:rsid w:val="00F37795"/>
    <w:rsid w:val="00F44D9E"/>
    <w:rsid w:val="00F47333"/>
    <w:rsid w:val="00F47E37"/>
    <w:rsid w:val="00F53C07"/>
    <w:rsid w:val="00F53EA4"/>
    <w:rsid w:val="00F54B65"/>
    <w:rsid w:val="00F63DBF"/>
    <w:rsid w:val="00F640B6"/>
    <w:rsid w:val="00F66DF2"/>
    <w:rsid w:val="00F67377"/>
    <w:rsid w:val="00F80E40"/>
    <w:rsid w:val="00F848D9"/>
    <w:rsid w:val="00F931CE"/>
    <w:rsid w:val="00FA2260"/>
    <w:rsid w:val="00FA488B"/>
    <w:rsid w:val="00FA4BBA"/>
    <w:rsid w:val="00FA5069"/>
    <w:rsid w:val="00FA5B82"/>
    <w:rsid w:val="00FA639E"/>
    <w:rsid w:val="00FC1FCA"/>
    <w:rsid w:val="00FC25E4"/>
    <w:rsid w:val="00FC4EF7"/>
    <w:rsid w:val="00FD0824"/>
    <w:rsid w:val="00FD119B"/>
    <w:rsid w:val="00FD1EDC"/>
    <w:rsid w:val="00FD6E62"/>
    <w:rsid w:val="00FE1DEE"/>
    <w:rsid w:val="00FF2126"/>
    <w:rsid w:val="00FF5755"/>
    <w:rsid w:val="00FF601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3A6DDFB"/>
  <w15:docId w15:val="{CFD04ED7-2843-425E-8337-04E388AD4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qFormat="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customStyle="1" w:styleId="Default">
    <w:name w:val="Default"/>
    <w:rsid w:val="00B209DA"/>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aliases w:val="List normal"/>
    <w:basedOn w:val="Normal"/>
    <w:link w:val="ListParagraphChar"/>
    <w:uiPriority w:val="34"/>
    <w:qFormat/>
    <w:rsid w:val="008D74A1"/>
    <w:pPr>
      <w:numPr>
        <w:numId w:val="5"/>
      </w:numPr>
      <w:spacing w:before="0" w:line="240" w:lineRule="auto"/>
      <w:ind w:left="850" w:hanging="493"/>
      <w:contextualSpacing/>
    </w:pPr>
    <w:rPr>
      <w:rFonts w:asciiTheme="minorHAnsi" w:eastAsia="Times New Roman" w:hAnsiTheme="minorHAnsi"/>
      <w:lang w:eastAsia="en-AU"/>
    </w:rPr>
  </w:style>
  <w:style w:type="character" w:customStyle="1" w:styleId="ListParagraphChar">
    <w:name w:val="List Paragraph Char"/>
    <w:aliases w:val="List normal Char"/>
    <w:basedOn w:val="DefaultParagraphFont"/>
    <w:link w:val="ListParagraph"/>
    <w:uiPriority w:val="34"/>
    <w:rsid w:val="008D74A1"/>
    <w:rPr>
      <w:rFonts w:eastAsia="Times New Roman" w:cs="Times New Roman"/>
      <w:lang w:eastAsia="en-AU"/>
    </w:rPr>
  </w:style>
  <w:style w:type="paragraph" w:customStyle="1" w:styleId="FigureCaption">
    <w:name w:val="Figure Caption"/>
    <w:basedOn w:val="Normal"/>
    <w:qFormat/>
    <w:rsid w:val="00C7364D"/>
    <w:pPr>
      <w:adjustRightInd w:val="0"/>
      <w:snapToGrid w:val="0"/>
      <w:spacing w:before="180" w:after="180"/>
    </w:pPr>
    <w:rPr>
      <w:rFonts w:eastAsia="MS Mincho"/>
      <w:szCs w:val="20"/>
      <w:lang w:eastAsia="ja-JP"/>
    </w:rPr>
  </w:style>
  <w:style w:type="paragraph" w:customStyle="1" w:styleId="TableCaption">
    <w:name w:val="Table Caption"/>
    <w:basedOn w:val="FigureCaption"/>
    <w:qFormat/>
    <w:rsid w:val="00C7364D"/>
    <w:pPr>
      <w:spacing w:after="240"/>
    </w:pPr>
    <w:rPr>
      <w:sz w:val="17"/>
    </w:rPr>
  </w:style>
  <w:style w:type="table" w:customStyle="1" w:styleId="TableTGA2">
    <w:name w:val="Table TGA 2"/>
    <w:basedOn w:val="TableNormal"/>
    <w:uiPriority w:val="99"/>
    <w:rsid w:val="00C7364D"/>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C7364D"/>
    <w:pPr>
      <w:adjustRightInd w:val="0"/>
      <w:snapToGrid w:val="0"/>
      <w:spacing w:before="180" w:after="180"/>
    </w:pPr>
    <w:rPr>
      <w:rFonts w:eastAsia="MS Mincho"/>
      <w:b/>
      <w:szCs w:val="20"/>
      <w:lang w:eastAsia="ja-JP"/>
    </w:rPr>
  </w:style>
  <w:style w:type="paragraph" w:customStyle="1" w:styleId="Addressee">
    <w:name w:val="Addressee"/>
    <w:basedOn w:val="Normal"/>
    <w:qFormat/>
    <w:rsid w:val="00C7364D"/>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C7364D"/>
    <w:rPr>
      <w:rFonts w:ascii="Arial" w:hAnsi="Arial"/>
      <w:color w:val="002C47"/>
      <w:sz w:val="14"/>
    </w:rPr>
  </w:style>
  <w:style w:type="paragraph" w:customStyle="1" w:styleId="BodyCopy">
    <w:name w:val="Body Copy"/>
    <w:basedOn w:val="Normal"/>
    <w:qFormat/>
    <w:rsid w:val="00C7364D"/>
    <w:pPr>
      <w:adjustRightInd w:val="0"/>
      <w:snapToGrid w:val="0"/>
      <w:spacing w:before="180" w:after="180"/>
    </w:pPr>
    <w:rPr>
      <w:rFonts w:eastAsia="MS Mincho"/>
      <w:szCs w:val="20"/>
      <w:lang w:eastAsia="ja-JP"/>
    </w:rPr>
  </w:style>
  <w:style w:type="paragraph" w:customStyle="1" w:styleId="Standard">
    <w:name w:val="Standard"/>
    <w:basedOn w:val="Normal"/>
    <w:link w:val="StandardChar"/>
    <w:qFormat/>
    <w:rsid w:val="00C7364D"/>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C7364D"/>
    <w:rPr>
      <w:rFonts w:ascii="Cambria" w:eastAsia="Times New Roman" w:hAnsi="Cambria" w:cs="Times New Roman"/>
      <w:snapToGrid w:val="0"/>
      <w:kern w:val="16"/>
      <w:sz w:val="23"/>
      <w:szCs w:val="24"/>
    </w:rPr>
  </w:style>
  <w:style w:type="paragraph" w:customStyle="1" w:styleId="Bulletpoint">
    <w:name w:val="Bullet point"/>
    <w:basedOn w:val="Standard"/>
    <w:rsid w:val="00C7364D"/>
    <w:pPr>
      <w:numPr>
        <w:numId w:val="6"/>
      </w:numPr>
      <w:tabs>
        <w:tab w:val="clear" w:pos="369"/>
        <w:tab w:val="left" w:pos="397"/>
        <w:tab w:val="num" w:pos="511"/>
        <w:tab w:val="num" w:pos="926"/>
      </w:tabs>
      <w:spacing w:after="180"/>
      <w:ind w:left="0" w:firstLine="0"/>
    </w:pPr>
    <w:rPr>
      <w:sz w:val="22"/>
    </w:rPr>
  </w:style>
  <w:style w:type="paragraph" w:customStyle="1" w:styleId="PISubsection">
    <w:name w:val="PI Subsection"/>
    <w:basedOn w:val="Standard"/>
    <w:next w:val="Standard"/>
    <w:rsid w:val="00C7364D"/>
    <w:pPr>
      <w:keepNext/>
      <w:spacing w:after="120"/>
    </w:pPr>
    <w:rPr>
      <w:b/>
      <w:i/>
      <w:kern w:val="2"/>
      <w:sz w:val="22"/>
    </w:rPr>
  </w:style>
  <w:style w:type="paragraph" w:customStyle="1" w:styleId="Bulletlist">
    <w:name w:val="Bullet list"/>
    <w:basedOn w:val="Standard"/>
    <w:link w:val="BulletlistChar"/>
    <w:qFormat/>
    <w:rsid w:val="00C7364D"/>
    <w:pPr>
      <w:numPr>
        <w:numId w:val="7"/>
      </w:numPr>
      <w:spacing w:after="180"/>
      <w:ind w:left="426" w:hanging="284"/>
    </w:pPr>
    <w:rPr>
      <w:kern w:val="2"/>
    </w:rPr>
  </w:style>
  <w:style w:type="character" w:customStyle="1" w:styleId="TabletextChar">
    <w:name w:val="Table text Char"/>
    <w:basedOn w:val="StandardChar"/>
    <w:link w:val="Tabletext"/>
    <w:rsid w:val="00C7364D"/>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C7364D"/>
    <w:rPr>
      <w:rFonts w:ascii="Cambria" w:eastAsia="Times New Roman" w:hAnsi="Cambria" w:cs="Times New Roman"/>
      <w:snapToGrid w:val="0"/>
      <w:kern w:val="2"/>
      <w:sz w:val="23"/>
      <w:szCs w:val="24"/>
    </w:rPr>
  </w:style>
  <w:style w:type="paragraph" w:customStyle="1" w:styleId="TableHeading">
    <w:name w:val="Table Heading"/>
    <w:basedOn w:val="Normal"/>
    <w:rsid w:val="00C7364D"/>
    <w:rPr>
      <w:rFonts w:ascii="Calibri" w:eastAsia="Calibri" w:hAnsi="Calibri"/>
      <w:b/>
      <w:color w:val="FFFFF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86626">
      <w:bodyDiv w:val="1"/>
      <w:marLeft w:val="0"/>
      <w:marRight w:val="0"/>
      <w:marTop w:val="0"/>
      <w:marBottom w:val="0"/>
      <w:divBdr>
        <w:top w:val="none" w:sz="0" w:space="0" w:color="auto"/>
        <w:left w:val="none" w:sz="0" w:space="0" w:color="auto"/>
        <w:bottom w:val="none" w:sz="0" w:space="0" w:color="auto"/>
        <w:right w:val="none" w:sz="0" w:space="0" w:color="auto"/>
      </w:divBdr>
    </w:div>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1221790528">
      <w:bodyDiv w:val="1"/>
      <w:marLeft w:val="0"/>
      <w:marRight w:val="0"/>
      <w:marTop w:val="0"/>
      <w:marBottom w:val="0"/>
      <w:divBdr>
        <w:top w:val="none" w:sz="0" w:space="0" w:color="auto"/>
        <w:left w:val="none" w:sz="0" w:space="0" w:color="auto"/>
        <w:bottom w:val="none" w:sz="0" w:space="0" w:color="auto"/>
        <w:right w:val="none" w:sz="0" w:space="0" w:color="auto"/>
      </w:divBdr>
    </w:div>
    <w:div w:id="1817066176">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 w:id="2086949766">
      <w:bodyDiv w:val="1"/>
      <w:marLeft w:val="0"/>
      <w:marRight w:val="0"/>
      <w:marTop w:val="0"/>
      <w:marBottom w:val="0"/>
      <w:divBdr>
        <w:top w:val="none" w:sz="0" w:space="0" w:color="auto"/>
        <w:left w:val="none" w:sz="0" w:space="0" w:color="auto"/>
        <w:bottom w:val="none" w:sz="0" w:space="0" w:color="auto"/>
        <w:right w:val="none" w:sz="0" w:space="0" w:color="auto"/>
      </w:divBdr>
      <w:divsChild>
        <w:div w:id="102042454">
          <w:marLeft w:val="0"/>
          <w:marRight w:val="0"/>
          <w:marTop w:val="0"/>
          <w:marBottom w:val="0"/>
          <w:divBdr>
            <w:top w:val="single" w:sz="6" w:space="0" w:color="5B616B"/>
            <w:left w:val="single" w:sz="6" w:space="0" w:color="5B616B"/>
            <w:bottom w:val="single" w:sz="6" w:space="0" w:color="5B616B"/>
            <w:right w:val="single" w:sz="6" w:space="0" w:color="5B616B"/>
          </w:divBdr>
        </w:div>
        <w:div w:id="524756311">
          <w:marLeft w:val="0"/>
          <w:marRight w:val="0"/>
          <w:marTop w:val="0"/>
          <w:marBottom w:val="0"/>
          <w:divBdr>
            <w:top w:val="none" w:sz="0" w:space="0" w:color="auto"/>
            <w:left w:val="none" w:sz="0" w:space="0" w:color="auto"/>
            <w:bottom w:val="none" w:sz="0" w:space="0" w:color="auto"/>
            <w:right w:val="none" w:sz="0" w:space="0" w:color="auto"/>
          </w:divBdr>
          <w:divsChild>
            <w:div w:id="17774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tga.gov.au/publication/risk-management-plans-medicines-and-biologicals"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www.tga.gov.au/picmi-search-facility" TargetMode="Externa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tga.gov.au/committee/advisory-committee-medicines-acm" TargetMode="External"/><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ga.gov.au/picmi-search-facility" TargetMode="External"/><Relationship Id="rId23" Type="http://schemas.openxmlformats.org/officeDocument/2006/relationships/image" Target="media/image7.png"/><Relationship Id="rId28" Type="http://schemas.openxmlformats.org/officeDocument/2006/relationships/header" Target="header5.xml"/><Relationship Id="rId36" Type="http://schemas.openxmlformats.org/officeDocument/2006/relationships/footer" Target="footer4.xml"/><Relationship Id="rId10" Type="http://schemas.openxmlformats.org/officeDocument/2006/relationships/hyperlink" Target="mailto:tga.copyright@tga.gov.au" TargetMode="External"/><Relationship Id="rId19" Type="http://schemas.openxmlformats.org/officeDocument/2006/relationships/image" Target="media/image5.png"/><Relationship Id="rId31"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hyperlink" Target="https://www.tga.gov.au/black-triangle-scheme" TargetMode="External"/><Relationship Id="rId22" Type="http://schemas.openxmlformats.org/officeDocument/2006/relationships/hyperlink" Target="https://www.tga.gov.au/tgas-risk-management-approach" TargetMode="External"/><Relationship Id="rId27" Type="http://schemas.openxmlformats.org/officeDocument/2006/relationships/header" Target="header4.xml"/><Relationship Id="rId30" Type="http://schemas.openxmlformats.org/officeDocument/2006/relationships/hyperlink" Target="mailto:info@tga.gov.au" TargetMode="External"/><Relationship Id="rId35"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hyperlink" Target="https://www.accessdata.fda.gov/drugsatfda_docs/nda/2021/761123Orig1s000MultidisciplineR.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EDEF3-1712-460E-8869-19A4BE70D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50</Pages>
  <Words>17868</Words>
  <Characters>101851</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119481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Saphnelo</dc:title>
  <dc:subject>prescription medicine regulation</dc:subject>
  <dc:creator>Therapeutic Goods Administration</dc:creator>
  <cp:keywords/>
  <cp:lastModifiedBy>PITKIN, Brendan</cp:lastModifiedBy>
  <cp:revision>4</cp:revision>
  <cp:lastPrinted>2019-08-14T04:30:00Z</cp:lastPrinted>
  <dcterms:created xsi:type="dcterms:W3CDTF">2022-12-06T02:18:00Z</dcterms:created>
  <dcterms:modified xsi:type="dcterms:W3CDTF">2022-12-14T22:38:00Z</dcterms:modified>
  <cp:category/>
</cp:coreProperties>
</file>